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hint="eastAsia" w:ascii="宋体" w:hAnsi="宋体" w:cs="宋体"/>
          <w:b/>
          <w:bCs/>
          <w:sz w:val="52"/>
        </w:rPr>
      </w:pPr>
      <w:r>
        <w:rPr>
          <w:rFonts w:hint="eastAsia" w:ascii="宋体" w:hAnsi="宋体" w:cs="宋体"/>
          <w:b/>
          <w:bCs/>
          <w:sz w:val="52"/>
        </w:rPr>
        <w:t>瑞安市公共资源交易中心</w:t>
      </w:r>
    </w:p>
    <w:p>
      <w:pPr>
        <w:rPr>
          <w:rFonts w:hint="eastAsia" w:ascii="宋体" w:hAnsi="宋体" w:cs="宋体"/>
          <w:b/>
          <w:bCs/>
          <w:sz w:val="52"/>
        </w:rPr>
      </w:pPr>
    </w:p>
    <w:p>
      <w:pPr>
        <w:rPr>
          <w:rFonts w:hint="eastAsia" w:ascii="宋体" w:hAnsi="宋体" w:cs="宋体"/>
          <w:b/>
          <w:bCs/>
          <w:sz w:val="72"/>
        </w:rPr>
      </w:pPr>
      <w:bookmarkStart w:id="0" w:name="_Hlt162751967"/>
      <w:bookmarkEnd w:id="0"/>
    </w:p>
    <w:p>
      <w:pPr>
        <w:jc w:val="center"/>
        <w:rPr>
          <w:rFonts w:hint="eastAsia" w:ascii="宋体" w:hAnsi="宋体" w:cs="宋体"/>
          <w:b/>
          <w:bCs/>
          <w:sz w:val="72"/>
        </w:rPr>
      </w:pPr>
      <w:bookmarkStart w:id="1" w:name="_Toc164669529"/>
      <w:r>
        <w:rPr>
          <w:rFonts w:hint="eastAsia" w:ascii="宋体" w:hAnsi="宋体" w:cs="宋体"/>
          <w:b/>
          <w:bCs/>
          <w:sz w:val="72"/>
        </w:rPr>
        <w:t>招标文件</w:t>
      </w:r>
      <w:bookmarkEnd w:id="1"/>
    </w:p>
    <w:p>
      <w:pPr>
        <w:jc w:val="center"/>
        <w:rPr>
          <w:rFonts w:hint="eastAsia" w:ascii="宋体" w:hAnsi="宋体" w:cs="宋体"/>
          <w:b/>
          <w:sz w:val="28"/>
          <w:szCs w:val="28"/>
        </w:rPr>
      </w:pPr>
      <w:r>
        <w:rPr>
          <w:rFonts w:hint="eastAsia" w:ascii="宋体" w:hAnsi="宋体" w:cs="宋体"/>
          <w:b/>
          <w:sz w:val="28"/>
          <w:szCs w:val="28"/>
        </w:rPr>
        <w:t>（电子招投标）</w:t>
      </w:r>
    </w:p>
    <w:p>
      <w:pPr>
        <w:rPr>
          <w:rFonts w:hint="eastAsia" w:ascii="宋体" w:hAnsi="宋体" w:cs="宋体"/>
          <w:b/>
          <w:bCs/>
          <w:sz w:val="28"/>
        </w:rPr>
      </w:pPr>
    </w:p>
    <w:p>
      <w:pPr>
        <w:rPr>
          <w:rFonts w:hint="eastAsia" w:ascii="宋体" w:hAnsi="宋体" w:cs="宋体"/>
          <w:b/>
          <w:bCs/>
          <w:sz w:val="28"/>
        </w:rPr>
      </w:pPr>
    </w:p>
    <w:tbl>
      <w:tblPr>
        <w:tblStyle w:val="45"/>
        <w:tblpPr w:leftFromText="180" w:rightFromText="180" w:vertAnchor="text" w:horzAnchor="page" w:tblpX="1345" w:tblpY="362"/>
        <w:tblOverlap w:val="never"/>
        <w:tblW w:w="9418" w:type="dxa"/>
        <w:tblInd w:w="0" w:type="dxa"/>
        <w:tblLayout w:type="fixed"/>
        <w:tblCellMar>
          <w:top w:w="0" w:type="dxa"/>
          <w:left w:w="108" w:type="dxa"/>
          <w:bottom w:w="0" w:type="dxa"/>
          <w:right w:w="108" w:type="dxa"/>
        </w:tblCellMar>
      </w:tblPr>
      <w:tblGrid>
        <w:gridCol w:w="3360"/>
        <w:gridCol w:w="6058"/>
      </w:tblGrid>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项 目 编 号：</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sz w:val="30"/>
                <w:szCs w:val="30"/>
                <w:lang w:eastAsia="zh-CN"/>
              </w:rPr>
            </w:pPr>
            <w:r>
              <w:rPr>
                <w:rFonts w:hint="eastAsia" w:ascii="宋体" w:hAnsi="宋体" w:cs="宋体"/>
                <w:b/>
                <w:bCs/>
                <w:sz w:val="30"/>
                <w:szCs w:val="30"/>
                <w:lang w:eastAsia="zh-CN"/>
              </w:rPr>
              <w:t>RAJC20220611</w:t>
            </w: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项 目 名 称：</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r>
              <w:rPr>
                <w:rFonts w:hint="eastAsia" w:ascii="宋体" w:hAnsi="宋体" w:cs="Times New Roman"/>
                <w:b/>
                <w:bCs/>
                <w:sz w:val="30"/>
                <w:szCs w:val="30"/>
              </w:rPr>
              <w:t>瑞安市妇幼保健</w:t>
            </w:r>
            <w:r>
              <w:rPr>
                <w:rFonts w:hint="eastAsia" w:ascii="宋体" w:hAnsi="宋体" w:cs="Times New Roman"/>
                <w:b/>
                <w:bCs/>
                <w:color w:val="auto"/>
                <w:sz w:val="30"/>
                <w:szCs w:val="30"/>
              </w:rPr>
              <w:t>院2022-202</w:t>
            </w:r>
            <w:r>
              <w:rPr>
                <w:rFonts w:hint="eastAsia" w:ascii="宋体" w:hAnsi="宋体" w:cs="Times New Roman"/>
                <w:b/>
                <w:bCs/>
                <w:color w:val="auto"/>
                <w:sz w:val="30"/>
                <w:szCs w:val="30"/>
                <w:lang w:val="en-US" w:eastAsia="zh-CN"/>
              </w:rPr>
              <w:t>4</w:t>
            </w:r>
            <w:r>
              <w:rPr>
                <w:rFonts w:hint="eastAsia" w:ascii="宋体" w:hAnsi="宋体" w:cs="Times New Roman"/>
                <w:b/>
                <w:bCs/>
                <w:color w:val="auto"/>
                <w:sz w:val="30"/>
                <w:szCs w:val="30"/>
              </w:rPr>
              <w:t>年物业</w:t>
            </w:r>
            <w:r>
              <w:rPr>
                <w:rFonts w:hint="eastAsia" w:ascii="宋体" w:hAnsi="宋体" w:cs="Times New Roman"/>
                <w:b/>
                <w:bCs/>
                <w:color w:val="auto"/>
                <w:sz w:val="30"/>
                <w:szCs w:val="30"/>
                <w:lang w:eastAsia="zh-CN"/>
              </w:rPr>
              <w:t>管理</w:t>
            </w:r>
            <w:r>
              <w:rPr>
                <w:rFonts w:hint="eastAsia" w:ascii="宋体" w:hAnsi="宋体" w:cs="Times New Roman"/>
                <w:b/>
                <w:bCs/>
                <w:color w:val="auto"/>
                <w:sz w:val="30"/>
                <w:szCs w:val="30"/>
              </w:rPr>
              <w:t>服务（</w:t>
            </w:r>
            <w:r>
              <w:rPr>
                <w:rFonts w:hint="eastAsia" w:ascii="宋体" w:hAnsi="宋体" w:cs="Times New Roman"/>
                <w:b/>
                <w:bCs/>
                <w:sz w:val="30"/>
                <w:szCs w:val="30"/>
              </w:rPr>
              <w:t>包含保洁、护工及运送）</w:t>
            </w:r>
            <w:bookmarkStart w:id="858" w:name="_GoBack"/>
            <w:bookmarkEnd w:id="858"/>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采 购 方 式：</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r>
              <w:rPr>
                <w:rFonts w:hint="eastAsia" w:ascii="宋体" w:hAnsi="宋体" w:cs="宋体"/>
                <w:b/>
                <w:bCs/>
                <w:sz w:val="30"/>
                <w:szCs w:val="30"/>
              </w:rPr>
              <w:t>公开招标</w:t>
            </w: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项 目 属 性：</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r>
              <w:rPr>
                <w:rFonts w:hint="eastAsia" w:ascii="宋体" w:hAnsi="宋体" w:cs="宋体"/>
                <w:b/>
                <w:bCs/>
                <w:sz w:val="30"/>
                <w:szCs w:val="30"/>
              </w:rPr>
              <w:t>服务类</w:t>
            </w: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p>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p>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采 购 人：</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sz w:val="30"/>
                <w:szCs w:val="30"/>
                <w:lang w:eastAsia="zh-CN"/>
              </w:rPr>
            </w:pPr>
            <w:r>
              <w:rPr>
                <w:rFonts w:hint="eastAsia" w:ascii="宋体" w:hAnsi="宋体" w:cs="宋体"/>
                <w:b/>
                <w:bCs/>
                <w:sz w:val="30"/>
                <w:szCs w:val="30"/>
              </w:rPr>
              <w:t>瑞安市</w:t>
            </w:r>
            <w:r>
              <w:rPr>
                <w:rFonts w:hint="eastAsia" w:ascii="宋体" w:hAnsi="宋体" w:cs="宋体"/>
                <w:b/>
                <w:bCs/>
                <w:sz w:val="30"/>
                <w:szCs w:val="30"/>
                <w:lang w:eastAsia="zh-CN"/>
              </w:rPr>
              <w:t>妇幼保健院</w:t>
            </w: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0"/>
              <w:jc w:val="right"/>
              <w:rPr>
                <w:rFonts w:hint="eastAsia" w:ascii="宋体" w:hAnsi="宋体" w:cs="宋体"/>
                <w:b/>
                <w:bCs/>
                <w:sz w:val="30"/>
                <w:szCs w:val="30"/>
              </w:rPr>
            </w:pPr>
            <w:r>
              <w:rPr>
                <w:rFonts w:hint="eastAsia" w:ascii="宋体" w:hAnsi="宋体" w:cs="宋体"/>
                <w:b/>
                <w:bCs/>
                <w:sz w:val="30"/>
                <w:szCs w:val="30"/>
              </w:rPr>
              <w:t>集中采购机构：</w:t>
            </w: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r>
              <w:rPr>
                <w:rFonts w:hint="eastAsia" w:ascii="宋体" w:hAnsi="宋体" w:cs="宋体"/>
                <w:b/>
                <w:bCs/>
                <w:sz w:val="30"/>
                <w:szCs w:val="30"/>
              </w:rPr>
              <w:t>瑞安市公共资源交易中心</w:t>
            </w:r>
          </w:p>
        </w:tc>
      </w:tr>
      <w:tr>
        <w:tblPrEx>
          <w:tblLayout w:type="fixed"/>
          <w:tblCellMar>
            <w:top w:w="0" w:type="dxa"/>
            <w:left w:w="108" w:type="dxa"/>
            <w:bottom w:w="0" w:type="dxa"/>
            <w:right w:w="108" w:type="dxa"/>
          </w:tblCellMar>
        </w:tblPrEx>
        <w:tc>
          <w:tcPr>
            <w:tcW w:w="3360" w:type="dxa"/>
            <w:vAlign w:val="center"/>
          </w:tcPr>
          <w:p>
            <w:pPr>
              <w:keepNext w:val="0"/>
              <w:keepLines w:val="0"/>
              <w:widowControl/>
              <w:suppressLineNumbers w:val="0"/>
              <w:spacing w:before="0" w:beforeAutospacing="0" w:after="0" w:afterAutospacing="0" w:line="360" w:lineRule="auto"/>
              <w:ind w:left="0" w:right="1200"/>
              <w:rPr>
                <w:rFonts w:hint="eastAsia" w:ascii="宋体" w:hAnsi="宋体" w:cs="宋体"/>
                <w:b/>
                <w:bCs/>
                <w:sz w:val="30"/>
                <w:szCs w:val="30"/>
              </w:rPr>
            </w:pPr>
          </w:p>
        </w:tc>
        <w:tc>
          <w:tcPr>
            <w:tcW w:w="6058" w:type="dxa"/>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cs="宋体"/>
                <w:b/>
                <w:bCs/>
                <w:sz w:val="30"/>
                <w:szCs w:val="30"/>
              </w:rPr>
            </w:pPr>
          </w:p>
        </w:tc>
      </w:tr>
      <w:tr>
        <w:tblPrEx>
          <w:tblLayout w:type="fixed"/>
          <w:tblCellMar>
            <w:top w:w="0" w:type="dxa"/>
            <w:left w:w="108" w:type="dxa"/>
            <w:bottom w:w="0" w:type="dxa"/>
            <w:right w:w="108" w:type="dxa"/>
          </w:tblCellMar>
        </w:tblPrEx>
        <w:tc>
          <w:tcPr>
            <w:tcW w:w="9418" w:type="dxa"/>
            <w:gridSpan w:val="2"/>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sz w:val="30"/>
                <w:szCs w:val="30"/>
              </w:rPr>
            </w:pPr>
            <w:r>
              <w:rPr>
                <w:rFonts w:hint="eastAsia" w:ascii="宋体" w:hAnsi="宋体" w:cs="宋体"/>
                <w:b/>
                <w:sz w:val="28"/>
                <w:szCs w:val="28"/>
              </w:rPr>
              <w:t>二○二二年</w:t>
            </w:r>
            <w:r>
              <w:rPr>
                <w:rFonts w:hint="eastAsia" w:ascii="宋体" w:hAnsi="宋体" w:cs="宋体"/>
                <w:b/>
                <w:sz w:val="28"/>
                <w:szCs w:val="28"/>
                <w:lang w:eastAsia="zh-CN"/>
              </w:rPr>
              <w:t>六</w:t>
            </w:r>
            <w:r>
              <w:rPr>
                <w:rFonts w:hint="eastAsia" w:ascii="宋体" w:hAnsi="宋体" w:cs="宋体"/>
                <w:b/>
                <w:sz w:val="28"/>
                <w:szCs w:val="28"/>
              </w:rPr>
              <w:t>月</w:t>
            </w:r>
          </w:p>
        </w:tc>
      </w:tr>
    </w:tbl>
    <w:p>
      <w:pPr>
        <w:rPr>
          <w:rFonts w:hint="eastAsia" w:ascii="宋体" w:hAnsi="宋体" w:cs="宋体"/>
        </w:rPr>
        <w:sectPr>
          <w:headerReference r:id="rId4" w:type="first"/>
          <w:headerReference r:id="rId3" w:type="default"/>
          <w:pgSz w:w="11906" w:h="16838"/>
          <w:pgMar w:top="1440" w:right="1800" w:bottom="1440" w:left="1800" w:header="680" w:footer="992" w:gutter="0"/>
          <w:pgNumType w:start="1"/>
          <w:cols w:space="720" w:num="1"/>
          <w:docGrid w:type="lines" w:linePitch="312" w:charSpace="0"/>
        </w:sectPr>
      </w:pPr>
    </w:p>
    <w:p>
      <w:pPr>
        <w:jc w:val="center"/>
        <w:rPr>
          <w:rFonts w:hint="eastAsia" w:ascii="宋体" w:hAnsi="宋体" w:cs="宋体"/>
          <w:b/>
          <w:bCs/>
          <w:sz w:val="24"/>
          <w:szCs w:val="24"/>
        </w:rPr>
      </w:pPr>
      <w:bookmarkStart w:id="2" w:name="_Toc20418"/>
      <w:bookmarkStart w:id="3" w:name="_Toc31108"/>
      <w:bookmarkStart w:id="4" w:name="_Toc2296"/>
      <w:bookmarkStart w:id="5" w:name="_Toc21466"/>
      <w:bookmarkStart w:id="6" w:name="_Toc9941"/>
      <w:bookmarkStart w:id="7" w:name="_Toc28025"/>
      <w:bookmarkStart w:id="8" w:name="_Toc8152"/>
      <w:bookmarkStart w:id="9" w:name="_Toc4144"/>
      <w:bookmarkStart w:id="10" w:name="_Toc24832"/>
      <w:bookmarkStart w:id="11" w:name="_Toc26311"/>
      <w:bookmarkStart w:id="12" w:name="_Toc13276"/>
      <w:bookmarkStart w:id="13" w:name="_Toc21561"/>
      <w:r>
        <w:rPr>
          <w:rFonts w:hint="eastAsia" w:ascii="宋体" w:hAnsi="宋体" w:cs="宋体"/>
          <w:b/>
          <w:bCs/>
          <w:sz w:val="28"/>
          <w:szCs w:val="28"/>
        </w:rPr>
        <w:t>目录</w:t>
      </w:r>
    </w:p>
    <w:p>
      <w:pPr>
        <w:pStyle w:val="30"/>
        <w:tabs>
          <w:tab w:val="right" w:leader="dot" w:pos="8306"/>
          <w:tab w:val="clear" w:pos="8948"/>
        </w:tabs>
        <w:rPr>
          <w:b/>
          <w:bCs w:val="0"/>
        </w:rPr>
      </w:pPr>
      <w:r>
        <w:rPr>
          <w:rFonts w:hint="eastAsia" w:cs="宋体"/>
        </w:rPr>
        <w:fldChar w:fldCharType="begin"/>
      </w:r>
      <w:r>
        <w:rPr>
          <w:rFonts w:hint="eastAsia" w:cs="宋体"/>
        </w:rPr>
        <w:instrText xml:space="preserve">TOC \o "1-2" \h \u </w:instrText>
      </w:r>
      <w:r>
        <w:rPr>
          <w:rFonts w:hint="eastAsia" w:cs="宋体"/>
        </w:rPr>
        <w:fldChar w:fldCharType="separate"/>
      </w:r>
      <w:r>
        <w:rPr>
          <w:rFonts w:hint="eastAsia" w:cs="宋体"/>
          <w:b/>
          <w:bCs w:val="0"/>
        </w:rPr>
        <w:fldChar w:fldCharType="begin"/>
      </w:r>
      <w:r>
        <w:rPr>
          <w:rFonts w:hint="eastAsia" w:cs="宋体"/>
          <w:b/>
          <w:bCs w:val="0"/>
        </w:rPr>
        <w:instrText xml:space="preserve"> HYPERLINK \l _Toc30867 </w:instrText>
      </w:r>
      <w:r>
        <w:rPr>
          <w:rFonts w:hint="eastAsia" w:cs="宋体"/>
          <w:b/>
          <w:bCs w:val="0"/>
        </w:rPr>
        <w:fldChar w:fldCharType="separate"/>
      </w:r>
      <w:r>
        <w:rPr>
          <w:rFonts w:hint="eastAsia"/>
          <w:b/>
          <w:bCs w:val="0"/>
          <w:szCs w:val="28"/>
          <w:lang w:val="en-US" w:eastAsia="zh-CN"/>
        </w:rPr>
        <w:t>第一部分  招标公告</w:t>
      </w:r>
      <w:r>
        <w:rPr>
          <w:b/>
          <w:bCs w:val="0"/>
        </w:rPr>
        <w:tab/>
      </w:r>
      <w:r>
        <w:rPr>
          <w:b/>
          <w:bCs w:val="0"/>
        </w:rPr>
        <w:fldChar w:fldCharType="begin"/>
      </w:r>
      <w:r>
        <w:rPr>
          <w:b/>
          <w:bCs w:val="0"/>
        </w:rPr>
        <w:instrText xml:space="preserve"> PAGEREF _Toc30867 </w:instrText>
      </w:r>
      <w:r>
        <w:rPr>
          <w:b/>
          <w:bCs w:val="0"/>
        </w:rPr>
        <w:fldChar w:fldCharType="separate"/>
      </w:r>
      <w:r>
        <w:rPr>
          <w:b/>
          <w:bCs w:val="0"/>
        </w:rPr>
        <w:t>- 1 -</w:t>
      </w:r>
      <w:r>
        <w:rPr>
          <w:b/>
          <w:bCs w:val="0"/>
        </w:rPr>
        <w:fldChar w:fldCharType="end"/>
      </w:r>
      <w:r>
        <w:rPr>
          <w:rFonts w:hint="eastAsia" w:cs="宋体"/>
          <w:b/>
          <w:bCs w:val="0"/>
        </w:rPr>
        <w:fldChar w:fldCharType="end"/>
      </w:r>
    </w:p>
    <w:p>
      <w:pPr>
        <w:pStyle w:val="30"/>
        <w:tabs>
          <w:tab w:val="right" w:leader="dot" w:pos="8306"/>
          <w:tab w:val="clear" w:pos="8948"/>
        </w:tabs>
      </w:pPr>
      <w:r>
        <w:rPr>
          <w:rFonts w:hint="eastAsia" w:ascii="宋体" w:hAnsi="宋体" w:cs="宋体"/>
        </w:rPr>
        <w:fldChar w:fldCharType="begin"/>
      </w:r>
      <w:r>
        <w:rPr>
          <w:rFonts w:hint="eastAsia" w:ascii="宋体" w:hAnsi="宋体" w:cs="宋体"/>
        </w:rPr>
        <w:instrText xml:space="preserve"> HYPERLINK \l _Toc14967 </w:instrText>
      </w:r>
      <w:r>
        <w:rPr>
          <w:rFonts w:hint="eastAsia" w:ascii="宋体" w:hAnsi="宋体" w:cs="宋体"/>
        </w:rPr>
        <w:fldChar w:fldCharType="separate"/>
      </w:r>
      <w:r>
        <w:rPr>
          <w:rFonts w:hint="eastAsia"/>
          <w:szCs w:val="28"/>
          <w:lang w:val="en-US" w:eastAsia="zh-CN"/>
        </w:rPr>
        <w:t>前附表</w:t>
      </w:r>
      <w:r>
        <w:tab/>
      </w:r>
      <w:r>
        <w:fldChar w:fldCharType="begin"/>
      </w:r>
      <w:r>
        <w:instrText xml:space="preserve"> PAGEREF _Toc14967 </w:instrText>
      </w:r>
      <w:r>
        <w:fldChar w:fldCharType="separate"/>
      </w:r>
      <w:r>
        <w:t>- 4 -</w:t>
      </w:r>
      <w:r>
        <w:fldChar w:fldCharType="end"/>
      </w:r>
      <w:r>
        <w:rPr>
          <w:rFonts w:hint="eastAsia" w:ascii="宋体" w:hAnsi="宋体" w:cs="宋体"/>
        </w:rPr>
        <w:fldChar w:fldCharType="end"/>
      </w:r>
    </w:p>
    <w:p>
      <w:pPr>
        <w:pStyle w:val="33"/>
        <w:tabs>
          <w:tab w:val="right" w:leader="dot" w:pos="8306"/>
          <w:tab w:val="clear" w:pos="8948"/>
        </w:tabs>
        <w:ind w:left="0" w:leftChars="0" w:firstLine="0" w:firstLineChars="0"/>
        <w:rPr>
          <w:b/>
          <w:bCs/>
        </w:rPr>
      </w:pPr>
      <w:r>
        <w:rPr>
          <w:rFonts w:hint="eastAsia" w:ascii="宋体" w:hAnsi="宋体" w:cs="宋体"/>
          <w:b/>
          <w:bCs/>
        </w:rPr>
        <w:fldChar w:fldCharType="begin"/>
      </w:r>
      <w:r>
        <w:rPr>
          <w:rFonts w:hint="eastAsia" w:ascii="宋体" w:hAnsi="宋体" w:cs="宋体"/>
          <w:b/>
          <w:bCs/>
        </w:rPr>
        <w:instrText xml:space="preserve"> HYPERLINK \l _Toc367 </w:instrText>
      </w:r>
      <w:r>
        <w:rPr>
          <w:rFonts w:hint="eastAsia" w:ascii="宋体" w:hAnsi="宋体" w:cs="宋体"/>
          <w:b/>
          <w:bCs/>
        </w:rPr>
        <w:fldChar w:fldCharType="separate"/>
      </w:r>
      <w:r>
        <w:rPr>
          <w:rFonts w:hint="eastAsia" w:hAnsi="宋体" w:cs="宋体"/>
          <w:b/>
          <w:bCs/>
          <w:szCs w:val="28"/>
        </w:rPr>
        <w:t>第二部分  投标人须知</w:t>
      </w:r>
      <w:r>
        <w:rPr>
          <w:b/>
          <w:bCs/>
        </w:rPr>
        <w:tab/>
      </w:r>
      <w:r>
        <w:rPr>
          <w:b/>
          <w:bCs/>
        </w:rPr>
        <w:fldChar w:fldCharType="begin"/>
      </w:r>
      <w:r>
        <w:rPr>
          <w:b/>
          <w:bCs/>
        </w:rPr>
        <w:instrText xml:space="preserve"> PAGEREF _Toc367 </w:instrText>
      </w:r>
      <w:r>
        <w:rPr>
          <w:b/>
          <w:bCs/>
        </w:rPr>
        <w:fldChar w:fldCharType="separate"/>
      </w:r>
      <w:r>
        <w:rPr>
          <w:b/>
          <w:bCs/>
        </w:rPr>
        <w:t>- 6 -</w:t>
      </w:r>
      <w:r>
        <w:rPr>
          <w:b/>
          <w:bCs/>
        </w:rPr>
        <w:fldChar w:fldCharType="end"/>
      </w:r>
      <w:r>
        <w:rPr>
          <w:rFonts w:hint="eastAsia" w:ascii="宋体" w:hAnsi="宋体" w:cs="宋体"/>
          <w:b/>
          <w:bCs/>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_Toc30538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一、 总   则</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_Toc30538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_Toc9057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二、招标文件的构成、澄清、修改</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_Toc9057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- 9 -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_Toc27732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三、投标</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_Toc27732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- 9 -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_Toc1859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四、开标</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_Toc1859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- 13 -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_Toc31956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五、评标</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_Toc31956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- 13 -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_Toc4599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六、定标</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_Toc4599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- 14 -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_Toc22072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七、 授予合同</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_Toc22072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- 15 -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_Toc3817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八、 履约验收</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_Toc3817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- 15 -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_Toc25387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九、 询问、质疑与投诉</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_Toc25387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- 17 -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_Toc32600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十、 项目异常情况及处理措施</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_Toc32600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- 18 -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0"/>
        <w:tabs>
          <w:tab w:val="right" w:leader="dot" w:pos="8306"/>
          <w:tab w:val="clear" w:pos="8948"/>
        </w:tabs>
        <w:rPr>
          <w:b/>
          <w:bCs w:val="0"/>
        </w:rPr>
      </w:pPr>
      <w:r>
        <w:rPr>
          <w:rFonts w:hint="eastAsia" w:ascii="宋体" w:hAnsi="宋体" w:cs="宋体"/>
          <w:b/>
          <w:bCs w:val="0"/>
        </w:rPr>
        <w:fldChar w:fldCharType="begin"/>
      </w:r>
      <w:r>
        <w:rPr>
          <w:rFonts w:hint="eastAsia" w:ascii="宋体" w:hAnsi="宋体" w:cs="宋体"/>
          <w:b/>
          <w:bCs w:val="0"/>
        </w:rPr>
        <w:instrText xml:space="preserve"> HYPERLINK \l _Toc25639 </w:instrText>
      </w:r>
      <w:r>
        <w:rPr>
          <w:rFonts w:hint="eastAsia" w:ascii="宋体" w:hAnsi="宋体" w:cs="宋体"/>
          <w:b/>
          <w:bCs w:val="0"/>
        </w:rPr>
        <w:fldChar w:fldCharType="separate"/>
      </w:r>
      <w:r>
        <w:rPr>
          <w:rFonts w:hint="eastAsia" w:hAnsi="宋体" w:cs="宋体"/>
          <w:b/>
          <w:bCs w:val="0"/>
          <w:szCs w:val="28"/>
        </w:rPr>
        <w:t>第三部分  招标内容及要求</w:t>
      </w:r>
      <w:r>
        <w:rPr>
          <w:b/>
          <w:bCs w:val="0"/>
        </w:rPr>
        <w:tab/>
      </w:r>
      <w:r>
        <w:rPr>
          <w:b/>
          <w:bCs w:val="0"/>
        </w:rPr>
        <w:fldChar w:fldCharType="begin"/>
      </w:r>
      <w:r>
        <w:rPr>
          <w:b/>
          <w:bCs w:val="0"/>
        </w:rPr>
        <w:instrText xml:space="preserve"> PAGEREF _Toc25639 </w:instrText>
      </w:r>
      <w:r>
        <w:rPr>
          <w:b/>
          <w:bCs w:val="0"/>
        </w:rPr>
        <w:fldChar w:fldCharType="separate"/>
      </w:r>
      <w:r>
        <w:rPr>
          <w:b/>
          <w:bCs w:val="0"/>
        </w:rPr>
        <w:t>- 19 -</w:t>
      </w:r>
      <w:r>
        <w:rPr>
          <w:b/>
          <w:bCs w:val="0"/>
        </w:rPr>
        <w:fldChar w:fldCharType="end"/>
      </w:r>
      <w:r>
        <w:rPr>
          <w:rFonts w:hint="eastAsia" w:ascii="宋体" w:hAnsi="宋体" w:cs="宋体"/>
          <w:b/>
          <w:bCs w:val="0"/>
        </w:rPr>
        <w:fldChar w:fldCharType="end"/>
      </w:r>
    </w:p>
    <w:p>
      <w:pPr>
        <w:pStyle w:val="30"/>
        <w:tabs>
          <w:tab w:val="right" w:leader="dot" w:pos="8306"/>
          <w:tab w:val="clear" w:pos="8948"/>
        </w:tabs>
        <w:rPr>
          <w:b/>
          <w:bCs w:val="0"/>
        </w:rPr>
      </w:pPr>
      <w:r>
        <w:rPr>
          <w:rFonts w:hint="eastAsia" w:ascii="宋体" w:hAnsi="宋体" w:cs="宋体"/>
          <w:b/>
          <w:bCs w:val="0"/>
        </w:rPr>
        <w:fldChar w:fldCharType="begin"/>
      </w:r>
      <w:r>
        <w:rPr>
          <w:rFonts w:hint="eastAsia" w:ascii="宋体" w:hAnsi="宋体" w:cs="宋体"/>
          <w:b/>
          <w:bCs w:val="0"/>
        </w:rPr>
        <w:instrText xml:space="preserve"> HYPERLINK \l _Toc15654 </w:instrText>
      </w:r>
      <w:r>
        <w:rPr>
          <w:rFonts w:hint="eastAsia" w:ascii="宋体" w:hAnsi="宋体" w:cs="宋体"/>
          <w:b/>
          <w:bCs w:val="0"/>
        </w:rPr>
        <w:fldChar w:fldCharType="separate"/>
      </w:r>
      <w:r>
        <w:rPr>
          <w:rFonts w:hint="eastAsia" w:ascii="宋体" w:hAnsi="宋体" w:cs="宋体"/>
          <w:b/>
          <w:bCs w:val="0"/>
          <w:szCs w:val="36"/>
        </w:rPr>
        <w:t>第四部分 评标办法</w:t>
      </w:r>
      <w:r>
        <w:rPr>
          <w:b/>
          <w:bCs w:val="0"/>
        </w:rPr>
        <w:tab/>
      </w:r>
      <w:r>
        <w:rPr>
          <w:b/>
          <w:bCs w:val="0"/>
        </w:rPr>
        <w:fldChar w:fldCharType="begin"/>
      </w:r>
      <w:r>
        <w:rPr>
          <w:b/>
          <w:bCs w:val="0"/>
        </w:rPr>
        <w:instrText xml:space="preserve"> PAGEREF _Toc15654 </w:instrText>
      </w:r>
      <w:r>
        <w:rPr>
          <w:b/>
          <w:bCs w:val="0"/>
        </w:rPr>
        <w:fldChar w:fldCharType="separate"/>
      </w:r>
      <w:r>
        <w:rPr>
          <w:b/>
          <w:bCs w:val="0"/>
        </w:rPr>
        <w:t>- 37 -</w:t>
      </w:r>
      <w:r>
        <w:rPr>
          <w:b/>
          <w:bCs w:val="0"/>
        </w:rPr>
        <w:fldChar w:fldCharType="end"/>
      </w:r>
      <w:r>
        <w:rPr>
          <w:rFonts w:hint="eastAsia" w:ascii="宋体" w:hAnsi="宋体" w:cs="宋体"/>
          <w:b/>
          <w:bCs w:val="0"/>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_Toc16786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一、 评标方法</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_Toc16786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- 37 -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_Toc21769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二、 评标程序</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_Toc21769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- 37 -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_Toc2978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三、 商务技术、价格评审标准</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_Toc2978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- 39 -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0"/>
        <w:tabs>
          <w:tab w:val="right" w:leader="dot" w:pos="8306"/>
          <w:tab w:val="clear" w:pos="8948"/>
        </w:tabs>
        <w:rPr>
          <w:b/>
          <w:bCs w:val="0"/>
        </w:rPr>
      </w:pPr>
      <w:r>
        <w:rPr>
          <w:rFonts w:hint="eastAsia" w:ascii="宋体" w:hAnsi="宋体" w:cs="宋体"/>
          <w:b/>
          <w:bCs w:val="0"/>
        </w:rPr>
        <w:fldChar w:fldCharType="begin"/>
      </w:r>
      <w:r>
        <w:rPr>
          <w:rFonts w:hint="eastAsia" w:ascii="宋体" w:hAnsi="宋体" w:cs="宋体"/>
          <w:b/>
          <w:bCs w:val="0"/>
        </w:rPr>
        <w:instrText xml:space="preserve"> HYPERLINK \l _Toc31121 </w:instrText>
      </w:r>
      <w:r>
        <w:rPr>
          <w:rFonts w:hint="eastAsia" w:ascii="宋体" w:hAnsi="宋体" w:cs="宋体"/>
          <w:b/>
          <w:bCs w:val="0"/>
        </w:rPr>
        <w:fldChar w:fldCharType="separate"/>
      </w:r>
      <w:r>
        <w:rPr>
          <w:rFonts w:hint="eastAsia" w:hAnsi="宋体" w:cs="宋体"/>
          <w:b/>
          <w:bCs w:val="0"/>
          <w:szCs w:val="36"/>
        </w:rPr>
        <w:t>第五部分</w:t>
      </w:r>
      <w:r>
        <w:rPr>
          <w:rFonts w:hint="eastAsia" w:hAnsi="宋体" w:cs="宋体"/>
          <w:b/>
          <w:bCs w:val="0"/>
        </w:rPr>
        <w:t xml:space="preserve"> </w:t>
      </w:r>
      <w:r>
        <w:rPr>
          <w:rFonts w:hint="eastAsia" w:hAnsi="宋体" w:cs="宋体"/>
          <w:b/>
          <w:bCs w:val="0"/>
          <w:szCs w:val="36"/>
        </w:rPr>
        <w:t>合同</w:t>
      </w:r>
      <w:r>
        <w:rPr>
          <w:rFonts w:hint="eastAsia" w:hAnsi="宋体" w:cs="宋体"/>
          <w:b/>
          <w:bCs w:val="0"/>
          <w:szCs w:val="36"/>
          <w:lang w:val="en-US" w:eastAsia="zh-CN"/>
        </w:rPr>
        <w:t>条款</w:t>
      </w:r>
      <w:r>
        <w:rPr>
          <w:b/>
          <w:bCs w:val="0"/>
        </w:rPr>
        <w:tab/>
      </w:r>
      <w:r>
        <w:rPr>
          <w:b/>
          <w:bCs w:val="0"/>
        </w:rPr>
        <w:fldChar w:fldCharType="begin"/>
      </w:r>
      <w:r>
        <w:rPr>
          <w:b/>
          <w:bCs w:val="0"/>
        </w:rPr>
        <w:instrText xml:space="preserve"> PAGEREF _Toc31121 </w:instrText>
      </w:r>
      <w:r>
        <w:rPr>
          <w:b/>
          <w:bCs w:val="0"/>
        </w:rPr>
        <w:fldChar w:fldCharType="separate"/>
      </w:r>
      <w:r>
        <w:rPr>
          <w:b/>
          <w:bCs w:val="0"/>
        </w:rPr>
        <w:t>- 46 -</w:t>
      </w:r>
      <w:r>
        <w:rPr>
          <w:b/>
          <w:bCs w:val="0"/>
        </w:rPr>
        <w:fldChar w:fldCharType="end"/>
      </w:r>
      <w:r>
        <w:rPr>
          <w:rFonts w:hint="eastAsia" w:ascii="宋体" w:hAnsi="宋体" w:cs="宋体"/>
          <w:b/>
          <w:bCs w:val="0"/>
        </w:rPr>
        <w:fldChar w:fldCharType="end"/>
      </w:r>
    </w:p>
    <w:p>
      <w:pPr>
        <w:pStyle w:val="30"/>
        <w:tabs>
          <w:tab w:val="right" w:leader="dot" w:pos="8306"/>
          <w:tab w:val="clear" w:pos="8948"/>
        </w:tabs>
        <w:rPr>
          <w:b/>
          <w:bCs w:val="0"/>
        </w:rPr>
      </w:pPr>
      <w:r>
        <w:rPr>
          <w:rFonts w:hint="eastAsia" w:ascii="宋体" w:hAnsi="宋体" w:cs="宋体"/>
          <w:b/>
          <w:bCs w:val="0"/>
        </w:rPr>
        <w:fldChar w:fldCharType="begin"/>
      </w:r>
      <w:r>
        <w:rPr>
          <w:rFonts w:hint="eastAsia" w:ascii="宋体" w:hAnsi="宋体" w:cs="宋体"/>
          <w:b/>
          <w:bCs w:val="0"/>
        </w:rPr>
        <w:instrText xml:space="preserve"> HYPERLINK \l _Toc31049 </w:instrText>
      </w:r>
      <w:r>
        <w:rPr>
          <w:rFonts w:hint="eastAsia" w:ascii="宋体" w:hAnsi="宋体" w:cs="宋体"/>
          <w:b/>
          <w:bCs w:val="0"/>
        </w:rPr>
        <w:fldChar w:fldCharType="separate"/>
      </w:r>
      <w:r>
        <w:rPr>
          <w:rFonts w:hint="eastAsia" w:ascii="Times New Roman" w:cs="宋体"/>
          <w:b/>
          <w:bCs w:val="0"/>
          <w:szCs w:val="36"/>
        </w:rPr>
        <w:t>第六部分 投标文件格式</w:t>
      </w:r>
      <w:r>
        <w:rPr>
          <w:b/>
          <w:bCs w:val="0"/>
        </w:rPr>
        <w:tab/>
      </w:r>
      <w:r>
        <w:rPr>
          <w:b/>
          <w:bCs w:val="0"/>
        </w:rPr>
        <w:fldChar w:fldCharType="begin"/>
      </w:r>
      <w:r>
        <w:rPr>
          <w:b/>
          <w:bCs w:val="0"/>
        </w:rPr>
        <w:instrText xml:space="preserve"> PAGEREF _Toc31049 </w:instrText>
      </w:r>
      <w:r>
        <w:rPr>
          <w:b/>
          <w:bCs w:val="0"/>
        </w:rPr>
        <w:fldChar w:fldCharType="separate"/>
      </w:r>
      <w:r>
        <w:rPr>
          <w:b/>
          <w:bCs w:val="0"/>
        </w:rPr>
        <w:t>- 56 -</w:t>
      </w:r>
      <w:r>
        <w:rPr>
          <w:b/>
          <w:bCs w:val="0"/>
        </w:rPr>
        <w:fldChar w:fldCharType="end"/>
      </w:r>
      <w:r>
        <w:rPr>
          <w:rFonts w:hint="eastAsia" w:ascii="宋体" w:hAnsi="宋体" w:cs="宋体"/>
          <w:b/>
          <w:bCs w:val="0"/>
        </w:rPr>
        <w:fldChar w:fldCharType="end"/>
      </w:r>
    </w:p>
    <w:p>
      <w:pPr>
        <w:pStyle w:val="33"/>
        <w:tabs>
          <w:tab w:val="right" w:leader="dot" w:pos="8306"/>
          <w:tab w:val="clear" w:pos="8948"/>
        </w:tabs>
      </w:pPr>
      <w:r>
        <w:rPr>
          <w:rFonts w:hint="eastAsia" w:ascii="宋体" w:hAnsi="宋体" w:cs="宋体"/>
        </w:rPr>
        <w:fldChar w:fldCharType="begin"/>
      </w:r>
      <w:r>
        <w:rPr>
          <w:rFonts w:hint="eastAsia" w:ascii="宋体" w:hAnsi="宋体" w:cs="宋体"/>
        </w:rPr>
        <w:instrText xml:space="preserve"> HYPERLINK \l _Toc25531 </w:instrText>
      </w:r>
      <w:r>
        <w:rPr>
          <w:rFonts w:hint="eastAsia" w:ascii="宋体" w:hAnsi="宋体" w:cs="宋体"/>
        </w:rPr>
        <w:fldChar w:fldCharType="separate"/>
      </w:r>
      <w:r>
        <w:rPr>
          <w:rFonts w:hint="eastAsia" w:ascii="Times New Roman" w:hAnsi="Times New Roman" w:cs="宋体"/>
          <w:szCs w:val="28"/>
        </w:rPr>
        <w:t>附件一  关于符合《中华人民共和国政府采购法》第二十二条规定条件的承诺函</w:t>
      </w:r>
      <w:r>
        <w:tab/>
      </w: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PAGEREF _Toc25531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- 57 -</w:t>
      </w:r>
      <w:r>
        <w:rPr>
          <w:rFonts w:hint="eastAsia" w:ascii="宋体" w:hAnsi="宋体" w:eastAsia="宋体" w:cs="Times New Roman"/>
          <w:bCs/>
          <w:caps/>
          <w:smallCaps w:val="0"/>
          <w:sz w:val="21"/>
          <w:szCs w:val="21"/>
          <w:lang w:val="en-US" w:eastAsia="zh-CN" w:bidi="ar-SA"/>
        </w:rPr>
        <w:fldChar w:fldCharType="end"/>
      </w:r>
      <w:r>
        <w:rPr>
          <w:rFonts w:hint="eastAsia" w:ascii="宋体" w:hAnsi="宋体" w:cs="宋体"/>
        </w:rPr>
        <w:fldChar w:fldCharType="end"/>
      </w:r>
    </w:p>
    <w:p>
      <w:pPr>
        <w:pStyle w:val="30"/>
        <w:tabs>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_Toc18374 </w:instrText>
      </w:r>
      <w:r>
        <w:rPr>
          <w:rFonts w:hint="eastAsia" w:ascii="宋体" w:hAnsi="宋体" w:cs="宋体"/>
        </w:rPr>
        <w:fldChar w:fldCharType="separate"/>
      </w:r>
      <w:r>
        <w:rPr>
          <w:rFonts w:hint="eastAsia" w:ascii="Times New Roman" w:cs="宋体"/>
          <w:bCs/>
          <w:kern w:val="0"/>
          <w:szCs w:val="24"/>
        </w:rPr>
        <w:t>附件</w:t>
      </w:r>
      <w:r>
        <w:rPr>
          <w:rFonts w:hint="eastAsia" w:ascii="Times New Roman" w:cs="宋体"/>
          <w:bCs/>
          <w:kern w:val="0"/>
          <w:szCs w:val="24"/>
          <w:lang w:val="en-US" w:eastAsia="zh-CN"/>
        </w:rPr>
        <w:t>二</w:t>
      </w:r>
      <w:r>
        <w:rPr>
          <w:rFonts w:hint="eastAsia" w:ascii="Times New Roman" w:cs="宋体"/>
          <w:bCs/>
          <w:kern w:val="0"/>
          <w:szCs w:val="24"/>
        </w:rPr>
        <w:t xml:space="preserve">  中小企业声明函（服务）</w:t>
      </w:r>
      <w:r>
        <w:tab/>
      </w:r>
      <w:r>
        <w:fldChar w:fldCharType="begin"/>
      </w:r>
      <w:r>
        <w:instrText xml:space="preserve"> PAGEREF _Toc18374 </w:instrText>
      </w:r>
      <w:r>
        <w:fldChar w:fldCharType="separate"/>
      </w:r>
      <w:r>
        <w:t>- 58 -</w:t>
      </w:r>
      <w:r>
        <w:fldChar w:fldCharType="end"/>
      </w:r>
      <w:r>
        <w:rPr>
          <w:rFonts w:hint="eastAsia" w:ascii="宋体" w:hAnsi="宋体" w:cs="宋体"/>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_Toc20720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附件三  残疾人福利性单位声明函</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_Toc20720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- 60 -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_Toc30525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附件四  法定代表人身份证明</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_Toc30525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- 61 -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_Toc23016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附件五 法定代表人授权书</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_Toc23016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- 62 -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_Toc8291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附件六  投 标 函</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_Toc8291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- 63 -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_Toc29684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附件七  商务与技术偏离表</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_Toc29684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- 64 -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0"/>
        <w:tabs>
          <w:tab w:val="right" w:pos="3200"/>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_Toc27881 </w:instrText>
      </w:r>
      <w:r>
        <w:rPr>
          <w:rFonts w:hint="eastAsia" w:ascii="宋体" w:hAnsi="宋体" w:cs="宋体"/>
        </w:rPr>
        <w:fldChar w:fldCharType="separate"/>
      </w:r>
      <w:r>
        <w:rPr>
          <w:rFonts w:hint="eastAsia" w:cs="宋体"/>
          <w:bCs/>
          <w:szCs w:val="32"/>
        </w:rPr>
        <w:t>附件八</w:t>
      </w:r>
      <w:r>
        <w:rPr>
          <w:rFonts w:hint="eastAsia" w:cs="宋体"/>
          <w:bCs/>
          <w:szCs w:val="32"/>
        </w:rPr>
        <w:tab/>
      </w:r>
      <w:r>
        <w:rPr>
          <w:rFonts w:hint="eastAsia" w:cs="宋体"/>
          <w:bCs/>
          <w:szCs w:val="32"/>
        </w:rPr>
        <w:t xml:space="preserve">  项目负责人资格情况表</w:t>
      </w:r>
      <w:r>
        <w:tab/>
      </w:r>
      <w:r>
        <w:fldChar w:fldCharType="begin"/>
      </w:r>
      <w:r>
        <w:instrText xml:space="preserve"> PAGEREF _Toc27881 </w:instrText>
      </w:r>
      <w:r>
        <w:fldChar w:fldCharType="separate"/>
      </w:r>
      <w:r>
        <w:t>- 65 -</w:t>
      </w:r>
      <w:r>
        <w:fldChar w:fldCharType="end"/>
      </w:r>
      <w:r>
        <w:rPr>
          <w:rFonts w:hint="eastAsia" w:ascii="宋体" w:hAnsi="宋体" w:cs="宋体"/>
        </w:rPr>
        <w:fldChar w:fldCharType="end"/>
      </w:r>
    </w:p>
    <w:p>
      <w:pPr>
        <w:pStyle w:val="30"/>
        <w:tabs>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_Toc11518 </w:instrText>
      </w:r>
      <w:r>
        <w:rPr>
          <w:rFonts w:hint="eastAsia" w:ascii="宋体" w:hAnsi="宋体" w:cs="宋体"/>
        </w:rPr>
        <w:fldChar w:fldCharType="separate"/>
      </w:r>
      <w:r>
        <w:rPr>
          <w:rFonts w:hint="eastAsia" w:cs="宋体"/>
          <w:bCs/>
          <w:kern w:val="44"/>
          <w:szCs w:val="36"/>
        </w:rPr>
        <w:t>附件</w:t>
      </w:r>
      <w:r>
        <w:rPr>
          <w:rFonts w:hint="eastAsia" w:cs="宋体"/>
          <w:bCs/>
          <w:kern w:val="44"/>
          <w:szCs w:val="36"/>
          <w:lang w:eastAsia="zh-CN"/>
        </w:rPr>
        <w:t>九</w:t>
      </w:r>
      <w:r>
        <w:rPr>
          <w:rFonts w:hint="eastAsia" w:cs="宋体"/>
          <w:bCs/>
          <w:kern w:val="44"/>
          <w:szCs w:val="36"/>
        </w:rPr>
        <w:t xml:space="preserve">  拟投入设备及工具一览表</w:t>
      </w:r>
      <w:r>
        <w:tab/>
      </w:r>
      <w:r>
        <w:fldChar w:fldCharType="begin"/>
      </w:r>
      <w:r>
        <w:instrText xml:space="preserve"> PAGEREF _Toc11518 </w:instrText>
      </w:r>
      <w:r>
        <w:fldChar w:fldCharType="separate"/>
      </w:r>
      <w:r>
        <w:t>- 66 -</w:t>
      </w:r>
      <w:r>
        <w:fldChar w:fldCharType="end"/>
      </w:r>
      <w:r>
        <w:rPr>
          <w:rFonts w:hint="eastAsia" w:ascii="宋体" w:hAnsi="宋体" w:cs="宋体"/>
        </w:rPr>
        <w:fldChar w:fldCharType="end"/>
      </w:r>
    </w:p>
    <w:p>
      <w:pPr>
        <w:pStyle w:val="30"/>
        <w:tabs>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_Toc6671 </w:instrText>
      </w:r>
      <w:r>
        <w:rPr>
          <w:rFonts w:hint="eastAsia" w:ascii="宋体" w:hAnsi="宋体" w:cs="宋体"/>
        </w:rPr>
        <w:fldChar w:fldCharType="separate"/>
      </w:r>
      <w:r>
        <w:rPr>
          <w:rFonts w:hint="eastAsia" w:cs="宋体"/>
          <w:bCs/>
          <w:kern w:val="44"/>
          <w:szCs w:val="36"/>
        </w:rPr>
        <w:t>附件十    耗材选用配备一览表</w:t>
      </w:r>
      <w:r>
        <w:tab/>
      </w:r>
      <w:r>
        <w:fldChar w:fldCharType="begin"/>
      </w:r>
      <w:r>
        <w:instrText xml:space="preserve"> PAGEREF _Toc6671 </w:instrText>
      </w:r>
      <w:r>
        <w:fldChar w:fldCharType="separate"/>
      </w:r>
      <w:r>
        <w:t>- 67 -</w:t>
      </w:r>
      <w:r>
        <w:fldChar w:fldCharType="end"/>
      </w:r>
      <w:r>
        <w:rPr>
          <w:rFonts w:hint="eastAsia" w:ascii="宋体" w:hAnsi="宋体" w:cs="宋体"/>
        </w:rPr>
        <w:fldChar w:fldCharType="end"/>
      </w:r>
    </w:p>
    <w:p>
      <w:pPr>
        <w:pStyle w:val="30"/>
        <w:tabs>
          <w:tab w:val="right" w:pos="3200"/>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_Toc95 </w:instrText>
      </w:r>
      <w:r>
        <w:rPr>
          <w:rFonts w:hint="eastAsia" w:ascii="宋体" w:hAnsi="宋体" w:cs="宋体"/>
        </w:rPr>
        <w:fldChar w:fldCharType="separate"/>
      </w:r>
      <w:r>
        <w:rPr>
          <w:rFonts w:hint="eastAsia" w:ascii="Times New Roman" w:hAnsi="Times New Roman" w:cs="宋体"/>
        </w:rPr>
        <w:t>附件</w:t>
      </w:r>
      <w:r>
        <w:rPr>
          <w:rFonts w:hint="eastAsia" w:ascii="Times New Roman" w:hAnsi="Times New Roman" w:cs="宋体"/>
          <w:lang w:val="en-US" w:eastAsia="zh-CN"/>
        </w:rPr>
        <w:t xml:space="preserve">十一  </w:t>
      </w:r>
      <w:r>
        <w:rPr>
          <w:rFonts w:hint="eastAsia" w:ascii="Times New Roman" w:hAnsi="Times New Roman" w:cs="宋体"/>
        </w:rPr>
        <w:t>开标一览表</w:t>
      </w:r>
      <w:r>
        <w:tab/>
      </w:r>
      <w:r>
        <w:tab/>
      </w:r>
      <w:r>
        <w:fldChar w:fldCharType="begin"/>
      </w:r>
      <w:r>
        <w:instrText xml:space="preserve"> PAGEREF _Toc95 </w:instrText>
      </w:r>
      <w:r>
        <w:fldChar w:fldCharType="separate"/>
      </w:r>
      <w:r>
        <w:t>- 68 -</w:t>
      </w:r>
      <w:r>
        <w:fldChar w:fldCharType="end"/>
      </w:r>
      <w:r>
        <w:rPr>
          <w:rFonts w:hint="eastAsia" w:ascii="宋体" w:hAnsi="宋体" w:cs="宋体"/>
        </w:rPr>
        <w:fldChar w:fldCharType="end"/>
      </w:r>
    </w:p>
    <w:p>
      <w:pPr>
        <w:pStyle w:val="30"/>
        <w:tabs>
          <w:tab w:val="right" w:leader="dot" w:pos="8306"/>
          <w:tab w:val="clear" w:pos="8948"/>
        </w:tabs>
        <w:ind w:firstLine="210" w:firstLineChars="100"/>
      </w:pPr>
      <w:r>
        <w:rPr>
          <w:rFonts w:hint="eastAsia" w:ascii="宋体" w:hAnsi="宋体" w:cs="宋体"/>
        </w:rPr>
        <w:fldChar w:fldCharType="begin"/>
      </w:r>
      <w:r>
        <w:rPr>
          <w:rFonts w:hint="eastAsia" w:ascii="宋体" w:hAnsi="宋体" w:cs="宋体"/>
        </w:rPr>
        <w:instrText xml:space="preserve"> HYPERLINK \l _Toc25746 </w:instrText>
      </w:r>
      <w:r>
        <w:rPr>
          <w:rFonts w:hint="eastAsia" w:ascii="宋体" w:hAnsi="宋体" w:cs="宋体"/>
        </w:rPr>
        <w:fldChar w:fldCharType="separate"/>
      </w:r>
      <w:r>
        <w:rPr>
          <w:rFonts w:hint="eastAsia" w:ascii="Times New Roman" w:cs="宋体"/>
          <w:szCs w:val="36"/>
        </w:rPr>
        <w:t>附件十</w:t>
      </w:r>
      <w:r>
        <w:rPr>
          <w:rFonts w:hint="eastAsia" w:ascii="Times New Roman" w:cs="宋体"/>
          <w:szCs w:val="36"/>
          <w:lang w:eastAsia="zh-CN"/>
        </w:rPr>
        <w:t>二</w:t>
      </w:r>
      <w:r>
        <w:rPr>
          <w:rFonts w:hint="eastAsia" w:ascii="Times New Roman" w:cs="宋体"/>
          <w:szCs w:val="36"/>
        </w:rPr>
        <w:t xml:space="preserve">  报价明细表</w:t>
      </w:r>
      <w:r>
        <w:tab/>
      </w:r>
      <w:r>
        <w:fldChar w:fldCharType="begin"/>
      </w:r>
      <w:r>
        <w:instrText xml:space="preserve"> PAGEREF _Toc25746 </w:instrText>
      </w:r>
      <w:r>
        <w:fldChar w:fldCharType="separate"/>
      </w:r>
      <w:r>
        <w:t>- 69 -</w:t>
      </w:r>
      <w:r>
        <w:fldChar w:fldCharType="end"/>
      </w:r>
      <w:r>
        <w:rPr>
          <w:rFonts w:hint="eastAsia" w:ascii="宋体" w:hAnsi="宋体" w:cs="宋体"/>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_Toc21375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附件十三  政府采购活动现场确认声明书</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_Toc21375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- 70 -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rPr>
          <w:rFonts w:ascii="宋体" w:hAnsi="宋体" w:eastAsia="宋体" w:cs="Times New Roman"/>
          <w:bCs/>
          <w:caps/>
          <w:smallCaps w:val="0"/>
          <w:sz w:val="21"/>
          <w:szCs w:val="21"/>
          <w:lang w:val="en-US" w:eastAsia="zh-CN" w:bidi="ar-SA"/>
        </w:rPr>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_Toc20826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附件十四  启用备份投标文件申请书</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_Toc20826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- 71 -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306"/>
          <w:tab w:val="clear" w:pos="8948"/>
        </w:tabs>
      </w:pPr>
      <w:r>
        <w:rPr>
          <w:rFonts w:hint="eastAsia" w:ascii="宋体" w:hAnsi="宋体" w:eastAsia="宋体" w:cs="Times New Roman"/>
          <w:bCs/>
          <w:caps/>
          <w:smallCaps w:val="0"/>
          <w:sz w:val="21"/>
          <w:szCs w:val="21"/>
          <w:lang w:val="en-US" w:eastAsia="zh-CN" w:bidi="ar-SA"/>
        </w:rPr>
        <w:fldChar w:fldCharType="begin"/>
      </w:r>
      <w:r>
        <w:rPr>
          <w:rFonts w:hint="eastAsia" w:ascii="宋体" w:hAnsi="宋体" w:eastAsia="宋体" w:cs="Times New Roman"/>
          <w:bCs/>
          <w:caps/>
          <w:smallCaps w:val="0"/>
          <w:sz w:val="21"/>
          <w:szCs w:val="21"/>
          <w:lang w:val="en-US" w:eastAsia="zh-CN" w:bidi="ar-SA"/>
        </w:rPr>
        <w:instrText xml:space="preserve"> HYPERLINK \l _Toc24666 </w:instrText>
      </w:r>
      <w:r>
        <w:rPr>
          <w:rFonts w:hint="eastAsia" w:ascii="宋体" w:hAnsi="宋体" w:eastAsia="宋体" w:cs="Times New Roman"/>
          <w:bCs/>
          <w:caps/>
          <w:smallCaps w:val="0"/>
          <w:sz w:val="21"/>
          <w:szCs w:val="21"/>
          <w:lang w:val="en-US" w:eastAsia="zh-CN" w:bidi="ar-SA"/>
        </w:rPr>
        <w:fldChar w:fldCharType="separate"/>
      </w:r>
      <w:r>
        <w:rPr>
          <w:rFonts w:hint="eastAsia" w:ascii="宋体" w:hAnsi="宋体" w:eastAsia="宋体" w:cs="Times New Roman"/>
          <w:bCs/>
          <w:caps/>
          <w:smallCaps w:val="0"/>
          <w:sz w:val="21"/>
          <w:szCs w:val="21"/>
          <w:lang w:val="en-US" w:eastAsia="zh-CN" w:bidi="ar-SA"/>
        </w:rPr>
        <w:t>附件十五  政府采购履约验收书</w:t>
      </w:r>
      <w:r>
        <w:rPr>
          <w:rFonts w:ascii="宋体" w:hAnsi="宋体" w:eastAsia="宋体" w:cs="Times New Roman"/>
          <w:bCs/>
          <w:caps/>
          <w:smallCaps w:val="0"/>
          <w:sz w:val="21"/>
          <w:szCs w:val="21"/>
          <w:lang w:val="en-US" w:eastAsia="zh-CN" w:bidi="ar-SA"/>
        </w:rPr>
        <w:tab/>
      </w:r>
      <w:r>
        <w:rPr>
          <w:rFonts w:ascii="宋体" w:hAnsi="宋体" w:eastAsia="宋体" w:cs="Times New Roman"/>
          <w:bCs/>
          <w:caps/>
          <w:smallCaps w:val="0"/>
          <w:sz w:val="21"/>
          <w:szCs w:val="21"/>
          <w:lang w:val="en-US" w:eastAsia="zh-CN" w:bidi="ar-SA"/>
        </w:rPr>
        <w:fldChar w:fldCharType="begin"/>
      </w:r>
      <w:r>
        <w:rPr>
          <w:rFonts w:ascii="宋体" w:hAnsi="宋体" w:eastAsia="宋体" w:cs="Times New Roman"/>
          <w:bCs/>
          <w:caps/>
          <w:smallCaps w:val="0"/>
          <w:sz w:val="21"/>
          <w:szCs w:val="21"/>
          <w:lang w:val="en-US" w:eastAsia="zh-CN" w:bidi="ar-SA"/>
        </w:rPr>
        <w:instrText xml:space="preserve"> PAGEREF _Toc24666 </w:instrText>
      </w:r>
      <w:r>
        <w:rPr>
          <w:rFonts w:ascii="宋体" w:hAnsi="宋体" w:eastAsia="宋体" w:cs="Times New Roman"/>
          <w:bCs/>
          <w:caps/>
          <w:smallCaps w:val="0"/>
          <w:sz w:val="21"/>
          <w:szCs w:val="21"/>
          <w:lang w:val="en-US" w:eastAsia="zh-CN" w:bidi="ar-SA"/>
        </w:rPr>
        <w:fldChar w:fldCharType="separate"/>
      </w:r>
      <w:r>
        <w:rPr>
          <w:rFonts w:ascii="宋体" w:hAnsi="宋体" w:eastAsia="宋体" w:cs="Times New Roman"/>
          <w:bCs/>
          <w:caps/>
          <w:smallCaps w:val="0"/>
          <w:sz w:val="21"/>
          <w:szCs w:val="21"/>
          <w:lang w:val="en-US" w:eastAsia="zh-CN" w:bidi="ar-SA"/>
        </w:rPr>
        <w:t>- 72 -</w:t>
      </w:r>
      <w:r>
        <w:rPr>
          <w:rFonts w:ascii="宋体" w:hAnsi="宋体" w:eastAsia="宋体" w:cs="Times New Roman"/>
          <w:bCs/>
          <w:caps/>
          <w:smallCaps w:val="0"/>
          <w:sz w:val="21"/>
          <w:szCs w:val="21"/>
          <w:lang w:val="en-US" w:eastAsia="zh-CN" w:bidi="ar-SA"/>
        </w:rPr>
        <w:fldChar w:fldCharType="end"/>
      </w:r>
      <w:r>
        <w:rPr>
          <w:rFonts w:hint="eastAsia" w:ascii="宋体" w:hAnsi="宋体" w:eastAsia="宋体" w:cs="Times New Roman"/>
          <w:bCs/>
          <w:caps/>
          <w:smallCaps w:val="0"/>
          <w:sz w:val="21"/>
          <w:szCs w:val="21"/>
          <w:lang w:val="en-US" w:eastAsia="zh-CN" w:bidi="ar-SA"/>
        </w:rPr>
        <w:fldChar w:fldCharType="end"/>
      </w:r>
    </w:p>
    <w:p>
      <w:pPr>
        <w:pStyle w:val="33"/>
        <w:tabs>
          <w:tab w:val="right" w:leader="dot" w:pos="8618"/>
          <w:tab w:val="clear" w:pos="8948"/>
        </w:tabs>
        <w:rPr>
          <w:rFonts w:hint="eastAsia" w:ascii="宋体" w:hAnsi="宋体" w:cs="宋体"/>
        </w:rPr>
      </w:pPr>
      <w:r>
        <w:rPr>
          <w:rFonts w:hint="eastAsia" w:ascii="宋体" w:hAnsi="宋体" w:cs="宋体"/>
        </w:rPr>
        <w:fldChar w:fldCharType="end"/>
      </w:r>
    </w:p>
    <w:p>
      <w:pPr>
        <w:spacing w:line="360" w:lineRule="auto"/>
        <w:jc w:val="both"/>
        <w:rPr>
          <w:rFonts w:hint="eastAsia" w:ascii="宋体" w:hAnsi="宋体" w:cs="宋体"/>
          <w:b/>
          <w:kern w:val="44"/>
          <w:sz w:val="28"/>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680" w:footer="680" w:gutter="0"/>
          <w:pgNumType w:fmt="numberInDash" w:start="1"/>
          <w:cols w:space="720" w:num="1"/>
          <w:titlePg/>
          <w:rtlGutter w:val="1"/>
          <w:docGrid w:type="lines" w:linePitch="312" w:charSpace="0"/>
        </w:sectPr>
      </w:pPr>
    </w:p>
    <w:p>
      <w:pPr>
        <w:pStyle w:val="3"/>
        <w:ind w:firstLine="3092" w:firstLineChars="1100"/>
        <w:rPr>
          <w:rFonts w:hint="eastAsia"/>
          <w:sz w:val="28"/>
          <w:szCs w:val="28"/>
        </w:rPr>
      </w:pPr>
      <w:bookmarkStart w:id="14" w:name="_Toc3165"/>
      <w:bookmarkStart w:id="15" w:name="_Toc30867"/>
      <w:bookmarkStart w:id="16" w:name="_Toc16009"/>
      <w:bookmarkStart w:id="17" w:name="_Toc12056"/>
      <w:bookmarkStart w:id="18" w:name="_Toc24955"/>
      <w:bookmarkStart w:id="19" w:name="_Toc2973"/>
      <w:bookmarkStart w:id="20" w:name="_Toc1440"/>
      <w:bookmarkStart w:id="21" w:name="_Toc4488"/>
      <w:bookmarkStart w:id="22" w:name="_Toc20657"/>
      <w:bookmarkStart w:id="23" w:name="_Toc32346"/>
      <w:bookmarkStart w:id="24" w:name="_Toc22902"/>
      <w:bookmarkStart w:id="25" w:name="_Toc6478"/>
      <w:bookmarkStart w:id="26" w:name="_Toc1337"/>
      <w:bookmarkStart w:id="27" w:name="_Toc6708"/>
      <w:bookmarkStart w:id="28" w:name="_Toc26503"/>
      <w:bookmarkStart w:id="29" w:name="_Toc12424"/>
      <w:bookmarkStart w:id="30" w:name="_Toc15015"/>
      <w:r>
        <w:rPr>
          <w:rFonts w:hint="eastAsia"/>
          <w:sz w:val="28"/>
          <w:szCs w:val="28"/>
          <w:lang w:val="en-US" w:eastAsia="zh-CN"/>
        </w:rPr>
        <w:t>第一部分  招标公告</w:t>
      </w:r>
      <w:bookmarkEnd w:id="14"/>
      <w:bookmarkEnd w:id="15"/>
      <w:bookmarkEnd w:id="16"/>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highlight w:val="none"/>
        </w:rPr>
      </w:pPr>
      <w:r>
        <w:rPr>
          <w:rFonts w:hint="eastAsia" w:ascii="宋体" w:hAnsi="宋体" w:cs="宋体"/>
          <w:szCs w:val="21"/>
        </w:rPr>
        <w:t xml:space="preserve"> </w:t>
      </w:r>
      <w:r>
        <w:rPr>
          <w:rFonts w:hint="eastAsia" w:cs="宋体"/>
          <w:szCs w:val="21"/>
        </w:rPr>
        <w:t>瑞安市妇幼保健院</w:t>
      </w:r>
      <w:r>
        <w:rPr>
          <w:rFonts w:hint="eastAsia" w:ascii="Arial" w:hAnsi="Arial" w:cs="Arial"/>
          <w:szCs w:val="21"/>
        </w:rPr>
        <w:t>2022-2024</w:t>
      </w:r>
      <w:r>
        <w:rPr>
          <w:rFonts w:hint="eastAsia" w:cs="宋体"/>
          <w:szCs w:val="21"/>
        </w:rPr>
        <w:t>年物业</w:t>
      </w:r>
      <w:r>
        <w:rPr>
          <w:rFonts w:hint="eastAsia" w:cs="宋体"/>
          <w:szCs w:val="21"/>
          <w:lang w:eastAsia="zh-CN"/>
        </w:rPr>
        <w:t>管理</w:t>
      </w:r>
      <w:r>
        <w:rPr>
          <w:rFonts w:hint="eastAsia" w:cs="宋体"/>
          <w:szCs w:val="21"/>
        </w:rPr>
        <w:t>服务（包含保洁、护工及运送）</w:t>
      </w:r>
      <w:r>
        <w:rPr>
          <w:rFonts w:hint="eastAsia" w:ascii="宋体" w:hAnsi="宋体" w:cs="宋体"/>
          <w:szCs w:val="21"/>
        </w:rPr>
        <w:t>项目的潜在投标人应在政府采购云平台（</w:t>
      </w:r>
      <w:r>
        <w:rPr>
          <w:rFonts w:ascii="Arial" w:hAnsi="Arial" w:cs="Arial"/>
          <w:szCs w:val="21"/>
        </w:rPr>
        <w:t>www.zcygov.cn</w:t>
      </w:r>
      <w:r>
        <w:rPr>
          <w:rFonts w:hint="eastAsia" w:ascii="宋体" w:hAnsi="宋体" w:cs="宋体"/>
          <w:szCs w:val="21"/>
        </w:rPr>
        <w:t>）获取（下载）招标文件，</w:t>
      </w:r>
      <w:r>
        <w:rPr>
          <w:rFonts w:hint="eastAsia" w:ascii="宋体" w:hAnsi="宋体" w:cs="宋体"/>
          <w:szCs w:val="21"/>
          <w:highlight w:val="none"/>
        </w:rPr>
        <w:t>并于</w:t>
      </w:r>
      <w:r>
        <w:rPr>
          <w:rFonts w:hint="eastAsia" w:ascii="Arial" w:hAnsi="Arial" w:cs="Arial"/>
          <w:szCs w:val="21"/>
          <w:highlight w:val="none"/>
          <w:lang w:eastAsia="zh-CN"/>
        </w:rPr>
        <w:t>2022年7月25日</w:t>
      </w:r>
      <w:r>
        <w:rPr>
          <w:rFonts w:ascii="Arial" w:hAnsi="Arial" w:cs="Arial"/>
          <w:szCs w:val="21"/>
          <w:highlight w:val="none"/>
        </w:rPr>
        <w:t>09:00</w:t>
      </w:r>
      <w:r>
        <w:rPr>
          <w:rFonts w:hint="eastAsia" w:ascii="宋体" w:hAnsi="宋体" w:cs="宋体"/>
          <w:bCs/>
          <w:szCs w:val="21"/>
          <w:highlight w:val="none"/>
        </w:rPr>
        <w:t>（北京时间）前递交（上传）投标文件</w:t>
      </w:r>
      <w:r>
        <w:rPr>
          <w:rFonts w:hint="eastAsia" w:ascii="宋体" w:hAnsi="宋体" w:cs="宋体"/>
          <w:szCs w:val="21"/>
          <w:highlight w:val="none"/>
        </w:rPr>
        <w:t>。</w:t>
      </w:r>
    </w:p>
    <w:p>
      <w:pPr>
        <w:numPr>
          <w:ilvl w:val="0"/>
          <w:numId w:val="3"/>
        </w:numPr>
        <w:spacing w:line="360" w:lineRule="auto"/>
        <w:rPr>
          <w:rFonts w:hint="eastAsia"/>
          <w:b/>
          <w:bCs/>
          <w:sz w:val="24"/>
          <w:szCs w:val="24"/>
        </w:rPr>
      </w:pPr>
      <w:bookmarkStart w:id="31" w:name="_Toc24440"/>
      <w:bookmarkStart w:id="32" w:name="_Toc18570"/>
      <w:bookmarkStart w:id="33" w:name="_Toc32283"/>
      <w:bookmarkStart w:id="34" w:name="_Toc13701"/>
      <w:bookmarkStart w:id="35" w:name="_Toc13625"/>
      <w:bookmarkStart w:id="36" w:name="_Toc20868"/>
      <w:bookmarkStart w:id="37" w:name="_Toc14260"/>
      <w:bookmarkStart w:id="38" w:name="_Toc7818"/>
      <w:bookmarkStart w:id="39" w:name="_Toc5087"/>
      <w:bookmarkStart w:id="40" w:name="_Toc12320"/>
      <w:bookmarkStart w:id="41" w:name="_Toc11126"/>
      <w:bookmarkStart w:id="42" w:name="_Toc26146"/>
      <w:r>
        <w:rPr>
          <w:rFonts w:hint="eastAsia"/>
          <w:b/>
          <w:bCs/>
          <w:sz w:val="24"/>
          <w:szCs w:val="24"/>
        </w:rPr>
        <w:t>项目基本情况</w:t>
      </w:r>
      <w:bookmarkEnd w:id="31"/>
      <w:bookmarkEnd w:id="32"/>
      <w:bookmarkEnd w:id="33"/>
      <w:bookmarkEnd w:id="34"/>
      <w:bookmarkEnd w:id="35"/>
      <w:bookmarkEnd w:id="36"/>
      <w:bookmarkEnd w:id="37"/>
      <w:bookmarkEnd w:id="38"/>
      <w:bookmarkEnd w:id="39"/>
      <w:bookmarkEnd w:id="40"/>
      <w:bookmarkEnd w:id="41"/>
      <w:bookmarkEnd w:id="42"/>
    </w:p>
    <w:p>
      <w:pPr>
        <w:numPr>
          <w:ilvl w:val="0"/>
          <w:numId w:val="4"/>
        </w:numPr>
        <w:spacing w:line="360" w:lineRule="auto"/>
        <w:rPr>
          <w:rFonts w:hint="eastAsia" w:cs="宋体"/>
          <w:color w:val="auto"/>
          <w:szCs w:val="21"/>
          <w:highlight w:val="none"/>
        </w:rPr>
      </w:pPr>
      <w:r>
        <w:rPr>
          <w:rFonts w:hint="eastAsia" w:cs="宋体"/>
          <w:szCs w:val="21"/>
        </w:rPr>
        <w:t>项目编号：</w:t>
      </w:r>
      <w:r>
        <w:rPr>
          <w:rFonts w:hint="eastAsia" w:ascii="Arial" w:hAnsi="Arial" w:cs="Arial"/>
          <w:color w:val="auto"/>
          <w:szCs w:val="21"/>
          <w:highlight w:val="none"/>
          <w:lang w:eastAsia="zh-CN"/>
        </w:rPr>
        <w:t>RAJC20220611</w:t>
      </w:r>
    </w:p>
    <w:p>
      <w:pPr>
        <w:numPr>
          <w:ilvl w:val="0"/>
          <w:numId w:val="4"/>
        </w:numPr>
        <w:spacing w:line="360" w:lineRule="auto"/>
        <w:rPr>
          <w:rFonts w:hint="eastAsia" w:cs="宋体"/>
          <w:szCs w:val="21"/>
        </w:rPr>
      </w:pPr>
      <w:bookmarkStart w:id="43" w:name="_Toc24394"/>
      <w:r>
        <w:rPr>
          <w:rFonts w:hint="eastAsia" w:cs="宋体"/>
          <w:szCs w:val="21"/>
        </w:rPr>
        <w:t>项目名称：</w:t>
      </w:r>
      <w:bookmarkEnd w:id="43"/>
      <w:r>
        <w:rPr>
          <w:rFonts w:hint="eastAsia" w:cs="宋体"/>
          <w:szCs w:val="21"/>
        </w:rPr>
        <w:t>瑞安市妇幼保健院</w:t>
      </w:r>
      <w:r>
        <w:rPr>
          <w:rFonts w:hint="eastAsia" w:ascii="Arial" w:hAnsi="Arial" w:cs="Arial"/>
          <w:szCs w:val="21"/>
        </w:rPr>
        <w:t>2022-2024</w:t>
      </w:r>
      <w:r>
        <w:rPr>
          <w:rFonts w:hint="eastAsia" w:cs="宋体"/>
          <w:szCs w:val="21"/>
        </w:rPr>
        <w:t>年物业</w:t>
      </w:r>
      <w:r>
        <w:rPr>
          <w:rFonts w:hint="eastAsia" w:cs="宋体"/>
          <w:szCs w:val="21"/>
          <w:lang w:eastAsia="zh-CN"/>
        </w:rPr>
        <w:t>管理</w:t>
      </w:r>
      <w:r>
        <w:rPr>
          <w:rFonts w:hint="eastAsia" w:cs="宋体"/>
          <w:szCs w:val="21"/>
        </w:rPr>
        <w:t>服务（包含保洁、护工及运送）项目</w:t>
      </w:r>
    </w:p>
    <w:p>
      <w:pPr>
        <w:numPr>
          <w:ilvl w:val="0"/>
          <w:numId w:val="4"/>
        </w:numPr>
        <w:spacing w:line="360" w:lineRule="auto"/>
        <w:rPr>
          <w:rFonts w:hint="eastAsia" w:cs="宋体"/>
          <w:szCs w:val="21"/>
        </w:rPr>
      </w:pPr>
      <w:r>
        <w:rPr>
          <w:rFonts w:hint="eastAsia" w:cs="宋体"/>
          <w:szCs w:val="21"/>
        </w:rPr>
        <w:t>采购方式：公开招标</w:t>
      </w:r>
    </w:p>
    <w:p>
      <w:pPr>
        <w:numPr>
          <w:ilvl w:val="0"/>
          <w:numId w:val="4"/>
        </w:numPr>
        <w:spacing w:line="360" w:lineRule="auto"/>
        <w:rPr>
          <w:rFonts w:hint="eastAsia" w:cs="宋体"/>
          <w:szCs w:val="21"/>
        </w:rPr>
      </w:pPr>
      <w:r>
        <w:rPr>
          <w:rFonts w:hint="eastAsia" w:cs="宋体"/>
          <w:szCs w:val="21"/>
        </w:rPr>
        <w:t>预算金额（元）：</w:t>
      </w:r>
      <w:r>
        <w:rPr>
          <w:rFonts w:hint="eastAsia" w:ascii="Arial" w:hAnsi="Arial" w:cs="Arial"/>
          <w:szCs w:val="21"/>
        </w:rPr>
        <w:t>8450000</w:t>
      </w:r>
      <w:r>
        <w:rPr>
          <w:rFonts w:ascii="Arial" w:hAnsi="Arial" w:cs="Arial"/>
          <w:szCs w:val="21"/>
        </w:rPr>
        <w:t>.00</w:t>
      </w:r>
    </w:p>
    <w:p>
      <w:pPr>
        <w:numPr>
          <w:ilvl w:val="0"/>
          <w:numId w:val="4"/>
        </w:numPr>
        <w:spacing w:line="360" w:lineRule="auto"/>
        <w:rPr>
          <w:rFonts w:hint="eastAsia" w:cs="宋体"/>
          <w:szCs w:val="21"/>
        </w:rPr>
      </w:pPr>
      <w:r>
        <w:rPr>
          <w:rFonts w:hint="eastAsia" w:cs="宋体"/>
          <w:szCs w:val="21"/>
        </w:rPr>
        <w:t>最高限价（元）：无</w:t>
      </w:r>
    </w:p>
    <w:p>
      <w:pPr>
        <w:numPr>
          <w:ilvl w:val="0"/>
          <w:numId w:val="4"/>
        </w:numPr>
        <w:spacing w:line="360" w:lineRule="auto"/>
        <w:rPr>
          <w:rFonts w:hint="eastAsia" w:cs="宋体"/>
          <w:szCs w:val="21"/>
        </w:rPr>
      </w:pPr>
      <w:r>
        <w:rPr>
          <w:rFonts w:hint="eastAsia" w:cs="宋体"/>
          <w:szCs w:val="21"/>
        </w:rPr>
        <w:t>简要规格描述或项目基本概况介绍、用途：采购瑞安市妇幼保健院物业服务，包括院区的保洁、护工及运送</w:t>
      </w:r>
      <w:r>
        <w:rPr>
          <w:rFonts w:hint="eastAsia" w:cs="宋体"/>
          <w:szCs w:val="21"/>
          <w:lang w:eastAsia="zh-CN"/>
        </w:rPr>
        <w:t>等</w:t>
      </w:r>
      <w:r>
        <w:rPr>
          <w:rFonts w:hint="eastAsia" w:cs="宋体"/>
          <w:szCs w:val="21"/>
        </w:rPr>
        <w:t>服务。</w:t>
      </w:r>
      <w:r>
        <w:rPr>
          <w:rFonts w:hint="eastAsia" w:ascii="宋体" w:hAnsi="宋体" w:cs="宋体"/>
          <w:szCs w:val="21"/>
        </w:rPr>
        <w:t>具体详见招标文件第三部分</w:t>
      </w:r>
      <w:r>
        <w:rPr>
          <w:rFonts w:hint="eastAsia" w:cs="宋体"/>
          <w:szCs w:val="21"/>
        </w:rPr>
        <w:t>。</w:t>
      </w:r>
    </w:p>
    <w:p>
      <w:pPr>
        <w:spacing w:line="360" w:lineRule="auto"/>
        <w:ind w:firstLine="420" w:firstLineChars="200"/>
        <w:rPr>
          <w:rFonts w:hint="eastAsia" w:cs="宋体"/>
          <w:szCs w:val="21"/>
        </w:rPr>
      </w:pPr>
      <w:r>
        <w:rPr>
          <w:rFonts w:hint="eastAsia" w:cs="宋体"/>
          <w:szCs w:val="21"/>
        </w:rPr>
        <w:t>备注：无</w:t>
      </w:r>
    </w:p>
    <w:p>
      <w:pPr>
        <w:spacing w:line="360" w:lineRule="auto"/>
        <w:ind w:firstLine="420" w:firstLineChars="200"/>
        <w:rPr>
          <w:rFonts w:hint="eastAsia" w:cs="宋体"/>
          <w:szCs w:val="21"/>
        </w:rPr>
      </w:pPr>
      <w:r>
        <w:rPr>
          <w:rFonts w:hint="eastAsia" w:cs="宋体"/>
          <w:szCs w:val="21"/>
        </w:rPr>
        <w:t>合同履约期限：自合同生效之日起二年（</w:t>
      </w:r>
      <w:r>
        <w:rPr>
          <w:rFonts w:ascii="Arial" w:hAnsi="Arial" w:cs="Arial"/>
          <w:szCs w:val="21"/>
        </w:rPr>
        <w:t>24</w:t>
      </w:r>
      <w:r>
        <w:rPr>
          <w:rFonts w:hint="eastAsia" w:cs="宋体"/>
          <w:szCs w:val="21"/>
        </w:rPr>
        <w:t>个月）。</w:t>
      </w:r>
    </w:p>
    <w:p>
      <w:pPr>
        <w:spacing w:line="360" w:lineRule="auto"/>
        <w:ind w:firstLine="420" w:firstLineChars="200"/>
        <w:rPr>
          <w:rFonts w:hint="eastAsia" w:cs="宋体"/>
          <w:szCs w:val="21"/>
        </w:rPr>
      </w:pPr>
      <w:r>
        <w:rPr>
          <w:rFonts w:hint="eastAsia" w:cs="宋体"/>
          <w:szCs w:val="21"/>
        </w:rPr>
        <w:t>本项目不接受联合体投标。</w:t>
      </w:r>
    </w:p>
    <w:p>
      <w:pPr>
        <w:numPr>
          <w:ilvl w:val="0"/>
          <w:numId w:val="3"/>
        </w:numPr>
        <w:spacing w:line="360" w:lineRule="auto"/>
        <w:rPr>
          <w:rFonts w:hint="eastAsia"/>
          <w:b/>
          <w:bCs/>
          <w:sz w:val="24"/>
          <w:szCs w:val="24"/>
        </w:rPr>
      </w:pPr>
      <w:bookmarkStart w:id="44" w:name="_Toc19640"/>
      <w:bookmarkStart w:id="45" w:name="_Toc20036"/>
      <w:bookmarkStart w:id="46" w:name="_Toc32024"/>
      <w:bookmarkStart w:id="47" w:name="_Toc12705"/>
      <w:bookmarkStart w:id="48" w:name="_Toc15492"/>
      <w:bookmarkStart w:id="49" w:name="_Toc25378"/>
      <w:bookmarkStart w:id="50" w:name="_Toc30682"/>
      <w:bookmarkStart w:id="51" w:name="_Toc21497"/>
      <w:bookmarkStart w:id="52" w:name="_Toc18736"/>
      <w:bookmarkStart w:id="53" w:name="_Toc13157"/>
      <w:bookmarkStart w:id="54" w:name="_Toc12591"/>
      <w:bookmarkStart w:id="55" w:name="_Toc30438"/>
      <w:r>
        <w:rPr>
          <w:rFonts w:hint="eastAsia"/>
          <w:b/>
          <w:bCs/>
          <w:sz w:val="24"/>
          <w:szCs w:val="24"/>
        </w:rPr>
        <w:t>申请人的资格要求</w:t>
      </w:r>
      <w:bookmarkEnd w:id="44"/>
      <w:bookmarkEnd w:id="45"/>
      <w:bookmarkEnd w:id="46"/>
      <w:bookmarkEnd w:id="47"/>
      <w:bookmarkEnd w:id="48"/>
      <w:bookmarkEnd w:id="49"/>
      <w:bookmarkEnd w:id="50"/>
      <w:bookmarkEnd w:id="51"/>
      <w:bookmarkEnd w:id="52"/>
      <w:bookmarkEnd w:id="53"/>
      <w:bookmarkEnd w:id="54"/>
      <w:bookmarkEnd w:id="55"/>
    </w:p>
    <w:p>
      <w:pPr>
        <w:numPr>
          <w:ilvl w:val="0"/>
          <w:numId w:val="5"/>
        </w:numPr>
        <w:spacing w:line="360" w:lineRule="auto"/>
        <w:rPr>
          <w:rFonts w:hint="eastAsia" w:cs="宋体"/>
          <w:szCs w:val="21"/>
        </w:rPr>
      </w:pPr>
      <w:r>
        <w:rPr>
          <w:rFonts w:hint="eastAsia" w:cs="宋体"/>
          <w:szCs w:val="21"/>
        </w:rPr>
        <w:t>满足《中华人民共和国政府采购法》第二十二条规定；未被“信用中国”（</w:t>
      </w:r>
      <w:r>
        <w:rPr>
          <w:rFonts w:ascii="Arial" w:hAnsi="Arial" w:cs="Arial"/>
          <w:szCs w:val="21"/>
        </w:rPr>
        <w:t>www.creditchina.gov.cn</w:t>
      </w:r>
      <w:r>
        <w:rPr>
          <w:rFonts w:hint="eastAsia" w:cs="宋体"/>
          <w:szCs w:val="21"/>
        </w:rPr>
        <w:t>)、中国政府采购网（</w:t>
      </w:r>
      <w:r>
        <w:rPr>
          <w:rFonts w:ascii="Arial" w:hAnsi="Arial" w:cs="Arial"/>
          <w:szCs w:val="21"/>
        </w:rPr>
        <w:t>www.ccgp.gov.cn</w:t>
      </w:r>
      <w:r>
        <w:rPr>
          <w:rFonts w:hint="eastAsia" w:cs="宋体"/>
          <w:szCs w:val="21"/>
        </w:rPr>
        <w:t>）列入失信被执行人、重大税收违法案件当事人名单、政府采购严重违法失信行为记录名单。</w:t>
      </w:r>
    </w:p>
    <w:p>
      <w:pPr>
        <w:numPr>
          <w:ilvl w:val="0"/>
          <w:numId w:val="5"/>
        </w:numPr>
        <w:spacing w:line="360" w:lineRule="auto"/>
        <w:rPr>
          <w:rFonts w:hint="eastAsia" w:cs="宋体"/>
          <w:szCs w:val="21"/>
        </w:rPr>
      </w:pPr>
      <w:r>
        <w:rPr>
          <w:rFonts w:hint="eastAsia" w:cs="宋体"/>
          <w:szCs w:val="21"/>
        </w:rPr>
        <w:t>落实政府采购政策需满足的资格要求：</w:t>
      </w:r>
      <w:r>
        <w:rPr>
          <w:rFonts w:hint="eastAsia" w:ascii="宋体" w:hAnsi="宋体" w:cs="宋体"/>
          <w:szCs w:val="21"/>
          <w:lang w:eastAsia="zh-CN"/>
        </w:rPr>
        <w:t>无。</w:t>
      </w:r>
    </w:p>
    <w:p>
      <w:pPr>
        <w:numPr>
          <w:ilvl w:val="0"/>
          <w:numId w:val="5"/>
        </w:numPr>
        <w:spacing w:line="360" w:lineRule="auto"/>
        <w:rPr>
          <w:rFonts w:hint="eastAsia" w:cs="宋体"/>
          <w:szCs w:val="21"/>
        </w:rPr>
      </w:pPr>
      <w:r>
        <w:rPr>
          <w:rFonts w:hint="eastAsia" w:cs="宋体"/>
          <w:szCs w:val="21"/>
        </w:rPr>
        <w:t>本项目的特定资格要求：无。</w:t>
      </w:r>
    </w:p>
    <w:p>
      <w:pPr>
        <w:numPr>
          <w:ilvl w:val="0"/>
          <w:numId w:val="3"/>
        </w:numPr>
        <w:spacing w:line="360" w:lineRule="auto"/>
        <w:rPr>
          <w:rFonts w:hint="eastAsia"/>
          <w:b/>
          <w:bCs/>
          <w:sz w:val="24"/>
          <w:szCs w:val="24"/>
        </w:rPr>
      </w:pPr>
      <w:bookmarkStart w:id="56" w:name="_Toc31444"/>
      <w:bookmarkStart w:id="57" w:name="_Toc5747"/>
      <w:bookmarkStart w:id="58" w:name="_Toc13012"/>
      <w:bookmarkStart w:id="59" w:name="_Toc14640"/>
      <w:bookmarkStart w:id="60" w:name="_Toc1930"/>
      <w:bookmarkStart w:id="61" w:name="_Toc28048"/>
      <w:bookmarkStart w:id="62" w:name="_Toc25115"/>
      <w:bookmarkStart w:id="63" w:name="_Toc1217"/>
      <w:bookmarkStart w:id="64" w:name="_Toc27561"/>
      <w:bookmarkStart w:id="65" w:name="_Toc29937"/>
      <w:bookmarkStart w:id="66" w:name="_Toc24834"/>
      <w:bookmarkStart w:id="67" w:name="_Toc14462"/>
      <w:r>
        <w:rPr>
          <w:rFonts w:hint="eastAsia"/>
          <w:b/>
          <w:bCs/>
          <w:sz w:val="24"/>
          <w:szCs w:val="24"/>
        </w:rPr>
        <w:t>获取（下载）招标文件</w:t>
      </w:r>
      <w:bookmarkEnd w:id="56"/>
      <w:bookmarkEnd w:id="57"/>
      <w:bookmarkEnd w:id="58"/>
      <w:bookmarkEnd w:id="59"/>
      <w:bookmarkEnd w:id="60"/>
      <w:bookmarkEnd w:id="61"/>
      <w:bookmarkEnd w:id="62"/>
      <w:bookmarkEnd w:id="63"/>
      <w:bookmarkEnd w:id="64"/>
      <w:bookmarkEnd w:id="65"/>
      <w:bookmarkEnd w:id="66"/>
      <w:bookmarkEnd w:id="67"/>
    </w:p>
    <w:p>
      <w:pPr>
        <w:numPr>
          <w:ilvl w:val="0"/>
          <w:numId w:val="6"/>
        </w:numPr>
        <w:spacing w:line="360" w:lineRule="auto"/>
        <w:ind w:firstLine="420" w:firstLineChars="200"/>
        <w:rPr>
          <w:rFonts w:hint="eastAsia"/>
          <w:szCs w:val="21"/>
        </w:rPr>
      </w:pPr>
      <w:r>
        <w:rPr>
          <w:rFonts w:hint="eastAsia"/>
          <w:szCs w:val="21"/>
          <w:highlight w:val="none"/>
        </w:rPr>
        <w:t>时间：</w:t>
      </w:r>
      <w:r>
        <w:rPr>
          <w:rFonts w:hint="eastAsia" w:ascii="Arial" w:hAnsi="Arial" w:cs="Arial"/>
          <w:szCs w:val="21"/>
          <w:highlight w:val="none"/>
          <w:lang w:eastAsia="zh-CN"/>
        </w:rPr>
        <w:t>2022年</w:t>
      </w:r>
      <w:r>
        <w:rPr>
          <w:rFonts w:hint="eastAsia" w:ascii="Arial" w:hAnsi="Arial" w:cs="Arial"/>
          <w:szCs w:val="21"/>
          <w:highlight w:val="none"/>
          <w:lang w:val="en-US" w:eastAsia="zh-CN"/>
        </w:rPr>
        <w:t>6</w:t>
      </w:r>
      <w:r>
        <w:rPr>
          <w:rFonts w:hint="eastAsia" w:ascii="Arial" w:hAnsi="Arial" w:cs="Arial"/>
          <w:szCs w:val="21"/>
          <w:highlight w:val="none"/>
          <w:lang w:eastAsia="zh-CN"/>
        </w:rPr>
        <w:t>月</w:t>
      </w:r>
      <w:r>
        <w:rPr>
          <w:rFonts w:hint="eastAsia" w:ascii="Arial" w:hAnsi="Arial" w:cs="Arial"/>
          <w:szCs w:val="21"/>
          <w:highlight w:val="none"/>
          <w:lang w:val="en-US" w:eastAsia="zh-CN"/>
        </w:rPr>
        <w:t>30</w:t>
      </w:r>
      <w:r>
        <w:rPr>
          <w:rFonts w:hint="eastAsia" w:ascii="Arial" w:hAnsi="Arial" w:cs="Arial"/>
          <w:szCs w:val="21"/>
          <w:highlight w:val="none"/>
          <w:lang w:eastAsia="zh-CN"/>
        </w:rPr>
        <w:t>日</w:t>
      </w:r>
      <w:r>
        <w:rPr>
          <w:rFonts w:hint="eastAsia"/>
          <w:szCs w:val="21"/>
          <w:highlight w:val="none"/>
        </w:rPr>
        <w:t>至</w:t>
      </w:r>
      <w:r>
        <w:rPr>
          <w:rFonts w:hint="eastAsia" w:ascii="Arial" w:hAnsi="Arial" w:cs="Arial"/>
          <w:szCs w:val="21"/>
          <w:highlight w:val="none"/>
          <w:lang w:eastAsia="zh-CN"/>
        </w:rPr>
        <w:t>2022年7月25日</w:t>
      </w:r>
      <w:r>
        <w:rPr>
          <w:rFonts w:hint="eastAsia"/>
          <w:szCs w:val="21"/>
          <w:highlight w:val="none"/>
        </w:rPr>
        <w:t>，</w:t>
      </w:r>
      <w:r>
        <w:rPr>
          <w:rFonts w:hint="eastAsia"/>
          <w:szCs w:val="21"/>
        </w:rPr>
        <w:t>每天上午</w:t>
      </w:r>
      <w:r>
        <w:rPr>
          <w:rFonts w:ascii="Arial" w:hAnsi="Arial" w:cs="Arial"/>
          <w:szCs w:val="21"/>
        </w:rPr>
        <w:t>00:00</w:t>
      </w:r>
      <w:r>
        <w:rPr>
          <w:rFonts w:hint="eastAsia"/>
          <w:szCs w:val="21"/>
        </w:rPr>
        <w:t>至</w:t>
      </w:r>
      <w:r>
        <w:rPr>
          <w:rFonts w:ascii="Arial" w:hAnsi="Arial" w:cs="Arial"/>
          <w:szCs w:val="21"/>
        </w:rPr>
        <w:t>12:00</w:t>
      </w:r>
      <w:r>
        <w:rPr>
          <w:rFonts w:hint="eastAsia"/>
          <w:szCs w:val="21"/>
        </w:rPr>
        <w:t>，下午</w:t>
      </w:r>
      <w:r>
        <w:rPr>
          <w:rFonts w:ascii="Arial" w:hAnsi="Arial" w:cs="Arial"/>
          <w:szCs w:val="21"/>
        </w:rPr>
        <w:t>12:00</w:t>
      </w:r>
      <w:r>
        <w:rPr>
          <w:rFonts w:hint="eastAsia"/>
          <w:szCs w:val="21"/>
        </w:rPr>
        <w:t>至</w:t>
      </w:r>
      <w:r>
        <w:rPr>
          <w:rFonts w:ascii="Arial" w:hAnsi="Arial" w:cs="Arial"/>
          <w:szCs w:val="21"/>
        </w:rPr>
        <w:t>23:59</w:t>
      </w:r>
      <w:r>
        <w:rPr>
          <w:rFonts w:hint="eastAsia"/>
          <w:szCs w:val="21"/>
        </w:rPr>
        <w:t>（北京时间，线上获取法定节假日均可，线下获取文件法定节假日除外）。</w:t>
      </w:r>
    </w:p>
    <w:p>
      <w:pPr>
        <w:numPr>
          <w:ilvl w:val="0"/>
          <w:numId w:val="6"/>
        </w:numPr>
        <w:spacing w:line="360" w:lineRule="auto"/>
        <w:ind w:firstLine="420" w:firstLineChars="200"/>
        <w:rPr>
          <w:szCs w:val="21"/>
        </w:rPr>
      </w:pPr>
      <w:r>
        <w:rPr>
          <w:szCs w:val="21"/>
        </w:rPr>
        <w:t>地点（网址）：登录政府采购云平台（以下简称“政采云平台”）（</w:t>
      </w:r>
      <w:r>
        <w:rPr>
          <w:rFonts w:ascii="Arial" w:hAnsi="Arial" w:cs="Arial"/>
          <w:szCs w:val="21"/>
        </w:rPr>
        <w:t>www.zcygov.cn</w:t>
      </w:r>
      <w:r>
        <w:rPr>
          <w:szCs w:val="21"/>
        </w:rPr>
        <w:t>）申请获取招标文件。</w:t>
      </w:r>
    </w:p>
    <w:p>
      <w:pPr>
        <w:numPr>
          <w:ilvl w:val="0"/>
          <w:numId w:val="6"/>
        </w:numPr>
        <w:spacing w:line="360" w:lineRule="auto"/>
        <w:ind w:firstLine="420" w:firstLineChars="200"/>
        <w:rPr>
          <w:szCs w:val="21"/>
        </w:rPr>
      </w:pPr>
      <w:r>
        <w:rPr>
          <w:szCs w:val="21"/>
        </w:rPr>
        <w:t>方式：依法获取招标文件通过“政采云平台-用户登录-项目采购-获取采购文件-申请获取采购文件”方式下载。</w:t>
      </w:r>
    </w:p>
    <w:p>
      <w:pPr>
        <w:numPr>
          <w:ilvl w:val="0"/>
          <w:numId w:val="6"/>
        </w:numPr>
        <w:spacing w:line="360" w:lineRule="auto"/>
        <w:ind w:firstLine="420" w:firstLineChars="200"/>
        <w:rPr>
          <w:rFonts w:ascii="Arial" w:hAnsi="Arial" w:cs="Arial"/>
          <w:szCs w:val="21"/>
        </w:rPr>
      </w:pPr>
      <w:r>
        <w:rPr>
          <w:szCs w:val="21"/>
        </w:rPr>
        <w:t>售价（元）：</w:t>
      </w:r>
      <w:r>
        <w:rPr>
          <w:rFonts w:ascii="Arial" w:hAnsi="Arial" w:cs="Arial"/>
          <w:szCs w:val="21"/>
        </w:rPr>
        <w:t>0</w:t>
      </w:r>
    </w:p>
    <w:p>
      <w:pPr>
        <w:numPr>
          <w:ilvl w:val="0"/>
          <w:numId w:val="3"/>
        </w:numPr>
        <w:spacing w:line="360" w:lineRule="auto"/>
        <w:rPr>
          <w:b/>
          <w:bCs/>
          <w:sz w:val="24"/>
          <w:szCs w:val="24"/>
        </w:rPr>
      </w:pPr>
      <w:bookmarkStart w:id="68" w:name="_Toc23202"/>
      <w:bookmarkStart w:id="69" w:name="_Toc2507"/>
      <w:bookmarkStart w:id="70" w:name="_Toc29372"/>
      <w:bookmarkStart w:id="71" w:name="_Toc10486"/>
      <w:bookmarkStart w:id="72" w:name="_Toc12750"/>
      <w:bookmarkStart w:id="73" w:name="_Toc30298"/>
      <w:bookmarkStart w:id="74" w:name="_Toc13188"/>
      <w:bookmarkStart w:id="75" w:name="_Toc21879"/>
      <w:bookmarkStart w:id="76" w:name="_Toc24473"/>
      <w:bookmarkStart w:id="77" w:name="_Toc8141"/>
      <w:bookmarkStart w:id="78" w:name="_Toc7069"/>
      <w:bookmarkStart w:id="79" w:name="_Toc4861"/>
      <w:r>
        <w:rPr>
          <w:b/>
          <w:bCs/>
          <w:sz w:val="24"/>
          <w:szCs w:val="24"/>
        </w:rPr>
        <w:t>提交投标文件截止时间、开标时间和地点</w:t>
      </w:r>
      <w:bookmarkEnd w:id="68"/>
      <w:bookmarkEnd w:id="69"/>
      <w:bookmarkEnd w:id="70"/>
      <w:bookmarkEnd w:id="71"/>
      <w:bookmarkEnd w:id="72"/>
      <w:bookmarkEnd w:id="73"/>
      <w:bookmarkEnd w:id="74"/>
      <w:bookmarkEnd w:id="75"/>
      <w:bookmarkEnd w:id="76"/>
      <w:bookmarkEnd w:id="77"/>
      <w:bookmarkEnd w:id="78"/>
      <w:bookmarkEnd w:id="79"/>
    </w:p>
    <w:p>
      <w:pPr>
        <w:numPr>
          <w:ilvl w:val="0"/>
          <w:numId w:val="7"/>
        </w:numPr>
        <w:spacing w:line="360" w:lineRule="auto"/>
        <w:ind w:firstLine="420" w:firstLineChars="200"/>
        <w:rPr>
          <w:rFonts w:hint="eastAsia"/>
          <w:szCs w:val="21"/>
        </w:rPr>
      </w:pPr>
      <w:r>
        <w:rPr>
          <w:rFonts w:hint="eastAsia"/>
          <w:szCs w:val="21"/>
        </w:rPr>
        <w:t>提交投标文件截止时</w:t>
      </w:r>
      <w:r>
        <w:rPr>
          <w:rFonts w:hint="eastAsia"/>
          <w:szCs w:val="21"/>
          <w:highlight w:val="none"/>
        </w:rPr>
        <w:t>间：</w:t>
      </w:r>
      <w:r>
        <w:rPr>
          <w:rFonts w:hint="eastAsia" w:ascii="Arial" w:hAnsi="Arial" w:cs="Arial"/>
          <w:szCs w:val="21"/>
          <w:highlight w:val="none"/>
          <w:lang w:eastAsia="zh-CN"/>
        </w:rPr>
        <w:t>2022年7月25日</w:t>
      </w:r>
      <w:r>
        <w:rPr>
          <w:rFonts w:ascii="Arial" w:hAnsi="Arial" w:cs="Arial"/>
          <w:szCs w:val="21"/>
          <w:highlight w:val="none"/>
        </w:rPr>
        <w:t>09:00</w:t>
      </w:r>
      <w:r>
        <w:rPr>
          <w:rFonts w:hint="eastAsia"/>
          <w:szCs w:val="21"/>
        </w:rPr>
        <w:t>（北京时间）</w:t>
      </w:r>
      <w:r>
        <w:rPr>
          <w:rFonts w:hint="eastAsia"/>
          <w:szCs w:val="21"/>
          <w:lang w:eastAsia="zh-CN"/>
        </w:rPr>
        <w:t>。</w:t>
      </w:r>
    </w:p>
    <w:p>
      <w:pPr>
        <w:numPr>
          <w:ilvl w:val="0"/>
          <w:numId w:val="7"/>
        </w:numPr>
        <w:spacing w:line="360" w:lineRule="auto"/>
        <w:ind w:firstLine="420" w:firstLineChars="200"/>
        <w:rPr>
          <w:rFonts w:hint="eastAsia"/>
          <w:szCs w:val="21"/>
        </w:rPr>
      </w:pPr>
      <w:r>
        <w:rPr>
          <w:rFonts w:hint="eastAsia"/>
          <w:szCs w:val="21"/>
        </w:rPr>
        <w:t>地点（网址）：投标人在投标截止时间之前将生成的电子加密投标文件上传至政采云平台。</w:t>
      </w:r>
    </w:p>
    <w:p>
      <w:pPr>
        <w:numPr>
          <w:ilvl w:val="0"/>
          <w:numId w:val="7"/>
        </w:numPr>
        <w:spacing w:line="360" w:lineRule="auto"/>
        <w:ind w:firstLine="420" w:firstLineChars="200"/>
        <w:rPr>
          <w:rFonts w:hint="eastAsia"/>
          <w:szCs w:val="21"/>
        </w:rPr>
      </w:pPr>
      <w:r>
        <w:rPr>
          <w:rFonts w:hint="eastAsia"/>
          <w:szCs w:val="21"/>
        </w:rPr>
        <w:t>开标时</w:t>
      </w:r>
      <w:r>
        <w:rPr>
          <w:rFonts w:hint="eastAsia"/>
          <w:szCs w:val="21"/>
          <w:highlight w:val="none"/>
        </w:rPr>
        <w:t>间：</w:t>
      </w:r>
      <w:r>
        <w:rPr>
          <w:rFonts w:hint="eastAsia" w:ascii="Arial" w:hAnsi="Arial" w:cs="Arial"/>
          <w:szCs w:val="21"/>
          <w:highlight w:val="none"/>
          <w:lang w:eastAsia="zh-CN"/>
        </w:rPr>
        <w:t>2022年7月25日</w:t>
      </w:r>
      <w:r>
        <w:rPr>
          <w:rFonts w:ascii="Arial" w:hAnsi="Arial" w:cs="Arial"/>
          <w:szCs w:val="21"/>
          <w:highlight w:val="none"/>
        </w:rPr>
        <w:t>09</w:t>
      </w:r>
      <w:r>
        <w:rPr>
          <w:rFonts w:ascii="Arial" w:hAnsi="Arial" w:cs="Arial"/>
          <w:szCs w:val="21"/>
        </w:rPr>
        <w:t>:00</w:t>
      </w:r>
      <w:r>
        <w:rPr>
          <w:rFonts w:hint="eastAsia"/>
          <w:szCs w:val="21"/>
          <w:lang w:eastAsia="zh-CN"/>
        </w:rPr>
        <w:t>。</w:t>
      </w:r>
    </w:p>
    <w:p>
      <w:pPr>
        <w:numPr>
          <w:ilvl w:val="0"/>
          <w:numId w:val="7"/>
        </w:numPr>
        <w:spacing w:line="360" w:lineRule="auto"/>
        <w:ind w:firstLine="420" w:firstLineChars="200"/>
        <w:rPr>
          <w:rFonts w:hint="eastAsia"/>
          <w:szCs w:val="21"/>
        </w:rPr>
      </w:pPr>
      <w:r>
        <w:rPr>
          <w:rFonts w:hint="eastAsia"/>
          <w:szCs w:val="21"/>
        </w:rPr>
        <w:t>开标地点（网址）：线上开标（请登录政采云平台）。</w:t>
      </w:r>
    </w:p>
    <w:p>
      <w:pPr>
        <w:numPr>
          <w:ilvl w:val="0"/>
          <w:numId w:val="3"/>
        </w:numPr>
        <w:spacing w:line="360" w:lineRule="auto"/>
        <w:rPr>
          <w:rFonts w:hint="eastAsia"/>
          <w:b/>
          <w:bCs/>
          <w:sz w:val="24"/>
          <w:szCs w:val="24"/>
        </w:rPr>
      </w:pPr>
      <w:bookmarkStart w:id="80" w:name="_Toc26814"/>
      <w:bookmarkStart w:id="81" w:name="_Toc19638"/>
      <w:bookmarkStart w:id="82" w:name="_Toc24910"/>
      <w:bookmarkStart w:id="83" w:name="_Toc17519"/>
      <w:bookmarkStart w:id="84" w:name="_Toc27190"/>
      <w:bookmarkStart w:id="85" w:name="_Toc20816"/>
      <w:bookmarkStart w:id="86" w:name="_Toc8552"/>
      <w:bookmarkStart w:id="87" w:name="_Toc863"/>
      <w:bookmarkStart w:id="88" w:name="_Toc28392"/>
      <w:bookmarkStart w:id="89" w:name="_Toc18366"/>
      <w:bookmarkStart w:id="90" w:name="_Toc25213"/>
      <w:bookmarkStart w:id="91" w:name="_Toc19445"/>
      <w:r>
        <w:rPr>
          <w:rFonts w:hint="eastAsia"/>
          <w:b/>
          <w:bCs/>
          <w:sz w:val="24"/>
          <w:szCs w:val="24"/>
        </w:rPr>
        <w:t>公告期限</w:t>
      </w:r>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ascii="Arial" w:hAnsi="Arial" w:cs="Arial"/>
          <w:szCs w:val="21"/>
        </w:rPr>
        <w:t>5</w:t>
      </w:r>
      <w:r>
        <w:rPr>
          <w:rFonts w:hint="eastAsia" w:ascii="宋体" w:hAnsi="宋体" w:cs="宋体"/>
          <w:szCs w:val="21"/>
        </w:rPr>
        <w:t>个工作日。</w:t>
      </w:r>
    </w:p>
    <w:p>
      <w:pPr>
        <w:numPr>
          <w:ilvl w:val="0"/>
          <w:numId w:val="3"/>
        </w:numPr>
        <w:spacing w:line="360" w:lineRule="auto"/>
        <w:rPr>
          <w:rFonts w:hint="eastAsia"/>
          <w:b/>
          <w:bCs/>
          <w:sz w:val="24"/>
          <w:szCs w:val="24"/>
        </w:rPr>
      </w:pPr>
      <w:bookmarkStart w:id="92" w:name="_Toc23335"/>
      <w:bookmarkStart w:id="93" w:name="_Toc6129"/>
      <w:bookmarkStart w:id="94" w:name="_Toc12124"/>
      <w:bookmarkStart w:id="95" w:name="_Toc10548"/>
      <w:bookmarkStart w:id="96" w:name="_Toc10926"/>
      <w:bookmarkStart w:id="97" w:name="_Toc25514"/>
      <w:bookmarkStart w:id="98" w:name="_Toc24446"/>
      <w:bookmarkStart w:id="99" w:name="_Toc26702"/>
      <w:bookmarkStart w:id="100" w:name="_Toc16341"/>
      <w:bookmarkStart w:id="101" w:name="_Toc25640"/>
      <w:bookmarkStart w:id="102" w:name="_Toc14566"/>
      <w:bookmarkStart w:id="103" w:name="_Toc1724"/>
      <w:r>
        <w:rPr>
          <w:rFonts w:hint="eastAsia"/>
          <w:b/>
          <w:bCs/>
          <w:sz w:val="24"/>
          <w:szCs w:val="24"/>
        </w:rPr>
        <w:t>其他补充事宜</w:t>
      </w:r>
      <w:bookmarkEnd w:id="92"/>
      <w:bookmarkEnd w:id="93"/>
      <w:bookmarkEnd w:id="94"/>
      <w:bookmarkEnd w:id="95"/>
      <w:bookmarkEnd w:id="96"/>
      <w:bookmarkEnd w:id="97"/>
      <w:bookmarkEnd w:id="98"/>
      <w:bookmarkEnd w:id="99"/>
      <w:bookmarkEnd w:id="100"/>
      <w:bookmarkEnd w:id="101"/>
      <w:bookmarkEnd w:id="102"/>
      <w:bookmarkEnd w:id="103"/>
    </w:p>
    <w:p>
      <w:pPr>
        <w:pStyle w:val="36"/>
        <w:numPr>
          <w:ilvl w:val="0"/>
          <w:numId w:val="8"/>
        </w:numPr>
        <w:shd w:val="clear" w:color="auto" w:fill="FFFFFF"/>
        <w:spacing w:before="0" w:beforeAutospacing="0" w:after="0" w:afterAutospacing="0"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《浙江省财政厅关于进一步发挥政府采购政策功能全力推动经济稳进提质的通知》 （浙财采监（</w:t>
      </w:r>
      <w:r>
        <w:rPr>
          <w:rFonts w:ascii="Arial" w:hAnsi="Arial" w:eastAsia="宋体" w:cs="Arial"/>
          <w:sz w:val="21"/>
          <w:szCs w:val="21"/>
        </w:rPr>
        <w:t>2022</w:t>
      </w:r>
      <w:r>
        <w:rPr>
          <w:rFonts w:hint="eastAsia" w:ascii="Times New Roman" w:hAnsi="Times New Roman" w:eastAsia="宋体"/>
          <w:sz w:val="21"/>
          <w:szCs w:val="21"/>
        </w:rPr>
        <w:t>）</w:t>
      </w:r>
      <w:r>
        <w:rPr>
          <w:rFonts w:ascii="Arial" w:hAnsi="Arial" w:eastAsia="宋体" w:cs="Arial"/>
          <w:sz w:val="21"/>
          <w:szCs w:val="21"/>
        </w:rPr>
        <w:t>3</w:t>
      </w:r>
      <w:r>
        <w:rPr>
          <w:rFonts w:hint="eastAsia" w:ascii="Times New Roman" w:hAnsi="Times New Roman" w:eastAsia="宋体"/>
          <w:sz w:val="21"/>
          <w:szCs w:val="21"/>
        </w:rPr>
        <w:t>号）、《浙江省财政厅关于进一步促进政府采购公平竞争打造最优营商环境的通知》（浙财采监（</w:t>
      </w:r>
      <w:r>
        <w:rPr>
          <w:rFonts w:ascii="Arial" w:hAnsi="Arial" w:eastAsia="宋体" w:cs="Arial"/>
          <w:sz w:val="21"/>
          <w:szCs w:val="21"/>
        </w:rPr>
        <w:t>2021</w:t>
      </w:r>
      <w:r>
        <w:rPr>
          <w:rFonts w:hint="eastAsia" w:ascii="Times New Roman" w:hAnsi="Times New Roman" w:eastAsia="宋体"/>
          <w:sz w:val="21"/>
          <w:szCs w:val="21"/>
        </w:rPr>
        <w:t>）</w:t>
      </w:r>
      <w:r>
        <w:rPr>
          <w:rFonts w:ascii="Arial" w:hAnsi="Arial" w:eastAsia="宋体" w:cs="Arial"/>
          <w:sz w:val="21"/>
          <w:szCs w:val="21"/>
        </w:rPr>
        <w:t>22</w:t>
      </w:r>
      <w:r>
        <w:rPr>
          <w:rFonts w:hint="eastAsia" w:ascii="Times New Roman" w:hAnsi="Times New Roman" w:eastAsia="宋体"/>
          <w:sz w:val="21"/>
          <w:szCs w:val="21"/>
        </w:rPr>
        <w:t>号）已分别于</w:t>
      </w:r>
      <w:r>
        <w:rPr>
          <w:rFonts w:ascii="Arial" w:hAnsi="Arial" w:eastAsia="宋体" w:cs="Arial"/>
          <w:sz w:val="21"/>
          <w:szCs w:val="21"/>
        </w:rPr>
        <w:t>2022</w:t>
      </w:r>
      <w:r>
        <w:rPr>
          <w:rFonts w:hint="eastAsia" w:ascii="Times New Roman" w:hAnsi="Times New Roman" w:eastAsia="宋体"/>
          <w:sz w:val="21"/>
          <w:szCs w:val="21"/>
        </w:rPr>
        <w:t>年</w:t>
      </w:r>
      <w:r>
        <w:rPr>
          <w:rFonts w:ascii="Arial" w:hAnsi="Arial" w:eastAsia="宋体" w:cs="Arial"/>
          <w:sz w:val="21"/>
          <w:szCs w:val="21"/>
        </w:rPr>
        <w:t>1</w:t>
      </w:r>
      <w:r>
        <w:rPr>
          <w:rFonts w:hint="eastAsia" w:ascii="Times New Roman" w:hAnsi="Times New Roman" w:eastAsia="宋体"/>
          <w:sz w:val="21"/>
          <w:szCs w:val="21"/>
        </w:rPr>
        <w:t>月</w:t>
      </w:r>
      <w:r>
        <w:rPr>
          <w:rFonts w:ascii="Arial" w:hAnsi="Arial" w:eastAsia="宋体" w:cs="Arial"/>
          <w:sz w:val="21"/>
          <w:szCs w:val="21"/>
        </w:rPr>
        <w:t>29</w:t>
      </w:r>
      <w:r>
        <w:rPr>
          <w:rFonts w:hint="eastAsia" w:ascii="Times New Roman" w:hAnsi="Times New Roman" w:eastAsia="宋体"/>
          <w:sz w:val="21"/>
          <w:szCs w:val="21"/>
        </w:rPr>
        <w:t>日和</w:t>
      </w:r>
      <w:r>
        <w:rPr>
          <w:rFonts w:ascii="Arial" w:hAnsi="Arial" w:eastAsia="宋体" w:cs="Arial"/>
          <w:sz w:val="21"/>
          <w:szCs w:val="21"/>
        </w:rPr>
        <w:t>2022</w:t>
      </w:r>
      <w:r>
        <w:rPr>
          <w:rFonts w:hint="eastAsia" w:ascii="Times New Roman" w:hAnsi="Times New Roman" w:eastAsia="宋体"/>
          <w:sz w:val="21"/>
          <w:szCs w:val="21"/>
        </w:rPr>
        <w:t>年</w:t>
      </w:r>
      <w:r>
        <w:rPr>
          <w:rFonts w:ascii="Arial" w:hAnsi="Arial" w:eastAsia="宋体" w:cs="Arial"/>
          <w:sz w:val="21"/>
          <w:szCs w:val="21"/>
        </w:rPr>
        <w:t>2</w:t>
      </w:r>
      <w:r>
        <w:rPr>
          <w:rFonts w:hint="eastAsia" w:ascii="Times New Roman" w:hAnsi="Times New Roman" w:eastAsia="宋体"/>
          <w:sz w:val="21"/>
          <w:szCs w:val="21"/>
        </w:rPr>
        <w:t>月</w:t>
      </w:r>
      <w:r>
        <w:rPr>
          <w:rFonts w:ascii="Arial" w:hAnsi="Arial" w:eastAsia="宋体" w:cs="Arial"/>
          <w:sz w:val="21"/>
          <w:szCs w:val="21"/>
        </w:rPr>
        <w:t>1</w:t>
      </w:r>
      <w:r>
        <w:rPr>
          <w:rFonts w:hint="eastAsia" w:ascii="Times New Roman" w:hAnsi="Times New Roman" w:eastAsia="宋体"/>
          <w:sz w:val="21"/>
          <w:szCs w:val="21"/>
        </w:rPr>
        <w:t>日开始实施，此前有关规定与上述文件内容不一致的，按上述文件要求执行。</w:t>
      </w:r>
    </w:p>
    <w:p>
      <w:pPr>
        <w:pStyle w:val="36"/>
        <w:numPr>
          <w:ilvl w:val="0"/>
          <w:numId w:val="8"/>
        </w:numPr>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w:t>
      </w:r>
      <w:r>
        <w:rPr>
          <w:rFonts w:ascii="Arial" w:hAnsi="Arial" w:eastAsia="宋体" w:cs="Arial"/>
          <w:sz w:val="21"/>
          <w:szCs w:val="21"/>
        </w:rPr>
        <w:t>2021</w:t>
      </w:r>
      <w:r>
        <w:rPr>
          <w:rFonts w:hint="eastAsia" w:ascii="宋体" w:hAnsi="宋体" w:eastAsia="宋体" w:cs="宋体"/>
          <w:sz w:val="21"/>
          <w:szCs w:val="21"/>
        </w:rPr>
        <w:t>）</w:t>
      </w:r>
      <w:r>
        <w:rPr>
          <w:rFonts w:ascii="Arial" w:hAnsi="Arial" w:eastAsia="宋体" w:cs="Arial"/>
          <w:sz w:val="21"/>
          <w:szCs w:val="21"/>
        </w:rPr>
        <w:t>22</w:t>
      </w:r>
      <w:r>
        <w:rPr>
          <w:rFonts w:hint="eastAsia" w:ascii="宋体" w:hAnsi="宋体" w:eastAsia="宋体" w:cs="宋体"/>
          <w:sz w:val="21"/>
          <w:szCs w:val="21"/>
        </w:rPr>
        <w:t>号）文件关于“健全行政裁决机制”要求，鼓励供应商在线提起询问，路径为：政采云-项目采购-询问质疑投诉-询问列表</w:t>
      </w:r>
      <w:r>
        <w:rPr>
          <w:rFonts w:ascii="Times New Roman" w:hAnsi="Times New Roman" w:eastAsia="宋体"/>
          <w:sz w:val="21"/>
          <w:szCs w:val="21"/>
        </w:rPr>
        <w:t>；</w:t>
      </w:r>
      <w:r>
        <w:rPr>
          <w:rFonts w:hint="eastAsia" w:ascii="宋体" w:hAnsi="宋体" w:eastAsia="宋体" w:cs="宋体"/>
          <w:sz w:val="21"/>
          <w:szCs w:val="21"/>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6"/>
        <w:numPr>
          <w:ilvl w:val="0"/>
          <w:numId w:val="8"/>
        </w:numPr>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投标人只有在政采云平台依法获取招标文件，才可以对招标文件提起质疑投诉。法律法规所指的投标人获取招标文件时间，以投标人完成获取招标文件申请后下载招标文件的时间为准。</w:t>
      </w:r>
    </w:p>
    <w:p>
      <w:pPr>
        <w:pStyle w:val="36"/>
        <w:numPr>
          <w:ilvl w:val="0"/>
          <w:numId w:val="8"/>
        </w:numPr>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电子投标说明</w:t>
      </w:r>
    </w:p>
    <w:p>
      <w:pPr>
        <w:pStyle w:val="36"/>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1）本项目通过政采云平台实行远程电子投标，投标人须全程在线参与开评标过程。投标人按照本项目招标文件和政采云平台的要求编制、加密并提交投标文件。投标人在使用系统进行投标的过程中遇到涉及平台使用的任何问题，可致电政采云平台技术支持热线咨询，联系方式：</w:t>
      </w:r>
      <w:r>
        <w:rPr>
          <w:rFonts w:ascii="Arial" w:hAnsi="Arial" w:eastAsia="宋体" w:cs="Arial"/>
          <w:sz w:val="21"/>
          <w:szCs w:val="21"/>
        </w:rPr>
        <w:t>400-881-7190</w:t>
      </w:r>
      <w:r>
        <w:rPr>
          <w:rFonts w:ascii="Times New Roman" w:hAnsi="Times New Roman" w:eastAsia="宋体"/>
          <w:sz w:val="21"/>
          <w:szCs w:val="21"/>
        </w:rPr>
        <w:t>。</w:t>
      </w:r>
    </w:p>
    <w:p>
      <w:pPr>
        <w:pStyle w:val="36"/>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（2）</w:t>
      </w:r>
      <w:r>
        <w:rPr>
          <w:rFonts w:hint="eastAsia" w:ascii="宋体" w:hAnsi="宋体" w:eastAsia="宋体" w:cs="宋体"/>
          <w:sz w:val="21"/>
          <w:szCs w:val="21"/>
        </w:rPr>
        <w:t>投标人须在投标前申领CA数字证书、下载政采云电子交易客户端。（</w:t>
      </w:r>
      <w:r>
        <w:rPr>
          <w:rFonts w:ascii="Arial" w:hAnsi="Arial" w:eastAsia="宋体" w:cs="Arial"/>
          <w:sz w:val="21"/>
          <w:szCs w:val="21"/>
        </w:rPr>
        <w:t>CA</w:t>
      </w:r>
      <w:r>
        <w:rPr>
          <w:rFonts w:hint="eastAsia" w:ascii="宋体" w:hAnsi="宋体" w:eastAsia="宋体" w:cs="宋体"/>
          <w:sz w:val="21"/>
          <w:szCs w:val="21"/>
        </w:rPr>
        <w:t>申领流程见“政采云平台-服务中心-帮助文档-入驻与配置-</w:t>
      </w:r>
      <w:r>
        <w:rPr>
          <w:rFonts w:ascii="Arial" w:hAnsi="Arial" w:eastAsia="宋体" w:cs="Arial"/>
          <w:sz w:val="21"/>
          <w:szCs w:val="21"/>
        </w:rPr>
        <w:t>CA</w:t>
      </w:r>
      <w:r>
        <w:rPr>
          <w:rFonts w:hint="eastAsia" w:ascii="宋体" w:hAnsi="宋体" w:eastAsia="宋体" w:cs="宋体"/>
          <w:sz w:val="21"/>
          <w:szCs w:val="21"/>
        </w:rPr>
        <w:t>管理”，政采云电子交易客户端下载须前往“政采云平台-下载专区-电子交易客户端-政采云电子交易客户端”</w:t>
      </w:r>
      <w:r>
        <w:rPr>
          <w:rFonts w:ascii="Times New Roman" w:hAnsi="Times New Roman" w:eastAsia="宋体"/>
          <w:sz w:val="21"/>
          <w:szCs w:val="21"/>
        </w:rPr>
        <w:t>）</w:t>
      </w:r>
    </w:p>
    <w:p>
      <w:pPr>
        <w:pStyle w:val="21"/>
        <w:spacing w:line="360" w:lineRule="auto"/>
        <w:ind w:left="0" w:right="-252" w:firstLine="420" w:firstLineChars="200"/>
        <w:rPr>
          <w:rFonts w:ascii="Times New Roman" w:hAnsi="Times New Roman"/>
          <w:sz w:val="21"/>
          <w:szCs w:val="21"/>
        </w:rPr>
      </w:pPr>
      <w:r>
        <w:rPr>
          <w:rFonts w:ascii="Times New Roman" w:hAnsi="Times New Roman"/>
          <w:sz w:val="21"/>
          <w:szCs w:val="21"/>
        </w:rPr>
        <w:t>（3）电子投标具体操作流程详见浙江</w:t>
      </w:r>
      <w:r>
        <w:rPr>
          <w:rFonts w:hint="eastAsia" w:cs="宋体"/>
          <w:sz w:val="21"/>
          <w:szCs w:val="21"/>
        </w:rPr>
        <w:t>省“项目采购电子交易系统/不见面开评标”学习专题（网</w:t>
      </w:r>
      <w:r>
        <w:rPr>
          <w:rFonts w:ascii="Times New Roman" w:hAnsi="Times New Roman"/>
          <w:sz w:val="21"/>
          <w:szCs w:val="21"/>
        </w:rPr>
        <w:t>址</w:t>
      </w:r>
      <w:r>
        <w:rPr>
          <w:rFonts w:ascii="Arial" w:hAnsi="Arial" w:cs="Arial"/>
          <w:sz w:val="21"/>
          <w:szCs w:val="21"/>
        </w:rPr>
        <w:t>https://edu.zcygov.cn/luban/e-biding</w:t>
      </w:r>
      <w:r>
        <w:rPr>
          <w:rFonts w:ascii="Times New Roman" w:hAnsi="Times New Roman"/>
          <w:sz w:val="21"/>
          <w:szCs w:val="21"/>
        </w:rPr>
        <w:t>）。</w:t>
      </w:r>
    </w:p>
    <w:p>
      <w:pPr>
        <w:pStyle w:val="36"/>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注：投标人在使用政采云投标客户端时，建议使用WIN7及以上操作系统。</w:t>
      </w:r>
    </w:p>
    <w:p>
      <w:pPr>
        <w:numPr>
          <w:ilvl w:val="0"/>
          <w:numId w:val="3"/>
        </w:numPr>
        <w:spacing w:line="360" w:lineRule="auto"/>
        <w:rPr>
          <w:rFonts w:hint="eastAsia"/>
          <w:b/>
          <w:bCs/>
          <w:sz w:val="24"/>
          <w:szCs w:val="24"/>
        </w:rPr>
      </w:pPr>
      <w:bookmarkStart w:id="104" w:name="_Toc13798"/>
      <w:bookmarkStart w:id="105" w:name="_Toc7944"/>
      <w:bookmarkStart w:id="106" w:name="_Toc358"/>
      <w:bookmarkStart w:id="107" w:name="_Toc22189"/>
      <w:bookmarkStart w:id="108" w:name="_Toc18556"/>
      <w:bookmarkStart w:id="109" w:name="_Toc3488"/>
      <w:bookmarkStart w:id="110" w:name="_Toc22181"/>
      <w:bookmarkStart w:id="111" w:name="_Toc32036"/>
      <w:bookmarkStart w:id="112" w:name="_Toc2134"/>
      <w:bookmarkStart w:id="113" w:name="_Toc27418"/>
      <w:bookmarkStart w:id="114" w:name="_Toc1269"/>
      <w:bookmarkStart w:id="115" w:name="_Toc6050"/>
      <w:r>
        <w:rPr>
          <w:rFonts w:hint="eastAsia"/>
          <w:b/>
          <w:bCs/>
          <w:sz w:val="24"/>
          <w:szCs w:val="24"/>
        </w:rPr>
        <w:t>对本次招标提出询问、质疑、投诉，请按以下方式联系</w:t>
      </w:r>
      <w:bookmarkEnd w:id="104"/>
      <w:bookmarkEnd w:id="105"/>
      <w:bookmarkEnd w:id="106"/>
      <w:bookmarkEnd w:id="107"/>
      <w:bookmarkEnd w:id="108"/>
      <w:bookmarkEnd w:id="109"/>
      <w:bookmarkEnd w:id="110"/>
      <w:bookmarkEnd w:id="111"/>
      <w:bookmarkEnd w:id="112"/>
      <w:bookmarkEnd w:id="113"/>
      <w:bookmarkEnd w:id="114"/>
      <w:bookmarkEnd w:id="115"/>
    </w:p>
    <w:p>
      <w:pPr>
        <w:numPr>
          <w:ilvl w:val="0"/>
          <w:numId w:val="9"/>
        </w:numPr>
        <w:spacing w:line="360" w:lineRule="auto"/>
        <w:ind w:firstLine="420" w:firstLineChars="200"/>
        <w:rPr>
          <w:bCs/>
          <w:szCs w:val="21"/>
        </w:rPr>
      </w:pPr>
      <w:r>
        <w:rPr>
          <w:bCs/>
          <w:szCs w:val="21"/>
        </w:rPr>
        <w:t>采购人信息</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名    称：瑞安市妇幼保健院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地    址：瑞安市安阳街道万松东路521号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 xml:space="preserve">项目联系人（询问）：夏先生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项目联系方式（询问）：0577-58815300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 xml:space="preserve">质疑联系人：陈先生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质疑联系方式：0577-58815006　　　　　　</w:t>
      </w:r>
    </w:p>
    <w:p>
      <w:pPr>
        <w:numPr>
          <w:ilvl w:val="0"/>
          <w:numId w:val="9"/>
        </w:numPr>
        <w:spacing w:line="360" w:lineRule="auto"/>
        <w:ind w:firstLine="420" w:firstLineChars="200"/>
        <w:rPr>
          <w:rFonts w:hint="eastAsia"/>
          <w:bCs/>
          <w:szCs w:val="21"/>
        </w:rPr>
      </w:pPr>
      <w:r>
        <w:rPr>
          <w:rFonts w:hint="eastAsia"/>
          <w:bCs/>
          <w:szCs w:val="21"/>
        </w:rPr>
        <w:t>采购代理机构信息</w:t>
      </w:r>
    </w:p>
    <w:p>
      <w:pPr>
        <w:spacing w:line="360" w:lineRule="auto"/>
        <w:ind w:left="420" w:leftChars="200"/>
        <w:rPr>
          <w:rFonts w:hint="eastAsia" w:ascii="宋体" w:hAnsi="宋体" w:cs="宋体"/>
          <w:szCs w:val="21"/>
        </w:rPr>
      </w:pPr>
      <w:r>
        <w:rPr>
          <w:rFonts w:hint="eastAsia" w:ascii="宋体" w:hAnsi="宋体" w:cs="宋体"/>
          <w:szCs w:val="21"/>
        </w:rPr>
        <w:t>名    称：瑞安市公共资源交易中心</w:t>
      </w:r>
    </w:p>
    <w:p>
      <w:pPr>
        <w:spacing w:line="360" w:lineRule="auto"/>
        <w:ind w:left="420" w:leftChars="200"/>
        <w:rPr>
          <w:rFonts w:hint="eastAsia" w:ascii="宋体" w:hAnsi="宋体" w:cs="宋体"/>
          <w:szCs w:val="21"/>
        </w:rPr>
      </w:pPr>
      <w:r>
        <w:rPr>
          <w:rFonts w:hint="eastAsia" w:ascii="宋体" w:hAnsi="宋体" w:cs="宋体"/>
          <w:szCs w:val="21"/>
        </w:rPr>
        <w:t>地    址：瑞安滨江大道外滩满庭芳大楼三楼</w:t>
      </w:r>
    </w:p>
    <w:p>
      <w:pPr>
        <w:spacing w:line="360" w:lineRule="auto"/>
        <w:ind w:left="420" w:leftChars="200"/>
        <w:rPr>
          <w:rFonts w:hint="eastAsia" w:ascii="Arial" w:hAnsi="Arial" w:cs="Arial"/>
          <w:szCs w:val="21"/>
        </w:rPr>
      </w:pPr>
      <w:r>
        <w:rPr>
          <w:rFonts w:hint="eastAsia" w:ascii="宋体" w:hAnsi="宋体" w:cs="宋体"/>
          <w:szCs w:val="21"/>
        </w:rPr>
        <w:t>传    真：</w:t>
      </w:r>
      <w:r>
        <w:rPr>
          <w:rFonts w:ascii="Arial" w:hAnsi="Arial" w:cs="Arial"/>
          <w:szCs w:val="21"/>
        </w:rPr>
        <w:t>0577-65879523</w:t>
      </w:r>
    </w:p>
    <w:p>
      <w:pPr>
        <w:spacing w:line="360" w:lineRule="auto"/>
        <w:ind w:left="420" w:leftChars="200"/>
        <w:rPr>
          <w:rFonts w:hint="eastAsia" w:ascii="宋体" w:hAnsi="宋体" w:cs="宋体"/>
          <w:szCs w:val="21"/>
        </w:rPr>
      </w:pPr>
      <w:r>
        <w:rPr>
          <w:rFonts w:hint="eastAsia" w:ascii="宋体" w:hAnsi="宋体" w:cs="宋体"/>
          <w:szCs w:val="21"/>
        </w:rPr>
        <w:t>项目联系人（询问）：陈佳佳　　　　</w:t>
      </w:r>
    </w:p>
    <w:p>
      <w:pPr>
        <w:spacing w:line="360" w:lineRule="auto"/>
        <w:ind w:left="420" w:leftChars="200"/>
        <w:rPr>
          <w:rFonts w:hint="eastAsia" w:ascii="宋体" w:hAnsi="宋体" w:cs="宋体"/>
          <w:szCs w:val="21"/>
        </w:rPr>
      </w:pPr>
      <w:r>
        <w:rPr>
          <w:rFonts w:hint="eastAsia" w:ascii="宋体" w:hAnsi="宋体" w:cs="宋体"/>
          <w:szCs w:val="21"/>
        </w:rPr>
        <w:t>项目联系方式（询问）：</w:t>
      </w:r>
      <w:r>
        <w:rPr>
          <w:rFonts w:ascii="Arial" w:hAnsi="Arial" w:cs="Arial"/>
          <w:szCs w:val="21"/>
        </w:rPr>
        <w:t>0577-65879533</w:t>
      </w:r>
      <w:r>
        <w:rPr>
          <w:rFonts w:hint="eastAsia" w:ascii="宋体" w:hAnsi="宋体" w:cs="宋体"/>
          <w:szCs w:val="21"/>
        </w:rPr>
        <w:t>　　</w:t>
      </w:r>
    </w:p>
    <w:p>
      <w:pPr>
        <w:spacing w:line="360" w:lineRule="auto"/>
        <w:ind w:left="420" w:leftChars="200"/>
        <w:rPr>
          <w:rFonts w:hint="eastAsia" w:ascii="宋体" w:hAnsi="宋体" w:cs="宋体"/>
          <w:szCs w:val="21"/>
        </w:rPr>
      </w:pPr>
      <w:r>
        <w:rPr>
          <w:rFonts w:hint="eastAsia" w:ascii="宋体" w:hAnsi="宋体" w:cs="宋体"/>
          <w:szCs w:val="21"/>
        </w:rPr>
        <w:t>质疑联系人：金素荣</w:t>
      </w:r>
    </w:p>
    <w:p>
      <w:pPr>
        <w:spacing w:line="360" w:lineRule="auto"/>
        <w:ind w:left="420" w:leftChars="200"/>
        <w:rPr>
          <w:rFonts w:hint="eastAsia" w:ascii="宋体" w:hAnsi="宋体" w:cs="宋体"/>
          <w:szCs w:val="21"/>
        </w:rPr>
      </w:pPr>
      <w:r>
        <w:rPr>
          <w:rFonts w:hint="eastAsia" w:ascii="宋体" w:hAnsi="宋体" w:cs="宋体"/>
          <w:szCs w:val="21"/>
        </w:rPr>
        <w:t>质疑联系方式：</w:t>
      </w:r>
      <w:r>
        <w:rPr>
          <w:rFonts w:ascii="Arial" w:hAnsi="Arial" w:cs="Arial"/>
          <w:szCs w:val="21"/>
        </w:rPr>
        <w:t>0577-65879521</w:t>
      </w:r>
      <w:r>
        <w:rPr>
          <w:rFonts w:hint="eastAsia" w:ascii="宋体" w:hAnsi="宋体" w:cs="宋体"/>
          <w:szCs w:val="21"/>
        </w:rPr>
        <w:t>　　</w:t>
      </w:r>
    </w:p>
    <w:p>
      <w:pPr>
        <w:numPr>
          <w:ilvl w:val="0"/>
          <w:numId w:val="9"/>
        </w:numPr>
        <w:spacing w:line="360" w:lineRule="auto"/>
        <w:ind w:firstLine="420" w:firstLineChars="200"/>
        <w:rPr>
          <w:rFonts w:hint="eastAsia"/>
          <w:bCs/>
          <w:szCs w:val="21"/>
        </w:rPr>
      </w:pPr>
      <w:r>
        <w:rPr>
          <w:rFonts w:hint="eastAsia"/>
          <w:bCs/>
          <w:szCs w:val="21"/>
        </w:rPr>
        <w:t>同级政府采购监督管理部门</w:t>
      </w:r>
    </w:p>
    <w:p>
      <w:pPr>
        <w:spacing w:line="360" w:lineRule="auto"/>
        <w:ind w:left="420" w:leftChars="200"/>
        <w:rPr>
          <w:rFonts w:hint="eastAsia" w:ascii="宋体" w:hAnsi="宋体" w:cs="宋体"/>
          <w:szCs w:val="21"/>
        </w:rPr>
      </w:pPr>
      <w:r>
        <w:rPr>
          <w:rFonts w:hint="eastAsia" w:ascii="宋体" w:hAnsi="宋体" w:cs="宋体"/>
          <w:szCs w:val="21"/>
        </w:rPr>
        <w:t>名    称：瑞安市财政局政府采购监管科　　　　　　　　</w:t>
      </w:r>
    </w:p>
    <w:p>
      <w:pPr>
        <w:spacing w:line="360" w:lineRule="auto"/>
        <w:ind w:left="420" w:leftChars="200"/>
        <w:rPr>
          <w:rFonts w:hint="eastAsia" w:ascii="宋体" w:hAnsi="宋体" w:cs="宋体"/>
          <w:szCs w:val="21"/>
        </w:rPr>
      </w:pPr>
      <w:r>
        <w:rPr>
          <w:rFonts w:hint="eastAsia" w:ascii="宋体" w:hAnsi="宋体" w:cs="宋体"/>
          <w:szCs w:val="21"/>
        </w:rPr>
        <w:t>地    址：瑞安市财税大楼</w:t>
      </w:r>
      <w:r>
        <w:rPr>
          <w:rFonts w:ascii="Arial" w:hAnsi="Arial" w:cs="Arial"/>
          <w:szCs w:val="21"/>
        </w:rPr>
        <w:t>1505</w:t>
      </w:r>
      <w:r>
        <w:rPr>
          <w:rFonts w:hint="eastAsia" w:ascii="宋体" w:hAnsi="宋体" w:cs="宋体"/>
          <w:szCs w:val="21"/>
        </w:rPr>
        <w:t>室　　　　　　　</w:t>
      </w:r>
    </w:p>
    <w:p>
      <w:pPr>
        <w:spacing w:line="360" w:lineRule="auto"/>
        <w:ind w:left="420" w:leftChars="200"/>
        <w:rPr>
          <w:rFonts w:hint="eastAsia" w:ascii="宋体" w:hAnsi="宋体" w:cs="宋体"/>
          <w:szCs w:val="21"/>
        </w:rPr>
      </w:pPr>
      <w:r>
        <w:rPr>
          <w:rFonts w:hint="eastAsia" w:ascii="宋体" w:hAnsi="宋体" w:cs="宋体"/>
          <w:szCs w:val="21"/>
        </w:rPr>
        <w:t>传    真：</w:t>
      </w:r>
      <w:r>
        <w:rPr>
          <w:rFonts w:ascii="Arial" w:hAnsi="Arial" w:cs="Arial"/>
          <w:szCs w:val="21"/>
        </w:rPr>
        <w:t>0577-65822153</w:t>
      </w:r>
      <w:r>
        <w:rPr>
          <w:rFonts w:hint="eastAsia" w:ascii="宋体" w:hAnsi="宋体" w:cs="宋体"/>
          <w:szCs w:val="21"/>
        </w:rPr>
        <w:t>　　　　　　　</w:t>
      </w:r>
    </w:p>
    <w:p>
      <w:pPr>
        <w:spacing w:line="360" w:lineRule="auto"/>
        <w:ind w:left="420" w:leftChars="200"/>
        <w:rPr>
          <w:rFonts w:hint="eastAsia" w:ascii="宋体" w:hAnsi="宋体" w:cs="宋体"/>
          <w:szCs w:val="21"/>
        </w:rPr>
      </w:pPr>
      <w:r>
        <w:rPr>
          <w:rFonts w:hint="eastAsia" w:ascii="宋体" w:hAnsi="宋体" w:cs="宋体"/>
          <w:szCs w:val="21"/>
        </w:rPr>
        <w:t>联系人：张先生　　　　　　　</w:t>
      </w:r>
    </w:p>
    <w:p>
      <w:pPr>
        <w:spacing w:line="360" w:lineRule="auto"/>
        <w:ind w:firstLine="420" w:firstLineChars="200"/>
        <w:rPr>
          <w:rFonts w:hint="eastAsia" w:ascii="宋体" w:hAnsi="宋体" w:cs="宋体"/>
          <w:b/>
          <w:bCs/>
          <w:sz w:val="28"/>
          <w:szCs w:val="28"/>
        </w:rPr>
      </w:pPr>
      <w:r>
        <w:rPr>
          <w:rFonts w:hint="eastAsia" w:ascii="宋体" w:hAnsi="宋体" w:cs="宋体"/>
          <w:szCs w:val="21"/>
        </w:rPr>
        <w:t>监督投诉电话：</w:t>
      </w:r>
      <w:r>
        <w:rPr>
          <w:rFonts w:ascii="Arial" w:hAnsi="Arial" w:cs="Arial"/>
          <w:szCs w:val="21"/>
        </w:rPr>
        <w:t>0577-65827567</w:t>
      </w:r>
      <w:r>
        <w:rPr>
          <w:rFonts w:hint="eastAsia" w:ascii="等线" w:hAnsi="等线" w:eastAsia="等线" w:cs="等线"/>
          <w:szCs w:val="21"/>
        </w:rPr>
        <w:t>　　</w:t>
      </w:r>
      <w:r>
        <w:rPr>
          <w:rFonts w:hint="eastAsia" w:ascii="等线" w:hAnsi="等线" w:eastAsia="等线" w:cs="等线"/>
          <w:sz w:val="28"/>
          <w:szCs w:val="28"/>
        </w:rPr>
        <w:t>　　</w:t>
      </w:r>
      <w:bookmarkEnd w:id="2"/>
      <w:bookmarkEnd w:id="3"/>
      <w:bookmarkEnd w:id="4"/>
      <w:bookmarkEnd w:id="5"/>
      <w:bookmarkEnd w:id="6"/>
      <w:bookmarkEnd w:id="7"/>
      <w:bookmarkEnd w:id="8"/>
      <w:bookmarkEnd w:id="9"/>
      <w:bookmarkEnd w:id="10"/>
      <w:bookmarkEnd w:id="11"/>
      <w:bookmarkEnd w:id="12"/>
      <w:bookmarkEnd w:id="13"/>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116" w:name="_Toc27969"/>
      <w:bookmarkStart w:id="117" w:name="_Toc24559"/>
      <w:bookmarkStart w:id="118" w:name="_Toc3633"/>
      <w:bookmarkStart w:id="119" w:name="_Toc22450"/>
      <w:bookmarkStart w:id="120" w:name="_Toc396"/>
      <w:bookmarkStart w:id="121" w:name="_Toc1840"/>
      <w:bookmarkStart w:id="122" w:name="_Toc27767"/>
      <w:bookmarkStart w:id="123" w:name="_Toc11080"/>
      <w:bookmarkStart w:id="124" w:name="_Toc19086"/>
      <w:bookmarkStart w:id="125" w:name="_Toc6190"/>
      <w:bookmarkStart w:id="126" w:name="_Toc3338"/>
      <w:bookmarkStart w:id="127" w:name="_Toc31289"/>
      <w:bookmarkStart w:id="128" w:name="_Toc16677"/>
      <w:bookmarkStart w:id="129" w:name="_Toc1799"/>
      <w:bookmarkStart w:id="130" w:name="_Toc1080"/>
      <w:bookmarkStart w:id="131" w:name="_Toc1706"/>
      <w:bookmarkStart w:id="132" w:name="_Toc16866"/>
      <w:bookmarkStart w:id="133" w:name="_Toc23033"/>
      <w:bookmarkStart w:id="134" w:name="_Toc2308"/>
      <w:bookmarkStart w:id="135" w:name="_Toc29746"/>
      <w:bookmarkStart w:id="136" w:name="_Toc4068"/>
      <w:bookmarkStart w:id="137" w:name="_Toc2862"/>
      <w:bookmarkStart w:id="138" w:name="_Toc6356"/>
    </w:p>
    <w:p>
      <w:pPr>
        <w:jc w:val="center"/>
        <w:rPr>
          <w:rFonts w:hint="eastAsia" w:ascii="宋体" w:hAnsi="宋体" w:cs="宋体"/>
          <w:b/>
          <w:bCs/>
          <w:sz w:val="28"/>
          <w:szCs w:val="28"/>
        </w:rPr>
      </w:pPr>
    </w:p>
    <w:p>
      <w:pPr>
        <w:pStyle w:val="3"/>
        <w:jc w:val="center"/>
        <w:rPr>
          <w:rFonts w:hint="eastAsia"/>
          <w:sz w:val="28"/>
          <w:szCs w:val="28"/>
          <w:lang w:val="en-US" w:eastAsia="zh-CN"/>
        </w:rPr>
      </w:pPr>
      <w:bookmarkStart w:id="139" w:name="_Toc31469"/>
      <w:bookmarkStart w:id="140" w:name="_Toc14967"/>
      <w:r>
        <w:rPr>
          <w:rFonts w:hint="eastAsia"/>
          <w:sz w:val="28"/>
          <w:szCs w:val="28"/>
          <w:lang w:val="en-US" w:eastAsia="zh-CN"/>
        </w:rPr>
        <w:t>前附表</w:t>
      </w:r>
      <w:bookmarkEnd w:id="116"/>
      <w:bookmarkEnd w:id="117"/>
      <w:bookmarkEnd w:id="118"/>
      <w:bookmarkEnd w:id="119"/>
      <w:bookmarkEnd w:id="120"/>
      <w:bookmarkEnd w:id="121"/>
      <w:bookmarkEnd w:id="122"/>
      <w:bookmarkEnd w:id="123"/>
      <w:bookmarkEnd w:id="139"/>
      <w:bookmarkEnd w:id="140"/>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tbl>
      <w:tblPr>
        <w:tblStyle w:val="45"/>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1781"/>
        <w:gridCol w:w="6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000000"/>
                <w:szCs w:val="21"/>
              </w:rPr>
            </w:pPr>
            <w:r>
              <w:rPr>
                <w:rFonts w:hint="eastAsia" w:ascii="宋体" w:hAnsi="宋体" w:cs="宋体"/>
                <w:b/>
                <w:color w:val="000000"/>
                <w:szCs w:val="21"/>
              </w:rPr>
              <w:t>项号</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000000"/>
                <w:szCs w:val="21"/>
              </w:rPr>
            </w:pPr>
            <w:r>
              <w:rPr>
                <w:rFonts w:hint="eastAsia" w:ascii="宋体" w:hAnsi="宋体" w:cs="宋体"/>
                <w:b/>
                <w:color w:val="000000"/>
                <w:szCs w:val="21"/>
              </w:rPr>
              <w:t>内容</w:t>
            </w:r>
          </w:p>
        </w:tc>
        <w:tc>
          <w:tcPr>
            <w:tcW w:w="6036"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000000"/>
                <w:szCs w:val="21"/>
              </w:rPr>
            </w:pPr>
            <w:r>
              <w:rPr>
                <w:rFonts w:hint="eastAsia" w:ascii="宋体" w:hAnsi="宋体" w:cs="宋体"/>
                <w:b/>
                <w:color w:val="000000"/>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项目名称</w:t>
            </w:r>
          </w:p>
        </w:tc>
        <w:tc>
          <w:tcPr>
            <w:tcW w:w="6036" w:type="dxa"/>
            <w:vAlign w:val="center"/>
          </w:tcPr>
          <w:p>
            <w:pPr>
              <w:keepNext w:val="0"/>
              <w:keepLines w:val="0"/>
              <w:widowControl/>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瑞安市妇幼保健院</w:t>
            </w:r>
            <w:r>
              <w:rPr>
                <w:rFonts w:hint="default" w:ascii="Arial" w:hAnsi="Arial" w:cs="Arial"/>
                <w:szCs w:val="21"/>
              </w:rPr>
              <w:t>2022-2024</w:t>
            </w:r>
            <w:r>
              <w:rPr>
                <w:rFonts w:hint="eastAsia" w:ascii="宋体" w:hAnsi="宋体" w:cs="宋体"/>
                <w:szCs w:val="21"/>
              </w:rPr>
              <w:t>年物业</w:t>
            </w:r>
            <w:r>
              <w:rPr>
                <w:rFonts w:hint="eastAsia" w:ascii="宋体" w:hAnsi="宋体" w:cs="宋体"/>
                <w:szCs w:val="21"/>
                <w:lang w:eastAsia="zh-CN"/>
              </w:rPr>
              <w:t>管理</w:t>
            </w:r>
            <w:r>
              <w:rPr>
                <w:rFonts w:hint="eastAsia" w:ascii="宋体" w:hAnsi="宋体" w:cs="宋体"/>
                <w:szCs w:val="21"/>
              </w:rPr>
              <w:t>服务（包含保洁、护工及运送）项目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项目编号</w:t>
            </w:r>
          </w:p>
        </w:tc>
        <w:tc>
          <w:tcPr>
            <w:tcW w:w="6036"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FF0000"/>
                <w:szCs w:val="21"/>
                <w:lang w:eastAsia="zh-CN"/>
              </w:rPr>
            </w:pPr>
            <w:r>
              <w:rPr>
                <w:rFonts w:hint="eastAsia" w:ascii="宋体" w:hAnsi="宋体" w:cs="宋体"/>
                <w:color w:val="auto"/>
                <w:szCs w:val="21"/>
                <w:lang w:eastAsia="zh-CN"/>
              </w:rPr>
              <w:t>RAJC20220611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采购方式</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szCs w:val="21"/>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资金来源、预算及最高限价</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0"/>
              </w:rPr>
            </w:pPr>
            <w:r>
              <w:rPr>
                <w:rFonts w:hint="eastAsia" w:ascii="宋体" w:hAnsi="宋体" w:cs="宋体"/>
                <w:szCs w:val="20"/>
              </w:rPr>
              <w:t>财政资金，本项目财政预算金额为人民币</w:t>
            </w:r>
            <w:r>
              <w:rPr>
                <w:rFonts w:hint="default" w:ascii="Arial" w:hAnsi="Arial" w:cs="Arial"/>
                <w:szCs w:val="20"/>
                <w:u w:val="single"/>
              </w:rPr>
              <w:t>8450000.00</w:t>
            </w:r>
            <w:r>
              <w:rPr>
                <w:rFonts w:hint="eastAsia" w:ascii="宋体" w:hAnsi="宋体" w:cs="宋体"/>
                <w:szCs w:val="20"/>
              </w:rPr>
              <w:t>元。</w:t>
            </w:r>
          </w:p>
          <w:p>
            <w:pPr>
              <w:pStyle w:val="19"/>
              <w:keepNext w:val="0"/>
              <w:keepLines w:val="0"/>
              <w:suppressLineNumbers w:val="0"/>
              <w:spacing w:before="0" w:beforeAutospacing="0" w:afterAutospacing="0" w:line="360" w:lineRule="auto"/>
              <w:ind w:left="0" w:leftChars="0" w:right="0"/>
              <w:rPr>
                <w:rFonts w:hint="eastAsia" w:ascii="宋体" w:hAnsi="宋体" w:cs="宋体"/>
                <w:color w:val="000000"/>
                <w:szCs w:val="21"/>
              </w:rPr>
            </w:pPr>
            <w:r>
              <w:rPr>
                <w:rFonts w:hint="eastAsia" w:ascii="宋体" w:hAnsi="宋体" w:cs="宋体"/>
                <w:szCs w:val="20"/>
              </w:rPr>
              <w:t>最高限价：</w:t>
            </w:r>
            <w:r>
              <w:rPr>
                <w:rFonts w:hint="eastAsia" w:ascii="宋体" w:hAnsi="宋体" w:cs="宋体"/>
                <w:bCs/>
                <w:kern w:val="0"/>
                <w:szCs w:val="21"/>
              </w:rPr>
              <w:t xml:space="preserve">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是否专门面向</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中小企业采购</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szCs w:val="20"/>
              </w:rPr>
            </w:pPr>
            <w:r>
              <w:rPr>
                <w:rFonts w:hint="eastAsia"/>
                <w:szCs w:val="20"/>
              </w:rPr>
              <w:t>根据《政府采购促进中小企业发展管理办法》（财库</w:t>
            </w:r>
            <w:r>
              <w:rPr>
                <w:rFonts w:hint="default"/>
                <w:szCs w:val="20"/>
              </w:rPr>
              <w:t>[2020]46</w:t>
            </w:r>
            <w:r>
              <w:rPr>
                <w:rFonts w:hint="eastAsia"/>
                <w:szCs w:val="20"/>
              </w:rPr>
              <w:t>号）规定，本项目为：</w:t>
            </w:r>
          </w:p>
          <w:p>
            <w:pPr>
              <w:keepNext w:val="0"/>
              <w:keepLines w:val="0"/>
              <w:widowControl/>
              <w:suppressLineNumbers w:val="0"/>
              <w:spacing w:before="0" w:beforeAutospacing="0" w:after="0" w:afterAutospacing="0" w:line="360" w:lineRule="auto"/>
              <w:ind w:left="0" w:right="0"/>
              <w:rPr>
                <w:rFonts w:hint="eastAsia"/>
                <w:szCs w:val="20"/>
              </w:rPr>
            </w:pPr>
            <w:r>
              <w:rPr>
                <w:rFonts w:hint="eastAsia"/>
                <w:szCs w:val="20"/>
              </w:rPr>
              <w:t>□预留份额专门面向中小企业采购</w:t>
            </w:r>
          </w:p>
          <w:p>
            <w:pPr>
              <w:keepNext w:val="0"/>
              <w:keepLines w:val="0"/>
              <w:widowControl/>
              <w:suppressLineNumbers w:val="0"/>
              <w:spacing w:before="0" w:beforeAutospacing="0" w:after="0" w:afterAutospacing="0" w:line="360" w:lineRule="auto"/>
              <w:ind w:left="0" w:right="0"/>
              <w:rPr>
                <w:rFonts w:hint="eastAsia"/>
                <w:szCs w:val="20"/>
              </w:rPr>
            </w:pPr>
            <w:r>
              <w:rPr>
                <w:rFonts w:hint="eastAsia"/>
                <w:szCs w:val="20"/>
              </w:rPr>
              <w:t>□部分预留份额项目面向中小企业采购</w:t>
            </w:r>
          </w:p>
          <w:p>
            <w:pPr>
              <w:keepNext w:val="0"/>
              <w:keepLines w:val="0"/>
              <w:widowControl/>
              <w:suppressLineNumbers w:val="0"/>
              <w:spacing w:before="0" w:beforeAutospacing="0" w:after="0" w:afterAutospacing="0" w:line="360" w:lineRule="auto"/>
              <w:ind w:left="0" w:right="0"/>
              <w:rPr>
                <w:rFonts w:hint="eastAsia"/>
                <w:szCs w:val="20"/>
              </w:rPr>
            </w:pPr>
            <w:r>
              <w:rPr>
                <w:rFonts w:hint="eastAsia"/>
                <w:szCs w:val="20"/>
              </w:rPr>
              <w:fldChar w:fldCharType="begin"/>
            </w:r>
            <w:r>
              <w:rPr>
                <w:rFonts w:hint="eastAsia"/>
                <w:szCs w:val="20"/>
              </w:rPr>
              <w:instrText xml:space="preserve"> eq \o\ac(□,√)</w:instrText>
            </w:r>
            <w:r>
              <w:rPr>
                <w:rFonts w:hint="eastAsia"/>
                <w:szCs w:val="20"/>
              </w:rPr>
              <w:fldChar w:fldCharType="end"/>
            </w:r>
            <w:r>
              <w:rPr>
                <w:rFonts w:hint="eastAsia"/>
                <w:szCs w:val="20"/>
              </w:rPr>
              <w:t xml:space="preserve">未预留份额专门面向中小企业采购 </w:t>
            </w:r>
          </w:p>
          <w:p>
            <w:pPr>
              <w:pStyle w:val="2"/>
              <w:keepNext w:val="0"/>
              <w:keepLines w:val="0"/>
              <w:suppressLineNumbers w:val="0"/>
              <w:spacing w:before="0" w:beforeAutospacing="0" w:after="0" w:afterAutospacing="0"/>
              <w:ind w:left="0" w:right="0"/>
              <w:rPr>
                <w:rFonts w:hint="eastAsia"/>
                <w:szCs w:val="20"/>
              </w:rPr>
            </w:pPr>
            <w:r>
              <w:rPr>
                <w:rFonts w:hint="eastAsia" w:ascii="Times New Roman" w:hAnsi="Times New Roman" w:eastAsia="宋体" w:cs="Times New Roman"/>
                <w:kern w:val="0"/>
                <w:sz w:val="21"/>
                <w:szCs w:val="22"/>
                <w:lang w:val="en-US" w:eastAsia="zh-CN" w:bidi="ar-SA"/>
              </w:rPr>
              <w:t>本项目对符</w:t>
            </w:r>
            <w:r>
              <w:rPr>
                <w:rFonts w:hint="default" w:ascii="Arial" w:hAnsi="Arial" w:eastAsia="宋体" w:cs="Arial"/>
                <w:kern w:val="0"/>
                <w:sz w:val="21"/>
                <w:szCs w:val="22"/>
                <w:lang w:val="en-US" w:eastAsia="zh-CN" w:bidi="ar-SA"/>
              </w:rPr>
              <w:t>合《政府采购促进中小企业发展管理办法》（财库[2020]46号）规定的小微企业报价给予 10 %</w:t>
            </w:r>
            <w:r>
              <w:rPr>
                <w:rFonts w:hint="eastAsia" w:ascii="Times New Roman" w:hAnsi="Times New Roman" w:eastAsia="宋体" w:cs="Times New Roman"/>
                <w:kern w:val="0"/>
                <w:sz w:val="21"/>
                <w:szCs w:val="22"/>
                <w:lang w:val="en-US" w:eastAsia="zh-CN" w:bidi="ar-SA"/>
              </w:rPr>
              <w:t>的扣除，用扣除后的价格参加评审。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项目属性</w:t>
            </w:r>
          </w:p>
        </w:tc>
        <w:tc>
          <w:tcPr>
            <w:tcW w:w="6036" w:type="dxa"/>
            <w:vAlign w:val="center"/>
          </w:tcPr>
          <w:p>
            <w:pPr>
              <w:keepNext w:val="0"/>
              <w:keepLines w:val="0"/>
              <w:widowControl/>
              <w:suppressLineNumbers w:val="0"/>
              <w:spacing w:before="0" w:beforeAutospacing="0" w:after="0" w:afterAutospacing="0"/>
              <w:ind w:left="0" w:right="0"/>
              <w:rPr>
                <w:rFonts w:hint="eastAsia" w:ascii="宋体" w:hAnsi="宋体" w:cs="宋体"/>
                <w:szCs w:val="20"/>
              </w:rPr>
            </w:pPr>
            <w:r>
              <w:rPr>
                <w:rFonts w:hint="eastAsia" w:ascii="宋体" w:hAnsi="宋体" w:cs="宋体"/>
                <w:szCs w:val="21"/>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7</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所属行业</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1"/>
              </w:rPr>
            </w:pPr>
            <w:r>
              <w:rPr>
                <w:rFonts w:hint="eastAsia" w:ascii="Times New Roman" w:hAnsi="Times New Roman" w:cs="Times New Roman"/>
                <w:szCs w:val="20"/>
              </w:rPr>
              <w:t>依据《中小企业划型标准规定》（工信部联企业</w:t>
            </w:r>
            <w:r>
              <w:rPr>
                <w:rFonts w:hint="default" w:ascii="Arial" w:hAnsi="Arial" w:cs="Arial"/>
                <w:szCs w:val="20"/>
              </w:rPr>
              <w:t>〔2011〕300</w:t>
            </w:r>
            <w:r>
              <w:rPr>
                <w:rFonts w:hint="eastAsia" w:ascii="Times New Roman" w:hAnsi="Times New Roman" w:cs="Times New Roman"/>
                <w:szCs w:val="20"/>
              </w:rPr>
              <w:t>号），本项目采购标的对应的中小企业划分标准所属行业为：</w:t>
            </w:r>
            <w:r>
              <w:rPr>
                <w:rFonts w:hint="eastAsia" w:ascii="Times New Roman" w:hAnsi="Times New Roman" w:cs="Times New Roman"/>
                <w:szCs w:val="20"/>
                <w:u w:val="single"/>
              </w:rPr>
              <w:t xml:space="preserve">物业管理行业 </w:t>
            </w:r>
            <w:r>
              <w:rPr>
                <w:rFonts w:hint="eastAsia" w:ascii="Times New Roman" w:hAnsi="Times New Roman" w:cs="Times New Roman"/>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color w:val="000000"/>
                <w:szCs w:val="21"/>
              </w:rPr>
            </w:pPr>
            <w:r>
              <w:rPr>
                <w:rFonts w:hint="eastAsia" w:ascii="Times New Roman" w:hAnsi="Times New Roman" w:cs="Times New Roman"/>
                <w:color w:val="000000"/>
                <w:szCs w:val="21"/>
              </w:rPr>
              <w:t>8</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采购内容</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1"/>
              </w:rPr>
            </w:pPr>
            <w:r>
              <w:rPr>
                <w:rFonts w:hint="eastAsia" w:ascii="Times New Roman" w:hAnsi="Times New Roman" w:cs="宋体"/>
                <w:szCs w:val="21"/>
              </w:rPr>
              <w:t>采购瑞安市妇幼保健院物业服务，包括院区的保洁、护工及运送</w:t>
            </w:r>
            <w:r>
              <w:rPr>
                <w:rFonts w:hint="eastAsia" w:cs="宋体"/>
                <w:szCs w:val="21"/>
                <w:lang w:eastAsia="zh-CN"/>
              </w:rPr>
              <w:t>等</w:t>
            </w:r>
            <w:r>
              <w:rPr>
                <w:rFonts w:hint="eastAsia" w:ascii="Times New Roman" w:hAnsi="Times New Roman" w:cs="宋体"/>
                <w:szCs w:val="21"/>
              </w:rPr>
              <w:t>服务。</w:t>
            </w:r>
            <w:r>
              <w:rPr>
                <w:rFonts w:hint="eastAsia" w:ascii="宋体" w:hAnsi="宋体" w:cs="宋体"/>
                <w:szCs w:val="21"/>
              </w:rPr>
              <w:t>具体详见招标文件第三部分</w:t>
            </w:r>
            <w:r>
              <w:rPr>
                <w:rFonts w:hint="eastAsia" w:ascii="Times New Roman" w:hAnsi="Times New Roman"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color w:val="000000"/>
                <w:szCs w:val="21"/>
              </w:rPr>
            </w:pPr>
            <w:r>
              <w:rPr>
                <w:rFonts w:hint="eastAsia" w:ascii="Times New Roman" w:hAnsi="Times New Roman" w:cs="Times New Roman"/>
                <w:color w:val="000000"/>
                <w:szCs w:val="21"/>
              </w:rPr>
              <w:t>9</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服务期限</w:t>
            </w:r>
          </w:p>
        </w:tc>
        <w:tc>
          <w:tcPr>
            <w:tcW w:w="6036" w:type="dxa"/>
            <w:vAlign w:val="center"/>
          </w:tcPr>
          <w:p>
            <w:pPr>
              <w:keepNext w:val="0"/>
              <w:keepLines w:val="0"/>
              <w:widowControl/>
              <w:suppressLineNumbers w:val="0"/>
              <w:spacing w:before="0" w:beforeAutospacing="0" w:after="0" w:afterAutospacing="0"/>
              <w:ind w:left="0" w:right="0"/>
              <w:rPr>
                <w:rFonts w:hint="eastAsia" w:ascii="宋体" w:hAnsi="宋体" w:cs="宋体"/>
                <w:color w:val="000000"/>
                <w:szCs w:val="21"/>
              </w:rPr>
            </w:pPr>
            <w:r>
              <w:rPr>
                <w:rFonts w:hint="eastAsia" w:ascii="宋体" w:hAnsi="宋体" w:cs="宋体"/>
                <w:szCs w:val="21"/>
              </w:rPr>
              <w:t>自合同生效之日起二年(</w:t>
            </w:r>
            <w:r>
              <w:rPr>
                <w:rFonts w:hint="default" w:ascii="Times New Roman" w:hAnsi="Times New Roman" w:cs="Times New Roman"/>
                <w:szCs w:val="21"/>
              </w:rPr>
              <w:t>24</w:t>
            </w:r>
            <w:r>
              <w:rPr>
                <w:rFonts w:hint="eastAsia" w:ascii="宋体" w:hAnsi="宋体" w:cs="宋体"/>
                <w:szCs w:val="21"/>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szCs w:val="21"/>
              </w:rPr>
            </w:pPr>
            <w:r>
              <w:rPr>
                <w:rFonts w:hint="eastAsia" w:ascii="Times New Roman" w:hAnsi="Times New Roman" w:cs="Times New Roman"/>
                <w:szCs w:val="21"/>
              </w:rPr>
              <w:t>10</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是否允许</w:t>
            </w:r>
          </w:p>
          <w:p>
            <w:pPr>
              <w:keepNext w:val="0"/>
              <w:keepLines w:val="0"/>
              <w:widowControl/>
              <w:suppressLineNumbers w:val="0"/>
              <w:adjustRightIn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采购进口产品</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0"/>
              </w:rPr>
            </w:pPr>
            <w:r>
              <w:rPr>
                <w:rFonts w:hint="eastAsia" w:ascii="宋体" w:hAnsi="宋体" w:cs="宋体"/>
                <w:szCs w:val="20"/>
              </w:rPr>
              <w:fldChar w:fldCharType="begin"/>
            </w:r>
            <w:r>
              <w:rPr>
                <w:rFonts w:hint="eastAsia" w:ascii="宋体" w:hAnsi="宋体" w:cs="宋体"/>
                <w:szCs w:val="20"/>
              </w:rPr>
              <w:instrText xml:space="preserve"> eq \o\ac(□,√)</w:instrText>
            </w:r>
            <w:r>
              <w:rPr>
                <w:rFonts w:hint="eastAsia" w:ascii="宋体" w:hAnsi="宋体" w:cs="宋体"/>
                <w:szCs w:val="20"/>
              </w:rPr>
              <w:fldChar w:fldCharType="end"/>
            </w:r>
            <w:r>
              <w:rPr>
                <w:rFonts w:hint="eastAsia" w:ascii="宋体" w:hAnsi="宋体" w:cs="宋体"/>
                <w:szCs w:val="20"/>
              </w:rPr>
              <w:t>不允许</w:t>
            </w:r>
          </w:p>
          <w:p>
            <w:pPr>
              <w:keepNext w:val="0"/>
              <w:keepLines w:val="0"/>
              <w:widowControl/>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 xml:space="preserve">□允许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szCs w:val="21"/>
              </w:rPr>
            </w:pPr>
            <w:r>
              <w:rPr>
                <w:rFonts w:hint="eastAsia" w:ascii="Times New Roman" w:hAnsi="Times New Roman" w:cs="Times New Roman"/>
                <w:szCs w:val="21"/>
              </w:rPr>
              <w:t>11</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是否允许</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FF0000"/>
                <w:szCs w:val="21"/>
              </w:rPr>
            </w:pPr>
            <w:r>
              <w:rPr>
                <w:rFonts w:hint="eastAsia" w:ascii="宋体" w:hAnsi="宋体" w:cs="宋体"/>
                <w:color w:val="000000"/>
                <w:szCs w:val="21"/>
              </w:rPr>
              <w:t>转包与分包</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0"/>
              </w:rPr>
            </w:pPr>
            <w:r>
              <w:rPr>
                <w:rFonts w:hint="eastAsia" w:ascii="宋体" w:hAnsi="宋体" w:cs="宋体"/>
                <w:szCs w:val="20"/>
              </w:rPr>
              <w:fldChar w:fldCharType="begin"/>
            </w:r>
            <w:r>
              <w:rPr>
                <w:rFonts w:hint="eastAsia" w:ascii="宋体" w:hAnsi="宋体" w:cs="宋体"/>
                <w:szCs w:val="20"/>
              </w:rPr>
              <w:instrText xml:space="preserve"> eq \o\ac(□,√)</w:instrText>
            </w:r>
            <w:r>
              <w:rPr>
                <w:rFonts w:hint="eastAsia" w:ascii="宋体" w:hAnsi="宋体" w:cs="宋体"/>
                <w:szCs w:val="20"/>
              </w:rPr>
              <w:fldChar w:fldCharType="end"/>
            </w:r>
            <w:r>
              <w:rPr>
                <w:rFonts w:hint="eastAsia" w:ascii="宋体" w:hAnsi="宋体" w:cs="宋体"/>
                <w:szCs w:val="20"/>
              </w:rPr>
              <w:t>不允许</w:t>
            </w:r>
          </w:p>
          <w:p>
            <w:pPr>
              <w:keepNext w:val="0"/>
              <w:keepLines w:val="0"/>
              <w:widowControl/>
              <w:suppressLineNumbers w:val="0"/>
              <w:spacing w:before="0" w:beforeAutospacing="0" w:after="0" w:afterAutospacing="0" w:line="360" w:lineRule="auto"/>
              <w:ind w:left="0" w:right="0"/>
              <w:rPr>
                <w:rFonts w:hint="eastAsia" w:ascii="宋体" w:hAnsi="宋体" w:cs="宋体"/>
                <w:color w:val="FF0000"/>
                <w:szCs w:val="20"/>
              </w:rPr>
            </w:pPr>
            <w:r>
              <w:rPr>
                <w:rFonts w:hint="eastAsia" w:ascii="宋体" w:hAnsi="宋体" w:cs="宋体"/>
                <w:szCs w:val="21"/>
              </w:rPr>
              <w:t xml:space="preserve">□允许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12</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是否接受</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联合体投标</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0"/>
              </w:rPr>
              <w:fldChar w:fldCharType="begin"/>
            </w:r>
            <w:r>
              <w:rPr>
                <w:rFonts w:hint="eastAsia" w:ascii="宋体" w:hAnsi="宋体" w:cs="宋体"/>
                <w:color w:val="000000"/>
                <w:szCs w:val="20"/>
              </w:rPr>
              <w:instrText xml:space="preserve"> eq \o\ac(□,√)</w:instrText>
            </w:r>
            <w:r>
              <w:rPr>
                <w:rFonts w:hint="eastAsia" w:ascii="宋体" w:hAnsi="宋体" w:cs="宋体"/>
                <w:color w:val="000000"/>
                <w:szCs w:val="20"/>
              </w:rPr>
              <w:fldChar w:fldCharType="end"/>
            </w:r>
            <w:r>
              <w:rPr>
                <w:rFonts w:hint="eastAsia" w:ascii="宋体" w:hAnsi="宋体" w:cs="宋体"/>
                <w:color w:val="000000"/>
                <w:szCs w:val="21"/>
              </w:rPr>
              <w:t>不接受</w:t>
            </w:r>
          </w:p>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13</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是否组织</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现场踏勘</w:t>
            </w:r>
          </w:p>
        </w:tc>
        <w:tc>
          <w:tcPr>
            <w:tcW w:w="6036" w:type="dxa"/>
            <w:vAlign w:val="center"/>
          </w:tcPr>
          <w:p>
            <w:pPr>
              <w:keepNext w:val="0"/>
              <w:keepLines w:val="0"/>
              <w:widowControl/>
              <w:suppressLineNumbers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不组织</w:t>
            </w:r>
          </w:p>
          <w:p>
            <w:pPr>
              <w:keepNext w:val="0"/>
              <w:keepLines w:val="0"/>
              <w:widowControl/>
              <w:suppressLineNumbers w:val="0"/>
              <w:spacing w:before="0" w:beforeAutospacing="0" w:after="0" w:afterAutospacing="0" w:line="360" w:lineRule="auto"/>
              <w:ind w:left="0" w:right="0"/>
              <w:jc w:val="both"/>
              <w:rPr>
                <w:rFonts w:hint="eastAsia" w:ascii="宋体" w:hAnsi="宋体" w:cs="宋体"/>
                <w:szCs w:val="21"/>
              </w:rPr>
            </w:pPr>
            <w:r>
              <w:rPr>
                <w:rFonts w:hint="eastAsia" w:ascii="宋体" w:hAnsi="宋体" w:cs="宋体"/>
                <w:szCs w:val="21"/>
              </w:rPr>
              <w:t xml:space="preserve">□组织 </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14</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是否组织</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标前答疑会</w:t>
            </w:r>
          </w:p>
        </w:tc>
        <w:tc>
          <w:tcPr>
            <w:tcW w:w="6036" w:type="dxa"/>
            <w:vAlign w:val="center"/>
          </w:tcPr>
          <w:p>
            <w:pPr>
              <w:keepNext w:val="0"/>
              <w:keepLines w:val="0"/>
              <w:widowControl/>
              <w:suppressLineNumbers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不组织</w:t>
            </w:r>
          </w:p>
          <w:p>
            <w:pPr>
              <w:keepNext w:val="0"/>
              <w:keepLines w:val="0"/>
              <w:widowControl/>
              <w:suppressLineNumbers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15</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是否提供演示</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不需要</w:t>
            </w:r>
          </w:p>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szCs w:val="21"/>
              </w:rPr>
              <w:t xml:space="preserve">□需要  </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705" w:type="dxa"/>
            <w:vAlign w:val="center"/>
          </w:tcPr>
          <w:p>
            <w:pPr>
              <w:keepNext w:val="0"/>
              <w:keepLines w:val="0"/>
              <w:widowControl/>
              <w:suppressLineNumbers w:val="0"/>
              <w:adjustRightInd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szCs w:val="21"/>
              </w:rPr>
              <w:t>16</w:t>
            </w:r>
          </w:p>
        </w:tc>
        <w:tc>
          <w:tcPr>
            <w:tcW w:w="1781" w:type="dxa"/>
            <w:vAlign w:val="center"/>
          </w:tcPr>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是否需要缴纳</w:t>
            </w:r>
          </w:p>
          <w:p>
            <w:pPr>
              <w:keepNext w:val="0"/>
              <w:keepLines w:val="0"/>
              <w:widowControl/>
              <w:suppressLineNumbers w:val="0"/>
              <w:adjustRightIn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履约保证金</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szCs w:val="20"/>
              </w:rPr>
              <w:fldChar w:fldCharType="begin"/>
            </w:r>
            <w:r>
              <w:rPr>
                <w:rFonts w:hint="eastAsia" w:ascii="宋体" w:hAnsi="宋体" w:cs="宋体"/>
                <w:szCs w:val="20"/>
              </w:rPr>
              <w:instrText xml:space="preserve"> eq \o\ac(□,√)</w:instrText>
            </w:r>
            <w:r>
              <w:rPr>
                <w:rFonts w:hint="eastAsia" w:ascii="宋体" w:hAnsi="宋体" w:cs="宋体"/>
                <w:szCs w:val="20"/>
              </w:rPr>
              <w:fldChar w:fldCharType="end"/>
            </w:r>
            <w:r>
              <w:rPr>
                <w:rFonts w:hint="eastAsia" w:ascii="宋体" w:hAnsi="宋体" w:cs="宋体"/>
                <w:color w:val="000000"/>
                <w:szCs w:val="21"/>
              </w:rPr>
              <w:t>不需要</w:t>
            </w:r>
          </w:p>
          <w:p>
            <w:pPr>
              <w:keepNext w:val="0"/>
              <w:keepLines w:val="0"/>
              <w:widowControl/>
              <w:suppressLineNumbers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szCs w:val="21"/>
              </w:rPr>
              <w:t>□</w:t>
            </w:r>
            <w:r>
              <w:rPr>
                <w:rFonts w:hint="eastAsia" w:ascii="宋体" w:hAnsi="宋体" w:cs="宋体"/>
                <w:color w:val="000000"/>
                <w:szCs w:val="21"/>
              </w:rPr>
              <w:t xml:space="preserve">需要 </w:t>
            </w:r>
            <w:r>
              <w:rPr>
                <w:rFonts w:hint="eastAsia" w:ascii="宋体" w:hAnsi="宋体" w:cs="宋体"/>
                <w:b/>
                <w:bCs/>
                <w:color w:val="FF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Cs w:val="21"/>
              </w:rPr>
              <w:t>17</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评标方法</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2"/>
              </w:rPr>
              <w:t xml:space="preserve">综合评分法  </w:t>
            </w:r>
            <w:r>
              <w:rPr>
                <w:rFonts w:hint="eastAsia" w:ascii="宋体" w:hAnsi="宋体" w:cs="宋体"/>
                <w:szCs w:val="21"/>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705" w:type="dxa"/>
            <w:vAlign w:val="center"/>
          </w:tcPr>
          <w:p>
            <w:pPr>
              <w:keepNext w:val="0"/>
              <w:keepLines w:val="0"/>
              <w:widowControl/>
              <w:suppressLineNumbers w:val="0"/>
              <w:adjustRightInd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szCs w:val="21"/>
              </w:rPr>
              <w:t>18</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投标有效期</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rPr>
            </w:pPr>
            <w:r>
              <w:rPr>
                <w:rFonts w:hint="eastAsia" w:ascii="宋体" w:hAnsi="宋体" w:cs="宋体"/>
                <w:szCs w:val="21"/>
              </w:rPr>
              <w:t>提交投标文件截止之日起</w:t>
            </w:r>
            <w:r>
              <w:rPr>
                <w:rFonts w:hint="default" w:ascii="Times New Roman" w:hAnsi="Times New Roman" w:cs="Times New Roman"/>
                <w:szCs w:val="21"/>
              </w:rPr>
              <w:t>90</w:t>
            </w:r>
            <w:r>
              <w:rPr>
                <w:rFonts w:hint="eastAsia" w:ascii="宋体" w:hAnsi="宋体" w:cs="宋体"/>
                <w:szCs w:val="21"/>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2" w:hRule="atLeast"/>
          <w:jc w:val="center"/>
        </w:trPr>
        <w:tc>
          <w:tcPr>
            <w:tcW w:w="705" w:type="dxa"/>
            <w:vAlign w:val="center"/>
          </w:tcPr>
          <w:p>
            <w:pPr>
              <w:keepNext w:val="0"/>
              <w:keepLines w:val="0"/>
              <w:widowControl/>
              <w:suppressLineNumbers w:val="0"/>
              <w:adjustRightInd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19</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 xml:space="preserve"> 获取招标文件</w:t>
            </w:r>
          </w:p>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时间</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highlight w:val="none"/>
              </w:rPr>
            </w:pPr>
            <w:r>
              <w:rPr>
                <w:rFonts w:hint="eastAsia" w:ascii="宋体" w:hAnsi="宋体" w:cs="宋体"/>
                <w:szCs w:val="21"/>
                <w:highlight w:val="none"/>
                <w:u w:val="single"/>
                <w:lang w:eastAsia="zh-CN"/>
              </w:rPr>
              <w:t>2022年</w:t>
            </w:r>
            <w:r>
              <w:rPr>
                <w:rFonts w:hint="eastAsia" w:ascii="宋体" w:hAnsi="宋体" w:cs="宋体"/>
                <w:szCs w:val="21"/>
                <w:highlight w:val="none"/>
                <w:u w:val="single"/>
                <w:lang w:val="en-US" w:eastAsia="zh-CN"/>
              </w:rPr>
              <w:t>6</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30</w:t>
            </w:r>
            <w:r>
              <w:rPr>
                <w:rFonts w:hint="eastAsia" w:ascii="宋体" w:hAnsi="宋体" w:cs="宋体"/>
                <w:szCs w:val="21"/>
                <w:highlight w:val="none"/>
                <w:u w:val="single"/>
                <w:lang w:eastAsia="zh-CN"/>
              </w:rPr>
              <w:t>日</w:t>
            </w:r>
            <w:r>
              <w:rPr>
                <w:rFonts w:hint="eastAsia" w:ascii="宋体" w:hAnsi="宋体" w:cs="宋体"/>
                <w:szCs w:val="21"/>
                <w:highlight w:val="none"/>
                <w:u w:val="single"/>
              </w:rPr>
              <w:t>至投标截止时间止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2" w:hRule="atLeast"/>
          <w:jc w:val="center"/>
        </w:trPr>
        <w:tc>
          <w:tcPr>
            <w:tcW w:w="705" w:type="dxa"/>
            <w:vAlign w:val="center"/>
          </w:tcPr>
          <w:p>
            <w:pPr>
              <w:keepNext w:val="0"/>
              <w:keepLines w:val="0"/>
              <w:widowControl/>
              <w:suppressLineNumbers w:val="0"/>
              <w:adjustRightInd w:val="0"/>
              <w:spacing w:before="0" w:beforeAutospacing="0" w:after="0" w:afterAutospacing="0" w:line="360" w:lineRule="auto"/>
              <w:ind w:left="0" w:right="0"/>
              <w:jc w:val="center"/>
              <w:rPr>
                <w:rFonts w:hint="default" w:ascii="Times New Roman" w:hAnsi="Times New Roman" w:cs="Times New Roman"/>
                <w:color w:val="FF0000"/>
                <w:szCs w:val="21"/>
              </w:rPr>
            </w:pPr>
            <w:r>
              <w:rPr>
                <w:rFonts w:hint="default" w:ascii="Times New Roman" w:hAnsi="Times New Roman" w:cs="Times New Roman"/>
                <w:color w:val="000000"/>
                <w:szCs w:val="21"/>
              </w:rPr>
              <w:t>20</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提交投标文件</w:t>
            </w:r>
          </w:p>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截止时间及</w:t>
            </w:r>
          </w:p>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开标时间</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highlight w:val="none"/>
              </w:rPr>
            </w:pPr>
            <w:r>
              <w:rPr>
                <w:rFonts w:hint="eastAsia" w:ascii="宋体" w:hAnsi="宋体" w:cs="宋体"/>
                <w:szCs w:val="22"/>
                <w:highlight w:val="none"/>
                <w:u w:val="single"/>
                <w:lang w:eastAsia="zh-CN"/>
              </w:rPr>
              <w:t>2022年7月25日</w:t>
            </w:r>
            <w:r>
              <w:rPr>
                <w:rFonts w:hint="eastAsia" w:ascii="宋体" w:hAnsi="宋体" w:cs="宋体"/>
                <w:szCs w:val="22"/>
                <w:highlight w:val="none"/>
                <w:u w:val="single"/>
              </w:rPr>
              <w:t>9时00分（北京时间）</w:t>
            </w:r>
            <w:r>
              <w:rPr>
                <w:rFonts w:hint="eastAsia" w:ascii="宋体" w:hAnsi="宋体" w:cs="宋体"/>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2"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21</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公告发布媒体</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rPr>
            </w:pPr>
            <w:r>
              <w:rPr>
                <w:rFonts w:hint="eastAsia" w:ascii="宋体" w:hAnsi="宋体" w:cs="宋体"/>
                <w:szCs w:val="22"/>
              </w:rPr>
              <w:t>浙江政府采购网、瑞安市人民政府-公共资源交易网。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2" w:hRule="atLeast"/>
          <w:jc w:val="center"/>
        </w:trPr>
        <w:tc>
          <w:tcPr>
            <w:tcW w:w="705"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Times New Roman"/>
                <w:color w:val="000000"/>
                <w:szCs w:val="21"/>
              </w:rPr>
            </w:pPr>
            <w:r>
              <w:rPr>
                <w:rFonts w:hint="eastAsia" w:ascii="Times New Roman" w:hAnsi="Times New Roman" w:cs="Times New Roman"/>
                <w:color w:val="000000"/>
                <w:szCs w:val="21"/>
              </w:rPr>
              <w:t>22</w:t>
            </w:r>
          </w:p>
        </w:tc>
        <w:tc>
          <w:tcPr>
            <w:tcW w:w="1781"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2"/>
              </w:rPr>
            </w:pPr>
            <w:r>
              <w:rPr>
                <w:rFonts w:hint="eastAsia" w:ascii="宋体" w:hAnsi="宋体" w:cs="宋体"/>
                <w:szCs w:val="22"/>
              </w:rPr>
              <w:t>解释权</w:t>
            </w:r>
          </w:p>
        </w:tc>
        <w:tc>
          <w:tcPr>
            <w:tcW w:w="603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cs="宋体"/>
                <w:szCs w:val="22"/>
              </w:rPr>
            </w:pPr>
            <w:r>
              <w:rPr>
                <w:rFonts w:hint="eastAsia" w:ascii="宋体" w:hAnsi="宋体" w:cs="宋体"/>
                <w:szCs w:val="22"/>
              </w:rPr>
              <w:t>本招标文件的解释权属于招标采购单位。</w:t>
            </w:r>
          </w:p>
        </w:tc>
      </w:tr>
    </w:tbl>
    <w:p>
      <w:pPr>
        <w:pStyle w:val="4"/>
        <w:spacing w:before="156" w:beforeLines="50" w:after="156" w:afterLines="50" w:line="360" w:lineRule="auto"/>
        <w:jc w:val="center"/>
        <w:rPr>
          <w:rFonts w:hint="eastAsia" w:ascii="宋体" w:hAnsi="宋体" w:cs="宋体"/>
          <w:sz w:val="28"/>
          <w:szCs w:val="28"/>
        </w:rPr>
      </w:pPr>
      <w:r>
        <w:rPr>
          <w:rFonts w:hint="eastAsia" w:ascii="宋体" w:hAnsi="宋体" w:cs="宋体"/>
        </w:rPr>
        <w:br w:type="page"/>
      </w:r>
      <w:bookmarkStart w:id="141" w:name="_Toc14854"/>
      <w:bookmarkStart w:id="142" w:name="_Toc6214"/>
      <w:bookmarkStart w:id="143" w:name="_Toc367"/>
      <w:bookmarkStart w:id="144" w:name="_Toc27333"/>
      <w:bookmarkStart w:id="145" w:name="_Toc29221"/>
      <w:bookmarkStart w:id="146" w:name="_Toc32235"/>
      <w:bookmarkStart w:id="147" w:name="_Toc20010"/>
      <w:bookmarkStart w:id="148" w:name="_Toc23267"/>
      <w:bookmarkStart w:id="149" w:name="_Toc28710"/>
      <w:bookmarkStart w:id="150" w:name="_Toc12181"/>
      <w:bookmarkStart w:id="151" w:name="_Toc22119"/>
      <w:bookmarkStart w:id="152" w:name="_Toc32029"/>
      <w:bookmarkStart w:id="153" w:name="_Toc32230"/>
      <w:bookmarkStart w:id="154" w:name="_Toc23130"/>
      <w:bookmarkStart w:id="155" w:name="_Toc13681"/>
      <w:bookmarkStart w:id="156" w:name="_Toc5262"/>
      <w:bookmarkStart w:id="157" w:name="_Toc3658"/>
      <w:bookmarkStart w:id="158" w:name="_Toc31325"/>
      <w:bookmarkStart w:id="159" w:name="_Toc9026"/>
      <w:bookmarkStart w:id="160" w:name="_Toc31557"/>
      <w:bookmarkStart w:id="161" w:name="_Toc28963"/>
      <w:bookmarkStart w:id="162" w:name="_Toc13009"/>
      <w:bookmarkStart w:id="163" w:name="_Toc4643"/>
      <w:bookmarkStart w:id="164" w:name="_Toc24477"/>
      <w:bookmarkStart w:id="165" w:name="_Toc6565"/>
      <w:bookmarkStart w:id="166" w:name="_Toc14563"/>
      <w:bookmarkStart w:id="167" w:name="_Toc29431"/>
      <w:bookmarkStart w:id="168" w:name="_Toc860"/>
      <w:bookmarkStart w:id="169" w:name="_Toc18103"/>
      <w:bookmarkStart w:id="170" w:name="_Toc17124"/>
      <w:bookmarkStart w:id="171" w:name="_Toc21646"/>
      <w:r>
        <w:rPr>
          <w:rStyle w:val="139"/>
          <w:rFonts w:hint="eastAsia" w:hAnsi="宋体" w:cs="宋体"/>
          <w:b/>
          <w:bCs w:val="0"/>
          <w:sz w:val="28"/>
          <w:szCs w:val="28"/>
        </w:rPr>
        <w:t>第二部分  投标人须知</w:t>
      </w:r>
      <w:bookmarkEnd w:id="141"/>
      <w:bookmarkEnd w:id="142"/>
      <w:bookmarkEnd w:id="143"/>
    </w:p>
    <w:p>
      <w:pPr>
        <w:pStyle w:val="4"/>
        <w:numPr>
          <w:ilvl w:val="0"/>
          <w:numId w:val="10"/>
        </w:numPr>
        <w:spacing w:before="156" w:beforeLines="50" w:after="156" w:afterLines="50" w:line="360" w:lineRule="auto"/>
        <w:jc w:val="center"/>
        <w:rPr>
          <w:rFonts w:hint="eastAsia" w:ascii="宋体" w:hAnsi="宋体" w:cs="宋体"/>
          <w:sz w:val="24"/>
          <w:szCs w:val="24"/>
        </w:rPr>
      </w:pPr>
      <w:bookmarkStart w:id="172" w:name="_Toc19617"/>
      <w:bookmarkStart w:id="173" w:name="_Toc30538"/>
      <w:bookmarkStart w:id="174" w:name="_Toc12598"/>
      <w:r>
        <w:rPr>
          <w:rFonts w:hint="eastAsia" w:ascii="宋体" w:hAnsi="宋体" w:cs="宋体"/>
          <w:sz w:val="24"/>
          <w:szCs w:val="24"/>
        </w:rPr>
        <w:t>总   则</w:t>
      </w:r>
      <w:bookmarkEnd w:id="172"/>
      <w:bookmarkEnd w:id="173"/>
      <w:bookmarkEnd w:id="174"/>
    </w:p>
    <w:p>
      <w:pPr>
        <w:numPr>
          <w:ilvl w:val="0"/>
          <w:numId w:val="11"/>
        </w:numPr>
        <w:snapToGrid w:val="0"/>
        <w:spacing w:line="360" w:lineRule="auto"/>
        <w:ind w:hanging="5"/>
        <w:jc w:val="both"/>
        <w:rPr>
          <w:rFonts w:hint="eastAsia"/>
          <w:b/>
          <w:sz w:val="24"/>
        </w:rPr>
      </w:pPr>
      <w:r>
        <w:rPr>
          <w:rFonts w:hint="eastAsia"/>
          <w:b/>
          <w:sz w:val="24"/>
        </w:rPr>
        <w:t>说明</w:t>
      </w:r>
    </w:p>
    <w:p>
      <w:pPr>
        <w:numPr>
          <w:ilvl w:val="1"/>
          <w:numId w:val="12"/>
        </w:numPr>
        <w:tabs>
          <w:tab w:val="clear" w:pos="562"/>
        </w:tabs>
        <w:snapToGrid w:val="0"/>
        <w:spacing w:line="360" w:lineRule="auto"/>
        <w:ind w:left="7" w:firstLine="413"/>
        <w:jc w:val="both"/>
        <w:rPr>
          <w:rFonts w:hint="eastAsia"/>
          <w:szCs w:val="22"/>
        </w:rPr>
      </w:pPr>
      <w:r>
        <w:rPr>
          <w:rFonts w:hint="eastAsia"/>
          <w:szCs w:val="22"/>
        </w:rPr>
        <w:t>本次招标工作是按照《中华人民共和国政府采购法》《中华人民共和国政府采购法实施条</w:t>
      </w:r>
      <w:r>
        <w:rPr>
          <w:rFonts w:hint="eastAsia"/>
        </w:rPr>
        <w:t>例》《政府采购货物和服务招标投标管理办法》《浙江省政府采购项目电子交易管理暂行办法》</w:t>
      </w:r>
      <w:r>
        <w:rPr>
          <w:rFonts w:hint="eastAsia"/>
          <w:szCs w:val="21"/>
        </w:rPr>
        <w:t>等相关政府采购法律法规</w:t>
      </w:r>
      <w:r>
        <w:rPr>
          <w:rFonts w:hint="eastAsia"/>
        </w:rPr>
        <w:t>组织和实施。</w:t>
      </w:r>
    </w:p>
    <w:p>
      <w:pPr>
        <w:numPr>
          <w:ilvl w:val="1"/>
          <w:numId w:val="12"/>
        </w:numPr>
        <w:tabs>
          <w:tab w:val="clear" w:pos="562"/>
        </w:tabs>
        <w:snapToGrid w:val="0"/>
        <w:spacing w:line="360" w:lineRule="auto"/>
        <w:ind w:left="7" w:firstLine="413"/>
        <w:jc w:val="both"/>
        <w:rPr>
          <w:rFonts w:hint="eastAsia"/>
          <w:szCs w:val="22"/>
        </w:rPr>
      </w:pPr>
      <w:r>
        <w:rPr>
          <w:rFonts w:hint="eastAsia"/>
          <w:szCs w:val="22"/>
        </w:rPr>
        <w:t>投标人须知为招标文件的通用条款，如通用条款与前附表、用户需求、合同条款等特定条款不一致的，请按特定条款执行。</w:t>
      </w:r>
    </w:p>
    <w:p>
      <w:pPr>
        <w:numPr>
          <w:ilvl w:val="0"/>
          <w:numId w:val="11"/>
        </w:numPr>
        <w:snapToGrid w:val="0"/>
        <w:spacing w:line="360" w:lineRule="auto"/>
        <w:ind w:hanging="5"/>
        <w:jc w:val="both"/>
        <w:rPr>
          <w:rFonts w:hint="eastAsia"/>
          <w:b/>
          <w:sz w:val="24"/>
          <w:szCs w:val="22"/>
        </w:rPr>
      </w:pPr>
      <w:r>
        <w:rPr>
          <w:rFonts w:hint="eastAsia"/>
          <w:b/>
          <w:sz w:val="24"/>
          <w:szCs w:val="22"/>
        </w:rPr>
        <w:t>定义及解释</w:t>
      </w:r>
    </w:p>
    <w:p>
      <w:pPr>
        <w:numPr>
          <w:ilvl w:val="1"/>
          <w:numId w:val="11"/>
        </w:numPr>
        <w:tabs>
          <w:tab w:val="clear" w:pos="562"/>
        </w:tabs>
        <w:snapToGrid w:val="0"/>
        <w:spacing w:line="360" w:lineRule="auto"/>
        <w:ind w:hanging="147"/>
        <w:jc w:val="both"/>
        <w:rPr>
          <w:rFonts w:hint="eastAsia"/>
          <w:szCs w:val="22"/>
        </w:rPr>
      </w:pPr>
      <w:r>
        <w:rPr>
          <w:rFonts w:hint="eastAsia"/>
          <w:szCs w:val="22"/>
        </w:rPr>
        <w:t>采购人：</w:t>
      </w:r>
      <w:r>
        <w:rPr>
          <w:rFonts w:hint="eastAsia" w:ascii="宋体" w:hAnsi="宋体" w:cs="宋体"/>
          <w:szCs w:val="21"/>
        </w:rPr>
        <w:t>瑞安市妇幼保健院</w:t>
      </w:r>
      <w:r>
        <w:rPr>
          <w:rFonts w:hint="eastAsia"/>
          <w:szCs w:val="22"/>
        </w:rPr>
        <w:t>。</w:t>
      </w:r>
    </w:p>
    <w:p>
      <w:pPr>
        <w:numPr>
          <w:ilvl w:val="1"/>
          <w:numId w:val="11"/>
        </w:numPr>
        <w:snapToGrid w:val="0"/>
        <w:spacing w:line="360" w:lineRule="auto"/>
        <w:ind w:hanging="147"/>
        <w:jc w:val="both"/>
        <w:rPr>
          <w:rFonts w:hint="eastAsia"/>
          <w:szCs w:val="22"/>
        </w:rPr>
      </w:pPr>
      <w:r>
        <w:rPr>
          <w:rFonts w:hint="eastAsia"/>
          <w:szCs w:val="22"/>
        </w:rPr>
        <w:t>集中采购机构：依法组织本次招标的瑞安市公共资源交易中心。</w:t>
      </w:r>
    </w:p>
    <w:p>
      <w:pPr>
        <w:numPr>
          <w:ilvl w:val="1"/>
          <w:numId w:val="11"/>
        </w:numPr>
        <w:snapToGrid w:val="0"/>
        <w:spacing w:line="360" w:lineRule="auto"/>
        <w:ind w:hanging="147"/>
        <w:jc w:val="both"/>
        <w:rPr>
          <w:rFonts w:hint="eastAsia"/>
          <w:szCs w:val="22"/>
        </w:rPr>
      </w:pPr>
      <w:r>
        <w:rPr>
          <w:rFonts w:hint="eastAsia"/>
          <w:szCs w:val="22"/>
        </w:rPr>
        <w:t>招标采购单位：统指组织本次采购的集中采购机构及采购人。</w:t>
      </w:r>
    </w:p>
    <w:p>
      <w:pPr>
        <w:numPr>
          <w:ilvl w:val="1"/>
          <w:numId w:val="11"/>
        </w:numPr>
        <w:snapToGrid w:val="0"/>
        <w:spacing w:line="360" w:lineRule="auto"/>
        <w:ind w:hanging="147"/>
        <w:jc w:val="both"/>
        <w:rPr>
          <w:rFonts w:hint="eastAsia"/>
          <w:szCs w:val="22"/>
        </w:rPr>
      </w:pPr>
      <w:r>
        <w:rPr>
          <w:rFonts w:hint="eastAsia"/>
          <w:szCs w:val="22"/>
        </w:rPr>
        <w:t>投标人：指响应采购、参加投标竞争的依法成立的投标人。</w:t>
      </w:r>
    </w:p>
    <w:p>
      <w:pPr>
        <w:numPr>
          <w:ilvl w:val="1"/>
          <w:numId w:val="11"/>
        </w:numPr>
        <w:tabs>
          <w:tab w:val="left" w:pos="-200"/>
          <w:tab w:val="clear" w:pos="562"/>
        </w:tabs>
        <w:snapToGrid w:val="0"/>
        <w:spacing w:line="360" w:lineRule="auto"/>
        <w:ind w:left="7" w:firstLine="413"/>
        <w:jc w:val="both"/>
        <w:rPr>
          <w:rFonts w:hint="eastAsia"/>
          <w:szCs w:val="22"/>
        </w:rPr>
      </w:pPr>
      <w:r>
        <w:rPr>
          <w:rFonts w:hint="eastAsia"/>
          <w:szCs w:val="22"/>
        </w:rPr>
        <w:t>中标候选人：指评标委员会按招标文件规定的评标办法与规则推荐的中标候选投标人。</w:t>
      </w:r>
    </w:p>
    <w:p>
      <w:pPr>
        <w:numPr>
          <w:ilvl w:val="1"/>
          <w:numId w:val="11"/>
        </w:numPr>
        <w:tabs>
          <w:tab w:val="left" w:pos="0"/>
          <w:tab w:val="clear" w:pos="562"/>
        </w:tabs>
        <w:snapToGrid w:val="0"/>
        <w:spacing w:line="360" w:lineRule="auto"/>
        <w:ind w:left="7" w:firstLine="413"/>
        <w:jc w:val="both"/>
        <w:rPr>
          <w:rFonts w:hint="eastAsia"/>
          <w:szCs w:val="22"/>
        </w:rPr>
      </w:pPr>
      <w:r>
        <w:rPr>
          <w:rFonts w:hint="eastAsia"/>
          <w:szCs w:val="22"/>
        </w:rPr>
        <w:t>中标人：指在本次招标中中标的投标人。</w:t>
      </w:r>
    </w:p>
    <w:p>
      <w:pPr>
        <w:numPr>
          <w:ilvl w:val="1"/>
          <w:numId w:val="11"/>
        </w:numPr>
        <w:tabs>
          <w:tab w:val="left" w:pos="0"/>
          <w:tab w:val="clear" w:pos="562"/>
        </w:tabs>
        <w:snapToGrid w:val="0"/>
        <w:spacing w:line="360" w:lineRule="auto"/>
        <w:ind w:left="7" w:firstLine="413"/>
        <w:jc w:val="both"/>
        <w:rPr>
          <w:rFonts w:hint="eastAsia"/>
          <w:szCs w:val="22"/>
        </w:rPr>
      </w:pPr>
      <w:r>
        <w:rPr>
          <w:rFonts w:hint="eastAsia"/>
          <w:szCs w:val="22"/>
        </w:rPr>
        <w:t>评标委员会：评标委员会是依据《中华人民共和国政府采购法》《政府采购货物和服务招标投标管理办法》等相关政府采购法律法规规定，结合本项目实际组建的专门负责采购评审工作的临时性机构。</w:t>
      </w:r>
    </w:p>
    <w:p>
      <w:pPr>
        <w:numPr>
          <w:ilvl w:val="1"/>
          <w:numId w:val="11"/>
        </w:numPr>
        <w:tabs>
          <w:tab w:val="clear" w:pos="562"/>
        </w:tabs>
        <w:snapToGrid w:val="0"/>
        <w:spacing w:line="360" w:lineRule="auto"/>
        <w:ind w:left="7" w:firstLine="413"/>
        <w:jc w:val="both"/>
        <w:rPr>
          <w:rFonts w:hint="eastAsia"/>
          <w:szCs w:val="22"/>
        </w:rPr>
      </w:pPr>
      <w:r>
        <w:rPr>
          <w:rFonts w:hint="eastAsia"/>
          <w:szCs w:val="22"/>
        </w:rPr>
        <w:t>电子交易平台：指本项目政府采购活动所依托的浙江省政府采购云平台（</w:t>
      </w:r>
      <w:r>
        <w:rPr>
          <w:rFonts w:ascii="Arial" w:hAnsi="Arial" w:cs="Arial"/>
          <w:szCs w:val="22"/>
        </w:rPr>
        <w:t>https://www.zcygov.cn/</w:t>
      </w:r>
      <w:r>
        <w:rPr>
          <w:rFonts w:hint="eastAsia"/>
          <w:szCs w:val="22"/>
        </w:rPr>
        <w:t>）。</w:t>
      </w:r>
    </w:p>
    <w:p>
      <w:pPr>
        <w:numPr>
          <w:ilvl w:val="1"/>
          <w:numId w:val="11"/>
        </w:numPr>
        <w:tabs>
          <w:tab w:val="clear" w:pos="562"/>
        </w:tabs>
        <w:snapToGrid w:val="0"/>
        <w:spacing w:line="360" w:lineRule="auto"/>
        <w:ind w:left="7" w:firstLine="413"/>
        <w:jc w:val="both"/>
        <w:rPr>
          <w:rFonts w:hint="eastAsia"/>
          <w:szCs w:val="22"/>
        </w:rPr>
      </w:pPr>
      <w:r>
        <w:rPr>
          <w:rFonts w:hint="eastAsia"/>
          <w:szCs w:val="22"/>
        </w:rPr>
        <w:t>电子签章：指各投标人通过CA锁对投标文件中对应内容进行签章，表明签名人认可其中的内容。</w:t>
      </w:r>
    </w:p>
    <w:p>
      <w:pPr>
        <w:numPr>
          <w:ilvl w:val="1"/>
          <w:numId w:val="11"/>
        </w:numPr>
        <w:tabs>
          <w:tab w:val="left" w:pos="840"/>
          <w:tab w:val="clear" w:pos="562"/>
        </w:tabs>
        <w:snapToGrid w:val="0"/>
        <w:spacing w:line="360" w:lineRule="auto"/>
        <w:ind w:hanging="147"/>
        <w:jc w:val="both"/>
        <w:rPr>
          <w:rFonts w:hint="eastAsia"/>
          <w:szCs w:val="22"/>
        </w:rPr>
      </w:pPr>
      <w:r>
        <w:rPr>
          <w:rFonts w:hint="eastAsia"/>
          <w:szCs w:val="22"/>
        </w:rPr>
        <w:t>公章：指单位法定名称章。</w:t>
      </w:r>
    </w:p>
    <w:p>
      <w:pPr>
        <w:numPr>
          <w:ilvl w:val="1"/>
          <w:numId w:val="11"/>
        </w:numPr>
        <w:tabs>
          <w:tab w:val="left" w:pos="0"/>
          <w:tab w:val="left" w:pos="840"/>
          <w:tab w:val="clear" w:pos="562"/>
        </w:tabs>
        <w:snapToGrid w:val="0"/>
        <w:spacing w:line="360" w:lineRule="auto"/>
        <w:ind w:left="7" w:firstLine="413"/>
        <w:jc w:val="both"/>
        <w:rPr>
          <w:rFonts w:hint="eastAsia"/>
          <w:szCs w:val="22"/>
        </w:rPr>
      </w:pPr>
      <w:r>
        <w:rPr>
          <w:rFonts w:hint="eastAsia"/>
          <w:szCs w:val="22"/>
        </w:rPr>
        <w:t>书面形式：包括数据电文形式与纸质形式。数据电文形式与纸质形式的采购活动具有同等法律效力。</w:t>
      </w:r>
    </w:p>
    <w:p>
      <w:pPr>
        <w:numPr>
          <w:ilvl w:val="0"/>
          <w:numId w:val="11"/>
        </w:numPr>
        <w:snapToGrid w:val="0"/>
        <w:spacing w:line="360" w:lineRule="auto"/>
        <w:ind w:hanging="5"/>
        <w:jc w:val="both"/>
        <w:rPr>
          <w:rFonts w:hint="eastAsia"/>
          <w:b/>
          <w:sz w:val="24"/>
          <w:szCs w:val="22"/>
        </w:rPr>
      </w:pPr>
      <w:r>
        <w:rPr>
          <w:rFonts w:hint="eastAsia"/>
          <w:b/>
          <w:sz w:val="24"/>
          <w:szCs w:val="22"/>
        </w:rPr>
        <w:t>合格的投标人</w:t>
      </w:r>
    </w:p>
    <w:p>
      <w:pPr>
        <w:numPr>
          <w:ilvl w:val="1"/>
          <w:numId w:val="11"/>
        </w:numPr>
        <w:tabs>
          <w:tab w:val="left" w:pos="0"/>
          <w:tab w:val="clear" w:pos="562"/>
        </w:tabs>
        <w:snapToGrid w:val="0"/>
        <w:spacing w:line="360" w:lineRule="auto"/>
        <w:ind w:left="7" w:firstLine="413"/>
        <w:jc w:val="both"/>
        <w:rPr>
          <w:rFonts w:hint="eastAsia"/>
          <w:snapToGrid w:val="0"/>
          <w:color w:val="000000"/>
          <w:szCs w:val="22"/>
        </w:rPr>
      </w:pPr>
      <w:r>
        <w:rPr>
          <w:rFonts w:hint="eastAsia"/>
          <w:szCs w:val="22"/>
        </w:rPr>
        <w:t>按招标公告第二条“申请人的资格要求”，经采购人或集中采购机构审查通过的投标人。</w:t>
      </w:r>
    </w:p>
    <w:p>
      <w:pPr>
        <w:numPr>
          <w:ilvl w:val="1"/>
          <w:numId w:val="11"/>
        </w:numPr>
        <w:snapToGrid w:val="0"/>
        <w:spacing w:line="360" w:lineRule="auto"/>
        <w:ind w:hanging="147"/>
        <w:jc w:val="both"/>
        <w:rPr>
          <w:rFonts w:hint="eastAsia"/>
          <w:snapToGrid w:val="0"/>
          <w:color w:val="000000"/>
          <w:szCs w:val="22"/>
        </w:rPr>
      </w:pPr>
      <w:r>
        <w:rPr>
          <w:rFonts w:hint="eastAsia"/>
          <w:szCs w:val="22"/>
        </w:rPr>
        <w:t>投标人是否存在以下不良信用记录</w:t>
      </w:r>
    </w:p>
    <w:p>
      <w:pPr>
        <w:numPr>
          <w:ilvl w:val="2"/>
          <w:numId w:val="11"/>
        </w:numPr>
        <w:tabs>
          <w:tab w:val="left" w:pos="840"/>
        </w:tabs>
        <w:snapToGrid w:val="0"/>
        <w:spacing w:line="360" w:lineRule="auto"/>
        <w:ind w:left="9" w:firstLine="411"/>
        <w:jc w:val="both"/>
        <w:rPr>
          <w:rFonts w:hint="eastAsia"/>
          <w:snapToGrid w:val="0"/>
          <w:color w:val="000000"/>
          <w:szCs w:val="22"/>
        </w:rPr>
      </w:pPr>
      <w:r>
        <w:rPr>
          <w:rFonts w:hint="eastAsia"/>
          <w:snapToGrid w:val="0"/>
          <w:color w:val="000000"/>
          <w:szCs w:val="22"/>
        </w:rPr>
        <w:t xml:space="preserve"> 以开标当日资格审查结束前，采购人于“信用中国”（</w:t>
      </w:r>
      <w:r>
        <w:rPr>
          <w:rFonts w:hint="eastAsia" w:ascii="Arial" w:hAnsi="Arial" w:cs="Arial"/>
          <w:szCs w:val="22"/>
        </w:rPr>
        <w:t>www.creditchina.gov.cn</w:t>
      </w:r>
      <w:r>
        <w:rPr>
          <w:rFonts w:hint="eastAsia"/>
          <w:snapToGrid w:val="0"/>
          <w:color w:val="000000"/>
          <w:szCs w:val="22"/>
        </w:rPr>
        <w:t>）、“中国政府采购网”（</w:t>
      </w:r>
      <w:r>
        <w:rPr>
          <w:rFonts w:hint="eastAsia" w:ascii="Arial" w:hAnsi="Arial" w:cs="Arial"/>
          <w:szCs w:val="22"/>
        </w:rPr>
        <w:t>www.ccgp.gov.cn</w:t>
      </w:r>
      <w:r>
        <w:rPr>
          <w:rFonts w:hint="eastAsia"/>
          <w:snapToGrid w:val="0"/>
          <w:color w:val="000000"/>
          <w:szCs w:val="22"/>
        </w:rPr>
        <w:t>）网站查询结果为准，网页截图并打印存档，对列入失信被执行人、重大税收违法案件当事人名单、政府采购严重违法失信行为记录名单及其他不符合《中华人民共和国政府采购法》第二十二条规定条件的投标人，应当拒绝其参与政府采购活动。</w:t>
      </w:r>
    </w:p>
    <w:p>
      <w:pPr>
        <w:numPr>
          <w:ilvl w:val="2"/>
          <w:numId w:val="11"/>
        </w:numPr>
        <w:tabs>
          <w:tab w:val="left" w:pos="840"/>
        </w:tabs>
        <w:snapToGrid w:val="0"/>
        <w:spacing w:line="360" w:lineRule="auto"/>
        <w:ind w:left="9" w:firstLine="411"/>
        <w:jc w:val="both"/>
        <w:rPr>
          <w:rFonts w:hint="eastAsia"/>
          <w:snapToGrid w:val="0"/>
          <w:color w:val="000000"/>
          <w:szCs w:val="22"/>
        </w:rPr>
      </w:pPr>
      <w:r>
        <w:rPr>
          <w:rFonts w:hint="eastAsia"/>
          <w:snapToGrid w:val="0"/>
          <w:color w:val="000000"/>
          <w:szCs w:val="22"/>
        </w:rPr>
        <w:t xml:space="preserve"> 联合体投标时，采购人将对所有联合体成员进行信用记录查询，联合体成员存在不良信用记录的，视同联合体存在不良信用记录。</w:t>
      </w:r>
    </w:p>
    <w:p>
      <w:pPr>
        <w:numPr>
          <w:ilvl w:val="1"/>
          <w:numId w:val="11"/>
        </w:numPr>
        <w:snapToGrid w:val="0"/>
        <w:spacing w:line="360" w:lineRule="auto"/>
        <w:ind w:hanging="147"/>
        <w:jc w:val="both"/>
        <w:rPr>
          <w:rFonts w:hint="eastAsia"/>
          <w:szCs w:val="22"/>
        </w:rPr>
      </w:pPr>
      <w:r>
        <w:rPr>
          <w:rFonts w:hint="eastAsia"/>
          <w:szCs w:val="22"/>
        </w:rPr>
        <w:t>对投标人的限制</w:t>
      </w:r>
    </w:p>
    <w:p>
      <w:pPr>
        <w:numPr>
          <w:ilvl w:val="2"/>
          <w:numId w:val="11"/>
        </w:numPr>
        <w:tabs>
          <w:tab w:val="left" w:pos="840"/>
        </w:tabs>
        <w:snapToGrid w:val="0"/>
        <w:spacing w:line="360" w:lineRule="auto"/>
        <w:ind w:left="9" w:firstLine="411"/>
        <w:jc w:val="both"/>
        <w:rPr>
          <w:rFonts w:hint="eastAsia"/>
          <w:snapToGrid w:val="0"/>
          <w:color w:val="000000"/>
          <w:szCs w:val="22"/>
        </w:rPr>
      </w:pPr>
      <w:r>
        <w:rPr>
          <w:rFonts w:hint="eastAsia"/>
          <w:snapToGrid w:val="0"/>
          <w:color w:val="000000"/>
          <w:szCs w:val="22"/>
        </w:rPr>
        <w:t xml:space="preserve"> 单位负责人（指法定代表人或者法律、行政法规规定代表单位行使职权的主要负责人）为同一人或者存在直接控股、管理关系的不同投标人不得分别参加同一合同项下的采购活动。</w:t>
      </w:r>
    </w:p>
    <w:p>
      <w:pPr>
        <w:numPr>
          <w:ilvl w:val="2"/>
          <w:numId w:val="11"/>
        </w:numPr>
        <w:tabs>
          <w:tab w:val="left" w:pos="0"/>
          <w:tab w:val="left" w:pos="840"/>
        </w:tabs>
        <w:snapToGrid w:val="0"/>
        <w:spacing w:line="360" w:lineRule="auto"/>
        <w:ind w:left="9" w:firstLine="411"/>
        <w:jc w:val="both"/>
        <w:rPr>
          <w:rFonts w:hint="eastAsia"/>
          <w:color w:val="000000"/>
          <w:szCs w:val="22"/>
        </w:rPr>
      </w:pPr>
      <w:r>
        <w:rPr>
          <w:rFonts w:hint="eastAsia"/>
          <w:snapToGrid w:val="0"/>
          <w:color w:val="000000"/>
          <w:szCs w:val="22"/>
        </w:rPr>
        <w:t xml:space="preserve"> 为本项目提供过整体设计、规范编制或者项目管理、监理、检测等服务的投标人，不得再参加该采购项目的其他采购活动。</w:t>
      </w:r>
    </w:p>
    <w:p>
      <w:pPr>
        <w:numPr>
          <w:ilvl w:val="2"/>
          <w:numId w:val="11"/>
        </w:numPr>
        <w:tabs>
          <w:tab w:val="left" w:pos="0"/>
          <w:tab w:val="left" w:pos="840"/>
        </w:tabs>
        <w:snapToGrid w:val="0"/>
        <w:spacing w:line="360" w:lineRule="auto"/>
        <w:ind w:left="9" w:firstLine="411"/>
        <w:jc w:val="both"/>
        <w:rPr>
          <w:rFonts w:hint="eastAsia"/>
          <w:color w:val="000000"/>
          <w:szCs w:val="22"/>
        </w:rPr>
      </w:pPr>
      <w:r>
        <w:rPr>
          <w:rFonts w:hint="eastAsia"/>
          <w:color w:val="000000"/>
          <w:szCs w:val="22"/>
        </w:rPr>
        <w:t xml:space="preserve"> 以联合体形式参加政府采购活动的，联合体各方不得再单独参加或者与其他投标人另外组成联合体参加同一合同项下的政府采购活动。</w:t>
      </w:r>
    </w:p>
    <w:p>
      <w:pPr>
        <w:numPr>
          <w:ilvl w:val="0"/>
          <w:numId w:val="11"/>
        </w:numPr>
        <w:snapToGrid w:val="0"/>
        <w:spacing w:line="360" w:lineRule="auto"/>
        <w:ind w:hanging="5"/>
        <w:jc w:val="both"/>
        <w:rPr>
          <w:rFonts w:hint="eastAsia"/>
          <w:b/>
          <w:sz w:val="24"/>
          <w:szCs w:val="22"/>
        </w:rPr>
      </w:pPr>
      <w:r>
        <w:rPr>
          <w:rFonts w:hint="eastAsia"/>
          <w:b/>
          <w:sz w:val="24"/>
          <w:szCs w:val="22"/>
        </w:rPr>
        <w:t>项目需落实的政府采购政策</w:t>
      </w:r>
    </w:p>
    <w:p>
      <w:pPr>
        <w:numPr>
          <w:ilvl w:val="1"/>
          <w:numId w:val="11"/>
        </w:numPr>
        <w:tabs>
          <w:tab w:val="left" w:pos="0"/>
          <w:tab w:val="clear" w:pos="562"/>
        </w:tabs>
        <w:snapToGrid w:val="0"/>
        <w:spacing w:line="360" w:lineRule="auto"/>
        <w:ind w:left="7" w:firstLine="413"/>
        <w:jc w:val="both"/>
        <w:rPr>
          <w:rFonts w:hint="eastAsia"/>
          <w:szCs w:val="22"/>
        </w:rPr>
      </w:pPr>
      <w:r>
        <w:rPr>
          <w:rFonts w:hint="eastAsia"/>
          <w:szCs w:val="22"/>
        </w:rPr>
        <w:t>本项目执行财政部门为实现节约能源、环境保护、科技创新、高质量发展、扶持不发达地区和少数民族地区、</w:t>
      </w:r>
      <w:r>
        <w:rPr>
          <w:rFonts w:hint="eastAsia" w:ascii="宋体" w:hAnsi="宋体" w:cs="宋体"/>
          <w:szCs w:val="22"/>
        </w:rPr>
        <w:t>首台套产品和制造精品的政府首购制度、</w:t>
      </w:r>
      <w:r>
        <w:rPr>
          <w:rFonts w:hint="eastAsia"/>
          <w:szCs w:val="22"/>
        </w:rPr>
        <w:t>促进中小企业、监狱企业、残疾人福利性单位发展等目标制定的政府采购政策。</w:t>
      </w:r>
    </w:p>
    <w:p>
      <w:pPr>
        <w:numPr>
          <w:ilvl w:val="1"/>
          <w:numId w:val="11"/>
        </w:numPr>
        <w:tabs>
          <w:tab w:val="left" w:pos="0"/>
          <w:tab w:val="clear" w:pos="562"/>
        </w:tabs>
        <w:snapToGrid w:val="0"/>
        <w:spacing w:line="360" w:lineRule="auto"/>
        <w:ind w:left="7" w:firstLine="413"/>
        <w:jc w:val="both"/>
        <w:rPr>
          <w:rFonts w:hint="eastAsia"/>
          <w:szCs w:val="22"/>
        </w:rPr>
      </w:pPr>
      <w:r>
        <w:rPr>
          <w:rFonts w:hint="eastAsia"/>
          <w:szCs w:val="22"/>
        </w:rPr>
        <w:t>节能环保要求：本项目执行优先采购节能产品/强制采购节能产品、优先采购环境标志产品政策；对于未列入节能产品、环境标志产品政府采购品目清单的产品类别，鼓励投标人综合考虑节能、节水、环保、循环、低碳、再生、有机等因素，参考相关国家标准、行业标准或团体标准，提供绿色节能、环保产品。</w:t>
      </w:r>
    </w:p>
    <w:p>
      <w:pPr>
        <w:numPr>
          <w:ilvl w:val="1"/>
          <w:numId w:val="11"/>
        </w:numPr>
        <w:tabs>
          <w:tab w:val="left" w:pos="0"/>
          <w:tab w:val="clear" w:pos="562"/>
        </w:tabs>
        <w:snapToGrid w:val="0"/>
        <w:spacing w:line="360" w:lineRule="auto"/>
        <w:ind w:left="7" w:firstLine="413"/>
        <w:jc w:val="both"/>
        <w:rPr>
          <w:rFonts w:hint="eastAsia"/>
          <w:szCs w:val="22"/>
        </w:rPr>
      </w:pPr>
      <w:r>
        <w:rPr>
          <w:rFonts w:hint="eastAsia"/>
          <w:szCs w:val="22"/>
        </w:rPr>
        <w:t>商品包装或快递包：涉及商品包装或快递包装的，按照财政部办公厅、生态环境部办公厅、国家邮政局办公室关于印发《商品包装政府采购需求标准（试行）》、《快递包装政府采购需求标准（试行）》的通知（财办库</w:t>
      </w:r>
      <w:r>
        <w:rPr>
          <w:rFonts w:ascii="Arial" w:hAnsi="Arial" w:cs="Arial"/>
          <w:szCs w:val="22"/>
        </w:rPr>
        <w:t>〔2020〕123</w:t>
      </w:r>
      <w:r>
        <w:rPr>
          <w:rFonts w:hint="eastAsia"/>
          <w:szCs w:val="22"/>
        </w:rPr>
        <w:t xml:space="preserve">号）要求执行。 </w:t>
      </w:r>
    </w:p>
    <w:p>
      <w:pPr>
        <w:numPr>
          <w:ilvl w:val="1"/>
          <w:numId w:val="11"/>
        </w:numPr>
        <w:snapToGrid w:val="0"/>
        <w:spacing w:line="360" w:lineRule="auto"/>
        <w:ind w:hanging="147"/>
        <w:jc w:val="both"/>
        <w:rPr>
          <w:rFonts w:hint="eastAsia"/>
          <w:snapToGrid w:val="0"/>
          <w:szCs w:val="21"/>
        </w:rPr>
      </w:pPr>
      <w:r>
        <w:rPr>
          <w:rFonts w:hint="eastAsia"/>
          <w:szCs w:val="22"/>
        </w:rPr>
        <w:t>支持中小企业发展</w:t>
      </w:r>
    </w:p>
    <w:p>
      <w:pPr>
        <w:numPr>
          <w:ilvl w:val="2"/>
          <w:numId w:val="11"/>
        </w:numPr>
        <w:tabs>
          <w:tab w:val="left" w:pos="840"/>
        </w:tabs>
        <w:snapToGrid w:val="0"/>
        <w:spacing w:line="360" w:lineRule="auto"/>
        <w:ind w:left="9" w:firstLine="411"/>
        <w:jc w:val="both"/>
        <w:rPr>
          <w:rFonts w:hint="eastAsia"/>
          <w:snapToGrid w:val="0"/>
          <w:szCs w:val="21"/>
        </w:rPr>
      </w:pPr>
      <w:r>
        <w:rPr>
          <w:rFonts w:hint="eastAsia"/>
          <w:snapToGrid w:val="0"/>
          <w:szCs w:val="21"/>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微型企业划分标准参照《中小企业划型标准规定》（工信部联企业〔2011〕300号）。</w:t>
      </w:r>
    </w:p>
    <w:p>
      <w:pPr>
        <w:numPr>
          <w:ilvl w:val="2"/>
          <w:numId w:val="11"/>
        </w:numPr>
        <w:tabs>
          <w:tab w:val="left" w:pos="0"/>
          <w:tab w:val="left" w:pos="840"/>
        </w:tabs>
        <w:snapToGrid w:val="0"/>
        <w:spacing w:line="360" w:lineRule="auto"/>
        <w:ind w:left="9" w:firstLine="411"/>
        <w:jc w:val="both"/>
        <w:rPr>
          <w:rFonts w:hint="eastAsia"/>
        </w:rPr>
      </w:pPr>
      <w:r>
        <w:rPr>
          <w:rFonts w:hint="eastAsia"/>
          <w:snapToGrid w:val="0"/>
          <w:szCs w:val="21"/>
        </w:rPr>
        <w:t xml:space="preserve"> 投标人提供的货物、工程或者服务符合下列情形的，享受《政府采购促进中小企业发展管理办法》规定的中小企业扶持政策：</w:t>
      </w:r>
    </w:p>
    <w:p>
      <w:pPr>
        <w:tabs>
          <w:tab w:val="left" w:pos="840"/>
        </w:tabs>
        <w:snapToGrid w:val="0"/>
        <w:spacing w:line="360" w:lineRule="auto"/>
        <w:ind w:firstLine="420" w:firstLineChars="200"/>
        <w:jc w:val="both"/>
        <w:rPr>
          <w:rFonts w:hint="eastAsia"/>
          <w:snapToGrid w:val="0"/>
          <w:szCs w:val="21"/>
        </w:rPr>
      </w:pPr>
      <w:r>
        <w:rPr>
          <w:rFonts w:hint="eastAsia"/>
          <w:snapToGrid w:val="0"/>
          <w:szCs w:val="21"/>
        </w:rPr>
        <w:t>（1）在货物采购项目中，货物由中小企业制造，即货物由中小企业生产且使用该中小企业商号或者注册商标；</w:t>
      </w:r>
    </w:p>
    <w:p>
      <w:pPr>
        <w:tabs>
          <w:tab w:val="left" w:pos="840"/>
        </w:tabs>
        <w:snapToGrid w:val="0"/>
        <w:spacing w:line="360" w:lineRule="auto"/>
        <w:ind w:left="420"/>
        <w:jc w:val="both"/>
        <w:rPr>
          <w:rFonts w:hint="eastAsia"/>
          <w:snapToGrid w:val="0"/>
          <w:szCs w:val="21"/>
        </w:rPr>
      </w:pPr>
      <w:r>
        <w:rPr>
          <w:rFonts w:hint="eastAsia"/>
          <w:snapToGrid w:val="0"/>
          <w:szCs w:val="21"/>
        </w:rPr>
        <w:t>（2）在工程采购项目中，工程由中小企业承建，即工程施工单位为中小企业；</w:t>
      </w:r>
    </w:p>
    <w:p>
      <w:pPr>
        <w:tabs>
          <w:tab w:val="left" w:pos="840"/>
        </w:tabs>
        <w:snapToGrid w:val="0"/>
        <w:spacing w:line="360" w:lineRule="auto"/>
        <w:ind w:firstLine="420" w:firstLineChars="200"/>
        <w:jc w:val="both"/>
        <w:rPr>
          <w:rFonts w:hint="eastAsia"/>
          <w:snapToGrid w:val="0"/>
          <w:szCs w:val="21"/>
        </w:rPr>
      </w:pPr>
      <w:r>
        <w:rPr>
          <w:rFonts w:hint="eastAsia"/>
          <w:snapToGrid w:val="0"/>
          <w:szCs w:val="21"/>
        </w:rPr>
        <w:t>（3）在服务采购项目中，服务由中小企业承接，即提供服务的人员为中小企业依照《中华人民共和国劳动合同法》订立劳动合同的从业人员。</w:t>
      </w:r>
    </w:p>
    <w:p>
      <w:pPr>
        <w:tabs>
          <w:tab w:val="left" w:pos="840"/>
        </w:tabs>
        <w:snapToGrid w:val="0"/>
        <w:spacing w:line="360" w:lineRule="auto"/>
        <w:ind w:firstLine="420" w:firstLineChars="200"/>
        <w:jc w:val="both"/>
        <w:rPr>
          <w:rFonts w:hint="eastAsia"/>
          <w:snapToGrid w:val="0"/>
          <w:szCs w:val="21"/>
        </w:rPr>
      </w:pPr>
      <w:r>
        <w:rPr>
          <w:rFonts w:hint="eastAsia"/>
          <w:snapToGrid w:val="0"/>
          <w:szCs w:val="21"/>
        </w:rPr>
        <w:t>在货物采购项目中，投标人提供的货物既有中小企业制造货物，也有大型企业制造货的，不享受中小企业扶持政策。</w:t>
      </w:r>
    </w:p>
    <w:p>
      <w:pPr>
        <w:tabs>
          <w:tab w:val="left" w:pos="840"/>
        </w:tabs>
        <w:snapToGrid w:val="0"/>
        <w:spacing w:line="360" w:lineRule="auto"/>
        <w:ind w:firstLine="420" w:firstLineChars="200"/>
        <w:jc w:val="both"/>
        <w:rPr>
          <w:rFonts w:hint="eastAsia"/>
          <w:snapToGrid w:val="0"/>
          <w:szCs w:val="21"/>
        </w:rPr>
      </w:pPr>
      <w:r>
        <w:rPr>
          <w:rFonts w:hint="eastAsia"/>
          <w:snapToGrid w:val="0"/>
          <w:szCs w:val="21"/>
        </w:rPr>
        <w:t>以联合体形式参加政府采购活动，联合体各方均为中小企业的，联合体视同中小企业。其中，联合体各方均为小微企业的，联合体视同小微企业。</w:t>
      </w:r>
    </w:p>
    <w:p>
      <w:pPr>
        <w:numPr>
          <w:ilvl w:val="2"/>
          <w:numId w:val="11"/>
        </w:numPr>
        <w:tabs>
          <w:tab w:val="left" w:pos="0"/>
          <w:tab w:val="left" w:pos="840"/>
        </w:tabs>
        <w:snapToGrid w:val="0"/>
        <w:spacing w:line="360" w:lineRule="auto"/>
        <w:ind w:left="9" w:firstLine="411"/>
        <w:jc w:val="both"/>
        <w:rPr>
          <w:rFonts w:hint="eastAsia"/>
          <w:snapToGrid w:val="0"/>
          <w:szCs w:val="21"/>
        </w:rPr>
      </w:pPr>
      <w:r>
        <w:rPr>
          <w:rFonts w:hint="eastAsia"/>
          <w:snapToGrid w:val="0"/>
          <w:szCs w:val="21"/>
        </w:rPr>
        <w:t xml:space="preserve"> 在货物类采购项目中，货物应当由中小企业制造，不对其中涉及的服务的承接商作出要求；在工程采购项目中，工程应当由中小企业承建，不对其中涉及的货物的制造商和服务的承接商作出要求；在服务类采购项目中，服务的承接商应当为中小企业，不对其中涉及的货物的制造商作出要求。</w:t>
      </w:r>
    </w:p>
    <w:p>
      <w:pPr>
        <w:numPr>
          <w:ilvl w:val="2"/>
          <w:numId w:val="11"/>
        </w:numPr>
        <w:tabs>
          <w:tab w:val="left" w:pos="0"/>
          <w:tab w:val="left" w:pos="840"/>
        </w:tabs>
        <w:snapToGrid w:val="0"/>
        <w:spacing w:line="360" w:lineRule="auto"/>
        <w:ind w:left="9" w:firstLine="411"/>
        <w:jc w:val="both"/>
        <w:rPr>
          <w:rFonts w:hint="eastAsia"/>
          <w:snapToGrid w:val="0"/>
          <w:szCs w:val="21"/>
        </w:rPr>
      </w:pPr>
      <w:r>
        <w:rPr>
          <w:rFonts w:hint="eastAsia"/>
          <w:snapToGrid w:val="0"/>
          <w:szCs w:val="21"/>
        </w:rPr>
        <w:t xml:space="preserve"> 对于未预留份额专门面向中小企业采购的采购项目，以及预留份额项目中的非预留部分采购包，对小微企业报价给予</w:t>
      </w:r>
      <w:r>
        <w:rPr>
          <w:rFonts w:ascii="Arial" w:hAnsi="Arial" w:cs="Arial"/>
          <w:snapToGrid w:val="0"/>
          <w:szCs w:val="21"/>
        </w:rPr>
        <w:t>10%</w:t>
      </w:r>
      <w:r>
        <w:rPr>
          <w:rFonts w:hint="eastAsia"/>
          <w:snapToGrid w:val="0"/>
          <w:szCs w:val="21"/>
        </w:rPr>
        <w:t>的扣除，用扣除后的价格参加评审。</w:t>
      </w:r>
    </w:p>
    <w:p>
      <w:pPr>
        <w:tabs>
          <w:tab w:val="left" w:pos="0"/>
        </w:tabs>
        <w:snapToGrid w:val="0"/>
        <w:spacing w:line="360" w:lineRule="auto"/>
        <w:ind w:left="15" w:leftChars="7" w:firstLine="405"/>
        <w:jc w:val="both"/>
        <w:rPr>
          <w:rFonts w:hint="eastAsia"/>
          <w:snapToGrid w:val="0"/>
          <w:szCs w:val="21"/>
        </w:rPr>
      </w:pPr>
      <w:r>
        <w:rPr>
          <w:rFonts w:hint="eastAsia"/>
          <w:snapToGrid w:val="0"/>
          <w:szCs w:val="21"/>
        </w:rPr>
        <w:t>接受大中型企业与小微企业组成联合体或者允许大中型企业向一家或者多家小微企业分包的政府采购货物或服务项目，对于联合协议或者分包意向协议约定小微企业的合同份额占到合同总金额</w:t>
      </w:r>
      <w:r>
        <w:rPr>
          <w:rFonts w:ascii="Arial" w:hAnsi="Arial" w:cs="Arial"/>
          <w:snapToGrid w:val="0"/>
          <w:szCs w:val="21"/>
        </w:rPr>
        <w:t>30%</w:t>
      </w:r>
      <w:r>
        <w:rPr>
          <w:rFonts w:hint="eastAsia"/>
          <w:snapToGrid w:val="0"/>
          <w:szCs w:val="21"/>
        </w:rPr>
        <w:t>以上的，对联合体或者大中型企业的最后报价给予</w:t>
      </w:r>
      <w:r>
        <w:rPr>
          <w:rFonts w:ascii="Arial" w:hAnsi="Arial" w:cs="Arial"/>
          <w:snapToGrid w:val="0"/>
          <w:szCs w:val="21"/>
        </w:rPr>
        <w:t>3%</w:t>
      </w:r>
      <w:r>
        <w:rPr>
          <w:rFonts w:hint="eastAsia"/>
          <w:snapToGrid w:val="0"/>
          <w:szCs w:val="21"/>
        </w:rPr>
        <w:t>的扣除，用扣除后的价格参加评审。组成联合体或者接受分包的小微企业与联合体内其他企业、分包企业之间存在直接控股、管理关系的，不享受价格扣除优惠政策。</w:t>
      </w:r>
    </w:p>
    <w:p>
      <w:pPr>
        <w:numPr>
          <w:ilvl w:val="2"/>
          <w:numId w:val="11"/>
        </w:numPr>
        <w:tabs>
          <w:tab w:val="left" w:pos="840"/>
        </w:tabs>
        <w:snapToGrid w:val="0"/>
        <w:spacing w:line="360" w:lineRule="auto"/>
        <w:ind w:left="9" w:firstLine="411"/>
        <w:jc w:val="both"/>
        <w:rPr>
          <w:rFonts w:hint="eastAsia"/>
          <w:szCs w:val="22"/>
        </w:rPr>
      </w:pPr>
      <w:r>
        <w:rPr>
          <w:rFonts w:hint="eastAsia"/>
          <w:snapToGrid w:val="0"/>
          <w:szCs w:val="21"/>
        </w:rPr>
        <w:t xml:space="preserve"> 中小企业参加政府采购活动，应当出具《中小企业声明函》，否则不得享受相关中小企业扶持政策。</w:t>
      </w:r>
    </w:p>
    <w:p>
      <w:pPr>
        <w:numPr>
          <w:ilvl w:val="2"/>
          <w:numId w:val="11"/>
        </w:numPr>
        <w:tabs>
          <w:tab w:val="left" w:pos="0"/>
          <w:tab w:val="left" w:pos="840"/>
        </w:tabs>
        <w:snapToGrid w:val="0"/>
        <w:spacing w:line="360" w:lineRule="auto"/>
        <w:ind w:left="9" w:firstLine="411"/>
        <w:jc w:val="both"/>
        <w:rPr>
          <w:rFonts w:hint="eastAsia"/>
          <w:snapToGrid w:val="0"/>
          <w:szCs w:val="21"/>
        </w:rPr>
      </w:pPr>
      <w:r>
        <w:rPr>
          <w:rFonts w:hint="eastAsia"/>
        </w:rPr>
        <w:t xml:space="preserve"> 符合《关于促进残疾人就业政府采购政策的通知》（财库</w:t>
      </w:r>
      <w:r>
        <w:rPr>
          <w:rFonts w:ascii="Arial" w:hAnsi="Arial" w:cs="Arial"/>
        </w:rPr>
        <w:t>〔2017〕141</w:t>
      </w:r>
      <w:r>
        <w:rPr>
          <w:rFonts w:hint="eastAsia"/>
        </w:rPr>
        <w:t>号）规定的条件并提供《残疾人福利性单位声明函》的残疾人福利性单位视同小型、微型企业。</w:t>
      </w:r>
    </w:p>
    <w:p>
      <w:pPr>
        <w:numPr>
          <w:ilvl w:val="2"/>
          <w:numId w:val="11"/>
        </w:numPr>
        <w:tabs>
          <w:tab w:val="left" w:pos="0"/>
          <w:tab w:val="left" w:pos="840"/>
        </w:tabs>
        <w:snapToGrid w:val="0"/>
        <w:spacing w:line="360" w:lineRule="auto"/>
        <w:ind w:left="9" w:firstLine="411"/>
        <w:jc w:val="both"/>
        <w:rPr>
          <w:rFonts w:hint="eastAsia"/>
          <w:snapToGrid w:val="0"/>
          <w:szCs w:val="21"/>
        </w:rPr>
      </w:pPr>
      <w:r>
        <w:rPr>
          <w:rFonts w:hint="eastAsia"/>
          <w:snapToGrid w:val="0"/>
          <w:szCs w:val="21"/>
        </w:rPr>
        <w:t xml:space="preserve"> 符合《关于政府采购支持监狱企业发展有关问题的通知》（财库</w:t>
      </w:r>
      <w:r>
        <w:rPr>
          <w:rFonts w:ascii="Arial" w:hAnsi="Arial" w:cs="Arial"/>
          <w:snapToGrid w:val="0"/>
          <w:szCs w:val="21"/>
        </w:rPr>
        <w:t>[2014]68</w:t>
      </w:r>
      <w:r>
        <w:rPr>
          <w:rFonts w:hint="eastAsia"/>
          <w:snapToGrid w:val="0"/>
          <w:szCs w:val="21"/>
        </w:rPr>
        <w:t>号）规定的监狱企业并提供由省级以上监狱管理局、戒毒管理局（含新疆生产建设兵团）出具的属于监狱企业证明文件的，视同小型、微型企业。</w:t>
      </w:r>
    </w:p>
    <w:p>
      <w:pPr>
        <w:numPr>
          <w:ilvl w:val="2"/>
          <w:numId w:val="11"/>
        </w:numPr>
        <w:tabs>
          <w:tab w:val="left" w:pos="0"/>
          <w:tab w:val="left" w:pos="840"/>
        </w:tabs>
        <w:snapToGrid w:val="0"/>
        <w:spacing w:line="360" w:lineRule="auto"/>
        <w:ind w:left="9" w:firstLine="411"/>
        <w:jc w:val="both"/>
        <w:rPr>
          <w:rFonts w:hint="eastAsia"/>
          <w:szCs w:val="22"/>
        </w:rPr>
      </w:pPr>
      <w:r>
        <w:rPr>
          <w:rFonts w:hint="eastAsia"/>
          <w:snapToGrid w:val="0"/>
          <w:szCs w:val="21"/>
        </w:rPr>
        <w:t xml:space="preserve"> 监狱企业、残疾人福利性单位视同小型、微型企业的，享受价格扣除。监狱企业、残</w:t>
      </w:r>
      <w:r>
        <w:rPr>
          <w:rFonts w:hint="eastAsia"/>
        </w:rPr>
        <w:t>疾人福利性单位属于小型、微型企业的，不重复享受政策。</w:t>
      </w:r>
    </w:p>
    <w:p>
      <w:pPr>
        <w:numPr>
          <w:ilvl w:val="2"/>
          <w:numId w:val="11"/>
        </w:numPr>
        <w:tabs>
          <w:tab w:val="left" w:pos="0"/>
          <w:tab w:val="left" w:pos="840"/>
        </w:tabs>
        <w:snapToGrid w:val="0"/>
        <w:spacing w:line="360" w:lineRule="auto"/>
        <w:ind w:left="9" w:firstLine="411"/>
        <w:jc w:val="both"/>
        <w:rPr>
          <w:rFonts w:hint="eastAsia"/>
          <w:bCs/>
          <w:szCs w:val="21"/>
        </w:rPr>
      </w:pPr>
      <w:r>
        <w:rPr>
          <w:rFonts w:hint="eastAsia"/>
          <w:szCs w:val="22"/>
        </w:rPr>
        <w:t xml:space="preserve"> 中小企业信用融资：鼓励中小企业依法合规通过政府采购合同融资，采用“政采贷”等金融产品在线融资。</w:t>
      </w:r>
    </w:p>
    <w:p>
      <w:pPr>
        <w:numPr>
          <w:ilvl w:val="0"/>
          <w:numId w:val="11"/>
        </w:numPr>
        <w:snapToGrid w:val="0"/>
        <w:spacing w:line="360" w:lineRule="auto"/>
        <w:ind w:hanging="5"/>
        <w:jc w:val="both"/>
        <w:rPr>
          <w:rFonts w:hint="eastAsia"/>
          <w:b/>
          <w:sz w:val="24"/>
          <w:szCs w:val="22"/>
        </w:rPr>
      </w:pPr>
      <w:r>
        <w:rPr>
          <w:rFonts w:hint="eastAsia"/>
          <w:b/>
          <w:sz w:val="24"/>
          <w:szCs w:val="22"/>
        </w:rPr>
        <w:t>保密义务</w:t>
      </w:r>
    </w:p>
    <w:p>
      <w:pPr>
        <w:adjustRightInd w:val="0"/>
        <w:snapToGrid w:val="0"/>
        <w:spacing w:line="360" w:lineRule="auto"/>
        <w:ind w:left="10" w:firstLine="409" w:firstLineChars="195"/>
        <w:rPr>
          <w:rFonts w:hint="eastAsia"/>
          <w:szCs w:val="21"/>
        </w:rPr>
      </w:pPr>
      <w:r>
        <w:rPr>
          <w:rFonts w:hint="eastAsia"/>
          <w:snapToGrid w:val="0"/>
          <w:szCs w:val="21"/>
        </w:rPr>
        <w:t>参与采购活动的所有各方，对在参与投标过程中获悉的国家、商业和技术秘密以及其它依法应当保密的内容，均负有保密义务，违者应对由此造成的后果承担全部法律责任。</w:t>
      </w:r>
    </w:p>
    <w:p>
      <w:pPr>
        <w:pStyle w:val="4"/>
        <w:spacing w:before="156" w:beforeLines="50" w:after="156" w:afterLines="50" w:line="360" w:lineRule="auto"/>
        <w:jc w:val="center"/>
        <w:rPr>
          <w:rFonts w:hint="eastAsia" w:ascii="Times New Roman" w:hAnsi="Times New Roman"/>
          <w:bCs w:val="0"/>
          <w:sz w:val="24"/>
          <w:szCs w:val="24"/>
        </w:rPr>
      </w:pPr>
      <w:bookmarkStart w:id="175" w:name="_Toc24334"/>
      <w:bookmarkStart w:id="176" w:name="_Toc9057"/>
      <w:bookmarkStart w:id="177" w:name="_Toc20271"/>
      <w:r>
        <w:rPr>
          <w:rFonts w:hint="eastAsia" w:ascii="Times New Roman" w:hAnsi="Times New Roman"/>
          <w:bCs w:val="0"/>
          <w:sz w:val="24"/>
          <w:szCs w:val="24"/>
        </w:rPr>
        <w:t>二、招标文件的</w:t>
      </w:r>
      <w:r>
        <w:rPr>
          <w:rFonts w:hint="eastAsia" w:ascii="Times New Roman" w:hAnsi="Times New Roman"/>
          <w:color w:val="000000"/>
          <w:sz w:val="24"/>
          <w:szCs w:val="24"/>
        </w:rPr>
        <w:t>构成、澄清、修改</w:t>
      </w:r>
      <w:bookmarkEnd w:id="175"/>
      <w:bookmarkEnd w:id="176"/>
      <w:bookmarkEnd w:id="177"/>
    </w:p>
    <w:p>
      <w:pPr>
        <w:numPr>
          <w:ilvl w:val="0"/>
          <w:numId w:val="11"/>
        </w:numPr>
        <w:snapToGrid w:val="0"/>
        <w:spacing w:line="360" w:lineRule="auto"/>
        <w:ind w:hanging="5"/>
        <w:jc w:val="both"/>
        <w:rPr>
          <w:rFonts w:hint="eastAsia"/>
          <w:b/>
          <w:sz w:val="24"/>
          <w:szCs w:val="22"/>
        </w:rPr>
      </w:pPr>
      <w:r>
        <w:rPr>
          <w:rFonts w:hint="eastAsia"/>
          <w:b/>
          <w:sz w:val="24"/>
          <w:szCs w:val="22"/>
        </w:rPr>
        <w:t>招标文件的构成</w:t>
      </w:r>
    </w:p>
    <w:p>
      <w:pPr>
        <w:snapToGrid w:val="0"/>
        <w:spacing w:line="360" w:lineRule="auto"/>
        <w:ind w:firstLine="420" w:firstLineChars="200"/>
        <w:jc w:val="both"/>
        <w:rPr>
          <w:rFonts w:hint="eastAsia"/>
          <w:szCs w:val="21"/>
        </w:rPr>
      </w:pPr>
      <w:r>
        <w:rPr>
          <w:rFonts w:hint="eastAsia"/>
          <w:szCs w:val="21"/>
        </w:rPr>
        <w:t>第一部分  招标公告</w:t>
      </w:r>
    </w:p>
    <w:p>
      <w:pPr>
        <w:snapToGrid w:val="0"/>
        <w:spacing w:line="360" w:lineRule="auto"/>
        <w:ind w:firstLine="420" w:firstLineChars="200"/>
        <w:jc w:val="both"/>
        <w:rPr>
          <w:rFonts w:hint="eastAsia"/>
          <w:szCs w:val="21"/>
        </w:rPr>
      </w:pPr>
      <w:r>
        <w:rPr>
          <w:rFonts w:hint="eastAsia"/>
          <w:szCs w:val="21"/>
        </w:rPr>
        <w:t>第二部分  投标人须知</w:t>
      </w:r>
    </w:p>
    <w:p>
      <w:pPr>
        <w:snapToGrid w:val="0"/>
        <w:spacing w:line="360" w:lineRule="auto"/>
        <w:ind w:firstLine="420" w:firstLineChars="200"/>
        <w:jc w:val="both"/>
        <w:rPr>
          <w:rFonts w:hint="eastAsia"/>
          <w:szCs w:val="21"/>
        </w:rPr>
      </w:pPr>
      <w:r>
        <w:rPr>
          <w:rFonts w:hint="eastAsia"/>
          <w:szCs w:val="21"/>
        </w:rPr>
        <w:t>第三部分  招标内容及要求</w:t>
      </w:r>
    </w:p>
    <w:p>
      <w:pPr>
        <w:snapToGrid w:val="0"/>
        <w:spacing w:line="360" w:lineRule="auto"/>
        <w:ind w:firstLine="420" w:firstLineChars="200"/>
        <w:jc w:val="both"/>
        <w:rPr>
          <w:rFonts w:hint="eastAsia"/>
          <w:szCs w:val="21"/>
        </w:rPr>
      </w:pPr>
      <w:r>
        <w:rPr>
          <w:rFonts w:hint="eastAsia"/>
          <w:szCs w:val="21"/>
        </w:rPr>
        <w:t xml:space="preserve">第四部分  </w:t>
      </w:r>
      <w:r>
        <w:rPr>
          <w:rFonts w:hint="eastAsia"/>
        </w:rPr>
        <w:t>评标办法</w:t>
      </w:r>
    </w:p>
    <w:p>
      <w:pPr>
        <w:snapToGrid w:val="0"/>
        <w:spacing w:line="360" w:lineRule="auto"/>
        <w:ind w:firstLine="420" w:firstLineChars="200"/>
        <w:jc w:val="both"/>
        <w:rPr>
          <w:rFonts w:hint="eastAsia"/>
        </w:rPr>
      </w:pPr>
      <w:r>
        <w:rPr>
          <w:rFonts w:hint="eastAsia"/>
          <w:szCs w:val="21"/>
        </w:rPr>
        <w:t>第五部分  合同条款</w:t>
      </w:r>
    </w:p>
    <w:p>
      <w:pPr>
        <w:snapToGrid w:val="0"/>
        <w:spacing w:line="360" w:lineRule="auto"/>
        <w:ind w:firstLine="420" w:firstLineChars="200"/>
        <w:jc w:val="both"/>
        <w:rPr>
          <w:rFonts w:hint="eastAsia"/>
        </w:rPr>
      </w:pPr>
      <w:r>
        <w:rPr>
          <w:rFonts w:hint="eastAsia"/>
        </w:rPr>
        <w:t xml:space="preserve">第六部分  </w:t>
      </w:r>
      <w:r>
        <w:rPr>
          <w:rFonts w:hint="eastAsia"/>
          <w:szCs w:val="21"/>
        </w:rPr>
        <w:t>投标文件格式</w:t>
      </w:r>
    </w:p>
    <w:p>
      <w:pPr>
        <w:snapToGrid w:val="0"/>
        <w:spacing w:line="360" w:lineRule="auto"/>
        <w:ind w:firstLine="420" w:firstLineChars="200"/>
        <w:jc w:val="both"/>
        <w:rPr>
          <w:rFonts w:hint="eastAsia"/>
          <w:szCs w:val="21"/>
        </w:rPr>
      </w:pPr>
      <w:r>
        <w:rPr>
          <w:rFonts w:hint="eastAsia"/>
        </w:rPr>
        <w:t>第七部分  补充通知及答疑（若有）</w:t>
      </w:r>
    </w:p>
    <w:p>
      <w:pPr>
        <w:numPr>
          <w:ilvl w:val="0"/>
          <w:numId w:val="11"/>
        </w:numPr>
        <w:snapToGrid w:val="0"/>
        <w:spacing w:line="360" w:lineRule="auto"/>
        <w:ind w:hanging="5"/>
        <w:jc w:val="both"/>
        <w:rPr>
          <w:rFonts w:hint="eastAsia"/>
          <w:b/>
          <w:sz w:val="24"/>
          <w:szCs w:val="22"/>
        </w:rPr>
      </w:pPr>
      <w:r>
        <w:rPr>
          <w:rFonts w:hint="eastAsia"/>
          <w:b/>
          <w:sz w:val="24"/>
          <w:szCs w:val="22"/>
        </w:rPr>
        <w:t>招标文件的澄清和修改</w:t>
      </w:r>
    </w:p>
    <w:p>
      <w:pPr>
        <w:numPr>
          <w:ilvl w:val="1"/>
          <w:numId w:val="11"/>
        </w:numPr>
        <w:tabs>
          <w:tab w:val="left" w:pos="0"/>
          <w:tab w:val="clear" w:pos="562"/>
        </w:tabs>
        <w:snapToGrid w:val="0"/>
        <w:spacing w:line="360" w:lineRule="auto"/>
        <w:ind w:left="7" w:firstLine="413"/>
        <w:jc w:val="both"/>
        <w:rPr>
          <w:rFonts w:hint="eastAsia"/>
          <w:color w:val="000000"/>
          <w:szCs w:val="21"/>
        </w:rPr>
      </w:pPr>
      <w:r>
        <w:rPr>
          <w:rFonts w:hint="eastAsia"/>
          <w:szCs w:val="21"/>
        </w:rPr>
        <w:t>采购人或者集中采购机构可以对已发出的招标文件进行必要的澄清或者修改，但不得改变采购标的和资格条件。在原公</w:t>
      </w:r>
      <w:r>
        <w:rPr>
          <w:rFonts w:hint="eastAsia"/>
          <w:color w:val="000000"/>
          <w:szCs w:val="21"/>
        </w:rPr>
        <w:t>告发布媒体上发布更正（澄清）公告，澄清或者修改的内容为招标文件的组成部分。当招标文件与招标文件的答复、澄清、修改、补充通知就同一内容的表述不一致时，以最后发出的更正（澄清）公告为准。</w:t>
      </w:r>
    </w:p>
    <w:p>
      <w:pPr>
        <w:numPr>
          <w:ilvl w:val="1"/>
          <w:numId w:val="11"/>
        </w:numPr>
        <w:tabs>
          <w:tab w:val="left" w:pos="0"/>
          <w:tab w:val="clear" w:pos="562"/>
        </w:tabs>
        <w:snapToGrid w:val="0"/>
        <w:spacing w:line="360" w:lineRule="auto"/>
        <w:ind w:left="7" w:firstLine="413"/>
        <w:jc w:val="both"/>
        <w:rPr>
          <w:rFonts w:hint="eastAsia"/>
          <w:color w:val="000000"/>
          <w:szCs w:val="21"/>
        </w:rPr>
      </w:pPr>
      <w:r>
        <w:rPr>
          <w:rFonts w:hint="eastAsia"/>
          <w:color w:val="000000"/>
          <w:szCs w:val="21"/>
        </w:rPr>
        <w:t>澄清或者修改的内容可能影响投标文件编制的，采购人或者集中采购机构应当在投标截止时间至少</w:t>
      </w:r>
      <w:r>
        <w:rPr>
          <w:rFonts w:ascii="Arial" w:hAnsi="Arial" w:cs="Arial"/>
          <w:color w:val="000000"/>
          <w:szCs w:val="21"/>
        </w:rPr>
        <w:t>15</w:t>
      </w:r>
      <w:r>
        <w:rPr>
          <w:rFonts w:hint="eastAsia"/>
          <w:color w:val="000000"/>
          <w:szCs w:val="21"/>
        </w:rPr>
        <w:t>日前，以更正（澄清）公告形式通知所有获取招标文件的潜在投标人，并对其具有约束力；不足</w:t>
      </w:r>
      <w:r>
        <w:rPr>
          <w:rFonts w:ascii="Arial" w:hAnsi="Arial" w:cs="Arial"/>
          <w:color w:val="000000"/>
          <w:szCs w:val="21"/>
        </w:rPr>
        <w:t>15</w:t>
      </w:r>
      <w:r>
        <w:rPr>
          <w:rFonts w:hint="eastAsia"/>
          <w:color w:val="000000"/>
          <w:szCs w:val="21"/>
        </w:rPr>
        <w:t>日的，采购人或者集中采购机构应当顺延提交投标文件的截止时间。投标人应及时关注浙江政府采购网上该项目的公告信息。</w:t>
      </w:r>
    </w:p>
    <w:p>
      <w:pPr>
        <w:pStyle w:val="4"/>
        <w:spacing w:before="156" w:beforeLines="50" w:after="156" w:afterLines="50" w:line="360" w:lineRule="auto"/>
        <w:jc w:val="center"/>
        <w:rPr>
          <w:rFonts w:hint="eastAsia" w:ascii="Times New Roman" w:hAnsi="Times New Roman"/>
          <w:sz w:val="24"/>
          <w:szCs w:val="24"/>
        </w:rPr>
      </w:pPr>
      <w:r>
        <w:rPr>
          <w:rFonts w:hint="eastAsia" w:ascii="Times New Roman" w:hAnsi="Times New Roman"/>
          <w:sz w:val="24"/>
          <w:szCs w:val="24"/>
        </w:rPr>
        <w:t xml:space="preserve">     </w:t>
      </w:r>
      <w:bookmarkStart w:id="178" w:name="_Toc23353"/>
      <w:bookmarkStart w:id="179" w:name="_Toc23961"/>
      <w:bookmarkStart w:id="180" w:name="_Toc27732"/>
      <w:r>
        <w:rPr>
          <w:rFonts w:hint="eastAsia" w:ascii="Times New Roman" w:hAnsi="Times New Roman"/>
          <w:sz w:val="24"/>
          <w:szCs w:val="24"/>
        </w:rPr>
        <w:t>三、投标</w:t>
      </w:r>
      <w:bookmarkEnd w:id="178"/>
      <w:bookmarkEnd w:id="179"/>
      <w:bookmarkEnd w:id="180"/>
    </w:p>
    <w:p>
      <w:pPr>
        <w:numPr>
          <w:ilvl w:val="0"/>
          <w:numId w:val="11"/>
        </w:numPr>
        <w:snapToGrid w:val="0"/>
        <w:spacing w:line="360" w:lineRule="auto"/>
        <w:ind w:hanging="5"/>
        <w:jc w:val="both"/>
        <w:rPr>
          <w:rFonts w:hint="eastAsia"/>
          <w:b/>
          <w:sz w:val="24"/>
          <w:szCs w:val="22"/>
        </w:rPr>
      </w:pPr>
      <w:r>
        <w:rPr>
          <w:rFonts w:hint="eastAsia"/>
          <w:b/>
          <w:sz w:val="24"/>
          <w:szCs w:val="22"/>
        </w:rPr>
        <w:t>投标方式</w:t>
      </w:r>
    </w:p>
    <w:p>
      <w:pPr>
        <w:snapToGrid w:val="0"/>
        <w:spacing w:line="360" w:lineRule="auto"/>
        <w:ind w:firstLine="420" w:firstLineChars="200"/>
        <w:jc w:val="both"/>
        <w:rPr>
          <w:rFonts w:hint="eastAsia"/>
          <w:color w:val="000000"/>
          <w:szCs w:val="21"/>
        </w:rPr>
      </w:pPr>
      <w:r>
        <w:rPr>
          <w:rFonts w:hint="eastAsia"/>
          <w:color w:val="000000"/>
          <w:szCs w:val="21"/>
        </w:rPr>
        <w:t>本项目实行电子招投标。</w:t>
      </w:r>
    </w:p>
    <w:p>
      <w:pPr>
        <w:numPr>
          <w:ilvl w:val="0"/>
          <w:numId w:val="11"/>
        </w:numPr>
        <w:snapToGrid w:val="0"/>
        <w:spacing w:line="360" w:lineRule="auto"/>
        <w:ind w:hanging="5"/>
        <w:jc w:val="both"/>
        <w:rPr>
          <w:rFonts w:hint="eastAsia"/>
          <w:b/>
          <w:sz w:val="24"/>
          <w:szCs w:val="22"/>
        </w:rPr>
      </w:pPr>
      <w:r>
        <w:rPr>
          <w:rFonts w:hint="eastAsia"/>
          <w:b/>
          <w:sz w:val="24"/>
          <w:szCs w:val="22"/>
        </w:rPr>
        <w:t>招标文件的获取</w:t>
      </w:r>
    </w:p>
    <w:p>
      <w:pPr>
        <w:snapToGrid w:val="0"/>
        <w:spacing w:line="360" w:lineRule="auto"/>
        <w:ind w:firstLine="420" w:firstLineChars="200"/>
        <w:jc w:val="both"/>
        <w:rPr>
          <w:rFonts w:hint="eastAsia"/>
          <w:color w:val="000000"/>
          <w:szCs w:val="21"/>
        </w:rPr>
      </w:pPr>
      <w:r>
        <w:rPr>
          <w:rFonts w:hint="eastAsia"/>
          <w:color w:val="000000"/>
          <w:szCs w:val="21"/>
        </w:rPr>
        <w:t>详见招标公告中获取招标文件的时间、地点、方式及招标文件售价。</w:t>
      </w:r>
    </w:p>
    <w:p>
      <w:pPr>
        <w:numPr>
          <w:ilvl w:val="0"/>
          <w:numId w:val="11"/>
        </w:numPr>
        <w:snapToGrid w:val="0"/>
        <w:spacing w:line="360" w:lineRule="auto"/>
        <w:ind w:hanging="5"/>
        <w:jc w:val="both"/>
        <w:rPr>
          <w:rFonts w:hint="eastAsia"/>
          <w:b/>
          <w:sz w:val="24"/>
          <w:szCs w:val="22"/>
        </w:rPr>
      </w:pPr>
      <w:r>
        <w:rPr>
          <w:rFonts w:hint="eastAsia"/>
          <w:b/>
          <w:sz w:val="24"/>
          <w:szCs w:val="22"/>
        </w:rPr>
        <w:t>投标文件的语言及计量单位</w:t>
      </w:r>
    </w:p>
    <w:p>
      <w:pPr>
        <w:numPr>
          <w:ilvl w:val="1"/>
          <w:numId w:val="11"/>
        </w:numPr>
        <w:tabs>
          <w:tab w:val="left" w:pos="0"/>
          <w:tab w:val="clear" w:pos="562"/>
        </w:tabs>
        <w:snapToGrid w:val="0"/>
        <w:spacing w:line="360" w:lineRule="auto"/>
        <w:ind w:left="7" w:firstLine="413"/>
        <w:jc w:val="both"/>
        <w:rPr>
          <w:rFonts w:hint="eastAsia"/>
          <w:color w:val="000000"/>
          <w:szCs w:val="21"/>
        </w:rPr>
      </w:pPr>
      <w:r>
        <w:rPr>
          <w:rFonts w:hint="eastAsia"/>
          <w:color w:val="000000"/>
          <w:szCs w:val="21"/>
        </w:rPr>
        <w:t>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color w:val="000000"/>
          <w:szCs w:val="21"/>
        </w:rPr>
        <w:t>除招标文件另有规定外，投标文件所使用的计量单位，均应使用中华人民共和国法定计量单位。</w:t>
      </w:r>
    </w:p>
    <w:p>
      <w:pPr>
        <w:numPr>
          <w:ilvl w:val="0"/>
          <w:numId w:val="11"/>
        </w:numPr>
        <w:snapToGrid w:val="0"/>
        <w:spacing w:line="360" w:lineRule="auto"/>
        <w:ind w:hanging="5"/>
        <w:jc w:val="both"/>
        <w:rPr>
          <w:rFonts w:hint="eastAsia"/>
          <w:b/>
          <w:sz w:val="24"/>
          <w:szCs w:val="22"/>
        </w:rPr>
      </w:pPr>
      <w:r>
        <w:rPr>
          <w:rFonts w:hint="eastAsia"/>
          <w:b/>
          <w:sz w:val="24"/>
          <w:szCs w:val="22"/>
        </w:rPr>
        <w:t>现场踏勘或开标前答疑会</w:t>
      </w:r>
    </w:p>
    <w:p>
      <w:pPr>
        <w:snapToGrid w:val="0"/>
        <w:spacing w:line="360" w:lineRule="auto"/>
        <w:ind w:firstLine="420" w:firstLineChars="200"/>
        <w:jc w:val="both"/>
        <w:rPr>
          <w:rFonts w:hint="eastAsia"/>
          <w:color w:val="000000"/>
          <w:szCs w:val="21"/>
        </w:rPr>
      </w:pPr>
      <w:r>
        <w:rPr>
          <w:rFonts w:hint="eastAsia"/>
          <w:color w:val="000000"/>
          <w:szCs w:val="21"/>
        </w:rPr>
        <w:t>采购人如组织潜在投标人现场踏勘或者召开开标前答疑会的，潜在投标人按前附表的规定参加现场踏勘或者开标前答疑会。</w:t>
      </w:r>
    </w:p>
    <w:p>
      <w:pPr>
        <w:numPr>
          <w:ilvl w:val="0"/>
          <w:numId w:val="11"/>
        </w:numPr>
        <w:snapToGrid w:val="0"/>
        <w:spacing w:line="360" w:lineRule="auto"/>
        <w:ind w:hanging="5"/>
        <w:jc w:val="both"/>
        <w:rPr>
          <w:rFonts w:hint="eastAsia"/>
          <w:b/>
          <w:sz w:val="24"/>
          <w:szCs w:val="22"/>
        </w:rPr>
      </w:pPr>
      <w:r>
        <w:rPr>
          <w:rFonts w:hint="eastAsia"/>
          <w:b/>
          <w:sz w:val="24"/>
          <w:szCs w:val="22"/>
        </w:rPr>
        <w:t>联合体投标</w:t>
      </w:r>
    </w:p>
    <w:p>
      <w:pPr>
        <w:snapToGrid w:val="0"/>
        <w:spacing w:line="360" w:lineRule="auto"/>
        <w:ind w:firstLine="420" w:firstLineChars="200"/>
        <w:jc w:val="both"/>
        <w:rPr>
          <w:rFonts w:hint="eastAsia"/>
          <w:b/>
          <w:sz w:val="24"/>
          <w:szCs w:val="24"/>
        </w:rPr>
      </w:pPr>
      <w:r>
        <w:rPr>
          <w:rFonts w:hint="eastAsia"/>
          <w:bCs/>
          <w:szCs w:val="21"/>
        </w:rPr>
        <w:t>本项目如接受联合体投标的，联合体各方参加投标时按前附表要求组成联合体参加投标。</w:t>
      </w:r>
    </w:p>
    <w:p>
      <w:pPr>
        <w:numPr>
          <w:ilvl w:val="0"/>
          <w:numId w:val="11"/>
        </w:numPr>
        <w:snapToGrid w:val="0"/>
        <w:spacing w:line="360" w:lineRule="auto"/>
        <w:ind w:hanging="5"/>
        <w:jc w:val="both"/>
        <w:rPr>
          <w:rFonts w:hint="eastAsia"/>
          <w:b/>
          <w:sz w:val="24"/>
          <w:szCs w:val="22"/>
        </w:rPr>
      </w:pPr>
      <w:r>
        <w:rPr>
          <w:rFonts w:hint="eastAsia"/>
          <w:b/>
          <w:sz w:val="24"/>
          <w:szCs w:val="22"/>
        </w:rPr>
        <w:t>转包与分包</w:t>
      </w:r>
    </w:p>
    <w:p>
      <w:pPr>
        <w:snapToGrid w:val="0"/>
        <w:spacing w:line="360" w:lineRule="auto"/>
        <w:ind w:firstLine="420" w:firstLineChars="200"/>
        <w:jc w:val="both"/>
        <w:rPr>
          <w:rFonts w:hint="eastAsia"/>
          <w:color w:val="000000"/>
          <w:szCs w:val="21"/>
        </w:rPr>
      </w:pPr>
      <w:r>
        <w:rPr>
          <w:rFonts w:hint="eastAsia"/>
          <w:color w:val="000000"/>
          <w:szCs w:val="21"/>
        </w:rPr>
        <w:t>本项目如果允许转包与分包的，投标人按前附表要求进行转包或分包。</w:t>
      </w:r>
    </w:p>
    <w:p>
      <w:pPr>
        <w:numPr>
          <w:ilvl w:val="0"/>
          <w:numId w:val="11"/>
        </w:numPr>
        <w:snapToGrid w:val="0"/>
        <w:spacing w:line="360" w:lineRule="auto"/>
        <w:ind w:hanging="5"/>
        <w:jc w:val="both"/>
        <w:rPr>
          <w:rFonts w:hint="eastAsia"/>
          <w:b/>
          <w:sz w:val="24"/>
          <w:szCs w:val="22"/>
        </w:rPr>
      </w:pPr>
      <w:r>
        <w:rPr>
          <w:rFonts w:hint="eastAsia"/>
          <w:b/>
          <w:sz w:val="24"/>
          <w:szCs w:val="22"/>
        </w:rPr>
        <w:t>履约保证金</w:t>
      </w:r>
    </w:p>
    <w:p>
      <w:pPr>
        <w:snapToGrid w:val="0"/>
        <w:spacing w:line="360" w:lineRule="auto"/>
        <w:ind w:firstLine="420" w:firstLineChars="200"/>
        <w:jc w:val="both"/>
        <w:rPr>
          <w:rFonts w:hint="eastAsia"/>
          <w:color w:val="000000"/>
          <w:szCs w:val="21"/>
        </w:rPr>
      </w:pPr>
      <w:r>
        <w:rPr>
          <w:rFonts w:hint="eastAsia"/>
          <w:color w:val="000000"/>
          <w:szCs w:val="21"/>
        </w:rPr>
        <w:t>本项目如要求提交履约保证金的，中标人按前附表要求提交履约保证金。</w:t>
      </w:r>
    </w:p>
    <w:p>
      <w:pPr>
        <w:numPr>
          <w:ilvl w:val="0"/>
          <w:numId w:val="11"/>
        </w:numPr>
        <w:snapToGrid w:val="0"/>
        <w:spacing w:line="360" w:lineRule="auto"/>
        <w:ind w:hanging="5"/>
        <w:jc w:val="both"/>
        <w:rPr>
          <w:rFonts w:hint="eastAsia"/>
          <w:b/>
          <w:sz w:val="24"/>
          <w:szCs w:val="22"/>
        </w:rPr>
      </w:pPr>
      <w:r>
        <w:rPr>
          <w:rFonts w:hint="eastAsia"/>
          <w:b/>
          <w:sz w:val="24"/>
          <w:szCs w:val="22"/>
        </w:rPr>
        <w:t>采购进口产品要求</w:t>
      </w:r>
    </w:p>
    <w:p>
      <w:pPr>
        <w:adjustRightInd w:val="0"/>
        <w:snapToGrid w:val="0"/>
        <w:spacing w:line="360" w:lineRule="auto"/>
        <w:ind w:firstLine="420" w:firstLineChars="200"/>
        <w:rPr>
          <w:rFonts w:hint="eastAsia"/>
          <w:bCs/>
          <w:szCs w:val="21"/>
        </w:rPr>
      </w:pPr>
      <w:r>
        <w:rPr>
          <w:rFonts w:hint="eastAsia"/>
          <w:snapToGrid w:val="0"/>
          <w:szCs w:val="21"/>
        </w:rPr>
        <w:t>对于招标文件中明确规定可以采购进口产品的项目，如果因信息不对称等原因，仍有满足需求的国内产品要求参与采购竞争的，招标采购单位不会对其加以限制，仍将按照公平竞争原则实施采购。</w:t>
      </w:r>
    </w:p>
    <w:p>
      <w:pPr>
        <w:numPr>
          <w:ilvl w:val="0"/>
          <w:numId w:val="11"/>
        </w:numPr>
        <w:snapToGrid w:val="0"/>
        <w:spacing w:line="360" w:lineRule="auto"/>
        <w:ind w:hanging="5"/>
        <w:jc w:val="both"/>
        <w:rPr>
          <w:rFonts w:hint="eastAsia"/>
          <w:b/>
          <w:sz w:val="24"/>
          <w:szCs w:val="22"/>
        </w:rPr>
      </w:pPr>
      <w:r>
        <w:rPr>
          <w:rFonts w:hint="eastAsia"/>
          <w:b/>
          <w:sz w:val="24"/>
          <w:szCs w:val="22"/>
        </w:rPr>
        <w:t>演示</w:t>
      </w:r>
    </w:p>
    <w:p>
      <w:pPr>
        <w:snapToGrid w:val="0"/>
        <w:spacing w:line="360" w:lineRule="auto"/>
        <w:ind w:firstLine="420" w:firstLineChars="200"/>
        <w:jc w:val="both"/>
        <w:rPr>
          <w:rFonts w:hint="eastAsia"/>
          <w:color w:val="000000"/>
          <w:szCs w:val="21"/>
        </w:rPr>
      </w:pPr>
      <w:r>
        <w:rPr>
          <w:rFonts w:hint="eastAsia"/>
          <w:color w:val="000000"/>
          <w:szCs w:val="21"/>
        </w:rPr>
        <w:t>本项目如要求提供演示的，投标人按前附表要求提供演示。</w:t>
      </w:r>
    </w:p>
    <w:p>
      <w:pPr>
        <w:numPr>
          <w:ilvl w:val="0"/>
          <w:numId w:val="11"/>
        </w:numPr>
        <w:snapToGrid w:val="0"/>
        <w:spacing w:line="360" w:lineRule="auto"/>
        <w:ind w:hanging="5"/>
        <w:jc w:val="both"/>
        <w:rPr>
          <w:rFonts w:hint="eastAsia"/>
          <w:b/>
          <w:sz w:val="24"/>
          <w:szCs w:val="22"/>
        </w:rPr>
      </w:pPr>
      <w:r>
        <w:rPr>
          <w:rFonts w:hint="eastAsia"/>
          <w:b/>
          <w:sz w:val="24"/>
          <w:szCs w:val="22"/>
        </w:rPr>
        <w:t>投标费用</w:t>
      </w:r>
    </w:p>
    <w:p>
      <w:pPr>
        <w:snapToGrid w:val="0"/>
        <w:spacing w:line="360" w:lineRule="auto"/>
        <w:ind w:firstLine="420" w:firstLineChars="200"/>
        <w:jc w:val="both"/>
        <w:rPr>
          <w:rFonts w:hint="eastAsia"/>
          <w:color w:val="000000"/>
          <w:szCs w:val="21"/>
        </w:rPr>
      </w:pPr>
      <w:r>
        <w:rPr>
          <w:rFonts w:hint="eastAsia"/>
          <w:color w:val="000000"/>
          <w:szCs w:val="21"/>
        </w:rPr>
        <w:t>投标人应承担其参加投标所涉及的一切费用，不管投标结果如何，采购人对这些费用不负任何责任。</w:t>
      </w:r>
    </w:p>
    <w:p>
      <w:pPr>
        <w:numPr>
          <w:ilvl w:val="0"/>
          <w:numId w:val="11"/>
        </w:numPr>
        <w:snapToGrid w:val="0"/>
        <w:spacing w:line="360" w:lineRule="auto"/>
        <w:ind w:hanging="5"/>
        <w:jc w:val="both"/>
        <w:rPr>
          <w:rFonts w:hint="eastAsia"/>
          <w:b/>
          <w:sz w:val="24"/>
          <w:szCs w:val="22"/>
        </w:rPr>
      </w:pPr>
      <w:r>
        <w:rPr>
          <w:rFonts w:hint="eastAsia"/>
          <w:b/>
          <w:sz w:val="24"/>
          <w:szCs w:val="22"/>
        </w:rPr>
        <w:t>知识产权</w:t>
      </w:r>
    </w:p>
    <w:p>
      <w:pPr>
        <w:numPr>
          <w:ilvl w:val="1"/>
          <w:numId w:val="11"/>
        </w:numPr>
        <w:tabs>
          <w:tab w:val="left" w:pos="0"/>
          <w:tab w:val="clear" w:pos="562"/>
        </w:tabs>
        <w:snapToGrid w:val="0"/>
        <w:spacing w:line="360" w:lineRule="auto"/>
        <w:ind w:left="7" w:firstLine="413"/>
        <w:jc w:val="both"/>
        <w:rPr>
          <w:rFonts w:hint="eastAsia"/>
          <w:bCs/>
          <w:szCs w:val="21"/>
        </w:rPr>
      </w:pPr>
      <w:r>
        <w:rPr>
          <w:rFonts w:hint="eastAsia"/>
          <w:szCs w:val="21"/>
        </w:rPr>
        <w:t>投标人应保证，采购人在中华人民共和国使用货物的任何一部分时，免受第三方提出侵犯其专利权、商标权或其它知识产权的起诉。</w:t>
      </w:r>
    </w:p>
    <w:p>
      <w:pPr>
        <w:numPr>
          <w:ilvl w:val="1"/>
          <w:numId w:val="11"/>
        </w:numPr>
        <w:tabs>
          <w:tab w:val="left" w:pos="0"/>
          <w:tab w:val="clear" w:pos="562"/>
        </w:tabs>
        <w:snapToGrid w:val="0"/>
        <w:spacing w:line="360" w:lineRule="auto"/>
        <w:ind w:left="7" w:firstLine="413"/>
        <w:jc w:val="both"/>
        <w:rPr>
          <w:rFonts w:hint="eastAsia"/>
          <w:bCs/>
          <w:szCs w:val="21"/>
        </w:rPr>
      </w:pPr>
      <w:r>
        <w:rPr>
          <w:rFonts w:hint="eastAsia"/>
          <w:szCs w:val="21"/>
        </w:rPr>
        <w:t>投标报价应包括所有应支付的对专利权和版权、设计或其他知识产权而需要向其他方支付的版税。</w:t>
      </w:r>
    </w:p>
    <w:p>
      <w:pPr>
        <w:numPr>
          <w:ilvl w:val="0"/>
          <w:numId w:val="11"/>
        </w:numPr>
        <w:snapToGrid w:val="0"/>
        <w:spacing w:line="360" w:lineRule="auto"/>
        <w:ind w:hanging="5"/>
        <w:jc w:val="both"/>
        <w:rPr>
          <w:rFonts w:hint="eastAsia"/>
          <w:b/>
          <w:sz w:val="24"/>
          <w:szCs w:val="22"/>
        </w:rPr>
      </w:pPr>
      <w:r>
        <w:rPr>
          <w:rFonts w:hint="eastAsia"/>
          <w:b/>
          <w:sz w:val="24"/>
          <w:szCs w:val="22"/>
        </w:rPr>
        <w:t>投标文件的编制</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投标文件的编制要求</w:t>
      </w:r>
    </w:p>
    <w:p>
      <w:pPr>
        <w:numPr>
          <w:ilvl w:val="2"/>
          <w:numId w:val="11"/>
        </w:numPr>
        <w:tabs>
          <w:tab w:val="left" w:pos="1050"/>
        </w:tabs>
        <w:adjustRightInd w:val="0"/>
        <w:snapToGrid w:val="0"/>
        <w:spacing w:line="360" w:lineRule="auto"/>
        <w:ind w:left="9" w:firstLine="411"/>
        <w:rPr>
          <w:rFonts w:hint="eastAsia"/>
          <w:color w:val="000000"/>
          <w:kern w:val="2"/>
          <w:szCs w:val="22"/>
        </w:rPr>
      </w:pPr>
      <w:r>
        <w:rPr>
          <w:rFonts w:hint="eastAsia"/>
          <w:color w:val="000000"/>
          <w:kern w:val="2"/>
          <w:szCs w:val="22"/>
        </w:rPr>
        <w:t>投标人必须按招标文件的要求提供相关技术参数、资料，包括采用的计量单位，并保证投标文件的正确性和完整性，否则评标委员会将作出不利于其投标的评定。</w:t>
      </w:r>
    </w:p>
    <w:p>
      <w:pPr>
        <w:numPr>
          <w:ilvl w:val="2"/>
          <w:numId w:val="11"/>
        </w:numPr>
        <w:tabs>
          <w:tab w:val="left" w:pos="1060"/>
        </w:tabs>
        <w:adjustRightInd w:val="0"/>
        <w:snapToGrid w:val="0"/>
        <w:spacing w:line="360" w:lineRule="auto"/>
        <w:ind w:left="9" w:firstLine="411"/>
        <w:rPr>
          <w:rFonts w:hint="eastAsia"/>
          <w:kern w:val="2"/>
          <w:szCs w:val="22"/>
        </w:rPr>
      </w:pPr>
      <w:r>
        <w:rPr>
          <w:rFonts w:hint="eastAsia"/>
          <w:color w:val="000000"/>
          <w:kern w:val="2"/>
          <w:szCs w:val="22"/>
        </w:rPr>
        <w:t>投标人必须保证投标文件所提供的全部资料真实可靠，技术和商务如有偏离均应填写偏</w:t>
      </w:r>
      <w:r>
        <w:rPr>
          <w:rFonts w:hint="eastAsia"/>
          <w:kern w:val="2"/>
          <w:szCs w:val="22"/>
        </w:rPr>
        <w:t>离情况，并接受采购人对其中任何资料进一步审查的要求。提供虚假材料谋取中标的，投标无效，并承担相应法律责任。</w:t>
      </w:r>
    </w:p>
    <w:p>
      <w:pPr>
        <w:numPr>
          <w:ilvl w:val="2"/>
          <w:numId w:val="11"/>
        </w:numPr>
        <w:tabs>
          <w:tab w:val="left" w:pos="1050"/>
        </w:tabs>
        <w:adjustRightInd w:val="0"/>
        <w:snapToGrid w:val="0"/>
        <w:spacing w:line="360" w:lineRule="auto"/>
        <w:ind w:left="9" w:firstLine="411"/>
        <w:rPr>
          <w:rFonts w:hint="eastAsia"/>
          <w:kern w:val="2"/>
          <w:szCs w:val="22"/>
        </w:rPr>
      </w:pPr>
      <w:r>
        <w:rPr>
          <w:rFonts w:hint="eastAsia"/>
          <w:kern w:val="2"/>
          <w:szCs w:val="22"/>
        </w:rPr>
        <w:t>投标人必须对招标文件中</w:t>
      </w:r>
      <w:r>
        <w:rPr>
          <w:rFonts w:hint="eastAsia"/>
          <w:szCs w:val="21"/>
        </w:rPr>
        <w:t>以“▲”标识的有关技术和商务条款</w:t>
      </w:r>
      <w:r>
        <w:rPr>
          <w:rFonts w:hint="eastAsia"/>
          <w:kern w:val="2"/>
          <w:szCs w:val="22"/>
        </w:rPr>
        <w:t>做出实质性响应，否则其投标无效。</w:t>
      </w:r>
    </w:p>
    <w:p>
      <w:pPr>
        <w:numPr>
          <w:ilvl w:val="2"/>
          <w:numId w:val="11"/>
        </w:numPr>
        <w:tabs>
          <w:tab w:val="left" w:pos="1050"/>
        </w:tabs>
        <w:adjustRightInd w:val="0"/>
        <w:snapToGrid w:val="0"/>
        <w:spacing w:line="360" w:lineRule="auto"/>
        <w:ind w:left="9" w:firstLine="411"/>
        <w:rPr>
          <w:rFonts w:hint="eastAsia"/>
          <w:color w:val="000000"/>
          <w:kern w:val="2"/>
          <w:szCs w:val="22"/>
        </w:rPr>
      </w:pPr>
      <w:r>
        <w:rPr>
          <w:rFonts w:hint="eastAsia"/>
          <w:color w:val="000000"/>
          <w:kern w:val="2"/>
          <w:szCs w:val="22"/>
        </w:rPr>
        <w:t>投标人拥有的资格、信誉、荣誉、业绩、项目案例、企业认证、知识产权等在投标文件中提供的证明材料必须为投标人自身所有。不同法人、其他组织的资料与投标人无关。</w:t>
      </w:r>
    </w:p>
    <w:p>
      <w:pPr>
        <w:numPr>
          <w:ilvl w:val="2"/>
          <w:numId w:val="11"/>
        </w:numPr>
        <w:tabs>
          <w:tab w:val="left" w:pos="1050"/>
        </w:tabs>
        <w:adjustRightInd w:val="0"/>
        <w:snapToGrid w:val="0"/>
        <w:spacing w:line="360" w:lineRule="auto"/>
        <w:ind w:left="9" w:firstLine="411"/>
        <w:rPr>
          <w:rFonts w:hint="eastAsia"/>
          <w:color w:val="000000"/>
          <w:kern w:val="2"/>
          <w:szCs w:val="22"/>
        </w:rPr>
      </w:pPr>
      <w:r>
        <w:rPr>
          <w:rFonts w:hint="eastAsia"/>
          <w:color w:val="000000"/>
          <w:kern w:val="2"/>
          <w:szCs w:val="22"/>
        </w:rPr>
        <w:t>投标人应在认真阅读招标文件所有内容的基础上，按照招标文件中规定的格式和顺序编制电子加密投标文件并进行关联定位，混乱的编排或关联导致投标文件被误读或采购人查找不到有效文件是投标人的风险。</w:t>
      </w:r>
    </w:p>
    <w:p>
      <w:pPr>
        <w:numPr>
          <w:ilvl w:val="1"/>
          <w:numId w:val="11"/>
        </w:numPr>
        <w:snapToGrid w:val="0"/>
        <w:spacing w:line="360" w:lineRule="auto"/>
        <w:ind w:hanging="147"/>
        <w:jc w:val="both"/>
        <w:rPr>
          <w:rFonts w:hint="eastAsia"/>
        </w:rPr>
      </w:pPr>
      <w:r>
        <w:rPr>
          <w:rFonts w:hint="eastAsia"/>
        </w:rPr>
        <w:t xml:space="preserve"> 投标文件形式</w:t>
      </w:r>
    </w:p>
    <w:p>
      <w:pPr>
        <w:numPr>
          <w:ilvl w:val="2"/>
          <w:numId w:val="11"/>
        </w:numPr>
        <w:tabs>
          <w:tab w:val="left" w:pos="1050"/>
        </w:tabs>
        <w:adjustRightInd w:val="0"/>
        <w:snapToGrid w:val="0"/>
        <w:spacing w:line="360" w:lineRule="auto"/>
        <w:ind w:left="9" w:firstLine="411"/>
        <w:rPr>
          <w:rFonts w:hint="eastAsia"/>
          <w:kern w:val="2"/>
          <w:szCs w:val="22"/>
        </w:rPr>
      </w:pPr>
      <w:r>
        <w:rPr>
          <w:rFonts w:hint="eastAsia"/>
          <w:kern w:val="2"/>
          <w:szCs w:val="22"/>
        </w:rPr>
        <w:t xml:space="preserve">投标人通过“政采云电子交易客户端”完成投标文件编制，采用CA锁进行电子签章和加密并同时生成内容完全一致的“电子加密投标文件”和“备份投标文件”。    </w:t>
      </w:r>
    </w:p>
    <w:p>
      <w:pPr>
        <w:numPr>
          <w:ilvl w:val="2"/>
          <w:numId w:val="11"/>
        </w:numPr>
        <w:tabs>
          <w:tab w:val="left" w:pos="1050"/>
          <w:tab w:val="left" w:pos="1260"/>
        </w:tabs>
        <w:adjustRightInd w:val="0"/>
        <w:snapToGrid w:val="0"/>
        <w:spacing w:line="360" w:lineRule="auto"/>
        <w:ind w:left="9" w:firstLine="411"/>
        <w:rPr>
          <w:rFonts w:hint="eastAsia"/>
          <w:kern w:val="2"/>
          <w:szCs w:val="22"/>
        </w:rPr>
      </w:pPr>
      <w:r>
        <w:rPr>
          <w:rFonts w:hint="eastAsia"/>
          <w:kern w:val="2"/>
          <w:szCs w:val="22"/>
        </w:rPr>
        <w:t>“电子加密投标文件”指数据电文形式的后缀名为“</w:t>
      </w:r>
      <w:r>
        <w:rPr>
          <w:rFonts w:ascii="Arial" w:hAnsi="Arial" w:cs="Arial"/>
          <w:kern w:val="2"/>
          <w:szCs w:val="22"/>
        </w:rPr>
        <w:t>.JMBS</w:t>
      </w:r>
      <w:r>
        <w:rPr>
          <w:rFonts w:hint="eastAsia"/>
          <w:kern w:val="2"/>
          <w:szCs w:val="22"/>
        </w:rPr>
        <w:t>”的文件；“备份投标文件”指数据电文形式的后缀名为“</w:t>
      </w:r>
      <w:r>
        <w:rPr>
          <w:rFonts w:ascii="Arial" w:hAnsi="Arial" w:cs="Arial"/>
          <w:kern w:val="2"/>
          <w:szCs w:val="22"/>
        </w:rPr>
        <w:t>.BFBS</w:t>
      </w:r>
      <w:r>
        <w:rPr>
          <w:rFonts w:hint="eastAsia"/>
          <w:kern w:val="2"/>
          <w:szCs w:val="22"/>
        </w:rPr>
        <w:t xml:space="preserve">”的文件。   </w:t>
      </w:r>
    </w:p>
    <w:p>
      <w:pPr>
        <w:numPr>
          <w:ilvl w:val="1"/>
          <w:numId w:val="11"/>
        </w:numPr>
        <w:tabs>
          <w:tab w:val="left" w:pos="0"/>
          <w:tab w:val="clear" w:pos="562"/>
        </w:tabs>
        <w:snapToGrid w:val="0"/>
        <w:spacing w:line="360" w:lineRule="auto"/>
        <w:ind w:left="427" w:hanging="7"/>
        <w:jc w:val="both"/>
        <w:rPr>
          <w:rFonts w:hint="eastAsia"/>
        </w:rPr>
      </w:pPr>
      <w:r>
        <w:rPr>
          <w:rFonts w:hint="eastAsia"/>
          <w:szCs w:val="21"/>
        </w:rPr>
        <w:t>投标文件的盖章</w:t>
      </w:r>
    </w:p>
    <w:p>
      <w:pPr>
        <w:snapToGrid w:val="0"/>
        <w:spacing w:line="360" w:lineRule="auto"/>
        <w:ind w:firstLine="420" w:firstLineChars="200"/>
        <w:jc w:val="both"/>
        <w:rPr>
          <w:rFonts w:hint="eastAsia"/>
        </w:rPr>
      </w:pPr>
      <w:r>
        <w:rPr>
          <w:rFonts w:hint="eastAsia"/>
          <w:bCs/>
          <w:szCs w:val="21"/>
        </w:rPr>
        <w:t>投标文件中盖公章部分均采用电子签章。</w:t>
      </w:r>
    </w:p>
    <w:p>
      <w:pPr>
        <w:numPr>
          <w:ilvl w:val="1"/>
          <w:numId w:val="11"/>
        </w:numPr>
        <w:snapToGrid w:val="0"/>
        <w:spacing w:line="360" w:lineRule="auto"/>
        <w:ind w:hanging="147"/>
        <w:jc w:val="both"/>
        <w:rPr>
          <w:rFonts w:hint="eastAsia"/>
          <w:szCs w:val="21"/>
        </w:rPr>
      </w:pPr>
      <w:r>
        <w:rPr>
          <w:rFonts w:hint="eastAsia"/>
          <w:szCs w:val="21"/>
        </w:rPr>
        <w:t>投标文件的构成</w:t>
      </w:r>
    </w:p>
    <w:p>
      <w:pPr>
        <w:snapToGrid w:val="0"/>
        <w:spacing w:line="360" w:lineRule="auto"/>
        <w:ind w:firstLine="420" w:firstLineChars="200"/>
        <w:jc w:val="both"/>
        <w:rPr>
          <w:rFonts w:hint="eastAsia"/>
          <w:color w:val="000000"/>
        </w:rPr>
      </w:pPr>
      <w:r>
        <w:rPr>
          <w:rFonts w:hint="eastAsia"/>
          <w:szCs w:val="21"/>
        </w:rPr>
        <w:t>投标文件应</w:t>
      </w:r>
      <w:r>
        <w:rPr>
          <w:rFonts w:hint="eastAsia"/>
          <w:color w:val="000000"/>
        </w:rPr>
        <w:t>包括“资格文件”“商务技术文件”和“报价文件”三部分，投标文件应当对招标文件提出的要求和条件作出明确响应。</w:t>
      </w:r>
    </w:p>
    <w:p>
      <w:pPr>
        <w:snapToGrid w:val="0"/>
        <w:spacing w:line="360" w:lineRule="auto"/>
        <w:ind w:firstLine="420" w:firstLineChars="200"/>
        <w:jc w:val="both"/>
        <w:rPr>
          <w:rFonts w:hint="eastAsia"/>
          <w:color w:val="000000"/>
          <w:szCs w:val="21"/>
        </w:rPr>
      </w:pPr>
      <w:r>
        <w:rPr>
          <w:rFonts w:hint="eastAsia"/>
          <w:color w:val="000000"/>
          <w:szCs w:val="21"/>
        </w:rPr>
        <w:t>第一部分：资格文件</w:t>
      </w:r>
    </w:p>
    <w:p>
      <w:pPr>
        <w:tabs>
          <w:tab w:val="left" w:pos="720"/>
        </w:tabs>
        <w:adjustRightInd w:val="0"/>
        <w:snapToGrid w:val="0"/>
        <w:spacing w:line="360" w:lineRule="auto"/>
        <w:ind w:firstLine="420" w:firstLineChars="200"/>
        <w:rPr>
          <w:rFonts w:hint="eastAsia"/>
          <w:bCs/>
          <w:snapToGrid w:val="0"/>
          <w:color w:val="7030A0"/>
          <w:szCs w:val="21"/>
        </w:rPr>
      </w:pPr>
      <w:r>
        <w:rPr>
          <w:rFonts w:hint="eastAsia"/>
          <w:bCs/>
          <w:snapToGrid w:val="0"/>
          <w:color w:val="000000"/>
          <w:szCs w:val="21"/>
        </w:rPr>
        <w:t>如下为资格证明材料所需内容：</w:t>
      </w:r>
    </w:p>
    <w:p>
      <w:pPr>
        <w:numPr>
          <w:ilvl w:val="0"/>
          <w:numId w:val="13"/>
        </w:numPr>
        <w:tabs>
          <w:tab w:val="left" w:pos="840"/>
        </w:tabs>
        <w:adjustRightInd w:val="0"/>
        <w:snapToGrid w:val="0"/>
        <w:spacing w:line="360" w:lineRule="auto"/>
        <w:ind w:firstLine="420" w:firstLineChars="200"/>
        <w:rPr>
          <w:rFonts w:hint="eastAsia"/>
          <w:bCs/>
          <w:snapToGrid w:val="0"/>
          <w:color w:val="000000"/>
          <w:szCs w:val="21"/>
        </w:rPr>
      </w:pPr>
      <w:r>
        <w:rPr>
          <w:rFonts w:hint="eastAsia"/>
          <w:bCs/>
          <w:snapToGrid w:val="0"/>
          <w:color w:val="000000"/>
          <w:szCs w:val="21"/>
        </w:rPr>
        <w:t>基本资格条件：符合《中华人民共和国政府采购法》第二十二条的规定；</w:t>
      </w:r>
    </w:p>
    <w:p>
      <w:pPr>
        <w:pStyle w:val="36"/>
        <w:tabs>
          <w:tab w:val="left" w:pos="630"/>
          <w:tab w:val="left" w:pos="840"/>
          <w:tab w:val="left" w:pos="1050"/>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（1）具有独立承担民事责任能力的证明材料；</w:t>
      </w:r>
    </w:p>
    <w:p>
      <w:pPr>
        <w:pStyle w:val="36"/>
        <w:tabs>
          <w:tab w:val="left" w:pos="630"/>
          <w:tab w:val="left" w:pos="840"/>
          <w:tab w:val="left" w:pos="1050"/>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投标人须在投标文件中出具符合以下情况的证明材料复印件（五选一）：</w:t>
      </w:r>
    </w:p>
    <w:p>
      <w:pPr>
        <w:pStyle w:val="36"/>
        <w:tabs>
          <w:tab w:val="left" w:pos="312"/>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1）如投标人是企业（包括合伙企业），提供在工商部门注册的有效“企业法人营业执照”或“营业执照”；</w:t>
      </w:r>
    </w:p>
    <w:p>
      <w:pPr>
        <w:pStyle w:val="36"/>
        <w:tabs>
          <w:tab w:val="left" w:pos="312"/>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2）如投标人是事业单位，提供有效的“事业单位法人证书”；</w:t>
      </w:r>
    </w:p>
    <w:p>
      <w:pPr>
        <w:pStyle w:val="36"/>
        <w:tabs>
          <w:tab w:val="left" w:pos="312"/>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3）如投标人是非企业专业服务机构的，提供执业许可证等证明文件；</w:t>
      </w:r>
    </w:p>
    <w:p>
      <w:pPr>
        <w:pStyle w:val="36"/>
        <w:tabs>
          <w:tab w:val="left" w:pos="312"/>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4）如投标人是个体工商户，提供有效的“个体工商户营业执照”；</w:t>
      </w:r>
    </w:p>
    <w:p>
      <w:pPr>
        <w:pStyle w:val="36"/>
        <w:tabs>
          <w:tab w:val="left" w:pos="312"/>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5）如投标人是自然人，提供有效的自然人身份证明（居民身份证正反面或公安机关出具的临时居民身份证正反面或港澳台胞证或护照）。</w:t>
      </w:r>
    </w:p>
    <w:p>
      <w:pPr>
        <w:pStyle w:val="36"/>
        <w:tabs>
          <w:tab w:val="left" w:pos="630"/>
          <w:tab w:val="left" w:pos="840"/>
          <w:tab w:val="left" w:pos="1050"/>
        </w:tabs>
        <w:adjustRightInd w:val="0"/>
        <w:snapToGrid w:val="0"/>
        <w:spacing w:before="0" w:beforeAutospacing="0" w:after="0" w:afterAutospacing="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both"/>
        <w:rPr>
          <w:rFonts w:hint="eastAsia"/>
          <w:bCs/>
          <w:color w:val="000000"/>
          <w:szCs w:val="21"/>
        </w:rPr>
      </w:pPr>
      <w:r>
        <w:rPr>
          <w:rFonts w:hint="eastAsia"/>
          <w:bCs/>
          <w:color w:val="000000"/>
          <w:szCs w:val="21"/>
        </w:rPr>
        <w:t xml:space="preserve">（2）提供关于符合《中华人民共和国政府采购法》第二十二条规定条件的承诺函（按附件格式） </w:t>
      </w:r>
    </w:p>
    <w:p>
      <w:pPr>
        <w:snapToGrid w:val="0"/>
        <w:spacing w:line="360" w:lineRule="auto"/>
        <w:ind w:firstLine="420" w:firstLineChars="200"/>
        <w:jc w:val="both"/>
        <w:rPr>
          <w:rFonts w:hint="eastAsia"/>
          <w:bCs/>
          <w:color w:val="FF0000"/>
          <w:szCs w:val="21"/>
          <w:lang w:eastAsia="zh-CN"/>
        </w:rPr>
      </w:pPr>
      <w:r>
        <w:rPr>
          <w:rFonts w:hint="eastAsia"/>
          <w:bCs/>
          <w:color w:val="000000"/>
          <w:szCs w:val="21"/>
        </w:rPr>
        <w:t>2. 落实政府采购政策需满足的资格要求所对应的证明材料</w:t>
      </w:r>
      <w:r>
        <w:rPr>
          <w:rFonts w:hint="eastAsia"/>
          <w:bCs/>
          <w:color w:val="auto"/>
          <w:szCs w:val="21"/>
        </w:rPr>
        <w:t>：</w:t>
      </w:r>
      <w:r>
        <w:rPr>
          <w:rFonts w:hint="eastAsia"/>
          <w:bCs/>
          <w:color w:val="auto"/>
          <w:szCs w:val="21"/>
          <w:lang w:eastAsia="zh-CN"/>
        </w:rPr>
        <w:t>无。</w:t>
      </w:r>
    </w:p>
    <w:p>
      <w:pPr>
        <w:snapToGrid w:val="0"/>
        <w:spacing w:line="360" w:lineRule="auto"/>
        <w:ind w:firstLine="420" w:firstLineChars="200"/>
        <w:jc w:val="both"/>
        <w:rPr>
          <w:rFonts w:hint="eastAsia"/>
          <w:bCs/>
          <w:color w:val="000000"/>
          <w:szCs w:val="21"/>
        </w:rPr>
      </w:pPr>
      <w:r>
        <w:rPr>
          <w:rFonts w:hint="eastAsia"/>
          <w:bCs/>
          <w:color w:val="000000"/>
          <w:szCs w:val="21"/>
        </w:rPr>
        <w:t>3. 特定资格条件对应的证明材料：无。</w:t>
      </w:r>
    </w:p>
    <w:p>
      <w:pPr>
        <w:snapToGrid w:val="0"/>
        <w:spacing w:line="360" w:lineRule="auto"/>
        <w:ind w:firstLine="420" w:firstLineChars="200"/>
        <w:jc w:val="both"/>
        <w:rPr>
          <w:rFonts w:hint="eastAsia"/>
          <w:b/>
          <w:bCs/>
          <w:color w:val="000000"/>
          <w:szCs w:val="22"/>
        </w:rPr>
      </w:pPr>
      <w:r>
        <w:rPr>
          <w:rFonts w:hint="eastAsia"/>
          <w:color w:val="000000"/>
          <w:szCs w:val="22"/>
        </w:rPr>
        <w:t>第二部分：商务技术文件</w:t>
      </w:r>
    </w:p>
    <w:p>
      <w:pPr>
        <w:tabs>
          <w:tab w:val="left" w:pos="851"/>
          <w:tab w:val="left" w:pos="900"/>
          <w:tab w:val="left" w:pos="1080"/>
        </w:tabs>
        <w:adjustRightInd w:val="0"/>
        <w:snapToGrid w:val="0"/>
        <w:spacing w:line="360" w:lineRule="auto"/>
        <w:ind w:firstLine="420" w:firstLineChars="200"/>
        <w:rPr>
          <w:rFonts w:hint="eastAsia"/>
        </w:rPr>
      </w:pPr>
      <w:r>
        <w:rPr>
          <w:rFonts w:hint="eastAsia"/>
          <w:bCs/>
          <w:szCs w:val="21"/>
        </w:rPr>
        <w:t>包括但不限于以下内容：</w:t>
      </w:r>
    </w:p>
    <w:p>
      <w:pPr>
        <w:snapToGrid w:val="0"/>
        <w:spacing w:line="360" w:lineRule="auto"/>
        <w:ind w:left="420" w:leftChars="200"/>
        <w:jc w:val="both"/>
        <w:rPr>
          <w:rFonts w:hint="eastAsia"/>
          <w:bCs/>
          <w:color w:val="000000"/>
          <w:szCs w:val="21"/>
        </w:rPr>
      </w:pPr>
      <w:r>
        <w:rPr>
          <w:rFonts w:hint="eastAsia"/>
          <w:bCs/>
          <w:color w:val="000000"/>
          <w:szCs w:val="21"/>
        </w:rPr>
        <w:t>（1）</w:t>
      </w:r>
      <w:r>
        <w:rPr>
          <w:rFonts w:hint="eastAsia"/>
        </w:rPr>
        <w:t>▲</w:t>
      </w:r>
      <w:r>
        <w:rPr>
          <w:rFonts w:hint="eastAsia"/>
          <w:bCs/>
          <w:color w:val="000000"/>
          <w:szCs w:val="21"/>
        </w:rPr>
        <w:t xml:space="preserve">法定代表人身份证明                                   </w:t>
      </w:r>
      <w:r>
        <w:rPr>
          <w:rFonts w:hint="eastAsia"/>
          <w:bCs/>
          <w:szCs w:val="21"/>
        </w:rPr>
        <w:t>（按附件格式）</w:t>
      </w:r>
    </w:p>
    <w:p>
      <w:pPr>
        <w:snapToGrid w:val="0"/>
        <w:spacing w:line="360" w:lineRule="auto"/>
        <w:ind w:left="420" w:leftChars="200"/>
        <w:jc w:val="both"/>
        <w:rPr>
          <w:rFonts w:hint="eastAsia"/>
          <w:szCs w:val="22"/>
        </w:rPr>
      </w:pPr>
      <w:r>
        <w:rPr>
          <w:rFonts w:hint="eastAsia"/>
          <w:bCs/>
          <w:color w:val="000000"/>
          <w:szCs w:val="21"/>
        </w:rPr>
        <w:t>（2）</w:t>
      </w:r>
      <w:r>
        <w:rPr>
          <w:rFonts w:hint="eastAsia"/>
          <w:szCs w:val="22"/>
        </w:rPr>
        <w:t xml:space="preserve">法定代表人授权书                                       </w:t>
      </w:r>
      <w:r>
        <w:rPr>
          <w:rFonts w:hint="eastAsia"/>
          <w:bCs/>
          <w:szCs w:val="21"/>
        </w:rPr>
        <w:t>（按附件格式）</w:t>
      </w:r>
    </w:p>
    <w:p>
      <w:pPr>
        <w:snapToGrid w:val="0"/>
        <w:spacing w:line="360" w:lineRule="auto"/>
        <w:ind w:left="420" w:leftChars="200"/>
        <w:jc w:val="both"/>
        <w:rPr>
          <w:rFonts w:hint="eastAsia"/>
          <w:szCs w:val="22"/>
        </w:rPr>
      </w:pPr>
      <w:r>
        <w:rPr>
          <w:rFonts w:hint="eastAsia"/>
          <w:bCs/>
          <w:color w:val="000000"/>
          <w:szCs w:val="21"/>
        </w:rPr>
        <w:t>（3）</w:t>
      </w:r>
      <w:r>
        <w:rPr>
          <w:rFonts w:hint="eastAsia"/>
        </w:rPr>
        <w:t>▲</w:t>
      </w:r>
      <w:r>
        <w:rPr>
          <w:rFonts w:hint="eastAsia"/>
          <w:bCs/>
          <w:color w:val="000000"/>
          <w:szCs w:val="21"/>
        </w:rPr>
        <w:t>投</w:t>
      </w:r>
      <w:r>
        <w:rPr>
          <w:rFonts w:hint="eastAsia"/>
          <w:szCs w:val="22"/>
        </w:rPr>
        <w:t xml:space="preserve">标函                                               </w:t>
      </w:r>
      <w:r>
        <w:rPr>
          <w:rFonts w:hint="eastAsia"/>
          <w:bCs/>
          <w:szCs w:val="21"/>
        </w:rPr>
        <w:t>（按附件格式）</w:t>
      </w:r>
    </w:p>
    <w:p>
      <w:pPr>
        <w:snapToGrid w:val="0"/>
        <w:spacing w:line="360" w:lineRule="auto"/>
        <w:ind w:left="2520" w:leftChars="200" w:hanging="2100" w:hangingChars="1000"/>
        <w:jc w:val="both"/>
        <w:rPr>
          <w:rFonts w:hint="eastAsia"/>
          <w:szCs w:val="22"/>
        </w:rPr>
      </w:pPr>
      <w:r>
        <w:rPr>
          <w:rFonts w:hint="eastAsia"/>
          <w:bCs/>
          <w:color w:val="000000"/>
          <w:szCs w:val="21"/>
        </w:rPr>
        <w:t>（4）</w:t>
      </w:r>
      <w:r>
        <w:rPr>
          <w:rFonts w:hint="eastAsia"/>
          <w:szCs w:val="22"/>
        </w:rPr>
        <w:t>商务与技术偏离表                                       （按附件格式）</w:t>
      </w:r>
    </w:p>
    <w:p>
      <w:pPr>
        <w:snapToGrid w:val="0"/>
        <w:spacing w:line="360" w:lineRule="auto"/>
        <w:ind w:left="420" w:leftChars="200"/>
        <w:rPr>
          <w:rFonts w:hint="eastAsia"/>
          <w:szCs w:val="22"/>
        </w:rPr>
      </w:pPr>
      <w:r>
        <w:rPr>
          <w:rFonts w:hint="eastAsia"/>
          <w:bCs/>
          <w:color w:val="000000"/>
          <w:szCs w:val="21"/>
        </w:rPr>
        <w:t>（5）</w:t>
      </w:r>
      <w:r>
        <w:rPr>
          <w:rFonts w:hint="eastAsia"/>
          <w:szCs w:val="22"/>
        </w:rPr>
        <w:t>项目负责人资格情况表                                   （按附件格式）</w:t>
      </w:r>
    </w:p>
    <w:p>
      <w:pPr>
        <w:snapToGrid w:val="0"/>
        <w:spacing w:line="360" w:lineRule="auto"/>
        <w:ind w:left="420" w:leftChars="200"/>
        <w:jc w:val="both"/>
        <w:rPr>
          <w:rFonts w:hint="eastAsia"/>
          <w:szCs w:val="22"/>
        </w:rPr>
      </w:pPr>
      <w:r>
        <w:rPr>
          <w:rFonts w:hint="eastAsia"/>
          <w:bCs/>
          <w:color w:val="000000"/>
          <w:szCs w:val="21"/>
        </w:rPr>
        <w:t>（</w:t>
      </w:r>
      <w:r>
        <w:rPr>
          <w:rFonts w:hint="eastAsia"/>
          <w:bCs/>
          <w:color w:val="000000"/>
          <w:szCs w:val="21"/>
          <w:lang w:val="en-US" w:eastAsia="zh-CN"/>
        </w:rPr>
        <w:t>6</w:t>
      </w:r>
      <w:r>
        <w:rPr>
          <w:rFonts w:hint="eastAsia"/>
          <w:bCs/>
          <w:color w:val="000000"/>
          <w:szCs w:val="21"/>
        </w:rPr>
        <w:t>）</w:t>
      </w:r>
      <w:r>
        <w:rPr>
          <w:rFonts w:hint="eastAsia"/>
          <w:szCs w:val="22"/>
        </w:rPr>
        <w:t>投入设备及工具一览表                                   （按附件格式）</w:t>
      </w:r>
    </w:p>
    <w:p>
      <w:pPr>
        <w:snapToGrid w:val="0"/>
        <w:spacing w:line="360" w:lineRule="auto"/>
        <w:ind w:left="420" w:leftChars="200"/>
        <w:jc w:val="both"/>
        <w:rPr>
          <w:rFonts w:hint="eastAsia"/>
          <w:szCs w:val="22"/>
        </w:rPr>
      </w:pPr>
      <w:r>
        <w:rPr>
          <w:rFonts w:hint="eastAsia"/>
          <w:bCs/>
          <w:color w:val="000000"/>
          <w:szCs w:val="21"/>
        </w:rPr>
        <w:t>（</w:t>
      </w:r>
      <w:r>
        <w:rPr>
          <w:rFonts w:hint="eastAsia"/>
          <w:bCs/>
          <w:color w:val="000000"/>
          <w:szCs w:val="21"/>
          <w:lang w:val="en-US" w:eastAsia="zh-CN"/>
        </w:rPr>
        <w:t>7</w:t>
      </w:r>
      <w:r>
        <w:rPr>
          <w:rFonts w:hint="eastAsia"/>
          <w:bCs/>
          <w:color w:val="000000"/>
          <w:szCs w:val="21"/>
        </w:rPr>
        <w:t>）</w:t>
      </w:r>
      <w:r>
        <w:rPr>
          <w:rFonts w:hint="eastAsia"/>
          <w:szCs w:val="22"/>
        </w:rPr>
        <w:t>耗材选用配备一览表                                     （按附件格式）</w:t>
      </w:r>
    </w:p>
    <w:p>
      <w:pPr>
        <w:snapToGrid w:val="0"/>
        <w:spacing w:line="360" w:lineRule="auto"/>
        <w:ind w:firstLine="420" w:firstLineChars="200"/>
        <w:jc w:val="both"/>
        <w:rPr>
          <w:rFonts w:hint="eastAsia"/>
          <w:szCs w:val="22"/>
        </w:rPr>
      </w:pPr>
      <w:r>
        <w:rPr>
          <w:rFonts w:hint="eastAsia"/>
          <w:bCs/>
          <w:szCs w:val="21"/>
        </w:rPr>
        <w:t>（</w:t>
      </w:r>
      <w:r>
        <w:rPr>
          <w:rFonts w:hint="eastAsia"/>
          <w:bCs/>
          <w:szCs w:val="21"/>
          <w:lang w:val="en-US" w:eastAsia="zh-CN"/>
        </w:rPr>
        <w:t>8</w:t>
      </w:r>
      <w:r>
        <w:rPr>
          <w:rFonts w:hint="eastAsia"/>
          <w:bCs/>
          <w:szCs w:val="21"/>
        </w:rPr>
        <w:t>）</w:t>
      </w:r>
      <w:r>
        <w:rPr>
          <w:rFonts w:hint="eastAsia"/>
          <w:szCs w:val="21"/>
        </w:rPr>
        <w:t xml:space="preserve">业绩证明材料（详见招标文件第四部分 “三、商务技术、价格评审标准”相应内容） </w:t>
      </w:r>
    </w:p>
    <w:p>
      <w:pPr>
        <w:snapToGrid w:val="0"/>
        <w:spacing w:line="360" w:lineRule="auto"/>
        <w:ind w:firstLine="420" w:firstLineChars="200"/>
        <w:jc w:val="both"/>
        <w:rPr>
          <w:rFonts w:hint="eastAsia"/>
          <w:szCs w:val="22"/>
        </w:rPr>
      </w:pPr>
      <w:r>
        <w:rPr>
          <w:rFonts w:hint="eastAsia"/>
          <w:bCs/>
          <w:szCs w:val="21"/>
        </w:rPr>
        <w:t>（</w:t>
      </w:r>
      <w:r>
        <w:rPr>
          <w:rFonts w:hint="eastAsia"/>
          <w:bCs/>
          <w:szCs w:val="21"/>
          <w:lang w:val="en-US" w:eastAsia="zh-CN"/>
        </w:rPr>
        <w:t>9</w:t>
      </w:r>
      <w:r>
        <w:rPr>
          <w:rFonts w:hint="eastAsia"/>
          <w:bCs/>
          <w:szCs w:val="21"/>
        </w:rPr>
        <w:t>）</w:t>
      </w:r>
      <w:r>
        <w:rPr>
          <w:rFonts w:hint="eastAsia"/>
          <w:szCs w:val="22"/>
        </w:rPr>
        <w:t>与本项目</w:t>
      </w:r>
      <w:r>
        <w:rPr>
          <w:rFonts w:hint="eastAsia"/>
          <w:szCs w:val="21"/>
        </w:rPr>
        <w:t>商务技术评审</w:t>
      </w:r>
      <w:r>
        <w:rPr>
          <w:rFonts w:hint="eastAsia"/>
          <w:szCs w:val="22"/>
        </w:rPr>
        <w:t>相关的其他内容（</w:t>
      </w:r>
      <w:r>
        <w:rPr>
          <w:rFonts w:hint="eastAsia"/>
          <w:szCs w:val="21"/>
        </w:rPr>
        <w:t>详见招标文件第四部分 “三、商务技术、价格评审标准”相应内容</w:t>
      </w:r>
      <w:r>
        <w:rPr>
          <w:rFonts w:hint="eastAsia"/>
          <w:szCs w:val="22"/>
        </w:rPr>
        <w:t xml:space="preserve">）                    </w:t>
      </w:r>
    </w:p>
    <w:p>
      <w:pPr>
        <w:snapToGrid w:val="0"/>
        <w:spacing w:line="360" w:lineRule="auto"/>
        <w:ind w:left="420" w:leftChars="200"/>
        <w:rPr>
          <w:rFonts w:hint="eastAsia"/>
          <w:szCs w:val="22"/>
        </w:rPr>
      </w:pPr>
      <w:r>
        <w:rPr>
          <w:rFonts w:hint="eastAsia"/>
          <w:bCs/>
          <w:szCs w:val="21"/>
        </w:rPr>
        <w:t>（1</w:t>
      </w:r>
      <w:r>
        <w:rPr>
          <w:rFonts w:hint="eastAsia"/>
          <w:bCs/>
          <w:szCs w:val="21"/>
          <w:lang w:val="en-US" w:eastAsia="zh-CN"/>
        </w:rPr>
        <w:t>0</w:t>
      </w:r>
      <w:r>
        <w:rPr>
          <w:rFonts w:hint="eastAsia"/>
          <w:bCs/>
          <w:szCs w:val="21"/>
        </w:rPr>
        <w:t>）</w:t>
      </w:r>
      <w:r>
        <w:rPr>
          <w:rFonts w:hint="eastAsia"/>
          <w:szCs w:val="22"/>
        </w:rPr>
        <w:t>投标人认为需要提供的其他文件和资料</w:t>
      </w:r>
    </w:p>
    <w:p>
      <w:pPr>
        <w:pStyle w:val="21"/>
        <w:ind w:left="0" w:right="-252" w:firstLine="420" w:firstLineChars="200"/>
        <w:rPr>
          <w:rFonts w:hint="eastAsia" w:ascii="Times New Roman" w:hAnsi="Times New Roman"/>
          <w:color w:val="auto"/>
          <w:sz w:val="21"/>
          <w:szCs w:val="22"/>
        </w:rPr>
      </w:pPr>
      <w:r>
        <w:rPr>
          <w:rFonts w:hint="eastAsia" w:ascii="Times New Roman" w:hAnsi="Times New Roman"/>
          <w:color w:val="auto"/>
          <w:sz w:val="21"/>
          <w:szCs w:val="22"/>
        </w:rPr>
        <w:t>第三部分：报价文件</w:t>
      </w:r>
    </w:p>
    <w:p>
      <w:pPr>
        <w:keepNext w:val="0"/>
        <w:keepLines w:val="0"/>
        <w:pageBreakBefore w:val="0"/>
        <w:widowControl/>
        <w:kinsoku/>
        <w:wordWrap/>
        <w:overflowPunct/>
        <w:topLinePunct w:val="0"/>
        <w:autoSpaceDE/>
        <w:autoSpaceDN/>
        <w:bidi w:val="0"/>
        <w:adjustRightInd/>
        <w:snapToGrid w:val="0"/>
        <w:spacing w:line="360" w:lineRule="auto"/>
        <w:ind w:left="420" w:leftChars="200" w:firstLine="0" w:firstLineChars="0"/>
        <w:textAlignment w:val="auto"/>
        <w:outlineLvl w:val="9"/>
        <w:rPr>
          <w:rFonts w:hint="eastAsia"/>
          <w:color w:val="auto"/>
          <w:szCs w:val="21"/>
        </w:rPr>
      </w:pPr>
      <w:r>
        <w:rPr>
          <w:rFonts w:hint="eastAsia"/>
          <w:bCs/>
          <w:color w:val="auto"/>
          <w:szCs w:val="21"/>
        </w:rPr>
        <w:t>（1）</w:t>
      </w:r>
      <w:r>
        <w:rPr>
          <w:rFonts w:hint="eastAsia"/>
          <w:color w:val="auto"/>
        </w:rPr>
        <w:t>▲</w:t>
      </w:r>
      <w:r>
        <w:rPr>
          <w:rFonts w:hint="eastAsia"/>
          <w:color w:val="auto"/>
          <w:szCs w:val="21"/>
        </w:rPr>
        <w:t>开标一览表                                               （按附件格式）</w:t>
      </w:r>
      <w:r>
        <w:rPr>
          <w:rFonts w:hint="eastAsia"/>
          <w:bCs/>
          <w:color w:val="auto"/>
          <w:kern w:val="0"/>
          <w:szCs w:val="21"/>
        </w:rPr>
        <w:t>（2）</w:t>
      </w:r>
      <w:r>
        <w:rPr>
          <w:rFonts w:hint="eastAsia"/>
          <w:color w:val="auto"/>
        </w:rPr>
        <w:t>▲</w:t>
      </w:r>
      <w:r>
        <w:rPr>
          <w:rFonts w:hint="eastAsia"/>
          <w:color w:val="auto"/>
          <w:szCs w:val="21"/>
        </w:rPr>
        <w:t>报价明细表                                               （按附件格式）</w:t>
      </w:r>
    </w:p>
    <w:p>
      <w:pPr>
        <w:keepNext w:val="0"/>
        <w:keepLines w:val="0"/>
        <w:pageBreakBefore w:val="0"/>
        <w:widowControl/>
        <w:numPr>
          <w:ilvl w:val="0"/>
          <w:numId w:val="0"/>
        </w:numPr>
        <w:kinsoku/>
        <w:wordWrap/>
        <w:overflowPunct/>
        <w:topLinePunct w:val="0"/>
        <w:autoSpaceDE/>
        <w:autoSpaceDN/>
        <w:bidi w:val="0"/>
        <w:adjustRightInd/>
        <w:spacing w:line="360" w:lineRule="auto"/>
        <w:ind w:left="420" w:left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中小企业声明函                                     （如有，</w:t>
      </w:r>
      <w:r>
        <w:rPr>
          <w:rFonts w:hint="default" w:ascii="Times New Roman" w:hAnsi="Times New Roman" w:cs="Times New Roman"/>
          <w:color w:val="auto"/>
          <w:szCs w:val="22"/>
        </w:rPr>
        <w:t>按附件格式</w:t>
      </w:r>
      <w:r>
        <w:rPr>
          <w:rFonts w:hint="default" w:ascii="Times New Roman" w:hAnsi="Times New Roman" w:cs="Times New Roman"/>
          <w:color w:val="auto"/>
          <w:szCs w:val="21"/>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left="420" w:left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残疾人福利性单位声明函                             （如有，</w:t>
      </w:r>
      <w:r>
        <w:rPr>
          <w:rFonts w:hint="default" w:ascii="Times New Roman" w:hAnsi="Times New Roman" w:cs="Times New Roman"/>
          <w:color w:val="auto"/>
          <w:szCs w:val="22"/>
        </w:rPr>
        <w:t>按附件格式</w:t>
      </w:r>
      <w:r>
        <w:rPr>
          <w:rFonts w:hint="default" w:ascii="Times New Roman" w:hAnsi="Times New Roman" w:cs="Times New Roman"/>
          <w:color w:val="auto"/>
          <w:szCs w:val="21"/>
        </w:rPr>
        <w:t xml:space="preserve">） </w:t>
      </w:r>
    </w:p>
    <w:p>
      <w:pPr>
        <w:keepNext w:val="0"/>
        <w:keepLines w:val="0"/>
        <w:pageBreakBefore w:val="0"/>
        <w:widowControl/>
        <w:numPr>
          <w:ilvl w:val="0"/>
          <w:numId w:val="0"/>
        </w:numPr>
        <w:kinsoku/>
        <w:wordWrap/>
        <w:overflowPunct/>
        <w:topLinePunct w:val="0"/>
        <w:autoSpaceDE/>
        <w:autoSpaceDN/>
        <w:bidi w:val="0"/>
        <w:adjustRightInd/>
        <w:spacing w:line="360" w:lineRule="auto"/>
        <w:ind w:left="420" w:leftChars="0"/>
        <w:textAlignment w:val="auto"/>
        <w:outlineLvl w:val="9"/>
        <w:rPr>
          <w:rFonts w:hint="eastAsia"/>
          <w:color w:val="auto"/>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 xml:space="preserve">省级以上监狱管理局、戒毒管理局（含新疆生产建设兵团）出具的属于监狱企业的证明文件                                                          （如有）                           　　　　　　　　　　　　　　　　　　　　　　　　　　　　　　                                                                    　　　　　　                                  </w:t>
      </w:r>
    </w:p>
    <w:p>
      <w:pPr>
        <w:numPr>
          <w:ilvl w:val="0"/>
          <w:numId w:val="11"/>
        </w:numPr>
        <w:snapToGrid w:val="0"/>
        <w:spacing w:line="360" w:lineRule="auto"/>
        <w:ind w:hanging="5"/>
        <w:jc w:val="both"/>
        <w:rPr>
          <w:rFonts w:hint="eastAsia"/>
          <w:b/>
          <w:color w:val="auto"/>
          <w:sz w:val="24"/>
          <w:szCs w:val="22"/>
        </w:rPr>
      </w:pPr>
      <w:r>
        <w:rPr>
          <w:rFonts w:hint="eastAsia"/>
          <w:b/>
          <w:color w:val="auto"/>
          <w:sz w:val="24"/>
          <w:szCs w:val="22"/>
        </w:rPr>
        <w:t>投标报价</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color w:val="auto"/>
          <w:szCs w:val="21"/>
        </w:rPr>
        <w:t>投标人提供的货物和服务价格应该用人民币报价。投标价格应该已经扣除所有商业</w:t>
      </w:r>
      <w:r>
        <w:rPr>
          <w:rFonts w:hint="eastAsia"/>
          <w:szCs w:val="21"/>
        </w:rPr>
        <w:t>折扣以及现金折扣。投标报价应包括购买货物、服务所需缴纳的所有税费和一切费用，费用包括送达使用单位指定地点的一切费用。</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本次招标只允许有一个报价，并只有一次投标报价，投标人应在各自技术和商务占优势的基础上并充分考虑本次招标的重要性，提供对采购人最优惠的投标报价。</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投标人在报价文件上传的价格和电子交易平台填写的金额不一致时，以投标人上传的报价文件为准，对投标人的报价进行修正。</w:t>
      </w:r>
    </w:p>
    <w:p>
      <w:pPr>
        <w:numPr>
          <w:ilvl w:val="0"/>
          <w:numId w:val="11"/>
        </w:numPr>
        <w:snapToGrid w:val="0"/>
        <w:spacing w:line="360" w:lineRule="auto"/>
        <w:ind w:hanging="5"/>
        <w:jc w:val="both"/>
        <w:rPr>
          <w:rFonts w:hint="eastAsia"/>
          <w:b/>
          <w:sz w:val="24"/>
          <w:szCs w:val="22"/>
        </w:rPr>
      </w:pPr>
      <w:r>
        <w:rPr>
          <w:rFonts w:hint="eastAsia"/>
          <w:b/>
          <w:sz w:val="24"/>
          <w:szCs w:val="22"/>
        </w:rPr>
        <w:t>投标有效期</w:t>
      </w:r>
    </w:p>
    <w:p>
      <w:pPr>
        <w:numPr>
          <w:ilvl w:val="1"/>
          <w:numId w:val="11"/>
        </w:numPr>
        <w:tabs>
          <w:tab w:val="left" w:pos="0"/>
          <w:tab w:val="clear" w:pos="562"/>
        </w:tabs>
        <w:snapToGrid w:val="0"/>
        <w:spacing w:line="360" w:lineRule="auto"/>
        <w:ind w:left="7" w:firstLine="413"/>
        <w:jc w:val="both"/>
        <w:rPr>
          <w:rFonts w:hint="eastAsia"/>
          <w:color w:val="000000"/>
          <w:szCs w:val="21"/>
        </w:rPr>
      </w:pPr>
      <w:r>
        <w:rPr>
          <w:rFonts w:hint="eastAsia"/>
          <w:szCs w:val="21"/>
        </w:rPr>
        <w:t>提交投标文件截止之日起</w:t>
      </w:r>
      <w:r>
        <w:rPr>
          <w:rFonts w:ascii="Arial" w:hAnsi="Arial" w:cs="Arial"/>
          <w:szCs w:val="21"/>
        </w:rPr>
        <w:t>90</w:t>
      </w:r>
      <w:r>
        <w:rPr>
          <w:rFonts w:hint="eastAsia"/>
          <w:szCs w:val="21"/>
        </w:rPr>
        <w:t>天内，投标文件应保持有效。投标有效期比规定期限短的投标文件将</w:t>
      </w:r>
      <w:r>
        <w:rPr>
          <w:rFonts w:hint="eastAsia"/>
          <w:color w:val="000000"/>
          <w:szCs w:val="21"/>
        </w:rPr>
        <w:t>被视作投标无效。</w:t>
      </w:r>
    </w:p>
    <w:p>
      <w:pPr>
        <w:numPr>
          <w:ilvl w:val="1"/>
          <w:numId w:val="11"/>
        </w:numPr>
        <w:tabs>
          <w:tab w:val="left" w:pos="0"/>
          <w:tab w:val="clear" w:pos="562"/>
        </w:tabs>
        <w:snapToGrid w:val="0"/>
        <w:spacing w:line="360" w:lineRule="auto"/>
        <w:ind w:left="7" w:firstLine="413"/>
        <w:jc w:val="both"/>
        <w:rPr>
          <w:rFonts w:hint="eastAsia"/>
          <w:color w:val="000000"/>
          <w:szCs w:val="21"/>
        </w:rPr>
      </w:pPr>
      <w:r>
        <w:rPr>
          <w:rFonts w:hint="eastAsia"/>
          <w:color w:val="000000"/>
          <w:szCs w:val="21"/>
        </w:rPr>
        <w:t>在原投标有效期结束前，</w:t>
      </w:r>
      <w:r>
        <w:rPr>
          <w:rFonts w:hint="eastAsia"/>
          <w:snapToGrid w:val="0"/>
          <w:color w:val="000000"/>
          <w:szCs w:val="21"/>
        </w:rPr>
        <w:t>如果出现特殊情况，采购人可以以书面形式要求投标人延长投标有效期。投标人同意延长的，不得修改其投标文件；投标人拒绝延长的，投标文件在有效期结束后自行失效。</w:t>
      </w:r>
    </w:p>
    <w:p>
      <w:pPr>
        <w:numPr>
          <w:ilvl w:val="0"/>
          <w:numId w:val="11"/>
        </w:numPr>
        <w:snapToGrid w:val="0"/>
        <w:spacing w:line="360" w:lineRule="auto"/>
        <w:ind w:hanging="5"/>
        <w:jc w:val="both"/>
        <w:rPr>
          <w:rFonts w:hint="eastAsia"/>
          <w:b/>
          <w:sz w:val="24"/>
          <w:szCs w:val="22"/>
        </w:rPr>
      </w:pPr>
      <w:r>
        <w:rPr>
          <w:rFonts w:hint="eastAsia"/>
          <w:b/>
          <w:sz w:val="24"/>
          <w:szCs w:val="22"/>
        </w:rPr>
        <w:t>投标文件的提交、补充、修改与撤回</w:t>
      </w:r>
    </w:p>
    <w:p>
      <w:pPr>
        <w:numPr>
          <w:ilvl w:val="1"/>
          <w:numId w:val="11"/>
        </w:numPr>
        <w:snapToGrid w:val="0"/>
        <w:spacing w:line="360" w:lineRule="auto"/>
        <w:ind w:hanging="147"/>
        <w:jc w:val="both"/>
        <w:rPr>
          <w:rFonts w:hint="eastAsia"/>
          <w:szCs w:val="21"/>
        </w:rPr>
      </w:pPr>
      <w:r>
        <w:rPr>
          <w:rFonts w:hint="eastAsia"/>
          <w:szCs w:val="21"/>
        </w:rPr>
        <w:t>投标人须在投标截止时间之前将生成的电子加密投标文件上传至电子交易平台。</w:t>
      </w:r>
    </w:p>
    <w:p>
      <w:pPr>
        <w:numPr>
          <w:ilvl w:val="1"/>
          <w:numId w:val="11"/>
        </w:numPr>
        <w:tabs>
          <w:tab w:val="left" w:pos="0"/>
          <w:tab w:val="left" w:pos="840"/>
          <w:tab w:val="clear" w:pos="562"/>
        </w:tabs>
        <w:snapToGrid w:val="0"/>
        <w:spacing w:line="360" w:lineRule="auto"/>
        <w:ind w:left="7" w:firstLine="413"/>
        <w:jc w:val="both"/>
        <w:rPr>
          <w:rFonts w:hint="eastAsia"/>
          <w:sz w:val="24"/>
          <w:szCs w:val="24"/>
        </w:rPr>
      </w:pPr>
      <w:r>
        <w:rPr>
          <w:rFonts w:hint="eastAsia"/>
          <w:szCs w:val="21"/>
        </w:rPr>
        <w:t xml:space="preserve"> 建议投标人在投标截止时间之前将备份投标文件以电子邮件方式传送至集中采购机构邮箱（</w:t>
      </w:r>
      <w:r>
        <w:rPr>
          <w:rFonts w:hint="eastAsia" w:ascii="Arial" w:hAnsi="Arial" w:cs="Arial"/>
          <w:szCs w:val="21"/>
          <w:lang w:eastAsia="zh-CN"/>
        </w:rPr>
        <w:t>racgzxcjj</w:t>
      </w:r>
      <w:r>
        <w:rPr>
          <w:rFonts w:ascii="Arial" w:hAnsi="Arial" w:cs="Arial"/>
          <w:szCs w:val="21"/>
        </w:rPr>
        <w:t>@163.com</w:t>
      </w:r>
      <w:r>
        <w:rPr>
          <w:rFonts w:hint="eastAsia"/>
          <w:szCs w:val="21"/>
        </w:rPr>
        <w:t>），传送的备份投标文件需加密压缩，压缩文件以投标人全称命名，密码由投标人自行保管。如投标人多次发送邮件，以邮箱最新接收的备份投标文件为准。未按要求提交的备份投标文件无效，仅提交备份投标文件的投标无效。</w:t>
      </w:r>
    </w:p>
    <w:p>
      <w:pPr>
        <w:numPr>
          <w:ilvl w:val="1"/>
          <w:numId w:val="11"/>
        </w:numPr>
        <w:tabs>
          <w:tab w:val="left" w:pos="0"/>
          <w:tab w:val="left" w:pos="840"/>
          <w:tab w:val="clear" w:pos="562"/>
        </w:tabs>
        <w:snapToGrid w:val="0"/>
        <w:spacing w:line="360" w:lineRule="auto"/>
        <w:ind w:left="7" w:firstLine="413"/>
        <w:jc w:val="both"/>
        <w:rPr>
          <w:rFonts w:hint="eastAsia"/>
          <w:sz w:val="24"/>
          <w:szCs w:val="24"/>
        </w:rPr>
      </w:pPr>
      <w:r>
        <w:rPr>
          <w:rFonts w:hint="eastAsia"/>
          <w:szCs w:val="21"/>
        </w:rPr>
        <w:t xml:space="preserve"> 投标人在投标截止时间前可以补充、修改或者撤回电子加密投标文件。补充或者修改电子加密投标文件的，应当先行撤回原文件，补充、修改后重新提交。投标人需按要求重新发送最新的备份投标文件。响应截止时间前未完成传输的，视为撤回投标文件。</w:t>
      </w:r>
    </w:p>
    <w:p>
      <w:pPr>
        <w:pStyle w:val="4"/>
        <w:spacing w:before="156" w:beforeLines="50" w:after="156" w:afterLines="50" w:line="360" w:lineRule="auto"/>
        <w:jc w:val="center"/>
        <w:rPr>
          <w:rFonts w:hint="eastAsia" w:ascii="Times New Roman" w:hAnsi="Times New Roman"/>
          <w:sz w:val="24"/>
          <w:szCs w:val="24"/>
        </w:rPr>
      </w:pPr>
      <w:bookmarkStart w:id="181" w:name="_Toc20812"/>
      <w:bookmarkStart w:id="182" w:name="_Toc1859"/>
      <w:bookmarkStart w:id="183" w:name="_Toc21967"/>
      <w:r>
        <w:rPr>
          <w:rFonts w:hint="eastAsia" w:ascii="Times New Roman" w:hAnsi="Times New Roman"/>
          <w:sz w:val="24"/>
          <w:szCs w:val="24"/>
        </w:rPr>
        <w:t>四、开标</w:t>
      </w:r>
      <w:bookmarkEnd w:id="181"/>
      <w:bookmarkEnd w:id="182"/>
      <w:bookmarkEnd w:id="183"/>
    </w:p>
    <w:p>
      <w:pPr>
        <w:numPr>
          <w:ilvl w:val="0"/>
          <w:numId w:val="11"/>
        </w:numPr>
        <w:snapToGrid w:val="0"/>
        <w:spacing w:line="360" w:lineRule="auto"/>
        <w:ind w:hanging="5"/>
        <w:jc w:val="both"/>
        <w:rPr>
          <w:rFonts w:hint="eastAsia"/>
          <w:b/>
          <w:sz w:val="24"/>
          <w:szCs w:val="22"/>
        </w:rPr>
      </w:pPr>
      <w:r>
        <w:rPr>
          <w:rFonts w:hint="eastAsia"/>
          <w:b/>
          <w:sz w:val="24"/>
          <w:szCs w:val="22"/>
        </w:rPr>
        <w:t>解密与开启投标文件</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集中采购机构按照招标文件规定的时间通过电子交易平台组织开标，所有投标人均应当准时在线参加，投标人未在线参加开标的，视同认可开标结果，事后不得对采购相关人员、开标过程和开标结果提出异议。投标人不足</w:t>
      </w:r>
      <w:r>
        <w:rPr>
          <w:rFonts w:ascii="Arial" w:hAnsi="Arial" w:cs="Arial"/>
          <w:szCs w:val="21"/>
        </w:rPr>
        <w:t>3</w:t>
      </w:r>
      <w:r>
        <w:rPr>
          <w:rFonts w:hint="eastAsia"/>
          <w:szCs w:val="21"/>
        </w:rPr>
        <w:t>家的，不得开标。</w:t>
      </w:r>
    </w:p>
    <w:p>
      <w:pPr>
        <w:numPr>
          <w:ilvl w:val="1"/>
          <w:numId w:val="11"/>
        </w:numPr>
        <w:tabs>
          <w:tab w:val="left" w:pos="0"/>
          <w:tab w:val="clear" w:pos="562"/>
        </w:tabs>
        <w:snapToGrid w:val="0"/>
        <w:spacing w:line="360" w:lineRule="auto"/>
        <w:ind w:left="7" w:firstLine="413"/>
        <w:jc w:val="both"/>
        <w:rPr>
          <w:rFonts w:hint="eastAsia"/>
        </w:rPr>
      </w:pPr>
      <w:r>
        <w:rPr>
          <w:rFonts w:hint="eastAsia"/>
          <w:szCs w:val="21"/>
        </w:rPr>
        <w:t>开标应当在提交投标文件截止时间后立即进行，集中采购机构依托电子交易平台发起开始解密指令，投标人按照平台提示和招标文件的规定在</w:t>
      </w:r>
      <w:r>
        <w:rPr>
          <w:rFonts w:ascii="Arial" w:hAnsi="Arial" w:cs="Arial"/>
          <w:szCs w:val="21"/>
        </w:rPr>
        <w:t>30</w:t>
      </w:r>
      <w:r>
        <w:rPr>
          <w:rFonts w:hint="eastAsia"/>
          <w:szCs w:val="21"/>
        </w:rPr>
        <w:t>分钟内完成在线解密。</w:t>
      </w:r>
    </w:p>
    <w:p>
      <w:pPr>
        <w:numPr>
          <w:ilvl w:val="1"/>
          <w:numId w:val="11"/>
        </w:numPr>
        <w:tabs>
          <w:tab w:val="left" w:pos="0"/>
          <w:tab w:val="clear" w:pos="562"/>
        </w:tabs>
        <w:snapToGrid w:val="0"/>
        <w:spacing w:line="360" w:lineRule="auto"/>
        <w:ind w:left="7" w:firstLine="413"/>
        <w:jc w:val="both"/>
        <w:rPr>
          <w:rFonts w:hint="eastAsia"/>
        </w:rPr>
      </w:pPr>
      <w:r>
        <w:rPr>
          <w:rFonts w:hint="eastAsia"/>
          <w:szCs w:val="21"/>
        </w:rPr>
        <w:t>电子加密投标文件解密失败且投标人按要求提交了备份投标文件的，投标人可填写《启用备份投标文件申请书》（按附件格式），于收到开始解密指令后</w:t>
      </w:r>
      <w:r>
        <w:rPr>
          <w:rFonts w:ascii="Arial" w:hAnsi="Arial" w:cs="Arial"/>
          <w:szCs w:val="21"/>
        </w:rPr>
        <w:t>45</w:t>
      </w:r>
      <w:r>
        <w:rPr>
          <w:rFonts w:hint="eastAsia"/>
          <w:szCs w:val="21"/>
        </w:rPr>
        <w:t>分钟内以电子邮件方式传送至集中采购机构邮箱（</w:t>
      </w:r>
      <w:r>
        <w:rPr>
          <w:rFonts w:hint="eastAsia" w:ascii="Arial" w:hAnsi="Arial" w:cs="Arial"/>
          <w:szCs w:val="21"/>
          <w:lang w:eastAsia="zh-CN"/>
        </w:rPr>
        <w:t>racgzxcjj</w:t>
      </w:r>
      <w:r>
        <w:rPr>
          <w:rFonts w:ascii="Arial" w:hAnsi="Arial" w:cs="Arial"/>
          <w:szCs w:val="21"/>
        </w:rPr>
        <w:t>@163.com</w:t>
      </w:r>
      <w:r>
        <w:rPr>
          <w:rFonts w:hint="eastAsia"/>
          <w:szCs w:val="21"/>
        </w:rPr>
        <w:t>），由集中采购机构将备份投标文件上传至电子交易平台。上传成功后，电子加密投标文件自动失效，否则视为投标文件撤回。投标文件已按时解密的，备份投标文件自动失效。投标人电子加密投标文件解密失败且未按要求提交备份投标文件的，视为其投标撤回。</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rPr>
        <w:t>解密环节结束后，投标人需完整填写</w:t>
      </w:r>
      <w:r>
        <w:rPr>
          <w:rFonts w:hint="eastAsia"/>
          <w:szCs w:val="22"/>
        </w:rPr>
        <w:t>《政府采购活动现场确认声明书》（按附件格式）</w:t>
      </w:r>
      <w:r>
        <w:rPr>
          <w:rFonts w:hint="eastAsia"/>
        </w:rPr>
        <w:t>并签字盖章后扫描，以电子邮件方式传送至集中采购机构邮箱（</w:t>
      </w:r>
      <w:r>
        <w:rPr>
          <w:rFonts w:hint="eastAsia" w:ascii="Arial" w:hAnsi="Arial" w:cs="Arial"/>
          <w:szCs w:val="21"/>
          <w:lang w:eastAsia="zh-CN"/>
        </w:rPr>
        <w:t>racgzxcjj</w:t>
      </w:r>
      <w:r>
        <w:rPr>
          <w:rFonts w:ascii="Arial" w:hAnsi="Arial" w:cs="Arial"/>
          <w:szCs w:val="21"/>
        </w:rPr>
        <w:t>@163.com</w:t>
      </w:r>
      <w:r>
        <w:rPr>
          <w:rFonts w:hint="eastAsia"/>
        </w:rPr>
        <w:t>）。</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开评标期间，投标人代表应在线操作，并关注电子交易平台有关信息公布、澄清等情况。</w:t>
      </w:r>
    </w:p>
    <w:p>
      <w:pPr>
        <w:pStyle w:val="4"/>
        <w:spacing w:before="156" w:beforeLines="50" w:after="156" w:afterLines="50" w:line="360" w:lineRule="auto"/>
        <w:jc w:val="center"/>
        <w:rPr>
          <w:rFonts w:hint="eastAsia" w:ascii="Times New Roman" w:hAnsi="Times New Roman"/>
          <w:b w:val="0"/>
          <w:sz w:val="24"/>
          <w:szCs w:val="24"/>
        </w:rPr>
      </w:pPr>
      <w:bookmarkStart w:id="184" w:name="_Toc31956"/>
      <w:bookmarkStart w:id="185" w:name="_Toc15486"/>
      <w:bookmarkStart w:id="186" w:name="_Toc20880"/>
      <w:r>
        <w:rPr>
          <w:rFonts w:hint="eastAsia" w:ascii="Times New Roman" w:hAnsi="Times New Roman"/>
          <w:sz w:val="24"/>
          <w:szCs w:val="24"/>
        </w:rPr>
        <w:t>五、评标</w:t>
      </w:r>
      <w:bookmarkEnd w:id="184"/>
      <w:bookmarkEnd w:id="185"/>
      <w:bookmarkEnd w:id="186"/>
    </w:p>
    <w:p>
      <w:pPr>
        <w:numPr>
          <w:ilvl w:val="0"/>
          <w:numId w:val="11"/>
        </w:numPr>
        <w:snapToGrid w:val="0"/>
        <w:spacing w:line="360" w:lineRule="auto"/>
        <w:ind w:hanging="5"/>
        <w:jc w:val="both"/>
        <w:rPr>
          <w:rFonts w:hint="eastAsia"/>
          <w:b/>
          <w:sz w:val="24"/>
          <w:szCs w:val="22"/>
        </w:rPr>
      </w:pPr>
      <w:r>
        <w:rPr>
          <w:rFonts w:hint="eastAsia"/>
          <w:b/>
          <w:sz w:val="24"/>
          <w:szCs w:val="22"/>
        </w:rPr>
        <w:t>评标委员会</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评标委员会由采购人代表和评审专家组成，成员为</w:t>
      </w:r>
      <w:r>
        <w:rPr>
          <w:rFonts w:ascii="Arial" w:hAnsi="Arial" w:cs="Arial"/>
          <w:szCs w:val="21"/>
        </w:rPr>
        <w:t>5</w:t>
      </w:r>
      <w:r>
        <w:rPr>
          <w:rFonts w:hint="eastAsia"/>
          <w:szCs w:val="21"/>
        </w:rPr>
        <w:t>人（含）以上单数，其中评审专家不得少于成员总数的三分之二。评审专家按规定统一从浙江省政府采购评审专家库中随机抽取。</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评标委员会负责具体评标事务，并独立履行下列职责：</w:t>
      </w:r>
    </w:p>
    <w:p>
      <w:pPr>
        <w:tabs>
          <w:tab w:val="left" w:pos="851"/>
        </w:tabs>
        <w:snapToGrid w:val="0"/>
        <w:spacing w:line="360" w:lineRule="auto"/>
        <w:ind w:firstLine="420" w:firstLineChars="200"/>
        <w:jc w:val="both"/>
        <w:rPr>
          <w:rFonts w:hint="eastAsia"/>
          <w:szCs w:val="21"/>
        </w:rPr>
      </w:pPr>
      <w:r>
        <w:rPr>
          <w:rFonts w:hint="eastAsia"/>
          <w:szCs w:val="21"/>
        </w:rPr>
        <w:t>（1）审查、评价投标文件是否符合招标文件的商务、技术等实质性要求；</w:t>
      </w:r>
    </w:p>
    <w:p>
      <w:pPr>
        <w:tabs>
          <w:tab w:val="left" w:pos="851"/>
        </w:tabs>
        <w:snapToGrid w:val="0"/>
        <w:spacing w:line="360" w:lineRule="auto"/>
        <w:ind w:firstLine="420" w:firstLineChars="200"/>
        <w:jc w:val="both"/>
        <w:rPr>
          <w:rFonts w:hint="eastAsia"/>
          <w:szCs w:val="21"/>
        </w:rPr>
      </w:pPr>
      <w:r>
        <w:rPr>
          <w:rFonts w:hint="eastAsia"/>
          <w:szCs w:val="21"/>
        </w:rPr>
        <w:t>（2）要求投标人对投标文件有关事项作出澄清或者说明；</w:t>
      </w:r>
    </w:p>
    <w:p>
      <w:pPr>
        <w:tabs>
          <w:tab w:val="left" w:pos="851"/>
        </w:tabs>
        <w:snapToGrid w:val="0"/>
        <w:spacing w:line="360" w:lineRule="auto"/>
        <w:ind w:firstLine="420" w:firstLineChars="200"/>
        <w:jc w:val="both"/>
        <w:rPr>
          <w:rFonts w:hint="eastAsia"/>
          <w:szCs w:val="21"/>
        </w:rPr>
      </w:pPr>
      <w:r>
        <w:rPr>
          <w:rFonts w:hint="eastAsia"/>
          <w:szCs w:val="21"/>
        </w:rPr>
        <w:t>（3）对投标文件进行比较和评价；</w:t>
      </w:r>
    </w:p>
    <w:p>
      <w:pPr>
        <w:tabs>
          <w:tab w:val="left" w:pos="851"/>
        </w:tabs>
        <w:snapToGrid w:val="0"/>
        <w:spacing w:line="360" w:lineRule="auto"/>
        <w:ind w:firstLine="420" w:firstLineChars="200"/>
        <w:jc w:val="both"/>
        <w:rPr>
          <w:rFonts w:hint="eastAsia"/>
          <w:szCs w:val="21"/>
        </w:rPr>
      </w:pPr>
      <w:r>
        <w:rPr>
          <w:rFonts w:hint="eastAsia"/>
          <w:szCs w:val="21"/>
        </w:rPr>
        <w:t>（4）推荐中标候选人或根据采购人委托直接确定中标人；</w:t>
      </w:r>
    </w:p>
    <w:p>
      <w:pPr>
        <w:tabs>
          <w:tab w:val="left" w:pos="851"/>
        </w:tabs>
        <w:snapToGrid w:val="0"/>
        <w:spacing w:line="360" w:lineRule="auto"/>
        <w:ind w:firstLine="420" w:firstLineChars="200"/>
        <w:jc w:val="both"/>
        <w:rPr>
          <w:rFonts w:hint="eastAsia"/>
          <w:szCs w:val="21"/>
        </w:rPr>
      </w:pPr>
      <w:r>
        <w:rPr>
          <w:rFonts w:hint="eastAsia"/>
          <w:szCs w:val="21"/>
        </w:rPr>
        <w:t>（5）向采购人、财政部门报告评标中发现的违法行为。</w:t>
      </w:r>
    </w:p>
    <w:p>
      <w:pPr>
        <w:numPr>
          <w:ilvl w:val="0"/>
          <w:numId w:val="11"/>
        </w:numPr>
        <w:snapToGrid w:val="0"/>
        <w:spacing w:line="360" w:lineRule="auto"/>
        <w:ind w:hanging="5"/>
        <w:jc w:val="both"/>
        <w:rPr>
          <w:rFonts w:hint="eastAsia"/>
          <w:b/>
          <w:sz w:val="24"/>
          <w:szCs w:val="22"/>
        </w:rPr>
      </w:pPr>
      <w:r>
        <w:rPr>
          <w:rFonts w:hint="eastAsia"/>
          <w:b/>
          <w:sz w:val="24"/>
          <w:szCs w:val="22"/>
        </w:rPr>
        <w:t>评标纪律</w:t>
      </w:r>
    </w:p>
    <w:p>
      <w:pPr>
        <w:tabs>
          <w:tab w:val="left" w:pos="851"/>
        </w:tabs>
        <w:snapToGrid w:val="0"/>
        <w:spacing w:line="360" w:lineRule="auto"/>
        <w:ind w:firstLine="420" w:firstLineChars="200"/>
        <w:jc w:val="both"/>
        <w:rPr>
          <w:rFonts w:hint="eastAsia"/>
          <w:szCs w:val="21"/>
        </w:rPr>
      </w:pPr>
      <w:r>
        <w:rPr>
          <w:rFonts w:hint="eastAsia"/>
          <w:szCs w:val="21"/>
        </w:rPr>
        <w:t>（1）评标委员会成员要严格遵守评审工作纪律、保密、回避等相关规定，依法独立履行评审职责，客观、公正、审慎参与评审工作。</w:t>
      </w:r>
    </w:p>
    <w:p>
      <w:pPr>
        <w:tabs>
          <w:tab w:val="left" w:pos="851"/>
        </w:tabs>
        <w:snapToGrid w:val="0"/>
        <w:spacing w:line="360" w:lineRule="auto"/>
        <w:ind w:firstLine="420" w:firstLineChars="200"/>
        <w:jc w:val="both"/>
        <w:rPr>
          <w:rFonts w:hint="eastAsia"/>
          <w:szCs w:val="21"/>
        </w:rPr>
      </w:pPr>
      <w:r>
        <w:rPr>
          <w:rFonts w:hint="eastAsia"/>
          <w:szCs w:val="21"/>
        </w:rPr>
        <w:t>（2）与投标人或评标委员会其他成员存在利害关系的，要主动回避，自觉签订《政府采购评审人员廉洁自律承诺书》。</w:t>
      </w:r>
    </w:p>
    <w:p>
      <w:pPr>
        <w:tabs>
          <w:tab w:val="left" w:pos="851"/>
        </w:tabs>
        <w:snapToGrid w:val="0"/>
        <w:spacing w:line="360" w:lineRule="auto"/>
        <w:ind w:firstLine="420" w:firstLineChars="200"/>
        <w:jc w:val="both"/>
        <w:rPr>
          <w:rFonts w:hint="eastAsia"/>
          <w:szCs w:val="21"/>
        </w:rPr>
      </w:pPr>
      <w:r>
        <w:rPr>
          <w:rFonts w:hint="eastAsia"/>
          <w:szCs w:val="21"/>
        </w:rPr>
        <w:t>（3）评标委员会成员不得私下接触联系投标人，不得接受或参加投标人或与投标有关的单位、组织或个人的有碍公务的宴请、娱乐活动等，不得以任何形式弄虚作假。</w:t>
      </w:r>
    </w:p>
    <w:p>
      <w:pPr>
        <w:tabs>
          <w:tab w:val="left" w:pos="851"/>
        </w:tabs>
        <w:snapToGrid w:val="0"/>
        <w:spacing w:line="360" w:lineRule="auto"/>
        <w:ind w:firstLine="420" w:firstLineChars="200"/>
        <w:jc w:val="both"/>
        <w:rPr>
          <w:rFonts w:hint="eastAsia"/>
          <w:szCs w:val="21"/>
        </w:rPr>
      </w:pPr>
      <w:r>
        <w:rPr>
          <w:rFonts w:hint="eastAsia"/>
          <w:szCs w:val="21"/>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tabs>
          <w:tab w:val="left" w:pos="851"/>
        </w:tabs>
        <w:snapToGrid w:val="0"/>
        <w:spacing w:line="360" w:lineRule="auto"/>
        <w:ind w:firstLine="420" w:firstLineChars="200"/>
        <w:jc w:val="both"/>
        <w:rPr>
          <w:rFonts w:hint="eastAsia"/>
          <w:szCs w:val="21"/>
        </w:rPr>
      </w:pPr>
      <w:r>
        <w:rPr>
          <w:rFonts w:hint="eastAsia"/>
          <w:szCs w:val="21"/>
        </w:rPr>
        <w:t>（5）评标委员会成员不得将自身意见强加给其他评标委员会成员，或私下相互串通压制其他评标委员会成员的意见。</w:t>
      </w:r>
    </w:p>
    <w:p>
      <w:pPr>
        <w:tabs>
          <w:tab w:val="left" w:pos="851"/>
        </w:tabs>
        <w:snapToGrid w:val="0"/>
        <w:spacing w:line="360" w:lineRule="auto"/>
        <w:ind w:firstLine="420" w:firstLineChars="200"/>
        <w:jc w:val="both"/>
        <w:rPr>
          <w:rFonts w:hint="eastAsia"/>
          <w:szCs w:val="21"/>
        </w:rPr>
      </w:pPr>
      <w:r>
        <w:rPr>
          <w:rFonts w:hint="eastAsia"/>
          <w:szCs w:val="21"/>
        </w:rPr>
        <w:t>（6）评标委员会成员不得征询采购人对投标人的倾向性意向，不得接受任何单位、个人明示或暗示提出的倾向或排斥特定投标人的要求。</w:t>
      </w:r>
    </w:p>
    <w:p>
      <w:pPr>
        <w:tabs>
          <w:tab w:val="left" w:pos="851"/>
        </w:tabs>
        <w:snapToGrid w:val="0"/>
        <w:spacing w:line="360" w:lineRule="auto"/>
        <w:ind w:firstLine="420" w:firstLineChars="200"/>
        <w:jc w:val="both"/>
        <w:rPr>
          <w:rFonts w:hint="eastAsia"/>
          <w:szCs w:val="21"/>
        </w:rPr>
      </w:pPr>
      <w:r>
        <w:rPr>
          <w:rFonts w:hint="eastAsia"/>
          <w:szCs w:val="21"/>
        </w:rPr>
        <w:t>（7）严格遵守政府采购评审工作纪律，不得向外泄露评审情况及涉及投标人商业秘密的信息。</w:t>
      </w:r>
    </w:p>
    <w:p>
      <w:pPr>
        <w:tabs>
          <w:tab w:val="left" w:pos="851"/>
        </w:tabs>
        <w:snapToGrid w:val="0"/>
        <w:spacing w:line="360" w:lineRule="auto"/>
        <w:ind w:firstLine="420" w:firstLineChars="200"/>
        <w:jc w:val="both"/>
        <w:rPr>
          <w:rFonts w:hint="eastAsia"/>
          <w:szCs w:val="21"/>
        </w:rPr>
      </w:pPr>
      <w:r>
        <w:rPr>
          <w:rFonts w:hint="eastAsia"/>
          <w:szCs w:val="21"/>
        </w:rPr>
        <w:t>（8）评标结束后，各评标人员应将全部资料整理上交招标采购单位，严禁将评标过程中的任何资料带出评标现场向投标人或其他单位提供。</w:t>
      </w:r>
    </w:p>
    <w:p>
      <w:pPr>
        <w:numPr>
          <w:ilvl w:val="0"/>
          <w:numId w:val="11"/>
        </w:numPr>
        <w:snapToGrid w:val="0"/>
        <w:spacing w:line="360" w:lineRule="auto"/>
        <w:ind w:hanging="5"/>
        <w:jc w:val="both"/>
        <w:rPr>
          <w:rFonts w:hint="eastAsia"/>
          <w:b/>
          <w:sz w:val="24"/>
          <w:szCs w:val="22"/>
        </w:rPr>
      </w:pPr>
      <w:r>
        <w:rPr>
          <w:rFonts w:hint="eastAsia"/>
          <w:b/>
          <w:sz w:val="24"/>
          <w:szCs w:val="22"/>
        </w:rPr>
        <w:t>评标程序</w:t>
      </w:r>
    </w:p>
    <w:p>
      <w:pPr>
        <w:pStyle w:val="21"/>
        <w:widowControl w:val="0"/>
        <w:ind w:left="0" w:right="-252" w:firstLine="420" w:firstLineChars="200"/>
        <w:rPr>
          <w:rFonts w:hint="eastAsia" w:ascii="Times New Roman" w:hAnsi="Times New Roman"/>
          <w:szCs w:val="21"/>
          <w:highlight w:val="yellow"/>
        </w:rPr>
      </w:pPr>
      <w:r>
        <w:rPr>
          <w:rFonts w:hint="eastAsia" w:ascii="Times New Roman" w:hAnsi="Times New Roman"/>
          <w:color w:val="000000"/>
          <w:sz w:val="21"/>
          <w:szCs w:val="22"/>
        </w:rPr>
        <w:t>详见招标文件第四部分“评标办法”。</w:t>
      </w:r>
    </w:p>
    <w:p>
      <w:pPr>
        <w:pStyle w:val="4"/>
        <w:spacing w:before="156" w:beforeLines="50" w:after="156" w:afterLines="50" w:line="360" w:lineRule="auto"/>
        <w:jc w:val="center"/>
        <w:rPr>
          <w:rFonts w:hint="eastAsia" w:ascii="Times New Roman" w:hAnsi="Times New Roman"/>
          <w:sz w:val="24"/>
          <w:szCs w:val="24"/>
        </w:rPr>
      </w:pPr>
      <w:bookmarkStart w:id="187" w:name="_Toc22039"/>
      <w:bookmarkStart w:id="188" w:name="_Toc23053"/>
      <w:bookmarkStart w:id="189" w:name="_Toc4599"/>
      <w:r>
        <w:rPr>
          <w:rFonts w:hint="eastAsia" w:ascii="Times New Roman" w:hAnsi="Times New Roman"/>
          <w:sz w:val="24"/>
          <w:szCs w:val="24"/>
        </w:rPr>
        <w:t>六、定标</w:t>
      </w:r>
      <w:bookmarkEnd w:id="187"/>
      <w:bookmarkEnd w:id="188"/>
      <w:bookmarkEnd w:id="189"/>
    </w:p>
    <w:p>
      <w:pPr>
        <w:numPr>
          <w:ilvl w:val="0"/>
          <w:numId w:val="11"/>
        </w:numPr>
        <w:snapToGrid w:val="0"/>
        <w:spacing w:line="360" w:lineRule="auto"/>
        <w:ind w:hanging="5"/>
        <w:jc w:val="both"/>
        <w:rPr>
          <w:rFonts w:hint="eastAsia"/>
          <w:b/>
          <w:sz w:val="24"/>
          <w:szCs w:val="22"/>
        </w:rPr>
      </w:pPr>
      <w:r>
        <w:rPr>
          <w:rFonts w:hint="eastAsia"/>
          <w:b/>
          <w:sz w:val="24"/>
          <w:szCs w:val="22"/>
        </w:rPr>
        <w:t>中标人的确定</w:t>
      </w:r>
    </w:p>
    <w:p>
      <w:pPr>
        <w:numPr>
          <w:ilvl w:val="1"/>
          <w:numId w:val="11"/>
        </w:numPr>
        <w:tabs>
          <w:tab w:val="clear" w:pos="562"/>
        </w:tabs>
        <w:snapToGrid w:val="0"/>
        <w:spacing w:line="360" w:lineRule="auto"/>
        <w:ind w:left="7" w:firstLine="413"/>
        <w:rPr>
          <w:rFonts w:hint="eastAsia"/>
          <w:szCs w:val="21"/>
        </w:rPr>
      </w:pPr>
      <w:r>
        <w:rPr>
          <w:rFonts w:hint="eastAsia"/>
          <w:szCs w:val="21"/>
        </w:rPr>
        <w:t>集中采购机构在评标结束后</w:t>
      </w:r>
      <w:r>
        <w:rPr>
          <w:rFonts w:ascii="Arial" w:hAnsi="Arial" w:cs="Arial"/>
          <w:szCs w:val="21"/>
        </w:rPr>
        <w:t>2</w:t>
      </w:r>
      <w:r>
        <w:rPr>
          <w:rFonts w:hint="eastAsia"/>
          <w:szCs w:val="21"/>
        </w:rPr>
        <w:t>个工作日内将评标报告送采购人。采购人自收到评标报告之日起</w:t>
      </w:r>
      <w:r>
        <w:rPr>
          <w:rFonts w:ascii="Arial" w:hAnsi="Arial" w:cs="Arial"/>
          <w:szCs w:val="21"/>
        </w:rPr>
        <w:t>5</w:t>
      </w:r>
      <w:r>
        <w:rPr>
          <w:rFonts w:hint="eastAsia"/>
          <w:szCs w:val="21"/>
        </w:rPr>
        <w:t>个工作日内，在评标报告确定的中标候选人名单中按顺序确定中标人。中标候选人并列的，由采购人或者采购人委托评标委员会确定商务技术标得分高的为中标人，中标候选人并列且商务技术标得分相同的，采取随机抽取的方式确定。</w:t>
      </w:r>
    </w:p>
    <w:p>
      <w:pPr>
        <w:numPr>
          <w:ilvl w:val="1"/>
          <w:numId w:val="11"/>
        </w:numPr>
        <w:tabs>
          <w:tab w:val="left" w:pos="0"/>
          <w:tab w:val="clear" w:pos="562"/>
        </w:tabs>
        <w:snapToGrid w:val="0"/>
        <w:spacing w:line="360" w:lineRule="auto"/>
        <w:ind w:left="7" w:firstLine="413"/>
        <w:rPr>
          <w:rFonts w:hint="eastAsia"/>
          <w:szCs w:val="21"/>
        </w:rPr>
      </w:pPr>
      <w:r>
        <w:rPr>
          <w:rFonts w:hint="eastAsia"/>
          <w:szCs w:val="21"/>
        </w:rPr>
        <w:t>采购人在收到评标报告</w:t>
      </w:r>
      <w:r>
        <w:rPr>
          <w:rFonts w:ascii="Arial" w:hAnsi="Arial" w:cs="Arial"/>
          <w:szCs w:val="21"/>
        </w:rPr>
        <w:t>5</w:t>
      </w:r>
      <w:r>
        <w:rPr>
          <w:rFonts w:hint="eastAsia"/>
          <w:szCs w:val="21"/>
        </w:rPr>
        <w:t>个工作日内未按评标报告推荐的中标候选人顺序确定中标人，又不能说明合法理由的，视同按评标报告推荐的顺序确定排名第一的中标候选人为中标人。</w:t>
      </w:r>
    </w:p>
    <w:p>
      <w:pPr>
        <w:numPr>
          <w:ilvl w:val="0"/>
          <w:numId w:val="11"/>
        </w:numPr>
        <w:snapToGrid w:val="0"/>
        <w:spacing w:line="360" w:lineRule="auto"/>
        <w:ind w:hanging="5"/>
        <w:jc w:val="both"/>
        <w:rPr>
          <w:rFonts w:hint="eastAsia"/>
          <w:b/>
          <w:sz w:val="24"/>
          <w:szCs w:val="22"/>
        </w:rPr>
      </w:pPr>
      <w:r>
        <w:rPr>
          <w:rFonts w:hint="eastAsia"/>
          <w:b/>
          <w:sz w:val="24"/>
          <w:szCs w:val="22"/>
        </w:rPr>
        <w:t>中标结果公告及中标通知书</w:t>
      </w:r>
    </w:p>
    <w:p>
      <w:pPr>
        <w:tabs>
          <w:tab w:val="left" w:pos="562"/>
        </w:tabs>
        <w:snapToGrid w:val="0"/>
        <w:spacing w:line="360" w:lineRule="auto"/>
        <w:ind w:firstLine="420" w:firstLineChars="200"/>
        <w:jc w:val="both"/>
        <w:rPr>
          <w:rFonts w:hint="eastAsia"/>
          <w:snapToGrid w:val="0"/>
          <w:szCs w:val="21"/>
        </w:rPr>
      </w:pPr>
      <w:r>
        <w:rPr>
          <w:rFonts w:hint="eastAsia"/>
          <w:snapToGrid w:val="0"/>
          <w:szCs w:val="21"/>
        </w:rPr>
        <w:t>集中采购机构在中标人确定之日起</w:t>
      </w:r>
      <w:r>
        <w:rPr>
          <w:rFonts w:ascii="Arial" w:hAnsi="Arial" w:cs="Arial"/>
          <w:snapToGrid w:val="0"/>
          <w:szCs w:val="21"/>
        </w:rPr>
        <w:t>2</w:t>
      </w:r>
      <w:r>
        <w:rPr>
          <w:rFonts w:hint="eastAsia"/>
          <w:snapToGrid w:val="0"/>
          <w:szCs w:val="21"/>
        </w:rPr>
        <w:t>个工作日内，在“浙江省政府采购网”（网址：</w:t>
      </w:r>
      <w:r>
        <w:rPr>
          <w:rStyle w:val="43"/>
          <w:rFonts w:hint="default" w:ascii="Arial" w:hAnsi="Arial" w:cs="Arial"/>
          <w:snapToGrid w:val="0"/>
          <w:sz w:val="21"/>
          <w:szCs w:val="21"/>
        </w:rPr>
        <w:t>http://zfcg.czt.zj.gov.cn/</w:t>
      </w:r>
      <w:r>
        <w:rPr>
          <w:rStyle w:val="43"/>
          <w:rFonts w:ascii="Times New Roman" w:hAnsi="Times New Roman" w:cs="Times New Roman"/>
          <w:snapToGrid w:val="0"/>
          <w:sz w:val="21"/>
          <w:szCs w:val="21"/>
        </w:rPr>
        <w:t>）及</w:t>
      </w:r>
      <w:r>
        <w:rPr>
          <w:rFonts w:hint="eastAsia"/>
          <w:snapToGrid w:val="0"/>
          <w:szCs w:val="21"/>
        </w:rPr>
        <w:t>“瑞安市人民政府-公共资源交易网”（网址：</w:t>
      </w:r>
      <w:r>
        <w:rPr>
          <w:rFonts w:ascii="Arial" w:hAnsi="Arial" w:cs="Arial"/>
          <w:snapToGrid w:val="0"/>
          <w:szCs w:val="21"/>
        </w:rPr>
        <w:t>http://ggzy.ruian.gov.cn/</w:t>
      </w:r>
      <w:r>
        <w:rPr>
          <w:rFonts w:hint="eastAsia"/>
          <w:snapToGrid w:val="0"/>
          <w:szCs w:val="21"/>
        </w:rPr>
        <w:t>）</w:t>
      </w:r>
      <w:r>
        <w:rPr>
          <w:rFonts w:hint="eastAsia"/>
          <w:snapToGrid w:val="0"/>
          <w:szCs w:val="21"/>
        </w:rPr>
        <w:fldChar w:fldCharType="begin"/>
      </w:r>
      <w:r>
        <w:rPr>
          <w:rFonts w:hint="eastAsia"/>
          <w:snapToGrid w:val="0"/>
          <w:szCs w:val="21"/>
        </w:rPr>
        <w:instrText xml:space="preserve"> HYPERLINK "http://zfcg.czt.zj.gov.cn/）发布中标结果公告，同时向中标人发出中标通知书。" </w:instrText>
      </w:r>
      <w:r>
        <w:rPr>
          <w:rFonts w:hint="eastAsia"/>
          <w:snapToGrid w:val="0"/>
          <w:szCs w:val="21"/>
        </w:rPr>
        <w:fldChar w:fldCharType="separate"/>
      </w:r>
      <w:r>
        <w:rPr>
          <w:rStyle w:val="43"/>
          <w:rFonts w:ascii="Times New Roman" w:hAnsi="Times New Roman" w:cs="Times New Roman"/>
          <w:snapToGrid w:val="0"/>
          <w:sz w:val="21"/>
          <w:szCs w:val="21"/>
        </w:rPr>
        <w:t>发布中标结果公告</w:t>
      </w:r>
      <w:r>
        <w:rPr>
          <w:rStyle w:val="43"/>
          <w:snapToGrid w:val="0"/>
          <w:sz w:val="21"/>
          <w:szCs w:val="21"/>
        </w:rPr>
        <w:t>，并公开评审专家抽取规则、开标情况、资格审查情况、符合性审查情况、专家评分情况、中标候选人推荐情况等，</w:t>
      </w:r>
      <w:r>
        <w:rPr>
          <w:rStyle w:val="43"/>
          <w:rFonts w:ascii="Times New Roman" w:hAnsi="Times New Roman" w:cs="Times New Roman"/>
          <w:snapToGrid w:val="0"/>
          <w:sz w:val="21"/>
          <w:szCs w:val="21"/>
        </w:rPr>
        <w:t>同时向中标人发出中标通知书。</w:t>
      </w:r>
      <w:r>
        <w:rPr>
          <w:rFonts w:hint="eastAsia"/>
          <w:snapToGrid w:val="0"/>
          <w:szCs w:val="21"/>
        </w:rPr>
        <w:fldChar w:fldCharType="end"/>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中标人享受中小企业扶持政策的，</w:t>
      </w:r>
      <w:r>
        <w:rPr>
          <w:rFonts w:hint="eastAsia"/>
          <w:snapToGrid w:val="0"/>
          <w:szCs w:val="21"/>
        </w:rPr>
        <w:t>集中采购机构</w:t>
      </w:r>
      <w:r>
        <w:rPr>
          <w:rFonts w:hint="eastAsia"/>
          <w:snapToGrid w:val="0"/>
          <w:color w:val="000000"/>
          <w:szCs w:val="21"/>
        </w:rPr>
        <w:t>应当随中标结果公开中标人的《中小企业声明函》。</w:t>
      </w:r>
    </w:p>
    <w:p>
      <w:pPr>
        <w:pStyle w:val="4"/>
        <w:numPr>
          <w:ilvl w:val="0"/>
          <w:numId w:val="14"/>
        </w:numPr>
        <w:spacing w:before="156" w:beforeLines="50" w:after="156" w:afterLines="50" w:line="360" w:lineRule="auto"/>
        <w:jc w:val="center"/>
        <w:rPr>
          <w:rFonts w:hint="eastAsia" w:ascii="Times New Roman" w:hAnsi="Times New Roman"/>
          <w:bCs w:val="0"/>
          <w:sz w:val="24"/>
          <w:szCs w:val="24"/>
        </w:rPr>
      </w:pPr>
      <w:bookmarkStart w:id="190" w:name="_Toc22072"/>
      <w:bookmarkStart w:id="191" w:name="_Toc19893"/>
      <w:bookmarkStart w:id="192" w:name="_Toc12859"/>
      <w:r>
        <w:rPr>
          <w:rFonts w:hint="eastAsia" w:ascii="Times New Roman" w:hAnsi="Times New Roman"/>
          <w:bCs w:val="0"/>
          <w:sz w:val="24"/>
          <w:szCs w:val="24"/>
        </w:rPr>
        <w:t>授予合同</w:t>
      </w:r>
      <w:bookmarkEnd w:id="190"/>
      <w:bookmarkEnd w:id="191"/>
      <w:bookmarkEnd w:id="192"/>
    </w:p>
    <w:p>
      <w:pPr>
        <w:numPr>
          <w:ilvl w:val="0"/>
          <w:numId w:val="11"/>
        </w:numPr>
        <w:snapToGrid w:val="0"/>
        <w:spacing w:line="360" w:lineRule="auto"/>
        <w:ind w:hanging="5"/>
        <w:jc w:val="both"/>
        <w:rPr>
          <w:rFonts w:hint="eastAsia"/>
          <w:b/>
          <w:sz w:val="24"/>
          <w:szCs w:val="22"/>
        </w:rPr>
      </w:pPr>
      <w:r>
        <w:rPr>
          <w:rFonts w:hint="eastAsia"/>
          <w:b/>
          <w:sz w:val="24"/>
          <w:szCs w:val="22"/>
        </w:rPr>
        <w:t>合同的签订</w:t>
      </w:r>
    </w:p>
    <w:p>
      <w:pPr>
        <w:pStyle w:val="21"/>
        <w:numPr>
          <w:ilvl w:val="1"/>
          <w:numId w:val="11"/>
        </w:numPr>
        <w:tabs>
          <w:tab w:val="left" w:pos="0"/>
          <w:tab w:val="clear" w:pos="562"/>
        </w:tabs>
        <w:ind w:left="7" w:right="-252" w:firstLine="413"/>
        <w:rPr>
          <w:rFonts w:hint="eastAsia" w:ascii="Times New Roman" w:hAnsi="Times New Roman"/>
          <w:color w:val="000000"/>
          <w:sz w:val="21"/>
          <w:szCs w:val="21"/>
        </w:rPr>
      </w:pPr>
      <w:r>
        <w:rPr>
          <w:rFonts w:hint="eastAsia" w:ascii="Times New Roman" w:hAnsi="Times New Roman"/>
          <w:color w:val="000000"/>
          <w:sz w:val="21"/>
          <w:szCs w:val="21"/>
        </w:rPr>
        <w:t>采购人应当自中标通知书发出之日起</w:t>
      </w:r>
      <w:r>
        <w:rPr>
          <w:rFonts w:ascii="Arial" w:hAnsi="Arial" w:cs="Arial"/>
          <w:color w:val="000000"/>
          <w:sz w:val="21"/>
          <w:szCs w:val="21"/>
        </w:rPr>
        <w:t>30</w:t>
      </w:r>
      <w:r>
        <w:rPr>
          <w:rFonts w:hint="eastAsia" w:ascii="Times New Roman" w:hAnsi="Times New Roman"/>
          <w:color w:val="000000"/>
          <w:sz w:val="21"/>
          <w:szCs w:val="21"/>
        </w:rPr>
        <w:t>日内，按照招标文件和中标人投标文件规定，与中标人签订书面合同。所签订的合同不得对招标文件确定的事项和中标人投标文件作实质性修改。</w:t>
      </w:r>
    </w:p>
    <w:p>
      <w:pPr>
        <w:pStyle w:val="21"/>
        <w:numPr>
          <w:ilvl w:val="1"/>
          <w:numId w:val="11"/>
        </w:numPr>
        <w:tabs>
          <w:tab w:val="left" w:pos="0"/>
          <w:tab w:val="clear" w:pos="562"/>
        </w:tabs>
        <w:ind w:left="7" w:right="-252" w:firstLine="413"/>
        <w:rPr>
          <w:rFonts w:hint="eastAsia" w:ascii="Times New Roman" w:hAnsi="Times New Roman"/>
          <w:color w:val="000000"/>
          <w:sz w:val="21"/>
          <w:szCs w:val="21"/>
        </w:rPr>
      </w:pPr>
      <w:r>
        <w:rPr>
          <w:rFonts w:hint="eastAsia" w:ascii="Times New Roman" w:hAnsi="Times New Roman"/>
          <w:color w:val="000000"/>
          <w:sz w:val="21"/>
          <w:szCs w:val="21"/>
        </w:rPr>
        <w:t>如中标人为联合体的，由联合体成员各方法定代表人或其授权代表与采购人代表签订合同。采购人与中标人签订合同后，及时将合同原件交瑞安市公共资源交易中心归档。</w:t>
      </w:r>
    </w:p>
    <w:p>
      <w:pPr>
        <w:pStyle w:val="21"/>
        <w:numPr>
          <w:ilvl w:val="1"/>
          <w:numId w:val="11"/>
        </w:numPr>
        <w:tabs>
          <w:tab w:val="left" w:pos="0"/>
          <w:tab w:val="clear" w:pos="562"/>
        </w:tabs>
        <w:ind w:left="7" w:right="-252" w:firstLine="413"/>
        <w:rPr>
          <w:rFonts w:hint="eastAsia" w:ascii="Times New Roman" w:hAnsi="Times New Roman"/>
          <w:sz w:val="21"/>
          <w:szCs w:val="21"/>
        </w:rPr>
      </w:pPr>
      <w:r>
        <w:rPr>
          <w:rFonts w:hint="eastAsia" w:ascii="Times New Roman" w:hAnsi="Times New Roman"/>
          <w:color w:val="000000"/>
          <w:sz w:val="21"/>
          <w:szCs w:val="21"/>
        </w:rPr>
        <w:t>招标文件、中标人的投标文件及投标修改文件、评标过程中有关澄清文件及经投标人法定代表人或授权代表签字确认的询标回复和承诺及中标通知书均作为合同组成部分。</w:t>
      </w:r>
    </w:p>
    <w:p>
      <w:pPr>
        <w:pStyle w:val="21"/>
        <w:numPr>
          <w:ilvl w:val="1"/>
          <w:numId w:val="11"/>
        </w:numPr>
        <w:tabs>
          <w:tab w:val="left" w:pos="0"/>
          <w:tab w:val="clear" w:pos="562"/>
        </w:tabs>
        <w:ind w:left="7" w:right="-252" w:firstLine="413"/>
        <w:rPr>
          <w:rFonts w:hint="eastAsia" w:ascii="Times New Roman" w:hAnsi="Times New Roman"/>
          <w:sz w:val="21"/>
          <w:szCs w:val="21"/>
        </w:rPr>
      </w:pPr>
      <w:r>
        <w:rPr>
          <w:rFonts w:hint="eastAsia" w:ascii="Times New Roman" w:hAnsi="Times New Roman"/>
          <w:sz w:val="21"/>
          <w:szCs w:val="21"/>
        </w:rPr>
        <w:t>在项目允许分包的前提下，享受扶持政策获得政府采购合同的，小微企业不得将合同分包给大中型企业，中型企业不得将合同分包给大型企业。</w:t>
      </w:r>
    </w:p>
    <w:p>
      <w:pPr>
        <w:pStyle w:val="21"/>
        <w:numPr>
          <w:ilvl w:val="1"/>
          <w:numId w:val="11"/>
        </w:numPr>
        <w:tabs>
          <w:tab w:val="left" w:pos="0"/>
          <w:tab w:val="clear" w:pos="562"/>
        </w:tabs>
        <w:ind w:left="7" w:right="-252" w:firstLine="413"/>
        <w:rPr>
          <w:rFonts w:hint="eastAsia" w:ascii="Times New Roman" w:hAnsi="Times New Roman"/>
          <w:color w:val="000000"/>
          <w:sz w:val="21"/>
          <w:szCs w:val="21"/>
        </w:rPr>
      </w:pPr>
      <w:r>
        <w:rPr>
          <w:rFonts w:hint="eastAsia" w:ascii="Times New Roman" w:hAnsi="Times New Roman"/>
          <w:color w:val="000000"/>
          <w:sz w:val="21"/>
          <w:szCs w:val="21"/>
        </w:rPr>
        <w:t>预留份额专门面向中小企业采购的项目，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1"/>
        <w:numPr>
          <w:ilvl w:val="1"/>
          <w:numId w:val="11"/>
        </w:numPr>
        <w:tabs>
          <w:tab w:val="left" w:pos="0"/>
          <w:tab w:val="clear" w:pos="562"/>
        </w:tabs>
        <w:ind w:left="7" w:right="-252" w:firstLine="413"/>
        <w:rPr>
          <w:rFonts w:hint="eastAsia" w:ascii="Times New Roman" w:hAnsi="Times New Roman"/>
          <w:color w:val="000000"/>
          <w:sz w:val="21"/>
          <w:szCs w:val="21"/>
        </w:rPr>
      </w:pPr>
      <w:r>
        <w:rPr>
          <w:rFonts w:hint="eastAsia" w:ascii="Times New Roman" w:hAnsi="Times New Roman"/>
          <w:color w:val="000000"/>
          <w:sz w:val="21"/>
          <w:szCs w:val="21"/>
        </w:rPr>
        <w:t>中标人拒绝与采购人签订合同的，采购人可以按照评审报告推荐的中标候选人名单排序，确定下一候选人为中标人，也可以重新开展政府采购活动。</w:t>
      </w:r>
    </w:p>
    <w:p>
      <w:pPr>
        <w:pStyle w:val="4"/>
        <w:numPr>
          <w:ilvl w:val="0"/>
          <w:numId w:val="15"/>
        </w:numPr>
        <w:spacing w:before="156" w:beforeLines="50" w:after="156" w:afterLines="50" w:line="360" w:lineRule="auto"/>
        <w:jc w:val="center"/>
        <w:rPr>
          <w:rFonts w:hint="eastAsia" w:ascii="Times New Roman" w:hAnsi="Times New Roman"/>
          <w:bCs w:val="0"/>
          <w:sz w:val="24"/>
          <w:szCs w:val="24"/>
        </w:rPr>
      </w:pPr>
      <w:bookmarkStart w:id="193" w:name="_Toc13207"/>
      <w:bookmarkStart w:id="194" w:name="_Toc2609"/>
      <w:bookmarkStart w:id="195" w:name="_Toc3817"/>
      <w:r>
        <w:rPr>
          <w:rFonts w:hint="eastAsia" w:ascii="Times New Roman" w:hAnsi="Times New Roman"/>
          <w:color w:val="000000"/>
          <w:sz w:val="24"/>
          <w:szCs w:val="24"/>
        </w:rPr>
        <w:t>履约</w:t>
      </w:r>
      <w:r>
        <w:rPr>
          <w:rFonts w:hint="eastAsia" w:ascii="Times New Roman" w:hAnsi="Times New Roman"/>
          <w:bCs w:val="0"/>
          <w:sz w:val="24"/>
          <w:szCs w:val="24"/>
        </w:rPr>
        <w:t>验收</w:t>
      </w:r>
      <w:bookmarkEnd w:id="193"/>
      <w:bookmarkEnd w:id="194"/>
      <w:bookmarkEnd w:id="195"/>
    </w:p>
    <w:p>
      <w:pPr>
        <w:numPr>
          <w:ilvl w:val="0"/>
          <w:numId w:val="11"/>
        </w:numPr>
        <w:snapToGrid w:val="0"/>
        <w:spacing w:line="360" w:lineRule="auto"/>
        <w:ind w:hanging="5"/>
        <w:jc w:val="both"/>
        <w:rPr>
          <w:rFonts w:hint="eastAsia"/>
          <w:b/>
          <w:sz w:val="24"/>
          <w:szCs w:val="22"/>
        </w:rPr>
      </w:pPr>
      <w:r>
        <w:rPr>
          <w:rFonts w:hint="eastAsia"/>
          <w:b/>
          <w:sz w:val="24"/>
          <w:szCs w:val="22"/>
        </w:rPr>
        <w:t>严格规范开展履约验收</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采购人应当依法组织履约验收工作。采购人应当根据采购项目的具体情况，自行组织项目验收或者委托采购代理机构验收。采购人委托采购代理机构进行履约验收的，应当在委托代理协议中对委托事项予以明确，并对验收结果进行书面确认，不得因委托而转移或者免除采购人履约验收的主体责任。</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完整细化编制验收方案。采购人或采购人委托采购代理机构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numPr>
          <w:ilvl w:val="1"/>
          <w:numId w:val="11"/>
        </w:numPr>
        <w:tabs>
          <w:tab w:val="left" w:pos="0"/>
          <w:tab w:val="left" w:pos="420"/>
          <w:tab w:val="clear" w:pos="562"/>
        </w:tabs>
        <w:snapToGrid w:val="0"/>
        <w:spacing w:line="360" w:lineRule="auto"/>
        <w:ind w:left="7" w:firstLine="413"/>
        <w:jc w:val="both"/>
        <w:rPr>
          <w:rFonts w:hint="eastAsia"/>
          <w:szCs w:val="21"/>
        </w:rPr>
      </w:pPr>
      <w:r>
        <w:rPr>
          <w:rFonts w:hint="eastAsia"/>
          <w:szCs w:val="21"/>
        </w:rPr>
        <w:t>完善验收方式。对于采购人和使用人分离的采购项目，应当邀请实际使用人参与验收。采购人、采购代理机构可以邀请参加本项目的其他供应商或第三方专业机构及专家参与验收，相关验收意见作为验收书的参考资料。其中大型或复杂、关系到生命财产安全、社会关注度高的采购项目，采购人或者采购代理机构应当邀请国家认可的质量检测机构参与验收。</w:t>
      </w:r>
      <w:r>
        <w:rPr>
          <w:rFonts w:hint="eastAsia" w:ascii="宋体" w:hAnsi="宋体" w:cs="宋体"/>
          <w:szCs w:val="21"/>
        </w:rPr>
        <w:t>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r>
        <w:rPr>
          <w:rFonts w:hint="eastAsia"/>
          <w:szCs w:val="21"/>
        </w:rPr>
        <w:t>。</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11"/>
        </w:numPr>
        <w:tabs>
          <w:tab w:val="left" w:pos="0"/>
          <w:tab w:val="clear" w:pos="562"/>
        </w:tabs>
        <w:snapToGrid w:val="0"/>
        <w:spacing w:line="360" w:lineRule="auto"/>
        <w:ind w:left="7" w:firstLine="413"/>
        <w:jc w:val="both"/>
        <w:rPr>
          <w:rFonts w:hint="eastAsia"/>
          <w:szCs w:val="21"/>
        </w:rPr>
      </w:pPr>
      <w:r>
        <w:rPr>
          <w:rFonts w:hint="eastAsia"/>
          <w:szCs w:val="21"/>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0"/>
          <w:numId w:val="11"/>
        </w:numPr>
        <w:snapToGrid w:val="0"/>
        <w:spacing w:line="360" w:lineRule="auto"/>
        <w:ind w:hanging="5"/>
        <w:jc w:val="both"/>
        <w:rPr>
          <w:rFonts w:hint="eastAsia"/>
          <w:b/>
          <w:sz w:val="24"/>
          <w:szCs w:val="22"/>
        </w:rPr>
      </w:pPr>
      <w:r>
        <w:rPr>
          <w:rFonts w:hint="eastAsia"/>
          <w:b/>
          <w:sz w:val="24"/>
          <w:szCs w:val="22"/>
        </w:rPr>
        <w:t>履约验收监督管理</w:t>
      </w:r>
    </w:p>
    <w:p>
      <w:pPr>
        <w:numPr>
          <w:ilvl w:val="1"/>
          <w:numId w:val="11"/>
        </w:numPr>
        <w:tabs>
          <w:tab w:val="left" w:pos="0"/>
          <w:tab w:val="clear" w:pos="562"/>
        </w:tabs>
        <w:snapToGrid w:val="0"/>
        <w:spacing w:line="360" w:lineRule="auto"/>
        <w:ind w:left="7" w:firstLine="413"/>
        <w:jc w:val="both"/>
        <w:rPr>
          <w:rFonts w:hint="eastAsia"/>
        </w:rPr>
      </w:pPr>
      <w:r>
        <w:rPr>
          <w:rFonts w:hint="eastAsia"/>
          <w:szCs w:val="21"/>
        </w:rPr>
        <w:t>财政部门依法对履约验收活动履行监督管理职责，指导和督促采购人严格履行验收义务，可以依法开展履约验收专项检查，查处违法违规行为。</w:t>
      </w:r>
    </w:p>
    <w:p>
      <w:pPr>
        <w:pStyle w:val="4"/>
        <w:numPr>
          <w:ilvl w:val="0"/>
          <w:numId w:val="15"/>
        </w:numPr>
        <w:spacing w:before="156" w:beforeLines="50" w:after="156" w:afterLines="50" w:line="360" w:lineRule="auto"/>
        <w:jc w:val="center"/>
        <w:rPr>
          <w:rFonts w:hint="eastAsia" w:ascii="Times New Roman" w:hAnsi="Times New Roman"/>
          <w:color w:val="000000"/>
          <w:sz w:val="24"/>
          <w:szCs w:val="24"/>
        </w:rPr>
      </w:pPr>
      <w:bookmarkStart w:id="196" w:name="_Toc13658"/>
      <w:bookmarkStart w:id="197" w:name="_Toc22803"/>
      <w:bookmarkStart w:id="198" w:name="_Toc25387"/>
      <w:r>
        <w:rPr>
          <w:rFonts w:hint="eastAsia" w:ascii="Times New Roman" w:hAnsi="Times New Roman"/>
          <w:color w:val="000000"/>
          <w:sz w:val="24"/>
          <w:szCs w:val="24"/>
        </w:rPr>
        <w:t>询问、质疑与投诉</w:t>
      </w:r>
      <w:bookmarkEnd w:id="196"/>
      <w:bookmarkEnd w:id="197"/>
      <w:bookmarkEnd w:id="198"/>
    </w:p>
    <w:p>
      <w:pPr>
        <w:numPr>
          <w:ilvl w:val="0"/>
          <w:numId w:val="11"/>
        </w:numPr>
        <w:snapToGrid w:val="0"/>
        <w:spacing w:line="360" w:lineRule="auto"/>
        <w:ind w:hanging="5"/>
        <w:jc w:val="both"/>
        <w:rPr>
          <w:rFonts w:hint="eastAsia"/>
          <w:b/>
          <w:sz w:val="24"/>
          <w:szCs w:val="22"/>
        </w:rPr>
      </w:pPr>
      <w:r>
        <w:rPr>
          <w:rFonts w:hint="eastAsia"/>
          <w:b/>
          <w:sz w:val="24"/>
          <w:szCs w:val="22"/>
        </w:rPr>
        <w:t>询问</w:t>
      </w:r>
    </w:p>
    <w:p>
      <w:pPr>
        <w:snapToGrid w:val="0"/>
        <w:spacing w:line="360" w:lineRule="auto"/>
        <w:ind w:firstLine="420" w:firstLineChars="200"/>
        <w:jc w:val="both"/>
        <w:rPr>
          <w:rFonts w:hint="eastAsia"/>
          <w:color w:val="000000"/>
        </w:rPr>
      </w:pPr>
      <w:r>
        <w:rPr>
          <w:rFonts w:hint="eastAsia"/>
          <w:color w:val="000000"/>
          <w:szCs w:val="21"/>
        </w:rPr>
        <w:t>投标人对政府采购活动事项有疑问的，可以向采购人提出询问，采购人或者采购代理机构应当在3个工作日内对投标人依法提出的询问作出答复，但答复的内容不得涉及商业秘密。</w:t>
      </w:r>
    </w:p>
    <w:p>
      <w:pPr>
        <w:numPr>
          <w:ilvl w:val="0"/>
          <w:numId w:val="11"/>
        </w:numPr>
        <w:snapToGrid w:val="0"/>
        <w:spacing w:line="360" w:lineRule="auto"/>
        <w:ind w:hanging="5"/>
        <w:jc w:val="both"/>
        <w:rPr>
          <w:rFonts w:hint="eastAsia"/>
          <w:b/>
          <w:sz w:val="24"/>
          <w:szCs w:val="22"/>
        </w:rPr>
      </w:pPr>
      <w:r>
        <w:rPr>
          <w:rFonts w:hint="eastAsia"/>
          <w:b/>
          <w:sz w:val="24"/>
          <w:szCs w:val="22"/>
        </w:rPr>
        <w:t>质疑</w:t>
      </w:r>
    </w:p>
    <w:p>
      <w:pPr>
        <w:numPr>
          <w:ilvl w:val="1"/>
          <w:numId w:val="11"/>
        </w:numPr>
        <w:tabs>
          <w:tab w:val="left" w:pos="0"/>
          <w:tab w:val="clear" w:pos="562"/>
        </w:tabs>
        <w:snapToGrid w:val="0"/>
        <w:spacing w:line="360" w:lineRule="auto"/>
        <w:ind w:left="7" w:firstLine="413"/>
        <w:jc w:val="both"/>
        <w:rPr>
          <w:rFonts w:hint="eastAsia"/>
          <w:color w:val="000000"/>
          <w:szCs w:val="22"/>
        </w:rPr>
      </w:pPr>
      <w:r>
        <w:rPr>
          <w:rFonts w:hint="eastAsia"/>
          <w:color w:val="000000"/>
          <w:szCs w:val="22"/>
        </w:rPr>
        <w:t>提出质疑的投标人（以下简称质疑人）应当是参与所质疑项目采购活动的投标人。潜在投标人已依法获取其可质疑的招标文件的，可以对该文件提出质疑。</w:t>
      </w:r>
    </w:p>
    <w:p>
      <w:pPr>
        <w:numPr>
          <w:ilvl w:val="1"/>
          <w:numId w:val="11"/>
        </w:numPr>
        <w:tabs>
          <w:tab w:val="left" w:pos="0"/>
          <w:tab w:val="clear" w:pos="562"/>
        </w:tabs>
        <w:snapToGrid w:val="0"/>
        <w:spacing w:line="360" w:lineRule="auto"/>
        <w:ind w:left="7" w:firstLine="413"/>
        <w:jc w:val="both"/>
        <w:rPr>
          <w:rFonts w:hint="eastAsia"/>
          <w:color w:val="000000"/>
          <w:szCs w:val="22"/>
        </w:rPr>
      </w:pPr>
      <w:r>
        <w:rPr>
          <w:rFonts w:hint="eastAsia"/>
          <w:color w:val="000000"/>
          <w:szCs w:val="22"/>
        </w:rPr>
        <w:t>质疑人认为招标文件、采购过程、中标或者成交结果使自己的权益受到损害的，可以在知道或者应知其权益受到损害之日起</w:t>
      </w:r>
      <w:r>
        <w:rPr>
          <w:rFonts w:ascii="Arial" w:hAnsi="Arial" w:cs="Arial"/>
          <w:color w:val="000000"/>
          <w:szCs w:val="22"/>
        </w:rPr>
        <w:t>7</w:t>
      </w:r>
      <w:r>
        <w:rPr>
          <w:rFonts w:hint="eastAsia"/>
          <w:color w:val="000000"/>
          <w:szCs w:val="22"/>
        </w:rPr>
        <w:t>个工作日内，以书面形式向采购人、采购代理机构提出质疑。</w:t>
      </w:r>
    </w:p>
    <w:p>
      <w:pPr>
        <w:snapToGrid w:val="0"/>
        <w:spacing w:line="360" w:lineRule="auto"/>
        <w:ind w:firstLine="420" w:firstLineChars="200"/>
        <w:jc w:val="both"/>
        <w:rPr>
          <w:rFonts w:hint="eastAsia"/>
          <w:color w:val="000000"/>
          <w:szCs w:val="22"/>
        </w:rPr>
      </w:pPr>
      <w:r>
        <w:rPr>
          <w:rFonts w:hint="eastAsia"/>
          <w:color w:val="000000"/>
          <w:szCs w:val="22"/>
        </w:rPr>
        <w:t>对招标文件提出质疑的，应当在获取招标文件或者招标文件公告期限届满之日起</w:t>
      </w:r>
      <w:r>
        <w:rPr>
          <w:rFonts w:ascii="Arial" w:hAnsi="Arial" w:cs="Arial"/>
          <w:color w:val="000000"/>
          <w:szCs w:val="22"/>
        </w:rPr>
        <w:t>7</w:t>
      </w:r>
      <w:r>
        <w:rPr>
          <w:rFonts w:hint="eastAsia"/>
          <w:color w:val="000000"/>
          <w:szCs w:val="22"/>
        </w:rPr>
        <w:t>个工作日内提出。对采购过程提出质疑的，质疑期限为各采购程序环节结束之日起计算。对采购结果提出质疑的，质疑期限自采购结果公告期限届满之日起计算。本项目要求投标人在法定质疑期内一次性提出针对同一采购程序环节的质疑。</w:t>
      </w:r>
    </w:p>
    <w:p>
      <w:pPr>
        <w:pStyle w:val="19"/>
        <w:numPr>
          <w:ilvl w:val="1"/>
          <w:numId w:val="11"/>
        </w:numPr>
        <w:tabs>
          <w:tab w:val="left" w:pos="0"/>
          <w:tab w:val="clear" w:pos="562"/>
        </w:tabs>
        <w:spacing w:line="360" w:lineRule="auto"/>
        <w:ind w:left="7" w:leftChars="0" w:firstLine="413"/>
        <w:rPr>
          <w:rFonts w:hint="eastAsia"/>
          <w:color w:val="000000"/>
          <w:kern w:val="0"/>
          <w:szCs w:val="22"/>
        </w:rPr>
      </w:pPr>
      <w:r>
        <w:rPr>
          <w:rFonts w:hint="eastAsia"/>
          <w:color w:val="000000"/>
          <w:kern w:val="0"/>
          <w:szCs w:val="22"/>
        </w:rPr>
        <w:t>投标人提出质疑应当提交质疑函和必要的证明材料。质疑函应当包括下列内容：</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（1）投标人的姓名或者名称、地址、邮编、联系人及联系电话；</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（2）质疑项目的名称、编号；</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（3）具体、明确的质疑事项和与质疑事项相关的请求；</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（4）事实依据；</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（5）必要的法律依据；</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（6）提出质疑的日期。</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投标人为自然人的，应当由本人签字；投标人为法人或者其他组织的，应当由法定代表人、主要负责人，或者其授权代表签字或者盖章，并加盖公章。</w:t>
      </w:r>
    </w:p>
    <w:p>
      <w:pPr>
        <w:numPr>
          <w:ilvl w:val="1"/>
          <w:numId w:val="11"/>
        </w:numPr>
        <w:tabs>
          <w:tab w:val="left" w:pos="0"/>
          <w:tab w:val="clear" w:pos="562"/>
        </w:tabs>
        <w:adjustRightInd w:val="0"/>
        <w:snapToGrid w:val="0"/>
        <w:spacing w:line="360" w:lineRule="auto"/>
        <w:ind w:left="7" w:firstLine="413"/>
        <w:rPr>
          <w:rFonts w:hint="eastAsia"/>
          <w:snapToGrid w:val="0"/>
          <w:color w:val="000000"/>
          <w:szCs w:val="21"/>
        </w:rPr>
      </w:pPr>
      <w:r>
        <w:rPr>
          <w:rFonts w:hint="eastAsia" w:ascii="宋体" w:hAnsi="宋体" w:cs="宋体"/>
          <w:snapToGrid w:val="0"/>
          <w:szCs w:val="21"/>
        </w:rPr>
        <w:t>采购人、采购代理机构在收到法定质疑期内发出的质疑函后</w:t>
      </w:r>
      <w:r>
        <w:rPr>
          <w:rFonts w:ascii="Arial" w:hAnsi="Arial" w:cs="Arial"/>
          <w:snapToGrid w:val="0"/>
          <w:szCs w:val="21"/>
        </w:rPr>
        <w:t>7</w:t>
      </w:r>
      <w:r>
        <w:rPr>
          <w:rFonts w:hint="eastAsia" w:ascii="宋体" w:hAnsi="宋体" w:cs="宋体"/>
          <w:snapToGrid w:val="0"/>
          <w:szCs w:val="21"/>
        </w:rPr>
        <w:t>个工作日内作出答复，并以书面形式通知质疑人和其他有关投标人。质疑（询问）受理机构详见招标公告“采购人信息”。质疑答复内容应全面完整，质疑答复人应将质疑答复内容及时在浙江政府采购网公开，涉及国家秘密、个人隐私、商业秘密以及法律、法规规定应予保密的信息内容除外</w:t>
      </w:r>
      <w:r>
        <w:rPr>
          <w:rFonts w:hint="eastAsia"/>
          <w:snapToGrid w:val="0"/>
          <w:color w:val="000000"/>
          <w:szCs w:val="21"/>
        </w:rPr>
        <w:t>。</w:t>
      </w:r>
    </w:p>
    <w:p>
      <w:pPr>
        <w:numPr>
          <w:ilvl w:val="0"/>
          <w:numId w:val="11"/>
        </w:numPr>
        <w:snapToGrid w:val="0"/>
        <w:spacing w:line="360" w:lineRule="auto"/>
        <w:ind w:hanging="5"/>
        <w:jc w:val="both"/>
        <w:rPr>
          <w:rFonts w:hint="eastAsia"/>
          <w:b/>
          <w:sz w:val="24"/>
          <w:szCs w:val="22"/>
        </w:rPr>
      </w:pPr>
      <w:r>
        <w:rPr>
          <w:rFonts w:hint="eastAsia"/>
          <w:b/>
          <w:sz w:val="24"/>
          <w:szCs w:val="22"/>
        </w:rPr>
        <w:t>投诉</w:t>
      </w:r>
    </w:p>
    <w:p>
      <w:pPr>
        <w:pStyle w:val="19"/>
        <w:spacing w:line="360" w:lineRule="auto"/>
        <w:ind w:left="0" w:leftChars="0" w:firstLine="420" w:firstLineChars="200"/>
        <w:rPr>
          <w:rFonts w:hint="eastAsia"/>
        </w:rPr>
      </w:pPr>
      <w:r>
        <w:rPr>
          <w:rFonts w:hint="eastAsia"/>
        </w:rPr>
        <w:t>质疑人对招标采购单位的答复不满意或者招标采购单位未在规定的时间内作出答复的，可以在答复期满后十五个工作日内向同级政府采购监督管理部门提出投诉。</w:t>
      </w:r>
    </w:p>
    <w:p>
      <w:pPr>
        <w:snapToGrid w:val="0"/>
        <w:spacing w:line="360" w:lineRule="auto"/>
        <w:ind w:left="-1" w:firstLine="420" w:firstLineChars="200"/>
        <w:rPr>
          <w:rFonts w:hint="eastAsia"/>
          <w:color w:val="000000"/>
        </w:rPr>
      </w:pPr>
      <w:r>
        <w:rPr>
          <w:rFonts w:hint="eastAsia"/>
          <w:color w:val="000000"/>
        </w:rPr>
        <w:t>投诉受理机构：瑞安市财政局政府采购监督管理科 联系人：张先生</w:t>
      </w:r>
    </w:p>
    <w:p>
      <w:pPr>
        <w:tabs>
          <w:tab w:val="left" w:pos="851"/>
        </w:tabs>
        <w:snapToGrid w:val="0"/>
        <w:spacing w:line="360" w:lineRule="auto"/>
        <w:ind w:firstLine="420" w:firstLineChars="200"/>
        <w:rPr>
          <w:rFonts w:hint="eastAsia"/>
          <w:color w:val="000000"/>
        </w:rPr>
      </w:pPr>
      <w:r>
        <w:rPr>
          <w:rFonts w:hint="eastAsia"/>
          <w:color w:val="000000"/>
        </w:rPr>
        <w:t>监督投诉电话：</w:t>
      </w:r>
      <w:r>
        <w:rPr>
          <w:rFonts w:ascii="Arial" w:hAnsi="Arial" w:cs="Arial"/>
          <w:color w:val="000000"/>
        </w:rPr>
        <w:t>0577-65827567</w:t>
      </w:r>
      <w:r>
        <w:rPr>
          <w:rFonts w:hint="eastAsia"/>
          <w:color w:val="000000"/>
        </w:rPr>
        <w:t xml:space="preserve">   传真：</w:t>
      </w:r>
      <w:r>
        <w:rPr>
          <w:rFonts w:ascii="Arial" w:hAnsi="Arial" w:cs="Arial"/>
          <w:color w:val="000000"/>
        </w:rPr>
        <w:t>0577-65822153</w:t>
      </w:r>
      <w:r>
        <w:rPr>
          <w:rFonts w:hint="eastAsia"/>
          <w:color w:val="000000"/>
        </w:rPr>
        <w:t xml:space="preserve"> </w:t>
      </w:r>
    </w:p>
    <w:p>
      <w:pPr>
        <w:tabs>
          <w:tab w:val="left" w:pos="851"/>
        </w:tabs>
        <w:snapToGrid w:val="0"/>
        <w:spacing w:line="360" w:lineRule="auto"/>
        <w:ind w:firstLine="420" w:firstLineChars="200"/>
        <w:rPr>
          <w:rFonts w:hint="eastAsia"/>
          <w:color w:val="000000"/>
        </w:rPr>
      </w:pPr>
      <w:r>
        <w:rPr>
          <w:rFonts w:hint="eastAsia"/>
          <w:color w:val="000000"/>
        </w:rPr>
        <w:t>地址：瑞安市财税大楼</w:t>
      </w:r>
      <w:r>
        <w:rPr>
          <w:rFonts w:ascii="Arial" w:hAnsi="Arial" w:cs="Arial"/>
          <w:color w:val="000000"/>
        </w:rPr>
        <w:t>15</w:t>
      </w:r>
      <w:r>
        <w:rPr>
          <w:rFonts w:hint="eastAsia"/>
          <w:color w:val="000000"/>
        </w:rPr>
        <w:t>楼</w:t>
      </w:r>
    </w:p>
    <w:p>
      <w:pPr>
        <w:spacing w:line="360" w:lineRule="auto"/>
        <w:ind w:firstLine="420" w:firstLineChars="200"/>
        <w:rPr>
          <w:rFonts w:hint="eastAsia"/>
        </w:rPr>
      </w:pPr>
      <w:r>
        <w:rPr>
          <w:rFonts w:hint="eastAsia"/>
          <w:bCs/>
          <w:color w:val="000000"/>
          <w:szCs w:val="21"/>
        </w:rPr>
        <w:t>质疑函范本、投诉书范本请到浙江政府采购网下载专区下载（网址：</w:t>
      </w:r>
      <w:r>
        <w:rPr>
          <w:rFonts w:hint="eastAsia"/>
          <w:bCs/>
          <w:color w:val="000000"/>
          <w:szCs w:val="21"/>
        </w:rPr>
        <w:fldChar w:fldCharType="begin"/>
      </w:r>
      <w:r>
        <w:rPr>
          <w:rFonts w:hint="eastAsia"/>
          <w:bCs/>
          <w:color w:val="000000"/>
          <w:szCs w:val="21"/>
        </w:rPr>
        <w:instrText xml:space="preserve"> HYPERLINK "http://zfcg.czt.zj.gov.cn/download/index.html?_=1585060584349）。" </w:instrText>
      </w:r>
      <w:r>
        <w:rPr>
          <w:rFonts w:hint="eastAsia"/>
          <w:bCs/>
          <w:color w:val="000000"/>
          <w:szCs w:val="21"/>
        </w:rPr>
        <w:fldChar w:fldCharType="separate"/>
      </w:r>
      <w:r>
        <w:rPr>
          <w:rStyle w:val="43"/>
          <w:rFonts w:hint="default" w:ascii="Arial" w:hAnsi="Arial" w:cs="Arial"/>
          <w:bCs/>
          <w:szCs w:val="21"/>
        </w:rPr>
        <w:t>http://zfcg.czt.zj.gov.cn/download/index.html?_=1585060584349</w:t>
      </w:r>
      <w:r>
        <w:rPr>
          <w:rStyle w:val="43"/>
          <w:rFonts w:ascii="Times New Roman" w:hAnsi="Times New Roman" w:cs="Times New Roman"/>
          <w:bCs/>
          <w:szCs w:val="21"/>
        </w:rPr>
        <w:t>）</w:t>
      </w:r>
      <w:r>
        <w:rPr>
          <w:rFonts w:hint="eastAsia"/>
          <w:bCs/>
          <w:color w:val="000000"/>
          <w:szCs w:val="21"/>
        </w:rPr>
        <w:fldChar w:fldCharType="end"/>
      </w:r>
    </w:p>
    <w:p>
      <w:pPr>
        <w:pStyle w:val="4"/>
        <w:numPr>
          <w:ilvl w:val="0"/>
          <w:numId w:val="15"/>
        </w:numPr>
        <w:spacing w:before="156" w:beforeLines="50" w:after="156" w:afterLines="50" w:line="240" w:lineRule="auto"/>
        <w:jc w:val="center"/>
        <w:rPr>
          <w:rFonts w:hint="eastAsia" w:ascii="Times New Roman" w:hAnsi="Times New Roman"/>
          <w:color w:val="000000"/>
          <w:sz w:val="24"/>
          <w:szCs w:val="24"/>
        </w:rPr>
      </w:pPr>
      <w:bookmarkStart w:id="199" w:name="_Toc2299"/>
      <w:bookmarkStart w:id="200" w:name="_Toc16215"/>
      <w:bookmarkStart w:id="201" w:name="_Toc32600"/>
      <w:r>
        <w:rPr>
          <w:rFonts w:hint="eastAsia" w:ascii="Times New Roman" w:hAnsi="Times New Roman"/>
          <w:color w:val="000000"/>
          <w:sz w:val="24"/>
          <w:szCs w:val="24"/>
        </w:rPr>
        <w:t>项目异常情况及处理措施</w:t>
      </w:r>
      <w:bookmarkEnd w:id="199"/>
      <w:bookmarkEnd w:id="200"/>
      <w:bookmarkEnd w:id="201"/>
    </w:p>
    <w:p>
      <w:pPr>
        <w:numPr>
          <w:ilvl w:val="0"/>
          <w:numId w:val="11"/>
        </w:numPr>
        <w:snapToGrid w:val="0"/>
        <w:spacing w:line="360" w:lineRule="auto"/>
        <w:ind w:hanging="5"/>
        <w:jc w:val="both"/>
        <w:rPr>
          <w:rFonts w:hint="eastAsia"/>
          <w:b/>
          <w:sz w:val="24"/>
          <w:szCs w:val="22"/>
        </w:rPr>
      </w:pPr>
      <w:r>
        <w:rPr>
          <w:rFonts w:hint="eastAsia"/>
          <w:b/>
          <w:sz w:val="24"/>
          <w:szCs w:val="22"/>
        </w:rPr>
        <w:t>不足法定家数情况</w:t>
      </w:r>
    </w:p>
    <w:p>
      <w:pPr>
        <w:numPr>
          <w:ilvl w:val="1"/>
          <w:numId w:val="11"/>
        </w:numPr>
        <w:tabs>
          <w:tab w:val="left" w:pos="0"/>
          <w:tab w:val="clear" w:pos="562"/>
        </w:tabs>
        <w:spacing w:line="360" w:lineRule="auto"/>
        <w:ind w:left="6" w:firstLine="414"/>
        <w:rPr>
          <w:rFonts w:hint="eastAsia"/>
          <w:snapToGrid w:val="0"/>
          <w:color w:val="000000"/>
          <w:szCs w:val="21"/>
        </w:rPr>
      </w:pPr>
      <w:r>
        <w:rPr>
          <w:rFonts w:hint="eastAsia"/>
          <w:bCs/>
          <w:color w:val="000000"/>
          <w:szCs w:val="21"/>
        </w:rPr>
        <w:t>公开招标数额标准以上的采购项目，投标截止后投标人不足</w:t>
      </w:r>
      <w:r>
        <w:rPr>
          <w:rFonts w:ascii="Arial" w:hAnsi="Arial" w:cs="Arial"/>
          <w:bCs/>
          <w:color w:val="000000"/>
          <w:szCs w:val="21"/>
        </w:rPr>
        <w:t>3</w:t>
      </w:r>
      <w:r>
        <w:rPr>
          <w:rFonts w:hint="eastAsia"/>
          <w:bCs/>
          <w:color w:val="000000"/>
          <w:szCs w:val="21"/>
        </w:rPr>
        <w:t>家或者通过资格审</w:t>
      </w:r>
      <w:r>
        <w:rPr>
          <w:rFonts w:hint="eastAsia"/>
          <w:snapToGrid w:val="0"/>
          <w:color w:val="000000"/>
          <w:szCs w:val="21"/>
        </w:rPr>
        <w:t>查或符合性审查的投标人不足</w:t>
      </w:r>
      <w:r>
        <w:rPr>
          <w:rFonts w:ascii="Arial" w:hAnsi="Arial" w:cs="Arial"/>
          <w:snapToGrid w:val="0"/>
          <w:color w:val="000000"/>
          <w:szCs w:val="21"/>
        </w:rPr>
        <w:t>3</w:t>
      </w:r>
      <w:r>
        <w:rPr>
          <w:rFonts w:hint="eastAsia"/>
          <w:snapToGrid w:val="0"/>
          <w:color w:val="000000"/>
          <w:szCs w:val="21"/>
        </w:rPr>
        <w:t>家的，除采购任务取消情形外，按照以下方式处理：</w:t>
      </w:r>
    </w:p>
    <w:p>
      <w:pPr>
        <w:snapToGrid w:val="0"/>
        <w:spacing w:line="360" w:lineRule="auto"/>
        <w:ind w:firstLine="420" w:firstLineChars="200"/>
        <w:jc w:val="both"/>
        <w:rPr>
          <w:rFonts w:hint="eastAsia"/>
          <w:color w:val="000000"/>
          <w:szCs w:val="22"/>
        </w:rPr>
      </w:pPr>
      <w:r>
        <w:rPr>
          <w:rFonts w:hint="eastAsia"/>
          <w:color w:val="000000"/>
          <w:szCs w:val="22"/>
        </w:rPr>
        <w:t>（1）招标文件存在不合理条款或者招标程序不符合规定的，采购人、采购代理机构改正后依法重新招标；</w:t>
      </w:r>
    </w:p>
    <w:p>
      <w:pPr>
        <w:snapToGrid w:val="0"/>
        <w:spacing w:line="360" w:lineRule="auto"/>
        <w:ind w:firstLine="420" w:firstLineChars="200"/>
        <w:jc w:val="both"/>
        <w:rPr>
          <w:rFonts w:hint="eastAsia"/>
          <w:color w:val="000000"/>
          <w:szCs w:val="22"/>
        </w:rPr>
      </w:pPr>
      <w:r>
        <w:rPr>
          <w:rFonts w:hint="eastAsia"/>
          <w:color w:val="000000"/>
          <w:szCs w:val="22"/>
        </w:rPr>
        <w:t>（2）招标文件没有不合理条款、招标程序符合规定，需要采用其他采购方式采购的，采购人应当依法报财政部门批准。</w:t>
      </w:r>
    </w:p>
    <w:p>
      <w:pPr>
        <w:numPr>
          <w:ilvl w:val="0"/>
          <w:numId w:val="11"/>
        </w:numPr>
        <w:snapToGrid w:val="0"/>
        <w:spacing w:line="360" w:lineRule="auto"/>
        <w:ind w:hanging="5"/>
        <w:jc w:val="both"/>
        <w:rPr>
          <w:rFonts w:hint="eastAsia"/>
          <w:b/>
          <w:sz w:val="24"/>
          <w:szCs w:val="22"/>
        </w:rPr>
      </w:pPr>
      <w:r>
        <w:rPr>
          <w:rFonts w:hint="eastAsia"/>
          <w:b/>
          <w:sz w:val="24"/>
          <w:szCs w:val="22"/>
        </w:rPr>
        <w:t>废标情形</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根据《中华人民共和国政府采购法》第三十六条，出现下列情形之一的，应予以废标：</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（1）符合专业条件的投标人或者对采购文件作实质响应的投标人不足三家的；</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（2）出现影响采购公正的违法、违规行为的；</w:t>
      </w:r>
    </w:p>
    <w:p>
      <w:pPr>
        <w:adjustRightInd w:val="0"/>
        <w:snapToGrid w:val="0"/>
        <w:spacing w:line="360" w:lineRule="auto"/>
        <w:ind w:firstLine="420" w:firstLineChars="200"/>
        <w:rPr>
          <w:rFonts w:hint="eastAsia"/>
          <w:snapToGrid w:val="0"/>
          <w:color w:val="000000"/>
          <w:szCs w:val="21"/>
        </w:rPr>
      </w:pPr>
      <w:r>
        <w:rPr>
          <w:rFonts w:hint="eastAsia"/>
          <w:snapToGrid w:val="0"/>
          <w:color w:val="000000"/>
          <w:szCs w:val="21"/>
        </w:rPr>
        <w:t>（3）所有投标人的报价均超过了采购预算，采购人不能支付的；</w:t>
      </w:r>
    </w:p>
    <w:p>
      <w:pPr>
        <w:adjustRightInd w:val="0"/>
        <w:snapToGrid w:val="0"/>
        <w:spacing w:line="360" w:lineRule="auto"/>
        <w:ind w:firstLine="420" w:firstLineChars="200"/>
        <w:rPr>
          <w:rFonts w:hint="eastAsia"/>
          <w:color w:val="000000"/>
        </w:rPr>
      </w:pPr>
      <w:r>
        <w:rPr>
          <w:rFonts w:hint="eastAsia"/>
          <w:snapToGrid w:val="0"/>
          <w:color w:val="000000"/>
          <w:szCs w:val="21"/>
        </w:rPr>
        <w:t>（4）因重大变故，采购任务取消的。</w:t>
      </w:r>
    </w:p>
    <w:p>
      <w:pPr>
        <w:numPr>
          <w:ilvl w:val="0"/>
          <w:numId w:val="11"/>
        </w:numPr>
        <w:snapToGrid w:val="0"/>
        <w:spacing w:line="360" w:lineRule="auto"/>
        <w:ind w:hanging="5"/>
        <w:jc w:val="both"/>
        <w:rPr>
          <w:rFonts w:hint="eastAsia"/>
          <w:b/>
          <w:sz w:val="24"/>
          <w:szCs w:val="22"/>
        </w:rPr>
      </w:pPr>
      <w:r>
        <w:rPr>
          <w:rFonts w:hint="eastAsia"/>
          <w:b/>
          <w:sz w:val="24"/>
          <w:szCs w:val="22"/>
        </w:rPr>
        <w:t>电子交易活动异常情况</w:t>
      </w:r>
    </w:p>
    <w:p>
      <w:pPr>
        <w:spacing w:line="360" w:lineRule="auto"/>
        <w:ind w:firstLine="420" w:firstLineChars="200"/>
        <w:rPr>
          <w:rFonts w:hint="eastAsia"/>
          <w:bCs/>
          <w:color w:val="000000"/>
          <w:szCs w:val="21"/>
        </w:rPr>
      </w:pPr>
      <w:r>
        <w:rPr>
          <w:rFonts w:hint="eastAsia"/>
          <w:bCs/>
          <w:color w:val="000000"/>
          <w:szCs w:val="21"/>
        </w:rPr>
        <w:t>采购过程中出现以下情形，导致电子交易平台无法正常运行，或者无法保证电子交易的公平、公正和安全时，集中采购机构中止电子交易活动：</w:t>
      </w:r>
    </w:p>
    <w:p>
      <w:pPr>
        <w:spacing w:line="360" w:lineRule="auto"/>
        <w:ind w:firstLine="420" w:firstLineChars="200"/>
        <w:rPr>
          <w:rFonts w:hint="eastAsia"/>
          <w:bCs/>
          <w:color w:val="000000"/>
          <w:szCs w:val="21"/>
        </w:rPr>
      </w:pPr>
      <w:r>
        <w:rPr>
          <w:rFonts w:hint="eastAsia"/>
          <w:bCs/>
          <w:color w:val="000000"/>
          <w:szCs w:val="21"/>
        </w:rPr>
        <w:t>（1）电子交易平台发生故障而无法登录访问的；</w:t>
      </w:r>
    </w:p>
    <w:p>
      <w:pPr>
        <w:spacing w:line="360" w:lineRule="auto"/>
        <w:ind w:firstLine="420" w:firstLineChars="200"/>
        <w:rPr>
          <w:rFonts w:hint="eastAsia"/>
          <w:bCs/>
          <w:color w:val="000000"/>
          <w:szCs w:val="21"/>
        </w:rPr>
      </w:pPr>
      <w:r>
        <w:rPr>
          <w:rFonts w:hint="eastAsia"/>
          <w:bCs/>
          <w:color w:val="000000"/>
          <w:szCs w:val="21"/>
        </w:rPr>
        <w:t>（2）电子交易平台应用或数据库出现错误，不能进行正常操作的；</w:t>
      </w:r>
    </w:p>
    <w:p>
      <w:pPr>
        <w:spacing w:line="360" w:lineRule="auto"/>
        <w:ind w:firstLine="420" w:firstLineChars="200"/>
        <w:rPr>
          <w:rFonts w:hint="eastAsia"/>
          <w:bCs/>
          <w:color w:val="000000"/>
          <w:szCs w:val="21"/>
        </w:rPr>
      </w:pPr>
      <w:r>
        <w:rPr>
          <w:rFonts w:hint="eastAsia"/>
          <w:bCs/>
          <w:color w:val="000000"/>
          <w:szCs w:val="21"/>
        </w:rPr>
        <w:t>（3）电子交易平台发现严重安全漏洞，有潜在泄密危险的；</w:t>
      </w:r>
    </w:p>
    <w:p>
      <w:pPr>
        <w:spacing w:line="360" w:lineRule="auto"/>
        <w:ind w:firstLine="420" w:firstLineChars="200"/>
        <w:rPr>
          <w:rFonts w:hint="eastAsia"/>
          <w:bCs/>
          <w:color w:val="000000"/>
          <w:szCs w:val="21"/>
        </w:rPr>
      </w:pPr>
      <w:r>
        <w:rPr>
          <w:rFonts w:hint="eastAsia"/>
          <w:bCs/>
          <w:color w:val="000000"/>
          <w:szCs w:val="21"/>
        </w:rPr>
        <w:t>（4）病毒发作导致不能进行正常操作的；</w:t>
      </w:r>
    </w:p>
    <w:p>
      <w:pPr>
        <w:spacing w:line="360" w:lineRule="auto"/>
        <w:ind w:firstLine="420" w:firstLineChars="200"/>
        <w:rPr>
          <w:rFonts w:hint="eastAsia"/>
          <w:bCs/>
          <w:color w:val="000000"/>
          <w:szCs w:val="21"/>
        </w:rPr>
      </w:pPr>
      <w:r>
        <w:rPr>
          <w:rFonts w:hint="eastAsia"/>
          <w:bCs/>
          <w:color w:val="000000"/>
          <w:szCs w:val="21"/>
        </w:rPr>
        <w:t>（5）其他无法保证电子交易的公平、公正和安全的情况。</w:t>
      </w:r>
    </w:p>
    <w:p>
      <w:pPr>
        <w:pStyle w:val="19"/>
        <w:spacing w:line="360" w:lineRule="auto"/>
        <w:ind w:left="0" w:leftChars="0" w:firstLine="420" w:firstLineChars="200"/>
        <w:rPr>
          <w:rFonts w:hint="eastAsia"/>
        </w:rPr>
      </w:pPr>
      <w:r>
        <w:rPr>
          <w:rFonts w:hint="eastAsia"/>
          <w:bCs/>
          <w:color w:val="000000"/>
          <w:szCs w:val="21"/>
        </w:rPr>
        <w:t>出现前款规定情形，不影响采购公平、公正性的，集中采购机构可以待上述情形消除后继续组织电子交易活动；影响或可能影响采购公平、公正性的，重新采购。</w:t>
      </w: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Pr>
        <w:pStyle w:val="19"/>
        <w:spacing w:line="360" w:lineRule="auto"/>
        <w:ind w:left="0" w:leftChars="0" w:firstLine="420" w:firstLineChars="200"/>
        <w:rPr>
          <w:rFonts w:hint="eastAsia"/>
        </w:rPr>
      </w:pPr>
    </w:p>
    <w:p>
      <w:pPr>
        <w:rPr>
          <w:rFonts w:hint="eastAsia"/>
        </w:rPr>
      </w:pPr>
    </w:p>
    <w:p>
      <w:pPr>
        <w:pStyle w:val="2"/>
        <w:rPr>
          <w:rFonts w:hint="eastAsia" w:ascii="Times New Roman" w:eastAsia="宋体"/>
        </w:rPr>
      </w:pPr>
    </w:p>
    <w:p>
      <w:pPr>
        <w:pStyle w:val="3"/>
        <w:ind w:firstLine="2249" w:firstLineChars="800"/>
        <w:rPr>
          <w:rFonts w:hint="eastAsia" w:hAnsi="宋体" w:cs="宋体"/>
          <w:sz w:val="28"/>
          <w:szCs w:val="28"/>
        </w:rPr>
      </w:pPr>
      <w:bookmarkStart w:id="202" w:name="_Toc7428"/>
      <w:bookmarkStart w:id="203" w:name="_Toc30672"/>
      <w:bookmarkStart w:id="204" w:name="_Toc3637"/>
      <w:bookmarkStart w:id="205" w:name="_Toc21443"/>
      <w:bookmarkStart w:id="206" w:name="_Toc19772"/>
      <w:bookmarkStart w:id="207" w:name="_Toc2482"/>
      <w:bookmarkStart w:id="208" w:name="_Toc20369"/>
      <w:bookmarkStart w:id="209" w:name="_Toc12936"/>
      <w:bookmarkStart w:id="210" w:name="_Toc6711"/>
      <w:bookmarkStart w:id="211" w:name="_Toc9116"/>
      <w:bookmarkStart w:id="212" w:name="_Toc22839"/>
      <w:bookmarkStart w:id="213" w:name="_Toc22123"/>
      <w:bookmarkStart w:id="214" w:name="_Toc3041"/>
      <w:bookmarkStart w:id="215" w:name="_Toc12411"/>
      <w:bookmarkStart w:id="216" w:name="_Toc6481"/>
      <w:bookmarkStart w:id="217" w:name="_Toc3816"/>
      <w:bookmarkStart w:id="218" w:name="_Toc20945"/>
      <w:bookmarkStart w:id="219" w:name="_Toc10715"/>
      <w:bookmarkStart w:id="220" w:name="_Toc20250"/>
      <w:bookmarkStart w:id="221" w:name="_Toc11360"/>
      <w:bookmarkStart w:id="222" w:name="_Toc26968"/>
      <w:bookmarkStart w:id="223" w:name="_Toc29559"/>
      <w:bookmarkStart w:id="224" w:name="_Toc23766"/>
      <w:bookmarkStart w:id="225" w:name="_Toc2747"/>
      <w:bookmarkStart w:id="226" w:name="_Toc1038"/>
      <w:bookmarkStart w:id="227" w:name="_Toc13309"/>
      <w:bookmarkStart w:id="228" w:name="_Toc25639"/>
      <w:bookmarkStart w:id="229" w:name="_Toc453571454"/>
      <w:r>
        <w:rPr>
          <w:rFonts w:hint="eastAsia" w:hAnsi="宋体" w:cs="宋体"/>
          <w:sz w:val="28"/>
          <w:szCs w:val="28"/>
          <w:lang w:eastAsia="zh-CN"/>
        </w:rPr>
        <w:t>第</w:t>
      </w:r>
      <w:r>
        <w:rPr>
          <w:rFonts w:hint="eastAsia" w:hAnsi="宋体" w:cs="宋体"/>
          <w:sz w:val="28"/>
          <w:szCs w:val="28"/>
        </w:rPr>
        <w:t>三部分  招标内容及要求</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snapToGrid w:val="0"/>
        <w:spacing w:line="360" w:lineRule="auto"/>
        <w:ind w:firstLine="422" w:firstLineChars="175"/>
        <w:jc w:val="both"/>
        <w:rPr>
          <w:rFonts w:hint="eastAsia"/>
          <w:b/>
          <w:bCs/>
          <w:sz w:val="24"/>
          <w:szCs w:val="24"/>
        </w:rPr>
      </w:pPr>
      <w:bookmarkStart w:id="230" w:name="_Toc4219"/>
      <w:bookmarkStart w:id="231" w:name="_Toc11576"/>
      <w:bookmarkStart w:id="232" w:name="_Toc5406"/>
      <w:bookmarkStart w:id="233" w:name="_Toc31605"/>
      <w:bookmarkStart w:id="234" w:name="_Toc18562"/>
      <w:bookmarkStart w:id="235" w:name="_Toc16167"/>
      <w:bookmarkStart w:id="236" w:name="_Toc28385"/>
      <w:bookmarkStart w:id="237" w:name="_Toc23484"/>
      <w:bookmarkStart w:id="238" w:name="_Toc9248"/>
      <w:bookmarkStart w:id="239" w:name="_Toc26769"/>
      <w:bookmarkStart w:id="240" w:name="_Toc30319"/>
      <w:bookmarkStart w:id="241" w:name="_Toc32169"/>
      <w:bookmarkStart w:id="242" w:name="_Toc2275"/>
      <w:bookmarkStart w:id="243" w:name="_Toc15389"/>
      <w:bookmarkStart w:id="244" w:name="_Toc199"/>
      <w:bookmarkStart w:id="245" w:name="_Toc29738"/>
      <w:bookmarkStart w:id="246" w:name="_Toc8721"/>
      <w:bookmarkStart w:id="247" w:name="_Toc9485"/>
      <w:bookmarkStart w:id="248" w:name="_Toc18885"/>
      <w:bookmarkStart w:id="249" w:name="_Toc2408"/>
      <w:bookmarkStart w:id="250" w:name="_Toc19666"/>
      <w:bookmarkStart w:id="251" w:name="_Toc5025"/>
      <w:bookmarkStart w:id="252" w:name="_Toc2982"/>
      <w:r>
        <w:rPr>
          <w:rFonts w:hint="eastAsia"/>
          <w:b/>
          <w:bCs/>
          <w:sz w:val="24"/>
          <w:szCs w:val="24"/>
        </w:rPr>
        <w:t>一、服务内容及标准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numPr>
          <w:ilvl w:val="0"/>
          <w:numId w:val="16"/>
        </w:numPr>
        <w:snapToGrid w:val="0"/>
        <w:spacing w:line="360" w:lineRule="auto"/>
        <w:ind w:firstLine="422" w:firstLineChars="175"/>
        <w:jc w:val="both"/>
        <w:rPr>
          <w:rFonts w:hint="eastAsia" w:ascii="宋体" w:hAnsi="宋体" w:cs="宋体"/>
          <w:b/>
          <w:bCs/>
        </w:rPr>
      </w:pPr>
      <w:r>
        <w:rPr>
          <w:rFonts w:hint="eastAsia" w:ascii="宋体" w:hAnsi="宋体" w:cs="宋体"/>
          <w:b/>
          <w:bCs/>
          <w:sz w:val="24"/>
          <w:szCs w:val="24"/>
        </w:rPr>
        <w:t>服务人员配置要求</w:t>
      </w:r>
    </w:p>
    <w:p>
      <w:pPr>
        <w:numPr>
          <w:ilvl w:val="0"/>
          <w:numId w:val="17"/>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岗位需求表</w:t>
      </w:r>
    </w:p>
    <w:tbl>
      <w:tblPr>
        <w:tblStyle w:val="45"/>
        <w:tblpPr w:leftFromText="180" w:rightFromText="180" w:vertAnchor="page" w:horzAnchor="page" w:tblpX="1740" w:tblpY="3693"/>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89"/>
        <w:gridCol w:w="4566"/>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Arial" w:hAnsi="Arial" w:cs="Arial"/>
                <w:szCs w:val="21"/>
              </w:rPr>
            </w:pPr>
            <w:r>
              <w:rPr>
                <w:rFonts w:hint="default" w:ascii="Arial" w:hAnsi="Arial" w:cs="Arial"/>
                <w:spacing w:val="220"/>
                <w:szCs w:val="21"/>
              </w:rPr>
              <w:t>岗</w:t>
            </w:r>
            <w:r>
              <w:rPr>
                <w:rFonts w:hint="default" w:ascii="Arial" w:hAnsi="Arial" w:cs="Arial"/>
                <w:szCs w:val="21"/>
              </w:rPr>
              <w:t>位</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Arial" w:hAnsi="Arial" w:cs="Arial"/>
                <w:szCs w:val="21"/>
              </w:rPr>
            </w:pPr>
            <w:r>
              <w:rPr>
                <w:rFonts w:hint="default" w:ascii="Arial" w:hAnsi="Arial" w:cs="Arial"/>
                <w:szCs w:val="21"/>
              </w:rPr>
              <w:t>人数</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Arial" w:hAnsi="Arial" w:cs="Arial"/>
                <w:szCs w:val="21"/>
              </w:rPr>
            </w:pPr>
            <w:r>
              <w:rPr>
                <w:rFonts w:hint="default" w:ascii="Arial" w:hAnsi="Arial" w:cs="Arial"/>
                <w:szCs w:val="21"/>
              </w:rPr>
              <w:t>要求</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Arial" w:hAnsi="Arial" w:cs="Arial"/>
                <w:szCs w:val="21"/>
              </w:rPr>
            </w:pPr>
            <w:r>
              <w:rPr>
                <w:rFonts w:hint="default"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项目负责人</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color w:val="auto"/>
                <w:szCs w:val="20"/>
              </w:rPr>
            </w:pPr>
            <w:r>
              <w:rPr>
                <w:rFonts w:hint="default" w:ascii="Arial" w:hAnsi="Arial" w:cs="Arial"/>
                <w:color w:val="auto"/>
                <w:szCs w:val="20"/>
              </w:rPr>
              <w:t>对本项目服务的全面管理，监督、布置、检查下属工作</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Arial" w:hAnsi="Arial" w:eastAsia="宋体" w:cs="Arial"/>
                <w:color w:val="auto"/>
                <w:szCs w:val="20"/>
                <w:lang w:eastAsia="zh-CN"/>
              </w:rPr>
            </w:pPr>
            <w:r>
              <w:rPr>
                <w:rFonts w:hint="eastAsia"/>
                <w:b/>
                <w:bCs/>
                <w:color w:val="auto"/>
                <w:spacing w:val="12"/>
                <w:szCs w:val="21"/>
              </w:rPr>
              <w:t>▲</w:t>
            </w:r>
            <w:r>
              <w:rPr>
                <w:rFonts w:hint="eastAsia" w:ascii="Arial" w:hAnsi="Arial" w:cs="Arial"/>
                <w:color w:val="auto"/>
                <w:szCs w:val="20"/>
                <w:lang w:eastAsia="zh-CN"/>
              </w:rPr>
              <w:t>要求二年及以上从事医院物业服务管理的经验且曾担任过至少一年医院物业服务管理项目负责人</w:t>
            </w:r>
            <w:r>
              <w:rPr>
                <w:rFonts w:hint="default" w:ascii="Arial" w:hAnsi="Arial" w:cs="Arial"/>
                <w:color w:val="auto"/>
                <w:szCs w:val="20"/>
              </w:rPr>
              <w:t>。</w:t>
            </w:r>
            <w:r>
              <w:rPr>
                <w:rFonts w:hint="eastAsia" w:ascii="Arial" w:hAnsi="Arial" w:cs="Arial"/>
                <w:color w:val="auto"/>
                <w:szCs w:val="20"/>
                <w:lang w:eastAsia="zh-CN"/>
              </w:rPr>
              <w:t>（提供工作单位业绩证明）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管理人员</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2</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对本项目各项服务工作的日常管理，组织员工培训</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专用电梯操作</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负责专用电梯的管理</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保洁</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30</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负责1号楼发热门诊及PCR实验室、2号楼、3号行政楼、4号楼、5号楼住院部、门诊部各科室及病区保洁服务和院内其他公共区域等</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全院夜班保洁</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机动</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替班</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3</w:t>
            </w:r>
          </w:p>
        </w:tc>
        <w:tc>
          <w:tcPr>
            <w:tcW w:w="4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代替休息人员</w:t>
            </w:r>
          </w:p>
        </w:tc>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护工</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29</w:t>
            </w:r>
          </w:p>
        </w:tc>
        <w:tc>
          <w:tcPr>
            <w:tcW w:w="4566"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负责5号楼各科及病区、消毒供应中心等</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 xml:space="preserve">运送部 </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13</w:t>
            </w:r>
          </w:p>
        </w:tc>
        <w:tc>
          <w:tcPr>
            <w:tcW w:w="4566"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物资、标本运送、病人检查运送、预约、发热门诊标本运送专班、专门夜班</w:t>
            </w:r>
            <w:r>
              <w:rPr>
                <w:rFonts w:hint="eastAsia" w:ascii="Arial" w:hAnsi="Arial" w:cs="Arial"/>
                <w:szCs w:val="20"/>
                <w:lang w:val="en-US" w:eastAsia="zh-CN"/>
              </w:rPr>
              <w:t>、院外运送</w:t>
            </w:r>
            <w:r>
              <w:rPr>
                <w:rFonts w:hint="default" w:ascii="Arial" w:hAnsi="Arial" w:cs="Arial"/>
                <w:szCs w:val="20"/>
              </w:rPr>
              <w:t>等</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被服室</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2</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白大衣、手术布、床单被套枕套等收、洗、叠、发及补衣服</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外围保洁</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医院前门后门、露天停车场、地下室的保洁工作</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机动人员</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3</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不锈钢上油，刮玻璃，空调滤网拆洗，窗帘拆、挂、天花板、墙面、机器洗地</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专项服务</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2</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塑胶地板打蜡、大理石抛光、天花板清洁</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垃圾运输</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2</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负责院内</w:t>
            </w:r>
            <w:r>
              <w:rPr>
                <w:rFonts w:hint="eastAsia" w:ascii="Arial" w:hAnsi="Arial" w:cs="Arial"/>
                <w:szCs w:val="20"/>
                <w:lang w:eastAsia="zh-CN"/>
              </w:rPr>
              <w:t>院外</w:t>
            </w:r>
            <w:r>
              <w:rPr>
                <w:rFonts w:hint="default" w:ascii="Arial" w:hAnsi="Arial" w:cs="Arial"/>
                <w:szCs w:val="20"/>
              </w:rPr>
              <w:t>生活、医疗垃圾的收集运送</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婚检中心</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负责婚检中心的卫生及标本、日常外送</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污水站</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1</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负责院内日常污水的处理及登记</w:t>
            </w: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0" w:type="dxa"/>
            <w:vAlign w:val="center"/>
          </w:tcPr>
          <w:p>
            <w:pPr>
              <w:keepNext w:val="0"/>
              <w:keepLines w:val="0"/>
              <w:widowControl/>
              <w:suppressLineNumbers w:val="0"/>
              <w:spacing w:before="0" w:beforeAutospacing="0" w:after="0" w:afterAutospacing="0"/>
              <w:ind w:left="0" w:right="0"/>
              <w:rPr>
                <w:rFonts w:hint="default" w:ascii="Arial" w:hAnsi="Arial" w:cs="Arial"/>
                <w:szCs w:val="20"/>
              </w:rPr>
            </w:pPr>
            <w:r>
              <w:rPr>
                <w:rFonts w:hint="default" w:ascii="Arial" w:hAnsi="Arial" w:cs="Arial"/>
                <w:szCs w:val="20"/>
              </w:rPr>
              <w:t>人数</w:t>
            </w:r>
          </w:p>
        </w:tc>
        <w:tc>
          <w:tcPr>
            <w:tcW w:w="789"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0"/>
              </w:rPr>
            </w:pPr>
            <w:r>
              <w:rPr>
                <w:rFonts w:hint="default" w:ascii="Arial" w:hAnsi="Arial" w:cs="Arial"/>
                <w:szCs w:val="20"/>
              </w:rPr>
              <w:t>92</w:t>
            </w:r>
          </w:p>
        </w:tc>
        <w:tc>
          <w:tcPr>
            <w:tcW w:w="4566"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c>
          <w:tcPr>
            <w:tcW w:w="2033" w:type="dxa"/>
            <w:vAlign w:val="top"/>
          </w:tcPr>
          <w:p>
            <w:pPr>
              <w:keepNext w:val="0"/>
              <w:keepLines w:val="0"/>
              <w:widowControl/>
              <w:suppressLineNumbers w:val="0"/>
              <w:spacing w:before="0" w:beforeAutospacing="0" w:after="0" w:afterAutospacing="0"/>
              <w:ind w:left="0" w:right="0"/>
              <w:rPr>
                <w:rFonts w:hint="default" w:ascii="Arial" w:hAnsi="Arial" w:cs="Arial"/>
                <w:szCs w:val="20"/>
              </w:rPr>
            </w:pPr>
          </w:p>
        </w:tc>
      </w:tr>
    </w:tbl>
    <w:p>
      <w:pPr>
        <w:pStyle w:val="2"/>
        <w:rPr>
          <w:rFonts w:hint="eastAsia"/>
        </w:rPr>
      </w:pPr>
    </w:p>
    <w:p>
      <w:pPr>
        <w:numPr>
          <w:ilvl w:val="0"/>
          <w:numId w:val="17"/>
        </w:numPr>
        <w:tabs>
          <w:tab w:val="left" w:pos="360"/>
          <w:tab w:val="left" w:pos="420"/>
          <w:tab w:val="left" w:pos="540"/>
          <w:tab w:val="left" w:pos="640"/>
        </w:tabs>
        <w:spacing w:line="360" w:lineRule="auto"/>
        <w:ind w:left="15" w:leftChars="7" w:firstLine="449" w:firstLineChars="191"/>
        <w:rPr>
          <w:rFonts w:hint="eastAsia"/>
          <w:szCs w:val="21"/>
          <w:lang w:val="en-US" w:eastAsia="zh-CN"/>
        </w:rPr>
      </w:pPr>
      <w:r>
        <w:rPr>
          <w:rFonts w:hint="eastAsia"/>
          <w:b/>
          <w:bCs/>
          <w:color w:val="auto"/>
          <w:spacing w:val="12"/>
          <w:szCs w:val="21"/>
        </w:rPr>
        <w:t>▲</w:t>
      </w:r>
      <w:r>
        <w:rPr>
          <w:rFonts w:hint="eastAsia"/>
          <w:b/>
          <w:bCs/>
          <w:szCs w:val="21"/>
          <w:lang w:val="en-US" w:eastAsia="zh-CN"/>
        </w:rPr>
        <w:t>投标人应为本项目各项服务工作配备足够各类人员，人员不得少于</w:t>
      </w:r>
      <w:r>
        <w:rPr>
          <w:rFonts w:hint="default" w:ascii="Arial" w:hAnsi="Arial" w:cs="Arial"/>
          <w:b/>
          <w:bCs/>
          <w:szCs w:val="21"/>
          <w:lang w:val="en-US" w:eastAsia="zh-CN"/>
        </w:rPr>
        <w:t>92</w:t>
      </w:r>
      <w:r>
        <w:rPr>
          <w:rFonts w:hint="eastAsia"/>
          <w:b/>
          <w:bCs/>
          <w:szCs w:val="21"/>
          <w:lang w:val="en-US" w:eastAsia="zh-CN"/>
        </w:rPr>
        <w:t>人（投标人可根据自己的管理方案增加人员）。</w:t>
      </w:r>
      <w:r>
        <w:rPr>
          <w:rFonts w:hint="eastAsia"/>
          <w:szCs w:val="21"/>
          <w:lang w:val="en-US" w:eastAsia="zh-CN"/>
        </w:rPr>
        <w:t>所聘人员必须符合劳动部门有关用工规定，所有相关人员的配备如需经相关主管部门认证发证才能上岗的，必须持证上岗。上岗人员要求政治上可靠、身体素质好，无不良行为记录。</w:t>
      </w:r>
    </w:p>
    <w:p>
      <w:pPr>
        <w:numPr>
          <w:ilvl w:val="0"/>
          <w:numId w:val="17"/>
        </w:numPr>
        <w:tabs>
          <w:tab w:val="left" w:pos="360"/>
          <w:tab w:val="left" w:pos="420"/>
          <w:tab w:val="left" w:pos="540"/>
          <w:tab w:val="left" w:pos="640"/>
        </w:tabs>
        <w:spacing w:line="360" w:lineRule="auto"/>
        <w:ind w:left="15" w:leftChars="7" w:firstLine="449" w:firstLineChars="191"/>
        <w:rPr>
          <w:rFonts w:hint="eastAsia"/>
          <w:b/>
          <w:bCs/>
          <w:color w:val="auto"/>
          <w:szCs w:val="21"/>
          <w:lang w:val="en-US" w:eastAsia="zh-CN"/>
        </w:rPr>
      </w:pPr>
      <w:r>
        <w:rPr>
          <w:rFonts w:hint="eastAsia"/>
          <w:b/>
          <w:bCs/>
          <w:color w:val="auto"/>
          <w:spacing w:val="12"/>
          <w:szCs w:val="21"/>
        </w:rPr>
        <w:t>▲</w:t>
      </w:r>
      <w:r>
        <w:rPr>
          <w:rFonts w:hint="eastAsia"/>
          <w:b/>
          <w:bCs/>
          <w:color w:val="auto"/>
          <w:szCs w:val="21"/>
          <w:lang w:val="en-US" w:eastAsia="zh-CN"/>
        </w:rPr>
        <w:t>男性年龄要求为60周岁（含）以下。女性年龄要求为55周岁（含）以下。其中男性年龄55周岁（含）以下和女性年龄45周岁（含）以下人员所占比例应不小于总人数的30%。</w:t>
      </w:r>
    </w:p>
    <w:p>
      <w:pPr>
        <w:numPr>
          <w:ilvl w:val="0"/>
          <w:numId w:val="17"/>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所有人员必须专职为本项目服务，不得兼职，如需要调换物业服务人员，须及时通报采购人，经采购人认可后方可调整。如服务人员出现素质低劣，不能胜任物业服务工作，采购人有权提出调换，中标人应予以及时调换。</w:t>
      </w:r>
    </w:p>
    <w:p>
      <w:pPr>
        <w:keepNext w:val="0"/>
        <w:keepLines w:val="0"/>
        <w:pageBreakBefore w:val="0"/>
        <w:widowControl/>
        <w:numPr>
          <w:ilvl w:val="0"/>
          <w:numId w:val="17"/>
        </w:numPr>
        <w:tabs>
          <w:tab w:val="left" w:pos="360"/>
          <w:tab w:val="left" w:pos="420"/>
          <w:tab w:val="left" w:pos="540"/>
          <w:tab w:val="left" w:pos="640"/>
        </w:tabs>
        <w:kinsoku/>
        <w:wordWrap/>
        <w:overflowPunct/>
        <w:topLinePunct w:val="0"/>
        <w:autoSpaceDE/>
        <w:autoSpaceDN/>
        <w:bidi w:val="0"/>
        <w:adjustRightInd/>
        <w:snapToGrid/>
        <w:spacing w:line="360" w:lineRule="auto"/>
        <w:ind w:left="15" w:leftChars="7" w:firstLine="401" w:firstLineChars="191"/>
        <w:textAlignment w:val="auto"/>
        <w:outlineLvl w:val="9"/>
        <w:rPr>
          <w:rFonts w:hint="eastAsia"/>
          <w:szCs w:val="21"/>
          <w:lang w:val="en-US" w:eastAsia="zh-CN"/>
        </w:rPr>
      </w:pPr>
      <w:r>
        <w:rPr>
          <w:rFonts w:hint="eastAsia"/>
          <w:szCs w:val="21"/>
          <w:lang w:val="en-US" w:eastAsia="zh-CN"/>
        </w:rPr>
        <w:t>若今后病区或保洁范围增加而需增加人员的，院方将按中标单价另行签订补充协议。</w:t>
      </w:r>
    </w:p>
    <w:p>
      <w:pPr>
        <w:keepNext w:val="0"/>
        <w:keepLines w:val="0"/>
        <w:pageBreakBefore w:val="0"/>
        <w:widowControl/>
        <w:numPr>
          <w:ilvl w:val="0"/>
          <w:numId w:val="16"/>
        </w:numPr>
        <w:kinsoku/>
        <w:wordWrap/>
        <w:overflowPunct/>
        <w:topLinePunct w:val="0"/>
        <w:autoSpaceDE/>
        <w:autoSpaceDN/>
        <w:bidi w:val="0"/>
        <w:adjustRightInd/>
        <w:snapToGrid w:val="0"/>
        <w:spacing w:line="360" w:lineRule="auto"/>
        <w:ind w:firstLine="411" w:firstLineChars="175"/>
        <w:jc w:val="both"/>
        <w:textAlignment w:val="auto"/>
        <w:outlineLvl w:val="9"/>
        <w:rPr>
          <w:rFonts w:hint="eastAsia"/>
          <w:b/>
          <w:bCs/>
          <w:spacing w:val="12"/>
          <w:szCs w:val="21"/>
        </w:rPr>
      </w:pPr>
      <w:r>
        <w:rPr>
          <w:rFonts w:hint="eastAsia"/>
          <w:b/>
          <w:bCs/>
          <w:spacing w:val="12"/>
          <w:szCs w:val="21"/>
        </w:rPr>
        <w:t>物业管理的具体内容及服务要求</w:t>
      </w:r>
    </w:p>
    <w:p>
      <w:pPr>
        <w:keepNext w:val="0"/>
        <w:keepLines w:val="0"/>
        <w:pageBreakBefore w:val="0"/>
        <w:numPr>
          <w:ilvl w:val="0"/>
          <w:numId w:val="18"/>
        </w:numPr>
        <w:kinsoku/>
        <w:wordWrap/>
        <w:overflowPunct/>
        <w:topLinePunct w:val="0"/>
        <w:autoSpaceDE/>
        <w:autoSpaceDN/>
        <w:bidi w:val="0"/>
        <w:snapToGrid w:val="0"/>
        <w:spacing w:line="360" w:lineRule="auto"/>
        <w:ind w:firstLine="420" w:firstLineChars="200"/>
        <w:jc w:val="both"/>
        <w:textAlignment w:val="auto"/>
        <w:rPr>
          <w:rFonts w:hint="eastAsia" w:ascii="Times New Roman" w:hAnsi="Times New Roman" w:eastAsia="宋体" w:cs="Times New Roman"/>
          <w:b w:val="0"/>
          <w:bCs w:val="0"/>
        </w:rPr>
      </w:pPr>
      <w:r>
        <w:rPr>
          <w:rFonts w:hint="eastAsia" w:ascii="Times New Roman" w:hAnsi="Times New Roman" w:eastAsia="宋体" w:cs="Times New Roman"/>
          <w:b w:val="0"/>
          <w:bCs w:val="0"/>
        </w:rPr>
        <w:t>总体要求</w:t>
      </w:r>
    </w:p>
    <w:p>
      <w:pPr>
        <w:keepNext w:val="0"/>
        <w:keepLines w:val="0"/>
        <w:pageBreakBefore w:val="0"/>
        <w:numPr>
          <w:ilvl w:val="0"/>
          <w:numId w:val="19"/>
        </w:numPr>
        <w:tabs>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pacing w:val="-3"/>
          <w:szCs w:val="21"/>
        </w:rPr>
        <w:t>投标人在建立并完善了各种管理制度和工作流程、明</w:t>
      </w:r>
      <w:r>
        <w:rPr>
          <w:rFonts w:hint="eastAsia" w:ascii="Times New Roman" w:hAnsi="Times New Roman" w:eastAsia="宋体" w:cs="Times New Roman"/>
          <w:spacing w:val="5"/>
          <w:szCs w:val="21"/>
        </w:rPr>
        <w:t>确了分工及职责和工作质量标准的前提下，</w:t>
      </w:r>
      <w:r>
        <w:rPr>
          <w:rFonts w:hint="eastAsia" w:ascii="Times New Roman" w:hAnsi="Times New Roman" w:eastAsia="宋体" w:cs="Times New Roman"/>
        </w:rPr>
        <w:t>推行标准化服务，不断提升服务质量。</w:t>
      </w:r>
      <w:r>
        <w:rPr>
          <w:rFonts w:hint="eastAsia" w:ascii="Times New Roman" w:hAnsi="Times New Roman" w:eastAsia="宋体" w:cs="Times New Roman"/>
          <w:spacing w:val="8"/>
          <w:szCs w:val="21"/>
        </w:rPr>
        <w:t>按照管理内容编制检查表，每日</w:t>
      </w:r>
      <w:r>
        <w:rPr>
          <w:rFonts w:hint="eastAsia" w:ascii="Times New Roman" w:hAnsi="Times New Roman" w:eastAsia="宋体" w:cs="Times New Roman"/>
        </w:rPr>
        <w:t>对各工作岗位的服务质量</w:t>
      </w:r>
      <w:r>
        <w:rPr>
          <w:rFonts w:hint="eastAsia" w:ascii="Times New Roman" w:hAnsi="Times New Roman" w:eastAsia="宋体" w:cs="Times New Roman"/>
          <w:spacing w:val="8"/>
          <w:szCs w:val="21"/>
        </w:rPr>
        <w:t>进行检查，发现问题及时整改、提高。</w:t>
      </w:r>
      <w:r>
        <w:rPr>
          <w:rFonts w:hint="eastAsia" w:ascii="Times New Roman" w:hAnsi="Times New Roman" w:eastAsia="宋体" w:cs="Times New Roman"/>
          <w:spacing w:val="6"/>
          <w:szCs w:val="21"/>
        </w:rPr>
        <w:t>收集服务对象的反馈意见</w:t>
      </w:r>
      <w:r>
        <w:rPr>
          <w:rFonts w:hint="eastAsia" w:ascii="Times New Roman" w:hAnsi="Times New Roman" w:eastAsia="宋体" w:cs="Times New Roman"/>
          <w:spacing w:val="8"/>
          <w:szCs w:val="21"/>
        </w:rPr>
        <w:t>，进行服务水平的优化提高。</w:t>
      </w:r>
    </w:p>
    <w:p>
      <w:pPr>
        <w:keepNext w:val="0"/>
        <w:keepLines w:val="0"/>
        <w:pageBreakBefore w:val="0"/>
        <w:numPr>
          <w:ilvl w:val="0"/>
          <w:numId w:val="19"/>
        </w:numPr>
        <w:tabs>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有本企业的形象识别系统、服务理念、行为规范（专业着装、佩戴标志、语言规范、文明服务）、现场标识等。</w:t>
      </w:r>
    </w:p>
    <w:p>
      <w:pPr>
        <w:keepNext w:val="0"/>
        <w:keepLines w:val="0"/>
        <w:pageBreakBefore w:val="0"/>
        <w:numPr>
          <w:ilvl w:val="0"/>
          <w:numId w:val="19"/>
        </w:numPr>
        <w:tabs>
          <w:tab w:val="left" w:pos="220"/>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房屋档案、设备档案、财务管理、日常管理等运用计算机管理。</w:t>
      </w:r>
    </w:p>
    <w:p>
      <w:pPr>
        <w:keepNext w:val="0"/>
        <w:keepLines w:val="0"/>
        <w:pageBreakBefore w:val="0"/>
        <w:numPr>
          <w:ilvl w:val="0"/>
          <w:numId w:val="19"/>
        </w:numPr>
        <w:tabs>
          <w:tab w:val="left" w:pos="220"/>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建立完善的档案管理制度（物业管理设备管理档案、日常管理档案等）。</w:t>
      </w:r>
    </w:p>
    <w:p>
      <w:pPr>
        <w:keepNext w:val="0"/>
        <w:keepLines w:val="0"/>
        <w:pageBreakBefore w:val="0"/>
        <w:numPr>
          <w:ilvl w:val="0"/>
          <w:numId w:val="19"/>
        </w:numPr>
        <w:tabs>
          <w:tab w:val="left" w:pos="220"/>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建立健全的财务管理制度，依法做好财务管理工作。</w:t>
      </w:r>
    </w:p>
    <w:p>
      <w:pPr>
        <w:keepNext w:val="0"/>
        <w:keepLines w:val="0"/>
        <w:pageBreakBefore w:val="0"/>
        <w:numPr>
          <w:ilvl w:val="0"/>
          <w:numId w:val="19"/>
        </w:numPr>
        <w:tabs>
          <w:tab w:val="left" w:pos="220"/>
          <w:tab w:val="left" w:pos="64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建立各类应急预案（如含消防、抗台、防爆、群体事件等）并实施，培训相关人员达到相关要求。</w:t>
      </w:r>
    </w:p>
    <w:p>
      <w:pPr>
        <w:keepNext w:val="0"/>
        <w:keepLines w:val="0"/>
        <w:pageBreakBefore w:val="0"/>
        <w:numPr>
          <w:ilvl w:val="0"/>
          <w:numId w:val="19"/>
        </w:numPr>
        <w:tabs>
          <w:tab w:val="left" w:pos="220"/>
          <w:tab w:val="left" w:pos="630"/>
        </w:tabs>
        <w:kinsoku/>
        <w:wordWrap/>
        <w:overflowPunct/>
        <w:topLinePunct w:val="0"/>
        <w:autoSpaceDE/>
        <w:autoSpaceDN/>
        <w:bidi w:val="0"/>
        <w:spacing w:line="360" w:lineRule="auto"/>
        <w:ind w:left="5" w:firstLine="415"/>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根据物业管理内容及要求进行物业管理机构设置、资源配置、质量管理控制及制订管理方案</w:t>
      </w:r>
      <w:r>
        <w:rPr>
          <w:rFonts w:hint="eastAsia" w:eastAsia="宋体" w:cs="Times New Roman"/>
          <w:szCs w:val="21"/>
          <w:lang w:eastAsia="zh-CN"/>
        </w:rPr>
        <w:t>和组织计划</w:t>
      </w:r>
      <w:r>
        <w:rPr>
          <w:rFonts w:hint="eastAsia" w:ascii="Times New Roman" w:hAnsi="Times New Roman" w:eastAsia="宋体" w:cs="Times New Roman"/>
          <w:szCs w:val="21"/>
        </w:rPr>
        <w:t>。</w:t>
      </w:r>
    </w:p>
    <w:p>
      <w:pPr>
        <w:keepNext w:val="0"/>
        <w:keepLines w:val="0"/>
        <w:pageBreakBefore w:val="0"/>
        <w:numPr>
          <w:ilvl w:val="0"/>
          <w:numId w:val="19"/>
        </w:numPr>
        <w:tabs>
          <w:tab w:val="left" w:pos="220"/>
          <w:tab w:val="left" w:pos="630"/>
        </w:tabs>
        <w:kinsoku/>
        <w:wordWrap/>
        <w:overflowPunct/>
        <w:topLinePunct w:val="0"/>
        <w:autoSpaceDE/>
        <w:autoSpaceDN/>
        <w:bidi w:val="0"/>
        <w:spacing w:line="360" w:lineRule="auto"/>
        <w:ind w:left="5" w:firstLine="415"/>
        <w:textAlignment w:val="auto"/>
        <w:rPr>
          <w:rFonts w:hint="eastAsia"/>
        </w:rPr>
      </w:pPr>
      <w:r>
        <w:rPr>
          <w:rFonts w:hint="eastAsia" w:ascii="Times New Roman" w:hAnsi="Times New Roman" w:eastAsia="宋体" w:cs="Times New Roman"/>
          <w:szCs w:val="21"/>
        </w:rPr>
        <w:t>重大活动任务必须事先制订周密的工作计划，并严格按照计划实施。</w:t>
      </w:r>
    </w:p>
    <w:p>
      <w:pPr>
        <w:pStyle w:val="2"/>
        <w:numPr>
          <w:ilvl w:val="0"/>
          <w:numId w:val="0"/>
        </w:numPr>
        <w:tabs>
          <w:tab w:val="left" w:pos="388"/>
        </w:tabs>
        <w:ind w:firstLine="420" w:firstLineChars="200"/>
        <w:rPr>
          <w:rFonts w:hint="eastAsia" w:ascii="Times New Roman" w:eastAsia="宋体"/>
          <w:sz w:val="21"/>
          <w:szCs w:val="21"/>
          <w:lang w:val="en-US" w:eastAsia="zh-CN"/>
        </w:rPr>
      </w:pPr>
      <w:r>
        <w:rPr>
          <w:rFonts w:hint="eastAsia" w:ascii="Times New Roman" w:eastAsia="宋体"/>
          <w:sz w:val="21"/>
          <w:szCs w:val="21"/>
          <w:lang w:val="en-US" w:eastAsia="zh-CN"/>
        </w:rPr>
        <w:t>2、各项具体服务要求</w:t>
      </w:r>
    </w:p>
    <w:p>
      <w:pPr>
        <w:numPr>
          <w:ilvl w:val="0"/>
          <w:numId w:val="20"/>
        </w:numPr>
        <w:spacing w:line="360" w:lineRule="auto"/>
        <w:ind w:hanging="5"/>
        <w:rPr>
          <w:rFonts w:hint="eastAsia"/>
          <w:b/>
          <w:bCs/>
          <w:szCs w:val="21"/>
        </w:rPr>
      </w:pPr>
      <w:r>
        <w:rPr>
          <w:rFonts w:hint="eastAsia"/>
          <w:b/>
          <w:bCs/>
          <w:szCs w:val="21"/>
        </w:rPr>
        <w:t>项目负责人的工作任务</w:t>
      </w:r>
    </w:p>
    <w:p>
      <w:pPr>
        <w:numPr>
          <w:ilvl w:val="0"/>
          <w:numId w:val="21"/>
        </w:numPr>
        <w:tabs>
          <w:tab w:val="left" w:pos="420"/>
        </w:tabs>
        <w:snapToGrid w:val="0"/>
        <w:spacing w:line="360" w:lineRule="auto"/>
        <w:jc w:val="both"/>
        <w:rPr>
          <w:rFonts w:hint="eastAsia"/>
          <w:szCs w:val="21"/>
        </w:rPr>
      </w:pPr>
      <w:r>
        <w:rPr>
          <w:rFonts w:hint="eastAsia"/>
          <w:szCs w:val="21"/>
        </w:rPr>
        <w:t>负责本项目物业管理的全面工作，带领全体服务人员完成预定的目标。</w:t>
      </w:r>
    </w:p>
    <w:p>
      <w:pPr>
        <w:numPr>
          <w:ilvl w:val="0"/>
          <w:numId w:val="21"/>
        </w:numPr>
        <w:tabs>
          <w:tab w:val="left" w:pos="420"/>
        </w:tabs>
        <w:snapToGrid w:val="0"/>
        <w:spacing w:line="360" w:lineRule="auto"/>
        <w:ind w:left="0"/>
        <w:jc w:val="both"/>
        <w:rPr>
          <w:rFonts w:hint="eastAsia"/>
          <w:szCs w:val="21"/>
        </w:rPr>
      </w:pPr>
      <w:r>
        <w:rPr>
          <w:rFonts w:hint="eastAsia"/>
          <w:szCs w:val="21"/>
        </w:rPr>
        <w:t>调动本项目服务人员的积极性，加强服务人员的团结精神、公开、公平、公正地评价服务人员的工作业绩，负责在每月例会进行员工考评。</w:t>
      </w:r>
    </w:p>
    <w:p>
      <w:pPr>
        <w:numPr>
          <w:ilvl w:val="0"/>
          <w:numId w:val="21"/>
        </w:numPr>
        <w:tabs>
          <w:tab w:val="left" w:pos="420"/>
        </w:tabs>
        <w:snapToGrid w:val="0"/>
        <w:spacing w:line="360" w:lineRule="auto"/>
        <w:ind w:left="0"/>
        <w:jc w:val="both"/>
        <w:rPr>
          <w:rFonts w:hint="eastAsia"/>
          <w:szCs w:val="21"/>
        </w:rPr>
      </w:pPr>
      <w:r>
        <w:rPr>
          <w:rFonts w:hint="eastAsia"/>
          <w:szCs w:val="21"/>
        </w:rPr>
        <w:t>负责项目服务人员的协调、调配工作和督促、培训、指导，完善内部管理，使各项工作程序均达到采购人要求的品质。</w:t>
      </w:r>
    </w:p>
    <w:p>
      <w:pPr>
        <w:numPr>
          <w:ilvl w:val="0"/>
          <w:numId w:val="21"/>
        </w:numPr>
        <w:tabs>
          <w:tab w:val="left" w:pos="420"/>
        </w:tabs>
        <w:snapToGrid w:val="0"/>
        <w:spacing w:line="360" w:lineRule="auto"/>
        <w:ind w:left="0"/>
        <w:jc w:val="both"/>
        <w:rPr>
          <w:rFonts w:hint="eastAsia"/>
          <w:szCs w:val="21"/>
        </w:rPr>
      </w:pPr>
      <w:r>
        <w:rPr>
          <w:rFonts w:hint="eastAsia"/>
          <w:szCs w:val="21"/>
        </w:rPr>
        <w:t>每季度对采购人进行调查，听取意见，并对调查结果进行分析、整改。</w:t>
      </w:r>
    </w:p>
    <w:p>
      <w:pPr>
        <w:numPr>
          <w:ilvl w:val="0"/>
          <w:numId w:val="21"/>
        </w:numPr>
        <w:tabs>
          <w:tab w:val="left" w:pos="420"/>
        </w:tabs>
        <w:snapToGrid w:val="0"/>
        <w:spacing w:line="360" w:lineRule="auto"/>
        <w:ind w:left="0"/>
        <w:jc w:val="both"/>
        <w:rPr>
          <w:rFonts w:hint="eastAsia"/>
          <w:szCs w:val="21"/>
        </w:rPr>
      </w:pPr>
      <w:r>
        <w:rPr>
          <w:rFonts w:hint="eastAsia"/>
          <w:szCs w:val="21"/>
        </w:rPr>
        <w:t>每月对维修、机动人员工作量进行统计上报。</w:t>
      </w:r>
    </w:p>
    <w:p>
      <w:pPr>
        <w:numPr>
          <w:ilvl w:val="0"/>
          <w:numId w:val="21"/>
        </w:numPr>
        <w:tabs>
          <w:tab w:val="left" w:pos="420"/>
        </w:tabs>
        <w:snapToGrid w:val="0"/>
        <w:spacing w:line="360" w:lineRule="auto"/>
        <w:ind w:left="0"/>
        <w:jc w:val="both"/>
        <w:rPr>
          <w:rFonts w:hint="eastAsia"/>
          <w:szCs w:val="21"/>
        </w:rPr>
      </w:pPr>
      <w:r>
        <w:rPr>
          <w:rFonts w:hint="eastAsia"/>
          <w:szCs w:val="21"/>
        </w:rPr>
        <w:t>负责新员工的岗前培训，培训内容包括：文明服务、道德品行、节约用水用电、控烟、消防安全、院感、危化品安全、医疗废物处置等。</w:t>
      </w:r>
    </w:p>
    <w:p>
      <w:pPr>
        <w:numPr>
          <w:ilvl w:val="0"/>
          <w:numId w:val="20"/>
        </w:numPr>
        <w:spacing w:line="360" w:lineRule="auto"/>
        <w:ind w:hanging="5"/>
        <w:rPr>
          <w:rFonts w:hint="eastAsia"/>
          <w:b/>
          <w:bCs/>
          <w:szCs w:val="21"/>
        </w:rPr>
      </w:pPr>
      <w:r>
        <w:rPr>
          <w:rFonts w:hint="eastAsia"/>
          <w:b/>
          <w:bCs/>
          <w:szCs w:val="21"/>
        </w:rPr>
        <w:t>卫生保洁服务</w:t>
      </w:r>
    </w:p>
    <w:p>
      <w:pPr>
        <w:numPr>
          <w:ilvl w:val="0"/>
          <w:numId w:val="22"/>
        </w:numPr>
        <w:adjustRightInd w:val="0"/>
        <w:snapToGrid w:val="0"/>
        <w:spacing w:line="360" w:lineRule="auto"/>
        <w:ind w:hanging="5"/>
        <w:rPr>
          <w:rFonts w:hint="eastAsia" w:ascii="宋体" w:hAnsi="宋体" w:cs="宋体"/>
          <w:szCs w:val="21"/>
        </w:rPr>
      </w:pPr>
      <w:r>
        <w:rPr>
          <w:rFonts w:hint="eastAsia" w:ascii="宋体" w:hAnsi="宋体" w:cs="宋体"/>
          <w:szCs w:val="21"/>
        </w:rPr>
        <w:t>保洁要求</w:t>
      </w:r>
    </w:p>
    <w:p>
      <w:pPr>
        <w:numPr>
          <w:ilvl w:val="0"/>
          <w:numId w:val="23"/>
        </w:numPr>
        <w:tabs>
          <w:tab w:val="left" w:pos="420"/>
        </w:tabs>
        <w:snapToGrid w:val="0"/>
        <w:spacing w:line="360" w:lineRule="auto"/>
        <w:jc w:val="both"/>
        <w:rPr>
          <w:szCs w:val="21"/>
        </w:rPr>
      </w:pPr>
      <w:r>
        <w:rPr>
          <w:rFonts w:ascii="Arial" w:hAnsi="宋体" w:cs="Arial"/>
          <w:szCs w:val="21"/>
        </w:rPr>
        <w:t>投标人应根据医院各科室的特点，对院内所有大楼及周围环境提供室内外清洁服务，使其拥有一个整洁、舒适、安静、安全的诊治环境，同时</w:t>
      </w:r>
      <w:r>
        <w:rPr>
          <w:rFonts w:hint="eastAsia" w:ascii="Arial" w:hAnsi="宋体" w:cs="Arial"/>
          <w:szCs w:val="21"/>
        </w:rPr>
        <w:t>在疫情防控常态化的情况下</w:t>
      </w:r>
      <w:r>
        <w:rPr>
          <w:rFonts w:ascii="Arial" w:hAnsi="宋体" w:cs="Arial"/>
          <w:szCs w:val="21"/>
        </w:rPr>
        <w:t>针对医院的特殊环境及各个不同的服务区域制定防止交叉感染、消毒隔离制度和工作标准、作业流程。规范医疗区、办公区的保洁工作，确保卫生良好、环境整洁，符合相关保洁、消毒标准。另外，配合做好预防与隐蔽性和活动性虫害，如白蚁、消杀老鼠、蟑螂、蚊子、苍蝇等</w:t>
      </w:r>
      <w:r>
        <w:rPr>
          <w:szCs w:val="21"/>
        </w:rPr>
        <w:t>。</w:t>
      </w:r>
    </w:p>
    <w:p>
      <w:pPr>
        <w:numPr>
          <w:ilvl w:val="0"/>
          <w:numId w:val="23"/>
        </w:numPr>
        <w:tabs>
          <w:tab w:val="left" w:pos="420"/>
        </w:tabs>
        <w:snapToGrid w:val="0"/>
        <w:spacing w:line="360" w:lineRule="auto"/>
        <w:jc w:val="both"/>
        <w:rPr>
          <w:szCs w:val="21"/>
        </w:rPr>
      </w:pPr>
      <w:r>
        <w:rPr>
          <w:rFonts w:hint="eastAsia"/>
        </w:rPr>
        <w:t>严格遵守医院疫情防控规定，违法规定按我院疫情防控处罚细则进行处罚，情节严重者要求物业公司开除相关人员，并追究其法律责任</w:t>
      </w:r>
      <w:r>
        <w:rPr>
          <w:rFonts w:hint="eastAsia"/>
          <w:szCs w:val="21"/>
        </w:rPr>
        <w:t>。</w:t>
      </w:r>
    </w:p>
    <w:p>
      <w:pPr>
        <w:numPr>
          <w:ilvl w:val="0"/>
          <w:numId w:val="22"/>
        </w:numPr>
        <w:adjustRightInd w:val="0"/>
        <w:snapToGrid w:val="0"/>
        <w:spacing w:line="360" w:lineRule="auto"/>
        <w:ind w:left="5" w:firstLine="415"/>
        <w:rPr>
          <w:rFonts w:hint="eastAsia" w:ascii="宋体" w:hAnsi="宋体" w:cs="宋体"/>
          <w:szCs w:val="21"/>
        </w:rPr>
      </w:pPr>
      <w:r>
        <w:rPr>
          <w:rFonts w:hint="eastAsia" w:ascii="宋体" w:hAnsi="宋体" w:cs="宋体"/>
          <w:szCs w:val="21"/>
        </w:rPr>
        <w:t>具体服务内容：</w:t>
      </w:r>
      <w:r>
        <w:rPr>
          <w:rFonts w:ascii="Arial" w:hAnsi="宋体" w:cs="Arial"/>
          <w:szCs w:val="21"/>
        </w:rPr>
        <w:t>病房、电梯厅、通道、楼梯、卫生间、开水间、配餐房</w:t>
      </w:r>
      <w:r>
        <w:rPr>
          <w:rFonts w:hint="eastAsia" w:ascii="Arial" w:hAnsi="宋体" w:cs="Arial"/>
          <w:szCs w:val="21"/>
        </w:rPr>
        <w:t>、</w:t>
      </w:r>
      <w:r>
        <w:rPr>
          <w:rFonts w:ascii="Arial" w:hAnsi="宋体" w:cs="Arial"/>
          <w:szCs w:val="21"/>
        </w:rPr>
        <w:t>办公室、护士站、医护值班室及其他用房地面、墙面、天花板、门窗玻璃、门及门窗框，墙壁附体、办公家具、设备，普通机器（如空调表面及过滤网、电梯表面及沟槽电视机等，下同）、病床、床头柜、储衣柜、椅、凳等表面，病区推车去线条上油及规定的消毒要求，医技科室（消毒任务不多的科室）等必须严格按消毒要求清洁。</w:t>
      </w:r>
    </w:p>
    <w:p>
      <w:pPr>
        <w:numPr>
          <w:ilvl w:val="0"/>
          <w:numId w:val="24"/>
        </w:numPr>
        <w:snapToGrid w:val="0"/>
        <w:spacing w:line="360" w:lineRule="auto"/>
        <w:jc w:val="both"/>
        <w:rPr>
          <w:rFonts w:hint="eastAsia" w:ascii="宋体" w:hAnsi="宋体" w:cs="宋体"/>
          <w:szCs w:val="21"/>
        </w:rPr>
      </w:pPr>
      <w:r>
        <w:rPr>
          <w:rFonts w:ascii="Arial" w:hAnsi="宋体" w:cs="Arial"/>
          <w:szCs w:val="21"/>
        </w:rPr>
        <w:t>办公用房</w:t>
      </w:r>
      <w:r>
        <w:rPr>
          <w:rFonts w:hint="eastAsia" w:ascii="Arial" w:hAnsi="宋体" w:cs="Arial"/>
          <w:szCs w:val="21"/>
        </w:rPr>
        <w:t>的</w:t>
      </w:r>
      <w:r>
        <w:rPr>
          <w:rFonts w:ascii="Arial" w:hAnsi="宋体" w:cs="Arial"/>
          <w:szCs w:val="21"/>
        </w:rPr>
        <w:t>服务内容：办公室、楼道、楼梯、卫生间及其他用房地面、墙面、天花板、门窗玻璃、门及门窗框，墙壁附体、办公家具、设备（包括电脑、打印机、传真机等），桌面简单整理，烟缸倒灰等。</w:t>
      </w:r>
    </w:p>
    <w:p>
      <w:pPr>
        <w:numPr>
          <w:ilvl w:val="0"/>
          <w:numId w:val="24"/>
        </w:numPr>
        <w:snapToGrid w:val="0"/>
        <w:spacing w:line="360" w:lineRule="auto"/>
        <w:jc w:val="both"/>
        <w:rPr>
          <w:rFonts w:hint="eastAsia" w:ascii="宋体" w:hAnsi="宋体" w:cs="宋体"/>
          <w:szCs w:val="21"/>
        </w:rPr>
      </w:pPr>
      <w:r>
        <w:rPr>
          <w:rFonts w:ascii="Arial" w:hAnsi="宋体" w:cs="Arial"/>
          <w:szCs w:val="21"/>
        </w:rPr>
        <w:t>公共场所</w:t>
      </w:r>
      <w:r>
        <w:rPr>
          <w:rFonts w:hint="eastAsia" w:ascii="Arial" w:hAnsi="宋体" w:cs="Arial"/>
          <w:szCs w:val="21"/>
        </w:rPr>
        <w:t>（含地下室）的</w:t>
      </w:r>
      <w:r>
        <w:rPr>
          <w:rFonts w:ascii="Arial" w:hAnsi="宋体" w:cs="Arial"/>
          <w:szCs w:val="21"/>
        </w:rPr>
        <w:t>服务内容：水泥、大理石、花岗岩、水磨石地面、扶手、门窗玻璃、门及门窗框、幕玻璃，附体、候诊椅、桌子、各类宣传牌、橱窗及有关附体，天花板、栏杆、绿化区域等</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后勤保障用房</w:t>
      </w:r>
      <w:r>
        <w:rPr>
          <w:rFonts w:hint="eastAsia" w:ascii="Arial" w:hAnsi="宋体" w:cs="Arial"/>
          <w:szCs w:val="21"/>
        </w:rPr>
        <w:t>的</w:t>
      </w:r>
      <w:r>
        <w:rPr>
          <w:rFonts w:ascii="Arial" w:hAnsi="宋体" w:cs="Arial"/>
          <w:szCs w:val="21"/>
        </w:rPr>
        <w:t>服务内容：地面、墙面、天花板、门窗玻璃、门及门窗框、墙壁附体，办公家具表面、普通机器设备表面（无特殊要求的）</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顶篷、露天阳台等边缘区域，包括各幢楼的顶楼、露天阳台、边角区域等</w:t>
      </w:r>
      <w:r>
        <w:rPr>
          <w:rFonts w:hint="eastAsia" w:ascii="Arial" w:hAnsi="宋体" w:cs="Arial"/>
          <w:szCs w:val="21"/>
        </w:rPr>
        <w:t>的</w:t>
      </w:r>
      <w:r>
        <w:rPr>
          <w:rFonts w:ascii="Arial" w:hAnsi="宋体" w:cs="Arial"/>
          <w:szCs w:val="21"/>
        </w:rPr>
        <w:t>服务内容：沟槽、地面、雨篷及边角区域，各种附体的表面</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保障及医疗等设施类</w:t>
      </w:r>
      <w:r>
        <w:rPr>
          <w:rFonts w:hint="eastAsia" w:ascii="Arial" w:hAnsi="宋体" w:cs="Arial"/>
          <w:szCs w:val="21"/>
        </w:rPr>
        <w:t>的</w:t>
      </w:r>
      <w:r>
        <w:rPr>
          <w:rFonts w:ascii="Arial" w:hAnsi="宋体" w:cs="Arial"/>
          <w:szCs w:val="21"/>
        </w:rPr>
        <w:t>服务内容：一般机器表面清洁（院方有特殊规定的机器除外），消防设施、空调的过滤网际外壳洗尘与保洁</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推车轮上油</w:t>
      </w:r>
      <w:r>
        <w:rPr>
          <w:rFonts w:hint="eastAsia" w:ascii="Arial" w:hAnsi="宋体" w:cs="Arial"/>
          <w:szCs w:val="21"/>
        </w:rPr>
        <w:t>的</w:t>
      </w:r>
      <w:r>
        <w:rPr>
          <w:rFonts w:ascii="Arial" w:hAnsi="宋体" w:cs="Arial"/>
          <w:szCs w:val="21"/>
        </w:rPr>
        <w:t>服务内容：医疗区域推车轮去线条及上油</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窗帘及各类治疗桌</w:t>
      </w:r>
      <w:r>
        <w:rPr>
          <w:rFonts w:hint="eastAsia" w:ascii="Arial" w:hAnsi="宋体" w:cs="Arial"/>
          <w:szCs w:val="21"/>
        </w:rPr>
        <w:t>的</w:t>
      </w:r>
      <w:r>
        <w:rPr>
          <w:rFonts w:ascii="Arial" w:hAnsi="宋体" w:cs="Arial"/>
          <w:szCs w:val="21"/>
        </w:rPr>
        <w:t>服务内容：根据窗帘清洁情况定时拆装清洗，治疗桌擦拭、消毒，包括床单更换及清点</w:t>
      </w:r>
      <w:r>
        <w:rPr>
          <w:rFonts w:hint="eastAsia" w:ascii="宋体" w:hAnsi="宋体" w:cs="宋体"/>
          <w:szCs w:val="21"/>
        </w:rPr>
        <w:t>。</w:t>
      </w:r>
    </w:p>
    <w:p>
      <w:pPr>
        <w:numPr>
          <w:ilvl w:val="0"/>
          <w:numId w:val="24"/>
        </w:numPr>
        <w:snapToGrid w:val="0"/>
        <w:spacing w:line="360" w:lineRule="auto"/>
        <w:jc w:val="both"/>
        <w:rPr>
          <w:rFonts w:hint="eastAsia" w:ascii="宋体" w:hAnsi="宋体" w:cs="宋体"/>
          <w:szCs w:val="21"/>
        </w:rPr>
      </w:pPr>
      <w:r>
        <w:rPr>
          <w:rFonts w:ascii="Arial" w:hAnsi="宋体" w:cs="Arial"/>
          <w:szCs w:val="21"/>
        </w:rPr>
        <w:t>垃圾清运</w:t>
      </w:r>
      <w:r>
        <w:rPr>
          <w:rFonts w:hint="eastAsia" w:ascii="Arial" w:hAnsi="宋体" w:cs="Arial"/>
          <w:szCs w:val="21"/>
        </w:rPr>
        <w:t>的</w:t>
      </w:r>
      <w:r>
        <w:rPr>
          <w:rFonts w:ascii="Arial" w:hAnsi="宋体" w:cs="Arial"/>
          <w:szCs w:val="21"/>
        </w:rPr>
        <w:t>服务内容：各类垃圾运到规定的地方，再将垃圾从本院运到垃圾转运站，其中病区、卫生间无堆积垃圾。</w:t>
      </w:r>
      <w:r>
        <w:rPr>
          <w:rFonts w:hint="eastAsia" w:ascii="Arial" w:hAnsi="宋体" w:cs="Arial"/>
          <w:szCs w:val="21"/>
        </w:rPr>
        <w:t>负责</w:t>
      </w:r>
      <w:r>
        <w:rPr>
          <w:rFonts w:ascii="Arial" w:hAnsi="宋体" w:cs="Arial"/>
          <w:szCs w:val="21"/>
        </w:rPr>
        <w:t>对</w:t>
      </w:r>
      <w:r>
        <w:rPr>
          <w:rFonts w:hint="eastAsia" w:ascii="Arial" w:hAnsi="宋体" w:cs="Arial"/>
          <w:szCs w:val="21"/>
        </w:rPr>
        <w:t>垃圾</w:t>
      </w:r>
      <w:r>
        <w:rPr>
          <w:rFonts w:ascii="Arial" w:hAnsi="宋体" w:cs="Arial"/>
          <w:szCs w:val="21"/>
        </w:rPr>
        <w:t>专用器具</w:t>
      </w:r>
      <w:r>
        <w:rPr>
          <w:rFonts w:hint="eastAsia" w:ascii="Arial" w:hAnsi="宋体" w:cs="Arial"/>
          <w:szCs w:val="21"/>
        </w:rPr>
        <w:t>的</w:t>
      </w:r>
      <w:r>
        <w:rPr>
          <w:rFonts w:ascii="Arial" w:hAnsi="宋体" w:cs="Arial"/>
          <w:szCs w:val="21"/>
        </w:rPr>
        <w:t>维护</w:t>
      </w:r>
      <w:r>
        <w:rPr>
          <w:rFonts w:hint="eastAsia" w:ascii="Arial" w:hAnsi="宋体" w:cs="Arial"/>
          <w:szCs w:val="21"/>
        </w:rPr>
        <w:t>。</w:t>
      </w:r>
      <w:r>
        <w:rPr>
          <w:rFonts w:ascii="Arial" w:hAnsi="宋体" w:cs="Arial"/>
          <w:szCs w:val="21"/>
        </w:rPr>
        <w:t>垃圾处理费用由医院承担</w:t>
      </w:r>
      <w:r>
        <w:rPr>
          <w:rFonts w:hint="eastAsia" w:ascii="宋体" w:hAnsi="宋体" w:cs="宋体"/>
          <w:szCs w:val="21"/>
        </w:rPr>
        <w:t>。</w:t>
      </w:r>
    </w:p>
    <w:p>
      <w:pPr>
        <w:numPr>
          <w:ilvl w:val="0"/>
          <w:numId w:val="22"/>
        </w:numPr>
        <w:adjustRightInd w:val="0"/>
        <w:snapToGrid w:val="0"/>
        <w:spacing w:line="360" w:lineRule="auto"/>
        <w:ind w:hanging="5"/>
        <w:rPr>
          <w:rFonts w:hint="eastAsia" w:ascii="宋体" w:hAnsi="宋体" w:cs="宋体"/>
          <w:b w:val="0"/>
          <w:bCs w:val="0"/>
          <w:szCs w:val="21"/>
        </w:rPr>
      </w:pPr>
      <w:r>
        <w:rPr>
          <w:rFonts w:hint="eastAsia" w:ascii="宋体" w:hAnsi="宋体" w:cs="宋体"/>
          <w:b w:val="0"/>
          <w:bCs w:val="0"/>
          <w:szCs w:val="21"/>
        </w:rPr>
        <w:t>刷洗工作</w:t>
      </w:r>
    </w:p>
    <w:p>
      <w:pPr>
        <w:widowControl w:val="0"/>
        <w:spacing w:line="340" w:lineRule="exact"/>
        <w:ind w:firstLine="420" w:firstLineChars="200"/>
        <w:jc w:val="both"/>
        <w:rPr>
          <w:rFonts w:hint="eastAsia" w:ascii="Arial" w:hAnsi="Arial" w:cs="Arial"/>
          <w:szCs w:val="21"/>
        </w:rPr>
      </w:pPr>
      <w:r>
        <w:rPr>
          <w:rFonts w:hint="eastAsia" w:ascii="Arial" w:hAnsi="Arial" w:cs="Arial"/>
          <w:szCs w:val="21"/>
        </w:rPr>
        <w:t>清洁治疗车、仪器车轱辘上的毛发，擦拭消毒病历车和病历夹，擦拭消毒平车、轮椅。</w:t>
      </w:r>
    </w:p>
    <w:p>
      <w:pPr>
        <w:numPr>
          <w:ilvl w:val="0"/>
          <w:numId w:val="22"/>
        </w:numPr>
        <w:adjustRightInd w:val="0"/>
        <w:snapToGrid w:val="0"/>
        <w:spacing w:line="360" w:lineRule="auto"/>
        <w:ind w:hanging="5"/>
        <w:rPr>
          <w:rFonts w:hint="eastAsia" w:ascii="宋体" w:hAnsi="宋体" w:cs="宋体"/>
          <w:b w:val="0"/>
          <w:bCs w:val="0"/>
          <w:szCs w:val="21"/>
        </w:rPr>
      </w:pPr>
      <w:r>
        <w:rPr>
          <w:rFonts w:hint="eastAsia" w:ascii="宋体" w:hAnsi="宋体" w:cs="宋体"/>
          <w:b w:val="0"/>
          <w:bCs w:val="0"/>
          <w:szCs w:val="21"/>
        </w:rPr>
        <w:t>清洁标准</w:t>
      </w:r>
    </w:p>
    <w:tbl>
      <w:tblPr>
        <w:tblStyle w:val="45"/>
        <w:tblpPr w:leftFromText="180" w:rightFromText="180" w:vertAnchor="text" w:horzAnchor="page" w:tblpX="1184" w:tblpY="295"/>
        <w:tblOverlap w:val="never"/>
        <w:tblW w:w="10034"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15"/>
        <w:gridCol w:w="1694"/>
        <w:gridCol w:w="3687"/>
        <w:gridCol w:w="2113"/>
        <w:gridCol w:w="1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top"/>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b/>
                <w:sz w:val="21"/>
                <w:szCs w:val="21"/>
                <w:lang w:val="en-US" w:eastAsia="zh-CN"/>
              </w:rPr>
            </w:pPr>
            <w:r>
              <w:rPr>
                <w:rFonts w:hint="default" w:ascii="Arial" w:hAnsi="Arial" w:cs="Arial"/>
                <w:b/>
                <w:sz w:val="21"/>
                <w:szCs w:val="21"/>
                <w:lang w:val="en-US" w:eastAsia="zh-CN"/>
              </w:rPr>
              <w:t>区  域</w:t>
            </w:r>
          </w:p>
        </w:tc>
        <w:tc>
          <w:tcPr>
            <w:tcW w:w="1694" w:type="dxa"/>
            <w:vAlign w:val="top"/>
          </w:tcPr>
          <w:p>
            <w:pPr>
              <w:pStyle w:val="23"/>
              <w:keepNext w:val="0"/>
              <w:keepLines w:val="0"/>
              <w:suppressLineNumbers w:val="0"/>
              <w:tabs>
                <w:tab w:val="left" w:pos="0"/>
                <w:tab w:val="left" w:pos="540"/>
              </w:tabs>
              <w:adjustRightInd w:val="0"/>
              <w:snapToGrid w:val="0"/>
              <w:spacing w:before="156" w:beforeAutospacing="0" w:after="156" w:afterAutospacing="0"/>
              <w:ind w:left="0" w:right="0"/>
              <w:jc w:val="center"/>
              <w:rPr>
                <w:rFonts w:hint="default" w:ascii="Arial" w:hAnsi="Arial" w:cs="Arial"/>
                <w:b/>
                <w:sz w:val="21"/>
                <w:szCs w:val="21"/>
                <w:lang w:val="en-US" w:eastAsia="zh-CN"/>
              </w:rPr>
            </w:pPr>
            <w:r>
              <w:rPr>
                <w:rFonts w:hint="default" w:ascii="Arial" w:hAnsi="Arial" w:cs="Arial"/>
                <w:b/>
                <w:sz w:val="21"/>
                <w:szCs w:val="21"/>
                <w:lang w:val="en-US" w:eastAsia="zh-CN"/>
              </w:rPr>
              <w:t>保洁频率</w:t>
            </w:r>
          </w:p>
        </w:tc>
        <w:tc>
          <w:tcPr>
            <w:tcW w:w="3687" w:type="dxa"/>
            <w:vAlign w:val="top"/>
          </w:tcPr>
          <w:p>
            <w:pPr>
              <w:pStyle w:val="23"/>
              <w:keepNext w:val="0"/>
              <w:keepLines w:val="0"/>
              <w:suppressLineNumbers w:val="0"/>
              <w:tabs>
                <w:tab w:val="left" w:pos="0"/>
                <w:tab w:val="left" w:pos="540"/>
              </w:tabs>
              <w:adjustRightInd w:val="0"/>
              <w:snapToGrid w:val="0"/>
              <w:spacing w:before="156" w:beforeAutospacing="0" w:after="156" w:afterAutospacing="0"/>
              <w:ind w:left="0" w:right="0"/>
              <w:jc w:val="center"/>
              <w:rPr>
                <w:rFonts w:hint="default" w:ascii="Arial" w:hAnsi="Arial" w:cs="Arial"/>
                <w:b/>
                <w:sz w:val="21"/>
                <w:szCs w:val="21"/>
                <w:lang w:val="en-US" w:eastAsia="zh-CN"/>
              </w:rPr>
            </w:pPr>
            <w:r>
              <w:rPr>
                <w:rFonts w:hint="default" w:ascii="Arial" w:hAnsi="Arial" w:cs="Arial"/>
                <w:b/>
                <w:sz w:val="21"/>
                <w:szCs w:val="21"/>
                <w:lang w:val="en-US" w:eastAsia="zh-CN"/>
              </w:rPr>
              <w:t>保 洁 内 容</w:t>
            </w:r>
          </w:p>
        </w:tc>
        <w:tc>
          <w:tcPr>
            <w:tcW w:w="2113" w:type="dxa"/>
            <w:vAlign w:val="top"/>
          </w:tcPr>
          <w:p>
            <w:pPr>
              <w:pStyle w:val="23"/>
              <w:keepNext w:val="0"/>
              <w:keepLines w:val="0"/>
              <w:suppressLineNumbers w:val="0"/>
              <w:tabs>
                <w:tab w:val="left" w:pos="0"/>
                <w:tab w:val="left" w:pos="540"/>
              </w:tabs>
              <w:adjustRightInd w:val="0"/>
              <w:snapToGrid w:val="0"/>
              <w:spacing w:before="156" w:beforeAutospacing="0" w:after="156" w:afterAutospacing="0"/>
              <w:ind w:left="0" w:right="0"/>
              <w:jc w:val="center"/>
              <w:rPr>
                <w:rFonts w:hint="default" w:ascii="Arial" w:hAnsi="Arial" w:cs="Arial"/>
                <w:b/>
                <w:sz w:val="21"/>
                <w:szCs w:val="21"/>
                <w:lang w:val="en-US" w:eastAsia="zh-CN"/>
              </w:rPr>
            </w:pPr>
            <w:r>
              <w:rPr>
                <w:rFonts w:hint="default" w:ascii="Arial" w:hAnsi="Arial" w:cs="Arial"/>
                <w:b/>
                <w:sz w:val="21"/>
                <w:szCs w:val="21"/>
                <w:lang w:val="en-US" w:eastAsia="zh-CN"/>
              </w:rPr>
              <w:t>保 洁 要 求</w:t>
            </w:r>
          </w:p>
        </w:tc>
        <w:tc>
          <w:tcPr>
            <w:tcW w:w="1625" w:type="dxa"/>
            <w:vAlign w:val="top"/>
          </w:tcPr>
          <w:p>
            <w:pPr>
              <w:pStyle w:val="23"/>
              <w:keepNext w:val="0"/>
              <w:keepLines w:val="0"/>
              <w:suppressLineNumbers w:val="0"/>
              <w:tabs>
                <w:tab w:val="left" w:pos="0"/>
                <w:tab w:val="left" w:pos="540"/>
              </w:tabs>
              <w:adjustRightInd w:val="0"/>
              <w:snapToGrid w:val="0"/>
              <w:spacing w:before="156" w:beforeAutospacing="0" w:after="156" w:afterAutospacing="0"/>
              <w:ind w:left="0" w:right="0"/>
              <w:jc w:val="center"/>
              <w:rPr>
                <w:rFonts w:hint="default" w:ascii="Arial" w:hAnsi="Arial" w:cs="Arial"/>
                <w:b/>
                <w:sz w:val="21"/>
                <w:szCs w:val="21"/>
                <w:lang w:val="en-US" w:eastAsia="zh-CN"/>
              </w:rPr>
            </w:pPr>
            <w:r>
              <w:rPr>
                <w:rFonts w:hint="default" w:ascii="Arial" w:hAnsi="Arial" w:cs="Arial"/>
                <w:b/>
                <w:sz w:val="21"/>
                <w:szCs w:val="21"/>
                <w:lang w:val="en-US"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地面</w:t>
            </w:r>
          </w:p>
        </w:tc>
        <w:tc>
          <w:tcPr>
            <w:tcW w:w="1694"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地面每日清扫2次，每日清洗1次，有垃圾及时清理</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每日用全能清洁剂1：128稀释溶液拖地。其中一次消毒液拖地。</w:t>
            </w:r>
          </w:p>
        </w:tc>
        <w:tc>
          <w:tcPr>
            <w:tcW w:w="2113"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地面无污渍、无痰迹、无垃圾、无积灰、无脚印，干净明亮</w:t>
            </w:r>
          </w:p>
        </w:tc>
        <w:tc>
          <w:tcPr>
            <w:tcW w:w="1625"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PVC地板、花岗岩、抛光砖等地面按规定时间上蜡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墙面</w:t>
            </w:r>
          </w:p>
        </w:tc>
        <w:tc>
          <w:tcPr>
            <w:tcW w:w="1694"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每周保洁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每周清洁</w:t>
            </w:r>
          </w:p>
        </w:tc>
        <w:tc>
          <w:tcPr>
            <w:tcW w:w="2113"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无污渍、无水迹、无浮灰、无蜘蛛网</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走廊扶手</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每日用全能清洁剂1：64稀释溶液清洁，每日用消毒液1：50檫洗一次</w:t>
            </w:r>
          </w:p>
        </w:tc>
        <w:tc>
          <w:tcPr>
            <w:tcW w:w="2113"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无污渍、无浮灰、无水迹、无烟蒂</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玻璃</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专项保洁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用玻璃清洁剂1：65稀释溶液清洁玻璃，每周一次，室内玻璃循环清洁</w:t>
            </w:r>
          </w:p>
        </w:tc>
        <w:tc>
          <w:tcPr>
            <w:tcW w:w="2113" w:type="dxa"/>
            <w:vAlign w:val="center"/>
          </w:tcPr>
          <w:p>
            <w:pPr>
              <w:keepNext w:val="0"/>
              <w:keepLines w:val="0"/>
              <w:widowControl/>
              <w:suppressLineNumbers w:val="0"/>
              <w:tabs>
                <w:tab w:val="left" w:pos="0"/>
              </w:tabs>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玻璃明亮光洁，无污渍、无水迹</w:t>
            </w:r>
          </w:p>
        </w:tc>
        <w:tc>
          <w:tcPr>
            <w:tcW w:w="1625"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根据实际情况安排各房间循环清洁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卫生间</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坐便器随时保洁</w:t>
            </w:r>
          </w:p>
        </w:tc>
        <w:tc>
          <w:tcPr>
            <w:tcW w:w="3687" w:type="dxa"/>
            <w:vAlign w:val="center"/>
          </w:tcPr>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打开换气扇或窗户进行通风。</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台盆、便器等放水冲洗。</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收集垃圾、清洁垃圾桶、换新垃圾袋。</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清洗台盆及水龙头。</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用洁厕消毒液清洗便器并冲洗。</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擦拭台面和墙面四周、门等。</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擦拭地面。</w:t>
            </w:r>
          </w:p>
          <w:p>
            <w:pPr>
              <w:pStyle w:val="23"/>
              <w:keepNext w:val="0"/>
              <w:keepLines w:val="0"/>
              <w:widowControl/>
              <w:numPr>
                <w:ilvl w:val="0"/>
                <w:numId w:val="25"/>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Arial" w:hAnsi="Arial" w:cs="Arial"/>
                <w:sz w:val="21"/>
                <w:szCs w:val="21"/>
                <w:lang w:val="en-US" w:eastAsia="zh-CN"/>
              </w:rPr>
            </w:pPr>
            <w:r>
              <w:rPr>
                <w:rFonts w:hint="default" w:ascii="Times New Roman" w:hAnsi="Times New Roman" w:cs="Times New Roman"/>
                <w:sz w:val="21"/>
                <w:szCs w:val="21"/>
                <w:lang w:val="en-US" w:eastAsia="zh-CN"/>
              </w:rPr>
              <w:t>便池放置防臭垫</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随时保持畅通，无漏水，无异味、无污垢，垃圾袋定时更换</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trPr>
        <w:tc>
          <w:tcPr>
            <w:tcW w:w="915" w:type="dxa"/>
            <w:vMerge w:val="restart"/>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电梯</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每日二次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每日地面保洁，每日轿厢内消毒一次。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无障碍、无划痕、无脱落；无灰尘、无污迹</w:t>
            </w:r>
          </w:p>
        </w:tc>
        <w:tc>
          <w:tcPr>
            <w:tcW w:w="1625" w:type="dxa"/>
            <w:vMerge w:val="restart"/>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每周一次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不锈钢光亮剂全面保洁。</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均匀有光泽</w:t>
            </w:r>
          </w:p>
        </w:tc>
        <w:tc>
          <w:tcPr>
            <w:tcW w:w="1625" w:type="dxa"/>
            <w:vMerge w:val="continue"/>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公共设施</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每日用全能清洁剂1：64稀释溶液清洁一次。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无污渍，无积灰、无蜘蛛网</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病人等候区</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等候椅每日用全能清洁剂1：64稀释溶液清洁，每日用施康1：50消毒一次。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无垃圾、无浮灰、无烟蒂、无水迹</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诊察桌</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每日一次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每日1：50施康消毒擦拭一次。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无积灰、无污渍</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15" w:type="dxa"/>
            <w:vMerge w:val="restart"/>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床单位</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每日清洁一次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每日用全能清洁剂1：64稀释溶液清洁一次</w:t>
            </w:r>
          </w:p>
        </w:tc>
        <w:tc>
          <w:tcPr>
            <w:tcW w:w="2113" w:type="dxa"/>
            <w:vMerge w:val="restart"/>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无灰</w:t>
            </w:r>
          </w:p>
        </w:tc>
        <w:tc>
          <w:tcPr>
            <w:tcW w:w="1625" w:type="dxa"/>
            <w:vMerge w:val="restart"/>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出院后终末消毒</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用1：50施康擦拭床栏、床头柜、床档、凳子。</w:t>
            </w:r>
          </w:p>
        </w:tc>
        <w:tc>
          <w:tcPr>
            <w:tcW w:w="2113"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25" w:type="dxa"/>
            <w:vMerge w:val="continue"/>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输液架</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每日一次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每日用全能清洁剂1：64稀释溶液清洁一次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无灰</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推车</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每日擦拭</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每月添加润滑油</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无结灰、无异响</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吸顶灯具</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每月两次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每次用全能清洁剂1：64稀释溶液清洁一次</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无灰</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87" w:hRule="atLeast"/>
        </w:trPr>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室内公共区域</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kern w:val="2"/>
                <w:szCs w:val="21"/>
              </w:rPr>
            </w:pPr>
            <w:r>
              <w:rPr>
                <w:rFonts w:hint="default" w:ascii="Arial" w:hAnsi="Arial" w:cs="Arial"/>
                <w:kern w:val="2"/>
                <w:szCs w:val="21"/>
              </w:rPr>
              <w:t>每日一次</w:t>
            </w:r>
          </w:p>
        </w:tc>
        <w:tc>
          <w:tcPr>
            <w:tcW w:w="3687" w:type="dxa"/>
            <w:vAlign w:val="center"/>
          </w:tcPr>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收集垃圾、清洁垃圾桶、换新垃圾袋。</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清扫地面垃圾。</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拖大厅、过道、走廊地面。</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清洁户墙、厅柱、盆景。</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擦拭窗台、窗框、木门。</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擦拭楼梯扶手、拖楼梯地面。</w:t>
            </w:r>
          </w:p>
          <w:p>
            <w:pPr>
              <w:pStyle w:val="23"/>
              <w:keepNext w:val="0"/>
              <w:keepLines w:val="0"/>
              <w:widowControl/>
              <w:numPr>
                <w:ilvl w:val="0"/>
                <w:numId w:val="26"/>
              </w:numPr>
              <w:suppressLineNumbers w:val="0"/>
              <w:tabs>
                <w:tab w:val="left" w:pos="0"/>
                <w:tab w:val="left" w:pos="540"/>
              </w:tabs>
              <w:overflowPunct w:val="0"/>
              <w:autoSpaceDE w:val="0"/>
              <w:autoSpaceDN w:val="0"/>
              <w:adjustRightInd w:val="0"/>
              <w:snapToGrid w:val="0"/>
              <w:spacing w:before="156" w:beforeAutospacing="0" w:after="156" w:afterAutospacing="0"/>
              <w:ind w:left="0" w:right="0" w:firstLine="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洗手台、台面。</w:t>
            </w:r>
          </w:p>
          <w:p>
            <w:pPr>
              <w:keepNext w:val="0"/>
              <w:keepLines w:val="0"/>
              <w:widowControl/>
              <w:suppressLineNumbers w:val="0"/>
              <w:spacing w:before="0" w:beforeAutospacing="0" w:after="0" w:afterAutospacing="0"/>
              <w:ind w:left="0" w:right="0"/>
              <w:rPr>
                <w:rFonts w:hint="default" w:ascii="Arial" w:hAnsi="Arial" w:cs="Arial"/>
                <w:kern w:val="2"/>
                <w:szCs w:val="21"/>
              </w:rPr>
            </w:pPr>
            <w:r>
              <w:rPr>
                <w:rFonts w:hint="default" w:ascii="Times New Roman" w:hAnsi="Times New Roman" w:cs="Times New Roman"/>
                <w:kern w:val="2"/>
                <w:szCs w:val="21"/>
              </w:rPr>
              <w:t>8、自助机</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无垃圾、无浮灰、无烟蒂、无水迹</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8" w:hRule="atLeast"/>
        </w:trPr>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办公桌椅、电话、电脑等室内设施</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每日一次</w:t>
            </w:r>
          </w:p>
        </w:tc>
        <w:tc>
          <w:tcPr>
            <w:tcW w:w="3687" w:type="dxa"/>
            <w:vAlign w:val="center"/>
          </w:tcPr>
          <w:p>
            <w:pPr>
              <w:pStyle w:val="23"/>
              <w:keepNext w:val="0"/>
              <w:keepLines w:val="0"/>
              <w:suppressLineNumbers w:val="0"/>
              <w:tabs>
                <w:tab w:val="left" w:pos="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每日1：50施康消毒擦拭一次，烟灰缸倾倒清洗。</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无积灰、无污渍</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Merge w:val="restart"/>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外围及外环境</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循环保洁；每日清扫一次</w:t>
            </w:r>
          </w:p>
        </w:tc>
        <w:tc>
          <w:tcPr>
            <w:tcW w:w="3687"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地面清扫、不定期冲洗</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干净、无杂物树叶、无污迹、无明显泥沙</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循环保洁</w:t>
            </w:r>
          </w:p>
        </w:tc>
        <w:tc>
          <w:tcPr>
            <w:tcW w:w="3687"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绿化带清扫，收集垃圾</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干净、无杂物枯叶、无大石头</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每日及时发现及时清理</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各类明沟、雨水井、排水井清洁堵塞物。</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干净、无杂物、排水通畅</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公共设施抹擦</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干净、无灰网</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Merge w:val="continue"/>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花盆、垃圾桶抹擦、清倒</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干净、无积灰、无污迹、无杂物、无烟灰</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顶篷、露天阳台、地下室等边缘区域</w:t>
            </w:r>
          </w:p>
        </w:tc>
        <w:tc>
          <w:tcPr>
            <w:tcW w:w="1694"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每日保洁</w:t>
            </w:r>
          </w:p>
        </w:tc>
        <w:tc>
          <w:tcPr>
            <w:tcW w:w="3687" w:type="dxa"/>
            <w:vAlign w:val="center"/>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沟槽、地面、蓬面不定期清扫、冲洗，清洁堵塞物</w:t>
            </w:r>
          </w:p>
        </w:tc>
        <w:tc>
          <w:tcPr>
            <w:tcW w:w="2113" w:type="dxa"/>
            <w:vAlign w:val="center"/>
          </w:tcPr>
          <w:p>
            <w:pPr>
              <w:keepNext w:val="0"/>
              <w:keepLines w:val="0"/>
              <w:widowControl/>
              <w:suppressLineNumbers w:val="0"/>
              <w:adjustRightInd w:val="0"/>
              <w:snapToGrid w:val="0"/>
              <w:spacing w:before="0" w:beforeAutospacing="0" w:after="0" w:afterAutospacing="0"/>
              <w:ind w:left="0" w:right="0"/>
              <w:rPr>
                <w:rFonts w:hint="default" w:ascii="Arial" w:hAnsi="Arial" w:cs="Arial"/>
                <w:szCs w:val="21"/>
              </w:rPr>
            </w:pPr>
            <w:r>
              <w:rPr>
                <w:rFonts w:hint="default" w:ascii="Arial" w:hAnsi="Arial" w:cs="Arial"/>
                <w:szCs w:val="21"/>
              </w:rPr>
              <w:t>沟槽无堵塞物，地面、蓬面无污迹，无杂物堆放，边缘区域无蛛丝、脏物</w:t>
            </w:r>
          </w:p>
        </w:tc>
        <w:tc>
          <w:tcPr>
            <w:tcW w:w="1625" w:type="dxa"/>
            <w:vAlign w:val="center"/>
          </w:tcPr>
          <w:p>
            <w:pPr>
              <w:pStyle w:val="23"/>
              <w:keepNext w:val="0"/>
              <w:keepLines w:val="0"/>
              <w:suppressLineNumbers w:val="0"/>
              <w:tabs>
                <w:tab w:val="left" w:pos="0"/>
                <w:tab w:val="left" w:pos="540"/>
              </w:tabs>
              <w:adjustRightInd w:val="0"/>
              <w:snapToGrid w:val="0"/>
              <w:spacing w:before="156" w:beforeAutospacing="0" w:after="156" w:afterAutospacing="0"/>
              <w:ind w:left="0" w:right="0"/>
              <w:rPr>
                <w:rFonts w:hint="default" w:ascii="Arial" w:hAnsi="Arial" w:cs="Arial"/>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0034" w:type="dxa"/>
            <w:gridSpan w:val="5"/>
            <w:vAlign w:val="top"/>
          </w:tcPr>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随时清洁、循环清洁，保证区域内无垃圾等目视污物，整体干净明亮。</w:t>
            </w:r>
          </w:p>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sz w:val="21"/>
                <w:szCs w:val="21"/>
                <w:lang w:val="en-US" w:eastAsia="zh-CN"/>
              </w:rPr>
            </w:pPr>
            <w:r>
              <w:rPr>
                <w:rFonts w:hint="default" w:ascii="Arial" w:hAnsi="Arial" w:cs="Arial"/>
                <w:sz w:val="21"/>
                <w:szCs w:val="21"/>
                <w:lang w:val="en-US" w:eastAsia="zh-CN"/>
              </w:rPr>
              <w:t>保洁员在每天下班前半小时对各自承包区域进行自查，发现问题及时处理。</w:t>
            </w:r>
          </w:p>
          <w:p>
            <w:pPr>
              <w:pStyle w:val="23"/>
              <w:keepNext w:val="0"/>
              <w:keepLines w:val="0"/>
              <w:suppressLineNumbers w:val="0"/>
              <w:tabs>
                <w:tab w:val="left" w:pos="0"/>
                <w:tab w:val="left" w:pos="72"/>
              </w:tabs>
              <w:adjustRightInd w:val="0"/>
              <w:snapToGrid w:val="0"/>
              <w:spacing w:before="156" w:beforeAutospacing="0" w:after="156" w:afterAutospacing="0"/>
              <w:ind w:left="0" w:right="0"/>
              <w:rPr>
                <w:rFonts w:hint="default" w:ascii="Arial" w:hAnsi="Arial" w:cs="Arial"/>
                <w:lang w:val="en-US" w:eastAsia="zh-CN"/>
              </w:rPr>
            </w:pPr>
            <w:r>
              <w:rPr>
                <w:rFonts w:hint="default" w:ascii="Arial" w:hAnsi="Arial" w:cs="Arial"/>
                <w:sz w:val="21"/>
                <w:szCs w:val="21"/>
                <w:lang w:val="en-US" w:eastAsia="zh-CN"/>
              </w:rPr>
              <w:t>医院感染管理方面的其他服务内容：因上级部门文件要求或相关法律条款规定增加的服务内容。比如特殊感染或者传染病，消毒浓度需要调整；增加缓冲区、电梯厅、卫生间、核酸采集点等终末消毒等。</w:t>
            </w:r>
          </w:p>
        </w:tc>
      </w:tr>
    </w:tbl>
    <w:p>
      <w:pPr>
        <w:numPr>
          <w:ilvl w:val="0"/>
          <w:numId w:val="22"/>
        </w:numPr>
        <w:adjustRightInd w:val="0"/>
        <w:snapToGrid w:val="0"/>
        <w:spacing w:line="360" w:lineRule="auto"/>
        <w:ind w:hanging="5"/>
        <w:rPr>
          <w:rFonts w:hint="eastAsia" w:ascii="宋体" w:hAnsi="宋体" w:cs="宋体"/>
          <w:szCs w:val="21"/>
        </w:rPr>
      </w:pPr>
      <w:r>
        <w:rPr>
          <w:rFonts w:ascii="Arial" w:hAnsi="宋体" w:cs="Arial"/>
          <w:szCs w:val="21"/>
        </w:rPr>
        <w:t>院内感染控制、消毒隔离标准</w:t>
      </w:r>
      <w:r>
        <w:rPr>
          <w:rFonts w:hint="eastAsia" w:ascii="Arial" w:hAnsi="宋体" w:cs="Arial"/>
          <w:szCs w:val="21"/>
        </w:rPr>
        <w:t>：</w:t>
      </w:r>
    </w:p>
    <w:tbl>
      <w:tblPr>
        <w:tblStyle w:val="45"/>
        <w:tblW w:w="88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3093"/>
        <w:gridCol w:w="1735"/>
        <w:gridCol w:w="160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blCellSpacing w:w="0" w:type="dxa"/>
        </w:trPr>
        <w:tc>
          <w:tcPr>
            <w:tcW w:w="74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类别</w:t>
            </w:r>
          </w:p>
        </w:tc>
        <w:tc>
          <w:tcPr>
            <w:tcW w:w="3093"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范围</w:t>
            </w:r>
          </w:p>
        </w:tc>
        <w:tc>
          <w:tcPr>
            <w:tcW w:w="173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空气</w:t>
            </w:r>
          </w:p>
        </w:tc>
        <w:tc>
          <w:tcPr>
            <w:tcW w:w="1609"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物表</w:t>
            </w:r>
          </w:p>
        </w:tc>
        <w:tc>
          <w:tcPr>
            <w:tcW w:w="1667"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手指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4" w:hRule="atLeast"/>
          <w:tblCellSpacing w:w="0" w:type="dxa"/>
        </w:trPr>
        <w:tc>
          <w:tcPr>
            <w:tcW w:w="74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Ⅰ</w:t>
            </w:r>
          </w:p>
        </w:tc>
        <w:tc>
          <w:tcPr>
            <w:tcW w:w="3093"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洁净手术部（室）和其它洁净场所（如洁净骨髓移植病房）</w:t>
            </w:r>
          </w:p>
        </w:tc>
        <w:tc>
          <w:tcPr>
            <w:tcW w:w="173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≤4CFu/(30min.直径9cm平皿)</w:t>
            </w:r>
          </w:p>
        </w:tc>
        <w:tc>
          <w:tcPr>
            <w:tcW w:w="1609"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≤5.0CFu/cm2</w:t>
            </w:r>
          </w:p>
        </w:tc>
        <w:tc>
          <w:tcPr>
            <w:tcW w:w="1667" w:type="dxa"/>
            <w:vMerge w:val="restart"/>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外科手≤5.0CFu/ cm2</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p>
            <w:pPr>
              <w:keepNext w:val="0"/>
              <w:keepLines w:val="0"/>
              <w:widowControl w:val="0"/>
              <w:suppressLineNumbers w:val="0"/>
              <w:spacing w:before="0" w:beforeAutospacing="0" w:after="0" w:afterAutospacing="0"/>
              <w:ind w:left="0" w:right="0"/>
              <w:jc w:val="both"/>
              <w:rPr>
                <w:rFonts w:hint="default" w:ascii="Arial" w:hAnsi="Arial" w:cs="Arial"/>
                <w:szCs w:val="20"/>
              </w:rPr>
            </w:pP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卫生手≤10.0CFu/ cm2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6" w:hRule="atLeast"/>
          <w:tblCellSpacing w:w="0" w:type="dxa"/>
        </w:trPr>
        <w:tc>
          <w:tcPr>
            <w:tcW w:w="74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Ⅱ</w:t>
            </w:r>
          </w:p>
        </w:tc>
        <w:tc>
          <w:tcPr>
            <w:tcW w:w="3093"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非洁净手术部（室）、非洁净骨髓移植病房、产房、导管室、新生儿室、器官移植病房、烧伤病房、重症监护病房、血液病病房</w:t>
            </w:r>
          </w:p>
        </w:tc>
        <w:tc>
          <w:tcPr>
            <w:tcW w:w="173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≤4CFu/(15min.直径9cm平皿)</w:t>
            </w:r>
          </w:p>
        </w:tc>
        <w:tc>
          <w:tcPr>
            <w:tcW w:w="1609"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≤5.0CFu/ cm2</w:t>
            </w:r>
          </w:p>
        </w:tc>
        <w:tc>
          <w:tcPr>
            <w:tcW w:w="166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0" w:hRule="atLeast"/>
          <w:tblCellSpacing w:w="0" w:type="dxa"/>
        </w:trPr>
        <w:tc>
          <w:tcPr>
            <w:tcW w:w="74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Ⅲ</w:t>
            </w:r>
          </w:p>
        </w:tc>
        <w:tc>
          <w:tcPr>
            <w:tcW w:w="3093"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儿科病房、母婴同室、妇产科检查室、人流室、治疗室、注射室、换药室、输血科、消毒供应中心、血液透析中心、急诊室、化验室、各类普通病房</w:t>
            </w:r>
          </w:p>
        </w:tc>
        <w:tc>
          <w:tcPr>
            <w:tcW w:w="173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≤4CFu/(5min.直径9cm平皿)</w:t>
            </w:r>
          </w:p>
        </w:tc>
        <w:tc>
          <w:tcPr>
            <w:tcW w:w="1609"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≤10.0CFu/ cm2</w:t>
            </w:r>
          </w:p>
        </w:tc>
        <w:tc>
          <w:tcPr>
            <w:tcW w:w="166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blCellSpacing w:w="0" w:type="dxa"/>
        </w:trPr>
        <w:tc>
          <w:tcPr>
            <w:tcW w:w="74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Ⅳ</w:t>
            </w:r>
          </w:p>
        </w:tc>
        <w:tc>
          <w:tcPr>
            <w:tcW w:w="3093"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传染病科及病房</w:t>
            </w:r>
          </w:p>
        </w:tc>
        <w:tc>
          <w:tcPr>
            <w:tcW w:w="1735"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≤4CFu/(5min.直径9cm平皿)</w:t>
            </w:r>
          </w:p>
        </w:tc>
        <w:tc>
          <w:tcPr>
            <w:tcW w:w="1609" w:type="dxa"/>
            <w:vAlign w:val="center"/>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≤10.0CFu/ cm2</w:t>
            </w:r>
          </w:p>
        </w:tc>
        <w:tc>
          <w:tcPr>
            <w:tcW w:w="1667"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 w:val="24"/>
                <w:szCs w:val="20"/>
              </w:rPr>
            </w:pPr>
          </w:p>
        </w:tc>
      </w:tr>
    </w:tbl>
    <w:tbl>
      <w:tblPr>
        <w:tblStyle w:val="45"/>
        <w:tblpPr w:leftFromText="180" w:rightFromText="180" w:vertAnchor="text" w:horzAnchor="page" w:tblpX="1771" w:tblpY="274"/>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710"/>
        <w:gridCol w:w="3240"/>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5" w:type="dxa"/>
            <w:gridSpan w:val="4"/>
            <w:vAlign w:val="top"/>
          </w:tcPr>
          <w:p>
            <w:pPr>
              <w:keepNext w:val="0"/>
              <w:keepLines w:val="0"/>
              <w:widowControl w:val="0"/>
              <w:suppressLineNumbers w:val="0"/>
              <w:spacing w:before="0" w:beforeAutospacing="0" w:after="0" w:afterAutospacing="0"/>
              <w:ind w:left="0" w:right="0" w:firstLine="3162" w:firstLineChars="1500"/>
              <w:jc w:val="both"/>
              <w:rPr>
                <w:rFonts w:hint="default" w:ascii="Arial" w:hAnsi="Arial" w:cs="Arial"/>
                <w:b/>
                <w:bCs/>
                <w:szCs w:val="21"/>
              </w:rPr>
            </w:pPr>
            <w:r>
              <w:rPr>
                <w:rFonts w:hint="default" w:ascii="Arial" w:hAnsi="Arial" w:cs="Arial"/>
                <w:b/>
                <w:bCs/>
                <w:szCs w:val="21"/>
              </w:rPr>
              <w:t>环境物体表面清洁与消毒方法</w:t>
            </w:r>
          </w:p>
          <w:p>
            <w:pPr>
              <w:keepNext w:val="0"/>
              <w:keepLines w:val="0"/>
              <w:widowControl w:val="0"/>
              <w:suppressLineNumbers w:val="0"/>
              <w:spacing w:before="0" w:beforeAutospacing="0" w:after="0" w:afterAutospacing="0"/>
              <w:ind w:left="0" w:right="0"/>
              <w:jc w:val="both"/>
              <w:rPr>
                <w:rFonts w:hint="default"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床单元（床、床头柜</w:t>
            </w: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日常清水加医用清</w:t>
            </w: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1.一次性消毒湿巾</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2.含有效氯500mg/L.含氯消毒液擦拭</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.每日清洁1次</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2.污染时随时清洁消毒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设备带、呼叫器按钮</w:t>
            </w: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湿式清洁</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1.一次性消毒湿巾</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2.含有效氯500mg/L.含氯消毒液擦拭</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1次/日</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终末消毒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电脑、电话、键盘</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湿式清洁</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1.一次性消毒湿巾</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2.含有效氯500mg/L.含氯消毒液擦拭</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每班擦拭一次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共用沾具（水龙头、水池、座便器）</w:t>
            </w: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清水或加清洁剂湿式清洁</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含有效氯500mg/L.含氯消毒液擦拭</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1次/日</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污染时随时清洁消毒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公共诊疗区域物体表面</w:t>
            </w: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清水或加清洁剂湿式清洁</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1.一次性消毒湿巾</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2.含有效氯500mg/L.含氯消毒液擦拭</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3.75%乙醇</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≥2次</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污染时随时清洁消毒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布巾</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流动水清洗</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1.含有效氯 250-500mg/L含氯消毒液浸泡30min，流动水冲洗，干燥备用</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2.采取机械清洗、热力消毒、机械干燥、装箱备用。</w:t>
            </w: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洁污区域之间应更换，擦拭两个不同物表或抹布变脏时应更换，清洁剂/消毒剂禁止“二次浸泡”布巾擦拭时按照“S”型或“Z”型洗走势、已清洁区勿重复擦拭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地巾（拖把头）</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171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流动水清洗</w:t>
            </w:r>
          </w:p>
          <w:p>
            <w:pPr>
              <w:keepNext w:val="0"/>
              <w:keepLines w:val="0"/>
              <w:widowControl w:val="0"/>
              <w:suppressLineNumbers w:val="0"/>
              <w:spacing w:before="0" w:beforeAutospacing="0" w:after="0" w:afterAutospacing="0"/>
              <w:ind w:left="0" w:right="0"/>
              <w:jc w:val="both"/>
              <w:rPr>
                <w:rFonts w:hint="default" w:ascii="Arial" w:hAnsi="Arial" w:cs="Arial"/>
                <w:kern w:val="2"/>
                <w:szCs w:val="24"/>
              </w:rPr>
            </w:pPr>
          </w:p>
        </w:tc>
        <w:tc>
          <w:tcPr>
            <w:tcW w:w="3240"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1.含有效氯 250-500mg/L含氯消毒液浸泡30min，流动水冲洗，干燥备用</w:t>
            </w:r>
          </w:p>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2.采取机械清洗、热力消毒、机械干燥、装箱备用。</w:t>
            </w:r>
          </w:p>
          <w:p>
            <w:pPr>
              <w:keepNext w:val="0"/>
              <w:keepLines w:val="0"/>
              <w:widowControl w:val="0"/>
              <w:suppressLineNumbers w:val="0"/>
              <w:spacing w:before="0" w:beforeAutospacing="0" w:after="0" w:afterAutospacing="0"/>
              <w:ind w:left="0" w:right="0"/>
              <w:jc w:val="both"/>
              <w:rPr>
                <w:rFonts w:hint="default" w:ascii="Arial" w:hAnsi="Arial" w:cs="Arial"/>
                <w:szCs w:val="20"/>
              </w:rPr>
            </w:pPr>
          </w:p>
        </w:tc>
        <w:tc>
          <w:tcPr>
            <w:tcW w:w="2724" w:type="dxa"/>
            <w:vAlign w:val="top"/>
          </w:tcPr>
          <w:p>
            <w:pPr>
              <w:keepNext w:val="0"/>
              <w:keepLines w:val="0"/>
              <w:widowControl w:val="0"/>
              <w:suppressLineNumbers w:val="0"/>
              <w:spacing w:before="0" w:beforeAutospacing="0" w:after="0" w:afterAutospacing="0"/>
              <w:ind w:left="0" w:right="0"/>
              <w:jc w:val="both"/>
              <w:rPr>
                <w:rFonts w:hint="default" w:ascii="Arial" w:hAnsi="Arial" w:cs="Arial"/>
                <w:szCs w:val="20"/>
              </w:rPr>
            </w:pPr>
            <w:r>
              <w:rPr>
                <w:rFonts w:hint="default" w:ascii="Arial" w:hAnsi="Arial" w:cs="Arial"/>
                <w:szCs w:val="20"/>
              </w:rPr>
              <w:t>每个区域一个拖把</w:t>
            </w:r>
          </w:p>
          <w:p>
            <w:pPr>
              <w:keepNext w:val="0"/>
              <w:keepLines w:val="0"/>
              <w:widowControl w:val="0"/>
              <w:suppressLineNumbers w:val="0"/>
              <w:spacing w:before="0" w:beforeAutospacing="0" w:after="0" w:afterAutospacing="0"/>
              <w:ind w:left="0" w:right="0"/>
              <w:jc w:val="both"/>
              <w:rPr>
                <w:rFonts w:hint="eastAsia" w:ascii="Arial" w:hAnsi="Arial" w:eastAsia="宋体" w:cs="Arial"/>
                <w:szCs w:val="20"/>
                <w:lang w:val="en-US" w:eastAsia="zh-CN"/>
              </w:rPr>
            </w:pPr>
            <w:r>
              <w:rPr>
                <w:rFonts w:hint="default" w:ascii="Arial" w:hAnsi="Arial" w:cs="Arial"/>
                <w:szCs w:val="20"/>
              </w:rPr>
              <w:t>清洁剂/消毒剂禁止“二次浸泡</w:t>
            </w:r>
            <w:r>
              <w:rPr>
                <w:rFonts w:hint="default" w:ascii="Arial" w:hAnsi="Arial" w:cs="Arial"/>
                <w:szCs w:val="20"/>
                <w:lang w:val="en-US" w:eastAsia="zh-CN"/>
              </w:rPr>
              <w:t>”</w:t>
            </w:r>
          </w:p>
        </w:tc>
      </w:tr>
    </w:tbl>
    <w:p>
      <w:pPr>
        <w:numPr>
          <w:ilvl w:val="0"/>
          <w:numId w:val="20"/>
        </w:numPr>
        <w:spacing w:line="360" w:lineRule="auto"/>
        <w:ind w:hanging="5"/>
        <w:rPr>
          <w:rFonts w:hint="eastAsia"/>
          <w:b/>
          <w:bCs/>
          <w:szCs w:val="21"/>
        </w:rPr>
      </w:pPr>
      <w:r>
        <w:rPr>
          <w:rFonts w:hint="eastAsia"/>
          <w:b/>
          <w:bCs/>
          <w:szCs w:val="21"/>
        </w:rPr>
        <w:t>相关职责及要求</w:t>
      </w:r>
    </w:p>
    <w:p>
      <w:pPr>
        <w:numPr>
          <w:ilvl w:val="0"/>
          <w:numId w:val="27"/>
        </w:numPr>
        <w:spacing w:line="360" w:lineRule="auto"/>
        <w:jc w:val="both"/>
        <w:rPr>
          <w:rFonts w:ascii="Arial" w:hAnsi="Arial" w:cs="Arial"/>
          <w:bCs/>
          <w:szCs w:val="21"/>
        </w:rPr>
      </w:pPr>
      <w:r>
        <w:rPr>
          <w:rFonts w:ascii="Arial" w:hAnsi="Arial" w:cs="Arial"/>
          <w:bCs/>
          <w:szCs w:val="21"/>
        </w:rPr>
        <w:t>门诊保洁员岗位职责</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在部门主管的指导下严格执行自己的职责，按工作流程，工作标准和职业道德要求，服从领导，完成各室内的卫生清洁，保洁工作。</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着装整齐，佩戴胸卡，仪表端正，主动热情。</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提前上岗，做好班前准备，不迟到，不串岗，不旷工，出满勤。</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严格消毒管理，防止交叉感染，工具分类使用，分类消毒有标记。</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工作间爱护医护、病人物品，不能乱动；要节电，节水和相关耗材。</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 xml:space="preserve">清洁工作中体现人性化服务，做到四轻，求得病人的支持，重视病人感受。 </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清洁工作中做到安全防范，必要时竖立：“小心地滑“牌，注意不要伤害到病人和医务人员，做好个人的保护。</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完成职责内的日间和周间的保洁工作，并保证质量标准和规范服务。</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积极参加医院和公司部门的培训学习。</w:t>
      </w:r>
    </w:p>
    <w:p>
      <w:pPr>
        <w:numPr>
          <w:ilvl w:val="0"/>
          <w:numId w:val="2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疫情期间戴好口罩、做好个人防护。</w:t>
      </w:r>
    </w:p>
    <w:p>
      <w:pPr>
        <w:numPr>
          <w:ilvl w:val="0"/>
          <w:numId w:val="27"/>
        </w:numPr>
        <w:spacing w:line="360" w:lineRule="auto"/>
        <w:jc w:val="both"/>
        <w:rPr>
          <w:rFonts w:ascii="Arial" w:hAnsi="Arial" w:cs="Arial"/>
          <w:bCs/>
          <w:szCs w:val="21"/>
        </w:rPr>
      </w:pPr>
      <w:r>
        <w:rPr>
          <w:rFonts w:hint="eastAsia" w:ascii="Arial" w:hAnsi="Arial" w:cs="Arial"/>
          <w:bCs/>
          <w:szCs w:val="21"/>
        </w:rPr>
        <w:t>住院部</w:t>
      </w:r>
      <w:r>
        <w:rPr>
          <w:rFonts w:ascii="Arial" w:hAnsi="Arial" w:cs="Arial"/>
          <w:bCs/>
          <w:szCs w:val="21"/>
        </w:rPr>
        <w:t>保洁员岗位职责</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在部门主管的指导下严格执行自己的职责，按工作流程，工作标准和职业道德要求，服从领导，完成各室内的卫生清洁，保洁工作。</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着装整齐，佩戴胸卡，仪表端正，主动热情。</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提前上岗，做好班前准备，不迟到，不串岗，不旷工，出满勤。</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严格消毒管理，防止交叉感染，工具分类使用，分类消毒有标记。</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工作间爱护医护、病人物品，不能乱动；要节电，节水和相关耗材。</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 xml:space="preserve">清洁工作中体现人性化服务，做到四轻，求得病人的支持，重视病人感受。 </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清洁工作中做到安全防范，必要时竖立：“小心地滑“牌，注意不要伤害到病人和医务人员，做好个人的保护。</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完成职责内的日间和周间的保洁工作，并保证质量标准和规范服务。</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积极参加医院和公司部门的培训学习。</w:t>
      </w:r>
    </w:p>
    <w:p>
      <w:pPr>
        <w:numPr>
          <w:ilvl w:val="0"/>
          <w:numId w:val="2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疫情期间戴好口罩，做好个人防护，随手关好本楼层门禁。</w:t>
      </w:r>
    </w:p>
    <w:p>
      <w:pPr>
        <w:numPr>
          <w:ilvl w:val="0"/>
          <w:numId w:val="27"/>
        </w:numPr>
        <w:spacing w:line="360" w:lineRule="auto"/>
        <w:jc w:val="both"/>
        <w:rPr>
          <w:rFonts w:hint="eastAsia" w:ascii="Arial" w:hAnsi="Arial" w:cs="Arial"/>
          <w:bCs/>
          <w:szCs w:val="21"/>
        </w:rPr>
      </w:pPr>
      <w:r>
        <w:rPr>
          <w:rFonts w:hint="eastAsia" w:ascii="Arial" w:hAnsi="Arial" w:cs="Arial"/>
          <w:bCs/>
          <w:szCs w:val="21"/>
        </w:rPr>
        <w:t>发热门诊保洁员岗位职责</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在科主任、护士长的指导下严格执行自己的职责，按工作流程，工作标准和职业道德要求，服从领导，严格执行“三区两通道”，认真完成各区域内的卫生清洁，保洁工作。专门负责门诊科室的干净卫生，创造一个精良的就诊环境。</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着装整齐，佩戴胸卡，仪表端正，主动热情。提前15分钟上岗，做好班前准备，不迟到，不串岗，不旷工，出满勤，疫情期间戴好口罩，做好个人防护。</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抹布、拖把等清洁工具应严格消毒管理，防止交叉感染，清洁工具应分区域使用，分类消毒有标记。</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工作间爱护医护、病人物品，不能乱动；要节电，节水和相关耗材。</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 xml:space="preserve">清洁工作中体现人性化服务，做到四轻，求得病人的支持，重视病人感受。 </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清洁工作中做到安全防范，必要时树“小心地滑”牌，注意不要伤害到病人和医务人员，好个人的保护，完成职责内的日间和周间的保洁工作，并保证质量标准和规范服务。</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区域打扫顺序为清洁区—半污染区—污染区。各区域打扫穿着要求：清洁区作业时应穿着保洁工作服，戴医用外科口罩，清洁区打扫完毕后应穿戴隔离衣，医用外科口罩，无纺布帽，一次性鞋套、医用手套进去半污染区打扫，最后进去污染区，每个区域实行封闭式打扫。各区域应打扫完毕后一定要随手关闭门窗。</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污水池清洁时应彻底清除一切污物和污渍，进行消毒灭菌处理。有专用清洁工具。,垃圾桶应套2层黄色垃圾袋，垃圾量超过一半应及时清倒，放置垃圾袋时检查有无破口，更换垃圾袋后应清洁垃圾桶内外壁，保持卫生，洁净，干燥。</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洗手间洗手间的地面，大小便器，每天必须彻底冲刷，除掉一切污渍，进行有效灭菌处理，及时保洁。保持洗手间空气无异味，清洁洗手间工具材料应专用，清洁完毕，清洁工具应清洗干净。</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污物间要求关窗锁门管理，根据院感要求将医疗垃圾及时双层垃圾袋包裹，用扎带封口处理。在下班前将医疗垃圾和生活垃圾分类打包整理，同时做好污物房的清洁和保管。</w:t>
      </w:r>
    </w:p>
    <w:p>
      <w:pPr>
        <w:numPr>
          <w:ilvl w:val="0"/>
          <w:numId w:val="30"/>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积极参加医院和公司部门的培训学习。</w:t>
      </w:r>
    </w:p>
    <w:p>
      <w:pPr>
        <w:numPr>
          <w:ilvl w:val="0"/>
          <w:numId w:val="27"/>
        </w:numPr>
        <w:spacing w:line="360" w:lineRule="auto"/>
        <w:jc w:val="both"/>
        <w:rPr>
          <w:rFonts w:ascii="Arial" w:hAnsi="Arial" w:cs="Arial"/>
          <w:bCs/>
          <w:szCs w:val="21"/>
        </w:rPr>
      </w:pPr>
      <w:r>
        <w:rPr>
          <w:rFonts w:ascii="Arial" w:hAnsi="Arial" w:cs="Arial"/>
          <w:bCs/>
          <w:szCs w:val="21"/>
        </w:rPr>
        <w:t>手术室</w:t>
      </w:r>
      <w:r>
        <w:rPr>
          <w:rFonts w:hint="eastAsia" w:ascii="Arial" w:hAnsi="Arial" w:cs="Arial"/>
          <w:bCs/>
          <w:szCs w:val="21"/>
        </w:rPr>
        <w:t>保洁人员</w:t>
      </w:r>
      <w:r>
        <w:rPr>
          <w:rFonts w:ascii="Arial" w:hAnsi="Arial" w:cs="Arial"/>
          <w:bCs/>
          <w:szCs w:val="21"/>
        </w:rPr>
        <w:t>职责</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遵守服务规范及劳动纪律，进出手术室按规定着装，戴好口罩，坚守工作岗位。</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每日晨湿式打扫各自负责的区域，保证环境清洁、无尘。</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掌握各种消毒液的配置方法及注意事项，每日按时配置并定点放置。</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注意严格控制人员进出，防止非手术人员进入。</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每台手术结束后及时回收污染敷料及废物，做好手术间的清洁工作，感染手术按要求正确处置。</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值班人员做好夜间急诊手术的术后保洁工作，及时关闭门户。</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拖鞋每日洗净、晾干、备用，走廊每日三小拖。</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每日俩次清理更衣室，将需送洗的衣服整理好装袋并定点放置。</w:t>
      </w:r>
    </w:p>
    <w:p>
      <w:pPr>
        <w:numPr>
          <w:ilvl w:val="0"/>
          <w:numId w:val="31"/>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每周定时大扫除，保证负责区域环境一尘不染。</w:t>
      </w:r>
    </w:p>
    <w:p>
      <w:pPr>
        <w:numPr>
          <w:ilvl w:val="0"/>
          <w:numId w:val="27"/>
        </w:numPr>
        <w:spacing w:line="360" w:lineRule="auto"/>
        <w:jc w:val="both"/>
        <w:rPr>
          <w:rFonts w:ascii="Arial" w:hAnsi="Arial" w:cs="Arial"/>
          <w:bCs/>
          <w:szCs w:val="21"/>
        </w:rPr>
      </w:pPr>
      <w:r>
        <w:rPr>
          <w:rFonts w:hint="eastAsia" w:ascii="Arial" w:hAnsi="Arial" w:cs="Arial"/>
          <w:bCs/>
          <w:szCs w:val="21"/>
        </w:rPr>
        <w:t>分娩室保洁人员</w:t>
      </w:r>
      <w:r>
        <w:rPr>
          <w:rFonts w:ascii="Arial" w:hAnsi="Arial" w:cs="Arial"/>
          <w:bCs/>
          <w:szCs w:val="21"/>
        </w:rPr>
        <w:t>职责</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遵守服务规范及劳动纪律，进出分娩室按规定着装，戴好口罩，坚守工作岗位。</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每日晨湿式打扫各自负责的区域，保证环境清洁、无尘。</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掌握各种消毒液的配置方法及注意事项，每日按时配置并定点放置。</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注意严格控制人员进出。</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每台手术结束后及时回收污染敷料及废物，做好手术、分娩间的清洁工作，分娩隔离间按要求正确处置。</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值班人员做好夜间急诊手术的术后保洁工作，及时关闭门户。</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拖鞋每日洗净、晾干、备用，走廊每日三小拖。</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每日俩次清理更衣室，将需送洗的衣服整理好装袋并定点放置。</w:t>
      </w:r>
    </w:p>
    <w:p>
      <w:pPr>
        <w:numPr>
          <w:ilvl w:val="0"/>
          <w:numId w:val="32"/>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每周定时大扫除，保证负责区域环境一尘不染。</w:t>
      </w:r>
    </w:p>
    <w:p>
      <w:pPr>
        <w:numPr>
          <w:ilvl w:val="0"/>
          <w:numId w:val="27"/>
        </w:numPr>
        <w:spacing w:line="360" w:lineRule="auto"/>
        <w:jc w:val="both"/>
        <w:rPr>
          <w:rFonts w:ascii="Arial" w:hAnsi="Arial" w:cs="Arial"/>
          <w:bCs/>
          <w:szCs w:val="21"/>
        </w:rPr>
      </w:pPr>
      <w:r>
        <w:rPr>
          <w:rFonts w:hint="eastAsia" w:ascii="Arial" w:hAnsi="Arial" w:cs="Arial"/>
          <w:bCs/>
          <w:szCs w:val="21"/>
        </w:rPr>
        <w:t>新生儿保洁人员</w:t>
      </w:r>
      <w:r>
        <w:rPr>
          <w:rFonts w:ascii="Arial" w:hAnsi="Arial" w:cs="Arial"/>
          <w:bCs/>
          <w:szCs w:val="21"/>
        </w:rPr>
        <w:t>职责</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遵守服务规范及劳动纪律，进出新生儿科按规定着装，戴好口罩，坚守工作岗位。</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每日晨湿式打扫各自负责的区域，保证环境清洁、无尘。</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掌握各种消毒液的配置方法及注意事项，每日晨按时配置并定点放置。</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注意严格控制人员进出。</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拖鞋每日洗净、晾干、备用，走廊每日三小拖。</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每日俩次清理更衣室，将需送洗的衣服整理好装袋并定点放置。</w:t>
      </w:r>
    </w:p>
    <w:p>
      <w:pPr>
        <w:numPr>
          <w:ilvl w:val="0"/>
          <w:numId w:val="33"/>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每周定时大扫除，保证负责区域环境一尘不染。</w:t>
      </w:r>
    </w:p>
    <w:p>
      <w:pPr>
        <w:numPr>
          <w:ilvl w:val="0"/>
          <w:numId w:val="27"/>
        </w:numPr>
        <w:spacing w:line="360" w:lineRule="auto"/>
        <w:jc w:val="both"/>
        <w:rPr>
          <w:rFonts w:ascii="Arial" w:hAnsi="Arial" w:cs="Arial"/>
          <w:bCs/>
          <w:szCs w:val="21"/>
        </w:rPr>
      </w:pPr>
      <w:r>
        <w:rPr>
          <w:rFonts w:ascii="Arial" w:hAnsi="Arial" w:cs="Arial"/>
          <w:bCs/>
          <w:szCs w:val="21"/>
        </w:rPr>
        <w:t>供应室护工职责</w:t>
      </w:r>
    </w:p>
    <w:p>
      <w:pPr>
        <w:numPr>
          <w:ilvl w:val="0"/>
          <w:numId w:val="34"/>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负责供应室所有物品回收、清洗、发放工作。</w:t>
      </w:r>
    </w:p>
    <w:p>
      <w:pPr>
        <w:numPr>
          <w:ilvl w:val="0"/>
          <w:numId w:val="34"/>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认真核实发放物品的名称、数量，做到账物相符，发放至临床科室时做好交接工作。</w:t>
      </w:r>
    </w:p>
    <w:p>
      <w:pPr>
        <w:numPr>
          <w:ilvl w:val="0"/>
          <w:numId w:val="34"/>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在发放过程中，随时听取临床科室对消毒灭菌物品质量信息反馈，回科室及时把反馈内容告知供应室护士或护士长。</w:t>
      </w:r>
    </w:p>
    <w:p>
      <w:pPr>
        <w:numPr>
          <w:ilvl w:val="0"/>
          <w:numId w:val="34"/>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负责供应室各区域的清洁卫生，各区用物固定专用、分开放置，每日一小扫，每周一大扫，以及设备机器的清洁工作，每日清洁消毒回收下送车辆及容器，并做好记录。</w:t>
      </w:r>
    </w:p>
    <w:p>
      <w:pPr>
        <w:numPr>
          <w:ilvl w:val="0"/>
          <w:numId w:val="34"/>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严格执行消毒隔离制度、树立职业防护意识，戴好口罩，做好个人防护，确保职业安全。</w:t>
      </w:r>
    </w:p>
    <w:p>
      <w:pPr>
        <w:numPr>
          <w:ilvl w:val="0"/>
          <w:numId w:val="27"/>
        </w:numPr>
        <w:spacing w:line="360" w:lineRule="auto"/>
        <w:jc w:val="both"/>
        <w:rPr>
          <w:rFonts w:ascii="Arial" w:hAnsi="Arial" w:cs="Arial"/>
          <w:bCs/>
          <w:color w:val="000000"/>
          <w:szCs w:val="21"/>
        </w:rPr>
      </w:pPr>
      <w:r>
        <w:rPr>
          <w:rFonts w:hint="eastAsia" w:ascii="Arial" w:hAnsi="Arial" w:cs="Arial"/>
          <w:bCs/>
          <w:color w:val="000000"/>
          <w:szCs w:val="21"/>
        </w:rPr>
        <w:t>产康中心护工</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遵守服务规范及劳动纪律，着装整齐，佩戴胸卡，仪表端正，主动热情，坚守工作岗位。</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态度良好，提前上岗，做好班前准备，不迟到，不串岗，不旷工，出满勤，戴好口罩，做好个人防护。</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需要时对住院人员进行陪护以及门诊区域的挂号复查工作。</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工作间爱护医护、病人物品，不能乱动；要节电，节水和相关耗材。</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 xml:space="preserve">清洁工作中体现人性化服务，做到四轻，求得病人的支持，重视病人感受。 </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完成职责内的日间和周间的保洁工作，并保证质量标准和规范服务。</w:t>
      </w:r>
    </w:p>
    <w:p>
      <w:pPr>
        <w:numPr>
          <w:ilvl w:val="0"/>
          <w:numId w:val="35"/>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积极参加医院和公司部门的培训学习。</w:t>
      </w:r>
    </w:p>
    <w:p>
      <w:pPr>
        <w:numPr>
          <w:ilvl w:val="0"/>
          <w:numId w:val="27"/>
        </w:numPr>
        <w:spacing w:line="360" w:lineRule="auto"/>
        <w:jc w:val="both"/>
        <w:rPr>
          <w:rFonts w:ascii="Arial" w:hAnsi="Arial" w:cs="Arial"/>
          <w:bCs/>
          <w:color w:val="000000"/>
          <w:szCs w:val="21"/>
        </w:rPr>
      </w:pPr>
      <w:r>
        <w:rPr>
          <w:rFonts w:ascii="Arial" w:hAnsi="Arial" w:cs="Arial"/>
          <w:bCs/>
          <w:color w:val="000000"/>
          <w:szCs w:val="21"/>
        </w:rPr>
        <w:t>手术室护工</w:t>
      </w:r>
      <w:r>
        <w:rPr>
          <w:rFonts w:hint="eastAsia" w:ascii="Arial" w:hAnsi="Arial" w:cs="Arial"/>
          <w:bCs/>
          <w:color w:val="000000"/>
          <w:szCs w:val="21"/>
          <w:lang w:eastAsia="zh-CN"/>
        </w:rPr>
        <w:t>、</w:t>
      </w:r>
      <w:r>
        <w:rPr>
          <w:rFonts w:hint="eastAsia" w:ascii="Arial" w:hAnsi="Arial" w:cs="Arial"/>
          <w:bCs/>
          <w:color w:val="000000"/>
          <w:szCs w:val="21"/>
        </w:rPr>
        <w:t>分娩</w:t>
      </w:r>
      <w:r>
        <w:rPr>
          <w:rFonts w:ascii="Arial" w:hAnsi="Arial" w:cs="Arial"/>
          <w:bCs/>
          <w:color w:val="000000"/>
          <w:szCs w:val="21"/>
        </w:rPr>
        <w:t>室护工</w:t>
      </w:r>
      <w:r>
        <w:rPr>
          <w:rFonts w:hint="eastAsia" w:ascii="Arial" w:hAnsi="Arial" w:cs="Arial"/>
          <w:bCs/>
          <w:color w:val="000000"/>
          <w:szCs w:val="21"/>
          <w:lang w:eastAsia="zh-CN"/>
        </w:rPr>
        <w:t>、</w:t>
      </w:r>
      <w:r>
        <w:rPr>
          <w:rFonts w:hint="eastAsia" w:ascii="Arial" w:hAnsi="Arial" w:cs="Arial"/>
          <w:bCs/>
          <w:color w:val="000000"/>
          <w:szCs w:val="21"/>
        </w:rPr>
        <w:t>新生儿科</w:t>
      </w:r>
      <w:r>
        <w:rPr>
          <w:rFonts w:hint="eastAsia" w:ascii="Arial" w:hAnsi="Arial" w:cs="Arial"/>
          <w:bCs/>
          <w:color w:val="000000"/>
          <w:szCs w:val="21"/>
          <w:lang w:eastAsia="zh-CN"/>
        </w:rPr>
        <w:t>护工</w:t>
      </w:r>
      <w:r>
        <w:rPr>
          <w:rFonts w:ascii="Arial" w:hAnsi="Arial" w:cs="Arial"/>
          <w:bCs/>
          <w:color w:val="000000"/>
          <w:szCs w:val="21"/>
        </w:rPr>
        <w:t>职责</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遵守服务规范及劳动纪律，进出分娩室按规定着装，戴好口罩，做好个人防护，坚守工作岗位。</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做好门厅、交换区的清洁工作，保持环境清洁无尘。</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检查洗手衣和口罩、帽子，及时补充、添置。</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每日晨用消毒液擦拭平车，更换被套床单，如有污染立即更换，避免交叉感染，检查交平车性能，如有故障及时通知相关人员维修。</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严格执行查对制度，保证患者安全，如有疑问及时与值班护士或护士长联系。</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及时接送手术患者，接送患者时推车应轻巧稳妥，扶起车担，保证患者安全，严禁碰、撞、摔伤手术患者。</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每日按时摆放各类无菌包，做到定位归置，摆放有序。</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上班空闲期间协助申领各类物品，并定位摆置。</w:t>
      </w:r>
    </w:p>
    <w:p>
      <w:pPr>
        <w:numPr>
          <w:ilvl w:val="0"/>
          <w:numId w:val="36"/>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每周定时大扫除，保证负责区域环境一尘不染。</w:t>
      </w:r>
    </w:p>
    <w:p>
      <w:pPr>
        <w:numPr>
          <w:ilvl w:val="0"/>
          <w:numId w:val="27"/>
        </w:numPr>
        <w:spacing w:line="360" w:lineRule="auto"/>
        <w:jc w:val="both"/>
        <w:rPr>
          <w:rFonts w:hint="eastAsia" w:ascii="Arial" w:hAnsi="Arial" w:cs="Arial"/>
          <w:bCs/>
          <w:szCs w:val="21"/>
        </w:rPr>
      </w:pPr>
      <w:r>
        <w:rPr>
          <w:rFonts w:hint="eastAsia" w:ascii="Arial" w:hAnsi="Arial" w:cs="Arial"/>
          <w:bCs/>
          <w:szCs w:val="21"/>
        </w:rPr>
        <w:t>运送人员职责及要求</w:t>
      </w:r>
    </w:p>
    <w:p>
      <w:pPr>
        <w:numPr>
          <w:ilvl w:val="0"/>
          <w:numId w:val="0"/>
        </w:numPr>
        <w:tabs>
          <w:tab w:val="left" w:pos="360"/>
          <w:tab w:val="left" w:pos="420"/>
          <w:tab w:val="left" w:pos="540"/>
          <w:tab w:val="left" w:pos="640"/>
        </w:tabs>
        <w:spacing w:line="360" w:lineRule="auto"/>
        <w:ind w:leftChars="198"/>
        <w:rPr>
          <w:rFonts w:hint="eastAsia"/>
          <w:szCs w:val="21"/>
          <w:lang w:val="en-US" w:eastAsia="zh-CN"/>
        </w:rPr>
      </w:pPr>
      <w:r>
        <w:rPr>
          <w:rFonts w:hint="eastAsia"/>
          <w:szCs w:val="21"/>
          <w:lang w:val="en-US" w:eastAsia="zh-CN"/>
        </w:rPr>
        <w:t>运送服务内容如下：</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常规收送各种化验标本和单据</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临时</w:t>
      </w:r>
      <w:r>
        <w:rPr>
          <w:rFonts w:hint="eastAsia"/>
          <w:szCs w:val="21"/>
          <w:lang w:val="en-US" w:eastAsia="zh-CN"/>
        </w:rPr>
        <w:t>/</w:t>
      </w:r>
      <w:r>
        <w:rPr>
          <w:rFonts w:hint="eastAsia"/>
          <w:szCs w:val="21"/>
        </w:rPr>
        <w:t>急送各种标本和单据</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临时取化验结果</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收送会诊单</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收送检查预约单并预约</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送病人院内做检查(轮椅/平车运送)</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为病人导检（可行走病人批次运送工作）</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协助护士将病人转科或转病房</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夜间临时领药借药</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整理收集/送空盐水瓶到指定地点</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设备借用</w:t>
      </w:r>
      <w:r>
        <w:rPr>
          <w:rFonts w:hint="eastAsia"/>
          <w:szCs w:val="21"/>
          <w:lang w:eastAsia="zh-CN"/>
        </w:rPr>
        <w:t>。</w:t>
      </w:r>
    </w:p>
    <w:p>
      <w:pPr>
        <w:keepNext w:val="0"/>
        <w:keepLines w:val="0"/>
        <w:pageBreakBefore w:val="0"/>
        <w:widowControl/>
        <w:numPr>
          <w:ilvl w:val="0"/>
          <w:numId w:val="37"/>
        </w:numPr>
        <w:tabs>
          <w:tab w:val="left" w:pos="420"/>
        </w:tabs>
        <w:kinsoku/>
        <w:wordWrap/>
        <w:overflowPunct/>
        <w:topLinePunct w:val="0"/>
        <w:autoSpaceDE/>
        <w:autoSpaceDN/>
        <w:bidi w:val="0"/>
        <w:adjustRightInd/>
        <w:snapToGrid w:val="0"/>
        <w:spacing w:line="360" w:lineRule="auto"/>
        <w:jc w:val="both"/>
        <w:textAlignment w:val="auto"/>
        <w:outlineLvl w:val="9"/>
        <w:rPr>
          <w:rFonts w:hint="eastAsia"/>
          <w:szCs w:val="21"/>
        </w:rPr>
      </w:pPr>
      <w:r>
        <w:rPr>
          <w:rFonts w:hint="eastAsia"/>
          <w:szCs w:val="21"/>
        </w:rPr>
        <w:t>院方安排的其他事宜</w:t>
      </w:r>
      <w:r>
        <w:rPr>
          <w:rFonts w:hint="eastAsia"/>
          <w:szCs w:val="21"/>
          <w:lang w:eastAsia="zh-CN"/>
        </w:rPr>
        <w:t>。</w:t>
      </w:r>
    </w:p>
    <w:p>
      <w:pPr>
        <w:numPr>
          <w:ilvl w:val="0"/>
          <w:numId w:val="20"/>
        </w:numPr>
        <w:spacing w:line="360" w:lineRule="auto"/>
        <w:ind w:hanging="5"/>
        <w:rPr>
          <w:rFonts w:hint="eastAsia"/>
          <w:b/>
          <w:bCs/>
          <w:szCs w:val="21"/>
        </w:rPr>
      </w:pPr>
      <w:r>
        <w:rPr>
          <w:rFonts w:hint="eastAsia"/>
          <w:b/>
          <w:bCs/>
          <w:szCs w:val="21"/>
        </w:rPr>
        <w:t>运送服务要求：</w:t>
      </w:r>
    </w:p>
    <w:p>
      <w:pPr>
        <w:numPr>
          <w:ilvl w:val="0"/>
          <w:numId w:val="3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医院负责提供运送用工具及运送车的维修，中标人应合理调配并负责管理与保养。</w:t>
      </w:r>
    </w:p>
    <w:p>
      <w:pPr>
        <w:numPr>
          <w:ilvl w:val="0"/>
          <w:numId w:val="3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要求对运送的数据进行汇总和统计，能随时提供相应的数据，给院方的决策进行支持。</w:t>
      </w:r>
    </w:p>
    <w:p>
      <w:pPr>
        <w:numPr>
          <w:ilvl w:val="0"/>
          <w:numId w:val="38"/>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上岗员工培训通过率</w:t>
      </w:r>
      <w:r>
        <w:rPr>
          <w:rFonts w:hint="default" w:ascii="Arial" w:hAnsi="Arial" w:cs="Arial"/>
          <w:szCs w:val="21"/>
          <w:lang w:val="en-US" w:eastAsia="zh-CN"/>
        </w:rPr>
        <w:t>100%</w:t>
      </w:r>
      <w:r>
        <w:rPr>
          <w:rFonts w:hint="eastAsia"/>
          <w:szCs w:val="21"/>
          <w:lang w:val="en-US" w:eastAsia="zh-CN"/>
        </w:rPr>
        <w:t>，培训资料可查。</w:t>
      </w:r>
    </w:p>
    <w:p>
      <w:pPr>
        <w:numPr>
          <w:ilvl w:val="0"/>
          <w:numId w:val="20"/>
        </w:numPr>
        <w:spacing w:line="360" w:lineRule="auto"/>
        <w:ind w:hanging="5"/>
        <w:rPr>
          <w:rFonts w:hint="eastAsia"/>
          <w:b/>
          <w:bCs/>
          <w:szCs w:val="21"/>
        </w:rPr>
      </w:pPr>
      <w:r>
        <w:rPr>
          <w:rFonts w:hint="eastAsia"/>
          <w:b/>
          <w:bCs/>
          <w:szCs w:val="21"/>
        </w:rPr>
        <w:t>其他服务要求</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配送：除承担全院病人抬送和物资配送，还包括：文件及单据、批量物品、药品、标本、供应室物品、盐水输液、病人、影像检查要求、其他特殊运送、压缩气瓶、各种检查预约并护送单据等。</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勤杂事务：各病区收集一次性输液管及消毒，应急搬加床，抬送尸体，太平间保洁及管理等与医院工作相关的勤杂事务。</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在台风或大雨季节，如要加强抗台抗灾时及突发情况时，承包方要无条件听从院方指挥，并安排值班，费用已包括在投标价内。</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协助院方管理责任区域内的消防和防盗。</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员工服从科室安排与保证员工的稳定性，特别是医技科室、重病房护工及病区护工，不能因员工变动影响工作。</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院内增加少量护工内容，如换床单等，清洁工要兼带，不能认为是合同外的工作。</w:t>
      </w:r>
    </w:p>
    <w:p>
      <w:pPr>
        <w:numPr>
          <w:ilvl w:val="0"/>
          <w:numId w:val="39"/>
        </w:numPr>
        <w:tabs>
          <w:tab w:val="left" w:pos="360"/>
          <w:tab w:val="left" w:pos="420"/>
          <w:tab w:val="left" w:pos="540"/>
          <w:tab w:val="left" w:pos="640"/>
        </w:tabs>
        <w:spacing w:line="360" w:lineRule="auto"/>
        <w:ind w:left="15" w:leftChars="7" w:firstLine="401" w:firstLineChars="191"/>
        <w:rPr>
          <w:rFonts w:hint="eastAsia"/>
          <w:szCs w:val="21"/>
          <w:lang w:val="en-US" w:eastAsia="zh-CN"/>
        </w:rPr>
      </w:pPr>
      <w:r>
        <w:rPr>
          <w:rFonts w:hint="eastAsia"/>
          <w:szCs w:val="21"/>
          <w:lang w:val="en-US" w:eastAsia="zh-CN"/>
        </w:rPr>
        <w:t>协助医院劝烟。</w:t>
      </w:r>
    </w:p>
    <w:p>
      <w:pPr>
        <w:snapToGrid w:val="0"/>
        <w:spacing w:line="360" w:lineRule="auto"/>
        <w:ind w:firstLine="422" w:firstLineChars="175"/>
        <w:jc w:val="both"/>
        <w:rPr>
          <w:rFonts w:hint="eastAsia"/>
          <w:b/>
          <w:bCs/>
          <w:sz w:val="24"/>
          <w:szCs w:val="24"/>
        </w:rPr>
      </w:pPr>
      <w:bookmarkStart w:id="253" w:name="_Toc1029"/>
      <w:bookmarkStart w:id="254" w:name="_Toc8310"/>
      <w:r>
        <w:rPr>
          <w:rFonts w:hint="eastAsia"/>
          <w:b/>
          <w:bCs/>
          <w:sz w:val="24"/>
          <w:szCs w:val="24"/>
        </w:rPr>
        <w:t>二、其他说明</w:t>
      </w:r>
      <w:bookmarkEnd w:id="253"/>
      <w:bookmarkEnd w:id="254"/>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中标人应根据国家、省市的有关法律、法规，按照招标文件、投标文件和合同对本服务实施统一管理、综合服务、自主经营、自负盈亏。</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服务质量标准要求按三级乙等医院标准订立服务规程。投标人应制订具体的质量保证措施及质量保证及相关服务的承诺。如因质量未达到目标，中标人应因此承担责任和经济赔偿。</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中标人在与采购人签订合同后的一个星期内，应派相关人员进驻管理现场，并履行下列职责：熟悉服务区域的地理位置、环境条件、设施的配置、使用，服务区域管理用房的配置和设施配套情况。</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办理承接手续时，要与采购人交接所有与服务相关的资料和档案材料，并由双方授权代表签字。</w:t>
      </w:r>
    </w:p>
    <w:p>
      <w:pPr>
        <w:numPr>
          <w:ilvl w:val="0"/>
          <w:numId w:val="40"/>
        </w:numPr>
        <w:tabs>
          <w:tab w:val="left" w:pos="360"/>
          <w:tab w:val="left" w:pos="420"/>
          <w:tab w:val="left" w:pos="540"/>
          <w:tab w:val="left" w:pos="640"/>
        </w:tabs>
        <w:spacing w:line="360" w:lineRule="auto"/>
        <w:ind w:left="15" w:leftChars="7" w:firstLine="403" w:firstLineChars="191"/>
        <w:rPr>
          <w:rFonts w:hint="eastAsia"/>
          <w:szCs w:val="21"/>
        </w:rPr>
      </w:pPr>
      <w:r>
        <w:rPr>
          <w:rFonts w:hint="eastAsia"/>
          <w:b/>
          <w:szCs w:val="21"/>
        </w:rPr>
        <w:t>除拟派遣项目负责人外，其余服务人员具体名册投标时可先不提供，但需在签订合同前提交采购人。</w:t>
      </w:r>
      <w:r>
        <w:rPr>
          <w:rFonts w:hint="eastAsia"/>
          <w:szCs w:val="21"/>
        </w:rPr>
        <w:t>员工需聘用与采购人所需服务相适应的人员，中标人对本项目员工上岗前进行身体健康检查，保证员工身体健康能胜任本项目中规定的岗位工作。服务过程中，若采购人不满意，须无条件更换人员至采购人满意为止。</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中标人有责任配合医院接受上级领导部门的监督、检查，提供必须的资料。</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中标人的各岗位员工要统一服装，并由中标供应商负责其员工工服配备和洗涤。</w:t>
      </w:r>
    </w:p>
    <w:p>
      <w:pPr>
        <w:numPr>
          <w:ilvl w:val="0"/>
          <w:numId w:val="40"/>
        </w:numPr>
        <w:tabs>
          <w:tab w:val="left" w:pos="360"/>
          <w:tab w:val="left" w:pos="420"/>
          <w:tab w:val="left" w:pos="540"/>
          <w:tab w:val="left" w:pos="640"/>
        </w:tabs>
        <w:spacing w:line="360" w:lineRule="auto"/>
        <w:ind w:left="15" w:leftChars="7" w:firstLine="401" w:firstLineChars="191"/>
        <w:rPr>
          <w:rFonts w:hint="eastAsia"/>
          <w:color w:val="auto"/>
          <w:szCs w:val="21"/>
        </w:rPr>
      </w:pPr>
      <w:r>
        <w:rPr>
          <w:rFonts w:hint="eastAsia"/>
          <w:color w:val="auto"/>
          <w:szCs w:val="21"/>
        </w:rPr>
        <w:t>中标人提供电脑、考勤设备和打印机等办公设备</w:t>
      </w:r>
      <w:r>
        <w:rPr>
          <w:rFonts w:hint="eastAsia"/>
          <w:color w:val="auto"/>
          <w:szCs w:val="21"/>
          <w:lang w:eastAsia="zh-CN"/>
        </w:rPr>
        <w:t>。</w:t>
      </w:r>
      <w:r>
        <w:rPr>
          <w:rFonts w:hint="eastAsia"/>
          <w:color w:val="auto"/>
          <w:szCs w:val="21"/>
        </w:rPr>
        <w:t>中标人自行负责桌椅等办公家私和员工更衣柜。</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中标人提供生活垃圾袋，</w:t>
      </w:r>
      <w:r>
        <w:rPr>
          <w:rFonts w:hint="eastAsia"/>
          <w:szCs w:val="21"/>
          <w:lang w:eastAsia="zh-CN"/>
        </w:rPr>
        <w:t>要求</w:t>
      </w:r>
      <w:r>
        <w:rPr>
          <w:rFonts w:hint="eastAsia"/>
          <w:szCs w:val="21"/>
        </w:rPr>
        <w:t>质量过关并且按条款严格区分四分类颜色，其他所涉及的辅助材料及消耗材料(如扫把、拖布、水桶等)均由中标人自行承担。</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采购人负责提供(1)锐器盒；(2)空气消毒剂、保洁用消毒药剂；(3)医护人员手消毒剂；(4)运送车、平床与轮椅维</w:t>
      </w:r>
      <w:r>
        <w:rPr>
          <w:rFonts w:hint="eastAsia"/>
          <w:szCs w:val="21"/>
          <w:lang w:eastAsia="zh-CN"/>
        </w:rPr>
        <w:t>；</w:t>
      </w:r>
      <w:r>
        <w:rPr>
          <w:rFonts w:hint="eastAsia"/>
          <w:szCs w:val="21"/>
        </w:rPr>
        <w:t>(5)疫情期间所需的个人防护用品</w:t>
      </w:r>
      <w:r>
        <w:rPr>
          <w:rFonts w:hint="eastAsia"/>
          <w:szCs w:val="21"/>
          <w:lang w:eastAsia="zh-CN"/>
        </w:rPr>
        <w:t>；</w:t>
      </w:r>
      <w:r>
        <w:rPr>
          <w:rFonts w:hint="eastAsia"/>
          <w:szCs w:val="21"/>
        </w:rPr>
        <w:t>(6)医疗垃圾袋。</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采购人将提供中标人存放工具、换衣、休息及办公场所，具体面积及数量由中标人提出与采购人协商确定，在服务期限内此类场所不计租金与水电、管理费。</w:t>
      </w:r>
    </w:p>
    <w:p>
      <w:pPr>
        <w:numPr>
          <w:ilvl w:val="0"/>
          <w:numId w:val="40"/>
        </w:numPr>
        <w:tabs>
          <w:tab w:val="left" w:pos="360"/>
          <w:tab w:val="left" w:pos="420"/>
          <w:tab w:val="left" w:pos="540"/>
          <w:tab w:val="left" w:pos="640"/>
        </w:tabs>
        <w:spacing w:line="360" w:lineRule="auto"/>
        <w:ind w:left="15" w:leftChars="7" w:firstLine="401" w:firstLineChars="191"/>
        <w:rPr>
          <w:rFonts w:hint="eastAsia"/>
          <w:color w:val="auto"/>
          <w:szCs w:val="21"/>
          <w:highlight w:val="none"/>
        </w:rPr>
      </w:pPr>
      <w:r>
        <w:rPr>
          <w:rFonts w:hint="eastAsia"/>
          <w:color w:val="auto"/>
          <w:szCs w:val="21"/>
          <w:highlight w:val="none"/>
        </w:rPr>
        <w:t>中标人应积极完成采购人交办的搬运工作，正常上班期间的搬运工作不另计费用，非正常工作期间，对于额外的大宗搬运工作的，采购人另行支付加班费用。</w:t>
      </w:r>
    </w:p>
    <w:p>
      <w:pPr>
        <w:numPr>
          <w:ilvl w:val="0"/>
          <w:numId w:val="40"/>
        </w:numPr>
        <w:tabs>
          <w:tab w:val="left" w:pos="360"/>
          <w:tab w:val="left" w:pos="420"/>
          <w:tab w:val="left" w:pos="540"/>
          <w:tab w:val="left" w:pos="640"/>
        </w:tabs>
        <w:spacing w:line="360" w:lineRule="auto"/>
        <w:ind w:left="15" w:leftChars="7" w:firstLine="401" w:firstLineChars="191"/>
        <w:rPr>
          <w:szCs w:val="21"/>
        </w:rPr>
      </w:pPr>
      <w:r>
        <w:rPr>
          <w:rFonts w:hint="eastAsia"/>
          <w:color w:val="auto"/>
          <w:szCs w:val="21"/>
        </w:rPr>
        <w:t>服务区域内的各类管道疏通，工作须在</w:t>
      </w:r>
      <w:r>
        <w:rPr>
          <w:rFonts w:hint="default" w:ascii="Arial" w:hAnsi="Arial" w:cs="Arial"/>
          <w:color w:val="auto"/>
          <w:szCs w:val="21"/>
        </w:rPr>
        <w:t>1个小时内解决，中标人如无法处理须2</w:t>
      </w:r>
      <w:r>
        <w:rPr>
          <w:rFonts w:hint="default" w:ascii="Arial" w:hAnsi="Arial" w:cs="Arial"/>
          <w:szCs w:val="21"/>
        </w:rPr>
        <w:t>小时内自行联系外部专业疏通公司到场解决，由此产生的一</w:t>
      </w:r>
      <w:r>
        <w:rPr>
          <w:rFonts w:hint="eastAsia"/>
          <w:szCs w:val="21"/>
        </w:rPr>
        <w:t>切费用由中标人承担。</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中标人应保证本项目员工最低月工资不少于当年瑞安市最低月工资。若瑞安市最低保障工资及福利待遇政策调整，则院方按照政策调整支付给中标人。</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按国家相关政策为员工购买社会保险（除必须的各种社保外，还应包括第三者责任保险和员工人身意外保险）</w:t>
      </w:r>
    </w:p>
    <w:p>
      <w:pPr>
        <w:widowControl w:val="0"/>
        <w:numPr>
          <w:ilvl w:val="0"/>
          <w:numId w:val="41"/>
        </w:numPr>
        <w:spacing w:line="400" w:lineRule="exact"/>
        <w:jc w:val="both"/>
        <w:rPr>
          <w:rFonts w:ascii="宋体" w:hAnsi="宋体"/>
          <w:szCs w:val="21"/>
        </w:rPr>
      </w:pPr>
      <w:r>
        <w:rPr>
          <w:rFonts w:hint="eastAsia" w:ascii="宋体" w:hAnsi="宋体"/>
          <w:szCs w:val="21"/>
        </w:rPr>
        <w:t>第三者责任保险：中标人应为承包区域的服务的工作人员投保，以保证在承包期间人员和财产以外遭受损失时得到补偿。</w:t>
      </w:r>
    </w:p>
    <w:p>
      <w:pPr>
        <w:widowControl w:val="0"/>
        <w:numPr>
          <w:ilvl w:val="0"/>
          <w:numId w:val="41"/>
        </w:numPr>
        <w:spacing w:line="400" w:lineRule="exact"/>
        <w:jc w:val="both"/>
        <w:rPr>
          <w:rFonts w:ascii="宋体" w:hAnsi="宋体"/>
          <w:szCs w:val="21"/>
        </w:rPr>
      </w:pPr>
      <w:r>
        <w:rPr>
          <w:rFonts w:hint="eastAsia" w:ascii="宋体" w:hAnsi="宋体"/>
          <w:szCs w:val="21"/>
        </w:rPr>
        <w:t>员工人身意外保险：在承包期内，中标人应为其员工投保人身意外险，以保证采购人在中标人工作人员索偿时不受任何责任的约束。</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及其员工必须遵守采购人的一切行政管理、消防安全、病区等区域规定和制度。采购人有权对中标人员工的工作行为进行监督，如发现中标人员工有违反医院的规定和制度的行为，采购人将要求其改正，态度恶劣拒不改正的，采购人有权要求中标人予以辞退，中标人必须无条件接受。</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遇突发事件或安全检查时，中标人必须配合有关部门执行任务，并指定专职人员协助工作，直至完成。</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中标人不得以任何理由向甲方工作人员支付小费或赠送实物，不得在承包区域住宿或从事非法活动或有损甲方利益的活动。</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中标人不以任何形式转租、转让、抵押承包区域，在承包区域只从事采购人认可的服务工作。在承包期间，中标人的任何股份配置变动应通知采购人。未经采购人书面批准，任何占有支配地位的股份转让者将视为乙方出租、转让的行为。</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承包区域的各项服务工作时间必须符合及满足采购人的要求，包括周末及公众假期，都不得停止工作。</w:t>
      </w:r>
    </w:p>
    <w:p>
      <w:pPr>
        <w:numPr>
          <w:ilvl w:val="0"/>
          <w:numId w:val="40"/>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服务区内垃圾袋装收集，存放在指定地点。清卫、保洁及生活服务的工作质量按国家卫生城市和事业单位管理的有关标准严格验收。</w:t>
      </w:r>
    </w:p>
    <w:p>
      <w:pPr>
        <w:numPr>
          <w:ilvl w:val="0"/>
          <w:numId w:val="40"/>
        </w:numPr>
        <w:tabs>
          <w:tab w:val="left" w:pos="360"/>
          <w:tab w:val="left" w:pos="420"/>
          <w:tab w:val="left" w:pos="540"/>
          <w:tab w:val="left" w:pos="640"/>
        </w:tabs>
        <w:spacing w:line="360" w:lineRule="auto"/>
        <w:ind w:left="15" w:leftChars="7" w:firstLine="401" w:firstLineChars="191"/>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投标人达不到采购人要求及投标人的各项服务承诺，采购人有权要求其整改，直至扣款或终止合同。</w:t>
      </w:r>
    </w:p>
    <w:p>
      <w:pPr>
        <w:snapToGrid w:val="0"/>
        <w:spacing w:line="360" w:lineRule="auto"/>
        <w:ind w:firstLine="422" w:firstLineChars="175"/>
        <w:jc w:val="both"/>
        <w:rPr>
          <w:rFonts w:hint="eastAsia"/>
          <w:b/>
          <w:bCs/>
          <w:sz w:val="24"/>
          <w:szCs w:val="24"/>
        </w:rPr>
      </w:pPr>
      <w:r>
        <w:rPr>
          <w:rFonts w:hint="eastAsia"/>
          <w:b/>
          <w:bCs/>
          <w:sz w:val="24"/>
          <w:szCs w:val="24"/>
        </w:rPr>
        <w:t>三、商务要求</w:t>
      </w:r>
    </w:p>
    <w:p>
      <w:pPr>
        <w:numPr>
          <w:ilvl w:val="0"/>
          <w:numId w:val="42"/>
        </w:numPr>
        <w:tabs>
          <w:tab w:val="left" w:pos="360"/>
          <w:tab w:val="left" w:pos="420"/>
          <w:tab w:val="left" w:pos="540"/>
          <w:tab w:val="left" w:pos="640"/>
        </w:tabs>
        <w:spacing w:line="360" w:lineRule="auto"/>
        <w:ind w:left="15" w:leftChars="7" w:firstLine="401" w:firstLineChars="191"/>
        <w:rPr>
          <w:rFonts w:hint="eastAsia"/>
          <w:szCs w:val="21"/>
        </w:rPr>
      </w:pPr>
      <w:r>
        <w:rPr>
          <w:rFonts w:hint="eastAsia"/>
          <w:color w:val="auto"/>
          <w:szCs w:val="21"/>
          <w:lang w:val="en-US" w:eastAsia="zh-CN"/>
        </w:rPr>
        <w:t>本项目服务费采用固定综合单价报价</w:t>
      </w:r>
      <w:r>
        <w:rPr>
          <w:rFonts w:hint="eastAsia"/>
          <w:color w:val="auto"/>
          <w:szCs w:val="21"/>
        </w:rPr>
        <w:t>，</w:t>
      </w:r>
      <w:r>
        <w:rPr>
          <w:rFonts w:hint="eastAsia"/>
          <w:color w:val="auto"/>
          <w:szCs w:val="21"/>
          <w:lang w:val="en-US" w:eastAsia="zh-CN"/>
        </w:rPr>
        <w:t>包括</w:t>
      </w:r>
      <w:r>
        <w:rPr>
          <w:rFonts w:hint="eastAsia"/>
          <w:color w:val="auto"/>
          <w:szCs w:val="21"/>
        </w:rPr>
        <w:t>人工费（人员工资、双休日及法定节假日加班、奖金及社保费）、食宿与交通、服装、安全、仓储、</w:t>
      </w:r>
      <w:r>
        <w:rPr>
          <w:rFonts w:hint="eastAsia"/>
          <w:color w:val="auto"/>
          <w:szCs w:val="21"/>
          <w:shd w:val="clear" w:color="auto" w:fill="auto"/>
          <w:lang w:eastAsia="zh-CN"/>
        </w:rPr>
        <w:t>搬运、管道疏通</w:t>
      </w:r>
      <w:r>
        <w:rPr>
          <w:rFonts w:hint="eastAsia"/>
          <w:color w:val="auto"/>
          <w:szCs w:val="21"/>
          <w:lang w:eastAsia="zh-CN"/>
        </w:rPr>
        <w:t>、</w:t>
      </w:r>
      <w:r>
        <w:rPr>
          <w:rFonts w:hint="eastAsia"/>
          <w:color w:val="auto"/>
          <w:szCs w:val="21"/>
        </w:rPr>
        <w:t>工具材料费、</w:t>
      </w:r>
      <w:r>
        <w:rPr>
          <w:rFonts w:hint="eastAsia"/>
          <w:color w:val="auto"/>
          <w:szCs w:val="21"/>
          <w:lang w:val="en-US" w:eastAsia="zh-CN"/>
        </w:rPr>
        <w:t>保洁耗材费</w:t>
      </w:r>
      <w:r>
        <w:rPr>
          <w:rFonts w:hint="eastAsia"/>
          <w:color w:val="auto"/>
          <w:szCs w:val="21"/>
        </w:rPr>
        <w:t>、管理费用、税费、利润、完成合同所需的一切本身和不可或缺的所有工作开支、政策性文件规定</w:t>
      </w:r>
      <w:r>
        <w:rPr>
          <w:rFonts w:hint="eastAsia"/>
          <w:color w:val="auto"/>
          <w:szCs w:val="21"/>
          <w:lang w:val="en-US" w:eastAsia="zh-CN"/>
        </w:rPr>
        <w:t>及</w:t>
      </w:r>
      <w:r>
        <w:rPr>
          <w:rFonts w:hint="eastAsia"/>
          <w:color w:val="auto"/>
          <w:szCs w:val="21"/>
        </w:rPr>
        <w:t>合同包含的所</w:t>
      </w:r>
      <w:r>
        <w:rPr>
          <w:rFonts w:hint="eastAsia"/>
          <w:szCs w:val="21"/>
        </w:rPr>
        <w:t>有风险、责任等各项全部费用。</w:t>
      </w:r>
    </w:p>
    <w:p>
      <w:pPr>
        <w:numPr>
          <w:ilvl w:val="0"/>
          <w:numId w:val="42"/>
        </w:numPr>
        <w:tabs>
          <w:tab w:val="left" w:pos="360"/>
          <w:tab w:val="left" w:pos="420"/>
          <w:tab w:val="left" w:pos="540"/>
          <w:tab w:val="left" w:pos="640"/>
        </w:tabs>
        <w:spacing w:line="360" w:lineRule="auto"/>
        <w:ind w:left="15" w:leftChars="7" w:firstLine="403" w:firstLineChars="191"/>
        <w:rPr>
          <w:rFonts w:hint="eastAsia"/>
          <w:szCs w:val="21"/>
        </w:rPr>
      </w:pPr>
      <w:r>
        <w:rPr>
          <w:rFonts w:hint="eastAsia"/>
          <w:b/>
          <w:szCs w:val="21"/>
        </w:rPr>
        <w:t>本项目</w:t>
      </w:r>
      <w:r>
        <w:rPr>
          <w:rFonts w:hint="eastAsia"/>
          <w:b/>
          <w:szCs w:val="21"/>
          <w:lang w:eastAsia="zh-CN"/>
        </w:rPr>
        <w:t>固定综合单价</w:t>
      </w:r>
      <w:r>
        <w:rPr>
          <w:rFonts w:hint="eastAsia"/>
          <w:b/>
          <w:szCs w:val="21"/>
        </w:rPr>
        <w:t>最高限价为</w:t>
      </w:r>
      <w:r>
        <w:rPr>
          <w:rFonts w:hint="default" w:ascii="Arial" w:hAnsi="Arial" w:cs="Arial"/>
          <w:b/>
          <w:szCs w:val="21"/>
        </w:rPr>
        <w:t>3820.3</w:t>
      </w:r>
      <w:r>
        <w:rPr>
          <w:rFonts w:hint="eastAsia"/>
          <w:b/>
          <w:szCs w:val="21"/>
        </w:rPr>
        <w:t>元/人·月，报价超过</w:t>
      </w:r>
      <w:r>
        <w:rPr>
          <w:rFonts w:hint="eastAsia"/>
          <w:b/>
          <w:szCs w:val="21"/>
          <w:lang w:eastAsia="zh-CN"/>
        </w:rPr>
        <w:t>固定综合单价</w:t>
      </w:r>
      <w:r>
        <w:rPr>
          <w:rFonts w:hint="eastAsia"/>
          <w:b/>
          <w:szCs w:val="21"/>
        </w:rPr>
        <w:t>最高限价的将作无效标处理。</w:t>
      </w:r>
      <w:r>
        <w:rPr>
          <w:rFonts w:hint="eastAsia"/>
          <w:szCs w:val="21"/>
        </w:rPr>
        <w:t>服务费由采购人按月支付。采购人</w:t>
      </w:r>
      <w:r>
        <w:rPr>
          <w:szCs w:val="21"/>
        </w:rPr>
        <w:t>将根据实际需要对相关人员需求的数量进行调配，中标人应无条件按要求配备，</w:t>
      </w:r>
      <w:r>
        <w:rPr>
          <w:rFonts w:hint="eastAsia"/>
          <w:szCs w:val="21"/>
        </w:rPr>
        <w:t>每月</w:t>
      </w:r>
      <w:r>
        <w:rPr>
          <w:szCs w:val="21"/>
        </w:rPr>
        <w:t>根据实际</w:t>
      </w:r>
      <w:r>
        <w:rPr>
          <w:rFonts w:hint="eastAsia"/>
          <w:szCs w:val="21"/>
        </w:rPr>
        <w:t>服务人员</w:t>
      </w:r>
      <w:r>
        <w:rPr>
          <w:szCs w:val="21"/>
        </w:rPr>
        <w:t>数量</w:t>
      </w:r>
      <w:r>
        <w:rPr>
          <w:rFonts w:hint="eastAsia"/>
          <w:szCs w:val="21"/>
        </w:rPr>
        <w:t>乘以中标固定综合单价</w:t>
      </w:r>
      <w:r>
        <w:rPr>
          <w:szCs w:val="21"/>
        </w:rPr>
        <w:t>结算服务费。</w:t>
      </w:r>
    </w:p>
    <w:p>
      <w:pPr>
        <w:numPr>
          <w:ilvl w:val="0"/>
          <w:numId w:val="42"/>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▲服务期限：二年（</w:t>
      </w:r>
      <w:r>
        <w:rPr>
          <w:rFonts w:hint="default" w:ascii="Arial" w:hAnsi="Arial" w:cs="Arial"/>
          <w:szCs w:val="21"/>
        </w:rPr>
        <w:t>24个月）。合同一年一签，一年合同期满后，中标人的服务达到采购人的考核标准（月考核平均得分达到</w:t>
      </w:r>
      <w:r>
        <w:rPr>
          <w:rFonts w:hint="default" w:ascii="Arial" w:hAnsi="Arial" w:cs="Arial"/>
          <w:szCs w:val="21"/>
          <w:lang w:val="en-US" w:eastAsia="zh-CN"/>
        </w:rPr>
        <w:t>85</w:t>
      </w:r>
      <w:r>
        <w:rPr>
          <w:rFonts w:hint="default" w:ascii="Arial" w:hAnsi="Arial" w:cs="Arial"/>
          <w:szCs w:val="21"/>
        </w:rPr>
        <w:t>分</w:t>
      </w:r>
      <w:r>
        <w:rPr>
          <w:rFonts w:hint="default" w:ascii="Arial" w:hAnsi="Arial" w:cs="Arial"/>
          <w:szCs w:val="21"/>
          <w:lang w:eastAsia="zh-CN"/>
        </w:rPr>
        <w:t>（</w:t>
      </w:r>
      <w:r>
        <w:rPr>
          <w:rFonts w:hint="default" w:ascii="Arial" w:hAnsi="Arial" w:cs="Arial"/>
          <w:szCs w:val="21"/>
          <w:lang w:val="en-US" w:eastAsia="zh-CN"/>
        </w:rPr>
        <w:t>含</w:t>
      </w:r>
      <w:r>
        <w:rPr>
          <w:rFonts w:hint="default" w:ascii="Arial" w:hAnsi="Arial" w:cs="Arial"/>
          <w:szCs w:val="21"/>
          <w:lang w:eastAsia="zh-CN"/>
        </w:rPr>
        <w:t>）</w:t>
      </w:r>
      <w:r>
        <w:rPr>
          <w:rFonts w:hint="default" w:ascii="Arial" w:hAnsi="Arial" w:cs="Arial"/>
          <w:szCs w:val="21"/>
          <w:lang w:val="en-US" w:eastAsia="zh-CN"/>
        </w:rPr>
        <w:t>以上</w:t>
      </w:r>
      <w:r>
        <w:rPr>
          <w:rFonts w:hint="default" w:ascii="Arial" w:hAnsi="Arial" w:cs="Arial"/>
          <w:szCs w:val="21"/>
        </w:rPr>
        <w:t>），结合实际情况可再续签下一年合同，若中标人有违约行为，或服务质量未达到标准，</w:t>
      </w:r>
      <w:r>
        <w:rPr>
          <w:rFonts w:hint="default" w:ascii="Arial" w:hAnsi="Arial" w:cs="Arial"/>
          <w:color w:val="auto"/>
          <w:szCs w:val="21"/>
        </w:rPr>
        <w:t>采</w:t>
      </w:r>
      <w:r>
        <w:rPr>
          <w:rFonts w:hint="eastAsia"/>
          <w:color w:val="auto"/>
          <w:szCs w:val="21"/>
        </w:rPr>
        <w:t>购人有权单方解除合</w:t>
      </w:r>
      <w:r>
        <w:rPr>
          <w:rFonts w:hint="eastAsia"/>
          <w:szCs w:val="21"/>
        </w:rPr>
        <w:t>同或不续签下一年合同。</w:t>
      </w:r>
    </w:p>
    <w:p>
      <w:pPr>
        <w:numPr>
          <w:ilvl w:val="0"/>
          <w:numId w:val="42"/>
        </w:numPr>
        <w:tabs>
          <w:tab w:val="left" w:pos="360"/>
          <w:tab w:val="left" w:pos="420"/>
          <w:tab w:val="left" w:pos="540"/>
          <w:tab w:val="left" w:pos="640"/>
        </w:tabs>
        <w:spacing w:line="360" w:lineRule="auto"/>
        <w:ind w:left="15" w:leftChars="7" w:firstLine="401" w:firstLineChars="191"/>
        <w:rPr>
          <w:rFonts w:hint="eastAsia"/>
          <w:color w:val="auto"/>
          <w:szCs w:val="21"/>
        </w:rPr>
      </w:pPr>
      <w:r>
        <w:rPr>
          <w:rFonts w:hint="eastAsia"/>
          <w:color w:val="auto"/>
          <w:szCs w:val="21"/>
        </w:rPr>
        <w:t>采购人督查时若发现无故（无正当理由或无书面出具原因）缺岗</w:t>
      </w:r>
      <w:r>
        <w:rPr>
          <w:rFonts w:hint="default" w:ascii="Arial" w:hAnsi="Arial" w:cs="Arial"/>
          <w:color w:val="auto"/>
          <w:szCs w:val="21"/>
        </w:rPr>
        <w:t>人员大于5%的，采购人将扣除缺岗人员当月服务费。未经过采购人同意擅自减少服务人员的，</w:t>
      </w:r>
      <w:r>
        <w:rPr>
          <w:rFonts w:hint="eastAsia"/>
          <w:color w:val="auto"/>
          <w:szCs w:val="21"/>
        </w:rPr>
        <w:t>采购人有权收回缺位人员工资及所有费用并终止采购合同，保留向违规供应商进一步索赔的权利。</w:t>
      </w:r>
    </w:p>
    <w:p>
      <w:pPr>
        <w:numPr>
          <w:ilvl w:val="0"/>
          <w:numId w:val="42"/>
        </w:numPr>
        <w:tabs>
          <w:tab w:val="left" w:pos="360"/>
          <w:tab w:val="left" w:pos="420"/>
          <w:tab w:val="left" w:pos="540"/>
          <w:tab w:val="left" w:pos="640"/>
        </w:tabs>
        <w:spacing w:line="360" w:lineRule="auto"/>
        <w:ind w:left="15" w:leftChars="7" w:firstLine="401" w:firstLineChars="191"/>
        <w:rPr>
          <w:rFonts w:hint="eastAsia"/>
          <w:color w:val="auto"/>
          <w:szCs w:val="21"/>
        </w:rPr>
      </w:pPr>
      <w:r>
        <w:rPr>
          <w:rFonts w:hint="eastAsia"/>
          <w:color w:val="auto"/>
          <w:szCs w:val="21"/>
        </w:rPr>
        <w:t>付款方式：</w:t>
      </w:r>
    </w:p>
    <w:p>
      <w:pPr>
        <w:tabs>
          <w:tab w:val="left" w:pos="360"/>
          <w:tab w:val="left" w:pos="420"/>
          <w:tab w:val="left" w:pos="540"/>
          <w:tab w:val="left" w:pos="640"/>
        </w:tabs>
        <w:spacing w:line="360" w:lineRule="auto"/>
        <w:ind w:left="15" w:leftChars="7" w:firstLine="210" w:firstLineChars="100"/>
        <w:rPr>
          <w:rFonts w:hint="eastAsia" w:eastAsia="宋体"/>
          <w:color w:val="auto"/>
          <w:szCs w:val="21"/>
          <w:lang w:eastAsia="zh-CN"/>
        </w:rPr>
      </w:pPr>
      <w:r>
        <w:rPr>
          <w:rFonts w:hint="eastAsia" w:ascii="宋体" w:hAnsi="宋体"/>
          <w:color w:val="auto"/>
          <w:szCs w:val="21"/>
        </w:rPr>
        <w:t>（</w:t>
      </w:r>
      <w:r>
        <w:rPr>
          <w:rFonts w:hint="default" w:ascii="Times New Roman" w:hAnsi="Times New Roman" w:cs="Times New Roman"/>
          <w:color w:val="auto"/>
          <w:szCs w:val="21"/>
        </w:rPr>
        <w:t>1</w:t>
      </w:r>
      <w:r>
        <w:rPr>
          <w:rFonts w:hint="eastAsia" w:ascii="宋体" w:hAnsi="宋体"/>
          <w:color w:val="auto"/>
          <w:szCs w:val="21"/>
        </w:rPr>
        <w:t>）合同生效后</w:t>
      </w:r>
      <w:r>
        <w:rPr>
          <w:rFonts w:hint="default" w:ascii="Arial" w:hAnsi="Arial" w:cs="Arial"/>
          <w:color w:val="auto"/>
          <w:szCs w:val="21"/>
        </w:rPr>
        <w:t>15日内，采购人向中标人支付合同金额的10%作为预付款</w:t>
      </w:r>
      <w:r>
        <w:rPr>
          <w:rFonts w:hint="default" w:ascii="Arial" w:hAnsi="Arial" w:cs="Arial"/>
          <w:bCs/>
          <w:color w:val="auto"/>
          <w:szCs w:val="21"/>
        </w:rPr>
        <w:t>（针对中小企业的付款条件为：合同生效后10日内，采购人预付合同金额的15%）</w:t>
      </w:r>
      <w:r>
        <w:rPr>
          <w:rFonts w:hint="default" w:ascii="Arial" w:hAnsi="Arial" w:cs="Arial"/>
          <w:color w:val="auto"/>
          <w:szCs w:val="21"/>
        </w:rPr>
        <w:t>，在支付每月服务费时扣回，全部扣回后，再按期支付服务费。</w:t>
      </w:r>
      <w:r>
        <w:rPr>
          <w:rFonts w:hint="default" w:ascii="Arial" w:hAnsi="Arial" w:cs="Arial"/>
          <w:b w:val="0"/>
          <w:bCs/>
          <w:color w:val="auto"/>
          <w:szCs w:val="21"/>
        </w:rPr>
        <w:t>（</w:t>
      </w:r>
      <w:r>
        <w:rPr>
          <w:rFonts w:hint="default" w:ascii="Arial" w:hAnsi="Arial" w:cs="Arial"/>
          <w:color w:val="auto"/>
          <w:szCs w:val="21"/>
        </w:rPr>
        <w:t>根据浙财采监[2020]3号文件执行</w:t>
      </w:r>
      <w:r>
        <w:rPr>
          <w:rFonts w:hint="default" w:ascii="Arial" w:hAnsi="Arial" w:cs="Arial"/>
          <w:color w:val="auto"/>
          <w:szCs w:val="21"/>
          <w:lang w:eastAsia="zh-CN"/>
        </w:rPr>
        <w:t>，</w:t>
      </w:r>
      <w:r>
        <w:rPr>
          <w:rFonts w:hint="default" w:ascii="Arial" w:hAnsi="Arial" w:cs="Arial"/>
          <w:color w:val="auto"/>
          <w:szCs w:val="21"/>
        </w:rPr>
        <w:t>在签订合同时，中标人明确表示无需预付款或者主动要求降低预付款比例的，采</w:t>
      </w:r>
      <w:r>
        <w:rPr>
          <w:rFonts w:hint="eastAsia" w:ascii="宋体" w:hAnsi="宋体" w:cs="宋体"/>
          <w:color w:val="auto"/>
          <w:szCs w:val="21"/>
        </w:rPr>
        <w:t>购人可自行确定预付款</w:t>
      </w:r>
      <w:r>
        <w:rPr>
          <w:rFonts w:hint="eastAsia" w:ascii="宋体" w:hAnsi="宋体" w:cs="宋体"/>
          <w:color w:val="auto"/>
          <w:szCs w:val="21"/>
          <w:lang w:eastAsia="zh-CN"/>
        </w:rPr>
        <w:t>。</w:t>
      </w:r>
      <w:r>
        <w:rPr>
          <w:rFonts w:hint="eastAsia" w:ascii="宋体" w:hAnsi="宋体"/>
          <w:b w:val="0"/>
          <w:bCs/>
          <w:color w:val="auto"/>
          <w:szCs w:val="21"/>
        </w:rPr>
        <w:t>）</w:t>
      </w:r>
    </w:p>
    <w:p>
      <w:pPr>
        <w:snapToGrid w:val="0"/>
        <w:spacing w:line="440" w:lineRule="exact"/>
        <w:ind w:firstLine="210" w:firstLineChars="100"/>
        <w:rPr>
          <w:rFonts w:hint="eastAsia"/>
          <w:color w:val="auto"/>
        </w:rPr>
      </w:pPr>
      <w:r>
        <w:rPr>
          <w:rFonts w:hint="eastAsia" w:ascii="宋体" w:hAnsi="宋体"/>
          <w:color w:val="auto"/>
          <w:szCs w:val="21"/>
        </w:rPr>
        <w:t>（</w:t>
      </w:r>
      <w:r>
        <w:rPr>
          <w:rFonts w:hint="default" w:ascii="Times New Roman" w:hAnsi="Times New Roman" w:cs="Times New Roman"/>
          <w:color w:val="auto"/>
          <w:szCs w:val="21"/>
        </w:rPr>
        <w:t>2</w:t>
      </w:r>
      <w:r>
        <w:rPr>
          <w:rFonts w:hint="eastAsia" w:ascii="宋体" w:hAnsi="宋体"/>
          <w:color w:val="auto"/>
          <w:szCs w:val="21"/>
        </w:rPr>
        <w:t>）每月由中标人按采购人确认的服务费向采购</w:t>
      </w:r>
      <w:r>
        <w:rPr>
          <w:rFonts w:hint="default" w:ascii="Arial" w:hAnsi="Arial" w:cs="Arial"/>
          <w:color w:val="auto"/>
          <w:szCs w:val="21"/>
        </w:rPr>
        <w:t>人结算，采购人凭中标人开具的正式税务发票和员工工资发放凭证复印件（以便采购人确认务工人员劳动报酬已经兑现）后15</w:t>
      </w:r>
      <w:r>
        <w:rPr>
          <w:rFonts w:hint="eastAsia" w:ascii="宋体" w:hAnsi="宋体"/>
          <w:color w:val="auto"/>
          <w:szCs w:val="21"/>
        </w:rPr>
        <w:t>日内进行支付</w:t>
      </w:r>
      <w:r>
        <w:rPr>
          <w:rFonts w:hint="eastAsia"/>
          <w:color w:val="auto"/>
        </w:rPr>
        <w:t>。</w:t>
      </w:r>
    </w:p>
    <w:p>
      <w:pPr>
        <w:snapToGrid w:val="0"/>
        <w:spacing w:line="440" w:lineRule="exact"/>
        <w:ind w:firstLine="210" w:firstLineChars="100"/>
        <w:rPr>
          <w:rFonts w:hint="eastAsia" w:ascii="宋体" w:hAnsi="宋体"/>
          <w:color w:val="auto"/>
          <w:szCs w:val="21"/>
        </w:rPr>
      </w:pPr>
      <w:r>
        <w:rPr>
          <w:rFonts w:hint="eastAsia" w:ascii="宋体" w:hAnsi="宋体"/>
          <w:color w:val="auto"/>
          <w:szCs w:val="21"/>
        </w:rPr>
        <w:t>（</w:t>
      </w:r>
      <w:r>
        <w:rPr>
          <w:rFonts w:hint="default" w:ascii="Times New Roman" w:hAnsi="Times New Roman" w:cs="Times New Roman"/>
          <w:color w:val="auto"/>
          <w:szCs w:val="21"/>
        </w:rPr>
        <w:t>3</w:t>
      </w:r>
      <w:r>
        <w:rPr>
          <w:rFonts w:hint="eastAsia" w:ascii="宋体" w:hAnsi="宋体"/>
          <w:color w:val="auto"/>
          <w:szCs w:val="21"/>
        </w:rPr>
        <w:t>）</w:t>
      </w:r>
      <w:r>
        <w:rPr>
          <w:rFonts w:hint="eastAsia"/>
          <w:color w:val="auto"/>
        </w:rPr>
        <w:t>采购人在每个</w:t>
      </w:r>
      <w:r>
        <w:rPr>
          <w:rFonts w:hint="default" w:ascii="Arial" w:hAnsi="Arial" w:cs="Arial"/>
          <w:color w:val="auto"/>
        </w:rPr>
        <w:t>月15日前支付给中标人上个月的服务费，最后一个月的费用在承包期结束后15日内结清（遇节</w:t>
      </w:r>
      <w:r>
        <w:rPr>
          <w:rFonts w:hint="eastAsia"/>
          <w:color w:val="auto"/>
        </w:rPr>
        <w:t>假日顺延）</w:t>
      </w:r>
      <w:r>
        <w:rPr>
          <w:rFonts w:hint="eastAsia" w:ascii="宋体" w:hAnsi="宋体"/>
          <w:color w:val="auto"/>
          <w:szCs w:val="21"/>
        </w:rPr>
        <w:t>。</w:t>
      </w:r>
    </w:p>
    <w:p>
      <w:pPr>
        <w:numPr>
          <w:ilvl w:val="0"/>
          <w:numId w:val="42"/>
        </w:numPr>
        <w:tabs>
          <w:tab w:val="left" w:pos="360"/>
          <w:tab w:val="left" w:pos="420"/>
          <w:tab w:val="left" w:pos="540"/>
          <w:tab w:val="left" w:pos="640"/>
        </w:tabs>
        <w:spacing w:line="360" w:lineRule="auto"/>
        <w:ind w:left="15" w:leftChars="7" w:firstLine="401" w:firstLineChars="191"/>
        <w:rPr>
          <w:rFonts w:hint="eastAsia"/>
          <w:color w:val="auto"/>
          <w:szCs w:val="21"/>
        </w:rPr>
      </w:pPr>
      <w:r>
        <w:rPr>
          <w:rFonts w:hint="eastAsia"/>
          <w:color w:val="auto"/>
          <w:szCs w:val="21"/>
        </w:rPr>
        <w:t>本项目财政预算</w:t>
      </w:r>
      <w:r>
        <w:rPr>
          <w:rFonts w:hint="default" w:ascii="Arial" w:hAnsi="Arial" w:cs="Arial"/>
          <w:color w:val="auto"/>
          <w:szCs w:val="21"/>
        </w:rPr>
        <w:t>为845</w:t>
      </w:r>
      <w:r>
        <w:rPr>
          <w:rFonts w:hint="default" w:ascii="Arial" w:hAnsi="Arial" w:cs="Arial"/>
          <w:color w:val="auto"/>
          <w:szCs w:val="21"/>
          <w:lang w:val="en-US" w:eastAsia="zh-CN"/>
        </w:rPr>
        <w:t>0000.00</w:t>
      </w:r>
      <w:r>
        <w:rPr>
          <w:rFonts w:hint="default" w:ascii="Arial" w:hAnsi="Arial" w:cs="Arial"/>
          <w:color w:val="auto"/>
          <w:szCs w:val="21"/>
        </w:rPr>
        <w:t>元，当</w:t>
      </w:r>
      <w:r>
        <w:rPr>
          <w:rFonts w:hint="eastAsia"/>
          <w:color w:val="auto"/>
          <w:szCs w:val="21"/>
        </w:rPr>
        <w:t>实际服务费支付金额达到财政预算金额时或服务期限到期时，本项目均告结束。</w:t>
      </w:r>
    </w:p>
    <w:p>
      <w:pPr>
        <w:numPr>
          <w:ilvl w:val="0"/>
          <w:numId w:val="43"/>
        </w:numPr>
        <w:snapToGrid w:val="0"/>
        <w:spacing w:line="360" w:lineRule="auto"/>
        <w:jc w:val="both"/>
        <w:rPr>
          <w:rFonts w:hint="eastAsia"/>
          <w:b/>
          <w:bCs/>
          <w:sz w:val="24"/>
          <w:szCs w:val="24"/>
        </w:rPr>
      </w:pPr>
      <w:r>
        <w:rPr>
          <w:rFonts w:hint="eastAsia"/>
          <w:b/>
          <w:bCs/>
          <w:sz w:val="24"/>
          <w:szCs w:val="24"/>
        </w:rPr>
        <w:t>考核及处罚标准</w:t>
      </w:r>
    </w:p>
    <w:p>
      <w:pPr>
        <w:numPr>
          <w:ilvl w:val="0"/>
          <w:numId w:val="44"/>
        </w:numPr>
        <w:tabs>
          <w:tab w:val="left" w:pos="360"/>
          <w:tab w:val="left" w:pos="420"/>
          <w:tab w:val="left" w:pos="540"/>
          <w:tab w:val="left" w:pos="640"/>
        </w:tabs>
        <w:spacing w:line="360" w:lineRule="auto"/>
        <w:ind w:left="15" w:leftChars="7" w:firstLine="401" w:firstLineChars="191"/>
        <w:rPr>
          <w:rFonts w:hint="eastAsia"/>
          <w:color w:val="auto"/>
          <w:szCs w:val="21"/>
        </w:rPr>
      </w:pPr>
      <w:r>
        <w:rPr>
          <w:color w:val="auto"/>
          <w:szCs w:val="21"/>
        </w:rPr>
        <w:t>每月由</w:t>
      </w:r>
      <w:r>
        <w:rPr>
          <w:rFonts w:hint="eastAsia"/>
          <w:color w:val="auto"/>
          <w:szCs w:val="21"/>
        </w:rPr>
        <w:t>采购人</w:t>
      </w:r>
      <w:r>
        <w:rPr>
          <w:color w:val="auto"/>
          <w:szCs w:val="21"/>
        </w:rPr>
        <w:t>组织人员</w:t>
      </w:r>
      <w:r>
        <w:rPr>
          <w:rFonts w:hint="eastAsia"/>
          <w:color w:val="auto"/>
          <w:szCs w:val="21"/>
          <w:lang w:eastAsia="zh-CN"/>
        </w:rPr>
        <w:t>在</w:t>
      </w:r>
      <w:r>
        <w:rPr>
          <w:rFonts w:hint="eastAsia"/>
          <w:color w:val="auto"/>
          <w:szCs w:val="21"/>
        </w:rPr>
        <w:t>中标人</w:t>
      </w:r>
      <w:r>
        <w:rPr>
          <w:rFonts w:hint="eastAsia"/>
          <w:color w:val="auto"/>
          <w:szCs w:val="21"/>
          <w:lang w:eastAsia="zh-CN"/>
        </w:rPr>
        <w:t>陪同下</w:t>
      </w:r>
      <w:r>
        <w:rPr>
          <w:color w:val="auto"/>
          <w:szCs w:val="21"/>
        </w:rPr>
        <w:t>对</w:t>
      </w:r>
      <w:r>
        <w:rPr>
          <w:rFonts w:hint="eastAsia"/>
          <w:color w:val="auto"/>
          <w:szCs w:val="21"/>
        </w:rPr>
        <w:t>中标人</w:t>
      </w:r>
      <w:r>
        <w:rPr>
          <w:color w:val="auto"/>
          <w:szCs w:val="21"/>
        </w:rPr>
        <w:t>的服务进行检查、评分</w:t>
      </w:r>
      <w:r>
        <w:rPr>
          <w:rFonts w:hint="eastAsia"/>
          <w:color w:val="auto"/>
          <w:szCs w:val="21"/>
        </w:rPr>
        <w:t>。</w:t>
      </w:r>
    </w:p>
    <w:p>
      <w:pPr>
        <w:numPr>
          <w:ilvl w:val="0"/>
          <w:numId w:val="44"/>
        </w:numPr>
        <w:tabs>
          <w:tab w:val="left" w:pos="360"/>
          <w:tab w:val="left" w:pos="420"/>
          <w:tab w:val="left" w:pos="540"/>
          <w:tab w:val="left" w:pos="640"/>
        </w:tabs>
        <w:spacing w:line="360" w:lineRule="auto"/>
        <w:ind w:left="15" w:leftChars="7" w:firstLine="401" w:firstLineChars="191"/>
        <w:rPr>
          <w:rFonts w:hint="eastAsia"/>
          <w:szCs w:val="21"/>
        </w:rPr>
      </w:pPr>
      <w:r>
        <w:rPr>
          <w:rFonts w:hint="eastAsia"/>
          <w:szCs w:val="21"/>
        </w:rPr>
        <w:t>每月考核与服务费直接挂钩，每月考</w:t>
      </w:r>
      <w:r>
        <w:rPr>
          <w:rFonts w:hint="default" w:ascii="Arial" w:hAnsi="Arial" w:cs="Arial"/>
          <w:szCs w:val="21"/>
        </w:rPr>
        <w:t>核90分及以上</w:t>
      </w:r>
      <w:r>
        <w:rPr>
          <w:rFonts w:hint="eastAsia"/>
          <w:szCs w:val="21"/>
        </w:rPr>
        <w:t>的为优秀，全额支付当月服务费；每下降一分，扣罚本月服务费</w:t>
      </w:r>
      <w:r>
        <w:rPr>
          <w:rFonts w:hint="default" w:ascii="Arial" w:hAnsi="Arial" w:cs="Arial"/>
          <w:szCs w:val="21"/>
        </w:rPr>
        <w:t>用1000元</w:t>
      </w:r>
      <w:r>
        <w:rPr>
          <w:rFonts w:hint="eastAsia"/>
          <w:szCs w:val="21"/>
        </w:rPr>
        <w:t>，以此类推。</w:t>
      </w:r>
    </w:p>
    <w:p>
      <w:pPr>
        <w:numPr>
          <w:ilvl w:val="0"/>
          <w:numId w:val="44"/>
        </w:numPr>
        <w:tabs>
          <w:tab w:val="left" w:pos="360"/>
          <w:tab w:val="left" w:pos="420"/>
          <w:tab w:val="left" w:pos="540"/>
          <w:tab w:val="left" w:pos="640"/>
        </w:tabs>
        <w:spacing w:line="360" w:lineRule="auto"/>
        <w:ind w:left="15" w:leftChars="7" w:firstLine="401" w:firstLineChars="191"/>
        <w:rPr>
          <w:szCs w:val="21"/>
        </w:rPr>
      </w:pPr>
      <w:r>
        <w:rPr>
          <w:rFonts w:hint="eastAsia"/>
          <w:szCs w:val="21"/>
        </w:rPr>
        <w:t>一年累计</w:t>
      </w:r>
      <w:r>
        <w:rPr>
          <w:rFonts w:hint="default" w:ascii="Arial" w:hAnsi="Arial" w:cs="Arial"/>
          <w:szCs w:val="21"/>
        </w:rPr>
        <w:t>达3次月</w:t>
      </w:r>
      <w:r>
        <w:rPr>
          <w:rFonts w:hint="eastAsia"/>
          <w:szCs w:val="21"/>
        </w:rPr>
        <w:t>度考核不合格(不合</w:t>
      </w:r>
      <w:r>
        <w:rPr>
          <w:rFonts w:hint="default" w:ascii="Arial" w:hAnsi="Arial" w:cs="Arial"/>
          <w:szCs w:val="21"/>
        </w:rPr>
        <w:t>格≦80分)，</w:t>
      </w:r>
      <w:r>
        <w:rPr>
          <w:rFonts w:hint="eastAsia"/>
          <w:szCs w:val="21"/>
        </w:rPr>
        <w:t>采购人有权</w:t>
      </w:r>
      <w:r>
        <w:rPr>
          <w:rFonts w:hint="eastAsia"/>
          <w:color w:val="000000" w:themeColor="text1"/>
          <w:szCs w:val="21"/>
          <w14:textFill>
            <w14:solidFill>
              <w14:schemeClr w14:val="tx1"/>
            </w14:solidFill>
          </w14:textFill>
        </w:rPr>
        <w:t>单方面终止全部或部</w:t>
      </w:r>
      <w:r>
        <w:rPr>
          <w:rFonts w:hint="eastAsia"/>
          <w:szCs w:val="21"/>
        </w:rPr>
        <w:t>分合同，并保留进一步追究中标人责任的权利(包括经济赔偿)</w:t>
      </w:r>
      <w:r>
        <w:rPr>
          <w:rFonts w:hint="eastAsia"/>
          <w:szCs w:val="21"/>
          <w:lang w:eastAsia="zh-CN"/>
        </w:rPr>
        <w:t>。</w:t>
      </w:r>
    </w:p>
    <w:p>
      <w:pPr>
        <w:rPr>
          <w:rFonts w:hint="eastAsia" w:ascii="宋体" w:hAnsi="宋体" w:cs="宋体"/>
          <w:b/>
          <w:bCs/>
          <w:sz w:val="24"/>
          <w:szCs w:val="24"/>
        </w:rPr>
      </w:pPr>
    </w:p>
    <w:p>
      <w:pPr>
        <w:pStyle w:val="19"/>
        <w:rPr>
          <w:rFonts w:hint="eastAsia" w:ascii="宋体" w:hAnsi="宋体" w:cs="宋体"/>
          <w:b/>
          <w:bCs/>
          <w:sz w:val="24"/>
          <w:szCs w:val="24"/>
        </w:rPr>
      </w:pPr>
    </w:p>
    <w:p>
      <w:pPr>
        <w:rPr>
          <w:rFonts w:hint="eastAsia" w:ascii="宋体" w:hAnsi="宋体" w:cs="宋体"/>
        </w:rPr>
      </w:pPr>
    </w:p>
    <w:p>
      <w:pPr>
        <w:pStyle w:val="19"/>
        <w:rPr>
          <w:rFonts w:hint="eastAsia" w:ascii="宋体" w:hAnsi="宋体" w:cs="宋体"/>
        </w:rPr>
      </w:pPr>
    </w:p>
    <w:p>
      <w:pPr>
        <w:rPr>
          <w:rFonts w:hint="eastAsia" w:ascii="宋体" w:hAnsi="宋体" w:cs="宋体"/>
        </w:rPr>
      </w:pPr>
    </w:p>
    <w:p>
      <w:pPr>
        <w:pStyle w:val="2"/>
        <w:rPr>
          <w:rFonts w:hint="eastAsia" w:ascii="宋体" w:hAnsi="宋体" w:eastAsia="宋体" w:cs="宋体"/>
        </w:rPr>
      </w:pPr>
    </w:p>
    <w:p>
      <w:pPr>
        <w:rPr>
          <w:rFonts w:hint="eastAsia" w:ascii="宋体" w:hAnsi="宋体" w:cs="宋体"/>
        </w:rPr>
      </w:pPr>
    </w:p>
    <w:p>
      <w:pPr>
        <w:tabs>
          <w:tab w:val="right" w:pos="9070"/>
        </w:tabs>
        <w:spacing w:line="400" w:lineRule="exact"/>
        <w:jc w:val="both"/>
        <w:rPr>
          <w:rFonts w:hint="eastAsia" w:ascii="宋体" w:hAnsi="宋体" w:cs="宋体"/>
          <w:sz w:val="28"/>
          <w:szCs w:val="36"/>
        </w:rPr>
      </w:pPr>
      <w:r>
        <w:rPr>
          <w:rFonts w:hint="eastAsia" w:ascii="宋体" w:hAnsi="宋体" w:cs="宋体"/>
          <w:b/>
          <w:bCs/>
          <w:sz w:val="24"/>
        </w:rPr>
        <w:t>附件</w:t>
      </w:r>
      <w:bookmarkStart w:id="255" w:name="_Toc19642"/>
      <w:bookmarkStart w:id="256" w:name="_Toc354663690"/>
      <w:bookmarkStart w:id="257" w:name="_Toc485888469"/>
      <w:r>
        <w:rPr>
          <w:rFonts w:hint="eastAsia" w:ascii="宋体" w:hAnsi="宋体" w:cs="宋体"/>
          <w:b/>
          <w:bCs/>
          <w:sz w:val="24"/>
        </w:rPr>
        <w:t xml:space="preserve">             </w:t>
      </w:r>
      <w:bookmarkEnd w:id="255"/>
      <w:bookmarkEnd w:id="256"/>
      <w:bookmarkEnd w:id="257"/>
    </w:p>
    <w:p>
      <w:pPr>
        <w:rPr>
          <w:rFonts w:hint="eastAsia"/>
        </w:rPr>
      </w:pPr>
    </w:p>
    <w:p>
      <w:pPr>
        <w:ind w:firstLine="420"/>
        <w:jc w:val="center"/>
        <w:rPr>
          <w:rFonts w:ascii="宋体" w:hAnsi="宋体"/>
          <w:b/>
          <w:bCs/>
          <w:sz w:val="44"/>
          <w:szCs w:val="44"/>
        </w:rPr>
      </w:pPr>
      <w:r>
        <w:rPr>
          <w:rFonts w:hint="eastAsia" w:ascii="宋体" w:hAnsi="宋体" w:cs="宋体"/>
          <w:b/>
          <w:bCs/>
          <w:sz w:val="44"/>
          <w:szCs w:val="44"/>
        </w:rPr>
        <w:t>保洁质量考核表</w:t>
      </w:r>
    </w:p>
    <w:p>
      <w:pPr>
        <w:spacing w:line="360" w:lineRule="auto"/>
        <w:ind w:left="-4" w:leftChars="-136" w:hanging="282" w:hangingChars="101"/>
        <w:rPr>
          <w:rFonts w:hint="eastAsia" w:ascii="宋体" w:hAnsi="宋体" w:cs="宋体"/>
          <w:sz w:val="28"/>
          <w:szCs w:val="28"/>
        </w:rPr>
      </w:pPr>
      <w:r>
        <w:rPr>
          <w:rFonts w:hint="eastAsia" w:ascii="宋体" w:hAnsi="宋体" w:cs="宋体"/>
          <w:sz w:val="28"/>
          <w:szCs w:val="28"/>
        </w:rPr>
        <w:t xml:space="preserve">日期： </w:t>
      </w:r>
      <w:r>
        <w:rPr>
          <w:rFonts w:hint="eastAsia" w:ascii="宋体" w:hAnsi="宋体" w:cs="宋体"/>
          <w:sz w:val="28"/>
          <w:szCs w:val="28"/>
          <w:u w:val="single"/>
        </w:rPr>
        <w:t xml:space="preserve">           </w:t>
      </w:r>
      <w:r>
        <w:rPr>
          <w:rFonts w:hint="eastAsia" w:ascii="宋体" w:hAnsi="宋体" w:cs="宋体"/>
          <w:sz w:val="28"/>
          <w:szCs w:val="28"/>
        </w:rPr>
        <w:t xml:space="preserve">  科室</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left="-4" w:leftChars="-136" w:hanging="282" w:hangingChars="101"/>
        <w:rPr>
          <w:rFonts w:hint="eastAsia" w:ascii="宋体" w:hAnsi="宋体" w:cs="宋体"/>
          <w:sz w:val="28"/>
          <w:szCs w:val="28"/>
          <w:u w:val="single"/>
        </w:rPr>
      </w:pPr>
      <w:r>
        <w:rPr>
          <w:rFonts w:hint="eastAsia" w:ascii="宋体" w:hAnsi="宋体" w:cs="宋体"/>
          <w:sz w:val="28"/>
          <w:szCs w:val="28"/>
        </w:rPr>
        <w:t>科室负责人 ；</w:t>
      </w:r>
      <w:r>
        <w:rPr>
          <w:rFonts w:hint="eastAsia" w:ascii="宋体" w:hAnsi="宋体" w:cs="宋体"/>
          <w:sz w:val="28"/>
          <w:szCs w:val="28"/>
          <w:u w:val="single"/>
        </w:rPr>
        <w:t xml:space="preserve">            </w:t>
      </w:r>
      <w:r>
        <w:rPr>
          <w:rFonts w:hint="eastAsia" w:ascii="宋体" w:hAnsi="宋体" w:cs="宋体"/>
          <w:sz w:val="28"/>
          <w:szCs w:val="28"/>
        </w:rPr>
        <w:t xml:space="preserve">   评分：</w:t>
      </w:r>
      <w:r>
        <w:rPr>
          <w:rFonts w:hint="eastAsia" w:ascii="宋体" w:hAnsi="宋体" w:cs="宋体"/>
          <w:sz w:val="28"/>
          <w:szCs w:val="28"/>
          <w:u w:val="single"/>
        </w:rPr>
        <w:t xml:space="preserve">         </w:t>
      </w:r>
    </w:p>
    <w:p>
      <w:pPr>
        <w:spacing w:line="360" w:lineRule="auto"/>
        <w:ind w:left="-4" w:leftChars="-136" w:right="-500" w:rightChars="-238" w:hanging="282" w:hangingChars="101"/>
        <w:rPr>
          <w:rFonts w:ascii="宋体" w:hAnsi="宋体" w:cs="宋体"/>
          <w:sz w:val="28"/>
          <w:szCs w:val="28"/>
        </w:rPr>
      </w:pPr>
      <w:r>
        <w:rPr>
          <w:rFonts w:hint="eastAsia" w:ascii="宋体" w:hAnsi="宋体" w:cs="宋体"/>
          <w:sz w:val="28"/>
          <w:szCs w:val="28"/>
        </w:rPr>
        <w:t xml:space="preserve">房间类型： </w:t>
      </w:r>
      <w:r>
        <w:rPr>
          <w:rFonts w:hint="eastAsia" w:ascii="宋体" w:hAnsi="宋体" w:cs="宋体"/>
          <w:sz w:val="28"/>
          <w:szCs w:val="28"/>
        </w:rPr>
        <w:sym w:font="Wingdings" w:char="F06F"/>
      </w:r>
      <w:r>
        <w:rPr>
          <w:rFonts w:hint="eastAsia" w:ascii="宋体" w:hAnsi="宋体" w:cs="宋体"/>
          <w:sz w:val="28"/>
          <w:szCs w:val="28"/>
        </w:rPr>
        <w:t xml:space="preserve">病区  </w:t>
      </w:r>
      <w:r>
        <w:rPr>
          <w:rFonts w:hint="eastAsia" w:ascii="宋体" w:hAnsi="宋体" w:cs="宋体"/>
          <w:sz w:val="28"/>
          <w:szCs w:val="28"/>
        </w:rPr>
        <w:sym w:font="Wingdings" w:char="F06F"/>
      </w:r>
      <w:r>
        <w:rPr>
          <w:rFonts w:hint="eastAsia" w:ascii="宋体" w:hAnsi="宋体" w:cs="宋体"/>
          <w:sz w:val="28"/>
          <w:szCs w:val="28"/>
        </w:rPr>
        <w:t xml:space="preserve">门诊  </w:t>
      </w:r>
      <w:r>
        <w:rPr>
          <w:rFonts w:hint="eastAsia" w:ascii="宋体" w:hAnsi="宋体" w:cs="宋体"/>
          <w:sz w:val="28"/>
          <w:szCs w:val="28"/>
        </w:rPr>
        <w:sym w:font="Wingdings" w:char="F06F"/>
      </w:r>
      <w:r>
        <w:rPr>
          <w:rFonts w:hint="eastAsia" w:ascii="宋体" w:hAnsi="宋体" w:cs="宋体"/>
          <w:sz w:val="28"/>
          <w:szCs w:val="28"/>
        </w:rPr>
        <w:t xml:space="preserve">手术室  </w:t>
      </w:r>
      <w:r>
        <w:rPr>
          <w:rFonts w:hint="eastAsia" w:ascii="宋体" w:hAnsi="宋体" w:cs="宋体"/>
          <w:sz w:val="28"/>
          <w:szCs w:val="28"/>
        </w:rPr>
        <w:sym w:font="Wingdings" w:char="00A8"/>
      </w:r>
      <w:r>
        <w:rPr>
          <w:rFonts w:hint="eastAsia" w:ascii="宋体" w:hAnsi="宋体" w:cs="宋体"/>
          <w:sz w:val="28"/>
          <w:szCs w:val="28"/>
        </w:rPr>
        <w:t xml:space="preserve">分娩室  </w:t>
      </w:r>
      <w:r>
        <w:rPr>
          <w:rFonts w:hint="eastAsia" w:ascii="宋体" w:hAnsi="宋体" w:cs="宋体"/>
          <w:sz w:val="28"/>
          <w:szCs w:val="28"/>
        </w:rPr>
        <w:sym w:font="Wingdings" w:char="00A8"/>
      </w:r>
      <w:r>
        <w:rPr>
          <w:rFonts w:hint="eastAsia" w:ascii="宋体" w:hAnsi="宋体" w:cs="宋体"/>
          <w:sz w:val="28"/>
          <w:szCs w:val="28"/>
        </w:rPr>
        <w:t xml:space="preserve">新生儿  </w:t>
      </w:r>
      <w:r>
        <w:rPr>
          <w:rFonts w:hint="eastAsia" w:ascii="宋体" w:hAnsi="宋体" w:cs="宋体"/>
          <w:sz w:val="28"/>
          <w:szCs w:val="28"/>
        </w:rPr>
        <w:sym w:font="Wingdings" w:char="00A8"/>
      </w:r>
      <w:r>
        <w:rPr>
          <w:rFonts w:hint="eastAsia" w:ascii="宋体" w:hAnsi="宋体" w:cs="宋体"/>
          <w:sz w:val="28"/>
          <w:szCs w:val="28"/>
        </w:rPr>
        <w:t xml:space="preserve">急诊              </w:t>
      </w:r>
    </w:p>
    <w:p>
      <w:pPr>
        <w:spacing w:line="360" w:lineRule="auto"/>
        <w:ind w:left="-4" w:leftChars="-136" w:right="-500" w:rightChars="-238" w:hanging="282" w:hangingChars="101"/>
        <w:rPr>
          <w:rFonts w:hint="eastAsia" w:ascii="宋体" w:hAnsi="宋体" w:cs="宋体"/>
          <w:sz w:val="28"/>
          <w:szCs w:val="28"/>
        </w:rPr>
      </w:pPr>
      <w:r>
        <w:rPr>
          <w:rFonts w:hint="eastAsia" w:ascii="宋体" w:hAnsi="宋体" w:cs="宋体"/>
          <w:sz w:val="28"/>
          <w:szCs w:val="28"/>
        </w:rPr>
        <w:t xml:space="preserve">巡查方式： </w:t>
      </w:r>
      <w:r>
        <w:rPr>
          <w:rFonts w:hint="eastAsia" w:ascii="宋体" w:hAnsi="宋体" w:cs="宋体"/>
          <w:sz w:val="28"/>
          <w:szCs w:val="28"/>
        </w:rPr>
        <w:sym w:font="Wingdings" w:char="F06F"/>
      </w:r>
      <w:r>
        <w:rPr>
          <w:rFonts w:hint="eastAsia" w:ascii="宋体" w:hAnsi="宋体" w:cs="宋体"/>
          <w:sz w:val="28"/>
          <w:szCs w:val="28"/>
        </w:rPr>
        <w:t xml:space="preserve">日常      </w:t>
      </w:r>
      <w:r>
        <w:rPr>
          <w:rFonts w:hint="eastAsia" w:ascii="宋体" w:hAnsi="宋体" w:cs="宋体"/>
          <w:sz w:val="28"/>
          <w:szCs w:val="28"/>
        </w:rPr>
        <w:sym w:font="Wingdings" w:char="F06F"/>
      </w:r>
      <w:r>
        <w:rPr>
          <w:rFonts w:hint="eastAsia" w:ascii="宋体" w:hAnsi="宋体" w:cs="宋体"/>
          <w:sz w:val="28"/>
          <w:szCs w:val="28"/>
        </w:rPr>
        <w:t xml:space="preserve">多部门    </w:t>
      </w:r>
      <w:r>
        <w:rPr>
          <w:rFonts w:hint="eastAsia" w:ascii="宋体" w:hAnsi="宋体" w:cs="宋体"/>
          <w:sz w:val="28"/>
          <w:szCs w:val="28"/>
        </w:rPr>
        <w:sym w:font="Wingdings" w:char="00A8"/>
      </w:r>
      <w:r>
        <w:rPr>
          <w:rFonts w:hint="eastAsia" w:ascii="宋体" w:hAnsi="宋体" w:cs="宋体"/>
          <w:sz w:val="28"/>
          <w:szCs w:val="28"/>
        </w:rPr>
        <w:t xml:space="preserve">定期                      </w:t>
      </w:r>
    </w:p>
    <w:p>
      <w:pPr>
        <w:spacing w:line="360" w:lineRule="auto"/>
        <w:ind w:left="-4" w:leftChars="-136" w:right="-500" w:rightChars="-238" w:hanging="282" w:hangingChars="101"/>
        <w:rPr>
          <w:rFonts w:hint="eastAsia" w:ascii="宋体" w:hAnsi="宋体"/>
        </w:rPr>
      </w:pPr>
      <w:r>
        <w:rPr>
          <w:rFonts w:hint="eastAsia" w:ascii="宋体" w:hAnsi="宋体" w:cs="宋体"/>
          <w:sz w:val="28"/>
          <w:szCs w:val="28"/>
        </w:rPr>
        <w:t>检查人员；</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tbl>
      <w:tblPr>
        <w:tblStyle w:val="45"/>
        <w:tblW w:w="10358"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95"/>
        <w:gridCol w:w="626"/>
        <w:gridCol w:w="3010"/>
        <w:gridCol w:w="945"/>
        <w:gridCol w:w="915"/>
        <w:gridCol w:w="900"/>
        <w:gridCol w:w="10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blHeader/>
        </w:trPr>
        <w:tc>
          <w:tcPr>
            <w:tcW w:w="842"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项目</w:t>
            </w:r>
          </w:p>
        </w:tc>
        <w:tc>
          <w:tcPr>
            <w:tcW w:w="795" w:type="dxa"/>
            <w:vAlign w:val="top"/>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p>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分值</w:t>
            </w:r>
          </w:p>
        </w:tc>
        <w:tc>
          <w:tcPr>
            <w:tcW w:w="626"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序号</w:t>
            </w:r>
          </w:p>
        </w:tc>
        <w:tc>
          <w:tcPr>
            <w:tcW w:w="301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项目要求</w:t>
            </w:r>
          </w:p>
        </w:tc>
        <w:tc>
          <w:tcPr>
            <w:tcW w:w="94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完全符合-0</w:t>
            </w:r>
          </w:p>
        </w:tc>
        <w:tc>
          <w:tcPr>
            <w:tcW w:w="9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基本符合-0.5</w:t>
            </w:r>
          </w:p>
        </w:tc>
        <w:tc>
          <w:tcPr>
            <w:tcW w:w="90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部分符合-1.0</w:t>
            </w:r>
          </w:p>
        </w:tc>
        <w:tc>
          <w:tcPr>
            <w:tcW w:w="100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不符合</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8"/>
                <w:szCs w:val="28"/>
              </w:rPr>
            </w:pPr>
            <w:r>
              <w:rPr>
                <w:rFonts w:hint="eastAsia" w:ascii="Times New Roman" w:hAnsi="Times New Roman" w:cs="Times New Roman"/>
                <w:sz w:val="24"/>
                <w:szCs w:val="24"/>
              </w:rPr>
              <w:t>-1.5</w:t>
            </w:r>
          </w:p>
        </w:tc>
        <w:tc>
          <w:tcPr>
            <w:tcW w:w="1320"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 w:val="28"/>
                <w:szCs w:val="28"/>
              </w:rPr>
            </w:pPr>
            <w:r>
              <w:rPr>
                <w:rFonts w:hint="eastAsia" w:ascii="Times New Roman" w:hAnsi="Times New Roman" w:cs="Times New Roman"/>
                <w:sz w:val="24"/>
                <w:szCs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环境</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管理</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Cs w:val="20"/>
              </w:rPr>
            </w:pPr>
            <w:r>
              <w:rPr>
                <w:rFonts w:hint="eastAsia" w:ascii="Times New Roman" w:hAnsi="Times New Roman" w:cs="Times New Roman"/>
                <w:sz w:val="30"/>
                <w:szCs w:val="30"/>
              </w:rPr>
              <w:t>（65分）</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天花板清洁、</w:t>
            </w:r>
            <w:r>
              <w:rPr>
                <w:rFonts w:hint="default" w:ascii="Times New Roman" w:hAnsi="Times New Roman" w:cs="Times New Roman"/>
                <w:szCs w:val="21"/>
              </w:rPr>
              <w:t>无</w:t>
            </w:r>
            <w:r>
              <w:rPr>
                <w:rFonts w:hint="eastAsia" w:ascii="Times New Roman" w:hAnsi="Times New Roman" w:cs="Times New Roman"/>
                <w:szCs w:val="21"/>
              </w:rPr>
              <w:t>蜘蛛网</w:t>
            </w:r>
            <w:r>
              <w:rPr>
                <w:rFonts w:hint="default" w:ascii="Times New Roman" w:hAnsi="Times New Roman" w:cs="Times New Roman"/>
                <w:szCs w:val="21"/>
              </w:rPr>
              <w:t>、无污渍</w:t>
            </w:r>
            <w:r>
              <w:rPr>
                <w:rFonts w:hint="eastAsia" w:ascii="Times New Roman" w:hAnsi="Times New Roman" w:cs="Times New Roman"/>
                <w:szCs w:val="21"/>
              </w:rPr>
              <w:t>，</w:t>
            </w:r>
            <w:r>
              <w:rPr>
                <w:rFonts w:hint="eastAsia" w:ascii="Times New Roman" w:hAnsi="Times New Roman" w:cs="Times New Roman"/>
                <w:szCs w:val="20"/>
              </w:rPr>
              <w:t>有定期清洗，有记录</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1"/>
              </w:rPr>
              <w:t>空调</w:t>
            </w:r>
            <w:r>
              <w:rPr>
                <w:rFonts w:hint="eastAsia" w:ascii="Times New Roman" w:hAnsi="Times New Roman" w:cs="Times New Roman"/>
                <w:szCs w:val="21"/>
              </w:rPr>
              <w:t>、消毒机</w:t>
            </w:r>
            <w:r>
              <w:rPr>
                <w:rFonts w:hint="default" w:ascii="Times New Roman" w:hAnsi="Times New Roman" w:cs="Times New Roman"/>
                <w:szCs w:val="21"/>
              </w:rPr>
              <w:t>进出风口等干净整洁</w:t>
            </w:r>
            <w:r>
              <w:rPr>
                <w:rFonts w:hint="eastAsia" w:ascii="Times New Roman" w:hAnsi="Times New Roman" w:cs="Times New Roman"/>
                <w:szCs w:val="21"/>
              </w:rPr>
              <w:t>，</w:t>
            </w:r>
            <w:r>
              <w:rPr>
                <w:rFonts w:hint="eastAsia" w:ascii="Times New Roman" w:hAnsi="Times New Roman" w:cs="Times New Roman"/>
                <w:szCs w:val="20"/>
              </w:rPr>
              <w:t>有定期清洗，有记录</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玻璃清洁、无污迹，</w:t>
            </w:r>
            <w:r>
              <w:rPr>
                <w:rFonts w:hint="eastAsia" w:ascii="Times New Roman" w:hAnsi="Times New Roman" w:cs="Times New Roman"/>
                <w:szCs w:val="20"/>
              </w:rPr>
              <w:t>有定期清洗，有记录，</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4</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szCs w:val="20"/>
              </w:rPr>
              <w:t>床帘干净整洁、有定期清洗，有记录，</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设备带干净、无尘</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6</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eastAsia" w:ascii="Times New Roman" w:hAnsi="Times New Roman" w:cs="Times New Roman"/>
                <w:szCs w:val="20"/>
              </w:rPr>
              <w:t>一床一巾落实到位，终末消毒到位</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7</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eastAsia" w:ascii="Times New Roman" w:hAnsi="Times New Roman" w:cs="Times New Roman"/>
                <w:szCs w:val="20"/>
              </w:rPr>
              <w:t>床头柜、餐板每日清洁，无污渍</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8</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宋体" w:hAnsi="宋体" w:cs="宋体"/>
                <w:color w:val="000000"/>
                <w:sz w:val="22"/>
                <w:szCs w:val="20"/>
              </w:rPr>
              <w:t>开关、门窗定期清洁，无灰尘</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9</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1"/>
              </w:rPr>
              <w:t>标识牌、宣传栏、等清</w:t>
            </w:r>
            <w:r>
              <w:rPr>
                <w:rFonts w:hint="eastAsia" w:ascii="Times New Roman" w:hAnsi="Times New Roman" w:cs="Times New Roman"/>
                <w:szCs w:val="21"/>
              </w:rPr>
              <w:t>洁</w:t>
            </w:r>
            <w:r>
              <w:rPr>
                <w:rFonts w:hint="eastAsia" w:ascii="Times New Roman" w:hAnsi="Times New Roman" w:cs="Times New Roman"/>
                <w:szCs w:val="20"/>
              </w:rPr>
              <w:t>干净、无灰</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10</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窗台无灰、无污渍，</w:t>
            </w:r>
            <w:r>
              <w:rPr>
                <w:rFonts w:hint="default" w:ascii="Times New Roman" w:hAnsi="Times New Roman" w:cs="Times New Roman"/>
                <w:szCs w:val="21"/>
              </w:rPr>
              <w:t>无烟头、</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11</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候诊</w:t>
            </w:r>
            <w:r>
              <w:rPr>
                <w:rFonts w:hint="default" w:ascii="Times New Roman" w:hAnsi="Times New Roman" w:cs="Times New Roman"/>
                <w:szCs w:val="21"/>
              </w:rPr>
              <w:t>区椅</w:t>
            </w:r>
            <w:r>
              <w:rPr>
                <w:rFonts w:hint="eastAsia" w:ascii="Times New Roman" w:hAnsi="Times New Roman" w:cs="Times New Roman"/>
                <w:szCs w:val="21"/>
              </w:rPr>
              <w:t>子</w:t>
            </w:r>
            <w:r>
              <w:rPr>
                <w:rFonts w:hint="default" w:ascii="Times New Roman" w:hAnsi="Times New Roman" w:cs="Times New Roman"/>
                <w:szCs w:val="21"/>
              </w:rPr>
              <w:t>干净，不得有污迹、脚踢印</w:t>
            </w:r>
            <w:r>
              <w:rPr>
                <w:rFonts w:hint="eastAsia" w:ascii="Times New Roman" w:hAnsi="Times New Roman" w:cs="Times New Roman"/>
                <w:szCs w:val="21"/>
              </w:rPr>
              <w:t>等</w:t>
            </w:r>
            <w:r>
              <w:rPr>
                <w:rFonts w:hint="default" w:ascii="Times New Roman" w:hAnsi="Times New Roman" w:cs="Times New Roman"/>
                <w:szCs w:val="21"/>
              </w:rPr>
              <w:t>痕迹</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12</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eastAsia" w:ascii="宋体" w:hAnsi="宋体" w:cs="宋体"/>
                <w:color w:val="000000"/>
                <w:sz w:val="22"/>
                <w:szCs w:val="20"/>
              </w:rPr>
              <w:t>电梯按时清洁，</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13</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垃圾</w:t>
            </w:r>
            <w:r>
              <w:rPr>
                <w:rFonts w:hint="default" w:ascii="Times New Roman" w:hAnsi="Times New Roman" w:cs="Times New Roman"/>
                <w:color w:val="000000"/>
                <w:sz w:val="22"/>
                <w:szCs w:val="20"/>
              </w:rPr>
              <w:t>及时清运</w:t>
            </w:r>
            <w:r>
              <w:rPr>
                <w:rFonts w:hint="eastAsia" w:ascii="Times New Roman" w:hAnsi="Times New Roman" w:cs="Times New Roman"/>
                <w:color w:val="000000"/>
                <w:sz w:val="22"/>
                <w:szCs w:val="20"/>
              </w:rPr>
              <w:t>无溢出</w:t>
            </w:r>
            <w:r>
              <w:rPr>
                <w:rFonts w:hint="default" w:ascii="Times New Roman" w:hAnsi="Times New Roman" w:cs="Times New Roman"/>
                <w:color w:val="000000"/>
                <w:sz w:val="22"/>
                <w:szCs w:val="20"/>
              </w:rPr>
              <w:t>，无过夜垃圾</w:t>
            </w:r>
            <w:r>
              <w:rPr>
                <w:rFonts w:hint="eastAsia" w:ascii="Times New Roman" w:hAnsi="Times New Roman" w:cs="Times New Roman"/>
                <w:color w:val="000000"/>
                <w:sz w:val="22"/>
                <w:szCs w:val="20"/>
              </w:rPr>
              <w:t>，</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14</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地面干净、无垃圾</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15</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卫生间地</w:t>
            </w:r>
            <w:r>
              <w:rPr>
                <w:rFonts w:hint="default" w:ascii="Times New Roman" w:hAnsi="Times New Roman" w:cs="Times New Roman"/>
                <w:szCs w:val="21"/>
              </w:rPr>
              <w:t>垫干净清洁</w:t>
            </w:r>
            <w:r>
              <w:rPr>
                <w:rFonts w:hint="eastAsia" w:ascii="Times New Roman" w:hAnsi="Times New Roman" w:cs="Times New Roman"/>
                <w:szCs w:val="21"/>
              </w:rPr>
              <w:t>无污渍</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16</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szCs w:val="20"/>
              </w:rPr>
              <w:t>走廊栏杆无灰、干净明亮</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sz w:val="30"/>
                <w:szCs w:val="3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17</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1"/>
              </w:rPr>
              <w:t>办公室、会议室、</w:t>
            </w:r>
            <w:r>
              <w:rPr>
                <w:rFonts w:hint="eastAsia" w:ascii="Times New Roman" w:hAnsi="Times New Roman" w:cs="Times New Roman"/>
                <w:szCs w:val="21"/>
              </w:rPr>
              <w:t>诊室等保持清洁</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18</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卫生间干净</w:t>
            </w:r>
            <w:r>
              <w:rPr>
                <w:rFonts w:hint="eastAsia" w:ascii="Times New Roman" w:hAnsi="Times New Roman" w:cs="Times New Roman"/>
                <w:szCs w:val="20"/>
              </w:rPr>
              <w:t>清洁无异味、</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19</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color w:val="000000"/>
                <w:sz w:val="22"/>
                <w:szCs w:val="20"/>
              </w:rPr>
              <w:t>开水机按时清洁、每日消毒</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20</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护士站地面干净、无污物</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21</w:t>
            </w:r>
          </w:p>
        </w:tc>
        <w:tc>
          <w:tcPr>
            <w:tcW w:w="3010" w:type="dxa"/>
            <w:vAlign w:val="center"/>
          </w:tcPr>
          <w:p>
            <w:pPr>
              <w:keepNext w:val="0"/>
              <w:keepLines w:val="0"/>
              <w:widowControl/>
              <w:suppressLineNumbers w:val="0"/>
              <w:tabs>
                <w:tab w:val="center" w:pos="2471"/>
              </w:tabs>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color w:val="000000"/>
                <w:sz w:val="22"/>
                <w:szCs w:val="20"/>
              </w:rPr>
              <w:t>检查室、治疗室、处置室</w:t>
            </w:r>
            <w:r>
              <w:rPr>
                <w:rFonts w:hint="eastAsia" w:ascii="Times New Roman" w:hAnsi="Times New Roman" w:cs="Times New Roman"/>
                <w:color w:val="000000"/>
                <w:sz w:val="22"/>
                <w:szCs w:val="20"/>
              </w:rPr>
              <w:tab/>
            </w:r>
            <w:r>
              <w:rPr>
                <w:rFonts w:hint="eastAsia" w:ascii="Times New Roman" w:hAnsi="Times New Roman" w:cs="Times New Roman"/>
                <w:color w:val="000000"/>
                <w:sz w:val="22"/>
                <w:szCs w:val="20"/>
              </w:rPr>
              <w:t>表</w:t>
            </w:r>
            <w:r>
              <w:rPr>
                <w:rFonts w:hint="eastAsia" w:ascii="Times New Roman" w:hAnsi="Times New Roman" w:cs="Times New Roman"/>
                <w:szCs w:val="20"/>
              </w:rPr>
              <w:t>面干净、无垃圾</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行为</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习惯</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（20分）</w:t>
            </w: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22</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上班着规定工作服</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23</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szCs w:val="20"/>
              </w:rPr>
              <w:t>工作服清洁，整齐</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24</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保洁工具规范摆放</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25</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清洁药剂标识清楚，使用时随车携带</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26</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szCs w:val="20"/>
              </w:rPr>
              <w:t>正确分区使用拖布，</w:t>
            </w:r>
            <w:r>
              <w:rPr>
                <w:rFonts w:hint="default" w:ascii="Times New Roman" w:hAnsi="Times New Roman" w:cs="Times New Roman"/>
                <w:szCs w:val="20"/>
              </w:rPr>
              <w:t>保洁工作时不得交叉作业</w:t>
            </w:r>
            <w:r>
              <w:rPr>
                <w:rFonts w:hint="eastAsia" w:ascii="Times New Roman" w:hAnsi="Times New Roman" w:cs="Times New Roman"/>
                <w:szCs w:val="20"/>
              </w:rPr>
              <w:t>，清洁药剂配制正确</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2</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27</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培训落实到位，手卫生规范</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restart"/>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质量</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管理</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（15分）</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28</w:t>
            </w:r>
          </w:p>
        </w:tc>
        <w:tc>
          <w:tcPr>
            <w:tcW w:w="3010"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Calibri" w:hAnsi="Calibri" w:cs="Times New Roman"/>
                <w:szCs w:val="20"/>
              </w:rPr>
              <w:t>相同问题</w:t>
            </w:r>
            <w:r>
              <w:rPr>
                <w:rFonts w:hint="eastAsia" w:ascii="Times New Roman" w:hAnsi="Times New Roman" w:cs="Times New Roman"/>
                <w:szCs w:val="20"/>
              </w:rPr>
              <w:t>多次发现告知整改，已及时整改并反馈科室</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29</w:t>
            </w:r>
          </w:p>
        </w:tc>
        <w:tc>
          <w:tcPr>
            <w:tcW w:w="3010"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反馈的问题及时整改、落实到位</w:t>
            </w:r>
          </w:p>
        </w:tc>
        <w:tc>
          <w:tcPr>
            <w:tcW w:w="94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42"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62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30</w:t>
            </w:r>
          </w:p>
        </w:tc>
        <w:tc>
          <w:tcPr>
            <w:tcW w:w="3010" w:type="dxa"/>
            <w:tcBorders>
              <w:bottom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投诉及不良事件</w:t>
            </w:r>
          </w:p>
        </w:tc>
        <w:tc>
          <w:tcPr>
            <w:tcW w:w="945" w:type="dxa"/>
            <w:tcBorders>
              <w:bottom w:val="single" w:color="auto" w:sz="4" w:space="0"/>
            </w:tcBorders>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15" w:type="dxa"/>
            <w:tcBorders>
              <w:bottom w:val="single" w:color="auto" w:sz="4" w:space="0"/>
            </w:tcBorders>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900" w:type="dxa"/>
            <w:tcBorders>
              <w:bottom w:val="single" w:color="auto" w:sz="4" w:space="0"/>
            </w:tcBorders>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05" w:type="dxa"/>
            <w:tcBorders>
              <w:bottom w:val="single" w:color="auto" w:sz="4" w:space="0"/>
            </w:tcBorders>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320" w:type="dxa"/>
            <w:tcBorders>
              <w:bottom w:val="single" w:color="auto" w:sz="4" w:space="0"/>
            </w:tcBorders>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263" w:type="dxa"/>
            <w:gridSpan w:val="3"/>
            <w:tcBorders>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 w:val="30"/>
                <w:szCs w:val="30"/>
              </w:rPr>
              <w:t>备注</w:t>
            </w:r>
          </w:p>
        </w:tc>
        <w:tc>
          <w:tcPr>
            <w:tcW w:w="8095" w:type="dxa"/>
            <w:gridSpan w:val="6"/>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bl>
    <w:p>
      <w:pPr>
        <w:autoSpaceDE w:val="0"/>
        <w:autoSpaceDN w:val="0"/>
        <w:adjustRightInd w:val="0"/>
        <w:spacing w:before="156" w:beforeLines="50"/>
        <w:ind w:right="-216" w:rightChars="-103"/>
        <w:rPr>
          <w:rFonts w:ascii="Helvetica" w:hAnsi="Helvetica" w:cs="Helvetica"/>
          <w:bCs/>
          <w:szCs w:val="21"/>
        </w:rPr>
      </w:pPr>
    </w:p>
    <w:p>
      <w:pPr>
        <w:autoSpaceDE w:val="0"/>
        <w:autoSpaceDN w:val="0"/>
        <w:adjustRightInd w:val="0"/>
        <w:spacing w:before="156" w:beforeLines="50"/>
        <w:ind w:right="-216" w:rightChars="-103"/>
        <w:rPr>
          <w:rFonts w:ascii="Helvetica" w:hAnsi="Helvetica" w:cs="Helvetica"/>
          <w:bCs/>
          <w:szCs w:val="21"/>
        </w:rPr>
      </w:pPr>
    </w:p>
    <w:p>
      <w:pPr>
        <w:autoSpaceDE w:val="0"/>
        <w:autoSpaceDN w:val="0"/>
        <w:adjustRightInd w:val="0"/>
        <w:spacing w:before="156" w:beforeLines="50"/>
        <w:ind w:right="-216" w:rightChars="-103"/>
        <w:jc w:val="both"/>
        <w:rPr>
          <w:rFonts w:hint="eastAsia" w:ascii="Helvetica" w:hAnsi="Helvetica" w:cs="Helvetica"/>
          <w:bCs/>
          <w:sz w:val="44"/>
          <w:szCs w:val="44"/>
        </w:rPr>
      </w:pPr>
    </w:p>
    <w:p>
      <w:pPr>
        <w:jc w:val="center"/>
        <w:rPr>
          <w:rFonts w:hint="eastAsia" w:cs="宋体"/>
          <w:b/>
          <w:bCs/>
          <w:sz w:val="44"/>
          <w:szCs w:val="44"/>
        </w:rPr>
      </w:pPr>
    </w:p>
    <w:p>
      <w:pPr>
        <w:jc w:val="center"/>
        <w:rPr>
          <w:rFonts w:hint="eastAsia" w:cs="宋体"/>
          <w:b/>
          <w:bCs/>
          <w:sz w:val="44"/>
          <w:szCs w:val="44"/>
        </w:rPr>
      </w:pPr>
    </w:p>
    <w:p>
      <w:pPr>
        <w:pStyle w:val="21"/>
        <w:ind w:right="-252"/>
        <w:rPr>
          <w:rFonts w:hint="eastAsia"/>
        </w:rPr>
      </w:pPr>
    </w:p>
    <w:p>
      <w:pPr>
        <w:jc w:val="center"/>
        <w:rPr>
          <w:b/>
          <w:bCs/>
          <w:sz w:val="44"/>
          <w:szCs w:val="44"/>
        </w:rPr>
      </w:pPr>
      <w:r>
        <w:rPr>
          <w:rFonts w:hint="eastAsia" w:cs="宋体"/>
          <w:b/>
          <w:bCs/>
          <w:sz w:val="44"/>
          <w:szCs w:val="44"/>
        </w:rPr>
        <w:t>运送安全质量考核表</w:t>
      </w:r>
    </w:p>
    <w:p>
      <w:pPr>
        <w:spacing w:line="360" w:lineRule="exact"/>
        <w:ind w:left="-4" w:leftChars="-2" w:firstLine="560" w:firstLineChars="200"/>
        <w:rPr>
          <w:rFonts w:hint="eastAsia" w:cs="宋体"/>
          <w:sz w:val="28"/>
          <w:szCs w:val="28"/>
        </w:rPr>
      </w:pPr>
      <w:r>
        <w:rPr>
          <w:rFonts w:hint="eastAsia" w:cs="宋体"/>
          <w:sz w:val="28"/>
          <w:szCs w:val="28"/>
        </w:rPr>
        <w:t>日期：</w:t>
      </w:r>
      <w:r>
        <w:rPr>
          <w:rFonts w:hint="eastAsia" w:cs="宋体"/>
          <w:sz w:val="28"/>
          <w:szCs w:val="28"/>
          <w:u w:val="single"/>
        </w:rPr>
        <w:t xml:space="preserve">              </w:t>
      </w:r>
      <w:r>
        <w:rPr>
          <w:rFonts w:hint="eastAsia" w:cs="宋体"/>
          <w:sz w:val="28"/>
          <w:szCs w:val="28"/>
        </w:rPr>
        <w:t xml:space="preserve">                                                                 </w:t>
      </w:r>
    </w:p>
    <w:p>
      <w:pPr>
        <w:spacing w:line="360" w:lineRule="exact"/>
        <w:ind w:left="-4" w:leftChars="-2" w:firstLine="560" w:firstLineChars="200"/>
        <w:rPr>
          <w:rFonts w:hint="eastAsia" w:cs="宋体"/>
          <w:sz w:val="28"/>
          <w:szCs w:val="28"/>
        </w:rPr>
      </w:pPr>
      <w:r>
        <w:rPr>
          <w:rFonts w:hint="eastAsia" w:cs="宋体"/>
          <w:sz w:val="28"/>
          <w:szCs w:val="28"/>
        </w:rPr>
        <w:t>评分：</w:t>
      </w:r>
    </w:p>
    <w:p>
      <w:pPr>
        <w:ind w:left="-4" w:leftChars="-2" w:firstLine="560" w:firstLineChars="200"/>
        <w:rPr>
          <w:rFonts w:hint="eastAsia" w:cs="宋体"/>
          <w:sz w:val="28"/>
          <w:szCs w:val="28"/>
        </w:rPr>
      </w:pPr>
      <w:r>
        <w:rPr>
          <w:rFonts w:hint="eastAsia" w:cs="宋体"/>
          <w:sz w:val="28"/>
          <w:szCs w:val="28"/>
        </w:rPr>
        <w:t xml:space="preserve">巡查方式： </w:t>
      </w:r>
      <w:r>
        <w:rPr>
          <w:rFonts w:hint="eastAsia" w:cs="宋体"/>
          <w:sz w:val="28"/>
          <w:szCs w:val="28"/>
        </w:rPr>
        <w:sym w:font="Wingdings" w:char="F06F"/>
      </w:r>
      <w:r>
        <w:rPr>
          <w:rFonts w:hint="eastAsia" w:cs="宋体"/>
          <w:sz w:val="28"/>
          <w:szCs w:val="28"/>
        </w:rPr>
        <w:t xml:space="preserve">日常      </w:t>
      </w:r>
      <w:r>
        <w:rPr>
          <w:rFonts w:hint="eastAsia" w:cs="宋体"/>
          <w:sz w:val="28"/>
          <w:szCs w:val="28"/>
        </w:rPr>
        <w:sym w:font="Wingdings" w:char="00A8"/>
      </w:r>
      <w:r>
        <w:rPr>
          <w:rFonts w:hint="eastAsia" w:cs="宋体"/>
          <w:sz w:val="28"/>
          <w:szCs w:val="28"/>
        </w:rPr>
        <w:t xml:space="preserve">定期    </w:t>
      </w:r>
      <w:r>
        <w:rPr>
          <w:rFonts w:hint="eastAsia" w:cs="宋体"/>
          <w:sz w:val="28"/>
          <w:szCs w:val="28"/>
        </w:rPr>
        <w:sym w:font="Wingdings" w:char="F06F"/>
      </w:r>
      <w:r>
        <w:rPr>
          <w:rFonts w:hint="eastAsia" w:cs="宋体"/>
          <w:sz w:val="28"/>
          <w:szCs w:val="28"/>
        </w:rPr>
        <w:t xml:space="preserve">多部门                    </w:t>
      </w:r>
    </w:p>
    <w:p>
      <w:pPr>
        <w:ind w:left="-4" w:leftChars="-2" w:firstLine="560" w:firstLineChars="200"/>
        <w:rPr>
          <w:rFonts w:hint="eastAsia"/>
        </w:rPr>
      </w:pPr>
      <w:r>
        <w:rPr>
          <w:rFonts w:hint="eastAsia" w:cs="宋体"/>
          <w:sz w:val="28"/>
          <w:szCs w:val="28"/>
        </w:rPr>
        <w:t>科室负责人；</w:t>
      </w:r>
    </w:p>
    <w:tbl>
      <w:tblPr>
        <w:tblStyle w:val="45"/>
        <w:tblpPr w:leftFromText="180" w:rightFromText="180" w:vertAnchor="text" w:horzAnchor="page" w:tblpX="690" w:tblpY="437"/>
        <w:tblOverlap w:val="never"/>
        <w:tblW w:w="104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751"/>
        <w:gridCol w:w="751"/>
        <w:gridCol w:w="4149"/>
        <w:gridCol w:w="735"/>
        <w:gridCol w:w="780"/>
        <w:gridCol w:w="88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blHeader/>
        </w:trPr>
        <w:tc>
          <w:tcPr>
            <w:tcW w:w="1335" w:type="dxa"/>
            <w:vAlign w:val="center"/>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sz w:val="28"/>
                <w:szCs w:val="28"/>
              </w:rPr>
            </w:pPr>
            <w:r>
              <w:rPr>
                <w:rFonts w:hint="eastAsia" w:ascii="Times New Roman" w:hAnsi="Times New Roman" w:cs="Times New Roman"/>
                <w:sz w:val="28"/>
                <w:szCs w:val="28"/>
              </w:rPr>
              <w:t>项目</w:t>
            </w:r>
          </w:p>
        </w:tc>
        <w:tc>
          <w:tcPr>
            <w:tcW w:w="751" w:type="dxa"/>
            <w:vAlign w:val="top"/>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sz w:val="28"/>
                <w:szCs w:val="28"/>
              </w:rPr>
            </w:pPr>
            <w:r>
              <w:rPr>
                <w:rFonts w:hint="eastAsia" w:ascii="Times New Roman" w:hAnsi="Times New Roman" w:cs="Times New Roman"/>
                <w:sz w:val="28"/>
                <w:szCs w:val="28"/>
              </w:rPr>
              <w:t>分值</w:t>
            </w:r>
          </w:p>
        </w:tc>
        <w:tc>
          <w:tcPr>
            <w:tcW w:w="751" w:type="dxa"/>
            <w:vAlign w:val="center"/>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szCs w:val="20"/>
              </w:rPr>
            </w:pPr>
            <w:r>
              <w:rPr>
                <w:rFonts w:hint="eastAsia" w:ascii="Times New Roman" w:hAnsi="Times New Roman" w:cs="Times New Roman"/>
                <w:sz w:val="28"/>
                <w:szCs w:val="28"/>
              </w:rPr>
              <w:t>序号</w:t>
            </w:r>
          </w:p>
        </w:tc>
        <w:tc>
          <w:tcPr>
            <w:tcW w:w="414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 w:val="28"/>
                <w:szCs w:val="28"/>
              </w:rPr>
              <w:t>项目要求</w:t>
            </w:r>
          </w:p>
        </w:tc>
        <w:tc>
          <w:tcPr>
            <w:tcW w:w="73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符合</w:t>
            </w:r>
          </w:p>
        </w:tc>
        <w:tc>
          <w:tcPr>
            <w:tcW w:w="78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部分</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符合</w:t>
            </w:r>
          </w:p>
        </w:tc>
        <w:tc>
          <w:tcPr>
            <w:tcW w:w="88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eastAsia" w:ascii="Times New Roman" w:hAnsi="Times New Roman" w:cs="Times New Roman"/>
                <w:sz w:val="24"/>
                <w:szCs w:val="24"/>
              </w:rPr>
              <w:t>不符合</w:t>
            </w:r>
          </w:p>
        </w:tc>
        <w:tc>
          <w:tcPr>
            <w:tcW w:w="106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 w:val="28"/>
                <w:szCs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35" w:type="dxa"/>
            <w:vMerge w:val="restart"/>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运送</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安全</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Cs w:val="20"/>
              </w:rPr>
            </w:pPr>
            <w:r>
              <w:rPr>
                <w:rFonts w:hint="eastAsia" w:ascii="Times New Roman" w:hAnsi="Times New Roman" w:cs="Times New Roman"/>
                <w:sz w:val="30"/>
                <w:szCs w:val="30"/>
              </w:rPr>
              <w:t>（70分）</w:t>
            </w:r>
          </w:p>
        </w:tc>
        <w:tc>
          <w:tcPr>
            <w:tcW w:w="7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w:t>
            </w:r>
          </w:p>
        </w:tc>
        <w:tc>
          <w:tcPr>
            <w:tcW w:w="4149"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Times New Roman" w:hAnsi="Times New Roman" w:cs="Times New Roman"/>
                <w:color w:val="000000"/>
                <w:sz w:val="22"/>
                <w:szCs w:val="20"/>
              </w:rPr>
              <w:t>标本运送有交接、有扫描、有核对</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运送中三倒退（进/出病房倒退、进/出电梯倒退、下坡倒退）</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3</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 w:val="22"/>
                <w:szCs w:val="20"/>
              </w:rPr>
              <w:t>运送中系好安全带</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4</w:t>
            </w:r>
          </w:p>
        </w:tc>
        <w:tc>
          <w:tcPr>
            <w:tcW w:w="4149"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color w:val="000000"/>
                <w:sz w:val="22"/>
                <w:szCs w:val="20"/>
              </w:rPr>
              <w:t>运送病人等待时，有无刹车</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9</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4149" w:type="dxa"/>
            <w:vAlign w:val="center"/>
          </w:tcPr>
          <w:p>
            <w:pPr>
              <w:keepNext w:val="0"/>
              <w:keepLines w:val="0"/>
              <w:widowControl/>
              <w:suppressLineNumbers w:val="0"/>
              <w:spacing w:before="0" w:beforeAutospacing="0" w:after="0" w:afterAutospacing="0"/>
              <w:ind w:left="0" w:right="0"/>
              <w:rPr>
                <w:rFonts w:hint="default" w:ascii="宋体" w:hAnsi="宋体" w:cs="宋体"/>
                <w:color w:val="000000"/>
                <w:sz w:val="22"/>
                <w:szCs w:val="20"/>
              </w:rPr>
            </w:pPr>
            <w:r>
              <w:rPr>
                <w:rFonts w:hint="eastAsia" w:ascii="Times New Roman" w:hAnsi="Times New Roman" w:cs="Times New Roman"/>
                <w:szCs w:val="20"/>
              </w:rPr>
              <w:t>运送及停放方法正确</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6</w:t>
            </w:r>
          </w:p>
        </w:tc>
        <w:tc>
          <w:tcPr>
            <w:tcW w:w="4149" w:type="dxa"/>
            <w:vAlign w:val="center"/>
          </w:tcPr>
          <w:p>
            <w:pPr>
              <w:keepNext w:val="0"/>
              <w:keepLines w:val="0"/>
              <w:widowControl/>
              <w:suppressLineNumbers w:val="0"/>
              <w:spacing w:before="0" w:beforeAutospacing="0" w:after="0" w:afterAutospacing="0"/>
              <w:ind w:left="0" w:right="0"/>
              <w:rPr>
                <w:rFonts w:hint="default" w:ascii="宋体" w:hAnsi="宋体" w:cs="宋体"/>
                <w:color w:val="000000"/>
                <w:sz w:val="22"/>
                <w:szCs w:val="20"/>
              </w:rPr>
            </w:pPr>
            <w:r>
              <w:rPr>
                <w:rFonts w:hint="eastAsia" w:ascii="Times New Roman" w:hAnsi="Times New Roman" w:cs="Times New Roman"/>
                <w:szCs w:val="20"/>
              </w:rPr>
              <w:t>运送病人时，正确使用手套</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9</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7</w:t>
            </w:r>
          </w:p>
        </w:tc>
        <w:tc>
          <w:tcPr>
            <w:tcW w:w="4149"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szCs w:val="20"/>
              </w:rPr>
            </w:pPr>
            <w:r>
              <w:rPr>
                <w:rFonts w:hint="eastAsia" w:ascii="宋体" w:hAnsi="宋体" w:cs="宋体"/>
                <w:color w:val="000000"/>
                <w:sz w:val="22"/>
                <w:szCs w:val="20"/>
              </w:rPr>
              <w:t>运送药物时，使用规定的运送箱</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szCs w:val="20"/>
              </w:rPr>
            </w:pPr>
            <w:r>
              <w:rPr>
                <w:rFonts w:hint="eastAsia" w:ascii="Times New Roman" w:hAnsi="Times New Roman" w:cs="Times New Roman"/>
                <w:szCs w:val="20"/>
              </w:rPr>
              <w:t>15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8</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宋体" w:hAnsi="宋体" w:cs="宋体"/>
                <w:color w:val="000000"/>
                <w:sz w:val="22"/>
                <w:szCs w:val="20"/>
              </w:rPr>
              <w:t>运送药物时，注意药品安全，人不离药</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9</w:t>
            </w:r>
          </w:p>
        </w:tc>
        <w:tc>
          <w:tcPr>
            <w:tcW w:w="4149"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color w:val="000000"/>
                <w:sz w:val="22"/>
                <w:szCs w:val="20"/>
              </w:rPr>
            </w:pPr>
            <w:r>
              <w:rPr>
                <w:rFonts w:hint="eastAsia" w:ascii="Times New Roman" w:hAnsi="Times New Roman" w:cs="Times New Roman"/>
                <w:color w:val="000000"/>
                <w:sz w:val="22"/>
                <w:szCs w:val="20"/>
              </w:rPr>
              <w:t>上下班做好交接工作</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9</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10</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宋体" w:hAnsi="宋体" w:cs="宋体"/>
                <w:color w:val="000000"/>
                <w:sz w:val="22"/>
                <w:szCs w:val="20"/>
              </w:rPr>
              <w:t>运送及时性</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行为</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习惯</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（15分）</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11</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上班着规定工作服</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2</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12</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工作服清洁，</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13</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宋体" w:hAnsi="宋体" w:cs="宋体"/>
                <w:color w:val="000000"/>
                <w:sz w:val="22"/>
                <w:szCs w:val="20"/>
              </w:rPr>
              <w:t>平车、轮椅清洁、消毒规范</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14</w:t>
            </w:r>
          </w:p>
        </w:tc>
        <w:tc>
          <w:tcPr>
            <w:tcW w:w="4149" w:type="dxa"/>
            <w:vAlign w:val="center"/>
          </w:tcPr>
          <w:p>
            <w:pPr>
              <w:keepNext w:val="0"/>
              <w:keepLines w:val="0"/>
              <w:widowControl/>
              <w:suppressLineNumbers w:val="0"/>
              <w:spacing w:before="0" w:beforeAutospacing="0" w:after="0" w:afterAutospacing="0"/>
              <w:ind w:left="0" w:right="0"/>
              <w:rPr>
                <w:rFonts w:hint="default" w:ascii="宋体" w:hAnsi="宋体" w:cs="宋体"/>
                <w:color w:val="000000"/>
                <w:sz w:val="22"/>
                <w:szCs w:val="20"/>
              </w:rPr>
            </w:pPr>
            <w:r>
              <w:rPr>
                <w:rFonts w:hint="eastAsia" w:ascii="宋体" w:hAnsi="宋体" w:cs="宋体"/>
                <w:color w:val="000000"/>
                <w:sz w:val="22"/>
                <w:szCs w:val="20"/>
              </w:rPr>
              <w:t>运送数据表格记录完善</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3</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15</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培训落实到位</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restart"/>
            <w:vAlign w:val="top"/>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质量</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管理</w:t>
            </w:r>
          </w:p>
          <w:p>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zCs w:val="20"/>
              </w:rPr>
            </w:pPr>
            <w:r>
              <w:rPr>
                <w:rFonts w:hint="eastAsia" w:ascii="Times New Roman" w:hAnsi="Times New Roman" w:cs="Times New Roman"/>
                <w:sz w:val="30"/>
                <w:szCs w:val="30"/>
              </w:rPr>
              <w:t>（15分）</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16</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Calibri" w:hAnsi="Calibri" w:cs="Times New Roman"/>
                <w:szCs w:val="20"/>
              </w:rPr>
              <w:t>相同问题</w:t>
            </w:r>
            <w:r>
              <w:rPr>
                <w:rFonts w:hint="eastAsia" w:ascii="Times New Roman" w:hAnsi="Times New Roman" w:cs="Times New Roman"/>
                <w:szCs w:val="20"/>
              </w:rPr>
              <w:t>多次发现告知整改，已及时整改并反馈科室</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17</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反馈的问题及时整改、落实到位</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335" w:type="dxa"/>
            <w:vMerge w:val="continue"/>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5</w:t>
            </w:r>
          </w:p>
        </w:tc>
        <w:tc>
          <w:tcPr>
            <w:tcW w:w="75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0"/>
              </w:rPr>
            </w:pPr>
            <w:r>
              <w:rPr>
                <w:rFonts w:hint="eastAsia" w:ascii="Times New Roman" w:hAnsi="Times New Roman" w:cs="Times New Roman"/>
                <w:szCs w:val="20"/>
              </w:rPr>
              <w:t>18</w:t>
            </w:r>
          </w:p>
        </w:tc>
        <w:tc>
          <w:tcPr>
            <w:tcW w:w="414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1"/>
              </w:rPr>
              <w:t>投诉及不良事件</w:t>
            </w:r>
          </w:p>
        </w:tc>
        <w:tc>
          <w:tcPr>
            <w:tcW w:w="73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780"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88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c>
          <w:tcPr>
            <w:tcW w:w="1065" w:type="dxa"/>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2837"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30"/>
                <w:szCs w:val="30"/>
              </w:rPr>
            </w:pPr>
            <w:r>
              <w:rPr>
                <w:rFonts w:hint="eastAsia" w:ascii="Times New Roman" w:hAnsi="Times New Roman" w:cs="Times New Roman"/>
                <w:sz w:val="30"/>
                <w:szCs w:val="30"/>
              </w:rPr>
              <w:t>备注</w:t>
            </w:r>
          </w:p>
        </w:tc>
        <w:tc>
          <w:tcPr>
            <w:tcW w:w="7614" w:type="dxa"/>
            <w:gridSpan w:val="5"/>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Cs w:val="20"/>
              </w:rPr>
            </w:pPr>
          </w:p>
        </w:tc>
      </w:tr>
    </w:tbl>
    <w:p>
      <w:pPr>
        <w:autoSpaceDE w:val="0"/>
        <w:autoSpaceDN w:val="0"/>
        <w:adjustRightInd w:val="0"/>
        <w:spacing w:line="20" w:lineRule="exact"/>
        <w:ind w:right="-76" w:rightChars="-36"/>
        <w:rPr>
          <w:rFonts w:ascii="Helvetica" w:hAnsi="Helvetica" w:cs="Helvetica"/>
          <w:bCs/>
          <w:sz w:val="24"/>
          <w:szCs w:val="24"/>
        </w:rPr>
      </w:pPr>
    </w:p>
    <w:p>
      <w:pPr>
        <w:rPr>
          <w:rFonts w:hint="eastAsia" w:ascii="宋体" w:hAnsi="宋体" w:cs="宋体"/>
        </w:rPr>
      </w:pPr>
    </w:p>
    <w:p>
      <w:pPr>
        <w:pStyle w:val="2"/>
        <w:rPr>
          <w:rFonts w:hint="eastAsia" w:ascii="宋体" w:hAnsi="宋体" w:eastAsia="宋体" w:cs="宋体"/>
        </w:rPr>
      </w:pPr>
    </w:p>
    <w:p>
      <w:pPr>
        <w:rPr>
          <w:rFonts w:hint="eastAsia" w:ascii="宋体" w:hAnsi="宋体" w:cs="宋体"/>
        </w:rPr>
      </w:pPr>
    </w:p>
    <w:p>
      <w:pPr>
        <w:pStyle w:val="19"/>
        <w:ind w:left="0" w:leftChars="0"/>
        <w:jc w:val="center"/>
        <w:outlineLvl w:val="0"/>
        <w:rPr>
          <w:rFonts w:hint="eastAsia" w:ascii="宋体" w:hAnsi="宋体" w:cs="宋体"/>
          <w:b/>
          <w:bCs/>
          <w:color w:val="7030A0"/>
          <w:sz w:val="28"/>
          <w:szCs w:val="36"/>
        </w:rPr>
      </w:pPr>
      <w:bookmarkStart w:id="258" w:name="_Toc14993"/>
      <w:bookmarkStart w:id="259" w:name="_Toc1687"/>
      <w:bookmarkStart w:id="260" w:name="_Toc6358"/>
      <w:bookmarkStart w:id="261" w:name="_Toc8422"/>
      <w:bookmarkStart w:id="262" w:name="_Toc4049"/>
      <w:bookmarkStart w:id="263" w:name="_Toc29744"/>
      <w:bookmarkStart w:id="264" w:name="_Toc5253"/>
      <w:bookmarkStart w:id="265" w:name="_Toc1826"/>
      <w:bookmarkStart w:id="266" w:name="_Toc19895"/>
      <w:bookmarkStart w:id="267" w:name="_Toc31723"/>
      <w:bookmarkStart w:id="268" w:name="_Toc25637"/>
      <w:bookmarkStart w:id="269" w:name="_Toc10278"/>
      <w:bookmarkStart w:id="270" w:name="_Toc30881"/>
      <w:bookmarkStart w:id="271" w:name="_Toc19662"/>
      <w:bookmarkStart w:id="272" w:name="_Toc25345"/>
      <w:bookmarkStart w:id="273" w:name="_Toc23886"/>
      <w:bookmarkStart w:id="274" w:name="_Toc27037"/>
      <w:bookmarkStart w:id="275" w:name="_Toc30801"/>
      <w:bookmarkStart w:id="276" w:name="_Toc24757"/>
      <w:bookmarkStart w:id="277" w:name="_Toc21372"/>
      <w:bookmarkStart w:id="278" w:name="_Toc31198"/>
      <w:bookmarkStart w:id="279" w:name="_Toc15654"/>
      <w:r>
        <w:rPr>
          <w:rFonts w:hint="eastAsia" w:ascii="宋体" w:hAnsi="宋体" w:cs="宋体"/>
          <w:b/>
          <w:bCs/>
          <w:color w:val="000000"/>
          <w:sz w:val="28"/>
          <w:szCs w:val="36"/>
        </w:rPr>
        <w:t xml:space="preserve">第四部分 </w:t>
      </w:r>
      <w:bookmarkStart w:id="280" w:name="_Toc19896"/>
      <w:r>
        <w:rPr>
          <w:rFonts w:hint="eastAsia" w:ascii="宋体" w:hAnsi="宋体" w:cs="宋体"/>
          <w:b/>
          <w:bCs/>
          <w:color w:val="000000"/>
          <w:sz w:val="28"/>
          <w:szCs w:val="36"/>
        </w:rPr>
        <w:t>评标办法</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21"/>
        <w:numPr>
          <w:ilvl w:val="0"/>
          <w:numId w:val="45"/>
        </w:numPr>
        <w:ind w:right="-252"/>
        <w:outlineLvl w:val="1"/>
        <w:rPr>
          <w:rFonts w:hint="eastAsia" w:ascii="Times New Roman" w:hAnsi="Times New Roman" w:cs="宋体"/>
          <w:sz w:val="24"/>
          <w:szCs w:val="24"/>
        </w:rPr>
      </w:pPr>
      <w:bookmarkStart w:id="281" w:name="_Toc16422"/>
      <w:bookmarkStart w:id="282" w:name="_Toc3111"/>
      <w:bookmarkStart w:id="283" w:name="_Toc2421"/>
      <w:bookmarkStart w:id="284" w:name="_Toc25956"/>
      <w:bookmarkStart w:id="285" w:name="_Toc4923"/>
      <w:bookmarkStart w:id="286" w:name="_Toc56"/>
      <w:bookmarkStart w:id="287" w:name="_Toc1155"/>
      <w:bookmarkStart w:id="288" w:name="_Toc12414"/>
      <w:bookmarkStart w:id="289" w:name="_Toc14918"/>
      <w:bookmarkStart w:id="290" w:name="_Toc7005"/>
      <w:bookmarkStart w:id="291" w:name="_Toc19761"/>
      <w:bookmarkStart w:id="292" w:name="_Toc15894"/>
      <w:bookmarkStart w:id="293" w:name="_Toc2300"/>
      <w:bookmarkStart w:id="294" w:name="_Toc26026"/>
      <w:bookmarkStart w:id="295" w:name="_Toc31234"/>
      <w:bookmarkStart w:id="296" w:name="_Toc4902"/>
      <w:bookmarkStart w:id="297" w:name="_Toc28506"/>
      <w:bookmarkStart w:id="298" w:name="_Toc16786"/>
      <w:r>
        <w:rPr>
          <w:rFonts w:hint="eastAsia" w:ascii="Times New Roman" w:hAnsi="Times New Roman" w:cs="宋体"/>
          <w:b/>
          <w:sz w:val="24"/>
          <w:szCs w:val="24"/>
        </w:rPr>
        <w:t>评标方法</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360" w:lineRule="auto"/>
        <w:ind w:firstLine="420" w:firstLineChars="200"/>
        <w:rPr>
          <w:rFonts w:hint="eastAsia"/>
          <w:bCs/>
          <w:color w:val="000000"/>
          <w:szCs w:val="21"/>
        </w:rPr>
      </w:pPr>
      <w:r>
        <w:rPr>
          <w:rFonts w:hint="eastAsia"/>
          <w:color w:val="000000"/>
          <w:szCs w:val="21"/>
        </w:rPr>
        <w:t>本项目采用综合评分法，即在投标文件满足招标文件全部实质性要求的基础上，按照评审因素的量化指标评审得分最高的投标人作为中标候选人。</w:t>
      </w:r>
      <w:r>
        <w:rPr>
          <w:rFonts w:hint="default" w:ascii="Arial" w:hAnsi="Arial" w:cs="Arial"/>
          <w:color w:val="000000"/>
          <w:szCs w:val="21"/>
        </w:rPr>
        <w:t>本项目</w:t>
      </w:r>
      <w:r>
        <w:rPr>
          <w:rFonts w:hint="default" w:ascii="Arial" w:hAnsi="Arial" w:cs="Arial"/>
          <w:bCs/>
          <w:color w:val="000000"/>
          <w:szCs w:val="21"/>
        </w:rPr>
        <w:t>总分为100分，其中商务技术部分</w:t>
      </w:r>
      <w:r>
        <w:rPr>
          <w:rFonts w:hint="default" w:ascii="Arial" w:hAnsi="Arial" w:cs="Arial"/>
          <w:bCs/>
          <w:color w:val="000000"/>
          <w:szCs w:val="21"/>
          <w:u w:val="single"/>
        </w:rPr>
        <w:t xml:space="preserve"> </w:t>
      </w:r>
      <w:r>
        <w:rPr>
          <w:rFonts w:hint="default" w:ascii="Arial" w:hAnsi="Arial" w:cs="Arial"/>
          <w:bCs/>
          <w:color w:val="000000"/>
          <w:szCs w:val="21"/>
          <w:u w:val="single"/>
          <w:lang w:val="en-US" w:eastAsia="zh-CN"/>
        </w:rPr>
        <w:t>90</w:t>
      </w:r>
      <w:r>
        <w:rPr>
          <w:rFonts w:hint="default" w:ascii="Arial" w:hAnsi="Arial" w:cs="Arial"/>
          <w:bCs/>
          <w:color w:val="000000"/>
          <w:szCs w:val="21"/>
          <w:u w:val="single"/>
        </w:rPr>
        <w:t xml:space="preserve"> </w:t>
      </w:r>
      <w:r>
        <w:rPr>
          <w:rFonts w:hint="default" w:ascii="Arial" w:hAnsi="Arial" w:cs="Arial"/>
          <w:bCs/>
          <w:color w:val="000000"/>
          <w:szCs w:val="21"/>
        </w:rPr>
        <w:t>分，报价部分</w:t>
      </w:r>
      <w:r>
        <w:rPr>
          <w:rFonts w:hint="default" w:ascii="Arial" w:hAnsi="Arial" w:cs="Arial"/>
          <w:bCs/>
          <w:color w:val="000000"/>
          <w:szCs w:val="21"/>
          <w:u w:val="single"/>
        </w:rPr>
        <w:t xml:space="preserve"> </w:t>
      </w:r>
      <w:r>
        <w:rPr>
          <w:rFonts w:hint="default" w:ascii="Arial" w:hAnsi="Arial" w:cs="Arial"/>
          <w:bCs/>
          <w:color w:val="000000"/>
          <w:szCs w:val="21"/>
          <w:u w:val="single"/>
          <w:lang w:val="en-US" w:eastAsia="zh-CN"/>
        </w:rPr>
        <w:t>10</w:t>
      </w:r>
      <w:r>
        <w:rPr>
          <w:rFonts w:hint="eastAsia"/>
          <w:bCs/>
          <w:color w:val="000000"/>
          <w:szCs w:val="21"/>
          <w:u w:val="single"/>
        </w:rPr>
        <w:t xml:space="preserve"> </w:t>
      </w:r>
      <w:r>
        <w:rPr>
          <w:rFonts w:hint="eastAsia"/>
          <w:bCs/>
          <w:color w:val="000000"/>
          <w:szCs w:val="21"/>
        </w:rPr>
        <w:t>分。</w:t>
      </w:r>
    </w:p>
    <w:p>
      <w:pPr>
        <w:pStyle w:val="3"/>
        <w:numPr>
          <w:ilvl w:val="0"/>
          <w:numId w:val="45"/>
        </w:numPr>
        <w:rPr>
          <w:rFonts w:hint="eastAsia" w:ascii="Times New Roman"/>
        </w:rPr>
      </w:pPr>
      <w:bookmarkStart w:id="299" w:name="_Toc24126"/>
      <w:bookmarkStart w:id="300" w:name="_Toc10840"/>
      <w:bookmarkStart w:id="301" w:name="_Toc4424"/>
      <w:bookmarkStart w:id="302" w:name="_Toc5999"/>
      <w:bookmarkStart w:id="303" w:name="_Toc2768"/>
      <w:bookmarkStart w:id="304" w:name="_Toc12560"/>
      <w:bookmarkStart w:id="305" w:name="_Toc19241"/>
      <w:bookmarkStart w:id="306" w:name="_Toc15939"/>
      <w:bookmarkStart w:id="307" w:name="_Toc689"/>
      <w:bookmarkStart w:id="308" w:name="_Toc28278"/>
      <w:bookmarkStart w:id="309" w:name="_Toc13884"/>
      <w:bookmarkStart w:id="310" w:name="_Toc11498"/>
      <w:bookmarkStart w:id="311" w:name="_Toc4635"/>
      <w:bookmarkStart w:id="312" w:name="_Toc4548"/>
      <w:bookmarkStart w:id="313" w:name="_Toc13650"/>
      <w:bookmarkStart w:id="314" w:name="_Toc32251"/>
      <w:bookmarkStart w:id="315" w:name="_Toc20507"/>
      <w:bookmarkStart w:id="316" w:name="_Toc11855"/>
      <w:bookmarkStart w:id="317" w:name="_Toc20860"/>
      <w:bookmarkStart w:id="318" w:name="_Toc21769"/>
      <w:r>
        <w:rPr>
          <w:rFonts w:hint="eastAsia" w:ascii="Times New Roman"/>
        </w:rPr>
        <w:t>评标程序</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napToGrid w:val="0"/>
        <w:spacing w:line="360" w:lineRule="auto"/>
        <w:ind w:firstLine="420" w:firstLineChars="200"/>
        <w:jc w:val="both"/>
        <w:rPr>
          <w:rFonts w:hint="eastAsia"/>
          <w:color w:val="000000"/>
          <w:szCs w:val="21"/>
        </w:rPr>
      </w:pPr>
      <w:r>
        <w:rPr>
          <w:rFonts w:hint="eastAsia"/>
          <w:color w:val="000000"/>
        </w:rPr>
        <w:t>1. 资</w:t>
      </w:r>
      <w:r>
        <w:rPr>
          <w:rFonts w:hint="eastAsia"/>
          <w:color w:val="000000"/>
          <w:szCs w:val="21"/>
        </w:rPr>
        <w:t>格性审查</w:t>
      </w:r>
    </w:p>
    <w:p>
      <w:pPr>
        <w:snapToGrid w:val="0"/>
        <w:spacing w:line="360" w:lineRule="auto"/>
        <w:ind w:firstLine="420" w:firstLineChars="200"/>
        <w:jc w:val="both"/>
        <w:rPr>
          <w:rFonts w:hint="eastAsia"/>
          <w:color w:val="000000"/>
          <w:szCs w:val="21"/>
        </w:rPr>
      </w:pPr>
      <w:r>
        <w:rPr>
          <w:rFonts w:hint="eastAsia"/>
          <w:color w:val="000000"/>
          <w:szCs w:val="21"/>
        </w:rPr>
        <w:t>开标结束后，采购人依法对投标人的资格进行审查。合格投标人不足3家的，不得评标。具体审查内容如下：</w:t>
      </w:r>
    </w:p>
    <w:p>
      <w:pPr>
        <w:snapToGrid w:val="0"/>
        <w:spacing w:line="360" w:lineRule="auto"/>
        <w:ind w:firstLine="420" w:firstLineChars="200"/>
        <w:jc w:val="both"/>
        <w:rPr>
          <w:rFonts w:hint="eastAsia"/>
          <w:color w:val="000000"/>
          <w:szCs w:val="21"/>
        </w:rPr>
      </w:pPr>
      <w:r>
        <w:rPr>
          <w:rFonts w:hint="eastAsia"/>
          <w:color w:val="000000"/>
          <w:szCs w:val="21"/>
        </w:rPr>
        <w:t>（1）满足《中华人民共和国政府采购法》第二十二条规定；</w:t>
      </w:r>
    </w:p>
    <w:p>
      <w:pPr>
        <w:snapToGrid w:val="0"/>
        <w:spacing w:line="360" w:lineRule="auto"/>
        <w:ind w:firstLine="420" w:firstLineChars="200"/>
        <w:jc w:val="both"/>
        <w:rPr>
          <w:rFonts w:hint="eastAsia"/>
          <w:color w:val="000000"/>
          <w:szCs w:val="21"/>
        </w:rPr>
      </w:pPr>
      <w:r>
        <w:rPr>
          <w:rFonts w:hint="eastAsia"/>
          <w:color w:val="000000"/>
          <w:szCs w:val="21"/>
        </w:rPr>
        <w:t>（2）落实政府采购政策需满足的资格要求；</w:t>
      </w:r>
    </w:p>
    <w:p>
      <w:pPr>
        <w:snapToGrid w:val="0"/>
        <w:spacing w:line="360" w:lineRule="auto"/>
        <w:ind w:firstLine="420" w:firstLineChars="200"/>
        <w:jc w:val="both"/>
        <w:rPr>
          <w:rFonts w:hint="eastAsia"/>
          <w:color w:val="000000"/>
          <w:szCs w:val="21"/>
        </w:rPr>
      </w:pPr>
      <w:r>
        <w:rPr>
          <w:rFonts w:hint="eastAsia"/>
          <w:color w:val="000000"/>
          <w:szCs w:val="21"/>
        </w:rPr>
        <w:t>（3）本项目的特定资格要求；</w:t>
      </w:r>
    </w:p>
    <w:p>
      <w:pPr>
        <w:pStyle w:val="19"/>
        <w:rPr>
          <w:rFonts w:hint="eastAsia"/>
          <w:color w:val="000000"/>
        </w:rPr>
      </w:pPr>
      <w:r>
        <w:rPr>
          <w:rFonts w:hint="eastAsia"/>
          <w:color w:val="000000"/>
          <w:szCs w:val="21"/>
        </w:rPr>
        <w:t>（1-3所需资格证明材料详见招标文件第二部分“投标文件的构成”相关内容）</w:t>
      </w:r>
    </w:p>
    <w:p>
      <w:pPr>
        <w:snapToGrid w:val="0"/>
        <w:spacing w:line="360" w:lineRule="auto"/>
        <w:ind w:firstLine="420" w:firstLineChars="200"/>
        <w:jc w:val="both"/>
        <w:rPr>
          <w:rFonts w:hint="eastAsia"/>
          <w:color w:val="000000"/>
        </w:rPr>
      </w:pPr>
      <w:r>
        <w:rPr>
          <w:rFonts w:hint="eastAsia"/>
          <w:snapToGrid w:val="0"/>
          <w:color w:val="000000"/>
          <w:szCs w:val="22"/>
        </w:rPr>
        <w:t>（4）投标人是否存在以下不良信用记录</w:t>
      </w:r>
      <w:r>
        <w:rPr>
          <w:rFonts w:hint="eastAsia"/>
          <w:color w:val="000000"/>
        </w:rPr>
        <w:t>（详见招标文件第二部分“合格的投标人”相关内容）。</w:t>
      </w:r>
    </w:p>
    <w:p>
      <w:pPr>
        <w:snapToGrid w:val="0"/>
        <w:spacing w:line="360" w:lineRule="auto"/>
        <w:ind w:firstLine="420" w:firstLineChars="200"/>
        <w:jc w:val="both"/>
        <w:rPr>
          <w:rFonts w:hint="eastAsia"/>
          <w:color w:val="000000"/>
          <w:szCs w:val="21"/>
        </w:rPr>
      </w:pPr>
      <w:r>
        <w:rPr>
          <w:rFonts w:hint="eastAsia"/>
          <w:color w:val="000000"/>
          <w:szCs w:val="21"/>
        </w:rPr>
        <w:t>2. 符合性审查</w:t>
      </w:r>
    </w:p>
    <w:p>
      <w:pPr>
        <w:snapToGrid w:val="0"/>
        <w:spacing w:line="360" w:lineRule="auto"/>
        <w:ind w:firstLine="420" w:firstLineChars="200"/>
        <w:jc w:val="both"/>
        <w:rPr>
          <w:rFonts w:hint="eastAsia"/>
          <w:color w:val="000000"/>
          <w:highlight w:val="yellow"/>
        </w:rPr>
      </w:pPr>
      <w:r>
        <w:rPr>
          <w:rFonts w:hint="eastAsia"/>
          <w:color w:val="000000"/>
          <w:szCs w:val="21"/>
        </w:rPr>
        <w:t>评标委员会将依据法律法规和招标文件的规定，对通过资格性审查投标人的投标文件有效性、完整性和对招标文件的响应程度进行审查，以确定是否对招标文件的实质性要求作出响应。</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（1）商务技术文件的评审</w:t>
      </w:r>
    </w:p>
    <w:p>
      <w:pPr>
        <w:snapToGrid w:val="0"/>
        <w:spacing w:line="360" w:lineRule="auto"/>
        <w:ind w:firstLine="420" w:firstLineChars="200"/>
        <w:jc w:val="both"/>
        <w:rPr>
          <w:rFonts w:hint="eastAsia"/>
          <w:color w:val="000000"/>
          <w:szCs w:val="21"/>
        </w:rPr>
      </w:pPr>
      <w:r>
        <w:rPr>
          <w:rFonts w:hint="eastAsia"/>
          <w:color w:val="000000"/>
          <w:szCs w:val="21"/>
        </w:rPr>
        <w:t>评标委员会各成员独立对投标人的商务技术文件逐项进行审查、比较，对于实质性偏离或符合无效投标条款的，应当询问投标人，并允许投标人进行澄清，但不允许其对偏离条款进行补充、修正或撤回。</w:t>
      </w:r>
      <w:r>
        <w:rPr>
          <w:rFonts w:hint="eastAsia"/>
          <w:snapToGrid w:val="0"/>
          <w:color w:val="000000"/>
          <w:szCs w:val="21"/>
        </w:rPr>
        <w:t>投标人所做的澄清，不影响评标委员会对其投标文件所作的评价和评分结果。</w:t>
      </w:r>
    </w:p>
    <w:p>
      <w:pPr>
        <w:pStyle w:val="21"/>
        <w:widowControl w:val="0"/>
        <w:spacing w:line="360" w:lineRule="auto"/>
        <w:ind w:left="0" w:right="-252" w:firstLine="420" w:firstLineChars="200"/>
        <w:rPr>
          <w:rFonts w:hint="eastAsia" w:ascii="Times New Roman" w:hAnsi="Times New Roman"/>
          <w:sz w:val="21"/>
          <w:szCs w:val="22"/>
        </w:rPr>
      </w:pPr>
      <w:r>
        <w:rPr>
          <w:rFonts w:hint="eastAsia" w:ascii="Times New Roman" w:hAnsi="Times New Roman"/>
          <w:sz w:val="21"/>
          <w:szCs w:val="22"/>
        </w:rPr>
        <w:t>（2）报价文件的评审</w:t>
      </w:r>
    </w:p>
    <w:p>
      <w:pPr>
        <w:adjustRightInd w:val="0"/>
        <w:snapToGrid w:val="0"/>
        <w:spacing w:line="360" w:lineRule="auto"/>
        <w:ind w:firstLine="420" w:firstLineChars="200"/>
        <w:rPr>
          <w:rFonts w:hint="eastAsia"/>
          <w:szCs w:val="21"/>
          <w:lang w:val="zh-CN"/>
        </w:rPr>
      </w:pPr>
      <w:r>
        <w:rPr>
          <w:rFonts w:hint="eastAsia"/>
          <w:color w:val="000000"/>
          <w:szCs w:val="22"/>
        </w:rPr>
        <w:t>对通过商务技术文件评审的投标人的投标报价文件在电子交易平台上予以开启。评标委员会各成员独立对投标人的报价文件进行评</w:t>
      </w:r>
      <w:r>
        <w:rPr>
          <w:rFonts w:hint="eastAsia"/>
          <w:szCs w:val="22"/>
        </w:rPr>
        <w:t>审，</w:t>
      </w:r>
      <w:r>
        <w:rPr>
          <w:rFonts w:hint="eastAsia"/>
          <w:szCs w:val="21"/>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投标文件报价出现前后不一致的，按照下列规定修正：</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1）投标文件中开标一览表（报价表）内容与投标文件中相应内容不一致的，以开标一览表报价表）为准；</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2）大写金额和小写金额不一致的，以大写金额为准；</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3）单价金额小数点或者百分比有明显错位的，以开标一览表的总价为准，并修改单价；</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4）总价金额与按单价汇总金额不一致的，以单价金额计算结果为准。</w:t>
      </w:r>
    </w:p>
    <w:p>
      <w:pPr>
        <w:pStyle w:val="21"/>
        <w:widowControl w:val="0"/>
        <w:spacing w:line="360" w:lineRule="auto"/>
        <w:ind w:left="0" w:right="-252" w:firstLine="420" w:firstLineChars="200"/>
        <w:rPr>
          <w:rFonts w:hint="eastAsia" w:ascii="Times New Roman" w:hAnsi="Times New Roman"/>
          <w:color w:val="7030A0"/>
          <w:sz w:val="21"/>
          <w:szCs w:val="22"/>
        </w:rPr>
      </w:pPr>
      <w:r>
        <w:rPr>
          <w:rFonts w:hint="eastAsia" w:ascii="Times New Roman" w:hAnsi="Times New Roman"/>
          <w:color w:val="000000"/>
          <w:sz w:val="21"/>
          <w:szCs w:val="22"/>
        </w:rPr>
        <w:t>同时出现两种以上不一致的，按照前款规定的顺序修正。投标人修正后的报价采用书面形式，</w:t>
      </w:r>
      <w:r>
        <w:rPr>
          <w:rFonts w:hint="eastAsia" w:ascii="Times New Roman" w:hAnsi="Times New Roman"/>
          <w:sz w:val="21"/>
          <w:szCs w:val="22"/>
        </w:rPr>
        <w:t>并电子签章，或者由法定代表人或其授权的代表签字后扫描上传。</w:t>
      </w:r>
      <w:r>
        <w:rPr>
          <w:rFonts w:hint="eastAsia" w:ascii="Times New Roman" w:hAnsi="Times New Roman"/>
          <w:color w:val="000000"/>
          <w:sz w:val="21"/>
          <w:szCs w:val="22"/>
        </w:rPr>
        <w:t>投标人不确认的，其投标无效。</w:t>
      </w:r>
    </w:p>
    <w:p>
      <w:pPr>
        <w:pStyle w:val="21"/>
        <w:widowControl w:val="0"/>
        <w:spacing w:line="360" w:lineRule="auto"/>
        <w:ind w:left="0" w:right="-252" w:firstLine="420" w:firstLineChars="200"/>
        <w:rPr>
          <w:rFonts w:hint="eastAsia" w:ascii="Times New Roman" w:hAnsi="Times New Roman"/>
          <w:b/>
          <w:bCs/>
          <w:color w:val="000000"/>
          <w:sz w:val="21"/>
          <w:szCs w:val="22"/>
        </w:rPr>
      </w:pPr>
      <w:r>
        <w:rPr>
          <w:rFonts w:hint="eastAsia" w:ascii="Times New Roman" w:hAnsi="Times New Roman"/>
          <w:color w:val="000000"/>
          <w:sz w:val="21"/>
          <w:szCs w:val="22"/>
        </w:rPr>
        <w:t>3. 澄清有关问题：评标委员会在对投标文件的有效性、完整性和响应程度进行审查时，可以要求投标人对投标文件中含义不明确、同类问题表述不一致或者有明显文字和计算错误的内容等作出必要的澄清、说明或者更正。评标委员会将通过电子交易平台发出询标函，要求投标人在规定的时间内作出必要的澄清、说明或者补正。投标人的澄清、说明或者补正应通过电子交易平台提交澄清函</w:t>
      </w:r>
      <w:r>
        <w:rPr>
          <w:rFonts w:hint="eastAsia" w:ascii="Times New Roman" w:hAnsi="Times New Roman"/>
          <w:sz w:val="21"/>
          <w:szCs w:val="22"/>
        </w:rPr>
        <w:t>，并电子签章，或者由法定代表人或其授权的代表签字后扫描上传。投标人的澄清、说明或者补正不得超出投标文件的范围或者改变投标文件的实质性内容。</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4. 比较与评价：评标委员会按招标文件中规定的评标方法和标准，对符合性审查合格的投标文件进行商务和技术评估。评标委员会对投标文件的判定，只依据投标文件内容本身，不依据任何外来证明。</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 xml:space="preserve">5. 推荐中标候选人：评标委员会对有效投标人的投标文件进行全面审查、比较、评估，加权计分后，以评审得分（评审得分=商务技术标得分+报价得分）由高到低顺序推荐1-3名投标人作为候选人。评审得分相同的，按照投标报价由低到高顺序排列；评审得分且投标报价相同的并列。 </w:t>
      </w:r>
    </w:p>
    <w:p>
      <w:pPr>
        <w:pStyle w:val="21"/>
        <w:widowControl w:val="0"/>
        <w:spacing w:line="360" w:lineRule="auto"/>
        <w:ind w:left="0" w:right="-252" w:firstLine="420" w:firstLineChars="200"/>
        <w:rPr>
          <w:rFonts w:hint="eastAsia" w:ascii="Times New Roman" w:hAnsi="Times New Roman"/>
          <w:b/>
          <w:bCs/>
          <w:color w:val="7030A0"/>
          <w:sz w:val="21"/>
          <w:szCs w:val="22"/>
        </w:rPr>
      </w:pPr>
      <w:r>
        <w:rPr>
          <w:rFonts w:hint="eastAsia" w:ascii="Times New Roman" w:hAnsi="Times New Roman"/>
          <w:color w:val="000000"/>
          <w:sz w:val="21"/>
          <w:szCs w:val="22"/>
        </w:rPr>
        <w:t>6. 投标无效情形的认定</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6.1 资格性审查阶段，不具备招标文件中规定的资格要求的，投标无效。</w:t>
      </w:r>
    </w:p>
    <w:p>
      <w:pPr>
        <w:pStyle w:val="21"/>
        <w:widowControl w:val="0"/>
        <w:spacing w:line="360" w:lineRule="auto"/>
        <w:ind w:left="0" w:right="-252" w:firstLine="420" w:firstLineChars="200"/>
        <w:rPr>
          <w:rFonts w:hint="eastAsia" w:ascii="Times New Roman" w:hAnsi="Times New Roman"/>
          <w:color w:val="000000"/>
          <w:sz w:val="21"/>
          <w:szCs w:val="22"/>
        </w:rPr>
      </w:pPr>
      <w:r>
        <w:rPr>
          <w:rFonts w:hint="eastAsia" w:ascii="Times New Roman" w:hAnsi="Times New Roman"/>
          <w:color w:val="000000"/>
          <w:sz w:val="21"/>
          <w:szCs w:val="22"/>
        </w:rPr>
        <w:t>6.2 商务技术文件评审阶段，发现投标人存在下列情形之一的，投标无效：</w:t>
      </w:r>
    </w:p>
    <w:p>
      <w:pPr>
        <w:widowControl w:val="0"/>
        <w:tabs>
          <w:tab w:val="left" w:pos="993"/>
          <w:tab w:val="left" w:pos="1260"/>
        </w:tabs>
        <w:spacing w:line="360" w:lineRule="auto"/>
        <w:ind w:left="-401" w:leftChars="-191" w:firstLine="840" w:firstLineChars="400"/>
        <w:jc w:val="both"/>
        <w:rPr>
          <w:rFonts w:hint="eastAsia"/>
          <w:color w:val="000000"/>
          <w:szCs w:val="22"/>
        </w:rPr>
      </w:pPr>
      <w:r>
        <w:rPr>
          <w:rFonts w:hint="eastAsia"/>
          <w:color w:val="000000"/>
          <w:szCs w:val="22"/>
        </w:rPr>
        <w:t>（1）投标有效期不足的；</w:t>
      </w:r>
    </w:p>
    <w:p>
      <w:pPr>
        <w:widowControl w:val="0"/>
        <w:tabs>
          <w:tab w:val="left" w:pos="993"/>
          <w:tab w:val="left" w:pos="1260"/>
        </w:tabs>
        <w:spacing w:line="360" w:lineRule="auto"/>
        <w:ind w:firstLine="420" w:firstLineChars="200"/>
        <w:jc w:val="both"/>
        <w:rPr>
          <w:rFonts w:hint="eastAsia"/>
          <w:color w:val="000000"/>
          <w:szCs w:val="21"/>
        </w:rPr>
      </w:pPr>
      <w:r>
        <w:rPr>
          <w:rFonts w:hint="eastAsia"/>
          <w:color w:val="000000"/>
        </w:rPr>
        <w:t>（2）投标文件未按招标文件要求签署、盖章的；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（3）</w:t>
      </w:r>
      <w:r>
        <w:rPr>
          <w:rFonts w:hint="eastAsia"/>
          <w:color w:val="000000"/>
          <w:szCs w:val="22"/>
        </w:rPr>
        <w:t>若投</w:t>
      </w:r>
      <w:r>
        <w:rPr>
          <w:rFonts w:hint="eastAsia"/>
          <w:color w:val="000000"/>
          <w:szCs w:val="21"/>
        </w:rPr>
        <w:t>标文件为授权代表签署的而未提供有效的法定代表人授权书的；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（4）未实质性响应招标文件要求的；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（5）不满足规定技术要求或商务有重大偏离或保留的；</w:t>
      </w:r>
    </w:p>
    <w:p>
      <w:pPr>
        <w:widowControl w:val="0"/>
        <w:tabs>
          <w:tab w:val="left" w:pos="993"/>
          <w:tab w:val="left" w:pos="1260"/>
        </w:tabs>
        <w:spacing w:line="360" w:lineRule="auto"/>
        <w:ind w:left="-401" w:leftChars="-191" w:firstLine="840" w:firstLineChars="400"/>
        <w:jc w:val="both"/>
        <w:rPr>
          <w:rFonts w:hint="eastAsia"/>
        </w:rPr>
      </w:pPr>
      <w:r>
        <w:rPr>
          <w:rFonts w:hint="eastAsia"/>
          <w:color w:val="000000"/>
        </w:rPr>
        <w:t>（6）投标文件含有采购人不能接受的附加条件的；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（7）</w:t>
      </w:r>
      <w:r>
        <w:rPr>
          <w:rFonts w:hint="eastAsia"/>
          <w:color w:val="000000"/>
          <w:kern w:val="2"/>
          <w:szCs w:val="22"/>
        </w:rPr>
        <w:t>提供虚假材料谋取中标的；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（8）法律、法规和招标文件规定的其他无效情形。</w:t>
      </w:r>
    </w:p>
    <w:p>
      <w:pPr>
        <w:widowControl w:val="0"/>
        <w:tabs>
          <w:tab w:val="left" w:pos="993"/>
          <w:tab w:val="left" w:pos="1260"/>
        </w:tabs>
        <w:spacing w:line="360" w:lineRule="auto"/>
        <w:ind w:left="-401" w:leftChars="-191" w:firstLine="840" w:firstLineChars="400"/>
        <w:jc w:val="both"/>
        <w:rPr>
          <w:rFonts w:hint="eastAsia"/>
          <w:b/>
          <w:bCs/>
          <w:color w:val="7030A0"/>
          <w:szCs w:val="22"/>
        </w:rPr>
      </w:pPr>
      <w:r>
        <w:rPr>
          <w:rFonts w:hint="eastAsia"/>
          <w:color w:val="000000"/>
          <w:szCs w:val="21"/>
        </w:rPr>
        <w:t xml:space="preserve">6.3 </w:t>
      </w:r>
      <w:r>
        <w:rPr>
          <w:rFonts w:hint="eastAsia"/>
          <w:color w:val="000000"/>
          <w:szCs w:val="22"/>
        </w:rPr>
        <w:t>在报价评审阶段，发现投标人存在下列情形之一的，投标无效：</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（1）投标报价不是固定价的；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（2）报价超过招标文件中规定的预算金额或者最高限价的；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（3）投标文件报价出现前后不一致的，且不按照招标文件规定修正的；</w:t>
      </w:r>
    </w:p>
    <w:p>
      <w:pPr>
        <w:widowControl w:val="0"/>
        <w:tabs>
          <w:tab w:val="left" w:pos="993"/>
        </w:tabs>
        <w:spacing w:line="360" w:lineRule="auto"/>
        <w:ind w:firstLine="420" w:firstLineChars="200"/>
        <w:jc w:val="both"/>
        <w:rPr>
          <w:rFonts w:hint="eastAsia"/>
          <w:color w:val="000000"/>
          <w:szCs w:val="21"/>
        </w:rPr>
      </w:pPr>
      <w:r>
        <w:rPr>
          <w:rFonts w:hint="eastAsia"/>
          <w:color w:val="000000"/>
          <w:szCs w:val="21"/>
        </w:rPr>
        <w:t>（4）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（5）未实质性响应招标文件要求的；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（6）投标文件未按招标文件要求签署、盖章的；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（7）投标文件含有采购人不能接受的附加条件的；</w:t>
      </w:r>
    </w:p>
    <w:p>
      <w:pPr>
        <w:spacing w:line="360" w:lineRule="auto"/>
        <w:ind w:firstLine="420"/>
        <w:rPr>
          <w:rFonts w:hint="eastAsia"/>
          <w:color w:val="000000"/>
        </w:rPr>
      </w:pPr>
      <w:r>
        <w:rPr>
          <w:rFonts w:hint="eastAsia"/>
          <w:color w:val="000000"/>
        </w:rPr>
        <w:t>（8）</w:t>
      </w:r>
      <w:r>
        <w:rPr>
          <w:rFonts w:hint="eastAsia"/>
          <w:color w:val="000000"/>
          <w:kern w:val="2"/>
          <w:szCs w:val="22"/>
        </w:rPr>
        <w:t>提供虚假材料谋取中标的；</w:t>
      </w:r>
    </w:p>
    <w:p>
      <w:pPr>
        <w:spacing w:line="360" w:lineRule="auto"/>
        <w:ind w:firstLine="420"/>
        <w:rPr>
          <w:rFonts w:hint="eastAsia"/>
          <w:color w:val="000000"/>
          <w:szCs w:val="21"/>
        </w:rPr>
      </w:pPr>
      <w:r>
        <w:rPr>
          <w:rFonts w:hint="eastAsia"/>
          <w:color w:val="000000"/>
          <w:szCs w:val="21"/>
        </w:rPr>
        <w:t>（9）法律、法规和招标文件规定的其他无效情形。</w:t>
      </w:r>
    </w:p>
    <w:p>
      <w:pPr>
        <w:spacing w:line="360" w:lineRule="auto"/>
        <w:ind w:firstLine="420"/>
        <w:rPr>
          <w:rFonts w:hint="eastAsia"/>
          <w:color w:val="000000"/>
          <w:szCs w:val="22"/>
        </w:rPr>
      </w:pPr>
      <w:r>
        <w:rPr>
          <w:rFonts w:hint="eastAsia"/>
          <w:color w:val="000000"/>
          <w:szCs w:val="22"/>
        </w:rPr>
        <w:t>7. 投标人有下列情形之一的，视为投标人串通投标，其投标无效：</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 xml:space="preserve">（1）不同投标人的投标文件由同一单位或人员编制的； </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（2）不同投标人委托同一单位或人员办理投标事宜的；</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 xml:space="preserve">（3）不同投标人的投标文件载明的项目管理成员或者联系人员为同一人； </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（4）不同投标人的投标文件异常一致或者投标报价呈规律性差异；</w:t>
      </w:r>
    </w:p>
    <w:p>
      <w:pPr>
        <w:widowControl w:val="0"/>
        <w:tabs>
          <w:tab w:val="left" w:pos="993"/>
          <w:tab w:val="left" w:pos="1260"/>
        </w:tabs>
        <w:spacing w:line="360" w:lineRule="auto"/>
        <w:ind w:left="-401" w:leftChars="-191" w:firstLine="840" w:firstLineChars="400"/>
        <w:jc w:val="both"/>
        <w:rPr>
          <w:rFonts w:hint="eastAsia"/>
          <w:color w:val="000000"/>
          <w:szCs w:val="21"/>
        </w:rPr>
      </w:pPr>
      <w:r>
        <w:rPr>
          <w:rFonts w:hint="eastAsia"/>
          <w:color w:val="000000"/>
          <w:szCs w:val="21"/>
        </w:rPr>
        <w:t xml:space="preserve">（5）不同投标人的投标文件相互混装； </w:t>
      </w:r>
    </w:p>
    <w:p>
      <w:pPr>
        <w:widowControl w:val="0"/>
        <w:tabs>
          <w:tab w:val="left" w:pos="993"/>
          <w:tab w:val="left" w:pos="1260"/>
        </w:tabs>
        <w:spacing w:line="360" w:lineRule="auto"/>
        <w:ind w:left="-401" w:leftChars="-191" w:firstLine="840" w:firstLineChars="400"/>
        <w:jc w:val="both"/>
        <w:rPr>
          <w:rFonts w:hint="eastAsia"/>
        </w:rPr>
      </w:pPr>
      <w:r>
        <w:rPr>
          <w:rFonts w:hint="eastAsia"/>
          <w:color w:val="000000"/>
          <w:szCs w:val="21"/>
        </w:rPr>
        <w:t>（6）法律、法规或规章规定的其他串通行为。</w:t>
      </w:r>
    </w:p>
    <w:p>
      <w:pPr>
        <w:numPr>
          <w:ilvl w:val="0"/>
          <w:numId w:val="45"/>
        </w:numPr>
        <w:spacing w:line="360" w:lineRule="auto"/>
        <w:outlineLvl w:val="1"/>
        <w:rPr>
          <w:rFonts w:hint="eastAsia"/>
          <w:b/>
          <w:sz w:val="24"/>
          <w:szCs w:val="24"/>
        </w:rPr>
      </w:pPr>
      <w:bookmarkStart w:id="319" w:name="_Toc19342"/>
      <w:bookmarkStart w:id="320" w:name="_Toc18884"/>
      <w:bookmarkStart w:id="321" w:name="_Toc20115"/>
      <w:bookmarkStart w:id="322" w:name="_Toc9640"/>
      <w:bookmarkStart w:id="323" w:name="_Toc2258"/>
      <w:bookmarkStart w:id="324" w:name="_Toc20916"/>
      <w:bookmarkStart w:id="325" w:name="_Toc12682"/>
      <w:bookmarkStart w:id="326" w:name="_Toc26226"/>
      <w:bookmarkStart w:id="327" w:name="_Toc23636"/>
      <w:bookmarkStart w:id="328" w:name="_Toc7206"/>
      <w:bookmarkStart w:id="329" w:name="_Toc20340"/>
      <w:bookmarkStart w:id="330" w:name="_Toc9804"/>
      <w:bookmarkStart w:id="331" w:name="_Toc26698"/>
      <w:bookmarkStart w:id="332" w:name="_Toc19624"/>
      <w:bookmarkStart w:id="333" w:name="_Toc4589"/>
      <w:bookmarkStart w:id="334" w:name="_Toc31492"/>
      <w:bookmarkStart w:id="335" w:name="_Toc3647"/>
      <w:bookmarkStart w:id="336" w:name="_Toc15456"/>
      <w:bookmarkStart w:id="337" w:name="_Toc8239"/>
      <w:bookmarkStart w:id="338" w:name="_Toc11804"/>
      <w:bookmarkStart w:id="339" w:name="_Toc31908"/>
      <w:bookmarkStart w:id="340" w:name="_Toc2978"/>
      <w:r>
        <w:rPr>
          <w:rFonts w:hint="eastAsia"/>
          <w:b/>
          <w:sz w:val="24"/>
          <w:szCs w:val="24"/>
        </w:rPr>
        <w:t>商务技术、价格评审</w:t>
      </w:r>
      <w:bookmarkEnd w:id="319"/>
      <w:bookmarkEnd w:id="320"/>
      <w:bookmarkEnd w:id="321"/>
      <w:bookmarkEnd w:id="322"/>
      <w:bookmarkEnd w:id="323"/>
      <w:r>
        <w:rPr>
          <w:rFonts w:hint="eastAsia"/>
          <w:b/>
          <w:sz w:val="24"/>
          <w:szCs w:val="24"/>
        </w:rPr>
        <w:t>标准</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bl>
      <w:tblPr>
        <w:tblStyle w:val="45"/>
        <w:tblW w:w="904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20"/>
        <w:gridCol w:w="825"/>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71"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3"/>
              <w:jc w:val="center"/>
              <w:rPr>
                <w:rFonts w:hint="default" w:ascii="Arial" w:hAnsi="Arial" w:cs="Arial"/>
                <w:b/>
                <w:szCs w:val="21"/>
              </w:rPr>
            </w:pPr>
          </w:p>
        </w:tc>
        <w:tc>
          <w:tcPr>
            <w:tcW w:w="2445" w:type="dxa"/>
            <w:gridSpan w:val="2"/>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316" w:right="6" w:hanging="316" w:hangingChars="150"/>
              <w:jc w:val="center"/>
              <w:rPr>
                <w:rFonts w:hint="default" w:ascii="Arial" w:hAnsi="Arial" w:cs="Arial"/>
                <w:szCs w:val="21"/>
              </w:rPr>
            </w:pPr>
            <w:r>
              <w:rPr>
                <w:rFonts w:hint="default" w:ascii="Arial" w:hAnsi="Arial" w:cs="Arial"/>
                <w:b/>
                <w:bCs/>
                <w:kern w:val="28"/>
                <w:szCs w:val="21"/>
              </w:rPr>
              <w:t>商务、技术评分</w:t>
            </w:r>
          </w:p>
        </w:tc>
        <w:tc>
          <w:tcPr>
            <w:tcW w:w="5828"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315" w:right="6" w:hanging="315" w:hangingChars="150"/>
              <w:jc w:val="center"/>
              <w:rPr>
                <w:rFonts w:hint="default" w:ascii="Arial" w:hAnsi="Arial" w:cs="Arial"/>
                <w:bCs/>
                <w:kern w:val="28"/>
                <w:szCs w:val="21"/>
              </w:rPr>
            </w:pPr>
            <w:r>
              <w:rPr>
                <w:rFonts w:hint="default" w:ascii="Arial" w:hAnsi="Arial" w:cs="Arial"/>
                <w:bCs/>
                <w:kern w:val="28"/>
                <w:szCs w:val="21"/>
              </w:rPr>
              <w:t>合计</w:t>
            </w:r>
            <w:r>
              <w:rPr>
                <w:rFonts w:hint="default" w:ascii="Arial" w:hAnsi="Arial" w:cs="Arial"/>
                <w:bCs/>
                <w:kern w:val="28"/>
                <w:szCs w:val="21"/>
                <w:lang w:val="en-US" w:eastAsia="zh-CN"/>
              </w:rPr>
              <w:t>90</w:t>
            </w:r>
            <w:r>
              <w:rPr>
                <w:rFonts w:hint="default" w:ascii="Arial" w:hAnsi="Arial" w:cs="Arial"/>
                <w:bCs/>
                <w:kern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71" w:type="dxa"/>
            <w:tcBorders>
              <w:top w:val="single" w:color="auto" w:sz="4" w:space="0"/>
              <w:left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Arial" w:hAnsi="Arial" w:cs="Arial"/>
                <w:szCs w:val="21"/>
              </w:rPr>
            </w:pPr>
            <w:r>
              <w:rPr>
                <w:rFonts w:hint="default" w:ascii="Arial" w:hAnsi="Arial" w:cs="Arial"/>
                <w:szCs w:val="21"/>
              </w:rPr>
              <w:t>序号</w:t>
            </w:r>
          </w:p>
        </w:tc>
        <w:tc>
          <w:tcPr>
            <w:tcW w:w="1620"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Arial" w:hAnsi="Arial" w:cs="Arial"/>
                <w:szCs w:val="21"/>
              </w:rPr>
            </w:pPr>
            <w:r>
              <w:rPr>
                <w:rFonts w:hint="default" w:ascii="Arial" w:hAnsi="Arial" w:cs="Arial"/>
                <w:szCs w:val="21"/>
              </w:rPr>
              <w:t>评分内容</w:t>
            </w:r>
          </w:p>
        </w:tc>
        <w:tc>
          <w:tcPr>
            <w:tcW w:w="825"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Arial" w:hAnsi="Arial" w:cs="Arial"/>
                <w:szCs w:val="21"/>
              </w:rPr>
            </w:pPr>
            <w:r>
              <w:rPr>
                <w:rFonts w:hint="default" w:ascii="Arial" w:hAnsi="Arial" w:cs="Arial"/>
                <w:szCs w:val="21"/>
              </w:rPr>
              <w:t>分值</w:t>
            </w:r>
          </w:p>
        </w:tc>
        <w:tc>
          <w:tcPr>
            <w:tcW w:w="5828" w:type="dxa"/>
            <w:tcBorders>
              <w:top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Arial" w:hAnsi="Arial" w:cs="Arial"/>
                <w:szCs w:val="21"/>
              </w:rPr>
            </w:pPr>
            <w:r>
              <w:rPr>
                <w:rFonts w:hint="default" w:ascii="Arial" w:hAnsi="Arial" w:cs="Arial"/>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71" w:type="dxa"/>
            <w:tcBorders>
              <w:top w:val="single" w:color="auto" w:sz="4" w:space="0"/>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Times New Roman" w:hAnsi="Times New Roman" w:cs="Times New Roman"/>
                <w:szCs w:val="20"/>
              </w:rPr>
            </w:pPr>
            <w:r>
              <w:rPr>
                <w:rFonts w:hint="default" w:ascii="Times New Roman" w:hAnsi="Times New Roman" w:cs="Times New Roman"/>
                <w:szCs w:val="20"/>
              </w:rPr>
              <w:t>1</w:t>
            </w:r>
          </w:p>
        </w:tc>
        <w:tc>
          <w:tcPr>
            <w:tcW w:w="1620" w:type="dxa"/>
            <w:tcBorders>
              <w:top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Arial" w:hAnsi="Arial" w:eastAsia="宋体" w:cs="Arial"/>
                <w:sz w:val="24"/>
                <w:szCs w:val="24"/>
                <w:highlight w:val="green"/>
                <w:lang w:eastAsia="zh-CN"/>
              </w:rPr>
            </w:pPr>
            <w:r>
              <w:rPr>
                <w:rFonts w:hint="default" w:ascii="Arial" w:hAnsi="Arial" w:cs="Arial"/>
                <w:bCs/>
                <w:color w:val="auto"/>
                <w:kern w:val="28"/>
                <w:szCs w:val="21"/>
              </w:rPr>
              <w:t>投标人</w:t>
            </w:r>
            <w:r>
              <w:rPr>
                <w:rFonts w:hint="eastAsia" w:ascii="Arial" w:hAnsi="Arial" w:cs="Arial"/>
                <w:bCs/>
                <w:color w:val="auto"/>
                <w:kern w:val="28"/>
                <w:szCs w:val="21"/>
                <w:lang w:eastAsia="zh-CN"/>
              </w:rPr>
              <w:t>管理体认证</w:t>
            </w:r>
          </w:p>
        </w:tc>
        <w:tc>
          <w:tcPr>
            <w:tcW w:w="825" w:type="dxa"/>
            <w:tcBorders>
              <w:top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Arial" w:hAnsi="Arial" w:cs="Arial"/>
                <w:szCs w:val="21"/>
                <w:highlight w:val="green"/>
              </w:rPr>
            </w:pPr>
            <w:r>
              <w:rPr>
                <w:rFonts w:hint="default" w:ascii="Arial" w:hAnsi="Arial" w:cs="Arial"/>
                <w:szCs w:val="21"/>
              </w:rPr>
              <w:t>2</w:t>
            </w:r>
          </w:p>
        </w:tc>
        <w:tc>
          <w:tcPr>
            <w:tcW w:w="5828" w:type="dxa"/>
            <w:tcBorders>
              <w:top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1"/>
              </w:rPr>
            </w:pPr>
            <w:r>
              <w:rPr>
                <w:rFonts w:hint="default" w:ascii="Times New Roman" w:hAnsi="Times New Roman" w:cs="Times New Roman"/>
                <w:szCs w:val="21"/>
              </w:rPr>
              <w:t>1、</w:t>
            </w:r>
            <w:r>
              <w:rPr>
                <w:rFonts w:hint="default" w:ascii="Arial" w:hAnsi="Arial" w:cs="Arial"/>
                <w:bCs/>
                <w:kern w:val="28"/>
                <w:szCs w:val="21"/>
              </w:rPr>
              <w:t>投标人</w:t>
            </w:r>
            <w:r>
              <w:rPr>
                <w:rFonts w:hint="default" w:ascii="Arial" w:hAnsi="Arial" w:cs="Arial"/>
                <w:szCs w:val="21"/>
              </w:rPr>
              <w:t>具有ISO14001环境管理体系认证证书的得1.0分。</w:t>
            </w:r>
          </w:p>
          <w:p>
            <w:pPr>
              <w:keepNext w:val="0"/>
              <w:keepLines w:val="0"/>
              <w:widowControl/>
              <w:suppressLineNumbers w:val="0"/>
              <w:snapToGrid w:val="0"/>
              <w:spacing w:before="0" w:beforeAutospacing="0" w:after="0" w:afterAutospacing="0" w:line="360" w:lineRule="auto"/>
              <w:ind w:left="0" w:right="0"/>
              <w:rPr>
                <w:rFonts w:hint="default" w:ascii="Arial" w:hAnsi="Arial" w:cs="Arial"/>
                <w:szCs w:val="21"/>
                <w:highlight w:val="green"/>
              </w:rPr>
            </w:pPr>
            <w:r>
              <w:rPr>
                <w:rFonts w:hint="default" w:ascii="Times New Roman" w:hAnsi="Times New Roman" w:cs="Times New Roman"/>
                <w:szCs w:val="21"/>
              </w:rPr>
              <w:t>2、</w:t>
            </w:r>
            <w:r>
              <w:rPr>
                <w:rFonts w:hint="default" w:ascii="Arial" w:hAnsi="Arial" w:cs="Arial"/>
                <w:bCs/>
                <w:kern w:val="28"/>
                <w:szCs w:val="21"/>
              </w:rPr>
              <w:t>投标人</w:t>
            </w:r>
            <w:r>
              <w:rPr>
                <w:rFonts w:hint="default" w:ascii="Arial" w:hAnsi="Arial" w:cs="Arial"/>
                <w:szCs w:val="21"/>
              </w:rPr>
              <w:t>具有OHSAS18001或ISO45001或GB/T45001-2020职业健康安全管理体系认证证书的得1.0分。</w:t>
            </w:r>
            <w:r>
              <w:rPr>
                <w:rFonts w:hint="default" w:ascii="Arial" w:hAnsi="Arial" w:eastAsia="宋体" w:cs="Arial"/>
                <w:szCs w:val="20"/>
                <w:highlight w:val="none"/>
                <w:lang w:eastAsia="zh-CN"/>
              </w:rPr>
              <w:t>（</w:t>
            </w:r>
            <w:r>
              <w:rPr>
                <w:rFonts w:hint="default" w:ascii="Arial" w:hAnsi="Arial" w:eastAsia="宋体" w:cs="Arial"/>
                <w:szCs w:val="20"/>
                <w:highlight w:val="none"/>
                <w:lang w:val="en-US" w:eastAsia="zh-CN"/>
              </w:rPr>
              <w:t xml:space="preserve">提供证明并进行电子签章 </w:t>
            </w:r>
            <w:r>
              <w:rPr>
                <w:rFonts w:hint="default" w:ascii="Arial" w:hAnsi="Arial" w:eastAsia="宋体" w:cs="Arial"/>
                <w:szCs w:val="20"/>
                <w:highlight w:val="none"/>
                <w:lang w:eastAsia="zh-CN"/>
              </w:rPr>
              <w:t>）</w:t>
            </w:r>
            <w:r>
              <w:rPr>
                <w:rFonts w:hint="default" w:ascii="Arial" w:hAnsi="Arial" w:cs="Arial"/>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71" w:type="dxa"/>
            <w:tcBorders>
              <w:top w:val="single" w:color="auto" w:sz="4" w:space="0"/>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0"/>
                <w:lang w:val="en-US" w:eastAsia="zh-CN"/>
              </w:rPr>
            </w:pPr>
            <w:r>
              <w:rPr>
                <w:rFonts w:hint="eastAsia" w:ascii="Times New Roman" w:hAnsi="Times New Roman" w:cs="Times New Roman"/>
                <w:szCs w:val="20"/>
                <w:lang w:val="en-US" w:eastAsia="zh-CN"/>
              </w:rPr>
              <w:t>2</w:t>
            </w:r>
          </w:p>
        </w:tc>
        <w:tc>
          <w:tcPr>
            <w:tcW w:w="1620" w:type="dxa"/>
            <w:tcBorders>
              <w:top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Cs w:val="21"/>
              </w:rPr>
            </w:pPr>
            <w:r>
              <w:rPr>
                <w:rFonts w:hint="default" w:ascii="Arial" w:hAnsi="Arial" w:eastAsia="宋体" w:cs="Arial"/>
                <w:szCs w:val="21"/>
                <w:highlight w:val="none"/>
                <w:lang w:val="en-US" w:eastAsia="zh-CN"/>
              </w:rPr>
              <w:t>获奖情况</w:t>
            </w:r>
          </w:p>
        </w:tc>
        <w:tc>
          <w:tcPr>
            <w:tcW w:w="825" w:type="dxa"/>
            <w:tcBorders>
              <w:top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Cs w:val="21"/>
              </w:rPr>
            </w:pPr>
            <w:r>
              <w:rPr>
                <w:rFonts w:hint="default" w:ascii="Arial" w:hAnsi="Arial" w:cs="Arial"/>
                <w:szCs w:val="21"/>
                <w:lang w:val="en-US" w:eastAsia="zh-CN"/>
              </w:rPr>
              <w:t>2</w:t>
            </w:r>
          </w:p>
        </w:tc>
        <w:tc>
          <w:tcPr>
            <w:tcW w:w="5828" w:type="dxa"/>
            <w:tcBorders>
              <w:top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1"/>
              </w:rPr>
            </w:pPr>
            <w:r>
              <w:rPr>
                <w:rFonts w:hint="default" w:ascii="Arial" w:hAnsi="Arial" w:eastAsia="宋体" w:cs="Arial"/>
                <w:szCs w:val="20"/>
                <w:highlight w:val="none"/>
              </w:rPr>
              <w:t>201</w:t>
            </w:r>
            <w:r>
              <w:rPr>
                <w:rFonts w:hint="default" w:ascii="Arial" w:hAnsi="Arial" w:eastAsia="宋体" w:cs="Arial"/>
                <w:szCs w:val="20"/>
                <w:highlight w:val="none"/>
                <w:lang w:val="en-US" w:eastAsia="zh-CN"/>
              </w:rPr>
              <w:t>9</w:t>
            </w:r>
            <w:r>
              <w:rPr>
                <w:rFonts w:hint="default" w:ascii="Arial" w:hAnsi="Arial" w:eastAsia="宋体" w:cs="Arial"/>
                <w:szCs w:val="20"/>
                <w:highlight w:val="none"/>
              </w:rPr>
              <w:t>年</w:t>
            </w:r>
            <w:r>
              <w:rPr>
                <w:rFonts w:hint="default" w:ascii="Arial" w:hAnsi="Arial" w:eastAsia="宋体" w:cs="Arial"/>
                <w:szCs w:val="20"/>
                <w:highlight w:val="none"/>
                <w:lang w:val="en-US" w:eastAsia="zh-CN"/>
              </w:rPr>
              <w:t>1月1日以来同类项目</w:t>
            </w:r>
            <w:r>
              <w:rPr>
                <w:rFonts w:hint="default" w:ascii="Arial" w:hAnsi="Arial" w:eastAsia="宋体" w:cs="Arial"/>
                <w:szCs w:val="20"/>
                <w:highlight w:val="none"/>
                <w:lang w:eastAsia="zh-CN"/>
              </w:rPr>
              <w:t>荣获</w:t>
            </w:r>
            <w:r>
              <w:rPr>
                <w:rFonts w:hint="default" w:ascii="Arial" w:hAnsi="Arial" w:eastAsia="宋体" w:cs="Arial"/>
                <w:szCs w:val="20"/>
                <w:highlight w:val="none"/>
              </w:rPr>
              <w:t>政府</w:t>
            </w:r>
            <w:r>
              <w:rPr>
                <w:rFonts w:hint="default" w:ascii="Arial" w:hAnsi="Arial" w:eastAsia="宋体" w:cs="Arial"/>
                <w:szCs w:val="20"/>
                <w:highlight w:val="none"/>
                <w:lang w:val="en-US" w:eastAsia="zh-CN"/>
              </w:rPr>
              <w:t>或主管</w:t>
            </w:r>
            <w:r>
              <w:rPr>
                <w:rFonts w:hint="default" w:ascii="Arial" w:hAnsi="Arial" w:eastAsia="宋体" w:cs="Arial"/>
                <w:szCs w:val="20"/>
                <w:highlight w:val="none"/>
              </w:rPr>
              <w:t>部门</w:t>
            </w:r>
            <w:r>
              <w:rPr>
                <w:rFonts w:hint="default" w:ascii="Arial" w:hAnsi="Arial" w:eastAsia="宋体" w:cs="Arial"/>
                <w:szCs w:val="20"/>
                <w:highlight w:val="none"/>
                <w:lang w:eastAsia="zh-CN"/>
              </w:rPr>
              <w:t>颁发的荣誉，</w:t>
            </w:r>
            <w:r>
              <w:rPr>
                <w:rFonts w:hint="default" w:ascii="Arial" w:hAnsi="Arial" w:eastAsia="宋体" w:cs="Arial"/>
                <w:szCs w:val="20"/>
                <w:highlight w:val="none"/>
                <w:lang w:val="en-US" w:eastAsia="zh-CN"/>
              </w:rPr>
              <w:t>每提供一个得1</w:t>
            </w:r>
            <w:r>
              <w:rPr>
                <w:rFonts w:hint="eastAsia" w:ascii="Arial" w:hAnsi="Arial" w:cs="Arial"/>
                <w:szCs w:val="20"/>
                <w:highlight w:val="none"/>
                <w:lang w:val="en-US" w:eastAsia="zh-CN"/>
              </w:rPr>
              <w:t>.0</w:t>
            </w:r>
            <w:r>
              <w:rPr>
                <w:rFonts w:hint="default" w:ascii="Arial" w:hAnsi="Arial" w:eastAsia="宋体" w:cs="Arial"/>
                <w:szCs w:val="20"/>
                <w:highlight w:val="none"/>
                <w:lang w:val="en-US" w:eastAsia="zh-CN"/>
              </w:rPr>
              <w:t>分</w:t>
            </w:r>
            <w:r>
              <w:rPr>
                <w:rFonts w:hint="default" w:ascii="Arial" w:hAnsi="Arial" w:eastAsia="宋体" w:cs="Arial"/>
                <w:szCs w:val="20"/>
                <w:highlight w:val="none"/>
              </w:rPr>
              <w:t>，没有不得分，</w:t>
            </w:r>
            <w:r>
              <w:rPr>
                <w:rFonts w:hint="default" w:ascii="Arial" w:hAnsi="Arial" w:eastAsia="宋体" w:cs="Arial"/>
                <w:szCs w:val="20"/>
                <w:highlight w:val="none"/>
                <w:lang w:val="en-US" w:eastAsia="zh-CN"/>
              </w:rPr>
              <w:t>此项</w:t>
            </w:r>
            <w:r>
              <w:rPr>
                <w:rFonts w:hint="default" w:ascii="Arial" w:hAnsi="Arial" w:eastAsia="宋体" w:cs="Arial"/>
                <w:szCs w:val="20"/>
                <w:highlight w:val="none"/>
              </w:rPr>
              <w:t>最高得</w:t>
            </w:r>
            <w:r>
              <w:rPr>
                <w:rFonts w:hint="default" w:ascii="Arial" w:hAnsi="Arial" w:eastAsia="宋体" w:cs="Arial"/>
                <w:szCs w:val="20"/>
                <w:highlight w:val="none"/>
                <w:lang w:val="en-US" w:eastAsia="zh-CN"/>
              </w:rPr>
              <w:t>2</w:t>
            </w:r>
            <w:r>
              <w:rPr>
                <w:rFonts w:hint="eastAsia" w:ascii="Arial" w:hAnsi="Arial" w:cs="Arial"/>
                <w:szCs w:val="20"/>
                <w:highlight w:val="none"/>
                <w:lang w:val="en-US" w:eastAsia="zh-CN"/>
              </w:rPr>
              <w:t>.0</w:t>
            </w:r>
            <w:r>
              <w:rPr>
                <w:rFonts w:hint="default" w:ascii="Arial" w:hAnsi="Arial" w:eastAsia="宋体" w:cs="Arial"/>
                <w:szCs w:val="20"/>
                <w:highlight w:val="none"/>
              </w:rPr>
              <w:t>分</w:t>
            </w:r>
            <w:r>
              <w:rPr>
                <w:rFonts w:hint="default" w:ascii="Arial" w:hAnsi="Arial" w:eastAsia="宋体" w:cs="Arial"/>
                <w:szCs w:val="20"/>
                <w:highlight w:val="none"/>
                <w:lang w:eastAsia="zh-CN"/>
              </w:rPr>
              <w:t>。（</w:t>
            </w:r>
            <w:r>
              <w:rPr>
                <w:rFonts w:hint="default" w:ascii="Arial" w:hAnsi="Arial" w:eastAsia="宋体" w:cs="Arial"/>
                <w:szCs w:val="20"/>
                <w:highlight w:val="none"/>
                <w:lang w:val="en-US" w:eastAsia="zh-CN"/>
              </w:rPr>
              <w:t>提供荣誉证明并进行电子签章</w:t>
            </w:r>
            <w:r>
              <w:rPr>
                <w:rFonts w:hint="default" w:ascii="Arial" w:hAnsi="Arial" w:eastAsia="宋体" w:cs="Arial"/>
                <w:szCs w:val="20"/>
                <w:highlight w:val="none"/>
                <w:lang w:eastAsia="zh-CN"/>
              </w:rPr>
              <w:t>）（</w:t>
            </w:r>
            <w:r>
              <w:rPr>
                <w:rFonts w:hint="default" w:ascii="Arial" w:hAnsi="Arial" w:eastAsia="宋体" w:cs="Arial"/>
                <w:szCs w:val="20"/>
                <w:highlight w:val="none"/>
                <w:lang w:val="en-US" w:eastAsia="zh-CN"/>
              </w:rPr>
              <w:t>客观</w:t>
            </w:r>
            <w:r>
              <w:rPr>
                <w:rFonts w:hint="default" w:ascii="Arial" w:hAnsi="Arial" w:eastAsia="宋体" w:cs="Arial"/>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71" w:type="dxa"/>
            <w:tcBorders>
              <w:top w:val="single" w:color="auto" w:sz="4" w:space="0"/>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0"/>
                <w:lang w:eastAsia="zh-CN"/>
              </w:rPr>
            </w:pPr>
            <w:r>
              <w:rPr>
                <w:rFonts w:hint="eastAsia" w:ascii="Times New Roman" w:hAnsi="Times New Roman" w:cs="Times New Roman"/>
                <w:szCs w:val="20"/>
                <w:lang w:val="en-US" w:eastAsia="zh-CN"/>
              </w:rPr>
              <w:t>3</w:t>
            </w:r>
          </w:p>
        </w:tc>
        <w:tc>
          <w:tcPr>
            <w:tcW w:w="1620" w:type="dxa"/>
            <w:tcBorders>
              <w:top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color w:val="auto"/>
                <w:kern w:val="28"/>
                <w:sz w:val="24"/>
                <w:szCs w:val="24"/>
                <w:highlight w:val="green"/>
              </w:rPr>
            </w:pPr>
            <w:r>
              <w:rPr>
                <w:rFonts w:hint="default" w:ascii="Arial" w:hAnsi="Arial" w:cs="Arial"/>
                <w:color w:val="auto"/>
                <w:szCs w:val="21"/>
              </w:rPr>
              <w:t>业绩</w:t>
            </w:r>
          </w:p>
        </w:tc>
        <w:tc>
          <w:tcPr>
            <w:tcW w:w="825" w:type="dxa"/>
            <w:tcBorders>
              <w:top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Arial" w:hAnsi="Arial" w:eastAsia="宋体" w:cs="Arial"/>
                <w:color w:val="auto"/>
                <w:spacing w:val="4"/>
                <w:szCs w:val="21"/>
                <w:highlight w:val="green"/>
                <w:lang w:eastAsia="zh-CN"/>
              </w:rPr>
            </w:pPr>
            <w:r>
              <w:rPr>
                <w:rFonts w:hint="eastAsia" w:ascii="Arial" w:hAnsi="Arial" w:cs="Arial"/>
                <w:color w:val="auto"/>
                <w:szCs w:val="21"/>
                <w:lang w:val="en-US" w:eastAsia="zh-CN"/>
              </w:rPr>
              <w:t>1</w:t>
            </w:r>
          </w:p>
        </w:tc>
        <w:tc>
          <w:tcPr>
            <w:tcW w:w="5828" w:type="dxa"/>
            <w:tcBorders>
              <w:top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color w:val="auto"/>
                <w:szCs w:val="20"/>
                <w:highlight w:val="green"/>
              </w:rPr>
            </w:pPr>
            <w:r>
              <w:rPr>
                <w:rFonts w:hint="default" w:ascii="Arial" w:hAnsi="Arial" w:cs="Arial"/>
                <w:color w:val="auto"/>
                <w:szCs w:val="21"/>
              </w:rPr>
              <w:t>提供投标人自2019年1月1日以来</w:t>
            </w:r>
            <w:r>
              <w:rPr>
                <w:rFonts w:hint="default" w:ascii="Arial" w:hAnsi="Arial" w:eastAsia="宋体" w:cs="Arial"/>
                <w:color w:val="auto"/>
                <w:szCs w:val="21"/>
                <w:lang w:val="en-US" w:eastAsia="zh-CN"/>
              </w:rPr>
              <w:t>医院同类物业服务</w:t>
            </w:r>
            <w:r>
              <w:rPr>
                <w:rFonts w:hint="default" w:ascii="Arial" w:hAnsi="Arial" w:eastAsia="宋体" w:cs="Arial"/>
                <w:color w:val="auto"/>
                <w:szCs w:val="21"/>
              </w:rPr>
              <w:t>业绩</w:t>
            </w:r>
            <w:r>
              <w:rPr>
                <w:rFonts w:hint="default" w:ascii="Arial" w:hAnsi="Arial" w:cs="Arial"/>
                <w:color w:val="auto"/>
                <w:szCs w:val="21"/>
              </w:rPr>
              <w:t>情况，每提供一个得1</w:t>
            </w:r>
            <w:r>
              <w:rPr>
                <w:rFonts w:hint="eastAsia" w:ascii="Arial" w:hAnsi="Arial" w:cs="Arial"/>
                <w:color w:val="auto"/>
                <w:szCs w:val="21"/>
                <w:lang w:val="en-US" w:eastAsia="zh-CN"/>
              </w:rPr>
              <w:t>.0</w:t>
            </w:r>
            <w:r>
              <w:rPr>
                <w:rFonts w:hint="default" w:ascii="Arial" w:hAnsi="Arial" w:cs="Arial"/>
                <w:color w:val="auto"/>
                <w:szCs w:val="21"/>
              </w:rPr>
              <w:t>分，最高得分</w:t>
            </w:r>
            <w:r>
              <w:rPr>
                <w:rFonts w:hint="eastAsia" w:ascii="Arial" w:hAnsi="Arial" w:cs="Arial"/>
                <w:color w:val="auto"/>
                <w:szCs w:val="21"/>
                <w:lang w:val="en-US" w:eastAsia="zh-CN"/>
              </w:rPr>
              <w:t>1</w:t>
            </w:r>
            <w:r>
              <w:rPr>
                <w:rFonts w:hint="default" w:ascii="Arial" w:hAnsi="Arial" w:cs="Arial"/>
                <w:color w:val="auto"/>
                <w:szCs w:val="21"/>
              </w:rPr>
              <w:t>.0分。（上传合同和发票（缺一不可）并CA签章，业绩时间以合同签订日期为准）（客观）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3"/>
              <w:jc w:val="center"/>
              <w:rPr>
                <w:rFonts w:hint="eastAsia" w:ascii="Times New Roman" w:hAnsi="Times New Roman" w:eastAsia="宋体" w:cs="Times New Roman"/>
                <w:szCs w:val="20"/>
                <w:lang w:eastAsia="zh-CN"/>
              </w:rPr>
            </w:pPr>
            <w:r>
              <w:rPr>
                <w:rFonts w:hint="eastAsia" w:ascii="Times New Roman" w:hAnsi="Times New Roman" w:cs="Times New Roman"/>
                <w:szCs w:val="20"/>
                <w:lang w:val="en-US" w:eastAsia="zh-CN"/>
              </w:rPr>
              <w:t>4</w:t>
            </w:r>
          </w:p>
        </w:tc>
        <w:tc>
          <w:tcPr>
            <w:tcW w:w="1620"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1"/>
              </w:rPr>
            </w:pPr>
            <w:r>
              <w:rPr>
                <w:rFonts w:hint="default" w:ascii="Arial" w:hAnsi="Arial" w:cs="Arial"/>
                <w:bCs/>
                <w:kern w:val="28"/>
                <w:szCs w:val="20"/>
              </w:rPr>
              <w:t>拟派项目负责人情况</w:t>
            </w:r>
          </w:p>
          <w:p>
            <w:pPr>
              <w:keepNext w:val="0"/>
              <w:keepLines w:val="0"/>
              <w:widowControl/>
              <w:suppressLineNumbers w:val="0"/>
              <w:spacing w:before="0" w:beforeAutospacing="0" w:after="0" w:afterAutospacing="0"/>
              <w:ind w:left="0" w:right="0"/>
              <w:jc w:val="center"/>
              <w:rPr>
                <w:rFonts w:hint="default" w:ascii="Arial" w:hAnsi="Arial" w:cs="Arial"/>
                <w:color w:val="000000"/>
                <w:kern w:val="28"/>
                <w:szCs w:val="21"/>
              </w:rPr>
            </w:pPr>
          </w:p>
        </w:tc>
        <w:tc>
          <w:tcPr>
            <w:tcW w:w="825" w:type="dxa"/>
            <w:vAlign w:val="center"/>
          </w:tcPr>
          <w:p>
            <w:pPr>
              <w:keepNext w:val="0"/>
              <w:keepLines w:val="0"/>
              <w:widowControl/>
              <w:suppressLineNumbers w:val="0"/>
              <w:spacing w:before="0" w:beforeAutospacing="0" w:after="0" w:afterAutospacing="0"/>
              <w:ind w:left="0" w:right="0"/>
              <w:jc w:val="center"/>
              <w:rPr>
                <w:rFonts w:hint="default" w:ascii="Arial" w:hAnsi="Arial" w:cs="Arial"/>
                <w:szCs w:val="21"/>
              </w:rPr>
            </w:pPr>
            <w:r>
              <w:rPr>
                <w:rFonts w:hint="default" w:ascii="Arial" w:hAnsi="Arial" w:cs="Arial"/>
                <w:szCs w:val="21"/>
              </w:rPr>
              <w:t>3</w:t>
            </w:r>
          </w:p>
        </w:tc>
        <w:tc>
          <w:tcPr>
            <w:tcW w:w="5828"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rPr>
            </w:pPr>
            <w:r>
              <w:rPr>
                <w:rFonts w:hint="default" w:ascii="Arial" w:hAnsi="Arial" w:cs="Arial"/>
                <w:szCs w:val="20"/>
              </w:rPr>
              <w:t>根据项目负责人以下情况，由评标委员会评分：</w:t>
            </w:r>
          </w:p>
          <w:p>
            <w:pPr>
              <w:keepNext w:val="0"/>
              <w:keepLines w:val="0"/>
              <w:widowControl/>
              <w:suppressLineNumbers w:val="0"/>
              <w:snapToGrid w:val="0"/>
              <w:spacing w:before="0" w:beforeAutospacing="0" w:after="0" w:afterAutospacing="0" w:line="360" w:lineRule="auto"/>
              <w:ind w:left="0" w:right="0"/>
              <w:rPr>
                <w:rFonts w:hint="default" w:ascii="Arial" w:hAnsi="Arial" w:eastAsia="宋体" w:cs="Arial"/>
                <w:color w:val="auto"/>
                <w:szCs w:val="20"/>
                <w:highlight w:val="none"/>
                <w:lang w:val="en-US" w:eastAsia="zh-CN"/>
              </w:rPr>
            </w:pPr>
            <w:r>
              <w:rPr>
                <w:rFonts w:hint="default" w:ascii="Times New Roman" w:hAnsi="Times New Roman" w:cs="Times New Roman"/>
                <w:szCs w:val="21"/>
                <w:lang w:val="en-US" w:eastAsia="zh-CN"/>
              </w:rPr>
              <w:t>1、</w:t>
            </w:r>
            <w:r>
              <w:rPr>
                <w:rFonts w:hint="default" w:ascii="Arial" w:hAnsi="Arial" w:eastAsia="宋体" w:cs="Arial"/>
                <w:color w:val="auto"/>
                <w:szCs w:val="20"/>
                <w:highlight w:val="none"/>
                <w:lang w:val="en-US" w:eastAsia="zh-CN"/>
              </w:rPr>
              <w:t>学历：拟派项目负责人有本科及以上学历得1</w:t>
            </w:r>
            <w:r>
              <w:rPr>
                <w:rFonts w:hint="eastAsia" w:ascii="Arial" w:hAnsi="Arial" w:cs="Arial"/>
                <w:color w:val="auto"/>
                <w:szCs w:val="20"/>
                <w:highlight w:val="none"/>
                <w:lang w:val="en-US" w:eastAsia="zh-CN"/>
              </w:rPr>
              <w:t>.0</w:t>
            </w:r>
            <w:r>
              <w:rPr>
                <w:rFonts w:hint="default" w:ascii="Arial" w:hAnsi="Arial" w:eastAsia="宋体" w:cs="Arial"/>
                <w:color w:val="auto"/>
                <w:szCs w:val="20"/>
                <w:highlight w:val="none"/>
                <w:lang w:val="en-US" w:eastAsia="zh-CN"/>
              </w:rPr>
              <w:t>分。</w:t>
            </w:r>
            <w:r>
              <w:rPr>
                <w:rFonts w:hint="default" w:ascii="Arial" w:hAnsi="Arial" w:cs="Arial"/>
                <w:color w:val="auto"/>
                <w:szCs w:val="20"/>
                <w:highlight w:val="none"/>
              </w:rPr>
              <w:t>（提供学历证明复印件并进行电子签章）</w:t>
            </w:r>
            <w:r>
              <w:rPr>
                <w:rFonts w:hint="default" w:ascii="Arial" w:hAnsi="Arial" w:eastAsia="宋体" w:cs="Arial"/>
                <w:color w:val="auto"/>
                <w:szCs w:val="20"/>
                <w:highlight w:val="none"/>
                <w:lang w:val="en-US" w:eastAsia="zh-CN"/>
              </w:rPr>
              <w:t>（客观）</w:t>
            </w:r>
          </w:p>
          <w:p>
            <w:pPr>
              <w:keepNext w:val="0"/>
              <w:keepLines w:val="0"/>
              <w:widowControl/>
              <w:suppressLineNumbers w:val="0"/>
              <w:snapToGrid w:val="0"/>
              <w:spacing w:before="0" w:beforeAutospacing="0" w:after="0" w:afterAutospacing="0" w:line="360" w:lineRule="auto"/>
              <w:ind w:left="0" w:right="0"/>
              <w:rPr>
                <w:rFonts w:hint="default" w:ascii="Arial" w:hAnsi="Arial" w:cs="Arial"/>
                <w:szCs w:val="21"/>
              </w:rPr>
            </w:pPr>
            <w:r>
              <w:rPr>
                <w:rFonts w:hint="default" w:ascii="Times New Roman" w:hAnsi="Times New Roman" w:cs="Times New Roman"/>
                <w:szCs w:val="21"/>
                <w:lang w:val="en-US" w:eastAsia="zh-CN"/>
              </w:rPr>
              <w:t>2、</w:t>
            </w:r>
            <w:r>
              <w:rPr>
                <w:rFonts w:hint="default" w:ascii="Arial" w:hAnsi="Arial" w:eastAsia="宋体" w:cs="Arial"/>
                <w:color w:val="auto"/>
                <w:szCs w:val="20"/>
                <w:highlight w:val="none"/>
                <w:lang w:val="en-US" w:eastAsia="zh-CN"/>
              </w:rPr>
              <w:t>工作经验：拟派项目负责人具有连续</w:t>
            </w:r>
            <w:r>
              <w:rPr>
                <w:rFonts w:hint="eastAsia" w:ascii="Arial" w:hAnsi="Arial" w:cs="Arial"/>
                <w:color w:val="auto"/>
                <w:szCs w:val="20"/>
                <w:highlight w:val="none"/>
                <w:lang w:val="en-US" w:eastAsia="zh-CN"/>
              </w:rPr>
              <w:t>2</w:t>
            </w:r>
            <w:r>
              <w:rPr>
                <w:rFonts w:hint="default" w:ascii="Arial" w:hAnsi="Arial" w:eastAsia="宋体" w:cs="Arial"/>
                <w:color w:val="auto"/>
                <w:szCs w:val="20"/>
                <w:highlight w:val="none"/>
                <w:lang w:val="en-US" w:eastAsia="zh-CN"/>
              </w:rPr>
              <w:t>年（含）以上担任医院同类物业服务项目负责人工作经验，得2</w:t>
            </w:r>
            <w:r>
              <w:rPr>
                <w:rFonts w:hint="eastAsia" w:ascii="Arial" w:hAnsi="Arial" w:cs="Arial"/>
                <w:color w:val="auto"/>
                <w:szCs w:val="20"/>
                <w:highlight w:val="none"/>
                <w:lang w:val="en-US" w:eastAsia="zh-CN"/>
              </w:rPr>
              <w:t>.0</w:t>
            </w:r>
            <w:r>
              <w:rPr>
                <w:rFonts w:hint="default" w:ascii="Arial" w:hAnsi="Arial" w:eastAsia="宋体" w:cs="Arial"/>
                <w:color w:val="auto"/>
                <w:szCs w:val="20"/>
                <w:highlight w:val="none"/>
                <w:lang w:val="en-US" w:eastAsia="zh-CN"/>
              </w:rPr>
              <w:t>分。</w:t>
            </w:r>
            <w:r>
              <w:rPr>
                <w:rFonts w:hint="default" w:ascii="Arial" w:hAnsi="Arial" w:eastAsia="宋体" w:cs="Arial"/>
                <w:color w:val="auto"/>
                <w:sz w:val="21"/>
                <w:szCs w:val="21"/>
                <w:highlight w:val="none"/>
                <w:lang w:val="en-US" w:eastAsia="zh-CN" w:bidi="ar-SA"/>
              </w:rPr>
              <w:t>（经验证明材料须提供劳动合同或业主方出具的证明材料或其他可以证明其管理经验的资料，以上资料均提供复印件并进行电子签章，证明材料须明确其就职岗位为项目负责人）</w:t>
            </w:r>
            <w:r>
              <w:rPr>
                <w:rFonts w:hint="default" w:ascii="Arial" w:hAnsi="Arial" w:eastAsia="宋体" w:cs="Arial"/>
                <w:color w:val="auto"/>
                <w:szCs w:val="20"/>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771" w:type="dxa"/>
            <w:vMerge w:val="restart"/>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0"/>
                <w:lang w:eastAsia="zh-CN"/>
              </w:rPr>
            </w:pPr>
            <w:r>
              <w:rPr>
                <w:rFonts w:hint="eastAsia" w:ascii="Times New Roman" w:hAnsi="Times New Roman" w:cs="Times New Roman"/>
                <w:szCs w:val="20"/>
                <w:lang w:val="en-US" w:eastAsia="zh-CN"/>
              </w:rPr>
              <w:t>5</w:t>
            </w:r>
          </w:p>
        </w:tc>
        <w:tc>
          <w:tcPr>
            <w:tcW w:w="1620" w:type="dxa"/>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kern w:val="28"/>
                <w:szCs w:val="21"/>
                <w:highlight w:val="green"/>
              </w:rPr>
            </w:pPr>
            <w:r>
              <w:rPr>
                <w:rFonts w:hint="default" w:ascii="Arial" w:hAnsi="Arial" w:cs="Arial"/>
                <w:bCs/>
                <w:kern w:val="28"/>
                <w:szCs w:val="22"/>
              </w:rPr>
              <w:t>管理服务方案</w:t>
            </w:r>
          </w:p>
        </w:tc>
        <w:tc>
          <w:tcPr>
            <w:tcW w:w="825" w:type="dxa"/>
            <w:vMerge w:val="restart"/>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Cs w:val="21"/>
                <w:lang w:eastAsia="zh-CN"/>
              </w:rPr>
            </w:pPr>
            <w:r>
              <w:rPr>
                <w:rFonts w:hint="default" w:ascii="Arial" w:hAnsi="Arial" w:cs="Arial"/>
                <w:bCs/>
                <w:kern w:val="28"/>
                <w:szCs w:val="22"/>
                <w:lang w:val="en-US" w:eastAsia="zh-CN"/>
              </w:rPr>
              <w:t>6</w:t>
            </w:r>
          </w:p>
        </w:tc>
        <w:tc>
          <w:tcPr>
            <w:tcW w:w="5828" w:type="dxa"/>
            <w:tcBorders>
              <w:top w:val="single" w:color="auto" w:sz="4" w:space="0"/>
              <w:bottom w:val="single" w:color="auto" w:sz="4" w:space="0"/>
            </w:tcBorders>
            <w:vAlign w:val="top"/>
          </w:tcPr>
          <w:p>
            <w:pPr>
              <w:keepNext w:val="0"/>
              <w:keepLines w:val="0"/>
              <w:widowControl/>
              <w:numPr>
                <w:ilvl w:val="0"/>
                <w:numId w:val="46"/>
              </w:numPr>
              <w:suppressLineNumbers w:val="0"/>
              <w:snapToGrid w:val="0"/>
              <w:spacing w:before="0" w:beforeAutospacing="0" w:after="0" w:afterAutospacing="0" w:line="360" w:lineRule="auto"/>
              <w:ind w:left="0" w:right="0"/>
              <w:rPr>
                <w:rFonts w:hint="default" w:ascii="Times New Roman" w:hAnsi="Times New Roman" w:cs="Times New Roman"/>
                <w:b/>
                <w:bCs/>
                <w:szCs w:val="20"/>
                <w:lang w:val="en-US" w:eastAsia="zh-CN"/>
              </w:rPr>
            </w:pPr>
            <w:r>
              <w:rPr>
                <w:rFonts w:hint="default" w:ascii="Times New Roman" w:hAnsi="Times New Roman" w:cs="Times New Roman"/>
                <w:b/>
                <w:bCs/>
                <w:szCs w:val="20"/>
              </w:rPr>
              <w:t>保洁服务方案</w:t>
            </w:r>
            <w:r>
              <w:rPr>
                <w:rFonts w:hint="default" w:ascii="Times New Roman" w:hAnsi="Times New Roman" w:cs="Times New Roman"/>
                <w:b/>
                <w:bCs/>
                <w:szCs w:val="20"/>
                <w:lang w:eastAsia="zh-CN"/>
              </w:rPr>
              <w:t>：</w:t>
            </w:r>
          </w:p>
          <w:p>
            <w:pPr>
              <w:keepNext w:val="0"/>
              <w:keepLines w:val="0"/>
              <w:widowControl/>
              <w:numPr>
                <w:ilvl w:val="0"/>
                <w:numId w:val="0"/>
              </w:numPr>
              <w:suppressLineNumbers w:val="0"/>
              <w:snapToGrid w:val="0"/>
              <w:spacing w:before="0" w:beforeAutospacing="0" w:after="0" w:afterAutospacing="0" w:line="360" w:lineRule="auto"/>
              <w:ind w:left="0" w:right="0"/>
              <w:rPr>
                <w:rFonts w:hint="default" w:ascii="Arial" w:hAnsi="Arial" w:cs="Arial"/>
                <w:szCs w:val="20"/>
                <w:lang w:val="en-US" w:eastAsia="zh-CN"/>
              </w:rPr>
            </w:pPr>
            <w:r>
              <w:rPr>
                <w:rFonts w:hint="eastAsia" w:ascii="Arial" w:hAnsi="Arial" w:cs="Arial"/>
                <w:szCs w:val="20"/>
                <w:highlight w:val="none"/>
                <w:lang w:val="en-US" w:eastAsia="zh-CN"/>
              </w:rPr>
              <w:t>（1）</w:t>
            </w:r>
            <w:r>
              <w:rPr>
                <w:rFonts w:hint="default" w:ascii="Arial" w:hAnsi="Arial" w:cs="Arial"/>
                <w:szCs w:val="20"/>
                <w:highlight w:val="none"/>
                <w:lang w:val="en-US" w:eastAsia="zh-CN"/>
              </w:rPr>
              <w:t>根据投标人提供的</w:t>
            </w:r>
            <w:r>
              <w:rPr>
                <w:rFonts w:hint="default" w:ascii="Arial" w:hAnsi="Arial" w:cs="Arial"/>
                <w:b/>
                <w:bCs/>
                <w:szCs w:val="20"/>
                <w:highlight w:val="none"/>
              </w:rPr>
              <w:t>公共场地及设施的日常保洁保养</w:t>
            </w:r>
            <w:r>
              <w:rPr>
                <w:rFonts w:hint="eastAsia" w:ascii="Arial" w:hAnsi="Arial" w:cs="Arial"/>
                <w:b/>
                <w:bCs/>
                <w:szCs w:val="20"/>
                <w:highlight w:val="none"/>
                <w:lang w:eastAsia="zh-CN"/>
              </w:rPr>
              <w:t>方案</w:t>
            </w:r>
            <w:r>
              <w:rPr>
                <w:rFonts w:hint="default" w:ascii="Arial" w:hAnsi="Arial" w:cs="Arial"/>
                <w:szCs w:val="20"/>
                <w:highlight w:val="none"/>
                <w:lang w:val="en-US" w:eastAsia="zh-CN"/>
              </w:rPr>
              <w:t>，能</w:t>
            </w:r>
            <w:r>
              <w:rPr>
                <w:rFonts w:hint="default" w:ascii="Arial" w:hAnsi="Arial" w:cs="Arial"/>
                <w:szCs w:val="20"/>
                <w:highlight w:val="none"/>
              </w:rPr>
              <w:t>满足采购需求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771" w:type="dxa"/>
            <w:vMerge w:val="continue"/>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szCs w:val="20"/>
              </w:rPr>
            </w:pPr>
          </w:p>
        </w:tc>
        <w:tc>
          <w:tcPr>
            <w:tcW w:w="1620" w:type="dxa"/>
            <w:vMerge w:val="continue"/>
            <w:vAlign w:val="center"/>
          </w:tcPr>
          <w:p>
            <w:pPr>
              <w:keepNext w:val="0"/>
              <w:keepLines w:val="0"/>
              <w:widowControl/>
              <w:suppressLineNumbers w:val="0"/>
              <w:snapToGrid w:val="0"/>
              <w:spacing w:before="0" w:beforeAutospacing="0" w:after="0" w:afterAutospacing="0" w:line="360" w:lineRule="auto"/>
              <w:ind w:left="0" w:right="0"/>
              <w:rPr>
                <w:rFonts w:hint="default"/>
                <w:szCs w:val="20"/>
              </w:rPr>
            </w:pPr>
          </w:p>
        </w:tc>
        <w:tc>
          <w:tcPr>
            <w:tcW w:w="825" w:type="dxa"/>
            <w:vMerge w:val="continue"/>
            <w:vAlign w:val="center"/>
          </w:tcPr>
          <w:p>
            <w:pPr>
              <w:keepNext w:val="0"/>
              <w:keepLines w:val="0"/>
              <w:widowControl/>
              <w:suppressLineNumbers w:val="0"/>
              <w:snapToGrid w:val="0"/>
              <w:spacing w:before="0" w:beforeAutospacing="0" w:after="0" w:afterAutospacing="0" w:line="360" w:lineRule="auto"/>
              <w:ind w:left="0" w:right="0"/>
              <w:rPr>
                <w:rFonts w:hint="default"/>
                <w:szCs w:val="20"/>
              </w:rPr>
            </w:pPr>
          </w:p>
        </w:tc>
        <w:tc>
          <w:tcPr>
            <w:tcW w:w="5828" w:type="dxa"/>
            <w:tcBorders>
              <w:top w:val="single" w:color="auto" w:sz="4" w:space="0"/>
              <w:bottom w:val="single" w:color="auto" w:sz="4" w:space="0"/>
            </w:tcBorders>
            <w:vAlign w:val="top"/>
          </w:tcPr>
          <w:p>
            <w:pPr>
              <w:keepNext w:val="0"/>
              <w:keepLines w:val="0"/>
              <w:widowControl/>
              <w:numPr>
                <w:ilvl w:val="0"/>
                <w:numId w:val="0"/>
              </w:numPr>
              <w:suppressLineNumbers w:val="0"/>
              <w:snapToGrid w:val="0"/>
              <w:spacing w:before="0" w:beforeAutospacing="0" w:after="0" w:afterAutospacing="0" w:line="360" w:lineRule="auto"/>
              <w:ind w:left="0" w:right="0"/>
              <w:rPr>
                <w:rFonts w:hint="default" w:ascii="Arial" w:hAnsi="Arial" w:cs="Arial"/>
                <w:szCs w:val="20"/>
                <w:highlight w:val="none"/>
                <w:lang w:val="en-US" w:eastAsia="zh-CN"/>
              </w:rPr>
            </w:pPr>
            <w:r>
              <w:rPr>
                <w:rFonts w:hint="eastAsia" w:ascii="Arial" w:hAnsi="Arial" w:cs="Arial"/>
                <w:szCs w:val="20"/>
                <w:highlight w:val="none"/>
                <w:lang w:val="en-US" w:eastAsia="zh-CN"/>
              </w:rPr>
              <w:t>（2）</w:t>
            </w:r>
            <w:r>
              <w:rPr>
                <w:rFonts w:hint="default" w:ascii="Arial" w:hAnsi="Arial" w:cs="Arial"/>
                <w:szCs w:val="20"/>
                <w:highlight w:val="none"/>
                <w:lang w:val="en-US" w:eastAsia="zh-CN"/>
              </w:rPr>
              <w:t>根据投标人提供的</w:t>
            </w:r>
            <w:r>
              <w:rPr>
                <w:rFonts w:hint="default" w:ascii="Arial" w:hAnsi="Arial" w:cs="Arial"/>
                <w:b/>
                <w:bCs/>
                <w:szCs w:val="20"/>
                <w:highlight w:val="none"/>
                <w:lang w:val="en-US" w:eastAsia="zh-CN"/>
              </w:rPr>
              <w:t>各类垃圾（</w:t>
            </w:r>
            <w:r>
              <w:rPr>
                <w:rFonts w:hint="default" w:ascii="Arial" w:hAnsi="Arial" w:cs="Arial"/>
                <w:b/>
                <w:bCs/>
                <w:szCs w:val="20"/>
                <w:highlight w:val="none"/>
              </w:rPr>
              <w:t>生活垃圾、医疗废物、危险废物</w:t>
            </w:r>
            <w:r>
              <w:rPr>
                <w:rFonts w:hint="default" w:ascii="Arial" w:hAnsi="Arial" w:cs="Arial"/>
                <w:b/>
                <w:bCs/>
                <w:szCs w:val="20"/>
                <w:highlight w:val="none"/>
                <w:lang w:val="en-US" w:eastAsia="zh-CN"/>
              </w:rPr>
              <w:t>）的分类收集</w:t>
            </w:r>
            <w:r>
              <w:rPr>
                <w:rFonts w:hint="eastAsia" w:ascii="Arial" w:hAnsi="Arial" w:cs="Arial"/>
                <w:b/>
                <w:bCs/>
                <w:szCs w:val="20"/>
                <w:highlight w:val="none"/>
                <w:lang w:val="en-US" w:eastAsia="zh-CN"/>
              </w:rPr>
              <w:t>方案</w:t>
            </w:r>
            <w:r>
              <w:rPr>
                <w:rFonts w:hint="default" w:ascii="Arial" w:hAnsi="Arial" w:cs="Arial"/>
                <w:szCs w:val="20"/>
                <w:highlight w:val="none"/>
                <w:lang w:val="en-US" w:eastAsia="zh-CN"/>
              </w:rPr>
              <w:t>，能</w:t>
            </w:r>
            <w:r>
              <w:rPr>
                <w:rFonts w:hint="default" w:ascii="Arial" w:hAnsi="Arial" w:cs="Arial"/>
                <w:szCs w:val="20"/>
                <w:highlight w:val="none"/>
              </w:rPr>
              <w:t>满足采购需求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771" w:type="dxa"/>
            <w:vMerge w:val="continue"/>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highlight w:val="none"/>
                <w:lang w:val="en-US" w:eastAsia="zh-CN"/>
              </w:rPr>
            </w:pPr>
          </w:p>
        </w:tc>
        <w:tc>
          <w:tcPr>
            <w:tcW w:w="1620" w:type="dxa"/>
            <w:vMerge w:val="continue"/>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highlight w:val="none"/>
                <w:lang w:val="en-US" w:eastAsia="zh-CN"/>
              </w:rPr>
            </w:pPr>
          </w:p>
        </w:tc>
        <w:tc>
          <w:tcPr>
            <w:tcW w:w="825" w:type="dxa"/>
            <w:vMerge w:val="continue"/>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highlight w:val="none"/>
                <w:lang w:val="en-US" w:eastAsia="zh-CN"/>
              </w:rPr>
            </w:pPr>
          </w:p>
        </w:tc>
        <w:tc>
          <w:tcPr>
            <w:tcW w:w="5828" w:type="dxa"/>
            <w:tcBorders>
              <w:top w:val="single" w:color="auto" w:sz="4" w:space="0"/>
              <w:bottom w:val="single" w:color="auto" w:sz="4" w:space="0"/>
            </w:tcBorders>
            <w:vAlign w:val="top"/>
          </w:tcPr>
          <w:p>
            <w:pPr>
              <w:keepNext w:val="0"/>
              <w:keepLines w:val="0"/>
              <w:widowControl/>
              <w:numPr>
                <w:ilvl w:val="0"/>
                <w:numId w:val="0"/>
              </w:numPr>
              <w:suppressLineNumbers w:val="0"/>
              <w:snapToGrid w:val="0"/>
              <w:spacing w:before="0" w:beforeAutospacing="0" w:after="0" w:afterAutospacing="0" w:line="360" w:lineRule="auto"/>
              <w:ind w:left="0" w:right="0"/>
              <w:rPr>
                <w:rFonts w:hint="default" w:ascii="Arial" w:hAnsi="Arial" w:cs="Arial"/>
                <w:szCs w:val="20"/>
                <w:highlight w:val="none"/>
                <w:lang w:val="en-US" w:eastAsia="zh-CN"/>
              </w:rPr>
            </w:pPr>
            <w:r>
              <w:rPr>
                <w:rFonts w:hint="eastAsia" w:ascii="Arial" w:hAnsi="Arial" w:cs="Arial"/>
                <w:szCs w:val="20"/>
                <w:highlight w:val="none"/>
                <w:lang w:val="en-US" w:eastAsia="zh-CN"/>
              </w:rPr>
              <w:t>（3）</w:t>
            </w:r>
            <w:r>
              <w:rPr>
                <w:rFonts w:hint="default" w:ascii="Arial" w:hAnsi="Arial" w:cs="Arial"/>
                <w:szCs w:val="20"/>
                <w:highlight w:val="none"/>
                <w:lang w:val="en-US" w:eastAsia="zh-CN"/>
              </w:rPr>
              <w:t>根据投标人提供的</w:t>
            </w:r>
            <w:r>
              <w:rPr>
                <w:rFonts w:hint="default" w:ascii="Arial" w:hAnsi="Arial" w:cs="Arial"/>
                <w:b/>
                <w:bCs/>
                <w:szCs w:val="20"/>
                <w:highlight w:val="none"/>
                <w:lang w:val="en-US" w:eastAsia="zh-CN"/>
              </w:rPr>
              <w:t>各类垃圾（</w:t>
            </w:r>
            <w:r>
              <w:rPr>
                <w:rFonts w:hint="default" w:ascii="Arial" w:hAnsi="Arial" w:cs="Arial"/>
                <w:b/>
                <w:bCs/>
                <w:szCs w:val="20"/>
                <w:highlight w:val="none"/>
              </w:rPr>
              <w:t>生活垃圾、医疗废物、危险废物</w:t>
            </w:r>
            <w:r>
              <w:rPr>
                <w:rFonts w:hint="default" w:ascii="Arial" w:hAnsi="Arial" w:cs="Arial"/>
                <w:b/>
                <w:bCs/>
                <w:szCs w:val="20"/>
                <w:highlight w:val="none"/>
                <w:lang w:val="en-US" w:eastAsia="zh-CN"/>
              </w:rPr>
              <w:t>）清运或暂存</w:t>
            </w:r>
            <w:r>
              <w:rPr>
                <w:rFonts w:hint="eastAsia" w:ascii="Arial" w:hAnsi="Arial" w:cs="Arial"/>
                <w:b/>
                <w:bCs/>
                <w:szCs w:val="20"/>
                <w:highlight w:val="none"/>
                <w:lang w:val="en-US" w:eastAsia="zh-CN"/>
              </w:rPr>
              <w:t>方案</w:t>
            </w:r>
            <w:r>
              <w:rPr>
                <w:rFonts w:hint="default" w:ascii="Arial" w:hAnsi="Arial" w:cs="Arial"/>
                <w:szCs w:val="20"/>
                <w:highlight w:val="none"/>
                <w:lang w:val="en-US" w:eastAsia="zh-CN"/>
              </w:rPr>
              <w:t>，能</w:t>
            </w:r>
            <w:r>
              <w:rPr>
                <w:rFonts w:hint="default" w:ascii="Arial" w:hAnsi="Arial" w:cs="Arial"/>
                <w:szCs w:val="20"/>
                <w:highlight w:val="none"/>
              </w:rPr>
              <w:t>满足采购需求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right="0"/>
              <w:outlineLvl w:val="0"/>
              <w:rPr>
                <w:rFonts w:hint="default" w:ascii="Times New Roman" w:hAnsi="Times New Roman" w:cs="Times New Roman"/>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right="0"/>
              <w:outlineLvl w:val="0"/>
              <w:rPr>
                <w:rFonts w:hint="default" w:ascii="Arial" w:hAnsi="Arial" w:cs="Arial"/>
                <w:b w:val="0"/>
                <w:kern w:val="0"/>
                <w:sz w:val="21"/>
                <w:szCs w:val="22"/>
                <w:lang w:val="en-US" w:eastAsia="zh-CN"/>
              </w:rPr>
            </w:pPr>
          </w:p>
        </w:tc>
        <w:tc>
          <w:tcPr>
            <w:tcW w:w="825" w:type="dxa"/>
            <w:vMerge w:val="restart"/>
            <w:vAlign w:val="center"/>
          </w:tcPr>
          <w:p>
            <w:pPr>
              <w:pStyle w:val="3"/>
              <w:suppressLineNumbers w:val="0"/>
              <w:spacing w:before="0" w:beforeAutospacing="0" w:after="0" w:afterAutospacing="0"/>
              <w:ind w:left="0" w:right="0"/>
              <w:jc w:val="center"/>
              <w:outlineLvl w:val="0"/>
              <w:rPr>
                <w:rFonts w:hint="default" w:ascii="Arial" w:hAnsi="Arial" w:cs="Arial"/>
                <w:b w:val="0"/>
                <w:kern w:val="0"/>
                <w:sz w:val="21"/>
                <w:szCs w:val="22"/>
                <w:lang w:val="en-US" w:eastAsia="zh-CN"/>
              </w:rPr>
            </w:pPr>
            <w:bookmarkStart w:id="341" w:name="_Toc16179"/>
            <w:bookmarkStart w:id="342" w:name="_Toc23369"/>
            <w:r>
              <w:rPr>
                <w:rFonts w:hint="default" w:ascii="Arial" w:hAnsi="Arial" w:cs="Arial"/>
                <w:b w:val="0"/>
                <w:kern w:val="0"/>
                <w:sz w:val="21"/>
                <w:szCs w:val="22"/>
                <w:lang w:val="en-US" w:eastAsia="zh-CN"/>
              </w:rPr>
              <w:t>6</w:t>
            </w:r>
            <w:bookmarkEnd w:id="341"/>
            <w:bookmarkEnd w:id="342"/>
          </w:p>
        </w:tc>
        <w:tc>
          <w:tcPr>
            <w:tcW w:w="5828" w:type="dxa"/>
            <w:tcBorders>
              <w:top w:val="single" w:color="auto" w:sz="4" w:space="0"/>
              <w:bottom w:val="single" w:color="auto" w:sz="4" w:space="0"/>
            </w:tcBorders>
            <w:vAlign w:val="top"/>
          </w:tcPr>
          <w:p>
            <w:pPr>
              <w:keepNext w:val="0"/>
              <w:keepLines w:val="0"/>
              <w:widowControl/>
              <w:numPr>
                <w:ilvl w:val="0"/>
                <w:numId w:val="46"/>
              </w:numPr>
              <w:suppressLineNumbers w:val="0"/>
              <w:snapToGrid w:val="0"/>
              <w:spacing w:before="0" w:beforeAutospacing="0" w:after="0" w:afterAutospacing="0" w:line="360" w:lineRule="auto"/>
              <w:ind w:left="0" w:leftChars="0" w:right="0" w:firstLine="0" w:firstLineChars="0"/>
              <w:rPr>
                <w:rFonts w:hint="default" w:ascii="Times New Roman" w:hAnsi="Times New Roman" w:cs="Times New Roman"/>
                <w:b/>
                <w:bCs/>
                <w:snapToGrid w:val="0"/>
                <w:szCs w:val="21"/>
              </w:rPr>
            </w:pPr>
            <w:r>
              <w:rPr>
                <w:rFonts w:hint="default" w:ascii="Times New Roman" w:hAnsi="Times New Roman" w:cs="Times New Roman"/>
                <w:b/>
                <w:bCs/>
                <w:snapToGrid w:val="0"/>
                <w:szCs w:val="21"/>
              </w:rPr>
              <w:t>防止交叉感染措施方案</w:t>
            </w:r>
            <w:r>
              <w:rPr>
                <w:rFonts w:hint="default" w:ascii="Times New Roman" w:hAnsi="Times New Roman" w:cs="Times New Roman"/>
                <w:b/>
                <w:bCs/>
                <w:snapToGrid w:val="0"/>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cs="Arial"/>
                <w:b/>
                <w:kern w:val="0"/>
                <w:sz w:val="21"/>
                <w:szCs w:val="22"/>
                <w:lang w:val="en-US" w:eastAsia="zh-CN"/>
              </w:rPr>
            </w:pPr>
            <w:r>
              <w:rPr>
                <w:rFonts w:hint="eastAsia" w:ascii="Arial" w:hAnsi="Arial" w:cs="Arial"/>
                <w:snapToGrid w:val="0"/>
                <w:color w:val="auto"/>
                <w:spacing w:val="0"/>
                <w:kern w:val="0"/>
                <w:sz w:val="21"/>
                <w:szCs w:val="21"/>
                <w:highlight w:val="none"/>
                <w:lang w:val="en-US" w:eastAsia="zh-CN"/>
              </w:rPr>
              <w:t>（1）</w:t>
            </w:r>
            <w:r>
              <w:rPr>
                <w:rFonts w:hint="default" w:ascii="Arial" w:hAnsi="Arial" w:eastAsia="宋体" w:cs="Arial"/>
                <w:snapToGrid w:val="0"/>
                <w:color w:val="auto"/>
                <w:spacing w:val="0"/>
                <w:kern w:val="0"/>
                <w:sz w:val="21"/>
                <w:szCs w:val="21"/>
                <w:highlight w:val="none"/>
                <w:lang w:val="en-US" w:eastAsia="zh-CN"/>
              </w:rPr>
              <w:t>根据投标人提供的</w:t>
            </w:r>
            <w:r>
              <w:rPr>
                <w:rFonts w:hint="default" w:ascii="Arial" w:hAnsi="Arial" w:eastAsia="宋体" w:cs="Arial"/>
                <w:b/>
                <w:bCs/>
                <w:snapToGrid w:val="0"/>
                <w:color w:val="auto"/>
                <w:spacing w:val="0"/>
                <w:kern w:val="0"/>
                <w:sz w:val="21"/>
                <w:szCs w:val="21"/>
                <w:highlight w:val="none"/>
                <w:lang w:val="en-US" w:eastAsia="zh-CN"/>
              </w:rPr>
              <w:t>消毒管理</w:t>
            </w:r>
            <w:r>
              <w:rPr>
                <w:rFonts w:hint="eastAsia" w:ascii="Arial" w:hAnsi="Arial" w:cs="Arial"/>
                <w:b/>
                <w:bCs/>
                <w:snapToGrid w:val="0"/>
                <w:color w:val="auto"/>
                <w:spacing w:val="0"/>
                <w:kern w:val="0"/>
                <w:sz w:val="21"/>
                <w:szCs w:val="21"/>
                <w:highlight w:val="none"/>
                <w:lang w:val="en-US" w:eastAsia="zh-CN"/>
              </w:rPr>
              <w:t>方案</w:t>
            </w:r>
            <w:r>
              <w:rPr>
                <w:rFonts w:hint="default" w:ascii="Arial" w:hAnsi="Arial" w:eastAsia="宋体" w:cs="Arial"/>
                <w:snapToGrid w:val="0"/>
                <w:color w:val="auto"/>
                <w:spacing w:val="0"/>
                <w:kern w:val="0"/>
                <w:sz w:val="21"/>
                <w:szCs w:val="21"/>
                <w:highlight w:val="none"/>
                <w:lang w:val="en-US" w:eastAsia="zh-CN"/>
              </w:rPr>
              <w:t>，能满足采购需求、科学操作性强的，一项内容得2</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分；方案较为简单，基本符合采购需求的，一项内容得1</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分；不符合采购需求或者未提供相应内容的不得分。此项最高得</w:t>
            </w:r>
            <w:r>
              <w:rPr>
                <w:rFonts w:hint="eastAsia" w:ascii="Arial" w:hAnsi="Arial" w:cs="Arial"/>
                <w:snapToGrid w:val="0"/>
                <w:color w:val="auto"/>
                <w:spacing w:val="0"/>
                <w:kern w:val="0"/>
                <w:sz w:val="21"/>
                <w:szCs w:val="21"/>
                <w:highlight w:val="none"/>
                <w:lang w:val="en-US" w:eastAsia="zh-CN"/>
              </w:rPr>
              <w:t>2.0</w:t>
            </w:r>
            <w:r>
              <w:rPr>
                <w:rFonts w:hint="default" w:ascii="Arial" w:hAnsi="Arial" w:eastAsia="宋体" w:cs="Arial"/>
                <w:snapToGrid w:val="0"/>
                <w:color w:val="auto"/>
                <w:spacing w:val="0"/>
                <w:kern w:val="0"/>
                <w:sz w:val="21"/>
                <w:szCs w:val="21"/>
                <w:highlight w:val="none"/>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szCs w:val="20"/>
              </w:rPr>
            </w:pP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szCs w:val="20"/>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szCs w:val="20"/>
              </w:rPr>
            </w:pPr>
          </w:p>
        </w:tc>
        <w:tc>
          <w:tcPr>
            <w:tcW w:w="5828" w:type="dxa"/>
            <w:tcBorders>
              <w:top w:val="single" w:color="auto" w:sz="4" w:space="0"/>
              <w:bottom w:val="single" w:color="auto" w:sz="4"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eastAsia="宋体" w:cs="Arial"/>
                <w:snapToGrid w:val="0"/>
                <w:color w:val="auto"/>
                <w:spacing w:val="0"/>
                <w:kern w:val="0"/>
                <w:sz w:val="21"/>
                <w:szCs w:val="21"/>
                <w:highlight w:val="none"/>
                <w:lang w:val="en-US" w:eastAsia="zh-CN"/>
              </w:rPr>
            </w:pPr>
            <w:r>
              <w:rPr>
                <w:rFonts w:hint="eastAsia" w:ascii="Arial" w:hAnsi="Arial" w:cs="Arial"/>
                <w:snapToGrid w:val="0"/>
                <w:color w:val="auto"/>
                <w:spacing w:val="0"/>
                <w:kern w:val="0"/>
                <w:sz w:val="21"/>
                <w:szCs w:val="21"/>
                <w:highlight w:val="none"/>
                <w:lang w:val="en-US" w:eastAsia="zh-CN"/>
              </w:rPr>
              <w:t>（2）</w:t>
            </w:r>
            <w:r>
              <w:rPr>
                <w:rFonts w:hint="default" w:ascii="Arial" w:hAnsi="Arial" w:eastAsia="宋体" w:cs="Arial"/>
                <w:snapToGrid w:val="0"/>
                <w:color w:val="auto"/>
                <w:spacing w:val="0"/>
                <w:kern w:val="0"/>
                <w:sz w:val="21"/>
                <w:szCs w:val="21"/>
                <w:highlight w:val="none"/>
                <w:lang w:val="en-US" w:eastAsia="zh-CN"/>
              </w:rPr>
              <w:t>根据投标人提供的</w:t>
            </w:r>
            <w:r>
              <w:rPr>
                <w:rFonts w:hint="default" w:ascii="Arial" w:hAnsi="Arial" w:eastAsia="宋体" w:cs="Arial"/>
                <w:b/>
                <w:bCs/>
                <w:snapToGrid w:val="0"/>
                <w:color w:val="auto"/>
                <w:spacing w:val="0"/>
                <w:kern w:val="0"/>
                <w:sz w:val="21"/>
                <w:szCs w:val="21"/>
                <w:highlight w:val="none"/>
                <w:lang w:val="en-US" w:eastAsia="zh-CN"/>
              </w:rPr>
              <w:t>分类标记摆放</w:t>
            </w:r>
            <w:r>
              <w:rPr>
                <w:rFonts w:hint="eastAsia" w:ascii="Arial" w:hAnsi="Arial" w:cs="Arial"/>
                <w:b/>
                <w:bCs/>
                <w:snapToGrid w:val="0"/>
                <w:color w:val="auto"/>
                <w:spacing w:val="0"/>
                <w:kern w:val="0"/>
                <w:sz w:val="21"/>
                <w:szCs w:val="21"/>
                <w:highlight w:val="none"/>
                <w:lang w:val="en-US" w:eastAsia="zh-CN"/>
              </w:rPr>
              <w:t>方案</w:t>
            </w:r>
            <w:r>
              <w:rPr>
                <w:rFonts w:hint="default" w:ascii="Arial" w:hAnsi="Arial" w:eastAsia="宋体" w:cs="Arial"/>
                <w:snapToGrid w:val="0"/>
                <w:color w:val="auto"/>
                <w:spacing w:val="0"/>
                <w:kern w:val="0"/>
                <w:sz w:val="21"/>
                <w:szCs w:val="21"/>
                <w:highlight w:val="none"/>
                <w:lang w:val="en-US" w:eastAsia="zh-CN"/>
              </w:rPr>
              <w:t>，能满足采购需求、科学操作性强的，一项内容得2</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分；方案较为简单，基本符合采购需求的，一项内容得1</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分；不符合采购需求或者未提供相应内容的不得分。此项最高得</w:t>
            </w:r>
            <w:r>
              <w:rPr>
                <w:rFonts w:hint="eastAsia" w:ascii="Arial" w:hAnsi="Arial" w:cs="Arial"/>
                <w:snapToGrid w:val="0"/>
                <w:color w:val="auto"/>
                <w:spacing w:val="0"/>
                <w:kern w:val="0"/>
                <w:sz w:val="21"/>
                <w:szCs w:val="21"/>
                <w:highlight w:val="none"/>
                <w:lang w:val="en-US" w:eastAsia="zh-CN"/>
              </w:rPr>
              <w:t>2.0</w:t>
            </w:r>
            <w:r>
              <w:rPr>
                <w:rFonts w:hint="default" w:ascii="Arial" w:hAnsi="Arial" w:eastAsia="宋体" w:cs="Arial"/>
                <w:snapToGrid w:val="0"/>
                <w:color w:val="auto"/>
                <w:spacing w:val="0"/>
                <w:kern w:val="0"/>
                <w:sz w:val="21"/>
                <w:szCs w:val="21"/>
                <w:highlight w:val="none"/>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eastAsia="宋体" w:cs="Arial"/>
                <w:snapToGrid w:val="0"/>
                <w:color w:val="auto"/>
                <w:spacing w:val="0"/>
                <w:kern w:val="0"/>
                <w:sz w:val="21"/>
                <w:szCs w:val="21"/>
                <w:highlight w:val="none"/>
                <w:lang w:val="en-US" w:eastAsia="zh-CN"/>
              </w:rPr>
            </w:pPr>
          </w:p>
        </w:tc>
        <w:tc>
          <w:tcPr>
            <w:tcW w:w="16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eastAsia="宋体" w:cs="Arial"/>
                <w:snapToGrid w:val="0"/>
                <w:color w:val="auto"/>
                <w:spacing w:val="0"/>
                <w:kern w:val="0"/>
                <w:sz w:val="21"/>
                <w:szCs w:val="21"/>
                <w:highlight w:val="none"/>
                <w:lang w:val="en-US" w:eastAsia="zh-CN"/>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eastAsia="宋体" w:cs="Arial"/>
                <w:snapToGrid w:val="0"/>
                <w:color w:val="auto"/>
                <w:spacing w:val="0"/>
                <w:kern w:val="0"/>
                <w:sz w:val="21"/>
                <w:szCs w:val="21"/>
                <w:highlight w:val="none"/>
                <w:lang w:val="en-US" w:eastAsia="zh-CN"/>
              </w:rPr>
            </w:pPr>
          </w:p>
        </w:tc>
        <w:tc>
          <w:tcPr>
            <w:tcW w:w="5828" w:type="dxa"/>
            <w:tcBorders>
              <w:top w:val="single" w:color="auto" w:sz="4" w:space="0"/>
              <w:bottom w:val="single" w:color="auto" w:sz="4"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textAlignment w:val="auto"/>
              <w:outlineLvl w:val="9"/>
              <w:rPr>
                <w:rFonts w:hint="default" w:ascii="Arial" w:hAnsi="Arial" w:eastAsia="宋体" w:cs="Arial"/>
                <w:snapToGrid w:val="0"/>
                <w:color w:val="auto"/>
                <w:spacing w:val="0"/>
                <w:kern w:val="0"/>
                <w:sz w:val="21"/>
                <w:szCs w:val="21"/>
                <w:highlight w:val="none"/>
                <w:lang w:val="en-US" w:eastAsia="zh-CN"/>
              </w:rPr>
            </w:pPr>
            <w:r>
              <w:rPr>
                <w:rFonts w:hint="eastAsia" w:ascii="Arial" w:hAnsi="Arial" w:cs="Arial"/>
                <w:snapToGrid w:val="0"/>
                <w:color w:val="auto"/>
                <w:spacing w:val="0"/>
                <w:kern w:val="0"/>
                <w:sz w:val="21"/>
                <w:szCs w:val="21"/>
                <w:highlight w:val="none"/>
                <w:lang w:val="en-US" w:eastAsia="zh-CN"/>
              </w:rPr>
              <w:t>（3）</w:t>
            </w:r>
            <w:r>
              <w:rPr>
                <w:rFonts w:hint="default" w:ascii="Arial" w:hAnsi="Arial" w:eastAsia="宋体" w:cs="Arial"/>
                <w:snapToGrid w:val="0"/>
                <w:color w:val="auto"/>
                <w:spacing w:val="0"/>
                <w:kern w:val="0"/>
                <w:sz w:val="21"/>
                <w:szCs w:val="21"/>
                <w:highlight w:val="none"/>
                <w:lang w:val="en-US" w:eastAsia="zh-CN"/>
              </w:rPr>
              <w:t>根据投标人提供的</w:t>
            </w:r>
            <w:r>
              <w:rPr>
                <w:rFonts w:hint="default" w:ascii="Arial" w:hAnsi="Arial" w:eastAsia="宋体" w:cs="Arial"/>
                <w:b/>
                <w:bCs/>
                <w:snapToGrid w:val="0"/>
                <w:color w:val="auto"/>
                <w:spacing w:val="0"/>
                <w:kern w:val="0"/>
                <w:sz w:val="21"/>
                <w:szCs w:val="21"/>
                <w:highlight w:val="none"/>
                <w:lang w:val="en-US" w:eastAsia="zh-CN"/>
              </w:rPr>
              <w:t>个人防护</w:t>
            </w:r>
            <w:r>
              <w:rPr>
                <w:rFonts w:hint="eastAsia" w:ascii="Arial" w:hAnsi="Arial" w:cs="Arial"/>
                <w:b/>
                <w:bCs/>
                <w:snapToGrid w:val="0"/>
                <w:color w:val="auto"/>
                <w:spacing w:val="0"/>
                <w:kern w:val="0"/>
                <w:sz w:val="21"/>
                <w:szCs w:val="21"/>
                <w:highlight w:val="none"/>
                <w:lang w:val="en-US" w:eastAsia="zh-CN"/>
              </w:rPr>
              <w:t>方案</w:t>
            </w:r>
            <w:r>
              <w:rPr>
                <w:rFonts w:hint="default" w:ascii="Arial" w:hAnsi="Arial" w:eastAsia="宋体" w:cs="Arial"/>
                <w:snapToGrid w:val="0"/>
                <w:color w:val="auto"/>
                <w:spacing w:val="0"/>
                <w:kern w:val="0"/>
                <w:sz w:val="21"/>
                <w:szCs w:val="21"/>
                <w:highlight w:val="none"/>
                <w:lang w:val="en-US" w:eastAsia="zh-CN"/>
              </w:rPr>
              <w:t>，能满足采购需求、科学操作性强的，一项内容得2</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分；方案较为简单，基本符合采购需求的，一项内容得1</w:t>
            </w:r>
            <w:r>
              <w:rPr>
                <w:rFonts w:hint="eastAsia" w:ascii="Arial" w:hAnsi="Arial" w:cs="Arial"/>
                <w:snapToGrid w:val="0"/>
                <w:color w:val="auto"/>
                <w:spacing w:val="0"/>
                <w:kern w:val="0"/>
                <w:sz w:val="21"/>
                <w:szCs w:val="21"/>
                <w:highlight w:val="none"/>
                <w:lang w:val="en-US" w:eastAsia="zh-CN"/>
              </w:rPr>
              <w:t>.0</w:t>
            </w:r>
            <w:r>
              <w:rPr>
                <w:rFonts w:hint="default" w:ascii="Arial" w:hAnsi="Arial" w:eastAsia="宋体" w:cs="Arial"/>
                <w:snapToGrid w:val="0"/>
                <w:color w:val="auto"/>
                <w:spacing w:val="0"/>
                <w:kern w:val="0"/>
                <w:sz w:val="21"/>
                <w:szCs w:val="21"/>
                <w:highlight w:val="none"/>
                <w:lang w:val="en-US" w:eastAsia="zh-CN"/>
              </w:rPr>
              <w:t>分；不符合采购需求或者未提供相应内容的不得分。此项最高得</w:t>
            </w:r>
            <w:r>
              <w:rPr>
                <w:rFonts w:hint="eastAsia" w:ascii="Arial" w:hAnsi="Arial" w:cs="Arial"/>
                <w:snapToGrid w:val="0"/>
                <w:color w:val="auto"/>
                <w:spacing w:val="0"/>
                <w:kern w:val="0"/>
                <w:sz w:val="21"/>
                <w:szCs w:val="21"/>
                <w:highlight w:val="none"/>
                <w:lang w:val="en-US" w:eastAsia="zh-CN"/>
              </w:rPr>
              <w:t>2.0</w:t>
            </w:r>
            <w:r>
              <w:rPr>
                <w:rFonts w:hint="default" w:ascii="Arial" w:hAnsi="Arial" w:eastAsia="宋体" w:cs="Arial"/>
                <w:snapToGrid w:val="0"/>
                <w:color w:val="auto"/>
                <w:spacing w:val="0"/>
                <w:kern w:val="0"/>
                <w:sz w:val="21"/>
                <w:szCs w:val="21"/>
                <w:highlight w:val="none"/>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right="0"/>
              <w:outlineLvl w:val="0"/>
              <w:rPr>
                <w:rFonts w:hint="default" w:ascii="Times New Roman" w:hAnsi="Times New Roman" w:cs="Times New Roman"/>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right="0"/>
              <w:outlineLvl w:val="0"/>
              <w:rPr>
                <w:rFonts w:hint="default" w:ascii="Arial" w:hAnsi="Arial" w:cs="Arial"/>
                <w:b w:val="0"/>
                <w:kern w:val="0"/>
                <w:sz w:val="21"/>
                <w:szCs w:val="22"/>
                <w:lang w:val="en-US" w:eastAsia="zh-CN"/>
              </w:rPr>
            </w:pPr>
          </w:p>
        </w:tc>
        <w:tc>
          <w:tcPr>
            <w:tcW w:w="825" w:type="dxa"/>
            <w:vMerge w:val="restart"/>
            <w:vAlign w:val="center"/>
          </w:tcPr>
          <w:p>
            <w:pPr>
              <w:pStyle w:val="3"/>
              <w:suppressLineNumbers w:val="0"/>
              <w:spacing w:before="0" w:beforeAutospacing="0" w:after="0" w:afterAutospacing="0"/>
              <w:ind w:left="0" w:right="0"/>
              <w:jc w:val="center"/>
              <w:outlineLvl w:val="0"/>
              <w:rPr>
                <w:rFonts w:hint="default" w:ascii="Arial" w:hAnsi="Arial" w:cs="Arial"/>
                <w:b w:val="0"/>
                <w:kern w:val="0"/>
                <w:sz w:val="21"/>
                <w:szCs w:val="22"/>
                <w:lang w:val="en-US" w:eastAsia="zh-CN"/>
              </w:rPr>
            </w:pPr>
            <w:bookmarkStart w:id="343" w:name="_Toc15979"/>
            <w:bookmarkStart w:id="344" w:name="_Toc32427"/>
            <w:r>
              <w:rPr>
                <w:rFonts w:hint="default" w:ascii="Arial" w:hAnsi="Arial" w:cs="Arial"/>
                <w:b w:val="0"/>
                <w:kern w:val="0"/>
                <w:sz w:val="21"/>
                <w:szCs w:val="22"/>
                <w:lang w:val="en-US" w:eastAsia="zh-CN"/>
              </w:rPr>
              <w:t>6</w:t>
            </w:r>
            <w:bookmarkEnd w:id="343"/>
            <w:bookmarkEnd w:id="344"/>
          </w:p>
        </w:tc>
        <w:tc>
          <w:tcPr>
            <w:tcW w:w="5828" w:type="dxa"/>
            <w:tcBorders>
              <w:top w:val="single" w:color="auto" w:sz="4" w:space="0"/>
              <w:bottom w:val="single" w:color="auto" w:sz="4" w:space="0"/>
            </w:tcBorders>
            <w:vAlign w:val="top"/>
          </w:tcPr>
          <w:p>
            <w:pPr>
              <w:keepNext w:val="0"/>
              <w:keepLines w:val="0"/>
              <w:widowControl/>
              <w:numPr>
                <w:ilvl w:val="0"/>
                <w:numId w:val="46"/>
              </w:numPr>
              <w:suppressLineNumbers w:val="0"/>
              <w:snapToGrid w:val="0"/>
              <w:spacing w:before="0" w:beforeAutospacing="0" w:after="0" w:afterAutospacing="0" w:line="360" w:lineRule="auto"/>
              <w:ind w:left="0" w:leftChars="0" w:right="0" w:firstLine="0" w:firstLineChars="0"/>
              <w:rPr>
                <w:rFonts w:hint="default" w:ascii="Times New Roman" w:hAnsi="Times New Roman" w:cs="Times New Roman"/>
                <w:b/>
                <w:bCs/>
                <w:snapToGrid w:val="0"/>
                <w:szCs w:val="21"/>
              </w:rPr>
            </w:pPr>
            <w:r>
              <w:rPr>
                <w:rFonts w:hint="default" w:ascii="Times New Roman" w:hAnsi="Times New Roman" w:cs="Times New Roman"/>
                <w:b/>
                <w:bCs/>
                <w:snapToGrid w:val="0"/>
                <w:szCs w:val="21"/>
              </w:rPr>
              <w:t>运送服务方案</w:t>
            </w:r>
            <w:r>
              <w:rPr>
                <w:rFonts w:hint="default" w:ascii="Times New Roman" w:hAnsi="Times New Roman" w:cs="Times New Roman"/>
                <w:b/>
                <w:bCs/>
                <w:snapToGrid w:val="0"/>
                <w:szCs w:val="21"/>
                <w:lang w:eastAsia="zh-CN"/>
              </w:rPr>
              <w:t>：</w:t>
            </w:r>
          </w:p>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kern w:val="0"/>
                <w:sz w:val="21"/>
                <w:szCs w:val="22"/>
                <w:lang w:val="en-US" w:eastAsia="zh-CN"/>
              </w:rPr>
            </w:pPr>
            <w:r>
              <w:rPr>
                <w:rFonts w:hint="eastAsia" w:ascii="Arial" w:hAnsi="Arial" w:cs="Arial"/>
                <w:szCs w:val="20"/>
                <w:lang w:eastAsia="zh-CN"/>
              </w:rPr>
              <w:t>（</w:t>
            </w:r>
            <w:r>
              <w:rPr>
                <w:rFonts w:hint="eastAsia" w:ascii="Arial" w:hAnsi="Arial" w:cs="Arial"/>
                <w:szCs w:val="20"/>
                <w:lang w:val="en-US" w:eastAsia="zh-CN"/>
              </w:rPr>
              <w:t>1</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szCs w:val="21"/>
              </w:rPr>
              <w:t>运送服务流程说明</w:t>
            </w:r>
            <w:r>
              <w:rPr>
                <w:rFonts w:hint="default" w:ascii="Arial" w:hAnsi="Arial" w:cs="Arial"/>
                <w:color w:val="auto"/>
                <w:szCs w:val="21"/>
                <w:highlight w:val="none"/>
                <w:lang w:eastAsia="zh-CN"/>
              </w:rPr>
              <w:t>，</w:t>
            </w:r>
            <w:r>
              <w:rPr>
                <w:rFonts w:hint="default" w:ascii="Arial" w:hAnsi="Arial" w:cs="Arial"/>
                <w:color w:val="auto"/>
                <w:szCs w:val="20"/>
                <w:highlight w:val="none"/>
                <w:lang w:val="en-US" w:eastAsia="zh-CN"/>
              </w:rPr>
              <w:t>能</w:t>
            </w:r>
            <w:r>
              <w:rPr>
                <w:rFonts w:hint="default" w:ascii="Arial" w:hAnsi="Arial" w:cs="Arial"/>
                <w:color w:val="auto"/>
                <w:szCs w:val="20"/>
                <w:highlight w:val="none"/>
              </w:rPr>
              <w:t>满</w:t>
            </w:r>
            <w:r>
              <w:rPr>
                <w:rFonts w:hint="default" w:ascii="Arial" w:hAnsi="Arial" w:cs="Arial"/>
                <w:szCs w:val="20"/>
                <w:highlight w:val="none"/>
              </w:rPr>
              <w:t>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1620"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825"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5828" w:type="dxa"/>
            <w:tcBorders>
              <w:top w:val="single" w:color="auto" w:sz="4" w:space="0"/>
              <w:bottom w:val="single" w:color="auto" w:sz="4" w:space="0"/>
            </w:tcBorders>
            <w:vAlign w:val="top"/>
          </w:tcPr>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szCs w:val="20"/>
              </w:rPr>
            </w:pPr>
            <w:r>
              <w:rPr>
                <w:rFonts w:hint="eastAsia" w:ascii="Arial" w:hAnsi="Arial" w:cs="Arial"/>
                <w:szCs w:val="20"/>
                <w:lang w:eastAsia="zh-CN"/>
              </w:rPr>
              <w:t>（</w:t>
            </w:r>
            <w:r>
              <w:rPr>
                <w:rFonts w:hint="eastAsia" w:ascii="Arial" w:hAnsi="Arial" w:cs="Arial"/>
                <w:szCs w:val="20"/>
                <w:lang w:val="en-US" w:eastAsia="zh-CN"/>
              </w:rPr>
              <w:t>2</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szCs w:val="21"/>
              </w:rPr>
              <w:t>运送人员</w:t>
            </w:r>
            <w:r>
              <w:rPr>
                <w:rFonts w:hint="default" w:ascii="Arial" w:hAnsi="Arial" w:cs="Arial"/>
                <w:b/>
                <w:bCs/>
                <w:color w:val="auto"/>
                <w:szCs w:val="21"/>
              </w:rPr>
              <w:t>分配</w:t>
            </w:r>
            <w:r>
              <w:rPr>
                <w:rFonts w:hint="eastAsia" w:ascii="Arial" w:hAnsi="Arial" w:cs="Arial"/>
                <w:b/>
                <w:bCs/>
                <w:szCs w:val="21"/>
                <w:lang w:eastAsia="zh-CN"/>
              </w:rPr>
              <w:t>方案</w:t>
            </w:r>
            <w:r>
              <w:rPr>
                <w:rFonts w:hint="default" w:ascii="Arial" w:hAnsi="Arial" w:cs="Arial"/>
                <w:color w:val="auto"/>
                <w:szCs w:val="21"/>
                <w:highlight w:val="none"/>
                <w:lang w:eastAsia="zh-CN"/>
              </w:rPr>
              <w:t>，</w:t>
            </w:r>
            <w:r>
              <w:rPr>
                <w:rFonts w:hint="default" w:ascii="Arial" w:hAnsi="Arial" w:cs="Arial"/>
                <w:color w:val="auto"/>
                <w:szCs w:val="20"/>
                <w:highlight w:val="none"/>
                <w:lang w:val="en-US" w:eastAsia="zh-CN"/>
              </w:rPr>
              <w:t>能</w:t>
            </w:r>
            <w:r>
              <w:rPr>
                <w:rFonts w:hint="default" w:ascii="Arial" w:hAnsi="Arial" w:cs="Arial"/>
                <w:color w:val="auto"/>
                <w:szCs w:val="20"/>
                <w:highlight w:val="none"/>
              </w:rPr>
              <w:t>满</w:t>
            </w:r>
            <w:r>
              <w:rPr>
                <w:rFonts w:hint="default" w:ascii="Arial" w:hAnsi="Arial" w:cs="Arial"/>
                <w:szCs w:val="20"/>
                <w:highlight w:val="none"/>
              </w:rPr>
              <w:t>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szCs w:val="20"/>
              </w:rPr>
            </w:pPr>
          </w:p>
        </w:tc>
        <w:tc>
          <w:tcPr>
            <w:tcW w:w="1620"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szCs w:val="20"/>
              </w:rPr>
            </w:pPr>
          </w:p>
        </w:tc>
        <w:tc>
          <w:tcPr>
            <w:tcW w:w="825"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szCs w:val="20"/>
              </w:rPr>
            </w:pPr>
          </w:p>
        </w:tc>
        <w:tc>
          <w:tcPr>
            <w:tcW w:w="5828" w:type="dxa"/>
            <w:tcBorders>
              <w:top w:val="single" w:color="auto" w:sz="4" w:space="0"/>
              <w:bottom w:val="single" w:color="auto" w:sz="4" w:space="0"/>
            </w:tcBorders>
            <w:vAlign w:val="top"/>
          </w:tcPr>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szCs w:val="20"/>
              </w:rPr>
            </w:pPr>
            <w:r>
              <w:rPr>
                <w:rFonts w:hint="eastAsia" w:ascii="Arial" w:hAnsi="Arial" w:cs="Arial"/>
                <w:szCs w:val="20"/>
                <w:lang w:eastAsia="zh-CN"/>
              </w:rPr>
              <w:t>（</w:t>
            </w:r>
            <w:r>
              <w:rPr>
                <w:rFonts w:hint="eastAsia" w:ascii="Arial" w:hAnsi="Arial" w:cs="Arial"/>
                <w:szCs w:val="20"/>
                <w:lang w:val="en-US" w:eastAsia="zh-CN"/>
              </w:rPr>
              <w:t>3</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color w:val="auto"/>
                <w:szCs w:val="21"/>
                <w:highlight w:val="none"/>
              </w:rPr>
              <w:t>运送</w:t>
            </w:r>
            <w:r>
              <w:rPr>
                <w:rFonts w:hint="default" w:ascii="Arial" w:hAnsi="Arial" w:cs="Arial"/>
                <w:b/>
                <w:bCs/>
                <w:color w:val="auto"/>
                <w:szCs w:val="21"/>
                <w:highlight w:val="none"/>
                <w:lang w:eastAsia="zh-CN"/>
              </w:rPr>
              <w:t>数据管理</w:t>
            </w:r>
            <w:r>
              <w:rPr>
                <w:rFonts w:hint="eastAsia" w:ascii="Arial" w:hAnsi="Arial" w:cs="Arial"/>
                <w:b/>
                <w:bCs/>
                <w:szCs w:val="21"/>
                <w:lang w:eastAsia="zh-CN"/>
              </w:rPr>
              <w:t>方案</w:t>
            </w:r>
            <w:r>
              <w:rPr>
                <w:rFonts w:hint="default" w:ascii="Arial" w:hAnsi="Arial" w:cs="Arial"/>
                <w:color w:val="auto"/>
                <w:szCs w:val="21"/>
                <w:highlight w:val="none"/>
                <w:lang w:eastAsia="zh-CN"/>
              </w:rPr>
              <w:t>，</w:t>
            </w:r>
            <w:r>
              <w:rPr>
                <w:rFonts w:hint="default" w:ascii="Arial" w:hAnsi="Arial" w:cs="Arial"/>
                <w:color w:val="auto"/>
                <w:szCs w:val="20"/>
                <w:highlight w:val="none"/>
                <w:lang w:val="en-US" w:eastAsia="zh-CN"/>
              </w:rPr>
              <w:t>能</w:t>
            </w:r>
            <w:r>
              <w:rPr>
                <w:rFonts w:hint="default" w:ascii="Arial" w:hAnsi="Arial" w:cs="Arial"/>
                <w:color w:val="auto"/>
                <w:szCs w:val="20"/>
                <w:highlight w:val="none"/>
              </w:rPr>
              <w:t>满</w:t>
            </w:r>
            <w:r>
              <w:rPr>
                <w:rFonts w:hint="default" w:ascii="Arial" w:hAnsi="Arial" w:cs="Arial"/>
                <w:szCs w:val="20"/>
                <w:highlight w:val="none"/>
              </w:rPr>
              <w:t>足采购需求</w:t>
            </w:r>
            <w:r>
              <w:rPr>
                <w:rFonts w:hint="default" w:ascii="Arial" w:hAnsi="Arial" w:cs="Arial"/>
                <w:szCs w:val="20"/>
                <w:highlight w:val="none"/>
                <w:lang w:eastAsia="zh-CN"/>
              </w:rPr>
              <w:t>、</w:t>
            </w:r>
            <w:r>
              <w:rPr>
                <w:rFonts w:hint="default" w:ascii="Arial" w:hAnsi="Arial" w:cs="Arial"/>
                <w:szCs w:val="20"/>
                <w:highlight w:val="none"/>
                <w:lang w:val="en-US" w:eastAsia="zh-CN"/>
              </w:rPr>
              <w:t>科学操作性强的</w:t>
            </w:r>
            <w:r>
              <w:rPr>
                <w:rFonts w:hint="default" w:ascii="Arial" w:hAnsi="Arial" w:cs="Arial"/>
                <w:szCs w:val="20"/>
                <w:highlight w:val="none"/>
              </w:rPr>
              <w:t>，一项内容得</w:t>
            </w:r>
            <w:r>
              <w:rPr>
                <w:rFonts w:hint="default" w:ascii="Arial" w:hAnsi="Arial" w:cs="Arial"/>
                <w:szCs w:val="20"/>
                <w:highlight w:val="none"/>
                <w:lang w:val="en-US" w:eastAsia="zh-CN"/>
              </w:rPr>
              <w:t>2</w:t>
            </w:r>
            <w:r>
              <w:rPr>
                <w:rFonts w:hint="eastAsia" w:ascii="Arial" w:hAnsi="Arial" w:cs="Arial"/>
                <w:szCs w:val="20"/>
                <w:highlight w:val="none"/>
                <w:lang w:val="en-US" w:eastAsia="zh-CN"/>
              </w:rPr>
              <w:t>.0</w:t>
            </w:r>
            <w:r>
              <w:rPr>
                <w:rFonts w:hint="default" w:ascii="Arial" w:hAnsi="Arial" w:cs="Arial"/>
                <w:szCs w:val="20"/>
                <w:highlight w:val="none"/>
              </w:rPr>
              <w:t>分；方案较为简单，基本符合采购需求的，一项内容得</w:t>
            </w:r>
            <w:r>
              <w:rPr>
                <w:rFonts w:hint="default" w:ascii="Arial" w:hAnsi="Arial" w:cs="Arial"/>
                <w:szCs w:val="20"/>
                <w:highlight w:val="none"/>
                <w:lang w:val="en-US" w:eastAsia="zh-CN"/>
              </w:rPr>
              <w:t>1</w:t>
            </w:r>
            <w:r>
              <w:rPr>
                <w:rFonts w:hint="eastAsia" w:ascii="Arial" w:hAnsi="Arial" w:cs="Arial"/>
                <w:szCs w:val="20"/>
                <w:highlight w:val="none"/>
                <w:lang w:val="en-US" w:eastAsia="zh-CN"/>
              </w:rPr>
              <w:t>.0</w:t>
            </w:r>
            <w:r>
              <w:rPr>
                <w:rFonts w:hint="default" w:ascii="Arial" w:hAnsi="Arial" w:cs="Arial"/>
                <w:szCs w:val="20"/>
                <w:highlight w:val="none"/>
              </w:rPr>
              <w:t>分；不符合采购需求或者未提供相应内容的不得分。此项最高得</w:t>
            </w:r>
            <w:r>
              <w:rPr>
                <w:rFonts w:hint="eastAsia" w:ascii="Arial" w:hAnsi="Arial" w:cs="Arial"/>
                <w:szCs w:val="20"/>
                <w:highlight w:val="none"/>
                <w:lang w:val="en-US" w:eastAsia="zh-CN"/>
              </w:rPr>
              <w:t>2.0</w:t>
            </w:r>
            <w:r>
              <w:rPr>
                <w:rFonts w:hint="default" w:ascii="Arial" w:hAnsi="Arial" w:cs="Arial"/>
                <w:szCs w:val="20"/>
                <w:highlight w:val="none"/>
              </w:rPr>
              <w:t>分。</w:t>
            </w:r>
            <w:r>
              <w:rPr>
                <w:rFonts w:hint="default" w:ascii="Arial" w:hAnsi="Arial" w:eastAsia="宋体" w:cs="Arial"/>
                <w:kern w:val="28"/>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right="0"/>
              <w:outlineLvl w:val="0"/>
              <w:rPr>
                <w:rFonts w:hint="default" w:ascii="Times New Roman" w:hAnsi="Times New Roman" w:cs="Times New Roman"/>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right="0"/>
              <w:outlineLvl w:val="0"/>
              <w:rPr>
                <w:rFonts w:hint="default" w:ascii="Arial" w:hAnsi="Arial" w:cs="Arial"/>
                <w:b w:val="0"/>
                <w:kern w:val="0"/>
                <w:sz w:val="21"/>
                <w:szCs w:val="22"/>
                <w:lang w:val="en-US" w:eastAsia="zh-CN"/>
              </w:rPr>
            </w:pPr>
          </w:p>
        </w:tc>
        <w:tc>
          <w:tcPr>
            <w:tcW w:w="825" w:type="dxa"/>
            <w:vMerge w:val="restart"/>
            <w:vAlign w:val="center"/>
          </w:tcPr>
          <w:p>
            <w:pPr>
              <w:pStyle w:val="3"/>
              <w:suppressLineNumbers w:val="0"/>
              <w:spacing w:before="0" w:beforeAutospacing="0" w:after="0" w:afterAutospacing="0"/>
              <w:ind w:left="0" w:right="0"/>
              <w:jc w:val="center"/>
              <w:outlineLvl w:val="0"/>
              <w:rPr>
                <w:rFonts w:hint="default" w:ascii="Arial" w:hAnsi="Arial" w:cs="Arial"/>
                <w:b w:val="0"/>
                <w:kern w:val="0"/>
                <w:sz w:val="21"/>
                <w:szCs w:val="22"/>
                <w:lang w:val="en-US" w:eastAsia="zh-CN"/>
              </w:rPr>
            </w:pPr>
            <w:bookmarkStart w:id="345" w:name="_Toc11881"/>
            <w:bookmarkStart w:id="346" w:name="_Toc22389"/>
            <w:r>
              <w:rPr>
                <w:rFonts w:hint="default" w:ascii="Arial" w:hAnsi="Arial" w:cs="Arial"/>
                <w:b w:val="0"/>
                <w:kern w:val="0"/>
                <w:sz w:val="21"/>
                <w:szCs w:val="22"/>
                <w:lang w:val="en-US" w:eastAsia="zh-CN"/>
              </w:rPr>
              <w:t>6</w:t>
            </w:r>
            <w:bookmarkEnd w:id="345"/>
            <w:bookmarkEnd w:id="346"/>
          </w:p>
        </w:tc>
        <w:tc>
          <w:tcPr>
            <w:tcW w:w="5828" w:type="dxa"/>
            <w:tcBorders>
              <w:top w:val="single" w:color="auto" w:sz="4" w:space="0"/>
              <w:bottom w:val="single" w:color="auto" w:sz="4" w:space="0"/>
            </w:tcBorders>
            <w:vAlign w:val="top"/>
          </w:tcPr>
          <w:p>
            <w:pPr>
              <w:keepNext w:val="0"/>
              <w:keepLines w:val="0"/>
              <w:widowControl/>
              <w:numPr>
                <w:ilvl w:val="0"/>
                <w:numId w:val="46"/>
              </w:numPr>
              <w:suppressLineNumbers w:val="0"/>
              <w:snapToGrid w:val="0"/>
              <w:spacing w:before="0" w:beforeAutospacing="0" w:after="0" w:afterAutospacing="0" w:line="360" w:lineRule="auto"/>
              <w:ind w:left="0" w:leftChars="0" w:right="0" w:firstLine="0" w:firstLineChars="0"/>
              <w:rPr>
                <w:rFonts w:hint="default" w:ascii="Times New Roman" w:hAnsi="Times New Roman" w:cs="Times New Roman"/>
                <w:b/>
                <w:bCs/>
                <w:snapToGrid w:val="0"/>
                <w:szCs w:val="21"/>
              </w:rPr>
            </w:pPr>
            <w:r>
              <w:rPr>
                <w:rFonts w:hint="default" w:ascii="Times New Roman" w:hAnsi="Times New Roman" w:cs="Times New Roman"/>
                <w:b/>
                <w:bCs/>
                <w:snapToGrid w:val="0"/>
                <w:szCs w:val="21"/>
              </w:rPr>
              <w:t>护工服务</w:t>
            </w:r>
            <w:r>
              <w:rPr>
                <w:rFonts w:hint="default" w:ascii="Times New Roman" w:hAnsi="Times New Roman" w:cs="Times New Roman"/>
                <w:b/>
                <w:bCs/>
                <w:snapToGrid w:val="0"/>
                <w:szCs w:val="21"/>
                <w:lang w:eastAsia="zh-CN"/>
              </w:rPr>
              <w:t>方案：</w:t>
            </w:r>
          </w:p>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kern w:val="0"/>
                <w:sz w:val="21"/>
                <w:szCs w:val="22"/>
                <w:lang w:val="en-US" w:eastAsia="zh-CN"/>
              </w:rPr>
            </w:pPr>
            <w:r>
              <w:rPr>
                <w:rFonts w:hint="eastAsia" w:ascii="Arial" w:hAnsi="Arial" w:cs="Arial"/>
                <w:szCs w:val="20"/>
                <w:lang w:eastAsia="zh-CN"/>
              </w:rPr>
              <w:t>（</w:t>
            </w:r>
            <w:r>
              <w:rPr>
                <w:rFonts w:hint="eastAsia" w:ascii="Arial" w:hAnsi="Arial" w:cs="Arial"/>
                <w:szCs w:val="20"/>
                <w:lang w:val="en-US" w:eastAsia="zh-CN"/>
              </w:rPr>
              <w:t>1</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kern w:val="0"/>
                <w:sz w:val="21"/>
                <w:szCs w:val="22"/>
                <w:lang w:val="en-US" w:eastAsia="zh-CN" w:bidi="ar-SA"/>
              </w:rPr>
              <w:t>护工服务规范</w:t>
            </w:r>
            <w:r>
              <w:rPr>
                <w:rFonts w:hint="default" w:ascii="Arial" w:hAnsi="Arial" w:cs="Arial"/>
                <w:b w:val="0"/>
                <w:kern w:val="0"/>
                <w:sz w:val="21"/>
                <w:szCs w:val="22"/>
                <w:lang w:val="en-US" w:eastAsia="zh-CN" w:bidi="ar-SA"/>
              </w:rPr>
              <w:t>，能满足采购需求、科学操作性强的，一项内容得2</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分；方案较为简单，基本符合采购需求的，一项内容得1</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分；不符合采购需求或者未提供相应内容的不得分。此项最高得</w:t>
            </w:r>
            <w:r>
              <w:rPr>
                <w:rFonts w:hint="eastAsia" w:ascii="Arial" w:hAnsi="Arial" w:cs="Arial"/>
                <w:b w:val="0"/>
                <w:kern w:val="0"/>
                <w:sz w:val="21"/>
                <w:szCs w:val="22"/>
                <w:lang w:val="en-US" w:eastAsia="zh-CN" w:bidi="ar-SA"/>
              </w:rPr>
              <w:t>2.0</w:t>
            </w:r>
            <w:r>
              <w:rPr>
                <w:rFonts w:hint="default" w:ascii="Arial" w:hAnsi="Arial" w:cs="Arial"/>
                <w:b w:val="0"/>
                <w:kern w:val="0"/>
                <w:sz w:val="21"/>
                <w:szCs w:val="22"/>
                <w:lang w:val="en-US" w:eastAsia="zh-CN" w:bidi="ar-SA"/>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1620"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825"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szCs w:val="20"/>
              </w:rPr>
            </w:pPr>
          </w:p>
        </w:tc>
        <w:tc>
          <w:tcPr>
            <w:tcW w:w="5828" w:type="dxa"/>
            <w:tcBorders>
              <w:top w:val="single" w:color="auto" w:sz="4" w:space="0"/>
              <w:bottom w:val="single" w:color="auto" w:sz="4" w:space="0"/>
            </w:tcBorders>
            <w:vAlign w:val="top"/>
          </w:tcPr>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val="0"/>
                <w:kern w:val="0"/>
                <w:sz w:val="21"/>
                <w:szCs w:val="22"/>
                <w:lang w:val="en-US" w:eastAsia="zh-CN" w:bidi="ar-SA"/>
              </w:rPr>
            </w:pPr>
            <w:r>
              <w:rPr>
                <w:rFonts w:hint="eastAsia" w:ascii="Arial" w:hAnsi="Arial" w:cs="Arial"/>
                <w:szCs w:val="20"/>
                <w:lang w:eastAsia="zh-CN"/>
              </w:rPr>
              <w:t>（</w:t>
            </w:r>
            <w:r>
              <w:rPr>
                <w:rFonts w:hint="eastAsia" w:ascii="Arial" w:hAnsi="Arial" w:cs="Arial"/>
                <w:szCs w:val="20"/>
                <w:lang w:val="en-US" w:eastAsia="zh-CN"/>
              </w:rPr>
              <w:t>2</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kern w:val="0"/>
                <w:sz w:val="21"/>
                <w:szCs w:val="22"/>
                <w:lang w:val="en-US" w:eastAsia="zh-CN" w:bidi="ar-SA"/>
              </w:rPr>
              <w:t>临床护理责任</w:t>
            </w:r>
            <w:r>
              <w:rPr>
                <w:rFonts w:hint="default" w:ascii="Arial" w:hAnsi="Arial" w:cs="Arial"/>
                <w:b w:val="0"/>
                <w:kern w:val="0"/>
                <w:sz w:val="21"/>
                <w:szCs w:val="22"/>
                <w:lang w:val="en-US" w:eastAsia="zh-CN" w:bidi="ar-SA"/>
              </w:rPr>
              <w:t>，能满足采购需求、科学操作性强的，一项内容得2</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分；方案较为简单，基本符合采购需求的，一项内容得1</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分；不符合采购需求或者未提供相应内容的不得分。此项最高得</w:t>
            </w:r>
            <w:r>
              <w:rPr>
                <w:rFonts w:hint="eastAsia" w:ascii="Arial" w:hAnsi="Arial" w:cs="Arial"/>
                <w:b w:val="0"/>
                <w:kern w:val="0"/>
                <w:sz w:val="21"/>
                <w:szCs w:val="22"/>
                <w:lang w:val="en-US" w:eastAsia="zh-CN" w:bidi="ar-SA"/>
              </w:rPr>
              <w:t>2.0</w:t>
            </w:r>
            <w:r>
              <w:rPr>
                <w:rFonts w:hint="default" w:ascii="Arial" w:hAnsi="Arial" w:cs="Arial"/>
                <w:b w:val="0"/>
                <w:kern w:val="0"/>
                <w:sz w:val="21"/>
                <w:szCs w:val="22"/>
                <w:lang w:val="en-US" w:eastAsia="zh-CN" w:bidi="ar-SA"/>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val="0"/>
                <w:kern w:val="0"/>
                <w:sz w:val="21"/>
                <w:szCs w:val="22"/>
                <w:lang w:val="en-US" w:eastAsia="zh-CN" w:bidi="ar-SA"/>
              </w:rPr>
            </w:pPr>
          </w:p>
        </w:tc>
        <w:tc>
          <w:tcPr>
            <w:tcW w:w="1620"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val="0"/>
                <w:kern w:val="0"/>
                <w:sz w:val="21"/>
                <w:szCs w:val="22"/>
                <w:lang w:val="en-US" w:eastAsia="zh-CN" w:bidi="ar-SA"/>
              </w:rPr>
            </w:pPr>
          </w:p>
        </w:tc>
        <w:tc>
          <w:tcPr>
            <w:tcW w:w="825" w:type="dxa"/>
            <w:vMerge w:val="continue"/>
            <w:vAlign w:val="center"/>
          </w:tcPr>
          <w:p>
            <w:pPr>
              <w:keepNext w:val="0"/>
              <w:keepLines w:val="0"/>
              <w:pageBreakBefore w:val="0"/>
              <w:widowControl w:val="0"/>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val="0"/>
                <w:kern w:val="0"/>
                <w:sz w:val="21"/>
                <w:szCs w:val="22"/>
                <w:lang w:val="en-US" w:eastAsia="zh-CN" w:bidi="ar-SA"/>
              </w:rPr>
            </w:pPr>
          </w:p>
        </w:tc>
        <w:tc>
          <w:tcPr>
            <w:tcW w:w="5828" w:type="dxa"/>
            <w:tcBorders>
              <w:top w:val="single" w:color="auto" w:sz="4" w:space="0"/>
              <w:bottom w:val="single" w:color="auto" w:sz="4" w:space="0"/>
            </w:tcBorders>
            <w:vAlign w:val="top"/>
          </w:tcPr>
          <w:p>
            <w:pPr>
              <w:keepNext w:val="0"/>
              <w:keepLines w:val="0"/>
              <w:pageBreakBefore w:val="0"/>
              <w:widowControl w:val="0"/>
              <w:numPr>
                <w:ilvl w:val="0"/>
                <w:numId w:val="0"/>
              </w:numPr>
              <w:suppressLineNumbers w:val="0"/>
              <w:tabs>
                <w:tab w:val="left" w:pos="509"/>
              </w:tabs>
              <w:kinsoku/>
              <w:wordWrap/>
              <w:overflowPunct/>
              <w:topLinePunct w:val="0"/>
              <w:autoSpaceDE/>
              <w:autoSpaceDN/>
              <w:bidi w:val="0"/>
              <w:adjustRightInd w:val="0"/>
              <w:snapToGrid w:val="0"/>
              <w:spacing w:before="0" w:beforeAutospacing="0" w:after="0" w:afterAutospacing="0" w:line="360" w:lineRule="auto"/>
              <w:ind w:left="0" w:leftChars="0" w:right="0"/>
              <w:jc w:val="both"/>
              <w:textAlignment w:val="auto"/>
              <w:outlineLvl w:val="9"/>
              <w:rPr>
                <w:rFonts w:hint="default" w:ascii="Arial" w:hAnsi="Arial" w:cs="Arial"/>
                <w:b w:val="0"/>
                <w:kern w:val="0"/>
                <w:sz w:val="21"/>
                <w:szCs w:val="22"/>
                <w:lang w:val="en-US" w:eastAsia="zh-CN" w:bidi="ar-SA"/>
              </w:rPr>
            </w:pPr>
            <w:r>
              <w:rPr>
                <w:rFonts w:hint="eastAsia" w:ascii="Arial" w:hAnsi="Arial" w:cs="Arial"/>
                <w:szCs w:val="20"/>
                <w:lang w:eastAsia="zh-CN"/>
              </w:rPr>
              <w:t>（</w:t>
            </w:r>
            <w:r>
              <w:rPr>
                <w:rFonts w:hint="eastAsia" w:ascii="Arial" w:hAnsi="Arial" w:cs="Arial"/>
                <w:szCs w:val="20"/>
                <w:lang w:val="en-US" w:eastAsia="zh-CN"/>
              </w:rPr>
              <w:t>3</w:t>
            </w:r>
            <w:r>
              <w:rPr>
                <w:rFonts w:hint="eastAsia" w:ascii="Arial" w:hAnsi="Arial" w:cs="Arial"/>
                <w:szCs w:val="20"/>
                <w:lang w:eastAsia="zh-CN"/>
              </w:rPr>
              <w:t>）</w:t>
            </w:r>
            <w:r>
              <w:rPr>
                <w:rFonts w:hint="default" w:ascii="Arial" w:hAnsi="Arial" w:cs="Arial"/>
                <w:szCs w:val="20"/>
              </w:rPr>
              <w:t>根据</w:t>
            </w:r>
            <w:r>
              <w:rPr>
                <w:rFonts w:hint="default" w:ascii="Arial" w:hAnsi="Arial" w:cs="Arial"/>
                <w:szCs w:val="20"/>
                <w:lang w:eastAsia="zh-CN"/>
              </w:rPr>
              <w:t>投标人</w:t>
            </w:r>
            <w:r>
              <w:rPr>
                <w:rFonts w:hint="default" w:ascii="Arial" w:hAnsi="Arial" w:cs="Arial"/>
                <w:szCs w:val="20"/>
              </w:rPr>
              <w:t>提供的</w:t>
            </w:r>
            <w:r>
              <w:rPr>
                <w:rFonts w:hint="default" w:ascii="Arial" w:hAnsi="Arial" w:cs="Arial"/>
                <w:b/>
                <w:bCs/>
                <w:kern w:val="0"/>
                <w:sz w:val="21"/>
                <w:szCs w:val="22"/>
                <w:lang w:val="en-US" w:eastAsia="zh-CN" w:bidi="ar-SA"/>
              </w:rPr>
              <w:t>工作质量标准</w:t>
            </w:r>
            <w:r>
              <w:rPr>
                <w:rFonts w:hint="default" w:ascii="Arial" w:hAnsi="Arial" w:cs="Arial"/>
                <w:b w:val="0"/>
                <w:kern w:val="0"/>
                <w:sz w:val="21"/>
                <w:szCs w:val="22"/>
                <w:lang w:val="en-US" w:eastAsia="zh-CN" w:bidi="ar-SA"/>
              </w:rPr>
              <w:t>，能满足采购需求、科学操作性强的，一项内容得2</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分；方案较为简单，基本符合采购需求的，一项内容得1</w:t>
            </w:r>
            <w:r>
              <w:rPr>
                <w:rFonts w:hint="eastAsia" w:ascii="Arial" w:hAnsi="Arial" w:cs="Arial"/>
                <w:b w:val="0"/>
                <w:kern w:val="0"/>
                <w:sz w:val="21"/>
                <w:szCs w:val="22"/>
                <w:lang w:val="en-US" w:eastAsia="zh-CN" w:bidi="ar-SA"/>
              </w:rPr>
              <w:t>.0</w:t>
            </w:r>
            <w:r>
              <w:rPr>
                <w:rFonts w:hint="default" w:ascii="Arial" w:hAnsi="Arial" w:cs="Arial"/>
                <w:b w:val="0"/>
                <w:kern w:val="0"/>
                <w:sz w:val="21"/>
                <w:szCs w:val="22"/>
                <w:lang w:val="en-US" w:eastAsia="zh-CN" w:bidi="ar-SA"/>
              </w:rPr>
              <w:t>分；不符合采购需求或者未提供相应内容的不得分。此项最高得</w:t>
            </w:r>
            <w:r>
              <w:rPr>
                <w:rFonts w:hint="eastAsia" w:ascii="Arial" w:hAnsi="Arial" w:cs="Arial"/>
                <w:b w:val="0"/>
                <w:kern w:val="0"/>
                <w:sz w:val="21"/>
                <w:szCs w:val="22"/>
                <w:lang w:val="en-US" w:eastAsia="zh-CN" w:bidi="ar-SA"/>
              </w:rPr>
              <w:t>2.0</w:t>
            </w:r>
            <w:r>
              <w:rPr>
                <w:rFonts w:hint="default" w:ascii="Arial" w:hAnsi="Arial" w:cs="Arial"/>
                <w:b w:val="0"/>
                <w:kern w:val="0"/>
                <w:sz w:val="21"/>
                <w:szCs w:val="22"/>
                <w:lang w:val="en-US" w:eastAsia="zh-CN" w:bidi="ar-SA"/>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right="0"/>
              <w:outlineLvl w:val="0"/>
              <w:rPr>
                <w:rFonts w:hint="default" w:ascii="Times New Roman" w:hAnsi="Times New Roman" w:cs="Times New Roman"/>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right="0"/>
              <w:outlineLvl w:val="0"/>
              <w:rPr>
                <w:rFonts w:hint="default" w:ascii="Arial" w:hAnsi="Arial" w:cs="Arial"/>
                <w:b w:val="0"/>
                <w:kern w:val="0"/>
                <w:sz w:val="21"/>
                <w:szCs w:val="22"/>
                <w:lang w:val="en-US" w:eastAsia="zh-CN"/>
              </w:rPr>
            </w:pPr>
          </w:p>
        </w:tc>
        <w:tc>
          <w:tcPr>
            <w:tcW w:w="825" w:type="dxa"/>
            <w:vMerge w:val="restart"/>
            <w:vAlign w:val="center"/>
          </w:tcPr>
          <w:p>
            <w:pPr>
              <w:pStyle w:val="3"/>
              <w:suppressLineNumbers w:val="0"/>
              <w:spacing w:before="0" w:beforeAutospacing="0" w:after="0" w:afterAutospacing="0"/>
              <w:ind w:left="0" w:right="0"/>
              <w:jc w:val="center"/>
              <w:outlineLvl w:val="0"/>
              <w:rPr>
                <w:rFonts w:hint="default" w:ascii="Arial" w:hAnsi="Arial" w:cs="Arial"/>
                <w:b w:val="0"/>
                <w:kern w:val="0"/>
                <w:sz w:val="21"/>
                <w:szCs w:val="22"/>
                <w:lang w:val="en-US" w:eastAsia="zh-CN"/>
              </w:rPr>
            </w:pPr>
            <w:bookmarkStart w:id="347" w:name="_Toc22137"/>
            <w:bookmarkStart w:id="348" w:name="_Toc17647"/>
            <w:r>
              <w:rPr>
                <w:rFonts w:hint="default" w:ascii="Arial" w:hAnsi="Arial" w:cs="Arial"/>
                <w:b w:val="0"/>
                <w:kern w:val="0"/>
                <w:sz w:val="21"/>
                <w:szCs w:val="22"/>
                <w:lang w:val="en-US" w:eastAsia="zh-CN"/>
              </w:rPr>
              <w:t>4.5</w:t>
            </w:r>
            <w:bookmarkEnd w:id="347"/>
            <w:bookmarkEnd w:id="348"/>
          </w:p>
        </w:tc>
        <w:tc>
          <w:tcPr>
            <w:tcW w:w="5828" w:type="dxa"/>
            <w:tcBorders>
              <w:top w:val="single" w:color="auto" w:sz="4" w:space="0"/>
              <w:bottom w:val="single" w:color="auto" w:sz="4" w:space="0"/>
            </w:tcBorders>
            <w:vAlign w:val="top"/>
          </w:tcPr>
          <w:p>
            <w:pPr>
              <w:keepNext w:val="0"/>
              <w:keepLines w:val="0"/>
              <w:widowControl/>
              <w:numPr>
                <w:ilvl w:val="0"/>
                <w:numId w:val="46"/>
              </w:numPr>
              <w:suppressLineNumbers w:val="0"/>
              <w:snapToGrid w:val="0"/>
              <w:spacing w:before="0" w:beforeAutospacing="0" w:after="0" w:afterAutospacing="0" w:line="360" w:lineRule="auto"/>
              <w:ind w:left="0" w:leftChars="0" w:right="0" w:firstLine="0" w:firstLineChars="0"/>
              <w:rPr>
                <w:rFonts w:hint="default" w:ascii="Times New Roman" w:hAnsi="Times New Roman" w:cs="Times New Roman"/>
                <w:b/>
                <w:bCs/>
                <w:snapToGrid w:val="0"/>
                <w:szCs w:val="21"/>
                <w:lang w:val="en-US" w:eastAsia="zh-CN"/>
              </w:rPr>
            </w:pPr>
            <w:bookmarkStart w:id="349" w:name="_Toc9798"/>
            <w:r>
              <w:rPr>
                <w:rFonts w:hint="default" w:ascii="Times New Roman" w:hAnsi="Times New Roman" w:cs="Times New Roman"/>
                <w:b/>
                <w:bCs/>
                <w:snapToGrid w:val="0"/>
                <w:szCs w:val="21"/>
                <w:lang w:val="en-US" w:eastAsia="zh-CN"/>
              </w:rPr>
              <w:t>节能降耗内容方案</w:t>
            </w:r>
            <w:bookmarkEnd w:id="349"/>
            <w:r>
              <w:rPr>
                <w:rFonts w:hint="default" w:ascii="Times New Roman" w:hAnsi="Times New Roman" w:cs="Times New Roman"/>
                <w:b/>
                <w:bCs/>
                <w:snapToGrid w:val="0"/>
                <w:szCs w:val="21"/>
                <w:lang w:val="en-US" w:eastAsia="zh-CN"/>
              </w:rPr>
              <w:t>：</w:t>
            </w:r>
          </w:p>
          <w:p>
            <w:pPr>
              <w:pStyle w:val="3"/>
              <w:numPr>
                <w:ilvl w:val="0"/>
                <w:numId w:val="0"/>
              </w:numPr>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bookmarkStart w:id="350" w:name="_Toc1714"/>
            <w:bookmarkStart w:id="351" w:name="_Toc32653"/>
            <w:r>
              <w:rPr>
                <w:rFonts w:hint="eastAsia" w:ascii="Arial" w:hAnsi="Arial" w:cs="Arial"/>
                <w:b w:val="0"/>
                <w:kern w:val="0"/>
                <w:sz w:val="21"/>
                <w:szCs w:val="22"/>
                <w:lang w:val="en-US" w:eastAsia="zh-CN"/>
              </w:rPr>
              <w:t>（1）</w:t>
            </w:r>
            <w:r>
              <w:rPr>
                <w:rFonts w:hint="default" w:ascii="Arial" w:hAnsi="Arial" w:cs="Arial"/>
                <w:b w:val="0"/>
                <w:kern w:val="0"/>
                <w:sz w:val="21"/>
                <w:szCs w:val="22"/>
                <w:lang w:val="en-US" w:eastAsia="zh-CN"/>
              </w:rPr>
              <w:t>根据投标人提供的</w:t>
            </w:r>
            <w:r>
              <w:rPr>
                <w:rFonts w:hint="default" w:ascii="Arial" w:hAnsi="Arial" w:cs="Arial"/>
                <w:b/>
                <w:bCs/>
                <w:kern w:val="0"/>
                <w:sz w:val="21"/>
                <w:szCs w:val="22"/>
                <w:lang w:val="en-US" w:eastAsia="zh-CN"/>
              </w:rPr>
              <w:t>水</w:t>
            </w:r>
            <w:r>
              <w:rPr>
                <w:rFonts w:hint="default" w:ascii="Arial" w:hAnsi="Arial" w:cs="Arial"/>
                <w:b w:val="0"/>
                <w:kern w:val="0"/>
                <w:sz w:val="21"/>
                <w:szCs w:val="22"/>
                <w:lang w:val="en-US" w:eastAsia="zh-CN"/>
              </w:rPr>
              <w:t>方面的节能降耗内容，全面科学适应本项目需求，措施有效性强的一项内容得1.5分；方案较为简单，基本符合采购需求，措施有效性一般的得0.5分；不合理或者未提供方案的不得分。此项最高得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bookmarkEnd w:id="350"/>
            <w:bookmarkEnd w:id="3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outlineLvl w:val="0"/>
              <w:rPr>
                <w:rFonts w:hint="default"/>
                <w:szCs w:val="20"/>
              </w:rPr>
            </w:pPr>
          </w:p>
        </w:tc>
        <w:tc>
          <w:tcPr>
            <w:tcW w:w="1620" w:type="dxa"/>
            <w:vMerge w:val="continue"/>
            <w:vAlign w:val="center"/>
          </w:tcPr>
          <w:p>
            <w:pPr>
              <w:pStyle w:val="3"/>
              <w:suppressLineNumbers w:val="0"/>
              <w:spacing w:before="0" w:beforeAutospacing="0" w:after="0" w:afterAutospacing="0"/>
              <w:ind w:left="0" w:leftChars="0" w:right="0"/>
              <w:outlineLvl w:val="0"/>
              <w:rPr>
                <w:rFonts w:hint="default"/>
                <w:szCs w:val="20"/>
              </w:rPr>
            </w:pPr>
          </w:p>
        </w:tc>
        <w:tc>
          <w:tcPr>
            <w:tcW w:w="825" w:type="dxa"/>
            <w:vMerge w:val="continue"/>
            <w:vAlign w:val="center"/>
          </w:tcPr>
          <w:p>
            <w:pPr>
              <w:pStyle w:val="3"/>
              <w:suppressLineNumbers w:val="0"/>
              <w:spacing w:before="0" w:beforeAutospacing="0" w:after="0" w:afterAutospacing="0"/>
              <w:ind w:left="0" w:leftChars="0" w:right="0"/>
              <w:outlineLvl w:val="0"/>
              <w:rPr>
                <w:rFonts w:hint="default"/>
                <w:szCs w:val="20"/>
              </w:rPr>
            </w:pPr>
          </w:p>
        </w:tc>
        <w:tc>
          <w:tcPr>
            <w:tcW w:w="5828" w:type="dxa"/>
            <w:tcBorders>
              <w:top w:val="single" w:color="auto" w:sz="4" w:space="0"/>
              <w:bottom w:val="single" w:color="auto" w:sz="4" w:space="0"/>
            </w:tcBorders>
            <w:vAlign w:val="top"/>
          </w:tcPr>
          <w:p>
            <w:pPr>
              <w:pStyle w:val="3"/>
              <w:numPr>
                <w:ilvl w:val="0"/>
                <w:numId w:val="0"/>
              </w:numPr>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r>
              <w:rPr>
                <w:rFonts w:hint="eastAsia" w:ascii="Arial" w:hAnsi="Arial" w:cs="Arial"/>
                <w:b w:val="0"/>
                <w:kern w:val="0"/>
                <w:sz w:val="21"/>
                <w:szCs w:val="22"/>
                <w:lang w:val="en-US" w:eastAsia="zh-CN"/>
              </w:rPr>
              <w:t>（2）</w:t>
            </w:r>
            <w:r>
              <w:rPr>
                <w:rFonts w:hint="default" w:ascii="Arial" w:hAnsi="Arial" w:cs="Arial"/>
                <w:b w:val="0"/>
                <w:kern w:val="0"/>
                <w:sz w:val="21"/>
                <w:szCs w:val="22"/>
                <w:lang w:val="en-US" w:eastAsia="zh-CN"/>
              </w:rPr>
              <w:t>根据投标人提供的</w:t>
            </w:r>
            <w:r>
              <w:rPr>
                <w:rFonts w:hint="default" w:ascii="Arial" w:hAnsi="Arial" w:cs="Arial"/>
                <w:b/>
                <w:bCs/>
                <w:i w:val="0"/>
                <w:iCs w:val="0"/>
                <w:kern w:val="0"/>
                <w:sz w:val="21"/>
                <w:szCs w:val="22"/>
                <w:lang w:val="en-US" w:eastAsia="zh-CN"/>
              </w:rPr>
              <w:t>电</w:t>
            </w:r>
            <w:r>
              <w:rPr>
                <w:rFonts w:hint="default" w:ascii="Arial" w:hAnsi="Arial" w:cs="Arial"/>
                <w:b w:val="0"/>
                <w:kern w:val="0"/>
                <w:sz w:val="21"/>
                <w:szCs w:val="22"/>
                <w:lang w:val="en-US" w:eastAsia="zh-CN"/>
              </w:rPr>
              <w:t>方面的节能降耗内容，全面科学适应本项目需求，措施有效性强的一项内容得1.5分；方案较为简单，基本符合采购需求，措施有效性一般的得0.5分；不合理或者未提供方案的不得分。此项最高得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p>
        </w:tc>
        <w:tc>
          <w:tcPr>
            <w:tcW w:w="825" w:type="dxa"/>
            <w:vMerge w:val="continue"/>
            <w:vAlign w:val="center"/>
          </w:tcPr>
          <w:p>
            <w:pPr>
              <w:pStyle w:val="3"/>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p>
        </w:tc>
        <w:tc>
          <w:tcPr>
            <w:tcW w:w="5828" w:type="dxa"/>
            <w:tcBorders>
              <w:top w:val="single" w:color="auto" w:sz="4" w:space="0"/>
              <w:bottom w:val="single" w:color="auto" w:sz="4" w:space="0"/>
            </w:tcBorders>
            <w:vAlign w:val="top"/>
          </w:tcPr>
          <w:p>
            <w:pPr>
              <w:pStyle w:val="3"/>
              <w:numPr>
                <w:ilvl w:val="0"/>
                <w:numId w:val="0"/>
              </w:numPr>
              <w:suppressLineNumbers w:val="0"/>
              <w:spacing w:before="0" w:beforeAutospacing="0" w:after="0" w:afterAutospacing="0"/>
              <w:ind w:left="0" w:leftChars="0" w:right="0"/>
              <w:outlineLvl w:val="0"/>
              <w:rPr>
                <w:rFonts w:hint="default" w:ascii="Arial" w:hAnsi="Arial" w:cs="Arial"/>
                <w:b w:val="0"/>
                <w:kern w:val="0"/>
                <w:sz w:val="21"/>
                <w:szCs w:val="22"/>
                <w:lang w:val="en-US" w:eastAsia="zh-CN"/>
              </w:rPr>
            </w:pPr>
            <w:r>
              <w:rPr>
                <w:rFonts w:hint="eastAsia" w:ascii="Arial" w:hAnsi="Arial" w:cs="Arial"/>
                <w:b w:val="0"/>
                <w:kern w:val="0"/>
                <w:sz w:val="21"/>
                <w:szCs w:val="22"/>
                <w:lang w:val="en-US" w:eastAsia="zh-CN"/>
              </w:rPr>
              <w:t>（3）</w:t>
            </w:r>
            <w:r>
              <w:rPr>
                <w:rFonts w:hint="default" w:ascii="Arial" w:hAnsi="Arial" w:cs="Arial"/>
                <w:b w:val="0"/>
                <w:kern w:val="0"/>
                <w:sz w:val="21"/>
                <w:szCs w:val="22"/>
                <w:lang w:val="en-US" w:eastAsia="zh-CN"/>
              </w:rPr>
              <w:t>根据投标人提供的</w:t>
            </w:r>
            <w:r>
              <w:rPr>
                <w:rFonts w:hint="default" w:ascii="Arial" w:hAnsi="Arial" w:cs="Arial"/>
                <w:b/>
                <w:bCs/>
                <w:kern w:val="0"/>
                <w:sz w:val="21"/>
                <w:szCs w:val="22"/>
                <w:lang w:val="en-US" w:eastAsia="zh-CN"/>
              </w:rPr>
              <w:t>耗材</w:t>
            </w:r>
            <w:r>
              <w:rPr>
                <w:rFonts w:hint="default" w:ascii="Arial" w:hAnsi="Arial" w:cs="Arial"/>
                <w:b w:val="0"/>
                <w:kern w:val="0"/>
                <w:sz w:val="21"/>
                <w:szCs w:val="22"/>
                <w:lang w:val="en-US" w:eastAsia="zh-CN"/>
              </w:rPr>
              <w:t>方面的节能降耗内容，全面科学适应本项目需求，措施有效性强的一项内容得1.5分；方案较为简单，基本符合采购需求，措施有效性一般的得0.5分；不合理或者未提供方案的不得分。此项最高得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1"/>
                <w:lang w:eastAsia="zh-CN"/>
              </w:rPr>
            </w:pPr>
            <w:r>
              <w:rPr>
                <w:rFonts w:hint="eastAsia" w:cs="Times New Roman"/>
                <w:szCs w:val="22"/>
                <w:lang w:val="en-US" w:eastAsia="zh-CN"/>
              </w:rPr>
              <w:t>6</w:t>
            </w:r>
          </w:p>
        </w:tc>
        <w:tc>
          <w:tcPr>
            <w:tcW w:w="1620" w:type="dxa"/>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kern w:val="28"/>
                <w:szCs w:val="21"/>
              </w:rPr>
            </w:pPr>
            <w:r>
              <w:rPr>
                <w:rFonts w:hint="default" w:ascii="Arial" w:hAnsi="Arial" w:cs="Arial"/>
                <w:bCs/>
                <w:kern w:val="28"/>
                <w:szCs w:val="22"/>
              </w:rPr>
              <w:t>拟投入本项目设备工具</w:t>
            </w:r>
          </w:p>
        </w:tc>
        <w:tc>
          <w:tcPr>
            <w:tcW w:w="825"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szCs w:val="21"/>
                <w:highlight w:val="none"/>
                <w:lang w:eastAsia="zh-CN"/>
              </w:rPr>
            </w:pPr>
            <w:r>
              <w:rPr>
                <w:rFonts w:hint="default" w:ascii="Arial" w:hAnsi="Arial" w:cs="Arial"/>
                <w:bCs/>
                <w:kern w:val="28"/>
                <w:szCs w:val="22"/>
                <w:highlight w:val="none"/>
              </w:rPr>
              <w:t>2</w:t>
            </w:r>
            <w:r>
              <w:rPr>
                <w:rFonts w:hint="eastAsia" w:ascii="Arial" w:hAnsi="Arial" w:cs="Arial"/>
                <w:bCs/>
                <w:kern w:val="28"/>
                <w:szCs w:val="22"/>
                <w:highlight w:val="none"/>
                <w:lang w:val="en-US" w:eastAsia="zh-CN"/>
              </w:rPr>
              <w:t>1</w:t>
            </w:r>
          </w:p>
        </w:tc>
        <w:tc>
          <w:tcPr>
            <w:tcW w:w="5828"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2"/>
                <w:highlight w:val="none"/>
              </w:rPr>
            </w:pPr>
            <w:r>
              <w:rPr>
                <w:rFonts w:hint="default" w:ascii="Arial" w:hAnsi="Arial" w:cs="Arial"/>
                <w:szCs w:val="22"/>
                <w:highlight w:val="none"/>
              </w:rPr>
              <w:t>根据投标人拟投入本项目相关机械设备、工具配备情况评分：</w:t>
            </w:r>
          </w:p>
          <w:p>
            <w:pPr>
              <w:keepNext w:val="0"/>
              <w:keepLines w:val="0"/>
              <w:widowControl/>
              <w:numPr>
                <w:ilvl w:val="0"/>
                <w:numId w:val="0"/>
              </w:numPr>
              <w:suppressLineNumbers w:val="0"/>
              <w:snapToGrid w:val="0"/>
              <w:spacing w:before="0" w:beforeAutospacing="0" w:after="0" w:afterAutospacing="0" w:line="360" w:lineRule="auto"/>
              <w:ind w:left="0" w:right="0"/>
              <w:rPr>
                <w:rFonts w:hint="default" w:ascii="Arial" w:hAnsi="Arial" w:cs="Arial"/>
                <w:szCs w:val="22"/>
                <w:highlight w:val="none"/>
              </w:rPr>
            </w:pPr>
            <w:r>
              <w:rPr>
                <w:rFonts w:hint="eastAsia" w:ascii="Times New Roman" w:hAnsi="Times New Roman" w:cs="Times New Roman"/>
                <w:szCs w:val="22"/>
                <w:highlight w:val="none"/>
                <w:lang w:val="en-US" w:eastAsia="zh-CN"/>
              </w:rPr>
              <w:t>1、</w:t>
            </w:r>
            <w:r>
              <w:rPr>
                <w:rFonts w:hint="default" w:ascii="Times New Roman" w:hAnsi="Times New Roman" w:cs="Times New Roman"/>
                <w:szCs w:val="22"/>
                <w:highlight w:val="none"/>
              </w:rPr>
              <w:t>打蜡机、吸尘吸水机、自动洗地吸水机、</w:t>
            </w:r>
            <w:r>
              <w:rPr>
                <w:rFonts w:hint="eastAsia" w:cs="Times New Roman"/>
                <w:szCs w:val="22"/>
                <w:highlight w:val="none"/>
                <w:lang w:eastAsia="zh-CN"/>
              </w:rPr>
              <w:t>抛光机、</w:t>
            </w:r>
            <w:r>
              <w:rPr>
                <w:rFonts w:hint="default" w:ascii="Times New Roman" w:hAnsi="Times New Roman" w:cs="Times New Roman"/>
                <w:szCs w:val="21"/>
                <w:highlight w:val="none"/>
              </w:rPr>
              <w:t>地坪</w:t>
            </w:r>
            <w:r>
              <w:rPr>
                <w:rFonts w:hint="default" w:ascii="Arial" w:hAnsi="Arial" w:cs="Arial"/>
                <w:szCs w:val="21"/>
                <w:highlight w:val="none"/>
              </w:rPr>
              <w:t>/地毯吹干机、真空吸尘机、清洗机、烘干机、保洁专用车、垃圾车、高压水枪、榨水器</w:t>
            </w:r>
            <w:r>
              <w:rPr>
                <w:rFonts w:hint="default" w:ascii="Arial" w:hAnsi="Arial" w:cs="Arial"/>
                <w:szCs w:val="22"/>
                <w:highlight w:val="none"/>
              </w:rPr>
              <w:t>、运送车，具备1项得1.5分（提</w:t>
            </w:r>
            <w:r>
              <w:rPr>
                <w:rFonts w:hint="default" w:ascii="Arial" w:hAnsi="Arial" w:cs="Arial"/>
                <w:color w:val="auto"/>
                <w:szCs w:val="22"/>
                <w:highlight w:val="none"/>
              </w:rPr>
              <w:t>供</w:t>
            </w:r>
            <w:r>
              <w:rPr>
                <w:rFonts w:hint="eastAsia" w:ascii="Arial" w:hAnsi="Arial" w:cs="Arial"/>
                <w:color w:val="auto"/>
                <w:szCs w:val="22"/>
                <w:highlight w:val="none"/>
                <w:lang w:eastAsia="zh-CN"/>
              </w:rPr>
              <w:t>投标人</w:t>
            </w:r>
            <w:r>
              <w:rPr>
                <w:rFonts w:hint="default" w:ascii="Arial" w:hAnsi="Arial" w:cs="Arial"/>
                <w:color w:val="auto"/>
                <w:szCs w:val="22"/>
                <w:highlight w:val="none"/>
              </w:rPr>
              <w:t>的</w:t>
            </w:r>
            <w:r>
              <w:rPr>
                <w:rFonts w:hint="default" w:ascii="Arial" w:hAnsi="Arial" w:cs="Arial"/>
                <w:szCs w:val="22"/>
                <w:highlight w:val="none"/>
              </w:rPr>
              <w:t>购买发票或租赁合同，否则不得分）：此项最高得1</w:t>
            </w:r>
            <w:r>
              <w:rPr>
                <w:rFonts w:hint="eastAsia" w:ascii="Arial" w:hAnsi="Arial" w:cs="Arial"/>
                <w:szCs w:val="22"/>
                <w:highlight w:val="none"/>
                <w:lang w:val="en-US" w:eastAsia="zh-CN"/>
              </w:rPr>
              <w:t>9.5</w:t>
            </w:r>
            <w:r>
              <w:rPr>
                <w:rFonts w:hint="default" w:ascii="Arial" w:hAnsi="Arial" w:cs="Arial"/>
                <w:szCs w:val="22"/>
                <w:highlight w:val="none"/>
              </w:rPr>
              <w:t>分</w:t>
            </w:r>
            <w:r>
              <w:rPr>
                <w:rFonts w:hint="eastAsia" w:ascii="Arial" w:hAnsi="Arial" w:cs="Arial"/>
                <w:szCs w:val="22"/>
                <w:highlight w:val="none"/>
                <w:lang w:eastAsia="zh-CN"/>
              </w:rPr>
              <w:t>。</w:t>
            </w:r>
            <w:r>
              <w:rPr>
                <w:rFonts w:hint="default" w:ascii="Arial" w:hAnsi="Arial" w:cs="Arial"/>
                <w:szCs w:val="22"/>
                <w:highlight w:val="none"/>
              </w:rPr>
              <w:t>（客观）</w:t>
            </w:r>
          </w:p>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highlight w:val="none"/>
              </w:rPr>
            </w:pPr>
            <w:r>
              <w:rPr>
                <w:rFonts w:hint="default" w:ascii="Times New Roman" w:hAnsi="Times New Roman" w:cs="Times New Roman"/>
                <w:szCs w:val="22"/>
                <w:highlight w:val="none"/>
              </w:rPr>
              <w:t>2、其他设备工具的</w:t>
            </w:r>
            <w:r>
              <w:rPr>
                <w:rFonts w:hint="default" w:ascii="Arial" w:hAnsi="Arial" w:cs="Arial"/>
                <w:szCs w:val="22"/>
                <w:highlight w:val="none"/>
              </w:rPr>
              <w:t>配置情况：0-</w:t>
            </w:r>
            <w:r>
              <w:rPr>
                <w:rFonts w:hint="eastAsia" w:ascii="Arial" w:hAnsi="Arial" w:cs="Arial"/>
                <w:szCs w:val="22"/>
                <w:highlight w:val="none"/>
                <w:lang w:val="en-US" w:eastAsia="zh-CN"/>
              </w:rPr>
              <w:t>1.5</w:t>
            </w:r>
            <w:r>
              <w:rPr>
                <w:rFonts w:hint="default" w:ascii="Arial" w:hAnsi="Arial" w:cs="Arial"/>
                <w:szCs w:val="22"/>
                <w:highlight w:val="none"/>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eastAsia="zh-CN"/>
              </w:rPr>
            </w:pPr>
            <w:r>
              <w:rPr>
                <w:rFonts w:hint="eastAsia" w:cs="Times New Roman"/>
                <w:szCs w:val="22"/>
                <w:lang w:val="en-US" w:eastAsia="zh-CN"/>
              </w:rPr>
              <w:t>7</w:t>
            </w:r>
          </w:p>
        </w:tc>
        <w:tc>
          <w:tcPr>
            <w:tcW w:w="1620" w:type="dxa"/>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kern w:val="28"/>
                <w:szCs w:val="21"/>
              </w:rPr>
            </w:pPr>
            <w:r>
              <w:rPr>
                <w:rFonts w:hint="default" w:ascii="Arial" w:hAnsi="Arial" w:cs="Arial"/>
                <w:bCs/>
                <w:kern w:val="28"/>
                <w:szCs w:val="22"/>
              </w:rPr>
              <w:t>拟投入消耗品</w:t>
            </w:r>
          </w:p>
        </w:tc>
        <w:tc>
          <w:tcPr>
            <w:tcW w:w="825"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szCs w:val="21"/>
                <w:lang w:eastAsia="zh-CN"/>
              </w:rPr>
            </w:pPr>
            <w:r>
              <w:rPr>
                <w:rFonts w:hint="eastAsia" w:ascii="Arial" w:hAnsi="Arial" w:cs="Arial"/>
                <w:bCs/>
                <w:kern w:val="28"/>
                <w:szCs w:val="22"/>
                <w:lang w:val="en-US" w:eastAsia="zh-CN"/>
              </w:rPr>
              <w:t>5</w:t>
            </w:r>
          </w:p>
        </w:tc>
        <w:tc>
          <w:tcPr>
            <w:tcW w:w="5828"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rPr>
            </w:pPr>
            <w:r>
              <w:rPr>
                <w:rFonts w:hint="default" w:ascii="Arial" w:hAnsi="Arial" w:cs="Arial"/>
                <w:szCs w:val="22"/>
                <w:highlight w:val="none"/>
              </w:rPr>
              <w:t>根据投标人拟投入本项目使用的厕纸、擦手纸、卫生间洗手液、香薰、消毒液、拖布、垃圾袋、工具等日用消耗品，</w:t>
            </w:r>
            <w:r>
              <w:rPr>
                <w:rFonts w:hint="default" w:ascii="Arial" w:hAnsi="Arial" w:cs="Arial"/>
                <w:szCs w:val="22"/>
              </w:rPr>
              <w:t>根据拟投入消耗品的配置全面性、环保性、数量和质量等方面进行打分：0-</w:t>
            </w:r>
            <w:r>
              <w:rPr>
                <w:rFonts w:hint="eastAsia" w:ascii="Arial" w:hAnsi="Arial" w:cs="Arial"/>
                <w:szCs w:val="22"/>
                <w:lang w:val="en-US" w:eastAsia="zh-CN"/>
              </w:rPr>
              <w:t>5</w:t>
            </w:r>
            <w:r>
              <w:rPr>
                <w:rFonts w:hint="default" w:ascii="Arial" w:hAnsi="Arial" w:cs="Arial"/>
                <w:szCs w:val="22"/>
              </w:rPr>
              <w:t>.0分。未提供不得分。（主观）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leftChars="0" w:right="0" w:rightChars="0"/>
              <w:jc w:val="center"/>
              <w:rPr>
                <w:rFonts w:hint="eastAsia" w:ascii="Times New Roman" w:hAnsi="Times New Roman" w:cs="Times New Roman"/>
                <w:szCs w:val="22"/>
                <w:lang w:val="en-US" w:eastAsia="zh-CN"/>
              </w:rPr>
            </w:pPr>
            <w:r>
              <w:rPr>
                <w:rFonts w:hint="eastAsia" w:cs="Times New Roman"/>
                <w:szCs w:val="20"/>
                <w:lang w:val="en-US" w:eastAsia="zh-CN"/>
              </w:rPr>
              <w:t>8</w:t>
            </w:r>
          </w:p>
        </w:tc>
        <w:tc>
          <w:tcPr>
            <w:tcW w:w="1620" w:type="dxa"/>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szCs w:val="21"/>
              </w:rPr>
            </w:pPr>
            <w:r>
              <w:rPr>
                <w:rFonts w:hint="default" w:ascii="Arial" w:hAnsi="Arial" w:cs="Arial"/>
                <w:bCs/>
                <w:kern w:val="28"/>
                <w:szCs w:val="20"/>
              </w:rPr>
              <w:t>规章制度</w:t>
            </w:r>
          </w:p>
        </w:tc>
        <w:tc>
          <w:tcPr>
            <w:tcW w:w="825" w:type="dxa"/>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bCs/>
                <w:kern w:val="28"/>
                <w:szCs w:val="22"/>
                <w:lang w:val="en-US" w:eastAsia="zh-CN"/>
              </w:rPr>
            </w:pPr>
            <w:r>
              <w:rPr>
                <w:rFonts w:hint="default" w:ascii="Arial" w:hAnsi="Arial" w:cs="Arial"/>
                <w:bCs/>
                <w:kern w:val="28"/>
                <w:szCs w:val="22"/>
                <w:lang w:val="en-US" w:eastAsia="zh-CN"/>
              </w:rPr>
              <w:t>5</w:t>
            </w:r>
          </w:p>
        </w:tc>
        <w:tc>
          <w:tcPr>
            <w:tcW w:w="5828" w:type="dxa"/>
            <w:tcBorders>
              <w:top w:val="single" w:color="auto" w:sz="4" w:space="0"/>
              <w:bottom w:val="single" w:color="auto" w:sz="4" w:space="0"/>
            </w:tcBorders>
            <w:vAlign w:val="top"/>
          </w:tcPr>
          <w:p>
            <w:pPr>
              <w:keepNext w:val="0"/>
              <w:keepLines w:val="0"/>
              <w:widowControl/>
              <w:suppressLineNumbers w:val="0"/>
              <w:snapToGrid w:val="0"/>
              <w:spacing w:before="0" w:beforeAutospacing="0" w:after="0" w:afterAutospacing="0" w:line="360" w:lineRule="auto"/>
              <w:ind w:left="0" w:leftChars="0" w:right="0" w:rightChars="0"/>
              <w:rPr>
                <w:rFonts w:hint="default" w:ascii="Arial" w:hAnsi="Arial" w:cs="Arial"/>
                <w:kern w:val="0"/>
                <w:sz w:val="21"/>
                <w:szCs w:val="22"/>
                <w:highlight w:val="none"/>
                <w:lang w:val="en-US" w:eastAsia="zh-CN" w:bidi="ar-SA"/>
              </w:rPr>
            </w:pPr>
            <w:r>
              <w:rPr>
                <w:rFonts w:hint="default" w:ascii="Arial" w:hAnsi="Arial" w:eastAsia="宋体" w:cs="Arial"/>
                <w:szCs w:val="22"/>
              </w:rPr>
              <w:t>根据投标人提出的管理规章制度情况，包括</w:t>
            </w:r>
            <w:r>
              <w:rPr>
                <w:rFonts w:hint="default" w:ascii="Arial" w:hAnsi="Arial" w:eastAsia="宋体" w:cs="Arial"/>
                <w:b/>
                <w:bCs/>
                <w:szCs w:val="22"/>
              </w:rPr>
              <w:t>财务管理制度、档案管理制度、后勤保障制度、</w:t>
            </w:r>
            <w:r>
              <w:rPr>
                <w:rFonts w:hint="default" w:ascii="Arial" w:hAnsi="Arial" w:eastAsia="宋体" w:cs="Arial"/>
                <w:b/>
                <w:bCs/>
                <w:szCs w:val="21"/>
              </w:rPr>
              <w:t>质量考核办法</w:t>
            </w:r>
            <w:r>
              <w:rPr>
                <w:rFonts w:hint="default" w:ascii="Arial" w:hAnsi="Arial" w:eastAsia="宋体" w:cs="Arial"/>
                <w:szCs w:val="21"/>
              </w:rPr>
              <w:t>及</w:t>
            </w:r>
            <w:r>
              <w:rPr>
                <w:rFonts w:hint="default" w:ascii="Arial" w:hAnsi="Arial" w:eastAsia="宋体" w:cs="Arial"/>
                <w:b/>
                <w:bCs/>
                <w:szCs w:val="21"/>
              </w:rPr>
              <w:t>奖惩制度</w:t>
            </w:r>
            <w:r>
              <w:rPr>
                <w:rFonts w:hint="default" w:ascii="Arial" w:hAnsi="Arial" w:eastAsia="宋体" w:cs="Arial"/>
                <w:szCs w:val="21"/>
              </w:rPr>
              <w:t>五项内容</w:t>
            </w:r>
            <w:r>
              <w:rPr>
                <w:rFonts w:hint="default" w:ascii="Arial" w:hAnsi="Arial" w:eastAsia="宋体" w:cs="Arial"/>
                <w:szCs w:val="22"/>
              </w:rPr>
              <w:t>，</w:t>
            </w:r>
            <w:r>
              <w:rPr>
                <w:rFonts w:hint="default" w:ascii="Arial" w:hAnsi="Arial" w:eastAsia="宋体" w:cs="Arial"/>
                <w:szCs w:val="21"/>
              </w:rPr>
              <w:t>能满足项目需求且</w:t>
            </w:r>
            <w:r>
              <w:rPr>
                <w:rFonts w:hint="default" w:ascii="Arial" w:hAnsi="Arial" w:eastAsia="宋体" w:cs="Arial"/>
                <w:szCs w:val="20"/>
              </w:rPr>
              <w:t>规范合理的，每提供上述1项符合要求的制度得1</w:t>
            </w:r>
            <w:r>
              <w:rPr>
                <w:rFonts w:hint="eastAsia" w:ascii="Arial" w:hAnsi="Arial" w:cs="Arial"/>
                <w:szCs w:val="20"/>
                <w:lang w:val="en-US" w:eastAsia="zh-CN"/>
              </w:rPr>
              <w:t>.0</w:t>
            </w:r>
            <w:r>
              <w:rPr>
                <w:rFonts w:hint="default" w:ascii="Arial" w:hAnsi="Arial" w:eastAsia="宋体" w:cs="Arial"/>
                <w:szCs w:val="20"/>
              </w:rPr>
              <w:t>分，</w:t>
            </w:r>
            <w:r>
              <w:rPr>
                <w:rFonts w:hint="default" w:ascii="Arial" w:hAnsi="Arial" w:eastAsia="宋体" w:cs="Arial"/>
                <w:kern w:val="28"/>
                <w:szCs w:val="21"/>
              </w:rPr>
              <w:t>不符合</w:t>
            </w:r>
            <w:r>
              <w:rPr>
                <w:rFonts w:hint="default" w:ascii="Arial" w:hAnsi="Arial" w:eastAsia="宋体" w:cs="Arial"/>
                <w:szCs w:val="20"/>
              </w:rPr>
              <w:t>或者未说明的不得分，此项最高得5</w:t>
            </w:r>
            <w:r>
              <w:rPr>
                <w:rFonts w:hint="eastAsia" w:ascii="Arial" w:hAnsi="Arial" w:cs="Arial"/>
                <w:szCs w:val="20"/>
                <w:lang w:val="en-US" w:eastAsia="zh-CN"/>
              </w:rPr>
              <w:t>.0</w:t>
            </w:r>
            <w:r>
              <w:rPr>
                <w:rFonts w:hint="default" w:ascii="Arial" w:hAnsi="Arial" w:eastAsia="宋体" w:cs="Arial"/>
                <w:szCs w:val="20"/>
              </w:rPr>
              <w:t>分</w:t>
            </w:r>
            <w:r>
              <w:rPr>
                <w:rFonts w:hint="default" w:ascii="Arial" w:hAnsi="Arial" w:eastAsia="宋体" w:cs="Arial"/>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71" w:type="dxa"/>
            <w:vMerge w:val="restart"/>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cs="Times New Roman"/>
                <w:szCs w:val="22"/>
                <w:lang w:val="en-US" w:eastAsia="zh-CN"/>
              </w:rPr>
            </w:pPr>
            <w:r>
              <w:rPr>
                <w:rFonts w:hint="eastAsia" w:cs="Times New Roman"/>
                <w:szCs w:val="22"/>
                <w:lang w:val="en-US" w:eastAsia="zh-CN"/>
              </w:rPr>
              <w:t>9</w:t>
            </w:r>
          </w:p>
        </w:tc>
        <w:tc>
          <w:tcPr>
            <w:tcW w:w="1620"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szCs w:val="21"/>
              </w:rPr>
            </w:pPr>
            <w:r>
              <w:rPr>
                <w:rFonts w:hint="default" w:ascii="Times New Roman" w:hAnsi="Times New Roman" w:cs="Times New Roman"/>
                <w:b w:val="0"/>
                <w:bCs w:val="0"/>
                <w:snapToGrid w:val="0"/>
                <w:kern w:val="0"/>
                <w:sz w:val="21"/>
                <w:szCs w:val="21"/>
                <w:lang w:val="en-US" w:eastAsia="zh-CN" w:bidi="ar-SA"/>
              </w:rPr>
              <w:t>应急预案</w:t>
            </w:r>
          </w:p>
        </w:tc>
        <w:tc>
          <w:tcPr>
            <w:tcW w:w="825" w:type="dxa"/>
            <w:vMerge w:val="restart"/>
            <w:vAlign w:val="center"/>
          </w:tcPr>
          <w:p>
            <w:pPr>
              <w:pStyle w:val="3"/>
              <w:suppressLineNumbers w:val="0"/>
              <w:spacing w:before="0" w:beforeAutospacing="0" w:after="0" w:afterAutospacing="0"/>
              <w:ind w:left="0" w:leftChars="0" w:right="0" w:rightChars="0"/>
              <w:jc w:val="center"/>
              <w:outlineLvl w:val="0"/>
              <w:rPr>
                <w:rFonts w:hint="default" w:ascii="Arial" w:hAnsi="Arial" w:cs="Arial"/>
                <w:bCs/>
                <w:kern w:val="28"/>
                <w:szCs w:val="22"/>
                <w:lang w:val="en-US" w:eastAsia="zh-CN"/>
              </w:rPr>
            </w:pPr>
            <w:r>
              <w:rPr>
                <w:rFonts w:hint="default" w:ascii="Arial" w:hAnsi="Arial" w:cs="Arial"/>
                <w:b w:val="0"/>
                <w:kern w:val="0"/>
                <w:sz w:val="21"/>
                <w:szCs w:val="22"/>
                <w:lang w:val="en-US" w:eastAsia="zh-CN"/>
              </w:rPr>
              <w:t>7.5</w:t>
            </w:r>
          </w:p>
        </w:tc>
        <w:tc>
          <w:tcPr>
            <w:tcW w:w="5828" w:type="dxa"/>
            <w:tcBorders>
              <w:top w:val="single" w:color="auto" w:sz="4" w:space="0"/>
              <w:bottom w:val="single" w:color="auto" w:sz="4" w:space="0"/>
            </w:tcBorders>
            <w:vAlign w:val="top"/>
          </w:tcPr>
          <w:p>
            <w:pPr>
              <w:pStyle w:val="3"/>
              <w:suppressLineNumbers w:val="0"/>
              <w:spacing w:before="0" w:beforeAutospacing="0" w:after="0" w:afterAutospacing="0"/>
              <w:ind w:left="0" w:leftChars="0" w:right="0" w:rightChars="0"/>
              <w:outlineLvl w:val="0"/>
              <w:rPr>
                <w:rFonts w:hint="default" w:ascii="Arial" w:hAnsi="Arial" w:cs="Arial"/>
                <w:kern w:val="0"/>
                <w:sz w:val="21"/>
                <w:szCs w:val="22"/>
                <w:highlight w:val="none"/>
                <w:lang w:val="en-US" w:eastAsia="zh-CN" w:bidi="ar-SA"/>
              </w:rPr>
            </w:pPr>
            <w:r>
              <w:rPr>
                <w:rFonts w:hint="default" w:ascii="Arial" w:hAnsi="Arial" w:cs="Arial"/>
                <w:b w:val="0"/>
                <w:kern w:val="0"/>
                <w:sz w:val="21"/>
                <w:szCs w:val="22"/>
                <w:lang w:val="en-US" w:eastAsia="zh-CN"/>
              </w:rPr>
              <w:t>根据投标人提供的应对及化解</w:t>
            </w:r>
            <w:r>
              <w:rPr>
                <w:rFonts w:hint="default" w:ascii="Arial" w:hAnsi="Arial" w:cs="Arial"/>
                <w:b/>
                <w:bCs/>
                <w:kern w:val="0"/>
                <w:sz w:val="21"/>
                <w:szCs w:val="22"/>
                <w:lang w:val="en-US" w:eastAsia="zh-CN"/>
              </w:rPr>
              <w:t>突发事件</w:t>
            </w:r>
            <w:r>
              <w:rPr>
                <w:rFonts w:hint="default" w:ascii="Arial" w:hAnsi="Arial" w:cs="Arial"/>
                <w:b w:val="0"/>
                <w:kern w:val="0"/>
                <w:sz w:val="21"/>
                <w:szCs w:val="22"/>
                <w:lang w:val="en-US" w:eastAsia="zh-CN"/>
              </w:rPr>
              <w:t>时的应急方案内容，能根据项目实际情况设计，满足采购需求中的服务标准和要求的，一项内容得1.5分；方案较为简单，基本符合采购需求的，一项内容得0.5分；不符合采购需求或者未提供相应内容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rightChars="0"/>
              <w:outlineLvl w:val="0"/>
              <w:rPr>
                <w:rFonts w:hint="default"/>
                <w:szCs w:val="20"/>
              </w:rPr>
            </w:pPr>
          </w:p>
        </w:tc>
        <w:tc>
          <w:tcPr>
            <w:tcW w:w="1620" w:type="dxa"/>
            <w:vMerge w:val="continue"/>
            <w:vAlign w:val="center"/>
          </w:tcPr>
          <w:p>
            <w:pPr>
              <w:pStyle w:val="3"/>
              <w:suppressLineNumbers w:val="0"/>
              <w:spacing w:before="0" w:beforeAutospacing="0" w:after="0" w:afterAutospacing="0"/>
              <w:ind w:left="0" w:leftChars="0" w:right="0" w:rightChars="0"/>
              <w:outlineLvl w:val="0"/>
              <w:rPr>
                <w:rFonts w:hint="default"/>
                <w:szCs w:val="20"/>
              </w:rPr>
            </w:pPr>
          </w:p>
        </w:tc>
        <w:tc>
          <w:tcPr>
            <w:tcW w:w="825" w:type="dxa"/>
            <w:vMerge w:val="continue"/>
            <w:vAlign w:val="center"/>
          </w:tcPr>
          <w:p>
            <w:pPr>
              <w:pStyle w:val="3"/>
              <w:suppressLineNumbers w:val="0"/>
              <w:spacing w:before="0" w:beforeAutospacing="0" w:after="0" w:afterAutospacing="0"/>
              <w:ind w:left="0" w:leftChars="0" w:right="0" w:rightChars="0"/>
              <w:outlineLvl w:val="0"/>
              <w:rPr>
                <w:rFonts w:hint="default"/>
                <w:szCs w:val="20"/>
              </w:rPr>
            </w:pPr>
          </w:p>
        </w:tc>
        <w:tc>
          <w:tcPr>
            <w:tcW w:w="5828" w:type="dxa"/>
            <w:tcBorders>
              <w:top w:val="single" w:color="auto" w:sz="4" w:space="0"/>
              <w:bottom w:val="single" w:color="auto" w:sz="4" w:space="0"/>
            </w:tcBorders>
            <w:vAlign w:val="top"/>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r>
              <w:rPr>
                <w:rFonts w:hint="default" w:ascii="Arial" w:hAnsi="Arial" w:cs="Arial"/>
                <w:b w:val="0"/>
                <w:kern w:val="0"/>
                <w:sz w:val="21"/>
                <w:szCs w:val="22"/>
                <w:lang w:val="en-US" w:eastAsia="zh-CN"/>
              </w:rPr>
              <w:t>根据投标人提供的应对</w:t>
            </w:r>
            <w:r>
              <w:rPr>
                <w:rFonts w:hint="eastAsia" w:ascii="Arial" w:hAnsi="Arial" w:cs="Arial"/>
                <w:b/>
                <w:bCs/>
                <w:kern w:val="0"/>
                <w:sz w:val="21"/>
                <w:szCs w:val="22"/>
                <w:lang w:val="en-US" w:eastAsia="zh-CN"/>
              </w:rPr>
              <w:t>消防突发情况</w:t>
            </w:r>
            <w:r>
              <w:rPr>
                <w:rFonts w:hint="default" w:ascii="Arial" w:hAnsi="Arial" w:cs="Arial"/>
                <w:b w:val="0"/>
                <w:kern w:val="0"/>
                <w:sz w:val="21"/>
                <w:szCs w:val="22"/>
                <w:lang w:val="en-US" w:eastAsia="zh-CN"/>
              </w:rPr>
              <w:t>时的应急方案内容，能根据项目实际情况设计，满足采购需求中的服务标准和要求的，一项内容得1.5分；方案较为简单，基本符合采购需求的，一项内容得0.5分；不符合采购需求或者未提供相应内容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825"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5828" w:type="dxa"/>
            <w:tcBorders>
              <w:top w:val="single" w:color="auto" w:sz="4" w:space="0"/>
              <w:bottom w:val="single" w:color="auto" w:sz="4" w:space="0"/>
            </w:tcBorders>
            <w:vAlign w:val="top"/>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r>
              <w:rPr>
                <w:rFonts w:hint="default" w:ascii="Arial" w:hAnsi="Arial" w:cs="Arial"/>
                <w:b w:val="0"/>
                <w:kern w:val="0"/>
                <w:sz w:val="21"/>
                <w:szCs w:val="22"/>
                <w:lang w:val="en-US" w:eastAsia="zh-CN"/>
              </w:rPr>
              <w:t>根据投标人提供的应对</w:t>
            </w:r>
            <w:r>
              <w:rPr>
                <w:rFonts w:hint="default" w:ascii="Arial" w:hAnsi="Arial" w:cs="Arial"/>
                <w:b/>
                <w:bCs/>
                <w:kern w:val="0"/>
                <w:sz w:val="21"/>
                <w:szCs w:val="22"/>
                <w:lang w:val="en-US" w:eastAsia="zh-CN"/>
              </w:rPr>
              <w:t>极端天气（台风、暴雨、冻雪）</w:t>
            </w:r>
            <w:r>
              <w:rPr>
                <w:rFonts w:hint="default" w:ascii="Arial" w:hAnsi="Arial" w:cs="Arial"/>
                <w:b w:val="0"/>
                <w:kern w:val="0"/>
                <w:sz w:val="21"/>
                <w:szCs w:val="22"/>
                <w:lang w:val="en-US" w:eastAsia="zh-CN"/>
              </w:rPr>
              <w:t>时的应急方案内容，能根据项目实际情况设计，满足采购需求中的服务标准和要求的，一项内容得1.5分；方案较为简单，基本符合采购需求的，一项内容得0.5分；不符合采购需求或者未提供相应内容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825"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5828" w:type="dxa"/>
            <w:tcBorders>
              <w:top w:val="single" w:color="auto" w:sz="4" w:space="0"/>
              <w:bottom w:val="single" w:color="auto" w:sz="4" w:space="0"/>
            </w:tcBorders>
            <w:vAlign w:val="top"/>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r>
              <w:rPr>
                <w:rFonts w:hint="default" w:ascii="Arial" w:hAnsi="Arial" w:cs="Arial"/>
                <w:b w:val="0"/>
                <w:kern w:val="0"/>
                <w:sz w:val="21"/>
                <w:szCs w:val="22"/>
                <w:lang w:val="en-US" w:eastAsia="zh-CN"/>
              </w:rPr>
              <w:t>根据投标人提供的应对</w:t>
            </w:r>
            <w:r>
              <w:rPr>
                <w:rFonts w:hint="default" w:ascii="Arial" w:hAnsi="Arial" w:cs="Arial"/>
                <w:b/>
                <w:bCs/>
                <w:kern w:val="0"/>
                <w:sz w:val="21"/>
                <w:szCs w:val="22"/>
                <w:lang w:val="en-US" w:eastAsia="zh-CN"/>
              </w:rPr>
              <w:t>临时加班</w:t>
            </w:r>
            <w:r>
              <w:rPr>
                <w:rFonts w:hint="default" w:ascii="Arial" w:hAnsi="Arial" w:cs="Arial"/>
                <w:b w:val="0"/>
                <w:kern w:val="0"/>
                <w:sz w:val="21"/>
                <w:szCs w:val="22"/>
                <w:lang w:val="en-US" w:eastAsia="zh-CN"/>
              </w:rPr>
              <w:t>时的应急方案内容，能根据项目实际情况设计，满足采购需求中的服务标准和要求的，一项内容得1.5分；方案较为简单，基本符合采购需求的，一项内容得0.5分；不符合采购需求或者未提供相应内容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71" w:type="dxa"/>
            <w:vMerge w:val="continue"/>
            <w:tcBorders>
              <w:left w:val="single" w:color="auto" w:sz="4" w:space="0"/>
            </w:tcBorders>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1620"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825" w:type="dxa"/>
            <w:vMerge w:val="continue"/>
            <w:vAlign w:val="center"/>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p>
        </w:tc>
        <w:tc>
          <w:tcPr>
            <w:tcW w:w="5828" w:type="dxa"/>
            <w:tcBorders>
              <w:top w:val="single" w:color="auto" w:sz="4" w:space="0"/>
              <w:bottom w:val="single" w:color="auto" w:sz="4" w:space="0"/>
            </w:tcBorders>
            <w:vAlign w:val="top"/>
          </w:tcPr>
          <w:p>
            <w:pPr>
              <w:pStyle w:val="3"/>
              <w:suppressLineNumbers w:val="0"/>
              <w:spacing w:before="0" w:beforeAutospacing="0" w:after="0" w:afterAutospacing="0"/>
              <w:ind w:left="0" w:leftChars="0" w:right="0" w:rightChars="0"/>
              <w:outlineLvl w:val="0"/>
              <w:rPr>
                <w:rFonts w:hint="default" w:ascii="Arial" w:hAnsi="Arial" w:cs="Arial"/>
                <w:b w:val="0"/>
                <w:kern w:val="0"/>
                <w:sz w:val="21"/>
                <w:szCs w:val="22"/>
                <w:lang w:val="en-US" w:eastAsia="zh-CN"/>
              </w:rPr>
            </w:pPr>
            <w:r>
              <w:rPr>
                <w:rFonts w:hint="default" w:ascii="Arial" w:hAnsi="Arial" w:cs="Arial"/>
                <w:b w:val="0"/>
                <w:kern w:val="0"/>
                <w:sz w:val="21"/>
                <w:szCs w:val="22"/>
                <w:lang w:val="en-US" w:eastAsia="zh-CN"/>
              </w:rPr>
              <w:t>根据投标人提供的应对</w:t>
            </w:r>
            <w:r>
              <w:rPr>
                <w:rFonts w:hint="default" w:ascii="Arial" w:hAnsi="Arial" w:cs="Arial"/>
                <w:b/>
                <w:bCs/>
                <w:kern w:val="0"/>
                <w:sz w:val="21"/>
                <w:szCs w:val="22"/>
                <w:lang w:val="en-US" w:eastAsia="zh-CN"/>
              </w:rPr>
              <w:t>发生医疗废物泄漏、流失、偷盗</w:t>
            </w:r>
            <w:r>
              <w:rPr>
                <w:rFonts w:hint="default" w:ascii="Arial" w:hAnsi="Arial" w:cs="Arial"/>
                <w:b w:val="0"/>
                <w:kern w:val="0"/>
                <w:sz w:val="21"/>
                <w:szCs w:val="22"/>
                <w:lang w:val="en-US" w:eastAsia="zh-CN"/>
              </w:rPr>
              <w:t>时的应急方案内容，能根据项目实际情况设计，满足采购需求中的服务标准和要求的，一项内容得1.5分；方案较为简单，基本符合采购需求的，一项内容得0.5分；不符合采购需求或者未提供相应内容的不得分。此项最高得</w:t>
            </w:r>
            <w:r>
              <w:rPr>
                <w:rFonts w:hint="eastAsia" w:ascii="Arial" w:hAnsi="Arial" w:cs="Arial"/>
                <w:b w:val="0"/>
                <w:kern w:val="0"/>
                <w:sz w:val="21"/>
                <w:szCs w:val="22"/>
                <w:lang w:val="en-US" w:eastAsia="zh-CN"/>
              </w:rPr>
              <w:t>1.5</w:t>
            </w:r>
            <w:r>
              <w:rPr>
                <w:rFonts w:hint="default" w:ascii="Arial" w:hAnsi="Arial" w:cs="Arial"/>
                <w:b w:val="0"/>
                <w:kern w:val="0"/>
                <w:sz w:val="21"/>
                <w:szCs w:val="22"/>
                <w:lang w:val="en-US" w:eastAsia="zh-CN"/>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val="en-US" w:eastAsia="zh-CN"/>
              </w:rPr>
            </w:pPr>
            <w:r>
              <w:rPr>
                <w:rFonts w:hint="eastAsia" w:cs="Times New Roman"/>
                <w:szCs w:val="22"/>
                <w:lang w:val="en-US" w:eastAsia="zh-CN"/>
              </w:rPr>
              <w:t>10</w:t>
            </w:r>
          </w:p>
        </w:tc>
        <w:tc>
          <w:tcPr>
            <w:tcW w:w="1620" w:type="dxa"/>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bCs/>
                <w:kern w:val="28"/>
                <w:szCs w:val="22"/>
              </w:rPr>
            </w:pPr>
            <w:r>
              <w:rPr>
                <w:rFonts w:hint="default" w:ascii="Arial" w:hAnsi="Arial" w:cs="Arial"/>
                <w:szCs w:val="21"/>
              </w:rPr>
              <w:t>组织方案</w:t>
            </w:r>
          </w:p>
        </w:tc>
        <w:tc>
          <w:tcPr>
            <w:tcW w:w="82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8"/>
                <w:szCs w:val="22"/>
                <w:lang w:eastAsia="zh-CN"/>
              </w:rPr>
            </w:pPr>
            <w:r>
              <w:rPr>
                <w:rFonts w:hint="default" w:ascii="Arial" w:hAnsi="Arial" w:cs="Arial"/>
                <w:bCs/>
                <w:kern w:val="28"/>
                <w:szCs w:val="22"/>
                <w:lang w:val="en-US" w:eastAsia="zh-CN"/>
              </w:rPr>
              <w:t>5</w:t>
            </w:r>
          </w:p>
        </w:tc>
        <w:tc>
          <w:tcPr>
            <w:tcW w:w="5828" w:type="dxa"/>
            <w:tcBorders>
              <w:top w:val="single" w:color="auto" w:sz="4" w:space="0"/>
              <w:bottom w:val="single" w:color="auto" w:sz="4" w:space="0"/>
            </w:tcBorders>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textAlignment w:val="auto"/>
              <w:outlineLvl w:val="9"/>
              <w:rPr>
                <w:rFonts w:hint="default" w:ascii="Arial" w:hAnsi="Arial" w:cs="Arial"/>
                <w:szCs w:val="20"/>
              </w:rPr>
            </w:pPr>
            <w:r>
              <w:rPr>
                <w:rFonts w:hint="default" w:ascii="Arial" w:hAnsi="Arial" w:cs="Arial"/>
                <w:kern w:val="0"/>
                <w:sz w:val="21"/>
                <w:szCs w:val="22"/>
                <w:highlight w:val="none"/>
                <w:lang w:val="en-US" w:eastAsia="zh-CN" w:bidi="ar-SA"/>
              </w:rPr>
              <w:t>投标人提供的本项目的实施方案：包括运作流程图、监督激励机制、自我约束机制、信息反馈渠道及处理机制五项内容适应本项目需求，措施有效性强的一项内容得1.0分；方案较为简单，基本符合采购需求，措施有效性一般的得0.5分；不合理或者未提供方案的不得分。此项最高得5</w:t>
            </w:r>
            <w:r>
              <w:rPr>
                <w:rFonts w:hint="eastAsia" w:ascii="Arial" w:hAnsi="Arial" w:cs="Arial"/>
                <w:kern w:val="0"/>
                <w:sz w:val="21"/>
                <w:szCs w:val="22"/>
                <w:highlight w:val="none"/>
                <w:lang w:val="en-US" w:eastAsia="zh-CN" w:bidi="ar-SA"/>
              </w:rPr>
              <w:t>.0</w:t>
            </w:r>
            <w:r>
              <w:rPr>
                <w:rFonts w:hint="default" w:ascii="Arial" w:hAnsi="Arial" w:cs="Arial"/>
                <w:kern w:val="0"/>
                <w:sz w:val="21"/>
                <w:szCs w:val="22"/>
                <w:highlight w:val="none"/>
                <w:lang w:val="en-US" w:eastAsia="zh-CN" w:bidi="ar-SA"/>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1</w:t>
            </w:r>
            <w:r>
              <w:rPr>
                <w:rFonts w:hint="eastAsia" w:cs="Times New Roman"/>
                <w:szCs w:val="22"/>
                <w:lang w:val="en-US" w:eastAsia="zh-CN"/>
              </w:rPr>
              <w:t>1</w:t>
            </w:r>
          </w:p>
        </w:tc>
        <w:tc>
          <w:tcPr>
            <w:tcW w:w="1620" w:type="dxa"/>
            <w:vAlign w:val="center"/>
          </w:tcPr>
          <w:p>
            <w:pPr>
              <w:keepNext w:val="0"/>
              <w:keepLines w:val="0"/>
              <w:widowControl/>
              <w:suppressLineNumbers w:val="0"/>
              <w:spacing w:before="0" w:beforeAutospacing="0" w:after="0" w:afterAutospacing="0" w:line="340" w:lineRule="exact"/>
              <w:ind w:left="0" w:right="3"/>
              <w:jc w:val="center"/>
              <w:rPr>
                <w:rFonts w:hint="default" w:ascii="Arial" w:hAnsi="Arial" w:cs="Arial"/>
                <w:color w:val="000000"/>
                <w:kern w:val="28"/>
                <w:szCs w:val="21"/>
              </w:rPr>
            </w:pPr>
            <w:r>
              <w:rPr>
                <w:rFonts w:hint="default" w:ascii="Arial" w:hAnsi="Arial" w:cs="Arial"/>
                <w:color w:val="000000"/>
                <w:kern w:val="28"/>
                <w:szCs w:val="21"/>
              </w:rPr>
              <w:t>员工激励</w:t>
            </w:r>
          </w:p>
        </w:tc>
        <w:tc>
          <w:tcPr>
            <w:tcW w:w="825" w:type="dxa"/>
            <w:vAlign w:val="center"/>
          </w:tcPr>
          <w:p>
            <w:pPr>
              <w:keepNext w:val="0"/>
              <w:keepLines w:val="0"/>
              <w:widowControl/>
              <w:suppressLineNumbers w:val="0"/>
              <w:spacing w:before="0" w:beforeAutospacing="0" w:after="0" w:afterAutospacing="0" w:line="340" w:lineRule="exact"/>
              <w:ind w:left="0" w:right="3"/>
              <w:jc w:val="center"/>
              <w:rPr>
                <w:rFonts w:hint="default" w:ascii="Arial" w:hAnsi="Arial" w:cs="Arial"/>
                <w:szCs w:val="21"/>
              </w:rPr>
            </w:pPr>
            <w:r>
              <w:rPr>
                <w:rFonts w:hint="default" w:ascii="Arial" w:hAnsi="Arial" w:cs="Arial"/>
                <w:szCs w:val="21"/>
              </w:rPr>
              <w:t>2</w:t>
            </w:r>
          </w:p>
        </w:tc>
        <w:tc>
          <w:tcPr>
            <w:tcW w:w="5828"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rPr>
            </w:pPr>
            <w:r>
              <w:rPr>
                <w:rFonts w:hint="default" w:ascii="Arial" w:hAnsi="Arial" w:eastAsia="新宋体" w:cs="Arial"/>
                <w:szCs w:val="21"/>
              </w:rPr>
              <w:t>根据投标人提供的员工激励方案（员工队伍稳定方案、女工特殊福利方案）的可行性，对员工的工作推动作用</w:t>
            </w:r>
            <w:r>
              <w:rPr>
                <w:rFonts w:hint="default" w:ascii="Arial" w:hAnsi="Arial" w:eastAsia="新宋体" w:cs="Arial"/>
                <w:szCs w:val="21"/>
                <w:lang w:eastAsia="zh-CN"/>
              </w:rPr>
              <w:t>进行打分：</w:t>
            </w:r>
            <w:r>
              <w:rPr>
                <w:rFonts w:hint="default" w:ascii="Arial" w:hAnsi="Arial" w:cs="Arial"/>
                <w:szCs w:val="22"/>
              </w:rPr>
              <w:t>0-2.0分。（主观）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eastAsia="zh-CN"/>
              </w:rPr>
            </w:pPr>
            <w:r>
              <w:rPr>
                <w:rFonts w:hint="default" w:ascii="Times New Roman" w:hAnsi="Times New Roman" w:cs="Times New Roman"/>
                <w:szCs w:val="22"/>
              </w:rPr>
              <w:t>1</w:t>
            </w:r>
            <w:r>
              <w:rPr>
                <w:rFonts w:hint="eastAsia" w:cs="Times New Roman"/>
                <w:szCs w:val="22"/>
                <w:lang w:val="en-US" w:eastAsia="zh-CN"/>
              </w:rPr>
              <w:t>2</w:t>
            </w:r>
          </w:p>
        </w:tc>
        <w:tc>
          <w:tcPr>
            <w:tcW w:w="1620" w:type="dxa"/>
            <w:vAlign w:val="center"/>
          </w:tcPr>
          <w:p>
            <w:pPr>
              <w:keepNext w:val="0"/>
              <w:keepLines w:val="0"/>
              <w:widowControl/>
              <w:suppressLineNumbers w:val="0"/>
              <w:snapToGrid w:val="0"/>
              <w:spacing w:before="0" w:beforeAutospacing="0" w:after="0" w:afterAutospacing="0" w:line="360" w:lineRule="auto"/>
              <w:ind w:left="0" w:right="-84" w:rightChars="-40"/>
              <w:jc w:val="center"/>
              <w:rPr>
                <w:rFonts w:hint="default" w:ascii="Arial" w:hAnsi="Arial" w:cs="Arial"/>
                <w:color w:val="000000"/>
                <w:kern w:val="28"/>
                <w:szCs w:val="21"/>
                <w:highlight w:val="green"/>
              </w:rPr>
            </w:pPr>
            <w:r>
              <w:rPr>
                <w:rFonts w:hint="default" w:ascii="Arial" w:hAnsi="Arial" w:eastAsia="宋体" w:cs="Arial"/>
                <w:bCs/>
                <w:kern w:val="28"/>
                <w:szCs w:val="20"/>
              </w:rPr>
              <w:t>人员培训</w:t>
            </w:r>
          </w:p>
        </w:tc>
        <w:tc>
          <w:tcPr>
            <w:tcW w:w="825" w:type="dxa"/>
            <w:vAlign w:val="center"/>
          </w:tcPr>
          <w:p>
            <w:pPr>
              <w:keepNext w:val="0"/>
              <w:keepLines w:val="0"/>
              <w:widowControl/>
              <w:suppressLineNumbers w:val="0"/>
              <w:snapToGrid w:val="0"/>
              <w:spacing w:before="0" w:beforeAutospacing="0" w:after="0" w:afterAutospacing="0" w:line="360" w:lineRule="auto"/>
              <w:ind w:left="0" w:right="-84" w:rightChars="-40"/>
              <w:jc w:val="center"/>
              <w:rPr>
                <w:rFonts w:hint="default" w:ascii="Arial" w:hAnsi="Arial" w:cs="Arial"/>
                <w:szCs w:val="21"/>
              </w:rPr>
            </w:pPr>
            <w:r>
              <w:rPr>
                <w:rFonts w:hint="default" w:ascii="Arial" w:hAnsi="Arial" w:cs="Arial"/>
                <w:szCs w:val="21"/>
                <w:lang w:val="en-US" w:eastAsia="zh-CN"/>
              </w:rPr>
              <w:t>6</w:t>
            </w:r>
          </w:p>
        </w:tc>
        <w:tc>
          <w:tcPr>
            <w:tcW w:w="5828" w:type="dxa"/>
            <w:tcBorders>
              <w:top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rPr>
            </w:pPr>
            <w:r>
              <w:rPr>
                <w:rFonts w:hint="default" w:ascii="Arial" w:hAnsi="Arial" w:eastAsia="宋体" w:cs="Arial"/>
                <w:szCs w:val="20"/>
              </w:rPr>
              <w:t>根据投标人提供的针对本项目的服务人员培训计划及内容，包括</w:t>
            </w:r>
            <w:r>
              <w:rPr>
                <w:rFonts w:hint="default" w:ascii="Arial" w:hAnsi="Arial" w:eastAsia="宋体" w:cs="Arial"/>
                <w:b/>
                <w:bCs/>
                <w:szCs w:val="20"/>
              </w:rPr>
              <w:t>日常物业</w:t>
            </w:r>
            <w:r>
              <w:rPr>
                <w:rFonts w:hint="default" w:ascii="Arial" w:hAnsi="Arial" w:eastAsia="宋体" w:cs="Arial"/>
                <w:szCs w:val="20"/>
              </w:rPr>
              <w:t>、</w:t>
            </w:r>
            <w:r>
              <w:rPr>
                <w:rFonts w:hint="default" w:ascii="Arial" w:hAnsi="Arial" w:eastAsia="宋体" w:cs="Arial"/>
                <w:b/>
                <w:bCs/>
                <w:szCs w:val="20"/>
              </w:rPr>
              <w:t>应急预案培训</w:t>
            </w:r>
            <w:r>
              <w:rPr>
                <w:rFonts w:hint="default" w:ascii="Arial" w:hAnsi="Arial" w:eastAsia="宋体" w:cs="Arial"/>
                <w:szCs w:val="20"/>
              </w:rPr>
              <w:t>、</w:t>
            </w:r>
            <w:r>
              <w:rPr>
                <w:rFonts w:hint="default" w:ascii="Arial" w:hAnsi="Arial" w:eastAsia="宋体" w:cs="Arial"/>
                <w:b/>
                <w:bCs/>
                <w:szCs w:val="20"/>
              </w:rPr>
              <w:t>培训时长</w:t>
            </w:r>
            <w:r>
              <w:rPr>
                <w:rFonts w:hint="default" w:ascii="Arial" w:hAnsi="Arial" w:eastAsia="宋体" w:cs="Arial"/>
                <w:szCs w:val="20"/>
              </w:rPr>
              <w:t>、</w:t>
            </w:r>
            <w:r>
              <w:rPr>
                <w:rFonts w:hint="default" w:ascii="Arial" w:hAnsi="Arial" w:eastAsia="宋体" w:cs="Arial"/>
                <w:b/>
                <w:bCs/>
                <w:szCs w:val="20"/>
              </w:rPr>
              <w:t>讲师配置</w:t>
            </w:r>
            <w:r>
              <w:rPr>
                <w:rFonts w:hint="default" w:ascii="Arial" w:hAnsi="Arial" w:eastAsia="宋体" w:cs="Arial"/>
                <w:szCs w:val="20"/>
                <w:lang w:val="en-US" w:eastAsia="zh-CN"/>
              </w:rPr>
              <w:t>四</w:t>
            </w:r>
            <w:r>
              <w:rPr>
                <w:rFonts w:hint="default" w:ascii="Arial" w:hAnsi="Arial" w:eastAsia="宋体" w:cs="Arial"/>
                <w:szCs w:val="20"/>
              </w:rPr>
              <w:t>项内容，</w:t>
            </w:r>
            <w:r>
              <w:rPr>
                <w:rFonts w:hint="default" w:ascii="Arial" w:hAnsi="Arial" w:eastAsia="宋体" w:cs="Arial"/>
                <w:szCs w:val="20"/>
                <w:lang w:val="en-US" w:eastAsia="zh-CN"/>
              </w:rPr>
              <w:t>能根据项目实际情况制定、内容</w:t>
            </w:r>
            <w:r>
              <w:rPr>
                <w:rFonts w:hint="default" w:ascii="Arial" w:hAnsi="Arial" w:eastAsia="宋体" w:cs="Arial"/>
                <w:szCs w:val="20"/>
              </w:rPr>
              <w:t>可操作性强的</w:t>
            </w:r>
            <w:r>
              <w:rPr>
                <w:rFonts w:hint="default" w:ascii="Arial" w:hAnsi="Arial" w:eastAsia="宋体" w:cs="Arial"/>
                <w:szCs w:val="20"/>
                <w:lang w:eastAsia="zh-CN"/>
              </w:rPr>
              <w:t>，</w:t>
            </w:r>
            <w:r>
              <w:rPr>
                <w:rFonts w:hint="default" w:ascii="Arial" w:hAnsi="Arial" w:eastAsia="宋体" w:cs="Arial"/>
                <w:szCs w:val="20"/>
                <w:lang w:val="en-US" w:eastAsia="zh-CN"/>
              </w:rPr>
              <w:t>一项内容得1.5分</w:t>
            </w:r>
            <w:r>
              <w:rPr>
                <w:rFonts w:hint="default" w:ascii="Arial" w:hAnsi="Arial" w:eastAsia="宋体" w:cs="Arial"/>
                <w:szCs w:val="20"/>
              </w:rPr>
              <w:t>；方案较为简单，</w:t>
            </w:r>
            <w:r>
              <w:rPr>
                <w:rFonts w:hint="default" w:ascii="Arial" w:hAnsi="Arial" w:eastAsia="宋体" w:cs="Arial"/>
                <w:szCs w:val="20"/>
                <w:lang w:val="en-US" w:eastAsia="zh-CN"/>
              </w:rPr>
              <w:t>内容可操作性一般的</w:t>
            </w:r>
            <w:r>
              <w:rPr>
                <w:rFonts w:hint="default" w:ascii="Arial" w:hAnsi="Arial" w:eastAsia="宋体" w:cs="Arial"/>
                <w:szCs w:val="20"/>
              </w:rPr>
              <w:t>，一项内容得</w:t>
            </w:r>
            <w:r>
              <w:rPr>
                <w:rFonts w:hint="default" w:ascii="Arial" w:hAnsi="Arial" w:eastAsia="宋体" w:cs="Arial"/>
                <w:szCs w:val="20"/>
                <w:lang w:val="en-US" w:eastAsia="zh-CN"/>
              </w:rPr>
              <w:t>0.5</w:t>
            </w:r>
            <w:r>
              <w:rPr>
                <w:rFonts w:hint="default" w:ascii="Arial" w:hAnsi="Arial" w:eastAsia="宋体" w:cs="Arial"/>
                <w:szCs w:val="20"/>
              </w:rPr>
              <w:t>分；</w:t>
            </w:r>
            <w:r>
              <w:rPr>
                <w:rFonts w:hint="default" w:ascii="Arial" w:hAnsi="Arial" w:eastAsia="宋体" w:cs="Arial"/>
                <w:szCs w:val="20"/>
                <w:lang w:val="en-US" w:eastAsia="zh-CN"/>
              </w:rPr>
              <w:t>可操作性差</w:t>
            </w:r>
            <w:r>
              <w:rPr>
                <w:rFonts w:hint="default" w:ascii="Arial" w:hAnsi="Arial" w:eastAsia="宋体" w:cs="Arial"/>
                <w:szCs w:val="20"/>
              </w:rPr>
              <w:t>或者未提供相应内容的不得分。此项最高得</w:t>
            </w:r>
            <w:r>
              <w:rPr>
                <w:rFonts w:hint="default" w:ascii="Arial" w:hAnsi="Arial" w:eastAsia="宋体" w:cs="Arial"/>
                <w:szCs w:val="20"/>
                <w:lang w:val="en-US" w:eastAsia="zh-CN"/>
              </w:rPr>
              <w:t>6</w:t>
            </w:r>
            <w:r>
              <w:rPr>
                <w:rFonts w:hint="default" w:ascii="Arial" w:hAnsi="Arial" w:eastAsia="宋体" w:cs="Arial"/>
                <w:szCs w:val="20"/>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val="en-US" w:eastAsia="zh-CN"/>
              </w:rPr>
            </w:pPr>
            <w:r>
              <w:rPr>
                <w:rFonts w:hint="default" w:ascii="Times New Roman" w:hAnsi="Times New Roman" w:cs="Times New Roman"/>
                <w:szCs w:val="22"/>
              </w:rPr>
              <w:t>1</w:t>
            </w:r>
            <w:r>
              <w:rPr>
                <w:rFonts w:hint="eastAsia" w:cs="Times New Roman"/>
                <w:szCs w:val="22"/>
                <w:lang w:val="en-US" w:eastAsia="zh-CN"/>
              </w:rPr>
              <w:t>3</w:t>
            </w:r>
          </w:p>
        </w:tc>
        <w:tc>
          <w:tcPr>
            <w:tcW w:w="1620" w:type="dxa"/>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kern w:val="28"/>
                <w:szCs w:val="21"/>
                <w:highlight w:val="green"/>
              </w:rPr>
            </w:pPr>
            <w:r>
              <w:rPr>
                <w:rFonts w:hint="default" w:ascii="Arial" w:hAnsi="Arial" w:cs="Arial"/>
                <w:bCs/>
                <w:kern w:val="28"/>
                <w:szCs w:val="22"/>
              </w:rPr>
              <w:t>文明建设内容</w:t>
            </w:r>
          </w:p>
        </w:tc>
        <w:tc>
          <w:tcPr>
            <w:tcW w:w="825"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szCs w:val="21"/>
                <w:lang w:eastAsia="zh-CN"/>
              </w:rPr>
            </w:pPr>
            <w:r>
              <w:rPr>
                <w:rFonts w:hint="eastAsia" w:ascii="Arial" w:hAnsi="Arial" w:cs="Arial"/>
                <w:color w:val="000000"/>
                <w:kern w:val="28"/>
                <w:szCs w:val="20"/>
                <w:lang w:val="en-US" w:eastAsia="zh-CN"/>
              </w:rPr>
              <w:t>2</w:t>
            </w:r>
          </w:p>
        </w:tc>
        <w:tc>
          <w:tcPr>
            <w:tcW w:w="5828" w:type="dxa"/>
            <w:tcBorders>
              <w:top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rPr>
                <w:rFonts w:hint="default" w:ascii="Arial" w:hAnsi="Arial" w:cs="Arial"/>
                <w:szCs w:val="20"/>
              </w:rPr>
            </w:pPr>
            <w:r>
              <w:rPr>
                <w:rFonts w:hint="default" w:ascii="Arial" w:hAnsi="Arial" w:cs="Arial"/>
                <w:szCs w:val="22"/>
              </w:rPr>
              <w:t>根据投标人提出文明建设的内容</w:t>
            </w:r>
            <w:r>
              <w:rPr>
                <w:rFonts w:hint="default" w:ascii="Arial" w:hAnsi="Arial" w:cs="Arial"/>
                <w:szCs w:val="22"/>
                <w:lang w:eastAsia="zh-CN"/>
              </w:rPr>
              <w:t>进行打分</w:t>
            </w:r>
            <w:r>
              <w:rPr>
                <w:rFonts w:hint="default" w:ascii="Arial" w:hAnsi="Arial" w:cs="Arial"/>
                <w:szCs w:val="22"/>
              </w:rPr>
              <w:t>：0-</w:t>
            </w:r>
            <w:r>
              <w:rPr>
                <w:rFonts w:hint="eastAsia" w:ascii="Arial" w:hAnsi="Arial" w:cs="Arial"/>
                <w:szCs w:val="22"/>
                <w:lang w:val="en-US" w:eastAsia="zh-CN"/>
              </w:rPr>
              <w:t>2</w:t>
            </w:r>
            <w:r>
              <w:rPr>
                <w:rFonts w:hint="default" w:ascii="Arial" w:hAnsi="Arial" w:cs="Arial"/>
                <w:szCs w:val="22"/>
              </w:rPr>
              <w:t>.0分。（文明建设：如文明服务，协助采购人做好形象布置等）（主观）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1" w:type="dxa"/>
            <w:tcBorders>
              <w:left w:val="single" w:color="auto" w:sz="4" w:space="0"/>
            </w:tcBorders>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szCs w:val="22"/>
                <w:lang w:eastAsia="zh-CN"/>
              </w:rPr>
            </w:pPr>
            <w:r>
              <w:rPr>
                <w:rFonts w:hint="default" w:ascii="Times New Roman" w:hAnsi="Times New Roman" w:cs="Times New Roman"/>
                <w:szCs w:val="22"/>
              </w:rPr>
              <w:t>1</w:t>
            </w:r>
            <w:r>
              <w:rPr>
                <w:rFonts w:hint="eastAsia" w:cs="Times New Roman"/>
                <w:szCs w:val="22"/>
                <w:lang w:val="en-US" w:eastAsia="zh-CN"/>
              </w:rPr>
              <w:t>4</w:t>
            </w:r>
          </w:p>
        </w:tc>
        <w:tc>
          <w:tcPr>
            <w:tcW w:w="1620" w:type="dxa"/>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b/>
                <w:szCs w:val="21"/>
              </w:rPr>
            </w:pPr>
            <w:r>
              <w:rPr>
                <w:rFonts w:hint="default" w:ascii="Arial" w:hAnsi="Arial" w:cs="Arial"/>
                <w:b/>
                <w:bCs/>
                <w:kern w:val="28"/>
                <w:szCs w:val="20"/>
              </w:rPr>
              <w:t>报价评标</w:t>
            </w:r>
          </w:p>
        </w:tc>
        <w:tc>
          <w:tcPr>
            <w:tcW w:w="825" w:type="dxa"/>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b/>
                <w:bCs/>
                <w:kern w:val="28"/>
                <w:szCs w:val="20"/>
              </w:rPr>
            </w:pPr>
            <w:r>
              <w:rPr>
                <w:rFonts w:hint="default" w:ascii="Arial" w:hAnsi="Arial" w:cs="Arial"/>
                <w:b/>
                <w:bCs/>
                <w:kern w:val="28"/>
                <w:szCs w:val="20"/>
                <w:lang w:val="en-US" w:eastAsia="zh-CN"/>
              </w:rPr>
              <w:t>1</w:t>
            </w:r>
            <w:r>
              <w:rPr>
                <w:rFonts w:hint="default" w:ascii="Arial" w:hAnsi="Arial" w:cs="Arial"/>
                <w:b/>
                <w:bCs/>
                <w:kern w:val="28"/>
                <w:szCs w:val="20"/>
              </w:rPr>
              <w:t>0分</w:t>
            </w:r>
          </w:p>
        </w:tc>
        <w:tc>
          <w:tcPr>
            <w:tcW w:w="5828" w:type="dxa"/>
            <w:vAlign w:val="center"/>
          </w:tcPr>
          <w:p>
            <w:pPr>
              <w:keepNext w:val="0"/>
              <w:keepLines w:val="0"/>
              <w:widowControl/>
              <w:suppressLineNumbers w:val="0"/>
              <w:spacing w:before="0" w:beforeAutospacing="0" w:after="0" w:afterAutospacing="0" w:line="360" w:lineRule="auto"/>
              <w:ind w:left="0" w:right="0"/>
              <w:rPr>
                <w:rFonts w:hint="default" w:ascii="Arial" w:hAnsi="Arial" w:cs="Arial"/>
                <w:kern w:val="28"/>
                <w:szCs w:val="20"/>
              </w:rPr>
            </w:pPr>
            <w:r>
              <w:rPr>
                <w:rFonts w:hint="default" w:ascii="Arial" w:hAnsi="Arial" w:cs="Arial"/>
                <w:kern w:val="28"/>
                <w:szCs w:val="20"/>
              </w:rPr>
              <w:t>价格分统一采用低价优先法计算，即满足招标文件要求且投标价格最低的投标报价为评标基准价，其价格分为满分。其他投标人的价格分统一按照下列公式计算：投标报价得分：（评标基准价/投标报价）*10.00。计算分数时四舍五入取小数点后两位。</w:t>
            </w:r>
          </w:p>
        </w:tc>
      </w:tr>
    </w:tbl>
    <w:p>
      <w:pPr>
        <w:pStyle w:val="3"/>
        <w:rPr>
          <w:rFonts w:hint="eastAsia" w:hAnsi="宋体" w:cs="宋体"/>
        </w:rPr>
      </w:pPr>
    </w:p>
    <w:bookmarkEnd w:id="229"/>
    <w:p>
      <w:pPr>
        <w:pStyle w:val="3"/>
        <w:keepNext w:val="0"/>
        <w:keepLines w:val="0"/>
        <w:pageBreakBefore/>
        <w:spacing w:before="312" w:beforeLines="100" w:after="312" w:afterLines="100" w:line="240" w:lineRule="auto"/>
        <w:jc w:val="center"/>
        <w:rPr>
          <w:rFonts w:hint="eastAsia" w:hAnsi="宋体" w:cs="宋体"/>
          <w:sz w:val="28"/>
          <w:szCs w:val="36"/>
          <w:lang w:val="en-US" w:eastAsia="zh-CN"/>
        </w:rPr>
      </w:pPr>
      <w:r>
        <w:rPr>
          <w:rFonts w:hint="eastAsia" w:hAnsi="宋体" w:cs="宋体"/>
          <w:color w:val="7030A0"/>
        </w:rPr>
        <w:t xml:space="preserve">  </w:t>
      </w:r>
      <w:bookmarkStart w:id="352" w:name="_Toc11930"/>
      <w:bookmarkStart w:id="353" w:name="_Toc6525"/>
      <w:bookmarkStart w:id="354" w:name="_Toc31313"/>
      <w:bookmarkStart w:id="355" w:name="_Toc29257"/>
      <w:bookmarkStart w:id="356" w:name="_Toc31121"/>
      <w:r>
        <w:rPr>
          <w:rFonts w:hint="eastAsia" w:hAnsi="宋体" w:cs="宋体"/>
          <w:bCs/>
          <w:color w:val="000000"/>
          <w:sz w:val="28"/>
          <w:szCs w:val="36"/>
        </w:rPr>
        <w:t>第五部分</w:t>
      </w:r>
      <w:r>
        <w:rPr>
          <w:rFonts w:hint="eastAsia" w:hAnsi="宋体" w:cs="宋体"/>
          <w:color w:val="7030A0"/>
        </w:rPr>
        <w:t xml:space="preserve"> </w:t>
      </w:r>
      <w:r>
        <w:rPr>
          <w:rFonts w:hint="eastAsia" w:hAnsi="宋体" w:cs="宋体"/>
        </w:rPr>
        <w:t xml:space="preserve">    </w:t>
      </w:r>
      <w:r>
        <w:rPr>
          <w:rFonts w:hint="eastAsia" w:hAnsi="宋体" w:cs="宋体"/>
          <w:sz w:val="28"/>
          <w:szCs w:val="36"/>
        </w:rPr>
        <w:t>合同</w:t>
      </w:r>
      <w:bookmarkEnd w:id="352"/>
      <w:r>
        <w:rPr>
          <w:rFonts w:hint="eastAsia" w:hAnsi="宋体" w:cs="宋体"/>
          <w:sz w:val="28"/>
          <w:szCs w:val="36"/>
          <w:lang w:val="en-US" w:eastAsia="zh-CN"/>
        </w:rPr>
        <w:t>条款</w:t>
      </w:r>
      <w:bookmarkEnd w:id="353"/>
      <w:bookmarkEnd w:id="354"/>
      <w:bookmarkEnd w:id="355"/>
      <w:bookmarkEnd w:id="356"/>
    </w:p>
    <w:p>
      <w:pPr>
        <w:snapToGrid w:val="0"/>
        <w:spacing w:line="360" w:lineRule="auto"/>
        <w:jc w:val="both"/>
        <w:rPr>
          <w:rFonts w:hint="eastAsia" w:cs="宋体"/>
          <w:szCs w:val="21"/>
        </w:rPr>
      </w:pPr>
      <w:r>
        <w:rPr>
          <w:rFonts w:hint="eastAsia" w:cs="宋体"/>
          <w:szCs w:val="21"/>
        </w:rPr>
        <w:t>采购人：</w:t>
      </w:r>
      <w:r>
        <w:rPr>
          <w:rFonts w:hint="eastAsia" w:ascii="宋体" w:hAnsi="宋体" w:cs="宋体"/>
          <w:szCs w:val="21"/>
          <w:lang w:eastAsia="zh-CN"/>
        </w:rPr>
        <w:t>瑞安市</w:t>
      </w:r>
      <w:r>
        <w:rPr>
          <w:rFonts w:hint="eastAsia" w:ascii="宋体" w:hAnsi="宋体" w:cs="宋体"/>
          <w:szCs w:val="21"/>
          <w:lang w:val="en-US" w:eastAsia="zh-CN"/>
        </w:rPr>
        <w:t>妇幼保健院</w:t>
      </w:r>
      <w:r>
        <w:rPr>
          <w:rFonts w:hint="eastAsia" w:cs="宋体"/>
          <w:szCs w:val="21"/>
        </w:rPr>
        <w:t xml:space="preserve">   （以下简称甲方） </w:t>
      </w:r>
    </w:p>
    <w:p>
      <w:pPr>
        <w:snapToGrid w:val="0"/>
        <w:spacing w:line="360" w:lineRule="auto"/>
        <w:jc w:val="both"/>
        <w:rPr>
          <w:rFonts w:hint="eastAsia" w:cs="宋体"/>
          <w:szCs w:val="21"/>
        </w:rPr>
      </w:pPr>
      <w:r>
        <w:rPr>
          <w:rFonts w:hint="eastAsia" w:cs="宋体"/>
          <w:szCs w:val="21"/>
        </w:rPr>
        <w:t xml:space="preserve">中标人：               </w:t>
      </w:r>
      <w:r>
        <w:rPr>
          <w:rFonts w:hint="eastAsia" w:cs="宋体"/>
          <w:szCs w:val="21"/>
          <w:lang w:val="en-US" w:eastAsia="zh-CN"/>
        </w:rPr>
        <w:t xml:space="preserve">    </w:t>
      </w:r>
      <w:r>
        <w:rPr>
          <w:rFonts w:hint="eastAsia" w:cs="宋体"/>
          <w:szCs w:val="21"/>
        </w:rPr>
        <w:t>（以下简称乙方）</w:t>
      </w:r>
    </w:p>
    <w:p>
      <w:pPr>
        <w:snapToGrid w:val="0"/>
        <w:spacing w:line="360" w:lineRule="auto"/>
        <w:ind w:firstLine="422" w:firstLineChars="200"/>
        <w:rPr>
          <w:rFonts w:hint="eastAsia" w:eastAsia="宋体" w:cs="宋体"/>
          <w:b/>
          <w:bCs/>
          <w:lang w:eastAsia="zh-CN"/>
        </w:rPr>
      </w:pPr>
      <w:r>
        <w:rPr>
          <w:rFonts w:hint="eastAsia" w:cs="宋体"/>
          <w:b/>
          <w:bCs/>
          <w:szCs w:val="21"/>
        </w:rPr>
        <w:t>本合同是否为中小企业预留合同：</w:t>
      </w:r>
      <w:r>
        <w:rPr>
          <w:rFonts w:hint="eastAsia" w:cs="宋体"/>
          <w:b/>
          <w:bCs/>
          <w:szCs w:val="21"/>
          <w:lang w:eastAsia="zh-CN"/>
        </w:rPr>
        <w:t>否</w:t>
      </w:r>
    </w:p>
    <w:p>
      <w:pPr>
        <w:numPr>
          <w:ilvl w:val="0"/>
          <w:numId w:val="47"/>
        </w:numPr>
        <w:spacing w:line="360" w:lineRule="auto"/>
        <w:ind w:firstLine="420" w:firstLineChars="200"/>
        <w:rPr>
          <w:rFonts w:hint="eastAsia" w:cs="宋体"/>
          <w:szCs w:val="21"/>
        </w:rPr>
      </w:pPr>
      <w:r>
        <w:rPr>
          <w:rFonts w:hint="eastAsia" w:cs="宋体"/>
          <w:szCs w:val="21"/>
        </w:rPr>
        <w:t>乙双方根据《中华人民共和国民法典》等有关法律规定及招标文件、补充文件和乙方的投标文件、澄清文件内容及服务承诺，本着友好合作、协商一致的原则，就乙方承包甲方物业管理服务项目的有关事宜达成协议如下：</w:t>
      </w:r>
    </w:p>
    <w:p>
      <w:pPr>
        <w:numPr>
          <w:ilvl w:val="0"/>
          <w:numId w:val="48"/>
        </w:numPr>
        <w:spacing w:before="156" w:beforeLines="50" w:after="156" w:afterLines="50" w:line="360" w:lineRule="auto"/>
        <w:ind w:firstLine="422" w:firstLineChars="200"/>
        <w:rPr>
          <w:rFonts w:hint="eastAsia" w:cs="宋体"/>
          <w:b/>
          <w:bCs/>
          <w:szCs w:val="21"/>
        </w:rPr>
      </w:pPr>
      <w:bookmarkStart w:id="357" w:name="_Toc30577"/>
      <w:bookmarkStart w:id="358" w:name="_Toc18345"/>
      <w:bookmarkStart w:id="359" w:name="_Toc26209481"/>
      <w:bookmarkStart w:id="360" w:name="_Toc332195225"/>
      <w:bookmarkStart w:id="361" w:name="_Toc1760"/>
      <w:bookmarkStart w:id="362" w:name="_Toc24030159"/>
      <w:bookmarkStart w:id="363" w:name="_Toc200785155"/>
      <w:bookmarkStart w:id="364" w:name="_Toc353942586"/>
      <w:bookmarkStart w:id="365" w:name="_Toc7377"/>
      <w:bookmarkStart w:id="366" w:name="_Toc5934"/>
      <w:bookmarkStart w:id="367" w:name="_Toc13607"/>
      <w:bookmarkStart w:id="368" w:name="_Toc354663669"/>
      <w:bookmarkStart w:id="369" w:name="_Toc19864"/>
      <w:bookmarkStart w:id="370" w:name="_Toc200784869"/>
      <w:bookmarkStart w:id="371" w:name="_Toc206"/>
      <w:bookmarkStart w:id="372" w:name="_Toc21158"/>
      <w:bookmarkStart w:id="373" w:name="_Toc16657"/>
      <w:bookmarkStart w:id="374" w:name="_Toc61254372"/>
      <w:r>
        <w:rPr>
          <w:rFonts w:hint="eastAsia" w:cs="宋体"/>
          <w:b/>
          <w:bCs/>
          <w:szCs w:val="21"/>
        </w:rPr>
        <w:t>项目基本情况：</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numPr>
          <w:ilvl w:val="0"/>
          <w:numId w:val="49"/>
        </w:numPr>
        <w:spacing w:line="360" w:lineRule="auto"/>
        <w:ind w:left="5" w:firstLine="415"/>
        <w:rPr>
          <w:rFonts w:hint="eastAsia" w:cs="宋体"/>
          <w:szCs w:val="21"/>
        </w:rPr>
      </w:pPr>
      <w:r>
        <w:rPr>
          <w:rFonts w:hint="eastAsia" w:cs="宋体"/>
          <w:szCs w:val="21"/>
        </w:rPr>
        <w:t>物业名称：瑞安市妇幼保健院</w:t>
      </w:r>
      <w:r>
        <w:rPr>
          <w:rFonts w:hint="default" w:ascii="Arial" w:hAnsi="Arial" w:cs="Arial"/>
          <w:szCs w:val="21"/>
        </w:rPr>
        <w:t>2022-2024年</w:t>
      </w:r>
      <w:r>
        <w:rPr>
          <w:rFonts w:hint="eastAsia" w:cs="宋体"/>
          <w:szCs w:val="21"/>
        </w:rPr>
        <w:t>物业</w:t>
      </w:r>
      <w:r>
        <w:rPr>
          <w:rFonts w:hint="eastAsia" w:cs="宋体"/>
          <w:szCs w:val="21"/>
          <w:lang w:eastAsia="zh-CN"/>
        </w:rPr>
        <w:t>管理</w:t>
      </w:r>
      <w:r>
        <w:rPr>
          <w:rFonts w:hint="eastAsia" w:cs="宋体"/>
          <w:szCs w:val="21"/>
        </w:rPr>
        <w:t>服务（包含保洁、护工及运送）项目。</w:t>
      </w:r>
    </w:p>
    <w:p>
      <w:pPr>
        <w:numPr>
          <w:ilvl w:val="0"/>
          <w:numId w:val="49"/>
        </w:numPr>
        <w:spacing w:line="360" w:lineRule="auto"/>
        <w:ind w:left="5" w:firstLine="415"/>
        <w:rPr>
          <w:rFonts w:hint="eastAsia" w:cs="宋体"/>
          <w:szCs w:val="21"/>
        </w:rPr>
      </w:pPr>
      <w:r>
        <w:rPr>
          <w:rFonts w:hint="eastAsia" w:cs="宋体"/>
          <w:szCs w:val="21"/>
        </w:rPr>
        <w:t>物业服务区域：瑞安市妇幼保健院，具体以招标文件规定为准。</w:t>
      </w:r>
    </w:p>
    <w:p>
      <w:pPr>
        <w:numPr>
          <w:ilvl w:val="0"/>
          <w:numId w:val="49"/>
        </w:numPr>
        <w:spacing w:line="360" w:lineRule="auto"/>
        <w:ind w:left="5" w:firstLine="415"/>
        <w:rPr>
          <w:rFonts w:hint="eastAsia" w:cs="宋体"/>
          <w:szCs w:val="21"/>
        </w:rPr>
      </w:pPr>
      <w:r>
        <w:rPr>
          <w:rFonts w:hint="eastAsia" w:cs="宋体"/>
          <w:szCs w:val="21"/>
        </w:rPr>
        <w:t>物业服务内容：瑞安市妇幼保健院物业服务，包括院区的保洁、护工及运送</w:t>
      </w:r>
      <w:r>
        <w:rPr>
          <w:rFonts w:hint="eastAsia" w:cs="宋体"/>
          <w:szCs w:val="21"/>
          <w:lang w:eastAsia="zh-CN"/>
        </w:rPr>
        <w:t>等</w:t>
      </w:r>
      <w:r>
        <w:rPr>
          <w:rFonts w:hint="eastAsia" w:cs="宋体"/>
          <w:szCs w:val="21"/>
        </w:rPr>
        <w:t>服务。</w:t>
      </w:r>
    </w:p>
    <w:p>
      <w:pPr>
        <w:numPr>
          <w:ilvl w:val="0"/>
          <w:numId w:val="48"/>
        </w:numPr>
        <w:spacing w:before="156" w:beforeLines="50" w:after="156" w:afterLines="50" w:line="360" w:lineRule="auto"/>
        <w:ind w:firstLine="422" w:firstLineChars="200"/>
        <w:rPr>
          <w:rFonts w:hint="eastAsia" w:cs="宋体"/>
          <w:b/>
          <w:bCs/>
          <w:szCs w:val="21"/>
        </w:rPr>
      </w:pPr>
      <w:r>
        <w:rPr>
          <w:rFonts w:hint="eastAsia" w:cs="宋体"/>
          <w:b/>
          <w:bCs/>
          <w:szCs w:val="21"/>
        </w:rPr>
        <w:t>物业服务期限：</w:t>
      </w:r>
    </w:p>
    <w:p>
      <w:pPr>
        <w:spacing w:line="360" w:lineRule="auto"/>
        <w:ind w:firstLine="440" w:firstLineChars="200"/>
        <w:rPr>
          <w:rFonts w:hint="eastAsia" w:cs="宋体"/>
          <w:szCs w:val="21"/>
          <w:highlight w:val="yellow"/>
        </w:rPr>
      </w:pPr>
      <w:r>
        <w:rPr>
          <w:rFonts w:hint="eastAsia" w:cs="宋体"/>
          <w:sz w:val="22"/>
          <w:szCs w:val="22"/>
          <w:lang w:eastAsia="zh-CN"/>
        </w:rPr>
        <w:t>服务期限为自</w:t>
      </w:r>
      <w:r>
        <w:rPr>
          <w:rFonts w:hint="eastAsia" w:ascii="新宋体" w:hAnsi="新宋体" w:eastAsia="新宋体"/>
          <w:szCs w:val="21"/>
        </w:rPr>
        <w:t>合同生效之日起</w:t>
      </w:r>
      <w:r>
        <w:rPr>
          <w:rFonts w:hint="eastAsia" w:cs="宋体"/>
          <w:sz w:val="22"/>
          <w:szCs w:val="22"/>
        </w:rPr>
        <w:t>二年（</w:t>
      </w:r>
      <w:r>
        <w:rPr>
          <w:rFonts w:hint="default" w:ascii="Arial" w:hAnsi="Arial" w:cs="Arial"/>
          <w:sz w:val="22"/>
          <w:szCs w:val="22"/>
        </w:rPr>
        <w:t>24个月）。合同一年一签，一年合同期满后，</w:t>
      </w:r>
      <w:r>
        <w:rPr>
          <w:rFonts w:hint="default" w:ascii="Arial" w:hAnsi="Arial" w:cs="Arial"/>
          <w:sz w:val="22"/>
          <w:szCs w:val="22"/>
          <w:lang w:eastAsia="zh-CN"/>
        </w:rPr>
        <w:t>乙方</w:t>
      </w:r>
      <w:r>
        <w:rPr>
          <w:rFonts w:hint="default" w:ascii="Arial" w:hAnsi="Arial" w:cs="Arial"/>
          <w:sz w:val="22"/>
          <w:szCs w:val="22"/>
        </w:rPr>
        <w:t>的服务达到</w:t>
      </w:r>
      <w:r>
        <w:rPr>
          <w:rFonts w:hint="default" w:ascii="Arial" w:hAnsi="Arial" w:cs="Arial"/>
          <w:sz w:val="22"/>
          <w:szCs w:val="22"/>
          <w:lang w:eastAsia="zh-CN"/>
        </w:rPr>
        <w:t>甲方</w:t>
      </w:r>
      <w:r>
        <w:rPr>
          <w:rFonts w:hint="default" w:ascii="Arial" w:hAnsi="Arial" w:cs="Arial"/>
          <w:sz w:val="22"/>
          <w:szCs w:val="22"/>
        </w:rPr>
        <w:t>的考核标准（月考核平均得分达到</w:t>
      </w:r>
      <w:r>
        <w:rPr>
          <w:rFonts w:hint="default" w:ascii="Arial" w:hAnsi="Arial" w:cs="Arial"/>
          <w:sz w:val="22"/>
          <w:szCs w:val="22"/>
          <w:lang w:val="en-US" w:eastAsia="zh-CN"/>
        </w:rPr>
        <w:t>85</w:t>
      </w:r>
      <w:r>
        <w:rPr>
          <w:rFonts w:hint="default" w:ascii="Arial" w:hAnsi="Arial" w:cs="Arial"/>
          <w:sz w:val="22"/>
          <w:szCs w:val="22"/>
        </w:rPr>
        <w:t>分</w:t>
      </w:r>
      <w:r>
        <w:rPr>
          <w:rFonts w:hint="default" w:ascii="Arial" w:hAnsi="Arial" w:cs="Arial"/>
          <w:sz w:val="22"/>
          <w:szCs w:val="22"/>
          <w:lang w:eastAsia="zh-CN"/>
        </w:rPr>
        <w:t>（</w:t>
      </w:r>
      <w:r>
        <w:rPr>
          <w:rFonts w:hint="default" w:ascii="Arial" w:hAnsi="Arial" w:cs="Arial"/>
          <w:sz w:val="22"/>
          <w:szCs w:val="22"/>
          <w:lang w:val="en-US" w:eastAsia="zh-CN"/>
        </w:rPr>
        <w:t>含</w:t>
      </w:r>
      <w:r>
        <w:rPr>
          <w:rFonts w:hint="default" w:ascii="Arial" w:hAnsi="Arial" w:cs="Arial"/>
          <w:sz w:val="22"/>
          <w:szCs w:val="22"/>
          <w:lang w:eastAsia="zh-CN"/>
        </w:rPr>
        <w:t>）</w:t>
      </w:r>
      <w:r>
        <w:rPr>
          <w:rFonts w:hint="default" w:ascii="Arial" w:hAnsi="Arial" w:cs="Arial"/>
          <w:sz w:val="22"/>
          <w:szCs w:val="22"/>
          <w:lang w:val="en-US" w:eastAsia="zh-CN"/>
        </w:rPr>
        <w:t>以上</w:t>
      </w:r>
      <w:r>
        <w:rPr>
          <w:rFonts w:hint="default" w:ascii="Arial" w:hAnsi="Arial" w:cs="Arial"/>
          <w:sz w:val="22"/>
          <w:szCs w:val="22"/>
        </w:rPr>
        <w:t>），结合实际情况可再续签下一年合同，若</w:t>
      </w:r>
      <w:r>
        <w:rPr>
          <w:rFonts w:hint="default" w:ascii="Arial" w:hAnsi="Arial" w:cs="Arial"/>
          <w:sz w:val="22"/>
          <w:szCs w:val="22"/>
          <w:lang w:eastAsia="zh-CN"/>
        </w:rPr>
        <w:t>乙方</w:t>
      </w:r>
      <w:r>
        <w:rPr>
          <w:rFonts w:hint="default" w:ascii="Arial" w:hAnsi="Arial" w:cs="Arial"/>
          <w:sz w:val="22"/>
          <w:szCs w:val="22"/>
        </w:rPr>
        <w:t>有违约行为，或服务质量未</w:t>
      </w:r>
      <w:r>
        <w:rPr>
          <w:rFonts w:hint="eastAsia" w:cs="宋体"/>
          <w:sz w:val="22"/>
          <w:szCs w:val="22"/>
        </w:rPr>
        <w:t>达到标准，</w:t>
      </w:r>
      <w:r>
        <w:rPr>
          <w:rFonts w:hint="eastAsia" w:cs="宋体"/>
          <w:sz w:val="22"/>
          <w:szCs w:val="22"/>
          <w:lang w:eastAsia="zh-CN"/>
        </w:rPr>
        <w:t>甲方</w:t>
      </w:r>
      <w:r>
        <w:rPr>
          <w:rFonts w:hint="eastAsia" w:cs="宋体"/>
          <w:sz w:val="22"/>
          <w:szCs w:val="22"/>
        </w:rPr>
        <w:t>有权</w:t>
      </w:r>
      <w:r>
        <w:rPr>
          <w:rFonts w:hint="eastAsia" w:cs="宋体"/>
          <w:sz w:val="22"/>
          <w:szCs w:val="22"/>
          <w:lang w:eastAsia="zh-CN"/>
        </w:rPr>
        <w:t>无责</w:t>
      </w:r>
      <w:r>
        <w:rPr>
          <w:rFonts w:hint="eastAsia" w:cs="宋体"/>
          <w:sz w:val="22"/>
          <w:szCs w:val="22"/>
        </w:rPr>
        <w:t>单方解除合同或不续签下一年合同。</w:t>
      </w:r>
    </w:p>
    <w:p>
      <w:pPr>
        <w:numPr>
          <w:ilvl w:val="0"/>
          <w:numId w:val="48"/>
        </w:numPr>
        <w:spacing w:before="156" w:beforeLines="50" w:after="156" w:afterLines="50" w:line="360" w:lineRule="auto"/>
        <w:ind w:firstLine="422" w:firstLineChars="200"/>
        <w:rPr>
          <w:rFonts w:hint="eastAsia" w:cs="宋体"/>
          <w:b/>
          <w:bCs/>
          <w:szCs w:val="21"/>
        </w:rPr>
      </w:pPr>
      <w:bookmarkStart w:id="375" w:name="_Toc20268"/>
      <w:bookmarkStart w:id="376" w:name="_Toc26456"/>
      <w:bookmarkStart w:id="377" w:name="_Toc32032"/>
      <w:bookmarkStart w:id="378" w:name="_Toc28118"/>
      <w:bookmarkStart w:id="379" w:name="_Toc24030160"/>
      <w:bookmarkStart w:id="380" w:name="_Toc16800"/>
      <w:bookmarkStart w:id="381" w:name="_Toc332195226"/>
      <w:bookmarkStart w:id="382" w:name="_Toc61254373"/>
      <w:bookmarkStart w:id="383" w:name="_Toc6918"/>
      <w:bookmarkStart w:id="384" w:name="_Toc31275"/>
      <w:bookmarkStart w:id="385" w:name="_Toc26209482"/>
      <w:bookmarkStart w:id="386" w:name="_Toc353942587"/>
      <w:bookmarkStart w:id="387" w:name="_Toc1640"/>
      <w:bookmarkStart w:id="388" w:name="_Toc30306"/>
      <w:bookmarkStart w:id="389" w:name="_Toc25177"/>
      <w:bookmarkStart w:id="390" w:name="_Toc354663670"/>
      <w:bookmarkStart w:id="391" w:name="_Toc200785156"/>
      <w:bookmarkStart w:id="392" w:name="_Toc1556"/>
      <w:bookmarkStart w:id="393" w:name="_Toc200784870"/>
      <w:r>
        <w:rPr>
          <w:rFonts w:hint="eastAsia" w:cs="宋体"/>
          <w:b/>
          <w:bCs/>
          <w:szCs w:val="21"/>
        </w:rPr>
        <w:t>服务费用及支付：</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numPr>
          <w:ilvl w:val="0"/>
          <w:numId w:val="50"/>
        </w:numPr>
        <w:spacing w:line="360" w:lineRule="auto"/>
        <w:ind w:left="5" w:firstLine="415"/>
        <w:rPr>
          <w:rFonts w:hint="eastAsia" w:cs="宋体"/>
          <w:szCs w:val="21"/>
        </w:rPr>
      </w:pPr>
      <w:r>
        <w:rPr>
          <w:rFonts w:hint="eastAsia" w:cs="宋体"/>
          <w:szCs w:val="21"/>
          <w:lang w:val="en-US" w:eastAsia="zh-CN"/>
        </w:rPr>
        <w:t>本合同服务费采用固定综合单价报价，价格为：</w:t>
      </w:r>
      <w:r>
        <w:rPr>
          <w:rFonts w:hint="eastAsia" w:cs="宋体"/>
          <w:szCs w:val="21"/>
          <w:u w:val="single"/>
          <w:lang w:val="en-US" w:eastAsia="zh-CN"/>
        </w:rPr>
        <w:t xml:space="preserve">        </w:t>
      </w:r>
      <w:r>
        <w:rPr>
          <w:rFonts w:hint="eastAsia" w:cs="宋体"/>
          <w:szCs w:val="21"/>
          <w:lang w:val="en-US" w:eastAsia="zh-CN"/>
        </w:rPr>
        <w:t>元/人·月，</w:t>
      </w:r>
      <w:r>
        <w:rPr>
          <w:rFonts w:hint="eastAsia"/>
          <w:szCs w:val="21"/>
          <w:lang w:val="en-US" w:eastAsia="zh-CN"/>
        </w:rPr>
        <w:t>包括</w:t>
      </w:r>
      <w:r>
        <w:rPr>
          <w:rFonts w:hint="eastAsia"/>
          <w:szCs w:val="21"/>
        </w:rPr>
        <w:t>人工费（人员工资、双休日及法定节假日加班、奖金及社保费）、食宿与交通、服装、安全、仓储、</w:t>
      </w:r>
      <w:r>
        <w:rPr>
          <w:rFonts w:hint="eastAsia"/>
          <w:szCs w:val="21"/>
          <w:lang w:eastAsia="zh-CN"/>
        </w:rPr>
        <w:t>搬运、管道疏通、</w:t>
      </w:r>
      <w:r>
        <w:rPr>
          <w:rFonts w:hint="eastAsia"/>
          <w:szCs w:val="21"/>
        </w:rPr>
        <w:t>工具材料费、</w:t>
      </w:r>
      <w:r>
        <w:rPr>
          <w:rFonts w:hint="eastAsia"/>
          <w:szCs w:val="21"/>
          <w:lang w:val="en-US" w:eastAsia="zh-CN"/>
        </w:rPr>
        <w:t>保洁耗材费</w:t>
      </w:r>
      <w:r>
        <w:rPr>
          <w:rFonts w:hint="eastAsia"/>
          <w:szCs w:val="21"/>
        </w:rPr>
        <w:t>、管理费用、税费、利润、完成合同所需的一切本身和不可或缺的所有工作开支、政策性文件规定</w:t>
      </w:r>
      <w:r>
        <w:rPr>
          <w:rFonts w:hint="eastAsia"/>
          <w:szCs w:val="21"/>
          <w:lang w:val="en-US" w:eastAsia="zh-CN"/>
        </w:rPr>
        <w:t>及</w:t>
      </w:r>
      <w:r>
        <w:rPr>
          <w:rFonts w:hint="eastAsia"/>
          <w:szCs w:val="21"/>
        </w:rPr>
        <w:t>合同包含的所有风险、责任等各项全部费用。甲方将根据实际需要对相关人员需求的数量进行调配，乙方应无条件按要求配备，每月根据实际</w:t>
      </w:r>
      <w:r>
        <w:rPr>
          <w:rFonts w:hint="eastAsia"/>
          <w:szCs w:val="21"/>
          <w:lang w:val="en-US" w:eastAsia="zh-CN"/>
        </w:rPr>
        <w:t>服务人员</w:t>
      </w:r>
      <w:r>
        <w:rPr>
          <w:rFonts w:hint="eastAsia"/>
          <w:szCs w:val="21"/>
        </w:rPr>
        <w:t>数量结算服务费。</w:t>
      </w:r>
      <w:r>
        <w:rPr>
          <w:rFonts w:hint="eastAsia"/>
          <w:szCs w:val="21"/>
          <w:lang w:val="en-US" w:eastAsia="zh-CN"/>
        </w:rPr>
        <w:t>若今后病区或保洁范围增加而需增加人员的，院方将按中标单价另行签订补充协议。</w:t>
      </w:r>
      <w:r>
        <w:rPr>
          <w:rFonts w:hint="eastAsia"/>
          <w:szCs w:val="21"/>
        </w:rPr>
        <w:t>价格除按本合同规定外，不能作任何调整，任何计算错误皆视为已获双方接受：合同价亦不会因人工、物价或汇率的变动而作任何调整。</w:t>
      </w:r>
    </w:p>
    <w:p>
      <w:pPr>
        <w:numPr>
          <w:ilvl w:val="0"/>
          <w:numId w:val="50"/>
        </w:numPr>
        <w:spacing w:line="360" w:lineRule="auto"/>
        <w:ind w:left="5" w:firstLine="415"/>
        <w:rPr>
          <w:rFonts w:hint="eastAsia" w:cs="宋体"/>
          <w:szCs w:val="21"/>
        </w:rPr>
      </w:pPr>
      <w:r>
        <w:rPr>
          <w:rFonts w:hint="eastAsia" w:cs="宋体"/>
          <w:szCs w:val="21"/>
        </w:rPr>
        <w:t>付款方式</w:t>
      </w:r>
    </w:p>
    <w:p>
      <w:pPr>
        <w:snapToGrid w:val="0"/>
        <w:spacing w:line="360" w:lineRule="auto"/>
        <w:ind w:firstLine="420" w:firstLineChars="200"/>
        <w:rPr>
          <w:rFonts w:hint="eastAsia"/>
          <w:szCs w:val="21"/>
          <w:lang w:eastAsia="zh-CN"/>
        </w:rPr>
      </w:pPr>
      <w:r>
        <w:rPr>
          <w:rFonts w:hint="eastAsia"/>
          <w:szCs w:val="21"/>
        </w:rPr>
        <w:t>（1）合同生效后</w:t>
      </w:r>
      <w:r>
        <w:rPr>
          <w:rFonts w:hint="default" w:ascii="Arial" w:hAnsi="Arial" w:cs="Arial"/>
          <w:szCs w:val="21"/>
        </w:rPr>
        <w:t>15日内，</w:t>
      </w:r>
      <w:r>
        <w:rPr>
          <w:rFonts w:hint="default" w:ascii="Arial" w:hAnsi="Arial" w:cs="Arial"/>
          <w:szCs w:val="21"/>
          <w:lang w:eastAsia="zh-CN"/>
        </w:rPr>
        <w:t>甲方</w:t>
      </w:r>
      <w:r>
        <w:rPr>
          <w:rFonts w:hint="default" w:ascii="Arial" w:hAnsi="Arial" w:cs="Arial"/>
          <w:szCs w:val="21"/>
        </w:rPr>
        <w:t>向</w:t>
      </w:r>
      <w:r>
        <w:rPr>
          <w:rFonts w:hint="default" w:ascii="Arial" w:hAnsi="Arial" w:cs="Arial"/>
          <w:szCs w:val="21"/>
          <w:lang w:eastAsia="zh-CN"/>
        </w:rPr>
        <w:t>乙方</w:t>
      </w:r>
      <w:r>
        <w:rPr>
          <w:rFonts w:hint="default" w:ascii="Arial" w:hAnsi="Arial" w:cs="Arial"/>
          <w:szCs w:val="21"/>
        </w:rPr>
        <w:t>支付合同金额的10%作为预付款（针对中小企业的付款条件为：合同生效后10日内，</w:t>
      </w:r>
      <w:r>
        <w:rPr>
          <w:rFonts w:hint="default" w:ascii="Arial" w:hAnsi="Arial" w:cs="Arial"/>
          <w:szCs w:val="21"/>
          <w:lang w:eastAsia="zh-CN"/>
        </w:rPr>
        <w:t>甲方</w:t>
      </w:r>
      <w:r>
        <w:rPr>
          <w:rFonts w:hint="default" w:ascii="Arial" w:hAnsi="Arial" w:cs="Arial"/>
          <w:szCs w:val="21"/>
        </w:rPr>
        <w:t>预付合同金额的15%），在支付每月服务费时扣回，全部扣回后，再按期支付服务费。（根据浙财采监[2020]3号文件执行</w:t>
      </w:r>
      <w:r>
        <w:rPr>
          <w:rFonts w:hint="default" w:ascii="Arial" w:hAnsi="Arial" w:cs="Arial"/>
          <w:szCs w:val="21"/>
          <w:lang w:eastAsia="zh-CN"/>
        </w:rPr>
        <w:t>，</w:t>
      </w:r>
      <w:r>
        <w:rPr>
          <w:rFonts w:hint="eastAsia"/>
          <w:szCs w:val="21"/>
        </w:rPr>
        <w:t>在签订合同时，</w:t>
      </w:r>
      <w:r>
        <w:rPr>
          <w:rFonts w:hint="eastAsia"/>
          <w:szCs w:val="21"/>
          <w:lang w:eastAsia="zh-CN"/>
        </w:rPr>
        <w:t>乙方</w:t>
      </w:r>
      <w:r>
        <w:rPr>
          <w:rFonts w:hint="eastAsia"/>
          <w:szCs w:val="21"/>
        </w:rPr>
        <w:t>明确表示无需预付款或者主动要求降低预付款比例的，</w:t>
      </w:r>
      <w:r>
        <w:rPr>
          <w:rFonts w:hint="eastAsia"/>
          <w:szCs w:val="21"/>
          <w:lang w:eastAsia="zh-CN"/>
        </w:rPr>
        <w:t>甲方</w:t>
      </w:r>
      <w:r>
        <w:rPr>
          <w:rFonts w:hint="eastAsia"/>
          <w:szCs w:val="21"/>
        </w:rPr>
        <w:t>可自行确定预付款</w:t>
      </w:r>
      <w:r>
        <w:rPr>
          <w:rFonts w:hint="eastAsia"/>
          <w:szCs w:val="21"/>
          <w:lang w:eastAsia="zh-CN"/>
        </w:rPr>
        <w:t>。</w:t>
      </w:r>
      <w:r>
        <w:rPr>
          <w:rFonts w:hint="eastAsia"/>
          <w:szCs w:val="21"/>
        </w:rPr>
        <w:t>）</w:t>
      </w:r>
    </w:p>
    <w:p>
      <w:pPr>
        <w:snapToGrid w:val="0"/>
        <w:spacing w:line="360" w:lineRule="auto"/>
        <w:ind w:firstLine="420" w:firstLineChars="200"/>
        <w:rPr>
          <w:rFonts w:hint="eastAsia" w:eastAsia="宋体"/>
          <w:szCs w:val="21"/>
          <w:lang w:eastAsia="zh-CN"/>
        </w:rPr>
      </w:pPr>
      <w:r>
        <w:rPr>
          <w:rFonts w:hint="eastAsia"/>
          <w:szCs w:val="21"/>
        </w:rPr>
        <w:t>（2）每月由</w:t>
      </w:r>
      <w:r>
        <w:rPr>
          <w:rFonts w:hint="eastAsia"/>
          <w:szCs w:val="21"/>
          <w:lang w:eastAsia="zh-CN"/>
        </w:rPr>
        <w:t>乙方</w:t>
      </w:r>
      <w:r>
        <w:rPr>
          <w:rFonts w:hint="eastAsia"/>
          <w:szCs w:val="21"/>
        </w:rPr>
        <w:t>按</w:t>
      </w:r>
      <w:r>
        <w:rPr>
          <w:rFonts w:hint="eastAsia"/>
          <w:szCs w:val="21"/>
          <w:lang w:eastAsia="zh-CN"/>
        </w:rPr>
        <w:t>甲方</w:t>
      </w:r>
      <w:r>
        <w:rPr>
          <w:rFonts w:hint="eastAsia"/>
          <w:szCs w:val="21"/>
        </w:rPr>
        <w:t>确认的服务费向</w:t>
      </w:r>
      <w:r>
        <w:rPr>
          <w:rFonts w:hint="eastAsia"/>
          <w:szCs w:val="21"/>
          <w:lang w:eastAsia="zh-CN"/>
        </w:rPr>
        <w:t>甲方</w:t>
      </w:r>
      <w:r>
        <w:rPr>
          <w:rFonts w:hint="eastAsia"/>
          <w:szCs w:val="21"/>
        </w:rPr>
        <w:t>结算，</w:t>
      </w:r>
      <w:r>
        <w:rPr>
          <w:rFonts w:hint="default" w:ascii="Arial" w:hAnsi="Arial" w:cs="Arial"/>
          <w:szCs w:val="21"/>
          <w:lang w:eastAsia="zh-CN"/>
        </w:rPr>
        <w:t>甲方</w:t>
      </w:r>
      <w:r>
        <w:rPr>
          <w:rFonts w:hint="default" w:ascii="Arial" w:hAnsi="Arial" w:cs="Arial"/>
          <w:szCs w:val="21"/>
        </w:rPr>
        <w:t>凭</w:t>
      </w:r>
      <w:r>
        <w:rPr>
          <w:rFonts w:hint="default" w:ascii="Arial" w:hAnsi="Arial" w:cs="Arial"/>
          <w:szCs w:val="21"/>
          <w:lang w:eastAsia="zh-CN"/>
        </w:rPr>
        <w:t>乙方</w:t>
      </w:r>
      <w:r>
        <w:rPr>
          <w:rFonts w:hint="default" w:ascii="Arial" w:hAnsi="Arial" w:cs="Arial"/>
          <w:szCs w:val="21"/>
        </w:rPr>
        <w:t>开具的正式税务发票和员工工资发放凭证复印件（以便</w:t>
      </w:r>
      <w:r>
        <w:rPr>
          <w:rFonts w:hint="default" w:ascii="Arial" w:hAnsi="Arial" w:cs="Arial"/>
          <w:szCs w:val="21"/>
          <w:lang w:eastAsia="zh-CN"/>
        </w:rPr>
        <w:t>甲方</w:t>
      </w:r>
      <w:r>
        <w:rPr>
          <w:rFonts w:hint="default" w:ascii="Arial" w:hAnsi="Arial" w:cs="Arial"/>
          <w:szCs w:val="21"/>
        </w:rPr>
        <w:t>确认务工人员劳动报酬已经兑现）后15日内进</w:t>
      </w:r>
      <w:r>
        <w:rPr>
          <w:rFonts w:hint="eastAsia"/>
          <w:szCs w:val="21"/>
        </w:rPr>
        <w:t>行支付。</w:t>
      </w:r>
    </w:p>
    <w:p>
      <w:pPr>
        <w:snapToGrid w:val="0"/>
        <w:spacing w:line="360" w:lineRule="auto"/>
        <w:ind w:firstLine="420" w:firstLineChars="200"/>
        <w:rPr>
          <w:rFonts w:hint="eastAsia"/>
          <w:szCs w:val="21"/>
        </w:rPr>
      </w:pPr>
      <w:r>
        <w:rPr>
          <w:rFonts w:hint="eastAsia"/>
          <w:szCs w:val="21"/>
        </w:rPr>
        <w:t>（3）</w:t>
      </w:r>
      <w:r>
        <w:rPr>
          <w:rFonts w:hint="eastAsia"/>
          <w:szCs w:val="21"/>
          <w:lang w:eastAsia="zh-CN"/>
        </w:rPr>
        <w:t>甲方</w:t>
      </w:r>
      <w:r>
        <w:rPr>
          <w:rFonts w:hint="eastAsia"/>
          <w:szCs w:val="21"/>
        </w:rPr>
        <w:t>在每个</w:t>
      </w:r>
      <w:r>
        <w:rPr>
          <w:rFonts w:hint="default" w:ascii="Arial" w:hAnsi="Arial" w:cs="Arial"/>
          <w:szCs w:val="21"/>
        </w:rPr>
        <w:t>月15日前支付给</w:t>
      </w:r>
      <w:r>
        <w:rPr>
          <w:rFonts w:hint="default" w:ascii="Arial" w:hAnsi="Arial" w:cs="Arial"/>
          <w:szCs w:val="21"/>
          <w:lang w:eastAsia="zh-CN"/>
        </w:rPr>
        <w:t>乙方</w:t>
      </w:r>
      <w:r>
        <w:rPr>
          <w:rFonts w:hint="default" w:ascii="Arial" w:hAnsi="Arial" w:cs="Arial"/>
          <w:szCs w:val="21"/>
        </w:rPr>
        <w:t>上</w:t>
      </w:r>
      <w:r>
        <w:rPr>
          <w:rFonts w:hint="eastAsia"/>
          <w:szCs w:val="21"/>
        </w:rPr>
        <w:t>个月的服务费，最后一个月的费用在承包期结束后15日内结清（遇节假日顺延）。</w:t>
      </w:r>
    </w:p>
    <w:p>
      <w:pPr>
        <w:numPr>
          <w:ilvl w:val="0"/>
          <w:numId w:val="48"/>
        </w:numPr>
        <w:spacing w:before="156" w:beforeLines="50" w:after="156" w:afterLines="50" w:line="360" w:lineRule="auto"/>
        <w:ind w:firstLine="422" w:firstLineChars="200"/>
        <w:rPr>
          <w:rFonts w:hint="eastAsia" w:cs="宋体"/>
          <w:b/>
          <w:bCs/>
          <w:szCs w:val="21"/>
        </w:rPr>
      </w:pPr>
      <w:bookmarkStart w:id="394" w:name="_Toc26679"/>
      <w:bookmarkStart w:id="395" w:name="_Toc30702"/>
      <w:bookmarkStart w:id="396" w:name="_Toc22753"/>
      <w:r>
        <w:rPr>
          <w:rFonts w:hint="eastAsia" w:cs="宋体"/>
          <w:b/>
          <w:bCs/>
          <w:szCs w:val="21"/>
        </w:rPr>
        <w:t>考核及</w:t>
      </w:r>
      <w:bookmarkEnd w:id="394"/>
      <w:bookmarkEnd w:id="395"/>
      <w:bookmarkEnd w:id="396"/>
      <w:r>
        <w:rPr>
          <w:rFonts w:hint="eastAsia" w:cs="宋体"/>
          <w:b/>
          <w:bCs/>
          <w:szCs w:val="21"/>
        </w:rPr>
        <w:t>处罚标准</w:t>
      </w:r>
    </w:p>
    <w:p>
      <w:pPr>
        <w:numPr>
          <w:ilvl w:val="0"/>
          <w:numId w:val="51"/>
        </w:numPr>
        <w:spacing w:line="360" w:lineRule="auto"/>
        <w:ind w:left="0" w:firstLine="420" w:firstLineChars="200"/>
        <w:rPr>
          <w:rFonts w:hint="eastAsia" w:cs="宋体"/>
          <w:szCs w:val="21"/>
        </w:rPr>
      </w:pPr>
      <w:r>
        <w:rPr>
          <w:rFonts w:hint="eastAsia" w:cs="宋体"/>
          <w:szCs w:val="21"/>
        </w:rPr>
        <w:t>依照物业管理市场化运作考核评分细则进行考评，具体考核评分细则见《</w:t>
      </w:r>
      <w:r>
        <w:rPr>
          <w:rFonts w:hint="eastAsia" w:cs="宋体"/>
          <w:szCs w:val="21"/>
          <w:lang w:eastAsia="zh-CN"/>
        </w:rPr>
        <w:t>瑞安市妇幼保健院保洁质量考核表</w:t>
      </w:r>
      <w:r>
        <w:rPr>
          <w:rFonts w:hint="eastAsia" w:cs="宋体"/>
          <w:szCs w:val="21"/>
        </w:rPr>
        <w:t>》</w:t>
      </w:r>
      <w:r>
        <w:rPr>
          <w:rFonts w:hint="eastAsia" w:cs="宋体"/>
          <w:szCs w:val="21"/>
          <w:lang w:eastAsia="zh-CN"/>
        </w:rPr>
        <w:t>、</w:t>
      </w:r>
      <w:r>
        <w:rPr>
          <w:rFonts w:hint="eastAsia" w:cs="宋体"/>
          <w:szCs w:val="21"/>
        </w:rPr>
        <w:t>《</w:t>
      </w:r>
      <w:r>
        <w:rPr>
          <w:rFonts w:hint="eastAsia" w:cs="宋体"/>
          <w:szCs w:val="21"/>
          <w:lang w:eastAsia="zh-CN"/>
        </w:rPr>
        <w:t>瑞安市妇幼保健院运送安全质量考核表</w:t>
      </w:r>
      <w:r>
        <w:rPr>
          <w:rFonts w:hint="eastAsia" w:cs="宋体"/>
          <w:szCs w:val="21"/>
        </w:rPr>
        <w:t>》。</w:t>
      </w:r>
    </w:p>
    <w:p>
      <w:pPr>
        <w:numPr>
          <w:ilvl w:val="0"/>
          <w:numId w:val="51"/>
        </w:numPr>
        <w:spacing w:line="360" w:lineRule="auto"/>
        <w:ind w:left="0" w:firstLine="420" w:firstLineChars="200"/>
        <w:rPr>
          <w:rFonts w:hint="eastAsia" w:cs="宋体"/>
          <w:szCs w:val="21"/>
        </w:rPr>
      </w:pPr>
      <w:r>
        <w:rPr>
          <w:rFonts w:hint="eastAsia" w:cs="宋体"/>
          <w:szCs w:val="21"/>
        </w:rPr>
        <w:t>每月由</w:t>
      </w:r>
      <w:r>
        <w:rPr>
          <w:rFonts w:hint="eastAsia" w:cs="宋体"/>
          <w:szCs w:val="21"/>
          <w:lang w:eastAsia="zh-CN"/>
        </w:rPr>
        <w:t>甲方</w:t>
      </w:r>
      <w:r>
        <w:rPr>
          <w:rFonts w:hint="eastAsia" w:cs="宋体"/>
          <w:szCs w:val="21"/>
        </w:rPr>
        <w:t>组织人员与</w:t>
      </w:r>
      <w:r>
        <w:rPr>
          <w:rFonts w:hint="eastAsia" w:cs="宋体"/>
          <w:szCs w:val="21"/>
          <w:lang w:eastAsia="zh-CN"/>
        </w:rPr>
        <w:t>乙方</w:t>
      </w:r>
      <w:r>
        <w:rPr>
          <w:rFonts w:hint="eastAsia" w:cs="宋体"/>
          <w:szCs w:val="21"/>
        </w:rPr>
        <w:t>共同对</w:t>
      </w:r>
      <w:r>
        <w:rPr>
          <w:rFonts w:hint="eastAsia" w:cs="宋体"/>
          <w:szCs w:val="21"/>
          <w:lang w:eastAsia="zh-CN"/>
        </w:rPr>
        <w:t>乙方</w:t>
      </w:r>
      <w:r>
        <w:rPr>
          <w:rFonts w:hint="eastAsia" w:cs="宋体"/>
          <w:szCs w:val="21"/>
        </w:rPr>
        <w:t>的服务进行检查、评分。</w:t>
      </w:r>
    </w:p>
    <w:p>
      <w:pPr>
        <w:numPr>
          <w:ilvl w:val="0"/>
          <w:numId w:val="51"/>
        </w:numPr>
        <w:spacing w:line="360" w:lineRule="auto"/>
        <w:ind w:left="0" w:firstLine="420" w:firstLineChars="200"/>
        <w:rPr>
          <w:rFonts w:hint="eastAsia" w:cs="宋体"/>
          <w:szCs w:val="21"/>
        </w:rPr>
      </w:pPr>
      <w:r>
        <w:rPr>
          <w:rFonts w:hint="eastAsia" w:cs="宋体"/>
          <w:szCs w:val="21"/>
        </w:rPr>
        <w:t>每月考核与服务费直接挂钩，每</w:t>
      </w:r>
      <w:r>
        <w:rPr>
          <w:rFonts w:hint="default" w:ascii="Arial" w:hAnsi="Arial" w:cs="Arial"/>
          <w:szCs w:val="21"/>
        </w:rPr>
        <w:t>月考核90分及以上的为优秀，全额支付当月服务费；每下降一分，扣罚本月服务费用1000元，</w:t>
      </w:r>
      <w:r>
        <w:rPr>
          <w:rFonts w:hint="eastAsia" w:cs="宋体"/>
          <w:szCs w:val="21"/>
        </w:rPr>
        <w:t>以此类推。</w:t>
      </w:r>
    </w:p>
    <w:p>
      <w:pPr>
        <w:numPr>
          <w:ilvl w:val="0"/>
          <w:numId w:val="51"/>
        </w:numPr>
        <w:spacing w:line="360" w:lineRule="auto"/>
        <w:ind w:left="0" w:firstLine="420" w:firstLineChars="200"/>
        <w:rPr>
          <w:rFonts w:hint="eastAsia" w:cs="宋体"/>
          <w:szCs w:val="21"/>
        </w:rPr>
      </w:pPr>
      <w:r>
        <w:rPr>
          <w:rFonts w:hint="eastAsia" w:cs="宋体"/>
          <w:szCs w:val="21"/>
        </w:rPr>
        <w:t>一年累计达3次月度考核不合</w:t>
      </w:r>
      <w:r>
        <w:rPr>
          <w:rFonts w:hint="default" w:ascii="Arial" w:hAnsi="Arial" w:cs="Arial"/>
          <w:szCs w:val="21"/>
        </w:rPr>
        <w:t>格(不合格≦80分)，</w:t>
      </w:r>
      <w:r>
        <w:rPr>
          <w:rFonts w:hint="eastAsia" w:cs="宋体"/>
          <w:szCs w:val="21"/>
          <w:lang w:eastAsia="zh-CN"/>
        </w:rPr>
        <w:t>甲方</w:t>
      </w:r>
      <w:r>
        <w:rPr>
          <w:rFonts w:hint="eastAsia" w:cs="宋体"/>
          <w:szCs w:val="21"/>
        </w:rPr>
        <w:t>有权单方面终止全部或部分合同，并保留进一步追究</w:t>
      </w:r>
      <w:r>
        <w:rPr>
          <w:rFonts w:hint="eastAsia" w:cs="宋体"/>
          <w:szCs w:val="21"/>
          <w:lang w:eastAsia="zh-CN"/>
        </w:rPr>
        <w:t>乙方</w:t>
      </w:r>
      <w:r>
        <w:rPr>
          <w:rFonts w:hint="eastAsia" w:cs="宋体"/>
          <w:szCs w:val="21"/>
        </w:rPr>
        <w:t>责任的权利(包括经济赔偿)</w:t>
      </w:r>
      <w:r>
        <w:rPr>
          <w:rFonts w:hint="eastAsia" w:cs="宋体"/>
          <w:szCs w:val="21"/>
          <w:lang w:eastAsia="zh-CN"/>
        </w:rPr>
        <w:t>。</w:t>
      </w:r>
    </w:p>
    <w:p>
      <w:pPr>
        <w:numPr>
          <w:ilvl w:val="0"/>
          <w:numId w:val="51"/>
        </w:numPr>
        <w:spacing w:line="360" w:lineRule="auto"/>
        <w:ind w:left="0" w:firstLine="420" w:firstLineChars="200"/>
        <w:rPr>
          <w:rFonts w:hint="eastAsia" w:cs="宋体"/>
          <w:szCs w:val="21"/>
        </w:rPr>
      </w:pPr>
      <w:r>
        <w:rPr>
          <w:rFonts w:hint="eastAsia" w:cs="宋体"/>
          <w:szCs w:val="21"/>
          <w:lang w:eastAsia="zh-CN"/>
        </w:rPr>
        <w:t>甲方</w:t>
      </w:r>
      <w:r>
        <w:rPr>
          <w:rFonts w:hint="eastAsia" w:cs="宋体"/>
          <w:szCs w:val="21"/>
        </w:rPr>
        <w:t>督查时若发现无故（无正当理由或无书面出具原因）缺岗</w:t>
      </w:r>
      <w:r>
        <w:rPr>
          <w:rFonts w:hint="default" w:ascii="Arial" w:hAnsi="Arial" w:cs="Arial"/>
          <w:szCs w:val="21"/>
        </w:rPr>
        <w:t>人员大于5%</w:t>
      </w:r>
      <w:r>
        <w:rPr>
          <w:rFonts w:hint="eastAsia" w:cs="宋体"/>
          <w:szCs w:val="21"/>
        </w:rPr>
        <w:t>的，</w:t>
      </w:r>
      <w:r>
        <w:rPr>
          <w:rFonts w:hint="eastAsia" w:cs="宋体"/>
          <w:szCs w:val="21"/>
          <w:lang w:eastAsia="zh-CN"/>
        </w:rPr>
        <w:t>甲方</w:t>
      </w:r>
      <w:r>
        <w:rPr>
          <w:rFonts w:hint="eastAsia" w:cs="宋体"/>
          <w:szCs w:val="21"/>
        </w:rPr>
        <w:t>将扣除缺岗人员当月服务费。未经过</w:t>
      </w:r>
      <w:r>
        <w:rPr>
          <w:rFonts w:hint="eastAsia" w:cs="宋体"/>
          <w:szCs w:val="21"/>
          <w:lang w:eastAsia="zh-CN"/>
        </w:rPr>
        <w:t>甲方</w:t>
      </w:r>
      <w:r>
        <w:rPr>
          <w:rFonts w:hint="eastAsia" w:cs="宋体"/>
          <w:szCs w:val="21"/>
        </w:rPr>
        <w:t>同意擅自减少服务人员的，</w:t>
      </w:r>
      <w:r>
        <w:rPr>
          <w:rFonts w:hint="eastAsia" w:cs="宋体"/>
          <w:szCs w:val="21"/>
          <w:lang w:eastAsia="zh-CN"/>
        </w:rPr>
        <w:t>甲方</w:t>
      </w:r>
      <w:r>
        <w:rPr>
          <w:rFonts w:hint="eastAsia" w:cs="宋体"/>
          <w:szCs w:val="21"/>
        </w:rPr>
        <w:t>有权收回缺位人员工资及所有费用并终止采购合同，保留向违规</w:t>
      </w:r>
      <w:r>
        <w:rPr>
          <w:rFonts w:hint="eastAsia" w:cs="宋体"/>
          <w:szCs w:val="21"/>
          <w:lang w:eastAsia="zh-CN"/>
        </w:rPr>
        <w:t>乙方</w:t>
      </w:r>
      <w:r>
        <w:rPr>
          <w:rFonts w:hint="eastAsia" w:cs="宋体"/>
          <w:szCs w:val="21"/>
        </w:rPr>
        <w:t>进一步索赔的权利。</w:t>
      </w:r>
    </w:p>
    <w:p>
      <w:pPr>
        <w:numPr>
          <w:ilvl w:val="0"/>
          <w:numId w:val="48"/>
        </w:numPr>
        <w:spacing w:before="156" w:beforeLines="50" w:after="156" w:afterLines="50" w:line="360" w:lineRule="auto"/>
        <w:ind w:firstLine="422" w:firstLineChars="200"/>
        <w:rPr>
          <w:rFonts w:hint="eastAsia" w:cs="宋体"/>
          <w:b/>
          <w:bCs/>
          <w:szCs w:val="21"/>
        </w:rPr>
      </w:pPr>
      <w:r>
        <w:rPr>
          <w:rFonts w:hint="eastAsia" w:cs="宋体"/>
          <w:b/>
          <w:bCs/>
          <w:szCs w:val="21"/>
        </w:rPr>
        <w:t>甲方的权利义务</w:t>
      </w:r>
    </w:p>
    <w:p>
      <w:pPr>
        <w:numPr>
          <w:ilvl w:val="0"/>
          <w:numId w:val="52"/>
        </w:numPr>
        <w:spacing w:line="360" w:lineRule="auto"/>
        <w:ind w:left="5" w:firstLine="415"/>
        <w:rPr>
          <w:rFonts w:hint="eastAsia" w:cs="宋体"/>
          <w:szCs w:val="21"/>
        </w:rPr>
      </w:pPr>
      <w:r>
        <w:rPr>
          <w:rFonts w:hint="eastAsia" w:cs="宋体"/>
          <w:szCs w:val="21"/>
        </w:rPr>
        <w:t>代表和维护产权人、使用人的合法权益。</w:t>
      </w:r>
    </w:p>
    <w:p>
      <w:pPr>
        <w:numPr>
          <w:ilvl w:val="0"/>
          <w:numId w:val="52"/>
        </w:numPr>
        <w:spacing w:line="360" w:lineRule="auto"/>
        <w:ind w:left="5" w:firstLine="415"/>
        <w:rPr>
          <w:rFonts w:hint="eastAsia" w:cs="宋体"/>
          <w:szCs w:val="21"/>
        </w:rPr>
      </w:pPr>
      <w:r>
        <w:rPr>
          <w:rFonts w:hint="eastAsia" w:cs="宋体"/>
          <w:szCs w:val="21"/>
        </w:rPr>
        <w:t>审定乙方拟定的物业管理制度。</w:t>
      </w:r>
    </w:p>
    <w:p>
      <w:pPr>
        <w:numPr>
          <w:ilvl w:val="0"/>
          <w:numId w:val="52"/>
        </w:numPr>
        <w:spacing w:line="360" w:lineRule="auto"/>
        <w:ind w:left="5" w:firstLine="415"/>
        <w:rPr>
          <w:rFonts w:hint="eastAsia" w:cs="宋体"/>
          <w:szCs w:val="21"/>
        </w:rPr>
      </w:pPr>
      <w:r>
        <w:rPr>
          <w:rFonts w:hint="eastAsia" w:cs="宋体"/>
          <w:szCs w:val="21"/>
        </w:rPr>
        <w:t>检查监督乙方管理工作的实施及制度的执行情况。</w:t>
      </w:r>
    </w:p>
    <w:p>
      <w:pPr>
        <w:numPr>
          <w:ilvl w:val="0"/>
          <w:numId w:val="52"/>
        </w:numPr>
        <w:spacing w:line="360" w:lineRule="auto"/>
        <w:ind w:left="5" w:firstLine="415"/>
        <w:rPr>
          <w:rFonts w:hint="eastAsia" w:cs="宋体"/>
          <w:szCs w:val="21"/>
        </w:rPr>
      </w:pPr>
      <w:r>
        <w:rPr>
          <w:rFonts w:hint="eastAsia" w:cs="宋体"/>
          <w:szCs w:val="21"/>
        </w:rPr>
        <w:t>审定乙方提出的物业管理服务年度计划、财务预算及决算。</w:t>
      </w:r>
    </w:p>
    <w:p>
      <w:pPr>
        <w:numPr>
          <w:ilvl w:val="0"/>
          <w:numId w:val="52"/>
        </w:numPr>
        <w:spacing w:line="360" w:lineRule="auto"/>
        <w:ind w:left="5" w:firstLine="415"/>
        <w:rPr>
          <w:rFonts w:hint="eastAsia" w:cs="宋体"/>
          <w:szCs w:val="21"/>
        </w:rPr>
      </w:pPr>
      <w:r>
        <w:rPr>
          <w:rFonts w:hint="eastAsia" w:cs="宋体"/>
          <w:szCs w:val="21"/>
        </w:rPr>
        <w:t>负责收集、整理物业管理所需全部图纸、档案、资料，根据管理需要向乙方提供房屋相关资料和设备、设施的安装、使用和维护保养技术资料。</w:t>
      </w:r>
    </w:p>
    <w:p>
      <w:pPr>
        <w:numPr>
          <w:ilvl w:val="0"/>
          <w:numId w:val="52"/>
        </w:numPr>
        <w:spacing w:line="360" w:lineRule="auto"/>
        <w:ind w:left="5" w:firstLine="415"/>
        <w:rPr>
          <w:rFonts w:hint="eastAsia" w:cs="宋体"/>
          <w:szCs w:val="21"/>
        </w:rPr>
      </w:pPr>
      <w:r>
        <w:rPr>
          <w:rFonts w:hint="eastAsia" w:cs="宋体"/>
          <w:szCs w:val="21"/>
        </w:rPr>
        <w:t>按时支付物业管理费用。</w:t>
      </w:r>
    </w:p>
    <w:p>
      <w:pPr>
        <w:numPr>
          <w:ilvl w:val="0"/>
          <w:numId w:val="52"/>
        </w:numPr>
        <w:spacing w:line="360" w:lineRule="auto"/>
        <w:ind w:left="5" w:firstLine="415"/>
        <w:rPr>
          <w:rFonts w:hint="eastAsia" w:cs="宋体"/>
          <w:szCs w:val="21"/>
        </w:rPr>
      </w:pPr>
      <w:r>
        <w:rPr>
          <w:rFonts w:hint="eastAsia" w:cs="宋体"/>
          <w:szCs w:val="21"/>
        </w:rPr>
        <w:t>在不可预见的情况下，如发生煤气泄漏、漏电、火灾、救助人命、协助公安机关执行任务等突发事件的，甲方应积极配合乙方采取必要的紧急避险措施。</w:t>
      </w:r>
    </w:p>
    <w:p>
      <w:pPr>
        <w:numPr>
          <w:ilvl w:val="0"/>
          <w:numId w:val="52"/>
        </w:numPr>
        <w:spacing w:line="360" w:lineRule="auto"/>
        <w:ind w:left="5" w:firstLine="415"/>
        <w:rPr>
          <w:rFonts w:hint="eastAsia" w:cs="宋体"/>
          <w:szCs w:val="21"/>
        </w:rPr>
      </w:pPr>
      <w:r>
        <w:rPr>
          <w:rFonts w:hint="eastAsia" w:cs="宋体"/>
          <w:szCs w:val="21"/>
        </w:rPr>
        <w:t>无偿提供乙方所需的办公用房。</w:t>
      </w:r>
    </w:p>
    <w:p>
      <w:pPr>
        <w:numPr>
          <w:ilvl w:val="0"/>
          <w:numId w:val="52"/>
        </w:numPr>
        <w:spacing w:line="360" w:lineRule="auto"/>
        <w:ind w:left="5" w:firstLine="415"/>
        <w:rPr>
          <w:rFonts w:hint="eastAsia" w:cs="宋体"/>
        </w:rPr>
      </w:pPr>
      <w:r>
        <w:rPr>
          <w:rFonts w:hint="eastAsia" w:cs="宋体"/>
          <w:szCs w:val="21"/>
        </w:rPr>
        <w:t>甲方监督乙方依照本合同规定内容所进行的管理和服务活动，组织对乙方工作综合考评，如出现乙方管理不善造成甲方重大经济损失的情况，甲方有权终止合同并要求乙方给予赔偿。</w:t>
      </w:r>
    </w:p>
    <w:p>
      <w:pPr>
        <w:numPr>
          <w:ilvl w:val="0"/>
          <w:numId w:val="48"/>
        </w:numPr>
        <w:spacing w:before="156" w:beforeLines="50" w:after="156" w:afterLines="50" w:line="360" w:lineRule="auto"/>
        <w:ind w:firstLine="422" w:firstLineChars="200"/>
        <w:rPr>
          <w:rFonts w:hint="eastAsia" w:cs="宋体"/>
          <w:b/>
          <w:bCs/>
          <w:szCs w:val="21"/>
        </w:rPr>
      </w:pPr>
      <w:r>
        <w:rPr>
          <w:rFonts w:hint="eastAsia" w:cs="宋体"/>
          <w:b/>
          <w:bCs/>
          <w:szCs w:val="21"/>
        </w:rPr>
        <w:t xml:space="preserve"> 乙方权利义务</w:t>
      </w:r>
    </w:p>
    <w:p>
      <w:pPr>
        <w:numPr>
          <w:ilvl w:val="0"/>
          <w:numId w:val="53"/>
        </w:numPr>
        <w:spacing w:line="360" w:lineRule="auto"/>
        <w:ind w:left="5" w:firstLine="415"/>
        <w:rPr>
          <w:rFonts w:hint="eastAsia" w:cs="宋体"/>
          <w:szCs w:val="21"/>
        </w:rPr>
      </w:pPr>
      <w:r>
        <w:rPr>
          <w:rFonts w:hint="eastAsia" w:cs="宋体"/>
          <w:szCs w:val="21"/>
        </w:rPr>
        <w:t>根据有关法律法规及本合同的约定，制订物业管理制度、方案，根据甲方核定的物业管理制度、方案自主开展物业日常管理服务活动。</w:t>
      </w:r>
    </w:p>
    <w:p>
      <w:pPr>
        <w:numPr>
          <w:ilvl w:val="0"/>
          <w:numId w:val="53"/>
        </w:numPr>
        <w:spacing w:line="360" w:lineRule="auto"/>
        <w:ind w:left="5" w:firstLine="415"/>
        <w:rPr>
          <w:rFonts w:hint="eastAsia" w:cs="宋体"/>
          <w:szCs w:val="21"/>
        </w:rPr>
      </w:pPr>
      <w:r>
        <w:rPr>
          <w:rFonts w:hint="eastAsia" w:cs="宋体"/>
          <w:szCs w:val="21"/>
        </w:rPr>
        <w:t>按甲方要求及时如实向甲方报告物业管理服务实施情况。</w:t>
      </w:r>
    </w:p>
    <w:p>
      <w:pPr>
        <w:numPr>
          <w:ilvl w:val="0"/>
          <w:numId w:val="53"/>
        </w:numPr>
        <w:spacing w:line="360" w:lineRule="auto"/>
        <w:ind w:left="5" w:firstLine="415"/>
        <w:rPr>
          <w:rFonts w:hint="eastAsia" w:cs="宋体"/>
          <w:szCs w:val="21"/>
        </w:rPr>
      </w:pPr>
      <w:r>
        <w:rPr>
          <w:rFonts w:hint="eastAsia" w:cs="宋体"/>
          <w:szCs w:val="21"/>
        </w:rPr>
        <w:t>征得甲方同意可选聘专营公司承担本物业的专项管理业务，但不得将本物业的管理责任转让给第三方或增加甲方额外费用。</w:t>
      </w:r>
    </w:p>
    <w:p>
      <w:pPr>
        <w:numPr>
          <w:ilvl w:val="0"/>
          <w:numId w:val="53"/>
        </w:numPr>
        <w:spacing w:line="360" w:lineRule="auto"/>
        <w:ind w:left="5" w:firstLine="415"/>
        <w:rPr>
          <w:rFonts w:hint="eastAsia" w:cs="宋体"/>
          <w:szCs w:val="21"/>
        </w:rPr>
      </w:pPr>
      <w:r>
        <w:rPr>
          <w:rFonts w:hint="eastAsia" w:cs="宋体"/>
          <w:szCs w:val="21"/>
        </w:rPr>
        <w:t>向甲方工作人员和其他使用人告知物业使用的有关规定，并负责监督。</w:t>
      </w:r>
    </w:p>
    <w:p>
      <w:pPr>
        <w:numPr>
          <w:ilvl w:val="0"/>
          <w:numId w:val="53"/>
        </w:numPr>
        <w:spacing w:line="360" w:lineRule="auto"/>
        <w:ind w:left="5" w:firstLine="415"/>
        <w:rPr>
          <w:rFonts w:hint="eastAsia" w:cs="宋体"/>
          <w:szCs w:val="21"/>
        </w:rPr>
      </w:pPr>
      <w:r>
        <w:rPr>
          <w:rFonts w:hint="eastAsia" w:cs="宋体"/>
          <w:szCs w:val="21"/>
        </w:rPr>
        <w:t>建立、妥善保管和正确使用本物业相关的管理档案，并负责及时记载有关变更情况。</w:t>
      </w:r>
    </w:p>
    <w:p>
      <w:pPr>
        <w:numPr>
          <w:ilvl w:val="0"/>
          <w:numId w:val="53"/>
        </w:numPr>
        <w:spacing w:line="360" w:lineRule="auto"/>
        <w:ind w:left="5" w:firstLine="415"/>
        <w:rPr>
          <w:rFonts w:hint="eastAsia" w:cs="宋体"/>
          <w:szCs w:val="21"/>
        </w:rPr>
      </w:pPr>
      <w:r>
        <w:rPr>
          <w:rFonts w:hint="eastAsia" w:cs="宋体"/>
          <w:szCs w:val="21"/>
        </w:rPr>
        <w:t>对本物业的公用设施不得擅自占用和改变使用功能。</w:t>
      </w:r>
    </w:p>
    <w:p>
      <w:pPr>
        <w:numPr>
          <w:ilvl w:val="0"/>
          <w:numId w:val="53"/>
        </w:numPr>
        <w:spacing w:line="360" w:lineRule="auto"/>
        <w:ind w:left="5" w:firstLine="415"/>
        <w:rPr>
          <w:rFonts w:hint="eastAsia" w:cs="宋体"/>
          <w:szCs w:val="21"/>
        </w:rPr>
      </w:pPr>
      <w:r>
        <w:rPr>
          <w:rFonts w:hint="eastAsia" w:cs="宋体"/>
          <w:szCs w:val="21"/>
        </w:rPr>
        <w:t>因乙方在管理中的过错或违反本合同的约定进行管理造成甲方或第三人损失的，乙方应依法承担赔偿责任。</w:t>
      </w:r>
    </w:p>
    <w:p>
      <w:pPr>
        <w:numPr>
          <w:ilvl w:val="0"/>
          <w:numId w:val="53"/>
        </w:numPr>
        <w:spacing w:line="360" w:lineRule="auto"/>
        <w:ind w:left="5" w:firstLine="415"/>
        <w:rPr>
          <w:rFonts w:hint="eastAsia" w:cs="宋体"/>
          <w:szCs w:val="21"/>
        </w:rPr>
      </w:pPr>
      <w:r>
        <w:rPr>
          <w:rFonts w:hint="eastAsia" w:cs="宋体"/>
          <w:szCs w:val="21"/>
        </w:rPr>
        <w:t>乙方自行承担办公桌、电脑、打印机、文件柜等自身使用的办公用品，自行承担所有人员服装费用，但服装样式需经过甲方认可。</w:t>
      </w:r>
    </w:p>
    <w:p>
      <w:pPr>
        <w:numPr>
          <w:ilvl w:val="0"/>
          <w:numId w:val="53"/>
        </w:numPr>
        <w:spacing w:line="360" w:lineRule="auto"/>
        <w:ind w:left="5" w:firstLine="415"/>
        <w:rPr>
          <w:rFonts w:hint="eastAsia" w:cs="宋体"/>
          <w:szCs w:val="21"/>
        </w:rPr>
      </w:pPr>
      <w:r>
        <w:rPr>
          <w:rFonts w:hint="eastAsia" w:cs="宋体"/>
          <w:szCs w:val="21"/>
        </w:rPr>
        <w:t>乙方所需的各种设备、设施、五金件、维修材料、工具、低值易耗品与一次性用品全部由乙方提供。</w:t>
      </w:r>
    </w:p>
    <w:p>
      <w:pPr>
        <w:numPr>
          <w:ilvl w:val="0"/>
          <w:numId w:val="53"/>
        </w:numPr>
        <w:spacing w:line="360" w:lineRule="auto"/>
        <w:ind w:left="5" w:firstLine="415"/>
        <w:rPr>
          <w:rFonts w:hint="eastAsia" w:cs="宋体"/>
          <w:szCs w:val="21"/>
        </w:rPr>
      </w:pPr>
      <w:r>
        <w:rPr>
          <w:rFonts w:hint="eastAsia" w:cs="宋体"/>
          <w:szCs w:val="21"/>
        </w:rPr>
        <w:t>乙方执行本合同期间，如对甲方或产权人造成或可能造成任何影响的，应提前书面通知甲方，一次性完整告知具体施工内容、工期、需要配合事项以及注意事项等等，以便甲方及产权人安排，否则因此造成甲方或产权人的费用开支或损失均由乙方承担。</w:t>
      </w:r>
    </w:p>
    <w:p>
      <w:pPr>
        <w:numPr>
          <w:ilvl w:val="0"/>
          <w:numId w:val="53"/>
        </w:numPr>
        <w:spacing w:line="360" w:lineRule="auto"/>
        <w:ind w:left="5" w:firstLine="415"/>
        <w:rPr>
          <w:rFonts w:hint="eastAsia" w:cs="宋体"/>
        </w:rPr>
      </w:pPr>
      <w:r>
        <w:rPr>
          <w:rFonts w:hint="eastAsia" w:cs="宋体"/>
          <w:szCs w:val="21"/>
        </w:rPr>
        <w:t>本合同终止时，乙方必须向甲方移交全部管理用房及物业管理的全部档案资料，确保移交的资料和设备、设施完好无缺。</w:t>
      </w:r>
    </w:p>
    <w:p>
      <w:pPr>
        <w:numPr>
          <w:ilvl w:val="0"/>
          <w:numId w:val="48"/>
        </w:numPr>
        <w:spacing w:before="156" w:beforeLines="50" w:after="156" w:afterLines="50" w:line="360" w:lineRule="auto"/>
        <w:ind w:firstLine="422" w:firstLineChars="200"/>
        <w:rPr>
          <w:rFonts w:hint="eastAsia" w:cs="宋体"/>
          <w:b/>
          <w:bCs/>
          <w:szCs w:val="21"/>
        </w:rPr>
      </w:pPr>
      <w:bookmarkStart w:id="397" w:name="_Toc4070"/>
      <w:bookmarkStart w:id="398" w:name="_Toc11814"/>
      <w:bookmarkStart w:id="399" w:name="_Toc15857"/>
      <w:bookmarkStart w:id="400" w:name="_Toc21076"/>
      <w:r>
        <w:rPr>
          <w:rFonts w:hint="eastAsia" w:cs="宋体"/>
          <w:b/>
          <w:bCs/>
          <w:szCs w:val="21"/>
        </w:rPr>
        <w:t>双方承诺</w:t>
      </w:r>
      <w:bookmarkEnd w:id="397"/>
      <w:bookmarkEnd w:id="398"/>
      <w:bookmarkEnd w:id="399"/>
    </w:p>
    <w:p>
      <w:pPr>
        <w:pStyle w:val="112"/>
        <w:numPr>
          <w:ilvl w:val="0"/>
          <w:numId w:val="54"/>
        </w:numPr>
        <w:spacing w:line="460" w:lineRule="exact"/>
        <w:ind w:firstLineChars="0"/>
        <w:rPr>
          <w:rFonts w:hint="eastAsia" w:cs="宋体"/>
          <w:szCs w:val="21"/>
        </w:rPr>
      </w:pPr>
      <w:r>
        <w:rPr>
          <w:rFonts w:hint="eastAsia" w:cs="宋体"/>
          <w:szCs w:val="21"/>
        </w:rPr>
        <w:t>乙方对甲方作出如下承诺：</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不以任何形式转租、转让、抵押承包区域，在承包区域内只从事甲方认可的服务工作。在承包期间，乙方的任何股权配置变动应通知甲方。未经甲方书面批准，任何占有支配地位的股权转让都将视为乙方出租、转让的行为，甲方有权无责无条件解除本合同。</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乙方应允许甲方或其授权的人员对承包区域各项服务质量进行检查，如产生费用应由乙方承担。</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在承包区域内的各项服务，其工作时间必须满足甲方的工作要求，包括双休日及节假日，无论乙方有什么理由，都不许停止服务工作。必要时甲方可要求乙方调整工作时间直至全天二十四小时工作。</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乙方必须聘请（或指定）1位项目负责人，全权代表乙方与甲方保持密切联系以保证承包区域内服务工作正常进行。</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为承包区域的服务工作正常开展，乙方必须配备足够的服务人员(不得少于47人)，且聘用的服务人员必须符合劳动部门有关用工规定，并经乙方相关专业考核合格后持证上岗，甲方有权进行审核，该类费用开支由乙方负担。</w:t>
      </w:r>
      <w:r>
        <w:rPr>
          <w:rFonts w:hint="eastAsia" w:cs="宋体"/>
          <w:spacing w:val="12"/>
          <w:szCs w:val="21"/>
        </w:rPr>
        <w:t>提供人员不得是已有项目操作的人员或中标（成交）项目中的人员。</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服务人员上岗穿着由甲方确认的制服及甲方许可的装饰物品，费用和制作均由乙方负担。</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乙方保证其员工最低月工资不少于当年瑞安市最低月工资，</w:t>
      </w:r>
      <w:r>
        <w:rPr>
          <w:rFonts w:hint="eastAsia" w:ascii="宋体" w:hAnsi="宋体" w:cs="宋体"/>
          <w:szCs w:val="21"/>
        </w:rPr>
        <w:t>并且有员工（工资福利）激励方案、员工队伍稳定方案、员工保险交纳方案、女工特殊福利方案</w:t>
      </w:r>
      <w:r>
        <w:rPr>
          <w:rFonts w:hint="eastAsia" w:cs="宋体"/>
          <w:szCs w:val="21"/>
        </w:rPr>
        <w:t>。</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乙方必须出具或办妥法律手续及甲方规定的与承包区域经营业务有关的执照和许可证，方可从事经营并在经营中遵守一切有关条例和规定。自行缴纳税费及工商部门的各项规费。</w:t>
      </w:r>
    </w:p>
    <w:p>
      <w:pPr>
        <w:pStyle w:val="112"/>
        <w:numPr>
          <w:ilvl w:val="0"/>
          <w:numId w:val="55"/>
        </w:numPr>
        <w:tabs>
          <w:tab w:val="left" w:pos="426"/>
          <w:tab w:val="left" w:pos="851"/>
          <w:tab w:val="left" w:pos="993"/>
          <w:tab w:val="clear" w:pos="1560"/>
        </w:tabs>
        <w:spacing w:line="460" w:lineRule="exact"/>
        <w:ind w:left="0" w:firstLine="424" w:firstLineChars="202"/>
        <w:rPr>
          <w:rFonts w:hint="eastAsia" w:cs="宋体"/>
          <w:szCs w:val="21"/>
        </w:rPr>
      </w:pPr>
      <w:r>
        <w:rPr>
          <w:rFonts w:hint="eastAsia" w:cs="宋体"/>
          <w:szCs w:val="21"/>
        </w:rPr>
        <w:t>乙方必须确保为甲方提供优质、高效的服务，并根据甲方要求不断改进服务手段，自觉接受甲方相关部门的监督与检查。同时，自觉参加有助于提高甲方形象和美誉度的宣传活动。</w:t>
      </w:r>
    </w:p>
    <w:p>
      <w:pPr>
        <w:pStyle w:val="112"/>
        <w:numPr>
          <w:ilvl w:val="0"/>
          <w:numId w:val="55"/>
        </w:numPr>
        <w:tabs>
          <w:tab w:val="left" w:pos="1060"/>
          <w:tab w:val="clear" w:pos="1560"/>
        </w:tabs>
        <w:spacing w:line="460" w:lineRule="exact"/>
        <w:ind w:left="0" w:firstLine="424" w:firstLineChars="202"/>
        <w:rPr>
          <w:rFonts w:hint="eastAsia" w:cs="宋体"/>
          <w:szCs w:val="21"/>
        </w:rPr>
      </w:pPr>
      <w:r>
        <w:rPr>
          <w:rFonts w:hint="eastAsia" w:cs="宋体"/>
          <w:szCs w:val="21"/>
        </w:rPr>
        <w:t>在承包期内乙方应保证承包区域内的设施、设备始终处于良好的运营状况和保持承包区域内环境卫生整洁。对由乙方引起或造成设施、设备的损坏及环境卫生不理想状况，甲方将书面通知乙方进行整改，在书面通知下达一周后，仍未按要求整改的，甲方将负责完成这一工作，所需费用连同15%手续费全部由乙方承担。</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乙方在承包区域内因服务需要而增加的机械、电力设备及设施等事先应征得甲方同意，并聘请有资格的承包商进行安装、保养，并将施工安装保养记录手册和图纸，交由甲方备案。</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禁止事件</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未经甲方同意，乙方不得在承包的区域中从事任何广告活动或类似宣传，甲方有权依照广告法和甲方相关的规定责令乙方限期改正，并接受处罚；但甲方在该区域发布的广告宣传保证不致影响乙方的正常工作。</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乙方不得以甲方的名义从事任何经济活动，且由此发生的一切债权、债务与甲方无关。</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乙方不得以任何理由向甲方工作人员支付小费或赠送实物，违者将受到处罚并终止合同。乙方也不得以任何形式向甲方相关人员索取小费或钱物等。</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不得在承包区域内住宿或从事非法活动，也不得从事有损甲方利益的活动，同时不允许在承包区域内对甲方活动进行扰乱行为。</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除经甲方批准进行必要的维护工程外，乙方不得损毁承包区域内原有的设施和装潢等，不得更改已铺设的电缆、电线等电力设施。同时，也不得安装任何可能造成电缆负载过大的电器设备，以免遭受干扰。</w:t>
      </w:r>
    </w:p>
    <w:p>
      <w:pPr>
        <w:pStyle w:val="112"/>
        <w:numPr>
          <w:ilvl w:val="0"/>
          <w:numId w:val="56"/>
        </w:numPr>
        <w:tabs>
          <w:tab w:val="left" w:pos="709"/>
          <w:tab w:val="left" w:pos="851"/>
        </w:tabs>
        <w:spacing w:line="460" w:lineRule="exact"/>
        <w:ind w:left="5" w:firstLine="635" w:firstLineChars="0"/>
        <w:rPr>
          <w:rFonts w:hint="eastAsia" w:cs="宋体"/>
          <w:szCs w:val="21"/>
        </w:rPr>
      </w:pPr>
      <w:r>
        <w:rPr>
          <w:rFonts w:hint="eastAsia" w:cs="宋体"/>
          <w:szCs w:val="21"/>
        </w:rPr>
        <w:t>未获甲方书面同意，乙方任何时候都不能在承包区域内存放易燃易爆物品、挥发性大或气味浓烈的液体等。</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人身安全责任</w:t>
      </w:r>
    </w:p>
    <w:p>
      <w:pPr>
        <w:pStyle w:val="112"/>
        <w:numPr>
          <w:ilvl w:val="0"/>
          <w:numId w:val="57"/>
        </w:numPr>
        <w:tabs>
          <w:tab w:val="left" w:pos="709"/>
          <w:tab w:val="left" w:pos="851"/>
        </w:tabs>
        <w:spacing w:line="460" w:lineRule="exact"/>
        <w:ind w:firstLine="215" w:firstLineChars="0"/>
        <w:rPr>
          <w:rFonts w:hint="eastAsia" w:cs="宋体"/>
          <w:szCs w:val="21"/>
        </w:rPr>
      </w:pPr>
      <w:r>
        <w:rPr>
          <w:rFonts w:hint="eastAsia" w:cs="宋体"/>
          <w:szCs w:val="21"/>
        </w:rPr>
        <w:t>第三者责任保险</w:t>
      </w:r>
    </w:p>
    <w:p>
      <w:pPr>
        <w:pStyle w:val="112"/>
        <w:numPr>
          <w:ilvl w:val="0"/>
          <w:numId w:val="58"/>
        </w:numPr>
        <w:tabs>
          <w:tab w:val="left" w:pos="709"/>
        </w:tabs>
        <w:spacing w:line="460" w:lineRule="exact"/>
        <w:ind w:left="4" w:firstLine="420" w:firstLineChars="0"/>
        <w:rPr>
          <w:rFonts w:hint="eastAsia" w:cs="宋体"/>
          <w:szCs w:val="21"/>
        </w:rPr>
      </w:pPr>
      <w:r>
        <w:rPr>
          <w:rFonts w:hint="eastAsia" w:cs="宋体"/>
          <w:szCs w:val="21"/>
        </w:rPr>
        <w:t>乙方应对甲方的后勤服务人员以及第三方全权负责（乙方应投保第三责任险），在乙方的责任区内由于乙方原因导致第三方的人身伤害事故由乙方负责，甲方不承担任何责任。</w:t>
      </w:r>
    </w:p>
    <w:p>
      <w:pPr>
        <w:pStyle w:val="112"/>
        <w:numPr>
          <w:ilvl w:val="0"/>
          <w:numId w:val="58"/>
        </w:numPr>
        <w:tabs>
          <w:tab w:val="left" w:pos="709"/>
          <w:tab w:val="left" w:pos="851"/>
        </w:tabs>
        <w:spacing w:line="460" w:lineRule="exact"/>
        <w:ind w:firstLineChars="0"/>
        <w:rPr>
          <w:rFonts w:hint="eastAsia" w:cs="宋体"/>
          <w:szCs w:val="21"/>
        </w:rPr>
      </w:pPr>
      <w:r>
        <w:rPr>
          <w:rFonts w:hint="eastAsia" w:cs="宋体"/>
          <w:szCs w:val="21"/>
        </w:rPr>
        <w:t>乙方需在承包期内向甲方出示此保险单及已付清保险费的收据。</w:t>
      </w:r>
    </w:p>
    <w:p>
      <w:pPr>
        <w:pStyle w:val="112"/>
        <w:numPr>
          <w:ilvl w:val="0"/>
          <w:numId w:val="57"/>
        </w:numPr>
        <w:tabs>
          <w:tab w:val="left" w:pos="709"/>
          <w:tab w:val="left" w:pos="851"/>
        </w:tabs>
        <w:spacing w:line="460" w:lineRule="exact"/>
        <w:ind w:firstLine="215" w:firstLineChars="0"/>
        <w:rPr>
          <w:rFonts w:hint="eastAsia" w:cs="宋体"/>
          <w:szCs w:val="21"/>
        </w:rPr>
      </w:pPr>
      <w:r>
        <w:rPr>
          <w:rFonts w:hint="eastAsia" w:cs="宋体"/>
          <w:szCs w:val="21"/>
        </w:rPr>
        <w:t>服务人员人身意外</w:t>
      </w:r>
    </w:p>
    <w:p>
      <w:pPr>
        <w:spacing w:line="460" w:lineRule="exact"/>
        <w:ind w:firstLine="420" w:firstLineChars="200"/>
        <w:rPr>
          <w:rFonts w:hint="eastAsia" w:cs="宋体"/>
          <w:szCs w:val="21"/>
        </w:rPr>
      </w:pPr>
      <w:r>
        <w:rPr>
          <w:rFonts w:hint="eastAsia" w:cs="宋体"/>
          <w:szCs w:val="21"/>
        </w:rPr>
        <w:t>在承包期内，乙方所有人员的人身安全由乙方全权负责（乙方应对其员工投保人身意外险），以保证甲方在乙方工作人员进行索赔时不受任何责任的约束。</w:t>
      </w:r>
    </w:p>
    <w:p>
      <w:pPr>
        <w:pStyle w:val="112"/>
        <w:numPr>
          <w:ilvl w:val="0"/>
          <w:numId w:val="57"/>
        </w:numPr>
        <w:tabs>
          <w:tab w:val="left" w:pos="709"/>
          <w:tab w:val="left" w:pos="851"/>
        </w:tabs>
        <w:spacing w:line="460" w:lineRule="exact"/>
        <w:ind w:firstLine="215" w:firstLineChars="0"/>
        <w:rPr>
          <w:rFonts w:hint="eastAsia" w:cs="宋体"/>
          <w:szCs w:val="21"/>
        </w:rPr>
      </w:pPr>
      <w:r>
        <w:rPr>
          <w:rFonts w:hint="eastAsia" w:cs="宋体"/>
          <w:szCs w:val="21"/>
        </w:rPr>
        <w:t>其他保险及费用</w:t>
      </w:r>
    </w:p>
    <w:p>
      <w:pPr>
        <w:spacing w:line="460" w:lineRule="exact"/>
        <w:ind w:firstLine="420" w:firstLineChars="200"/>
        <w:rPr>
          <w:rFonts w:hint="eastAsia" w:cs="宋体"/>
          <w:szCs w:val="21"/>
        </w:rPr>
      </w:pPr>
      <w:r>
        <w:rPr>
          <w:rFonts w:hint="eastAsia" w:cs="宋体"/>
          <w:szCs w:val="21"/>
        </w:rPr>
        <w:t>乙方应按政府有关规定负责为全体服务人员办理社会保险（包括但不限于意外险等）并交纳相关费用。</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乙方服务人员应遵守甲方内部的一切行政管理、消防安全等规章制度，保证承包区域内的消防设施能正常使用，消防通道畅通，同时承担违规责任。</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遇突发事件或安全检查时，乙方必须配合有关部门执行任务，并指定专职人员协助工作，直至完成。</w:t>
      </w:r>
    </w:p>
    <w:p>
      <w:pPr>
        <w:pStyle w:val="112"/>
        <w:numPr>
          <w:ilvl w:val="0"/>
          <w:numId w:val="55"/>
        </w:numPr>
        <w:tabs>
          <w:tab w:val="left" w:pos="426"/>
          <w:tab w:val="left" w:pos="851"/>
          <w:tab w:val="left" w:pos="993"/>
          <w:tab w:val="left" w:pos="1060"/>
          <w:tab w:val="clear" w:pos="1560"/>
        </w:tabs>
        <w:spacing w:line="460" w:lineRule="exact"/>
        <w:ind w:left="0" w:firstLine="424" w:firstLineChars="202"/>
        <w:rPr>
          <w:rFonts w:hint="eastAsia" w:cs="宋体"/>
          <w:szCs w:val="21"/>
        </w:rPr>
      </w:pPr>
      <w:r>
        <w:rPr>
          <w:rFonts w:hint="eastAsia" w:cs="宋体"/>
          <w:szCs w:val="21"/>
        </w:rPr>
        <w:t>乙方保证在承包期满日当天下午五时撤离现场，撤离现场前向甲方提交或移交所有资料。</w:t>
      </w:r>
    </w:p>
    <w:p>
      <w:pPr>
        <w:spacing w:line="460" w:lineRule="exact"/>
        <w:ind w:firstLine="420" w:firstLineChars="200"/>
        <w:rPr>
          <w:rFonts w:hint="eastAsia" w:cs="宋体"/>
          <w:szCs w:val="21"/>
        </w:rPr>
      </w:pPr>
      <w:r>
        <w:rPr>
          <w:rFonts w:hint="eastAsia" w:cs="宋体"/>
          <w:szCs w:val="21"/>
        </w:rPr>
        <w:t>2．甲方对乙方作出如下承诺：</w:t>
      </w:r>
    </w:p>
    <w:p>
      <w:pPr>
        <w:pStyle w:val="112"/>
        <w:numPr>
          <w:ilvl w:val="0"/>
          <w:numId w:val="59"/>
        </w:numPr>
        <w:spacing w:line="460" w:lineRule="exact"/>
        <w:ind w:firstLineChars="0"/>
        <w:rPr>
          <w:rFonts w:hint="eastAsia" w:cs="宋体"/>
          <w:szCs w:val="21"/>
        </w:rPr>
      </w:pPr>
      <w:r>
        <w:rPr>
          <w:rFonts w:hint="eastAsia" w:cs="宋体"/>
          <w:szCs w:val="21"/>
        </w:rPr>
        <w:t>甲方在职权范围内保证乙方的正常经营不受干扰。</w:t>
      </w:r>
    </w:p>
    <w:p>
      <w:pPr>
        <w:pStyle w:val="112"/>
        <w:numPr>
          <w:ilvl w:val="0"/>
          <w:numId w:val="59"/>
        </w:numPr>
        <w:spacing w:line="460" w:lineRule="exact"/>
        <w:ind w:firstLineChars="0"/>
        <w:rPr>
          <w:rFonts w:hint="eastAsia" w:cs="宋体"/>
          <w:szCs w:val="21"/>
        </w:rPr>
      </w:pPr>
      <w:r>
        <w:rPr>
          <w:rFonts w:hint="eastAsia" w:cs="宋体"/>
          <w:szCs w:val="21"/>
        </w:rPr>
        <w:t>保证乙方服务所需的工具按规定正常进入承包区域内开展服务工作。</w:t>
      </w:r>
    </w:p>
    <w:p>
      <w:pPr>
        <w:numPr>
          <w:ilvl w:val="0"/>
          <w:numId w:val="48"/>
        </w:numPr>
        <w:spacing w:before="156" w:beforeLines="50" w:after="156" w:afterLines="50" w:line="360" w:lineRule="auto"/>
        <w:ind w:firstLine="422" w:firstLineChars="200"/>
        <w:rPr>
          <w:rFonts w:hint="eastAsia" w:cs="宋体"/>
          <w:b/>
          <w:bCs/>
          <w:szCs w:val="21"/>
        </w:rPr>
      </w:pPr>
      <w:r>
        <w:rPr>
          <w:rFonts w:hint="eastAsia" w:cs="宋体"/>
          <w:b/>
          <w:bCs/>
          <w:szCs w:val="21"/>
        </w:rPr>
        <w:t>履约验收</w:t>
      </w:r>
    </w:p>
    <w:p>
      <w:pPr>
        <w:pStyle w:val="28"/>
        <w:spacing w:after="0" w:line="360" w:lineRule="auto"/>
        <w:ind w:left="0" w:leftChars="0" w:firstLine="420"/>
        <w:rPr>
          <w:rFonts w:hint="eastAsia" w:ascii="Times New Roman" w:hAnsi="Times New Roman" w:eastAsia="宋体"/>
          <w:b w:val="0"/>
          <w:bCs w:val="0"/>
          <w:color w:val="auto"/>
          <w:sz w:val="21"/>
        </w:rPr>
      </w:pPr>
      <w:r>
        <w:rPr>
          <w:rFonts w:hint="eastAsia" w:ascii="Times New Roman" w:hAnsi="Times New Roman" w:eastAsia="宋体"/>
          <w:b w:val="0"/>
          <w:bCs w:val="0"/>
          <w:color w:val="auto"/>
          <w:sz w:val="21"/>
        </w:rPr>
        <w:t>依据《财政部关于进一步加强政</w:t>
      </w:r>
      <w:r>
        <w:rPr>
          <w:rFonts w:hint="default" w:ascii="Arial" w:hAnsi="Arial" w:eastAsia="宋体" w:cs="Arial"/>
          <w:b w:val="0"/>
          <w:bCs w:val="0"/>
          <w:color w:val="auto"/>
          <w:sz w:val="21"/>
        </w:rPr>
        <w:t>府采购需求和履约验收管理的指导意见》（财库[2016]205号）、《浙江省政府采购合同暂行办法》（浙财采监[2017]11号）、《温州市政府采购履约验收办法》（温财采[2020]6号）规定，</w:t>
      </w:r>
      <w:r>
        <w:rPr>
          <w:rFonts w:hint="default" w:ascii="Arial" w:hAnsi="Arial" w:eastAsia="宋体" w:cs="Arial"/>
          <w:b w:val="0"/>
          <w:bCs w:val="0"/>
          <w:color w:val="auto"/>
          <w:sz w:val="21"/>
          <w:szCs w:val="24"/>
        </w:rPr>
        <w:t>合同履约达到验收条件时，乙方按照合同约定向甲方书面发起验收申请。</w:t>
      </w:r>
      <w:r>
        <w:rPr>
          <w:rFonts w:hint="default" w:ascii="Arial" w:hAnsi="Arial" w:eastAsia="宋体" w:cs="Arial"/>
          <w:b w:val="0"/>
          <w:bCs w:val="0"/>
          <w:color w:val="auto"/>
          <w:sz w:val="21"/>
        </w:rPr>
        <w:t>甲方依法组织履约验收工作。制定验收方案，成立验收小组，按照验收方案开展验收，出具验收书，并按规定公告与存档。履约</w:t>
      </w:r>
      <w:r>
        <w:rPr>
          <w:rFonts w:hint="eastAsia" w:ascii="Times New Roman" w:hAnsi="Times New Roman" w:eastAsia="宋体"/>
          <w:b w:val="0"/>
          <w:bCs w:val="0"/>
          <w:color w:val="auto"/>
          <w:sz w:val="21"/>
        </w:rPr>
        <w:t>验收产生的检验（监测）费、劳务报酬等费用支出，由乙方支付。履约验收方案如下：</w:t>
      </w:r>
    </w:p>
    <w:p>
      <w:pPr>
        <w:pStyle w:val="21"/>
        <w:numPr>
          <w:ilvl w:val="0"/>
          <w:numId w:val="60"/>
        </w:numPr>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项目基本情况</w:t>
      </w:r>
    </w:p>
    <w:p>
      <w:pPr>
        <w:pStyle w:val="21"/>
        <w:spacing w:line="360" w:lineRule="auto"/>
        <w:ind w:left="0" w:right="-252" w:firstLine="420" w:firstLineChars="200"/>
        <w:rPr>
          <w:rFonts w:hint="eastAsia" w:ascii="Times New Roman" w:hAnsi="Times New Roman" w:eastAsia="宋体" w:cs="宋体"/>
          <w:bCs/>
          <w:sz w:val="21"/>
          <w:szCs w:val="21"/>
          <w:lang w:eastAsia="zh-CN"/>
        </w:rPr>
      </w:pPr>
      <w:r>
        <w:rPr>
          <w:rFonts w:hint="eastAsia" w:ascii="Times New Roman" w:hAnsi="Times New Roman" w:cs="宋体"/>
          <w:bCs/>
          <w:sz w:val="21"/>
          <w:szCs w:val="21"/>
        </w:rPr>
        <w:t>（1）采购人名称：瑞安市</w:t>
      </w:r>
      <w:r>
        <w:rPr>
          <w:rFonts w:hint="eastAsia" w:ascii="Times New Roman" w:hAnsi="Times New Roman" w:cs="宋体"/>
          <w:bCs/>
          <w:sz w:val="21"/>
          <w:szCs w:val="21"/>
          <w:lang w:eastAsia="zh-CN"/>
        </w:rPr>
        <w:t>妇幼保健院</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（2）中标人：</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（3）项目名称及主要内容：瑞安市妇幼保健院</w:t>
      </w:r>
      <w:r>
        <w:rPr>
          <w:rFonts w:hint="default" w:ascii="Arial" w:hAnsi="Arial" w:cs="Arial"/>
          <w:bCs/>
          <w:sz w:val="21"/>
          <w:szCs w:val="21"/>
        </w:rPr>
        <w:t>2022-2024年物业</w:t>
      </w:r>
      <w:r>
        <w:rPr>
          <w:rFonts w:hint="eastAsia" w:ascii="Arial" w:hAnsi="Arial" w:cs="Arial"/>
          <w:bCs/>
          <w:sz w:val="21"/>
          <w:szCs w:val="21"/>
          <w:lang w:eastAsia="zh-CN"/>
        </w:rPr>
        <w:t>管理</w:t>
      </w:r>
      <w:r>
        <w:rPr>
          <w:rFonts w:hint="eastAsia" w:ascii="Times New Roman" w:hAnsi="Times New Roman" w:cs="宋体"/>
          <w:bCs/>
          <w:sz w:val="21"/>
          <w:szCs w:val="21"/>
        </w:rPr>
        <w:t>服务（包含保洁、护工及运送）项目，瑞安市妇幼保健院物业服务，包括院区的保洁、护工及运送</w:t>
      </w:r>
      <w:r>
        <w:rPr>
          <w:rFonts w:hint="eastAsia" w:ascii="Times New Roman" w:hAnsi="Times New Roman" w:cs="宋体"/>
          <w:bCs/>
          <w:sz w:val="21"/>
          <w:szCs w:val="21"/>
          <w:lang w:eastAsia="zh-CN"/>
        </w:rPr>
        <w:t>等</w:t>
      </w:r>
      <w:r>
        <w:rPr>
          <w:rFonts w:hint="eastAsia" w:ascii="Times New Roman" w:hAnsi="Times New Roman" w:cs="宋体"/>
          <w:bCs/>
          <w:sz w:val="21"/>
          <w:szCs w:val="21"/>
        </w:rPr>
        <w:t>服务。</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（4）项目类型：服务类</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（5）验收时间及地点：本项目按年验收考核，验收地点为瑞安市</w:t>
      </w:r>
      <w:r>
        <w:rPr>
          <w:rFonts w:hint="eastAsia" w:ascii="Times New Roman" w:hAnsi="Times New Roman" w:cs="宋体"/>
          <w:bCs/>
          <w:sz w:val="21"/>
          <w:szCs w:val="21"/>
          <w:lang w:eastAsia="zh-CN"/>
        </w:rPr>
        <w:t>妇幼保健院</w:t>
      </w:r>
      <w:r>
        <w:rPr>
          <w:rFonts w:hint="eastAsia" w:ascii="Times New Roman" w:hAnsi="Times New Roman" w:cs="宋体"/>
          <w:bCs/>
          <w:sz w:val="21"/>
          <w:szCs w:val="21"/>
        </w:rPr>
        <w:t>。</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验收方式与方法</w:t>
      </w:r>
    </w:p>
    <w:p>
      <w:pPr>
        <w:pStyle w:val="21"/>
        <w:spacing w:line="360" w:lineRule="auto"/>
        <w:ind w:left="0" w:right="-252" w:firstLine="420" w:firstLineChars="200"/>
        <w:rPr>
          <w:rFonts w:hint="eastAsia" w:ascii="Times New Roman" w:hAnsi="Times New Roman" w:cs="宋体"/>
          <w:sz w:val="21"/>
          <w:szCs w:val="21"/>
        </w:rPr>
      </w:pPr>
      <w:r>
        <w:rPr>
          <w:rFonts w:hint="eastAsia" w:ascii="Times New Roman" w:hAnsi="Times New Roman" w:cs="宋体"/>
          <w:bCs/>
          <w:sz w:val="21"/>
          <w:szCs w:val="21"/>
        </w:rPr>
        <w:t>本项目采用</w:t>
      </w:r>
      <w:r>
        <w:rPr>
          <w:rFonts w:hint="eastAsia" w:ascii="Times New Roman" w:hAnsi="Times New Roman" w:cs="宋体"/>
          <w:sz w:val="21"/>
          <w:szCs w:val="21"/>
        </w:rPr>
        <w:t>一般程序验收方式，采取分期验收方法</w:t>
      </w:r>
      <w:r>
        <w:rPr>
          <w:rFonts w:hint="eastAsia" w:ascii="Times New Roman" w:hAnsi="Times New Roman" w:cs="宋体"/>
          <w:bCs/>
          <w:sz w:val="21"/>
          <w:szCs w:val="21"/>
        </w:rPr>
        <w:t>，甲方自行组织验收。</w:t>
      </w:r>
      <w:r>
        <w:rPr>
          <w:rFonts w:hint="eastAsia" w:ascii="Times New Roman" w:hAnsi="Times New Roman" w:cs="宋体"/>
          <w:sz w:val="21"/>
          <w:szCs w:val="21"/>
        </w:rPr>
        <w:t xml:space="preserve"> </w:t>
      </w:r>
      <w:r>
        <w:rPr>
          <w:rFonts w:hint="eastAsia" w:ascii="Times New Roman" w:hAnsi="Times New Roman" w:cs="宋体"/>
          <w:bCs/>
          <w:sz w:val="21"/>
          <w:szCs w:val="21"/>
        </w:rPr>
        <w:t xml:space="preserve">                                                  </w:t>
      </w:r>
      <w:r>
        <w:rPr>
          <w:rFonts w:hint="eastAsia" w:ascii="Times New Roman" w:hAnsi="Times New Roman" w:cs="宋体"/>
          <w:b/>
          <w:i/>
          <w:iCs/>
          <w:sz w:val="21"/>
          <w:szCs w:val="21"/>
        </w:rPr>
        <w:t xml:space="preserve">              </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验收小组</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验收小组由</w:t>
      </w:r>
      <w:r>
        <w:rPr>
          <w:rFonts w:hint="eastAsia" w:ascii="Times New Roman" w:hAnsi="Times New Roman" w:cs="宋体"/>
          <w:bCs/>
          <w:sz w:val="21"/>
          <w:szCs w:val="21"/>
          <w:u w:val="single"/>
        </w:rPr>
        <w:t xml:space="preserve"> </w:t>
      </w:r>
      <w:r>
        <w:rPr>
          <w:rFonts w:hint="default" w:ascii="Arial" w:hAnsi="Arial" w:cs="Arial"/>
          <w:bCs/>
          <w:sz w:val="21"/>
          <w:szCs w:val="21"/>
          <w:u w:val="single"/>
        </w:rPr>
        <w:t>5</w:t>
      </w:r>
      <w:r>
        <w:rPr>
          <w:rFonts w:hint="eastAsia" w:ascii="Times New Roman" w:hAnsi="Times New Roman" w:cs="宋体"/>
          <w:bCs/>
          <w:sz w:val="21"/>
          <w:szCs w:val="21"/>
          <w:u w:val="single"/>
        </w:rPr>
        <w:t xml:space="preserve"> </w:t>
      </w:r>
      <w:r>
        <w:rPr>
          <w:rFonts w:hint="eastAsia" w:ascii="Times New Roman" w:hAnsi="Times New Roman" w:cs="宋体"/>
          <w:bCs/>
          <w:sz w:val="21"/>
          <w:szCs w:val="21"/>
        </w:rPr>
        <w:t>人</w:t>
      </w:r>
      <w:r>
        <w:rPr>
          <w:rFonts w:hint="eastAsia" w:ascii="Times New Roman" w:hAnsi="Times New Roman" w:cs="宋体"/>
          <w:b/>
          <w:i/>
          <w:iCs/>
          <w:sz w:val="21"/>
          <w:szCs w:val="21"/>
        </w:rPr>
        <w:t>（5人以上单数）</w:t>
      </w:r>
      <w:r>
        <w:rPr>
          <w:rFonts w:hint="eastAsia" w:ascii="Times New Roman" w:hAnsi="Times New Roman" w:cs="宋体"/>
          <w:bCs/>
          <w:sz w:val="21"/>
          <w:szCs w:val="21"/>
        </w:rPr>
        <w:t>熟悉项目需求与标的人员组成，专业技术人员有</w:t>
      </w:r>
      <w:r>
        <w:rPr>
          <w:rFonts w:hint="eastAsia" w:ascii="Times New Roman" w:hAnsi="Times New Roman" w:cs="宋体"/>
          <w:bCs/>
          <w:sz w:val="21"/>
          <w:szCs w:val="21"/>
          <w:u w:val="single"/>
        </w:rPr>
        <w:t xml:space="preserve"> </w:t>
      </w:r>
      <w:r>
        <w:rPr>
          <w:rFonts w:hint="default" w:ascii="Arial" w:hAnsi="Arial" w:cs="Arial"/>
          <w:bCs/>
          <w:sz w:val="21"/>
          <w:szCs w:val="21"/>
          <w:u w:val="single"/>
        </w:rPr>
        <w:t>3</w:t>
      </w:r>
      <w:r>
        <w:rPr>
          <w:rFonts w:hint="eastAsia" w:ascii="Times New Roman" w:hAnsi="Times New Roman" w:cs="宋体"/>
          <w:bCs/>
          <w:sz w:val="21"/>
          <w:szCs w:val="21"/>
          <w:u w:val="single"/>
        </w:rPr>
        <w:t xml:space="preserve"> </w:t>
      </w:r>
      <w:r>
        <w:rPr>
          <w:rFonts w:hint="eastAsia" w:ascii="Times New Roman" w:hAnsi="Times New Roman" w:cs="宋体"/>
          <w:bCs/>
          <w:sz w:val="21"/>
          <w:szCs w:val="21"/>
        </w:rPr>
        <w:t>人</w:t>
      </w:r>
      <w:r>
        <w:rPr>
          <w:rFonts w:hint="eastAsia" w:ascii="Times New Roman" w:hAnsi="Times New Roman" w:cs="宋体"/>
          <w:b/>
          <w:i/>
          <w:iCs/>
          <w:sz w:val="21"/>
          <w:szCs w:val="21"/>
        </w:rPr>
        <w:t>（不少于3人）</w:t>
      </w:r>
      <w:r>
        <w:rPr>
          <w:rFonts w:hint="eastAsia" w:ascii="Times New Roman" w:hAnsi="Times New Roman" w:cs="宋体"/>
          <w:bCs/>
          <w:sz w:val="21"/>
          <w:szCs w:val="21"/>
        </w:rPr>
        <w:t>，实际使用人员</w:t>
      </w:r>
      <w:r>
        <w:rPr>
          <w:rFonts w:hint="eastAsia" w:ascii="Times New Roman" w:hAnsi="Times New Roman" w:cs="宋体"/>
          <w:bCs/>
          <w:sz w:val="21"/>
          <w:szCs w:val="21"/>
          <w:u w:val="single"/>
        </w:rPr>
        <w:t xml:space="preserve">     </w:t>
      </w:r>
      <w:r>
        <w:rPr>
          <w:rFonts w:hint="eastAsia" w:ascii="Times New Roman" w:hAnsi="Times New Roman" w:cs="宋体"/>
          <w:bCs/>
          <w:sz w:val="21"/>
          <w:szCs w:val="21"/>
        </w:rPr>
        <w:t>人</w:t>
      </w:r>
      <w:r>
        <w:rPr>
          <w:rFonts w:hint="eastAsia" w:ascii="Times New Roman" w:hAnsi="Times New Roman" w:cs="宋体"/>
          <w:b/>
          <w:i/>
          <w:iCs/>
          <w:sz w:val="21"/>
          <w:szCs w:val="21"/>
        </w:rPr>
        <w:t>（如有），</w:t>
      </w:r>
      <w:r>
        <w:rPr>
          <w:rFonts w:hint="eastAsia" w:ascii="Times New Roman" w:hAnsi="Times New Roman" w:cs="宋体"/>
          <w:bCs/>
          <w:sz w:val="21"/>
          <w:szCs w:val="21"/>
        </w:rPr>
        <w:t>其他验收人员</w:t>
      </w:r>
      <w:r>
        <w:rPr>
          <w:rFonts w:hint="eastAsia" w:ascii="Times New Roman" w:hAnsi="Times New Roman" w:cs="宋体"/>
          <w:bCs/>
          <w:sz w:val="21"/>
          <w:szCs w:val="21"/>
          <w:u w:val="single"/>
        </w:rPr>
        <w:t xml:space="preserve">   </w:t>
      </w:r>
      <w:r>
        <w:rPr>
          <w:rFonts w:hint="eastAsia" w:ascii="Times New Roman" w:hAnsi="Times New Roman" w:cs="宋体"/>
          <w:bCs/>
          <w:sz w:val="21"/>
          <w:szCs w:val="21"/>
        </w:rPr>
        <w:t>人</w:t>
      </w:r>
      <w:r>
        <w:rPr>
          <w:rFonts w:hint="eastAsia" w:ascii="Times New Roman" w:hAnsi="Times New Roman" w:cs="宋体"/>
          <w:b/>
          <w:i/>
          <w:iCs/>
          <w:sz w:val="21"/>
          <w:szCs w:val="21"/>
        </w:rPr>
        <w:t>（如有），</w:t>
      </w:r>
      <w:r>
        <w:rPr>
          <w:rFonts w:hint="eastAsia" w:ascii="Times New Roman" w:hAnsi="Times New Roman" w:cs="宋体"/>
          <w:bCs/>
          <w:sz w:val="21"/>
          <w:szCs w:val="21"/>
        </w:rPr>
        <w:t>验收人员名单详见验收书</w:t>
      </w:r>
      <w:r>
        <w:rPr>
          <w:rFonts w:hint="eastAsia" w:ascii="Times New Roman" w:hAnsi="Times New Roman" w:cs="宋体"/>
          <w:bCs/>
          <w:color w:val="000000"/>
          <w:sz w:val="21"/>
          <w:szCs w:val="21"/>
        </w:rPr>
        <w:t>。</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组织验收</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乙方提供项目验收相关所必须具备的材料，并协助甲方开展验收。甲方准备招标文件、投标文件、采购合同，根据验收方案组织现场查验。验收小组根据验收资料、验收内容及标准开展验收工作。</w:t>
      </w:r>
    </w:p>
    <w:p>
      <w:pPr>
        <w:pStyle w:val="21"/>
        <w:spacing w:line="360" w:lineRule="auto"/>
        <w:ind w:left="0" w:right="-252" w:firstLine="420" w:firstLineChars="200"/>
        <w:rPr>
          <w:rFonts w:hint="eastAsia" w:ascii="Times New Roman" w:hAnsi="Times New Roman" w:cs="宋体"/>
          <w:b/>
          <w:i/>
          <w:iCs/>
          <w:sz w:val="21"/>
          <w:szCs w:val="21"/>
        </w:rPr>
      </w:pPr>
      <w:r>
        <w:rPr>
          <w:rFonts w:hint="eastAsia" w:ascii="Times New Roman" w:hAnsi="Times New Roman" w:cs="宋体"/>
          <w:bCs/>
          <w:sz w:val="21"/>
          <w:szCs w:val="21"/>
        </w:rPr>
        <w:t>验收内容：(1)有关技术方面的验收内容：乙方的服务人员配置情况、提供的物业服务事项及质量（包括卫生保洁服务、秩序维护服务等），详细内容见招标文件第三部分招标内容及要求“一、采购内容及标准”。(2)有关商务方面的验收内容：包括保险情况、付款条件满足情况，具体内容详见投标文件第三部分招标内容及要求“二、其他说明”和“三、商务要求”</w:t>
      </w:r>
    </w:p>
    <w:p>
      <w:pPr>
        <w:pStyle w:val="21"/>
        <w:spacing w:line="360" w:lineRule="auto"/>
        <w:ind w:left="0" w:right="-252" w:firstLine="420" w:firstLineChars="200"/>
        <w:rPr>
          <w:rFonts w:hint="eastAsia" w:ascii="Times New Roman" w:hAnsi="Times New Roman" w:cs="宋体"/>
          <w:bCs/>
          <w:sz w:val="21"/>
          <w:szCs w:val="21"/>
        </w:rPr>
      </w:pPr>
      <w:r>
        <w:rPr>
          <w:rFonts w:hint="eastAsia" w:ascii="Times New Roman" w:hAnsi="Times New Roman" w:cs="宋体"/>
          <w:bCs/>
          <w:sz w:val="21"/>
          <w:szCs w:val="21"/>
        </w:rPr>
        <w:t>验收标准：甲方按照招标文件、投标文件、采购合同等约定的质服务内容、标准进行验收。</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出具验收书：验收小组完成验收后，出具验收书，列明各项验收内容情况，明确验收结论，并在验收书签字确认。（验收书参考附件）</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验收结果公告：甲方依据验收书和乙方其他履约情况，对验收项目作出整体评价和分类评价，形成验收结果。甲方在评价后</w:t>
      </w:r>
      <w:r>
        <w:rPr>
          <w:rFonts w:hint="default" w:ascii="Arial" w:hAnsi="Arial" w:cs="Arial"/>
          <w:bCs/>
          <w:sz w:val="21"/>
          <w:szCs w:val="21"/>
        </w:rPr>
        <w:t>2个</w:t>
      </w:r>
      <w:r>
        <w:rPr>
          <w:rFonts w:hint="eastAsia" w:ascii="Times New Roman" w:hAnsi="Times New Roman" w:cs="宋体"/>
          <w:bCs/>
          <w:sz w:val="21"/>
          <w:szCs w:val="21"/>
        </w:rPr>
        <w:t>工作日内在浙江政府采购网发布验收结果。</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Cs/>
          <w:sz w:val="21"/>
          <w:szCs w:val="21"/>
        </w:rPr>
        <w:t>验收资料归档：采购项目完成验收后，甲方将验收原始记录、验收报告等验收资料作为该采购项目档案封存并妥善保管。</w:t>
      </w:r>
    </w:p>
    <w:p>
      <w:pPr>
        <w:pStyle w:val="21"/>
        <w:numPr>
          <w:ilvl w:val="0"/>
          <w:numId w:val="13"/>
        </w:numPr>
        <w:spacing w:line="360" w:lineRule="auto"/>
        <w:ind w:left="0" w:right="-252" w:firstLine="420"/>
        <w:rPr>
          <w:rFonts w:hint="eastAsia" w:ascii="Times New Roman" w:hAnsi="Times New Roman" w:cs="宋体"/>
          <w:bCs/>
          <w:sz w:val="21"/>
          <w:szCs w:val="21"/>
        </w:rPr>
      </w:pPr>
      <w:r>
        <w:rPr>
          <w:rFonts w:hint="eastAsia" w:ascii="Times New Roman" w:hAnsi="Times New Roman" w:cs="宋体"/>
          <w:b/>
          <w:sz w:val="21"/>
          <w:szCs w:val="21"/>
        </w:rPr>
        <w:t xml:space="preserve"> </w:t>
      </w:r>
      <w:r>
        <w:rPr>
          <w:rFonts w:hint="eastAsia" w:ascii="Times New Roman" w:hAnsi="Times New Roman" w:cs="宋体"/>
          <w:bCs/>
          <w:sz w:val="21"/>
          <w:szCs w:val="21"/>
        </w:rPr>
        <w:t>验收不合格的，甲方应责令乙方采取补救措施，向乙方发出整改通知书，并依法及时处理。乙方收到整改通知书后</w:t>
      </w:r>
      <w:r>
        <w:rPr>
          <w:rFonts w:hint="eastAsia" w:ascii="Times New Roman" w:hAnsi="Times New Roman" w:cs="宋体"/>
          <w:bCs/>
          <w:sz w:val="21"/>
          <w:szCs w:val="21"/>
          <w:u w:val="single"/>
        </w:rPr>
        <w:t xml:space="preserve">    </w:t>
      </w:r>
      <w:r>
        <w:rPr>
          <w:rFonts w:hint="eastAsia" w:ascii="Times New Roman" w:hAnsi="Times New Roman" w:cs="宋体"/>
          <w:bCs/>
          <w:sz w:val="21"/>
          <w:szCs w:val="21"/>
        </w:rPr>
        <w:t xml:space="preserve">天内按要求进行整改，整改结束后，由乙方通知甲方重新验收。 </w:t>
      </w:r>
    </w:p>
    <w:p>
      <w:pPr>
        <w:numPr>
          <w:ilvl w:val="0"/>
          <w:numId w:val="48"/>
        </w:numPr>
        <w:spacing w:before="156" w:beforeLines="50" w:after="156" w:afterLines="50" w:line="360" w:lineRule="auto"/>
        <w:ind w:firstLine="422" w:firstLineChars="200"/>
        <w:rPr>
          <w:rFonts w:hint="eastAsia" w:cs="宋体"/>
          <w:b/>
          <w:bCs/>
          <w:szCs w:val="21"/>
        </w:rPr>
      </w:pPr>
      <w:bookmarkStart w:id="401" w:name="_Toc23735"/>
      <w:bookmarkStart w:id="402" w:name="_Toc946"/>
      <w:bookmarkStart w:id="403" w:name="_Toc21700"/>
      <w:bookmarkStart w:id="404" w:name="_Toc12958"/>
      <w:bookmarkStart w:id="405" w:name="_Toc27597"/>
      <w:bookmarkStart w:id="406" w:name="_Toc3624"/>
      <w:bookmarkStart w:id="407" w:name="_Toc11015"/>
      <w:r>
        <w:rPr>
          <w:rFonts w:hint="eastAsia" w:cs="宋体"/>
          <w:b/>
          <w:bCs/>
          <w:szCs w:val="21"/>
        </w:rPr>
        <w:t>违约责任</w:t>
      </w:r>
      <w:bookmarkEnd w:id="401"/>
      <w:bookmarkEnd w:id="402"/>
      <w:bookmarkEnd w:id="403"/>
      <w:bookmarkEnd w:id="404"/>
      <w:bookmarkEnd w:id="405"/>
      <w:bookmarkEnd w:id="406"/>
      <w:bookmarkEnd w:id="407"/>
    </w:p>
    <w:bookmarkEnd w:id="400"/>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如乙方未按照合同规定的要求完成服务事项和质量，或乙方未能履行合同规定的任何其他义务时，甲方有权直接向乙方发出违约通知书，乙方应按照甲方选择的下列一种或多种方式承担赔偿责任：</w:t>
      </w:r>
    </w:p>
    <w:p>
      <w:pPr>
        <w:pStyle w:val="36"/>
        <w:numPr>
          <w:ilvl w:val="0"/>
          <w:numId w:val="62"/>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在甲方同意延长的期限内提供服务并承担由此给甲方造成的一切损失。</w:t>
      </w:r>
    </w:p>
    <w:p>
      <w:pPr>
        <w:pStyle w:val="36"/>
        <w:numPr>
          <w:ilvl w:val="0"/>
          <w:numId w:val="62"/>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甲方有权部分或全部解除合同并要求乙方赔偿由此造成的损失。此时甲方可采取必要的补救措施，相关费用由乙方承担。</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如果乙方在收到甲方的违约通知书后七日内未作答复也没有按照甲方选择的方式承担违约责任，则甲方有权从尚未支付的合同价款中扣回索赔金额。如果这些金额不足以补偿，甲方有权向乙方提出不足部分的赔偿要求。</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如乙方延期提供服务（最迟不超过甲方要求之日起</w:t>
      </w:r>
      <w:r>
        <w:rPr>
          <w:rFonts w:hint="default" w:ascii="Arial" w:hAnsi="Arial" w:eastAsia="宋体" w:cs="Arial"/>
          <w:bCs/>
          <w:color w:val="auto"/>
          <w:sz w:val="21"/>
          <w:szCs w:val="21"/>
        </w:rPr>
        <w:t>7日内完成，未完成的视为未提供服务），乙方需每天按合同总金额的1%交纳违约金，违约金最多不超过合同总金额的30%，如果延期超过10个日历天未能进场，甲方有权终止合同，乙方承担一切风</w:t>
      </w:r>
      <w:r>
        <w:rPr>
          <w:rFonts w:hint="eastAsia" w:ascii="Times New Roman" w:hAnsi="Times New Roman" w:eastAsia="宋体" w:cs="宋体"/>
          <w:bCs/>
          <w:color w:val="auto"/>
          <w:sz w:val="21"/>
          <w:szCs w:val="21"/>
        </w:rPr>
        <w:t>险责任。</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乙方无正当理由拒绝进场或擅自退场的，应向甲方偿付合同金</w:t>
      </w:r>
      <w:r>
        <w:rPr>
          <w:rFonts w:hint="default" w:ascii="Arial" w:hAnsi="Arial" w:eastAsia="宋体" w:cs="Arial"/>
          <w:bCs/>
          <w:color w:val="auto"/>
          <w:sz w:val="21"/>
          <w:szCs w:val="21"/>
        </w:rPr>
        <w:t>额的5%违</w:t>
      </w:r>
      <w:r>
        <w:rPr>
          <w:rFonts w:hint="eastAsia" w:ascii="Times New Roman" w:hAnsi="Times New Roman" w:eastAsia="宋体" w:cs="宋体"/>
          <w:bCs/>
          <w:color w:val="auto"/>
          <w:sz w:val="21"/>
          <w:szCs w:val="21"/>
        </w:rPr>
        <w:t>约金。前述违约金承担不影响甲方按本合同其他约定要求乙方承担违约责任。</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甲方无合理理由逾期验收和办理合同款项支付手续的，甲方应按逾期付款总额每日万分之五向乙方支付违约金。</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如任何一方无故解除合同或有其他违约行为，应向对方支付合同金额5%的违约金。</w:t>
      </w:r>
    </w:p>
    <w:p>
      <w:pPr>
        <w:pStyle w:val="36"/>
        <w:numPr>
          <w:ilvl w:val="0"/>
          <w:numId w:val="61"/>
        </w:numPr>
        <w:spacing w:beforeAutospacing="0" w:afterAutospacing="0" w:line="360" w:lineRule="auto"/>
        <w:ind w:left="5" w:firstLine="420"/>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因本合同而引起的纠纷采用以下方式解决：</w:t>
      </w:r>
    </w:p>
    <w:p>
      <w:pPr>
        <w:numPr>
          <w:ilvl w:val="0"/>
          <w:numId w:val="63"/>
        </w:numPr>
        <w:snapToGrid w:val="0"/>
        <w:spacing w:line="360" w:lineRule="auto"/>
        <w:ind w:hanging="5"/>
        <w:jc w:val="both"/>
        <w:rPr>
          <w:rFonts w:hint="eastAsia" w:cs="宋体"/>
          <w:bCs/>
          <w:szCs w:val="21"/>
        </w:rPr>
      </w:pPr>
      <w:r>
        <w:rPr>
          <w:rFonts w:hint="eastAsia" w:cs="宋体"/>
          <w:bCs/>
          <w:szCs w:val="21"/>
        </w:rPr>
        <w:t>双方协商解决（√）；</w:t>
      </w:r>
    </w:p>
    <w:p>
      <w:pPr>
        <w:numPr>
          <w:ilvl w:val="0"/>
          <w:numId w:val="63"/>
        </w:numPr>
        <w:snapToGrid w:val="0"/>
        <w:spacing w:line="360" w:lineRule="auto"/>
        <w:ind w:hanging="5"/>
        <w:jc w:val="both"/>
        <w:rPr>
          <w:rFonts w:hint="eastAsia" w:cs="宋体"/>
          <w:bCs/>
          <w:szCs w:val="21"/>
        </w:rPr>
      </w:pPr>
      <w:r>
        <w:rPr>
          <w:rFonts w:hint="eastAsia" w:cs="宋体"/>
          <w:bCs/>
          <w:szCs w:val="21"/>
        </w:rPr>
        <w:t>向瑞安市人民法院提起诉讼（√）。</w:t>
      </w:r>
    </w:p>
    <w:p>
      <w:pPr>
        <w:numPr>
          <w:ilvl w:val="0"/>
          <w:numId w:val="48"/>
        </w:numPr>
        <w:spacing w:before="156" w:beforeLines="50" w:after="156" w:afterLines="50" w:line="360" w:lineRule="auto"/>
        <w:ind w:firstLine="422" w:firstLineChars="200"/>
        <w:rPr>
          <w:rFonts w:hint="eastAsia" w:cs="宋体"/>
          <w:b/>
          <w:bCs/>
          <w:szCs w:val="21"/>
        </w:rPr>
      </w:pPr>
      <w:bookmarkStart w:id="408" w:name="_Toc17635"/>
      <w:bookmarkStart w:id="409" w:name="_Toc12259"/>
      <w:bookmarkStart w:id="410" w:name="_Toc1034"/>
      <w:bookmarkStart w:id="411" w:name="_Toc27823"/>
      <w:bookmarkStart w:id="412" w:name="_Toc10505"/>
      <w:bookmarkStart w:id="413" w:name="_Toc15391"/>
      <w:bookmarkStart w:id="414" w:name="_Toc19497"/>
      <w:bookmarkStart w:id="415" w:name="_Toc9530"/>
      <w:bookmarkStart w:id="416" w:name="_Toc7208"/>
      <w:bookmarkStart w:id="417" w:name="_Toc18819"/>
      <w:bookmarkStart w:id="418" w:name="_Toc31163"/>
      <w:r>
        <w:rPr>
          <w:rFonts w:hint="eastAsia" w:cs="宋体"/>
          <w:b/>
          <w:bCs/>
          <w:szCs w:val="21"/>
        </w:rPr>
        <w:t>不可抗力</w:t>
      </w:r>
      <w:bookmarkEnd w:id="408"/>
      <w:bookmarkEnd w:id="409"/>
      <w:bookmarkEnd w:id="410"/>
      <w:bookmarkEnd w:id="411"/>
      <w:bookmarkEnd w:id="412"/>
      <w:bookmarkEnd w:id="413"/>
      <w:bookmarkEnd w:id="414"/>
      <w:bookmarkEnd w:id="415"/>
      <w:bookmarkEnd w:id="416"/>
      <w:bookmarkEnd w:id="417"/>
      <w:bookmarkEnd w:id="418"/>
    </w:p>
    <w:p>
      <w:pPr>
        <w:pStyle w:val="112"/>
        <w:numPr>
          <w:ilvl w:val="0"/>
          <w:numId w:val="64"/>
        </w:numPr>
        <w:spacing w:line="460" w:lineRule="exact"/>
        <w:ind w:left="0" w:firstLine="420" w:firstLineChars="0"/>
        <w:rPr>
          <w:rFonts w:hint="eastAsia" w:cs="宋体"/>
          <w:szCs w:val="21"/>
        </w:rPr>
      </w:pPr>
      <w:r>
        <w:rPr>
          <w:rFonts w:hint="eastAsia" w:cs="宋体"/>
          <w:szCs w:val="21"/>
        </w:rPr>
        <w:t>在承包期间发生地震等双方不能预料和不可抗力的自然灾害导致承包区不能正常经营，合同不能或不能全部履行。双方可以按以下内容执行：</w:t>
      </w:r>
    </w:p>
    <w:p>
      <w:pPr>
        <w:pStyle w:val="112"/>
        <w:numPr>
          <w:ilvl w:val="0"/>
          <w:numId w:val="65"/>
        </w:numPr>
        <w:spacing w:line="460" w:lineRule="exact"/>
        <w:ind w:left="5" w:firstLine="415" w:firstLineChars="0"/>
        <w:rPr>
          <w:rFonts w:hint="eastAsia" w:cs="宋体"/>
          <w:szCs w:val="21"/>
        </w:rPr>
      </w:pPr>
      <w:r>
        <w:rPr>
          <w:rFonts w:hint="eastAsia" w:cs="宋体"/>
          <w:szCs w:val="21"/>
        </w:rPr>
        <w:t>任何一方可以书面形式终止合同无需作出任何赔偿。</w:t>
      </w:r>
    </w:p>
    <w:p>
      <w:pPr>
        <w:pStyle w:val="112"/>
        <w:numPr>
          <w:ilvl w:val="0"/>
          <w:numId w:val="65"/>
        </w:numPr>
        <w:spacing w:line="460" w:lineRule="exact"/>
        <w:ind w:left="5" w:firstLine="415" w:firstLineChars="0"/>
        <w:rPr>
          <w:rFonts w:hint="eastAsia" w:cs="宋体"/>
          <w:szCs w:val="21"/>
        </w:rPr>
      </w:pPr>
      <w:r>
        <w:rPr>
          <w:rFonts w:hint="eastAsia" w:cs="宋体"/>
          <w:szCs w:val="21"/>
        </w:rPr>
        <w:t>因不可抗力导致合同终止，并不影响任何一方对不可抗力先前发生的违约行为合法追偿。</w:t>
      </w:r>
    </w:p>
    <w:p>
      <w:pPr>
        <w:pStyle w:val="112"/>
        <w:numPr>
          <w:ilvl w:val="0"/>
          <w:numId w:val="65"/>
        </w:numPr>
        <w:spacing w:line="460" w:lineRule="exact"/>
        <w:ind w:left="5" w:firstLine="415" w:firstLineChars="0"/>
        <w:rPr>
          <w:rFonts w:hint="eastAsia" w:cs="宋体"/>
          <w:szCs w:val="21"/>
        </w:rPr>
      </w:pPr>
      <w:r>
        <w:rPr>
          <w:rFonts w:hint="eastAsia" w:cs="宋体"/>
          <w:szCs w:val="21"/>
        </w:rPr>
        <w:t>甲方不负责因不可抗力造成合同不能正常履行的责任。</w:t>
      </w:r>
    </w:p>
    <w:p>
      <w:pPr>
        <w:pStyle w:val="112"/>
        <w:numPr>
          <w:ilvl w:val="0"/>
          <w:numId w:val="65"/>
        </w:numPr>
        <w:spacing w:line="460" w:lineRule="exact"/>
        <w:ind w:left="5" w:firstLine="415" w:firstLineChars="0"/>
        <w:rPr>
          <w:rFonts w:hint="eastAsia" w:cs="宋体"/>
          <w:szCs w:val="21"/>
        </w:rPr>
      </w:pPr>
      <w:r>
        <w:rPr>
          <w:rFonts w:hint="eastAsia" w:cs="宋体"/>
          <w:szCs w:val="21"/>
        </w:rPr>
        <w:t>因不可抗力造成甲方的损害，甲方的保险赔偿不受影响。对恢复承包合同期的价格及其它费用双方可以协商解决。</w:t>
      </w:r>
    </w:p>
    <w:p>
      <w:pPr>
        <w:pStyle w:val="112"/>
        <w:numPr>
          <w:ilvl w:val="0"/>
          <w:numId w:val="64"/>
        </w:numPr>
        <w:spacing w:line="460" w:lineRule="exact"/>
        <w:ind w:left="0" w:firstLine="420" w:firstLineChars="0"/>
        <w:rPr>
          <w:rFonts w:hint="eastAsia" w:cs="宋体"/>
          <w:szCs w:val="21"/>
        </w:rPr>
      </w:pPr>
      <w:r>
        <w:rPr>
          <w:rFonts w:hint="eastAsia" w:cs="宋体"/>
          <w:szCs w:val="21"/>
        </w:rPr>
        <w:t>遇国家政策性调整，影响合同履行，双方协商解决。</w:t>
      </w:r>
    </w:p>
    <w:p>
      <w:pPr>
        <w:numPr>
          <w:ilvl w:val="0"/>
          <w:numId w:val="48"/>
        </w:numPr>
        <w:spacing w:before="156" w:beforeLines="50" w:after="156" w:afterLines="50" w:line="360" w:lineRule="auto"/>
        <w:ind w:firstLine="422" w:firstLineChars="200"/>
        <w:rPr>
          <w:rFonts w:hint="eastAsia" w:cs="宋体"/>
          <w:b/>
          <w:bCs/>
          <w:szCs w:val="21"/>
        </w:rPr>
      </w:pPr>
      <w:bookmarkStart w:id="419" w:name="_Toc5362"/>
      <w:bookmarkStart w:id="420" w:name="_Toc24145"/>
      <w:bookmarkStart w:id="421" w:name="_Toc12620"/>
      <w:bookmarkStart w:id="422" w:name="_Toc26054"/>
      <w:bookmarkStart w:id="423" w:name="_Toc14535"/>
      <w:bookmarkStart w:id="424" w:name="_Toc8128"/>
      <w:bookmarkStart w:id="425" w:name="_Toc19714"/>
      <w:bookmarkStart w:id="426" w:name="_Toc24129"/>
      <w:bookmarkStart w:id="427" w:name="_Toc6021"/>
      <w:bookmarkStart w:id="428" w:name="_Toc9668"/>
      <w:bookmarkStart w:id="429" w:name="_Toc26181"/>
      <w:bookmarkStart w:id="430" w:name="_Toc5618"/>
      <w:bookmarkStart w:id="431" w:name="_Toc26337"/>
      <w:bookmarkStart w:id="432" w:name="_Toc30821"/>
      <w:bookmarkStart w:id="433" w:name="_Toc11711"/>
      <w:bookmarkStart w:id="434" w:name="_Toc11863"/>
      <w:bookmarkStart w:id="435" w:name="_Toc10363"/>
      <w:bookmarkStart w:id="436" w:name="_Toc32613"/>
      <w:r>
        <w:rPr>
          <w:rFonts w:hint="eastAsia" w:cs="宋体"/>
          <w:b/>
          <w:bCs/>
          <w:szCs w:val="21"/>
        </w:rPr>
        <w:t>合同生效和终止</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widowControl w:val="0"/>
        <w:numPr>
          <w:ilvl w:val="0"/>
          <w:numId w:val="66"/>
        </w:numPr>
        <w:adjustRightInd w:val="0"/>
        <w:snapToGrid w:val="0"/>
        <w:spacing w:line="430" w:lineRule="exact"/>
        <w:ind w:firstLine="66"/>
        <w:jc w:val="both"/>
        <w:rPr>
          <w:rFonts w:hint="eastAsia" w:cs="宋体"/>
          <w:snapToGrid w:val="0"/>
          <w:szCs w:val="21"/>
        </w:rPr>
      </w:pPr>
      <w:r>
        <w:rPr>
          <w:rFonts w:hint="eastAsia" w:cs="宋体"/>
          <w:snapToGrid w:val="0"/>
          <w:szCs w:val="21"/>
        </w:rPr>
        <w:t>生效</w:t>
      </w:r>
    </w:p>
    <w:p>
      <w:pPr>
        <w:widowControl w:val="0"/>
        <w:adjustRightInd w:val="0"/>
        <w:snapToGrid w:val="0"/>
        <w:spacing w:line="430" w:lineRule="exact"/>
        <w:ind w:left="426" w:firstLine="420" w:firstLineChars="200"/>
        <w:jc w:val="both"/>
        <w:rPr>
          <w:rFonts w:hint="eastAsia" w:cs="宋体"/>
          <w:snapToGrid w:val="0"/>
          <w:szCs w:val="21"/>
        </w:rPr>
      </w:pPr>
      <w:r>
        <w:rPr>
          <w:rFonts w:hint="eastAsia" w:cs="宋体"/>
          <w:snapToGrid w:val="0"/>
          <w:szCs w:val="21"/>
        </w:rPr>
        <w:t>本合同经双方授权代表签字盖章后生效。</w:t>
      </w:r>
    </w:p>
    <w:p>
      <w:pPr>
        <w:widowControl w:val="0"/>
        <w:numPr>
          <w:ilvl w:val="0"/>
          <w:numId w:val="66"/>
        </w:numPr>
        <w:adjustRightInd w:val="0"/>
        <w:snapToGrid w:val="0"/>
        <w:spacing w:line="430" w:lineRule="exact"/>
        <w:ind w:firstLine="66"/>
        <w:jc w:val="both"/>
        <w:rPr>
          <w:rFonts w:hint="eastAsia" w:cs="宋体"/>
          <w:snapToGrid w:val="0"/>
          <w:szCs w:val="21"/>
        </w:rPr>
      </w:pPr>
      <w:r>
        <w:rPr>
          <w:rFonts w:hint="eastAsia" w:cs="宋体"/>
          <w:snapToGrid w:val="0"/>
          <w:szCs w:val="21"/>
        </w:rPr>
        <w:t>终止</w:t>
      </w:r>
    </w:p>
    <w:p>
      <w:pPr>
        <w:numPr>
          <w:ilvl w:val="0"/>
          <w:numId w:val="67"/>
        </w:numPr>
        <w:tabs>
          <w:tab w:val="left" w:pos="0"/>
          <w:tab w:val="clear" w:pos="840"/>
        </w:tabs>
        <w:spacing w:line="430" w:lineRule="exact"/>
        <w:ind w:left="360" w:firstLine="66"/>
        <w:rPr>
          <w:rFonts w:hint="eastAsia" w:cs="宋体"/>
          <w:snapToGrid w:val="0"/>
          <w:szCs w:val="21"/>
        </w:rPr>
      </w:pPr>
      <w:r>
        <w:rPr>
          <w:rFonts w:hint="eastAsia" w:cs="宋体"/>
          <w:snapToGrid w:val="0"/>
          <w:szCs w:val="21"/>
        </w:rPr>
        <w:t>提前终止</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如果甲方在服务期内无理由终止合同，甲方须提前一个月向乙方发出书面通知终止承包，甲方支付给乙方月度承包服务款二倍金额的赔偿金。</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因乙方在服务期内累计3次物业服务考评未达标，甲方有权</w:t>
      </w:r>
      <w:r>
        <w:rPr>
          <w:rFonts w:hint="eastAsia" w:cs="宋体"/>
          <w:szCs w:val="21"/>
        </w:rPr>
        <w:t>无责单方</w:t>
      </w:r>
      <w:r>
        <w:rPr>
          <w:rFonts w:hint="eastAsia" w:cs="宋体"/>
          <w:snapToGrid w:val="0"/>
          <w:szCs w:val="21"/>
        </w:rPr>
        <w:t>终止承包，且乙方须支付给甲方月度承包服务款三倍金额的赔偿金。</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如甲方发现乙方出现转租、转让、抵押承包等情况，甲方有权</w:t>
      </w:r>
      <w:r>
        <w:rPr>
          <w:rFonts w:hint="eastAsia" w:cs="宋体"/>
          <w:szCs w:val="21"/>
        </w:rPr>
        <w:t>无责单方</w:t>
      </w:r>
      <w:r>
        <w:rPr>
          <w:rFonts w:hint="eastAsia" w:cs="宋体"/>
          <w:snapToGrid w:val="0"/>
          <w:szCs w:val="21"/>
        </w:rPr>
        <w:t>终止承包，且乙方须支付给甲方月度承包服务款三倍金额的赔偿金。</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如果乙方在服务期内无理由终止合同，乙方须提前三个月向甲方发出书面通知终止承包，并支付给甲方月度承包服务款三倍金额的赔偿金；如果乙方在服务期内突然无理由终止合同，未提前三个月向甲方发出书面通知终止承包，并须支付给甲方月度承包服务款五倍金额的赔偿金。</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如果乙方在服务期内由于乙方原因造成重大责任事故或安全事故，甲方有权</w:t>
      </w:r>
      <w:r>
        <w:rPr>
          <w:rFonts w:hint="eastAsia" w:cs="宋体"/>
          <w:szCs w:val="21"/>
        </w:rPr>
        <w:t>无责单方</w:t>
      </w:r>
      <w:r>
        <w:rPr>
          <w:rFonts w:hint="eastAsia" w:cs="宋体"/>
          <w:snapToGrid w:val="0"/>
          <w:szCs w:val="21"/>
        </w:rPr>
        <w:t>终止承包，且乙方须赔偿给甲方造成的经济损失，并须支付给甲方月度承包服务款五倍金额的赔偿金。</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乙方未能履行合同和遵守有关规定，在甲方发出书面警告后一周内乙方仍无采取补救措施，甲方可立即终止承包。</w:t>
      </w:r>
    </w:p>
    <w:p>
      <w:pPr>
        <w:pStyle w:val="112"/>
        <w:numPr>
          <w:ilvl w:val="0"/>
          <w:numId w:val="68"/>
        </w:numPr>
        <w:tabs>
          <w:tab w:val="left" w:pos="426"/>
          <w:tab w:val="left" w:pos="851"/>
        </w:tabs>
        <w:spacing w:line="430" w:lineRule="exact"/>
        <w:ind w:left="0" w:firstLine="426" w:firstLineChars="0"/>
        <w:rPr>
          <w:rFonts w:hint="eastAsia" w:cs="宋体"/>
          <w:snapToGrid w:val="0"/>
          <w:szCs w:val="21"/>
        </w:rPr>
      </w:pPr>
      <w:r>
        <w:rPr>
          <w:rFonts w:hint="eastAsia" w:cs="宋体"/>
          <w:snapToGrid w:val="0"/>
          <w:szCs w:val="21"/>
        </w:rPr>
        <w:t>乙方破产清处、重组及兼并等事实发生，或被债权人接管经营，甲方不必通知乙方即可终止承包。</w:t>
      </w:r>
    </w:p>
    <w:p>
      <w:pPr>
        <w:numPr>
          <w:ilvl w:val="0"/>
          <w:numId w:val="67"/>
        </w:numPr>
        <w:tabs>
          <w:tab w:val="left" w:pos="0"/>
          <w:tab w:val="clear" w:pos="840"/>
        </w:tabs>
        <w:spacing w:line="430" w:lineRule="exact"/>
        <w:ind w:left="360" w:firstLine="66"/>
        <w:rPr>
          <w:rFonts w:hint="eastAsia" w:cs="宋体"/>
          <w:snapToGrid w:val="0"/>
          <w:szCs w:val="21"/>
        </w:rPr>
      </w:pPr>
      <w:r>
        <w:rPr>
          <w:rFonts w:hint="eastAsia" w:cs="宋体"/>
          <w:snapToGrid w:val="0"/>
          <w:szCs w:val="21"/>
        </w:rPr>
        <w:t xml:space="preserve">协议终止  </w:t>
      </w:r>
    </w:p>
    <w:p>
      <w:pPr>
        <w:spacing w:line="430" w:lineRule="exact"/>
        <w:ind w:left="420"/>
        <w:rPr>
          <w:rFonts w:hint="eastAsia" w:cs="宋体"/>
          <w:snapToGrid w:val="0"/>
          <w:szCs w:val="21"/>
        </w:rPr>
      </w:pPr>
      <w:r>
        <w:rPr>
          <w:rFonts w:hint="eastAsia" w:cs="宋体"/>
          <w:snapToGrid w:val="0"/>
          <w:szCs w:val="21"/>
        </w:rPr>
        <w:t>经双方协商同意，可在任何时候终止承包</w:t>
      </w:r>
      <w:r>
        <w:rPr>
          <w:rFonts w:hint="eastAsia" w:cs="宋体"/>
          <w:bCs/>
          <w:snapToGrid w:val="0"/>
          <w:szCs w:val="21"/>
        </w:rPr>
        <w:t>。</w:t>
      </w:r>
    </w:p>
    <w:p>
      <w:pPr>
        <w:numPr>
          <w:ilvl w:val="0"/>
          <w:numId w:val="67"/>
        </w:numPr>
        <w:tabs>
          <w:tab w:val="left" w:pos="0"/>
          <w:tab w:val="clear" w:pos="840"/>
        </w:tabs>
        <w:spacing w:line="430" w:lineRule="exact"/>
        <w:ind w:left="360" w:firstLine="66"/>
        <w:rPr>
          <w:rFonts w:hint="eastAsia" w:cs="宋体"/>
          <w:snapToGrid w:val="0"/>
          <w:szCs w:val="21"/>
        </w:rPr>
      </w:pPr>
      <w:r>
        <w:rPr>
          <w:rFonts w:hint="eastAsia" w:cs="宋体"/>
          <w:snapToGrid w:val="0"/>
          <w:szCs w:val="21"/>
        </w:rPr>
        <w:t>自然终止</w:t>
      </w:r>
    </w:p>
    <w:p>
      <w:pPr>
        <w:spacing w:line="430" w:lineRule="exact"/>
        <w:ind w:left="420"/>
        <w:rPr>
          <w:rFonts w:hint="eastAsia" w:cs="宋体"/>
          <w:snapToGrid w:val="0"/>
          <w:szCs w:val="21"/>
        </w:rPr>
      </w:pPr>
      <w:r>
        <w:rPr>
          <w:rFonts w:hint="eastAsia" w:cs="宋体"/>
          <w:snapToGrid w:val="0"/>
          <w:szCs w:val="21"/>
        </w:rPr>
        <w:t>合同规定的承包期满。</w:t>
      </w:r>
    </w:p>
    <w:p>
      <w:pPr>
        <w:widowControl w:val="0"/>
        <w:numPr>
          <w:ilvl w:val="0"/>
          <w:numId w:val="66"/>
        </w:numPr>
        <w:adjustRightInd w:val="0"/>
        <w:snapToGrid w:val="0"/>
        <w:spacing w:line="430" w:lineRule="exact"/>
        <w:ind w:firstLine="66"/>
        <w:jc w:val="both"/>
        <w:rPr>
          <w:rFonts w:hint="eastAsia" w:cs="宋体"/>
          <w:snapToGrid w:val="0"/>
          <w:szCs w:val="21"/>
        </w:rPr>
      </w:pPr>
      <w:r>
        <w:rPr>
          <w:rFonts w:hint="eastAsia" w:cs="宋体"/>
          <w:snapToGrid w:val="0"/>
          <w:szCs w:val="21"/>
        </w:rPr>
        <w:t>承包终止后果</w:t>
      </w:r>
    </w:p>
    <w:p>
      <w:pPr>
        <w:numPr>
          <w:ilvl w:val="0"/>
          <w:numId w:val="69"/>
        </w:numPr>
        <w:spacing w:line="430" w:lineRule="exact"/>
        <w:rPr>
          <w:rFonts w:hint="eastAsia" w:cs="宋体"/>
          <w:snapToGrid w:val="0"/>
          <w:szCs w:val="21"/>
        </w:rPr>
      </w:pPr>
      <w:r>
        <w:rPr>
          <w:rFonts w:hint="eastAsia" w:cs="宋体"/>
          <w:snapToGrid w:val="0"/>
          <w:szCs w:val="21"/>
        </w:rPr>
        <w:t>终止承包，不影响根据合同规定进行的赔偿、补偿。</w:t>
      </w:r>
    </w:p>
    <w:p>
      <w:pPr>
        <w:numPr>
          <w:ilvl w:val="0"/>
          <w:numId w:val="69"/>
        </w:numPr>
        <w:tabs>
          <w:tab w:val="left" w:pos="0"/>
          <w:tab w:val="clear" w:pos="840"/>
        </w:tabs>
        <w:spacing w:line="430" w:lineRule="exact"/>
        <w:ind w:left="0" w:firstLine="420"/>
        <w:rPr>
          <w:rFonts w:hint="eastAsia" w:cs="宋体"/>
          <w:snapToGrid w:val="0"/>
          <w:szCs w:val="21"/>
        </w:rPr>
      </w:pPr>
      <w:r>
        <w:rPr>
          <w:rFonts w:hint="eastAsia" w:cs="宋体"/>
          <w:snapToGrid w:val="0"/>
          <w:szCs w:val="21"/>
        </w:rPr>
        <w:t>承包终止时，双方应进行结算，甲方同时进行乙方承包区域设施、设备状况检查并要求乙方三天内将乙方物品撤离承包区域，否则甲方将代理处理，乙方支付甲方代理费及15%的手续费。</w:t>
      </w:r>
    </w:p>
    <w:p>
      <w:pPr>
        <w:widowControl w:val="0"/>
        <w:numPr>
          <w:ilvl w:val="0"/>
          <w:numId w:val="66"/>
        </w:numPr>
        <w:adjustRightInd w:val="0"/>
        <w:snapToGrid w:val="0"/>
        <w:spacing w:line="430" w:lineRule="exact"/>
        <w:ind w:firstLine="66"/>
        <w:jc w:val="both"/>
        <w:rPr>
          <w:rFonts w:hint="eastAsia" w:cs="宋体"/>
          <w:snapToGrid w:val="0"/>
          <w:szCs w:val="21"/>
        </w:rPr>
      </w:pPr>
      <w:r>
        <w:rPr>
          <w:rFonts w:hint="eastAsia" w:cs="宋体"/>
          <w:snapToGrid w:val="0"/>
          <w:szCs w:val="21"/>
        </w:rPr>
        <w:t>不放弃权利</w:t>
      </w:r>
    </w:p>
    <w:p>
      <w:pPr>
        <w:spacing w:line="430" w:lineRule="exact"/>
        <w:ind w:firstLine="420" w:firstLineChars="200"/>
        <w:rPr>
          <w:rFonts w:hint="eastAsia" w:cs="宋体"/>
          <w:snapToGrid w:val="0"/>
          <w:szCs w:val="21"/>
        </w:rPr>
      </w:pPr>
      <w:r>
        <w:rPr>
          <w:rFonts w:hint="eastAsia" w:cs="宋体"/>
          <w:snapToGrid w:val="0"/>
          <w:szCs w:val="21"/>
        </w:rPr>
        <w:t>甲方接受乙方的服务，但不放弃对乙方违约行为进行追究的权利；同时，若甲方对乙方某一违约行为放弃进行追究的权利，但不放弃对乙方其他违约行为进行追究的权利。</w:t>
      </w:r>
    </w:p>
    <w:p>
      <w:pPr>
        <w:numPr>
          <w:ilvl w:val="0"/>
          <w:numId w:val="48"/>
        </w:numPr>
        <w:spacing w:before="156" w:beforeLines="50" w:after="156" w:afterLines="50" w:line="360" w:lineRule="auto"/>
        <w:ind w:firstLine="422" w:firstLineChars="200"/>
        <w:rPr>
          <w:rFonts w:hint="eastAsia" w:cs="宋体"/>
          <w:b/>
          <w:bCs/>
          <w:szCs w:val="21"/>
        </w:rPr>
      </w:pPr>
      <w:bookmarkStart w:id="437" w:name="_Toc30696"/>
      <w:bookmarkStart w:id="438" w:name="_Toc19557"/>
      <w:bookmarkStart w:id="439" w:name="_Toc5912"/>
      <w:bookmarkStart w:id="440" w:name="_Toc15335"/>
      <w:bookmarkStart w:id="441" w:name="_Toc3954"/>
      <w:bookmarkStart w:id="442" w:name="_Toc10062"/>
      <w:bookmarkStart w:id="443" w:name="_Toc12106"/>
      <w:bookmarkStart w:id="444" w:name="_Toc17776"/>
      <w:bookmarkStart w:id="445" w:name="_Toc17222"/>
      <w:bookmarkStart w:id="446" w:name="_Toc15280"/>
      <w:bookmarkStart w:id="447" w:name="_Toc12254"/>
      <w:r>
        <w:rPr>
          <w:rFonts w:hint="eastAsia" w:cs="宋体"/>
          <w:b/>
          <w:bCs/>
          <w:szCs w:val="21"/>
        </w:rPr>
        <w:t>其他说明</w:t>
      </w:r>
      <w:bookmarkEnd w:id="437"/>
      <w:bookmarkEnd w:id="438"/>
      <w:bookmarkEnd w:id="439"/>
      <w:bookmarkEnd w:id="440"/>
      <w:bookmarkEnd w:id="441"/>
      <w:bookmarkEnd w:id="442"/>
      <w:bookmarkEnd w:id="443"/>
      <w:bookmarkEnd w:id="444"/>
      <w:bookmarkEnd w:id="445"/>
      <w:bookmarkEnd w:id="446"/>
      <w:bookmarkEnd w:id="447"/>
    </w:p>
    <w:p>
      <w:pPr>
        <w:numPr>
          <w:ilvl w:val="0"/>
          <w:numId w:val="70"/>
        </w:numPr>
        <w:spacing w:line="360" w:lineRule="auto"/>
        <w:ind w:left="6" w:firstLine="414"/>
        <w:rPr>
          <w:rFonts w:hint="eastAsia" w:cs="宋体"/>
          <w:szCs w:val="21"/>
        </w:rPr>
      </w:pPr>
      <w:r>
        <w:rPr>
          <w:rFonts w:hint="eastAsia" w:cs="宋体"/>
          <w:szCs w:val="21"/>
        </w:rPr>
        <w:t>本合同中所述通知，必须为书面形式，并有送达签收。</w:t>
      </w:r>
    </w:p>
    <w:p>
      <w:pPr>
        <w:numPr>
          <w:ilvl w:val="0"/>
          <w:numId w:val="70"/>
        </w:numPr>
        <w:spacing w:line="360" w:lineRule="auto"/>
        <w:ind w:left="6" w:firstLine="414"/>
        <w:rPr>
          <w:rFonts w:hint="eastAsia" w:cs="宋体"/>
          <w:szCs w:val="21"/>
        </w:rPr>
      </w:pPr>
      <w:r>
        <w:rPr>
          <w:rFonts w:hint="eastAsia" w:cs="宋体"/>
          <w:szCs w:val="21"/>
        </w:rPr>
        <w:t>关于本合同争议，应双方友好协调解决，协商不一致，任何一方均可提起仲裁或诉讼，仲裁或诉讼按合同履行地原则。</w:t>
      </w:r>
    </w:p>
    <w:p>
      <w:pPr>
        <w:numPr>
          <w:ilvl w:val="0"/>
          <w:numId w:val="70"/>
        </w:numPr>
        <w:spacing w:line="360" w:lineRule="auto"/>
        <w:ind w:left="6" w:firstLine="414"/>
        <w:rPr>
          <w:rFonts w:hint="eastAsia" w:cs="宋体"/>
          <w:szCs w:val="21"/>
        </w:rPr>
      </w:pPr>
      <w:r>
        <w:rPr>
          <w:rFonts w:hint="eastAsia" w:cs="宋体"/>
          <w:szCs w:val="21"/>
        </w:rPr>
        <w:t>如双方同意，可以书面修改或补充本合同条款，合同的附件、修改（补充）件均与本合同同效。</w:t>
      </w:r>
    </w:p>
    <w:p>
      <w:pPr>
        <w:numPr>
          <w:ilvl w:val="0"/>
          <w:numId w:val="70"/>
        </w:numPr>
        <w:spacing w:line="360" w:lineRule="auto"/>
        <w:ind w:left="6" w:firstLine="414"/>
        <w:rPr>
          <w:rFonts w:hint="eastAsia" w:cs="宋体"/>
          <w:szCs w:val="21"/>
        </w:rPr>
      </w:pPr>
      <w:r>
        <w:rPr>
          <w:rFonts w:hint="eastAsia" w:cs="宋体"/>
          <w:szCs w:val="21"/>
        </w:rPr>
        <w:t>本合同为政府采购合同，招标文件、补充文件、中标通知书、乙方的投标文件及澄清文件均为本合同不可分割的组成部分。</w:t>
      </w:r>
    </w:p>
    <w:p>
      <w:pPr>
        <w:numPr>
          <w:ilvl w:val="0"/>
          <w:numId w:val="48"/>
        </w:numPr>
        <w:spacing w:before="156" w:beforeLines="50" w:after="156" w:afterLines="50" w:line="360" w:lineRule="auto"/>
        <w:ind w:firstLine="422" w:firstLineChars="200"/>
        <w:rPr>
          <w:rFonts w:hint="eastAsia" w:cs="宋体"/>
          <w:b/>
          <w:bCs/>
          <w:szCs w:val="21"/>
        </w:rPr>
      </w:pPr>
      <w:bookmarkStart w:id="448" w:name="_Toc28021"/>
      <w:bookmarkStart w:id="449" w:name="_Toc23650"/>
      <w:bookmarkStart w:id="450" w:name="_Toc18017"/>
      <w:bookmarkStart w:id="451" w:name="_Toc213"/>
      <w:bookmarkStart w:id="452" w:name="_Toc15978"/>
      <w:bookmarkStart w:id="453" w:name="_Toc31048"/>
      <w:bookmarkStart w:id="454" w:name="_Toc21904"/>
      <w:bookmarkStart w:id="455" w:name="_Toc19268"/>
      <w:bookmarkStart w:id="456" w:name="_Toc25826"/>
      <w:bookmarkStart w:id="457" w:name="_Toc5655"/>
      <w:bookmarkStart w:id="458" w:name="_Toc12204"/>
      <w:r>
        <w:rPr>
          <w:rFonts w:hint="eastAsia" w:cs="宋体"/>
          <w:b/>
          <w:bCs/>
          <w:szCs w:val="21"/>
        </w:rPr>
        <w:t>合同有效时间</w:t>
      </w:r>
      <w:bookmarkEnd w:id="448"/>
      <w:bookmarkEnd w:id="449"/>
      <w:bookmarkEnd w:id="450"/>
      <w:bookmarkEnd w:id="451"/>
      <w:bookmarkEnd w:id="452"/>
      <w:bookmarkEnd w:id="453"/>
      <w:bookmarkEnd w:id="454"/>
      <w:bookmarkEnd w:id="455"/>
      <w:bookmarkEnd w:id="456"/>
      <w:bookmarkEnd w:id="457"/>
      <w:bookmarkEnd w:id="458"/>
    </w:p>
    <w:p>
      <w:pPr>
        <w:spacing w:line="480" w:lineRule="auto"/>
        <w:ind w:firstLine="898" w:firstLineChars="428"/>
        <w:rPr>
          <w:rFonts w:hint="eastAsia" w:cs="宋体"/>
          <w:szCs w:val="21"/>
        </w:rPr>
      </w:pPr>
      <w:r>
        <w:rPr>
          <w:rFonts w:hint="eastAsia" w:cs="宋体"/>
          <w:szCs w:val="21"/>
        </w:rPr>
        <w:t>合同生效之日起一年。</w:t>
      </w:r>
    </w:p>
    <w:p>
      <w:pPr>
        <w:numPr>
          <w:ilvl w:val="0"/>
          <w:numId w:val="48"/>
        </w:numPr>
        <w:spacing w:before="156" w:beforeLines="50" w:after="156" w:afterLines="50" w:line="360" w:lineRule="auto"/>
        <w:ind w:firstLine="420" w:firstLineChars="200"/>
        <w:rPr>
          <w:rFonts w:hint="eastAsia" w:cs="宋体"/>
          <w:b/>
          <w:bCs/>
          <w:szCs w:val="21"/>
        </w:rPr>
      </w:pPr>
      <w:r>
        <w:rPr>
          <w:rFonts w:hint="eastAsia" w:cs="宋体"/>
          <w:szCs w:val="21"/>
        </w:rPr>
        <w:t>本合同一式叁份，甲方执壹份，乙方执壹份，采购代理机构执壹份。</w:t>
      </w:r>
    </w:p>
    <w:p>
      <w:pPr>
        <w:spacing w:line="480" w:lineRule="auto"/>
        <w:ind w:firstLine="220" w:firstLineChars="100"/>
        <w:rPr>
          <w:rFonts w:hint="eastAsia" w:cs="宋体"/>
          <w:sz w:val="22"/>
          <w:szCs w:val="22"/>
        </w:rPr>
      </w:pPr>
      <w:r>
        <w:rPr>
          <w:rFonts w:hint="eastAsia" w:cs="宋体"/>
          <w:sz w:val="22"/>
          <w:szCs w:val="22"/>
        </w:rPr>
        <w:t>甲方：（盖章）                       乙方：（盖章）</w:t>
      </w:r>
    </w:p>
    <w:p>
      <w:pPr>
        <w:spacing w:line="480" w:lineRule="auto"/>
        <w:ind w:firstLine="220" w:firstLineChars="100"/>
        <w:rPr>
          <w:rFonts w:hint="eastAsia" w:cs="宋体"/>
          <w:sz w:val="22"/>
          <w:szCs w:val="22"/>
        </w:rPr>
      </w:pPr>
      <w:r>
        <w:rPr>
          <w:rFonts w:hint="eastAsia" w:cs="宋体"/>
          <w:sz w:val="22"/>
          <w:szCs w:val="22"/>
        </w:rPr>
        <w:t>全权代表:（签字）                    全权代表:（签字）</w:t>
      </w:r>
    </w:p>
    <w:p>
      <w:pPr>
        <w:spacing w:line="480" w:lineRule="auto"/>
        <w:ind w:firstLine="220" w:firstLineChars="100"/>
        <w:rPr>
          <w:rFonts w:hint="eastAsia" w:cs="宋体"/>
          <w:sz w:val="22"/>
          <w:szCs w:val="22"/>
        </w:rPr>
      </w:pPr>
      <w:r>
        <w:rPr>
          <w:rFonts w:hint="eastAsia" w:cs="宋体"/>
          <w:sz w:val="22"/>
          <w:szCs w:val="22"/>
        </w:rPr>
        <w:t>地址：                               地址：</w:t>
      </w:r>
    </w:p>
    <w:p>
      <w:pPr>
        <w:spacing w:line="480" w:lineRule="auto"/>
        <w:ind w:firstLine="220" w:firstLineChars="100"/>
        <w:rPr>
          <w:rFonts w:hint="eastAsia" w:cs="宋体"/>
          <w:sz w:val="22"/>
          <w:szCs w:val="22"/>
        </w:rPr>
      </w:pPr>
      <w:r>
        <w:rPr>
          <w:rFonts w:hint="eastAsia" w:cs="宋体"/>
          <w:sz w:val="22"/>
          <w:szCs w:val="22"/>
        </w:rPr>
        <w:t>电话：                               电话：</w:t>
      </w:r>
    </w:p>
    <w:p>
      <w:pPr>
        <w:spacing w:line="480" w:lineRule="auto"/>
        <w:ind w:firstLine="220" w:firstLineChars="100"/>
        <w:rPr>
          <w:rFonts w:hint="eastAsia" w:cs="宋体"/>
          <w:sz w:val="22"/>
          <w:szCs w:val="22"/>
        </w:rPr>
      </w:pPr>
      <w:r>
        <w:rPr>
          <w:rFonts w:hint="eastAsia" w:cs="宋体"/>
          <w:sz w:val="22"/>
          <w:szCs w:val="22"/>
        </w:rPr>
        <w:t>开户银行：                           开户银行：</w:t>
      </w:r>
    </w:p>
    <w:p>
      <w:pPr>
        <w:spacing w:line="480" w:lineRule="auto"/>
        <w:ind w:firstLine="220" w:firstLineChars="100"/>
        <w:rPr>
          <w:rFonts w:hint="eastAsia" w:cs="宋体"/>
          <w:sz w:val="22"/>
          <w:szCs w:val="22"/>
        </w:rPr>
      </w:pPr>
      <w:r>
        <w:rPr>
          <w:rFonts w:hint="eastAsia" w:cs="宋体"/>
          <w:sz w:val="22"/>
          <w:szCs w:val="22"/>
        </w:rPr>
        <w:t>帐号：                               帐号：</w:t>
      </w:r>
    </w:p>
    <w:p>
      <w:pPr>
        <w:spacing w:line="480" w:lineRule="auto"/>
        <w:ind w:firstLine="220" w:firstLineChars="100"/>
        <w:rPr>
          <w:rFonts w:hint="eastAsia" w:cs="宋体"/>
          <w:sz w:val="22"/>
          <w:szCs w:val="22"/>
        </w:rPr>
      </w:pPr>
      <w:r>
        <w:rPr>
          <w:rFonts w:hint="eastAsia" w:cs="宋体"/>
          <w:sz w:val="22"/>
          <w:szCs w:val="22"/>
        </w:rPr>
        <w:t>日期：                               日期：</w:t>
      </w:r>
    </w:p>
    <w:p>
      <w:pPr>
        <w:pStyle w:val="19"/>
        <w:rPr>
          <w:rFonts w:hint="eastAsia" w:cs="宋体"/>
        </w:rPr>
      </w:pPr>
    </w:p>
    <w:p>
      <w:pPr>
        <w:snapToGrid w:val="0"/>
        <w:spacing w:before="156" w:beforeLines="50" w:line="360" w:lineRule="auto"/>
        <w:rPr>
          <w:rFonts w:hint="eastAsia" w:cs="宋体"/>
          <w:b/>
          <w:kern w:val="2"/>
          <w:szCs w:val="21"/>
        </w:rPr>
      </w:pPr>
      <w:r>
        <w:rPr>
          <w:rFonts w:hint="eastAsia" w:cs="宋体"/>
          <w:b/>
          <w:szCs w:val="21"/>
        </w:rPr>
        <w:t>注：</w:t>
      </w:r>
      <w:r>
        <w:rPr>
          <w:rFonts w:hint="eastAsia" w:cs="宋体"/>
          <w:b/>
          <w:kern w:val="2"/>
          <w:szCs w:val="21"/>
        </w:rPr>
        <w:t>1、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napToGrid w:val="0"/>
        <w:spacing w:line="360" w:lineRule="auto"/>
        <w:ind w:firstLine="422" w:firstLineChars="200"/>
        <w:jc w:val="both"/>
        <w:rPr>
          <w:rFonts w:hint="eastAsia" w:cs="宋体"/>
          <w:b/>
          <w:kern w:val="2"/>
          <w:szCs w:val="21"/>
        </w:rPr>
      </w:pPr>
      <w:r>
        <w:rPr>
          <w:rFonts w:hint="eastAsia" w:cs="宋体"/>
          <w:b/>
          <w:kern w:val="2"/>
          <w:szCs w:val="21"/>
        </w:rPr>
        <w:t>2、本合同作为示范文本，具体以中标人与采购人所签定正式合同为准。</w:t>
      </w:r>
    </w:p>
    <w:p>
      <w:pPr>
        <w:pStyle w:val="3"/>
        <w:keepNext w:val="0"/>
        <w:keepLines w:val="0"/>
        <w:pageBreakBefore/>
        <w:spacing w:before="156" w:beforeLines="50" w:after="312" w:afterLines="100" w:line="240" w:lineRule="auto"/>
        <w:ind w:firstLine="2530" w:firstLineChars="900"/>
        <w:rPr>
          <w:rFonts w:hint="eastAsia" w:ascii="Times New Roman" w:cs="宋体"/>
          <w:sz w:val="28"/>
          <w:szCs w:val="36"/>
        </w:rPr>
      </w:pPr>
      <w:bookmarkStart w:id="459" w:name="_Toc12889"/>
      <w:bookmarkStart w:id="460" w:name="_Toc19249"/>
      <w:bookmarkStart w:id="461" w:name="_Toc2529"/>
      <w:bookmarkStart w:id="462" w:name="_Toc21735"/>
      <w:bookmarkStart w:id="463" w:name="_Toc17015"/>
      <w:bookmarkStart w:id="464" w:name="_Toc19434"/>
      <w:bookmarkStart w:id="465" w:name="_Toc16578"/>
      <w:bookmarkStart w:id="466" w:name="_Toc12337"/>
      <w:bookmarkStart w:id="467" w:name="_Toc3661"/>
      <w:bookmarkStart w:id="468" w:name="_Toc17993"/>
      <w:bookmarkStart w:id="469" w:name="_Toc1052"/>
      <w:bookmarkStart w:id="470" w:name="_Toc16739"/>
      <w:bookmarkStart w:id="471" w:name="_Toc17251"/>
      <w:bookmarkStart w:id="472" w:name="_Toc31370"/>
      <w:bookmarkStart w:id="473" w:name="_Toc23368"/>
      <w:bookmarkStart w:id="474" w:name="_Toc22714"/>
      <w:bookmarkStart w:id="475" w:name="_Toc14351"/>
      <w:bookmarkStart w:id="476" w:name="_Toc30430"/>
      <w:bookmarkStart w:id="477" w:name="_Toc544"/>
      <w:bookmarkStart w:id="478" w:name="_Toc138"/>
      <w:bookmarkStart w:id="479" w:name="_Toc23505"/>
      <w:bookmarkStart w:id="480" w:name="_Toc25645"/>
      <w:bookmarkStart w:id="481" w:name="_Toc5050"/>
      <w:bookmarkStart w:id="482" w:name="_Toc5033"/>
      <w:bookmarkStart w:id="483" w:name="_Toc28485"/>
      <w:bookmarkStart w:id="484" w:name="_Toc21434"/>
      <w:bookmarkStart w:id="485" w:name="_Toc23738"/>
      <w:bookmarkStart w:id="486" w:name="_Toc31049"/>
      <w:r>
        <w:rPr>
          <w:rFonts w:hint="eastAsia" w:ascii="Times New Roman" w:cs="宋体"/>
          <w:sz w:val="28"/>
          <w:szCs w:val="36"/>
        </w:rPr>
        <w:t>第六部分 投标文件格式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napToGrid w:val="0"/>
        <w:jc w:val="center"/>
        <w:rPr>
          <w:rFonts w:hint="eastAsia" w:cs="宋体"/>
          <w:szCs w:val="21"/>
        </w:rPr>
      </w:pPr>
    </w:p>
    <w:p>
      <w:pPr>
        <w:pStyle w:val="23"/>
        <w:spacing w:before="156" w:after="156" w:line="360" w:lineRule="auto"/>
        <w:ind w:firstLine="480" w:firstLineChars="200"/>
        <w:rPr>
          <w:rFonts w:hint="eastAsia" w:ascii="Times New Roman" w:hAnsi="Times New Roman" w:cs="宋体"/>
        </w:rPr>
      </w:pPr>
      <w:r>
        <w:rPr>
          <w:rFonts w:hint="eastAsia" w:ascii="Times New Roman" w:hAnsi="Times New Roman" w:cs="宋体"/>
        </w:rPr>
        <w:t>说明：</w:t>
      </w:r>
    </w:p>
    <w:p>
      <w:pPr>
        <w:pStyle w:val="23"/>
        <w:spacing w:before="156" w:after="156" w:line="360" w:lineRule="auto"/>
        <w:ind w:firstLine="480" w:firstLineChars="200"/>
        <w:rPr>
          <w:rFonts w:hint="eastAsia" w:ascii="Times New Roman" w:hAnsi="Times New Roman" w:cs="宋体"/>
        </w:rPr>
      </w:pPr>
      <w:r>
        <w:rPr>
          <w:rFonts w:hint="eastAsia" w:ascii="Times New Roman" w:hAnsi="Times New Roman" w:cs="宋体"/>
        </w:rPr>
        <w:t>1．投标文件由投标人根据招标文件要求按附件格式编制。</w:t>
      </w:r>
    </w:p>
    <w:p>
      <w:pPr>
        <w:pStyle w:val="23"/>
        <w:spacing w:before="156" w:after="156" w:line="360" w:lineRule="auto"/>
        <w:ind w:firstLine="480" w:firstLineChars="200"/>
        <w:rPr>
          <w:rFonts w:hint="eastAsia" w:ascii="Times New Roman" w:hAnsi="Times New Roman" w:cs="宋体"/>
        </w:rPr>
      </w:pPr>
      <w:r>
        <w:rPr>
          <w:rFonts w:hint="eastAsia" w:ascii="Times New Roman" w:hAnsi="Times New Roman" w:cs="宋体"/>
        </w:rPr>
        <w:t>2．投标人根据实际情况填写。</w:t>
      </w:r>
    </w:p>
    <w:p>
      <w:pPr>
        <w:pStyle w:val="23"/>
        <w:spacing w:before="156" w:after="156" w:line="360" w:lineRule="auto"/>
        <w:ind w:firstLine="480" w:firstLineChars="200"/>
        <w:rPr>
          <w:rFonts w:hint="eastAsia" w:ascii="Times New Roman" w:hAnsi="Times New Roman" w:cs="宋体"/>
        </w:rPr>
      </w:pPr>
      <w:r>
        <w:rPr>
          <w:rFonts w:hint="eastAsia" w:ascii="Times New Roman" w:hAnsi="Times New Roman" w:cs="宋体"/>
        </w:rPr>
        <w:t>3．招标文件中没有参考格式的，投标人自行编制。</w:t>
      </w:r>
    </w:p>
    <w:p>
      <w:pPr>
        <w:pStyle w:val="23"/>
        <w:spacing w:before="156" w:after="156" w:line="360" w:lineRule="auto"/>
        <w:ind w:firstLine="482" w:firstLineChars="200"/>
        <w:rPr>
          <w:rFonts w:hint="eastAsia" w:ascii="Times New Roman" w:hAnsi="Times New Roman" w:cs="宋体"/>
          <w:b/>
          <w:bCs/>
        </w:rPr>
      </w:pPr>
      <w:r>
        <w:rPr>
          <w:rFonts w:hint="eastAsia" w:ascii="Times New Roman" w:hAnsi="Times New Roman" w:cs="宋体"/>
          <w:b/>
          <w:bCs/>
        </w:rPr>
        <w:t>4.盖公章部分均采用电子签章。</w:t>
      </w:r>
    </w:p>
    <w:p>
      <w:pPr>
        <w:rPr>
          <w:rFonts w:hint="eastAsia" w:cs="宋体"/>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21"/>
        <w:ind w:right="-252"/>
        <w:rPr>
          <w:rFonts w:hint="eastAsia" w:ascii="Times New Roman" w:hAnsi="Times New Roman" w:cs="宋体"/>
          <w:szCs w:val="21"/>
        </w:rPr>
      </w:pPr>
    </w:p>
    <w:p>
      <w:pPr>
        <w:pStyle w:val="4"/>
        <w:keepNext w:val="0"/>
        <w:keepLines w:val="0"/>
        <w:pageBreakBefore/>
        <w:widowControl w:val="0"/>
        <w:tabs>
          <w:tab w:val="left" w:pos="840"/>
        </w:tabs>
        <w:adjustRightInd w:val="0"/>
        <w:snapToGrid w:val="0"/>
        <w:spacing w:before="312" w:beforeLines="100" w:after="312" w:afterLines="100" w:line="240" w:lineRule="auto"/>
        <w:jc w:val="center"/>
        <w:rPr>
          <w:rFonts w:hint="eastAsia" w:ascii="Times New Roman" w:hAnsi="Times New Roman" w:cs="宋体"/>
          <w:sz w:val="28"/>
          <w:szCs w:val="28"/>
        </w:rPr>
      </w:pPr>
      <w:bookmarkStart w:id="487" w:name="_Toc5572"/>
      <w:bookmarkStart w:id="488" w:name="_Toc15123"/>
      <w:bookmarkStart w:id="489" w:name="_Toc31387"/>
      <w:bookmarkStart w:id="490" w:name="_Toc1987"/>
      <w:bookmarkStart w:id="491" w:name="_Toc32310"/>
      <w:bookmarkStart w:id="492" w:name="_Toc22064"/>
      <w:bookmarkStart w:id="493" w:name="_Toc15760"/>
      <w:bookmarkStart w:id="494" w:name="_Toc3447"/>
      <w:bookmarkStart w:id="495" w:name="_Toc3627"/>
      <w:bookmarkStart w:id="496" w:name="_Toc10492"/>
      <w:bookmarkStart w:id="497" w:name="_Toc13099"/>
      <w:bookmarkStart w:id="498" w:name="_Toc17183"/>
      <w:bookmarkStart w:id="499" w:name="_Toc25377"/>
      <w:bookmarkStart w:id="500" w:name="_Toc21525"/>
      <w:bookmarkStart w:id="501" w:name="_Toc13751"/>
      <w:bookmarkStart w:id="502" w:name="_Toc16662"/>
      <w:bookmarkStart w:id="503" w:name="_Toc27899"/>
      <w:bookmarkStart w:id="504" w:name="_Toc10181"/>
      <w:bookmarkStart w:id="505" w:name="_Toc29014"/>
      <w:bookmarkStart w:id="506" w:name="_Toc12476"/>
      <w:bookmarkStart w:id="507" w:name="_Toc25531"/>
      <w:r>
        <w:rPr>
          <w:rFonts w:hint="eastAsia" w:ascii="Times New Roman" w:hAnsi="Times New Roman" w:cs="宋体"/>
          <w:sz w:val="28"/>
          <w:szCs w:val="28"/>
        </w:rPr>
        <w:t>附件一  关于符合《中华人民共和国政府采购法》第二十二条规定条件的承诺函</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widowControl w:val="0"/>
        <w:spacing w:line="360" w:lineRule="auto"/>
        <w:rPr>
          <w:rFonts w:hint="eastAsia" w:cs="宋体"/>
          <w:b/>
          <w:szCs w:val="21"/>
          <w:lang w:bidi="ar"/>
        </w:rPr>
      </w:pPr>
    </w:p>
    <w:p>
      <w:pPr>
        <w:widowControl w:val="0"/>
        <w:spacing w:line="360" w:lineRule="auto"/>
        <w:rPr>
          <w:rStyle w:val="144"/>
          <w:rFonts w:hint="eastAsia" w:cs="宋体"/>
          <w:bCs/>
        </w:rPr>
      </w:pPr>
      <w:r>
        <w:rPr>
          <w:rFonts w:hint="eastAsia" w:ascii="Times New Roman" w:hAnsi="Times New Roman" w:cs="宋体"/>
          <w:bCs/>
          <w:sz w:val="21"/>
          <w:szCs w:val="21"/>
        </w:rPr>
        <w:t>瑞安市</w:t>
      </w:r>
      <w:r>
        <w:rPr>
          <w:rFonts w:hint="eastAsia" w:ascii="Times New Roman" w:hAnsi="Times New Roman" w:cs="宋体"/>
          <w:bCs/>
          <w:sz w:val="21"/>
          <w:szCs w:val="21"/>
          <w:lang w:eastAsia="zh-CN"/>
        </w:rPr>
        <w:t>妇幼保健院</w:t>
      </w:r>
      <w:r>
        <w:rPr>
          <w:rFonts w:hint="eastAsia" w:cs="宋体"/>
          <w:bCs/>
          <w:szCs w:val="21"/>
          <w:lang w:bidi="ar"/>
        </w:rPr>
        <w:t>、瑞安市公共资源交易中心：</w:t>
      </w:r>
    </w:p>
    <w:p>
      <w:pPr>
        <w:spacing w:line="360" w:lineRule="auto"/>
        <w:ind w:firstLine="420" w:firstLineChars="200"/>
        <w:rPr>
          <w:rStyle w:val="144"/>
          <w:rFonts w:hint="eastAsia" w:cs="宋体"/>
        </w:rPr>
      </w:pPr>
      <w:r>
        <w:rPr>
          <w:rStyle w:val="144"/>
          <w:rFonts w:hint="eastAsia" w:cs="宋体"/>
        </w:rPr>
        <w:t>我公司参与</w:t>
      </w:r>
      <w:r>
        <w:rPr>
          <w:rStyle w:val="144"/>
          <w:rFonts w:hint="eastAsia" w:cs="宋体"/>
          <w:u w:val="single"/>
        </w:rPr>
        <w:t xml:space="preserve">项目名称                </w:t>
      </w:r>
      <w:r>
        <w:rPr>
          <w:rStyle w:val="144"/>
          <w:rFonts w:hint="eastAsia" w:cs="宋体"/>
        </w:rPr>
        <w:t>（项目编号：</w:t>
      </w:r>
      <w:r>
        <w:rPr>
          <w:rFonts w:hint="eastAsia" w:ascii="宋体" w:hAnsi="宋体" w:cs="宋体"/>
          <w:color w:val="auto"/>
          <w:szCs w:val="21"/>
          <w:lang w:eastAsia="zh-CN"/>
        </w:rPr>
        <w:t>RAJC20220611</w:t>
      </w:r>
      <w:r>
        <w:rPr>
          <w:rStyle w:val="144"/>
          <w:rFonts w:hint="eastAsia" w:cs="宋体"/>
        </w:rPr>
        <w:t>）投标，郑重承诺具备以下条件：</w:t>
      </w:r>
    </w:p>
    <w:p>
      <w:pPr>
        <w:numPr>
          <w:ilvl w:val="0"/>
          <w:numId w:val="71"/>
        </w:numPr>
        <w:spacing w:line="360" w:lineRule="auto"/>
        <w:rPr>
          <w:rStyle w:val="144"/>
          <w:rFonts w:hint="eastAsia" w:cs="宋体"/>
        </w:rPr>
      </w:pPr>
      <w:r>
        <w:rPr>
          <w:rStyle w:val="144"/>
          <w:rFonts w:hint="eastAsia" w:cs="宋体"/>
        </w:rPr>
        <w:t>具有独立承担民事责任的能力；</w:t>
      </w:r>
    </w:p>
    <w:p>
      <w:pPr>
        <w:numPr>
          <w:ilvl w:val="0"/>
          <w:numId w:val="71"/>
        </w:numPr>
        <w:spacing w:line="360" w:lineRule="auto"/>
        <w:rPr>
          <w:rStyle w:val="144"/>
          <w:rFonts w:hint="eastAsia" w:cs="宋体"/>
        </w:rPr>
      </w:pPr>
      <w:r>
        <w:rPr>
          <w:rStyle w:val="144"/>
          <w:rFonts w:hint="eastAsia" w:cs="宋体"/>
        </w:rPr>
        <w:t>具有良好的商业信誉和健全的财务会计制度；</w:t>
      </w:r>
    </w:p>
    <w:p>
      <w:pPr>
        <w:numPr>
          <w:ilvl w:val="0"/>
          <w:numId w:val="71"/>
        </w:numPr>
        <w:spacing w:line="360" w:lineRule="auto"/>
        <w:rPr>
          <w:rStyle w:val="144"/>
          <w:rFonts w:hint="eastAsia" w:cs="宋体"/>
        </w:rPr>
      </w:pPr>
      <w:r>
        <w:rPr>
          <w:rStyle w:val="144"/>
          <w:rFonts w:hint="eastAsia" w:cs="宋体"/>
        </w:rPr>
        <w:t>具有履行合同所必需的设备和专业技术能力；</w:t>
      </w:r>
    </w:p>
    <w:p>
      <w:pPr>
        <w:numPr>
          <w:ilvl w:val="0"/>
          <w:numId w:val="71"/>
        </w:numPr>
        <w:spacing w:line="360" w:lineRule="auto"/>
        <w:rPr>
          <w:rStyle w:val="144"/>
          <w:rFonts w:hint="eastAsia" w:cs="宋体"/>
        </w:rPr>
      </w:pPr>
      <w:r>
        <w:rPr>
          <w:rStyle w:val="144"/>
          <w:rFonts w:hint="eastAsia" w:cs="宋体"/>
        </w:rPr>
        <w:t>有依法缴纳税收和社会保障资金的良好记录；</w:t>
      </w:r>
    </w:p>
    <w:p>
      <w:pPr>
        <w:numPr>
          <w:ilvl w:val="0"/>
          <w:numId w:val="71"/>
        </w:numPr>
        <w:spacing w:line="360" w:lineRule="auto"/>
        <w:rPr>
          <w:rStyle w:val="144"/>
          <w:rFonts w:hint="eastAsia" w:cs="宋体"/>
        </w:rPr>
      </w:pPr>
      <w:r>
        <w:rPr>
          <w:rStyle w:val="144"/>
          <w:rFonts w:hint="eastAsia" w:cs="宋体"/>
        </w:rPr>
        <w:t>参加政府采购活动前三年内，在经营活动中没有重大违法记录；</w:t>
      </w:r>
    </w:p>
    <w:p>
      <w:pPr>
        <w:numPr>
          <w:ilvl w:val="0"/>
          <w:numId w:val="71"/>
        </w:numPr>
        <w:spacing w:line="360" w:lineRule="auto"/>
        <w:rPr>
          <w:rStyle w:val="144"/>
          <w:rFonts w:hint="eastAsia" w:cs="宋体"/>
        </w:rPr>
      </w:pPr>
      <w:r>
        <w:rPr>
          <w:rStyle w:val="144"/>
          <w:rFonts w:hint="eastAsia" w:cs="宋体"/>
        </w:rPr>
        <w:t>法律、行政法规规定的其他条件。</w:t>
      </w:r>
    </w:p>
    <w:p>
      <w:pPr>
        <w:spacing w:line="360" w:lineRule="auto"/>
        <w:ind w:firstLine="422" w:firstLineChars="200"/>
        <w:jc w:val="both"/>
        <w:rPr>
          <w:rStyle w:val="144"/>
          <w:rFonts w:hint="eastAsia" w:cs="宋体"/>
        </w:rPr>
      </w:pPr>
      <w:r>
        <w:rPr>
          <w:rStyle w:val="144"/>
          <w:rFonts w:hint="eastAsia" w:cs="宋体"/>
          <w:b/>
          <w:bCs/>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144"/>
          <w:rFonts w:hint="eastAsia" w:cs="宋体"/>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20" w:firstLineChars="200"/>
        <w:jc w:val="both"/>
        <w:rPr>
          <w:rStyle w:val="144"/>
          <w:rFonts w:hint="eastAsia" w:cs="宋体"/>
        </w:rPr>
      </w:pPr>
      <w:r>
        <w:rPr>
          <w:rStyle w:val="144"/>
          <w:rFonts w:hint="eastAsia" w:cs="宋体"/>
        </w:rPr>
        <w:t>我单位已知晓前述法律规定，对此无任何异议。</w:t>
      </w:r>
    </w:p>
    <w:p>
      <w:pPr>
        <w:ind w:firstLine="420" w:firstLineChars="200"/>
        <w:rPr>
          <w:rStyle w:val="144"/>
          <w:rFonts w:hint="eastAsia" w:cs="宋体"/>
        </w:rPr>
      </w:pPr>
    </w:p>
    <w:p>
      <w:pPr>
        <w:ind w:firstLine="420" w:firstLineChars="200"/>
        <w:rPr>
          <w:rStyle w:val="144"/>
          <w:rFonts w:hint="eastAsia" w:cs="宋体"/>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rPr>
          <w:rStyle w:val="144"/>
          <w:rFonts w:hint="eastAsia" w:cs="宋体"/>
          <w:b/>
          <w:bCs/>
        </w:rPr>
      </w:pPr>
    </w:p>
    <w:p>
      <w:pPr>
        <w:rPr>
          <w:rStyle w:val="144"/>
          <w:rFonts w:hint="eastAsia" w:cs="宋体"/>
          <w:b/>
          <w:bCs/>
        </w:rPr>
      </w:pPr>
    </w:p>
    <w:p>
      <w:pPr>
        <w:pStyle w:val="21"/>
        <w:ind w:right="-252"/>
        <w:rPr>
          <w:rFonts w:hint="eastAsia" w:ascii="Times New Roman" w:hAnsi="Times New Roman" w:cs="宋体"/>
        </w:rPr>
      </w:pPr>
    </w:p>
    <w:p>
      <w:pPr>
        <w:spacing w:line="360" w:lineRule="auto"/>
        <w:rPr>
          <w:rFonts w:hint="eastAsia" w:cs="宋体"/>
          <w:bCs/>
        </w:rPr>
      </w:pPr>
      <w:r>
        <w:rPr>
          <w:rFonts w:hint="eastAsia" w:cs="宋体"/>
          <w:bCs/>
        </w:rPr>
        <w:t>注：</w:t>
      </w:r>
    </w:p>
    <w:p>
      <w:pPr>
        <w:spacing w:line="360" w:lineRule="auto"/>
        <w:rPr>
          <w:rFonts w:hint="eastAsia" w:cs="宋体"/>
          <w:bCs/>
        </w:rPr>
      </w:pPr>
      <w:r>
        <w:rPr>
          <w:rFonts w:hint="eastAsia" w:cs="宋体"/>
          <w:bCs/>
        </w:rPr>
        <w:t>1.</w:t>
      </w:r>
      <w:r>
        <w:rPr>
          <w:rFonts w:hint="eastAsia" w:cs="宋体"/>
          <w:bCs/>
          <w:szCs w:val="21"/>
        </w:rPr>
        <w:t>本附件必须提供，不得自行增减内容。</w:t>
      </w:r>
    </w:p>
    <w:p>
      <w:pPr>
        <w:pStyle w:val="21"/>
        <w:ind w:left="0" w:right="-252"/>
        <w:rPr>
          <w:rFonts w:hint="eastAsia" w:ascii="Times New Roman" w:hAnsi="Times New Roman" w:cs="宋体"/>
          <w:szCs w:val="21"/>
        </w:rPr>
      </w:pPr>
    </w:p>
    <w:p>
      <w:pPr>
        <w:pStyle w:val="3"/>
        <w:keepNext w:val="0"/>
        <w:keepLines w:val="0"/>
        <w:pageBreakBefore/>
        <w:spacing w:before="156" w:beforeLines="50" w:after="156" w:afterLines="50" w:line="400" w:lineRule="atLeast"/>
        <w:ind w:firstLine="2168" w:firstLineChars="900"/>
        <w:rPr>
          <w:rFonts w:hint="eastAsia" w:ascii="Times New Roman" w:cs="宋体"/>
          <w:bCs/>
          <w:kern w:val="0"/>
          <w:szCs w:val="24"/>
        </w:rPr>
      </w:pPr>
      <w:bookmarkStart w:id="508" w:name="_Toc29909"/>
      <w:bookmarkStart w:id="509" w:name="_Toc1370"/>
      <w:bookmarkStart w:id="510" w:name="_Toc32515"/>
      <w:bookmarkStart w:id="511" w:name="_Toc4165"/>
      <w:bookmarkStart w:id="512" w:name="_Toc18973"/>
      <w:bookmarkStart w:id="513" w:name="_Toc23844"/>
      <w:bookmarkStart w:id="514" w:name="_Toc10434"/>
      <w:bookmarkStart w:id="515" w:name="_Toc4757"/>
      <w:bookmarkStart w:id="516" w:name="_Toc18170"/>
      <w:bookmarkStart w:id="517" w:name="_Toc14896"/>
      <w:bookmarkStart w:id="518" w:name="_Toc27646"/>
      <w:bookmarkStart w:id="519" w:name="_Toc17155"/>
      <w:bookmarkStart w:id="520" w:name="_Toc31875"/>
      <w:bookmarkStart w:id="521" w:name="_Toc5680"/>
      <w:bookmarkStart w:id="522" w:name="_Toc583"/>
      <w:bookmarkStart w:id="523" w:name="_Toc5103"/>
      <w:bookmarkStart w:id="524" w:name="_Toc12076"/>
      <w:bookmarkStart w:id="525" w:name="_Toc3386"/>
      <w:bookmarkStart w:id="526" w:name="_Toc18374"/>
      <w:bookmarkStart w:id="527" w:name="_Toc7037"/>
      <w:bookmarkStart w:id="528" w:name="_Toc21701"/>
      <w:bookmarkStart w:id="529" w:name="_Toc22566"/>
      <w:bookmarkStart w:id="530" w:name="_Toc29315"/>
      <w:bookmarkStart w:id="531" w:name="_Toc31328"/>
      <w:bookmarkStart w:id="532" w:name="_Toc21624"/>
      <w:r>
        <w:rPr>
          <w:rFonts w:hint="eastAsia" w:ascii="Times New Roman" w:cs="宋体"/>
          <w:bCs/>
          <w:kern w:val="0"/>
          <w:szCs w:val="24"/>
        </w:rPr>
        <w:t>附件</w:t>
      </w:r>
      <w:r>
        <w:rPr>
          <w:rFonts w:hint="eastAsia" w:ascii="Times New Roman" w:cs="宋体"/>
          <w:bCs/>
          <w:kern w:val="0"/>
          <w:szCs w:val="24"/>
          <w:lang w:val="en-US" w:eastAsia="zh-CN"/>
        </w:rPr>
        <w:t>二</w:t>
      </w:r>
      <w:r>
        <w:rPr>
          <w:rFonts w:hint="eastAsia" w:ascii="Times New Roman" w:cs="宋体"/>
          <w:bCs/>
          <w:kern w:val="0"/>
          <w:szCs w:val="24"/>
        </w:rPr>
        <w:t xml:space="preserve">  中小企业声明函（服务）</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19"/>
        <w:widowControl/>
        <w:spacing w:line="432" w:lineRule="auto"/>
        <w:ind w:left="0" w:leftChars="0" w:firstLine="420" w:firstLineChars="200"/>
        <w:rPr>
          <w:rFonts w:hint="eastAsia" w:cs="宋体"/>
          <w:szCs w:val="21"/>
        </w:rPr>
      </w:pPr>
      <w:r>
        <w:rPr>
          <w:rFonts w:hint="eastAsia" w:cs="宋体"/>
          <w:szCs w:val="21"/>
        </w:rPr>
        <w:t>本公司（联合体）郑重声明，根据《政府采购促进中小企业发展管理办法》（财库﹝2020﹞46号）的规定，本公司（联合体）参加</w:t>
      </w:r>
      <w:r>
        <w:rPr>
          <w:rFonts w:hint="eastAsia" w:cs="宋体"/>
          <w:i/>
          <w:iCs/>
          <w:szCs w:val="21"/>
          <w:u w:val="single"/>
        </w:rPr>
        <w:t>（单位名称）</w:t>
      </w:r>
      <w:r>
        <w:rPr>
          <w:rFonts w:hint="eastAsia" w:cs="宋体"/>
          <w:szCs w:val="21"/>
        </w:rPr>
        <w:t>的</w:t>
      </w:r>
      <w:r>
        <w:rPr>
          <w:rFonts w:hint="eastAsia" w:cs="宋体"/>
          <w:i/>
          <w:iCs/>
          <w:szCs w:val="21"/>
          <w:u w:val="single"/>
        </w:rPr>
        <w:t>（项目名称）</w:t>
      </w:r>
      <w:r>
        <w:rPr>
          <w:rFonts w:hint="eastAsia" w:cs="宋体"/>
          <w:szCs w:val="21"/>
        </w:rPr>
        <w:t xml:space="preserve">采购活动，服务全部由符合政策要求的中小企业承接。相关企业（含联合体中的中小企业、签订分包意向协议的中小企业） 的具体情况如下： </w:t>
      </w:r>
    </w:p>
    <w:p>
      <w:pPr>
        <w:pStyle w:val="19"/>
        <w:widowControl/>
        <w:spacing w:line="432" w:lineRule="auto"/>
        <w:ind w:left="0" w:leftChars="0" w:firstLine="420" w:firstLineChars="200"/>
        <w:rPr>
          <w:rFonts w:hint="eastAsia" w:cs="宋体"/>
          <w:szCs w:val="21"/>
        </w:rPr>
      </w:pPr>
      <w:r>
        <w:rPr>
          <w:rFonts w:hint="eastAsia" w:cs="宋体"/>
          <w:szCs w:val="21"/>
        </w:rPr>
        <w:t>1.</w:t>
      </w:r>
      <w:r>
        <w:rPr>
          <w:rFonts w:hint="eastAsia" w:cs="宋体"/>
          <w:i/>
          <w:iCs/>
          <w:szCs w:val="21"/>
          <w:u w:val="single"/>
        </w:rPr>
        <w:t>（标的名称）</w:t>
      </w:r>
      <w:r>
        <w:rPr>
          <w:rFonts w:hint="eastAsia" w:cs="宋体"/>
          <w:szCs w:val="21"/>
        </w:rPr>
        <w:t xml:space="preserve"> ，属于</w:t>
      </w:r>
      <w:r>
        <w:rPr>
          <w:rFonts w:hint="eastAsia" w:cs="宋体"/>
          <w:i/>
          <w:iCs/>
          <w:szCs w:val="21"/>
          <w:u w:val="single"/>
        </w:rPr>
        <w:t>（招标文件中明确的所属行业）</w:t>
      </w:r>
      <w:r>
        <w:rPr>
          <w:rFonts w:hint="eastAsia" w:cs="宋体"/>
          <w:szCs w:val="21"/>
          <w:u w:val="single"/>
        </w:rPr>
        <w:t xml:space="preserve"> </w:t>
      </w:r>
      <w:r>
        <w:rPr>
          <w:rFonts w:hint="eastAsia" w:cs="宋体"/>
          <w:szCs w:val="21"/>
        </w:rPr>
        <w:t>行业；承接企业为</w:t>
      </w:r>
      <w:r>
        <w:rPr>
          <w:rFonts w:hint="eastAsia" w:cs="宋体"/>
          <w:i/>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rPr>
          <w:rFonts w:hint="eastAsia" w:cs="宋体"/>
          <w:szCs w:val="21"/>
          <w:vertAlign w:val="superscript"/>
        </w:rPr>
        <w:t>1</w:t>
      </w:r>
      <w:r>
        <w:rPr>
          <w:rFonts w:hint="eastAsia" w:cs="宋体"/>
          <w:szCs w:val="21"/>
        </w:rPr>
        <w:t>，属于</w:t>
      </w:r>
      <w:r>
        <w:rPr>
          <w:rFonts w:hint="eastAsia" w:cs="宋体"/>
          <w:i/>
          <w:iCs/>
          <w:szCs w:val="21"/>
          <w:u w:val="single"/>
        </w:rPr>
        <w:t>（中型企业、小型企业、微型企业</w:t>
      </w:r>
      <w:r>
        <w:rPr>
          <w:rFonts w:hint="eastAsia" w:cs="宋体"/>
          <w:szCs w:val="21"/>
        </w:rPr>
        <w:t xml:space="preserve">）； </w:t>
      </w:r>
    </w:p>
    <w:p>
      <w:pPr>
        <w:pStyle w:val="19"/>
        <w:widowControl/>
        <w:spacing w:line="432" w:lineRule="auto"/>
        <w:ind w:left="0" w:leftChars="0" w:firstLine="420" w:firstLineChars="200"/>
        <w:rPr>
          <w:rFonts w:hint="eastAsia" w:cs="宋体"/>
          <w:szCs w:val="21"/>
        </w:rPr>
      </w:pPr>
      <w:r>
        <w:rPr>
          <w:rFonts w:hint="eastAsia" w:cs="宋体"/>
          <w:szCs w:val="21"/>
        </w:rPr>
        <w:t>2.</w:t>
      </w:r>
      <w:r>
        <w:rPr>
          <w:rFonts w:hint="eastAsia" w:cs="宋体"/>
          <w:i/>
          <w:iCs/>
          <w:szCs w:val="21"/>
          <w:u w:val="single"/>
        </w:rPr>
        <w:t>（标的名称）</w:t>
      </w:r>
      <w:r>
        <w:rPr>
          <w:rFonts w:hint="eastAsia" w:cs="宋体"/>
          <w:szCs w:val="21"/>
        </w:rPr>
        <w:t xml:space="preserve"> ，属于</w:t>
      </w:r>
      <w:r>
        <w:rPr>
          <w:rFonts w:hint="eastAsia" w:cs="宋体"/>
          <w:i/>
          <w:iCs/>
          <w:szCs w:val="21"/>
          <w:u w:val="single"/>
        </w:rPr>
        <w:t>（招标文件中明确的所属行业）</w:t>
      </w:r>
      <w:r>
        <w:rPr>
          <w:rFonts w:hint="eastAsia" w:cs="宋体"/>
          <w:szCs w:val="21"/>
          <w:u w:val="single"/>
        </w:rPr>
        <w:t xml:space="preserve"> </w:t>
      </w:r>
      <w:r>
        <w:rPr>
          <w:rFonts w:hint="eastAsia" w:cs="宋体"/>
          <w:szCs w:val="21"/>
        </w:rPr>
        <w:t>行业；承接企业为</w:t>
      </w:r>
      <w:r>
        <w:rPr>
          <w:rFonts w:hint="eastAsia" w:cs="宋体"/>
          <w:i/>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rPr>
          <w:rFonts w:hint="eastAsia" w:cs="宋体"/>
          <w:szCs w:val="21"/>
          <w:vertAlign w:val="superscript"/>
        </w:rPr>
        <w:t>1</w:t>
      </w:r>
      <w:r>
        <w:rPr>
          <w:rFonts w:hint="eastAsia" w:cs="宋体"/>
          <w:szCs w:val="21"/>
        </w:rPr>
        <w:t>，属于</w:t>
      </w:r>
      <w:r>
        <w:rPr>
          <w:rFonts w:hint="eastAsia" w:cs="宋体"/>
          <w:i/>
          <w:iCs/>
          <w:szCs w:val="21"/>
          <w:u w:val="single"/>
        </w:rPr>
        <w:t>（中型企业、小型企业、微型企业</w:t>
      </w:r>
      <w:r>
        <w:rPr>
          <w:rFonts w:hint="eastAsia" w:cs="宋体"/>
          <w:szCs w:val="21"/>
        </w:rPr>
        <w:t>）；</w:t>
      </w:r>
    </w:p>
    <w:p>
      <w:pPr>
        <w:pStyle w:val="19"/>
        <w:widowControl/>
        <w:spacing w:line="432" w:lineRule="auto"/>
        <w:ind w:left="0" w:leftChars="0" w:firstLine="420" w:firstLineChars="200"/>
        <w:rPr>
          <w:rFonts w:hint="eastAsia" w:cs="宋体"/>
          <w:szCs w:val="21"/>
        </w:rPr>
      </w:pPr>
      <w:r>
        <w:rPr>
          <w:rFonts w:hint="eastAsia" w:cs="宋体"/>
          <w:szCs w:val="21"/>
        </w:rPr>
        <w:t xml:space="preserve"> …… </w:t>
      </w:r>
    </w:p>
    <w:p>
      <w:pPr>
        <w:pStyle w:val="19"/>
        <w:widowControl/>
        <w:spacing w:line="432" w:lineRule="auto"/>
        <w:ind w:left="0" w:leftChars="0" w:firstLine="420" w:firstLineChars="200"/>
        <w:rPr>
          <w:rFonts w:hint="eastAsia" w:cs="宋体"/>
          <w:szCs w:val="21"/>
        </w:rPr>
      </w:pPr>
      <w:r>
        <w:rPr>
          <w:rFonts w:hint="eastAsia" w:cs="宋体"/>
          <w:szCs w:val="21"/>
        </w:rPr>
        <w:t>以上企业，不属于大企业的分支机构，不存在控股股东为大企业的情形，也不存在与大企业的负责人为同一人的情形。</w:t>
      </w:r>
    </w:p>
    <w:p>
      <w:pPr>
        <w:pStyle w:val="19"/>
        <w:widowControl/>
        <w:spacing w:line="432" w:lineRule="auto"/>
        <w:ind w:left="0" w:leftChars="0" w:firstLine="420" w:firstLineChars="200"/>
        <w:rPr>
          <w:rFonts w:hint="eastAsia" w:cs="宋体"/>
          <w:szCs w:val="21"/>
        </w:rPr>
      </w:pPr>
      <w:r>
        <w:rPr>
          <w:rFonts w:hint="eastAsia" w:cs="宋体"/>
          <w:szCs w:val="21"/>
        </w:rPr>
        <w:t xml:space="preserve">本企业对上述声明内容的真实性负责。如有虚假，将依法承担相应责任。 </w:t>
      </w:r>
    </w:p>
    <w:p>
      <w:pPr>
        <w:pStyle w:val="19"/>
        <w:widowControl/>
        <w:spacing w:line="480" w:lineRule="auto"/>
        <w:ind w:left="0" w:leftChars="0" w:firstLine="4410" w:firstLineChars="2100"/>
        <w:rPr>
          <w:rFonts w:hint="eastAsia" w:cs="宋体"/>
          <w:szCs w:val="21"/>
        </w:rPr>
      </w:pPr>
      <w:r>
        <w:rPr>
          <w:rFonts w:hint="eastAsia" w:cs="宋体"/>
          <w:szCs w:val="21"/>
        </w:rPr>
        <w:t xml:space="preserve">企业名称（盖公章）： </w:t>
      </w:r>
    </w:p>
    <w:p>
      <w:pPr>
        <w:pStyle w:val="21"/>
        <w:ind w:right="-252" w:firstLine="4200" w:firstLineChars="2000"/>
        <w:rPr>
          <w:rFonts w:hint="eastAsia" w:ascii="Times New Roman" w:hAnsi="Times New Roman" w:cs="宋体"/>
          <w:sz w:val="24"/>
          <w:szCs w:val="24"/>
        </w:rPr>
      </w:pPr>
      <w:r>
        <w:rPr>
          <w:rFonts w:hint="eastAsia" w:ascii="Times New Roman" w:hAnsi="Times New Roman" w:cs="宋体"/>
          <w:sz w:val="21"/>
          <w:szCs w:val="21"/>
        </w:rPr>
        <w:t>日 期：</w:t>
      </w:r>
    </w:p>
    <w:p>
      <w:pPr>
        <w:spacing w:line="400" w:lineRule="exact"/>
        <w:rPr>
          <w:rFonts w:hint="eastAsia" w:cs="宋体"/>
          <w:szCs w:val="21"/>
        </w:rPr>
      </w:pPr>
      <w:r>
        <w:rPr>
          <w:rFonts w:hint="eastAsia" w:cs="宋体"/>
          <w:szCs w:val="21"/>
        </w:rPr>
        <w:t>注：</w:t>
      </w:r>
    </w:p>
    <w:p>
      <w:pPr>
        <w:spacing w:line="400" w:lineRule="exact"/>
        <w:rPr>
          <w:rFonts w:hint="eastAsia" w:cs="宋体"/>
          <w:szCs w:val="21"/>
        </w:rPr>
      </w:pPr>
      <w:r>
        <w:rPr>
          <w:rFonts w:hint="eastAsia" w:cs="宋体"/>
          <w:szCs w:val="21"/>
        </w:rPr>
        <w:t>1.从业人员、营业收入、资产总额填报上一年度数据，无上一年度数据的新成立企业可不填报。</w:t>
      </w:r>
    </w:p>
    <w:p>
      <w:pPr>
        <w:spacing w:line="400" w:lineRule="exact"/>
        <w:rPr>
          <w:rFonts w:hint="eastAsia" w:cs="宋体"/>
          <w:szCs w:val="21"/>
        </w:rPr>
      </w:pPr>
      <w:r>
        <w:rPr>
          <w:rFonts w:hint="eastAsia" w:cs="宋体"/>
          <w:szCs w:val="21"/>
        </w:rPr>
        <w:t>2.本项目属于服务类项目，服务若全部由中小企业承接，投标人按要求提供《中小企业声明函》，不需要对其中涉及的货物制造商作出声明。</w:t>
      </w:r>
    </w:p>
    <w:p>
      <w:pPr>
        <w:spacing w:line="400" w:lineRule="exact"/>
        <w:rPr>
          <w:rFonts w:hint="eastAsia" w:cs="宋体"/>
          <w:szCs w:val="21"/>
        </w:rPr>
      </w:pPr>
      <w:r>
        <w:rPr>
          <w:rFonts w:hint="eastAsia" w:cs="宋体"/>
          <w:szCs w:val="21"/>
        </w:rPr>
        <w:t>3.如中标人声明为小微企业，本声明函将随中标结果同时公告，接受社会监督。</w:t>
      </w:r>
    </w:p>
    <w:p>
      <w:pPr>
        <w:spacing w:line="400" w:lineRule="exact"/>
        <w:rPr>
          <w:rFonts w:hint="eastAsia" w:cs="宋体"/>
          <w:szCs w:val="21"/>
        </w:rPr>
      </w:pPr>
      <w:r>
        <w:rPr>
          <w:rFonts w:hint="eastAsia" w:cs="宋体"/>
          <w:szCs w:val="21"/>
        </w:rPr>
        <w:t>4.中小企业的划分标准依据《关中小企业划型标准规定》（工信部联企业〔2011〕300号）文件执行。</w:t>
      </w:r>
    </w:p>
    <w:p>
      <w:pPr>
        <w:pStyle w:val="21"/>
        <w:ind w:left="0" w:right="-252"/>
        <w:rPr>
          <w:rFonts w:hint="eastAsia" w:ascii="Times New Roman" w:hAnsi="Times New Roman" w:cs="宋体"/>
        </w:rPr>
      </w:pPr>
      <w:r>
        <w:rPr>
          <w:rFonts w:hint="eastAsia" w:ascii="Times New Roman" w:hAnsi="Times New Roman" w:cs="宋体"/>
        </w:rPr>
        <w:drawing>
          <wp:anchor distT="0" distB="0" distL="114300" distR="114300" simplePos="0" relativeHeight="251658240" behindDoc="1" locked="0" layoutInCell="1" allowOverlap="1">
            <wp:simplePos x="0" y="0"/>
            <wp:positionH relativeFrom="column">
              <wp:posOffset>19685</wp:posOffset>
            </wp:positionH>
            <wp:positionV relativeFrom="page">
              <wp:posOffset>856615</wp:posOffset>
            </wp:positionV>
            <wp:extent cx="5498465" cy="9091295"/>
            <wp:effectExtent l="0" t="0" r="6985" b="14605"/>
            <wp:wrapTight wrapText="bothSides">
              <wp:wrapPolygon>
                <wp:start x="21592" y="-2"/>
                <wp:lineTo x="0" y="0"/>
                <wp:lineTo x="0" y="21600"/>
                <wp:lineTo x="21592" y="21602"/>
                <wp:lineTo x="8" y="21602"/>
                <wp:lineTo x="21600" y="21600"/>
                <wp:lineTo x="21600" y="0"/>
                <wp:lineTo x="8" y="-2"/>
                <wp:lineTo x="21592" y="-2"/>
              </wp:wrapPolygon>
            </wp:wrapTight>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5498465" cy="9091295"/>
                    </a:xfrm>
                    <a:prstGeom prst="rect">
                      <a:avLst/>
                    </a:prstGeom>
                    <a:noFill/>
                    <a:ln w="9525">
                      <a:noFill/>
                    </a:ln>
                  </pic:spPr>
                </pic:pic>
              </a:graphicData>
            </a:graphic>
          </wp:anchor>
        </w:drawing>
      </w:r>
    </w:p>
    <w:p>
      <w:pPr>
        <w:pStyle w:val="4"/>
        <w:pageBreakBefore/>
        <w:spacing w:before="78" w:beforeLines="25" w:after="0" w:line="360" w:lineRule="auto"/>
        <w:jc w:val="center"/>
        <w:rPr>
          <w:rFonts w:hint="eastAsia" w:ascii="Times New Roman" w:hAnsi="Times New Roman" w:cs="宋体"/>
        </w:rPr>
      </w:pPr>
      <w:bookmarkStart w:id="533" w:name="_Toc22055"/>
      <w:bookmarkStart w:id="534" w:name="_Toc9221"/>
      <w:bookmarkStart w:id="535" w:name="_Toc31368"/>
      <w:bookmarkStart w:id="536" w:name="_Toc29659"/>
      <w:bookmarkStart w:id="537" w:name="_Toc26663"/>
      <w:bookmarkStart w:id="538" w:name="_Toc13596"/>
      <w:bookmarkStart w:id="539" w:name="_Toc17012"/>
      <w:bookmarkStart w:id="540" w:name="_Toc17670"/>
      <w:bookmarkStart w:id="541" w:name="_Toc22191"/>
      <w:bookmarkStart w:id="542" w:name="_Toc23087"/>
      <w:bookmarkStart w:id="543" w:name="_Toc24668"/>
      <w:bookmarkStart w:id="544" w:name="_Toc4239"/>
      <w:bookmarkStart w:id="545" w:name="_Toc20720"/>
      <w:bookmarkStart w:id="546" w:name="_Toc30653"/>
      <w:bookmarkStart w:id="547" w:name="_Toc22521"/>
      <w:bookmarkStart w:id="548" w:name="_Toc16839"/>
      <w:bookmarkStart w:id="549" w:name="_Toc18393"/>
      <w:bookmarkStart w:id="550" w:name="_Toc22983"/>
      <w:bookmarkStart w:id="551" w:name="_Toc1182"/>
      <w:bookmarkStart w:id="552" w:name="_Toc1249"/>
      <w:bookmarkStart w:id="553" w:name="_Toc13922"/>
      <w:bookmarkStart w:id="554" w:name="_Toc22984"/>
      <w:bookmarkStart w:id="555" w:name="_Toc31424"/>
      <w:bookmarkStart w:id="556" w:name="_Toc4647"/>
      <w:bookmarkStart w:id="557" w:name="_Toc12906"/>
      <w:r>
        <w:rPr>
          <w:rFonts w:hint="eastAsia" w:ascii="Times New Roman" w:hAnsi="Times New Roman" w:cs="宋体"/>
        </w:rPr>
        <w:t>附件</w:t>
      </w:r>
      <w:r>
        <w:rPr>
          <w:rFonts w:hint="eastAsia" w:ascii="Times New Roman" w:hAnsi="Times New Roman" w:cs="宋体"/>
          <w:lang w:val="en-US" w:eastAsia="zh-CN"/>
        </w:rPr>
        <w:t>三</w:t>
      </w:r>
      <w:r>
        <w:rPr>
          <w:rFonts w:hint="eastAsia" w:ascii="Times New Roman" w:hAnsi="Times New Roman" w:cs="宋体"/>
        </w:rPr>
        <w:t xml:space="preserve">  残疾人福利性单位声明函</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pacing w:line="588" w:lineRule="exact"/>
        <w:rPr>
          <w:rFonts w:hint="eastAsia" w:cs="宋体"/>
          <w:b/>
          <w:spacing w:val="6"/>
          <w:sz w:val="30"/>
          <w:szCs w:val="30"/>
        </w:rPr>
      </w:pPr>
    </w:p>
    <w:p>
      <w:pPr>
        <w:spacing w:line="588" w:lineRule="exact"/>
        <w:ind w:firstLine="420" w:firstLineChars="200"/>
        <w:rPr>
          <w:rFonts w:hint="eastAsia" w:cs="宋体"/>
        </w:rPr>
      </w:pPr>
      <w:r>
        <w:rPr>
          <w:rFonts w:hint="eastAsia" w:cs="宋体"/>
        </w:rPr>
        <w:t>本单位郑重声明，根据《财政部 民政部 中国残疾人联合会关于促进残疾人就业政府采购政策的通知》（财库〔</w:t>
      </w:r>
      <w:r>
        <w:rPr>
          <w:rFonts w:hint="default" w:ascii="Arial" w:hAnsi="Arial" w:cs="Arial"/>
        </w:rPr>
        <w:t>2017〕141</w:t>
      </w:r>
      <w:r>
        <w:rPr>
          <w:rFonts w:hint="eastAsia" w:cs="宋体"/>
        </w:rPr>
        <w:t>号）的规定，本单位为符合条件的残疾人福利性单位，且本单位参加</w:t>
      </w:r>
      <w:r>
        <w:rPr>
          <w:rFonts w:hint="eastAsia" w:cs="宋体"/>
          <w:u w:val="single"/>
        </w:rPr>
        <w:t xml:space="preserve">           </w:t>
      </w:r>
      <w:r>
        <w:rPr>
          <w:rFonts w:hint="eastAsia" w:cs="宋体"/>
          <w:color w:val="000000"/>
        </w:rPr>
        <w:t>单位的</w:t>
      </w:r>
      <w:r>
        <w:rPr>
          <w:rFonts w:hint="eastAsia" w:cs="宋体"/>
          <w:color w:val="000000"/>
          <w:u w:val="single"/>
        </w:rPr>
        <w:t xml:space="preserve">         </w:t>
      </w:r>
      <w:r>
        <w:rPr>
          <w:rFonts w:hint="eastAsia" w:cs="宋体"/>
          <w:color w:val="000000"/>
        </w:rPr>
        <w:t>项目</w:t>
      </w:r>
      <w:r>
        <w:rPr>
          <w:rFonts w:hint="eastAsia" w:cs="宋体"/>
          <w:szCs w:val="21"/>
        </w:rPr>
        <w:t>[项目编号：</w:t>
      </w:r>
      <w:r>
        <w:rPr>
          <w:rFonts w:hint="eastAsia" w:ascii="宋体" w:hAnsi="宋体" w:cs="宋体"/>
          <w:color w:val="auto"/>
          <w:szCs w:val="21"/>
          <w:lang w:eastAsia="zh-CN"/>
        </w:rPr>
        <w:t>RAJC20220611</w:t>
      </w:r>
      <w:r>
        <w:rPr>
          <w:rFonts w:hint="eastAsia" w:cs="宋体"/>
          <w:szCs w:val="21"/>
        </w:rPr>
        <w:t>]</w:t>
      </w:r>
      <w:r>
        <w:rPr>
          <w:rFonts w:hint="eastAsia" w:cs="宋体"/>
        </w:rPr>
        <w:t>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cs="宋体"/>
        </w:rPr>
      </w:pPr>
      <w:r>
        <w:rPr>
          <w:rFonts w:hint="eastAsia" w:cs="宋体"/>
        </w:rPr>
        <w:t>本单位对上述声明的真实性负责。如有虚假，将依法承担相应责任。</w:t>
      </w:r>
    </w:p>
    <w:p>
      <w:pPr>
        <w:spacing w:line="588" w:lineRule="exact"/>
        <w:ind w:firstLine="624" w:firstLineChars="200"/>
        <w:rPr>
          <w:rFonts w:hint="eastAsia" w:cs="宋体"/>
          <w:spacing w:val="6"/>
          <w:sz w:val="30"/>
          <w:szCs w:val="30"/>
        </w:rPr>
      </w:pPr>
    </w:p>
    <w:p>
      <w:pPr>
        <w:spacing w:line="588" w:lineRule="exact"/>
        <w:ind w:firstLine="624" w:firstLineChars="200"/>
        <w:rPr>
          <w:rFonts w:hint="eastAsia" w:cs="宋体"/>
          <w:spacing w:val="6"/>
          <w:sz w:val="30"/>
          <w:szCs w:val="30"/>
        </w:rPr>
      </w:pPr>
    </w:p>
    <w:p>
      <w:pPr>
        <w:spacing w:line="480" w:lineRule="auto"/>
        <w:jc w:val="right"/>
        <w:rPr>
          <w:rFonts w:hint="eastAsia" w:cs="宋体"/>
          <w:bCs/>
          <w:szCs w:val="21"/>
          <w:lang w:bidi="ar"/>
        </w:rPr>
      </w:pPr>
      <w:r>
        <w:rPr>
          <w:rFonts w:hint="eastAsia" w:cs="宋体"/>
          <w:spacing w:val="6"/>
          <w:sz w:val="30"/>
          <w:szCs w:val="30"/>
        </w:rPr>
        <w:t xml:space="preserve">                        </w:t>
      </w: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rPr>
          <w:rFonts w:hint="eastAsia" w:cs="宋体"/>
        </w:rPr>
      </w:pPr>
    </w:p>
    <w:p>
      <w:pPr>
        <w:rPr>
          <w:rFonts w:hint="eastAsia" w:cs="宋体"/>
        </w:rPr>
      </w:pPr>
    </w:p>
    <w:p>
      <w:pPr>
        <w:rPr>
          <w:rFonts w:hint="eastAsia" w:cs="宋体"/>
        </w:rPr>
      </w:pPr>
    </w:p>
    <w:p>
      <w:pPr>
        <w:rPr>
          <w:rFonts w:hint="eastAsia" w:cs="宋体"/>
        </w:rPr>
      </w:pPr>
    </w:p>
    <w:p>
      <w:pPr>
        <w:pStyle w:val="21"/>
        <w:ind w:right="-252"/>
        <w:rPr>
          <w:rFonts w:hint="eastAsia" w:ascii="Times New Roman" w:hAnsi="Times New Roman" w:cs="宋体"/>
        </w:rPr>
      </w:pPr>
    </w:p>
    <w:p>
      <w:pPr>
        <w:pStyle w:val="21"/>
        <w:ind w:right="-252"/>
        <w:rPr>
          <w:rFonts w:hint="eastAsia" w:ascii="Times New Roman" w:hAnsi="Times New Roman" w:cs="宋体"/>
        </w:rPr>
      </w:pPr>
    </w:p>
    <w:p>
      <w:pPr>
        <w:rPr>
          <w:rFonts w:hint="eastAsia" w:cs="宋体"/>
          <w:bCs/>
          <w:szCs w:val="21"/>
        </w:rPr>
      </w:pPr>
      <w:r>
        <w:rPr>
          <w:rFonts w:hint="eastAsia" w:cs="宋体"/>
          <w:bCs/>
          <w:szCs w:val="21"/>
        </w:rPr>
        <w:t>注：</w:t>
      </w:r>
    </w:p>
    <w:p>
      <w:pPr>
        <w:rPr>
          <w:rFonts w:hint="eastAsia" w:cs="宋体"/>
          <w:bCs/>
          <w:szCs w:val="21"/>
        </w:rPr>
      </w:pPr>
      <w:r>
        <w:rPr>
          <w:rFonts w:hint="eastAsia" w:cs="宋体"/>
          <w:bCs/>
          <w:szCs w:val="21"/>
        </w:rPr>
        <w:t>1.残疾人福利性单位视同小型、微型企业，享受价格扣除。</w:t>
      </w:r>
    </w:p>
    <w:p>
      <w:pPr>
        <w:rPr>
          <w:rFonts w:hint="eastAsia" w:cs="宋体"/>
          <w:bCs/>
          <w:szCs w:val="21"/>
        </w:rPr>
      </w:pPr>
      <w:r>
        <w:rPr>
          <w:rFonts w:hint="eastAsia" w:cs="宋体"/>
          <w:bCs/>
          <w:szCs w:val="21"/>
        </w:rPr>
        <w:t>2.残疾人福利性单位属于小型、微型企业的，不重复享受政策。</w:t>
      </w:r>
    </w:p>
    <w:p>
      <w:pPr>
        <w:rPr>
          <w:rFonts w:hint="eastAsia" w:cs="宋体"/>
          <w:sz w:val="24"/>
          <w:szCs w:val="24"/>
        </w:rPr>
      </w:pPr>
      <w:r>
        <w:rPr>
          <w:rFonts w:hint="eastAsia" w:cs="宋体"/>
          <w:bCs/>
          <w:szCs w:val="21"/>
        </w:rPr>
        <w:t>3.如中标人声明为残疾人福利性单位，本声明函将随中标结果同时公告，接受社会监督。</w:t>
      </w:r>
    </w:p>
    <w:p>
      <w:pPr>
        <w:pStyle w:val="21"/>
        <w:ind w:right="-252"/>
        <w:rPr>
          <w:rFonts w:hint="eastAsia" w:ascii="Times New Roman" w:hAnsi="Times New Roman" w:cs="宋体"/>
          <w:sz w:val="24"/>
          <w:szCs w:val="24"/>
        </w:rPr>
      </w:pPr>
    </w:p>
    <w:p>
      <w:pPr>
        <w:pStyle w:val="4"/>
        <w:keepNext w:val="0"/>
        <w:keepLines w:val="0"/>
        <w:pageBreakBefore/>
        <w:widowControl w:val="0"/>
        <w:tabs>
          <w:tab w:val="left" w:pos="840"/>
        </w:tabs>
        <w:adjustRightInd w:val="0"/>
        <w:snapToGrid w:val="0"/>
        <w:spacing w:before="312" w:beforeLines="100" w:after="312" w:afterLines="100" w:line="240" w:lineRule="auto"/>
        <w:jc w:val="center"/>
        <w:rPr>
          <w:rFonts w:hint="eastAsia" w:ascii="Times New Roman" w:hAnsi="Times New Roman" w:cs="宋体"/>
          <w:sz w:val="28"/>
          <w:szCs w:val="28"/>
        </w:rPr>
      </w:pPr>
      <w:bookmarkStart w:id="558" w:name="_Toc28269"/>
      <w:bookmarkStart w:id="559" w:name="_Toc6823"/>
      <w:bookmarkStart w:id="560" w:name="_Toc25126"/>
      <w:bookmarkStart w:id="561" w:name="_Toc30525"/>
      <w:r>
        <w:rPr>
          <w:rFonts w:hint="eastAsia" w:ascii="Times New Roman" w:hAnsi="Times New Roman" w:cs="宋体"/>
          <w:sz w:val="28"/>
          <w:szCs w:val="28"/>
        </w:rPr>
        <w:t>附件</w:t>
      </w:r>
      <w:r>
        <w:rPr>
          <w:rFonts w:hint="eastAsia" w:ascii="Times New Roman" w:hAnsi="Times New Roman" w:cs="宋体"/>
          <w:sz w:val="28"/>
          <w:szCs w:val="28"/>
          <w:lang w:val="en-US" w:eastAsia="zh-CN"/>
        </w:rPr>
        <w:t>四</w:t>
      </w:r>
      <w:r>
        <w:rPr>
          <w:rFonts w:hint="eastAsia" w:ascii="Times New Roman" w:hAnsi="Times New Roman" w:cs="宋体"/>
          <w:sz w:val="28"/>
          <w:szCs w:val="28"/>
        </w:rPr>
        <w:t xml:space="preserve">  法定代表人身份证明</w:t>
      </w:r>
      <w:bookmarkEnd w:id="532"/>
      <w:bookmarkEnd w:id="558"/>
      <w:bookmarkEnd w:id="559"/>
      <w:bookmarkEnd w:id="560"/>
      <w:bookmarkEnd w:id="561"/>
    </w:p>
    <w:p>
      <w:pPr>
        <w:widowControl w:val="0"/>
        <w:spacing w:line="360" w:lineRule="auto"/>
        <w:rPr>
          <w:rStyle w:val="144"/>
          <w:rFonts w:hint="eastAsia" w:cs="宋体"/>
        </w:rPr>
      </w:pPr>
      <w:r>
        <w:rPr>
          <w:rFonts w:hint="eastAsia" w:ascii="Times New Roman" w:hAnsi="Times New Roman" w:cs="宋体"/>
          <w:bCs/>
          <w:sz w:val="21"/>
          <w:szCs w:val="21"/>
        </w:rPr>
        <w:t>瑞安市</w:t>
      </w:r>
      <w:r>
        <w:rPr>
          <w:rFonts w:hint="eastAsia" w:ascii="Times New Roman" w:hAnsi="Times New Roman" w:cs="宋体"/>
          <w:bCs/>
          <w:sz w:val="21"/>
          <w:szCs w:val="21"/>
          <w:lang w:eastAsia="zh-CN"/>
        </w:rPr>
        <w:t>妇幼保健院</w:t>
      </w:r>
      <w:r>
        <w:rPr>
          <w:rFonts w:hint="eastAsia" w:cs="宋体"/>
          <w:bCs/>
          <w:szCs w:val="21"/>
          <w:lang w:bidi="ar"/>
        </w:rPr>
        <w:t>、瑞安市公共资源交易中心：</w:t>
      </w:r>
    </w:p>
    <w:p>
      <w:pPr>
        <w:rPr>
          <w:rFonts w:hint="eastAsia" w:cs="宋体"/>
        </w:rPr>
      </w:pPr>
    </w:p>
    <w:p>
      <w:pPr>
        <w:pStyle w:val="21"/>
        <w:ind w:left="0" w:right="-252" w:firstLine="420" w:firstLineChars="200"/>
        <w:rPr>
          <w:rFonts w:hint="eastAsia" w:ascii="Times New Roman" w:hAnsi="Times New Roman" w:cs="宋体"/>
          <w:bCs/>
          <w:szCs w:val="21"/>
          <w:u w:val="single"/>
          <w:lang w:bidi="ar"/>
        </w:rPr>
      </w:pPr>
      <w:r>
        <w:rPr>
          <w:rStyle w:val="144"/>
          <w:rFonts w:hint="eastAsia" w:ascii="Times New Roman" w:hAnsi="Times New Roman" w:cs="宋体"/>
          <w:sz w:val="21"/>
          <w:szCs w:val="22"/>
        </w:rPr>
        <w:t>姓名：</w:t>
      </w:r>
      <w:r>
        <w:rPr>
          <w:rFonts w:hint="eastAsia" w:ascii="Times New Roman" w:hAnsi="Times New Roman" w:cs="宋体"/>
          <w:bCs/>
          <w:szCs w:val="21"/>
          <w:u w:val="single"/>
          <w:lang w:bidi="ar"/>
        </w:rPr>
        <w:t xml:space="preserve">          </w:t>
      </w:r>
      <w:r>
        <w:rPr>
          <w:rStyle w:val="144"/>
          <w:rFonts w:hint="eastAsia" w:ascii="Times New Roman" w:hAnsi="Times New Roman" w:cs="宋体"/>
          <w:sz w:val="21"/>
          <w:szCs w:val="22"/>
        </w:rPr>
        <w:t>性别：</w:t>
      </w:r>
      <w:r>
        <w:rPr>
          <w:rFonts w:hint="eastAsia" w:ascii="Times New Roman" w:hAnsi="Times New Roman" w:cs="宋体"/>
          <w:bCs/>
          <w:szCs w:val="21"/>
          <w:u w:val="single"/>
          <w:lang w:bidi="ar"/>
        </w:rPr>
        <w:t xml:space="preserve">          </w:t>
      </w:r>
      <w:r>
        <w:rPr>
          <w:rStyle w:val="144"/>
          <w:rFonts w:hint="eastAsia" w:ascii="Times New Roman" w:hAnsi="Times New Roman" w:cs="宋体"/>
          <w:sz w:val="21"/>
          <w:szCs w:val="22"/>
        </w:rPr>
        <w:t>职务：</w:t>
      </w:r>
      <w:r>
        <w:rPr>
          <w:rFonts w:hint="eastAsia" w:ascii="Times New Roman" w:hAnsi="Times New Roman" w:cs="宋体"/>
          <w:bCs/>
          <w:szCs w:val="21"/>
          <w:u w:val="single"/>
          <w:lang w:bidi="ar"/>
        </w:rPr>
        <w:t xml:space="preserve">          </w:t>
      </w:r>
    </w:p>
    <w:p>
      <w:pPr>
        <w:pStyle w:val="21"/>
        <w:ind w:left="0" w:right="-252" w:firstLine="420" w:firstLineChars="200"/>
        <w:rPr>
          <w:rFonts w:hint="eastAsia" w:ascii="Times New Roman" w:hAnsi="Times New Roman" w:cs="宋体"/>
          <w:bCs/>
          <w:sz w:val="21"/>
          <w:szCs w:val="16"/>
          <w:lang w:bidi="ar"/>
        </w:rPr>
      </w:pPr>
      <w:r>
        <w:rPr>
          <w:rStyle w:val="144"/>
          <w:rFonts w:hint="eastAsia" w:ascii="Times New Roman" w:hAnsi="Times New Roman" w:cs="宋体"/>
          <w:sz w:val="21"/>
          <w:szCs w:val="22"/>
        </w:rPr>
        <w:t>联系方式：</w:t>
      </w:r>
      <w:r>
        <w:rPr>
          <w:rFonts w:hint="eastAsia" w:ascii="Times New Roman" w:hAnsi="Times New Roman" w:cs="宋体"/>
          <w:bCs/>
          <w:szCs w:val="21"/>
          <w:u w:val="single"/>
          <w:lang w:bidi="ar"/>
        </w:rPr>
        <w:t xml:space="preserve">          </w:t>
      </w:r>
      <w:r>
        <w:rPr>
          <w:rFonts w:hint="eastAsia" w:ascii="Times New Roman" w:hAnsi="Times New Roman" w:cs="宋体"/>
          <w:bCs/>
          <w:szCs w:val="21"/>
          <w:lang w:bidi="ar"/>
        </w:rPr>
        <w:t>，</w:t>
      </w:r>
      <w:r>
        <w:rPr>
          <w:rStyle w:val="144"/>
          <w:rFonts w:hint="eastAsia" w:ascii="Times New Roman" w:hAnsi="Times New Roman" w:cs="宋体"/>
          <w:sz w:val="21"/>
          <w:szCs w:val="22"/>
        </w:rPr>
        <w:t>系</w:t>
      </w:r>
      <w:r>
        <w:rPr>
          <w:rFonts w:hint="eastAsia" w:ascii="Times New Roman" w:hAnsi="Times New Roman" w:cs="宋体"/>
          <w:bCs/>
          <w:szCs w:val="21"/>
          <w:u w:val="single"/>
          <w:lang w:bidi="ar"/>
        </w:rPr>
        <w:t xml:space="preserve">   </w:t>
      </w:r>
      <w:r>
        <w:rPr>
          <w:rStyle w:val="144"/>
          <w:rFonts w:hint="eastAsia" w:ascii="Times New Roman" w:hAnsi="Times New Roman" w:cs="宋体"/>
          <w:sz w:val="21"/>
          <w:szCs w:val="22"/>
          <w:u w:val="single"/>
        </w:rPr>
        <w:t>（投标人名称）</w:t>
      </w:r>
      <w:r>
        <w:rPr>
          <w:rFonts w:hint="eastAsia" w:ascii="Times New Roman" w:hAnsi="Times New Roman" w:cs="宋体"/>
          <w:bCs/>
          <w:szCs w:val="21"/>
          <w:u w:val="single"/>
          <w:lang w:bidi="ar"/>
        </w:rPr>
        <w:t xml:space="preserve">       </w:t>
      </w:r>
      <w:r>
        <w:rPr>
          <w:rFonts w:hint="eastAsia" w:ascii="Times New Roman" w:hAnsi="Times New Roman" w:cs="宋体"/>
          <w:bCs/>
          <w:sz w:val="21"/>
          <w:szCs w:val="16"/>
          <w:lang w:bidi="ar"/>
        </w:rPr>
        <w:t>的法定代表人，特此证明。</w:t>
      </w:r>
    </w:p>
    <w:p>
      <w:pPr>
        <w:pStyle w:val="21"/>
        <w:ind w:left="0" w:right="-252" w:firstLine="420" w:firstLineChars="200"/>
        <w:rPr>
          <w:rFonts w:hint="eastAsia" w:ascii="Times New Roman" w:hAnsi="Times New Roman" w:cs="宋体"/>
          <w:bCs/>
          <w:sz w:val="21"/>
          <w:szCs w:val="16"/>
          <w:lang w:bidi="ar"/>
        </w:rPr>
      </w:pPr>
    </w:p>
    <w:p>
      <w:pPr>
        <w:pStyle w:val="21"/>
        <w:ind w:left="0" w:right="-252" w:firstLine="420" w:firstLineChars="200"/>
        <w:rPr>
          <w:rFonts w:hint="eastAsia" w:ascii="Times New Roman" w:hAnsi="Times New Roman" w:cs="宋体"/>
          <w:bCs/>
          <w:sz w:val="21"/>
          <w:szCs w:val="16"/>
          <w:lang w:bidi="ar"/>
        </w:rPr>
      </w:pPr>
    </w:p>
    <w:p>
      <w:pPr>
        <w:pStyle w:val="21"/>
        <w:ind w:left="0" w:right="-252" w:firstLine="420" w:firstLineChars="200"/>
        <w:jc w:val="right"/>
        <w:rPr>
          <w:rFonts w:hint="eastAsia" w:ascii="Times New Roman" w:hAnsi="Times New Roman" w:cs="宋体"/>
          <w:bCs/>
          <w:sz w:val="21"/>
          <w:szCs w:val="16"/>
          <w:lang w:bidi="ar"/>
        </w:rPr>
      </w:pPr>
    </w:p>
    <w:p>
      <w:pPr>
        <w:pStyle w:val="21"/>
        <w:ind w:left="0" w:right="-252" w:firstLine="420" w:firstLineChars="200"/>
        <w:rPr>
          <w:rFonts w:hint="eastAsia" w:ascii="Times New Roman" w:hAnsi="Times New Roman" w:cs="宋体"/>
          <w:bCs/>
          <w:sz w:val="21"/>
          <w:szCs w:val="16"/>
          <w:lang w:bidi="ar"/>
        </w:rPr>
      </w:pPr>
    </w:p>
    <w:p>
      <w:pPr>
        <w:spacing w:line="360" w:lineRule="auto"/>
        <w:rPr>
          <w:rFonts w:hint="eastAsia" w:cs="宋体"/>
          <w:b/>
          <w:bCs/>
          <w:szCs w:val="21"/>
        </w:rPr>
      </w:pPr>
      <w:r>
        <w:rPr>
          <w:rFonts w:hint="eastAsia" w:cs="宋体"/>
          <w:b/>
          <w:bCs/>
          <w:szCs w:val="21"/>
        </w:rPr>
        <w:t>附：法定代表人身份证复印件。（正反面）</w:t>
      </w:r>
    </w:p>
    <w:tbl>
      <w:tblPr>
        <w:tblStyle w:val="4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4520" w:type="dxa"/>
            <w:vAlign w:val="top"/>
          </w:tcPr>
          <w:p>
            <w:pPr>
              <w:pStyle w:val="19"/>
              <w:keepNext w:val="0"/>
              <w:keepLines w:val="0"/>
              <w:suppressLineNumbers w:val="0"/>
              <w:spacing w:before="0" w:beforeAutospacing="0" w:afterAutospacing="0"/>
              <w:ind w:right="0"/>
              <w:jc w:val="left"/>
              <w:rPr>
                <w:rFonts w:hint="eastAsia" w:ascii="Times New Roman" w:hAnsi="Times New Roman" w:cs="宋体"/>
                <w:b/>
                <w:bCs/>
                <w:szCs w:val="21"/>
              </w:rPr>
            </w:pPr>
          </w:p>
        </w:tc>
        <w:tc>
          <w:tcPr>
            <w:tcW w:w="4520" w:type="dxa"/>
            <w:vAlign w:val="top"/>
          </w:tcPr>
          <w:p>
            <w:pPr>
              <w:pStyle w:val="19"/>
              <w:keepNext w:val="0"/>
              <w:keepLines w:val="0"/>
              <w:suppressLineNumbers w:val="0"/>
              <w:spacing w:before="0" w:beforeAutospacing="0" w:afterAutospacing="0"/>
              <w:ind w:right="0"/>
              <w:jc w:val="left"/>
              <w:rPr>
                <w:rFonts w:hint="eastAsia" w:ascii="Times New Roman" w:hAnsi="Times New Roman" w:cs="宋体"/>
                <w:b/>
                <w:bCs/>
                <w:szCs w:val="21"/>
              </w:rPr>
            </w:pPr>
          </w:p>
        </w:tc>
      </w:tr>
    </w:tbl>
    <w:p>
      <w:pPr>
        <w:pStyle w:val="21"/>
        <w:ind w:left="0" w:right="-252" w:firstLine="420" w:firstLineChars="200"/>
        <w:jc w:val="right"/>
        <w:rPr>
          <w:rFonts w:hint="eastAsia" w:ascii="Times New Roman" w:hAnsi="Times New Roman" w:cs="宋体"/>
          <w:bCs/>
          <w:sz w:val="21"/>
          <w:szCs w:val="16"/>
          <w:lang w:bidi="ar"/>
        </w:rPr>
      </w:pPr>
    </w:p>
    <w:p>
      <w:pPr>
        <w:pStyle w:val="21"/>
        <w:ind w:left="0" w:right="-252" w:firstLine="420" w:firstLineChars="200"/>
        <w:jc w:val="right"/>
        <w:rPr>
          <w:rFonts w:hint="eastAsia" w:ascii="Times New Roman" w:hAnsi="Times New Roman" w:cs="宋体"/>
          <w:bCs/>
          <w:sz w:val="21"/>
          <w:szCs w:val="16"/>
          <w:lang w:bidi="ar"/>
        </w:rPr>
      </w:pPr>
    </w:p>
    <w:p>
      <w:pPr>
        <w:pStyle w:val="21"/>
        <w:ind w:left="0" w:right="-252" w:firstLine="420" w:firstLineChars="200"/>
        <w:jc w:val="right"/>
        <w:rPr>
          <w:rFonts w:hint="eastAsia" w:ascii="Times New Roman" w:hAnsi="Times New Roman" w:cs="宋体"/>
          <w:bCs/>
          <w:sz w:val="21"/>
          <w:szCs w:val="16"/>
          <w:lang w:bidi="ar"/>
        </w:rPr>
      </w:pPr>
    </w:p>
    <w:p>
      <w:pPr>
        <w:pStyle w:val="21"/>
        <w:ind w:left="0" w:right="-252" w:firstLine="420" w:firstLineChars="200"/>
        <w:jc w:val="right"/>
        <w:rPr>
          <w:rFonts w:hint="eastAsia" w:ascii="Times New Roman" w:hAnsi="Times New Roman" w:cs="宋体"/>
          <w:bCs/>
          <w:sz w:val="21"/>
          <w:szCs w:val="16"/>
          <w:lang w:bidi="ar"/>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2"/>
        <w:spacing w:line="240" w:lineRule="auto"/>
        <w:jc w:val="left"/>
        <w:rPr>
          <w:rFonts w:hint="eastAsia" w:ascii="Times New Roman" w:eastAsia="宋体" w:cs="宋体"/>
          <w:b/>
          <w:sz w:val="21"/>
          <w:szCs w:val="21"/>
        </w:rPr>
      </w:pPr>
    </w:p>
    <w:p>
      <w:pPr>
        <w:pStyle w:val="2"/>
        <w:spacing w:line="240" w:lineRule="auto"/>
        <w:jc w:val="left"/>
        <w:rPr>
          <w:rFonts w:hint="eastAsia" w:ascii="Times New Roman" w:eastAsia="宋体" w:cs="宋体"/>
          <w:b/>
          <w:sz w:val="21"/>
          <w:szCs w:val="21"/>
        </w:rPr>
      </w:pPr>
    </w:p>
    <w:p>
      <w:pPr>
        <w:pStyle w:val="21"/>
        <w:ind w:left="0" w:right="-252"/>
        <w:rPr>
          <w:rFonts w:hint="eastAsia" w:ascii="Times New Roman" w:hAnsi="Times New Roman" w:cs="宋体"/>
          <w:sz w:val="21"/>
          <w:szCs w:val="21"/>
          <w:lang w:bidi="ar"/>
        </w:rPr>
      </w:pPr>
      <w:r>
        <w:rPr>
          <w:rFonts w:hint="eastAsia" w:ascii="Times New Roman" w:hAnsi="Times New Roman" w:cs="宋体"/>
          <w:sz w:val="21"/>
          <w:szCs w:val="21"/>
          <w:lang w:bidi="ar"/>
        </w:rPr>
        <w:t>注：</w:t>
      </w:r>
    </w:p>
    <w:p>
      <w:pPr>
        <w:pStyle w:val="2"/>
        <w:spacing w:line="240" w:lineRule="auto"/>
        <w:jc w:val="left"/>
        <w:rPr>
          <w:rFonts w:hint="eastAsia" w:ascii="Times New Roman" w:eastAsia="宋体" w:cs="宋体"/>
          <w:sz w:val="21"/>
          <w:szCs w:val="21"/>
        </w:rPr>
      </w:pPr>
      <w:r>
        <w:rPr>
          <w:rFonts w:hint="eastAsia" w:ascii="Times New Roman" w:eastAsia="宋体" w:cs="宋体"/>
          <w:sz w:val="21"/>
          <w:szCs w:val="21"/>
        </w:rPr>
        <w:t>1.本附件必须提供。</w:t>
      </w:r>
    </w:p>
    <w:p>
      <w:pPr>
        <w:pStyle w:val="21"/>
        <w:ind w:left="0" w:right="-252"/>
        <w:rPr>
          <w:rFonts w:hint="eastAsia" w:ascii="Times New Roman" w:hAnsi="Times New Roman" w:cs="宋体"/>
          <w:szCs w:val="21"/>
        </w:rPr>
      </w:pPr>
    </w:p>
    <w:p>
      <w:pPr>
        <w:pStyle w:val="4"/>
        <w:pageBreakBefore/>
        <w:spacing w:before="78" w:beforeLines="25" w:after="0" w:line="360" w:lineRule="auto"/>
        <w:jc w:val="center"/>
        <w:rPr>
          <w:rFonts w:hint="eastAsia" w:ascii="Times New Roman" w:hAnsi="Times New Roman" w:cs="宋体"/>
        </w:rPr>
      </w:pPr>
      <w:bookmarkStart w:id="562" w:name="_Toc2971"/>
      <w:bookmarkStart w:id="563" w:name="_Toc8931"/>
      <w:bookmarkStart w:id="564" w:name="_Toc23762"/>
      <w:bookmarkStart w:id="565" w:name="_Toc9875"/>
      <w:bookmarkStart w:id="566" w:name="_Toc23016"/>
      <w:bookmarkStart w:id="567" w:name="_Toc20994"/>
      <w:bookmarkStart w:id="568" w:name="_Toc26362"/>
      <w:bookmarkStart w:id="569" w:name="_Toc5123"/>
      <w:bookmarkStart w:id="570" w:name="_Toc13094"/>
      <w:bookmarkStart w:id="571" w:name="_Toc25656"/>
      <w:bookmarkStart w:id="572" w:name="_Toc21852"/>
      <w:bookmarkStart w:id="573" w:name="_Toc4818"/>
      <w:bookmarkStart w:id="574" w:name="_Toc3578"/>
      <w:bookmarkStart w:id="575" w:name="_Toc3239"/>
      <w:bookmarkStart w:id="576" w:name="_Toc15710"/>
      <w:bookmarkStart w:id="577" w:name="_Toc11654"/>
      <w:bookmarkStart w:id="578" w:name="_Toc27116"/>
      <w:bookmarkStart w:id="579" w:name="_Toc4743"/>
      <w:bookmarkStart w:id="580" w:name="_Toc25610"/>
      <w:bookmarkStart w:id="581" w:name="_Toc6812"/>
      <w:bookmarkStart w:id="582" w:name="_Toc516216310"/>
      <w:bookmarkStart w:id="583" w:name="_Toc11866"/>
      <w:bookmarkStart w:id="584" w:name="_Toc135"/>
      <w:bookmarkStart w:id="585" w:name="_Toc13682"/>
      <w:bookmarkStart w:id="586" w:name="_Toc16292"/>
      <w:bookmarkStart w:id="587" w:name="_Toc25331"/>
      <w:bookmarkStart w:id="588" w:name="_Toc2837"/>
      <w:bookmarkStart w:id="589" w:name="_Toc32548"/>
      <w:bookmarkStart w:id="590" w:name="_Toc24751"/>
      <w:bookmarkStart w:id="591" w:name="_Toc12607"/>
      <w:bookmarkStart w:id="592" w:name="_Toc30722"/>
      <w:bookmarkStart w:id="593" w:name="_Toc4356"/>
      <w:bookmarkStart w:id="594" w:name="_Toc27918"/>
      <w:bookmarkStart w:id="595" w:name="_Toc6170"/>
      <w:bookmarkStart w:id="596" w:name="_Toc28890"/>
      <w:bookmarkStart w:id="597" w:name="_Toc6639"/>
      <w:bookmarkStart w:id="598" w:name="_Toc17049"/>
      <w:bookmarkStart w:id="599" w:name="_Toc8349"/>
      <w:bookmarkStart w:id="600" w:name="_Toc18417"/>
      <w:bookmarkStart w:id="601" w:name="_Toc31953"/>
      <w:bookmarkStart w:id="602" w:name="_Toc20362"/>
      <w:bookmarkStart w:id="603" w:name="_Toc15856"/>
      <w:bookmarkStart w:id="604" w:name="_Toc14792"/>
      <w:bookmarkStart w:id="605" w:name="_Toc28540"/>
      <w:bookmarkStart w:id="606" w:name="_Toc12901"/>
      <w:bookmarkStart w:id="607" w:name="_Toc2740"/>
      <w:bookmarkStart w:id="608" w:name="_Toc11910"/>
      <w:bookmarkStart w:id="609" w:name="_Toc453571456"/>
      <w:r>
        <w:rPr>
          <w:rFonts w:hint="eastAsia" w:ascii="Times New Roman" w:hAnsi="Times New Roman" w:cs="宋体"/>
        </w:rPr>
        <w:t>附件</w:t>
      </w:r>
      <w:r>
        <w:rPr>
          <w:rFonts w:hint="eastAsia" w:ascii="Times New Roman" w:hAnsi="Times New Roman" w:cs="宋体"/>
          <w:lang w:val="en-US" w:eastAsia="zh-CN"/>
        </w:rPr>
        <w:t>五</w:t>
      </w:r>
      <w:r>
        <w:rPr>
          <w:rFonts w:hint="eastAsia" w:ascii="Times New Roman" w:hAnsi="Times New Roman" w:cs="宋体"/>
        </w:rPr>
        <w:t xml:space="preserve"> 法定代表人授权书</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36"/>
        <w:spacing w:before="0" w:beforeAutospacing="0" w:after="0" w:afterAutospacing="0"/>
        <w:ind w:firstLine="420"/>
        <w:rPr>
          <w:rFonts w:hint="eastAsia" w:ascii="Times New Roman" w:hAnsi="Times New Roman" w:eastAsia="宋体" w:cs="宋体"/>
          <w:szCs w:val="21"/>
        </w:rPr>
      </w:pPr>
    </w:p>
    <w:p>
      <w:pPr>
        <w:widowControl w:val="0"/>
        <w:spacing w:line="360" w:lineRule="auto"/>
        <w:rPr>
          <w:rStyle w:val="144"/>
          <w:rFonts w:hint="eastAsia" w:cs="宋体"/>
        </w:rPr>
      </w:pPr>
      <w:r>
        <w:rPr>
          <w:rFonts w:hint="eastAsia" w:ascii="Times New Roman" w:hAnsi="Times New Roman" w:cs="宋体"/>
          <w:bCs/>
          <w:sz w:val="21"/>
          <w:szCs w:val="21"/>
        </w:rPr>
        <w:t>瑞安市</w:t>
      </w:r>
      <w:r>
        <w:rPr>
          <w:rFonts w:hint="eastAsia" w:ascii="Times New Roman" w:hAnsi="Times New Roman" w:cs="宋体"/>
          <w:bCs/>
          <w:sz w:val="21"/>
          <w:szCs w:val="21"/>
          <w:lang w:eastAsia="zh-CN"/>
        </w:rPr>
        <w:t>妇幼保健院</w:t>
      </w:r>
      <w:r>
        <w:rPr>
          <w:rFonts w:hint="eastAsia" w:cs="宋体"/>
          <w:bCs/>
          <w:szCs w:val="21"/>
          <w:lang w:bidi="ar"/>
        </w:rPr>
        <w:t>、瑞安市公共资源交易中心：</w:t>
      </w:r>
    </w:p>
    <w:p>
      <w:pPr>
        <w:spacing w:line="360" w:lineRule="auto"/>
        <w:ind w:firstLine="612"/>
        <w:rPr>
          <w:rFonts w:hint="eastAsia" w:cs="宋体"/>
          <w:szCs w:val="21"/>
        </w:rPr>
      </w:pPr>
      <w:r>
        <w:rPr>
          <w:rFonts w:hint="eastAsia" w:cs="宋体"/>
          <w:szCs w:val="21"/>
          <w:lang w:bidi="ar"/>
        </w:rPr>
        <w:t>本授权委托书声明：我</w:t>
      </w:r>
      <w:r>
        <w:rPr>
          <w:rFonts w:hint="eastAsia" w:cs="宋体"/>
          <w:szCs w:val="21"/>
          <w:u w:val="single"/>
          <w:lang w:bidi="ar"/>
        </w:rPr>
        <w:t>（法人代表姓名）</w:t>
      </w:r>
      <w:r>
        <w:rPr>
          <w:rFonts w:hint="eastAsia" w:cs="宋体"/>
          <w:szCs w:val="21"/>
          <w:lang w:bidi="ar"/>
        </w:rPr>
        <w:t>系</w:t>
      </w:r>
      <w:r>
        <w:rPr>
          <w:rFonts w:hint="eastAsia" w:cs="宋体"/>
          <w:szCs w:val="21"/>
          <w:u w:val="single"/>
          <w:lang w:bidi="ar"/>
        </w:rPr>
        <w:t xml:space="preserve">（投标人名称） </w:t>
      </w:r>
      <w:r>
        <w:rPr>
          <w:rFonts w:hint="eastAsia" w:cs="宋体"/>
          <w:szCs w:val="21"/>
          <w:lang w:bidi="ar"/>
        </w:rPr>
        <w:t>的法定代表人，现授权委托本单位正式职工：</w:t>
      </w:r>
      <w:r>
        <w:rPr>
          <w:rFonts w:hint="eastAsia" w:cs="宋体"/>
          <w:szCs w:val="21"/>
          <w:u w:val="single"/>
          <w:lang w:bidi="ar"/>
        </w:rPr>
        <w:t>（授权代表姓名）</w:t>
      </w:r>
      <w:r>
        <w:rPr>
          <w:rFonts w:hint="eastAsia" w:cs="宋体"/>
          <w:szCs w:val="21"/>
          <w:lang w:bidi="ar"/>
        </w:rPr>
        <w:t>为我公司法定代表人授权代表，参加贵处组织的</w:t>
      </w:r>
      <w:r>
        <w:rPr>
          <w:rStyle w:val="144"/>
          <w:rFonts w:hint="eastAsia" w:cs="宋体"/>
          <w:u w:val="single"/>
        </w:rPr>
        <w:t xml:space="preserve">项目名称                </w:t>
      </w:r>
      <w:r>
        <w:rPr>
          <w:rStyle w:val="144"/>
          <w:rFonts w:hint="eastAsia" w:cs="宋体"/>
        </w:rPr>
        <w:t>（项目编号：    ）</w:t>
      </w:r>
      <w:r>
        <w:rPr>
          <w:rFonts w:hint="eastAsia" w:cs="宋体"/>
          <w:szCs w:val="21"/>
          <w:lang w:bidi="ar"/>
        </w:rPr>
        <w:t>投标，全权处理本次招投标活动中的一切事宜，我承认授权代表全权代表我所签署的本项目的投标文件的内容。</w:t>
      </w:r>
    </w:p>
    <w:p>
      <w:pPr>
        <w:spacing w:line="360" w:lineRule="auto"/>
        <w:ind w:firstLine="697"/>
        <w:rPr>
          <w:rFonts w:hint="eastAsia" w:cs="宋体"/>
          <w:szCs w:val="21"/>
        </w:rPr>
      </w:pPr>
      <w:r>
        <w:rPr>
          <w:rFonts w:hint="eastAsia" w:cs="宋体"/>
          <w:szCs w:val="21"/>
          <w:lang w:bidi="ar"/>
        </w:rPr>
        <w:t>授权代表无转授权，特此授权。</w:t>
      </w:r>
    </w:p>
    <w:p>
      <w:pPr>
        <w:rPr>
          <w:rFonts w:hint="eastAsia" w:cs="宋体"/>
          <w:szCs w:val="21"/>
        </w:rPr>
      </w:pPr>
    </w:p>
    <w:p>
      <w:pPr>
        <w:rPr>
          <w:rFonts w:hint="eastAsia" w:cs="宋体"/>
          <w:szCs w:val="21"/>
        </w:rPr>
      </w:pPr>
      <w:r>
        <w:rPr>
          <w:rFonts w:hint="eastAsia" w:cs="宋体"/>
          <w:szCs w:val="21"/>
          <w:lang w:bidi="ar"/>
        </w:rPr>
        <w:t>授权代表签字：</w:t>
      </w:r>
      <w:r>
        <w:rPr>
          <w:rFonts w:hint="eastAsia" w:cs="宋体"/>
          <w:szCs w:val="21"/>
          <w:u w:val="single"/>
          <w:lang w:bidi="ar"/>
        </w:rPr>
        <w:t xml:space="preserve">                    </w:t>
      </w:r>
      <w:r>
        <w:rPr>
          <w:rFonts w:hint="eastAsia" w:cs="宋体"/>
          <w:szCs w:val="21"/>
          <w:lang w:bidi="ar"/>
        </w:rPr>
        <w:t xml:space="preserve"> 职务：</w:t>
      </w:r>
      <w:r>
        <w:rPr>
          <w:rFonts w:hint="eastAsia" w:cs="宋体"/>
          <w:szCs w:val="21"/>
          <w:u w:val="single"/>
          <w:lang w:bidi="ar"/>
        </w:rPr>
        <w:t xml:space="preserve">              </w:t>
      </w:r>
      <w:r>
        <w:rPr>
          <w:rFonts w:hint="eastAsia" w:cs="宋体"/>
          <w:szCs w:val="21"/>
          <w:lang w:bidi="ar"/>
        </w:rPr>
        <w:t>联系方式：</w:t>
      </w:r>
      <w:r>
        <w:rPr>
          <w:rFonts w:hint="eastAsia" w:cs="宋体"/>
          <w:szCs w:val="21"/>
          <w:u w:val="single"/>
          <w:lang w:bidi="ar"/>
        </w:rPr>
        <w:t xml:space="preserve">                      </w:t>
      </w:r>
    </w:p>
    <w:p>
      <w:pPr>
        <w:ind w:firstLine="2940" w:firstLineChars="1400"/>
        <w:rPr>
          <w:rFonts w:hint="eastAsia" w:cs="宋体"/>
          <w:szCs w:val="21"/>
        </w:rPr>
      </w:pPr>
    </w:p>
    <w:p>
      <w:pPr>
        <w:spacing w:line="360" w:lineRule="auto"/>
        <w:rPr>
          <w:rFonts w:hint="eastAsia" w:cs="宋体"/>
          <w:b/>
          <w:bCs/>
          <w:szCs w:val="21"/>
        </w:rPr>
      </w:pPr>
      <w:r>
        <w:rPr>
          <w:rFonts w:hint="eastAsia" w:cs="宋体"/>
          <w:b/>
          <w:bCs/>
          <w:szCs w:val="21"/>
        </w:rPr>
        <w:t>附：投标人授权代表身份证复印件。（正反面）</w:t>
      </w:r>
    </w:p>
    <w:tbl>
      <w:tblPr>
        <w:tblStyle w:val="4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4520" w:type="dxa"/>
            <w:vAlign w:val="top"/>
          </w:tcPr>
          <w:p>
            <w:pPr>
              <w:pStyle w:val="19"/>
              <w:keepNext w:val="0"/>
              <w:keepLines w:val="0"/>
              <w:suppressLineNumbers w:val="0"/>
              <w:spacing w:before="0" w:beforeAutospacing="0" w:afterAutospacing="0"/>
              <w:ind w:right="0"/>
              <w:jc w:val="left"/>
              <w:rPr>
                <w:rFonts w:hint="eastAsia" w:ascii="Times New Roman" w:hAnsi="Times New Roman" w:cs="宋体"/>
                <w:b/>
                <w:bCs/>
                <w:szCs w:val="21"/>
              </w:rPr>
            </w:pPr>
          </w:p>
        </w:tc>
        <w:tc>
          <w:tcPr>
            <w:tcW w:w="4520" w:type="dxa"/>
            <w:vAlign w:val="top"/>
          </w:tcPr>
          <w:p>
            <w:pPr>
              <w:pStyle w:val="19"/>
              <w:keepNext w:val="0"/>
              <w:keepLines w:val="0"/>
              <w:suppressLineNumbers w:val="0"/>
              <w:spacing w:before="0" w:beforeAutospacing="0" w:afterAutospacing="0"/>
              <w:ind w:right="0"/>
              <w:jc w:val="left"/>
              <w:rPr>
                <w:rFonts w:hint="eastAsia" w:ascii="Times New Roman" w:hAnsi="Times New Roman" w:cs="宋体"/>
                <w:b/>
                <w:bCs/>
                <w:szCs w:val="21"/>
              </w:rPr>
            </w:pPr>
          </w:p>
        </w:tc>
      </w:tr>
    </w:tbl>
    <w:p>
      <w:pPr>
        <w:ind w:firstLine="2730" w:firstLineChars="1300"/>
        <w:rPr>
          <w:rFonts w:hint="eastAsia" w:cs="宋体"/>
          <w:szCs w:val="21"/>
          <w:lang w:bidi="ar"/>
        </w:rPr>
      </w:pPr>
    </w:p>
    <w:p>
      <w:pPr>
        <w:ind w:firstLine="2730" w:firstLineChars="1300"/>
        <w:rPr>
          <w:rFonts w:hint="eastAsia" w:cs="宋体"/>
          <w:szCs w:val="21"/>
        </w:rPr>
      </w:pPr>
      <w:r>
        <w:rPr>
          <w:rFonts w:hint="eastAsia" w:cs="宋体"/>
          <w:szCs w:val="21"/>
          <w:lang w:bidi="ar"/>
        </w:rPr>
        <w:t>投标人全称：</w:t>
      </w:r>
      <w:r>
        <w:rPr>
          <w:rFonts w:hint="eastAsia" w:cs="宋体"/>
          <w:szCs w:val="21"/>
          <w:u w:val="single"/>
          <w:lang w:bidi="ar"/>
        </w:rPr>
        <w:t xml:space="preserve">                             （盖公章）</w:t>
      </w:r>
    </w:p>
    <w:p>
      <w:pPr>
        <w:ind w:left="2100" w:leftChars="1000" w:firstLine="840" w:firstLineChars="400"/>
        <w:rPr>
          <w:rFonts w:hint="eastAsia" w:cs="宋体"/>
          <w:szCs w:val="21"/>
        </w:rPr>
      </w:pPr>
    </w:p>
    <w:p>
      <w:pPr>
        <w:ind w:firstLine="2730" w:firstLineChars="1300"/>
        <w:rPr>
          <w:rFonts w:hint="eastAsia" w:cs="宋体"/>
          <w:szCs w:val="21"/>
          <w:u w:val="single"/>
        </w:rPr>
      </w:pPr>
      <w:r>
        <w:rPr>
          <w:rFonts w:hint="eastAsia" w:cs="宋体"/>
          <w:szCs w:val="21"/>
          <w:lang w:bidi="ar"/>
        </w:rPr>
        <w:t>法定代表人：</w:t>
      </w:r>
      <w:r>
        <w:rPr>
          <w:rFonts w:hint="eastAsia" w:cs="宋体"/>
          <w:szCs w:val="21"/>
          <w:u w:val="single"/>
          <w:lang w:bidi="ar"/>
        </w:rPr>
        <w:t xml:space="preserve">                              （签字或盖章）</w:t>
      </w:r>
    </w:p>
    <w:p>
      <w:pPr>
        <w:ind w:left="2100" w:leftChars="1000" w:firstLine="840" w:firstLineChars="400"/>
        <w:rPr>
          <w:rFonts w:hint="eastAsia" w:cs="宋体"/>
          <w:szCs w:val="21"/>
          <w:u w:val="single"/>
        </w:rPr>
      </w:pPr>
    </w:p>
    <w:p>
      <w:pPr>
        <w:ind w:firstLine="4200" w:firstLineChars="2000"/>
        <w:rPr>
          <w:rFonts w:hint="eastAsia" w:cs="宋体"/>
          <w:szCs w:val="21"/>
        </w:rPr>
      </w:pPr>
      <w:r>
        <w:rPr>
          <w:rFonts w:hint="eastAsia" w:cs="宋体"/>
          <w:szCs w:val="21"/>
          <w:lang w:bidi="ar"/>
        </w:rPr>
        <w:t>授权委托日期：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360" w:lineRule="auto"/>
        <w:ind w:left="2833" w:leftChars="1349" w:firstLine="2100" w:firstLineChars="1000"/>
        <w:rPr>
          <w:rFonts w:hint="eastAsia" w:cs="宋体"/>
          <w:szCs w:val="21"/>
        </w:rPr>
      </w:pPr>
    </w:p>
    <w:p>
      <w:pPr>
        <w:pStyle w:val="2"/>
        <w:spacing w:line="240" w:lineRule="auto"/>
        <w:jc w:val="left"/>
        <w:rPr>
          <w:rFonts w:hint="eastAsia" w:ascii="Times New Roman" w:eastAsia="宋体" w:cs="宋体"/>
          <w:b/>
          <w:sz w:val="21"/>
          <w:szCs w:val="21"/>
        </w:rPr>
      </w:pPr>
    </w:p>
    <w:p>
      <w:pPr>
        <w:pStyle w:val="2"/>
        <w:spacing w:line="240" w:lineRule="auto"/>
        <w:jc w:val="left"/>
        <w:rPr>
          <w:rFonts w:hint="eastAsia" w:ascii="Times New Roman" w:eastAsia="宋体" w:cs="宋体"/>
          <w:bCs/>
          <w:sz w:val="21"/>
          <w:szCs w:val="21"/>
        </w:rPr>
      </w:pPr>
      <w:r>
        <w:rPr>
          <w:rFonts w:hint="eastAsia" w:ascii="Times New Roman" w:eastAsia="宋体" w:cs="宋体"/>
          <w:bCs/>
          <w:sz w:val="21"/>
          <w:szCs w:val="21"/>
        </w:rPr>
        <w:t>注：如授权代表参与投标的，则须提供本《法定代表人授权书》。</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Pr>
        <w:pStyle w:val="4"/>
        <w:pageBreakBefore/>
        <w:spacing w:before="78" w:beforeLines="25" w:after="0" w:line="360" w:lineRule="auto"/>
        <w:jc w:val="center"/>
        <w:rPr>
          <w:rFonts w:hint="eastAsia" w:ascii="Times New Roman" w:hAnsi="Times New Roman" w:cs="宋体"/>
        </w:rPr>
      </w:pPr>
      <w:bookmarkStart w:id="610" w:name="_Toc24696"/>
      <w:bookmarkStart w:id="611" w:name="_Toc31677"/>
      <w:bookmarkStart w:id="612" w:name="_Toc25072"/>
      <w:bookmarkStart w:id="613" w:name="_Toc17090"/>
      <w:bookmarkStart w:id="614" w:name="_Toc24974"/>
      <w:bookmarkStart w:id="615" w:name="_Toc8291"/>
      <w:bookmarkStart w:id="616" w:name="_Toc26553"/>
      <w:bookmarkStart w:id="617" w:name="_Toc30729"/>
      <w:bookmarkStart w:id="618" w:name="_Toc7115"/>
      <w:bookmarkStart w:id="619" w:name="_Toc18613"/>
      <w:bookmarkStart w:id="620" w:name="_Toc23941"/>
      <w:bookmarkStart w:id="621" w:name="_Toc9994"/>
      <w:bookmarkStart w:id="622" w:name="_Toc31910"/>
      <w:bookmarkStart w:id="623" w:name="_Toc32755"/>
      <w:bookmarkStart w:id="624" w:name="_Toc496"/>
      <w:bookmarkStart w:id="625" w:name="_Toc19271"/>
      <w:bookmarkStart w:id="626" w:name="_Toc5434"/>
      <w:bookmarkStart w:id="627" w:name="_Toc28548"/>
      <w:bookmarkStart w:id="628" w:name="_Toc21378"/>
      <w:bookmarkStart w:id="629" w:name="_Toc18213"/>
      <w:bookmarkStart w:id="630" w:name="_Toc18797"/>
      <w:bookmarkStart w:id="631" w:name="_Toc31721"/>
      <w:bookmarkStart w:id="632" w:name="_Toc21424"/>
      <w:bookmarkStart w:id="633" w:name="_Toc21567"/>
      <w:bookmarkStart w:id="634" w:name="_Toc13826"/>
      <w:bookmarkStart w:id="635" w:name="_Toc14639"/>
      <w:bookmarkStart w:id="636" w:name="_Toc7313"/>
      <w:bookmarkStart w:id="637" w:name="_Toc5987"/>
      <w:bookmarkStart w:id="638" w:name="_Toc32337"/>
      <w:bookmarkStart w:id="639" w:name="_Toc19311"/>
      <w:bookmarkStart w:id="640" w:name="_Toc26381"/>
      <w:bookmarkStart w:id="641" w:name="_Toc14603"/>
      <w:r>
        <w:rPr>
          <w:rFonts w:hint="eastAsia" w:ascii="Times New Roman" w:hAnsi="Times New Roman" w:cs="宋体"/>
        </w:rPr>
        <w:t>附件</w:t>
      </w:r>
      <w:r>
        <w:rPr>
          <w:rFonts w:hint="eastAsia" w:ascii="Times New Roman" w:hAnsi="Times New Roman" w:cs="宋体"/>
          <w:lang w:val="en-US" w:eastAsia="zh-CN"/>
        </w:rPr>
        <w:t>六</w:t>
      </w:r>
      <w:r>
        <w:rPr>
          <w:rFonts w:hint="eastAsia" w:ascii="Times New Roman" w:hAnsi="Times New Roman" w:cs="宋体"/>
        </w:rPr>
        <w:t xml:space="preserve">  投 标 函</w:t>
      </w:r>
      <w:bookmarkEnd w:id="610"/>
      <w:bookmarkEnd w:id="611"/>
      <w:bookmarkEnd w:id="612"/>
      <w:bookmarkEnd w:id="613"/>
      <w:bookmarkEnd w:id="614"/>
      <w:bookmarkEnd w:id="615"/>
    </w:p>
    <w:p>
      <w:pPr>
        <w:widowControl w:val="0"/>
        <w:spacing w:line="360" w:lineRule="auto"/>
        <w:rPr>
          <w:rStyle w:val="144"/>
          <w:rFonts w:hint="eastAsia" w:cs="宋体"/>
        </w:rPr>
      </w:pPr>
      <w:r>
        <w:rPr>
          <w:rFonts w:hint="eastAsia" w:ascii="Times New Roman" w:hAnsi="Times New Roman" w:cs="宋体"/>
          <w:bCs/>
          <w:sz w:val="21"/>
          <w:szCs w:val="21"/>
        </w:rPr>
        <w:t>瑞安市</w:t>
      </w:r>
      <w:r>
        <w:rPr>
          <w:rFonts w:hint="eastAsia" w:ascii="Times New Roman" w:hAnsi="Times New Roman" w:cs="宋体"/>
          <w:bCs/>
          <w:sz w:val="21"/>
          <w:szCs w:val="21"/>
          <w:lang w:eastAsia="zh-CN"/>
        </w:rPr>
        <w:t>妇幼保健院</w:t>
      </w:r>
      <w:r>
        <w:rPr>
          <w:rFonts w:hint="eastAsia" w:cs="宋体"/>
          <w:bCs/>
          <w:szCs w:val="21"/>
          <w:lang w:bidi="ar"/>
        </w:rPr>
        <w:t>、瑞安市公共资源交易中心：</w:t>
      </w:r>
    </w:p>
    <w:p>
      <w:pPr>
        <w:spacing w:line="360" w:lineRule="auto"/>
        <w:ind w:right="6" w:firstLine="420" w:firstLineChars="200"/>
        <w:rPr>
          <w:rFonts w:hint="eastAsia" w:cs="宋体"/>
          <w:szCs w:val="21"/>
        </w:rPr>
      </w:pPr>
      <w:r>
        <w:rPr>
          <w:rFonts w:hint="eastAsia" w:cs="宋体"/>
          <w:szCs w:val="21"/>
        </w:rPr>
        <w:t>我方已研究了</w:t>
      </w:r>
      <w:r>
        <w:rPr>
          <w:rFonts w:hint="eastAsia" w:cs="宋体"/>
          <w:szCs w:val="21"/>
          <w:u w:val="single"/>
        </w:rPr>
        <w:t xml:space="preserve">                </w:t>
      </w:r>
      <w:r>
        <w:rPr>
          <w:rFonts w:hint="eastAsia" w:cs="宋体"/>
          <w:szCs w:val="21"/>
        </w:rPr>
        <w:t>[项目编号：</w:t>
      </w:r>
      <w:r>
        <w:rPr>
          <w:rFonts w:hint="eastAsia" w:ascii="宋体" w:hAnsi="宋体" w:cs="宋体"/>
          <w:color w:val="auto"/>
          <w:szCs w:val="21"/>
          <w:lang w:eastAsia="zh-CN"/>
        </w:rPr>
        <w:t>RAJC20220611</w:t>
      </w:r>
      <w:r>
        <w:rPr>
          <w:rFonts w:hint="eastAsia" w:cs="宋体"/>
          <w:szCs w:val="21"/>
        </w:rPr>
        <w:t>]的招标文件的全部内容，决定作为投标人参与投标，并正式授权</w:t>
      </w:r>
      <w:r>
        <w:rPr>
          <w:rFonts w:hint="eastAsia" w:cs="宋体"/>
          <w:szCs w:val="21"/>
          <w:u w:val="single"/>
        </w:rPr>
        <w:t>（授权代表姓名，职务）</w:t>
      </w:r>
      <w:r>
        <w:rPr>
          <w:rFonts w:hint="eastAsia" w:cs="宋体"/>
          <w:szCs w:val="21"/>
        </w:rPr>
        <w:t>代表我方进行有关该项目投标的一切事宜。</w:t>
      </w:r>
      <w:bookmarkStart w:id="642" w:name="_Toc11334"/>
      <w:bookmarkStart w:id="643" w:name="_Toc26372"/>
      <w:bookmarkStart w:id="644" w:name="_Toc11898"/>
      <w:bookmarkStart w:id="645" w:name="_Toc6306"/>
      <w:bookmarkStart w:id="646" w:name="_Toc334"/>
      <w:r>
        <w:rPr>
          <w:rFonts w:hint="eastAsia" w:cs="宋体"/>
          <w:szCs w:val="21"/>
        </w:rPr>
        <w:t>我方已完全明白招标文件的所有条款要求，并重申以下几点：</w:t>
      </w:r>
      <w:bookmarkEnd w:id="642"/>
      <w:bookmarkEnd w:id="643"/>
      <w:bookmarkEnd w:id="644"/>
      <w:bookmarkEnd w:id="645"/>
      <w:bookmarkEnd w:id="646"/>
    </w:p>
    <w:p>
      <w:pPr>
        <w:numPr>
          <w:ilvl w:val="0"/>
          <w:numId w:val="72"/>
        </w:numPr>
        <w:spacing w:line="360" w:lineRule="auto"/>
        <w:rPr>
          <w:rFonts w:hint="eastAsia" w:cs="宋体"/>
          <w:szCs w:val="21"/>
        </w:rPr>
      </w:pPr>
      <w:r>
        <w:rPr>
          <w:rFonts w:hint="eastAsia" w:cs="宋体"/>
          <w:szCs w:val="21"/>
        </w:rPr>
        <w:t>我方将按照招标文件要求提交电子投标文件。</w:t>
      </w:r>
    </w:p>
    <w:p>
      <w:pPr>
        <w:numPr>
          <w:ilvl w:val="0"/>
          <w:numId w:val="72"/>
        </w:numPr>
        <w:spacing w:line="360" w:lineRule="auto"/>
        <w:rPr>
          <w:rFonts w:hint="eastAsia" w:cs="宋体"/>
          <w:szCs w:val="21"/>
        </w:rPr>
      </w:pPr>
      <w:r>
        <w:rPr>
          <w:rFonts w:hint="eastAsia" w:cs="宋体"/>
          <w:szCs w:val="21"/>
        </w:rPr>
        <w:t>若中标，我方将按招标文件规定履行合同责任和义务。</w:t>
      </w:r>
    </w:p>
    <w:p>
      <w:pPr>
        <w:numPr>
          <w:ilvl w:val="0"/>
          <w:numId w:val="72"/>
        </w:numPr>
        <w:spacing w:line="360" w:lineRule="auto"/>
        <w:rPr>
          <w:rFonts w:hint="eastAsia" w:cs="宋体"/>
          <w:szCs w:val="21"/>
        </w:rPr>
      </w:pPr>
      <w:r>
        <w:rPr>
          <w:rFonts w:hint="eastAsia" w:cs="宋体"/>
          <w:szCs w:val="21"/>
        </w:rPr>
        <w:t>我方不是采购人的附属机构；在获知本项目采购信息后，与采购人聘请的为此项目提供咨询服务的公司及其附属机构没有任何联系。</w:t>
      </w:r>
    </w:p>
    <w:p>
      <w:pPr>
        <w:numPr>
          <w:ilvl w:val="0"/>
          <w:numId w:val="72"/>
        </w:numPr>
        <w:spacing w:line="360" w:lineRule="auto"/>
        <w:rPr>
          <w:rFonts w:hint="eastAsia" w:cs="宋体"/>
          <w:szCs w:val="21"/>
        </w:rPr>
      </w:pPr>
      <w:r>
        <w:rPr>
          <w:rFonts w:hint="eastAsia" w:cs="宋体"/>
          <w:szCs w:val="21"/>
        </w:rPr>
        <w:t>我方投标文件有效期为提交投标文件截止之日起</w:t>
      </w:r>
      <w:r>
        <w:rPr>
          <w:rFonts w:hint="default" w:ascii="Arial" w:hAnsi="Arial" w:cs="Arial"/>
          <w:szCs w:val="21"/>
        </w:rPr>
        <w:t>90</w:t>
      </w:r>
      <w:r>
        <w:rPr>
          <w:rFonts w:hint="eastAsia" w:cs="宋体"/>
          <w:szCs w:val="21"/>
        </w:rPr>
        <w:t>天。如中标，有效期将延至合同终止日为止。</w:t>
      </w:r>
    </w:p>
    <w:p>
      <w:pPr>
        <w:numPr>
          <w:ilvl w:val="0"/>
          <w:numId w:val="72"/>
        </w:numPr>
        <w:spacing w:line="360" w:lineRule="auto"/>
        <w:rPr>
          <w:rFonts w:hint="eastAsia" w:cs="宋体"/>
          <w:szCs w:val="21"/>
        </w:rPr>
      </w:pPr>
      <w:r>
        <w:rPr>
          <w:rFonts w:hint="eastAsia" w:cs="宋体"/>
          <w:szCs w:val="21"/>
        </w:rPr>
        <w:t>我方愿意按照贵方要求提供任何与该项投标有关的数据或资料并承诺提交的数据和资料都是准确的和真实的。</w:t>
      </w:r>
    </w:p>
    <w:p>
      <w:pPr>
        <w:numPr>
          <w:ilvl w:val="0"/>
          <w:numId w:val="72"/>
        </w:numPr>
        <w:spacing w:line="360" w:lineRule="auto"/>
        <w:rPr>
          <w:rFonts w:hint="eastAsia" w:cs="宋体"/>
          <w:szCs w:val="21"/>
        </w:rPr>
      </w:pPr>
      <w:r>
        <w:rPr>
          <w:rFonts w:hint="eastAsia" w:cs="宋体"/>
          <w:szCs w:val="21"/>
        </w:rPr>
        <w:t>以上事项如有虚假或隐瞒，我方愿意承担一切后果，并不再寻求任何旨在减轻或免除法律责任的辩解。</w:t>
      </w:r>
    </w:p>
    <w:p>
      <w:pPr>
        <w:tabs>
          <w:tab w:val="left" w:pos="4635"/>
        </w:tabs>
        <w:spacing w:line="340" w:lineRule="exact"/>
        <w:ind w:firstLine="630" w:firstLineChars="300"/>
        <w:rPr>
          <w:rFonts w:hint="eastAsia" w:cs="宋体"/>
          <w:szCs w:val="21"/>
        </w:rPr>
      </w:pPr>
    </w:p>
    <w:p>
      <w:pPr>
        <w:tabs>
          <w:tab w:val="left" w:pos="4635"/>
        </w:tabs>
        <w:spacing w:line="360" w:lineRule="auto"/>
        <w:ind w:left="3826" w:leftChars="1822" w:right="840"/>
        <w:rPr>
          <w:rFonts w:hint="eastAsia" w:cs="宋体"/>
          <w:szCs w:val="21"/>
        </w:rPr>
      </w:pPr>
    </w:p>
    <w:p>
      <w:pPr>
        <w:tabs>
          <w:tab w:val="left" w:pos="4635"/>
        </w:tabs>
        <w:spacing w:line="360" w:lineRule="auto"/>
        <w:ind w:left="3826" w:leftChars="1822" w:right="840"/>
        <w:rPr>
          <w:rFonts w:hint="eastAsia" w:cs="宋体"/>
          <w:szCs w:val="21"/>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21"/>
        <w:ind w:right="-252"/>
        <w:rPr>
          <w:rFonts w:hint="eastAsia" w:ascii="Times New Roman" w:hAnsi="Times New Roman" w:cs="宋体"/>
          <w:szCs w:val="21"/>
        </w:rPr>
      </w:pPr>
    </w:p>
    <w:p>
      <w:pPr>
        <w:pStyle w:val="21"/>
        <w:ind w:left="0" w:right="-252"/>
        <w:rPr>
          <w:rFonts w:hint="eastAsia" w:ascii="Times New Roman" w:hAnsi="Times New Roman" w:cs="宋体"/>
          <w:b/>
          <w:bCs/>
          <w:sz w:val="21"/>
          <w:szCs w:val="21"/>
        </w:rPr>
      </w:pPr>
    </w:p>
    <w:p>
      <w:pPr>
        <w:pStyle w:val="21"/>
        <w:ind w:left="0" w:right="-252"/>
        <w:rPr>
          <w:rFonts w:hint="eastAsia" w:ascii="Times New Roman" w:hAnsi="Times New Roman" w:cs="宋体"/>
          <w:b/>
          <w:bCs/>
          <w:sz w:val="21"/>
          <w:szCs w:val="21"/>
        </w:rPr>
      </w:pPr>
    </w:p>
    <w:p>
      <w:pPr>
        <w:pStyle w:val="21"/>
        <w:ind w:left="0" w:right="-252"/>
        <w:rPr>
          <w:rFonts w:hint="eastAsia" w:ascii="Times New Roman" w:hAnsi="Times New Roman" w:cs="宋体"/>
        </w:rPr>
      </w:pPr>
      <w:r>
        <w:rPr>
          <w:rFonts w:hint="eastAsia" w:ascii="Times New Roman" w:hAnsi="Times New Roman" w:cs="宋体"/>
          <w:sz w:val="21"/>
          <w:szCs w:val="21"/>
        </w:rPr>
        <w:t>注：本附件必须提供，不得自行增减内容。</w:t>
      </w:r>
    </w:p>
    <w:p>
      <w:pPr>
        <w:pStyle w:val="21"/>
        <w:ind w:left="0" w:right="-252"/>
        <w:rPr>
          <w:rFonts w:hint="eastAsia" w:ascii="Times New Roman" w:hAnsi="Times New Roman" w:cs="宋体"/>
          <w:b/>
          <w:bCs/>
          <w:sz w:val="21"/>
          <w:szCs w:val="21"/>
        </w:rPr>
      </w:pPr>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Pr>
        <w:pStyle w:val="4"/>
        <w:pageBreakBefore/>
        <w:spacing w:before="78" w:beforeLines="25" w:after="0" w:line="360" w:lineRule="auto"/>
        <w:jc w:val="center"/>
        <w:rPr>
          <w:rFonts w:hint="eastAsia" w:ascii="Times New Roman" w:hAnsi="Times New Roman" w:cs="宋体"/>
          <w:sz w:val="28"/>
          <w:szCs w:val="28"/>
        </w:rPr>
      </w:pPr>
      <w:bookmarkStart w:id="647" w:name="_Toc8412"/>
      <w:bookmarkStart w:id="648" w:name="_Toc22977"/>
      <w:bookmarkStart w:id="649" w:name="_Toc32218"/>
      <w:bookmarkStart w:id="650" w:name="_Toc20445"/>
      <w:bookmarkStart w:id="651" w:name="_Toc25842"/>
      <w:bookmarkStart w:id="652" w:name="_Toc29684"/>
      <w:bookmarkStart w:id="653" w:name="_Toc14248229"/>
      <w:bookmarkStart w:id="654" w:name="_Toc9344"/>
      <w:bookmarkStart w:id="655" w:name="_Toc14930"/>
      <w:bookmarkStart w:id="656" w:name="_Toc27587"/>
      <w:bookmarkStart w:id="657" w:name="_Toc509911147"/>
      <w:bookmarkStart w:id="658" w:name="_Toc525894362"/>
      <w:r>
        <w:rPr>
          <w:rFonts w:hint="eastAsia" w:ascii="Times New Roman" w:hAnsi="Times New Roman" w:cs="宋体"/>
        </w:rPr>
        <w:t>附件</w:t>
      </w:r>
      <w:r>
        <w:rPr>
          <w:rFonts w:hint="eastAsia" w:ascii="Times New Roman" w:hAnsi="Times New Roman" w:cs="宋体"/>
          <w:lang w:val="en-US" w:eastAsia="zh-CN"/>
        </w:rPr>
        <w:t>七</w:t>
      </w:r>
      <w:r>
        <w:rPr>
          <w:rFonts w:hint="eastAsia" w:ascii="Times New Roman" w:hAnsi="Times New Roman" w:cs="宋体"/>
        </w:rPr>
        <w:t xml:space="preserve">  商务与技术偏离表</w:t>
      </w:r>
      <w:bookmarkEnd w:id="647"/>
      <w:bookmarkEnd w:id="648"/>
      <w:bookmarkEnd w:id="649"/>
      <w:bookmarkEnd w:id="650"/>
      <w:bookmarkEnd w:id="651"/>
      <w:bookmarkEnd w:id="652"/>
    </w:p>
    <w:tbl>
      <w:tblPr>
        <w:tblStyle w:val="45"/>
        <w:tblW w:w="8396"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4"/>
        <w:gridCol w:w="948"/>
        <w:gridCol w:w="2931"/>
        <w:gridCol w:w="2240"/>
        <w:gridCol w:w="13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90" w:hRule="atLeast"/>
          <w:jc w:val="center"/>
        </w:trPr>
        <w:tc>
          <w:tcPr>
            <w:tcW w:w="944" w:type="dxa"/>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序号</w:t>
            </w: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招标要求</w:t>
            </w: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投标响应</w:t>
            </w: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偏离说明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70" w:hRule="atLeast"/>
          <w:jc w:val="center"/>
        </w:trPr>
        <w:tc>
          <w:tcPr>
            <w:tcW w:w="944" w:type="dxa"/>
            <w:vMerge w:val="restart"/>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商务</w:t>
            </w:r>
          </w:p>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4"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firstLine="240" w:firstLineChars="100"/>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firstLine="240" w:firstLineChars="100"/>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59"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8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restart"/>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r>
              <w:rPr>
                <w:rFonts w:hint="eastAsia" w:ascii="Times New Roman" w:hAnsi="Times New Roman" w:cs="宋体"/>
                <w:sz w:val="24"/>
                <w:szCs w:val="20"/>
              </w:rPr>
              <w:t>技术</w:t>
            </w: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cantSplit/>
          <w:trHeight w:val="561" w:hRule="atLeast"/>
          <w:jc w:val="center"/>
        </w:trPr>
        <w:tc>
          <w:tcPr>
            <w:tcW w:w="944" w:type="dxa"/>
            <w:vMerge w:val="continue"/>
            <w:vAlign w:val="top"/>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948"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931"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2240"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c>
          <w:tcPr>
            <w:tcW w:w="1333" w:type="dxa"/>
            <w:vAlign w:val="center"/>
          </w:tcPr>
          <w:p>
            <w:pPr>
              <w:keepNext w:val="0"/>
              <w:keepLines w:val="0"/>
              <w:widowControl/>
              <w:suppressLineNumbers w:val="0"/>
              <w:spacing w:before="0" w:beforeAutospacing="0" w:after="0" w:afterAutospacing="0" w:line="380" w:lineRule="exact"/>
              <w:ind w:left="0" w:right="0"/>
              <w:jc w:val="center"/>
              <w:rPr>
                <w:rFonts w:hint="eastAsia" w:ascii="Times New Roman" w:hAnsi="Times New Roman" w:cs="宋体"/>
                <w:sz w:val="24"/>
                <w:szCs w:val="20"/>
              </w:rPr>
            </w:pPr>
          </w:p>
        </w:tc>
      </w:tr>
    </w:tbl>
    <w:p>
      <w:pPr>
        <w:tabs>
          <w:tab w:val="left" w:pos="420"/>
        </w:tabs>
        <w:spacing w:line="360" w:lineRule="exact"/>
        <w:rPr>
          <w:rFonts w:hint="eastAsia" w:cs="宋体"/>
          <w:b/>
          <w:bCs/>
        </w:rPr>
      </w:pPr>
    </w:p>
    <w:p>
      <w:pPr>
        <w:tabs>
          <w:tab w:val="left" w:pos="420"/>
        </w:tabs>
        <w:spacing w:line="360" w:lineRule="exact"/>
        <w:rPr>
          <w:rFonts w:hint="eastAsia" w:cs="宋体"/>
          <w:b/>
          <w:bCs/>
        </w:rPr>
      </w:pPr>
    </w:p>
    <w:p>
      <w:pPr>
        <w:tabs>
          <w:tab w:val="left" w:pos="420"/>
        </w:tabs>
        <w:spacing w:line="360" w:lineRule="exact"/>
        <w:rPr>
          <w:rFonts w:hint="eastAsia" w:cs="宋体"/>
          <w:b/>
          <w:bCs/>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tabs>
          <w:tab w:val="left" w:pos="420"/>
        </w:tabs>
        <w:spacing w:line="360" w:lineRule="exact"/>
        <w:rPr>
          <w:rFonts w:hint="eastAsia" w:cs="宋体"/>
          <w:b/>
          <w:bCs/>
        </w:rPr>
      </w:pPr>
    </w:p>
    <w:p>
      <w:pPr>
        <w:tabs>
          <w:tab w:val="left" w:pos="420"/>
        </w:tabs>
        <w:spacing w:line="360" w:lineRule="exact"/>
        <w:rPr>
          <w:rFonts w:hint="eastAsia" w:cs="宋体"/>
        </w:rPr>
      </w:pPr>
      <w:r>
        <w:rPr>
          <w:rFonts w:hint="eastAsia" w:cs="宋体"/>
        </w:rPr>
        <w:t>注：</w:t>
      </w:r>
    </w:p>
    <w:p>
      <w:pPr>
        <w:numPr>
          <w:ilvl w:val="0"/>
          <w:numId w:val="73"/>
        </w:numPr>
        <w:spacing w:line="360" w:lineRule="exact"/>
        <w:rPr>
          <w:rFonts w:hint="eastAsia" w:cs="宋体"/>
          <w:szCs w:val="22"/>
        </w:rPr>
      </w:pPr>
      <w:r>
        <w:rPr>
          <w:rFonts w:hint="eastAsia" w:cs="宋体"/>
          <w:szCs w:val="22"/>
        </w:rPr>
        <w:t>如有偏离，必须按照实际情况详细填写，照抄招标文件或不如实填写，评标委员会有可能做出不利于投标人的评定。如未提供或不填写，则视为完全响应招标文件的商务及技术要求。</w:t>
      </w:r>
    </w:p>
    <w:p>
      <w:pPr>
        <w:numPr>
          <w:ilvl w:val="0"/>
          <w:numId w:val="73"/>
        </w:numPr>
        <w:spacing w:line="360" w:lineRule="exact"/>
        <w:rPr>
          <w:rFonts w:hint="eastAsia" w:cs="宋体"/>
          <w:szCs w:val="22"/>
        </w:rPr>
      </w:pPr>
      <w:r>
        <w:rPr>
          <w:rFonts w:hint="eastAsia" w:cs="宋体"/>
          <w:szCs w:val="22"/>
        </w:rPr>
        <w:t>“偏离说明”栏填写：“正偏离”或“负偏离”或“无偏离”。</w:t>
      </w:r>
    </w:p>
    <w:p>
      <w:pPr>
        <w:spacing w:line="360" w:lineRule="exact"/>
        <w:rPr>
          <w:rFonts w:hint="eastAsia" w:cs="宋体"/>
          <w:color w:val="000000"/>
        </w:rPr>
      </w:pPr>
    </w:p>
    <w:bookmarkEnd w:id="653"/>
    <w:bookmarkEnd w:id="654"/>
    <w:bookmarkEnd w:id="655"/>
    <w:bookmarkEnd w:id="656"/>
    <w:bookmarkEnd w:id="657"/>
    <w:bookmarkEnd w:id="658"/>
    <w:p>
      <w:pPr>
        <w:keepNext/>
        <w:keepLines/>
        <w:widowControl w:val="0"/>
        <w:adjustRightInd w:val="0"/>
        <w:snapToGrid w:val="0"/>
        <w:spacing w:before="120" w:after="120"/>
        <w:jc w:val="center"/>
        <w:outlineLvl w:val="0"/>
        <w:rPr>
          <w:rFonts w:hint="eastAsia" w:cs="宋体"/>
          <w:b/>
          <w:bCs/>
          <w:sz w:val="32"/>
          <w:szCs w:val="32"/>
        </w:rPr>
      </w:pPr>
      <w:bookmarkStart w:id="659" w:name="_Toc5067"/>
      <w:bookmarkStart w:id="660" w:name="_Toc14803"/>
      <w:bookmarkStart w:id="661" w:name="_Toc61254386"/>
      <w:bookmarkStart w:id="662" w:name="_Toc30388"/>
      <w:bookmarkStart w:id="663" w:name="_Toc13784"/>
      <w:bookmarkStart w:id="664" w:name="_Toc28759"/>
      <w:bookmarkStart w:id="665" w:name="_Toc22169"/>
      <w:bookmarkStart w:id="666" w:name="_Toc956"/>
      <w:bookmarkStart w:id="667" w:name="_Toc31797"/>
      <w:bookmarkStart w:id="668" w:name="_Toc30091"/>
      <w:bookmarkStart w:id="669" w:name="_Toc10070"/>
      <w:bookmarkStart w:id="670" w:name="_Toc5154"/>
      <w:bookmarkStart w:id="671" w:name="_Toc13173"/>
      <w:bookmarkStart w:id="672" w:name="_Toc7722"/>
      <w:bookmarkStart w:id="673" w:name="_Toc31777"/>
      <w:bookmarkStart w:id="674" w:name="_Toc27793"/>
      <w:bookmarkStart w:id="675" w:name="_Toc24344"/>
      <w:bookmarkStart w:id="676" w:name="_Toc5760"/>
      <w:bookmarkStart w:id="677" w:name="_Toc6913"/>
      <w:bookmarkStart w:id="678" w:name="_Toc26958"/>
      <w:bookmarkStart w:id="679" w:name="_Toc22129"/>
      <w:bookmarkStart w:id="680" w:name="_Toc21590"/>
      <w:bookmarkStart w:id="681" w:name="_Toc23760"/>
      <w:bookmarkStart w:id="682" w:name="_Toc27881"/>
      <w:r>
        <w:rPr>
          <w:rFonts w:hint="eastAsia" w:cs="宋体"/>
          <w:b/>
          <w:bCs/>
          <w:sz w:val="32"/>
          <w:szCs w:val="32"/>
        </w:rPr>
        <w:t>附件八</w:t>
      </w:r>
      <w:r>
        <w:rPr>
          <w:rFonts w:hint="eastAsia" w:cs="宋体"/>
          <w:b/>
          <w:bCs/>
          <w:sz w:val="32"/>
          <w:szCs w:val="32"/>
        </w:rPr>
        <w:tab/>
      </w:r>
      <w:r>
        <w:rPr>
          <w:rFonts w:hint="eastAsia" w:cs="宋体"/>
          <w:b/>
          <w:bCs/>
          <w:sz w:val="32"/>
          <w:szCs w:val="32"/>
        </w:rPr>
        <w:t xml:space="preserve">  项目负责人资格情况表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spacing w:line="400" w:lineRule="atLeast"/>
        <w:rPr>
          <w:rFonts w:hint="eastAsia" w:cs="宋体"/>
          <w:szCs w:val="21"/>
        </w:rPr>
      </w:pPr>
    </w:p>
    <w:tbl>
      <w:tblPr>
        <w:tblStyle w:val="45"/>
        <w:tblpPr w:leftFromText="180" w:rightFromText="180" w:vertAnchor="text" w:horzAnchor="page" w:tblpX="1427" w:tblpY="197"/>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567"/>
        <w:gridCol w:w="2391"/>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168" w:type="dxa"/>
            <w:tcBorders>
              <w:top w:val="single" w:color="auto" w:sz="12" w:space="0"/>
              <w:left w:val="single" w:color="auto" w:sz="12" w:space="0"/>
              <w:bottom w:val="single" w:color="auto" w:sz="4" w:space="0"/>
              <w:right w:val="single" w:color="auto" w:sz="4" w:space="0"/>
            </w:tcBorders>
            <w:vAlign w:val="center"/>
          </w:tcPr>
          <w:p>
            <w:pPr>
              <w:pStyle w:val="89"/>
              <w:keepNext w:val="0"/>
              <w:keepLines w:val="0"/>
              <w:suppressLineNumbers w:val="0"/>
              <w:autoSpaceDE w:val="0"/>
              <w:autoSpaceDN w:val="0"/>
              <w:adjustRightInd w:val="0"/>
              <w:spacing w:before="0" w:beforeAutospacing="0" w:after="0" w:afterAutospacing="0" w:line="400" w:lineRule="atLeast"/>
              <w:ind w:left="0" w:right="0"/>
              <w:rPr>
                <w:rFonts w:hint="eastAsia" w:ascii="Times New Roman" w:hAnsi="Times New Roman" w:eastAsia="宋体" w:cs="宋体"/>
                <w:szCs w:val="20"/>
                <w:lang w:val="zh-CN"/>
              </w:rPr>
            </w:pPr>
            <w:bookmarkStart w:id="683" w:name="_Toc7923"/>
            <w:bookmarkStart w:id="684" w:name="_Toc9169"/>
            <w:bookmarkStart w:id="685" w:name="_Toc23870"/>
            <w:bookmarkStart w:id="686" w:name="_Toc8621"/>
            <w:bookmarkStart w:id="687" w:name="_Toc7249"/>
            <w:bookmarkStart w:id="688" w:name="_Toc709"/>
            <w:r>
              <w:rPr>
                <w:rFonts w:hint="eastAsia" w:ascii="Times New Roman" w:hAnsi="Times New Roman" w:eastAsia="宋体" w:cs="宋体"/>
                <w:b/>
                <w:bCs/>
                <w:kern w:val="0"/>
                <w:sz w:val="21"/>
                <w:szCs w:val="22"/>
                <w:lang w:val="zh-CN"/>
              </w:rPr>
              <w:t>姓名</w:t>
            </w:r>
          </w:p>
        </w:tc>
        <w:tc>
          <w:tcPr>
            <w:tcW w:w="2567"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szCs w:val="20"/>
                <w:lang w:val="zh-CN"/>
              </w:rPr>
            </w:pPr>
          </w:p>
        </w:tc>
        <w:tc>
          <w:tcPr>
            <w:tcW w:w="2391" w:type="dxa"/>
            <w:tcBorders>
              <w:top w:val="single" w:color="auto" w:sz="12" w:space="0"/>
              <w:left w:val="single" w:color="auto" w:sz="4" w:space="0"/>
              <w:right w:val="single" w:color="auto" w:sz="12" w:space="0"/>
            </w:tcBorders>
            <w:vAlign w:val="center"/>
          </w:tcPr>
          <w:p>
            <w:pPr>
              <w:pStyle w:val="89"/>
              <w:keepNext w:val="0"/>
              <w:keepLines w:val="0"/>
              <w:suppressLineNumbers w:val="0"/>
              <w:autoSpaceDE w:val="0"/>
              <w:autoSpaceDN w:val="0"/>
              <w:adjustRightInd w:val="0"/>
              <w:spacing w:before="0" w:beforeAutospacing="0" w:after="0" w:afterAutospacing="0" w:line="400" w:lineRule="atLeast"/>
              <w:ind w:left="0" w:right="0"/>
              <w:rPr>
                <w:rFonts w:hint="eastAsia" w:ascii="Times New Roman" w:hAnsi="Times New Roman" w:eastAsia="宋体" w:cs="宋体"/>
                <w:b/>
                <w:bCs/>
                <w:kern w:val="0"/>
                <w:sz w:val="21"/>
                <w:szCs w:val="22"/>
                <w:lang w:val="zh-CN"/>
              </w:rPr>
            </w:pPr>
            <w:r>
              <w:rPr>
                <w:rFonts w:hint="eastAsia" w:ascii="Times New Roman" w:hAnsi="Times New Roman" w:eastAsia="宋体" w:cs="宋体"/>
                <w:b/>
                <w:bCs/>
                <w:kern w:val="0"/>
                <w:sz w:val="21"/>
                <w:szCs w:val="22"/>
                <w:lang w:val="zh-CN"/>
              </w:rPr>
              <w:t>性别</w:t>
            </w:r>
          </w:p>
        </w:tc>
        <w:tc>
          <w:tcPr>
            <w:tcW w:w="2185" w:type="dxa"/>
            <w:tcBorders>
              <w:top w:val="single" w:color="auto" w:sz="12" w:space="0"/>
              <w:left w:val="single" w:color="auto" w:sz="4" w:space="0"/>
              <w:right w:val="single" w:color="auto" w:sz="12" w:space="0"/>
            </w:tcBorders>
            <w:vAlign w:val="center"/>
          </w:tcPr>
          <w:p>
            <w:pPr>
              <w:pStyle w:val="89"/>
              <w:keepNext w:val="0"/>
              <w:keepLines w:val="0"/>
              <w:suppressLineNumbers w:val="0"/>
              <w:autoSpaceDE w:val="0"/>
              <w:autoSpaceDN w:val="0"/>
              <w:adjustRightInd w:val="0"/>
              <w:spacing w:before="0" w:beforeAutospacing="0" w:after="0" w:afterAutospacing="0" w:line="400" w:lineRule="atLeast"/>
              <w:ind w:left="0" w:right="0"/>
              <w:rPr>
                <w:rFonts w:hint="eastAsia" w:ascii="Times New Roman" w:hAnsi="Times New Roman" w:eastAsia="宋体" w:cs="宋体"/>
                <w:b/>
                <w:bCs/>
                <w:kern w:val="0"/>
                <w:sz w:val="21"/>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2168"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r>
              <w:rPr>
                <w:rFonts w:hint="eastAsia" w:ascii="Times New Roman" w:hAnsi="Times New Roman" w:cs="宋体"/>
                <w:b/>
                <w:bCs/>
                <w:szCs w:val="22"/>
                <w:lang w:val="zh-CN"/>
              </w:rPr>
              <w:t>年龄</w:t>
            </w:r>
          </w:p>
        </w:tc>
        <w:tc>
          <w:tcPr>
            <w:tcW w:w="2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p>
        </w:tc>
        <w:tc>
          <w:tcPr>
            <w:tcW w:w="2391" w:type="dxa"/>
            <w:tcBorders>
              <w:left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r>
              <w:rPr>
                <w:rFonts w:hint="eastAsia" w:ascii="Times New Roman" w:hAnsi="Times New Roman" w:cs="宋体"/>
                <w:b/>
                <w:bCs/>
                <w:szCs w:val="22"/>
                <w:lang w:val="zh-CN"/>
              </w:rPr>
              <w:t>学历</w:t>
            </w:r>
          </w:p>
        </w:tc>
        <w:tc>
          <w:tcPr>
            <w:tcW w:w="2185" w:type="dxa"/>
            <w:tcBorders>
              <w:left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trPr>
        <w:tc>
          <w:tcPr>
            <w:tcW w:w="2168"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r>
              <w:rPr>
                <w:rFonts w:hint="eastAsia" w:ascii="Times New Roman" w:hAnsi="Times New Roman" w:cs="宋体"/>
                <w:b/>
                <w:bCs/>
                <w:szCs w:val="22"/>
                <w:lang w:val="zh-CN"/>
              </w:rPr>
              <w:t>毕业时间</w:t>
            </w:r>
          </w:p>
        </w:tc>
        <w:tc>
          <w:tcPr>
            <w:tcW w:w="2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p>
        </w:tc>
        <w:tc>
          <w:tcPr>
            <w:tcW w:w="2391" w:type="dxa"/>
            <w:tcBorders>
              <w:left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2"/>
                <w:lang w:val="zh-CN"/>
              </w:rPr>
            </w:pPr>
            <w:r>
              <w:rPr>
                <w:rFonts w:hint="eastAsia" w:ascii="Times New Roman" w:hAnsi="Times New Roman" w:cs="宋体"/>
                <w:b/>
                <w:bCs/>
                <w:szCs w:val="22"/>
                <w:lang w:val="zh-CN"/>
              </w:rPr>
              <w:t>联系电话</w:t>
            </w:r>
          </w:p>
        </w:tc>
        <w:tc>
          <w:tcPr>
            <w:tcW w:w="2185" w:type="dxa"/>
            <w:tcBorders>
              <w:left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2168" w:type="dxa"/>
            <w:tcBorders>
              <w:top w:val="single" w:color="auto" w:sz="4" w:space="0"/>
              <w:left w:val="single" w:color="auto" w:sz="12"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0"/>
                <w:lang w:val="zh-CN"/>
              </w:rPr>
            </w:pPr>
            <w:r>
              <w:rPr>
                <w:rFonts w:hint="eastAsia" w:ascii="Times New Roman" w:hAnsi="Times New Roman" w:cs="宋体"/>
                <w:b/>
                <w:bCs/>
                <w:szCs w:val="20"/>
                <w:lang w:val="zh-CN"/>
              </w:rPr>
              <w:t>拟在本项目中担任主要工作</w:t>
            </w:r>
          </w:p>
        </w:tc>
        <w:tc>
          <w:tcPr>
            <w:tcW w:w="7143"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2168" w:type="dxa"/>
            <w:tcBorders>
              <w:top w:val="single" w:color="auto" w:sz="4" w:space="0"/>
              <w:left w:val="single" w:color="auto" w:sz="12" w:space="0"/>
              <w:bottom w:val="single" w:color="auto" w:sz="12"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b/>
                <w:bCs/>
                <w:szCs w:val="20"/>
                <w:lang w:val="zh-CN"/>
              </w:rPr>
            </w:pPr>
            <w:r>
              <w:rPr>
                <w:rFonts w:hint="eastAsia" w:ascii="Times New Roman" w:hAnsi="Times New Roman" w:cs="宋体"/>
                <w:b/>
                <w:bCs/>
                <w:szCs w:val="22"/>
                <w:lang w:val="zh-CN"/>
              </w:rPr>
              <w:t>近年来主要工作业绩</w:t>
            </w:r>
          </w:p>
        </w:tc>
        <w:tc>
          <w:tcPr>
            <w:tcW w:w="7143" w:type="dxa"/>
            <w:gridSpan w:val="3"/>
            <w:tcBorders>
              <w:top w:val="single" w:color="auto" w:sz="4" w:space="0"/>
              <w:left w:val="single" w:color="auto" w:sz="4" w:space="0"/>
              <w:bottom w:val="single" w:color="auto" w:sz="12"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rPr>
                <w:rFonts w:hint="eastAsia" w:ascii="Times New Roman" w:hAnsi="Times New Roman" w:cs="宋体"/>
                <w:szCs w:val="20"/>
                <w:lang w:val="zh-CN"/>
              </w:rPr>
            </w:pPr>
          </w:p>
        </w:tc>
      </w:tr>
    </w:tbl>
    <w:p>
      <w:pPr>
        <w:pStyle w:val="3"/>
        <w:rPr>
          <w:rFonts w:hint="eastAsia" w:ascii="Times New Roman" w:cs="宋体"/>
          <w:bCs/>
          <w:kern w:val="0"/>
          <w:sz w:val="21"/>
          <w:szCs w:val="21"/>
        </w:rPr>
      </w:pPr>
    </w:p>
    <w:bookmarkEnd w:id="683"/>
    <w:bookmarkEnd w:id="684"/>
    <w:bookmarkEnd w:id="685"/>
    <w:bookmarkEnd w:id="686"/>
    <w:bookmarkEnd w:id="687"/>
    <w:bookmarkEnd w:id="688"/>
    <w:p>
      <w:pPr>
        <w:pStyle w:val="3"/>
        <w:rPr>
          <w:rFonts w:hint="eastAsia" w:ascii="Times New Roman" w:cs="宋体"/>
        </w:rPr>
      </w:pPr>
    </w:p>
    <w:p>
      <w:pPr>
        <w:rPr>
          <w:rFonts w:hint="eastAsia" w:cs="宋体"/>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3"/>
        <w:rPr>
          <w:rFonts w:hint="eastAsia" w:ascii="Times New Roman" w:cs="宋体"/>
        </w:rPr>
      </w:pPr>
    </w:p>
    <w:p>
      <w:pPr>
        <w:tabs>
          <w:tab w:val="left" w:pos="420"/>
        </w:tabs>
        <w:spacing w:line="360" w:lineRule="exact"/>
        <w:rPr>
          <w:rFonts w:hint="eastAsia" w:cs="宋体"/>
          <w:szCs w:val="22"/>
        </w:rPr>
      </w:pPr>
      <w:bookmarkStart w:id="689" w:name="_Toc22457"/>
      <w:bookmarkStart w:id="690" w:name="_Toc28493"/>
      <w:bookmarkStart w:id="691" w:name="_Toc30451"/>
      <w:bookmarkStart w:id="692" w:name="_Toc16607"/>
      <w:bookmarkStart w:id="693" w:name="_Toc21013"/>
      <w:bookmarkStart w:id="694" w:name="_Toc23010"/>
      <w:r>
        <w:rPr>
          <w:rFonts w:hint="eastAsia" w:cs="宋体"/>
          <w:szCs w:val="22"/>
        </w:rPr>
        <w:t>注：</w:t>
      </w:r>
      <w:bookmarkEnd w:id="689"/>
      <w:bookmarkEnd w:id="690"/>
      <w:bookmarkStart w:id="695" w:name="_Toc9948"/>
    </w:p>
    <w:p>
      <w:pPr>
        <w:numPr>
          <w:ilvl w:val="0"/>
          <w:numId w:val="74"/>
        </w:numPr>
        <w:tabs>
          <w:tab w:val="left" w:pos="420"/>
        </w:tabs>
        <w:spacing w:line="360" w:lineRule="exact"/>
        <w:rPr>
          <w:rFonts w:hint="default" w:ascii="Arial" w:hAnsi="Arial" w:cs="Arial"/>
          <w:szCs w:val="22"/>
        </w:rPr>
      </w:pPr>
      <w:bookmarkStart w:id="696" w:name="_Toc23819"/>
      <w:r>
        <w:rPr>
          <w:rFonts w:hint="eastAsia" w:cs="宋体"/>
          <w:szCs w:val="22"/>
        </w:rPr>
        <w:t>本表拟派项目负责人应随表提交身份证</w:t>
      </w:r>
      <w:r>
        <w:rPr>
          <w:rFonts w:hint="default" w:ascii="Arial" w:hAnsi="Arial" w:cs="Arial"/>
          <w:szCs w:val="22"/>
        </w:rPr>
        <w:t>。</w:t>
      </w:r>
      <w:bookmarkEnd w:id="696"/>
    </w:p>
    <w:p>
      <w:pPr>
        <w:numPr>
          <w:ilvl w:val="0"/>
          <w:numId w:val="74"/>
        </w:numPr>
        <w:tabs>
          <w:tab w:val="left" w:pos="420"/>
        </w:tabs>
        <w:spacing w:line="360" w:lineRule="exact"/>
        <w:rPr>
          <w:rFonts w:hint="eastAsia" w:cs="宋体"/>
          <w:szCs w:val="22"/>
        </w:rPr>
      </w:pPr>
      <w:bookmarkStart w:id="697" w:name="_Toc6366"/>
      <w:r>
        <w:rPr>
          <w:rFonts w:hint="eastAsia"/>
          <w:b/>
          <w:bCs/>
          <w:color w:val="auto"/>
          <w:spacing w:val="12"/>
          <w:szCs w:val="21"/>
        </w:rPr>
        <w:t>▲</w:t>
      </w:r>
      <w:r>
        <w:rPr>
          <w:rFonts w:hint="eastAsia" w:cs="宋体"/>
          <w:szCs w:val="22"/>
        </w:rPr>
        <w:t>项目负责人</w:t>
      </w:r>
      <w:r>
        <w:rPr>
          <w:rFonts w:hint="eastAsia" w:cs="宋体"/>
          <w:szCs w:val="22"/>
          <w:lang w:eastAsia="zh-CN"/>
        </w:rPr>
        <w:t>需具备</w:t>
      </w:r>
      <w:r>
        <w:rPr>
          <w:rFonts w:hint="eastAsia" w:cs="宋体"/>
          <w:szCs w:val="22"/>
        </w:rPr>
        <w:t>工作经验，经验证明材料须提供劳动合同或业主方出具的证明材料或其他可以证明其管理经验的资料（证明材料须明确其就职岗位为项目负责人）复印件并进行电子签章。</w:t>
      </w:r>
      <w:bookmarkEnd w:id="697"/>
    </w:p>
    <w:p>
      <w:pPr>
        <w:numPr>
          <w:ilvl w:val="0"/>
          <w:numId w:val="74"/>
        </w:numPr>
        <w:tabs>
          <w:tab w:val="left" w:pos="420"/>
        </w:tabs>
        <w:spacing w:line="360" w:lineRule="exact"/>
        <w:rPr>
          <w:rFonts w:hint="eastAsia" w:cs="宋体"/>
          <w:szCs w:val="22"/>
        </w:rPr>
      </w:pPr>
      <w:bookmarkStart w:id="698" w:name="_Toc30139"/>
      <w:r>
        <w:rPr>
          <w:rFonts w:hint="eastAsia" w:cs="宋体"/>
          <w:szCs w:val="22"/>
        </w:rPr>
        <w:t>项目负责人有本科及以上学历的，提供学历证明复印件并进行电子签章。</w:t>
      </w:r>
      <w:bookmarkEnd w:id="691"/>
      <w:bookmarkEnd w:id="692"/>
      <w:bookmarkEnd w:id="693"/>
      <w:bookmarkEnd w:id="694"/>
      <w:bookmarkEnd w:id="695"/>
      <w:bookmarkEnd w:id="698"/>
    </w:p>
    <w:p>
      <w:pPr>
        <w:rPr>
          <w:rFonts w:hint="eastAsia"/>
        </w:rPr>
      </w:pPr>
    </w:p>
    <w:p>
      <w:pPr>
        <w:pStyle w:val="79"/>
        <w:rPr>
          <w:rFonts w:hint="eastAsia" w:cs="宋体"/>
        </w:rPr>
      </w:pPr>
    </w:p>
    <w:p>
      <w:pPr>
        <w:pStyle w:val="79"/>
        <w:rPr>
          <w:rFonts w:hint="eastAsia" w:cs="宋体"/>
        </w:rPr>
      </w:pPr>
    </w:p>
    <w:p>
      <w:pPr>
        <w:pStyle w:val="79"/>
        <w:rPr>
          <w:rFonts w:hint="eastAsia" w:cs="宋体"/>
        </w:rPr>
      </w:pPr>
    </w:p>
    <w:p>
      <w:bookmarkStart w:id="699" w:name="_Toc6840"/>
      <w:bookmarkStart w:id="700" w:name="_Toc2401"/>
      <w:bookmarkStart w:id="701" w:name="_Toc3819"/>
      <w:bookmarkStart w:id="702" w:name="_Toc10871"/>
      <w:bookmarkStart w:id="703" w:name="_Toc30022"/>
      <w:bookmarkStart w:id="704" w:name="_Toc27509"/>
      <w:bookmarkStart w:id="705" w:name="_Toc15147"/>
      <w:bookmarkStart w:id="706" w:name="_Toc16593"/>
      <w:bookmarkStart w:id="707" w:name="_Toc10553"/>
      <w:bookmarkStart w:id="708" w:name="_Toc9854"/>
      <w:bookmarkStart w:id="709" w:name="_Toc24567"/>
      <w:bookmarkStart w:id="710" w:name="_Toc9979"/>
      <w:bookmarkStart w:id="711" w:name="_Toc32049"/>
      <w:bookmarkStart w:id="712" w:name="_Toc2098"/>
      <w:bookmarkStart w:id="713" w:name="_Toc18648"/>
      <w:bookmarkStart w:id="714" w:name="_Toc4573"/>
      <w:bookmarkStart w:id="715" w:name="_Toc24258"/>
      <w:bookmarkStart w:id="716" w:name="_Toc19094"/>
      <w:bookmarkStart w:id="717" w:name="_Toc23041"/>
      <w:bookmarkStart w:id="718" w:name="_Toc31115"/>
      <w:bookmarkStart w:id="719" w:name="_Toc12526"/>
      <w:bookmarkStart w:id="720" w:name="_Toc28352"/>
      <w:bookmarkStart w:id="721" w:name="_Toc31322"/>
      <w:bookmarkStart w:id="722" w:name="_Toc23746"/>
      <w:bookmarkStart w:id="723" w:name="_Toc14234"/>
      <w:bookmarkStart w:id="724" w:name="_Toc6952"/>
      <w:bookmarkStart w:id="725" w:name="_Toc22867"/>
    </w:p>
    <w:p>
      <w:pPr>
        <w:jc w:val="center"/>
        <w:outlineLvl w:val="0"/>
        <w:rPr>
          <w:rFonts w:hint="eastAsia" w:cs="宋体"/>
        </w:rPr>
      </w:pPr>
      <w:bookmarkStart w:id="726" w:name="_Toc11181"/>
      <w:bookmarkStart w:id="727" w:name="_Toc12376"/>
      <w:bookmarkStart w:id="728" w:name="_Toc4692"/>
      <w:bookmarkStart w:id="729" w:name="_Toc11518"/>
      <w:r>
        <w:rPr>
          <w:rFonts w:hint="eastAsia" w:cs="宋体"/>
          <w:b/>
          <w:bCs/>
          <w:kern w:val="44"/>
          <w:sz w:val="28"/>
          <w:szCs w:val="36"/>
        </w:rPr>
        <w:t>附件</w:t>
      </w:r>
      <w:r>
        <w:rPr>
          <w:rFonts w:hint="eastAsia" w:cs="宋体"/>
          <w:b/>
          <w:bCs/>
          <w:kern w:val="44"/>
          <w:sz w:val="28"/>
          <w:szCs w:val="36"/>
          <w:lang w:eastAsia="zh-CN"/>
        </w:rPr>
        <w:t>九</w:t>
      </w:r>
      <w:r>
        <w:rPr>
          <w:rFonts w:hint="eastAsia" w:cs="宋体"/>
          <w:b/>
          <w:bCs/>
          <w:kern w:val="44"/>
          <w:sz w:val="28"/>
          <w:szCs w:val="36"/>
        </w:rPr>
        <w:t xml:space="preserve">  拟投入设备及工具一览表</w:t>
      </w:r>
      <w:bookmarkEnd w:id="699"/>
      <w:bookmarkEnd w:id="700"/>
      <w:bookmarkEnd w:id="701"/>
      <w:bookmarkEnd w:id="702"/>
      <w:bookmarkEnd w:id="703"/>
      <w:bookmarkEnd w:id="704"/>
      <w:bookmarkEnd w:id="705"/>
      <w:bookmarkEnd w:id="726"/>
      <w:bookmarkEnd w:id="727"/>
      <w:bookmarkEnd w:id="728"/>
      <w:bookmarkEnd w:id="729"/>
    </w:p>
    <w:tbl>
      <w:tblPr>
        <w:tblStyle w:val="4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020"/>
        <w:gridCol w:w="2243"/>
        <w:gridCol w:w="1345"/>
        <w:gridCol w:w="942"/>
        <w:gridCol w:w="110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bookmarkStart w:id="730" w:name="_Toc12872"/>
            <w:bookmarkStart w:id="731" w:name="_Toc6927"/>
            <w:bookmarkStart w:id="732" w:name="_Toc25690"/>
            <w:bookmarkStart w:id="733" w:name="_Toc23469"/>
            <w:bookmarkStart w:id="734" w:name="_Toc11823"/>
            <w:bookmarkStart w:id="735" w:name="_Toc4001"/>
            <w:bookmarkStart w:id="736" w:name="_Toc12457"/>
            <w:bookmarkStart w:id="737" w:name="_Toc30129"/>
            <w:bookmarkStart w:id="738" w:name="_Toc32596"/>
            <w:bookmarkStart w:id="739" w:name="_Toc26052"/>
            <w:bookmarkStart w:id="740" w:name="_Toc25984"/>
            <w:bookmarkStart w:id="741" w:name="_Toc30832"/>
            <w:bookmarkStart w:id="742" w:name="_Toc30532"/>
            <w:bookmarkStart w:id="743" w:name="_Toc1122"/>
            <w:bookmarkStart w:id="744" w:name="_Toc2794"/>
            <w:r>
              <w:rPr>
                <w:rFonts w:hint="eastAsia" w:ascii="Times New Roman" w:hAnsi="Times New Roman" w:cs="宋体"/>
                <w:bCs/>
                <w:szCs w:val="20"/>
              </w:rPr>
              <w:t>序号</w:t>
            </w: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设备/工具名称</w:t>
            </w: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型号规格</w:t>
            </w: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品牌/产地</w:t>
            </w: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数量</w:t>
            </w: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单价（元）</w:t>
            </w: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bCs/>
                <w:szCs w:val="20"/>
              </w:rPr>
            </w:pPr>
            <w:r>
              <w:rPr>
                <w:rFonts w:hint="eastAsia" w:ascii="Times New Roman" w:hAnsi="Times New Roman" w:cs="宋体"/>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676"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020"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2243"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345"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42"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110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c>
          <w:tcPr>
            <w:tcW w:w="927" w:type="dxa"/>
            <w:vAlign w:val="center"/>
          </w:tcPr>
          <w:p>
            <w:pPr>
              <w:keepNext w:val="0"/>
              <w:keepLines w:val="0"/>
              <w:widowControl/>
              <w:suppressLineNumbers w:val="0"/>
              <w:spacing w:before="0" w:beforeAutospacing="0" w:after="0" w:afterAutospacing="0" w:line="400" w:lineRule="atLeast"/>
              <w:ind w:left="0" w:right="0"/>
              <w:jc w:val="center"/>
              <w:rPr>
                <w:rFonts w:hint="eastAsia" w:ascii="Times New Roman" w:hAnsi="Times New Roman" w:cs="宋体"/>
                <w:szCs w:val="20"/>
              </w:rPr>
            </w:pPr>
          </w:p>
        </w:tc>
      </w:tr>
    </w:tbl>
    <w:p>
      <w:pPr>
        <w:tabs>
          <w:tab w:val="left" w:pos="6551"/>
        </w:tabs>
        <w:spacing w:line="460" w:lineRule="exact"/>
        <w:ind w:left="628" w:leftChars="299" w:firstLine="4727" w:firstLineChars="2251"/>
        <w:rPr>
          <w:rFonts w:hint="eastAsia" w:cs="宋体"/>
          <w:bCs/>
          <w:szCs w:val="21"/>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注：</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1.本表所列为投标人拟投入的设备及工具。</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2.本表中所列设备价格不计入报价，但投标人应在投标价格中考虑设备损耗及有关费用。</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3.此表仅提供了表格形式，投标人应根据需要准备足够数量的表格来填写。</w:t>
      </w:r>
    </w:p>
    <w:p>
      <w:pPr>
        <w:keepNext/>
        <w:keepLines/>
        <w:widowControl w:val="0"/>
        <w:adjustRightInd w:val="0"/>
        <w:snapToGrid w:val="0"/>
        <w:spacing w:before="120" w:after="120"/>
        <w:jc w:val="center"/>
        <w:outlineLvl w:val="0"/>
        <w:rPr>
          <w:rFonts w:hint="eastAsia" w:cs="宋体"/>
          <w:b/>
          <w:bCs/>
          <w:sz w:val="24"/>
          <w:szCs w:val="24"/>
        </w:rPr>
      </w:pPr>
      <w:bookmarkStart w:id="745" w:name="_Toc6671"/>
      <w:bookmarkStart w:id="746" w:name="_Toc13589"/>
      <w:bookmarkStart w:id="747" w:name="_Toc1278"/>
      <w:bookmarkStart w:id="748" w:name="_Toc9756"/>
      <w:r>
        <w:rPr>
          <w:rFonts w:hint="eastAsia" w:cs="宋体"/>
          <w:b/>
          <w:bCs/>
          <w:kern w:val="44"/>
          <w:sz w:val="28"/>
          <w:szCs w:val="36"/>
        </w:rPr>
        <w:t>附件十    耗材选用配备一览表</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660"/>
        <w:gridCol w:w="1459"/>
        <w:gridCol w:w="1429"/>
        <w:gridCol w:w="851"/>
        <w:gridCol w:w="124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宋体"/>
                <w:szCs w:val="21"/>
              </w:rPr>
            </w:pPr>
            <w:r>
              <w:rPr>
                <w:rFonts w:hint="eastAsia" w:ascii="Times New Roman" w:hAnsi="Times New Roman" w:cs="宋体"/>
                <w:b/>
                <w:sz w:val="22"/>
                <w:szCs w:val="20"/>
              </w:rPr>
              <w:t>序号</w:t>
            </w:r>
          </w:p>
        </w:tc>
        <w:tc>
          <w:tcPr>
            <w:tcW w:w="2660"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r>
              <w:rPr>
                <w:rFonts w:hint="eastAsia" w:ascii="Times New Roman" w:hAnsi="Times New Roman" w:cs="宋体"/>
                <w:b/>
                <w:sz w:val="22"/>
                <w:szCs w:val="20"/>
              </w:rPr>
              <w:t>耗材名称</w:t>
            </w:r>
          </w:p>
        </w:tc>
        <w:tc>
          <w:tcPr>
            <w:tcW w:w="1459"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r>
              <w:rPr>
                <w:rFonts w:hint="eastAsia" w:ascii="Times New Roman" w:hAnsi="Times New Roman" w:cs="宋体"/>
                <w:b/>
                <w:sz w:val="22"/>
                <w:szCs w:val="20"/>
              </w:rPr>
              <w:t>规格型号</w:t>
            </w:r>
          </w:p>
        </w:tc>
        <w:tc>
          <w:tcPr>
            <w:tcW w:w="1429"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r>
              <w:rPr>
                <w:rFonts w:hint="eastAsia" w:ascii="Times New Roman" w:hAnsi="Times New Roman" w:cs="宋体"/>
                <w:b/>
                <w:sz w:val="22"/>
                <w:szCs w:val="20"/>
              </w:rPr>
              <w:t>品牌/产地</w:t>
            </w:r>
          </w:p>
        </w:tc>
        <w:tc>
          <w:tcPr>
            <w:tcW w:w="851"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cs="宋体"/>
                <w:szCs w:val="21"/>
              </w:rPr>
            </w:pPr>
            <w:r>
              <w:rPr>
                <w:rFonts w:hint="eastAsia" w:ascii="Times New Roman" w:hAnsi="Times New Roman" w:cs="宋体"/>
                <w:b/>
                <w:sz w:val="22"/>
                <w:szCs w:val="20"/>
              </w:rPr>
              <w:t>数量</w:t>
            </w:r>
          </w:p>
        </w:tc>
        <w:tc>
          <w:tcPr>
            <w:tcW w:w="124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cs="宋体"/>
                <w:szCs w:val="21"/>
              </w:rPr>
            </w:pPr>
            <w:r>
              <w:rPr>
                <w:rFonts w:hint="eastAsia" w:ascii="Times New Roman" w:hAnsi="Times New Roman" w:cs="宋体"/>
                <w:b/>
                <w:sz w:val="22"/>
                <w:szCs w:val="20"/>
              </w:rPr>
              <w:t>单价(元)</w:t>
            </w:r>
          </w:p>
        </w:tc>
        <w:tc>
          <w:tcPr>
            <w:tcW w:w="836" w:type="dxa"/>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宋体"/>
                <w:szCs w:val="21"/>
              </w:rPr>
            </w:pPr>
            <w:r>
              <w:rPr>
                <w:rFonts w:hint="eastAsia" w:ascii="Times New Roman" w:hAnsi="Times New Roman" w:cs="宋体"/>
                <w:b/>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99" w:type="dxa"/>
            <w:tcBorders>
              <w:lef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2660"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5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429"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51"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124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c>
          <w:tcPr>
            <w:tcW w:w="836" w:type="dxa"/>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cs="宋体"/>
                <w:szCs w:val="21"/>
              </w:rPr>
            </w:pPr>
          </w:p>
        </w:tc>
      </w:tr>
    </w:tbl>
    <w:p>
      <w:pPr>
        <w:rPr>
          <w:rFonts w:hint="eastAsia" w:cs="宋体"/>
        </w:rPr>
      </w:pPr>
    </w:p>
    <w:p>
      <w:pPr>
        <w:rPr>
          <w:rFonts w:hint="eastAsia" w:cs="宋体"/>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注：</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1.本表所列为投标人拟投入的消耗材料清单。</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2.本表中所列耗材价格计入报价。</w:t>
      </w:r>
    </w:p>
    <w:p>
      <w:pPr>
        <w:pStyle w:val="102"/>
        <w:tabs>
          <w:tab w:val="left" w:pos="945"/>
        </w:tabs>
        <w:spacing w:line="360" w:lineRule="exact"/>
        <w:rPr>
          <w:rFonts w:hint="eastAsia" w:ascii="Times New Roman" w:hAnsi="Times New Roman" w:cs="宋体"/>
          <w:b w:val="0"/>
          <w:bCs w:val="0"/>
          <w:caps w:val="0"/>
        </w:rPr>
      </w:pPr>
      <w:r>
        <w:rPr>
          <w:rFonts w:hint="eastAsia" w:ascii="Times New Roman" w:hAnsi="Times New Roman" w:cs="宋体"/>
          <w:b w:val="0"/>
          <w:bCs w:val="0"/>
          <w:caps w:val="0"/>
        </w:rPr>
        <w:t>3.此表仅提供了表格形式，投标人应根据需要准备足够数量的表格来填写。</w:t>
      </w:r>
    </w:p>
    <w:p>
      <w:pPr>
        <w:pStyle w:val="21"/>
        <w:ind w:right="-252"/>
        <w:rPr>
          <w:rFonts w:hint="eastAsia" w:ascii="Times New Roman" w:hAnsi="Times New Roman" w:cs="宋体"/>
        </w:rPr>
      </w:pPr>
    </w:p>
    <w:p>
      <w:pPr>
        <w:pStyle w:val="78"/>
        <w:tabs>
          <w:tab w:val="clear" w:pos="840"/>
        </w:tabs>
        <w:spacing w:before="240" w:beforeLines="0" w:after="240" w:afterLines="0" w:line="400" w:lineRule="atLeast"/>
        <w:ind w:firstLine="2811" w:firstLineChars="1000"/>
        <w:jc w:val="both"/>
        <w:rPr>
          <w:rFonts w:hint="eastAsia" w:ascii="Times New Roman" w:hAnsi="Times New Roman" w:cs="宋体"/>
        </w:rPr>
      </w:pPr>
      <w:bookmarkStart w:id="749" w:name="_Toc95"/>
      <w:bookmarkStart w:id="750" w:name="_Toc11508"/>
      <w:bookmarkStart w:id="751" w:name="_Toc7303"/>
      <w:bookmarkStart w:id="752" w:name="_Toc30663"/>
      <w:bookmarkStart w:id="753" w:name="_Toc20941"/>
      <w:r>
        <w:rPr>
          <w:rFonts w:hint="eastAsia" w:ascii="Times New Roman" w:hAnsi="Times New Roman" w:cs="宋体"/>
        </w:rPr>
        <w:t>附件</w:t>
      </w:r>
      <w:r>
        <w:rPr>
          <w:rFonts w:hint="eastAsia" w:ascii="Times New Roman" w:hAnsi="Times New Roman" w:cs="宋体"/>
          <w:lang w:val="en-US" w:eastAsia="zh-CN"/>
        </w:rPr>
        <w:t>十一</w:t>
      </w:r>
      <w:r>
        <w:rPr>
          <w:rFonts w:hint="eastAsia" w:ascii="Times New Roman" w:hAnsi="Times New Roman" w:cs="宋体"/>
        </w:rPr>
        <w:tab/>
      </w:r>
      <w:r>
        <w:rPr>
          <w:rFonts w:hint="eastAsia" w:ascii="Times New Roman" w:hAnsi="Times New Roman" w:cs="宋体"/>
        </w:rPr>
        <w:t>开标一览表</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49"/>
      <w:bookmarkEnd w:id="750"/>
      <w:bookmarkEnd w:id="751"/>
      <w:bookmarkEnd w:id="752"/>
      <w:bookmarkEnd w:id="753"/>
    </w:p>
    <w:p>
      <w:pPr>
        <w:spacing w:line="400" w:lineRule="atLeast"/>
        <w:rPr>
          <w:rFonts w:hint="eastAsia" w:cs="宋体"/>
          <w:szCs w:val="21"/>
        </w:rPr>
      </w:pPr>
      <w:r>
        <w:rPr>
          <w:rFonts w:hint="eastAsia" w:cs="宋体"/>
        </w:rPr>
        <w:t>项目编号：</w:t>
      </w:r>
      <w:r>
        <w:rPr>
          <w:rFonts w:hint="eastAsia" w:ascii="Arial" w:hAnsi="Arial" w:cs="Arial"/>
          <w:lang w:eastAsia="zh-CN"/>
        </w:rPr>
        <w:t>RAJC20220611</w:t>
      </w:r>
      <w:r>
        <w:rPr>
          <w:rFonts w:hint="eastAsia" w:cs="宋体"/>
          <w:b/>
          <w:bCs/>
          <w:sz w:val="22"/>
          <w:szCs w:val="22"/>
        </w:rPr>
        <w:t xml:space="preserve">                                     </w:t>
      </w:r>
      <w:r>
        <w:rPr>
          <w:rFonts w:hint="eastAsia" w:cs="宋体"/>
        </w:rPr>
        <w:t>单位：元/人·月</w:t>
      </w:r>
    </w:p>
    <w:tbl>
      <w:tblPr>
        <w:tblStyle w:val="45"/>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4305"/>
        <w:gridCol w:w="160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1982" w:type="dxa"/>
            <w:vAlign w:val="center"/>
          </w:tcPr>
          <w:p>
            <w:pPr>
              <w:keepNext w:val="0"/>
              <w:keepLines w:val="0"/>
              <w:widowControl/>
              <w:suppressLineNumbers w:val="0"/>
              <w:spacing w:before="0" w:beforeAutospacing="0" w:after="0" w:afterAutospacing="0" w:line="300" w:lineRule="atLeast"/>
              <w:ind w:left="0" w:right="-21" w:rightChars="-10"/>
              <w:jc w:val="center"/>
              <w:rPr>
                <w:rFonts w:hint="eastAsia" w:ascii="Times New Roman" w:hAnsi="Times New Roman" w:cs="宋体"/>
                <w:szCs w:val="20"/>
              </w:rPr>
            </w:pPr>
            <w:r>
              <w:rPr>
                <w:rFonts w:hint="eastAsia" w:ascii="Times New Roman" w:hAnsi="Times New Roman" w:cs="宋体"/>
                <w:szCs w:val="20"/>
              </w:rPr>
              <w:t>项目名称</w:t>
            </w:r>
          </w:p>
        </w:tc>
        <w:tc>
          <w:tcPr>
            <w:tcW w:w="4305" w:type="dxa"/>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宋体"/>
                <w:b/>
                <w:szCs w:val="21"/>
              </w:rPr>
            </w:pPr>
            <w:r>
              <w:rPr>
                <w:rFonts w:hint="eastAsia" w:ascii="Times New Roman" w:hAnsi="Times New Roman" w:cs="宋体"/>
                <w:b/>
                <w:bCs/>
                <w:szCs w:val="20"/>
                <w:lang w:val="en-US" w:eastAsia="zh-CN"/>
              </w:rPr>
              <w:t>固定综合单价报价</w:t>
            </w:r>
            <w:r>
              <w:rPr>
                <w:rFonts w:hint="eastAsia" w:ascii="Times New Roman" w:hAnsi="Times New Roman" w:cs="宋体"/>
                <w:b/>
                <w:bCs/>
                <w:szCs w:val="20"/>
              </w:rPr>
              <w:t>（元/人·月）</w:t>
            </w:r>
          </w:p>
        </w:tc>
        <w:tc>
          <w:tcPr>
            <w:tcW w:w="1602" w:type="dxa"/>
            <w:vAlign w:val="center"/>
          </w:tcPr>
          <w:p>
            <w:pPr>
              <w:keepNext w:val="0"/>
              <w:keepLines w:val="0"/>
              <w:widowControl/>
              <w:suppressLineNumbers w:val="0"/>
              <w:spacing w:before="0" w:beforeAutospacing="0" w:after="0" w:afterAutospacing="0" w:line="360" w:lineRule="auto"/>
              <w:ind w:left="0" w:right="-21" w:rightChars="-10"/>
              <w:jc w:val="center"/>
              <w:rPr>
                <w:rFonts w:hint="eastAsia" w:ascii="Times New Roman" w:hAnsi="Times New Roman" w:cs="宋体"/>
                <w:b/>
                <w:szCs w:val="21"/>
              </w:rPr>
            </w:pPr>
            <w:r>
              <w:rPr>
                <w:rFonts w:hint="eastAsia" w:ascii="Times New Roman" w:hAnsi="Times New Roman" w:cs="宋体"/>
                <w:szCs w:val="20"/>
              </w:rPr>
              <w:t>承包服务期</w:t>
            </w:r>
          </w:p>
        </w:tc>
        <w:tc>
          <w:tcPr>
            <w:tcW w:w="1249" w:type="dxa"/>
            <w:vAlign w:val="center"/>
          </w:tcPr>
          <w:p>
            <w:pPr>
              <w:keepNext w:val="0"/>
              <w:keepLines w:val="0"/>
              <w:widowControl/>
              <w:suppressLineNumbers w:val="0"/>
              <w:spacing w:before="0" w:beforeAutospacing="0" w:after="0" w:afterAutospacing="0" w:line="360" w:lineRule="auto"/>
              <w:ind w:left="0" w:right="-21" w:rightChars="-10"/>
              <w:jc w:val="center"/>
              <w:rPr>
                <w:rFonts w:hint="eastAsia" w:ascii="Times New Roman" w:hAnsi="Times New Roman" w:cs="宋体"/>
                <w:szCs w:val="20"/>
              </w:rPr>
            </w:pPr>
            <w:r>
              <w:rPr>
                <w:rFonts w:hint="eastAsia" w:ascii="Times New Roman" w:hAnsi="Times New Roman" w:cs="宋体"/>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1982" w:type="dxa"/>
            <w:vMerge w:val="restart"/>
            <w:vAlign w:val="center"/>
          </w:tcPr>
          <w:p>
            <w:pPr>
              <w:keepNext w:val="0"/>
              <w:keepLines w:val="0"/>
              <w:widowControl/>
              <w:suppressLineNumbers w:val="0"/>
              <w:spacing w:before="0" w:beforeAutospacing="0" w:after="0" w:afterAutospacing="0" w:line="300" w:lineRule="atLeast"/>
              <w:ind w:left="0" w:right="-21" w:rightChars="-10"/>
              <w:jc w:val="center"/>
              <w:rPr>
                <w:rFonts w:hint="eastAsia" w:ascii="宋体" w:hAnsi="宋体" w:eastAsia="宋体" w:cs="宋体"/>
                <w:sz w:val="21"/>
                <w:szCs w:val="21"/>
              </w:rPr>
            </w:pPr>
            <w:r>
              <w:rPr>
                <w:rFonts w:hint="eastAsia" w:ascii="宋体" w:hAnsi="宋体" w:eastAsia="宋体" w:cs="宋体"/>
                <w:sz w:val="21"/>
                <w:szCs w:val="21"/>
              </w:rPr>
              <w:t>瑞安市妇幼保健院</w:t>
            </w:r>
            <w:r>
              <w:rPr>
                <w:rFonts w:hint="default" w:ascii="Arial" w:hAnsi="Arial" w:eastAsia="宋体" w:cs="Arial"/>
                <w:sz w:val="21"/>
                <w:szCs w:val="21"/>
              </w:rPr>
              <w:t>2022-2024</w:t>
            </w:r>
            <w:r>
              <w:rPr>
                <w:rFonts w:hint="eastAsia" w:ascii="宋体" w:hAnsi="宋体" w:eastAsia="宋体" w:cs="宋体"/>
                <w:sz w:val="21"/>
                <w:szCs w:val="21"/>
              </w:rPr>
              <w:t>年物业</w:t>
            </w:r>
            <w:r>
              <w:rPr>
                <w:rFonts w:hint="eastAsia" w:ascii="宋体" w:hAnsi="宋体" w:cs="宋体"/>
                <w:sz w:val="21"/>
                <w:szCs w:val="21"/>
                <w:lang w:eastAsia="zh-CN"/>
              </w:rPr>
              <w:t>管理</w:t>
            </w:r>
            <w:r>
              <w:rPr>
                <w:rFonts w:hint="eastAsia" w:ascii="宋体" w:hAnsi="宋体" w:eastAsia="宋体" w:cs="宋体"/>
                <w:sz w:val="21"/>
                <w:szCs w:val="21"/>
              </w:rPr>
              <w:t>服务（包含保洁、护工及运送）项目</w:t>
            </w:r>
          </w:p>
          <w:p>
            <w:pPr>
              <w:keepNext w:val="0"/>
              <w:keepLines w:val="0"/>
              <w:widowControl/>
              <w:suppressLineNumbers w:val="0"/>
              <w:spacing w:before="0" w:beforeAutospacing="0" w:after="0" w:afterAutospacing="0" w:line="300" w:lineRule="atLeast"/>
              <w:ind w:left="0" w:right="-21" w:rightChars="-10"/>
              <w:jc w:val="center"/>
              <w:rPr>
                <w:rFonts w:hint="eastAsia" w:ascii="Times New Roman" w:hAnsi="Times New Roman" w:cs="宋体"/>
                <w:sz w:val="18"/>
                <w:szCs w:val="18"/>
              </w:rPr>
            </w:pPr>
          </w:p>
        </w:tc>
        <w:tc>
          <w:tcPr>
            <w:tcW w:w="4305" w:type="dxa"/>
            <w:vAlign w:val="center"/>
          </w:tcPr>
          <w:p>
            <w:pPr>
              <w:keepNext w:val="0"/>
              <w:keepLines w:val="0"/>
              <w:widowControl/>
              <w:suppressLineNumbers w:val="0"/>
              <w:spacing w:before="0" w:beforeAutospacing="0" w:after="0" w:afterAutospacing="0" w:line="360" w:lineRule="auto"/>
              <w:ind w:left="0" w:right="0"/>
              <w:rPr>
                <w:rFonts w:hint="eastAsia" w:ascii="Times New Roman" w:hAnsi="Times New Roman" w:cs="宋体"/>
                <w:szCs w:val="20"/>
              </w:rPr>
            </w:pPr>
            <w:r>
              <w:rPr>
                <w:rFonts w:hint="eastAsia" w:ascii="Times New Roman" w:hAnsi="Times New Roman" w:cs="宋体"/>
                <w:szCs w:val="20"/>
              </w:rPr>
              <w:t>小写：</w:t>
            </w:r>
          </w:p>
          <w:p>
            <w:pPr>
              <w:keepNext w:val="0"/>
              <w:keepLines w:val="0"/>
              <w:widowControl/>
              <w:suppressLineNumbers w:val="0"/>
              <w:spacing w:before="0" w:beforeAutospacing="0" w:after="0" w:afterAutospacing="0" w:line="360" w:lineRule="auto"/>
              <w:ind w:left="0" w:right="-21" w:rightChars="-10"/>
              <w:jc w:val="both"/>
              <w:rPr>
                <w:rFonts w:hint="eastAsia" w:ascii="Times New Roman" w:hAnsi="Times New Roman" w:cs="宋体"/>
                <w:szCs w:val="20"/>
              </w:rPr>
            </w:pPr>
          </w:p>
        </w:tc>
        <w:tc>
          <w:tcPr>
            <w:tcW w:w="1602" w:type="dxa"/>
            <w:vMerge w:val="restart"/>
            <w:vAlign w:val="center"/>
          </w:tcPr>
          <w:p>
            <w:pPr>
              <w:keepNext w:val="0"/>
              <w:keepLines w:val="0"/>
              <w:widowControl/>
              <w:suppressLineNumbers w:val="0"/>
              <w:spacing w:before="0" w:beforeAutospacing="0" w:after="0" w:afterAutospacing="0" w:line="360" w:lineRule="auto"/>
              <w:ind w:left="0" w:right="-21" w:rightChars="-10"/>
              <w:jc w:val="center"/>
              <w:rPr>
                <w:rFonts w:hint="eastAsia" w:ascii="Times New Roman" w:hAnsi="Times New Roman" w:cs="宋体"/>
                <w:szCs w:val="20"/>
              </w:rPr>
            </w:pPr>
            <w:r>
              <w:rPr>
                <w:rFonts w:hint="eastAsia" w:ascii="Times New Roman" w:hAnsi="Times New Roman" w:cs="宋体"/>
                <w:color w:val="auto"/>
                <w:szCs w:val="20"/>
              </w:rPr>
              <w:t>二年</w:t>
            </w:r>
          </w:p>
        </w:tc>
        <w:tc>
          <w:tcPr>
            <w:tcW w:w="1249" w:type="dxa"/>
            <w:vMerge w:val="restart"/>
            <w:vAlign w:val="center"/>
          </w:tcPr>
          <w:p>
            <w:pPr>
              <w:keepNext w:val="0"/>
              <w:keepLines w:val="0"/>
              <w:widowControl/>
              <w:suppressLineNumbers w:val="0"/>
              <w:spacing w:before="0" w:beforeAutospacing="0" w:after="0" w:afterAutospacing="0" w:line="360" w:lineRule="auto"/>
              <w:ind w:left="0" w:right="-21" w:rightChars="-10"/>
              <w:jc w:val="center"/>
              <w:rPr>
                <w:rFonts w:hint="eastAsia" w:ascii="Times New Roman" w:hAnsi="Times New Roman"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1982" w:type="dxa"/>
            <w:vMerge w:val="continue"/>
            <w:vAlign w:val="center"/>
          </w:tcPr>
          <w:p>
            <w:pPr>
              <w:keepNext w:val="0"/>
              <w:keepLines w:val="0"/>
              <w:widowControl/>
              <w:suppressLineNumbers w:val="0"/>
              <w:spacing w:before="0" w:beforeAutospacing="0" w:after="0" w:afterAutospacing="0" w:line="360" w:lineRule="auto"/>
              <w:ind w:left="0" w:right="-21" w:rightChars="-10"/>
              <w:jc w:val="both"/>
              <w:rPr>
                <w:rFonts w:hint="eastAsia" w:ascii="Times New Roman" w:hAnsi="Times New Roman" w:cs="宋体"/>
                <w:szCs w:val="20"/>
              </w:rPr>
            </w:pPr>
          </w:p>
        </w:tc>
        <w:tc>
          <w:tcPr>
            <w:tcW w:w="4305" w:type="dxa"/>
            <w:vAlign w:val="center"/>
          </w:tcPr>
          <w:p>
            <w:pPr>
              <w:keepNext w:val="0"/>
              <w:keepLines w:val="0"/>
              <w:widowControl/>
              <w:suppressLineNumbers w:val="0"/>
              <w:spacing w:before="0" w:beforeAutospacing="0" w:after="0" w:afterAutospacing="0" w:line="360" w:lineRule="auto"/>
              <w:ind w:left="0" w:right="-21" w:rightChars="-10"/>
              <w:jc w:val="both"/>
              <w:rPr>
                <w:rFonts w:hint="eastAsia" w:ascii="Times New Roman" w:hAnsi="Times New Roman" w:cs="宋体"/>
                <w:szCs w:val="22"/>
              </w:rPr>
            </w:pPr>
            <w:bookmarkStart w:id="754" w:name="_Toc6475"/>
            <w:bookmarkStart w:id="755" w:name="_Toc10607"/>
            <w:bookmarkStart w:id="756" w:name="_Toc61254392"/>
            <w:bookmarkStart w:id="757" w:name="_Toc30439"/>
            <w:r>
              <w:rPr>
                <w:rFonts w:hint="eastAsia" w:ascii="Times New Roman" w:hAnsi="Times New Roman" w:cs="宋体"/>
                <w:szCs w:val="22"/>
              </w:rPr>
              <w:t>大写：</w:t>
            </w:r>
            <w:bookmarkEnd w:id="754"/>
            <w:bookmarkEnd w:id="755"/>
            <w:bookmarkEnd w:id="756"/>
            <w:bookmarkEnd w:id="757"/>
          </w:p>
        </w:tc>
        <w:tc>
          <w:tcPr>
            <w:tcW w:w="1602" w:type="dxa"/>
            <w:vMerge w:val="continue"/>
            <w:vAlign w:val="center"/>
          </w:tcPr>
          <w:p>
            <w:pPr>
              <w:keepNext w:val="0"/>
              <w:keepLines w:val="0"/>
              <w:widowControl/>
              <w:suppressLineNumbers w:val="0"/>
              <w:spacing w:before="0" w:beforeAutospacing="0" w:after="0" w:afterAutospacing="0" w:line="360" w:lineRule="auto"/>
              <w:ind w:left="0" w:right="-21" w:rightChars="-10"/>
              <w:jc w:val="both"/>
              <w:rPr>
                <w:rFonts w:hint="eastAsia" w:ascii="Times New Roman" w:hAnsi="Times New Roman" w:cs="宋体"/>
                <w:szCs w:val="22"/>
              </w:rPr>
            </w:pPr>
          </w:p>
        </w:tc>
        <w:tc>
          <w:tcPr>
            <w:tcW w:w="1249" w:type="dxa"/>
            <w:vMerge w:val="continue"/>
            <w:vAlign w:val="center"/>
          </w:tcPr>
          <w:p>
            <w:pPr>
              <w:keepNext w:val="0"/>
              <w:keepLines w:val="0"/>
              <w:widowControl/>
              <w:suppressLineNumbers w:val="0"/>
              <w:spacing w:before="0" w:beforeAutospacing="0" w:after="0" w:afterAutospacing="0" w:line="360" w:lineRule="auto"/>
              <w:ind w:left="0" w:right="-21" w:rightChars="-10"/>
              <w:jc w:val="both"/>
              <w:rPr>
                <w:rFonts w:hint="eastAsia" w:ascii="Times New Roman" w:hAnsi="Times New Roman" w:cs="宋体"/>
                <w:szCs w:val="22"/>
              </w:rPr>
            </w:pPr>
          </w:p>
        </w:tc>
      </w:tr>
    </w:tbl>
    <w:p>
      <w:pPr>
        <w:spacing w:line="360" w:lineRule="auto"/>
        <w:ind w:left="400"/>
        <w:rPr>
          <w:rFonts w:hint="eastAsia" w:cs="宋体"/>
          <w:szCs w:val="21"/>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line="360" w:lineRule="auto"/>
        <w:ind w:left="400"/>
        <w:jc w:val="right"/>
        <w:rPr>
          <w:rFonts w:hint="eastAsia" w:cs="宋体"/>
          <w:szCs w:val="21"/>
          <w:lang w:bidi="ar"/>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360" w:lineRule="auto"/>
        <w:ind w:left="400"/>
        <w:rPr>
          <w:rFonts w:hint="eastAsia" w:cs="宋体"/>
          <w:szCs w:val="21"/>
        </w:rPr>
      </w:pPr>
      <w:r>
        <w:rPr>
          <w:rFonts w:hint="eastAsia" w:cs="宋体"/>
          <w:szCs w:val="21"/>
        </w:rPr>
        <w:t>注：</w:t>
      </w:r>
    </w:p>
    <w:p>
      <w:pPr>
        <w:numPr>
          <w:ilvl w:val="0"/>
          <w:numId w:val="75"/>
        </w:numPr>
        <w:spacing w:line="360" w:lineRule="auto"/>
        <w:ind w:firstLine="420" w:firstLineChars="200"/>
        <w:rPr>
          <w:rFonts w:hint="eastAsia" w:cs="宋体"/>
          <w:szCs w:val="21"/>
        </w:rPr>
      </w:pPr>
      <w:r>
        <w:rPr>
          <w:rFonts w:hint="eastAsia" w:cs="宋体"/>
          <w:szCs w:val="21"/>
        </w:rPr>
        <w:t xml:space="preserve">本附件必须提供，不得自行增减内容。 </w:t>
      </w:r>
    </w:p>
    <w:p>
      <w:pPr>
        <w:numPr>
          <w:ilvl w:val="0"/>
          <w:numId w:val="75"/>
        </w:numPr>
        <w:spacing w:line="360" w:lineRule="auto"/>
        <w:ind w:firstLine="420" w:firstLineChars="200"/>
        <w:rPr>
          <w:rFonts w:hint="eastAsia" w:cs="宋体"/>
          <w:bCs/>
          <w:szCs w:val="21"/>
        </w:rPr>
      </w:pPr>
      <w:r>
        <w:rPr>
          <w:rFonts w:hint="eastAsia" w:cs="宋体"/>
          <w:bCs/>
          <w:szCs w:val="21"/>
        </w:rPr>
        <w:t>本附件中</w:t>
      </w:r>
      <w:r>
        <w:rPr>
          <w:rFonts w:hint="eastAsia" w:cs="宋体"/>
          <w:bCs/>
          <w:szCs w:val="21"/>
          <w:lang w:eastAsia="zh-CN"/>
        </w:rPr>
        <w:t>固定综合单价报价须</w:t>
      </w:r>
      <w:r>
        <w:rPr>
          <w:rFonts w:hint="eastAsia" w:cs="宋体"/>
          <w:bCs/>
          <w:szCs w:val="21"/>
        </w:rPr>
        <w:t>与报价明细表的</w:t>
      </w:r>
      <w:r>
        <w:rPr>
          <w:rFonts w:hint="eastAsia" w:cs="宋体"/>
          <w:bCs/>
          <w:szCs w:val="21"/>
          <w:lang w:val="en-US" w:eastAsia="zh-CN"/>
        </w:rPr>
        <w:t>固定综合单价</w:t>
      </w:r>
      <w:r>
        <w:rPr>
          <w:rFonts w:hint="eastAsia" w:cs="宋体"/>
          <w:bCs/>
          <w:szCs w:val="21"/>
        </w:rPr>
        <w:t>相一致</w:t>
      </w:r>
      <w:r>
        <w:rPr>
          <w:rFonts w:hint="eastAsia" w:cs="宋体"/>
          <w:bCs/>
          <w:szCs w:val="21"/>
          <w:lang w:eastAsia="zh-CN"/>
        </w:rPr>
        <w:t>，</w:t>
      </w:r>
      <w:r>
        <w:rPr>
          <w:rFonts w:hint="eastAsia" w:cs="宋体"/>
          <w:bCs/>
          <w:szCs w:val="21"/>
        </w:rPr>
        <w:t>最高限价为</w:t>
      </w:r>
      <w:r>
        <w:rPr>
          <w:rFonts w:hint="default" w:cs="宋体"/>
          <w:bCs/>
          <w:szCs w:val="21"/>
        </w:rPr>
        <w:t>3820.3元</w:t>
      </w:r>
      <w:r>
        <w:rPr>
          <w:rFonts w:hint="eastAsia" w:cs="宋体"/>
          <w:bCs/>
          <w:szCs w:val="21"/>
        </w:rPr>
        <w:t>/人·月，报价超过</w:t>
      </w:r>
      <w:r>
        <w:rPr>
          <w:rFonts w:hint="eastAsia" w:cs="宋体"/>
          <w:bCs/>
          <w:szCs w:val="21"/>
          <w:lang w:eastAsia="zh-CN"/>
        </w:rPr>
        <w:t>固定</w:t>
      </w:r>
      <w:r>
        <w:rPr>
          <w:rFonts w:hint="eastAsia" w:cs="宋体"/>
          <w:bCs/>
          <w:szCs w:val="21"/>
        </w:rPr>
        <w:t>综合单价最高限价的将作无效标处理。</w:t>
      </w:r>
    </w:p>
    <w:p>
      <w:pPr>
        <w:spacing w:line="360" w:lineRule="auto"/>
        <w:ind w:left="400"/>
        <w:rPr>
          <w:rFonts w:hint="eastAsia" w:cs="宋体"/>
          <w:b/>
          <w:szCs w:val="21"/>
        </w:rPr>
      </w:pPr>
      <w:r>
        <w:rPr>
          <w:rFonts w:hint="eastAsia" w:cs="宋体"/>
          <w:b/>
          <w:szCs w:val="21"/>
        </w:rPr>
        <w:t xml:space="preserve">                                  </w:t>
      </w:r>
    </w:p>
    <w:p>
      <w:pPr>
        <w:spacing w:line="400" w:lineRule="atLeast"/>
        <w:rPr>
          <w:rFonts w:hint="eastAsia" w:cs="宋体"/>
          <w:b/>
          <w:szCs w:val="21"/>
        </w:rPr>
      </w:pPr>
    </w:p>
    <w:p>
      <w:pPr>
        <w:pStyle w:val="3"/>
        <w:keepNext w:val="0"/>
        <w:keepLines w:val="0"/>
        <w:pageBreakBefore/>
        <w:spacing w:before="156" w:beforeLines="50" w:after="156" w:afterLines="50" w:line="400" w:lineRule="atLeast"/>
        <w:jc w:val="center"/>
        <w:rPr>
          <w:rFonts w:hint="eastAsia" w:ascii="Times New Roman" w:cs="宋体"/>
          <w:sz w:val="28"/>
          <w:szCs w:val="36"/>
        </w:rPr>
      </w:pPr>
      <w:bookmarkStart w:id="758" w:name="_Toc13758"/>
      <w:bookmarkStart w:id="759" w:name="_Toc4114"/>
      <w:bookmarkStart w:id="760" w:name="_Toc21896"/>
      <w:bookmarkStart w:id="761" w:name="_Toc15997"/>
      <w:bookmarkStart w:id="762" w:name="_Toc12964"/>
      <w:bookmarkStart w:id="763" w:name="_Toc16026"/>
      <w:bookmarkStart w:id="764" w:name="_Toc13167"/>
      <w:bookmarkStart w:id="765" w:name="_Toc22000"/>
      <w:bookmarkStart w:id="766" w:name="_Toc18551"/>
      <w:bookmarkStart w:id="767" w:name="_Toc61254393"/>
      <w:bookmarkStart w:id="768" w:name="_Toc8748"/>
      <w:bookmarkStart w:id="769" w:name="_Toc7960"/>
      <w:bookmarkStart w:id="770" w:name="_Toc12274"/>
      <w:bookmarkStart w:id="771" w:name="_Toc1388"/>
      <w:bookmarkStart w:id="772" w:name="_Toc18851"/>
      <w:bookmarkStart w:id="773" w:name="_Toc22811"/>
      <w:bookmarkStart w:id="774" w:name="_Toc17797"/>
      <w:bookmarkStart w:id="775" w:name="_Toc17651"/>
      <w:bookmarkStart w:id="776" w:name="_Toc3547"/>
      <w:bookmarkStart w:id="777" w:name="_Toc22187"/>
      <w:bookmarkStart w:id="778" w:name="_Toc25746"/>
      <w:bookmarkStart w:id="779" w:name="_Toc511914546"/>
      <w:bookmarkStart w:id="780" w:name="_Toc477786247"/>
      <w:bookmarkStart w:id="781" w:name="_Toc24071"/>
      <w:bookmarkStart w:id="782" w:name="_Toc515011115"/>
      <w:bookmarkStart w:id="783" w:name="_Toc14250"/>
      <w:bookmarkStart w:id="784" w:name="_Toc508374438"/>
      <w:bookmarkStart w:id="785" w:name="_Toc515027446"/>
      <w:bookmarkStart w:id="786" w:name="_Toc525894355"/>
      <w:r>
        <w:rPr>
          <w:rFonts w:hint="eastAsia" w:ascii="Times New Roman" w:cs="宋体"/>
          <w:sz w:val="28"/>
          <w:szCs w:val="36"/>
        </w:rPr>
        <w:t>附件十</w:t>
      </w:r>
      <w:r>
        <w:rPr>
          <w:rFonts w:hint="eastAsia" w:ascii="Times New Roman" w:cs="宋体"/>
          <w:sz w:val="28"/>
          <w:szCs w:val="36"/>
          <w:lang w:eastAsia="zh-CN"/>
        </w:rPr>
        <w:t>二</w:t>
      </w:r>
      <w:r>
        <w:rPr>
          <w:rFonts w:hint="eastAsia" w:ascii="Times New Roman" w:cs="宋体"/>
          <w:sz w:val="28"/>
          <w:szCs w:val="36"/>
        </w:rPr>
        <w:t xml:space="preserve">  报价明细表</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pStyle w:val="7"/>
        <w:ind w:right="210" w:firstLine="0"/>
        <w:rPr>
          <w:rFonts w:hint="eastAsia" w:cs="宋体"/>
          <w:sz w:val="22"/>
          <w:szCs w:val="22"/>
        </w:rPr>
      </w:pPr>
      <w:r>
        <w:rPr>
          <w:rFonts w:hint="eastAsia" w:cs="宋体"/>
          <w:lang w:val="en-US" w:eastAsia="zh-CN"/>
        </w:rPr>
        <w:t>项目编号：</w:t>
      </w:r>
      <w:r>
        <w:rPr>
          <w:rFonts w:hint="eastAsia" w:ascii="Arial" w:hAnsi="Arial" w:cs="Arial"/>
          <w:lang w:eastAsia="zh-CN"/>
        </w:rPr>
        <w:t>RAJC20220611</w:t>
      </w:r>
      <w:r>
        <w:rPr>
          <w:rFonts w:hint="eastAsia" w:cs="宋体"/>
        </w:rPr>
        <w:t xml:space="preserve">                                   单位：人民币元</w:t>
      </w:r>
      <w:r>
        <w:rPr>
          <w:rFonts w:hint="eastAsia" w:cs="宋体"/>
          <w:sz w:val="22"/>
          <w:szCs w:val="22"/>
        </w:rPr>
        <w:t xml:space="preserve"> </w:t>
      </w:r>
    </w:p>
    <w:tbl>
      <w:tblPr>
        <w:tblStyle w:val="45"/>
        <w:tblW w:w="910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2580"/>
        <w:gridCol w:w="3285"/>
        <w:gridCol w:w="25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b/>
                <w:szCs w:val="21"/>
              </w:rPr>
            </w:pPr>
            <w:r>
              <w:rPr>
                <w:rFonts w:hint="eastAsia" w:ascii="Times New Roman" w:hAnsi="Times New Roman" w:cs="宋体"/>
                <w:b/>
                <w:szCs w:val="21"/>
              </w:rPr>
              <w:t>序号</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b/>
                <w:szCs w:val="21"/>
              </w:rPr>
            </w:pPr>
            <w:r>
              <w:rPr>
                <w:rFonts w:hint="eastAsia" w:ascii="Times New Roman" w:hAnsi="Times New Roman" w:cs="宋体"/>
                <w:b/>
                <w:szCs w:val="21"/>
              </w:rPr>
              <w:t>费用名称</w:t>
            </w: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208" w:rightChars="-99"/>
              <w:jc w:val="center"/>
              <w:rPr>
                <w:rFonts w:hint="eastAsia" w:ascii="Times New Roman" w:hAnsi="Times New Roman" w:cs="宋体"/>
                <w:b/>
                <w:szCs w:val="21"/>
              </w:rPr>
            </w:pPr>
            <w:r>
              <w:rPr>
                <w:rFonts w:hint="eastAsia" w:ascii="Times New Roman" w:hAnsi="Times New Roman" w:cs="宋体"/>
                <w:b/>
                <w:szCs w:val="21"/>
              </w:rPr>
              <w:t>金额</w:t>
            </w: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b/>
                <w:szCs w:val="21"/>
                <w:lang w:eastAsia="zh-CN"/>
              </w:rPr>
            </w:pPr>
            <w:r>
              <w:rPr>
                <w:rFonts w:hint="eastAsia" w:cs="宋体"/>
                <w:b/>
                <w:szCs w:val="21"/>
                <w:lang w:eastAsia="zh-CN"/>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b/>
                <w:szCs w:val="21"/>
                <w:lang w:val="en-US" w:eastAsia="zh-CN"/>
              </w:rPr>
            </w:pPr>
            <w:r>
              <w:rPr>
                <w:rFonts w:hint="eastAsia" w:ascii="Times New Roman" w:hAnsi="Times New Roman" w:cs="宋体"/>
                <w:b w:val="0"/>
                <w:bCs/>
                <w:szCs w:val="21"/>
                <w:lang w:val="en-US" w:eastAsia="zh-CN"/>
              </w:rPr>
              <w:t>1</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b/>
                <w:szCs w:val="21"/>
              </w:rPr>
            </w:pPr>
            <w:r>
              <w:rPr>
                <w:rFonts w:hint="eastAsia" w:ascii="Times New Roman" w:hAnsi="Times New Roman" w:cs="宋体"/>
                <w:szCs w:val="21"/>
              </w:rPr>
              <w:t>人员工资</w:t>
            </w: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0" w:firstLine="100" w:firstLineChars="48"/>
              <w:jc w:val="center"/>
              <w:rPr>
                <w:rFonts w:hint="eastAsia" w:ascii="Times New Roman" w:hAnsi="Times New Roman" w:cs="宋体"/>
                <w:bCs/>
                <w:szCs w:val="21"/>
              </w:rPr>
            </w:pPr>
            <w:r>
              <w:rPr>
                <w:rFonts w:hint="eastAsia" w:cs="宋体"/>
                <w:bCs/>
                <w:szCs w:val="21"/>
                <w:lang w:val="en-US" w:eastAsia="zh-CN"/>
              </w:rPr>
              <w:t>（按每人每月报价）</w:t>
            </w:r>
          </w:p>
          <w:p>
            <w:pPr>
              <w:keepNext w:val="0"/>
              <w:keepLines w:val="0"/>
              <w:widowControl/>
              <w:suppressLineNumbers w:val="0"/>
              <w:spacing w:before="0" w:beforeAutospacing="0" w:after="0" w:afterAutospacing="0" w:line="480" w:lineRule="auto"/>
              <w:ind w:left="0" w:right="-208" w:rightChars="-99"/>
              <w:jc w:val="center"/>
              <w:rPr>
                <w:rFonts w:hint="eastAsia" w:ascii="Times New Roman" w:hAnsi="Times New Roman" w:cs="宋体"/>
                <w:bCs/>
                <w:szCs w:val="21"/>
              </w:rPr>
            </w:pPr>
            <w:r>
              <w:rPr>
                <w:rFonts w:hint="eastAsia" w:ascii="Times New Roman" w:hAnsi="Times New Roman" w:cs="宋体"/>
                <w:bCs/>
                <w:szCs w:val="21"/>
              </w:rPr>
              <w:t>年工资</w:t>
            </w: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bCs/>
                <w:szCs w:val="21"/>
                <w:lang w:val="en-US" w:eastAsia="zh-CN"/>
              </w:rPr>
            </w:pPr>
            <w:r>
              <w:rPr>
                <w:rFonts w:hint="eastAsia" w:ascii="新宋体" w:hAnsi="新宋体" w:eastAsia="新宋体" w:cs="Times New Roman"/>
                <w:b w:val="0"/>
                <w:bCs w:val="0"/>
                <w:szCs w:val="21"/>
              </w:rPr>
              <w:t>元</w:t>
            </w:r>
            <w:r>
              <w:rPr>
                <w:rFonts w:hint="eastAsia" w:ascii="新宋体" w:hAnsi="新宋体" w:eastAsia="新宋体" w:cs="Times New Roman"/>
                <w:b w:val="0"/>
                <w:bCs w:val="0"/>
                <w:szCs w:val="21"/>
                <w:lang w:val="en-US" w:eastAsia="zh-CN"/>
              </w:rPr>
              <w:t>/人</w:t>
            </w:r>
            <w:r>
              <w:rPr>
                <w:rFonts w:hint="eastAsia" w:ascii="宋体" w:hAnsi="宋体" w:cs="Times New Roman"/>
                <w:b w:val="0"/>
                <w:bCs w:val="0"/>
                <w:szCs w:val="21"/>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2</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lang w:val="en-US"/>
              </w:rPr>
            </w:pP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3</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4</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686"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5</w:t>
            </w:r>
          </w:p>
        </w:tc>
        <w:tc>
          <w:tcPr>
            <w:tcW w:w="2580" w:type="dxa"/>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r>
              <w:rPr>
                <w:rFonts w:hint="eastAsia" w:ascii="Times New Roman" w:hAnsi="Times New Roman" w:cs="宋体"/>
                <w:szCs w:val="21"/>
              </w:rPr>
              <w:t>……</w:t>
            </w: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55" w:type="dxa"/>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eastAsia="宋体" w:cs="宋体"/>
                <w:szCs w:val="21"/>
                <w:lang w:eastAsia="zh-CN"/>
              </w:rPr>
            </w:pPr>
            <w:r>
              <w:rPr>
                <w:rFonts w:hint="eastAsia" w:cs="宋体"/>
                <w:b w:val="0"/>
                <w:bCs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8" w:hRule="exact"/>
        </w:trPr>
        <w:tc>
          <w:tcPr>
            <w:tcW w:w="686" w:type="dxa"/>
            <w:vMerge w:val="restart"/>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80" w:type="dxa"/>
            <w:vMerge w:val="restart"/>
            <w:tcBorders>
              <w:right w:val="single" w:color="auto" w:sz="4" w:space="0"/>
            </w:tcBorders>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0"/>
              </w:rPr>
            </w:pPr>
            <w:r>
              <w:rPr>
                <w:rFonts w:hint="eastAsia" w:ascii="宋体" w:hAnsi="宋体" w:cs="Times New Roman"/>
                <w:b/>
                <w:szCs w:val="21"/>
                <w:lang w:val="en-US" w:eastAsia="zh-CN"/>
              </w:rPr>
              <w:t>固定综合单价</w:t>
            </w:r>
            <w:r>
              <w:rPr>
                <w:rFonts w:hint="eastAsia" w:ascii="新宋体" w:hAnsi="新宋体" w:eastAsia="新宋体" w:cs="Times New Roman"/>
                <w:b/>
                <w:bCs/>
                <w:szCs w:val="21"/>
              </w:rPr>
              <w:t>（元</w:t>
            </w:r>
            <w:r>
              <w:rPr>
                <w:rFonts w:hint="eastAsia" w:ascii="新宋体" w:hAnsi="新宋体" w:eastAsia="新宋体" w:cs="Times New Roman"/>
                <w:b/>
                <w:bCs/>
                <w:szCs w:val="21"/>
                <w:lang w:val="en-US" w:eastAsia="zh-CN"/>
              </w:rPr>
              <w:t>/人</w:t>
            </w:r>
            <w:r>
              <w:rPr>
                <w:rFonts w:hint="eastAsia" w:ascii="宋体" w:hAnsi="宋体" w:cs="Times New Roman"/>
                <w:b/>
                <w:bCs/>
                <w:szCs w:val="21"/>
                <w:lang w:val="en-US" w:eastAsia="zh-CN"/>
              </w:rPr>
              <w:t>·月</w:t>
            </w:r>
            <w:r>
              <w:rPr>
                <w:rFonts w:hint="eastAsia" w:ascii="新宋体" w:hAnsi="新宋体" w:eastAsia="新宋体" w:cs="Times New Roman"/>
                <w:b/>
                <w:bCs/>
                <w:szCs w:val="21"/>
              </w:rPr>
              <w:t>）</w:t>
            </w: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360" w:lineRule="auto"/>
              <w:ind w:left="840" w:right="-21" w:rightChars="-10" w:hanging="630"/>
              <w:jc w:val="both"/>
              <w:rPr>
                <w:rFonts w:hint="eastAsia" w:ascii="Times New Roman" w:hAnsi="Times New Roman" w:cs="宋体"/>
                <w:szCs w:val="21"/>
              </w:rPr>
            </w:pPr>
            <w:r>
              <w:rPr>
                <w:rFonts w:hint="eastAsia" w:ascii="Times New Roman" w:hAnsi="Times New Roman" w:cs="宋体"/>
                <w:szCs w:val="20"/>
              </w:rPr>
              <w:t>小写：</w:t>
            </w:r>
          </w:p>
        </w:tc>
        <w:tc>
          <w:tcPr>
            <w:tcW w:w="25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Times New Roman" w:hAnsi="Times New Roman" w:cs="宋体"/>
                <w:sz w:val="10"/>
                <w:szCs w:val="10"/>
              </w:rPr>
            </w:pPr>
            <w:r>
              <w:rPr>
                <w:rFonts w:hint="eastAsia" w:ascii="Times New Roman" w:hAnsi="Times New Roman" w:cs="Times New Roman"/>
                <w:b/>
                <w:bCs/>
                <w:szCs w:val="20"/>
                <w:lang w:eastAsia="zh-CN"/>
              </w:rPr>
              <w:t>固定</w:t>
            </w:r>
            <w:r>
              <w:rPr>
                <w:rFonts w:hint="eastAsia" w:ascii="Times New Roman" w:hAnsi="Times New Roman" w:cs="Times New Roman"/>
                <w:b/>
                <w:bCs/>
                <w:szCs w:val="20"/>
              </w:rPr>
              <w:t>综合单价最高限价为</w:t>
            </w:r>
            <w:r>
              <w:rPr>
                <w:rFonts w:hint="default" w:ascii="Arial" w:hAnsi="Arial" w:cs="Arial"/>
                <w:b/>
                <w:bCs/>
                <w:szCs w:val="20"/>
              </w:rPr>
              <w:t>3820.3元</w:t>
            </w:r>
            <w:r>
              <w:rPr>
                <w:rFonts w:hint="eastAsia" w:ascii="Times New Roman" w:hAnsi="Times New Roman" w:cs="Times New Roman"/>
                <w:b/>
                <w:bCs/>
                <w:szCs w:val="20"/>
              </w:rPr>
              <w:t>/人·月，报价超过</w:t>
            </w:r>
            <w:r>
              <w:rPr>
                <w:rFonts w:hint="eastAsia" w:ascii="Times New Roman" w:hAnsi="Times New Roman" w:cs="Times New Roman"/>
                <w:b/>
                <w:bCs/>
                <w:szCs w:val="20"/>
                <w:lang w:eastAsia="zh-CN"/>
              </w:rPr>
              <w:t>固定</w:t>
            </w:r>
            <w:r>
              <w:rPr>
                <w:rFonts w:hint="eastAsia" w:ascii="Times New Roman" w:hAnsi="Times New Roman" w:cs="Times New Roman"/>
                <w:b/>
                <w:bCs/>
                <w:szCs w:val="20"/>
              </w:rPr>
              <w:t>综合单价最高限价的将作无效标处理。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8" w:hRule="exact"/>
        </w:trPr>
        <w:tc>
          <w:tcPr>
            <w:tcW w:w="686" w:type="dxa"/>
            <w:vMerge w:val="continue"/>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c>
          <w:tcPr>
            <w:tcW w:w="2580" w:type="dxa"/>
            <w:vMerge w:val="continue"/>
            <w:tcBorders>
              <w:right w:val="single" w:color="auto" w:sz="4" w:space="0"/>
            </w:tcBorders>
            <w:vAlign w:val="center"/>
          </w:tcPr>
          <w:p>
            <w:pPr>
              <w:pStyle w:val="21"/>
              <w:keepNext w:val="0"/>
              <w:keepLines w:val="0"/>
              <w:widowControl/>
              <w:suppressLineNumbers w:val="0"/>
              <w:spacing w:before="0" w:beforeAutospacing="0" w:after="0" w:afterAutospacing="0"/>
              <w:ind w:right="-252"/>
              <w:rPr>
                <w:rFonts w:hint="eastAsia" w:ascii="Times New Roman" w:hAnsi="Times New Roman" w:cs="宋体"/>
                <w:szCs w:val="20"/>
              </w:rPr>
            </w:pPr>
          </w:p>
        </w:tc>
        <w:tc>
          <w:tcPr>
            <w:tcW w:w="3285" w:type="dxa"/>
            <w:tcBorders>
              <w:left w:val="single" w:color="auto" w:sz="4" w:space="0"/>
            </w:tcBorders>
            <w:vAlign w:val="center"/>
          </w:tcPr>
          <w:p>
            <w:pPr>
              <w:keepNext w:val="0"/>
              <w:keepLines w:val="0"/>
              <w:widowControl/>
              <w:suppressLineNumbers w:val="0"/>
              <w:spacing w:before="0" w:beforeAutospacing="0" w:after="0" w:afterAutospacing="0" w:line="360" w:lineRule="auto"/>
              <w:ind w:left="840" w:right="-21" w:rightChars="-10" w:hanging="630"/>
              <w:jc w:val="both"/>
              <w:rPr>
                <w:rFonts w:hint="eastAsia" w:ascii="Times New Roman" w:hAnsi="Times New Roman" w:cs="宋体"/>
                <w:szCs w:val="21"/>
              </w:rPr>
            </w:pPr>
            <w:r>
              <w:rPr>
                <w:rFonts w:hint="eastAsia" w:ascii="Times New Roman" w:hAnsi="Times New Roman" w:cs="宋体"/>
                <w:szCs w:val="20"/>
              </w:rPr>
              <w:t>大写：</w:t>
            </w:r>
          </w:p>
        </w:tc>
        <w:tc>
          <w:tcPr>
            <w:tcW w:w="2555" w:type="dxa"/>
            <w:vMerge w:val="continue"/>
            <w:vAlign w:val="center"/>
          </w:tcPr>
          <w:p>
            <w:pPr>
              <w:keepNext w:val="0"/>
              <w:keepLines w:val="0"/>
              <w:widowControl/>
              <w:suppressLineNumbers w:val="0"/>
              <w:spacing w:before="0" w:beforeAutospacing="0" w:after="0" w:afterAutospacing="0" w:line="480" w:lineRule="auto"/>
              <w:ind w:left="0" w:right="0"/>
              <w:jc w:val="center"/>
              <w:rPr>
                <w:rFonts w:hint="eastAsia" w:ascii="Times New Roman" w:hAnsi="Times New Roman" w:cs="宋体"/>
                <w:szCs w:val="21"/>
              </w:rPr>
            </w:pPr>
          </w:p>
        </w:tc>
      </w:tr>
    </w:tbl>
    <w:p>
      <w:pPr>
        <w:rPr>
          <w:rFonts w:hint="eastAsia" w:cs="宋体"/>
        </w:rPr>
      </w:pPr>
    </w:p>
    <w:p>
      <w:pPr>
        <w:spacing w:line="480" w:lineRule="auto"/>
        <w:jc w:val="right"/>
        <w:rPr>
          <w:rFonts w:hint="eastAsia" w:cs="宋体"/>
          <w:bCs/>
          <w:szCs w:val="21"/>
          <w:lang w:bidi="ar"/>
        </w:rPr>
      </w:pPr>
      <w:r>
        <w:rPr>
          <w:rFonts w:hint="eastAsia" w:cs="宋体"/>
          <w:bCs/>
          <w:szCs w:val="21"/>
          <w:lang w:bidi="ar"/>
        </w:rPr>
        <w:t>投标人全称：</w:t>
      </w:r>
      <w:r>
        <w:rPr>
          <w:rFonts w:hint="eastAsia" w:cs="宋体"/>
          <w:szCs w:val="21"/>
          <w:u w:val="single"/>
          <w:lang w:bidi="ar"/>
        </w:rPr>
        <w:t xml:space="preserve">                    （盖公章）</w:t>
      </w:r>
    </w:p>
    <w:p>
      <w:pPr>
        <w:spacing w:before="156" w:beforeLines="50" w:after="156" w:afterLines="50" w:line="360" w:lineRule="exact"/>
        <w:jc w:val="right"/>
        <w:rPr>
          <w:rFonts w:hint="eastAsia" w:cs="宋体"/>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400" w:lineRule="atLeast"/>
        <w:rPr>
          <w:rFonts w:hint="eastAsia" w:cs="宋体"/>
          <w:szCs w:val="21"/>
        </w:rPr>
      </w:pPr>
      <w:r>
        <w:rPr>
          <w:rFonts w:hint="eastAsia" w:cs="宋体"/>
          <w:szCs w:val="21"/>
        </w:rPr>
        <w:t>注：</w:t>
      </w:r>
    </w:p>
    <w:p>
      <w:pPr>
        <w:spacing w:line="360" w:lineRule="auto"/>
        <w:ind w:firstLine="420" w:firstLineChars="200"/>
        <w:rPr>
          <w:rFonts w:hint="eastAsia" w:cs="宋体"/>
          <w:szCs w:val="21"/>
        </w:rPr>
      </w:pPr>
      <w:r>
        <w:rPr>
          <w:rFonts w:hint="eastAsia" w:cs="宋体"/>
          <w:szCs w:val="21"/>
        </w:rPr>
        <w:t>1、</w:t>
      </w:r>
      <w:r>
        <w:rPr>
          <w:rFonts w:hint="eastAsia" w:cs="宋体"/>
          <w:szCs w:val="21"/>
          <w:lang w:val="en-US" w:eastAsia="zh-CN"/>
        </w:rPr>
        <w:t>本项目服务费采用固定综合单价报价</w:t>
      </w:r>
      <w:r>
        <w:rPr>
          <w:rFonts w:hint="eastAsia" w:cs="宋体"/>
          <w:szCs w:val="21"/>
        </w:rPr>
        <w:t>，</w:t>
      </w:r>
      <w:r>
        <w:rPr>
          <w:rFonts w:hint="eastAsia" w:cs="宋体"/>
          <w:szCs w:val="21"/>
          <w:lang w:eastAsia="zh-CN"/>
        </w:rPr>
        <w:t>固定综合单价</w:t>
      </w:r>
      <w:r>
        <w:rPr>
          <w:rFonts w:hint="eastAsia" w:cs="宋体"/>
          <w:szCs w:val="21"/>
        </w:rPr>
        <w:t>最高限价为</w:t>
      </w:r>
      <w:r>
        <w:rPr>
          <w:rFonts w:hint="default" w:ascii="Arial" w:hAnsi="Arial" w:cs="Arial"/>
          <w:szCs w:val="21"/>
        </w:rPr>
        <w:t>3820.3元</w:t>
      </w:r>
      <w:r>
        <w:rPr>
          <w:rFonts w:hint="eastAsia" w:cs="宋体"/>
          <w:szCs w:val="21"/>
        </w:rPr>
        <w:t>/人·月，</w:t>
      </w:r>
      <w:r>
        <w:rPr>
          <w:rFonts w:hint="eastAsia" w:cs="宋体"/>
          <w:szCs w:val="21"/>
          <w:lang w:val="en-US" w:eastAsia="zh-CN"/>
        </w:rPr>
        <w:t>包括</w:t>
      </w:r>
      <w:r>
        <w:rPr>
          <w:rFonts w:hint="eastAsia" w:cs="宋体"/>
          <w:szCs w:val="21"/>
        </w:rPr>
        <w:t>人工费（人员工资、双休日及法定节假日加班、奖金及社保费）、食宿与交通、服装、安全、仓储、</w:t>
      </w:r>
      <w:r>
        <w:rPr>
          <w:rFonts w:hint="eastAsia"/>
          <w:szCs w:val="21"/>
          <w:lang w:eastAsia="zh-CN"/>
        </w:rPr>
        <w:t>搬运、管道疏通、</w:t>
      </w:r>
      <w:r>
        <w:rPr>
          <w:rFonts w:hint="eastAsia" w:cs="宋体"/>
          <w:szCs w:val="21"/>
        </w:rPr>
        <w:t>工具材料费、</w:t>
      </w:r>
      <w:r>
        <w:rPr>
          <w:rFonts w:hint="eastAsia" w:cs="宋体"/>
          <w:szCs w:val="21"/>
          <w:lang w:val="en-US" w:eastAsia="zh-CN"/>
        </w:rPr>
        <w:t>保洁耗材费</w:t>
      </w:r>
      <w:r>
        <w:rPr>
          <w:rFonts w:hint="eastAsia" w:cs="宋体"/>
          <w:szCs w:val="21"/>
        </w:rPr>
        <w:t>、管理费用、税费、利润、完成合同所需的一切本身和不可或缺的所有工作开支、政策性文件规定</w:t>
      </w:r>
      <w:r>
        <w:rPr>
          <w:rFonts w:hint="eastAsia" w:cs="宋体"/>
          <w:szCs w:val="21"/>
          <w:lang w:val="en-US" w:eastAsia="zh-CN"/>
        </w:rPr>
        <w:t>及</w:t>
      </w:r>
      <w:r>
        <w:rPr>
          <w:rFonts w:hint="eastAsia" w:cs="宋体"/>
          <w:szCs w:val="21"/>
        </w:rPr>
        <w:t>合同包含的所有风险、责任等各项全部费用。</w:t>
      </w:r>
    </w:p>
    <w:p>
      <w:pPr>
        <w:spacing w:line="360" w:lineRule="auto"/>
        <w:ind w:firstLine="420" w:firstLineChars="200"/>
        <w:rPr>
          <w:rFonts w:hint="eastAsia" w:cs="宋体"/>
          <w:szCs w:val="21"/>
          <w:lang w:val="en-US" w:eastAsia="zh-CN"/>
        </w:rPr>
      </w:pPr>
      <w:r>
        <w:rPr>
          <w:rFonts w:hint="eastAsia" w:cs="宋体"/>
          <w:szCs w:val="21"/>
          <w:lang w:eastAsia="zh-CN"/>
        </w:rPr>
        <w:t>采购人</w:t>
      </w:r>
      <w:r>
        <w:rPr>
          <w:rFonts w:hint="eastAsia" w:cs="宋体"/>
          <w:szCs w:val="21"/>
        </w:rPr>
        <w:t>将根据实际需要对相关人员需求的数量进行调配，</w:t>
      </w:r>
      <w:r>
        <w:rPr>
          <w:rFonts w:hint="eastAsia" w:cs="宋体"/>
          <w:szCs w:val="21"/>
          <w:lang w:eastAsia="zh-CN"/>
        </w:rPr>
        <w:t>中标人</w:t>
      </w:r>
      <w:r>
        <w:rPr>
          <w:rFonts w:hint="eastAsia" w:cs="宋体"/>
          <w:szCs w:val="21"/>
        </w:rPr>
        <w:t>应无条件按要求配备，每月根据实际</w:t>
      </w:r>
      <w:r>
        <w:rPr>
          <w:rFonts w:hint="eastAsia" w:cs="宋体"/>
          <w:szCs w:val="21"/>
          <w:lang w:val="en-US" w:eastAsia="zh-CN"/>
        </w:rPr>
        <w:t>服务人员</w:t>
      </w:r>
      <w:r>
        <w:rPr>
          <w:rFonts w:hint="eastAsia" w:cs="宋体"/>
          <w:szCs w:val="21"/>
        </w:rPr>
        <w:t>数量结算服务费。</w:t>
      </w:r>
      <w:r>
        <w:rPr>
          <w:rFonts w:hint="eastAsia" w:cs="宋体"/>
          <w:szCs w:val="21"/>
          <w:lang w:val="en-US" w:eastAsia="zh-CN"/>
        </w:rPr>
        <w:t>若今后病区或保洁范围增加而需增加人员的，院方将按中标单价另行签订补充协议。</w:t>
      </w:r>
    </w:p>
    <w:p>
      <w:pPr>
        <w:spacing w:line="360" w:lineRule="auto"/>
        <w:ind w:firstLine="420" w:firstLineChars="200"/>
        <w:rPr>
          <w:rFonts w:hint="eastAsia" w:eastAsia="宋体"/>
          <w:lang w:val="en-US" w:eastAsia="zh-CN"/>
        </w:rPr>
      </w:pPr>
      <w:r>
        <w:rPr>
          <w:rFonts w:hint="eastAsia" w:cs="宋体"/>
          <w:szCs w:val="21"/>
        </w:rPr>
        <w:t>2、</w:t>
      </w:r>
      <w:r>
        <w:rPr>
          <w:rFonts w:hint="eastAsia" w:cs="宋体"/>
          <w:szCs w:val="21"/>
          <w:lang w:eastAsia="zh-CN"/>
        </w:rPr>
        <w:t>除人员工资外其他费用由供应商自行填写。</w:t>
      </w:r>
    </w:p>
    <w:p>
      <w:pPr>
        <w:spacing w:line="360" w:lineRule="auto"/>
        <w:ind w:firstLine="420" w:firstLineChars="200"/>
        <w:rPr>
          <w:rFonts w:hint="eastAsia" w:cs="宋体"/>
          <w:szCs w:val="21"/>
        </w:rPr>
      </w:pPr>
      <w:r>
        <w:rPr>
          <w:rFonts w:hint="eastAsia" w:cs="宋体"/>
          <w:szCs w:val="21"/>
          <w:lang w:val="en-US" w:eastAsia="zh-CN"/>
        </w:rPr>
        <w:t>3</w:t>
      </w:r>
      <w:r>
        <w:rPr>
          <w:rFonts w:hint="eastAsia" w:cs="宋体"/>
          <w:szCs w:val="21"/>
        </w:rPr>
        <w:t>、本附件中</w:t>
      </w:r>
      <w:r>
        <w:rPr>
          <w:rFonts w:hint="eastAsia" w:cs="宋体"/>
          <w:szCs w:val="21"/>
          <w:lang w:val="en-US" w:eastAsia="zh-CN"/>
        </w:rPr>
        <w:t>固定综合单价</w:t>
      </w:r>
      <w:r>
        <w:rPr>
          <w:rFonts w:hint="eastAsia" w:cs="宋体"/>
          <w:szCs w:val="21"/>
        </w:rPr>
        <w:t>应与开标一览表的</w:t>
      </w:r>
      <w:r>
        <w:rPr>
          <w:rFonts w:hint="eastAsia" w:cs="宋体"/>
          <w:szCs w:val="21"/>
          <w:lang w:val="en-US" w:eastAsia="zh-CN"/>
        </w:rPr>
        <w:t>固定综合单价</w:t>
      </w:r>
      <w:r>
        <w:rPr>
          <w:rFonts w:hint="eastAsia" w:cs="宋体"/>
          <w:szCs w:val="21"/>
        </w:rPr>
        <w:t>相一致。</w:t>
      </w:r>
    </w:p>
    <w:p>
      <w:pPr>
        <w:spacing w:line="400" w:lineRule="atLeast"/>
        <w:ind w:firstLine="420" w:firstLineChars="200"/>
        <w:rPr>
          <w:rFonts w:hint="eastAsia" w:cs="宋体"/>
          <w:szCs w:val="21"/>
        </w:rPr>
      </w:pPr>
      <w:r>
        <w:rPr>
          <w:rFonts w:hint="eastAsia" w:cs="宋体"/>
          <w:szCs w:val="21"/>
          <w:lang w:val="en-US" w:eastAsia="zh-CN"/>
        </w:rPr>
        <w:t>4</w:t>
      </w:r>
      <w:r>
        <w:rPr>
          <w:rFonts w:hint="eastAsia" w:cs="宋体"/>
          <w:szCs w:val="21"/>
        </w:rPr>
        <w:t xml:space="preserve">、不提供详细分项报价将视为没有实质性响应招标文件，投标无效。 </w:t>
      </w:r>
    </w:p>
    <w:bookmarkEnd w:id="779"/>
    <w:bookmarkEnd w:id="780"/>
    <w:bookmarkEnd w:id="781"/>
    <w:bookmarkEnd w:id="782"/>
    <w:bookmarkEnd w:id="783"/>
    <w:bookmarkEnd w:id="784"/>
    <w:bookmarkEnd w:id="785"/>
    <w:bookmarkEnd w:id="786"/>
    <w:p>
      <w:pPr>
        <w:pStyle w:val="21"/>
        <w:ind w:left="0" w:leftChars="0" w:right="-252" w:firstLine="0" w:firstLineChars="0"/>
        <w:rPr>
          <w:rFonts w:hint="eastAsia" w:ascii="Times New Roman" w:hAnsi="Times New Roman" w:cs="宋体"/>
          <w:sz w:val="24"/>
          <w:szCs w:val="24"/>
        </w:rPr>
      </w:pPr>
    </w:p>
    <w:p>
      <w:pPr>
        <w:pStyle w:val="21"/>
        <w:ind w:left="0" w:right="-252"/>
        <w:rPr>
          <w:rFonts w:hint="eastAsia" w:ascii="Times New Roman" w:hAnsi="Times New Roman" w:cs="宋体"/>
          <w:sz w:val="24"/>
          <w:szCs w:val="24"/>
        </w:rPr>
      </w:pPr>
    </w:p>
    <w:p>
      <w:pPr>
        <w:pStyle w:val="4"/>
        <w:pageBreakBefore/>
        <w:spacing w:before="78" w:beforeLines="25" w:after="0" w:line="360" w:lineRule="auto"/>
        <w:ind w:firstLine="1405" w:firstLineChars="500"/>
        <w:jc w:val="both"/>
        <w:rPr>
          <w:rFonts w:hint="eastAsia" w:ascii="Times New Roman" w:hAnsi="Times New Roman" w:cs="宋体"/>
          <w:sz w:val="28"/>
          <w:szCs w:val="28"/>
        </w:rPr>
      </w:pPr>
      <w:bookmarkStart w:id="787" w:name="_Toc27992"/>
      <w:bookmarkStart w:id="788" w:name="_Toc28346"/>
      <w:bookmarkStart w:id="789" w:name="_Toc23092"/>
      <w:bookmarkStart w:id="790" w:name="_Toc1377"/>
      <w:bookmarkStart w:id="791" w:name="_Toc31102"/>
      <w:bookmarkStart w:id="792" w:name="_Toc60"/>
      <w:bookmarkStart w:id="793" w:name="_Toc28960"/>
      <w:bookmarkStart w:id="794" w:name="_Toc31417"/>
      <w:bookmarkStart w:id="795" w:name="_Toc29878"/>
      <w:bookmarkStart w:id="796" w:name="_Toc23263"/>
      <w:bookmarkStart w:id="797" w:name="_Toc27305"/>
      <w:bookmarkStart w:id="798" w:name="_Toc23439"/>
      <w:bookmarkStart w:id="799" w:name="_Toc23162"/>
      <w:bookmarkStart w:id="800" w:name="_Toc32744"/>
      <w:bookmarkStart w:id="801" w:name="_Toc9104"/>
      <w:bookmarkStart w:id="802" w:name="_Toc20288"/>
      <w:bookmarkStart w:id="803" w:name="_Toc14006"/>
      <w:bookmarkStart w:id="804" w:name="_Toc11377"/>
      <w:bookmarkStart w:id="805" w:name="_Toc14498"/>
      <w:bookmarkStart w:id="806" w:name="_Toc9778"/>
      <w:bookmarkStart w:id="807" w:name="_Toc31190"/>
      <w:bookmarkStart w:id="808" w:name="_Toc22387"/>
      <w:bookmarkStart w:id="809" w:name="_Toc29858"/>
      <w:bookmarkStart w:id="810" w:name="_Toc23692"/>
      <w:bookmarkStart w:id="811" w:name="_Toc21375"/>
      <w:r>
        <w:rPr>
          <w:rFonts w:hint="eastAsia" w:ascii="Times New Roman" w:hAnsi="Times New Roman" w:cs="宋体"/>
          <w:sz w:val="28"/>
          <w:szCs w:val="28"/>
        </w:rPr>
        <w:t>附件十</w:t>
      </w:r>
      <w:r>
        <w:rPr>
          <w:rFonts w:hint="eastAsia" w:ascii="Times New Roman" w:hAnsi="Times New Roman" w:cs="宋体"/>
          <w:sz w:val="28"/>
          <w:szCs w:val="28"/>
          <w:lang w:val="en-US" w:eastAsia="zh-CN"/>
        </w:rPr>
        <w:t>三</w:t>
      </w:r>
      <w:r>
        <w:rPr>
          <w:rFonts w:hint="eastAsia" w:ascii="Times New Roman" w:hAnsi="Times New Roman" w:cs="宋体"/>
          <w:sz w:val="28"/>
          <w:szCs w:val="28"/>
        </w:rPr>
        <w:t xml:space="preserve">  政府采购活动现场确认声明书</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23"/>
        <w:snapToGrid w:val="0"/>
        <w:spacing w:before="156" w:after="156" w:line="440" w:lineRule="exact"/>
        <w:rPr>
          <w:rFonts w:hint="eastAsia" w:ascii="Times New Roman" w:hAnsi="Times New Roman" w:cs="宋体"/>
          <w:b/>
          <w:color w:val="000000"/>
          <w:szCs w:val="21"/>
        </w:rPr>
      </w:pPr>
      <w:r>
        <w:rPr>
          <w:rFonts w:hint="eastAsia" w:ascii="Times New Roman" w:hAnsi="Times New Roman" w:cs="宋体"/>
          <w:color w:val="000000"/>
          <w:sz w:val="21"/>
          <w:szCs w:val="21"/>
          <w:lang w:val="en-US" w:eastAsia="zh-CN"/>
        </w:rPr>
        <w:t>瑞安市妇幼保健院</w:t>
      </w:r>
      <w:r>
        <w:rPr>
          <w:rFonts w:hint="eastAsia" w:ascii="Times New Roman" w:hAnsi="Times New Roman" w:cs="宋体"/>
          <w:color w:val="000000"/>
          <w:kern w:val="0"/>
          <w:szCs w:val="21"/>
        </w:rPr>
        <w:t>、</w:t>
      </w:r>
      <w:r>
        <w:rPr>
          <w:rFonts w:hint="eastAsia" w:ascii="Times New Roman" w:hAnsi="Times New Roman" w:cs="宋体"/>
          <w:color w:val="000000"/>
          <w:sz w:val="21"/>
          <w:szCs w:val="21"/>
        </w:rPr>
        <w:t>瑞安市公共资源交易中心：</w:t>
      </w:r>
    </w:p>
    <w:p>
      <w:pPr>
        <w:pStyle w:val="23"/>
        <w:snapToGrid w:val="0"/>
        <w:spacing w:before="156" w:after="156" w:line="320" w:lineRule="exact"/>
        <w:ind w:firstLine="444" w:firstLineChars="200"/>
        <w:rPr>
          <w:rFonts w:hint="eastAsia" w:ascii="Times New Roman" w:hAnsi="Times New Roman" w:cs="宋体"/>
          <w:b/>
          <w:bCs/>
          <w:color w:val="000000"/>
          <w:sz w:val="21"/>
          <w:szCs w:val="21"/>
        </w:rPr>
      </w:pPr>
      <w:r>
        <w:rPr>
          <w:rFonts w:hint="eastAsia" w:ascii="Times New Roman" w:hAnsi="Times New Roman" w:cs="宋体"/>
          <w:color w:val="000000"/>
          <w:spacing w:val="6"/>
          <w:sz w:val="21"/>
          <w:szCs w:val="21"/>
        </w:rPr>
        <w:t>本人</w:t>
      </w:r>
      <w:r>
        <w:rPr>
          <w:rFonts w:hint="eastAsia" w:ascii="Times New Roman" w:hAnsi="Times New Roman" w:cs="宋体"/>
          <w:color w:val="000000"/>
          <w:spacing w:val="6"/>
          <w:sz w:val="21"/>
          <w:szCs w:val="21"/>
          <w:u w:val="single"/>
        </w:rPr>
        <w:t xml:space="preserve">             </w:t>
      </w:r>
      <w:r>
        <w:rPr>
          <w:rFonts w:hint="eastAsia" w:ascii="Times New Roman" w:hAnsi="Times New Roman" w:cs="宋体"/>
          <w:color w:val="000000"/>
          <w:spacing w:val="6"/>
          <w:sz w:val="21"/>
          <w:szCs w:val="21"/>
        </w:rPr>
        <w:t>（授权代表姓名），经由</w:t>
      </w:r>
      <w:r>
        <w:rPr>
          <w:rFonts w:hint="eastAsia" w:ascii="Times New Roman" w:hAnsi="Times New Roman" w:cs="宋体"/>
          <w:color w:val="000000"/>
          <w:spacing w:val="6"/>
          <w:sz w:val="21"/>
          <w:szCs w:val="21"/>
          <w:u w:val="single"/>
        </w:rPr>
        <w:t xml:space="preserve">                       </w:t>
      </w:r>
      <w:r>
        <w:rPr>
          <w:rFonts w:hint="eastAsia" w:ascii="Times New Roman" w:hAnsi="Times New Roman" w:cs="宋体"/>
          <w:color w:val="000000"/>
          <w:spacing w:val="6"/>
          <w:sz w:val="21"/>
          <w:szCs w:val="21"/>
        </w:rPr>
        <w:t>（单位）</w:t>
      </w:r>
    </w:p>
    <w:p>
      <w:pPr>
        <w:pStyle w:val="23"/>
        <w:snapToGrid w:val="0"/>
        <w:spacing w:before="156" w:after="156" w:line="320" w:lineRule="exact"/>
        <w:rPr>
          <w:rFonts w:hint="eastAsia" w:ascii="Times New Roman" w:hAnsi="Times New Roman" w:cs="宋体"/>
          <w:color w:val="000000"/>
          <w:spacing w:val="6"/>
          <w:sz w:val="21"/>
          <w:szCs w:val="21"/>
        </w:rPr>
      </w:pPr>
      <w:r>
        <w:rPr>
          <w:rFonts w:hint="eastAsia" w:ascii="Times New Roman" w:hAnsi="Times New Roman" w:cs="宋体"/>
          <w:color w:val="000000"/>
          <w:spacing w:val="6"/>
          <w:sz w:val="21"/>
          <w:szCs w:val="21"/>
          <w:u w:val="single"/>
        </w:rPr>
        <w:t xml:space="preserve">             </w:t>
      </w:r>
      <w:r>
        <w:rPr>
          <w:rFonts w:hint="eastAsia" w:ascii="Times New Roman" w:hAnsi="Times New Roman" w:cs="宋体"/>
          <w:color w:val="000000"/>
          <w:spacing w:val="6"/>
          <w:sz w:val="21"/>
          <w:szCs w:val="21"/>
        </w:rPr>
        <w:t>（法定代表人姓名）合法授权参加</w:t>
      </w:r>
      <w:r>
        <w:rPr>
          <w:rFonts w:hint="eastAsia" w:ascii="Times New Roman" w:hAnsi="Times New Roman" w:cs="宋体"/>
          <w:color w:val="000000"/>
          <w:spacing w:val="6"/>
          <w:sz w:val="21"/>
          <w:szCs w:val="21"/>
          <w:u w:val="single"/>
        </w:rPr>
        <w:t xml:space="preserve">                     </w:t>
      </w:r>
      <w:r>
        <w:rPr>
          <w:rFonts w:hint="eastAsia" w:ascii="Times New Roman" w:hAnsi="Times New Roman" w:cs="宋体"/>
          <w:color w:val="000000"/>
          <w:spacing w:val="6"/>
          <w:sz w:val="21"/>
          <w:szCs w:val="21"/>
        </w:rPr>
        <w:t>项目（编号：</w:t>
      </w:r>
      <w:r>
        <w:rPr>
          <w:rFonts w:hint="eastAsia" w:ascii="Times New Roman" w:hAnsi="Times New Roman" w:cs="宋体"/>
          <w:color w:val="000000"/>
          <w:spacing w:val="6"/>
          <w:sz w:val="21"/>
          <w:szCs w:val="21"/>
          <w:u w:val="single"/>
        </w:rPr>
        <w:t xml:space="preserve">           </w:t>
      </w:r>
      <w:r>
        <w:rPr>
          <w:rFonts w:hint="eastAsia" w:ascii="Times New Roman" w:hAnsi="Times New Roman" w:cs="宋体"/>
          <w:color w:val="000000"/>
          <w:spacing w:val="6"/>
          <w:sz w:val="21"/>
          <w:szCs w:val="21"/>
        </w:rPr>
        <w:t>）政府采购活动，经与本单位法人代表（负责人）联系确认，现就有关公平竞争事项郑重声明如下：</w:t>
      </w:r>
    </w:p>
    <w:p>
      <w:pPr>
        <w:pStyle w:val="23"/>
        <w:snapToGrid w:val="0"/>
        <w:spacing w:before="156" w:after="156" w:line="320" w:lineRule="exact"/>
        <w:rPr>
          <w:rFonts w:hint="eastAsia" w:ascii="Times New Roman" w:hAnsi="Times New Roman" w:cs="宋体"/>
          <w:color w:val="000000"/>
          <w:sz w:val="21"/>
          <w:szCs w:val="21"/>
        </w:rPr>
      </w:pPr>
      <w:r>
        <w:rPr>
          <w:rFonts w:hint="eastAsia" w:ascii="Times New Roman" w:hAnsi="Times New Roman" w:cs="宋体"/>
          <w:color w:val="000000"/>
          <w:sz w:val="21"/>
          <w:szCs w:val="21"/>
        </w:rPr>
        <w:t>一、本单位与采购人之间□不存在利害关系□存在下列利害关系：</w:t>
      </w:r>
    </w:p>
    <w:p>
      <w:pPr>
        <w:pStyle w:val="23"/>
        <w:snapToGrid w:val="0"/>
        <w:spacing w:before="156" w:after="156" w:line="320" w:lineRule="exact"/>
        <w:rPr>
          <w:rFonts w:hint="eastAsia" w:ascii="Times New Roman" w:hAnsi="Times New Roman" w:cs="宋体"/>
          <w:b/>
          <w:bCs/>
          <w:color w:val="000000"/>
          <w:sz w:val="21"/>
          <w:szCs w:val="21"/>
        </w:rPr>
      </w:pPr>
      <w:bookmarkStart w:id="812" w:name="_Toc12112"/>
      <w:bookmarkStart w:id="813" w:name="_Toc17468"/>
      <w:bookmarkStart w:id="814" w:name="_Toc6003"/>
      <w:bookmarkStart w:id="815" w:name="_Toc27231"/>
      <w:bookmarkStart w:id="816" w:name="_Toc15373"/>
      <w:r>
        <w:rPr>
          <w:rFonts w:hint="eastAsia" w:ascii="Times New Roman" w:hAnsi="Times New Roman" w:cs="宋体"/>
          <w:color w:val="000000"/>
          <w:sz w:val="21"/>
          <w:szCs w:val="21"/>
        </w:rPr>
        <w:t>A.投资关系    B.行政隶属关系    C.业务指导关系</w:t>
      </w:r>
      <w:bookmarkEnd w:id="812"/>
      <w:bookmarkEnd w:id="813"/>
      <w:bookmarkEnd w:id="814"/>
      <w:bookmarkEnd w:id="815"/>
      <w:bookmarkEnd w:id="816"/>
    </w:p>
    <w:p>
      <w:pPr>
        <w:snapToGrid w:val="0"/>
        <w:spacing w:line="320" w:lineRule="exact"/>
        <w:rPr>
          <w:rFonts w:hint="eastAsia" w:cs="宋体"/>
          <w:color w:val="000000"/>
          <w:szCs w:val="21"/>
        </w:rPr>
      </w:pPr>
      <w:bookmarkStart w:id="817" w:name="_Toc19012"/>
      <w:bookmarkStart w:id="818" w:name="_Toc24424"/>
      <w:bookmarkStart w:id="819" w:name="_Toc28394"/>
      <w:bookmarkStart w:id="820" w:name="_Toc4044"/>
      <w:bookmarkStart w:id="821" w:name="_Toc9171"/>
      <w:r>
        <w:rPr>
          <w:rFonts w:hint="eastAsia" w:cs="宋体"/>
          <w:color w:val="000000"/>
          <w:szCs w:val="21"/>
        </w:rPr>
        <w:t>D.其他可能影响采购公正的利害关系</w:t>
      </w:r>
      <w:r>
        <w:rPr>
          <w:rFonts w:hint="eastAsia" w:cs="宋体"/>
          <w:color w:val="000000"/>
          <w:szCs w:val="21"/>
          <w:u w:val="single"/>
        </w:rPr>
        <w:t xml:space="preserve">（如有，请如实说明）              </w:t>
      </w:r>
      <w:r>
        <w:rPr>
          <w:rFonts w:hint="eastAsia" w:cs="宋体"/>
          <w:color w:val="000000"/>
          <w:szCs w:val="21"/>
        </w:rPr>
        <w:t>。</w:t>
      </w:r>
      <w:bookmarkEnd w:id="817"/>
      <w:bookmarkEnd w:id="818"/>
      <w:bookmarkEnd w:id="819"/>
      <w:bookmarkEnd w:id="820"/>
      <w:bookmarkEnd w:id="821"/>
    </w:p>
    <w:p>
      <w:pPr>
        <w:snapToGrid w:val="0"/>
        <w:spacing w:line="320" w:lineRule="exact"/>
        <w:rPr>
          <w:rFonts w:hint="eastAsia" w:cs="宋体"/>
          <w:color w:val="000000"/>
          <w:szCs w:val="21"/>
        </w:rPr>
      </w:pPr>
      <w:r>
        <w:rPr>
          <w:rFonts w:hint="eastAsia" w:cs="宋体"/>
          <w:color w:val="000000"/>
          <w:spacing w:val="6"/>
          <w:szCs w:val="21"/>
        </w:rPr>
        <w:t>二、</w:t>
      </w:r>
      <w:r>
        <w:rPr>
          <w:rFonts w:hint="eastAsia" w:cs="宋体"/>
          <w:color w:val="000000"/>
          <w:szCs w:val="21"/>
        </w:rPr>
        <w:t>现已清楚知道参加本项目采购活动的其他所有投标人名称，本单位□与其他所有投标人之间均不存在利害关系  □与</w:t>
      </w:r>
      <w:r>
        <w:rPr>
          <w:rFonts w:hint="eastAsia" w:cs="宋体"/>
          <w:color w:val="000000"/>
          <w:szCs w:val="21"/>
          <w:u w:val="single"/>
        </w:rPr>
        <w:t xml:space="preserve">            （投标人名称）</w:t>
      </w:r>
      <w:r>
        <w:rPr>
          <w:rFonts w:hint="eastAsia" w:cs="宋体"/>
          <w:color w:val="000000"/>
          <w:szCs w:val="21"/>
        </w:rPr>
        <w:t>之间存在下列利害关系：</w:t>
      </w:r>
    </w:p>
    <w:p>
      <w:pPr>
        <w:snapToGrid w:val="0"/>
        <w:spacing w:line="320" w:lineRule="exact"/>
        <w:rPr>
          <w:rFonts w:hint="eastAsia" w:cs="宋体"/>
          <w:color w:val="000000"/>
          <w:szCs w:val="21"/>
        </w:rPr>
      </w:pPr>
      <w:r>
        <w:rPr>
          <w:rFonts w:hint="eastAsia" w:cs="宋体"/>
          <w:color w:val="000000"/>
          <w:szCs w:val="21"/>
        </w:rPr>
        <w:t xml:space="preserve"> A.法定代表人或负责人或实际控制人是同一人</w:t>
      </w:r>
    </w:p>
    <w:p>
      <w:pPr>
        <w:pStyle w:val="23"/>
        <w:snapToGrid w:val="0"/>
        <w:spacing w:before="156" w:after="156" w:line="320" w:lineRule="exact"/>
        <w:rPr>
          <w:rFonts w:hint="eastAsia" w:ascii="Times New Roman" w:hAnsi="Times New Roman" w:cs="宋体"/>
          <w:color w:val="000000"/>
          <w:spacing w:val="6"/>
          <w:sz w:val="21"/>
          <w:szCs w:val="21"/>
        </w:rPr>
      </w:pPr>
      <w:r>
        <w:rPr>
          <w:rFonts w:hint="eastAsia" w:ascii="Times New Roman" w:hAnsi="Times New Roman" w:cs="宋体"/>
          <w:color w:val="000000"/>
          <w:kern w:val="0"/>
          <w:sz w:val="21"/>
          <w:szCs w:val="21"/>
        </w:rPr>
        <w:t xml:space="preserve"> B.法定代表人或负责人或实际控制人是夫妻关系</w:t>
      </w:r>
    </w:p>
    <w:p>
      <w:pPr>
        <w:pStyle w:val="23"/>
        <w:snapToGrid w:val="0"/>
        <w:spacing w:before="156" w:after="156" w:line="320" w:lineRule="exact"/>
        <w:rPr>
          <w:rFonts w:hint="eastAsia" w:ascii="Times New Roman" w:hAnsi="Times New Roman" w:cs="宋体"/>
          <w:color w:val="000000"/>
          <w:spacing w:val="6"/>
          <w:sz w:val="21"/>
          <w:szCs w:val="21"/>
        </w:rPr>
      </w:pPr>
      <w:r>
        <w:rPr>
          <w:rFonts w:hint="eastAsia" w:ascii="Times New Roman" w:hAnsi="Times New Roman" w:cs="宋体"/>
          <w:color w:val="000000"/>
          <w:kern w:val="0"/>
          <w:sz w:val="21"/>
          <w:szCs w:val="21"/>
        </w:rPr>
        <w:t xml:space="preserve"> C.法定代表人或负责人或实际控制人是直系血亲关系</w:t>
      </w:r>
    </w:p>
    <w:p>
      <w:pPr>
        <w:pStyle w:val="23"/>
        <w:snapToGrid w:val="0"/>
        <w:spacing w:before="156" w:after="156" w:line="320" w:lineRule="exact"/>
        <w:rPr>
          <w:rFonts w:hint="eastAsia" w:ascii="Times New Roman" w:hAnsi="Times New Roman" w:cs="宋体"/>
          <w:color w:val="000000"/>
          <w:spacing w:val="6"/>
          <w:sz w:val="21"/>
          <w:szCs w:val="21"/>
        </w:rPr>
      </w:pPr>
      <w:r>
        <w:rPr>
          <w:rFonts w:hint="eastAsia" w:ascii="Times New Roman" w:hAnsi="Times New Roman" w:cs="宋体"/>
          <w:color w:val="000000"/>
          <w:kern w:val="0"/>
          <w:sz w:val="21"/>
          <w:szCs w:val="21"/>
        </w:rPr>
        <w:t xml:space="preserve"> D.法定代表人或负责人或实际控制人存在三代以内旁系血亲关系</w:t>
      </w:r>
    </w:p>
    <w:p>
      <w:pPr>
        <w:pStyle w:val="23"/>
        <w:snapToGrid w:val="0"/>
        <w:spacing w:before="156" w:after="156" w:line="320" w:lineRule="exact"/>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E.法定代表人或负责人或实际控制人存在近姻亲关系</w:t>
      </w:r>
    </w:p>
    <w:p>
      <w:pPr>
        <w:pStyle w:val="23"/>
        <w:snapToGrid w:val="0"/>
        <w:spacing w:before="156" w:after="156" w:line="320" w:lineRule="exact"/>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F.法定代表人或负责人或实际控制人存在股份控制或实际控制关系</w:t>
      </w:r>
    </w:p>
    <w:p>
      <w:pPr>
        <w:pStyle w:val="23"/>
        <w:snapToGrid w:val="0"/>
        <w:spacing w:before="156" w:after="156" w:line="320" w:lineRule="exact"/>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G.存在共同直接或间接投资设立子公司、联营企业和合营企业情况</w:t>
      </w:r>
    </w:p>
    <w:p>
      <w:pPr>
        <w:pStyle w:val="23"/>
        <w:snapToGrid w:val="0"/>
        <w:spacing w:before="156" w:after="156" w:line="320" w:lineRule="exact"/>
        <w:rPr>
          <w:rFonts w:hint="eastAsia" w:ascii="Times New Roman" w:hAnsi="Times New Roman" w:cs="宋体"/>
          <w:color w:val="000000"/>
          <w:sz w:val="21"/>
          <w:szCs w:val="21"/>
        </w:rPr>
      </w:pPr>
      <w:r>
        <w:rPr>
          <w:rFonts w:hint="eastAsia" w:ascii="Times New Roman" w:hAnsi="Times New Roman" w:cs="宋体"/>
          <w:color w:val="000000"/>
          <w:kern w:val="0"/>
          <w:sz w:val="21"/>
          <w:szCs w:val="21"/>
        </w:rPr>
        <w:t xml:space="preserve"> H.存在分级代理或代销关系、同一生产制造商关系、管理关系、重要业务（占</w:t>
      </w:r>
      <w:r>
        <w:rPr>
          <w:rFonts w:hint="eastAsia" w:ascii="Times New Roman" w:hAnsi="Times New Roman" w:cs="宋体"/>
          <w:color w:val="000000"/>
          <w:sz w:val="21"/>
          <w:szCs w:val="21"/>
        </w:rPr>
        <w:t>主营业务收入50%以上）或重要财务往来关系（如融资）等其他实质性控制关系</w:t>
      </w:r>
    </w:p>
    <w:p>
      <w:pPr>
        <w:pStyle w:val="23"/>
        <w:snapToGrid w:val="0"/>
        <w:spacing w:before="156" w:after="156" w:line="320" w:lineRule="exact"/>
        <w:ind w:left="-190" w:firstLine="189" w:firstLineChars="90"/>
        <w:rPr>
          <w:rFonts w:hint="eastAsia" w:ascii="Times New Roman" w:hAnsi="Times New Roman" w:cs="宋体"/>
          <w:color w:val="000000"/>
          <w:kern w:val="0"/>
          <w:sz w:val="21"/>
          <w:szCs w:val="21"/>
        </w:rPr>
      </w:pPr>
      <w:bookmarkStart w:id="822" w:name="_Toc21051"/>
      <w:bookmarkStart w:id="823" w:name="_Toc19277"/>
      <w:bookmarkStart w:id="824" w:name="_Toc23144"/>
      <w:bookmarkStart w:id="825" w:name="_Toc3905"/>
      <w:bookmarkStart w:id="826" w:name="_Toc24972"/>
      <w:r>
        <w:rPr>
          <w:rFonts w:hint="eastAsia" w:ascii="Times New Roman" w:hAnsi="Times New Roman" w:cs="宋体"/>
          <w:color w:val="000000"/>
          <w:sz w:val="21"/>
          <w:szCs w:val="21"/>
        </w:rPr>
        <w:t>I</w:t>
      </w:r>
      <w:r>
        <w:rPr>
          <w:rFonts w:hint="eastAsia" w:ascii="Times New Roman" w:hAnsi="Times New Roman" w:cs="宋体"/>
          <w:color w:val="000000"/>
          <w:kern w:val="0"/>
          <w:sz w:val="21"/>
          <w:szCs w:val="21"/>
        </w:rPr>
        <w:t>.</w:t>
      </w:r>
      <w:r>
        <w:rPr>
          <w:rFonts w:hint="eastAsia" w:ascii="Times New Roman" w:hAnsi="Times New Roman" w:cs="宋体"/>
          <w:color w:val="000000"/>
          <w:sz w:val="21"/>
          <w:szCs w:val="21"/>
        </w:rPr>
        <w:t>其他利害关系情况</w:t>
      </w:r>
      <w:r>
        <w:rPr>
          <w:rFonts w:hint="eastAsia" w:ascii="Times New Roman" w:hAnsi="Times New Roman" w:cs="宋体"/>
          <w:color w:val="000000"/>
          <w:sz w:val="21"/>
          <w:szCs w:val="21"/>
          <w:u w:val="single"/>
        </w:rPr>
        <w:t xml:space="preserve">                       </w:t>
      </w:r>
      <w:r>
        <w:rPr>
          <w:rFonts w:hint="eastAsia" w:ascii="Times New Roman" w:hAnsi="Times New Roman" w:cs="宋体"/>
          <w:color w:val="000000"/>
          <w:kern w:val="0"/>
          <w:sz w:val="21"/>
          <w:szCs w:val="21"/>
        </w:rPr>
        <w:t>。</w:t>
      </w:r>
      <w:bookmarkEnd w:id="822"/>
      <w:bookmarkEnd w:id="823"/>
      <w:bookmarkEnd w:id="824"/>
      <w:bookmarkEnd w:id="825"/>
      <w:bookmarkEnd w:id="826"/>
    </w:p>
    <w:p>
      <w:pPr>
        <w:pStyle w:val="23"/>
        <w:numPr>
          <w:ilvl w:val="0"/>
          <w:numId w:val="76"/>
        </w:numPr>
        <w:tabs>
          <w:tab w:val="left" w:pos="210"/>
          <w:tab w:val="left" w:pos="420"/>
        </w:tabs>
        <w:snapToGrid w:val="0"/>
        <w:spacing w:beforeLines="0" w:afterLines="0" w:line="320" w:lineRule="exact"/>
        <w:ind w:left="10" w:hanging="10"/>
        <w:rPr>
          <w:rFonts w:hint="eastAsia" w:ascii="Times New Roman" w:hAnsi="Times New Roman" w:cs="宋体"/>
          <w:color w:val="000000"/>
          <w:sz w:val="21"/>
          <w:szCs w:val="21"/>
        </w:rPr>
      </w:pPr>
      <w:r>
        <w:rPr>
          <w:rFonts w:hint="eastAsia" w:ascii="Times New Roman" w:hAnsi="Times New Roman" w:cs="宋体"/>
          <w:color w:val="000000"/>
          <w:sz w:val="21"/>
          <w:szCs w:val="21"/>
        </w:rPr>
        <w:t>现已清楚知道并严格遵守政府采购法律法规和现场纪律。</w:t>
      </w:r>
    </w:p>
    <w:p>
      <w:pPr>
        <w:numPr>
          <w:ilvl w:val="0"/>
          <w:numId w:val="76"/>
        </w:numPr>
        <w:tabs>
          <w:tab w:val="left" w:pos="420"/>
        </w:tabs>
        <w:snapToGrid w:val="0"/>
        <w:spacing w:line="320" w:lineRule="exact"/>
        <w:ind w:left="0" w:firstLine="0"/>
        <w:rPr>
          <w:rFonts w:hint="eastAsia" w:cs="宋体"/>
          <w:color w:val="000000"/>
          <w:szCs w:val="21"/>
        </w:rPr>
      </w:pPr>
      <w:r>
        <w:rPr>
          <w:rFonts w:hint="eastAsia" w:cs="宋体"/>
          <w:color w:val="000000"/>
          <w:szCs w:val="21"/>
        </w:rPr>
        <w:t>我发现</w:t>
      </w:r>
      <w:r>
        <w:rPr>
          <w:rFonts w:hint="eastAsia" w:cs="宋体"/>
          <w:color w:val="000000"/>
          <w:szCs w:val="21"/>
          <w:u w:val="single"/>
        </w:rPr>
        <w:t xml:space="preserve">          </w:t>
      </w:r>
      <w:r>
        <w:rPr>
          <w:rFonts w:hint="eastAsia" w:cs="宋体"/>
          <w:color w:val="000000"/>
          <w:szCs w:val="21"/>
        </w:rPr>
        <w:t>投标人之间存在或可能存在上述第二条第</w:t>
      </w:r>
      <w:r>
        <w:rPr>
          <w:rFonts w:hint="eastAsia" w:cs="宋体"/>
          <w:color w:val="000000"/>
          <w:szCs w:val="21"/>
          <w:u w:val="single"/>
        </w:rPr>
        <w:t xml:space="preserve">      </w:t>
      </w:r>
      <w:r>
        <w:rPr>
          <w:rFonts w:hint="eastAsia" w:cs="宋体"/>
          <w:color w:val="000000"/>
          <w:szCs w:val="21"/>
        </w:rPr>
        <w:t>项利害关系。</w:t>
      </w:r>
    </w:p>
    <w:p>
      <w:pPr>
        <w:pStyle w:val="21"/>
        <w:ind w:left="0" w:right="-252" w:firstLine="420" w:firstLineChars="200"/>
        <w:jc w:val="center"/>
        <w:rPr>
          <w:rFonts w:hint="eastAsia" w:ascii="Times New Roman" w:hAnsi="Times New Roman" w:cs="宋体"/>
          <w:sz w:val="21"/>
          <w:szCs w:val="21"/>
          <w:lang w:bidi="ar"/>
        </w:rPr>
      </w:pPr>
      <w:r>
        <w:rPr>
          <w:rFonts w:hint="eastAsia" w:ascii="Times New Roman" w:hAnsi="Times New Roman" w:cs="宋体"/>
          <w:sz w:val="21"/>
          <w:szCs w:val="21"/>
          <w:lang w:bidi="ar"/>
        </w:rPr>
        <w:t xml:space="preserve"> </w:t>
      </w:r>
    </w:p>
    <w:p>
      <w:pPr>
        <w:pStyle w:val="21"/>
        <w:ind w:left="0" w:right="-252" w:firstLine="420" w:firstLineChars="200"/>
        <w:jc w:val="center"/>
        <w:rPr>
          <w:rFonts w:hint="eastAsia" w:ascii="Times New Roman" w:hAnsi="Times New Roman" w:cs="宋体"/>
          <w:sz w:val="21"/>
          <w:szCs w:val="21"/>
          <w:u w:val="single"/>
          <w:lang w:bidi="ar"/>
        </w:rPr>
      </w:pPr>
      <w:r>
        <w:rPr>
          <w:rFonts w:hint="eastAsia" w:ascii="Times New Roman" w:hAnsi="Times New Roman" w:cs="宋体"/>
          <w:sz w:val="21"/>
          <w:szCs w:val="21"/>
          <w:lang w:bidi="ar"/>
        </w:rPr>
        <w:t xml:space="preserve">                                   投标人全称：</w:t>
      </w:r>
      <w:r>
        <w:rPr>
          <w:rFonts w:hint="eastAsia" w:ascii="Times New Roman" w:hAnsi="Times New Roman" w:cs="宋体"/>
          <w:sz w:val="21"/>
          <w:szCs w:val="21"/>
          <w:u w:val="single"/>
          <w:lang w:bidi="ar"/>
        </w:rPr>
        <w:t xml:space="preserve">                  （盖公章）</w:t>
      </w:r>
    </w:p>
    <w:p>
      <w:pPr>
        <w:pStyle w:val="21"/>
        <w:ind w:left="0" w:right="-252" w:firstLine="420" w:firstLineChars="200"/>
        <w:jc w:val="center"/>
        <w:rPr>
          <w:rFonts w:hint="eastAsia" w:ascii="Times New Roman" w:hAnsi="Times New Roman" w:cs="宋体"/>
          <w:sz w:val="21"/>
          <w:szCs w:val="21"/>
          <w:lang w:bidi="ar"/>
        </w:rPr>
      </w:pPr>
      <w:r>
        <w:rPr>
          <w:rFonts w:hint="eastAsia" w:ascii="Times New Roman" w:hAnsi="Times New Roman" w:cs="宋体"/>
          <w:sz w:val="21"/>
          <w:szCs w:val="21"/>
          <w:lang w:bidi="ar"/>
        </w:rPr>
        <w:t xml:space="preserve">           投标人代表签名：</w:t>
      </w:r>
      <w:r>
        <w:rPr>
          <w:rFonts w:hint="eastAsia" w:ascii="Times New Roman" w:hAnsi="Times New Roman" w:cs="宋体"/>
          <w:sz w:val="21"/>
          <w:szCs w:val="21"/>
          <w:u w:val="single"/>
          <w:lang w:bidi="ar"/>
        </w:rPr>
        <w:t xml:space="preserve">                        </w:t>
      </w:r>
      <w:r>
        <w:rPr>
          <w:rFonts w:hint="eastAsia" w:ascii="Times New Roman" w:hAnsi="Times New Roman" w:cs="宋体"/>
          <w:sz w:val="21"/>
          <w:szCs w:val="21"/>
          <w:lang w:bidi="ar"/>
        </w:rPr>
        <w:t xml:space="preserve">                   </w:t>
      </w:r>
    </w:p>
    <w:p>
      <w:pPr>
        <w:pStyle w:val="21"/>
        <w:ind w:left="0" w:right="-252" w:firstLine="420" w:firstLineChars="200"/>
        <w:jc w:val="center"/>
        <w:rPr>
          <w:rFonts w:hint="eastAsia" w:ascii="Times New Roman" w:hAnsi="Times New Roman" w:cs="宋体"/>
          <w:bCs/>
          <w:sz w:val="21"/>
          <w:szCs w:val="21"/>
        </w:rPr>
      </w:pPr>
      <w:r>
        <w:rPr>
          <w:rFonts w:hint="eastAsia" w:ascii="Times New Roman" w:hAnsi="Times New Roman" w:cs="宋体"/>
          <w:sz w:val="21"/>
          <w:szCs w:val="21"/>
          <w:lang w:bidi="ar"/>
        </w:rPr>
        <w:t xml:space="preserve">                            日期：</w:t>
      </w:r>
      <w:r>
        <w:rPr>
          <w:rFonts w:hint="eastAsia" w:ascii="Times New Roman" w:hAnsi="Times New Roman" w:cs="宋体"/>
          <w:sz w:val="21"/>
          <w:szCs w:val="21"/>
          <w:u w:val="single"/>
          <w:lang w:bidi="ar"/>
        </w:rPr>
        <w:t xml:space="preserve">        </w:t>
      </w:r>
      <w:r>
        <w:rPr>
          <w:rFonts w:hint="eastAsia" w:ascii="Times New Roman" w:hAnsi="Times New Roman" w:cs="宋体"/>
          <w:sz w:val="21"/>
          <w:szCs w:val="21"/>
          <w:lang w:bidi="ar"/>
        </w:rPr>
        <w:t>年</w:t>
      </w:r>
      <w:r>
        <w:rPr>
          <w:rFonts w:hint="eastAsia" w:ascii="Times New Roman" w:hAnsi="Times New Roman" w:cs="宋体"/>
          <w:sz w:val="21"/>
          <w:szCs w:val="21"/>
          <w:u w:val="single"/>
          <w:lang w:bidi="ar"/>
        </w:rPr>
        <w:t xml:space="preserve">       </w:t>
      </w:r>
      <w:r>
        <w:rPr>
          <w:rFonts w:hint="eastAsia" w:ascii="Times New Roman" w:hAnsi="Times New Roman" w:cs="宋体"/>
          <w:sz w:val="21"/>
          <w:szCs w:val="21"/>
          <w:lang w:bidi="ar"/>
        </w:rPr>
        <w:t>月</w:t>
      </w:r>
      <w:r>
        <w:rPr>
          <w:rFonts w:hint="eastAsia" w:ascii="Times New Roman" w:hAnsi="Times New Roman" w:cs="宋体"/>
          <w:sz w:val="21"/>
          <w:szCs w:val="21"/>
          <w:u w:val="single"/>
          <w:lang w:bidi="ar"/>
        </w:rPr>
        <w:t xml:space="preserve">      </w:t>
      </w:r>
      <w:r>
        <w:rPr>
          <w:rFonts w:hint="eastAsia" w:ascii="Times New Roman" w:hAnsi="Times New Roman" w:cs="宋体"/>
          <w:sz w:val="21"/>
          <w:szCs w:val="21"/>
          <w:lang w:bidi="ar"/>
        </w:rPr>
        <w:t>日</w:t>
      </w:r>
      <w:r>
        <w:rPr>
          <w:rFonts w:hint="eastAsia" w:ascii="Times New Roman" w:hAnsi="Times New Roman" w:cs="宋体"/>
          <w:bCs/>
          <w:sz w:val="21"/>
          <w:szCs w:val="21"/>
        </w:rPr>
        <w:t xml:space="preserve">                               </w:t>
      </w:r>
    </w:p>
    <w:p>
      <w:pPr>
        <w:rPr>
          <w:rFonts w:hint="eastAsia" w:cs="宋体"/>
          <w:szCs w:val="21"/>
        </w:rPr>
      </w:pPr>
    </w:p>
    <w:p>
      <w:pPr>
        <w:rPr>
          <w:rFonts w:hint="eastAsia" w:cs="宋体"/>
          <w:bCs/>
          <w:szCs w:val="21"/>
        </w:rPr>
      </w:pPr>
      <w:r>
        <w:rPr>
          <w:rFonts w:hint="eastAsia" w:cs="宋体"/>
          <w:bCs/>
          <w:szCs w:val="21"/>
        </w:rPr>
        <w:t>注：</w:t>
      </w:r>
    </w:p>
    <w:p>
      <w:pPr>
        <w:rPr>
          <w:rFonts w:hint="eastAsia" w:cs="宋体"/>
          <w:bCs/>
          <w:szCs w:val="21"/>
        </w:rPr>
      </w:pPr>
      <w:r>
        <w:rPr>
          <w:rFonts w:hint="eastAsia" w:cs="宋体"/>
          <w:bCs/>
          <w:szCs w:val="21"/>
        </w:rPr>
        <w:t>1.投标文件解密结束后，投标人代表将此表填写完整，签字并加盖实体公章后再扫描，以电子邮件方式传送至集中采购机构邮箱：</w:t>
      </w:r>
      <w:r>
        <w:rPr>
          <w:rFonts w:hint="eastAsia" w:cs="宋体"/>
          <w:bCs/>
          <w:szCs w:val="21"/>
        </w:rPr>
        <w:fldChar w:fldCharType="begin"/>
      </w:r>
      <w:r>
        <w:rPr>
          <w:rFonts w:hint="eastAsia" w:cs="宋体"/>
          <w:bCs/>
          <w:szCs w:val="21"/>
        </w:rPr>
        <w:instrText xml:space="preserve"> HYPERLINK "mailto:racgzxjsr@163.com" </w:instrText>
      </w:r>
      <w:r>
        <w:rPr>
          <w:rFonts w:hint="eastAsia" w:cs="宋体"/>
          <w:bCs/>
          <w:szCs w:val="21"/>
        </w:rPr>
        <w:fldChar w:fldCharType="separate"/>
      </w:r>
      <w:r>
        <w:rPr>
          <w:rFonts w:hint="eastAsia" w:cs="宋体"/>
          <w:bCs/>
          <w:szCs w:val="21"/>
          <w:lang w:eastAsia="zh-CN"/>
        </w:rPr>
        <w:t>racgzxcjj</w:t>
      </w:r>
      <w:r>
        <w:rPr>
          <w:rStyle w:val="43"/>
          <w:rFonts w:ascii="Times New Roman" w:hAnsi="Times New Roman"/>
          <w:bCs/>
          <w:sz w:val="21"/>
          <w:szCs w:val="21"/>
        </w:rPr>
        <w:t>@163.com</w:t>
      </w:r>
      <w:r>
        <w:rPr>
          <w:rFonts w:hint="eastAsia" w:cs="宋体"/>
          <w:bCs/>
          <w:szCs w:val="21"/>
        </w:rPr>
        <w:fldChar w:fldCharType="end"/>
      </w:r>
      <w:r>
        <w:rPr>
          <w:rFonts w:hint="eastAsia" w:cs="宋体"/>
          <w:bCs/>
          <w:szCs w:val="21"/>
        </w:rPr>
        <w:t>。</w:t>
      </w:r>
    </w:p>
    <w:p>
      <w:pPr>
        <w:pStyle w:val="4"/>
        <w:pageBreakBefore/>
        <w:spacing w:before="78" w:beforeLines="25" w:after="0" w:line="360" w:lineRule="auto"/>
        <w:jc w:val="center"/>
        <w:rPr>
          <w:rFonts w:hint="eastAsia" w:ascii="Times New Roman" w:hAnsi="Times New Roman" w:cs="宋体"/>
          <w:sz w:val="28"/>
          <w:szCs w:val="28"/>
        </w:rPr>
      </w:pPr>
      <w:bookmarkStart w:id="827" w:name="_Toc26147"/>
      <w:bookmarkStart w:id="828" w:name="_Toc435"/>
      <w:bookmarkStart w:id="829" w:name="_Toc28831"/>
      <w:bookmarkStart w:id="830" w:name="_Toc5502"/>
      <w:bookmarkStart w:id="831" w:name="_Toc14206"/>
      <w:bookmarkStart w:id="832" w:name="_Toc20826"/>
      <w:bookmarkStart w:id="833" w:name="_Toc26105"/>
      <w:bookmarkStart w:id="834" w:name="_Toc15911"/>
      <w:bookmarkStart w:id="835" w:name="_Toc10210"/>
      <w:bookmarkStart w:id="836" w:name="_Toc18822"/>
      <w:bookmarkStart w:id="837" w:name="_Toc20325"/>
      <w:bookmarkStart w:id="838" w:name="_Toc29435"/>
      <w:bookmarkStart w:id="839" w:name="_Toc27533"/>
      <w:bookmarkStart w:id="840" w:name="_Toc21608"/>
      <w:bookmarkStart w:id="841" w:name="_Toc18731"/>
      <w:bookmarkStart w:id="842" w:name="_Toc10786"/>
      <w:bookmarkStart w:id="843" w:name="_Toc26288"/>
      <w:bookmarkStart w:id="844" w:name="_Toc21427"/>
      <w:bookmarkStart w:id="845" w:name="_Toc11737"/>
      <w:bookmarkStart w:id="846" w:name="_Toc26613"/>
      <w:bookmarkStart w:id="847" w:name="_Toc23750"/>
      <w:bookmarkStart w:id="848" w:name="_Toc740"/>
      <w:bookmarkStart w:id="849" w:name="_Toc16920"/>
      <w:bookmarkStart w:id="850" w:name="_Toc20578"/>
      <w:bookmarkStart w:id="851" w:name="_Toc1187"/>
      <w:r>
        <w:rPr>
          <w:rFonts w:hint="eastAsia" w:ascii="Times New Roman" w:hAnsi="Times New Roman" w:cs="宋体"/>
          <w:sz w:val="28"/>
          <w:szCs w:val="28"/>
        </w:rPr>
        <w:t>附件十</w:t>
      </w:r>
      <w:r>
        <w:rPr>
          <w:rFonts w:hint="eastAsia" w:ascii="Times New Roman" w:hAnsi="Times New Roman" w:cs="宋体"/>
          <w:sz w:val="28"/>
          <w:szCs w:val="28"/>
          <w:lang w:eastAsia="zh-CN"/>
        </w:rPr>
        <w:t>四</w:t>
      </w:r>
      <w:r>
        <w:rPr>
          <w:rFonts w:hint="eastAsia" w:ascii="Times New Roman" w:hAnsi="Times New Roman" w:cs="宋体"/>
          <w:sz w:val="28"/>
          <w:szCs w:val="28"/>
        </w:rPr>
        <w:t xml:space="preserve">  启用备份投标文件申请书</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rPr>
          <w:rFonts w:hint="eastAsia" w:cs="宋体"/>
          <w:szCs w:val="21"/>
        </w:rPr>
      </w:pPr>
      <w:r>
        <w:rPr>
          <w:rFonts w:hint="eastAsia" w:ascii="Times New Roman" w:hAnsi="Times New Roman" w:cs="宋体"/>
          <w:color w:val="000000"/>
          <w:sz w:val="21"/>
          <w:szCs w:val="21"/>
          <w:lang w:val="en-US" w:eastAsia="zh-CN"/>
        </w:rPr>
        <w:t>瑞安市妇幼保健院</w:t>
      </w:r>
      <w:r>
        <w:rPr>
          <w:rFonts w:hint="eastAsia" w:cs="宋体"/>
          <w:color w:val="000000"/>
          <w:szCs w:val="21"/>
        </w:rPr>
        <w:t>、</w:t>
      </w:r>
      <w:r>
        <w:rPr>
          <w:rFonts w:hint="eastAsia" w:cs="宋体"/>
          <w:szCs w:val="21"/>
        </w:rPr>
        <w:t>瑞安市公共资源交易中心：</w:t>
      </w:r>
    </w:p>
    <w:p>
      <w:pPr>
        <w:spacing w:line="360" w:lineRule="auto"/>
        <w:ind w:firstLine="420"/>
        <w:rPr>
          <w:rFonts w:hint="eastAsia" w:cs="宋体"/>
          <w:bCs/>
          <w:szCs w:val="21"/>
          <w:u w:val="single"/>
        </w:rPr>
      </w:pPr>
      <w:r>
        <w:rPr>
          <w:rFonts w:hint="eastAsia" w:cs="宋体"/>
          <w:bCs/>
          <w:szCs w:val="21"/>
        </w:rPr>
        <w:t>我公司参与</w:t>
      </w:r>
      <w:r>
        <w:rPr>
          <w:rFonts w:hint="eastAsia" w:cs="宋体"/>
          <w:bCs/>
          <w:szCs w:val="21"/>
          <w:u w:val="single"/>
        </w:rPr>
        <w:t xml:space="preserve">      项目名称                    </w:t>
      </w:r>
      <w:r>
        <w:rPr>
          <w:rFonts w:hint="eastAsia" w:cs="宋体"/>
          <w:bCs/>
          <w:szCs w:val="21"/>
        </w:rPr>
        <w:t>（项目编号：</w:t>
      </w:r>
      <w:r>
        <w:rPr>
          <w:rFonts w:hint="eastAsia" w:cs="宋体"/>
          <w:bCs/>
          <w:szCs w:val="21"/>
          <w:u w:val="single"/>
        </w:rPr>
        <w:t xml:space="preserve">          </w:t>
      </w:r>
      <w:r>
        <w:rPr>
          <w:rFonts w:hint="eastAsia" w:cs="宋体"/>
          <w:bCs/>
          <w:szCs w:val="21"/>
        </w:rPr>
        <w:t xml:space="preserve"> ）投标，已按本项目招标文件要求提供备份投标文件。我方电子加密投标文件解密失败，现申请贵方启用备份投标文件上传至电子交易平台，备份投标文件解压缩密码</w:t>
      </w:r>
      <w:r>
        <w:rPr>
          <w:rFonts w:hint="eastAsia" w:cs="宋体"/>
          <w:bCs/>
          <w:szCs w:val="21"/>
          <w:u w:val="single"/>
        </w:rPr>
        <w:t>：                    。</w:t>
      </w:r>
    </w:p>
    <w:p>
      <w:pPr>
        <w:spacing w:line="360" w:lineRule="auto"/>
        <w:ind w:firstLine="420"/>
        <w:rPr>
          <w:rFonts w:hint="eastAsia" w:cs="宋体"/>
          <w:bCs/>
          <w:szCs w:val="21"/>
        </w:rPr>
      </w:pPr>
      <w:r>
        <w:rPr>
          <w:rFonts w:hint="eastAsia" w:cs="宋体"/>
          <w:bCs/>
          <w:szCs w:val="21"/>
        </w:rPr>
        <w:t>如备份投标文件上传失败，我方愿意承担一切风险和责任。</w:t>
      </w:r>
    </w:p>
    <w:p>
      <w:pPr>
        <w:spacing w:line="360" w:lineRule="auto"/>
        <w:ind w:firstLine="420"/>
        <w:rPr>
          <w:rFonts w:hint="eastAsia" w:cs="宋体"/>
          <w:bCs/>
          <w:szCs w:val="21"/>
        </w:rPr>
      </w:pPr>
    </w:p>
    <w:p>
      <w:pPr>
        <w:rPr>
          <w:rFonts w:hint="eastAsia" w:cs="宋体"/>
          <w:bCs/>
          <w:szCs w:val="21"/>
        </w:rPr>
      </w:pPr>
    </w:p>
    <w:p>
      <w:pPr>
        <w:rPr>
          <w:rFonts w:hint="eastAsia" w:cs="宋体"/>
          <w:bCs/>
          <w:szCs w:val="21"/>
        </w:rPr>
      </w:pPr>
    </w:p>
    <w:p>
      <w:pPr>
        <w:rPr>
          <w:rFonts w:hint="eastAsia" w:cs="宋体"/>
          <w:bCs/>
          <w:szCs w:val="21"/>
        </w:rPr>
      </w:pPr>
    </w:p>
    <w:p>
      <w:pPr>
        <w:rPr>
          <w:rFonts w:hint="eastAsia" w:cs="宋体"/>
          <w:bCs/>
          <w:szCs w:val="21"/>
        </w:rPr>
      </w:pPr>
    </w:p>
    <w:p>
      <w:pPr>
        <w:spacing w:line="480" w:lineRule="auto"/>
        <w:jc w:val="right"/>
        <w:rPr>
          <w:rFonts w:hint="eastAsia" w:cs="宋体"/>
          <w:bCs/>
          <w:szCs w:val="21"/>
          <w:lang w:bidi="ar"/>
        </w:rPr>
      </w:pPr>
      <w:r>
        <w:rPr>
          <w:rFonts w:hint="eastAsia" w:cs="宋体"/>
          <w:bCs/>
          <w:szCs w:val="21"/>
        </w:rPr>
        <w:t xml:space="preserve">                                        </w:t>
      </w: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360" w:lineRule="auto"/>
        <w:ind w:firstLine="4620" w:firstLineChars="2200"/>
        <w:rPr>
          <w:rFonts w:hint="eastAsia" w:cs="宋体"/>
          <w:bCs/>
          <w:szCs w:val="21"/>
        </w:rPr>
      </w:pPr>
    </w:p>
    <w:p>
      <w:pPr>
        <w:pStyle w:val="21"/>
        <w:ind w:left="0" w:right="-252"/>
        <w:rPr>
          <w:rFonts w:hint="eastAsia" w:ascii="Times New Roman" w:hAnsi="Times New Roman" w:cs="宋体"/>
          <w:sz w:val="24"/>
          <w:szCs w:val="24"/>
        </w:rPr>
      </w:pPr>
    </w:p>
    <w:p>
      <w:pPr>
        <w:spacing w:line="360" w:lineRule="auto"/>
        <w:ind w:firstLine="420"/>
        <w:rPr>
          <w:rFonts w:hint="eastAsia" w:cs="宋体"/>
          <w:bCs/>
          <w:szCs w:val="21"/>
        </w:rPr>
      </w:pPr>
      <w:r>
        <w:rPr>
          <w:rFonts w:hint="eastAsia" w:cs="宋体"/>
          <w:bCs/>
          <w:szCs w:val="21"/>
        </w:rPr>
        <w:t>注：电子加密投标文件解密失败且投标人按要求提交了备份投标文件的，投标人可填写并加盖实体公章，于收到开始解密指令后45分钟内以电子邮件方式传送至集中采购机构邮箱（</w:t>
      </w:r>
      <w:r>
        <w:rPr>
          <w:rFonts w:hint="eastAsia" w:cs="宋体"/>
          <w:bCs/>
          <w:szCs w:val="21"/>
          <w:lang w:eastAsia="zh-CN"/>
        </w:rPr>
        <w:t>racgzxcjj</w:t>
      </w:r>
      <w:r>
        <w:rPr>
          <w:rFonts w:hint="eastAsia" w:cs="宋体"/>
          <w:bCs/>
          <w:szCs w:val="21"/>
        </w:rPr>
        <w:t>@163.com）。</w:t>
      </w: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pPr>
    </w:p>
    <w:p>
      <w:pPr>
        <w:pStyle w:val="21"/>
        <w:ind w:right="-252"/>
        <w:rPr>
          <w:rFonts w:hint="eastAsia" w:ascii="Times New Roman" w:hAnsi="Times New Roman" w:cs="宋体"/>
          <w:sz w:val="24"/>
          <w:szCs w:val="24"/>
        </w:rPr>
        <w:sectPr>
          <w:footerReference r:id="rId11" w:type="default"/>
          <w:footerReference r:id="rId12" w:type="even"/>
          <w:pgSz w:w="11906" w:h="16838"/>
          <w:pgMar w:top="1440" w:right="1800" w:bottom="1440" w:left="1800" w:header="680" w:footer="680" w:gutter="0"/>
          <w:pgNumType w:fmt="numberInDash" w:start="1"/>
          <w:cols w:space="720" w:num="1"/>
          <w:rtlGutter w:val="1"/>
          <w:docGrid w:type="lines" w:linePitch="312" w:charSpace="0"/>
        </w:sectPr>
      </w:pPr>
    </w:p>
    <w:bookmarkEnd w:id="609"/>
    <w:p>
      <w:pPr>
        <w:pStyle w:val="4"/>
        <w:rPr>
          <w:rFonts w:hint="eastAsia" w:ascii="Times New Roman" w:hAnsi="Times New Roman" w:cs="宋体"/>
        </w:rPr>
      </w:pPr>
      <w:bookmarkStart w:id="852" w:name="_Toc4539"/>
      <w:bookmarkStart w:id="853" w:name="_Toc5293"/>
      <w:bookmarkStart w:id="854" w:name="_Toc19673"/>
      <w:bookmarkStart w:id="855" w:name="_Toc10793"/>
      <w:bookmarkStart w:id="856" w:name="_Toc23705"/>
      <w:bookmarkStart w:id="857" w:name="_Toc24666"/>
      <w:r>
        <w:rPr>
          <w:rFonts w:hint="eastAsia" w:ascii="Times New Roman" w:hAnsi="Times New Roman" w:cs="宋体"/>
        </w:rPr>
        <w:t>附件十</w:t>
      </w:r>
      <w:r>
        <w:rPr>
          <w:rFonts w:hint="eastAsia" w:ascii="Times New Roman" w:hAnsi="Times New Roman" w:cs="宋体"/>
          <w:lang w:eastAsia="zh-CN"/>
        </w:rPr>
        <w:t>五</w:t>
      </w:r>
      <w:r>
        <w:rPr>
          <w:rFonts w:hint="eastAsia" w:ascii="Times New Roman" w:hAnsi="Times New Roman" w:cs="宋体"/>
        </w:rPr>
        <w:t xml:space="preserve">         政府采购履约验收书</w:t>
      </w:r>
      <w:bookmarkEnd w:id="852"/>
      <w:bookmarkEnd w:id="853"/>
      <w:bookmarkEnd w:id="854"/>
      <w:bookmarkEnd w:id="855"/>
      <w:bookmarkEnd w:id="856"/>
      <w:bookmarkEnd w:id="857"/>
    </w:p>
    <w:p>
      <w:pPr>
        <w:pStyle w:val="50"/>
        <w:spacing w:line="360" w:lineRule="auto"/>
        <w:ind w:firstLine="0" w:firstLineChars="0"/>
        <w:jc w:val="center"/>
        <w:rPr>
          <w:rFonts w:hint="eastAsia" w:ascii="Times New Roman" w:hAnsi="Times New Roman" w:eastAsia="宋体" w:cs="宋体"/>
          <w:b/>
          <w:bCs/>
          <w:sz w:val="28"/>
          <w:szCs w:val="32"/>
        </w:rPr>
      </w:pPr>
      <w:r>
        <w:rPr>
          <w:rFonts w:hint="eastAsia" w:ascii="Times New Roman" w:hAnsi="Times New Roman" w:eastAsia="宋体" w:cs="宋体"/>
          <w:b/>
          <w:bCs/>
          <w:sz w:val="28"/>
          <w:szCs w:val="32"/>
        </w:rPr>
        <w:t>（参考模板）</w:t>
      </w:r>
    </w:p>
    <w:tbl>
      <w:tblPr>
        <w:tblStyle w:val="45"/>
        <w:tblW w:w="8220"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r>
              <w:rPr>
                <w:rFonts w:hint="eastAsia" w:ascii="Times New Roman" w:hAnsi="Times New Roman" w:cs="宋体"/>
                <w:color w:val="000000"/>
                <w:szCs w:val="21"/>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r>
              <w:rPr>
                <w:rFonts w:hint="eastAsia" w:ascii="Times New Roman" w:hAnsi="Times New Roman" w:cs="宋体"/>
                <w:szCs w:val="21"/>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jc w:val="center"/>
              <w:rPr>
                <w:rFonts w:hint="eastAsia" w:ascii="Times New Roman" w:hAnsi="Times New Roman" w:cs="宋体"/>
                <w:szCs w:val="21"/>
              </w:rPr>
            </w:pPr>
            <w:r>
              <w:rPr>
                <w:rFonts w:hint="eastAsia" w:ascii="Times New Roman" w:hAnsi="Times New Roman"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r>
              <w:rPr>
                <w:rFonts w:hint="eastAsia" w:ascii="Times New Roman" w:hAnsi="Times New Roman"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r>
              <w:rPr>
                <w:rFonts w:hint="eastAsia" w:ascii="Times New Roman" w:hAnsi="Times New Roman" w:cs="宋体"/>
                <w:szCs w:val="21"/>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r>
              <w:rPr>
                <w:rFonts w:hint="eastAsia" w:ascii="Times New Roman" w:hAnsi="Times New Roman" w:cs="宋体"/>
                <w:szCs w:val="21"/>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color w:val="000000"/>
                <w:szCs w:val="21"/>
              </w:rPr>
              <w:t>□</w:t>
            </w:r>
            <w:r>
              <w:rPr>
                <w:rFonts w:hint="eastAsia" w:ascii="Times New Roman" w:hAnsi="Times New Roman" w:cs="宋体"/>
                <w:szCs w:val="21"/>
              </w:rPr>
              <w:t>一次性验收/</w:t>
            </w:r>
            <w:r>
              <w:rPr>
                <w:rFonts w:hint="eastAsia" w:ascii="Times New Roman" w:hAnsi="Times New Roman" w:cs="宋体"/>
                <w:color w:val="000000"/>
                <w:szCs w:val="21"/>
              </w:rPr>
              <w:t>□</w:t>
            </w:r>
            <w:r>
              <w:rPr>
                <w:rFonts w:hint="eastAsia" w:ascii="Times New Roman" w:hAnsi="Times New Roman" w:cs="宋体"/>
                <w:szCs w:val="21"/>
              </w:rPr>
              <w:t>分段验收/</w:t>
            </w:r>
            <w:r>
              <w:rPr>
                <w:rFonts w:hint="eastAsia" w:ascii="Times New Roman" w:hAnsi="Times New Roman" w:cs="宋体"/>
                <w:color w:val="000000"/>
                <w:szCs w:val="21"/>
              </w:rPr>
              <w:t>□</w:t>
            </w:r>
            <w:r>
              <w:rPr>
                <w:rFonts w:hint="eastAsia" w:ascii="Times New Roman" w:hAnsi="Times New Roman" w:cs="宋体"/>
                <w:szCs w:val="21"/>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szCs w:val="21"/>
              </w:rPr>
            </w:pPr>
            <w:r>
              <w:rPr>
                <w:rFonts w:hint="eastAsia" w:ascii="Times New Roman" w:hAnsi="Times New Roman"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jc w:val="center"/>
              <w:rPr>
                <w:rFonts w:hint="eastAsia" w:ascii="Times New Roman" w:hAnsi="Times New Roman" w:cs="宋体"/>
                <w:szCs w:val="21"/>
              </w:rPr>
            </w:pPr>
            <w:r>
              <w:rPr>
                <w:rFonts w:hint="eastAsia" w:ascii="Times New Roman" w:hAnsi="Times New Roman"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r>
              <w:rPr>
                <w:rFonts w:hint="eastAsia" w:ascii="Times New Roman" w:hAnsi="Times New Roman"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jc w:val="center"/>
              <w:rPr>
                <w:rFonts w:hint="eastAsia" w:ascii="Times New Roman" w:hAnsi="Times New Roman"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color w:val="000000"/>
                <w:szCs w:val="21"/>
              </w:rPr>
            </w:pPr>
            <w:r>
              <w:rPr>
                <w:rFonts w:hint="eastAsia" w:ascii="Times New Roman" w:hAnsi="Times New Roman"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jc w:val="center"/>
              <w:rPr>
                <w:rFonts w:hint="eastAsia" w:ascii="Times New Roman" w:hAnsi="Times New Roman" w:cs="宋体"/>
                <w:color w:val="000000"/>
                <w:szCs w:val="21"/>
              </w:rPr>
            </w:pPr>
            <w:r>
              <w:rPr>
                <w:rFonts w:hint="eastAsia" w:ascii="Times New Roman" w:hAnsi="Times New Roman"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color w:val="000000"/>
                <w:szCs w:val="21"/>
              </w:rPr>
            </w:pPr>
            <w:r>
              <w:rPr>
                <w:rFonts w:hint="eastAsia" w:ascii="Times New Roman" w:hAnsi="Times New Roman"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r>
              <w:rPr>
                <w:rFonts w:hint="eastAsia" w:ascii="Times New Roman" w:hAnsi="Times New Roman" w:cs="宋体"/>
                <w:szCs w:val="21"/>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color w:val="000000"/>
                <w:szCs w:val="21"/>
              </w:rPr>
            </w:pPr>
            <w:r>
              <w:rPr>
                <w:rFonts w:hint="eastAsia" w:ascii="Times New Roman" w:hAnsi="Times New Roman"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color w:val="000000"/>
                <w:szCs w:val="21"/>
              </w:rPr>
            </w:pPr>
            <w:r>
              <w:rPr>
                <w:rFonts w:hint="eastAsia" w:ascii="Times New Roman" w:hAnsi="Times New Roman"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r>
              <w:rPr>
                <w:rFonts w:hint="eastAsia" w:ascii="Times New Roman" w:hAnsi="Times New Roman"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315" w:firstLineChars="150"/>
              <w:rPr>
                <w:rFonts w:hint="eastAsia" w:ascii="Times New Roman" w:hAnsi="Times New Roman" w:cs="宋体"/>
                <w:szCs w:val="21"/>
              </w:rPr>
            </w:pPr>
            <w:r>
              <w:rPr>
                <w:rFonts w:hint="eastAsia" w:ascii="Times New Roman" w:hAnsi="Times New Roman"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r>
              <w:rPr>
                <w:rFonts w:hint="eastAsia" w:ascii="Times New Roman" w:hAnsi="Times New Roman"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r>
              <w:rPr>
                <w:rFonts w:hint="eastAsia" w:ascii="Times New Roman" w:hAnsi="Times New Roman" w:cs="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rPr>
                <w:rFonts w:hint="eastAsia" w:ascii="Times New Roman" w:hAnsi="Times New Roman"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jc w:val="center"/>
              <w:rPr>
                <w:rFonts w:hint="eastAsia" w:ascii="Times New Roman" w:hAnsi="Times New Roman" w:cs="宋体"/>
                <w:szCs w:val="21"/>
              </w:rPr>
            </w:pPr>
            <w:r>
              <w:rPr>
                <w:rFonts w:hint="eastAsia" w:ascii="Times New Roman" w:hAnsi="Times New Roman" w:cs="宋体"/>
                <w:szCs w:val="21"/>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序号</w:t>
            </w:r>
          </w:p>
        </w:tc>
        <w:tc>
          <w:tcPr>
            <w:tcW w:w="82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名称</w:t>
            </w: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2" w:firstLineChars="1"/>
              <w:jc w:val="center"/>
              <w:rPr>
                <w:rFonts w:hint="eastAsia" w:ascii="Times New Roman" w:hAnsi="Times New Roman" w:cs="宋体"/>
                <w:szCs w:val="21"/>
              </w:rPr>
            </w:pPr>
            <w:r>
              <w:rPr>
                <w:rFonts w:hint="eastAsia" w:ascii="Times New Roman" w:hAnsi="Times New Roman"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2" w:firstLineChars="1"/>
              <w:jc w:val="center"/>
              <w:rPr>
                <w:rFonts w:hint="eastAsia" w:ascii="Times New Roman" w:hAnsi="Times New Roman" w:cs="宋体"/>
                <w:szCs w:val="21"/>
              </w:rPr>
            </w:pPr>
            <w:r>
              <w:rPr>
                <w:rFonts w:hint="eastAsia" w:ascii="Times New Roman" w:hAnsi="Times New Roman"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2" w:firstLineChars="201"/>
              <w:rPr>
                <w:rFonts w:hint="eastAsia" w:ascii="Times New Roman" w:hAnsi="Times New Roman" w:cs="宋体"/>
                <w:szCs w:val="21"/>
              </w:rPr>
            </w:pPr>
            <w:r>
              <w:rPr>
                <w:rFonts w:hint="eastAsia" w:ascii="Times New Roman" w:hAnsi="Times New Roman"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2" w:firstLineChars="1"/>
              <w:jc w:val="center"/>
              <w:rPr>
                <w:rFonts w:hint="eastAsia" w:ascii="Times New Roman" w:hAnsi="Times New Roman" w:cs="宋体"/>
                <w:szCs w:val="21"/>
              </w:rPr>
            </w:pPr>
            <w:r>
              <w:rPr>
                <w:rFonts w:hint="eastAsia" w:ascii="Times New Roman" w:hAnsi="Times New Roman" w:cs="宋体"/>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rPr>
                <w:rFonts w:hint="eastAsia" w:ascii="Times New Roman" w:hAnsi="Times New Roman" w:cs="宋体"/>
                <w:color w:val="000000"/>
                <w:szCs w:val="21"/>
              </w:rPr>
            </w:pPr>
            <w:r>
              <w:rPr>
                <w:rFonts w:hint="eastAsia" w:ascii="Times New Roman" w:hAnsi="Times New Roman" w:cs="宋体"/>
                <w:color w:val="000000"/>
                <w:szCs w:val="21"/>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 w:firstLineChars="2"/>
              <w:rPr>
                <w:rFonts w:hint="eastAsia" w:ascii="Times New Roman" w:hAnsi="Times New Roman" w:cs="宋体"/>
                <w:color w:val="000000"/>
                <w:szCs w:val="21"/>
              </w:rPr>
            </w:pPr>
            <w:r>
              <w:rPr>
                <w:rFonts w:hint="eastAsia" w:ascii="Times New Roman" w:hAnsi="Times New Roman" w:cs="宋体"/>
                <w:color w:val="000000"/>
                <w:szCs w:val="21"/>
              </w:rPr>
              <w:t xml:space="preserve">   </w:t>
            </w: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xml:space="preserve">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3" w:right="0" w:firstLine="420" w:firstLineChars="200"/>
              <w:rPr>
                <w:rFonts w:hint="eastAsia" w:ascii="Times New Roman" w:hAnsi="Times New Roman"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r>
              <w:rPr>
                <w:rFonts w:hint="eastAsia" w:ascii="Times New Roman" w:hAnsi="Times New Roman" w:cs="宋体"/>
                <w:color w:val="00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color w:val="000000"/>
                <w:szCs w:val="21"/>
              </w:rPr>
            </w:pPr>
            <w:r>
              <w:rPr>
                <w:rFonts w:hint="eastAsia" w:ascii="Times New Roman" w:hAnsi="Times New Roman" w:cs="宋体"/>
                <w:color w:val="000000"/>
                <w:szCs w:val="21"/>
              </w:rPr>
              <w:t>二、</w:t>
            </w:r>
            <w:r>
              <w:rPr>
                <w:rFonts w:hint="eastAsia" w:ascii="Times New Roman" w:hAnsi="Times New Roman" w:cs="宋体"/>
                <w:szCs w:val="21"/>
              </w:rPr>
              <w:t>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both"/>
              <w:rPr>
                <w:rFonts w:hint="eastAsia" w:ascii="Times New Roman" w:hAnsi="Times New Roman" w:cs="宋体"/>
                <w:szCs w:val="21"/>
              </w:rPr>
            </w:pPr>
            <w:r>
              <w:rPr>
                <w:rFonts w:hint="eastAsia" w:ascii="Times New Roman" w:hAnsi="Times New Roman"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r>
              <w:rPr>
                <w:rFonts w:hint="eastAsia" w:ascii="Times New Roman" w:hAnsi="Times New Roman"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color w:val="000000"/>
                <w:szCs w:val="21"/>
              </w:rPr>
            </w:pPr>
            <w:r>
              <w:rPr>
                <w:rFonts w:hint="eastAsia" w:ascii="Times New Roman" w:hAnsi="Times New Roman"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color w:val="000000"/>
                <w:szCs w:val="21"/>
              </w:rPr>
            </w:pPr>
            <w:r>
              <w:rPr>
                <w:rFonts w:hint="eastAsia" w:ascii="Times New Roman" w:hAnsi="Times New Roman"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napToGrid w:val="0"/>
              <w:spacing w:before="100" w:beforeAutospacing="1" w:after="100" w:afterAutospacing="1" w:line="360" w:lineRule="exact"/>
              <w:ind w:left="0" w:right="0" w:firstLine="39" w:firstLineChars="19"/>
              <w:jc w:val="center"/>
              <w:rPr>
                <w:rFonts w:hint="eastAsia" w:ascii="Times New Roman" w:hAnsi="Times New Roman" w:cs="宋体"/>
                <w:color w:val="000000"/>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r>
              <w:rPr>
                <w:rFonts w:hint="eastAsia" w:ascii="Times New Roman" w:hAnsi="Times New Roman"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color w:val="000000"/>
                <w:szCs w:val="21"/>
              </w:rPr>
            </w:pPr>
            <w:r>
              <w:rPr>
                <w:rFonts w:hint="eastAsia" w:ascii="Times New Roman" w:hAnsi="Times New Roman"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szCs w:val="21"/>
              </w:rPr>
            </w:pPr>
            <w:r>
              <w:rPr>
                <w:rFonts w:hint="eastAsia" w:ascii="Times New Roman" w:hAnsi="Times New Roman"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2" w:firstLineChars="1"/>
              <w:jc w:val="center"/>
              <w:rPr>
                <w:rFonts w:hint="eastAsia" w:ascii="Times New Roman" w:hAnsi="Times New Roman" w:cs="宋体"/>
                <w:color w:val="000000"/>
                <w:szCs w:val="21"/>
              </w:rPr>
            </w:pPr>
            <w:r>
              <w:rPr>
                <w:rFonts w:hint="eastAsia" w:ascii="Times New Roman" w:hAnsi="Times New Roman"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人员、设备</w:t>
            </w:r>
          </w:p>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□合  格</w:t>
            </w:r>
          </w:p>
          <w:p>
            <w:pPr>
              <w:keepNext w:val="0"/>
              <w:keepLines w:val="0"/>
              <w:widowControl/>
              <w:suppressLineNumbers w:val="0"/>
              <w:spacing w:before="0" w:beforeAutospacing="0" w:after="0" w:afterAutospacing="0" w:line="360" w:lineRule="exact"/>
              <w:ind w:left="0" w:right="0"/>
              <w:jc w:val="center"/>
              <w:rPr>
                <w:rFonts w:hint="eastAsia" w:ascii="Times New Roman" w:hAnsi="Times New Roman" w:cs="宋体"/>
                <w:szCs w:val="21"/>
              </w:rPr>
            </w:pPr>
            <w:r>
              <w:rPr>
                <w:rFonts w:hint="eastAsia" w:ascii="Times New Roman" w:hAnsi="Times New Roman"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firstLine="420" w:firstLineChars="20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60" w:lineRule="exact"/>
              <w:ind w:left="0" w:right="0"/>
              <w:jc w:val="center"/>
              <w:rPr>
                <w:rFonts w:hint="eastAsia" w:ascii="Times New Roman" w:hAnsi="Times New Roman" w:cs="宋体"/>
                <w:color w:val="000000"/>
                <w:szCs w:val="21"/>
              </w:rPr>
            </w:pPr>
            <w:r>
              <w:rPr>
                <w:rFonts w:hint="eastAsia" w:ascii="Times New Roman" w:hAnsi="Times New Roman"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p>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p>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p>
          <w:p>
            <w:pPr>
              <w:keepNext w:val="0"/>
              <w:keepLines w:val="0"/>
              <w:widowControl/>
              <w:suppressLineNumbers w:val="0"/>
              <w:snapToGrid w:val="0"/>
              <w:spacing w:before="100" w:beforeAutospacing="1" w:after="100" w:afterAutospacing="1" w:line="360" w:lineRule="exact"/>
              <w:ind w:left="0" w:right="0"/>
              <w:rPr>
                <w:rFonts w:hint="eastAsia" w:ascii="Times New Roman" w:hAnsi="Times New Roman"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验收小组</w:t>
            </w:r>
          </w:p>
          <w:p>
            <w:pPr>
              <w:keepNext w:val="0"/>
              <w:keepLines w:val="0"/>
              <w:widowControl/>
              <w:suppressLineNumbers w:val="0"/>
              <w:spacing w:before="100" w:beforeAutospacing="1" w:after="100" w:afterAutospacing="1" w:line="360" w:lineRule="exact"/>
              <w:ind w:left="0" w:right="0"/>
              <w:jc w:val="center"/>
              <w:rPr>
                <w:rFonts w:hint="eastAsia" w:ascii="Times New Roman" w:hAnsi="Times New Roman" w:cs="宋体"/>
                <w:szCs w:val="21"/>
              </w:rPr>
            </w:pPr>
            <w:r>
              <w:rPr>
                <w:rFonts w:hint="eastAsia" w:ascii="Times New Roman" w:hAnsi="Times New Roman"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验收结论性意见：  □合  格        □不合格</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其他需要说明的事项：</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有异议的意见和说明理由：</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 xml:space="preserve">                                     </w:t>
            </w:r>
          </w:p>
          <w:p>
            <w:pPr>
              <w:keepNext w:val="0"/>
              <w:keepLines w:val="0"/>
              <w:widowControl/>
              <w:suppressLineNumbers w:val="0"/>
              <w:spacing w:before="100" w:beforeAutospacing="1" w:after="100" w:afterAutospacing="1" w:line="360" w:lineRule="exact"/>
              <w:ind w:left="0" w:right="0" w:firstLine="4515" w:firstLineChars="2150"/>
              <w:rPr>
                <w:rFonts w:hint="eastAsia" w:ascii="Times New Roman" w:hAnsi="Times New Roman" w:cs="宋体"/>
                <w:szCs w:val="21"/>
              </w:rPr>
            </w:pPr>
            <w:r>
              <w:rPr>
                <w:rFonts w:hint="eastAsia" w:ascii="Times New Roman" w:hAnsi="Times New Roman"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验收小组成员签字：</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采购人意见：</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经办人：     负责人：      （盖章）</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r>
              <w:rPr>
                <w:rFonts w:hint="eastAsia" w:ascii="Times New Roman" w:hAnsi="Times New Roman" w:cs="宋体"/>
                <w:szCs w:val="21"/>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rPr>
                <w:rFonts w:hint="eastAsia" w:ascii="Times New Roman" w:hAnsi="Times New Roman" w:cs="宋体"/>
                <w:szCs w:val="21"/>
              </w:rPr>
            </w:pPr>
            <w:r>
              <w:rPr>
                <w:rFonts w:hint="eastAsia" w:ascii="Times New Roman" w:hAnsi="Times New Roman" w:cs="宋体"/>
                <w:szCs w:val="21"/>
              </w:rPr>
              <w:t>供应商确认：</w:t>
            </w: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0" w:right="0"/>
              <w:rPr>
                <w:rFonts w:hint="eastAsia" w:ascii="Times New Roman" w:hAnsi="Times New Roman" w:cs="宋体"/>
                <w:szCs w:val="21"/>
              </w:rPr>
            </w:pPr>
          </w:p>
          <w:p>
            <w:pPr>
              <w:keepNext w:val="0"/>
              <w:keepLines w:val="0"/>
              <w:widowControl/>
              <w:suppressLineNumbers w:val="0"/>
              <w:spacing w:before="100" w:beforeAutospacing="1" w:after="100" w:afterAutospacing="1" w:line="360" w:lineRule="exact"/>
              <w:ind w:left="1680" w:right="0" w:hanging="1680" w:hangingChars="800"/>
              <w:rPr>
                <w:rFonts w:hint="eastAsia" w:ascii="Times New Roman" w:hAnsi="Times New Roman" w:cs="宋体"/>
                <w:szCs w:val="21"/>
              </w:rPr>
            </w:pPr>
            <w:r>
              <w:rPr>
                <w:rFonts w:hint="eastAsia" w:ascii="Times New Roman" w:hAnsi="Times New Roman" w:cs="宋体"/>
                <w:szCs w:val="21"/>
              </w:rPr>
              <w:t>供应商盖章或授权代表签字：</w:t>
            </w:r>
          </w:p>
          <w:p>
            <w:pPr>
              <w:keepNext w:val="0"/>
              <w:keepLines w:val="0"/>
              <w:widowControl/>
              <w:suppressLineNumbers w:val="0"/>
              <w:spacing w:before="100" w:beforeAutospacing="1" w:after="100" w:afterAutospacing="1" w:line="360" w:lineRule="exact"/>
              <w:ind w:left="1680" w:right="0" w:hanging="1680" w:hangingChars="800"/>
              <w:rPr>
                <w:rFonts w:hint="eastAsia" w:ascii="Times New Roman" w:hAnsi="Times New Roman" w:cs="宋体"/>
                <w:szCs w:val="21"/>
              </w:rPr>
            </w:pPr>
            <w:r>
              <w:rPr>
                <w:rFonts w:hint="eastAsia" w:ascii="Times New Roman" w:hAnsi="Times New Roman" w:cs="宋体"/>
                <w:szCs w:val="21"/>
              </w:rPr>
              <w:t xml:space="preserve">     联系电话：                 </w:t>
            </w:r>
          </w:p>
          <w:p>
            <w:pPr>
              <w:keepNext w:val="0"/>
              <w:keepLines w:val="0"/>
              <w:widowControl/>
              <w:suppressLineNumbers w:val="0"/>
              <w:spacing w:before="100" w:beforeAutospacing="1" w:after="100" w:afterAutospacing="1" w:line="360" w:lineRule="exact"/>
              <w:ind w:left="1680" w:right="0" w:hanging="1680" w:hangingChars="800"/>
              <w:rPr>
                <w:rFonts w:hint="eastAsia" w:ascii="Times New Roman" w:hAnsi="Times New Roman" w:cs="宋体"/>
                <w:szCs w:val="21"/>
              </w:rPr>
            </w:pPr>
            <w:r>
              <w:rPr>
                <w:rFonts w:hint="eastAsia" w:ascii="Times New Roman" w:hAnsi="Times New Roman" w:cs="宋体"/>
                <w:szCs w:val="21"/>
              </w:rPr>
              <w:t xml:space="preserve">                        年   月   日</w:t>
            </w:r>
          </w:p>
        </w:tc>
      </w:tr>
    </w:tbl>
    <w:p>
      <w:pPr>
        <w:ind w:firstLine="105" w:firstLineChars="50"/>
        <w:rPr>
          <w:rFonts w:hint="eastAsia" w:cs="宋体"/>
          <w:szCs w:val="21"/>
        </w:rPr>
      </w:pPr>
    </w:p>
    <w:p>
      <w:pPr>
        <w:ind w:firstLine="105" w:firstLineChars="50"/>
        <w:rPr>
          <w:rFonts w:hint="eastAsia" w:cs="宋体"/>
          <w:szCs w:val="21"/>
        </w:rPr>
      </w:pPr>
      <w:r>
        <w:rPr>
          <w:rFonts w:hint="eastAsia" w:cs="宋体"/>
          <w:szCs w:val="21"/>
        </w:rPr>
        <w:t>注：该表为履约验收书的综合性参考模板，采购人可以根据工作实际进行调整。</w:t>
      </w:r>
    </w:p>
    <w:p>
      <w:pPr>
        <w:rPr>
          <w:rFonts w:hint="eastAsia" w:ascii="宋体" w:hAnsi="宋体" w:cs="宋体"/>
          <w:szCs w:val="21"/>
        </w:rPr>
      </w:pPr>
    </w:p>
    <w:p>
      <w:pPr>
        <w:pStyle w:val="21"/>
        <w:ind w:right="-252"/>
        <w:rPr>
          <w:rFonts w:hint="eastAsia" w:cs="宋体"/>
          <w:sz w:val="21"/>
          <w:szCs w:val="21"/>
        </w:rPr>
      </w:pPr>
    </w:p>
    <w:p>
      <w:pPr>
        <w:pStyle w:val="21"/>
        <w:ind w:right="-252"/>
        <w:rPr>
          <w:rFonts w:hint="eastAsia" w:cs="宋体"/>
        </w:rPr>
      </w:pPr>
    </w:p>
    <w:p>
      <w:pPr>
        <w:widowControl w:val="0"/>
        <w:snapToGrid w:val="0"/>
        <w:spacing w:line="400" w:lineRule="exact"/>
        <w:jc w:val="both"/>
        <w:rPr>
          <w:rFonts w:hint="eastAsia" w:ascii="宋体" w:hAnsi="宋体" w:cs="宋体"/>
        </w:rPr>
      </w:pPr>
    </w:p>
    <w:sectPr>
      <w:footerReference r:id="rId13" w:type="default"/>
      <w:footerReference r:id="rId14" w:type="even"/>
      <w:pgSz w:w="11906" w:h="16838"/>
      <w:pgMar w:top="1440" w:right="1800" w:bottom="1440" w:left="1800" w:header="680" w:footer="680"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CG Times"/>
    <w:panose1 w:val="02020603050405020304"/>
    <w:charset w:val="00"/>
    <w:family w:val="roman"/>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MingLiU">
    <w:panose1 w:val="02020509000000000000"/>
    <w:charset w:val="88"/>
    <w:family w:val="modern"/>
    <w:pitch w:val="default"/>
    <w:sig w:usb0="A00002FF" w:usb1="28CFFCFA" w:usb2="00000016" w:usb3="00000000" w:csb0="00100001" w:csb1="00000000"/>
  </w:font>
  <w:font w:name="aril">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fldChar w:fldCharType="begin"/>
                          </w:r>
                          <w:r>
                            <w:instrText xml:space="preserve"> PAGE  \* MERGEFORMAT </w:instrText>
                          </w:r>
                          <w:r>
                            <w:fldChar w:fldCharType="separate"/>
                          </w:r>
                          <w:r>
                            <w:t>- 45 -</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7mDQe5AQAAVQMAAA4AAAAAAAAAAQAgAAAAHgEAAGRycy9lMm9Eb2MueG1sUEsFBgAAAAAGAAYA&#10;WQEAAEk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TALbgBAABVAwAADgAAAAAAAAABACAAAAAeAQAAZHJzL2Uyb0RvYy54bWxQSwUGAAAAAAYABgBZ&#10;AQAASAU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tabs>
        <w:tab w:val="left" w:pos="6600"/>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- 75 -</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N/QC7gBAABVAwAADgAAAAAAAAABACAAAAAeAQAAZHJzL2Uyb0RvYy54bWxQSwUGAAAAAAYABgBZ&#10;AQAASAU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- 75 -</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fldChar w:fldCharType="begin"/>
                          </w:r>
                          <w:r>
                            <w:instrText xml:space="preserve"> PAGE  \* MERGEFORMAT </w:instrText>
                          </w:r>
                          <w:r>
                            <w:fldChar w:fldCharType="separate"/>
                          </w:r>
                          <w:r>
                            <w:t>- 76 -</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B&#10;PUuatwEAAFUDAAAOAAAAAAAAAAEAIAAAAB4BAABkcnMvZTJvRG9jLnhtbFBLBQYAAAAABgAGAFkB&#10;AABH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- 76 -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5"/>
      <w:tblW w:w="8625"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18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trHeight w:val="427" w:hRule="atLeast"/>
      </w:trPr>
      <w:tc>
        <w:tcPr>
          <w:tcW w:w="4442" w:type="dxa"/>
          <w:tcMar>
            <w:left w:w="0" w:type="dxa"/>
            <w:right w:w="0" w:type="dxa"/>
          </w:tcMar>
          <w:vAlign w:val="center"/>
        </w:tcPr>
        <w:p>
          <w:pPr>
            <w:keepNext w:val="0"/>
            <w:keepLines w:val="0"/>
            <w:widowControl/>
            <w:suppressLineNumbers w:val="0"/>
            <w:spacing w:before="0" w:beforeAutospacing="0" w:after="0" w:afterAutospacing="0"/>
            <w:ind w:left="0" w:right="0"/>
            <w:jc w:val="both"/>
            <w:rPr>
              <w:rFonts w:hint="eastAsia" w:ascii="Times New Roman" w:hAnsi="Times New Roman" w:cs="Times New Roman"/>
              <w:szCs w:val="20"/>
            </w:rPr>
          </w:pPr>
          <w:r>
            <w:rPr>
              <w:rFonts w:hint="eastAsia" w:ascii="楷体_GB2312" w:hAnsi="Times New Roman" w:eastAsia="楷体_GB2312" w:cs="Times New Roman"/>
              <w:b/>
              <w:sz w:val="24"/>
              <w:szCs w:val="24"/>
            </w:rPr>
            <w:t>招标文件</w:t>
          </w:r>
        </w:p>
      </w:tc>
      <w:tc>
        <w:tcPr>
          <w:tcW w:w="4183" w:type="dxa"/>
          <w:vAlign w:val="center"/>
        </w:tcPr>
        <w:p>
          <w:pPr>
            <w:keepNext w:val="0"/>
            <w:keepLines w:val="0"/>
            <w:widowControl/>
            <w:suppressLineNumbers w:val="0"/>
            <w:spacing w:before="0" w:beforeAutospacing="0" w:after="0" w:afterAutospacing="0"/>
            <w:ind w:left="0" w:right="-2"/>
            <w:jc w:val="right"/>
            <w:rPr>
              <w:rFonts w:hint="eastAsia" w:ascii="宋体" w:hAnsi="宋体" w:cs="Times New Roman"/>
              <w:szCs w:val="21"/>
            </w:rPr>
          </w:pPr>
          <w:r>
            <w:rPr>
              <w:rFonts w:hint="eastAsia" w:ascii="楷体_GB2312" w:hAnsi="Times New Roman" w:eastAsia="楷体_GB2312" w:cs="Times New Roman"/>
              <w:b/>
              <w:sz w:val="24"/>
              <w:szCs w:val="24"/>
            </w:rPr>
            <w:t>瑞安市公共资源交易中心</w:t>
          </w:r>
        </w:p>
      </w:tc>
    </w:tr>
  </w:tb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5"/>
      <w:tblW w:w="8625"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18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trHeight w:val="427" w:hRule="atLeast"/>
      </w:trPr>
      <w:tc>
        <w:tcPr>
          <w:tcW w:w="4442" w:type="dxa"/>
          <w:tcMar>
            <w:left w:w="0" w:type="dxa"/>
            <w:right w:w="0" w:type="dxa"/>
          </w:tcMar>
          <w:vAlign w:val="center"/>
        </w:tcPr>
        <w:p>
          <w:pPr>
            <w:keepNext w:val="0"/>
            <w:keepLines w:val="0"/>
            <w:widowControl/>
            <w:suppressLineNumbers w:val="0"/>
            <w:spacing w:before="0" w:beforeAutospacing="0" w:after="0" w:afterAutospacing="0"/>
            <w:ind w:left="0" w:right="0"/>
            <w:jc w:val="both"/>
            <w:rPr>
              <w:rFonts w:hint="eastAsia" w:ascii="Times New Roman" w:hAnsi="Times New Roman" w:cs="Times New Roman"/>
              <w:szCs w:val="20"/>
            </w:rPr>
          </w:pPr>
          <w:r>
            <w:rPr>
              <w:rFonts w:hint="eastAsia" w:ascii="楷体_GB2312" w:hAnsi="Times New Roman" w:eastAsia="楷体_GB2312" w:cs="Times New Roman"/>
              <w:b/>
              <w:sz w:val="24"/>
              <w:szCs w:val="24"/>
            </w:rPr>
            <w:t>瑞安市公共资源交易中心</w:t>
          </w:r>
        </w:p>
      </w:tc>
      <w:tc>
        <w:tcPr>
          <w:tcW w:w="4183" w:type="dxa"/>
          <w:vAlign w:val="center"/>
        </w:tcPr>
        <w:p>
          <w:pPr>
            <w:keepNext w:val="0"/>
            <w:keepLines w:val="0"/>
            <w:widowControl/>
            <w:suppressLineNumbers w:val="0"/>
            <w:spacing w:before="0" w:beforeAutospacing="0" w:after="0" w:afterAutospacing="0"/>
            <w:ind w:left="0" w:right="-2"/>
            <w:jc w:val="right"/>
            <w:rPr>
              <w:rFonts w:hint="eastAsia" w:ascii="宋体" w:hAnsi="宋体" w:cs="Times New Roman"/>
              <w:szCs w:val="21"/>
            </w:rPr>
          </w:pPr>
          <w:r>
            <w:rPr>
              <w:rFonts w:hint="eastAsia" w:ascii="楷体_GB2312" w:hAnsi="Times New Roman" w:eastAsia="楷体_GB2312" w:cs="Times New Roman"/>
              <w:b/>
              <w:sz w:val="24"/>
              <w:szCs w:val="24"/>
            </w:rPr>
            <w:t>招标文件</w:t>
          </w:r>
        </w:p>
      </w:tc>
    </w:tr>
  </w:tbl>
  <w:p>
    <w:pPr>
      <w:pStyle w:val="19"/>
      <w:ind w:left="0" w:left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6DCD3"/>
    <w:multiLevelType w:val="singleLevel"/>
    <w:tmpl w:val="8226DCD3"/>
    <w:lvl w:ilvl="0" w:tentative="0">
      <w:start w:val="1"/>
      <w:numFmt w:val="bullet"/>
      <w:lvlText w:val=""/>
      <w:lvlJc w:val="left"/>
      <w:pPr>
        <w:ind w:left="420" w:hanging="420"/>
      </w:pPr>
      <w:rPr>
        <w:rFonts w:hint="default" w:ascii="Wingdings" w:hAnsi="Wingdings"/>
      </w:rPr>
    </w:lvl>
  </w:abstractNum>
  <w:abstractNum w:abstractNumId="1">
    <w:nsid w:val="89086991"/>
    <w:multiLevelType w:val="singleLevel"/>
    <w:tmpl w:val="89086991"/>
    <w:lvl w:ilvl="0" w:tentative="0">
      <w:start w:val="1"/>
      <w:numFmt w:val="decimal"/>
      <w:suff w:val="space"/>
      <w:lvlText w:val="%1."/>
      <w:lvlJc w:val="left"/>
      <w:rPr>
        <w:rFonts w:hint="default"/>
        <w:sz w:val="21"/>
        <w:szCs w:val="21"/>
      </w:rPr>
    </w:lvl>
  </w:abstractNum>
  <w:abstractNum w:abstractNumId="2">
    <w:nsid w:val="894D679C"/>
    <w:multiLevelType w:val="multilevel"/>
    <w:tmpl w:val="894D679C"/>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C9814EC"/>
    <w:multiLevelType w:val="singleLevel"/>
    <w:tmpl w:val="8C9814EC"/>
    <w:lvl w:ilvl="0" w:tentative="0">
      <w:start w:val="1"/>
      <w:numFmt w:val="decimalEnclosedCircleChinese"/>
      <w:suff w:val="nothing"/>
      <w:lvlText w:val="%1　"/>
      <w:lvlJc w:val="left"/>
      <w:pPr>
        <w:ind w:left="0" w:firstLine="400"/>
      </w:pPr>
      <w:rPr>
        <w:rFonts w:hint="eastAsia"/>
      </w:rPr>
    </w:lvl>
  </w:abstractNum>
  <w:abstractNum w:abstractNumId="4">
    <w:nsid w:val="8DD3519E"/>
    <w:multiLevelType w:val="multilevel"/>
    <w:tmpl w:val="8DD3519E"/>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8E908D57"/>
    <w:multiLevelType w:val="singleLevel"/>
    <w:tmpl w:val="8E908D57"/>
    <w:lvl w:ilvl="0" w:tentative="0">
      <w:start w:val="1"/>
      <w:numFmt w:val="decimal"/>
      <w:lvlText w:val="%1."/>
      <w:lvlJc w:val="left"/>
      <w:pPr>
        <w:ind w:left="425" w:hanging="425"/>
      </w:pPr>
      <w:rPr>
        <w:rFonts w:hint="default"/>
      </w:rPr>
    </w:lvl>
  </w:abstractNum>
  <w:abstractNum w:abstractNumId="6">
    <w:nsid w:val="9A2446A5"/>
    <w:multiLevelType w:val="singleLevel"/>
    <w:tmpl w:val="9A2446A5"/>
    <w:lvl w:ilvl="0" w:tentative="0">
      <w:start w:val="1"/>
      <w:numFmt w:val="decimal"/>
      <w:suff w:val="nothing"/>
      <w:lvlText w:val="%1．"/>
      <w:lvlJc w:val="left"/>
      <w:pPr>
        <w:ind w:left="0" w:firstLine="400"/>
      </w:pPr>
      <w:rPr>
        <w:rFonts w:hint="default"/>
      </w:rPr>
    </w:lvl>
  </w:abstractNum>
  <w:abstractNum w:abstractNumId="7">
    <w:nsid w:val="A2004409"/>
    <w:multiLevelType w:val="singleLevel"/>
    <w:tmpl w:val="A2004409"/>
    <w:lvl w:ilvl="0" w:tentative="0">
      <w:start w:val="1"/>
      <w:numFmt w:val="decimal"/>
      <w:suff w:val="nothing"/>
      <w:lvlText w:val="%1．"/>
      <w:lvlJc w:val="left"/>
      <w:pPr>
        <w:ind w:left="0" w:firstLine="400"/>
      </w:pPr>
      <w:rPr>
        <w:rFonts w:hint="default"/>
      </w:rPr>
    </w:lvl>
  </w:abstractNum>
  <w:abstractNum w:abstractNumId="8">
    <w:nsid w:val="A37589F9"/>
    <w:multiLevelType w:val="singleLevel"/>
    <w:tmpl w:val="A37589F9"/>
    <w:lvl w:ilvl="0" w:tentative="0">
      <w:start w:val="1"/>
      <w:numFmt w:val="decimal"/>
      <w:suff w:val="nothing"/>
      <w:lvlText w:val="%1．"/>
      <w:lvlJc w:val="left"/>
      <w:pPr>
        <w:ind w:left="0" w:firstLine="400"/>
      </w:pPr>
      <w:rPr>
        <w:rFonts w:hint="default"/>
      </w:rPr>
    </w:lvl>
  </w:abstractNum>
  <w:abstractNum w:abstractNumId="9">
    <w:nsid w:val="A8C9AA05"/>
    <w:multiLevelType w:val="singleLevel"/>
    <w:tmpl w:val="A8C9AA05"/>
    <w:lvl w:ilvl="0" w:tentative="0">
      <w:start w:val="1"/>
      <w:numFmt w:val="chineseCounting"/>
      <w:suff w:val="nothing"/>
      <w:lvlText w:val="（%1）"/>
      <w:lvlJc w:val="left"/>
      <w:pPr>
        <w:ind w:left="0" w:firstLine="420"/>
      </w:pPr>
      <w:rPr>
        <w:rFonts w:hint="eastAsia"/>
      </w:rPr>
    </w:lvl>
  </w:abstractNum>
  <w:abstractNum w:abstractNumId="10">
    <w:nsid w:val="AA71E086"/>
    <w:multiLevelType w:val="singleLevel"/>
    <w:tmpl w:val="AA71E086"/>
    <w:lvl w:ilvl="0" w:tentative="0">
      <w:start w:val="1"/>
      <w:numFmt w:val="decimal"/>
      <w:lvlText w:val="(%1)"/>
      <w:lvlJc w:val="left"/>
      <w:pPr>
        <w:ind w:left="425" w:hanging="425"/>
      </w:pPr>
      <w:rPr>
        <w:rFonts w:hint="default"/>
      </w:rPr>
    </w:lvl>
  </w:abstractNum>
  <w:abstractNum w:abstractNumId="11">
    <w:nsid w:val="AB8DCB03"/>
    <w:multiLevelType w:val="singleLevel"/>
    <w:tmpl w:val="AB8DCB03"/>
    <w:lvl w:ilvl="0" w:tentative="0">
      <w:start w:val="1"/>
      <w:numFmt w:val="decimal"/>
      <w:suff w:val="nothing"/>
      <w:lvlText w:val="%1．"/>
      <w:lvlJc w:val="left"/>
      <w:pPr>
        <w:ind w:left="0" w:firstLine="400"/>
      </w:pPr>
      <w:rPr>
        <w:rFonts w:hint="default"/>
      </w:rPr>
    </w:lvl>
  </w:abstractNum>
  <w:abstractNum w:abstractNumId="12">
    <w:nsid w:val="ABDFBDAB"/>
    <w:multiLevelType w:val="singleLevel"/>
    <w:tmpl w:val="ABDFBDAB"/>
    <w:lvl w:ilvl="0" w:tentative="0">
      <w:start w:val="1"/>
      <w:numFmt w:val="decimal"/>
      <w:suff w:val="nothing"/>
      <w:lvlText w:val="%1．"/>
      <w:lvlJc w:val="left"/>
      <w:pPr>
        <w:ind w:left="0" w:firstLine="400"/>
      </w:pPr>
      <w:rPr>
        <w:rFonts w:hint="default"/>
      </w:rPr>
    </w:lvl>
  </w:abstractNum>
  <w:abstractNum w:abstractNumId="13">
    <w:nsid w:val="B2ADD961"/>
    <w:multiLevelType w:val="multilevel"/>
    <w:tmpl w:val="B2ADD961"/>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B4C6467A"/>
    <w:multiLevelType w:val="singleLevel"/>
    <w:tmpl w:val="B4C6467A"/>
    <w:lvl w:ilvl="0" w:tentative="0">
      <w:start w:val="1"/>
      <w:numFmt w:val="ideographTraditional"/>
      <w:suff w:val="nothing"/>
      <w:lvlText w:val="%1、"/>
      <w:lvlJc w:val="left"/>
      <w:rPr>
        <w:rFonts w:hint="eastAsia"/>
      </w:rPr>
    </w:lvl>
  </w:abstractNum>
  <w:abstractNum w:abstractNumId="15">
    <w:nsid w:val="B889EF54"/>
    <w:multiLevelType w:val="multilevel"/>
    <w:tmpl w:val="B889EF54"/>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C1C3849C"/>
    <w:multiLevelType w:val="multilevel"/>
    <w:tmpl w:val="C1C3849C"/>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C7F68D0F"/>
    <w:multiLevelType w:val="multilevel"/>
    <w:tmpl w:val="C7F68D0F"/>
    <w:lvl w:ilvl="0" w:tentative="0">
      <w:start w:val="1"/>
      <w:numFmt w:val="chineseCounting"/>
      <w:suff w:val="space"/>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8">
    <w:nsid w:val="CD60A073"/>
    <w:multiLevelType w:val="singleLevel"/>
    <w:tmpl w:val="CD60A073"/>
    <w:lvl w:ilvl="0" w:tentative="0">
      <w:start w:val="8"/>
      <w:numFmt w:val="chineseCounting"/>
      <w:suff w:val="nothing"/>
      <w:lvlText w:val="%1、"/>
      <w:lvlJc w:val="left"/>
      <w:rPr>
        <w:rFonts w:hint="eastAsia"/>
      </w:rPr>
    </w:lvl>
  </w:abstractNum>
  <w:abstractNum w:abstractNumId="19">
    <w:nsid w:val="CE6A55E4"/>
    <w:multiLevelType w:val="singleLevel"/>
    <w:tmpl w:val="CE6A55E4"/>
    <w:lvl w:ilvl="0" w:tentative="0">
      <w:start w:val="1"/>
      <w:numFmt w:val="decimalEnclosedCircleChinese"/>
      <w:suff w:val="nothing"/>
      <w:lvlText w:val="%1　"/>
      <w:lvlJc w:val="left"/>
      <w:pPr>
        <w:ind w:left="0" w:firstLine="400"/>
      </w:pPr>
      <w:rPr>
        <w:rFonts w:hint="eastAsia"/>
      </w:rPr>
    </w:lvl>
  </w:abstractNum>
  <w:abstractNum w:abstractNumId="20">
    <w:nsid w:val="CF65F349"/>
    <w:multiLevelType w:val="singleLevel"/>
    <w:tmpl w:val="CF65F349"/>
    <w:lvl w:ilvl="0" w:tentative="0">
      <w:start w:val="1"/>
      <w:numFmt w:val="decimal"/>
      <w:suff w:val="nothing"/>
      <w:lvlText w:val="%1．"/>
      <w:lvlJc w:val="left"/>
      <w:pPr>
        <w:ind w:left="0" w:firstLine="400"/>
      </w:pPr>
      <w:rPr>
        <w:rFonts w:hint="default"/>
      </w:rPr>
    </w:lvl>
  </w:abstractNum>
  <w:abstractNum w:abstractNumId="21">
    <w:nsid w:val="D4D8FD18"/>
    <w:multiLevelType w:val="singleLevel"/>
    <w:tmpl w:val="D4D8FD18"/>
    <w:lvl w:ilvl="0" w:tentative="0">
      <w:start w:val="1"/>
      <w:numFmt w:val="chineseCounting"/>
      <w:suff w:val="space"/>
      <w:lvlText w:val="第%1条"/>
      <w:lvlJc w:val="left"/>
      <w:pPr>
        <w:tabs>
          <w:tab w:val="left" w:pos="0"/>
        </w:tabs>
      </w:pPr>
      <w:rPr>
        <w:rFonts w:hint="eastAsia"/>
      </w:rPr>
    </w:lvl>
  </w:abstractNum>
  <w:abstractNum w:abstractNumId="22">
    <w:nsid w:val="DA8BAD45"/>
    <w:multiLevelType w:val="singleLevel"/>
    <w:tmpl w:val="DA8BAD45"/>
    <w:lvl w:ilvl="0" w:tentative="0">
      <w:start w:val="1"/>
      <w:numFmt w:val="decimal"/>
      <w:lvlText w:val="%1)"/>
      <w:lvlJc w:val="left"/>
      <w:pPr>
        <w:ind w:left="425" w:hanging="425"/>
      </w:pPr>
      <w:rPr>
        <w:rFonts w:hint="default"/>
      </w:rPr>
    </w:lvl>
  </w:abstractNum>
  <w:abstractNum w:abstractNumId="23">
    <w:nsid w:val="E0AE27D1"/>
    <w:multiLevelType w:val="singleLevel"/>
    <w:tmpl w:val="E0AE27D1"/>
    <w:lvl w:ilvl="0" w:tentative="0">
      <w:start w:val="1"/>
      <w:numFmt w:val="decimal"/>
      <w:suff w:val="nothing"/>
      <w:lvlText w:val="%1．"/>
      <w:lvlJc w:val="left"/>
      <w:pPr>
        <w:ind w:left="0" w:firstLine="400"/>
      </w:pPr>
      <w:rPr>
        <w:rFonts w:hint="default"/>
      </w:rPr>
    </w:lvl>
  </w:abstractNum>
  <w:abstractNum w:abstractNumId="24">
    <w:nsid w:val="E2350E28"/>
    <w:multiLevelType w:val="singleLevel"/>
    <w:tmpl w:val="E2350E28"/>
    <w:lvl w:ilvl="0" w:tentative="0">
      <w:start w:val="1"/>
      <w:numFmt w:val="decimal"/>
      <w:lvlText w:val="%1)"/>
      <w:lvlJc w:val="left"/>
      <w:pPr>
        <w:ind w:left="425" w:hanging="425"/>
      </w:pPr>
      <w:rPr>
        <w:rFonts w:hint="default"/>
      </w:rPr>
    </w:lvl>
  </w:abstractNum>
  <w:abstractNum w:abstractNumId="25">
    <w:nsid w:val="E2719C69"/>
    <w:multiLevelType w:val="singleLevel"/>
    <w:tmpl w:val="E2719C69"/>
    <w:lvl w:ilvl="0" w:tentative="0">
      <w:start w:val="1"/>
      <w:numFmt w:val="decimal"/>
      <w:lvlText w:val="%1."/>
      <w:lvlJc w:val="left"/>
      <w:pPr>
        <w:ind w:left="425" w:hanging="425"/>
      </w:pPr>
      <w:rPr>
        <w:rFonts w:hint="default"/>
      </w:rPr>
    </w:lvl>
  </w:abstractNum>
  <w:abstractNum w:abstractNumId="26">
    <w:nsid w:val="E8269C32"/>
    <w:multiLevelType w:val="singleLevel"/>
    <w:tmpl w:val="E8269C32"/>
    <w:lvl w:ilvl="0" w:tentative="0">
      <w:start w:val="1"/>
      <w:numFmt w:val="decimal"/>
      <w:lvlText w:val="%1."/>
      <w:lvlJc w:val="left"/>
      <w:pPr>
        <w:tabs>
          <w:tab w:val="left" w:pos="312"/>
        </w:tabs>
      </w:pPr>
    </w:lvl>
  </w:abstractNum>
  <w:abstractNum w:abstractNumId="27">
    <w:nsid w:val="ED78D59F"/>
    <w:multiLevelType w:val="singleLevel"/>
    <w:tmpl w:val="ED78D59F"/>
    <w:lvl w:ilvl="0" w:tentative="0">
      <w:start w:val="1"/>
      <w:numFmt w:val="decimal"/>
      <w:lvlText w:val="(%1)"/>
      <w:lvlJc w:val="left"/>
      <w:pPr>
        <w:ind w:left="425" w:hanging="425"/>
      </w:pPr>
      <w:rPr>
        <w:rFonts w:hint="default"/>
      </w:rPr>
    </w:lvl>
  </w:abstractNum>
  <w:abstractNum w:abstractNumId="28">
    <w:nsid w:val="EF188DC8"/>
    <w:multiLevelType w:val="singleLevel"/>
    <w:tmpl w:val="EF188DC8"/>
    <w:lvl w:ilvl="0" w:tentative="0">
      <w:start w:val="7"/>
      <w:numFmt w:val="chineseCounting"/>
      <w:suff w:val="nothing"/>
      <w:lvlText w:val="%1、"/>
      <w:lvlJc w:val="left"/>
      <w:rPr>
        <w:rFonts w:hint="eastAsia"/>
      </w:rPr>
    </w:lvl>
  </w:abstractNum>
  <w:abstractNum w:abstractNumId="29">
    <w:nsid w:val="F194EAC8"/>
    <w:multiLevelType w:val="singleLevel"/>
    <w:tmpl w:val="F194EAC8"/>
    <w:lvl w:ilvl="0" w:tentative="0">
      <w:start w:val="1"/>
      <w:numFmt w:val="decimal"/>
      <w:suff w:val="nothing"/>
      <w:lvlText w:val="%1．"/>
      <w:lvlJc w:val="left"/>
      <w:pPr>
        <w:tabs>
          <w:tab w:val="left" w:pos="0"/>
        </w:tabs>
        <w:ind w:left="0" w:firstLine="400"/>
      </w:pPr>
      <w:rPr>
        <w:rFonts w:hint="default"/>
        <w:strike w:val="0"/>
        <w:dstrike w:val="0"/>
      </w:rPr>
    </w:lvl>
  </w:abstractNum>
  <w:abstractNum w:abstractNumId="30">
    <w:nsid w:val="F1B1B0D9"/>
    <w:multiLevelType w:val="singleLevel"/>
    <w:tmpl w:val="F1B1B0D9"/>
    <w:lvl w:ilvl="0" w:tentative="0">
      <w:start w:val="1"/>
      <w:numFmt w:val="decimal"/>
      <w:suff w:val="space"/>
      <w:lvlText w:val="%1."/>
      <w:lvlJc w:val="left"/>
    </w:lvl>
  </w:abstractNum>
  <w:abstractNum w:abstractNumId="31">
    <w:nsid w:val="F202DE29"/>
    <w:multiLevelType w:val="singleLevel"/>
    <w:tmpl w:val="F202DE29"/>
    <w:lvl w:ilvl="0" w:tentative="0">
      <w:start w:val="1"/>
      <w:numFmt w:val="decimal"/>
      <w:lvlText w:val="%1)"/>
      <w:lvlJc w:val="left"/>
      <w:pPr>
        <w:ind w:left="425" w:hanging="425"/>
      </w:pPr>
      <w:rPr>
        <w:rFonts w:hint="default"/>
      </w:rPr>
    </w:lvl>
  </w:abstractNum>
  <w:abstractNum w:abstractNumId="32">
    <w:nsid w:val="F57CBB39"/>
    <w:multiLevelType w:val="multilevel"/>
    <w:tmpl w:val="F57CBB39"/>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F6AC1F28"/>
    <w:multiLevelType w:val="multilevel"/>
    <w:tmpl w:val="F6AC1F28"/>
    <w:lvl w:ilvl="0" w:tentative="0">
      <w:start w:val="1"/>
      <w:numFmt w:val="decimal"/>
      <w:lvlText w:val="%1."/>
      <w:lvlJc w:val="left"/>
      <w:pPr>
        <w:ind w:left="425" w:hanging="425"/>
      </w:pPr>
      <w:rPr>
        <w:rFonts w:hint="default"/>
      </w:rPr>
    </w:lvl>
    <w:lvl w:ilvl="1" w:tentative="0">
      <w:start w:val="1"/>
      <w:numFmt w:val="decimal"/>
      <w:lvlText w:val="%1.%2"/>
      <w:lvlJc w:val="left"/>
      <w:pPr>
        <w:tabs>
          <w:tab w:val="left" w:pos="562"/>
        </w:tabs>
        <w:ind w:left="567" w:hanging="567"/>
      </w:pPr>
      <w:rPr>
        <w:rFonts w:hint="default" w:ascii="Times New Roman" w:hAnsi="Times New Roman"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FB2F6BDF"/>
    <w:multiLevelType w:val="singleLevel"/>
    <w:tmpl w:val="FB2F6BDF"/>
    <w:lvl w:ilvl="0" w:tentative="0">
      <w:start w:val="1"/>
      <w:numFmt w:val="decimal"/>
      <w:lvlText w:val="%1."/>
      <w:lvlJc w:val="left"/>
      <w:pPr>
        <w:ind w:left="425" w:hanging="425"/>
      </w:pPr>
      <w:rPr>
        <w:rFonts w:hint="default"/>
      </w:rPr>
    </w:lvl>
  </w:abstractNum>
  <w:abstractNum w:abstractNumId="35">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1F24F15"/>
    <w:multiLevelType w:val="multilevel"/>
    <w:tmpl w:val="01F24F15"/>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8D90F5A"/>
    <w:multiLevelType w:val="multilevel"/>
    <w:tmpl w:val="08D90F5A"/>
    <w:lvl w:ilvl="0" w:tentative="0">
      <w:start w:val="1"/>
      <w:numFmt w:val="decimalEnclosedCircle"/>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9">
    <w:nsid w:val="0C0604A0"/>
    <w:multiLevelType w:val="multilevel"/>
    <w:tmpl w:val="0C0604A0"/>
    <w:lvl w:ilvl="0" w:tentative="0">
      <w:start w:val="1"/>
      <w:numFmt w:val="decimal"/>
      <w:lvlText w:val="%1."/>
      <w:lvlJc w:val="left"/>
      <w:pPr>
        <w:ind w:left="1843"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E011235"/>
    <w:multiLevelType w:val="singleLevel"/>
    <w:tmpl w:val="0E011235"/>
    <w:lvl w:ilvl="0" w:tentative="0">
      <w:start w:val="1"/>
      <w:numFmt w:val="decimal"/>
      <w:suff w:val="nothing"/>
      <w:lvlText w:val="%1）"/>
      <w:lvlJc w:val="left"/>
      <w:pPr>
        <w:ind w:left="26" w:firstLine="400"/>
      </w:pPr>
      <w:rPr>
        <w:rFonts w:ascii="Times New Roman" w:hAnsi="Times New Roman" w:eastAsia="宋体" w:cs="Times New Roman"/>
      </w:rPr>
    </w:lvl>
  </w:abstractNum>
  <w:abstractNum w:abstractNumId="41">
    <w:nsid w:val="193E20C1"/>
    <w:multiLevelType w:val="multilevel"/>
    <w:tmpl w:val="193E20C1"/>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F834751"/>
    <w:multiLevelType w:val="singleLevel"/>
    <w:tmpl w:val="1F834751"/>
    <w:lvl w:ilvl="0" w:tentative="0">
      <w:start w:val="1"/>
      <w:numFmt w:val="decimal"/>
      <w:suff w:val="nothing"/>
      <w:lvlText w:val="%1．"/>
      <w:lvlJc w:val="left"/>
      <w:pPr>
        <w:ind w:left="0" w:firstLine="400"/>
      </w:pPr>
      <w:rPr>
        <w:rFonts w:hint="default"/>
      </w:rPr>
    </w:lvl>
  </w:abstractNum>
  <w:abstractNum w:abstractNumId="43">
    <w:nsid w:val="211C28F3"/>
    <w:multiLevelType w:val="multilevel"/>
    <w:tmpl w:val="211C28F3"/>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168DCCC"/>
    <w:multiLevelType w:val="singleLevel"/>
    <w:tmpl w:val="2168DCCC"/>
    <w:lvl w:ilvl="0" w:tentative="0">
      <w:start w:val="1"/>
      <w:numFmt w:val="chineseCounting"/>
      <w:suff w:val="nothing"/>
      <w:lvlText w:val="%1、"/>
      <w:lvlJc w:val="left"/>
      <w:pPr>
        <w:ind w:left="0" w:firstLine="420"/>
      </w:pPr>
      <w:rPr>
        <w:rFonts w:hint="eastAsia"/>
      </w:rPr>
    </w:lvl>
  </w:abstractNum>
  <w:abstractNum w:abstractNumId="45">
    <w:nsid w:val="29077932"/>
    <w:multiLevelType w:val="singleLevel"/>
    <w:tmpl w:val="29077932"/>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46">
    <w:nsid w:val="2A302414"/>
    <w:multiLevelType w:val="multilevel"/>
    <w:tmpl w:val="2A302414"/>
    <w:lvl w:ilvl="0" w:tentative="0">
      <w:start w:val="1"/>
      <w:numFmt w:val="chineseCountingThousand"/>
      <w:pStyle w:val="6"/>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eastAsia"/>
        <w:i w:val="0"/>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2B0F11C8"/>
    <w:multiLevelType w:val="multilevel"/>
    <w:tmpl w:val="2B0F11C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2B936180"/>
    <w:multiLevelType w:val="multilevel"/>
    <w:tmpl w:val="2B936180"/>
    <w:lvl w:ilvl="0" w:tentative="0">
      <w:start w:val="3"/>
      <w:numFmt w:val="japaneseCounting"/>
      <w:lvlText w:val="%1、"/>
      <w:lvlJc w:val="left"/>
      <w:pPr>
        <w:ind w:left="630" w:hanging="4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9">
    <w:nsid w:val="2E632F20"/>
    <w:multiLevelType w:val="singleLevel"/>
    <w:tmpl w:val="2E632F20"/>
    <w:lvl w:ilvl="0" w:tentative="0">
      <w:start w:val="1"/>
      <w:numFmt w:val="decimal"/>
      <w:lvlText w:val="(%1)"/>
      <w:lvlJc w:val="left"/>
      <w:pPr>
        <w:ind w:left="425" w:hanging="425"/>
      </w:pPr>
      <w:rPr>
        <w:rFonts w:hint="default"/>
      </w:rPr>
    </w:lvl>
  </w:abstractNum>
  <w:abstractNum w:abstractNumId="50">
    <w:nsid w:val="2F4FFEE0"/>
    <w:multiLevelType w:val="multilevel"/>
    <w:tmpl w:val="2F4FFEE0"/>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609343F"/>
    <w:multiLevelType w:val="multilevel"/>
    <w:tmpl w:val="3609343F"/>
    <w:lvl w:ilvl="0" w:tentative="0">
      <w:start w:val="1"/>
      <w:numFmt w:val="decimal"/>
      <w:pStyle w:val="15"/>
      <w:lvlText w:val="（%1）"/>
      <w:lvlJc w:val="left"/>
      <w:pPr>
        <w:tabs>
          <w:tab w:val="left" w:pos="1560"/>
        </w:tabs>
        <w:ind w:left="1560" w:hanging="720"/>
      </w:pPr>
      <w:rPr>
        <w:rFonts w:hint="default" w:ascii="宋体" w:hAnsi="宋体" w:eastAsia="宋体"/>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2">
    <w:nsid w:val="39A06FAC"/>
    <w:multiLevelType w:val="multilevel"/>
    <w:tmpl w:val="39A06FAC"/>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3">
    <w:nsid w:val="3C845EAF"/>
    <w:multiLevelType w:val="singleLevel"/>
    <w:tmpl w:val="3C845EAF"/>
    <w:lvl w:ilvl="0" w:tentative="0">
      <w:start w:val="1"/>
      <w:numFmt w:val="decimal"/>
      <w:lvlText w:val="%1."/>
      <w:lvlJc w:val="left"/>
      <w:pPr>
        <w:ind w:left="425" w:hanging="425"/>
      </w:pPr>
      <w:rPr>
        <w:rFonts w:hint="default"/>
      </w:rPr>
    </w:lvl>
  </w:abstractNum>
  <w:abstractNum w:abstractNumId="54">
    <w:nsid w:val="41447D0B"/>
    <w:multiLevelType w:val="multilevel"/>
    <w:tmpl w:val="41447D0B"/>
    <w:lvl w:ilvl="0" w:tentative="0">
      <w:start w:val="1"/>
      <w:numFmt w:val="lowerLetter"/>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5">
    <w:nsid w:val="48B35DE3"/>
    <w:multiLevelType w:val="multilevel"/>
    <w:tmpl w:val="48B35DE3"/>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03FD445"/>
    <w:multiLevelType w:val="singleLevel"/>
    <w:tmpl w:val="503FD445"/>
    <w:lvl w:ilvl="0" w:tentative="0">
      <w:start w:val="1"/>
      <w:numFmt w:val="decimal"/>
      <w:suff w:val="nothing"/>
      <w:lvlText w:val="%1、"/>
      <w:lvlJc w:val="left"/>
    </w:lvl>
  </w:abstractNum>
  <w:abstractNum w:abstractNumId="57">
    <w:nsid w:val="541D13DC"/>
    <w:multiLevelType w:val="singleLevel"/>
    <w:tmpl w:val="541D13DC"/>
    <w:lvl w:ilvl="0" w:tentative="0">
      <w:start w:val="1"/>
      <w:numFmt w:val="decimal"/>
      <w:lvlText w:val="%1."/>
      <w:lvlJc w:val="left"/>
      <w:pPr>
        <w:ind w:left="425" w:hanging="425"/>
      </w:pPr>
      <w:rPr>
        <w:rFonts w:hint="default"/>
      </w:rPr>
    </w:lvl>
  </w:abstractNum>
  <w:abstractNum w:abstractNumId="58">
    <w:nsid w:val="54964323"/>
    <w:multiLevelType w:val="singleLevel"/>
    <w:tmpl w:val="54964323"/>
    <w:lvl w:ilvl="0" w:tentative="0">
      <w:start w:val="1"/>
      <w:numFmt w:val="chineseCounting"/>
      <w:suff w:val="nothing"/>
      <w:lvlText w:val="%1、"/>
      <w:lvlJc w:val="left"/>
      <w:pPr>
        <w:ind w:left="0" w:firstLine="420"/>
      </w:pPr>
      <w:rPr>
        <w:rFonts w:hint="eastAsia"/>
      </w:rPr>
    </w:lvl>
  </w:abstractNum>
  <w:abstractNum w:abstractNumId="59">
    <w:nsid w:val="571D4904"/>
    <w:multiLevelType w:val="multilevel"/>
    <w:tmpl w:val="571D4904"/>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60">
    <w:nsid w:val="593C976F"/>
    <w:multiLevelType w:val="singleLevel"/>
    <w:tmpl w:val="593C976F"/>
    <w:lvl w:ilvl="0" w:tentative="0">
      <w:start w:val="1"/>
      <w:numFmt w:val="chineseCounting"/>
      <w:suff w:val="nothing"/>
      <w:lvlText w:val="（%1）"/>
      <w:lvlJc w:val="left"/>
      <w:rPr>
        <w:rFonts w:hint="eastAsia"/>
      </w:rPr>
    </w:lvl>
  </w:abstractNum>
  <w:abstractNum w:abstractNumId="61">
    <w:nsid w:val="59677C94"/>
    <w:multiLevelType w:val="multilevel"/>
    <w:tmpl w:val="59677C9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5DBD57E5"/>
    <w:multiLevelType w:val="multilevel"/>
    <w:tmpl w:val="5DBD57E5"/>
    <w:lvl w:ilvl="0" w:tentative="0">
      <w:start w:val="4"/>
      <w:numFmt w:val="japaneseCounting"/>
      <w:lvlText w:val="%1、"/>
      <w:lvlJc w:val="left"/>
      <w:pPr>
        <w:ind w:left="932" w:hanging="51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3">
    <w:nsid w:val="5EC50403"/>
    <w:multiLevelType w:val="multilevel"/>
    <w:tmpl w:val="5EC50403"/>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EED6243"/>
    <w:multiLevelType w:val="multilevel"/>
    <w:tmpl w:val="5EED624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5F022C97"/>
    <w:multiLevelType w:val="multilevel"/>
    <w:tmpl w:val="5F022C97"/>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6">
    <w:nsid w:val="60125050"/>
    <w:multiLevelType w:val="multilevel"/>
    <w:tmpl w:val="60125050"/>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6316613"/>
    <w:multiLevelType w:val="multilevel"/>
    <w:tmpl w:val="66316613"/>
    <w:lvl w:ilvl="0" w:tentative="0">
      <w:start w:val="1"/>
      <w:numFmt w:val="decimal"/>
      <w:lvlText w:val="%1."/>
      <w:lvlJc w:val="left"/>
      <w:pPr>
        <w:ind w:left="425" w:hanging="425"/>
      </w:pPr>
      <w:rPr>
        <w:rFonts w:hint="default"/>
      </w:rPr>
    </w:lvl>
    <w:lvl w:ilvl="1" w:tentative="0">
      <w:start w:val="1"/>
      <w:numFmt w:val="decimal"/>
      <w:lvlText w:val="%1.%2"/>
      <w:lvlJc w:val="left"/>
      <w:pPr>
        <w:tabs>
          <w:tab w:val="left" w:pos="562"/>
        </w:tabs>
        <w:ind w:left="567" w:hanging="567"/>
      </w:pPr>
      <w:rPr>
        <w:rFonts w:hint="default" w:ascii="Times New Roman" w:hAnsi="Times New Roman" w:eastAsia="宋体" w:cs="宋体"/>
      </w:rPr>
    </w:lvl>
    <w:lvl w:ilvl="2" w:tentative="0">
      <w:start w:val="1"/>
      <w:numFmt w:val="decimal"/>
      <w:lvlText w:val="%1.%2.%3"/>
      <w:lvlJc w:val="left"/>
      <w:pPr>
        <w:ind w:left="709" w:hanging="709"/>
      </w:pPr>
      <w:rPr>
        <w:rFonts w:hint="default" w:ascii="Times New Roman" w:hAnsi="Times New Roman"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8">
    <w:nsid w:val="6AD6DE48"/>
    <w:multiLevelType w:val="singleLevel"/>
    <w:tmpl w:val="6AD6DE48"/>
    <w:lvl w:ilvl="0" w:tentative="0">
      <w:start w:val="1"/>
      <w:numFmt w:val="decimal"/>
      <w:lvlText w:val="%1."/>
      <w:lvlJc w:val="left"/>
      <w:pPr>
        <w:ind w:left="425" w:hanging="425"/>
      </w:pPr>
      <w:rPr>
        <w:rFonts w:hint="default"/>
      </w:rPr>
    </w:lvl>
  </w:abstractNum>
  <w:abstractNum w:abstractNumId="69">
    <w:nsid w:val="6DE671AD"/>
    <w:multiLevelType w:val="multilevel"/>
    <w:tmpl w:val="6DE671AD"/>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FAE4144"/>
    <w:multiLevelType w:val="multilevel"/>
    <w:tmpl w:val="6FAE414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2B80F9C"/>
    <w:multiLevelType w:val="multilevel"/>
    <w:tmpl w:val="72B80F9C"/>
    <w:lvl w:ilvl="0" w:tentative="0">
      <w:start w:val="1"/>
      <w:numFmt w:val="decimal"/>
      <w:lvlText w:val="%1."/>
      <w:lvlJc w:val="left"/>
      <w:pPr>
        <w:ind w:left="851" w:hanging="425"/>
      </w:pPr>
      <w:rPr>
        <w:rFonts w:hint="default" w:ascii="Times New Roman" w:hAnsi="Times New Roman" w:eastAsia="宋体" w:cs="Times New Roman"/>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2D241F4"/>
    <w:multiLevelType w:val="multilevel"/>
    <w:tmpl w:val="72D241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40BFA13"/>
    <w:multiLevelType w:val="singleLevel"/>
    <w:tmpl w:val="740BFA13"/>
    <w:lvl w:ilvl="0" w:tentative="0">
      <w:start w:val="1"/>
      <w:numFmt w:val="decimal"/>
      <w:lvlText w:val="(%1)"/>
      <w:lvlJc w:val="left"/>
      <w:pPr>
        <w:ind w:left="425" w:hanging="425"/>
      </w:pPr>
      <w:rPr>
        <w:rFonts w:hint="default"/>
      </w:rPr>
    </w:lvl>
  </w:abstractNum>
  <w:abstractNum w:abstractNumId="74">
    <w:nsid w:val="7B75E3AD"/>
    <w:multiLevelType w:val="singleLevel"/>
    <w:tmpl w:val="7B75E3AD"/>
    <w:lvl w:ilvl="0" w:tentative="0">
      <w:start w:val="1"/>
      <w:numFmt w:val="decimal"/>
      <w:suff w:val="nothing"/>
      <w:lvlText w:val="%1．"/>
      <w:lvlJc w:val="left"/>
      <w:pPr>
        <w:ind w:left="0" w:firstLine="400"/>
      </w:pPr>
      <w:rPr>
        <w:rFonts w:hint="default"/>
      </w:rPr>
    </w:lvl>
  </w:abstractNum>
  <w:abstractNum w:abstractNumId="75">
    <w:nsid w:val="7DE16DD4"/>
    <w:multiLevelType w:val="singleLevel"/>
    <w:tmpl w:val="7DE16DD4"/>
    <w:lvl w:ilvl="0" w:tentative="0">
      <w:start w:val="1"/>
      <w:numFmt w:val="decimal"/>
      <w:suff w:val="nothing"/>
      <w:lvlText w:val="%1）"/>
      <w:lvlJc w:val="left"/>
      <w:pPr>
        <w:ind w:left="26" w:firstLine="400"/>
      </w:pPr>
      <w:rPr>
        <w:rFonts w:ascii="Times New Roman" w:hAnsi="Times New Roman" w:eastAsia="宋体" w:cs="Times New Roman"/>
      </w:rPr>
    </w:lvl>
  </w:abstractNum>
  <w:num w:numId="1">
    <w:abstractNumId w:val="46"/>
  </w:num>
  <w:num w:numId="2">
    <w:abstractNumId w:val="51"/>
  </w:num>
  <w:num w:numId="3">
    <w:abstractNumId w:val="44"/>
  </w:num>
  <w:num w:numId="4">
    <w:abstractNumId w:val="11"/>
  </w:num>
  <w:num w:numId="5">
    <w:abstractNumId w:val="42"/>
  </w:num>
  <w:num w:numId="6">
    <w:abstractNumId w:val="8"/>
  </w:num>
  <w:num w:numId="7">
    <w:abstractNumId w:val="7"/>
  </w:num>
  <w:num w:numId="8">
    <w:abstractNumId w:val="6"/>
  </w:num>
  <w:num w:numId="9">
    <w:abstractNumId w:val="74"/>
  </w:num>
  <w:num w:numId="10">
    <w:abstractNumId w:val="17"/>
  </w:num>
  <w:num w:numId="11">
    <w:abstractNumId w:val="67"/>
  </w:num>
  <w:num w:numId="12">
    <w:abstractNumId w:val="33"/>
  </w:num>
  <w:num w:numId="13">
    <w:abstractNumId w:val="30"/>
  </w:num>
  <w:num w:numId="14">
    <w:abstractNumId w:val="28"/>
  </w:num>
  <w:num w:numId="15">
    <w:abstractNumId w:val="18"/>
  </w:num>
  <w:num w:numId="16">
    <w:abstractNumId w:val="9"/>
  </w:num>
  <w:num w:numId="17">
    <w:abstractNumId w:val="15"/>
  </w:num>
  <w:num w:numId="18">
    <w:abstractNumId w:val="23"/>
  </w:num>
  <w:num w:numId="19">
    <w:abstractNumId w:val="45"/>
  </w:num>
  <w:num w:numId="20">
    <w:abstractNumId w:val="73"/>
  </w:num>
  <w:num w:numId="21">
    <w:abstractNumId w:val="40"/>
  </w:num>
  <w:num w:numId="22">
    <w:abstractNumId w:val="31"/>
  </w:num>
  <w:num w:numId="23">
    <w:abstractNumId w:val="19"/>
  </w:num>
  <w:num w:numId="24">
    <w:abstractNumId w:val="3"/>
  </w:num>
  <w:num w:numId="25">
    <w:abstractNumId w:val="36"/>
  </w:num>
  <w:num w:numId="26">
    <w:abstractNumId w:val="35"/>
  </w:num>
  <w:num w:numId="27">
    <w:abstractNumId w:val="0"/>
  </w:num>
  <w:num w:numId="28">
    <w:abstractNumId w:val="55"/>
  </w:num>
  <w:num w:numId="29">
    <w:abstractNumId w:val="16"/>
  </w:num>
  <w:num w:numId="30">
    <w:abstractNumId w:val="69"/>
  </w:num>
  <w:num w:numId="31">
    <w:abstractNumId w:val="50"/>
  </w:num>
  <w:num w:numId="32">
    <w:abstractNumId w:val="37"/>
  </w:num>
  <w:num w:numId="33">
    <w:abstractNumId w:val="43"/>
  </w:num>
  <w:num w:numId="34">
    <w:abstractNumId w:val="71"/>
  </w:num>
  <w:num w:numId="35">
    <w:abstractNumId w:val="66"/>
  </w:num>
  <w:num w:numId="36">
    <w:abstractNumId w:val="4"/>
  </w:num>
  <w:num w:numId="37">
    <w:abstractNumId w:val="75"/>
  </w:num>
  <w:num w:numId="38">
    <w:abstractNumId w:val="32"/>
  </w:num>
  <w:num w:numId="39">
    <w:abstractNumId w:val="13"/>
  </w:num>
  <w:num w:numId="40">
    <w:abstractNumId w:val="2"/>
  </w:num>
  <w:num w:numId="41">
    <w:abstractNumId w:val="54"/>
  </w:num>
  <w:num w:numId="42">
    <w:abstractNumId w:val="39"/>
  </w:num>
  <w:num w:numId="43">
    <w:abstractNumId w:val="62"/>
  </w:num>
  <w:num w:numId="44">
    <w:abstractNumId w:val="63"/>
  </w:num>
  <w:num w:numId="45">
    <w:abstractNumId w:val="58"/>
  </w:num>
  <w:num w:numId="46">
    <w:abstractNumId w:val="56"/>
  </w:num>
  <w:num w:numId="47">
    <w:abstractNumId w:val="14"/>
  </w:num>
  <w:num w:numId="48">
    <w:abstractNumId w:val="21"/>
  </w:num>
  <w:num w:numId="49">
    <w:abstractNumId w:val="25"/>
  </w:num>
  <w:num w:numId="50">
    <w:abstractNumId w:val="68"/>
  </w:num>
  <w:num w:numId="51">
    <w:abstractNumId w:val="72"/>
  </w:num>
  <w:num w:numId="52">
    <w:abstractNumId w:val="53"/>
  </w:num>
  <w:num w:numId="53">
    <w:abstractNumId w:val="57"/>
  </w:num>
  <w:num w:numId="54">
    <w:abstractNumId w:val="61"/>
  </w:num>
  <w:num w:numId="55">
    <w:abstractNumId w:val="52"/>
  </w:num>
  <w:num w:numId="56">
    <w:abstractNumId w:val="24"/>
  </w:num>
  <w:num w:numId="57">
    <w:abstractNumId w:val="22"/>
  </w:num>
  <w:num w:numId="58">
    <w:abstractNumId w:val="38"/>
  </w:num>
  <w:num w:numId="59">
    <w:abstractNumId w:val="64"/>
  </w:num>
  <w:num w:numId="60">
    <w:abstractNumId w:val="1"/>
  </w:num>
  <w:num w:numId="61">
    <w:abstractNumId w:val="34"/>
  </w:num>
  <w:num w:numId="62">
    <w:abstractNumId w:val="27"/>
  </w:num>
  <w:num w:numId="63">
    <w:abstractNumId w:val="49"/>
  </w:num>
  <w:num w:numId="64">
    <w:abstractNumId w:val="47"/>
  </w:num>
  <w:num w:numId="65">
    <w:abstractNumId w:val="10"/>
  </w:num>
  <w:num w:numId="66">
    <w:abstractNumId w:val="41"/>
  </w:num>
  <w:num w:numId="67">
    <w:abstractNumId w:val="59"/>
  </w:num>
  <w:num w:numId="68">
    <w:abstractNumId w:val="70"/>
  </w:num>
  <w:num w:numId="69">
    <w:abstractNumId w:val="65"/>
  </w:num>
  <w:num w:numId="70">
    <w:abstractNumId w:val="5"/>
  </w:num>
  <w:num w:numId="71">
    <w:abstractNumId w:val="60"/>
  </w:num>
  <w:num w:numId="72">
    <w:abstractNumId w:val="29"/>
  </w:num>
  <w:num w:numId="73">
    <w:abstractNumId w:val="20"/>
  </w:num>
  <w:num w:numId="74">
    <w:abstractNumId w:val="12"/>
  </w:num>
  <w:num w:numId="75">
    <w:abstractNumId w:val="26"/>
  </w:num>
  <w:num w:numId="7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FEA"/>
    <w:rsid w:val="00013FB5"/>
    <w:rsid w:val="00022912"/>
    <w:rsid w:val="0003165E"/>
    <w:rsid w:val="00054EC1"/>
    <w:rsid w:val="00065A85"/>
    <w:rsid w:val="00070ED8"/>
    <w:rsid w:val="00074F2B"/>
    <w:rsid w:val="000A0083"/>
    <w:rsid w:val="000C3D60"/>
    <w:rsid w:val="000C4E82"/>
    <w:rsid w:val="000E31CB"/>
    <w:rsid w:val="000E4567"/>
    <w:rsid w:val="00102447"/>
    <w:rsid w:val="001078F1"/>
    <w:rsid w:val="00111EF2"/>
    <w:rsid w:val="0011790E"/>
    <w:rsid w:val="00127193"/>
    <w:rsid w:val="00130620"/>
    <w:rsid w:val="00141269"/>
    <w:rsid w:val="001437FA"/>
    <w:rsid w:val="00171BB8"/>
    <w:rsid w:val="00174C52"/>
    <w:rsid w:val="00190490"/>
    <w:rsid w:val="00190538"/>
    <w:rsid w:val="0019420E"/>
    <w:rsid w:val="001A0463"/>
    <w:rsid w:val="001A10B8"/>
    <w:rsid w:val="001B1A35"/>
    <w:rsid w:val="001B7182"/>
    <w:rsid w:val="001B7953"/>
    <w:rsid w:val="001D0795"/>
    <w:rsid w:val="001D228A"/>
    <w:rsid w:val="001E19AA"/>
    <w:rsid w:val="001E601C"/>
    <w:rsid w:val="001F35E6"/>
    <w:rsid w:val="001F65DD"/>
    <w:rsid w:val="00200EB4"/>
    <w:rsid w:val="002450DC"/>
    <w:rsid w:val="00267A73"/>
    <w:rsid w:val="00286729"/>
    <w:rsid w:val="00287C70"/>
    <w:rsid w:val="00287D30"/>
    <w:rsid w:val="0029286C"/>
    <w:rsid w:val="002B073F"/>
    <w:rsid w:val="002C7788"/>
    <w:rsid w:val="00305539"/>
    <w:rsid w:val="00307F1C"/>
    <w:rsid w:val="00321ABA"/>
    <w:rsid w:val="00324837"/>
    <w:rsid w:val="0033214A"/>
    <w:rsid w:val="003444FC"/>
    <w:rsid w:val="00347EBA"/>
    <w:rsid w:val="0036220A"/>
    <w:rsid w:val="00372375"/>
    <w:rsid w:val="0038774F"/>
    <w:rsid w:val="003934EC"/>
    <w:rsid w:val="0039422D"/>
    <w:rsid w:val="003B2B9D"/>
    <w:rsid w:val="003C7821"/>
    <w:rsid w:val="003E1C83"/>
    <w:rsid w:val="003E5AA1"/>
    <w:rsid w:val="003E7CC0"/>
    <w:rsid w:val="004115DB"/>
    <w:rsid w:val="00420E94"/>
    <w:rsid w:val="00430B58"/>
    <w:rsid w:val="004407E5"/>
    <w:rsid w:val="004832B1"/>
    <w:rsid w:val="004D41E1"/>
    <w:rsid w:val="004E1807"/>
    <w:rsid w:val="004F2ED5"/>
    <w:rsid w:val="00504197"/>
    <w:rsid w:val="00504993"/>
    <w:rsid w:val="005334FF"/>
    <w:rsid w:val="005464DE"/>
    <w:rsid w:val="00566A69"/>
    <w:rsid w:val="005903C7"/>
    <w:rsid w:val="005A3819"/>
    <w:rsid w:val="005B2FF6"/>
    <w:rsid w:val="005B4EA5"/>
    <w:rsid w:val="005D1656"/>
    <w:rsid w:val="005E6861"/>
    <w:rsid w:val="00615EFA"/>
    <w:rsid w:val="00621529"/>
    <w:rsid w:val="006239A0"/>
    <w:rsid w:val="00630D71"/>
    <w:rsid w:val="00654D53"/>
    <w:rsid w:val="0066220D"/>
    <w:rsid w:val="00664375"/>
    <w:rsid w:val="00674636"/>
    <w:rsid w:val="0069698B"/>
    <w:rsid w:val="006B0738"/>
    <w:rsid w:val="006B7F20"/>
    <w:rsid w:val="006C0682"/>
    <w:rsid w:val="006D5DF3"/>
    <w:rsid w:val="006E1107"/>
    <w:rsid w:val="00706F3A"/>
    <w:rsid w:val="0071573D"/>
    <w:rsid w:val="007338A6"/>
    <w:rsid w:val="00733B94"/>
    <w:rsid w:val="007721A1"/>
    <w:rsid w:val="00784FA6"/>
    <w:rsid w:val="007B760D"/>
    <w:rsid w:val="007D0712"/>
    <w:rsid w:val="007F523F"/>
    <w:rsid w:val="00801565"/>
    <w:rsid w:val="008033D0"/>
    <w:rsid w:val="00807A06"/>
    <w:rsid w:val="008310A3"/>
    <w:rsid w:val="00833FE1"/>
    <w:rsid w:val="0084102F"/>
    <w:rsid w:val="008439C7"/>
    <w:rsid w:val="00854A2C"/>
    <w:rsid w:val="00866DFA"/>
    <w:rsid w:val="00871BA8"/>
    <w:rsid w:val="0087234C"/>
    <w:rsid w:val="00876530"/>
    <w:rsid w:val="008977B2"/>
    <w:rsid w:val="008979AF"/>
    <w:rsid w:val="008A1AAD"/>
    <w:rsid w:val="008A688C"/>
    <w:rsid w:val="008A72FA"/>
    <w:rsid w:val="008B3E53"/>
    <w:rsid w:val="008B7382"/>
    <w:rsid w:val="008D724B"/>
    <w:rsid w:val="008E73EF"/>
    <w:rsid w:val="00903C26"/>
    <w:rsid w:val="009172AA"/>
    <w:rsid w:val="009256D3"/>
    <w:rsid w:val="00930665"/>
    <w:rsid w:val="00952621"/>
    <w:rsid w:val="00990479"/>
    <w:rsid w:val="00994DB9"/>
    <w:rsid w:val="009E16C9"/>
    <w:rsid w:val="00A02F81"/>
    <w:rsid w:val="00A1311A"/>
    <w:rsid w:val="00A20A89"/>
    <w:rsid w:val="00A32D4D"/>
    <w:rsid w:val="00A368F1"/>
    <w:rsid w:val="00A37E62"/>
    <w:rsid w:val="00A44FE2"/>
    <w:rsid w:val="00A63059"/>
    <w:rsid w:val="00A7648D"/>
    <w:rsid w:val="00AC40E3"/>
    <w:rsid w:val="00AD4BAD"/>
    <w:rsid w:val="00AE06E8"/>
    <w:rsid w:val="00AF609E"/>
    <w:rsid w:val="00B0329F"/>
    <w:rsid w:val="00B11C96"/>
    <w:rsid w:val="00B1724C"/>
    <w:rsid w:val="00B361DD"/>
    <w:rsid w:val="00B454AC"/>
    <w:rsid w:val="00B50510"/>
    <w:rsid w:val="00B65002"/>
    <w:rsid w:val="00B71C38"/>
    <w:rsid w:val="00B850DF"/>
    <w:rsid w:val="00B865B2"/>
    <w:rsid w:val="00B90DAE"/>
    <w:rsid w:val="00BA50AE"/>
    <w:rsid w:val="00BD18EC"/>
    <w:rsid w:val="00BD1F9A"/>
    <w:rsid w:val="00BD56F1"/>
    <w:rsid w:val="00BE0C28"/>
    <w:rsid w:val="00C02D05"/>
    <w:rsid w:val="00C17C7E"/>
    <w:rsid w:val="00C2289F"/>
    <w:rsid w:val="00C27A51"/>
    <w:rsid w:val="00C37311"/>
    <w:rsid w:val="00C41D1F"/>
    <w:rsid w:val="00C67315"/>
    <w:rsid w:val="00C81D79"/>
    <w:rsid w:val="00C91343"/>
    <w:rsid w:val="00C92373"/>
    <w:rsid w:val="00CA1601"/>
    <w:rsid w:val="00CB086F"/>
    <w:rsid w:val="00CB2C7E"/>
    <w:rsid w:val="00CC6118"/>
    <w:rsid w:val="00D07AB2"/>
    <w:rsid w:val="00D26DC6"/>
    <w:rsid w:val="00D335CE"/>
    <w:rsid w:val="00D42F6C"/>
    <w:rsid w:val="00D44B8A"/>
    <w:rsid w:val="00D549A2"/>
    <w:rsid w:val="00D6054B"/>
    <w:rsid w:val="00D63F81"/>
    <w:rsid w:val="00D767C3"/>
    <w:rsid w:val="00D8189D"/>
    <w:rsid w:val="00D84853"/>
    <w:rsid w:val="00DA2219"/>
    <w:rsid w:val="00DB09E4"/>
    <w:rsid w:val="00DD2673"/>
    <w:rsid w:val="00DE6393"/>
    <w:rsid w:val="00E064B6"/>
    <w:rsid w:val="00E70BD1"/>
    <w:rsid w:val="00E72131"/>
    <w:rsid w:val="00E7383D"/>
    <w:rsid w:val="00E95080"/>
    <w:rsid w:val="00EA682A"/>
    <w:rsid w:val="00EA75B8"/>
    <w:rsid w:val="00EC4402"/>
    <w:rsid w:val="00EC5DF6"/>
    <w:rsid w:val="00EC790C"/>
    <w:rsid w:val="00EE5D68"/>
    <w:rsid w:val="00EF18F4"/>
    <w:rsid w:val="00F14C7F"/>
    <w:rsid w:val="00F1602D"/>
    <w:rsid w:val="00F16779"/>
    <w:rsid w:val="00F35A79"/>
    <w:rsid w:val="00F37478"/>
    <w:rsid w:val="00F46044"/>
    <w:rsid w:val="00F4606D"/>
    <w:rsid w:val="00F54396"/>
    <w:rsid w:val="00F60D16"/>
    <w:rsid w:val="00F818FD"/>
    <w:rsid w:val="00F82D29"/>
    <w:rsid w:val="00F84571"/>
    <w:rsid w:val="00FA343A"/>
    <w:rsid w:val="00FA6CC9"/>
    <w:rsid w:val="00FB0494"/>
    <w:rsid w:val="00FB6955"/>
    <w:rsid w:val="00FD27E9"/>
    <w:rsid w:val="00FD361A"/>
    <w:rsid w:val="00FF7223"/>
    <w:rsid w:val="0108430F"/>
    <w:rsid w:val="010E7F98"/>
    <w:rsid w:val="012148BD"/>
    <w:rsid w:val="0131147A"/>
    <w:rsid w:val="013E441D"/>
    <w:rsid w:val="014D2BD9"/>
    <w:rsid w:val="014D62B1"/>
    <w:rsid w:val="01585630"/>
    <w:rsid w:val="0160363A"/>
    <w:rsid w:val="01647366"/>
    <w:rsid w:val="0166293A"/>
    <w:rsid w:val="01695EA6"/>
    <w:rsid w:val="016F4847"/>
    <w:rsid w:val="01836615"/>
    <w:rsid w:val="01860AFD"/>
    <w:rsid w:val="01942DD7"/>
    <w:rsid w:val="019A76A3"/>
    <w:rsid w:val="01A067EA"/>
    <w:rsid w:val="01A53545"/>
    <w:rsid w:val="01DB3B38"/>
    <w:rsid w:val="01E21CA6"/>
    <w:rsid w:val="01ED5E4F"/>
    <w:rsid w:val="01F41078"/>
    <w:rsid w:val="01FD328A"/>
    <w:rsid w:val="020D4612"/>
    <w:rsid w:val="0213672D"/>
    <w:rsid w:val="02165B63"/>
    <w:rsid w:val="02232B9D"/>
    <w:rsid w:val="0243574E"/>
    <w:rsid w:val="02611DCE"/>
    <w:rsid w:val="02B22BCD"/>
    <w:rsid w:val="02C16BC7"/>
    <w:rsid w:val="02CD7003"/>
    <w:rsid w:val="02D27863"/>
    <w:rsid w:val="02DA15BE"/>
    <w:rsid w:val="02E028DC"/>
    <w:rsid w:val="02E91433"/>
    <w:rsid w:val="03127926"/>
    <w:rsid w:val="03242EC5"/>
    <w:rsid w:val="032D2429"/>
    <w:rsid w:val="03440BB5"/>
    <w:rsid w:val="035A427F"/>
    <w:rsid w:val="03645A6E"/>
    <w:rsid w:val="036A70F0"/>
    <w:rsid w:val="037A2711"/>
    <w:rsid w:val="039368D6"/>
    <w:rsid w:val="03A537BA"/>
    <w:rsid w:val="03D217C8"/>
    <w:rsid w:val="03D75F0D"/>
    <w:rsid w:val="03DA4B56"/>
    <w:rsid w:val="03F3441A"/>
    <w:rsid w:val="04150A7A"/>
    <w:rsid w:val="0428006A"/>
    <w:rsid w:val="04573ACF"/>
    <w:rsid w:val="045C61BD"/>
    <w:rsid w:val="04624C2C"/>
    <w:rsid w:val="046503BB"/>
    <w:rsid w:val="0465697A"/>
    <w:rsid w:val="0479781A"/>
    <w:rsid w:val="048263A2"/>
    <w:rsid w:val="048A77DF"/>
    <w:rsid w:val="04AB6E7A"/>
    <w:rsid w:val="04BA0E1E"/>
    <w:rsid w:val="04D047F5"/>
    <w:rsid w:val="04D21725"/>
    <w:rsid w:val="04D224E3"/>
    <w:rsid w:val="04D56DA7"/>
    <w:rsid w:val="04DB2D7D"/>
    <w:rsid w:val="04EC4814"/>
    <w:rsid w:val="04F24CCB"/>
    <w:rsid w:val="04F26EA8"/>
    <w:rsid w:val="04FB6871"/>
    <w:rsid w:val="04FE5946"/>
    <w:rsid w:val="05173AB9"/>
    <w:rsid w:val="05254F53"/>
    <w:rsid w:val="052C5B40"/>
    <w:rsid w:val="0539563E"/>
    <w:rsid w:val="0553649A"/>
    <w:rsid w:val="055E2E23"/>
    <w:rsid w:val="05600649"/>
    <w:rsid w:val="056527E9"/>
    <w:rsid w:val="057243AA"/>
    <w:rsid w:val="057B3715"/>
    <w:rsid w:val="057E310F"/>
    <w:rsid w:val="05982825"/>
    <w:rsid w:val="05A34689"/>
    <w:rsid w:val="05AA7705"/>
    <w:rsid w:val="05AC0CB6"/>
    <w:rsid w:val="05C04882"/>
    <w:rsid w:val="05E36A93"/>
    <w:rsid w:val="05E46F4F"/>
    <w:rsid w:val="05F71277"/>
    <w:rsid w:val="06386571"/>
    <w:rsid w:val="063B28B1"/>
    <w:rsid w:val="06594D12"/>
    <w:rsid w:val="066C3EAF"/>
    <w:rsid w:val="068C3BFF"/>
    <w:rsid w:val="068D7D8F"/>
    <w:rsid w:val="06A15299"/>
    <w:rsid w:val="06A44667"/>
    <w:rsid w:val="06AE3EE7"/>
    <w:rsid w:val="06CC2431"/>
    <w:rsid w:val="06DE6F30"/>
    <w:rsid w:val="06DF5C8C"/>
    <w:rsid w:val="06E0049A"/>
    <w:rsid w:val="06E81679"/>
    <w:rsid w:val="070666DD"/>
    <w:rsid w:val="07084DBD"/>
    <w:rsid w:val="070D493E"/>
    <w:rsid w:val="071025BA"/>
    <w:rsid w:val="071C2B4C"/>
    <w:rsid w:val="07314CAB"/>
    <w:rsid w:val="074C51F8"/>
    <w:rsid w:val="074D50D6"/>
    <w:rsid w:val="07547496"/>
    <w:rsid w:val="07615EE7"/>
    <w:rsid w:val="0786499B"/>
    <w:rsid w:val="0787261E"/>
    <w:rsid w:val="078F24FA"/>
    <w:rsid w:val="0799048D"/>
    <w:rsid w:val="079C29E9"/>
    <w:rsid w:val="07CB6E78"/>
    <w:rsid w:val="07CF435D"/>
    <w:rsid w:val="07E16E8F"/>
    <w:rsid w:val="080B24F0"/>
    <w:rsid w:val="08304D86"/>
    <w:rsid w:val="08484CF4"/>
    <w:rsid w:val="0852644A"/>
    <w:rsid w:val="085813ED"/>
    <w:rsid w:val="08617534"/>
    <w:rsid w:val="08637148"/>
    <w:rsid w:val="08652B5C"/>
    <w:rsid w:val="08747A43"/>
    <w:rsid w:val="08750F8F"/>
    <w:rsid w:val="089A5577"/>
    <w:rsid w:val="08B650AB"/>
    <w:rsid w:val="08BA1400"/>
    <w:rsid w:val="08D6637E"/>
    <w:rsid w:val="08E952B6"/>
    <w:rsid w:val="08F85D9D"/>
    <w:rsid w:val="09014874"/>
    <w:rsid w:val="09175EE4"/>
    <w:rsid w:val="09266A33"/>
    <w:rsid w:val="09290572"/>
    <w:rsid w:val="092D50C3"/>
    <w:rsid w:val="09475961"/>
    <w:rsid w:val="094B0E86"/>
    <w:rsid w:val="094E4C47"/>
    <w:rsid w:val="09545FB9"/>
    <w:rsid w:val="097F4FA9"/>
    <w:rsid w:val="09852F76"/>
    <w:rsid w:val="09A71585"/>
    <w:rsid w:val="09C415F6"/>
    <w:rsid w:val="09CD73F1"/>
    <w:rsid w:val="09CE75D4"/>
    <w:rsid w:val="09D02CD4"/>
    <w:rsid w:val="09F634CB"/>
    <w:rsid w:val="0A2F39A4"/>
    <w:rsid w:val="0A3E7F6A"/>
    <w:rsid w:val="0A440982"/>
    <w:rsid w:val="0A4E59D7"/>
    <w:rsid w:val="0A5B3155"/>
    <w:rsid w:val="0A80679F"/>
    <w:rsid w:val="0A874281"/>
    <w:rsid w:val="0A900B79"/>
    <w:rsid w:val="0A9335A2"/>
    <w:rsid w:val="0A965D3E"/>
    <w:rsid w:val="0AC17D51"/>
    <w:rsid w:val="0B143D6F"/>
    <w:rsid w:val="0B193972"/>
    <w:rsid w:val="0B1940EE"/>
    <w:rsid w:val="0B1A4768"/>
    <w:rsid w:val="0B212D47"/>
    <w:rsid w:val="0B2C6A24"/>
    <w:rsid w:val="0B3203F4"/>
    <w:rsid w:val="0B337B8B"/>
    <w:rsid w:val="0B3864F3"/>
    <w:rsid w:val="0B706BC9"/>
    <w:rsid w:val="0B7B24A9"/>
    <w:rsid w:val="0B917CFC"/>
    <w:rsid w:val="0B973EC8"/>
    <w:rsid w:val="0B9A5867"/>
    <w:rsid w:val="0BC403C7"/>
    <w:rsid w:val="0BCE6EDD"/>
    <w:rsid w:val="0BCF3C2E"/>
    <w:rsid w:val="0BD43630"/>
    <w:rsid w:val="0BF47536"/>
    <w:rsid w:val="0BFB614E"/>
    <w:rsid w:val="0C033062"/>
    <w:rsid w:val="0C0C5248"/>
    <w:rsid w:val="0C1776BE"/>
    <w:rsid w:val="0C2153F0"/>
    <w:rsid w:val="0C215935"/>
    <w:rsid w:val="0C321799"/>
    <w:rsid w:val="0C4553E6"/>
    <w:rsid w:val="0C495C42"/>
    <w:rsid w:val="0C641E22"/>
    <w:rsid w:val="0C964311"/>
    <w:rsid w:val="0C975B1E"/>
    <w:rsid w:val="0CA06188"/>
    <w:rsid w:val="0CA4700E"/>
    <w:rsid w:val="0CA82E5D"/>
    <w:rsid w:val="0CB50D75"/>
    <w:rsid w:val="0CBB3E64"/>
    <w:rsid w:val="0CC17F50"/>
    <w:rsid w:val="0CE45079"/>
    <w:rsid w:val="0CFA07F7"/>
    <w:rsid w:val="0D04473A"/>
    <w:rsid w:val="0D2648AF"/>
    <w:rsid w:val="0D2C0F99"/>
    <w:rsid w:val="0D3373C8"/>
    <w:rsid w:val="0D394B6D"/>
    <w:rsid w:val="0D493826"/>
    <w:rsid w:val="0D5935FA"/>
    <w:rsid w:val="0D703871"/>
    <w:rsid w:val="0D800E2A"/>
    <w:rsid w:val="0D882601"/>
    <w:rsid w:val="0D8F1EBE"/>
    <w:rsid w:val="0D9165D3"/>
    <w:rsid w:val="0D99055C"/>
    <w:rsid w:val="0DB27A20"/>
    <w:rsid w:val="0DD13AAF"/>
    <w:rsid w:val="0DD45576"/>
    <w:rsid w:val="0DDA254B"/>
    <w:rsid w:val="0DE020C6"/>
    <w:rsid w:val="0DF37B54"/>
    <w:rsid w:val="0E053039"/>
    <w:rsid w:val="0E091C61"/>
    <w:rsid w:val="0E0F54AD"/>
    <w:rsid w:val="0E196E2F"/>
    <w:rsid w:val="0E3B3CE4"/>
    <w:rsid w:val="0E3D02E6"/>
    <w:rsid w:val="0E4E6A52"/>
    <w:rsid w:val="0E50487D"/>
    <w:rsid w:val="0E7F2B6B"/>
    <w:rsid w:val="0E91504B"/>
    <w:rsid w:val="0E9B1F8F"/>
    <w:rsid w:val="0EBB2072"/>
    <w:rsid w:val="0ED22AFA"/>
    <w:rsid w:val="0F0A2AF3"/>
    <w:rsid w:val="0F0A4F6C"/>
    <w:rsid w:val="0F2C1463"/>
    <w:rsid w:val="0F357C17"/>
    <w:rsid w:val="0F5E2F70"/>
    <w:rsid w:val="0F650351"/>
    <w:rsid w:val="0F6C15C3"/>
    <w:rsid w:val="0F7908EF"/>
    <w:rsid w:val="0F7D1699"/>
    <w:rsid w:val="0F873D4D"/>
    <w:rsid w:val="0FA862EC"/>
    <w:rsid w:val="0FAC3610"/>
    <w:rsid w:val="0FAF6901"/>
    <w:rsid w:val="0FAF6E2A"/>
    <w:rsid w:val="0FB54D7D"/>
    <w:rsid w:val="0FB82602"/>
    <w:rsid w:val="0FC329FE"/>
    <w:rsid w:val="0FEE1E34"/>
    <w:rsid w:val="0FEE51A0"/>
    <w:rsid w:val="100E6015"/>
    <w:rsid w:val="101019C5"/>
    <w:rsid w:val="101143F3"/>
    <w:rsid w:val="1028466E"/>
    <w:rsid w:val="102B0A2B"/>
    <w:rsid w:val="10326AB4"/>
    <w:rsid w:val="103F270A"/>
    <w:rsid w:val="1053101B"/>
    <w:rsid w:val="10612170"/>
    <w:rsid w:val="10625CF2"/>
    <w:rsid w:val="106D2D32"/>
    <w:rsid w:val="108414E3"/>
    <w:rsid w:val="108D7E84"/>
    <w:rsid w:val="10A32ACC"/>
    <w:rsid w:val="10A7585F"/>
    <w:rsid w:val="10AF1B7A"/>
    <w:rsid w:val="10C24649"/>
    <w:rsid w:val="10CB77F4"/>
    <w:rsid w:val="10DE353E"/>
    <w:rsid w:val="10ED4763"/>
    <w:rsid w:val="10F46ACE"/>
    <w:rsid w:val="10FA7ABE"/>
    <w:rsid w:val="10FD6EC6"/>
    <w:rsid w:val="111B3134"/>
    <w:rsid w:val="111D7306"/>
    <w:rsid w:val="11232DEF"/>
    <w:rsid w:val="11541F4C"/>
    <w:rsid w:val="115D5DA1"/>
    <w:rsid w:val="118120DA"/>
    <w:rsid w:val="118C5316"/>
    <w:rsid w:val="118D35F9"/>
    <w:rsid w:val="11915CA6"/>
    <w:rsid w:val="11980E6E"/>
    <w:rsid w:val="119B4779"/>
    <w:rsid w:val="11A50004"/>
    <w:rsid w:val="11AA7AD5"/>
    <w:rsid w:val="11B83165"/>
    <w:rsid w:val="11B96B40"/>
    <w:rsid w:val="11BA4488"/>
    <w:rsid w:val="11C7590C"/>
    <w:rsid w:val="11E70083"/>
    <w:rsid w:val="11EA77F3"/>
    <w:rsid w:val="11EE11DB"/>
    <w:rsid w:val="11F561C6"/>
    <w:rsid w:val="11F60158"/>
    <w:rsid w:val="12091360"/>
    <w:rsid w:val="120E4F2F"/>
    <w:rsid w:val="12102102"/>
    <w:rsid w:val="122C70C9"/>
    <w:rsid w:val="12327E7D"/>
    <w:rsid w:val="123B6254"/>
    <w:rsid w:val="1251529F"/>
    <w:rsid w:val="125E17CB"/>
    <w:rsid w:val="12724770"/>
    <w:rsid w:val="127672E4"/>
    <w:rsid w:val="1293198F"/>
    <w:rsid w:val="129404DA"/>
    <w:rsid w:val="12A76CF1"/>
    <w:rsid w:val="12A80E59"/>
    <w:rsid w:val="12B41A65"/>
    <w:rsid w:val="12B770DD"/>
    <w:rsid w:val="12BE712B"/>
    <w:rsid w:val="12E60178"/>
    <w:rsid w:val="12F81E92"/>
    <w:rsid w:val="13061D20"/>
    <w:rsid w:val="130729CF"/>
    <w:rsid w:val="130F2312"/>
    <w:rsid w:val="13243842"/>
    <w:rsid w:val="13257292"/>
    <w:rsid w:val="132A167B"/>
    <w:rsid w:val="132E533E"/>
    <w:rsid w:val="13417D86"/>
    <w:rsid w:val="13492361"/>
    <w:rsid w:val="135309F9"/>
    <w:rsid w:val="135358EB"/>
    <w:rsid w:val="135C0ACB"/>
    <w:rsid w:val="135C4C79"/>
    <w:rsid w:val="138C2465"/>
    <w:rsid w:val="139D2BFF"/>
    <w:rsid w:val="13AD6A6D"/>
    <w:rsid w:val="13B6725E"/>
    <w:rsid w:val="13D27D28"/>
    <w:rsid w:val="13D544E5"/>
    <w:rsid w:val="13F635C1"/>
    <w:rsid w:val="13FC2E06"/>
    <w:rsid w:val="14186B72"/>
    <w:rsid w:val="14602809"/>
    <w:rsid w:val="14804072"/>
    <w:rsid w:val="148A5798"/>
    <w:rsid w:val="149618B5"/>
    <w:rsid w:val="149E0CAE"/>
    <w:rsid w:val="14B42BF3"/>
    <w:rsid w:val="14C94ED9"/>
    <w:rsid w:val="14D67B51"/>
    <w:rsid w:val="14F708E6"/>
    <w:rsid w:val="15056EEB"/>
    <w:rsid w:val="150B74F4"/>
    <w:rsid w:val="1517075A"/>
    <w:rsid w:val="152C18F9"/>
    <w:rsid w:val="152C3C09"/>
    <w:rsid w:val="155444DD"/>
    <w:rsid w:val="157D063D"/>
    <w:rsid w:val="15836E6C"/>
    <w:rsid w:val="158A5D97"/>
    <w:rsid w:val="158A5E58"/>
    <w:rsid w:val="15944FF0"/>
    <w:rsid w:val="159A64C0"/>
    <w:rsid w:val="15B736D2"/>
    <w:rsid w:val="15C52811"/>
    <w:rsid w:val="15CB2033"/>
    <w:rsid w:val="15D002C8"/>
    <w:rsid w:val="15D45666"/>
    <w:rsid w:val="15E00C0F"/>
    <w:rsid w:val="15E42535"/>
    <w:rsid w:val="16045413"/>
    <w:rsid w:val="16366F18"/>
    <w:rsid w:val="164872A7"/>
    <w:rsid w:val="16526111"/>
    <w:rsid w:val="165620C1"/>
    <w:rsid w:val="16685A7F"/>
    <w:rsid w:val="16685D83"/>
    <w:rsid w:val="16764681"/>
    <w:rsid w:val="168C516A"/>
    <w:rsid w:val="16931A61"/>
    <w:rsid w:val="16A11295"/>
    <w:rsid w:val="16A97F7F"/>
    <w:rsid w:val="16AC1BD5"/>
    <w:rsid w:val="16C17D6F"/>
    <w:rsid w:val="16CB503D"/>
    <w:rsid w:val="16D4548D"/>
    <w:rsid w:val="16DC183A"/>
    <w:rsid w:val="16EA4F45"/>
    <w:rsid w:val="16EA582F"/>
    <w:rsid w:val="16EC181F"/>
    <w:rsid w:val="16F77107"/>
    <w:rsid w:val="16FB7E0E"/>
    <w:rsid w:val="17032658"/>
    <w:rsid w:val="17050AA9"/>
    <w:rsid w:val="17174647"/>
    <w:rsid w:val="171C7F85"/>
    <w:rsid w:val="171D4399"/>
    <w:rsid w:val="17216D65"/>
    <w:rsid w:val="17345669"/>
    <w:rsid w:val="173F1638"/>
    <w:rsid w:val="176E371E"/>
    <w:rsid w:val="17793945"/>
    <w:rsid w:val="177B4732"/>
    <w:rsid w:val="177E65F3"/>
    <w:rsid w:val="178C2F62"/>
    <w:rsid w:val="179C2F8E"/>
    <w:rsid w:val="179F23A5"/>
    <w:rsid w:val="17AA2D86"/>
    <w:rsid w:val="17AF6EDF"/>
    <w:rsid w:val="17B16404"/>
    <w:rsid w:val="17B92C4F"/>
    <w:rsid w:val="17BF7F46"/>
    <w:rsid w:val="17CF54B0"/>
    <w:rsid w:val="17DE220E"/>
    <w:rsid w:val="17DE266A"/>
    <w:rsid w:val="17ED01E2"/>
    <w:rsid w:val="17FA3143"/>
    <w:rsid w:val="18065C85"/>
    <w:rsid w:val="18216841"/>
    <w:rsid w:val="182452A6"/>
    <w:rsid w:val="182A4BE4"/>
    <w:rsid w:val="184607BB"/>
    <w:rsid w:val="184F1442"/>
    <w:rsid w:val="18901AF8"/>
    <w:rsid w:val="189F11FD"/>
    <w:rsid w:val="18AB1BB4"/>
    <w:rsid w:val="18AB1D76"/>
    <w:rsid w:val="18BF0B25"/>
    <w:rsid w:val="18D646DD"/>
    <w:rsid w:val="18D771F0"/>
    <w:rsid w:val="18F25C62"/>
    <w:rsid w:val="190D44B0"/>
    <w:rsid w:val="191C3D06"/>
    <w:rsid w:val="191F6E76"/>
    <w:rsid w:val="19247025"/>
    <w:rsid w:val="193D19AB"/>
    <w:rsid w:val="19497C13"/>
    <w:rsid w:val="19573E8D"/>
    <w:rsid w:val="19576571"/>
    <w:rsid w:val="195D1500"/>
    <w:rsid w:val="19720071"/>
    <w:rsid w:val="197648C7"/>
    <w:rsid w:val="19774FFD"/>
    <w:rsid w:val="1985312E"/>
    <w:rsid w:val="198D4978"/>
    <w:rsid w:val="19A028E1"/>
    <w:rsid w:val="19A434B9"/>
    <w:rsid w:val="19A52F48"/>
    <w:rsid w:val="19A762C6"/>
    <w:rsid w:val="19AF2CDD"/>
    <w:rsid w:val="19E708CA"/>
    <w:rsid w:val="19F90EEC"/>
    <w:rsid w:val="19FA7E15"/>
    <w:rsid w:val="1A305A17"/>
    <w:rsid w:val="1A4A514F"/>
    <w:rsid w:val="1A5B3D52"/>
    <w:rsid w:val="1A6430CA"/>
    <w:rsid w:val="1A7F4B94"/>
    <w:rsid w:val="1A961C7C"/>
    <w:rsid w:val="1AAF3319"/>
    <w:rsid w:val="1ABA412B"/>
    <w:rsid w:val="1AD76B63"/>
    <w:rsid w:val="1ADA3FA8"/>
    <w:rsid w:val="1AE51970"/>
    <w:rsid w:val="1AE80E35"/>
    <w:rsid w:val="1AE8528F"/>
    <w:rsid w:val="1AF87BF5"/>
    <w:rsid w:val="1AFC1390"/>
    <w:rsid w:val="1B0E7210"/>
    <w:rsid w:val="1B26727A"/>
    <w:rsid w:val="1B3F297B"/>
    <w:rsid w:val="1B5539B2"/>
    <w:rsid w:val="1B561549"/>
    <w:rsid w:val="1B6A729A"/>
    <w:rsid w:val="1B7276AA"/>
    <w:rsid w:val="1B8E060F"/>
    <w:rsid w:val="1B963913"/>
    <w:rsid w:val="1B9C0B9E"/>
    <w:rsid w:val="1BA5450C"/>
    <w:rsid w:val="1BE66F8F"/>
    <w:rsid w:val="1BFA543C"/>
    <w:rsid w:val="1BFA67CE"/>
    <w:rsid w:val="1BFE07FD"/>
    <w:rsid w:val="1C074F21"/>
    <w:rsid w:val="1C144781"/>
    <w:rsid w:val="1C3038B5"/>
    <w:rsid w:val="1C465A37"/>
    <w:rsid w:val="1C602743"/>
    <w:rsid w:val="1C6258AD"/>
    <w:rsid w:val="1C676B40"/>
    <w:rsid w:val="1C861DC2"/>
    <w:rsid w:val="1C937077"/>
    <w:rsid w:val="1C957B8D"/>
    <w:rsid w:val="1C9E1547"/>
    <w:rsid w:val="1CC43E37"/>
    <w:rsid w:val="1CD938A7"/>
    <w:rsid w:val="1CDC2EFE"/>
    <w:rsid w:val="1CE90713"/>
    <w:rsid w:val="1CEC00F1"/>
    <w:rsid w:val="1CF64231"/>
    <w:rsid w:val="1D002DB5"/>
    <w:rsid w:val="1D10038F"/>
    <w:rsid w:val="1D3872C3"/>
    <w:rsid w:val="1D3F55A1"/>
    <w:rsid w:val="1D4C33C8"/>
    <w:rsid w:val="1D540E0F"/>
    <w:rsid w:val="1D577690"/>
    <w:rsid w:val="1D5976F2"/>
    <w:rsid w:val="1D875FF5"/>
    <w:rsid w:val="1D903138"/>
    <w:rsid w:val="1D9067ED"/>
    <w:rsid w:val="1DB12467"/>
    <w:rsid w:val="1DE23AD0"/>
    <w:rsid w:val="1DEA6B49"/>
    <w:rsid w:val="1DF26A87"/>
    <w:rsid w:val="1E0851AF"/>
    <w:rsid w:val="1E0D6D2F"/>
    <w:rsid w:val="1E0E4BB9"/>
    <w:rsid w:val="1E1D4BF3"/>
    <w:rsid w:val="1E243AB9"/>
    <w:rsid w:val="1E2663A1"/>
    <w:rsid w:val="1E273388"/>
    <w:rsid w:val="1E2E2DE8"/>
    <w:rsid w:val="1E3867FF"/>
    <w:rsid w:val="1E4467EF"/>
    <w:rsid w:val="1E457903"/>
    <w:rsid w:val="1E5036B0"/>
    <w:rsid w:val="1E621FF8"/>
    <w:rsid w:val="1E6C77A2"/>
    <w:rsid w:val="1E723888"/>
    <w:rsid w:val="1E76730C"/>
    <w:rsid w:val="1E7B330D"/>
    <w:rsid w:val="1E7E6683"/>
    <w:rsid w:val="1E907D15"/>
    <w:rsid w:val="1E9412E5"/>
    <w:rsid w:val="1E980F5A"/>
    <w:rsid w:val="1EA73125"/>
    <w:rsid w:val="1EB266EE"/>
    <w:rsid w:val="1EBC3EF9"/>
    <w:rsid w:val="1EC86BF5"/>
    <w:rsid w:val="1EE03162"/>
    <w:rsid w:val="1EEF4F36"/>
    <w:rsid w:val="1EF57931"/>
    <w:rsid w:val="1EFF6E67"/>
    <w:rsid w:val="1F0359CB"/>
    <w:rsid w:val="1F163A80"/>
    <w:rsid w:val="1F1A4F70"/>
    <w:rsid w:val="1F1D6725"/>
    <w:rsid w:val="1F494278"/>
    <w:rsid w:val="1FB02D9B"/>
    <w:rsid w:val="1FF40155"/>
    <w:rsid w:val="1FF904EB"/>
    <w:rsid w:val="1FFC0FA6"/>
    <w:rsid w:val="1FFC1F4F"/>
    <w:rsid w:val="20151FA0"/>
    <w:rsid w:val="201B4C05"/>
    <w:rsid w:val="201E73D9"/>
    <w:rsid w:val="20254A20"/>
    <w:rsid w:val="20312AC4"/>
    <w:rsid w:val="203A5099"/>
    <w:rsid w:val="205A6AA3"/>
    <w:rsid w:val="206C16ED"/>
    <w:rsid w:val="207F4720"/>
    <w:rsid w:val="208C7009"/>
    <w:rsid w:val="209A2DC8"/>
    <w:rsid w:val="20B24A0F"/>
    <w:rsid w:val="20B268FB"/>
    <w:rsid w:val="20B7705E"/>
    <w:rsid w:val="20BF1541"/>
    <w:rsid w:val="20C16AFA"/>
    <w:rsid w:val="20C54B39"/>
    <w:rsid w:val="20CE05B7"/>
    <w:rsid w:val="20F31F29"/>
    <w:rsid w:val="20F410C4"/>
    <w:rsid w:val="21075000"/>
    <w:rsid w:val="211C4CD8"/>
    <w:rsid w:val="21376DCA"/>
    <w:rsid w:val="214052E7"/>
    <w:rsid w:val="2165328F"/>
    <w:rsid w:val="216C6EE8"/>
    <w:rsid w:val="217829C9"/>
    <w:rsid w:val="217C6B71"/>
    <w:rsid w:val="21891550"/>
    <w:rsid w:val="21A94A87"/>
    <w:rsid w:val="21AB316A"/>
    <w:rsid w:val="21BF28D6"/>
    <w:rsid w:val="21DE0DD2"/>
    <w:rsid w:val="21E158E0"/>
    <w:rsid w:val="220219E6"/>
    <w:rsid w:val="22132F83"/>
    <w:rsid w:val="221751C8"/>
    <w:rsid w:val="221E2413"/>
    <w:rsid w:val="22310C1D"/>
    <w:rsid w:val="22336BBD"/>
    <w:rsid w:val="22442AC4"/>
    <w:rsid w:val="224721B6"/>
    <w:rsid w:val="22533875"/>
    <w:rsid w:val="22564A8E"/>
    <w:rsid w:val="22593AA5"/>
    <w:rsid w:val="225A728C"/>
    <w:rsid w:val="225D6C88"/>
    <w:rsid w:val="22653EDF"/>
    <w:rsid w:val="22884FB7"/>
    <w:rsid w:val="22980675"/>
    <w:rsid w:val="22AC747B"/>
    <w:rsid w:val="22B8409D"/>
    <w:rsid w:val="22BF5D50"/>
    <w:rsid w:val="22C353A3"/>
    <w:rsid w:val="22DF5718"/>
    <w:rsid w:val="22ED32A2"/>
    <w:rsid w:val="22F23FBA"/>
    <w:rsid w:val="23131740"/>
    <w:rsid w:val="231C1943"/>
    <w:rsid w:val="2327667F"/>
    <w:rsid w:val="23332233"/>
    <w:rsid w:val="233450EF"/>
    <w:rsid w:val="23346E93"/>
    <w:rsid w:val="234B3E78"/>
    <w:rsid w:val="235A3CD7"/>
    <w:rsid w:val="235D4FC5"/>
    <w:rsid w:val="2364208B"/>
    <w:rsid w:val="23884685"/>
    <w:rsid w:val="238D603E"/>
    <w:rsid w:val="23932624"/>
    <w:rsid w:val="239574FF"/>
    <w:rsid w:val="2398774D"/>
    <w:rsid w:val="23A4656D"/>
    <w:rsid w:val="23B14772"/>
    <w:rsid w:val="23CD117B"/>
    <w:rsid w:val="23D55338"/>
    <w:rsid w:val="23D939C6"/>
    <w:rsid w:val="23E826E9"/>
    <w:rsid w:val="23F75BC3"/>
    <w:rsid w:val="23FD2E8A"/>
    <w:rsid w:val="24057BFE"/>
    <w:rsid w:val="24064101"/>
    <w:rsid w:val="241B62C2"/>
    <w:rsid w:val="242B134E"/>
    <w:rsid w:val="24362423"/>
    <w:rsid w:val="24503E1B"/>
    <w:rsid w:val="2455299B"/>
    <w:rsid w:val="245919FA"/>
    <w:rsid w:val="24621B6A"/>
    <w:rsid w:val="247469EA"/>
    <w:rsid w:val="248E4C35"/>
    <w:rsid w:val="24973BA6"/>
    <w:rsid w:val="249D4363"/>
    <w:rsid w:val="24A225C3"/>
    <w:rsid w:val="24A6563F"/>
    <w:rsid w:val="24A80E38"/>
    <w:rsid w:val="24AD3DC9"/>
    <w:rsid w:val="24B252B7"/>
    <w:rsid w:val="24B43D1F"/>
    <w:rsid w:val="24B72693"/>
    <w:rsid w:val="24BF403A"/>
    <w:rsid w:val="24C912E5"/>
    <w:rsid w:val="24D269D3"/>
    <w:rsid w:val="24E231A6"/>
    <w:rsid w:val="24EC244A"/>
    <w:rsid w:val="24F76445"/>
    <w:rsid w:val="25056669"/>
    <w:rsid w:val="25234EC7"/>
    <w:rsid w:val="253239EE"/>
    <w:rsid w:val="25453733"/>
    <w:rsid w:val="25493EBE"/>
    <w:rsid w:val="254C26E3"/>
    <w:rsid w:val="254D5C9F"/>
    <w:rsid w:val="2550013E"/>
    <w:rsid w:val="2554191D"/>
    <w:rsid w:val="255743A7"/>
    <w:rsid w:val="25643486"/>
    <w:rsid w:val="256E0FEC"/>
    <w:rsid w:val="25740A2B"/>
    <w:rsid w:val="25824FE5"/>
    <w:rsid w:val="2592184D"/>
    <w:rsid w:val="25A26B1B"/>
    <w:rsid w:val="25A5576F"/>
    <w:rsid w:val="25B608F3"/>
    <w:rsid w:val="25B8375A"/>
    <w:rsid w:val="25D8399D"/>
    <w:rsid w:val="25E12446"/>
    <w:rsid w:val="25E36FBC"/>
    <w:rsid w:val="25E95BA1"/>
    <w:rsid w:val="266B17EB"/>
    <w:rsid w:val="266B5C7F"/>
    <w:rsid w:val="26725245"/>
    <w:rsid w:val="26772CA6"/>
    <w:rsid w:val="267D7507"/>
    <w:rsid w:val="26964085"/>
    <w:rsid w:val="269F5A0A"/>
    <w:rsid w:val="26AC5D8F"/>
    <w:rsid w:val="26BA2F06"/>
    <w:rsid w:val="26C4347A"/>
    <w:rsid w:val="26E249BC"/>
    <w:rsid w:val="26FB4C56"/>
    <w:rsid w:val="26FD6118"/>
    <w:rsid w:val="272536C0"/>
    <w:rsid w:val="275861AE"/>
    <w:rsid w:val="27610680"/>
    <w:rsid w:val="277022D5"/>
    <w:rsid w:val="27720D50"/>
    <w:rsid w:val="2786185F"/>
    <w:rsid w:val="278E6F2E"/>
    <w:rsid w:val="27B20DDA"/>
    <w:rsid w:val="27C02B67"/>
    <w:rsid w:val="27DB337F"/>
    <w:rsid w:val="27E2235D"/>
    <w:rsid w:val="27ED237E"/>
    <w:rsid w:val="27FC6AA0"/>
    <w:rsid w:val="28000305"/>
    <w:rsid w:val="28057D94"/>
    <w:rsid w:val="280F5C56"/>
    <w:rsid w:val="283B6BC9"/>
    <w:rsid w:val="28674A4E"/>
    <w:rsid w:val="287B46B7"/>
    <w:rsid w:val="288E7071"/>
    <w:rsid w:val="28904CE3"/>
    <w:rsid w:val="28AB4553"/>
    <w:rsid w:val="28AF77D8"/>
    <w:rsid w:val="28C372C1"/>
    <w:rsid w:val="28C9311F"/>
    <w:rsid w:val="28E10B9F"/>
    <w:rsid w:val="28E619E1"/>
    <w:rsid w:val="28F765A7"/>
    <w:rsid w:val="28FD5B53"/>
    <w:rsid w:val="290C5C87"/>
    <w:rsid w:val="29145100"/>
    <w:rsid w:val="29361040"/>
    <w:rsid w:val="293C761C"/>
    <w:rsid w:val="29481839"/>
    <w:rsid w:val="294A4855"/>
    <w:rsid w:val="29660D1B"/>
    <w:rsid w:val="29693194"/>
    <w:rsid w:val="29704247"/>
    <w:rsid w:val="29934038"/>
    <w:rsid w:val="29A736D1"/>
    <w:rsid w:val="29BD37ED"/>
    <w:rsid w:val="29BF27EC"/>
    <w:rsid w:val="29BF70C4"/>
    <w:rsid w:val="29C0339F"/>
    <w:rsid w:val="29C353FB"/>
    <w:rsid w:val="29C90A82"/>
    <w:rsid w:val="29C9138E"/>
    <w:rsid w:val="29D57001"/>
    <w:rsid w:val="29E11F18"/>
    <w:rsid w:val="29E21D47"/>
    <w:rsid w:val="29F375D5"/>
    <w:rsid w:val="29FC68E1"/>
    <w:rsid w:val="2A070629"/>
    <w:rsid w:val="2A2C4B7C"/>
    <w:rsid w:val="2A3176FC"/>
    <w:rsid w:val="2A463F02"/>
    <w:rsid w:val="2A4D10AC"/>
    <w:rsid w:val="2A4E3DBB"/>
    <w:rsid w:val="2A8120A7"/>
    <w:rsid w:val="2A844266"/>
    <w:rsid w:val="2A8E7F92"/>
    <w:rsid w:val="2A90669B"/>
    <w:rsid w:val="2AB04F8A"/>
    <w:rsid w:val="2AC94053"/>
    <w:rsid w:val="2ACA5F04"/>
    <w:rsid w:val="2ADC0F32"/>
    <w:rsid w:val="2AE0334F"/>
    <w:rsid w:val="2AF05EF0"/>
    <w:rsid w:val="2AF97B72"/>
    <w:rsid w:val="2B0702B1"/>
    <w:rsid w:val="2B0B53B5"/>
    <w:rsid w:val="2B37785C"/>
    <w:rsid w:val="2B546068"/>
    <w:rsid w:val="2B5E6AAE"/>
    <w:rsid w:val="2B63576E"/>
    <w:rsid w:val="2B661199"/>
    <w:rsid w:val="2B6B7BAB"/>
    <w:rsid w:val="2B6E09E8"/>
    <w:rsid w:val="2B7602A1"/>
    <w:rsid w:val="2B7E1338"/>
    <w:rsid w:val="2B827B8C"/>
    <w:rsid w:val="2B844140"/>
    <w:rsid w:val="2B8C231D"/>
    <w:rsid w:val="2BA65CC2"/>
    <w:rsid w:val="2BA901B7"/>
    <w:rsid w:val="2BAB6524"/>
    <w:rsid w:val="2BCC3B11"/>
    <w:rsid w:val="2BD27EB6"/>
    <w:rsid w:val="2BEC2B5B"/>
    <w:rsid w:val="2BFB1A18"/>
    <w:rsid w:val="2C2B2A52"/>
    <w:rsid w:val="2C372E2B"/>
    <w:rsid w:val="2C3F091D"/>
    <w:rsid w:val="2C4159E2"/>
    <w:rsid w:val="2C506B0C"/>
    <w:rsid w:val="2C51186F"/>
    <w:rsid w:val="2C562504"/>
    <w:rsid w:val="2C6023E5"/>
    <w:rsid w:val="2C6D21A5"/>
    <w:rsid w:val="2C790BB9"/>
    <w:rsid w:val="2C8E3EAE"/>
    <w:rsid w:val="2C8E4275"/>
    <w:rsid w:val="2C907C4F"/>
    <w:rsid w:val="2C9334F3"/>
    <w:rsid w:val="2C984FD0"/>
    <w:rsid w:val="2C993182"/>
    <w:rsid w:val="2CAC70A7"/>
    <w:rsid w:val="2CAF0BD2"/>
    <w:rsid w:val="2CB95153"/>
    <w:rsid w:val="2CC6085B"/>
    <w:rsid w:val="2CC87B19"/>
    <w:rsid w:val="2CD15D36"/>
    <w:rsid w:val="2CEB44A1"/>
    <w:rsid w:val="2CEF4EDF"/>
    <w:rsid w:val="2D0A7217"/>
    <w:rsid w:val="2D1B5DBE"/>
    <w:rsid w:val="2D200763"/>
    <w:rsid w:val="2D31726F"/>
    <w:rsid w:val="2D330245"/>
    <w:rsid w:val="2D4E6D97"/>
    <w:rsid w:val="2D5C24A0"/>
    <w:rsid w:val="2D610595"/>
    <w:rsid w:val="2D8D0939"/>
    <w:rsid w:val="2D9F72DA"/>
    <w:rsid w:val="2DB56BF3"/>
    <w:rsid w:val="2DBA1F22"/>
    <w:rsid w:val="2DD315F4"/>
    <w:rsid w:val="2DDB3526"/>
    <w:rsid w:val="2DDD00D3"/>
    <w:rsid w:val="2DE1239A"/>
    <w:rsid w:val="2E093DB9"/>
    <w:rsid w:val="2E270D0B"/>
    <w:rsid w:val="2E6263BF"/>
    <w:rsid w:val="2E673547"/>
    <w:rsid w:val="2E6F223F"/>
    <w:rsid w:val="2E7B5D36"/>
    <w:rsid w:val="2E951291"/>
    <w:rsid w:val="2EAC3B14"/>
    <w:rsid w:val="2EAE4D0B"/>
    <w:rsid w:val="2EB041F0"/>
    <w:rsid w:val="2EB40201"/>
    <w:rsid w:val="2EBB2B8D"/>
    <w:rsid w:val="2EBC5317"/>
    <w:rsid w:val="2EC830C6"/>
    <w:rsid w:val="2EC94C43"/>
    <w:rsid w:val="2EE82954"/>
    <w:rsid w:val="2F010BB8"/>
    <w:rsid w:val="2F057E79"/>
    <w:rsid w:val="2F085568"/>
    <w:rsid w:val="2F0A1798"/>
    <w:rsid w:val="2F133B87"/>
    <w:rsid w:val="2F2217EA"/>
    <w:rsid w:val="2F41364E"/>
    <w:rsid w:val="2F486105"/>
    <w:rsid w:val="2F4866B3"/>
    <w:rsid w:val="2F9135DC"/>
    <w:rsid w:val="2F9E4445"/>
    <w:rsid w:val="2F9F7D2D"/>
    <w:rsid w:val="2FA4433B"/>
    <w:rsid w:val="2FC61158"/>
    <w:rsid w:val="2FC665D2"/>
    <w:rsid w:val="2FC819C8"/>
    <w:rsid w:val="2FD14CB8"/>
    <w:rsid w:val="2FD34514"/>
    <w:rsid w:val="2FDB2255"/>
    <w:rsid w:val="2FF97D7A"/>
    <w:rsid w:val="2FFB10E4"/>
    <w:rsid w:val="3008607E"/>
    <w:rsid w:val="301B67CD"/>
    <w:rsid w:val="301B6969"/>
    <w:rsid w:val="30316498"/>
    <w:rsid w:val="303475F4"/>
    <w:rsid w:val="3041534B"/>
    <w:rsid w:val="304C0911"/>
    <w:rsid w:val="304F21CC"/>
    <w:rsid w:val="30590D3B"/>
    <w:rsid w:val="3064585E"/>
    <w:rsid w:val="30647B5E"/>
    <w:rsid w:val="30667FF9"/>
    <w:rsid w:val="30681E71"/>
    <w:rsid w:val="3069425D"/>
    <w:rsid w:val="30785582"/>
    <w:rsid w:val="307B7F15"/>
    <w:rsid w:val="30981155"/>
    <w:rsid w:val="309F3699"/>
    <w:rsid w:val="30A55B1F"/>
    <w:rsid w:val="30A63C9F"/>
    <w:rsid w:val="30D32C76"/>
    <w:rsid w:val="30D505CF"/>
    <w:rsid w:val="30E24277"/>
    <w:rsid w:val="30ED009C"/>
    <w:rsid w:val="311602EB"/>
    <w:rsid w:val="31167C00"/>
    <w:rsid w:val="313D328C"/>
    <w:rsid w:val="31466937"/>
    <w:rsid w:val="314D3C34"/>
    <w:rsid w:val="31514A65"/>
    <w:rsid w:val="31515D33"/>
    <w:rsid w:val="315D49D8"/>
    <w:rsid w:val="316F7E8B"/>
    <w:rsid w:val="317572F3"/>
    <w:rsid w:val="31772FD6"/>
    <w:rsid w:val="31A407D9"/>
    <w:rsid w:val="31BF2B95"/>
    <w:rsid w:val="31EC1FD1"/>
    <w:rsid w:val="31EE0EC6"/>
    <w:rsid w:val="32370030"/>
    <w:rsid w:val="324A5F3C"/>
    <w:rsid w:val="324D5958"/>
    <w:rsid w:val="32526D94"/>
    <w:rsid w:val="32585D68"/>
    <w:rsid w:val="3268116C"/>
    <w:rsid w:val="32686E27"/>
    <w:rsid w:val="327074B2"/>
    <w:rsid w:val="32727A94"/>
    <w:rsid w:val="32734597"/>
    <w:rsid w:val="327B1ADA"/>
    <w:rsid w:val="32872A77"/>
    <w:rsid w:val="32C51904"/>
    <w:rsid w:val="32CC694B"/>
    <w:rsid w:val="32CD7DAA"/>
    <w:rsid w:val="32D014CA"/>
    <w:rsid w:val="32EA4CE1"/>
    <w:rsid w:val="32F36A76"/>
    <w:rsid w:val="32FD7E57"/>
    <w:rsid w:val="330034E9"/>
    <w:rsid w:val="33057AA5"/>
    <w:rsid w:val="331F39BD"/>
    <w:rsid w:val="334B76EF"/>
    <w:rsid w:val="3361614F"/>
    <w:rsid w:val="33643EAD"/>
    <w:rsid w:val="337033CB"/>
    <w:rsid w:val="337309C8"/>
    <w:rsid w:val="33942798"/>
    <w:rsid w:val="339432D2"/>
    <w:rsid w:val="33974F2B"/>
    <w:rsid w:val="339B30A0"/>
    <w:rsid w:val="339F4B19"/>
    <w:rsid w:val="339F694E"/>
    <w:rsid w:val="33A8793A"/>
    <w:rsid w:val="33AB1A66"/>
    <w:rsid w:val="33C612F2"/>
    <w:rsid w:val="33CA683B"/>
    <w:rsid w:val="33CF6069"/>
    <w:rsid w:val="33D2201F"/>
    <w:rsid w:val="33E36DC4"/>
    <w:rsid w:val="33E96B65"/>
    <w:rsid w:val="340C58E7"/>
    <w:rsid w:val="34104C84"/>
    <w:rsid w:val="34184ACA"/>
    <w:rsid w:val="343B0970"/>
    <w:rsid w:val="344C0B60"/>
    <w:rsid w:val="345870D4"/>
    <w:rsid w:val="346E551C"/>
    <w:rsid w:val="34814822"/>
    <w:rsid w:val="34A72154"/>
    <w:rsid w:val="34AF6A34"/>
    <w:rsid w:val="34B01763"/>
    <w:rsid w:val="34CA1DAD"/>
    <w:rsid w:val="34CB155F"/>
    <w:rsid w:val="34D3337B"/>
    <w:rsid w:val="34EB586C"/>
    <w:rsid w:val="34FC6F8F"/>
    <w:rsid w:val="351062BC"/>
    <w:rsid w:val="352653E2"/>
    <w:rsid w:val="353F2454"/>
    <w:rsid w:val="35514EB3"/>
    <w:rsid w:val="35523EE0"/>
    <w:rsid w:val="35615CC5"/>
    <w:rsid w:val="35642131"/>
    <w:rsid w:val="357952FE"/>
    <w:rsid w:val="357F4078"/>
    <w:rsid w:val="35803C0A"/>
    <w:rsid w:val="3582349C"/>
    <w:rsid w:val="359942AF"/>
    <w:rsid w:val="35AC7AA1"/>
    <w:rsid w:val="35AD7A29"/>
    <w:rsid w:val="35B734A5"/>
    <w:rsid w:val="35D33E3F"/>
    <w:rsid w:val="35D809A0"/>
    <w:rsid w:val="35D83983"/>
    <w:rsid w:val="35F26DCD"/>
    <w:rsid w:val="35F400F3"/>
    <w:rsid w:val="35F971D0"/>
    <w:rsid w:val="36386B97"/>
    <w:rsid w:val="3642032B"/>
    <w:rsid w:val="36452E3B"/>
    <w:rsid w:val="365B1DEB"/>
    <w:rsid w:val="366A0AFF"/>
    <w:rsid w:val="366C3E47"/>
    <w:rsid w:val="368059F1"/>
    <w:rsid w:val="36867848"/>
    <w:rsid w:val="36884D25"/>
    <w:rsid w:val="36976191"/>
    <w:rsid w:val="369B1540"/>
    <w:rsid w:val="369D3281"/>
    <w:rsid w:val="36A51D34"/>
    <w:rsid w:val="36A573B7"/>
    <w:rsid w:val="36A82FBF"/>
    <w:rsid w:val="36B67710"/>
    <w:rsid w:val="36CF6124"/>
    <w:rsid w:val="36D2228A"/>
    <w:rsid w:val="36DD7F76"/>
    <w:rsid w:val="36EC6D98"/>
    <w:rsid w:val="36F97159"/>
    <w:rsid w:val="36FF1C7B"/>
    <w:rsid w:val="3711235C"/>
    <w:rsid w:val="37133014"/>
    <w:rsid w:val="371B61CB"/>
    <w:rsid w:val="371E12B2"/>
    <w:rsid w:val="37254E2D"/>
    <w:rsid w:val="372A5C05"/>
    <w:rsid w:val="37334E4E"/>
    <w:rsid w:val="373F2C7E"/>
    <w:rsid w:val="3741376B"/>
    <w:rsid w:val="374371CC"/>
    <w:rsid w:val="374D2B9C"/>
    <w:rsid w:val="37554868"/>
    <w:rsid w:val="37563D55"/>
    <w:rsid w:val="37576FE1"/>
    <w:rsid w:val="375A5951"/>
    <w:rsid w:val="375F356C"/>
    <w:rsid w:val="376F27B9"/>
    <w:rsid w:val="37944995"/>
    <w:rsid w:val="37990B37"/>
    <w:rsid w:val="37B0274B"/>
    <w:rsid w:val="37BA607D"/>
    <w:rsid w:val="37D217FA"/>
    <w:rsid w:val="37D31AFA"/>
    <w:rsid w:val="37DA2150"/>
    <w:rsid w:val="37DB1C05"/>
    <w:rsid w:val="38125C69"/>
    <w:rsid w:val="38276CB1"/>
    <w:rsid w:val="383B756C"/>
    <w:rsid w:val="384418B6"/>
    <w:rsid w:val="384D39CF"/>
    <w:rsid w:val="385C30DC"/>
    <w:rsid w:val="38680C41"/>
    <w:rsid w:val="38744B8C"/>
    <w:rsid w:val="38745653"/>
    <w:rsid w:val="388516EE"/>
    <w:rsid w:val="388C66AC"/>
    <w:rsid w:val="389B0876"/>
    <w:rsid w:val="38A61758"/>
    <w:rsid w:val="38B07515"/>
    <w:rsid w:val="38EA5506"/>
    <w:rsid w:val="38F25FD6"/>
    <w:rsid w:val="390670EC"/>
    <w:rsid w:val="392D3B7A"/>
    <w:rsid w:val="39374938"/>
    <w:rsid w:val="393E7CB5"/>
    <w:rsid w:val="395636BA"/>
    <w:rsid w:val="396748FF"/>
    <w:rsid w:val="39710F5B"/>
    <w:rsid w:val="39782E81"/>
    <w:rsid w:val="398E457B"/>
    <w:rsid w:val="39A96116"/>
    <w:rsid w:val="39B43314"/>
    <w:rsid w:val="39CE4D45"/>
    <w:rsid w:val="39D63797"/>
    <w:rsid w:val="39D64D0B"/>
    <w:rsid w:val="39E076BB"/>
    <w:rsid w:val="39ED28F2"/>
    <w:rsid w:val="39F72BCD"/>
    <w:rsid w:val="3A0C0FD0"/>
    <w:rsid w:val="3A3D3178"/>
    <w:rsid w:val="3A40170A"/>
    <w:rsid w:val="3A441E5D"/>
    <w:rsid w:val="3A454748"/>
    <w:rsid w:val="3A475B06"/>
    <w:rsid w:val="3A490963"/>
    <w:rsid w:val="3A4A7046"/>
    <w:rsid w:val="3A5571D3"/>
    <w:rsid w:val="3A5E1716"/>
    <w:rsid w:val="3A5E5E0B"/>
    <w:rsid w:val="3A6074D5"/>
    <w:rsid w:val="3A613D17"/>
    <w:rsid w:val="3A733271"/>
    <w:rsid w:val="3A8476E7"/>
    <w:rsid w:val="3AA23D1B"/>
    <w:rsid w:val="3AC7705D"/>
    <w:rsid w:val="3ACA0C1E"/>
    <w:rsid w:val="3AF325EF"/>
    <w:rsid w:val="3AF65888"/>
    <w:rsid w:val="3B03083F"/>
    <w:rsid w:val="3B1948E2"/>
    <w:rsid w:val="3B3073EC"/>
    <w:rsid w:val="3B3A117B"/>
    <w:rsid w:val="3B3E1D00"/>
    <w:rsid w:val="3B4C45C9"/>
    <w:rsid w:val="3B5B090D"/>
    <w:rsid w:val="3B5B71CE"/>
    <w:rsid w:val="3B5C4813"/>
    <w:rsid w:val="3B71753E"/>
    <w:rsid w:val="3B9133E1"/>
    <w:rsid w:val="3B9F447D"/>
    <w:rsid w:val="3BA961C2"/>
    <w:rsid w:val="3BB41808"/>
    <w:rsid w:val="3BBD44AE"/>
    <w:rsid w:val="3BBE4CC1"/>
    <w:rsid w:val="3BC259B9"/>
    <w:rsid w:val="3BDC4156"/>
    <w:rsid w:val="3BDD0DCA"/>
    <w:rsid w:val="3BEC57B7"/>
    <w:rsid w:val="3BF20D16"/>
    <w:rsid w:val="3BF67024"/>
    <w:rsid w:val="3C135F1D"/>
    <w:rsid w:val="3C196719"/>
    <w:rsid w:val="3C2201FC"/>
    <w:rsid w:val="3C46772A"/>
    <w:rsid w:val="3C4B4638"/>
    <w:rsid w:val="3C4F6820"/>
    <w:rsid w:val="3C501C67"/>
    <w:rsid w:val="3C8B13FE"/>
    <w:rsid w:val="3CB90E8C"/>
    <w:rsid w:val="3CC47D05"/>
    <w:rsid w:val="3CD92182"/>
    <w:rsid w:val="3CD96976"/>
    <w:rsid w:val="3CFA2987"/>
    <w:rsid w:val="3D1F5C7C"/>
    <w:rsid w:val="3D4E487A"/>
    <w:rsid w:val="3D511336"/>
    <w:rsid w:val="3D7C64E5"/>
    <w:rsid w:val="3D7F2CF7"/>
    <w:rsid w:val="3D850086"/>
    <w:rsid w:val="3D965802"/>
    <w:rsid w:val="3DF5584B"/>
    <w:rsid w:val="3DF91A82"/>
    <w:rsid w:val="3DFD5238"/>
    <w:rsid w:val="3E05329D"/>
    <w:rsid w:val="3E0855FB"/>
    <w:rsid w:val="3E117571"/>
    <w:rsid w:val="3E230C7E"/>
    <w:rsid w:val="3E2B1E56"/>
    <w:rsid w:val="3E453A2A"/>
    <w:rsid w:val="3E5C40FA"/>
    <w:rsid w:val="3E5E2758"/>
    <w:rsid w:val="3E717197"/>
    <w:rsid w:val="3E981519"/>
    <w:rsid w:val="3EAF5F02"/>
    <w:rsid w:val="3EC254CF"/>
    <w:rsid w:val="3ECA6DB1"/>
    <w:rsid w:val="3EEB76F1"/>
    <w:rsid w:val="3F0608E0"/>
    <w:rsid w:val="3F0C5DD6"/>
    <w:rsid w:val="3F1D39A4"/>
    <w:rsid w:val="3F235D74"/>
    <w:rsid w:val="3F2B7F5E"/>
    <w:rsid w:val="3F3F089E"/>
    <w:rsid w:val="3F4A194D"/>
    <w:rsid w:val="3F4A3046"/>
    <w:rsid w:val="3F4C79D9"/>
    <w:rsid w:val="3F5241F3"/>
    <w:rsid w:val="3F5975EF"/>
    <w:rsid w:val="3F6708AA"/>
    <w:rsid w:val="3F6B206F"/>
    <w:rsid w:val="3F7168F0"/>
    <w:rsid w:val="3F79629B"/>
    <w:rsid w:val="3F8007EC"/>
    <w:rsid w:val="3F8F6148"/>
    <w:rsid w:val="3F97236A"/>
    <w:rsid w:val="3F9E1ACF"/>
    <w:rsid w:val="3FC6336F"/>
    <w:rsid w:val="3FC64C15"/>
    <w:rsid w:val="3FE057B7"/>
    <w:rsid w:val="3FE958C9"/>
    <w:rsid w:val="40071C72"/>
    <w:rsid w:val="40157769"/>
    <w:rsid w:val="40397697"/>
    <w:rsid w:val="403B3A2D"/>
    <w:rsid w:val="40434A18"/>
    <w:rsid w:val="40460B36"/>
    <w:rsid w:val="405C41A7"/>
    <w:rsid w:val="405D1A77"/>
    <w:rsid w:val="40775217"/>
    <w:rsid w:val="40973214"/>
    <w:rsid w:val="40A3115B"/>
    <w:rsid w:val="40C1020C"/>
    <w:rsid w:val="40C13B7D"/>
    <w:rsid w:val="40CE551F"/>
    <w:rsid w:val="40DA7A28"/>
    <w:rsid w:val="413B62C8"/>
    <w:rsid w:val="414728C3"/>
    <w:rsid w:val="414C090C"/>
    <w:rsid w:val="41507749"/>
    <w:rsid w:val="41570C5C"/>
    <w:rsid w:val="41604E63"/>
    <w:rsid w:val="4162149D"/>
    <w:rsid w:val="416713CF"/>
    <w:rsid w:val="41675020"/>
    <w:rsid w:val="4171455B"/>
    <w:rsid w:val="418A046C"/>
    <w:rsid w:val="41902CEE"/>
    <w:rsid w:val="41947021"/>
    <w:rsid w:val="41A914FC"/>
    <w:rsid w:val="41AA40D9"/>
    <w:rsid w:val="41CD534F"/>
    <w:rsid w:val="41D37F49"/>
    <w:rsid w:val="420F4816"/>
    <w:rsid w:val="4210609D"/>
    <w:rsid w:val="42185082"/>
    <w:rsid w:val="422F7452"/>
    <w:rsid w:val="423A2DBB"/>
    <w:rsid w:val="425B6104"/>
    <w:rsid w:val="42771BDF"/>
    <w:rsid w:val="427C4302"/>
    <w:rsid w:val="42853D78"/>
    <w:rsid w:val="42BB221E"/>
    <w:rsid w:val="42C6780A"/>
    <w:rsid w:val="42D51998"/>
    <w:rsid w:val="42E314B4"/>
    <w:rsid w:val="42F37D6F"/>
    <w:rsid w:val="430C1C0B"/>
    <w:rsid w:val="431771C5"/>
    <w:rsid w:val="431C1B20"/>
    <w:rsid w:val="433C3C19"/>
    <w:rsid w:val="43411632"/>
    <w:rsid w:val="43474BC6"/>
    <w:rsid w:val="43503A4E"/>
    <w:rsid w:val="43507C76"/>
    <w:rsid w:val="4361091C"/>
    <w:rsid w:val="43613680"/>
    <w:rsid w:val="436F1132"/>
    <w:rsid w:val="437039F3"/>
    <w:rsid w:val="437339F1"/>
    <w:rsid w:val="43750FD2"/>
    <w:rsid w:val="438D7152"/>
    <w:rsid w:val="4391481C"/>
    <w:rsid w:val="439B4893"/>
    <w:rsid w:val="439E1805"/>
    <w:rsid w:val="43A329B9"/>
    <w:rsid w:val="43AB0952"/>
    <w:rsid w:val="43AC2D32"/>
    <w:rsid w:val="43B769ED"/>
    <w:rsid w:val="43D275CC"/>
    <w:rsid w:val="43E279A3"/>
    <w:rsid w:val="43E86339"/>
    <w:rsid w:val="43EF5CD5"/>
    <w:rsid w:val="43FA4F70"/>
    <w:rsid w:val="43FB2E7B"/>
    <w:rsid w:val="43FD4846"/>
    <w:rsid w:val="44033DFF"/>
    <w:rsid w:val="44043DB9"/>
    <w:rsid w:val="44172755"/>
    <w:rsid w:val="44236624"/>
    <w:rsid w:val="443A13B1"/>
    <w:rsid w:val="44427EE1"/>
    <w:rsid w:val="444A5019"/>
    <w:rsid w:val="4461445E"/>
    <w:rsid w:val="44673D7D"/>
    <w:rsid w:val="449D505A"/>
    <w:rsid w:val="44A3372B"/>
    <w:rsid w:val="44A54918"/>
    <w:rsid w:val="44AD3D07"/>
    <w:rsid w:val="44AF4744"/>
    <w:rsid w:val="44B91C75"/>
    <w:rsid w:val="44C207D4"/>
    <w:rsid w:val="44C31099"/>
    <w:rsid w:val="450D7972"/>
    <w:rsid w:val="45330DC7"/>
    <w:rsid w:val="454238C1"/>
    <w:rsid w:val="454766CF"/>
    <w:rsid w:val="45510F60"/>
    <w:rsid w:val="4564584B"/>
    <w:rsid w:val="457701CA"/>
    <w:rsid w:val="457C52B9"/>
    <w:rsid w:val="45884C72"/>
    <w:rsid w:val="459446F3"/>
    <w:rsid w:val="45D15DAA"/>
    <w:rsid w:val="45E26ED6"/>
    <w:rsid w:val="45E71BF2"/>
    <w:rsid w:val="45EE4475"/>
    <w:rsid w:val="45FA151C"/>
    <w:rsid w:val="460253D9"/>
    <w:rsid w:val="460D2A85"/>
    <w:rsid w:val="46123749"/>
    <w:rsid w:val="465169CC"/>
    <w:rsid w:val="465E3630"/>
    <w:rsid w:val="46641A41"/>
    <w:rsid w:val="468855DE"/>
    <w:rsid w:val="46946860"/>
    <w:rsid w:val="46B25A1B"/>
    <w:rsid w:val="46B92313"/>
    <w:rsid w:val="46C10CCF"/>
    <w:rsid w:val="46C214B6"/>
    <w:rsid w:val="46CD7590"/>
    <w:rsid w:val="46D70238"/>
    <w:rsid w:val="46DD49B4"/>
    <w:rsid w:val="46FB3F97"/>
    <w:rsid w:val="46FC6C7E"/>
    <w:rsid w:val="46FE0F61"/>
    <w:rsid w:val="470B04CA"/>
    <w:rsid w:val="47194FDE"/>
    <w:rsid w:val="47240616"/>
    <w:rsid w:val="47262F20"/>
    <w:rsid w:val="473D1582"/>
    <w:rsid w:val="47420ED6"/>
    <w:rsid w:val="474353A3"/>
    <w:rsid w:val="47576317"/>
    <w:rsid w:val="476152FD"/>
    <w:rsid w:val="47646E6B"/>
    <w:rsid w:val="47804C22"/>
    <w:rsid w:val="47981DE9"/>
    <w:rsid w:val="47AF7C40"/>
    <w:rsid w:val="47C01CEB"/>
    <w:rsid w:val="47C059CA"/>
    <w:rsid w:val="47EF1BCB"/>
    <w:rsid w:val="48020248"/>
    <w:rsid w:val="48026C6E"/>
    <w:rsid w:val="481B1176"/>
    <w:rsid w:val="482153A5"/>
    <w:rsid w:val="48340881"/>
    <w:rsid w:val="483E14C5"/>
    <w:rsid w:val="48402D41"/>
    <w:rsid w:val="4840443B"/>
    <w:rsid w:val="485667F4"/>
    <w:rsid w:val="485B46A9"/>
    <w:rsid w:val="487877F8"/>
    <w:rsid w:val="48866F23"/>
    <w:rsid w:val="48C2209B"/>
    <w:rsid w:val="48D06BCC"/>
    <w:rsid w:val="48D22415"/>
    <w:rsid w:val="48D33433"/>
    <w:rsid w:val="48DB7A98"/>
    <w:rsid w:val="48F60B9A"/>
    <w:rsid w:val="49084EE0"/>
    <w:rsid w:val="490F1023"/>
    <w:rsid w:val="492B1312"/>
    <w:rsid w:val="493464EE"/>
    <w:rsid w:val="493533EF"/>
    <w:rsid w:val="493E6301"/>
    <w:rsid w:val="494574C4"/>
    <w:rsid w:val="495C40D8"/>
    <w:rsid w:val="495E0A88"/>
    <w:rsid w:val="49636F15"/>
    <w:rsid w:val="49680A21"/>
    <w:rsid w:val="49881980"/>
    <w:rsid w:val="4991180C"/>
    <w:rsid w:val="499C12C5"/>
    <w:rsid w:val="499F7DA8"/>
    <w:rsid w:val="49B21209"/>
    <w:rsid w:val="49B334D9"/>
    <w:rsid w:val="49CB174F"/>
    <w:rsid w:val="49D61DC8"/>
    <w:rsid w:val="49DB00F7"/>
    <w:rsid w:val="49E155CF"/>
    <w:rsid w:val="49F05F4D"/>
    <w:rsid w:val="49F1734D"/>
    <w:rsid w:val="4A017AF4"/>
    <w:rsid w:val="4A0B69F8"/>
    <w:rsid w:val="4A306B2B"/>
    <w:rsid w:val="4A3E1DE5"/>
    <w:rsid w:val="4A5F108A"/>
    <w:rsid w:val="4A8771E3"/>
    <w:rsid w:val="4A8E27A3"/>
    <w:rsid w:val="4A8F47C6"/>
    <w:rsid w:val="4ABE1C45"/>
    <w:rsid w:val="4ACF4138"/>
    <w:rsid w:val="4AD768AD"/>
    <w:rsid w:val="4AE95E16"/>
    <w:rsid w:val="4AF50F41"/>
    <w:rsid w:val="4B0105D3"/>
    <w:rsid w:val="4B0D50CB"/>
    <w:rsid w:val="4B1C79A6"/>
    <w:rsid w:val="4B27033F"/>
    <w:rsid w:val="4B343404"/>
    <w:rsid w:val="4B5843A8"/>
    <w:rsid w:val="4B5B14D2"/>
    <w:rsid w:val="4B803B74"/>
    <w:rsid w:val="4B840DAF"/>
    <w:rsid w:val="4B91303F"/>
    <w:rsid w:val="4BAF1EAD"/>
    <w:rsid w:val="4BC1330C"/>
    <w:rsid w:val="4BC72F4A"/>
    <w:rsid w:val="4BCB2C01"/>
    <w:rsid w:val="4BD50557"/>
    <w:rsid w:val="4BE45FD6"/>
    <w:rsid w:val="4BFA4ECE"/>
    <w:rsid w:val="4C05707B"/>
    <w:rsid w:val="4C1815E1"/>
    <w:rsid w:val="4C382BDA"/>
    <w:rsid w:val="4C422A48"/>
    <w:rsid w:val="4C6024B3"/>
    <w:rsid w:val="4C6E403C"/>
    <w:rsid w:val="4C9B6D61"/>
    <w:rsid w:val="4CAA31B2"/>
    <w:rsid w:val="4CAD6351"/>
    <w:rsid w:val="4CCB792D"/>
    <w:rsid w:val="4CD27AD2"/>
    <w:rsid w:val="4CDD7002"/>
    <w:rsid w:val="4CE43AA4"/>
    <w:rsid w:val="4CE64779"/>
    <w:rsid w:val="4CED7329"/>
    <w:rsid w:val="4CF268C9"/>
    <w:rsid w:val="4CFC3601"/>
    <w:rsid w:val="4D002B50"/>
    <w:rsid w:val="4D1226E9"/>
    <w:rsid w:val="4D174707"/>
    <w:rsid w:val="4D1E56AC"/>
    <w:rsid w:val="4D3054FE"/>
    <w:rsid w:val="4D351EB0"/>
    <w:rsid w:val="4D542024"/>
    <w:rsid w:val="4D54448A"/>
    <w:rsid w:val="4D6048DF"/>
    <w:rsid w:val="4D7065F1"/>
    <w:rsid w:val="4D715DF1"/>
    <w:rsid w:val="4D7467CB"/>
    <w:rsid w:val="4D764D6D"/>
    <w:rsid w:val="4D962035"/>
    <w:rsid w:val="4D9E4ADC"/>
    <w:rsid w:val="4DB950B9"/>
    <w:rsid w:val="4DBA3D31"/>
    <w:rsid w:val="4DCE3D19"/>
    <w:rsid w:val="4DD27B59"/>
    <w:rsid w:val="4DF92190"/>
    <w:rsid w:val="4DF94C4A"/>
    <w:rsid w:val="4E0062DC"/>
    <w:rsid w:val="4E185175"/>
    <w:rsid w:val="4E234700"/>
    <w:rsid w:val="4E295156"/>
    <w:rsid w:val="4E2E4E92"/>
    <w:rsid w:val="4E31448C"/>
    <w:rsid w:val="4E3D1950"/>
    <w:rsid w:val="4E3D2C5F"/>
    <w:rsid w:val="4E635031"/>
    <w:rsid w:val="4E792C1D"/>
    <w:rsid w:val="4E79797B"/>
    <w:rsid w:val="4E7B1C74"/>
    <w:rsid w:val="4E826694"/>
    <w:rsid w:val="4E9E44EE"/>
    <w:rsid w:val="4EA43E96"/>
    <w:rsid w:val="4EBD2C12"/>
    <w:rsid w:val="4EC3721E"/>
    <w:rsid w:val="4EC51BA6"/>
    <w:rsid w:val="4EF62963"/>
    <w:rsid w:val="4EFB3D5D"/>
    <w:rsid w:val="4EFB5BA0"/>
    <w:rsid w:val="4EFB7D44"/>
    <w:rsid w:val="4F153123"/>
    <w:rsid w:val="4F21570F"/>
    <w:rsid w:val="4F223246"/>
    <w:rsid w:val="4F226676"/>
    <w:rsid w:val="4F2B4A81"/>
    <w:rsid w:val="4F2D7BE4"/>
    <w:rsid w:val="4F4774C9"/>
    <w:rsid w:val="4F506164"/>
    <w:rsid w:val="4F575EC9"/>
    <w:rsid w:val="4F645802"/>
    <w:rsid w:val="4F6B7BEB"/>
    <w:rsid w:val="4F773A39"/>
    <w:rsid w:val="4F785FB6"/>
    <w:rsid w:val="4F790DD5"/>
    <w:rsid w:val="4F932353"/>
    <w:rsid w:val="4FA01DDF"/>
    <w:rsid w:val="4FA724D9"/>
    <w:rsid w:val="4FB25F77"/>
    <w:rsid w:val="4FB51396"/>
    <w:rsid w:val="4FBC796C"/>
    <w:rsid w:val="4FBF21A7"/>
    <w:rsid w:val="4FCB2D35"/>
    <w:rsid w:val="4FD04657"/>
    <w:rsid w:val="4FD5438D"/>
    <w:rsid w:val="4FE66B05"/>
    <w:rsid w:val="4FEF41A4"/>
    <w:rsid w:val="4FF134D5"/>
    <w:rsid w:val="50005C01"/>
    <w:rsid w:val="500164BB"/>
    <w:rsid w:val="501B7040"/>
    <w:rsid w:val="50236E51"/>
    <w:rsid w:val="50256157"/>
    <w:rsid w:val="50365BE1"/>
    <w:rsid w:val="50384FB5"/>
    <w:rsid w:val="504A73BD"/>
    <w:rsid w:val="50630FC9"/>
    <w:rsid w:val="506D5B4F"/>
    <w:rsid w:val="507863A0"/>
    <w:rsid w:val="507E3109"/>
    <w:rsid w:val="50800C3E"/>
    <w:rsid w:val="50837244"/>
    <w:rsid w:val="50AB5E07"/>
    <w:rsid w:val="50BA4CB6"/>
    <w:rsid w:val="50C930E3"/>
    <w:rsid w:val="50D2379F"/>
    <w:rsid w:val="50D520D0"/>
    <w:rsid w:val="50DA0DA7"/>
    <w:rsid w:val="50E1023C"/>
    <w:rsid w:val="50EA7093"/>
    <w:rsid w:val="50EC7056"/>
    <w:rsid w:val="50F55B8A"/>
    <w:rsid w:val="50FA4F87"/>
    <w:rsid w:val="50FA73C2"/>
    <w:rsid w:val="510C642A"/>
    <w:rsid w:val="51106C20"/>
    <w:rsid w:val="512C356C"/>
    <w:rsid w:val="512F6E9C"/>
    <w:rsid w:val="51472284"/>
    <w:rsid w:val="51557DD8"/>
    <w:rsid w:val="516D10F0"/>
    <w:rsid w:val="51806010"/>
    <w:rsid w:val="51AB0960"/>
    <w:rsid w:val="51B9575C"/>
    <w:rsid w:val="51DD2299"/>
    <w:rsid w:val="51E14F6E"/>
    <w:rsid w:val="51E42A24"/>
    <w:rsid w:val="51F21B8B"/>
    <w:rsid w:val="51FF5909"/>
    <w:rsid w:val="521427A1"/>
    <w:rsid w:val="521F1E2A"/>
    <w:rsid w:val="52331D44"/>
    <w:rsid w:val="52423BC8"/>
    <w:rsid w:val="524B40C5"/>
    <w:rsid w:val="527D02E2"/>
    <w:rsid w:val="528A1B25"/>
    <w:rsid w:val="528A1C64"/>
    <w:rsid w:val="528A7065"/>
    <w:rsid w:val="52946908"/>
    <w:rsid w:val="529A1A59"/>
    <w:rsid w:val="529F69AB"/>
    <w:rsid w:val="52A61917"/>
    <w:rsid w:val="52BF1A22"/>
    <w:rsid w:val="52CD45E2"/>
    <w:rsid w:val="52D07CB8"/>
    <w:rsid w:val="52D64220"/>
    <w:rsid w:val="52DF307A"/>
    <w:rsid w:val="52F64606"/>
    <w:rsid w:val="52FB0A94"/>
    <w:rsid w:val="530C4011"/>
    <w:rsid w:val="53111A7D"/>
    <w:rsid w:val="531240EA"/>
    <w:rsid w:val="53282C75"/>
    <w:rsid w:val="532C3666"/>
    <w:rsid w:val="533C2777"/>
    <w:rsid w:val="53472930"/>
    <w:rsid w:val="53476024"/>
    <w:rsid w:val="53735BCF"/>
    <w:rsid w:val="538253B9"/>
    <w:rsid w:val="53845F50"/>
    <w:rsid w:val="53F0793B"/>
    <w:rsid w:val="53F42B68"/>
    <w:rsid w:val="540A7C35"/>
    <w:rsid w:val="540B7F27"/>
    <w:rsid w:val="542439AB"/>
    <w:rsid w:val="542E5359"/>
    <w:rsid w:val="54466C72"/>
    <w:rsid w:val="54473DD7"/>
    <w:rsid w:val="544B2F4C"/>
    <w:rsid w:val="544C6113"/>
    <w:rsid w:val="54560D91"/>
    <w:rsid w:val="545B6F76"/>
    <w:rsid w:val="547C3E46"/>
    <w:rsid w:val="5490425C"/>
    <w:rsid w:val="549A22A3"/>
    <w:rsid w:val="54C77678"/>
    <w:rsid w:val="54D66E6E"/>
    <w:rsid w:val="54E1224C"/>
    <w:rsid w:val="54E40E97"/>
    <w:rsid w:val="54E861E9"/>
    <w:rsid w:val="54F0499E"/>
    <w:rsid w:val="54F83951"/>
    <w:rsid w:val="54FC719B"/>
    <w:rsid w:val="55033106"/>
    <w:rsid w:val="550767DC"/>
    <w:rsid w:val="551E434D"/>
    <w:rsid w:val="55213357"/>
    <w:rsid w:val="552D4463"/>
    <w:rsid w:val="5531322E"/>
    <w:rsid w:val="553E082D"/>
    <w:rsid w:val="554C67A9"/>
    <w:rsid w:val="555440BF"/>
    <w:rsid w:val="55745FEA"/>
    <w:rsid w:val="55796E68"/>
    <w:rsid w:val="557F6239"/>
    <w:rsid w:val="558A0C4C"/>
    <w:rsid w:val="558A46C7"/>
    <w:rsid w:val="559A346C"/>
    <w:rsid w:val="559E7645"/>
    <w:rsid w:val="55A60EE7"/>
    <w:rsid w:val="55AB24CB"/>
    <w:rsid w:val="55AF30C0"/>
    <w:rsid w:val="55BA2B9A"/>
    <w:rsid w:val="55C611C5"/>
    <w:rsid w:val="55CA5793"/>
    <w:rsid w:val="55D14B5D"/>
    <w:rsid w:val="55DC46AD"/>
    <w:rsid w:val="55DD3843"/>
    <w:rsid w:val="55E34FF5"/>
    <w:rsid w:val="55F41F00"/>
    <w:rsid w:val="55F75F6A"/>
    <w:rsid w:val="56026D71"/>
    <w:rsid w:val="56045463"/>
    <w:rsid w:val="560D690E"/>
    <w:rsid w:val="56434763"/>
    <w:rsid w:val="564A78D1"/>
    <w:rsid w:val="56516E0B"/>
    <w:rsid w:val="565C480E"/>
    <w:rsid w:val="56780E9F"/>
    <w:rsid w:val="568709A5"/>
    <w:rsid w:val="56910465"/>
    <w:rsid w:val="569E7939"/>
    <w:rsid w:val="56A47002"/>
    <w:rsid w:val="56B60E02"/>
    <w:rsid w:val="56BC6D1E"/>
    <w:rsid w:val="56E259B2"/>
    <w:rsid w:val="56ED5628"/>
    <w:rsid w:val="56EF508F"/>
    <w:rsid w:val="570970F3"/>
    <w:rsid w:val="57154C58"/>
    <w:rsid w:val="5724240E"/>
    <w:rsid w:val="5726683B"/>
    <w:rsid w:val="572A216D"/>
    <w:rsid w:val="572C568D"/>
    <w:rsid w:val="5734452D"/>
    <w:rsid w:val="574C4C4A"/>
    <w:rsid w:val="576524AF"/>
    <w:rsid w:val="576D0C0B"/>
    <w:rsid w:val="5793597D"/>
    <w:rsid w:val="579F6AC4"/>
    <w:rsid w:val="57A26463"/>
    <w:rsid w:val="57AA48E7"/>
    <w:rsid w:val="57AD7786"/>
    <w:rsid w:val="57AF4916"/>
    <w:rsid w:val="57BD5FA3"/>
    <w:rsid w:val="57D53EA7"/>
    <w:rsid w:val="57DB65FA"/>
    <w:rsid w:val="57F63A79"/>
    <w:rsid w:val="580639C0"/>
    <w:rsid w:val="580F62C9"/>
    <w:rsid w:val="58157DB3"/>
    <w:rsid w:val="58185261"/>
    <w:rsid w:val="58332361"/>
    <w:rsid w:val="584C0194"/>
    <w:rsid w:val="584D7502"/>
    <w:rsid w:val="587A0E53"/>
    <w:rsid w:val="588D77A9"/>
    <w:rsid w:val="58932ECE"/>
    <w:rsid w:val="589E3FB2"/>
    <w:rsid w:val="58AB0F25"/>
    <w:rsid w:val="58BB63AE"/>
    <w:rsid w:val="58CC6DE3"/>
    <w:rsid w:val="58CD1842"/>
    <w:rsid w:val="58DF523E"/>
    <w:rsid w:val="58F45F56"/>
    <w:rsid w:val="58FD117E"/>
    <w:rsid w:val="590C6FEF"/>
    <w:rsid w:val="591075BD"/>
    <w:rsid w:val="592B5223"/>
    <w:rsid w:val="594A3112"/>
    <w:rsid w:val="596D61EA"/>
    <w:rsid w:val="5974765C"/>
    <w:rsid w:val="59752475"/>
    <w:rsid w:val="5976572D"/>
    <w:rsid w:val="59777A0A"/>
    <w:rsid w:val="597E4CE3"/>
    <w:rsid w:val="59885445"/>
    <w:rsid w:val="59B82774"/>
    <w:rsid w:val="59BB4A66"/>
    <w:rsid w:val="59C87EAE"/>
    <w:rsid w:val="59CD634C"/>
    <w:rsid w:val="59D77323"/>
    <w:rsid w:val="59E458A3"/>
    <w:rsid w:val="59F55EC5"/>
    <w:rsid w:val="59FC5721"/>
    <w:rsid w:val="5A01095A"/>
    <w:rsid w:val="5A0F2AB1"/>
    <w:rsid w:val="5A113086"/>
    <w:rsid w:val="5A205B81"/>
    <w:rsid w:val="5A294355"/>
    <w:rsid w:val="5A2A1753"/>
    <w:rsid w:val="5A4B7A82"/>
    <w:rsid w:val="5A6222D0"/>
    <w:rsid w:val="5A6C72B3"/>
    <w:rsid w:val="5A8A6C4B"/>
    <w:rsid w:val="5A954080"/>
    <w:rsid w:val="5A9E7836"/>
    <w:rsid w:val="5AA6066C"/>
    <w:rsid w:val="5AB70D65"/>
    <w:rsid w:val="5AC12282"/>
    <w:rsid w:val="5AE731A7"/>
    <w:rsid w:val="5B130DA2"/>
    <w:rsid w:val="5B1467AB"/>
    <w:rsid w:val="5B1D2D28"/>
    <w:rsid w:val="5B2949E7"/>
    <w:rsid w:val="5B29759E"/>
    <w:rsid w:val="5B2A0B20"/>
    <w:rsid w:val="5B5376FD"/>
    <w:rsid w:val="5B545E85"/>
    <w:rsid w:val="5B5A78AE"/>
    <w:rsid w:val="5B7876C7"/>
    <w:rsid w:val="5B8079DD"/>
    <w:rsid w:val="5B924F67"/>
    <w:rsid w:val="5B9627C1"/>
    <w:rsid w:val="5B9C1B9B"/>
    <w:rsid w:val="5BA34BC4"/>
    <w:rsid w:val="5BA63F99"/>
    <w:rsid w:val="5BA746EF"/>
    <w:rsid w:val="5BA871E2"/>
    <w:rsid w:val="5BA961FE"/>
    <w:rsid w:val="5BAF2EB0"/>
    <w:rsid w:val="5BE25A1D"/>
    <w:rsid w:val="5BE55B0E"/>
    <w:rsid w:val="5BF1365D"/>
    <w:rsid w:val="5BF25FEE"/>
    <w:rsid w:val="5BF30657"/>
    <w:rsid w:val="5BF40D4A"/>
    <w:rsid w:val="5C1A6B77"/>
    <w:rsid w:val="5C210A32"/>
    <w:rsid w:val="5C5433E4"/>
    <w:rsid w:val="5C5D2B66"/>
    <w:rsid w:val="5C5D398C"/>
    <w:rsid w:val="5C67681F"/>
    <w:rsid w:val="5C6B6F94"/>
    <w:rsid w:val="5C784C6E"/>
    <w:rsid w:val="5C7B7A24"/>
    <w:rsid w:val="5C8A492A"/>
    <w:rsid w:val="5C9B12BC"/>
    <w:rsid w:val="5CA37D09"/>
    <w:rsid w:val="5CA8524B"/>
    <w:rsid w:val="5CB8328C"/>
    <w:rsid w:val="5CC30F18"/>
    <w:rsid w:val="5CCB2DDC"/>
    <w:rsid w:val="5CCC4B8A"/>
    <w:rsid w:val="5CCE56F0"/>
    <w:rsid w:val="5CDC38BC"/>
    <w:rsid w:val="5CE912C4"/>
    <w:rsid w:val="5CF45F18"/>
    <w:rsid w:val="5CF627A0"/>
    <w:rsid w:val="5D1023C8"/>
    <w:rsid w:val="5D12794C"/>
    <w:rsid w:val="5D145A1B"/>
    <w:rsid w:val="5D166DB9"/>
    <w:rsid w:val="5D1E4CC7"/>
    <w:rsid w:val="5D2B3AA9"/>
    <w:rsid w:val="5D3A58FA"/>
    <w:rsid w:val="5D3B7B2E"/>
    <w:rsid w:val="5D3F4927"/>
    <w:rsid w:val="5D7619E3"/>
    <w:rsid w:val="5D786EA9"/>
    <w:rsid w:val="5DA0112D"/>
    <w:rsid w:val="5DAE5EF5"/>
    <w:rsid w:val="5DC56EDD"/>
    <w:rsid w:val="5DD4455B"/>
    <w:rsid w:val="5DDA7BCE"/>
    <w:rsid w:val="5DE35474"/>
    <w:rsid w:val="5DFD0FF4"/>
    <w:rsid w:val="5E0604ED"/>
    <w:rsid w:val="5E10686B"/>
    <w:rsid w:val="5E1240EA"/>
    <w:rsid w:val="5E1326A4"/>
    <w:rsid w:val="5E24686E"/>
    <w:rsid w:val="5E2D375F"/>
    <w:rsid w:val="5E355F20"/>
    <w:rsid w:val="5E3A3109"/>
    <w:rsid w:val="5E3E2FB9"/>
    <w:rsid w:val="5E4428C3"/>
    <w:rsid w:val="5E4D55E4"/>
    <w:rsid w:val="5E5665A1"/>
    <w:rsid w:val="5E5B747E"/>
    <w:rsid w:val="5E5D1A57"/>
    <w:rsid w:val="5E5F0007"/>
    <w:rsid w:val="5E6E6E41"/>
    <w:rsid w:val="5E861A6C"/>
    <w:rsid w:val="5E8A33D0"/>
    <w:rsid w:val="5E97331E"/>
    <w:rsid w:val="5EA60F6C"/>
    <w:rsid w:val="5EB43E0B"/>
    <w:rsid w:val="5EC303F0"/>
    <w:rsid w:val="5ED830C4"/>
    <w:rsid w:val="5EDC65D3"/>
    <w:rsid w:val="5EEC1983"/>
    <w:rsid w:val="5EF42187"/>
    <w:rsid w:val="5EF421FC"/>
    <w:rsid w:val="5F097B99"/>
    <w:rsid w:val="5F1C093B"/>
    <w:rsid w:val="5F3226B8"/>
    <w:rsid w:val="5F4400B2"/>
    <w:rsid w:val="5F486CF3"/>
    <w:rsid w:val="5F4A3A29"/>
    <w:rsid w:val="5F4D49FD"/>
    <w:rsid w:val="5F515C67"/>
    <w:rsid w:val="5F520694"/>
    <w:rsid w:val="5F7332FB"/>
    <w:rsid w:val="5FA80341"/>
    <w:rsid w:val="5FAD03C9"/>
    <w:rsid w:val="5FAE1376"/>
    <w:rsid w:val="5FB202E1"/>
    <w:rsid w:val="5FFD28DF"/>
    <w:rsid w:val="600B32C9"/>
    <w:rsid w:val="601423A4"/>
    <w:rsid w:val="601A1F5D"/>
    <w:rsid w:val="604260FE"/>
    <w:rsid w:val="60897D04"/>
    <w:rsid w:val="60940B1E"/>
    <w:rsid w:val="60A56A8D"/>
    <w:rsid w:val="60AA27E4"/>
    <w:rsid w:val="60BF5A0C"/>
    <w:rsid w:val="60CA54F9"/>
    <w:rsid w:val="60CB53C6"/>
    <w:rsid w:val="60D10BCD"/>
    <w:rsid w:val="60D1523C"/>
    <w:rsid w:val="60D62308"/>
    <w:rsid w:val="60DB64C9"/>
    <w:rsid w:val="60E375EA"/>
    <w:rsid w:val="60FA47ED"/>
    <w:rsid w:val="60FB119F"/>
    <w:rsid w:val="60FD3874"/>
    <w:rsid w:val="61001C3B"/>
    <w:rsid w:val="611E2E64"/>
    <w:rsid w:val="613E5217"/>
    <w:rsid w:val="613E63D6"/>
    <w:rsid w:val="61471D61"/>
    <w:rsid w:val="61565EA4"/>
    <w:rsid w:val="616F0167"/>
    <w:rsid w:val="617376E1"/>
    <w:rsid w:val="617C698D"/>
    <w:rsid w:val="618B3C2C"/>
    <w:rsid w:val="619C3070"/>
    <w:rsid w:val="619F3B15"/>
    <w:rsid w:val="61A26BDC"/>
    <w:rsid w:val="61D808DB"/>
    <w:rsid w:val="61E631D3"/>
    <w:rsid w:val="61EA5F0C"/>
    <w:rsid w:val="61ED00F3"/>
    <w:rsid w:val="61F96E7B"/>
    <w:rsid w:val="620C3A2E"/>
    <w:rsid w:val="62286785"/>
    <w:rsid w:val="62374349"/>
    <w:rsid w:val="62381ADF"/>
    <w:rsid w:val="623C702C"/>
    <w:rsid w:val="62420F81"/>
    <w:rsid w:val="62482F8F"/>
    <w:rsid w:val="6269577E"/>
    <w:rsid w:val="626D5494"/>
    <w:rsid w:val="627F5D18"/>
    <w:rsid w:val="628379D3"/>
    <w:rsid w:val="62965CDE"/>
    <w:rsid w:val="629B3C3A"/>
    <w:rsid w:val="62AC2790"/>
    <w:rsid w:val="62AF4944"/>
    <w:rsid w:val="62B04835"/>
    <w:rsid w:val="62CD7BF5"/>
    <w:rsid w:val="62D32D25"/>
    <w:rsid w:val="62DD1010"/>
    <w:rsid w:val="62DE2B5C"/>
    <w:rsid w:val="62F4571E"/>
    <w:rsid w:val="62FF0CC8"/>
    <w:rsid w:val="63050405"/>
    <w:rsid w:val="631E7675"/>
    <w:rsid w:val="632A280D"/>
    <w:rsid w:val="63300AF0"/>
    <w:rsid w:val="63305652"/>
    <w:rsid w:val="6348384F"/>
    <w:rsid w:val="636D3B23"/>
    <w:rsid w:val="63994C95"/>
    <w:rsid w:val="639B1117"/>
    <w:rsid w:val="63A40DE9"/>
    <w:rsid w:val="63A75F42"/>
    <w:rsid w:val="63C656E3"/>
    <w:rsid w:val="63D32C88"/>
    <w:rsid w:val="63D7141F"/>
    <w:rsid w:val="63D7612E"/>
    <w:rsid w:val="63D901F7"/>
    <w:rsid w:val="63E62556"/>
    <w:rsid w:val="63F0172A"/>
    <w:rsid w:val="63F77C24"/>
    <w:rsid w:val="6418285B"/>
    <w:rsid w:val="641E5CAC"/>
    <w:rsid w:val="64356BB2"/>
    <w:rsid w:val="64612F4F"/>
    <w:rsid w:val="647635F3"/>
    <w:rsid w:val="649B4178"/>
    <w:rsid w:val="649D1124"/>
    <w:rsid w:val="64AA28C2"/>
    <w:rsid w:val="64C51003"/>
    <w:rsid w:val="64DC3C02"/>
    <w:rsid w:val="64DF5DFD"/>
    <w:rsid w:val="64F21E5F"/>
    <w:rsid w:val="64F94536"/>
    <w:rsid w:val="65003A97"/>
    <w:rsid w:val="652432E7"/>
    <w:rsid w:val="65314BC1"/>
    <w:rsid w:val="65387D84"/>
    <w:rsid w:val="656869ED"/>
    <w:rsid w:val="657619D1"/>
    <w:rsid w:val="65801E94"/>
    <w:rsid w:val="658147B2"/>
    <w:rsid w:val="65B60F97"/>
    <w:rsid w:val="65BE05E1"/>
    <w:rsid w:val="65DB1ABD"/>
    <w:rsid w:val="65DB5D2D"/>
    <w:rsid w:val="66021000"/>
    <w:rsid w:val="663E3F57"/>
    <w:rsid w:val="66410BF2"/>
    <w:rsid w:val="664314FE"/>
    <w:rsid w:val="6651412B"/>
    <w:rsid w:val="665A2617"/>
    <w:rsid w:val="665F1C74"/>
    <w:rsid w:val="666A0F38"/>
    <w:rsid w:val="666D27F1"/>
    <w:rsid w:val="66760B8B"/>
    <w:rsid w:val="66853B07"/>
    <w:rsid w:val="668A7972"/>
    <w:rsid w:val="66AD63D1"/>
    <w:rsid w:val="66B632F0"/>
    <w:rsid w:val="66B63A44"/>
    <w:rsid w:val="66B81EEC"/>
    <w:rsid w:val="66C85DEF"/>
    <w:rsid w:val="66D041EF"/>
    <w:rsid w:val="66E44202"/>
    <w:rsid w:val="66E902BE"/>
    <w:rsid w:val="66EB6E76"/>
    <w:rsid w:val="66FA4433"/>
    <w:rsid w:val="6702797E"/>
    <w:rsid w:val="671063AE"/>
    <w:rsid w:val="67220874"/>
    <w:rsid w:val="672472D7"/>
    <w:rsid w:val="673D7BD6"/>
    <w:rsid w:val="673F5B40"/>
    <w:rsid w:val="674574EF"/>
    <w:rsid w:val="674B014B"/>
    <w:rsid w:val="676C3497"/>
    <w:rsid w:val="677B0C5E"/>
    <w:rsid w:val="677C5BD4"/>
    <w:rsid w:val="67BA647E"/>
    <w:rsid w:val="67C17374"/>
    <w:rsid w:val="67EA5376"/>
    <w:rsid w:val="67ED2133"/>
    <w:rsid w:val="681815F4"/>
    <w:rsid w:val="681D07EF"/>
    <w:rsid w:val="68432914"/>
    <w:rsid w:val="6848754D"/>
    <w:rsid w:val="6849301F"/>
    <w:rsid w:val="68572455"/>
    <w:rsid w:val="68744FA9"/>
    <w:rsid w:val="68894702"/>
    <w:rsid w:val="68936A92"/>
    <w:rsid w:val="68B024A9"/>
    <w:rsid w:val="68B3369C"/>
    <w:rsid w:val="68B37DF3"/>
    <w:rsid w:val="68CF1E50"/>
    <w:rsid w:val="68F36BD9"/>
    <w:rsid w:val="6905794B"/>
    <w:rsid w:val="690E2177"/>
    <w:rsid w:val="691E399C"/>
    <w:rsid w:val="691F0053"/>
    <w:rsid w:val="69327CA5"/>
    <w:rsid w:val="69375EB5"/>
    <w:rsid w:val="69425BEA"/>
    <w:rsid w:val="69452BA9"/>
    <w:rsid w:val="69577D1B"/>
    <w:rsid w:val="697314E3"/>
    <w:rsid w:val="697458F4"/>
    <w:rsid w:val="698F032B"/>
    <w:rsid w:val="699B1BB3"/>
    <w:rsid w:val="69A91A95"/>
    <w:rsid w:val="69AB75C0"/>
    <w:rsid w:val="69D06639"/>
    <w:rsid w:val="69FD447D"/>
    <w:rsid w:val="6A03117C"/>
    <w:rsid w:val="6A080201"/>
    <w:rsid w:val="6A09487F"/>
    <w:rsid w:val="6A0A3E9D"/>
    <w:rsid w:val="6A0F32EF"/>
    <w:rsid w:val="6A2E0AB2"/>
    <w:rsid w:val="6A394D4C"/>
    <w:rsid w:val="6A511DEA"/>
    <w:rsid w:val="6A557D2C"/>
    <w:rsid w:val="6A762AAD"/>
    <w:rsid w:val="6A7F4485"/>
    <w:rsid w:val="6A920177"/>
    <w:rsid w:val="6A947E7A"/>
    <w:rsid w:val="6AB67820"/>
    <w:rsid w:val="6AD333E1"/>
    <w:rsid w:val="6AE15380"/>
    <w:rsid w:val="6AE81D8B"/>
    <w:rsid w:val="6B0707B7"/>
    <w:rsid w:val="6B11663D"/>
    <w:rsid w:val="6B124851"/>
    <w:rsid w:val="6B155984"/>
    <w:rsid w:val="6B226879"/>
    <w:rsid w:val="6B335686"/>
    <w:rsid w:val="6B35381F"/>
    <w:rsid w:val="6B5276ED"/>
    <w:rsid w:val="6B593C96"/>
    <w:rsid w:val="6B60457A"/>
    <w:rsid w:val="6B701A5C"/>
    <w:rsid w:val="6B794E7B"/>
    <w:rsid w:val="6B85264B"/>
    <w:rsid w:val="6B8906D1"/>
    <w:rsid w:val="6B893997"/>
    <w:rsid w:val="6B8D264E"/>
    <w:rsid w:val="6B905B61"/>
    <w:rsid w:val="6B923EDE"/>
    <w:rsid w:val="6B964C3C"/>
    <w:rsid w:val="6B97161F"/>
    <w:rsid w:val="6B9E6EB8"/>
    <w:rsid w:val="6B9F7B6E"/>
    <w:rsid w:val="6BAB4B84"/>
    <w:rsid w:val="6BC22722"/>
    <w:rsid w:val="6BC375E0"/>
    <w:rsid w:val="6BF35332"/>
    <w:rsid w:val="6BF37462"/>
    <w:rsid w:val="6BFD31DE"/>
    <w:rsid w:val="6C00133F"/>
    <w:rsid w:val="6C21760C"/>
    <w:rsid w:val="6C340C53"/>
    <w:rsid w:val="6C3A3BCF"/>
    <w:rsid w:val="6C422E54"/>
    <w:rsid w:val="6C530CC0"/>
    <w:rsid w:val="6C5A4524"/>
    <w:rsid w:val="6C5F2A85"/>
    <w:rsid w:val="6C6368FE"/>
    <w:rsid w:val="6C715BBE"/>
    <w:rsid w:val="6C724B71"/>
    <w:rsid w:val="6C9264B0"/>
    <w:rsid w:val="6CA074FA"/>
    <w:rsid w:val="6CB80319"/>
    <w:rsid w:val="6CBD0165"/>
    <w:rsid w:val="6CC5116E"/>
    <w:rsid w:val="6CCE0D59"/>
    <w:rsid w:val="6CE443AB"/>
    <w:rsid w:val="6CFE6CFE"/>
    <w:rsid w:val="6D010583"/>
    <w:rsid w:val="6D017035"/>
    <w:rsid w:val="6D166C49"/>
    <w:rsid w:val="6D351B56"/>
    <w:rsid w:val="6D4B342F"/>
    <w:rsid w:val="6D4C0207"/>
    <w:rsid w:val="6D544251"/>
    <w:rsid w:val="6D671D5D"/>
    <w:rsid w:val="6D6B2C06"/>
    <w:rsid w:val="6D8066DB"/>
    <w:rsid w:val="6D8E3228"/>
    <w:rsid w:val="6D967390"/>
    <w:rsid w:val="6D9F0293"/>
    <w:rsid w:val="6DA33677"/>
    <w:rsid w:val="6DA51FE4"/>
    <w:rsid w:val="6DB26D07"/>
    <w:rsid w:val="6DD836A3"/>
    <w:rsid w:val="6DE777DA"/>
    <w:rsid w:val="6DF656CF"/>
    <w:rsid w:val="6E054D9E"/>
    <w:rsid w:val="6E2C7AFF"/>
    <w:rsid w:val="6E32270A"/>
    <w:rsid w:val="6E415A3B"/>
    <w:rsid w:val="6E431A91"/>
    <w:rsid w:val="6E6E084C"/>
    <w:rsid w:val="6E703FE3"/>
    <w:rsid w:val="6E906293"/>
    <w:rsid w:val="6E9212B7"/>
    <w:rsid w:val="6EA91CAB"/>
    <w:rsid w:val="6EB209B1"/>
    <w:rsid w:val="6F081E3E"/>
    <w:rsid w:val="6F2A00C2"/>
    <w:rsid w:val="6F301C95"/>
    <w:rsid w:val="6F3174F4"/>
    <w:rsid w:val="6F361388"/>
    <w:rsid w:val="6F361EED"/>
    <w:rsid w:val="6F3D5A15"/>
    <w:rsid w:val="6F4A2751"/>
    <w:rsid w:val="6F4B1173"/>
    <w:rsid w:val="6F591E41"/>
    <w:rsid w:val="6F5B58E3"/>
    <w:rsid w:val="6F624702"/>
    <w:rsid w:val="6F6D53A0"/>
    <w:rsid w:val="6F84196E"/>
    <w:rsid w:val="6F8A6F61"/>
    <w:rsid w:val="6F942191"/>
    <w:rsid w:val="6FA12A4B"/>
    <w:rsid w:val="6FA545C2"/>
    <w:rsid w:val="6FA95AB4"/>
    <w:rsid w:val="6FB23294"/>
    <w:rsid w:val="6FB56AC6"/>
    <w:rsid w:val="6FB647C4"/>
    <w:rsid w:val="6FBD5897"/>
    <w:rsid w:val="6FBD63FD"/>
    <w:rsid w:val="6FDD470D"/>
    <w:rsid w:val="6FEF490F"/>
    <w:rsid w:val="70000F00"/>
    <w:rsid w:val="703D3375"/>
    <w:rsid w:val="70495430"/>
    <w:rsid w:val="704C555D"/>
    <w:rsid w:val="705E3922"/>
    <w:rsid w:val="70662434"/>
    <w:rsid w:val="706A3E01"/>
    <w:rsid w:val="706D77D5"/>
    <w:rsid w:val="7070255F"/>
    <w:rsid w:val="70747EB6"/>
    <w:rsid w:val="70750F18"/>
    <w:rsid w:val="708005A8"/>
    <w:rsid w:val="70866D4C"/>
    <w:rsid w:val="70895F5C"/>
    <w:rsid w:val="7098033F"/>
    <w:rsid w:val="709A0668"/>
    <w:rsid w:val="70B017BC"/>
    <w:rsid w:val="70B26D3E"/>
    <w:rsid w:val="70B41BB0"/>
    <w:rsid w:val="70B50B1B"/>
    <w:rsid w:val="70D81EBB"/>
    <w:rsid w:val="70DB797D"/>
    <w:rsid w:val="70DF735D"/>
    <w:rsid w:val="70F15D34"/>
    <w:rsid w:val="70F1653B"/>
    <w:rsid w:val="710B3EF4"/>
    <w:rsid w:val="712B4C95"/>
    <w:rsid w:val="71482144"/>
    <w:rsid w:val="71506F73"/>
    <w:rsid w:val="716F0EE9"/>
    <w:rsid w:val="71747A81"/>
    <w:rsid w:val="718134C7"/>
    <w:rsid w:val="71873FEF"/>
    <w:rsid w:val="718F51CF"/>
    <w:rsid w:val="719A51D1"/>
    <w:rsid w:val="71A82FDF"/>
    <w:rsid w:val="71AD5FF1"/>
    <w:rsid w:val="71B61DE0"/>
    <w:rsid w:val="71B75372"/>
    <w:rsid w:val="71E61D18"/>
    <w:rsid w:val="71FE70CD"/>
    <w:rsid w:val="72085129"/>
    <w:rsid w:val="72267737"/>
    <w:rsid w:val="72293CF5"/>
    <w:rsid w:val="724219B7"/>
    <w:rsid w:val="724E5343"/>
    <w:rsid w:val="72764EE8"/>
    <w:rsid w:val="72842790"/>
    <w:rsid w:val="72A9726B"/>
    <w:rsid w:val="72CE4F8A"/>
    <w:rsid w:val="72D078FF"/>
    <w:rsid w:val="72D8404A"/>
    <w:rsid w:val="72F86939"/>
    <w:rsid w:val="73085B53"/>
    <w:rsid w:val="73380341"/>
    <w:rsid w:val="734232BE"/>
    <w:rsid w:val="735558C8"/>
    <w:rsid w:val="73584913"/>
    <w:rsid w:val="736164A0"/>
    <w:rsid w:val="73680FC6"/>
    <w:rsid w:val="73765D1E"/>
    <w:rsid w:val="737B5A97"/>
    <w:rsid w:val="73842D0C"/>
    <w:rsid w:val="738947AF"/>
    <w:rsid w:val="73945D69"/>
    <w:rsid w:val="73A10A9E"/>
    <w:rsid w:val="73A41734"/>
    <w:rsid w:val="73AC3277"/>
    <w:rsid w:val="73B974DB"/>
    <w:rsid w:val="73C163F7"/>
    <w:rsid w:val="73C54AA8"/>
    <w:rsid w:val="73CA5CBA"/>
    <w:rsid w:val="73CF46F4"/>
    <w:rsid w:val="73E2202D"/>
    <w:rsid w:val="73FD7C24"/>
    <w:rsid w:val="740828A2"/>
    <w:rsid w:val="741554D1"/>
    <w:rsid w:val="742551B5"/>
    <w:rsid w:val="74273993"/>
    <w:rsid w:val="743234CA"/>
    <w:rsid w:val="74400DAD"/>
    <w:rsid w:val="7441776A"/>
    <w:rsid w:val="74604C84"/>
    <w:rsid w:val="746F7DCB"/>
    <w:rsid w:val="747919A7"/>
    <w:rsid w:val="747B1912"/>
    <w:rsid w:val="74846F19"/>
    <w:rsid w:val="748C2216"/>
    <w:rsid w:val="748D521E"/>
    <w:rsid w:val="749560A0"/>
    <w:rsid w:val="74A06389"/>
    <w:rsid w:val="74A32183"/>
    <w:rsid w:val="74A50617"/>
    <w:rsid w:val="74A55BCB"/>
    <w:rsid w:val="74D0058B"/>
    <w:rsid w:val="74DA1957"/>
    <w:rsid w:val="74DF599E"/>
    <w:rsid w:val="74E80E35"/>
    <w:rsid w:val="74FA422C"/>
    <w:rsid w:val="75070030"/>
    <w:rsid w:val="751B2757"/>
    <w:rsid w:val="75214E5D"/>
    <w:rsid w:val="752779A3"/>
    <w:rsid w:val="75285B9E"/>
    <w:rsid w:val="753512AE"/>
    <w:rsid w:val="75411EC6"/>
    <w:rsid w:val="755C6C59"/>
    <w:rsid w:val="7599228F"/>
    <w:rsid w:val="75A00B92"/>
    <w:rsid w:val="75A145EF"/>
    <w:rsid w:val="75B95962"/>
    <w:rsid w:val="75C103CB"/>
    <w:rsid w:val="75D1622F"/>
    <w:rsid w:val="75D82CCE"/>
    <w:rsid w:val="75D95661"/>
    <w:rsid w:val="75EC37DB"/>
    <w:rsid w:val="75F910BD"/>
    <w:rsid w:val="760F392E"/>
    <w:rsid w:val="761A3633"/>
    <w:rsid w:val="764D574B"/>
    <w:rsid w:val="764E47F3"/>
    <w:rsid w:val="765A6656"/>
    <w:rsid w:val="76764310"/>
    <w:rsid w:val="7691569A"/>
    <w:rsid w:val="76A31E71"/>
    <w:rsid w:val="76B45C27"/>
    <w:rsid w:val="76BB7074"/>
    <w:rsid w:val="76C31FF6"/>
    <w:rsid w:val="76CE5E6C"/>
    <w:rsid w:val="76D63210"/>
    <w:rsid w:val="76E17F6F"/>
    <w:rsid w:val="76E70EBD"/>
    <w:rsid w:val="76EC7A5D"/>
    <w:rsid w:val="77060C94"/>
    <w:rsid w:val="7710403A"/>
    <w:rsid w:val="772A140E"/>
    <w:rsid w:val="773045A3"/>
    <w:rsid w:val="77310275"/>
    <w:rsid w:val="77391F9C"/>
    <w:rsid w:val="773C539E"/>
    <w:rsid w:val="773D4D54"/>
    <w:rsid w:val="77520261"/>
    <w:rsid w:val="776F3E32"/>
    <w:rsid w:val="77756A2B"/>
    <w:rsid w:val="77933214"/>
    <w:rsid w:val="77936A35"/>
    <w:rsid w:val="779F22D2"/>
    <w:rsid w:val="77A105A7"/>
    <w:rsid w:val="77A57BF0"/>
    <w:rsid w:val="77AD770E"/>
    <w:rsid w:val="77B045E9"/>
    <w:rsid w:val="77B410D9"/>
    <w:rsid w:val="77D21B1A"/>
    <w:rsid w:val="77DB4E58"/>
    <w:rsid w:val="77E06EF6"/>
    <w:rsid w:val="77E26696"/>
    <w:rsid w:val="77E5152B"/>
    <w:rsid w:val="77EA4330"/>
    <w:rsid w:val="77FB3ED1"/>
    <w:rsid w:val="78096213"/>
    <w:rsid w:val="781A3FD2"/>
    <w:rsid w:val="781F272B"/>
    <w:rsid w:val="78376600"/>
    <w:rsid w:val="783A0956"/>
    <w:rsid w:val="783C67E2"/>
    <w:rsid w:val="787005FA"/>
    <w:rsid w:val="788A7C9C"/>
    <w:rsid w:val="78A72130"/>
    <w:rsid w:val="78C144F9"/>
    <w:rsid w:val="78E64E46"/>
    <w:rsid w:val="78F82BC4"/>
    <w:rsid w:val="79062838"/>
    <w:rsid w:val="7918651D"/>
    <w:rsid w:val="791A54BE"/>
    <w:rsid w:val="792A2E13"/>
    <w:rsid w:val="79331C9A"/>
    <w:rsid w:val="7939240F"/>
    <w:rsid w:val="794A3615"/>
    <w:rsid w:val="794A77F1"/>
    <w:rsid w:val="795945BC"/>
    <w:rsid w:val="7969452D"/>
    <w:rsid w:val="796E46D9"/>
    <w:rsid w:val="797408FE"/>
    <w:rsid w:val="797E1348"/>
    <w:rsid w:val="797F3CEB"/>
    <w:rsid w:val="79872CD4"/>
    <w:rsid w:val="79944732"/>
    <w:rsid w:val="79967772"/>
    <w:rsid w:val="799D36F1"/>
    <w:rsid w:val="79B4402B"/>
    <w:rsid w:val="79C738E9"/>
    <w:rsid w:val="79CC417C"/>
    <w:rsid w:val="79D14215"/>
    <w:rsid w:val="79D94DCB"/>
    <w:rsid w:val="79E1494E"/>
    <w:rsid w:val="79EC0ED7"/>
    <w:rsid w:val="79F2366F"/>
    <w:rsid w:val="7A1E753A"/>
    <w:rsid w:val="7A3F15B6"/>
    <w:rsid w:val="7A423127"/>
    <w:rsid w:val="7A4F40F0"/>
    <w:rsid w:val="7A5B2274"/>
    <w:rsid w:val="7A711EC2"/>
    <w:rsid w:val="7A746CEB"/>
    <w:rsid w:val="7A7B4EF9"/>
    <w:rsid w:val="7A8459F7"/>
    <w:rsid w:val="7A8C3AF9"/>
    <w:rsid w:val="7A931323"/>
    <w:rsid w:val="7A9F3840"/>
    <w:rsid w:val="7A9F4546"/>
    <w:rsid w:val="7AAA4675"/>
    <w:rsid w:val="7AAD7E64"/>
    <w:rsid w:val="7AB06650"/>
    <w:rsid w:val="7AD4498A"/>
    <w:rsid w:val="7AE2223D"/>
    <w:rsid w:val="7AE842AF"/>
    <w:rsid w:val="7B041F22"/>
    <w:rsid w:val="7B0D16AD"/>
    <w:rsid w:val="7B2430F3"/>
    <w:rsid w:val="7B272B0B"/>
    <w:rsid w:val="7B506BBD"/>
    <w:rsid w:val="7B581B2C"/>
    <w:rsid w:val="7B617081"/>
    <w:rsid w:val="7B6F4F5F"/>
    <w:rsid w:val="7B700AEB"/>
    <w:rsid w:val="7B7C310E"/>
    <w:rsid w:val="7B7D1A83"/>
    <w:rsid w:val="7B7D5D39"/>
    <w:rsid w:val="7B7D5DD1"/>
    <w:rsid w:val="7B9C2732"/>
    <w:rsid w:val="7BA25729"/>
    <w:rsid w:val="7BAA0378"/>
    <w:rsid w:val="7BB575D4"/>
    <w:rsid w:val="7BB84839"/>
    <w:rsid w:val="7BC200AD"/>
    <w:rsid w:val="7BCC20F1"/>
    <w:rsid w:val="7BF1400D"/>
    <w:rsid w:val="7BF20E30"/>
    <w:rsid w:val="7BF31C69"/>
    <w:rsid w:val="7BF819A5"/>
    <w:rsid w:val="7C004942"/>
    <w:rsid w:val="7C047099"/>
    <w:rsid w:val="7C0B35E0"/>
    <w:rsid w:val="7C0B70A1"/>
    <w:rsid w:val="7C113E00"/>
    <w:rsid w:val="7C224C80"/>
    <w:rsid w:val="7C304B21"/>
    <w:rsid w:val="7C4377BE"/>
    <w:rsid w:val="7C4A68F8"/>
    <w:rsid w:val="7C537570"/>
    <w:rsid w:val="7C547377"/>
    <w:rsid w:val="7C9648D4"/>
    <w:rsid w:val="7C9A0901"/>
    <w:rsid w:val="7CC531CB"/>
    <w:rsid w:val="7CDF07AC"/>
    <w:rsid w:val="7CE20495"/>
    <w:rsid w:val="7D13193C"/>
    <w:rsid w:val="7D4266D7"/>
    <w:rsid w:val="7D472D1A"/>
    <w:rsid w:val="7D5D6F74"/>
    <w:rsid w:val="7D601F3B"/>
    <w:rsid w:val="7D761CE9"/>
    <w:rsid w:val="7D8243BD"/>
    <w:rsid w:val="7D8945C2"/>
    <w:rsid w:val="7D8A5F67"/>
    <w:rsid w:val="7D8C0BDD"/>
    <w:rsid w:val="7DA06E1F"/>
    <w:rsid w:val="7DAE304B"/>
    <w:rsid w:val="7DB15570"/>
    <w:rsid w:val="7DCC15DA"/>
    <w:rsid w:val="7DD03539"/>
    <w:rsid w:val="7DD439E6"/>
    <w:rsid w:val="7DDC1197"/>
    <w:rsid w:val="7DEC38B0"/>
    <w:rsid w:val="7DF35B77"/>
    <w:rsid w:val="7DF677CE"/>
    <w:rsid w:val="7DFF1AC9"/>
    <w:rsid w:val="7E0B40AE"/>
    <w:rsid w:val="7E1129AE"/>
    <w:rsid w:val="7E133051"/>
    <w:rsid w:val="7E162C8D"/>
    <w:rsid w:val="7E423FB4"/>
    <w:rsid w:val="7E45796C"/>
    <w:rsid w:val="7E511508"/>
    <w:rsid w:val="7E6064D5"/>
    <w:rsid w:val="7E9732FE"/>
    <w:rsid w:val="7EA17C38"/>
    <w:rsid w:val="7EA72C4B"/>
    <w:rsid w:val="7EAE138E"/>
    <w:rsid w:val="7EBF234E"/>
    <w:rsid w:val="7ED75CF7"/>
    <w:rsid w:val="7EF73CFC"/>
    <w:rsid w:val="7F0D3AF7"/>
    <w:rsid w:val="7F157C0B"/>
    <w:rsid w:val="7F16010E"/>
    <w:rsid w:val="7F1A3607"/>
    <w:rsid w:val="7F1C53A8"/>
    <w:rsid w:val="7F2068DA"/>
    <w:rsid w:val="7F36487E"/>
    <w:rsid w:val="7F4517B6"/>
    <w:rsid w:val="7F7C6DB1"/>
    <w:rsid w:val="7F821C5A"/>
    <w:rsid w:val="7F8965C3"/>
    <w:rsid w:val="7F9C2DA1"/>
    <w:rsid w:val="7FA43404"/>
    <w:rsid w:val="7FA73543"/>
    <w:rsid w:val="7FA82947"/>
    <w:rsid w:val="7FB235C0"/>
    <w:rsid w:val="7FB74A68"/>
    <w:rsid w:val="7FC8148D"/>
    <w:rsid w:val="7FC832C7"/>
    <w:rsid w:val="7FE74EBB"/>
    <w:rsid w:val="7FF26E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139"/>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12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360" w:lineRule="auto"/>
      <w:jc w:val="center"/>
      <w:outlineLvl w:val="2"/>
    </w:pPr>
    <w:rPr>
      <w:b/>
      <w:kern w:val="2"/>
      <w:sz w:val="32"/>
    </w:rPr>
  </w:style>
  <w:style w:type="paragraph" w:styleId="6">
    <w:name w:val="heading 4"/>
    <w:basedOn w:val="1"/>
    <w:next w:val="7"/>
    <w:qFormat/>
    <w:uiPriority w:val="0"/>
    <w:pPr>
      <w:keepNext/>
      <w:widowControl w:val="0"/>
      <w:numPr>
        <w:ilvl w:val="0"/>
        <w:numId w:val="1"/>
      </w:numPr>
      <w:tabs>
        <w:tab w:val="left" w:pos="720"/>
        <w:tab w:val="clear" w:pos="420"/>
      </w:tabs>
      <w:jc w:val="both"/>
      <w:outlineLvl w:val="3"/>
    </w:pPr>
    <w:rPr>
      <w:rFonts w:ascii="宋体"/>
      <w:kern w:val="2"/>
      <w:sz w:val="28"/>
    </w:rPr>
  </w:style>
  <w:style w:type="paragraph" w:styleId="8">
    <w:name w:val="heading 5"/>
    <w:basedOn w:val="1"/>
    <w:next w:val="1"/>
    <w:qFormat/>
    <w:uiPriority w:val="0"/>
    <w:pPr>
      <w:keepNext/>
      <w:widowControl w:val="0"/>
      <w:autoSpaceDE w:val="0"/>
      <w:autoSpaceDN w:val="0"/>
      <w:adjustRightInd w:val="0"/>
      <w:jc w:val="both"/>
      <w:outlineLvl w:val="4"/>
    </w:pPr>
    <w:rPr>
      <w:color w:val="000000"/>
      <w:kern w:val="2"/>
      <w:sz w:val="28"/>
    </w:rPr>
  </w:style>
  <w:style w:type="character" w:default="1" w:styleId="38">
    <w:name w:val="Default Paragraph Font"/>
    <w:unhideWhenUsed/>
    <w:qFormat/>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link w:val="149"/>
    <w:qFormat/>
    <w:uiPriority w:val="0"/>
    <w:pPr>
      <w:widowControl w:val="0"/>
      <w:spacing w:line="360" w:lineRule="auto"/>
      <w:jc w:val="both"/>
    </w:pPr>
    <w:rPr>
      <w:rFonts w:ascii="楷体_GB2312" w:eastAsia="楷体_GB2312"/>
      <w:kern w:val="2"/>
      <w:sz w:val="32"/>
    </w:rPr>
  </w:style>
  <w:style w:type="paragraph" w:styleId="7">
    <w:name w:val="Normal Indent"/>
    <w:basedOn w:val="1"/>
    <w:link w:val="128"/>
    <w:qFormat/>
    <w:uiPriority w:val="0"/>
    <w:pPr>
      <w:ind w:firstLine="420"/>
    </w:pPr>
  </w:style>
  <w:style w:type="paragraph" w:styleId="9">
    <w:name w:val="annotation subject"/>
    <w:basedOn w:val="10"/>
    <w:next w:val="10"/>
    <w:link w:val="140"/>
    <w:semiHidden/>
    <w:qFormat/>
    <w:uiPriority w:val="0"/>
    <w:rPr>
      <w:b/>
      <w:bCs/>
    </w:rPr>
  </w:style>
  <w:style w:type="paragraph" w:styleId="10">
    <w:name w:val="annotation text"/>
    <w:basedOn w:val="1"/>
    <w:link w:val="143"/>
    <w:semiHidden/>
    <w:qFormat/>
    <w:uiPriority w:val="0"/>
  </w:style>
  <w:style w:type="paragraph" w:styleId="11">
    <w:name w:val="Body Text First Indent"/>
    <w:basedOn w:val="2"/>
    <w:next w:val="12"/>
    <w:unhideWhenUsed/>
    <w:qFormat/>
    <w:uiPriority w:val="99"/>
    <w:pPr>
      <w:adjustRightInd/>
      <w:spacing w:after="120" w:line="240" w:lineRule="auto"/>
      <w:ind w:firstLine="420" w:firstLineChars="100"/>
      <w:jc w:val="both"/>
    </w:pPr>
    <w:rPr>
      <w:rFonts w:ascii="Times New Roman"/>
      <w:kern w:val="2"/>
      <w:sz w:val="21"/>
      <w:szCs w:val="24"/>
    </w:rPr>
  </w:style>
  <w:style w:type="paragraph" w:styleId="12">
    <w:name w:val="toc 6"/>
    <w:basedOn w:val="1"/>
    <w:next w:val="1"/>
    <w:qFormat/>
    <w:uiPriority w:val="0"/>
    <w:pPr>
      <w:ind w:left="1000"/>
    </w:pPr>
    <w:rPr>
      <w:sz w:val="18"/>
    </w:rPr>
  </w:style>
  <w:style w:type="paragraph" w:styleId="13">
    <w:name w:val="caption"/>
    <w:basedOn w:val="1"/>
    <w:next w:val="1"/>
    <w:qFormat/>
    <w:uiPriority w:val="0"/>
    <w:pPr>
      <w:widowControl w:val="0"/>
      <w:spacing w:before="152" w:after="160"/>
      <w:jc w:val="both"/>
    </w:pPr>
    <w:rPr>
      <w:rFonts w:ascii="Arial" w:hAnsi="Arial" w:eastAsia="黑体" w:cs="Arial"/>
      <w:kern w:val="2"/>
      <w:sz w:val="20"/>
    </w:rPr>
  </w:style>
  <w:style w:type="paragraph" w:styleId="14">
    <w:name w:val="index 5"/>
    <w:basedOn w:val="1"/>
    <w:next w:val="1"/>
    <w:unhideWhenUsed/>
    <w:qFormat/>
    <w:uiPriority w:val="99"/>
    <w:pPr>
      <w:ind w:left="800" w:leftChars="800"/>
    </w:pPr>
  </w:style>
  <w:style w:type="paragraph" w:styleId="15">
    <w:name w:val="List Bullet"/>
    <w:basedOn w:val="1"/>
    <w:qFormat/>
    <w:uiPriority w:val="0"/>
    <w:pPr>
      <w:widowControl w:val="0"/>
      <w:numPr>
        <w:ilvl w:val="0"/>
        <w:numId w:val="2"/>
      </w:numPr>
      <w:ind w:hangingChars="200"/>
      <w:contextualSpacing/>
      <w:jc w:val="both"/>
    </w:pPr>
    <w:rPr>
      <w:kern w:val="2"/>
    </w:rPr>
  </w:style>
  <w:style w:type="paragraph" w:styleId="16">
    <w:name w:val="Document Map"/>
    <w:basedOn w:val="1"/>
    <w:link w:val="141"/>
    <w:qFormat/>
    <w:uiPriority w:val="0"/>
    <w:pPr>
      <w:widowControl w:val="0"/>
      <w:jc w:val="both"/>
    </w:pPr>
    <w:rPr>
      <w:rFonts w:ascii="Heiti SC Light" w:eastAsia="Heiti SC Light"/>
      <w:kern w:val="2"/>
      <w:sz w:val="24"/>
      <w:szCs w:val="24"/>
    </w:rPr>
  </w:style>
  <w:style w:type="paragraph" w:styleId="17">
    <w:name w:val="toa heading"/>
    <w:basedOn w:val="1"/>
    <w:next w:val="1"/>
    <w:qFormat/>
    <w:uiPriority w:val="0"/>
    <w:pPr>
      <w:spacing w:before="120"/>
    </w:pPr>
    <w:rPr>
      <w:rFonts w:ascii="Arial" w:hAnsi="Arial"/>
      <w:sz w:val="24"/>
    </w:rPr>
  </w:style>
  <w:style w:type="paragraph" w:styleId="18">
    <w:name w:val="Body Text 3"/>
    <w:basedOn w:val="1"/>
    <w:qFormat/>
    <w:uiPriority w:val="0"/>
    <w:pPr>
      <w:widowControl w:val="0"/>
      <w:spacing w:after="120"/>
      <w:jc w:val="both"/>
    </w:pPr>
    <w:rPr>
      <w:kern w:val="2"/>
      <w:sz w:val="16"/>
      <w:szCs w:val="16"/>
    </w:rPr>
  </w:style>
  <w:style w:type="paragraph" w:styleId="19">
    <w:name w:val="Body Text Indent"/>
    <w:basedOn w:val="1"/>
    <w:next w:val="1"/>
    <w:unhideWhenUsed/>
    <w:qFormat/>
    <w:uiPriority w:val="0"/>
    <w:pPr>
      <w:widowControl w:val="0"/>
      <w:spacing w:after="120"/>
      <w:ind w:left="420" w:leftChars="200"/>
      <w:jc w:val="both"/>
    </w:pPr>
    <w:rPr>
      <w:kern w:val="2"/>
    </w:rPr>
  </w:style>
  <w:style w:type="paragraph" w:styleId="20">
    <w:name w:val="List 2"/>
    <w:basedOn w:val="1"/>
    <w:qFormat/>
    <w:uiPriority w:val="0"/>
    <w:pPr>
      <w:widowControl w:val="0"/>
      <w:ind w:left="100" w:leftChars="200" w:hanging="200" w:hangingChars="200"/>
      <w:jc w:val="both"/>
    </w:pPr>
    <w:rPr>
      <w:rFonts w:ascii="Calibri" w:hAnsi="Calibri"/>
      <w:kern w:val="2"/>
      <w:szCs w:val="22"/>
    </w:rPr>
  </w:style>
  <w:style w:type="paragraph" w:styleId="21">
    <w:name w:val="Block Text"/>
    <w:basedOn w:val="1"/>
    <w:qFormat/>
    <w:uiPriority w:val="99"/>
    <w:pPr>
      <w:adjustRightInd w:val="0"/>
      <w:spacing w:line="300" w:lineRule="auto"/>
      <w:ind w:left="958" w:right="-120" w:rightChars="-120"/>
      <w:jc w:val="left"/>
    </w:pPr>
    <w:rPr>
      <w:rFonts w:ascii="宋体" w:hAnsi="宋体"/>
      <w:sz w:val="28"/>
    </w:rPr>
  </w:style>
  <w:style w:type="paragraph" w:styleId="22">
    <w:name w:val="toc 3"/>
    <w:basedOn w:val="1"/>
    <w:next w:val="1"/>
    <w:semiHidden/>
    <w:qFormat/>
    <w:uiPriority w:val="0"/>
    <w:pPr>
      <w:ind w:left="840" w:leftChars="400"/>
    </w:pPr>
  </w:style>
  <w:style w:type="paragraph" w:styleId="23">
    <w:name w:val="Plain Text"/>
    <w:basedOn w:val="1"/>
    <w:next w:val="1"/>
    <w:link w:val="157"/>
    <w:qFormat/>
    <w:uiPriority w:val="0"/>
    <w:pPr>
      <w:widowControl w:val="0"/>
      <w:spacing w:beforeLines="50" w:afterLines="50" w:line="400" w:lineRule="atLeast"/>
      <w:jc w:val="both"/>
    </w:pPr>
    <w:rPr>
      <w:rFonts w:ascii="宋体" w:hAnsi="Courier New"/>
      <w:kern w:val="2"/>
      <w:sz w:val="24"/>
      <w:szCs w:val="24"/>
    </w:rPr>
  </w:style>
  <w:style w:type="paragraph" w:styleId="24">
    <w:name w:val="Date"/>
    <w:basedOn w:val="1"/>
    <w:next w:val="1"/>
    <w:qFormat/>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153"/>
    <w:unhideWhenUsed/>
    <w:qFormat/>
    <w:uiPriority w:val="99"/>
    <w:rPr>
      <w:sz w:val="18"/>
      <w:szCs w:val="18"/>
    </w:rPr>
  </w:style>
  <w:style w:type="paragraph" w:styleId="27">
    <w:name w:val="footer"/>
    <w:basedOn w:val="1"/>
    <w:link w:val="134"/>
    <w:qFormat/>
    <w:uiPriority w:val="0"/>
    <w:pPr>
      <w:tabs>
        <w:tab w:val="center" w:pos="4153"/>
        <w:tab w:val="right" w:pos="8306"/>
      </w:tabs>
      <w:snapToGrid w:val="0"/>
    </w:pPr>
    <w:rPr>
      <w:sz w:val="18"/>
    </w:rPr>
  </w:style>
  <w:style w:type="paragraph" w:styleId="28">
    <w:name w:val="Body Text First Indent 2"/>
    <w:basedOn w:val="19"/>
    <w:next w:val="17"/>
    <w:qFormat/>
    <w:uiPriority w:val="0"/>
    <w:pPr>
      <w:spacing w:after="160"/>
      <w:ind w:firstLine="480" w:firstLineChars="200"/>
    </w:pPr>
    <w:rPr>
      <w:rFonts w:ascii="仿宋_GB2312" w:hAnsi="宋体" w:eastAsia="仿宋_GB2312" w:cs="宋体"/>
      <w:b/>
      <w:bCs/>
      <w:color w:val="000000"/>
      <w:kern w:val="0"/>
      <w:sz w:val="24"/>
      <w:szCs w:val="21"/>
    </w:rPr>
  </w:style>
  <w:style w:type="paragraph" w:styleId="29">
    <w:name w:val="header"/>
    <w:basedOn w:val="1"/>
    <w:link w:val="13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middleDot" w:pos="8948"/>
      </w:tabs>
    </w:pPr>
    <w:rPr>
      <w:rFonts w:ascii="宋体" w:hAnsi="宋体"/>
      <w:bCs/>
      <w:caps/>
      <w:szCs w:val="21"/>
    </w:rPr>
  </w:style>
  <w:style w:type="paragraph" w:styleId="31">
    <w:name w:val="footnote text"/>
    <w:basedOn w:val="1"/>
    <w:next w:val="14"/>
    <w:qFormat/>
    <w:uiPriority w:val="0"/>
    <w:pPr>
      <w:snapToGrid w:val="0"/>
      <w:spacing w:line="360" w:lineRule="auto"/>
      <w:ind w:left="539" w:hanging="539"/>
      <w:jc w:val="left"/>
    </w:pPr>
    <w:rPr>
      <w:rFonts w:eastAsia="宋体"/>
      <w:sz w:val="18"/>
      <w:szCs w:val="18"/>
    </w:rPr>
  </w:style>
  <w:style w:type="paragraph" w:styleId="32">
    <w:name w:val="table of figures"/>
    <w:basedOn w:val="1"/>
    <w:next w:val="1"/>
    <w:semiHidden/>
    <w:qFormat/>
    <w:uiPriority w:val="0"/>
    <w:pPr>
      <w:ind w:left="840" w:leftChars="200" w:hanging="420" w:hangingChars="200"/>
    </w:pPr>
  </w:style>
  <w:style w:type="paragraph" w:styleId="33">
    <w:name w:val="toc 2"/>
    <w:basedOn w:val="1"/>
    <w:next w:val="1"/>
    <w:qFormat/>
    <w:uiPriority w:val="39"/>
    <w:pPr>
      <w:tabs>
        <w:tab w:val="right" w:leader="middleDot" w:pos="8948"/>
      </w:tabs>
      <w:spacing w:before="60" w:after="60"/>
      <w:ind w:left="210"/>
    </w:pPr>
    <w:rPr>
      <w:smallCaps/>
    </w:rPr>
  </w:style>
  <w:style w:type="paragraph" w:styleId="34">
    <w:name w:val="Body Text 2"/>
    <w:basedOn w:val="1"/>
    <w:qFormat/>
    <w:uiPriority w:val="0"/>
    <w:pPr>
      <w:spacing w:after="120" w:line="480" w:lineRule="auto"/>
    </w:p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6">
    <w:name w:val="Normal (Web)"/>
    <w:basedOn w:val="1"/>
    <w:qFormat/>
    <w:uiPriority w:val="0"/>
    <w:pPr>
      <w:spacing w:before="100" w:beforeAutospacing="1" w:after="100" w:afterAutospacing="1"/>
    </w:pPr>
    <w:rPr>
      <w:rFonts w:ascii="Arial Unicode MS" w:hAnsi="Arial Unicode MS" w:eastAsia="Times New Roman"/>
      <w:color w:val="000000"/>
      <w:sz w:val="24"/>
      <w:szCs w:val="24"/>
    </w:rPr>
  </w:style>
  <w:style w:type="paragraph" w:styleId="37">
    <w:name w:val="Title"/>
    <w:basedOn w:val="1"/>
    <w:next w:val="1"/>
    <w:link w:val="126"/>
    <w:qFormat/>
    <w:uiPriority w:val="0"/>
    <w:pPr>
      <w:spacing w:before="240" w:after="60"/>
      <w:jc w:val="center"/>
      <w:outlineLvl w:val="0"/>
    </w:pPr>
    <w:rPr>
      <w:rFonts w:ascii="Cambria" w:hAnsi="Cambria"/>
      <w:b/>
      <w:bCs/>
      <w:sz w:val="32"/>
      <w:szCs w:val="32"/>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b/>
      <w:color w:val="333333"/>
      <w:sz w:val="21"/>
      <w:szCs w:val="21"/>
      <w:u w:val="none"/>
      <w:shd w:val="clear" w:color="auto" w:fill="00930F"/>
    </w:rPr>
  </w:style>
  <w:style w:type="character" w:styleId="42">
    <w:name w:val="Emphasis"/>
    <w:qFormat/>
    <w:uiPriority w:val="0"/>
    <w:rPr>
      <w:i/>
      <w:iCs/>
    </w:rPr>
  </w:style>
  <w:style w:type="character" w:styleId="43">
    <w:name w:val="Hyperlink"/>
    <w:qFormat/>
    <w:uiPriority w:val="99"/>
    <w:rPr>
      <w:rFonts w:hint="eastAsia" w:ascii="宋体" w:hAnsi="宋体" w:eastAsia="宋体" w:cs="宋体"/>
      <w:color w:val="000000"/>
      <w:sz w:val="18"/>
      <w:szCs w:val="18"/>
      <w:u w:val="none"/>
    </w:rPr>
  </w:style>
  <w:style w:type="character" w:styleId="44">
    <w:name w:val="annotation reference"/>
    <w:semiHidden/>
    <w:qFormat/>
    <w:uiPriority w:val="0"/>
    <w:rPr>
      <w:sz w:val="21"/>
      <w:szCs w:val="21"/>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7">
    <w:name w:val="Table Professional"/>
    <w:basedOn w:val="45"/>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48">
    <w:name w:val="p0"/>
    <w:basedOn w:val="1"/>
    <w:qFormat/>
    <w:uiPriority w:val="0"/>
    <w:pPr>
      <w:jc w:val="both"/>
    </w:pPr>
    <w:rPr>
      <w:rFonts w:ascii="仿宋_GB2312" w:hAnsi="宋体" w:eastAsia="仿宋_GB2312" w:cs="宋体"/>
      <w:sz w:val="24"/>
      <w:szCs w:val="24"/>
    </w:rPr>
  </w:style>
  <w:style w:type="paragraph" w:customStyle="1" w:styleId="49">
    <w:name w:val="_Style 2"/>
    <w:basedOn w:val="1"/>
    <w:qFormat/>
    <w:uiPriority w:val="0"/>
    <w:pPr>
      <w:ind w:firstLine="420" w:firstLineChars="200"/>
    </w:pPr>
  </w:style>
  <w:style w:type="paragraph" w:customStyle="1" w:styleId="5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1">
    <w:name w:val="Body text|1"/>
    <w:basedOn w:val="1"/>
    <w:qFormat/>
    <w:uiPriority w:val="0"/>
    <w:pPr>
      <w:widowControl w:val="0"/>
      <w:shd w:val="clear" w:color="auto" w:fill="auto"/>
      <w:spacing w:after="160"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52">
    <w:name w:val="b5-1"/>
    <w:basedOn w:val="1"/>
    <w:qFormat/>
    <w:uiPriority w:val="0"/>
    <w:pPr>
      <w:spacing w:before="100" w:beforeAutospacing="1" w:after="100" w:afterAutospacing="1" w:line="355" w:lineRule="atLeast"/>
    </w:pPr>
    <w:rPr>
      <w:rFonts w:ascii="宋体" w:hAnsi="宋体"/>
      <w:sz w:val="24"/>
      <w:szCs w:val="24"/>
    </w:rPr>
  </w:style>
  <w:style w:type="paragraph" w:customStyle="1" w:styleId="53">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54">
    <w:name w:val="default"/>
    <w:basedOn w:val="1"/>
    <w:qFormat/>
    <w:uiPriority w:val="0"/>
    <w:pPr>
      <w:spacing w:after="150"/>
    </w:pPr>
    <w:rPr>
      <w:rFonts w:ascii="宋体" w:hAnsi="宋体" w:cs="宋体"/>
      <w:sz w:val="24"/>
      <w:szCs w:val="24"/>
    </w:rPr>
  </w:style>
  <w:style w:type="paragraph" w:customStyle="1" w:styleId="55">
    <w:name w:val="font4_1"/>
    <w:basedOn w:val="1"/>
    <w:qFormat/>
    <w:uiPriority w:val="0"/>
    <w:pPr>
      <w:spacing w:before="100" w:beforeAutospacing="1" w:after="100" w:afterAutospacing="1"/>
    </w:pPr>
    <w:rPr>
      <w:rFonts w:ascii="宋体" w:hAnsi="宋体"/>
      <w:color w:val="FFFFFF"/>
      <w:sz w:val="24"/>
      <w:szCs w:val="24"/>
    </w:rPr>
  </w:style>
  <w:style w:type="paragraph" w:customStyle="1" w:styleId="56">
    <w:name w:val="12shad1"/>
    <w:basedOn w:val="1"/>
    <w:qFormat/>
    <w:uiPriority w:val="0"/>
    <w:pPr>
      <w:spacing w:before="100" w:beforeAutospacing="1" w:after="100" w:afterAutospacing="1"/>
    </w:pPr>
    <w:rPr>
      <w:rFonts w:ascii="宋体" w:hAnsi="宋体"/>
      <w:b/>
      <w:bCs/>
      <w:color w:val="FFFFFF"/>
      <w:sz w:val="22"/>
      <w:szCs w:val="22"/>
    </w:rPr>
  </w:style>
  <w:style w:type="paragraph" w:customStyle="1" w:styleId="57">
    <w:name w:val="right"/>
    <w:basedOn w:val="1"/>
    <w:qFormat/>
    <w:uiPriority w:val="0"/>
    <w:pPr>
      <w:spacing w:before="100" w:beforeAutospacing="1" w:after="100" w:afterAutospacing="1"/>
    </w:pPr>
    <w:rPr>
      <w:rFonts w:ascii="宋体" w:hAnsi="宋体"/>
      <w:sz w:val="24"/>
      <w:szCs w:val="24"/>
    </w:rPr>
  </w:style>
  <w:style w:type="paragraph" w:customStyle="1" w:styleId="58">
    <w:name w:val=" Char Char Char Char"/>
    <w:basedOn w:val="1"/>
    <w:qFormat/>
    <w:uiPriority w:val="0"/>
    <w:pPr>
      <w:widowControl w:val="0"/>
      <w:jc w:val="both"/>
    </w:pPr>
    <w:rPr>
      <w:rFonts w:ascii="Tahoma" w:hAnsi="Tahoma"/>
      <w:kern w:val="2"/>
      <w:sz w:val="24"/>
    </w:rPr>
  </w:style>
  <w:style w:type="paragraph" w:customStyle="1" w:styleId="59">
    <w:name w:val="p14a"/>
    <w:basedOn w:val="1"/>
    <w:qFormat/>
    <w:uiPriority w:val="0"/>
    <w:pPr>
      <w:spacing w:before="100" w:beforeAutospacing="1" w:after="100" w:afterAutospacing="1" w:line="411" w:lineRule="atLeast"/>
    </w:pPr>
    <w:rPr>
      <w:rFonts w:ascii="宋体" w:hAnsi="宋体"/>
      <w:sz w:val="26"/>
      <w:szCs w:val="26"/>
    </w:rPr>
  </w:style>
  <w:style w:type="paragraph" w:customStyle="1" w:styleId="60">
    <w:name w:val="b2-1"/>
    <w:basedOn w:val="1"/>
    <w:qFormat/>
    <w:uiPriority w:val="0"/>
    <w:pPr>
      <w:spacing w:before="100" w:beforeAutospacing="1" w:after="100" w:afterAutospacing="1" w:line="355" w:lineRule="atLeast"/>
    </w:pPr>
    <w:rPr>
      <w:rFonts w:ascii="宋体" w:hAnsi="宋体"/>
      <w:sz w:val="24"/>
      <w:szCs w:val="24"/>
    </w:rPr>
  </w:style>
  <w:style w:type="paragraph" w:customStyle="1" w:styleId="61">
    <w:name w:val="p14"/>
    <w:basedOn w:val="1"/>
    <w:qFormat/>
    <w:uiPriority w:val="0"/>
    <w:pPr>
      <w:spacing w:before="100" w:beforeAutospacing="1" w:after="100" w:afterAutospacing="1" w:line="411" w:lineRule="atLeast"/>
    </w:pPr>
    <w:rPr>
      <w:rFonts w:ascii="宋体" w:hAnsi="宋体"/>
      <w:sz w:val="26"/>
      <w:szCs w:val="26"/>
    </w:rPr>
  </w:style>
  <w:style w:type="paragraph" w:customStyle="1" w:styleId="62">
    <w:name w:val="font2"/>
    <w:basedOn w:val="1"/>
    <w:qFormat/>
    <w:uiPriority w:val="0"/>
    <w:pPr>
      <w:spacing w:before="100" w:beforeAutospacing="1" w:after="100" w:afterAutospacing="1"/>
    </w:pPr>
    <w:rPr>
      <w:rFonts w:ascii="宋体" w:hAnsi="宋体"/>
      <w:color w:val="FF0000"/>
      <w:sz w:val="24"/>
      <w:szCs w:val="24"/>
    </w:rPr>
  </w:style>
  <w:style w:type="paragraph" w:customStyle="1" w:styleId="63">
    <w:name w:val="_Style 62"/>
    <w:basedOn w:val="1"/>
    <w:next w:val="1"/>
    <w:qFormat/>
    <w:uiPriority w:val="0"/>
    <w:pPr>
      <w:pBdr>
        <w:top w:val="single" w:color="auto" w:sz="6" w:space="1"/>
      </w:pBdr>
      <w:jc w:val="center"/>
    </w:pPr>
    <w:rPr>
      <w:rFonts w:ascii="Arial" w:hAnsi="Arial" w:cs="Arial"/>
      <w:vanish/>
      <w:sz w:val="16"/>
      <w:szCs w:val="16"/>
    </w:rPr>
  </w:style>
  <w:style w:type="paragraph" w:customStyle="1" w:styleId="64">
    <w:name w:val="_Style 32"/>
    <w:basedOn w:val="1"/>
    <w:qFormat/>
    <w:uiPriority w:val="0"/>
    <w:pPr>
      <w:widowControl w:val="0"/>
      <w:jc w:val="both"/>
    </w:pPr>
    <w:rPr>
      <w:kern w:val="2"/>
    </w:rPr>
  </w:style>
  <w:style w:type="paragraph" w:customStyle="1" w:styleId="65">
    <w:name w:val="12shad"/>
    <w:basedOn w:val="1"/>
    <w:qFormat/>
    <w:uiPriority w:val="0"/>
    <w:pPr>
      <w:spacing w:before="100" w:beforeAutospacing="1" w:after="100" w:afterAutospacing="1"/>
    </w:pPr>
    <w:rPr>
      <w:rFonts w:ascii="宋体" w:hAnsi="宋体"/>
      <w:color w:val="FFFFFF"/>
      <w:sz w:val="22"/>
      <w:szCs w:val="22"/>
    </w:rPr>
  </w:style>
  <w:style w:type="paragraph" w:customStyle="1" w:styleId="66">
    <w:name w:val="自定义正文"/>
    <w:basedOn w:val="1"/>
    <w:link w:val="120"/>
    <w:qFormat/>
    <w:uiPriority w:val="0"/>
    <w:pPr>
      <w:widowControl w:val="0"/>
      <w:spacing w:afterLines="50" w:line="360" w:lineRule="auto"/>
      <w:ind w:firstLine="200" w:firstLineChars="200"/>
    </w:pPr>
    <w:rPr>
      <w:kern w:val="2"/>
      <w:sz w:val="24"/>
    </w:rPr>
  </w:style>
  <w:style w:type="paragraph" w:customStyle="1" w:styleId="67">
    <w:name w:val="pbulletcmt"/>
    <w:basedOn w:val="1"/>
    <w:qFormat/>
    <w:uiPriority w:val="0"/>
    <w:pPr>
      <w:spacing w:before="100" w:beforeAutospacing="1" w:after="100" w:afterAutospacing="1"/>
    </w:pPr>
    <w:rPr>
      <w:sz w:val="24"/>
      <w:szCs w:val="24"/>
    </w:rPr>
  </w:style>
  <w:style w:type="paragraph" w:customStyle="1" w:styleId="68">
    <w:name w:val="a1"/>
    <w:basedOn w:val="1"/>
    <w:qFormat/>
    <w:uiPriority w:val="0"/>
    <w:pPr>
      <w:spacing w:before="100" w:beforeAutospacing="1" w:after="100" w:afterAutospacing="1"/>
    </w:pPr>
    <w:rPr>
      <w:rFonts w:ascii="宋体" w:hAnsi="宋体" w:cs="宋体"/>
      <w:sz w:val="24"/>
      <w:szCs w:val="24"/>
    </w:rPr>
  </w:style>
  <w:style w:type="paragraph" w:customStyle="1" w:styleId="69">
    <w:name w:val="正文文字表格居中"/>
    <w:basedOn w:val="1"/>
    <w:next w:val="34"/>
    <w:qFormat/>
    <w:uiPriority w:val="0"/>
    <w:pPr>
      <w:widowControl w:val="0"/>
      <w:spacing w:line="400" w:lineRule="exact"/>
      <w:jc w:val="center"/>
    </w:pPr>
    <w:rPr>
      <w:b/>
      <w:bCs/>
      <w:kern w:val="2"/>
      <w:sz w:val="24"/>
      <w:szCs w:val="24"/>
    </w:rPr>
  </w:style>
  <w:style w:type="paragraph" w:customStyle="1" w:styleId="70">
    <w:name w:val="_Style 4"/>
    <w:basedOn w:val="1"/>
    <w:qFormat/>
    <w:uiPriority w:val="0"/>
    <w:pPr>
      <w:ind w:firstLine="420" w:firstLineChars="200"/>
    </w:pPr>
    <w:rPr>
      <w:rFonts w:ascii="Times New Roman" w:hAnsi="Times New Roman" w:eastAsia="宋体" w:cs="Times New Roman"/>
    </w:rPr>
  </w:style>
  <w:style w:type="paragraph" w:customStyle="1" w:styleId="71">
    <w:name w:val="14shadhxxx"/>
    <w:basedOn w:val="1"/>
    <w:qFormat/>
    <w:uiPriority w:val="0"/>
    <w:pPr>
      <w:spacing w:before="100" w:beforeAutospacing="1" w:after="100" w:afterAutospacing="1"/>
    </w:pPr>
    <w:rPr>
      <w:rFonts w:ascii="宋体" w:hAnsi="宋体"/>
      <w:b/>
      <w:bCs/>
      <w:color w:val="000000"/>
      <w:sz w:val="26"/>
      <w:szCs w:val="26"/>
    </w:rPr>
  </w:style>
  <w:style w:type="paragraph" w:customStyle="1" w:styleId="72">
    <w:name w:val=" Char Char"/>
    <w:basedOn w:val="1"/>
    <w:qFormat/>
    <w:uiPriority w:val="0"/>
    <w:pPr>
      <w:widowControl w:val="0"/>
      <w:jc w:val="both"/>
    </w:pPr>
    <w:rPr>
      <w:kern w:val="2"/>
      <w:szCs w:val="24"/>
    </w:rPr>
  </w:style>
  <w:style w:type="paragraph" w:customStyle="1" w:styleId="73">
    <w:name w:val="Char Char1 Char Char Char Char Char Char"/>
    <w:basedOn w:val="1"/>
    <w:qFormat/>
    <w:uiPriority w:val="0"/>
    <w:pPr>
      <w:widowControl w:val="0"/>
      <w:jc w:val="center"/>
    </w:pPr>
    <w:rPr>
      <w:rFonts w:ascii="仿宋_GB2312" w:hAnsi="宋体" w:eastAsia="仿宋_GB2312" w:cs="宋体"/>
      <w:b/>
      <w:bCs/>
      <w:color w:val="000000"/>
      <w:kern w:val="2"/>
      <w:szCs w:val="22"/>
    </w:rPr>
  </w:style>
  <w:style w:type="paragraph" w:customStyle="1" w:styleId="74">
    <w:name w:val="Intense Quote"/>
    <w:basedOn w:val="1"/>
    <w:next w:val="1"/>
    <w:link w:val="119"/>
    <w:qFormat/>
    <w:uiPriority w:val="0"/>
    <w:pPr>
      <w:widowControl w:val="0"/>
      <w:pBdr>
        <w:bottom w:val="single" w:color="4F81BD" w:sz="4" w:space="4"/>
      </w:pBdr>
      <w:spacing w:before="200" w:after="280"/>
      <w:ind w:left="936" w:right="936"/>
      <w:jc w:val="both"/>
    </w:pPr>
    <w:rPr>
      <w:b/>
      <w:bCs/>
      <w:i/>
      <w:iCs/>
      <w:color w:val="4F81BD"/>
      <w:kern w:val="2"/>
    </w:rPr>
  </w:style>
  <w:style w:type="paragraph" w:customStyle="1" w:styleId="75">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b2-2"/>
    <w:basedOn w:val="1"/>
    <w:qFormat/>
    <w:uiPriority w:val="0"/>
    <w:pPr>
      <w:spacing w:before="100" w:beforeAutospacing="1" w:after="100" w:afterAutospacing="1" w:line="355" w:lineRule="atLeast"/>
    </w:pPr>
    <w:rPr>
      <w:rFonts w:ascii="宋体" w:hAnsi="宋体"/>
      <w:sz w:val="24"/>
      <w:szCs w:val="24"/>
    </w:rPr>
  </w:style>
  <w:style w:type="paragraph" w:customStyle="1" w:styleId="7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附件"/>
    <w:basedOn w:val="3"/>
    <w:qFormat/>
    <w:uiPriority w:val="0"/>
    <w:pPr>
      <w:keepNext w:val="0"/>
      <w:keepLines w:val="0"/>
      <w:pageBreakBefore/>
      <w:spacing w:before="312" w:beforeLines="100" w:after="312" w:afterLines="100" w:line="240" w:lineRule="auto"/>
      <w:jc w:val="center"/>
    </w:pPr>
    <w:rPr>
      <w:rFonts w:hAnsi="宋体"/>
      <w:sz w:val="28"/>
      <w:szCs w:val="36"/>
    </w:rPr>
  </w:style>
  <w:style w:type="paragraph" w:customStyle="1" w:styleId="79">
    <w:name w:val="BodyText1I2"/>
    <w:basedOn w:val="80"/>
    <w:qFormat/>
    <w:uiPriority w:val="0"/>
    <w:pPr>
      <w:spacing w:after="120" w:line="240" w:lineRule="auto"/>
      <w:ind w:left="420" w:leftChars="200" w:firstLine="420" w:firstLineChars="2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80">
    <w:name w:val="BodyTextIndent"/>
    <w:qFormat/>
    <w:uiPriority w:val="0"/>
    <w:pPr>
      <w:spacing w:after="120"/>
      <w:ind w:left="420" w:leftChars="2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81">
    <w:name w:val="列出段落1"/>
    <w:basedOn w:val="1"/>
    <w:qFormat/>
    <w:uiPriority w:val="0"/>
    <w:pPr>
      <w:widowControl w:val="0"/>
      <w:ind w:firstLine="420" w:firstLineChars="200"/>
      <w:jc w:val="both"/>
    </w:pPr>
    <w:rPr>
      <w:rFonts w:ascii="Calibri" w:hAnsi="Calibri"/>
      <w:kern w:val="2"/>
      <w:szCs w:val="22"/>
    </w:rPr>
  </w:style>
  <w:style w:type="paragraph" w:customStyle="1" w:styleId="82">
    <w:name w:val="l18"/>
    <w:basedOn w:val="1"/>
    <w:qFormat/>
    <w:uiPriority w:val="0"/>
    <w:pPr>
      <w:spacing w:before="100" w:beforeAutospacing="1" w:after="100" w:afterAutospacing="1" w:line="337" w:lineRule="atLeast"/>
    </w:pPr>
    <w:rPr>
      <w:rFonts w:ascii="宋体" w:hAnsi="宋体"/>
      <w:sz w:val="24"/>
      <w:szCs w:val="24"/>
    </w:rPr>
  </w:style>
  <w:style w:type="paragraph" w:customStyle="1" w:styleId="83">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84">
    <w:name w:val="p14_1"/>
    <w:basedOn w:val="1"/>
    <w:qFormat/>
    <w:uiPriority w:val="0"/>
    <w:pPr>
      <w:spacing w:before="100" w:beforeAutospacing="1" w:after="100" w:afterAutospacing="1"/>
    </w:pPr>
    <w:rPr>
      <w:rFonts w:ascii="宋体" w:hAnsi="宋体"/>
      <w:color w:val="000000"/>
      <w:sz w:val="26"/>
      <w:szCs w:val="26"/>
    </w:rPr>
  </w:style>
  <w:style w:type="paragraph" w:customStyle="1" w:styleId="85">
    <w:name w:val="_Style 70"/>
    <w:basedOn w:val="1"/>
    <w:qFormat/>
    <w:uiPriority w:val="0"/>
    <w:pPr>
      <w:widowControl w:val="0"/>
      <w:jc w:val="both"/>
    </w:pPr>
    <w:rPr>
      <w:kern w:val="2"/>
    </w:rPr>
  </w:style>
  <w:style w:type="paragraph" w:customStyle="1" w:styleId="86">
    <w:name w:val="表格文字"/>
    <w:basedOn w:val="1"/>
    <w:next w:val="2"/>
    <w:qFormat/>
    <w:uiPriority w:val="0"/>
    <w:pPr>
      <w:adjustRightInd w:val="0"/>
      <w:spacing w:line="420" w:lineRule="atLeast"/>
      <w:textAlignment w:val="baseline"/>
    </w:pPr>
    <w:rPr>
      <w:szCs w:val="24"/>
    </w:rPr>
  </w:style>
  <w:style w:type="paragraph" w:customStyle="1" w:styleId="87">
    <w:name w:val="Char Char"/>
    <w:basedOn w:val="1"/>
    <w:qFormat/>
    <w:uiPriority w:val="0"/>
    <w:pPr>
      <w:widowControl w:val="0"/>
      <w:jc w:val="both"/>
    </w:pPr>
    <w:rPr>
      <w:rFonts w:ascii="仿宋_GB2312" w:eastAsia="仿宋_GB2312"/>
      <w:b/>
      <w:kern w:val="2"/>
      <w:sz w:val="32"/>
      <w:szCs w:val="32"/>
    </w:rPr>
  </w:style>
  <w:style w:type="paragraph" w:customStyle="1" w:styleId="88">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9">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90">
    <w:name w:val="b3-1"/>
    <w:basedOn w:val="1"/>
    <w:qFormat/>
    <w:uiPriority w:val="0"/>
    <w:pPr>
      <w:spacing w:before="100" w:beforeAutospacing="1" w:after="100" w:afterAutospacing="1" w:line="355" w:lineRule="atLeast"/>
    </w:pPr>
    <w:rPr>
      <w:rFonts w:ascii="宋体" w:hAnsi="宋体"/>
      <w:sz w:val="24"/>
      <w:szCs w:val="24"/>
    </w:rPr>
  </w:style>
  <w:style w:type="paragraph" w:customStyle="1" w:styleId="91">
    <w:name w:val="l17"/>
    <w:basedOn w:val="1"/>
    <w:qFormat/>
    <w:uiPriority w:val="0"/>
    <w:pPr>
      <w:spacing w:before="100" w:beforeAutospacing="1" w:after="100" w:afterAutospacing="1" w:line="318" w:lineRule="atLeast"/>
    </w:pPr>
    <w:rPr>
      <w:rFonts w:ascii="宋体" w:hAnsi="宋体"/>
      <w:sz w:val="24"/>
      <w:szCs w:val="24"/>
    </w:rPr>
  </w:style>
  <w:style w:type="paragraph" w:customStyle="1" w:styleId="92">
    <w:name w:val="正文文本 (2)"/>
    <w:basedOn w:val="1"/>
    <w:link w:val="133"/>
    <w:qFormat/>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93">
    <w:name w:val=" Char Char Char Char Char Char Char Char Char Char Char Char Char Char Char Char Char Char Char"/>
    <w:basedOn w:val="1"/>
    <w:qFormat/>
    <w:uiPriority w:val="0"/>
    <w:pPr>
      <w:widowControl w:val="0"/>
      <w:jc w:val="both"/>
    </w:pPr>
    <w:rPr>
      <w:rFonts w:ascii="仿宋_GB2312" w:eastAsia="仿宋_GB2312"/>
      <w:b/>
      <w:kern w:val="2"/>
      <w:sz w:val="32"/>
      <w:szCs w:val="32"/>
    </w:rPr>
  </w:style>
  <w:style w:type="paragraph" w:customStyle="1" w:styleId="94">
    <w:name w:val="Other|1"/>
    <w:basedOn w:val="1"/>
    <w:qFormat/>
    <w:uiPriority w:val="0"/>
    <w:pPr>
      <w:widowControl w:val="0"/>
      <w:shd w:val="clear" w:color="auto" w:fill="auto"/>
      <w:spacing w:after="160"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left"/>
    <w:basedOn w:val="1"/>
    <w:qFormat/>
    <w:uiPriority w:val="0"/>
    <w:pPr>
      <w:spacing w:before="100" w:beforeAutospacing="1" w:after="100" w:afterAutospacing="1"/>
    </w:pPr>
    <w:rPr>
      <w:rFonts w:ascii="宋体" w:hAnsi="宋体"/>
      <w:sz w:val="24"/>
      <w:szCs w:val="24"/>
    </w:rPr>
  </w:style>
  <w:style w:type="paragraph" w:customStyle="1" w:styleId="97">
    <w:name w:val="Table Text"/>
    <w:link w:val="151"/>
    <w:qFormat/>
    <w:uiPriority w:val="0"/>
    <w:pPr>
      <w:snapToGrid w:val="0"/>
      <w:spacing w:before="80" w:after="80"/>
    </w:pPr>
    <w:rPr>
      <w:rFonts w:ascii="Arial" w:hAnsi="Arial" w:eastAsia="宋体" w:cs="Times New Roman"/>
      <w:sz w:val="18"/>
      <w:lang w:val="en-US" w:eastAsia="zh-CN" w:bidi="ar-SA"/>
    </w:rPr>
  </w:style>
  <w:style w:type="paragraph" w:customStyle="1" w:styleId="98">
    <w:name w:val=" Char Char12"/>
    <w:basedOn w:val="1"/>
    <w:qFormat/>
    <w:uiPriority w:val="0"/>
    <w:pPr>
      <w:widowControl w:val="0"/>
      <w:jc w:val="both"/>
    </w:pPr>
    <w:rPr>
      <w:kern w:val="2"/>
    </w:rPr>
  </w:style>
  <w:style w:type="paragraph" w:customStyle="1" w:styleId="99">
    <w:name w:val="_Style 35"/>
    <w:basedOn w:val="1"/>
    <w:qFormat/>
    <w:uiPriority w:val="0"/>
    <w:pPr>
      <w:widowControl w:val="0"/>
      <w:jc w:val="both"/>
    </w:pPr>
    <w:rPr>
      <w:kern w:val="2"/>
    </w:rPr>
  </w:style>
  <w:style w:type="paragraph" w:customStyle="1" w:styleId="100">
    <w:name w:val="WPSOffice手动目录 2"/>
    <w:qFormat/>
    <w:uiPriority w:val="0"/>
    <w:pPr>
      <w:ind w:leftChars="200"/>
    </w:pPr>
    <w:rPr>
      <w:rFonts w:ascii="Times New Roman" w:hAnsi="Times New Roman" w:eastAsia="宋体" w:cs="Times New Roman"/>
      <w:lang w:val="en-US" w:eastAsia="zh-CN" w:bidi="ar-SA"/>
    </w:rPr>
  </w:style>
  <w:style w:type="paragraph" w:customStyle="1" w:styleId="101">
    <w:name w:val="正文2"/>
    <w:basedOn w:val="1"/>
    <w:qFormat/>
    <w:uiPriority w:val="0"/>
    <w:pPr>
      <w:widowControl w:val="0"/>
      <w:spacing w:before="156" w:line="360" w:lineRule="auto"/>
      <w:ind w:firstLine="510" w:firstLineChars="200"/>
      <w:jc w:val="both"/>
    </w:pPr>
    <w:rPr>
      <w:kern w:val="2"/>
      <w:sz w:val="24"/>
    </w:rPr>
  </w:style>
  <w:style w:type="paragraph" w:customStyle="1" w:styleId="102">
    <w:name w:val="_Style 64"/>
    <w:basedOn w:val="1"/>
    <w:next w:val="1"/>
    <w:qFormat/>
    <w:uiPriority w:val="39"/>
    <w:pPr>
      <w:tabs>
        <w:tab w:val="right" w:leader="middleDot" w:pos="8948"/>
      </w:tabs>
    </w:pPr>
    <w:rPr>
      <w:rFonts w:ascii="宋体" w:hAnsi="宋体"/>
      <w:b/>
      <w:bCs/>
      <w:caps/>
      <w:szCs w:val="21"/>
    </w:rPr>
  </w:style>
  <w:style w:type="paragraph" w:customStyle="1" w:styleId="103">
    <w:name w:val="title"/>
    <w:basedOn w:val="1"/>
    <w:qFormat/>
    <w:uiPriority w:val="0"/>
    <w:pPr>
      <w:spacing w:before="100" w:beforeAutospacing="1" w:after="100" w:afterAutospacing="1"/>
    </w:pPr>
    <w:rPr>
      <w:rFonts w:ascii="宋体" w:hAnsi="宋体"/>
      <w:b/>
      <w:bCs/>
      <w:color w:val="0000CC"/>
      <w:sz w:val="34"/>
      <w:szCs w:val="34"/>
    </w:rPr>
  </w:style>
  <w:style w:type="paragraph" w:customStyle="1" w:styleId="104">
    <w:name w:val="_Style 103"/>
    <w:basedOn w:val="1"/>
    <w:next w:val="1"/>
    <w:qFormat/>
    <w:uiPriority w:val="0"/>
    <w:pPr>
      <w:pBdr>
        <w:bottom w:val="single" w:color="auto" w:sz="6" w:space="1"/>
      </w:pBdr>
      <w:jc w:val="center"/>
    </w:pPr>
    <w:rPr>
      <w:rFonts w:ascii="Arial" w:hAnsi="Arial" w:cs="Arial"/>
      <w:vanish/>
      <w:sz w:val="16"/>
      <w:szCs w:val="16"/>
    </w:rPr>
  </w:style>
  <w:style w:type="paragraph" w:customStyle="1" w:styleId="105">
    <w:name w:val="List Paragraph1"/>
    <w:basedOn w:val="1"/>
    <w:qFormat/>
    <w:uiPriority w:val="0"/>
    <w:pPr>
      <w:widowControl w:val="0"/>
      <w:ind w:firstLine="420" w:firstLineChars="200"/>
      <w:jc w:val="both"/>
    </w:pPr>
    <w:rPr>
      <w:kern w:val="2"/>
      <w:szCs w:val="21"/>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规范正文"/>
    <w:basedOn w:val="1"/>
    <w:qFormat/>
    <w:uiPriority w:val="0"/>
    <w:pPr>
      <w:widowControl w:val="0"/>
      <w:adjustRightInd w:val="0"/>
      <w:spacing w:beforeLines="50" w:line="360" w:lineRule="auto"/>
      <w:ind w:firstLine="480" w:firstLineChars="200"/>
      <w:jc w:val="both"/>
      <w:textAlignment w:val="baseline"/>
    </w:pPr>
    <w:rPr>
      <w:rFonts w:ascii="等线" w:hAnsi="等线" w:eastAsia="等线"/>
      <w:sz w:val="24"/>
    </w:rPr>
  </w:style>
  <w:style w:type="paragraph" w:customStyle="1" w:styleId="108">
    <w:name w:val="正文－恩普"/>
    <w:basedOn w:val="7"/>
    <w:qFormat/>
    <w:uiPriority w:val="0"/>
    <w:pPr>
      <w:framePr w:wrap="around" w:vAnchor="text" w:hAnchor="text" w:y="1"/>
      <w:widowControl w:val="0"/>
      <w:spacing w:line="360" w:lineRule="auto"/>
      <w:ind w:firstLine="200" w:firstLineChars="200"/>
      <w:jc w:val="both"/>
    </w:pPr>
    <w:rPr>
      <w:kern w:val="2"/>
      <w:sz w:val="24"/>
      <w:szCs w:val="24"/>
    </w:rPr>
  </w:style>
  <w:style w:type="paragraph" w:customStyle="1" w:styleId="109">
    <w:name w:val="xl36"/>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sz w:val="32"/>
      <w:szCs w:val="32"/>
    </w:rPr>
  </w:style>
  <w:style w:type="paragraph" w:customStyle="1" w:styleId="110">
    <w:name w:val="正文缩进1"/>
    <w:basedOn w:val="1"/>
    <w:qFormat/>
    <w:uiPriority w:val="0"/>
    <w:pPr>
      <w:widowControl w:val="0"/>
      <w:spacing w:before="60" w:after="60" w:line="440" w:lineRule="exact"/>
      <w:ind w:right="-8" w:rightChars="-4" w:firstLine="490" w:firstLineChars="204"/>
      <w:jc w:val="both"/>
    </w:pPr>
    <w:rPr>
      <w:bCs/>
      <w:color w:val="000000"/>
      <w:kern w:val="2"/>
      <w:sz w:val="24"/>
    </w:rPr>
  </w:style>
  <w:style w:type="paragraph" w:customStyle="1" w:styleId="111">
    <w:name w:val="表格非标题文字"/>
    <w:link w:val="125"/>
    <w:qFormat/>
    <w:uiPriority w:val="0"/>
    <w:pPr>
      <w:snapToGrid w:val="0"/>
      <w:spacing w:before="80" w:after="40"/>
    </w:pPr>
    <w:rPr>
      <w:rFonts w:ascii="Futura Bk" w:hAnsi="Futura Bk" w:eastAsia="宋体" w:cs="Times New Roman"/>
      <w:kern w:val="2"/>
      <w:sz w:val="18"/>
      <w:szCs w:val="21"/>
      <w:lang w:val="en-US" w:eastAsia="zh-CN" w:bidi="ar-SA"/>
    </w:rPr>
  </w:style>
  <w:style w:type="paragraph" w:styleId="112">
    <w:name w:val="List Paragraph"/>
    <w:basedOn w:val="1"/>
    <w:link w:val="148"/>
    <w:qFormat/>
    <w:uiPriority w:val="0"/>
    <w:pPr>
      <w:ind w:firstLine="420" w:firstLineChars="200"/>
    </w:pPr>
  </w:style>
  <w:style w:type="paragraph" w:customStyle="1" w:styleId="113">
    <w:name w:val="font15"/>
    <w:basedOn w:val="1"/>
    <w:qFormat/>
    <w:uiPriority w:val="0"/>
    <w:pPr>
      <w:spacing w:before="100" w:beforeAutospacing="1" w:after="100" w:afterAutospacing="1"/>
    </w:pPr>
    <w:rPr>
      <w:rFonts w:ascii="宋体" w:hAnsi="宋体"/>
      <w:b/>
      <w:bCs/>
      <w:color w:val="5C9DDF"/>
      <w:sz w:val="24"/>
      <w:szCs w:val="24"/>
    </w:rPr>
  </w:style>
  <w:style w:type="paragraph" w:customStyle="1" w:styleId="114">
    <w:name w:val="b3-2"/>
    <w:basedOn w:val="1"/>
    <w:qFormat/>
    <w:uiPriority w:val="0"/>
    <w:pPr>
      <w:spacing w:before="100" w:beforeAutospacing="1" w:after="100" w:afterAutospacing="1" w:line="355" w:lineRule="atLeast"/>
    </w:pPr>
    <w:rPr>
      <w:rFonts w:ascii="宋体" w:hAnsi="宋体"/>
      <w:sz w:val="24"/>
      <w:szCs w:val="24"/>
    </w:rPr>
  </w:style>
  <w:style w:type="paragraph" w:customStyle="1" w:styleId="115">
    <w:name w:val="list_sx"/>
    <w:basedOn w:val="1"/>
    <w:qFormat/>
    <w:uiPriority w:val="0"/>
    <w:pPr>
      <w:spacing w:before="100" w:beforeAutospacing="1" w:after="100" w:afterAutospacing="1"/>
    </w:pPr>
    <w:rPr>
      <w:rFonts w:ascii="宋体" w:hAnsi="宋体"/>
      <w:color w:val="3166CE"/>
      <w:sz w:val="24"/>
      <w:szCs w:val="24"/>
    </w:rPr>
  </w:style>
  <w:style w:type="paragraph" w:customStyle="1" w:styleId="116">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117">
    <w:name w:val="font14"/>
    <w:basedOn w:val="1"/>
    <w:qFormat/>
    <w:uiPriority w:val="0"/>
    <w:pPr>
      <w:spacing w:before="100" w:beforeAutospacing="1" w:after="100" w:afterAutospacing="1"/>
    </w:pPr>
    <w:rPr>
      <w:rFonts w:ascii="宋体" w:hAnsi="宋体"/>
      <w:color w:val="AECFEE"/>
      <w:sz w:val="24"/>
      <w:szCs w:val="24"/>
    </w:rPr>
  </w:style>
  <w:style w:type="character" w:customStyle="1" w:styleId="118">
    <w:name w:val="Char Char3"/>
    <w:qFormat/>
    <w:locked/>
    <w:uiPriority w:val="0"/>
    <w:rPr>
      <w:rFonts w:ascii="楷体_GB2312" w:eastAsia="楷体_GB2312"/>
      <w:kern w:val="2"/>
      <w:sz w:val="32"/>
      <w:lang w:bidi="ar-SA"/>
    </w:rPr>
  </w:style>
  <w:style w:type="character" w:customStyle="1" w:styleId="119">
    <w:name w:val="Intense Quote Char"/>
    <w:link w:val="74"/>
    <w:qFormat/>
    <w:locked/>
    <w:uiPriority w:val="0"/>
    <w:rPr>
      <w:rFonts w:eastAsia="宋体"/>
      <w:b/>
      <w:bCs/>
      <w:i/>
      <w:iCs/>
      <w:color w:val="4F81BD"/>
      <w:kern w:val="2"/>
      <w:sz w:val="21"/>
      <w:lang w:val="en-US" w:eastAsia="zh-CN" w:bidi="ar-SA"/>
    </w:rPr>
  </w:style>
  <w:style w:type="character" w:customStyle="1" w:styleId="120">
    <w:name w:val="自定义正文 Char Char"/>
    <w:link w:val="66"/>
    <w:qFormat/>
    <w:uiPriority w:val="0"/>
    <w:rPr>
      <w:rFonts w:eastAsia="宋体"/>
      <w:kern w:val="2"/>
      <w:sz w:val="24"/>
      <w:lang w:val="en-US" w:eastAsia="zh-CN" w:bidi="ar-SA"/>
    </w:rPr>
  </w:style>
  <w:style w:type="character" w:customStyle="1" w:styleId="121">
    <w:name w:val="gjfg"/>
    <w:basedOn w:val="38"/>
    <w:qFormat/>
    <w:uiPriority w:val="0"/>
  </w:style>
  <w:style w:type="character" w:customStyle="1" w:styleId="122">
    <w:name w:val="标题 2 Char"/>
    <w:link w:val="4"/>
    <w:semiHidden/>
    <w:qFormat/>
    <w:uiPriority w:val="9"/>
    <w:rPr>
      <w:rFonts w:ascii="Cambria" w:hAnsi="Cambria" w:eastAsia="宋体" w:cs="Times New Roman"/>
      <w:b/>
      <w:bCs/>
      <w:sz w:val="32"/>
      <w:szCs w:val="32"/>
    </w:rPr>
  </w:style>
  <w:style w:type="character" w:customStyle="1" w:styleId="123">
    <w:name w:val="正文文本 (2) + MingLiU"/>
    <w:qFormat/>
    <w:uiPriority w:val="0"/>
    <w:rPr>
      <w:rFonts w:ascii="MingLiU" w:hAnsi="MingLiU" w:eastAsia="MingLiU" w:cs="MingLiU"/>
      <w:color w:val="000000"/>
      <w:spacing w:val="0"/>
      <w:w w:val="100"/>
      <w:position w:val="0"/>
      <w:sz w:val="23"/>
      <w:szCs w:val="23"/>
      <w:u w:val="none"/>
      <w:lang w:val="zh-CN" w:eastAsia="zh-CN" w:bidi="zh-CN"/>
    </w:rPr>
  </w:style>
  <w:style w:type="character" w:customStyle="1" w:styleId="124">
    <w:name w:val="标书1 Char1"/>
    <w:qFormat/>
    <w:uiPriority w:val="0"/>
    <w:rPr>
      <w:rFonts w:ascii="宋体" w:hAnsi="Times New Roman" w:eastAsia="宋体" w:cs="Times New Roman"/>
      <w:b/>
      <w:kern w:val="44"/>
      <w:sz w:val="24"/>
      <w:szCs w:val="20"/>
    </w:rPr>
  </w:style>
  <w:style w:type="character" w:customStyle="1" w:styleId="125">
    <w:name w:val="表格非标题文字 Char"/>
    <w:link w:val="111"/>
    <w:qFormat/>
    <w:uiPriority w:val="0"/>
    <w:rPr>
      <w:rFonts w:ascii="Futura Bk" w:hAnsi="Futura Bk"/>
      <w:kern w:val="2"/>
      <w:sz w:val="18"/>
      <w:szCs w:val="21"/>
      <w:lang w:val="en-US" w:eastAsia="zh-CN" w:bidi="ar-SA"/>
    </w:rPr>
  </w:style>
  <w:style w:type="character" w:customStyle="1" w:styleId="126">
    <w:name w:val="标题 Char"/>
    <w:link w:val="37"/>
    <w:qFormat/>
    <w:uiPriority w:val="0"/>
    <w:rPr>
      <w:rFonts w:ascii="Cambria" w:hAnsi="Cambria" w:cs="Times New Roman"/>
      <w:b/>
      <w:bCs/>
      <w:sz w:val="32"/>
      <w:szCs w:val="32"/>
    </w:rPr>
  </w:style>
  <w:style w:type="character" w:customStyle="1" w:styleId="127">
    <w:name w:val="font21"/>
    <w:qFormat/>
    <w:uiPriority w:val="0"/>
    <w:rPr>
      <w:rFonts w:hint="default" w:ascii="aril" w:hAnsi="aril" w:eastAsia="aril" w:cs="aril"/>
      <w:color w:val="FF0000"/>
      <w:sz w:val="18"/>
      <w:szCs w:val="18"/>
      <w:u w:val="none"/>
    </w:rPr>
  </w:style>
  <w:style w:type="character" w:customStyle="1" w:styleId="128">
    <w:name w:val="正文缩进 Char"/>
    <w:link w:val="7"/>
    <w:qFormat/>
    <w:uiPriority w:val="0"/>
    <w:rPr>
      <w:rFonts w:ascii="Times New Roman" w:hAnsi="Times New Roman"/>
      <w:sz w:val="21"/>
    </w:rPr>
  </w:style>
  <w:style w:type="character" w:customStyle="1" w:styleId="129">
    <w:name w:val="redfilefwwh"/>
    <w:qFormat/>
    <w:uiPriority w:val="0"/>
    <w:rPr>
      <w:color w:val="BA2636"/>
      <w:sz w:val="18"/>
      <w:szCs w:val="18"/>
    </w:rPr>
  </w:style>
  <w:style w:type="character" w:customStyle="1" w:styleId="130">
    <w:name w:val="页眉 Char"/>
    <w:link w:val="29"/>
    <w:qFormat/>
    <w:uiPriority w:val="99"/>
    <w:rPr>
      <w:rFonts w:ascii="Times New Roman" w:hAnsi="Times New Roman" w:eastAsia="宋体" w:cs="Times New Roman"/>
      <w:kern w:val="0"/>
      <w:sz w:val="18"/>
      <w:szCs w:val="18"/>
    </w:rPr>
  </w:style>
  <w:style w:type="character" w:customStyle="1" w:styleId="131">
    <w:name w:val="font11"/>
    <w:qFormat/>
    <w:uiPriority w:val="0"/>
    <w:rPr>
      <w:rFonts w:hint="default" w:ascii="Times New Roman" w:hAnsi="Times New Roman" w:cs="Times New Roman"/>
      <w:b/>
      <w:color w:val="000000"/>
      <w:sz w:val="14"/>
      <w:szCs w:val="14"/>
      <w:u w:val="none"/>
    </w:rPr>
  </w:style>
  <w:style w:type="character" w:customStyle="1" w:styleId="132">
    <w:name w:val="正文文本 (2) + MingLiU2"/>
    <w:basedOn w:val="133"/>
    <w:qFormat/>
    <w:uiPriority w:val="0"/>
    <w:rPr>
      <w:rFonts w:ascii="MingLiU" w:hAnsi="MingLiU" w:eastAsia="MingLiU" w:cs="MingLiU"/>
      <w:color w:val="000000"/>
      <w:spacing w:val="0"/>
      <w:w w:val="100"/>
      <w:position w:val="0"/>
      <w:sz w:val="22"/>
      <w:szCs w:val="22"/>
      <w:u w:val="none"/>
      <w:lang w:val="zh-CN" w:eastAsia="zh-CN" w:bidi="zh-CN"/>
    </w:rPr>
  </w:style>
  <w:style w:type="character" w:customStyle="1" w:styleId="133">
    <w:name w:val="正文文本 (2)_"/>
    <w:basedOn w:val="38"/>
    <w:link w:val="92"/>
    <w:qFormat/>
    <w:uiPriority w:val="0"/>
    <w:rPr>
      <w:rFonts w:ascii="Times New Roman" w:hAnsi="Times New Roman" w:eastAsia="Times New Roman" w:cs="Times New Roman"/>
      <w:sz w:val="20"/>
      <w:szCs w:val="20"/>
      <w:u w:val="none"/>
    </w:rPr>
  </w:style>
  <w:style w:type="character" w:customStyle="1" w:styleId="134">
    <w:name w:val="页脚 Char"/>
    <w:link w:val="27"/>
    <w:qFormat/>
    <w:uiPriority w:val="0"/>
    <w:rPr>
      <w:rFonts w:ascii="Times New Roman" w:hAnsi="Times New Roman" w:eastAsia="宋体" w:cs="Times New Roman"/>
      <w:kern w:val="0"/>
      <w:sz w:val="18"/>
      <w:szCs w:val="20"/>
    </w:rPr>
  </w:style>
  <w:style w:type="character" w:customStyle="1" w:styleId="135">
    <w:name w:val="正文文本 (2) + MingLiU1"/>
    <w:basedOn w:val="133"/>
    <w:qFormat/>
    <w:uiPriority w:val="0"/>
    <w:rPr>
      <w:rFonts w:ascii="MingLiU" w:hAnsi="MingLiU" w:eastAsia="MingLiU" w:cs="MingLiU"/>
      <w:color w:val="000000"/>
      <w:spacing w:val="0"/>
      <w:w w:val="100"/>
      <w:position w:val="0"/>
      <w:sz w:val="22"/>
      <w:szCs w:val="22"/>
      <w:u w:val="none"/>
      <w:lang w:val="zh-CN" w:eastAsia="zh-CN" w:bidi="zh-CN"/>
    </w:rPr>
  </w:style>
  <w:style w:type="character" w:customStyle="1" w:styleId="136">
    <w:name w:val=" Char Char15"/>
    <w:qFormat/>
    <w:uiPriority w:val="0"/>
    <w:rPr>
      <w:rFonts w:ascii="宋体" w:hAnsi="Times New Roman" w:eastAsia="宋体" w:cs="Times New Roman"/>
      <w:b/>
      <w:kern w:val="44"/>
      <w:sz w:val="24"/>
      <w:szCs w:val="20"/>
    </w:rPr>
  </w:style>
  <w:style w:type="character" w:customStyle="1" w:styleId="137">
    <w:name w:val="Header Char"/>
    <w:qFormat/>
    <w:locked/>
    <w:uiPriority w:val="0"/>
    <w:rPr>
      <w:rFonts w:cs="Times New Roman"/>
      <w:sz w:val="18"/>
      <w:szCs w:val="18"/>
    </w:rPr>
  </w:style>
  <w:style w:type="character" w:customStyle="1" w:styleId="138">
    <w:name w:val="qxdate"/>
    <w:qFormat/>
    <w:uiPriority w:val="0"/>
    <w:rPr>
      <w:color w:val="333333"/>
      <w:sz w:val="18"/>
      <w:szCs w:val="18"/>
    </w:rPr>
  </w:style>
  <w:style w:type="character" w:customStyle="1" w:styleId="139">
    <w:name w:val="标题 1 Char"/>
    <w:link w:val="3"/>
    <w:qFormat/>
    <w:uiPriority w:val="0"/>
    <w:rPr>
      <w:rFonts w:ascii="宋体" w:hAnsi="Times New Roman" w:eastAsia="宋体" w:cs="Times New Roman"/>
      <w:b/>
      <w:kern w:val="44"/>
      <w:sz w:val="24"/>
      <w:szCs w:val="20"/>
    </w:rPr>
  </w:style>
  <w:style w:type="character" w:customStyle="1" w:styleId="140">
    <w:name w:val="批注主题 Char"/>
    <w:link w:val="9"/>
    <w:semiHidden/>
    <w:qFormat/>
    <w:locked/>
    <w:uiPriority w:val="0"/>
    <w:rPr>
      <w:rFonts w:eastAsia="宋体"/>
      <w:b/>
      <w:bCs/>
      <w:sz w:val="21"/>
      <w:lang w:val="en-US" w:eastAsia="zh-CN" w:bidi="ar-SA"/>
    </w:rPr>
  </w:style>
  <w:style w:type="character" w:customStyle="1" w:styleId="141">
    <w:name w:val="文档结构图 Char"/>
    <w:link w:val="16"/>
    <w:qFormat/>
    <w:uiPriority w:val="0"/>
    <w:rPr>
      <w:rFonts w:ascii="Heiti SC Light" w:eastAsia="Heiti SC Light"/>
      <w:kern w:val="2"/>
      <w:sz w:val="24"/>
      <w:szCs w:val="24"/>
      <w:lang w:bidi="ar-SA"/>
    </w:rPr>
  </w:style>
  <w:style w:type="character" w:customStyle="1" w:styleId="142">
    <w:name w:val=" Char Char6"/>
    <w:qFormat/>
    <w:uiPriority w:val="0"/>
    <w:rPr>
      <w:rFonts w:ascii="宋体" w:hAnsi="Times New Roman" w:eastAsia="宋体" w:cs="Times New Roman"/>
      <w:b/>
      <w:kern w:val="44"/>
      <w:sz w:val="24"/>
      <w:szCs w:val="20"/>
    </w:rPr>
  </w:style>
  <w:style w:type="character" w:customStyle="1" w:styleId="143">
    <w:name w:val="批注文字 Char"/>
    <w:link w:val="10"/>
    <w:semiHidden/>
    <w:qFormat/>
    <w:locked/>
    <w:uiPriority w:val="0"/>
    <w:rPr>
      <w:rFonts w:eastAsia="宋体"/>
      <w:sz w:val="21"/>
      <w:lang w:val="en-US" w:eastAsia="zh-CN" w:bidi="ar-SA"/>
    </w:rPr>
  </w:style>
  <w:style w:type="character" w:customStyle="1" w:styleId="144">
    <w:name w:val="NormalCharacter"/>
    <w:semiHidden/>
    <w:qFormat/>
    <w:uiPriority w:val="0"/>
  </w:style>
  <w:style w:type="character" w:customStyle="1" w:styleId="145">
    <w:name w:val="未处理的提及"/>
    <w:unhideWhenUsed/>
    <w:qFormat/>
    <w:uiPriority w:val="99"/>
    <w:rPr>
      <w:color w:val="605E5C"/>
      <w:shd w:val="clear" w:color="auto" w:fill="E1DFDD"/>
    </w:rPr>
  </w:style>
  <w:style w:type="character" w:customStyle="1" w:styleId="146">
    <w:name w:val=" Char Char11"/>
    <w:qFormat/>
    <w:uiPriority w:val="0"/>
    <w:rPr>
      <w:rFonts w:ascii="宋体" w:hAnsi="Times New Roman" w:eastAsia="宋体" w:cs="Times New Roman"/>
      <w:b/>
      <w:kern w:val="44"/>
      <w:sz w:val="24"/>
      <w:szCs w:val="20"/>
    </w:rPr>
  </w:style>
  <w:style w:type="character" w:customStyle="1" w:styleId="147">
    <w:name w:val="cfdate"/>
    <w:qFormat/>
    <w:uiPriority w:val="0"/>
    <w:rPr>
      <w:color w:val="333333"/>
      <w:sz w:val="18"/>
      <w:szCs w:val="18"/>
    </w:rPr>
  </w:style>
  <w:style w:type="character" w:customStyle="1" w:styleId="148">
    <w:name w:val="列出段落 Char"/>
    <w:link w:val="112"/>
    <w:qFormat/>
    <w:locked/>
    <w:uiPriority w:val="0"/>
    <w:rPr>
      <w:rFonts w:eastAsia="宋体"/>
      <w:sz w:val="21"/>
      <w:lang w:val="en-US" w:eastAsia="zh-CN" w:bidi="ar-SA"/>
    </w:rPr>
  </w:style>
  <w:style w:type="character" w:customStyle="1" w:styleId="149">
    <w:name w:val="正文文本 Char"/>
    <w:link w:val="2"/>
    <w:qFormat/>
    <w:uiPriority w:val="0"/>
    <w:rPr>
      <w:rFonts w:ascii="楷体_GB2312" w:hAnsi="Times New Roman" w:eastAsia="楷体_GB2312"/>
      <w:kern w:val="2"/>
      <w:sz w:val="32"/>
    </w:rPr>
  </w:style>
  <w:style w:type="character" w:customStyle="1" w:styleId="150">
    <w:name w:val="二 Char1"/>
    <w:qFormat/>
    <w:uiPriority w:val="0"/>
    <w:rPr>
      <w:rFonts w:ascii="Times New Roman" w:hAnsi="Times New Roman"/>
      <w:sz w:val="21"/>
    </w:rPr>
  </w:style>
  <w:style w:type="character" w:customStyle="1" w:styleId="151">
    <w:name w:val="Table Text Char1"/>
    <w:link w:val="97"/>
    <w:qFormat/>
    <w:uiPriority w:val="0"/>
    <w:rPr>
      <w:rFonts w:ascii="Arial" w:hAnsi="Arial"/>
      <w:sz w:val="18"/>
      <w:lang w:val="en-US" w:eastAsia="zh-CN" w:bidi="ar-SA"/>
    </w:rPr>
  </w:style>
  <w:style w:type="character" w:customStyle="1" w:styleId="152">
    <w:name w:val="font91"/>
    <w:qFormat/>
    <w:uiPriority w:val="0"/>
    <w:rPr>
      <w:rFonts w:hint="eastAsia" w:ascii="宋体" w:hAnsi="宋体" w:eastAsia="宋体" w:cs="宋体"/>
      <w:color w:val="000000"/>
      <w:sz w:val="22"/>
      <w:szCs w:val="22"/>
      <w:u w:val="none"/>
    </w:rPr>
  </w:style>
  <w:style w:type="character" w:customStyle="1" w:styleId="153">
    <w:name w:val="批注框文本 Char"/>
    <w:link w:val="26"/>
    <w:semiHidden/>
    <w:qFormat/>
    <w:uiPriority w:val="99"/>
    <w:rPr>
      <w:rFonts w:ascii="Times New Roman" w:hAnsi="Times New Roman"/>
      <w:sz w:val="18"/>
      <w:szCs w:val="18"/>
    </w:rPr>
  </w:style>
  <w:style w:type="character" w:customStyle="1" w:styleId="154">
    <w:name w:val="font01"/>
    <w:qFormat/>
    <w:uiPriority w:val="0"/>
    <w:rPr>
      <w:rFonts w:hint="default" w:ascii="华文细黑" w:hAnsi="华文细黑" w:eastAsia="华文细黑" w:cs="华文细黑"/>
      <w:b/>
      <w:color w:val="000000"/>
      <w:sz w:val="21"/>
      <w:szCs w:val="21"/>
      <w:u w:val="none"/>
    </w:rPr>
  </w:style>
  <w:style w:type="character" w:customStyle="1" w:styleId="155">
    <w:name w:val="普通文字 Char Char1"/>
    <w:qFormat/>
    <w:uiPriority w:val="0"/>
    <w:rPr>
      <w:rFonts w:ascii="宋体" w:hAnsi="Courier New" w:eastAsia="宋体"/>
      <w:kern w:val="2"/>
      <w:sz w:val="24"/>
      <w:szCs w:val="24"/>
      <w:lang w:val="en-US" w:eastAsia="zh-CN" w:bidi="ar-SA"/>
    </w:rPr>
  </w:style>
  <w:style w:type="character" w:customStyle="1" w:styleId="156">
    <w:name w:val="redfilenumber"/>
    <w:qFormat/>
    <w:uiPriority w:val="0"/>
    <w:rPr>
      <w:color w:val="BA2636"/>
      <w:sz w:val="18"/>
      <w:szCs w:val="18"/>
    </w:rPr>
  </w:style>
  <w:style w:type="character" w:customStyle="1" w:styleId="157">
    <w:name w:val="纯文本 Char"/>
    <w:link w:val="23"/>
    <w:qFormat/>
    <w:uiPriority w:val="0"/>
    <w:rPr>
      <w:rFonts w:ascii="宋体" w:hAnsi="Courier New"/>
      <w:kern w:val="2"/>
      <w:sz w:val="24"/>
      <w:szCs w:val="24"/>
      <w:lang w:bidi="ar-SA"/>
    </w:rPr>
  </w:style>
  <w:style w:type="character" w:customStyle="1" w:styleId="158">
    <w:name w:val="displayarti"/>
    <w:qFormat/>
    <w:uiPriority w:val="0"/>
    <w:rPr>
      <w:color w:val="FFFFFF"/>
      <w:shd w:val="clear" w:color="auto" w:fill="A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80</Pages>
  <Words>7711</Words>
  <Characters>43953</Characters>
  <Lines>366</Lines>
  <Paragraphs>103</Paragraphs>
  <TotalTime>4</TotalTime>
  <ScaleCrop>false</ScaleCrop>
  <LinksUpToDate>false</LinksUpToDate>
  <CharactersWithSpaces>51561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2022-05-25T09:27:00Z</dcterms:created>
  <dc:creator>ccl</dc:creator>
  <cp:lastModifiedBy>Administrator</cp:lastModifiedBy>
  <cp:lastPrinted>2022-06-09T06:15:00Z</cp:lastPrinted>
  <dcterms:modified xsi:type="dcterms:W3CDTF">2022-07-26T01:06:34Z</dcterms:modified>
  <dc:title>瑞安市公共资源交易中心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2052-10.8.2.6666</vt:lpwstr>
  </property>
  <property fmtid="{D5CDD505-2E9C-101B-9397-08002B2CF9AE}" pid="4" name="ICV">
    <vt:lpwstr>77221CAE85F44F988816041347E1218A</vt:lpwstr>
  </property>
</Properties>
</file>