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color w:val="auto"/>
          <w:spacing w:val="40"/>
          <w:sz w:val="28"/>
        </w:rPr>
      </w:pPr>
    </w:p>
    <w:p>
      <w:pPr>
        <w:jc w:val="center"/>
        <w:rPr>
          <w:rFonts w:hint="eastAsia" w:asciiTheme="minorEastAsia" w:hAnsiTheme="minorEastAsia" w:eastAsiaTheme="minorEastAsia" w:cstheme="minorEastAsia"/>
          <w:color w:val="auto"/>
          <w:spacing w:val="220"/>
          <w:sz w:val="72"/>
        </w:rPr>
      </w:pPr>
      <w:r>
        <w:rPr>
          <w:rFonts w:hint="eastAsia" w:asciiTheme="minorEastAsia" w:hAnsiTheme="minorEastAsia" w:eastAsiaTheme="minorEastAsia" w:cstheme="minorEastAsia"/>
          <w:color w:val="auto"/>
          <w:spacing w:val="20"/>
          <w:sz w:val="84"/>
        </w:rPr>
        <w:t>瓯海区（分散）采购</w:t>
      </w:r>
      <w:r>
        <w:rPr>
          <w:rFonts w:hint="eastAsia" w:asciiTheme="minorEastAsia" w:hAnsiTheme="minorEastAsia" w:eastAsiaTheme="minorEastAsia" w:cstheme="minorEastAsia"/>
          <w:color w:val="auto"/>
          <w:spacing w:val="300"/>
          <w:sz w:val="72"/>
        </w:rPr>
        <w:t xml:space="preserve"> </w:t>
      </w:r>
    </w:p>
    <w:p>
      <w:pPr>
        <w:jc w:val="center"/>
        <w:rPr>
          <w:rFonts w:hint="eastAsia" w:asciiTheme="minorEastAsia" w:hAnsiTheme="minorEastAsia" w:eastAsiaTheme="minorEastAsia" w:cstheme="minorEastAsia"/>
          <w:color w:val="auto"/>
          <w:spacing w:val="26"/>
          <w:sz w:val="52"/>
        </w:rPr>
      </w:pPr>
    </w:p>
    <w:p>
      <w:pPr>
        <w:ind w:firstLine="2350" w:firstLineChars="235"/>
        <w:rPr>
          <w:rFonts w:hint="eastAsia" w:asciiTheme="minorEastAsia" w:hAnsiTheme="minorEastAsia" w:eastAsiaTheme="minorEastAsia" w:cstheme="minorEastAsia"/>
          <w:color w:val="auto"/>
          <w:spacing w:val="140"/>
          <w:sz w:val="72"/>
        </w:rPr>
      </w:pPr>
    </w:p>
    <w:p>
      <w:pPr>
        <w:spacing w:line="360" w:lineRule="exact"/>
        <w:jc w:val="center"/>
        <w:rPr>
          <w:rFonts w:hint="eastAsia" w:asciiTheme="minorEastAsia" w:hAnsiTheme="minorEastAsia" w:eastAsiaTheme="minorEastAsia" w:cstheme="minorEastAsia"/>
          <w:color w:val="auto"/>
          <w:spacing w:val="140"/>
          <w:sz w:val="72"/>
        </w:rPr>
      </w:pPr>
    </w:p>
    <w:p>
      <w:pPr>
        <w:spacing w:line="900" w:lineRule="exact"/>
        <w:jc w:val="center"/>
        <w:rPr>
          <w:rFonts w:hint="eastAsia" w:asciiTheme="minorEastAsia" w:hAnsiTheme="minorEastAsia" w:eastAsiaTheme="minorEastAsia" w:cstheme="minorEastAsia"/>
          <w:color w:val="auto"/>
          <w:spacing w:val="140"/>
          <w:sz w:val="84"/>
          <w:szCs w:val="84"/>
        </w:rPr>
      </w:pPr>
      <w:r>
        <w:rPr>
          <w:rFonts w:hint="eastAsia" w:asciiTheme="minorEastAsia" w:hAnsiTheme="minorEastAsia" w:eastAsiaTheme="minorEastAsia" w:cstheme="minorEastAsia"/>
          <w:color w:val="auto"/>
          <w:spacing w:val="140"/>
          <w:sz w:val="84"/>
          <w:szCs w:val="84"/>
        </w:rPr>
        <w:t>招 标 文 件</w:t>
      </w:r>
    </w:p>
    <w:p>
      <w:pPr>
        <w:spacing w:line="400" w:lineRule="exact"/>
        <w:jc w:val="center"/>
        <w:rPr>
          <w:rFonts w:hint="eastAsia" w:asciiTheme="minorEastAsia" w:hAnsiTheme="minorEastAsia" w:eastAsiaTheme="minorEastAsia" w:cstheme="minorEastAsia"/>
          <w:color w:val="auto"/>
          <w:sz w:val="32"/>
        </w:rPr>
      </w:pPr>
    </w:p>
    <w:p>
      <w:pPr>
        <w:spacing w:line="400" w:lineRule="exact"/>
        <w:jc w:val="center"/>
        <w:rPr>
          <w:rFonts w:hint="eastAsia" w:asciiTheme="minorEastAsia" w:hAnsiTheme="minorEastAsia" w:eastAsiaTheme="minorEastAsia" w:cstheme="minorEastAsia"/>
          <w:color w:val="auto"/>
          <w:sz w:val="32"/>
        </w:rPr>
      </w:pPr>
      <w:r>
        <w:rPr>
          <w:rFonts w:hint="eastAsia" w:asciiTheme="minorEastAsia" w:hAnsiTheme="minorEastAsia" w:eastAsiaTheme="minorEastAsia" w:cstheme="minorEastAsia"/>
          <w:color w:val="auto"/>
          <w:sz w:val="32"/>
        </w:rPr>
        <w:t>（线上电子招投标）</w:t>
      </w: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spacing w:line="600" w:lineRule="exact"/>
        <w:ind w:firstLine="1080" w:firstLineChars="300"/>
        <w:rPr>
          <w:rFonts w:hint="eastAsia" w:asciiTheme="minorEastAsia" w:hAnsiTheme="minorEastAsia" w:eastAsiaTheme="minorEastAsia" w:cstheme="minorEastAsia"/>
          <w:color w:val="auto"/>
          <w:spacing w:val="30"/>
          <w:sz w:val="30"/>
        </w:rPr>
      </w:pPr>
      <w:r>
        <w:rPr>
          <w:rFonts w:hint="eastAsia" w:asciiTheme="minorEastAsia" w:hAnsiTheme="minorEastAsia" w:eastAsiaTheme="minorEastAsia" w:cstheme="minorEastAsia"/>
          <w:color w:val="auto"/>
          <w:spacing w:val="30"/>
          <w:sz w:val="30"/>
        </w:rPr>
        <w:t>项 目 编 号:xczc20211200</w:t>
      </w:r>
      <w:r>
        <w:rPr>
          <w:rFonts w:hint="eastAsia" w:asciiTheme="minorEastAsia" w:hAnsiTheme="minorEastAsia" w:eastAsiaTheme="minorEastAsia" w:cstheme="minorEastAsia"/>
          <w:color w:val="auto"/>
          <w:spacing w:val="30"/>
          <w:sz w:val="30"/>
          <w:lang w:val="en-US" w:eastAsia="zh-CN"/>
        </w:rPr>
        <w:t>2</w:t>
      </w:r>
      <w:r>
        <w:rPr>
          <w:rFonts w:hint="eastAsia" w:asciiTheme="minorEastAsia" w:hAnsiTheme="minorEastAsia" w:eastAsiaTheme="minorEastAsia" w:cstheme="minorEastAsia"/>
          <w:color w:val="auto"/>
          <w:spacing w:val="30"/>
          <w:sz w:val="30"/>
        </w:rPr>
        <w:t xml:space="preserve"> </w:t>
      </w:r>
    </w:p>
    <w:p>
      <w:pPr>
        <w:spacing w:line="600" w:lineRule="exact"/>
        <w:ind w:firstLine="1080" w:firstLineChars="300"/>
        <w:rPr>
          <w:rFonts w:hint="eastAsia" w:asciiTheme="minorEastAsia" w:hAnsiTheme="minorEastAsia" w:eastAsiaTheme="minorEastAsia" w:cstheme="minorEastAsia"/>
          <w:bCs/>
          <w:color w:val="auto"/>
          <w:spacing w:val="16"/>
          <w:sz w:val="30"/>
          <w:lang w:eastAsia="zh-CN"/>
        </w:rPr>
      </w:pPr>
      <w:r>
        <w:rPr>
          <w:rFonts w:hint="eastAsia" w:asciiTheme="minorEastAsia" w:hAnsiTheme="minorEastAsia" w:eastAsiaTheme="minorEastAsia" w:cstheme="minorEastAsia"/>
          <w:color w:val="auto"/>
          <w:spacing w:val="30"/>
          <w:sz w:val="30"/>
        </w:rPr>
        <w:t>项 目 名 称:</w:t>
      </w:r>
      <w:r>
        <w:rPr>
          <w:rFonts w:hint="eastAsia" w:asciiTheme="minorEastAsia" w:hAnsiTheme="minorEastAsia" w:eastAsiaTheme="minorEastAsia" w:cstheme="minorEastAsia"/>
          <w:color w:val="auto"/>
          <w:spacing w:val="30"/>
          <w:sz w:val="30"/>
          <w:lang w:eastAsia="zh-CN"/>
        </w:rPr>
        <w:t>金丽温高速古岸头互通绿化养护项目</w:t>
      </w:r>
    </w:p>
    <w:p>
      <w:pPr>
        <w:spacing w:line="600" w:lineRule="exact"/>
        <w:ind w:firstLine="1080" w:firstLineChars="300"/>
        <w:rPr>
          <w:rFonts w:hint="eastAsia" w:asciiTheme="minorEastAsia" w:hAnsiTheme="minorEastAsia" w:eastAsiaTheme="minorEastAsia" w:cstheme="minorEastAsia"/>
          <w:color w:val="auto"/>
          <w:spacing w:val="40"/>
          <w:sz w:val="30"/>
        </w:rPr>
      </w:pPr>
      <w:r>
        <w:rPr>
          <w:rFonts w:hint="eastAsia" w:asciiTheme="minorEastAsia" w:hAnsiTheme="minorEastAsia" w:eastAsiaTheme="minorEastAsia" w:cstheme="minorEastAsia"/>
          <w:color w:val="auto"/>
          <w:spacing w:val="30"/>
          <w:sz w:val="30"/>
        </w:rPr>
        <w:t>采 购 方 式:公开招标</w:t>
      </w:r>
    </w:p>
    <w:p>
      <w:pPr>
        <w:spacing w:line="600" w:lineRule="exact"/>
        <w:rPr>
          <w:rFonts w:hint="eastAsia" w:asciiTheme="minorEastAsia" w:hAnsiTheme="minorEastAsia" w:eastAsiaTheme="minorEastAsia" w:cstheme="minorEastAsia"/>
          <w:color w:val="auto"/>
          <w:spacing w:val="40"/>
          <w:sz w:val="30"/>
        </w:rPr>
      </w:pPr>
    </w:p>
    <w:p>
      <w:pPr>
        <w:spacing w:line="600" w:lineRule="exact"/>
        <w:rPr>
          <w:rFonts w:hint="eastAsia" w:asciiTheme="minorEastAsia" w:hAnsiTheme="minorEastAsia" w:eastAsiaTheme="minorEastAsia" w:cstheme="minorEastAsia"/>
          <w:color w:val="auto"/>
          <w:spacing w:val="40"/>
          <w:sz w:val="30"/>
        </w:rPr>
      </w:pPr>
    </w:p>
    <w:p>
      <w:pPr>
        <w:pStyle w:val="30"/>
        <w:spacing w:line="300" w:lineRule="atLeast"/>
        <w:rPr>
          <w:rFonts w:hint="eastAsia" w:asciiTheme="minorEastAsia" w:hAnsiTheme="minorEastAsia" w:eastAsiaTheme="minorEastAsia" w:cstheme="minorEastAsia"/>
          <w:color w:val="auto"/>
          <w:spacing w:val="20"/>
          <w:sz w:val="30"/>
        </w:rPr>
      </w:pPr>
    </w:p>
    <w:p>
      <w:pPr>
        <w:pStyle w:val="30"/>
        <w:spacing w:line="300" w:lineRule="atLeast"/>
        <w:ind w:firstLine="680" w:firstLineChars="200"/>
        <w:rPr>
          <w:rFonts w:hint="eastAsia" w:asciiTheme="minorEastAsia" w:hAnsiTheme="minorEastAsia" w:eastAsiaTheme="minorEastAsia" w:cstheme="minorEastAsia"/>
          <w:color w:val="auto"/>
          <w:spacing w:val="40"/>
          <w:sz w:val="30"/>
        </w:rPr>
      </w:pPr>
      <w:r>
        <w:rPr>
          <w:rFonts w:hint="eastAsia" w:asciiTheme="minorEastAsia" w:hAnsiTheme="minorEastAsia" w:eastAsiaTheme="minorEastAsia" w:cstheme="minorEastAsia"/>
          <w:color w:val="auto"/>
          <w:spacing w:val="20"/>
          <w:sz w:val="30"/>
        </w:rPr>
        <w:t xml:space="preserve">采 </w:t>
      </w:r>
      <w:r>
        <w:rPr>
          <w:rFonts w:hint="eastAsia" w:asciiTheme="minorEastAsia" w:hAnsiTheme="minorEastAsia" w:eastAsiaTheme="minorEastAsia" w:cstheme="minorEastAsia"/>
          <w:color w:val="auto"/>
          <w:spacing w:val="20"/>
          <w:sz w:val="30"/>
          <w:lang w:val="en-US" w:eastAsia="zh-CN"/>
        </w:rPr>
        <w:t xml:space="preserve"> </w:t>
      </w:r>
      <w:r>
        <w:rPr>
          <w:rFonts w:hint="eastAsia" w:asciiTheme="minorEastAsia" w:hAnsiTheme="minorEastAsia" w:eastAsiaTheme="minorEastAsia" w:cstheme="minorEastAsia"/>
          <w:color w:val="auto"/>
          <w:spacing w:val="20"/>
          <w:sz w:val="30"/>
        </w:rPr>
        <w:t xml:space="preserve">购 </w:t>
      </w:r>
      <w:r>
        <w:rPr>
          <w:rFonts w:hint="eastAsia" w:asciiTheme="minorEastAsia" w:hAnsiTheme="minorEastAsia" w:eastAsiaTheme="minorEastAsia" w:cstheme="minorEastAsia"/>
          <w:color w:val="auto"/>
          <w:spacing w:val="20"/>
          <w:sz w:val="30"/>
          <w:lang w:val="en-US" w:eastAsia="zh-CN"/>
        </w:rPr>
        <w:t xml:space="preserve"> </w:t>
      </w:r>
      <w:r>
        <w:rPr>
          <w:rFonts w:hint="eastAsia" w:asciiTheme="minorEastAsia" w:hAnsiTheme="minorEastAsia" w:eastAsiaTheme="minorEastAsia" w:cstheme="minorEastAsia"/>
          <w:color w:val="auto"/>
          <w:spacing w:val="20"/>
          <w:sz w:val="30"/>
        </w:rPr>
        <w:t>人:</w:t>
      </w:r>
      <w:r>
        <w:rPr>
          <w:rFonts w:hint="eastAsia" w:asciiTheme="minorEastAsia" w:hAnsiTheme="minorEastAsia" w:eastAsiaTheme="minorEastAsia" w:cstheme="minorEastAsia"/>
          <w:color w:val="auto"/>
          <w:spacing w:val="30"/>
          <w:kern w:val="2"/>
          <w:sz w:val="30"/>
        </w:rPr>
        <w:t>温州市瓯海区综合行政执法局</w:t>
      </w:r>
    </w:p>
    <w:p>
      <w:pPr>
        <w:spacing w:line="520" w:lineRule="exact"/>
        <w:ind w:firstLine="600" w:firstLineChars="200"/>
        <w:rPr>
          <w:rFonts w:hint="eastAsia" w:asciiTheme="minorEastAsia" w:hAnsiTheme="minorEastAsia" w:eastAsiaTheme="minorEastAsia" w:cstheme="minorEastAsia"/>
          <w:color w:val="auto"/>
          <w:spacing w:val="-20"/>
          <w:sz w:val="30"/>
          <w:lang w:eastAsia="zh-CN"/>
        </w:rPr>
      </w:pPr>
      <w:r>
        <w:rPr>
          <w:rFonts w:hint="eastAsia" w:asciiTheme="minorEastAsia" w:hAnsiTheme="minorEastAsia" w:eastAsiaTheme="minorEastAsia" w:cstheme="minorEastAsia"/>
          <w:color w:val="auto"/>
          <w:spacing w:val="0"/>
          <w:sz w:val="30"/>
        </w:rPr>
        <w:t>采购代理机构:</w:t>
      </w:r>
      <w:r>
        <w:rPr>
          <w:rFonts w:hint="eastAsia" w:asciiTheme="minorEastAsia" w:hAnsiTheme="minorEastAsia" w:eastAsiaTheme="minorEastAsia" w:cstheme="minorEastAsia"/>
          <w:color w:val="auto"/>
          <w:spacing w:val="0"/>
          <w:sz w:val="30"/>
          <w:lang w:eastAsia="zh-CN"/>
        </w:rPr>
        <w:t>温州市兴城工程造价审计咨询事务所（普通合伙）</w:t>
      </w:r>
    </w:p>
    <w:p>
      <w:pPr>
        <w:spacing w:line="600" w:lineRule="exact"/>
        <w:jc w:val="center"/>
        <w:rPr>
          <w:rFonts w:hint="eastAsia" w:asciiTheme="minorEastAsia" w:hAnsiTheme="minorEastAsia" w:eastAsiaTheme="minorEastAsia" w:cstheme="minorEastAsia"/>
          <w:color w:val="auto"/>
          <w:spacing w:val="40"/>
          <w:sz w:val="28"/>
        </w:rPr>
      </w:pPr>
      <w:r>
        <w:rPr>
          <w:rFonts w:hint="eastAsia" w:asciiTheme="minorEastAsia" w:hAnsiTheme="minorEastAsia" w:eastAsiaTheme="minorEastAsia" w:cstheme="minorEastAsia"/>
          <w:color w:val="auto"/>
          <w:spacing w:val="40"/>
          <w:sz w:val="28"/>
        </w:rPr>
        <w:t>二〇二一年</w:t>
      </w:r>
      <w:r>
        <w:rPr>
          <w:rFonts w:hint="eastAsia" w:asciiTheme="minorEastAsia" w:hAnsiTheme="minorEastAsia" w:eastAsiaTheme="minorEastAsia" w:cstheme="minorEastAsia"/>
          <w:color w:val="auto"/>
          <w:spacing w:val="40"/>
          <w:sz w:val="28"/>
          <w:lang w:eastAsia="zh-CN"/>
        </w:rPr>
        <w:t>十二</w:t>
      </w:r>
      <w:r>
        <w:rPr>
          <w:rFonts w:hint="eastAsia" w:asciiTheme="minorEastAsia" w:hAnsiTheme="minorEastAsia" w:eastAsiaTheme="minorEastAsia" w:cstheme="minorEastAsia"/>
          <w:color w:val="auto"/>
          <w:spacing w:val="40"/>
          <w:sz w:val="28"/>
        </w:rPr>
        <w:t>月</w:t>
      </w:r>
    </w:p>
    <w:p>
      <w:pPr>
        <w:pStyle w:val="2"/>
        <w:rPr>
          <w:rFonts w:hint="eastAsia" w:asciiTheme="minorEastAsia" w:hAnsiTheme="minorEastAsia" w:eastAsiaTheme="minorEastAsia" w:cstheme="minorEastAsia"/>
          <w:color w:val="auto"/>
          <w:spacing w:val="40"/>
          <w:sz w:val="28"/>
        </w:rPr>
      </w:pPr>
    </w:p>
    <w:p>
      <w:pPr>
        <w:pStyle w:val="4"/>
        <w:rPr>
          <w:rFonts w:hint="eastAsia" w:asciiTheme="minorEastAsia" w:hAnsiTheme="minorEastAsia" w:eastAsiaTheme="minorEastAsia" w:cstheme="minorEastAsia"/>
          <w:color w:val="auto"/>
          <w:spacing w:val="40"/>
          <w:sz w:val="28"/>
        </w:rPr>
      </w:pPr>
    </w:p>
    <w:p>
      <w:pPr>
        <w:pStyle w:val="5"/>
        <w:tabs>
          <w:tab w:val="clear" w:pos="840"/>
        </w:tabs>
        <w:adjustRightInd/>
        <w:snapToGrid/>
        <w:spacing w:before="120" w:after="120" w:line="600" w:lineRule="exact"/>
        <w:jc w:val="center"/>
        <w:rPr>
          <w:rFonts w:hint="eastAsia" w:asciiTheme="minorEastAsia" w:hAnsiTheme="minorEastAsia" w:eastAsiaTheme="minorEastAsia" w:cstheme="minorEastAsia"/>
          <w:b w:val="0"/>
          <w:bCs/>
          <w:color w:val="auto"/>
          <w:sz w:val="36"/>
          <w:szCs w:val="36"/>
        </w:rPr>
      </w:pPr>
      <w:bookmarkStart w:id="0" w:name="_Toc515203428"/>
    </w:p>
    <w:p>
      <w:pPr>
        <w:pStyle w:val="5"/>
        <w:tabs>
          <w:tab w:val="clear" w:pos="840"/>
        </w:tabs>
        <w:adjustRightInd/>
        <w:snapToGrid/>
        <w:spacing w:before="120" w:after="120" w:line="600" w:lineRule="exact"/>
        <w:jc w:val="center"/>
        <w:rPr>
          <w:rFonts w:hint="eastAsia" w:asciiTheme="minorEastAsia" w:hAnsiTheme="minorEastAsia" w:eastAsiaTheme="minorEastAsia" w:cstheme="minorEastAsia"/>
          <w:b w:val="0"/>
          <w:bCs/>
          <w:color w:val="auto"/>
          <w:sz w:val="36"/>
          <w:szCs w:val="36"/>
        </w:rPr>
      </w:pPr>
      <w:r>
        <w:rPr>
          <w:rFonts w:hint="eastAsia" w:asciiTheme="minorEastAsia" w:hAnsiTheme="minorEastAsia" w:eastAsiaTheme="minorEastAsia" w:cstheme="minorEastAsia"/>
          <w:b w:val="0"/>
          <w:bCs/>
          <w:color w:val="auto"/>
          <w:sz w:val="36"/>
          <w:szCs w:val="36"/>
        </w:rPr>
        <w:t>目    录</w:t>
      </w:r>
      <w:bookmarkEnd w:id="0"/>
    </w:p>
    <w:p>
      <w:pPr>
        <w:pStyle w:val="24"/>
        <w:tabs>
          <w:tab w:val="right" w:leader="dot" w:pos="9344"/>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b w:val="0"/>
          <w:bCs w:val="0"/>
          <w:caps w:val="0"/>
          <w:color w:val="auto"/>
          <w:sz w:val="22"/>
          <w:szCs w:val="22"/>
        </w:rPr>
        <w:fldChar w:fldCharType="begin"/>
      </w:r>
      <w:r>
        <w:rPr>
          <w:rFonts w:hint="eastAsia" w:asciiTheme="minorEastAsia" w:hAnsiTheme="minorEastAsia" w:eastAsiaTheme="minorEastAsia" w:cstheme="minorEastAsia"/>
          <w:b w:val="0"/>
          <w:bCs w:val="0"/>
          <w:caps w:val="0"/>
          <w:color w:val="auto"/>
          <w:sz w:val="22"/>
          <w:szCs w:val="22"/>
        </w:rPr>
        <w:instrText xml:space="preserve"> TOC \o "1-2" \h \z \u </w:instrText>
      </w:r>
      <w:r>
        <w:rPr>
          <w:rFonts w:hint="eastAsia" w:asciiTheme="minorEastAsia" w:hAnsiTheme="minorEastAsia" w:eastAsiaTheme="minorEastAsia" w:cstheme="minorEastAsia"/>
          <w:b w:val="0"/>
          <w:bCs w:val="0"/>
          <w:caps w:val="0"/>
          <w:color w:val="auto"/>
          <w:sz w:val="22"/>
          <w:szCs w:val="22"/>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"_Toc515203428"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目    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_Toc515203428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4"/>
        <w:tabs>
          <w:tab w:val="right" w:leader="dot" w:pos="9344"/>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"_Toc515203429"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lang w:eastAsia="zh-CN"/>
        </w:rPr>
        <w:t>温州市兴城工程造价审计咨询事务所（普通合伙）</w:t>
      </w:r>
      <w:r>
        <w:rPr>
          <w:rStyle w:val="37"/>
          <w:rFonts w:hint="eastAsia" w:asciiTheme="minorEastAsia" w:hAnsiTheme="minorEastAsia" w:eastAsiaTheme="minorEastAsia" w:cstheme="minorEastAsia"/>
          <w:color w:val="auto"/>
        </w:rPr>
        <w:t>关于</w:t>
      </w:r>
      <w:r>
        <w:rPr>
          <w:rStyle w:val="37"/>
          <w:rFonts w:hint="eastAsia" w:asciiTheme="minorEastAsia" w:hAnsiTheme="minorEastAsia" w:eastAsiaTheme="minorEastAsia" w:cstheme="minorEastAsia"/>
          <w:color w:val="auto"/>
          <w:lang w:eastAsia="zh-CN"/>
        </w:rPr>
        <w:t>金丽温高速古岸头互通绿化养护项目</w:t>
      </w:r>
      <w:r>
        <w:rPr>
          <w:rStyle w:val="37"/>
          <w:rFonts w:hint="eastAsia" w:asciiTheme="minorEastAsia" w:hAnsiTheme="minorEastAsia" w:eastAsiaTheme="minorEastAsia" w:cstheme="minorEastAsia"/>
          <w:color w:val="auto"/>
        </w:rPr>
        <w:t>的公开招标公告</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_Toc515203429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4"/>
        <w:tabs>
          <w:tab w:val="right" w:leader="dot" w:pos="9344"/>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投标邀请函（投标须知前附表）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4"/>
        <w:tabs>
          <w:tab w:val="right" w:leader="dot" w:pos="9344"/>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"_Toc515203431"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第一部分   投标供应商须知</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7"/>
        <w:tabs>
          <w:tab w:val="right" w:leader="dot" w:pos="9344"/>
        </w:tabs>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"_Toc515203432"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 说  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7"/>
        <w:tabs>
          <w:tab w:val="right" w:leader="dot" w:pos="9344"/>
        </w:tabs>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"_Toc515203433"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 xml:space="preserve">二、 </w:t>
      </w:r>
      <w:r>
        <w:rPr>
          <w:rStyle w:val="37"/>
          <w:rFonts w:hint="eastAsia" w:asciiTheme="minorEastAsia" w:hAnsiTheme="minorEastAsia" w:eastAsiaTheme="minorEastAsia" w:cstheme="minorEastAsia"/>
          <w:color w:val="auto"/>
          <w:lang w:eastAsia="zh-CN"/>
        </w:rPr>
        <w:t>采购文件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7"/>
        <w:tabs>
          <w:tab w:val="right" w:leader="dot" w:pos="9344"/>
        </w:tabs>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"_Toc515203434"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 投标文件的编制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7"/>
        <w:tabs>
          <w:tab w:val="right" w:leader="dot" w:pos="9344"/>
        </w:tabs>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"_Toc515203435"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 投标文件的递交</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7"/>
        <w:tabs>
          <w:tab w:val="right" w:leader="dot" w:pos="9344"/>
        </w:tabs>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 开标和评标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7"/>
        <w:tabs>
          <w:tab w:val="right" w:leader="dot" w:pos="9344"/>
        </w:tabs>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六、 授予合同</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4"/>
        <w:tabs>
          <w:tab w:val="right" w:leader="dot" w:pos="9344"/>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第二部分   政府采购政策功能相关说明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4"/>
        <w:tabs>
          <w:tab w:val="right" w:leader="dot" w:pos="9344"/>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"_Toc515203438"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第三部分   合同主要条款</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_Toc515203438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4"/>
        <w:tabs>
          <w:tab w:val="right" w:leader="dot" w:pos="9344"/>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"_Toc515203440"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第四部分   投标文件格式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t>1</w:t>
      </w:r>
    </w:p>
    <w:p>
      <w:pPr>
        <w:pStyle w:val="24"/>
        <w:tabs>
          <w:tab w:val="right" w:leader="dot" w:pos="9344"/>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"_Toc515203447"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第五部分   招标内容及要求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t>5</w:t>
      </w:r>
    </w:p>
    <w:p>
      <w:pPr>
        <w:pStyle w:val="24"/>
        <w:tabs>
          <w:tab w:val="right" w:leader="dot" w:pos="9344"/>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"_Toc515203448"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第六部分   评标原则及方法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t>1</w:t>
      </w:r>
    </w:p>
    <w:p>
      <w:pPr>
        <w:spacing w:line="360" w:lineRule="exact"/>
        <w:jc w:val="righ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aps/>
          <w:color w:val="auto"/>
          <w:sz w:val="22"/>
          <w:szCs w:val="22"/>
        </w:rPr>
        <w:fldChar w:fldCharType="end"/>
      </w:r>
    </w:p>
    <w:p>
      <w:pPr>
        <w:spacing w:line="440" w:lineRule="exact"/>
        <w:ind w:left="431" w:hanging="431" w:hangingChars="196"/>
        <w:rPr>
          <w:rFonts w:hint="eastAsia" w:asciiTheme="minorEastAsia" w:hAnsiTheme="minorEastAsia" w:eastAsiaTheme="minorEastAsia" w:cstheme="minorEastAsia"/>
          <w:bCs/>
          <w:color w:val="auto"/>
          <w:sz w:val="22"/>
          <w:szCs w:val="22"/>
          <w:u w:val="single"/>
        </w:rPr>
      </w:pPr>
      <w:r>
        <w:rPr>
          <w:rFonts w:hint="eastAsia" w:asciiTheme="minorEastAsia" w:hAnsiTheme="minorEastAsia" w:eastAsiaTheme="minorEastAsia" w:cstheme="minorEastAsia"/>
          <w:bCs/>
          <w:color w:val="auto"/>
          <w:sz w:val="22"/>
          <w:szCs w:val="22"/>
        </w:rPr>
        <w:t>注：1.</w:t>
      </w:r>
      <w:r>
        <w:rPr>
          <w:rFonts w:hint="eastAsia" w:asciiTheme="minorEastAsia" w:hAnsiTheme="minorEastAsia" w:eastAsiaTheme="minorEastAsia" w:cstheme="minorEastAsia"/>
          <w:bCs/>
          <w:color w:val="auto"/>
          <w:sz w:val="22"/>
          <w:szCs w:val="22"/>
          <w:u w:val="single"/>
          <w:lang w:eastAsia="zh-CN"/>
        </w:rPr>
        <w:t>采购文件</w:t>
      </w:r>
      <w:r>
        <w:rPr>
          <w:rFonts w:hint="eastAsia" w:asciiTheme="minorEastAsia" w:hAnsiTheme="minorEastAsia" w:eastAsiaTheme="minorEastAsia" w:cstheme="minorEastAsia"/>
          <w:bCs/>
          <w:color w:val="auto"/>
          <w:sz w:val="22"/>
          <w:szCs w:val="22"/>
          <w:u w:val="single"/>
        </w:rPr>
        <w:t>中加粗条款为重要条款，提醒供应商注意；加“▲”的条款为实质性条款，着重提醒供应商注意，并认真查看</w:t>
      </w:r>
      <w:r>
        <w:rPr>
          <w:rFonts w:hint="eastAsia" w:asciiTheme="minorEastAsia" w:hAnsiTheme="minorEastAsia" w:eastAsiaTheme="minorEastAsia" w:cstheme="minorEastAsia"/>
          <w:bCs/>
          <w:color w:val="auto"/>
          <w:sz w:val="22"/>
          <w:szCs w:val="22"/>
          <w:u w:val="single"/>
          <w:lang w:eastAsia="zh-CN"/>
        </w:rPr>
        <w:t>采购文件</w:t>
      </w:r>
      <w:r>
        <w:rPr>
          <w:rFonts w:hint="eastAsia" w:asciiTheme="minorEastAsia" w:hAnsiTheme="minorEastAsia" w:eastAsiaTheme="minorEastAsia" w:cstheme="minorEastAsia"/>
          <w:bCs/>
          <w:color w:val="auto"/>
          <w:sz w:val="22"/>
          <w:szCs w:val="22"/>
          <w:u w:val="single"/>
        </w:rPr>
        <w:t>中的每一个条款及要求，因误读</w:t>
      </w:r>
      <w:r>
        <w:rPr>
          <w:rFonts w:hint="eastAsia" w:asciiTheme="minorEastAsia" w:hAnsiTheme="minorEastAsia" w:eastAsiaTheme="minorEastAsia" w:cstheme="minorEastAsia"/>
          <w:bCs/>
          <w:color w:val="auto"/>
          <w:sz w:val="22"/>
          <w:szCs w:val="22"/>
          <w:u w:val="single"/>
          <w:lang w:eastAsia="zh-CN"/>
        </w:rPr>
        <w:t>采购文件</w:t>
      </w:r>
      <w:r>
        <w:rPr>
          <w:rFonts w:hint="eastAsia" w:asciiTheme="minorEastAsia" w:hAnsiTheme="minorEastAsia" w:eastAsiaTheme="minorEastAsia" w:cstheme="minorEastAsia"/>
          <w:bCs/>
          <w:color w:val="auto"/>
          <w:sz w:val="22"/>
          <w:szCs w:val="22"/>
          <w:u w:val="single"/>
        </w:rPr>
        <w:t>而造成的后果，招标采购单位概不负责。</w:t>
      </w:r>
    </w:p>
    <w:p>
      <w:pPr>
        <w:spacing w:line="440" w:lineRule="exact"/>
        <w:ind w:left="431" w:hanging="431" w:hangingChars="196"/>
        <w:rPr>
          <w:rFonts w:hint="eastAsia" w:asciiTheme="minorEastAsia" w:hAnsiTheme="minorEastAsia" w:eastAsiaTheme="minorEastAsia" w:cstheme="minorEastAsia"/>
          <w:bCs/>
          <w:color w:val="auto"/>
          <w:sz w:val="22"/>
          <w:szCs w:val="22"/>
        </w:rPr>
      </w:pPr>
    </w:p>
    <w:p>
      <w:pPr>
        <w:jc w:val="center"/>
        <w:rPr>
          <w:rFonts w:hint="eastAsia" w:asciiTheme="minorEastAsia" w:hAnsiTheme="minorEastAsia" w:eastAsiaTheme="minorEastAsia" w:cstheme="minorEastAsia"/>
          <w:bCs/>
          <w:color w:val="auto"/>
          <w:sz w:val="22"/>
          <w:szCs w:val="22"/>
        </w:rPr>
      </w:pPr>
    </w:p>
    <w:p>
      <w:pPr>
        <w:jc w:val="center"/>
        <w:rPr>
          <w:rFonts w:hint="eastAsia" w:asciiTheme="minorEastAsia" w:hAnsiTheme="minorEastAsia" w:eastAsiaTheme="minorEastAsia" w:cstheme="minorEastAsia"/>
          <w:bCs/>
          <w:color w:val="auto"/>
          <w:sz w:val="22"/>
          <w:szCs w:val="22"/>
        </w:rPr>
      </w:pPr>
    </w:p>
    <w:p>
      <w:pPr>
        <w:jc w:val="center"/>
        <w:rPr>
          <w:rFonts w:hint="eastAsia" w:asciiTheme="minorEastAsia" w:hAnsiTheme="minorEastAsia" w:eastAsiaTheme="minorEastAsia" w:cstheme="minorEastAsia"/>
          <w:bCs/>
          <w:color w:val="auto"/>
          <w:sz w:val="22"/>
          <w:szCs w:val="22"/>
        </w:rPr>
      </w:pPr>
    </w:p>
    <w:p>
      <w:pPr>
        <w:jc w:val="center"/>
        <w:rPr>
          <w:rFonts w:hint="eastAsia" w:asciiTheme="minorEastAsia" w:hAnsiTheme="minorEastAsia" w:eastAsiaTheme="minorEastAsia" w:cstheme="minorEastAsia"/>
          <w:bCs/>
          <w:color w:val="auto"/>
          <w:sz w:val="22"/>
          <w:szCs w:val="22"/>
        </w:rPr>
      </w:pPr>
    </w:p>
    <w:p>
      <w:pPr>
        <w:jc w:val="center"/>
        <w:rPr>
          <w:rFonts w:hint="eastAsia" w:asciiTheme="minorEastAsia" w:hAnsiTheme="minorEastAsia" w:eastAsiaTheme="minorEastAsia" w:cstheme="minorEastAsia"/>
          <w:bCs/>
          <w:color w:val="auto"/>
          <w:sz w:val="22"/>
          <w:szCs w:val="22"/>
        </w:rPr>
      </w:pPr>
    </w:p>
    <w:p>
      <w:pPr>
        <w:pStyle w:val="5"/>
        <w:rPr>
          <w:rFonts w:hint="eastAsia" w:asciiTheme="minorEastAsia" w:hAnsiTheme="minorEastAsia" w:eastAsiaTheme="minorEastAsia" w:cstheme="minorEastAsia"/>
          <w:color w:val="auto"/>
          <w:sz w:val="32"/>
        </w:rPr>
        <w:sectPr>
          <w:footerReference r:id="rId6" w:type="first"/>
          <w:headerReference r:id="rId3" w:type="default"/>
          <w:footerReference r:id="rId4" w:type="default"/>
          <w:footerReference r:id="rId5" w:type="even"/>
          <w:pgSz w:w="11906" w:h="16838"/>
          <w:pgMar w:top="1134" w:right="1134" w:bottom="1134" w:left="1134" w:header="851" w:footer="992" w:gutter="284"/>
          <w:pgNumType w:fmt="decimal" w:start="0"/>
          <w:cols w:space="720" w:num="1"/>
          <w:titlePg/>
          <w:docGrid w:linePitch="312" w:charSpace="0"/>
        </w:sectPr>
      </w:pPr>
      <w:bookmarkStart w:id="1" w:name="_Toc267898765"/>
    </w:p>
    <w:bookmarkEnd w:id="1"/>
    <w:p>
      <w:pPr>
        <w:autoSpaceDE w:val="0"/>
        <w:autoSpaceDN w:val="0"/>
        <w:adjustRightInd w:val="0"/>
        <w:snapToGrid w:val="0"/>
        <w:spacing w:line="454" w:lineRule="atLeast"/>
        <w:jc w:val="center"/>
        <w:textAlignment w:val="bottom"/>
        <w:outlineLvl w:val="0"/>
        <w:rPr>
          <w:rFonts w:hint="eastAsia" w:asciiTheme="minorEastAsia" w:hAnsiTheme="minorEastAsia" w:eastAsiaTheme="minorEastAsia" w:cstheme="minorEastAsia"/>
          <w:color w:val="auto"/>
          <w:sz w:val="28"/>
          <w:szCs w:val="28"/>
        </w:rPr>
      </w:pPr>
      <w:bookmarkStart w:id="2" w:name="_Toc508617271"/>
      <w:bookmarkStart w:id="3" w:name="_Toc21586"/>
      <w:bookmarkStart w:id="4" w:name="_Toc4225"/>
      <w:bookmarkStart w:id="5" w:name="_Toc508447536"/>
      <w:bookmarkStart w:id="6" w:name="_Toc16788"/>
      <w:bookmarkStart w:id="7" w:name="_Toc515203429"/>
      <w:bookmarkStart w:id="8" w:name="_Toc504047751"/>
      <w:r>
        <w:rPr>
          <w:rFonts w:hint="eastAsia" w:asciiTheme="minorEastAsia" w:hAnsiTheme="minorEastAsia" w:eastAsiaTheme="minorEastAsia" w:cstheme="minorEastAsia"/>
          <w:color w:val="auto"/>
          <w:sz w:val="28"/>
          <w:szCs w:val="28"/>
          <w:lang w:eastAsia="zh-CN"/>
        </w:rPr>
        <w:t>温州市兴城工程造价审计咨询事务所（普通合伙）</w:t>
      </w:r>
      <w:r>
        <w:rPr>
          <w:rFonts w:hint="eastAsia" w:asciiTheme="minorEastAsia" w:hAnsiTheme="minorEastAsia" w:eastAsiaTheme="minorEastAsia" w:cstheme="minorEastAsia"/>
          <w:color w:val="auto"/>
          <w:sz w:val="28"/>
          <w:szCs w:val="28"/>
        </w:rPr>
        <w:t>关于</w:t>
      </w:r>
      <w:bookmarkEnd w:id="2"/>
      <w:bookmarkEnd w:id="3"/>
      <w:bookmarkEnd w:id="4"/>
      <w:bookmarkEnd w:id="5"/>
      <w:bookmarkEnd w:id="6"/>
      <w:bookmarkStart w:id="9" w:name="_Toc508617272"/>
      <w:bookmarkStart w:id="10" w:name="_Toc30540"/>
      <w:r>
        <w:rPr>
          <w:rFonts w:hint="eastAsia" w:asciiTheme="minorEastAsia" w:hAnsiTheme="minorEastAsia" w:eastAsiaTheme="minorEastAsia" w:cstheme="minorEastAsia"/>
          <w:color w:val="auto"/>
          <w:sz w:val="28"/>
          <w:szCs w:val="28"/>
          <w:lang w:eastAsia="zh-CN"/>
        </w:rPr>
        <w:t>金丽温高速古岸头互通绿化养护项目</w:t>
      </w:r>
      <w:r>
        <w:rPr>
          <w:rFonts w:hint="eastAsia" w:asciiTheme="minorEastAsia" w:hAnsiTheme="minorEastAsia" w:eastAsiaTheme="minorEastAsia" w:cstheme="minorEastAsia"/>
          <w:color w:val="auto"/>
          <w:sz w:val="28"/>
          <w:szCs w:val="28"/>
        </w:rPr>
        <w:t>的公开招标公告</w:t>
      </w:r>
      <w:bookmarkEnd w:id="7"/>
      <w:bookmarkEnd w:id="8"/>
      <w:bookmarkEnd w:id="9"/>
      <w:bookmarkEnd w:id="10"/>
    </w:p>
    <w:p>
      <w:pPr>
        <w:autoSpaceDE w:val="0"/>
        <w:autoSpaceDN w:val="0"/>
        <w:adjustRightInd w:val="0"/>
        <w:snapToGrid w:val="0"/>
        <w:spacing w:line="454" w:lineRule="atLeast"/>
        <w:jc w:val="center"/>
        <w:textAlignment w:val="bottom"/>
        <w:outlineLvl w:val="0"/>
        <w:rPr>
          <w:rFonts w:hint="eastAsia" w:asciiTheme="minorEastAsia" w:hAnsiTheme="minorEastAsia" w:eastAsiaTheme="minorEastAsia" w:cstheme="minorEastAsia"/>
          <w:color w:val="auto"/>
          <w:sz w:val="28"/>
          <w:szCs w:val="28"/>
        </w:rPr>
      </w:pP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项目概况</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szCs w:val="22"/>
          <w:lang w:eastAsia="zh-CN"/>
        </w:rPr>
        <w:t>金丽温高速古岸头互通绿化养护项目</w:t>
      </w:r>
      <w:r>
        <w:rPr>
          <w:rFonts w:hint="eastAsia" w:asciiTheme="minorEastAsia" w:hAnsiTheme="minorEastAsia" w:eastAsiaTheme="minorEastAsia" w:cstheme="minorEastAsia"/>
          <w:color w:val="auto"/>
          <w:sz w:val="22"/>
        </w:rPr>
        <w:t>的潜在投标人应在浙江政府采购网获取（下载）</w:t>
      </w:r>
      <w:r>
        <w:rPr>
          <w:rFonts w:hint="eastAsia" w:asciiTheme="minorEastAsia" w:hAnsiTheme="minorEastAsia" w:eastAsiaTheme="minorEastAsia" w:cstheme="minorEastAsia"/>
          <w:color w:val="auto"/>
          <w:sz w:val="22"/>
          <w:lang w:eastAsia="zh-CN"/>
        </w:rPr>
        <w:t>采购文件</w:t>
      </w:r>
      <w:r>
        <w:rPr>
          <w:rFonts w:hint="eastAsia" w:asciiTheme="minorEastAsia" w:hAnsiTheme="minorEastAsia" w:eastAsiaTheme="minorEastAsia" w:cstheme="minorEastAsia"/>
          <w:color w:val="auto"/>
          <w:sz w:val="22"/>
        </w:rPr>
        <w:t>，</w:t>
      </w:r>
      <w:r>
        <w:rPr>
          <w:rFonts w:hint="eastAsia" w:asciiTheme="minorEastAsia" w:hAnsiTheme="minorEastAsia" w:eastAsiaTheme="minorEastAsia" w:cstheme="minorEastAsia"/>
          <w:color w:val="auto"/>
          <w:sz w:val="22"/>
        </w:rPr>
        <w:t>并于202</w:t>
      </w:r>
      <w:r>
        <w:rPr>
          <w:rFonts w:hint="eastAsia" w:asciiTheme="minorEastAsia" w:hAnsiTheme="minorEastAsia" w:eastAsiaTheme="minorEastAsia" w:cstheme="minorEastAsia"/>
          <w:color w:val="auto"/>
          <w:sz w:val="22"/>
          <w:lang w:val="en-US" w:eastAsia="zh-CN"/>
        </w:rPr>
        <w:t>2</w:t>
      </w:r>
      <w:r>
        <w:rPr>
          <w:rFonts w:hint="eastAsia" w:asciiTheme="minorEastAsia" w:hAnsiTheme="minorEastAsia" w:eastAsiaTheme="minorEastAsia" w:cstheme="minorEastAsia"/>
          <w:color w:val="auto"/>
          <w:sz w:val="22"/>
        </w:rPr>
        <w:t>年</w:t>
      </w:r>
      <w:r>
        <w:rPr>
          <w:rFonts w:hint="eastAsia" w:asciiTheme="minorEastAsia" w:hAnsiTheme="minorEastAsia" w:eastAsiaTheme="minorEastAsia" w:cstheme="minorEastAsia"/>
          <w:color w:val="auto"/>
          <w:sz w:val="22"/>
          <w:lang w:val="en-US" w:eastAsia="zh-CN"/>
        </w:rPr>
        <w:t>1</w:t>
      </w:r>
      <w:r>
        <w:rPr>
          <w:rFonts w:hint="eastAsia" w:asciiTheme="minorEastAsia" w:hAnsiTheme="minorEastAsia" w:eastAsiaTheme="minorEastAsia" w:cstheme="minorEastAsia"/>
          <w:color w:val="auto"/>
          <w:sz w:val="22"/>
        </w:rPr>
        <w:t>月</w:t>
      </w:r>
      <w:r>
        <w:rPr>
          <w:rFonts w:hint="eastAsia" w:asciiTheme="minorEastAsia" w:hAnsiTheme="minorEastAsia" w:eastAsiaTheme="minorEastAsia" w:cstheme="minorEastAsia"/>
          <w:color w:val="auto"/>
          <w:sz w:val="22"/>
          <w:lang w:val="en-US" w:eastAsia="zh-CN"/>
        </w:rPr>
        <w:t>24</w:t>
      </w:r>
      <w:r>
        <w:rPr>
          <w:rFonts w:hint="eastAsia" w:asciiTheme="minorEastAsia" w:hAnsiTheme="minorEastAsia" w:eastAsiaTheme="minorEastAsia" w:cstheme="minorEastAsia"/>
          <w:color w:val="auto"/>
          <w:sz w:val="22"/>
        </w:rPr>
        <w:t>日9:30 （北京时</w:t>
      </w:r>
      <w:r>
        <w:rPr>
          <w:rFonts w:hint="eastAsia" w:asciiTheme="minorEastAsia" w:hAnsiTheme="minorEastAsia" w:eastAsiaTheme="minorEastAsia" w:cstheme="minorEastAsia"/>
          <w:color w:val="auto"/>
          <w:sz w:val="22"/>
        </w:rPr>
        <w:t>间）前递交（上传）投标文件。</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一、项目基本情况</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项目编号：xczc202112002</w:t>
      </w:r>
    </w:p>
    <w:p>
      <w:pPr>
        <w:tabs>
          <w:tab w:val="left" w:pos="360"/>
        </w:tabs>
        <w:spacing w:line="460" w:lineRule="exact"/>
        <w:ind w:firstLine="550" w:firstLineChars="250"/>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项目名称：</w:t>
      </w:r>
      <w:r>
        <w:rPr>
          <w:rFonts w:hint="eastAsia" w:asciiTheme="minorEastAsia" w:hAnsiTheme="minorEastAsia" w:eastAsiaTheme="minorEastAsia" w:cstheme="minorEastAsia"/>
          <w:color w:val="auto"/>
          <w:sz w:val="22"/>
          <w:szCs w:val="22"/>
          <w:lang w:eastAsia="zh-CN"/>
        </w:rPr>
        <w:t>金丽温高速古岸头互通绿化养护项目</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预算金额：</w:t>
      </w:r>
    </w:p>
    <w:tbl>
      <w:tblPr>
        <w:tblStyle w:val="39"/>
        <w:tblW w:w="923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6"/>
        <w:gridCol w:w="1686"/>
        <w:gridCol w:w="1425"/>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735"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序号</w:t>
            </w:r>
          </w:p>
        </w:tc>
        <w:tc>
          <w:tcPr>
            <w:tcW w:w="2956"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项目名称</w:t>
            </w:r>
          </w:p>
        </w:tc>
        <w:tc>
          <w:tcPr>
            <w:tcW w:w="1686"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预算金额（元）</w:t>
            </w:r>
          </w:p>
        </w:tc>
        <w:tc>
          <w:tcPr>
            <w:tcW w:w="1425"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服务期</w:t>
            </w:r>
          </w:p>
        </w:tc>
        <w:tc>
          <w:tcPr>
            <w:tcW w:w="2433"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35"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w:t>
            </w:r>
          </w:p>
        </w:tc>
        <w:tc>
          <w:tcPr>
            <w:tcW w:w="2956"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lang w:eastAsia="zh-CN"/>
              </w:rPr>
              <w:t>金丽温高速古岸头互通绿化养护项目</w:t>
            </w:r>
          </w:p>
        </w:tc>
        <w:tc>
          <w:tcPr>
            <w:tcW w:w="1686"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3116906</w:t>
            </w:r>
          </w:p>
        </w:tc>
        <w:tc>
          <w:tcPr>
            <w:tcW w:w="1425" w:type="dxa"/>
            <w:vAlign w:val="center"/>
          </w:tcPr>
          <w:p>
            <w:pPr>
              <w:widowControl/>
              <w:spacing w:line="340" w:lineRule="exact"/>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rPr>
              <w:t>2年</w:t>
            </w:r>
            <w:r>
              <w:rPr>
                <w:rFonts w:hint="eastAsia" w:asciiTheme="minorEastAsia" w:hAnsiTheme="minorEastAsia" w:eastAsiaTheme="minorEastAsia" w:cstheme="minorEastAsia"/>
                <w:color w:val="auto"/>
                <w:sz w:val="22"/>
                <w:szCs w:val="22"/>
                <w:lang w:eastAsia="zh-CN"/>
              </w:rPr>
              <w:t>，具体详见采购文件</w:t>
            </w:r>
          </w:p>
        </w:tc>
        <w:tc>
          <w:tcPr>
            <w:tcW w:w="2433" w:type="dxa"/>
            <w:vAlign w:val="center"/>
          </w:tcPr>
          <w:p>
            <w:pPr>
              <w:widowControl/>
              <w:spacing w:line="34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lang w:eastAsia="zh-CN"/>
              </w:rPr>
              <w:t>项目</w:t>
            </w:r>
            <w:r>
              <w:rPr>
                <w:rFonts w:hint="eastAsia" w:asciiTheme="minorEastAsia" w:hAnsiTheme="minorEastAsia" w:eastAsiaTheme="minorEastAsia" w:cstheme="minorEastAsia"/>
                <w:color w:val="auto"/>
                <w:sz w:val="22"/>
                <w:szCs w:val="22"/>
              </w:rPr>
              <w:t>范围内</w:t>
            </w:r>
            <w:r>
              <w:rPr>
                <w:rFonts w:hint="eastAsia" w:asciiTheme="minorEastAsia" w:hAnsiTheme="minorEastAsia" w:eastAsiaTheme="minorEastAsia" w:cstheme="minorEastAsia"/>
                <w:color w:val="auto"/>
                <w:sz w:val="22"/>
                <w:szCs w:val="22"/>
                <w:lang w:eastAsia="zh-CN"/>
              </w:rPr>
              <w:t>绿化养护</w:t>
            </w:r>
            <w:r>
              <w:rPr>
                <w:rFonts w:hint="eastAsia" w:asciiTheme="minorEastAsia" w:hAnsiTheme="minorEastAsia" w:eastAsiaTheme="minorEastAsia" w:cstheme="minorEastAsia"/>
                <w:color w:val="auto"/>
                <w:sz w:val="22"/>
                <w:szCs w:val="22"/>
              </w:rPr>
              <w:t>，具体详见采购要求</w:t>
            </w:r>
          </w:p>
        </w:tc>
      </w:tr>
    </w:tbl>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二、申请人的资格要求：</w:t>
      </w:r>
    </w:p>
    <w:p>
      <w:pPr>
        <w:widowControl/>
        <w:spacing w:line="480" w:lineRule="exact"/>
        <w:ind w:firstLine="442" w:firstLineChars="200"/>
        <w:jc w:val="left"/>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1、投标人必须符合《中华人民共和国政府采购法》第二十二条规定；</w:t>
      </w:r>
    </w:p>
    <w:p>
      <w:pPr>
        <w:widowControl/>
        <w:spacing w:line="480" w:lineRule="exact"/>
        <w:ind w:firstLine="442" w:firstLineChars="200"/>
        <w:jc w:val="left"/>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2、单位负责人为同一人或者存在直接控股、管理关系的不同供应商，不得参加同一合同项下的政府采购活动；</w:t>
      </w:r>
    </w:p>
    <w:p>
      <w:pPr>
        <w:widowControl/>
        <w:spacing w:line="480" w:lineRule="exact"/>
        <w:ind w:firstLine="442" w:firstLineChars="200"/>
        <w:jc w:val="left"/>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3、未被“信用中国”（www.creditchina.gov.cn）、“中国政府采购网”（w</w:t>
      </w:r>
      <w:bookmarkStart w:id="55" w:name="_GoBack"/>
      <w:bookmarkEnd w:id="55"/>
      <w:r>
        <w:rPr>
          <w:rFonts w:hint="eastAsia" w:asciiTheme="minorEastAsia" w:hAnsiTheme="minorEastAsia" w:eastAsiaTheme="minorEastAsia" w:cstheme="minorEastAsia"/>
          <w:b/>
          <w:bCs/>
          <w:color w:val="auto"/>
          <w:kern w:val="0"/>
          <w:sz w:val="22"/>
          <w:szCs w:val="22"/>
        </w:rPr>
        <w:t xml:space="preserve">ww.ccgp.gov.cn）、“浙江政府采购网”（ </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zfcg.czt.zj.gov.cn/）列入失信被执行人、重大税收违法案件当事人名单、政府采购严重违法失信行为记录名单、处理决定名单、被浙江省内县级及以上行政主管部门限制参加政府采购活动处罚（或处理）名单；"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
          <w:bCs/>
          <w:color w:val="auto"/>
          <w:kern w:val="0"/>
          <w:sz w:val="22"/>
          <w:szCs w:val="22"/>
        </w:rPr>
        <w:t>http://zfcg.czt.zj.gov.cn/）列入失信被执行人、重大税收违法案件当事人名单、政府采购严重违法失信行为记录名单、处理决定名单、被浙江省内县级及以上行政主管部门限制参加政府采购活动处罚（或处理）名单；</w:t>
      </w:r>
      <w:r>
        <w:rPr>
          <w:rFonts w:hint="eastAsia" w:asciiTheme="minorEastAsia" w:hAnsiTheme="minorEastAsia" w:eastAsiaTheme="minorEastAsia" w:cstheme="minorEastAsia"/>
          <w:b/>
          <w:bCs/>
          <w:color w:val="auto"/>
          <w:kern w:val="0"/>
          <w:sz w:val="22"/>
          <w:szCs w:val="22"/>
        </w:rPr>
        <w:fldChar w:fldCharType="end"/>
      </w:r>
    </w:p>
    <w:p>
      <w:pPr>
        <w:widowControl/>
        <w:spacing w:line="480" w:lineRule="exact"/>
        <w:ind w:firstLine="440" w:firstLineChars="200"/>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4、本项目不允许联合体投标。</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lang w:eastAsia="zh-CN"/>
        </w:rPr>
      </w:pPr>
      <w:r>
        <w:rPr>
          <w:rFonts w:hint="eastAsia" w:asciiTheme="minorEastAsia" w:hAnsiTheme="minorEastAsia" w:eastAsiaTheme="minorEastAsia" w:cstheme="minorEastAsia"/>
          <w:b/>
          <w:bCs/>
          <w:color w:val="auto"/>
          <w:sz w:val="22"/>
        </w:rPr>
        <w:t>三、获取</w:t>
      </w:r>
      <w:r>
        <w:rPr>
          <w:rFonts w:hint="eastAsia" w:asciiTheme="minorEastAsia" w:hAnsiTheme="minorEastAsia" w:eastAsiaTheme="minorEastAsia" w:cstheme="minorEastAsia"/>
          <w:b/>
          <w:bCs/>
          <w:color w:val="auto"/>
          <w:sz w:val="22"/>
          <w:lang w:eastAsia="zh-CN"/>
        </w:rPr>
        <w:t>采购文件</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时间：</w:t>
      </w:r>
      <w:r>
        <w:rPr>
          <w:rFonts w:hint="eastAsia" w:asciiTheme="minorEastAsia" w:hAnsiTheme="minorEastAsia" w:eastAsiaTheme="minorEastAsia" w:cstheme="minorEastAsia"/>
          <w:color w:val="auto"/>
          <w:sz w:val="22"/>
          <w:lang w:eastAsia="zh-CN"/>
        </w:rPr>
        <w:t>公告发布之日起</w:t>
      </w:r>
      <w:r>
        <w:rPr>
          <w:rFonts w:hint="eastAsia" w:asciiTheme="minorEastAsia" w:hAnsiTheme="minorEastAsia" w:eastAsiaTheme="minorEastAsia" w:cstheme="minorEastAsia"/>
          <w:color w:val="auto"/>
          <w:sz w:val="22"/>
        </w:rPr>
        <w:t>至202</w:t>
      </w:r>
      <w:r>
        <w:rPr>
          <w:rFonts w:hint="eastAsia" w:asciiTheme="minorEastAsia" w:hAnsiTheme="minorEastAsia" w:eastAsiaTheme="minorEastAsia" w:cstheme="minorEastAsia"/>
          <w:color w:val="auto"/>
          <w:sz w:val="22"/>
          <w:lang w:val="en-US" w:eastAsia="zh-CN"/>
        </w:rPr>
        <w:t>2</w:t>
      </w:r>
      <w:r>
        <w:rPr>
          <w:rFonts w:hint="eastAsia" w:asciiTheme="minorEastAsia" w:hAnsiTheme="minorEastAsia" w:eastAsiaTheme="minorEastAsia" w:cstheme="minorEastAsia"/>
          <w:color w:val="auto"/>
          <w:sz w:val="22"/>
        </w:rPr>
        <w:t>年</w:t>
      </w:r>
      <w:r>
        <w:rPr>
          <w:rFonts w:hint="eastAsia" w:asciiTheme="minorEastAsia" w:hAnsiTheme="minorEastAsia" w:eastAsiaTheme="minorEastAsia" w:cstheme="minorEastAsia"/>
          <w:color w:val="auto"/>
          <w:sz w:val="22"/>
          <w:lang w:val="en-US" w:eastAsia="zh-CN"/>
        </w:rPr>
        <w:t>1</w:t>
      </w:r>
      <w:r>
        <w:rPr>
          <w:rFonts w:hint="eastAsia" w:asciiTheme="minorEastAsia" w:hAnsiTheme="minorEastAsia" w:eastAsiaTheme="minorEastAsia" w:cstheme="minorEastAsia"/>
          <w:color w:val="auto"/>
          <w:sz w:val="22"/>
        </w:rPr>
        <w:t>月</w:t>
      </w:r>
      <w:r>
        <w:rPr>
          <w:rFonts w:hint="eastAsia" w:asciiTheme="minorEastAsia" w:hAnsiTheme="minorEastAsia" w:eastAsiaTheme="minorEastAsia" w:cstheme="minorEastAsia"/>
          <w:color w:val="auto"/>
          <w:sz w:val="22"/>
          <w:lang w:val="en-US" w:eastAsia="zh-CN"/>
        </w:rPr>
        <w:t>24</w:t>
      </w:r>
      <w:r>
        <w:rPr>
          <w:rFonts w:hint="eastAsia" w:asciiTheme="minorEastAsia" w:hAnsiTheme="minorEastAsia" w:eastAsiaTheme="minorEastAsia" w:cstheme="minorEastAsia"/>
          <w:color w:val="auto"/>
          <w:sz w:val="22"/>
        </w:rPr>
        <w:t>日，每天上午00:00至12:00 ，下午12:00至23:59（北京时间，线上获取法定节假日均可，线下获取文件法定节假日除外）</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地点（网址）：政府采购云平台（www.zcygov.cn）</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售价（元）：0 </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获取方式：</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1、本项目</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实行“政府采购云平台”在线获取，不提供</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纸质版。供应商获取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前应先完成“政府采购云平台”的账号注册；</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2、方式：潜在供应商登陆政采云平台，在线申请获取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（进入“项目采购”应用，在获取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菜单中选择项目，申请获取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，本项目</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不收取工本费；仅需浏览</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的供应商可点击“游客，浏览</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”直接下载</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浏览）；</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3、供应商获取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时须提交的文件资料：无；</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4、提示：招标公告附件内的</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（或采购需求）仅供阅览使用，供应商只有在“政府采购云平台”完成获取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申请并下载了</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后才视作依法获取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（法律法规所指的供应商获取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时间以供应商完成获取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申请后下载</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的时间为准）。</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注：请供应商按上述要求获取</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z w:val="22"/>
        </w:rPr>
        <w:t>，如未在“政采云”系统内完成相关流程，引起的投标无效责任自负。</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四、提交投标文件截止时间、开标时间和地点</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提交投标文件截止时间：202</w:t>
      </w:r>
      <w:r>
        <w:rPr>
          <w:rFonts w:hint="eastAsia" w:asciiTheme="minorEastAsia" w:hAnsiTheme="minorEastAsia" w:eastAsiaTheme="minorEastAsia" w:cstheme="minorEastAsia"/>
          <w:color w:val="auto"/>
          <w:sz w:val="22"/>
          <w:lang w:val="en-US" w:eastAsia="zh-CN"/>
        </w:rPr>
        <w:t>2</w:t>
      </w:r>
      <w:r>
        <w:rPr>
          <w:rFonts w:hint="eastAsia" w:asciiTheme="minorEastAsia" w:hAnsiTheme="minorEastAsia" w:eastAsiaTheme="minorEastAsia" w:cstheme="minorEastAsia"/>
          <w:color w:val="auto"/>
          <w:sz w:val="22"/>
        </w:rPr>
        <w:t>年</w:t>
      </w:r>
      <w:r>
        <w:rPr>
          <w:rFonts w:hint="eastAsia" w:asciiTheme="minorEastAsia" w:hAnsiTheme="minorEastAsia" w:eastAsiaTheme="minorEastAsia" w:cstheme="minorEastAsia"/>
          <w:color w:val="auto"/>
          <w:sz w:val="22"/>
          <w:lang w:val="en-US" w:eastAsia="zh-CN"/>
        </w:rPr>
        <w:t>1</w:t>
      </w:r>
      <w:r>
        <w:rPr>
          <w:rFonts w:hint="eastAsia" w:asciiTheme="minorEastAsia" w:hAnsiTheme="minorEastAsia" w:eastAsiaTheme="minorEastAsia" w:cstheme="minorEastAsia"/>
          <w:color w:val="auto"/>
          <w:sz w:val="22"/>
        </w:rPr>
        <w:t>月</w:t>
      </w:r>
      <w:r>
        <w:rPr>
          <w:rFonts w:hint="eastAsia" w:asciiTheme="minorEastAsia" w:hAnsiTheme="minorEastAsia" w:eastAsiaTheme="minorEastAsia" w:cstheme="minorEastAsia"/>
          <w:color w:val="auto"/>
          <w:sz w:val="22"/>
          <w:lang w:val="en-US" w:eastAsia="zh-CN"/>
        </w:rPr>
        <w:t>24</w:t>
      </w:r>
      <w:r>
        <w:rPr>
          <w:rFonts w:hint="eastAsia" w:asciiTheme="minorEastAsia" w:hAnsiTheme="minorEastAsia" w:eastAsiaTheme="minorEastAsia" w:cstheme="minorEastAsia"/>
          <w:color w:val="auto"/>
          <w:sz w:val="22"/>
        </w:rPr>
        <w:t xml:space="preserve">日 9:30 </w:t>
      </w:r>
    </w:p>
    <w:p>
      <w:pPr>
        <w:widowControl/>
        <w:snapToGrid w:val="0"/>
        <w:spacing w:line="460" w:lineRule="exact"/>
        <w:ind w:firstLine="440" w:firstLineChars="200"/>
        <w:jc w:val="lef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投标地点：</w:t>
      </w:r>
      <w:r>
        <w:rPr>
          <w:rFonts w:hint="eastAsia" w:asciiTheme="minorEastAsia" w:hAnsiTheme="minorEastAsia" w:eastAsiaTheme="minorEastAsia" w:cstheme="minorEastAsia"/>
          <w:color w:val="auto"/>
          <w:sz w:val="22"/>
          <w:szCs w:val="22"/>
        </w:rPr>
        <w:t>政府采购云平台在线投标，投标供应商无须前往评审现场。 </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开标时间： 202</w:t>
      </w:r>
      <w:r>
        <w:rPr>
          <w:rFonts w:hint="eastAsia" w:asciiTheme="minorEastAsia" w:hAnsiTheme="minorEastAsia" w:eastAsiaTheme="minorEastAsia" w:cstheme="minorEastAsia"/>
          <w:color w:val="auto"/>
          <w:sz w:val="22"/>
          <w:lang w:val="en-US" w:eastAsia="zh-CN"/>
        </w:rPr>
        <w:t>2</w:t>
      </w:r>
      <w:r>
        <w:rPr>
          <w:rFonts w:hint="eastAsia" w:asciiTheme="minorEastAsia" w:hAnsiTheme="minorEastAsia" w:eastAsiaTheme="minorEastAsia" w:cstheme="minorEastAsia"/>
          <w:color w:val="auto"/>
          <w:sz w:val="22"/>
        </w:rPr>
        <w:t>年</w:t>
      </w:r>
      <w:r>
        <w:rPr>
          <w:rFonts w:hint="eastAsia" w:asciiTheme="minorEastAsia" w:hAnsiTheme="minorEastAsia" w:eastAsiaTheme="minorEastAsia" w:cstheme="minorEastAsia"/>
          <w:color w:val="auto"/>
          <w:sz w:val="22"/>
          <w:lang w:val="en-US" w:eastAsia="zh-CN"/>
        </w:rPr>
        <w:t>1</w:t>
      </w:r>
      <w:r>
        <w:rPr>
          <w:rFonts w:hint="eastAsia" w:asciiTheme="minorEastAsia" w:hAnsiTheme="minorEastAsia" w:eastAsiaTheme="minorEastAsia" w:cstheme="minorEastAsia"/>
          <w:color w:val="auto"/>
          <w:sz w:val="22"/>
        </w:rPr>
        <w:t>月</w:t>
      </w:r>
      <w:r>
        <w:rPr>
          <w:rFonts w:hint="eastAsia" w:asciiTheme="minorEastAsia" w:hAnsiTheme="minorEastAsia" w:eastAsiaTheme="minorEastAsia" w:cstheme="minorEastAsia"/>
          <w:color w:val="auto"/>
          <w:sz w:val="22"/>
          <w:lang w:val="en-US" w:eastAsia="zh-CN"/>
        </w:rPr>
        <w:t>24</w:t>
      </w:r>
      <w:r>
        <w:rPr>
          <w:rFonts w:hint="eastAsia" w:asciiTheme="minorEastAsia" w:hAnsiTheme="minorEastAsia" w:eastAsiaTheme="minorEastAsia" w:cstheme="minorEastAsia"/>
          <w:color w:val="auto"/>
          <w:sz w:val="22"/>
        </w:rPr>
        <w:t>日 9:30 </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开标地点：</w:t>
      </w:r>
      <w:r>
        <w:rPr>
          <w:rFonts w:hint="eastAsia" w:asciiTheme="minorEastAsia" w:hAnsiTheme="minorEastAsia" w:eastAsiaTheme="minorEastAsia" w:cstheme="minorEastAsia"/>
          <w:color w:val="auto"/>
          <w:sz w:val="22"/>
          <w:szCs w:val="22"/>
        </w:rPr>
        <w:t>政府采购云平台在线投标，投标供应商无须前往评审现场。 </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五、公告期限</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自本公告发布之日起5个工作日。</w:t>
      </w:r>
    </w:p>
    <w:p>
      <w:pPr>
        <w:tabs>
          <w:tab w:val="left" w:pos="360"/>
        </w:tabs>
        <w:spacing w:line="460" w:lineRule="exact"/>
        <w:ind w:firstLine="552" w:firstLineChars="250"/>
        <w:rPr>
          <w:rFonts w:hint="eastAsia" w:asciiTheme="minorEastAsia" w:hAnsiTheme="minorEastAsia" w:eastAsiaTheme="minorEastAsia" w:cstheme="minorEastAsia"/>
          <w:b/>
          <w:bCs/>
          <w:color w:val="auto"/>
          <w:sz w:val="22"/>
        </w:rPr>
      </w:pPr>
      <w:r>
        <w:rPr>
          <w:rFonts w:hint="eastAsia" w:asciiTheme="minorEastAsia" w:hAnsiTheme="minorEastAsia" w:eastAsiaTheme="minorEastAsia" w:cstheme="minorEastAsia"/>
          <w:b/>
          <w:bCs/>
          <w:color w:val="auto"/>
          <w:sz w:val="22"/>
        </w:rPr>
        <w:t>六、其他补充事宜</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1、供应商认为</w:t>
      </w:r>
      <w:r>
        <w:rPr>
          <w:rFonts w:hint="eastAsia" w:asciiTheme="minorEastAsia" w:hAnsiTheme="minorEastAsia" w:eastAsiaTheme="minorEastAsia" w:cstheme="minorEastAsia"/>
          <w:color w:val="auto"/>
          <w:sz w:val="22"/>
          <w:lang w:eastAsia="zh-CN"/>
        </w:rPr>
        <w:t>采购文件</w:t>
      </w:r>
      <w:r>
        <w:rPr>
          <w:rFonts w:hint="eastAsia" w:asciiTheme="minorEastAsia" w:hAnsiTheme="minorEastAsia" w:eastAsiaTheme="minorEastAsia" w:cstheme="minorEastAsia"/>
          <w:color w:val="auto"/>
          <w:sz w:val="22"/>
        </w:rPr>
        <w:t>使自己的权益受到损害的，可以自获取到</w:t>
      </w:r>
      <w:r>
        <w:rPr>
          <w:rFonts w:hint="eastAsia" w:asciiTheme="minorEastAsia" w:hAnsiTheme="minorEastAsia" w:eastAsiaTheme="minorEastAsia" w:cstheme="minorEastAsia"/>
          <w:color w:val="auto"/>
          <w:sz w:val="22"/>
          <w:lang w:eastAsia="zh-CN"/>
        </w:rPr>
        <w:t>采购文件</w:t>
      </w:r>
      <w:r>
        <w:rPr>
          <w:rFonts w:hint="eastAsia" w:asciiTheme="minorEastAsia" w:hAnsiTheme="minorEastAsia" w:eastAsiaTheme="minorEastAsia" w:cstheme="minorEastAsia"/>
          <w:color w:val="auto"/>
          <w:sz w:val="22"/>
        </w:rPr>
        <w:t>之日（公告期限截止日之后获取到</w:t>
      </w:r>
      <w:r>
        <w:rPr>
          <w:rFonts w:hint="eastAsia" w:asciiTheme="minorEastAsia" w:hAnsiTheme="minorEastAsia" w:eastAsiaTheme="minorEastAsia" w:cstheme="minorEastAsia"/>
          <w:color w:val="auto"/>
          <w:sz w:val="22"/>
          <w:lang w:eastAsia="zh-CN"/>
        </w:rPr>
        <w:t>采购文件</w:t>
      </w:r>
      <w:r>
        <w:rPr>
          <w:rFonts w:hint="eastAsia" w:asciiTheme="minorEastAsia" w:hAnsiTheme="minorEastAsia" w:eastAsiaTheme="minorEastAsia" w:cstheme="minorEastAsia"/>
          <w:color w:val="auto"/>
          <w:sz w:val="22"/>
        </w:rPr>
        <w:t>的，以公告期限截止日起算）起7个工作日内，</w:t>
      </w:r>
      <w:r>
        <w:rPr>
          <w:rFonts w:hint="eastAsia" w:asciiTheme="minorEastAsia" w:hAnsiTheme="minorEastAsia" w:eastAsiaTheme="minorEastAsia" w:cstheme="minorEastAsia"/>
          <w:color w:val="auto"/>
          <w:sz w:val="22"/>
          <w:szCs w:val="22"/>
        </w:rPr>
        <w:t>且应当在投标截止时间之前</w:t>
      </w:r>
      <w:r>
        <w:rPr>
          <w:rFonts w:hint="eastAsia" w:asciiTheme="minorEastAsia" w:hAnsiTheme="minorEastAsia" w:eastAsiaTheme="minorEastAsia" w:cstheme="minorEastAsia"/>
          <w:color w:val="auto"/>
          <w:sz w:val="22"/>
        </w:rPr>
        <w:t>以书面形式向</w:t>
      </w:r>
      <w:r>
        <w:rPr>
          <w:rFonts w:hint="eastAsia" w:asciiTheme="minorEastAsia" w:hAnsiTheme="minorEastAsia" w:eastAsiaTheme="minorEastAsia" w:cstheme="minorEastAsia"/>
          <w:color w:val="auto"/>
          <w:sz w:val="22"/>
          <w:lang w:eastAsia="zh-CN"/>
        </w:rPr>
        <w:t>采购人</w:t>
      </w:r>
      <w:r>
        <w:rPr>
          <w:rFonts w:hint="eastAsia" w:asciiTheme="minorEastAsia" w:hAnsiTheme="minorEastAsia" w:eastAsiaTheme="minorEastAsia" w:cstheme="minorEastAsia"/>
          <w:color w:val="auto"/>
          <w:sz w:val="22"/>
        </w:rPr>
        <w:t>和招标代理机构提出质疑。质疑供应商对</w:t>
      </w:r>
      <w:r>
        <w:rPr>
          <w:rFonts w:hint="eastAsia" w:asciiTheme="minorEastAsia" w:hAnsiTheme="minorEastAsia" w:eastAsiaTheme="minorEastAsia" w:cstheme="minorEastAsia"/>
          <w:color w:val="auto"/>
          <w:sz w:val="22"/>
          <w:lang w:eastAsia="zh-CN"/>
        </w:rPr>
        <w:t>采购人</w:t>
      </w:r>
      <w:r>
        <w:rPr>
          <w:rFonts w:hint="eastAsia" w:asciiTheme="minorEastAsia" w:hAnsiTheme="minorEastAsia" w:eastAsiaTheme="minorEastAsia" w:cstheme="minorEastAsia"/>
          <w:color w:val="auto"/>
          <w:sz w:val="22"/>
        </w:rPr>
        <w:t>、招标代理机构的答复不满意或者</w:t>
      </w:r>
      <w:r>
        <w:rPr>
          <w:rFonts w:hint="eastAsia" w:asciiTheme="minorEastAsia" w:hAnsiTheme="minorEastAsia" w:eastAsiaTheme="minorEastAsia" w:cstheme="minorEastAsia"/>
          <w:color w:val="auto"/>
          <w:sz w:val="22"/>
          <w:lang w:eastAsia="zh-CN"/>
        </w:rPr>
        <w:t>采购人</w:t>
      </w:r>
      <w:r>
        <w:rPr>
          <w:rFonts w:hint="eastAsia" w:asciiTheme="minorEastAsia" w:hAnsiTheme="minorEastAsia" w:eastAsiaTheme="minorEastAsia" w:cstheme="minorEastAsia"/>
          <w:color w:val="auto"/>
          <w:sz w:val="22"/>
        </w:rPr>
        <w:t>、招标代理机构未在规定的时间内作出答复的，可以在答复期满后十五个工作日内向采购监督管理部门投诉。</w:t>
      </w:r>
    </w:p>
    <w:p>
      <w:pPr>
        <w:tabs>
          <w:tab w:val="left" w:pos="360"/>
        </w:tabs>
        <w:spacing w:line="460" w:lineRule="exact"/>
        <w:ind w:firstLine="550" w:firstLineChars="250"/>
        <w:rPr>
          <w:rFonts w:hint="eastAsia" w:asciiTheme="minorEastAsia" w:hAnsiTheme="minorEastAsia" w:eastAsiaTheme="minorEastAsia" w:cstheme="minorEastAsia"/>
          <w:color w:val="auto"/>
          <w:sz w:val="22"/>
          <w:lang w:eastAsia="zh-CN"/>
        </w:rPr>
      </w:pPr>
      <w:r>
        <w:rPr>
          <w:rFonts w:hint="eastAsia" w:asciiTheme="minorEastAsia" w:hAnsiTheme="minorEastAsia" w:eastAsiaTheme="minorEastAsia" w:cstheme="minorEastAsia"/>
          <w:color w:val="auto"/>
          <w:sz w:val="22"/>
        </w:rPr>
        <w:t>2、书面质疑受理地点：</w:t>
      </w:r>
      <w:r>
        <w:rPr>
          <w:rFonts w:hint="eastAsia" w:asciiTheme="minorEastAsia" w:hAnsiTheme="minorEastAsia" w:eastAsiaTheme="minorEastAsia" w:cstheme="minorEastAsia"/>
          <w:color w:val="auto"/>
          <w:kern w:val="0"/>
          <w:sz w:val="22"/>
          <w:szCs w:val="22"/>
          <w:lang w:eastAsia="zh-CN"/>
        </w:rPr>
        <w:t>温州市鹿城区车站大道大诚商厦E-702室</w:t>
      </w:r>
    </w:p>
    <w:p>
      <w:pPr>
        <w:tabs>
          <w:tab w:val="left" w:pos="360"/>
        </w:tabs>
        <w:spacing w:line="46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联系人：</w:t>
      </w:r>
      <w:r>
        <w:rPr>
          <w:rFonts w:hint="eastAsia" w:asciiTheme="minorEastAsia" w:hAnsiTheme="minorEastAsia" w:eastAsiaTheme="minorEastAsia" w:cstheme="minorEastAsia"/>
          <w:color w:val="auto"/>
          <w:sz w:val="22"/>
          <w:lang w:eastAsia="zh-CN"/>
        </w:rPr>
        <w:t>郑凯挺</w:t>
      </w:r>
      <w:r>
        <w:rPr>
          <w:rFonts w:hint="eastAsia" w:asciiTheme="minorEastAsia" w:hAnsiTheme="minorEastAsia" w:eastAsiaTheme="minorEastAsia" w:cstheme="minorEastAsia"/>
          <w:color w:val="auto"/>
          <w:sz w:val="22"/>
        </w:rPr>
        <w:t> </w:t>
      </w:r>
    </w:p>
    <w:p>
      <w:pPr>
        <w:tabs>
          <w:tab w:val="left" w:pos="360"/>
        </w:tabs>
        <w:spacing w:line="460" w:lineRule="exact"/>
        <w:ind w:firstLine="552"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b/>
          <w:bCs/>
          <w:color w:val="auto"/>
          <w:sz w:val="22"/>
        </w:rPr>
        <w:t>七、对本次招标提出询问，请按以下方式联系</w:t>
      </w:r>
      <w:r>
        <w:rPr>
          <w:rFonts w:hint="eastAsia" w:asciiTheme="minorEastAsia" w:hAnsiTheme="minorEastAsia" w:eastAsiaTheme="minorEastAsia" w:cstheme="minorEastAsia"/>
          <w:color w:val="auto"/>
          <w:sz w:val="22"/>
        </w:rPr>
        <w:t>。　　　　　　　　　　　　</w:t>
      </w:r>
    </w:p>
    <w:p>
      <w:pPr>
        <w:tabs>
          <w:tab w:val="left" w:pos="360"/>
        </w:tabs>
        <w:spacing w:line="480" w:lineRule="exact"/>
        <w:ind w:firstLine="550" w:firstLine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1.</w:t>
      </w:r>
      <w:r>
        <w:rPr>
          <w:rFonts w:hint="eastAsia" w:asciiTheme="minorEastAsia" w:hAnsiTheme="minorEastAsia" w:eastAsiaTheme="minorEastAsia" w:cstheme="minorEastAsia"/>
          <w:color w:val="auto"/>
          <w:sz w:val="22"/>
          <w:lang w:eastAsia="zh-CN"/>
        </w:rPr>
        <w:t>采购人</w:t>
      </w:r>
      <w:r>
        <w:rPr>
          <w:rFonts w:hint="eastAsia" w:asciiTheme="minorEastAsia" w:hAnsiTheme="minorEastAsia" w:eastAsiaTheme="minorEastAsia" w:cstheme="minorEastAsia"/>
          <w:color w:val="auto"/>
          <w:sz w:val="22"/>
        </w:rPr>
        <w:t>信息</w:t>
      </w:r>
    </w:p>
    <w:p>
      <w:pPr>
        <w:widowControl/>
        <w:shd w:val="clear" w:color="auto" w:fill="FFFFFF"/>
        <w:spacing w:line="46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采购单位：温州市瓯海区综合行政执法局</w:t>
      </w:r>
    </w:p>
    <w:p>
      <w:pPr>
        <w:widowControl/>
        <w:shd w:val="clear" w:color="auto" w:fill="FFFFFF"/>
        <w:spacing w:line="46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地    址： </w:t>
      </w:r>
      <w:r>
        <w:rPr>
          <w:rFonts w:hint="eastAsia" w:asciiTheme="minorEastAsia" w:hAnsiTheme="minorEastAsia" w:eastAsiaTheme="minorEastAsia" w:cstheme="minorEastAsia"/>
          <w:color w:val="auto"/>
          <w:sz w:val="22"/>
          <w:szCs w:val="22"/>
        </w:rPr>
        <w:t>浙江省温州市瓯海区行政管理中心2号楼六、七层 </w:t>
      </w:r>
    </w:p>
    <w:p>
      <w:pPr>
        <w:widowControl/>
        <w:shd w:val="clear" w:color="auto" w:fill="FFFFFF"/>
        <w:spacing w:line="46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项目联系人（询问）：项</w:t>
      </w:r>
      <w:r>
        <w:rPr>
          <w:rFonts w:hint="eastAsia" w:asciiTheme="minorEastAsia" w:hAnsiTheme="minorEastAsia" w:eastAsiaTheme="minorEastAsia" w:cstheme="minorEastAsia"/>
          <w:color w:val="auto"/>
          <w:sz w:val="22"/>
          <w:szCs w:val="22"/>
        </w:rPr>
        <w:t>先生</w:t>
      </w:r>
    </w:p>
    <w:p>
      <w:pPr>
        <w:widowControl/>
        <w:shd w:val="clear" w:color="auto" w:fill="FFFFFF"/>
        <w:spacing w:line="46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项目联系方式（询问）：</w:t>
      </w:r>
      <w:r>
        <w:rPr>
          <w:rFonts w:hint="eastAsia" w:asciiTheme="minorEastAsia" w:hAnsiTheme="minorEastAsia" w:eastAsiaTheme="minorEastAsia" w:cstheme="minorEastAsia"/>
          <w:color w:val="auto"/>
          <w:sz w:val="22"/>
          <w:szCs w:val="22"/>
        </w:rPr>
        <w:t>0577-88598202</w:t>
      </w:r>
    </w:p>
    <w:p>
      <w:pPr>
        <w:widowControl/>
        <w:shd w:val="clear" w:color="auto" w:fill="FFFFFF"/>
        <w:spacing w:line="46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质疑联系人：</w:t>
      </w:r>
      <w:r>
        <w:rPr>
          <w:rFonts w:hint="eastAsia" w:asciiTheme="minorEastAsia" w:hAnsiTheme="minorEastAsia" w:eastAsiaTheme="minorEastAsia" w:cstheme="minorEastAsia"/>
          <w:color w:val="auto"/>
          <w:sz w:val="22"/>
          <w:szCs w:val="22"/>
        </w:rPr>
        <w:t>朱先生</w:t>
      </w:r>
    </w:p>
    <w:p>
      <w:pPr>
        <w:widowControl/>
        <w:shd w:val="clear" w:color="auto" w:fill="FFFFFF"/>
        <w:spacing w:line="460" w:lineRule="exact"/>
        <w:ind w:firstLine="440" w:firstLineChars="20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2"/>
          <w:szCs w:val="22"/>
        </w:rPr>
        <w:t>质疑联系方式：0577-88596052 </w:t>
      </w:r>
    </w:p>
    <w:p>
      <w:pPr>
        <w:tabs>
          <w:tab w:val="left" w:pos="360"/>
        </w:tabs>
        <w:spacing w:line="48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rPr>
        <w:t>2.采购代理机构信息</w:t>
      </w:r>
      <w:r>
        <w:rPr>
          <w:rFonts w:hint="eastAsia" w:asciiTheme="minorEastAsia" w:hAnsiTheme="minorEastAsia" w:eastAsiaTheme="minorEastAsia" w:cstheme="minorEastAsia"/>
          <w:color w:val="auto"/>
          <w:sz w:val="22"/>
          <w:szCs w:val="22"/>
        </w:rPr>
        <w:t xml:space="preserve">  </w:t>
      </w:r>
    </w:p>
    <w:p>
      <w:pPr>
        <w:widowControl/>
        <w:shd w:val="clear" w:color="auto" w:fill="FFFFFF"/>
        <w:spacing w:line="46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名    称：</w:t>
      </w:r>
      <w:r>
        <w:rPr>
          <w:rFonts w:hint="eastAsia" w:asciiTheme="minorEastAsia" w:hAnsiTheme="minorEastAsia" w:eastAsiaTheme="minorEastAsia" w:cstheme="minorEastAsia"/>
          <w:color w:val="auto"/>
          <w:sz w:val="22"/>
          <w:szCs w:val="22"/>
          <w:lang w:eastAsia="zh-CN"/>
        </w:rPr>
        <w:t>温州市兴城工程造价审计咨询事务所（普通合伙）</w:t>
      </w:r>
      <w:r>
        <w:rPr>
          <w:rFonts w:hint="eastAsia" w:asciiTheme="minorEastAsia" w:hAnsiTheme="minorEastAsia" w:eastAsiaTheme="minorEastAsia" w:cstheme="minorEastAsia"/>
          <w:color w:val="auto"/>
          <w:sz w:val="22"/>
          <w:szCs w:val="22"/>
        </w:rPr>
        <w:t>            </w:t>
      </w:r>
    </w:p>
    <w:p>
      <w:pPr>
        <w:widowControl/>
        <w:shd w:val="clear" w:color="auto" w:fill="FFFFFF"/>
        <w:spacing w:line="46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地    址：</w:t>
      </w:r>
      <w:r>
        <w:rPr>
          <w:rFonts w:hint="eastAsia" w:asciiTheme="minorEastAsia" w:hAnsiTheme="minorEastAsia" w:eastAsiaTheme="minorEastAsia" w:cstheme="minorEastAsia"/>
          <w:color w:val="auto"/>
          <w:sz w:val="22"/>
          <w:szCs w:val="22"/>
          <w:lang w:eastAsia="zh-CN"/>
        </w:rPr>
        <w:t>温州市鹿城区车站大道大诚商厦E-702室</w:t>
      </w:r>
      <w:r>
        <w:rPr>
          <w:rFonts w:hint="eastAsia" w:asciiTheme="minorEastAsia" w:hAnsiTheme="minorEastAsia" w:eastAsiaTheme="minorEastAsia" w:cstheme="minorEastAsia"/>
          <w:color w:val="auto"/>
          <w:sz w:val="22"/>
          <w:szCs w:val="22"/>
        </w:rPr>
        <w:t xml:space="preserve">      </w:t>
      </w:r>
    </w:p>
    <w:p>
      <w:pPr>
        <w:widowControl/>
        <w:shd w:val="clear" w:color="auto" w:fill="FFFFFF"/>
        <w:spacing w:line="46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项目联系人（询问）：</w:t>
      </w:r>
      <w:r>
        <w:rPr>
          <w:rFonts w:hint="eastAsia" w:asciiTheme="minorEastAsia" w:hAnsiTheme="minorEastAsia" w:eastAsiaTheme="minorEastAsia" w:cstheme="minorEastAsia"/>
          <w:color w:val="auto"/>
          <w:sz w:val="22"/>
          <w:szCs w:val="22"/>
          <w:lang w:eastAsia="zh-CN"/>
        </w:rPr>
        <w:t>郑凯挺</w:t>
      </w:r>
      <w:r>
        <w:rPr>
          <w:rFonts w:hint="eastAsia" w:asciiTheme="minorEastAsia" w:hAnsiTheme="minorEastAsia" w:eastAsiaTheme="minorEastAsia" w:cstheme="minorEastAsia"/>
          <w:color w:val="auto"/>
          <w:sz w:val="22"/>
          <w:szCs w:val="22"/>
        </w:rPr>
        <w:t xml:space="preserve">      </w:t>
      </w:r>
    </w:p>
    <w:p>
      <w:pPr>
        <w:widowControl/>
        <w:shd w:val="clear" w:color="auto" w:fill="FFFFFF"/>
        <w:spacing w:line="460" w:lineRule="exact"/>
        <w:jc w:val="left"/>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rPr>
        <w:t>     项目联系方式（询问）：</w:t>
      </w:r>
      <w:r>
        <w:rPr>
          <w:rFonts w:hint="eastAsia" w:asciiTheme="minorEastAsia" w:hAnsiTheme="minorEastAsia" w:eastAsiaTheme="minorEastAsia" w:cstheme="minorEastAsia"/>
          <w:color w:val="auto"/>
          <w:sz w:val="22"/>
          <w:szCs w:val="22"/>
          <w:lang w:eastAsia="zh-CN"/>
        </w:rPr>
        <w:t>0577-88370285，13634235000</w:t>
      </w:r>
    </w:p>
    <w:p>
      <w:pPr>
        <w:widowControl/>
        <w:shd w:val="clear" w:color="auto" w:fill="FFFFFF"/>
        <w:spacing w:line="460" w:lineRule="exact"/>
        <w:ind w:firstLine="660" w:firstLineChars="300"/>
        <w:jc w:val="left"/>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传真：0577-883702</w:t>
      </w:r>
      <w:r>
        <w:rPr>
          <w:rFonts w:hint="eastAsia" w:asciiTheme="minorEastAsia" w:hAnsiTheme="minorEastAsia" w:eastAsiaTheme="minorEastAsia" w:cstheme="minorEastAsia"/>
          <w:color w:val="auto"/>
          <w:sz w:val="22"/>
          <w:szCs w:val="22"/>
          <w:lang w:val="en-US" w:eastAsia="zh-CN"/>
        </w:rPr>
        <w:t>5</w:t>
      </w:r>
      <w:r>
        <w:rPr>
          <w:rFonts w:hint="eastAsia" w:asciiTheme="minorEastAsia" w:hAnsiTheme="minorEastAsia" w:eastAsiaTheme="minorEastAsia" w:cstheme="minorEastAsia"/>
          <w:color w:val="auto"/>
          <w:sz w:val="22"/>
          <w:szCs w:val="22"/>
          <w:lang w:eastAsia="zh-CN"/>
        </w:rPr>
        <w:t>5</w:t>
      </w:r>
    </w:p>
    <w:p>
      <w:pPr>
        <w:widowControl/>
        <w:shd w:val="clear" w:color="auto" w:fill="FFFFFF"/>
        <w:spacing w:line="46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质疑联系人：</w:t>
      </w:r>
      <w:r>
        <w:rPr>
          <w:rFonts w:hint="eastAsia" w:asciiTheme="minorEastAsia" w:hAnsiTheme="minorEastAsia" w:eastAsiaTheme="minorEastAsia" w:cstheme="minorEastAsia"/>
          <w:color w:val="auto"/>
          <w:sz w:val="22"/>
          <w:szCs w:val="22"/>
          <w:lang w:eastAsia="zh-CN"/>
        </w:rPr>
        <w:t>金奇云</w:t>
      </w:r>
      <w:r>
        <w:rPr>
          <w:rFonts w:hint="eastAsia" w:asciiTheme="minorEastAsia" w:hAnsiTheme="minorEastAsia" w:eastAsiaTheme="minorEastAsia" w:cstheme="minorEastAsia"/>
          <w:color w:val="auto"/>
          <w:sz w:val="22"/>
          <w:szCs w:val="22"/>
        </w:rPr>
        <w:t xml:space="preserve">          </w:t>
      </w:r>
    </w:p>
    <w:p>
      <w:pPr>
        <w:widowControl/>
        <w:shd w:val="clear" w:color="auto" w:fill="FFFFFF"/>
        <w:spacing w:line="460" w:lineRule="exact"/>
        <w:jc w:val="left"/>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rPr>
        <w:t>    质疑联系方式：</w:t>
      </w:r>
      <w:r>
        <w:rPr>
          <w:rFonts w:hint="eastAsia" w:asciiTheme="minorEastAsia" w:hAnsiTheme="minorEastAsia" w:eastAsiaTheme="minorEastAsia" w:cstheme="minorEastAsia"/>
          <w:color w:val="auto"/>
          <w:sz w:val="22"/>
          <w:szCs w:val="22"/>
          <w:lang w:eastAsia="zh-CN"/>
        </w:rPr>
        <w:t>0577-88370285</w:t>
      </w:r>
    </w:p>
    <w:p>
      <w:pPr>
        <w:widowControl/>
        <w:shd w:val="clear" w:color="auto" w:fill="FFFFFF"/>
        <w:spacing w:line="480" w:lineRule="exact"/>
        <w:ind w:firstLine="378" w:firstLineChars="1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z w:val="22"/>
          <w:szCs w:val="22"/>
        </w:rPr>
        <w:t>3.</w:t>
      </w:r>
      <w:r>
        <w:rPr>
          <w:rFonts w:hint="eastAsia" w:asciiTheme="minorEastAsia" w:hAnsiTheme="minorEastAsia" w:eastAsiaTheme="minorEastAsia" w:cstheme="minorEastAsia"/>
          <w:color w:val="auto"/>
          <w:kern w:val="0"/>
          <w:sz w:val="22"/>
          <w:szCs w:val="22"/>
        </w:rPr>
        <w:t>同级政府采购监管管理部门：</w:t>
      </w:r>
      <w:r>
        <w:rPr>
          <w:rFonts w:hint="eastAsia" w:asciiTheme="minorEastAsia" w:hAnsiTheme="minorEastAsia" w:eastAsiaTheme="minorEastAsia" w:cstheme="minorEastAsia"/>
          <w:color w:val="auto"/>
          <w:kern w:val="0"/>
          <w:sz w:val="22"/>
          <w:szCs w:val="22"/>
          <w:lang w:eastAsia="zh-CN"/>
        </w:rPr>
        <w:t>温州市瓯海区财政局</w:t>
      </w:r>
      <w:r>
        <w:rPr>
          <w:rFonts w:hint="eastAsia" w:asciiTheme="minorEastAsia" w:hAnsiTheme="minorEastAsia" w:eastAsiaTheme="minorEastAsia" w:cstheme="minorEastAsia"/>
          <w:color w:val="auto"/>
          <w:kern w:val="0"/>
          <w:sz w:val="22"/>
          <w:szCs w:val="22"/>
        </w:rPr>
        <w:t xml:space="preserve"> </w:t>
      </w:r>
    </w:p>
    <w:p>
      <w:pPr>
        <w:widowControl/>
        <w:shd w:val="clear" w:color="auto" w:fill="FFFFFF"/>
        <w:spacing w:line="480" w:lineRule="exact"/>
        <w:ind w:firstLine="598" w:firstLineChars="2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联系人：徐先生</w:t>
      </w:r>
    </w:p>
    <w:p>
      <w:pPr>
        <w:widowControl/>
        <w:shd w:val="clear" w:color="auto" w:fill="FFFFFF"/>
        <w:spacing w:line="480" w:lineRule="exact"/>
        <w:ind w:firstLine="598" w:firstLineChars="2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电话：</w:t>
      </w:r>
      <w:r>
        <w:rPr>
          <w:rFonts w:hint="eastAsia" w:asciiTheme="minorEastAsia" w:hAnsiTheme="minorEastAsia" w:eastAsiaTheme="minorEastAsia" w:cstheme="minorEastAsia"/>
          <w:color w:val="auto"/>
          <w:sz w:val="22"/>
          <w:szCs w:val="22"/>
        </w:rPr>
        <w:t xml:space="preserve"> 0577-88522238</w:t>
      </w:r>
    </w:p>
    <w:p>
      <w:pPr>
        <w:pStyle w:val="13"/>
        <w:ind w:left="440" w:hanging="440"/>
        <w:rPr>
          <w:rFonts w:hint="eastAsia" w:asciiTheme="minorEastAsia" w:hAnsiTheme="minorEastAsia" w:eastAsiaTheme="minorEastAsia" w:cstheme="minorEastAsia"/>
          <w:color w:val="auto"/>
          <w:kern w:val="0"/>
          <w:sz w:val="22"/>
          <w:szCs w:val="22"/>
        </w:rPr>
      </w:pPr>
    </w:p>
    <w:p>
      <w:pPr>
        <w:pStyle w:val="13"/>
        <w:ind w:left="440" w:hanging="440"/>
        <w:rPr>
          <w:rFonts w:hint="eastAsia" w:asciiTheme="minorEastAsia" w:hAnsiTheme="minorEastAsia" w:eastAsiaTheme="minorEastAsia" w:cstheme="minorEastAsia"/>
          <w:color w:val="auto"/>
          <w:kern w:val="0"/>
          <w:sz w:val="22"/>
          <w:szCs w:val="22"/>
        </w:rPr>
      </w:pPr>
    </w:p>
    <w:p>
      <w:pPr>
        <w:rPr>
          <w:rFonts w:hint="eastAsia" w:asciiTheme="minorEastAsia" w:hAnsiTheme="minorEastAsia" w:eastAsiaTheme="minorEastAsia" w:cstheme="minorEastAsia"/>
          <w:color w:val="auto"/>
        </w:rPr>
      </w:pPr>
    </w:p>
    <w:p>
      <w:pPr>
        <w:widowControl/>
        <w:shd w:val="clear" w:color="auto" w:fill="FFFFFF"/>
        <w:spacing w:line="480" w:lineRule="exact"/>
        <w:ind w:firstLine="378" w:firstLineChars="1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若对项目采购电子交易系统操作有疑问，可登录政采云（https：//www.zcygov.cn/），点击右侧咨询小采，获取采小蜜智能服务管家帮助，或拨打政采云服务热线400-881-7190获取热线服务帮助。       </w:t>
      </w:r>
    </w:p>
    <w:p>
      <w:pPr>
        <w:widowControl/>
        <w:shd w:val="clear" w:color="auto" w:fill="FFFFFF"/>
        <w:spacing w:line="480" w:lineRule="exact"/>
        <w:ind w:firstLine="378" w:firstLineChars="1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CA问题联系电话（人工）：汇信CA 400-888-4636；天谷CA 400-087-8198。</w:t>
      </w:r>
    </w:p>
    <w:p>
      <w:pPr>
        <w:pStyle w:val="2"/>
        <w:spacing w:line="340" w:lineRule="exact"/>
        <w:ind w:firstLine="220" w:firstLineChars="100"/>
        <w:rPr>
          <w:rFonts w:hint="eastAsia" w:asciiTheme="minorEastAsia" w:hAnsiTheme="minorEastAsia" w:eastAsiaTheme="minorEastAsia" w:cstheme="minorEastAsia"/>
          <w:color w:val="auto"/>
          <w:kern w:val="0"/>
          <w:sz w:val="22"/>
          <w:szCs w:val="22"/>
        </w:rPr>
      </w:pPr>
    </w:p>
    <w:p>
      <w:pPr>
        <w:pStyle w:val="5"/>
        <w:rPr>
          <w:rFonts w:hint="eastAsia" w:asciiTheme="minorEastAsia" w:hAnsiTheme="minorEastAsia" w:eastAsiaTheme="minorEastAsia" w:cstheme="minorEastAsia"/>
          <w:color w:val="auto"/>
          <w:sz w:val="36"/>
          <w:szCs w:val="36"/>
        </w:rPr>
      </w:pPr>
      <w:bookmarkStart w:id="11" w:name="_Toc8037"/>
      <w:bookmarkStart w:id="12" w:name="_Toc508617274"/>
      <w:bookmarkStart w:id="13" w:name="_Toc515203430"/>
    </w:p>
    <w:p>
      <w:pPr>
        <w:rPr>
          <w:rFonts w:hint="eastAsia" w:asciiTheme="minorEastAsia" w:hAnsiTheme="minorEastAsia" w:eastAsiaTheme="minorEastAsia" w:cstheme="minorEastAsia"/>
          <w:color w:val="auto"/>
          <w:sz w:val="36"/>
          <w:szCs w:val="36"/>
        </w:rPr>
      </w:pPr>
    </w:p>
    <w:p>
      <w:pPr>
        <w:pStyle w:val="14"/>
        <w:ind w:firstLine="720"/>
        <w:rPr>
          <w:rFonts w:hint="eastAsia" w:asciiTheme="minorEastAsia" w:hAnsiTheme="minorEastAsia" w:eastAsiaTheme="minorEastAsia" w:cstheme="minorEastAsia"/>
          <w:color w:val="auto"/>
          <w:sz w:val="36"/>
          <w:szCs w:val="36"/>
        </w:rPr>
      </w:pPr>
    </w:p>
    <w:p>
      <w:pPr>
        <w:pStyle w:val="14"/>
        <w:ind w:firstLine="720"/>
        <w:rPr>
          <w:rFonts w:hint="eastAsia" w:asciiTheme="minorEastAsia" w:hAnsiTheme="minorEastAsia" w:eastAsiaTheme="minorEastAsia" w:cstheme="minorEastAsia"/>
          <w:color w:val="auto"/>
          <w:sz w:val="36"/>
          <w:szCs w:val="36"/>
        </w:rPr>
      </w:pPr>
    </w:p>
    <w:p>
      <w:pPr>
        <w:pStyle w:val="14"/>
        <w:ind w:firstLine="720"/>
        <w:rPr>
          <w:rFonts w:hint="eastAsia" w:asciiTheme="minorEastAsia" w:hAnsiTheme="minorEastAsia" w:eastAsiaTheme="minorEastAsia" w:cstheme="minorEastAsia"/>
          <w:color w:val="auto"/>
          <w:sz w:val="36"/>
          <w:szCs w:val="36"/>
        </w:rPr>
      </w:pPr>
    </w:p>
    <w:p>
      <w:pPr>
        <w:pStyle w:val="14"/>
        <w:ind w:firstLine="720"/>
        <w:rPr>
          <w:rFonts w:hint="eastAsia" w:asciiTheme="minorEastAsia" w:hAnsiTheme="minorEastAsia" w:eastAsiaTheme="minorEastAsia" w:cstheme="minorEastAsia"/>
          <w:color w:val="auto"/>
          <w:sz w:val="36"/>
          <w:szCs w:val="36"/>
        </w:rPr>
      </w:pPr>
    </w:p>
    <w:p>
      <w:pPr>
        <w:pStyle w:val="14"/>
        <w:ind w:firstLine="720"/>
        <w:rPr>
          <w:rFonts w:hint="eastAsia" w:asciiTheme="minorEastAsia" w:hAnsiTheme="minorEastAsia" w:eastAsiaTheme="minorEastAsia" w:cstheme="minorEastAsia"/>
          <w:color w:val="auto"/>
          <w:sz w:val="36"/>
          <w:szCs w:val="36"/>
        </w:rPr>
      </w:pPr>
    </w:p>
    <w:p>
      <w:pPr>
        <w:pStyle w:val="14"/>
        <w:ind w:firstLine="720"/>
        <w:rPr>
          <w:rFonts w:hint="eastAsia" w:asciiTheme="minorEastAsia" w:hAnsiTheme="minorEastAsia" w:eastAsiaTheme="minorEastAsia" w:cstheme="minorEastAsia"/>
          <w:color w:val="auto"/>
          <w:sz w:val="36"/>
          <w:szCs w:val="36"/>
        </w:rPr>
      </w:pPr>
    </w:p>
    <w:p>
      <w:pPr>
        <w:pStyle w:val="14"/>
        <w:ind w:firstLine="720"/>
        <w:rPr>
          <w:rFonts w:hint="eastAsia" w:asciiTheme="minorEastAsia" w:hAnsiTheme="minorEastAsia" w:eastAsiaTheme="minorEastAsia" w:cstheme="minorEastAsia"/>
          <w:color w:val="auto"/>
          <w:sz w:val="36"/>
          <w:szCs w:val="36"/>
        </w:rPr>
      </w:pP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投标邀请函（投标须知前附表）</w:t>
      </w:r>
      <w:bookmarkEnd w:id="11"/>
      <w:bookmarkEnd w:id="12"/>
      <w:bookmarkEnd w:id="13"/>
    </w:p>
    <w:tbl>
      <w:tblPr>
        <w:tblStyle w:val="39"/>
        <w:tblW w:w="9854" w:type="dxa"/>
        <w:tblInd w:w="0" w:type="dxa"/>
        <w:tblLayout w:type="fixed"/>
        <w:tblCellMar>
          <w:top w:w="0" w:type="dxa"/>
          <w:left w:w="108" w:type="dxa"/>
          <w:bottom w:w="0" w:type="dxa"/>
          <w:right w:w="108" w:type="dxa"/>
        </w:tblCellMar>
      </w:tblPr>
      <w:tblGrid>
        <w:gridCol w:w="675"/>
        <w:gridCol w:w="1867"/>
        <w:gridCol w:w="7312"/>
      </w:tblGrid>
      <w:tr>
        <w:tblPrEx>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序号</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条款名称</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firstLine="440" w:firstLineChars="200"/>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编列内容</w:t>
            </w:r>
          </w:p>
        </w:tc>
      </w:tr>
      <w:tr>
        <w:tblPrEx>
          <w:tblLayout w:type="fixed"/>
          <w:tblCellMar>
            <w:top w:w="0" w:type="dxa"/>
            <w:left w:w="108" w:type="dxa"/>
            <w:bottom w:w="0" w:type="dxa"/>
            <w:right w:w="108" w:type="dxa"/>
          </w:tblCellMar>
        </w:tblPrEx>
        <w:trPr>
          <w:trHeight w:val="500"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firstLine="440" w:firstLineChars="200"/>
              <w:jc w:val="left"/>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项目名称</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left"/>
              <w:textAlignment w:val="bottom"/>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lang w:eastAsia="zh-CN"/>
              </w:rPr>
              <w:t>金丽温高速古岸头互通绿化养护项目</w:t>
            </w:r>
          </w:p>
        </w:tc>
      </w:tr>
      <w:tr>
        <w:tblPrEx>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项目编号</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left"/>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xczc202112002</w:t>
            </w:r>
          </w:p>
        </w:tc>
      </w:tr>
      <w:tr>
        <w:tblPrEx>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资金来源</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left"/>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财政性资金</w:t>
            </w:r>
          </w:p>
        </w:tc>
      </w:tr>
      <w:tr>
        <w:tblPrEx>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4</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采购方式</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left"/>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公开招标</w:t>
            </w:r>
          </w:p>
        </w:tc>
      </w:tr>
      <w:tr>
        <w:tblPrEx>
          <w:tblLayout w:type="fixed"/>
          <w:tblCellMar>
            <w:top w:w="0" w:type="dxa"/>
            <w:left w:w="108" w:type="dxa"/>
            <w:bottom w:w="0" w:type="dxa"/>
            <w:right w:w="108" w:type="dxa"/>
          </w:tblCellMar>
        </w:tblPrEx>
        <w:trPr>
          <w:trHeight w:val="14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5</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lang w:eastAsia="zh-CN"/>
              </w:rPr>
              <w:t>采购人</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lang w:eastAsia="zh-CN"/>
              </w:rPr>
              <w:t>采购人</w:t>
            </w:r>
            <w:r>
              <w:rPr>
                <w:rFonts w:hint="eastAsia" w:asciiTheme="minorEastAsia" w:hAnsiTheme="minorEastAsia" w:eastAsiaTheme="minorEastAsia" w:cstheme="minorEastAsia"/>
                <w:color w:val="auto"/>
                <w:kern w:val="0"/>
                <w:sz w:val="22"/>
                <w:szCs w:val="22"/>
              </w:rPr>
              <w:t>名称：温州市瓯海区综合行政执法局</w:t>
            </w:r>
          </w:p>
          <w:p>
            <w:pPr>
              <w:widowControl/>
              <w:spacing w:line="380" w:lineRule="exact"/>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lang w:eastAsia="zh-CN"/>
              </w:rPr>
              <w:t>采购人</w:t>
            </w:r>
            <w:r>
              <w:rPr>
                <w:rFonts w:hint="eastAsia" w:asciiTheme="minorEastAsia" w:hAnsiTheme="minorEastAsia" w:eastAsiaTheme="minorEastAsia" w:cstheme="minorEastAsia"/>
                <w:color w:val="auto"/>
                <w:kern w:val="0"/>
                <w:sz w:val="22"/>
                <w:szCs w:val="22"/>
              </w:rPr>
              <w:t>地址：</w:t>
            </w:r>
            <w:r>
              <w:rPr>
                <w:rFonts w:hint="eastAsia" w:asciiTheme="minorEastAsia" w:hAnsiTheme="minorEastAsia" w:eastAsiaTheme="minorEastAsia" w:cstheme="minorEastAsia"/>
                <w:color w:val="auto"/>
                <w:sz w:val="22"/>
                <w:szCs w:val="22"/>
              </w:rPr>
              <w:t>浙江省温州市瓯海区行政管理中心2号楼六、七层 </w:t>
            </w:r>
          </w:p>
          <w:p>
            <w:pPr>
              <w:widowControl/>
              <w:shd w:val="clear" w:color="auto" w:fill="FFFFFF"/>
              <w:spacing w:line="38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联系人：项先生 </w:t>
            </w:r>
          </w:p>
          <w:p>
            <w:pPr>
              <w:spacing w:line="34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z w:val="22"/>
                <w:szCs w:val="22"/>
              </w:rPr>
              <w:t>电话：0577-88598202</w:t>
            </w:r>
          </w:p>
        </w:tc>
      </w:tr>
      <w:tr>
        <w:tblPrEx>
          <w:tblLayout w:type="fixed"/>
          <w:tblCellMar>
            <w:top w:w="0" w:type="dxa"/>
            <w:left w:w="108" w:type="dxa"/>
            <w:bottom w:w="0" w:type="dxa"/>
            <w:right w:w="108" w:type="dxa"/>
          </w:tblCellMar>
        </w:tblPrEx>
        <w:trPr>
          <w:trHeight w:val="184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6</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招标代理机构</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00" w:lineRule="exact"/>
              <w:ind w:right="-34"/>
              <w:textAlignment w:val="bottom"/>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rPr>
              <w:t>代理机构名称：</w:t>
            </w:r>
            <w:r>
              <w:rPr>
                <w:rFonts w:hint="eastAsia" w:asciiTheme="minorEastAsia" w:hAnsiTheme="minorEastAsia" w:eastAsiaTheme="minorEastAsia" w:cstheme="minorEastAsia"/>
                <w:color w:val="auto"/>
                <w:kern w:val="0"/>
                <w:sz w:val="22"/>
                <w:szCs w:val="22"/>
                <w:lang w:eastAsia="zh-CN"/>
              </w:rPr>
              <w:t>温州市兴城工程造价审计咨询事务所（普通合伙）</w:t>
            </w:r>
          </w:p>
          <w:p>
            <w:pPr>
              <w:widowControl/>
              <w:tabs>
                <w:tab w:val="left" w:pos="-360"/>
              </w:tabs>
              <w:autoSpaceDE w:val="0"/>
              <w:autoSpaceDN w:val="0"/>
              <w:spacing w:line="300" w:lineRule="exact"/>
              <w:ind w:right="-34"/>
              <w:textAlignment w:val="bottom"/>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rPr>
              <w:t>代理机构地址：</w:t>
            </w:r>
            <w:r>
              <w:rPr>
                <w:rFonts w:hint="eastAsia" w:asciiTheme="minorEastAsia" w:hAnsiTheme="minorEastAsia" w:eastAsiaTheme="minorEastAsia" w:cstheme="minorEastAsia"/>
                <w:color w:val="auto"/>
                <w:kern w:val="0"/>
                <w:sz w:val="22"/>
                <w:szCs w:val="22"/>
                <w:lang w:eastAsia="zh-CN"/>
              </w:rPr>
              <w:t>温州市鹿城区车站大道大诚商厦E-702室</w:t>
            </w:r>
          </w:p>
          <w:p>
            <w:pPr>
              <w:widowControl/>
              <w:tabs>
                <w:tab w:val="left" w:pos="-360"/>
              </w:tabs>
              <w:autoSpaceDE w:val="0"/>
              <w:autoSpaceDN w:val="0"/>
              <w:spacing w:line="30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联系人：</w:t>
            </w:r>
            <w:r>
              <w:rPr>
                <w:rFonts w:hint="eastAsia" w:asciiTheme="minorEastAsia" w:hAnsiTheme="minorEastAsia" w:eastAsiaTheme="minorEastAsia" w:cstheme="minorEastAsia"/>
                <w:color w:val="auto"/>
                <w:kern w:val="0"/>
                <w:sz w:val="22"/>
                <w:szCs w:val="22"/>
                <w:lang w:eastAsia="zh-CN"/>
              </w:rPr>
              <w:t>郑凯挺</w:t>
            </w:r>
            <w:r>
              <w:rPr>
                <w:rFonts w:hint="eastAsia" w:asciiTheme="minorEastAsia" w:hAnsiTheme="minorEastAsia" w:eastAsiaTheme="minorEastAsia" w:cstheme="minorEastAsia"/>
                <w:color w:val="auto"/>
                <w:kern w:val="0"/>
                <w:sz w:val="22"/>
                <w:szCs w:val="22"/>
              </w:rPr>
              <w:t xml:space="preserve"> </w:t>
            </w:r>
          </w:p>
          <w:p>
            <w:pPr>
              <w:widowControl/>
              <w:tabs>
                <w:tab w:val="left" w:pos="-360"/>
              </w:tabs>
              <w:autoSpaceDE w:val="0"/>
              <w:autoSpaceDN w:val="0"/>
              <w:spacing w:line="300" w:lineRule="exact"/>
              <w:ind w:right="-34"/>
              <w:textAlignment w:val="bottom"/>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rPr>
              <w:t>电话：</w:t>
            </w:r>
            <w:r>
              <w:rPr>
                <w:rFonts w:hint="eastAsia" w:asciiTheme="minorEastAsia" w:hAnsiTheme="minorEastAsia" w:eastAsiaTheme="minorEastAsia" w:cstheme="minorEastAsia"/>
                <w:color w:val="auto"/>
                <w:kern w:val="0"/>
                <w:sz w:val="22"/>
                <w:szCs w:val="22"/>
                <w:lang w:eastAsia="zh-CN"/>
              </w:rPr>
              <w:t>0577-88370285</w:t>
            </w:r>
            <w:r>
              <w:rPr>
                <w:rFonts w:hint="eastAsia" w:asciiTheme="minorEastAsia" w:hAnsiTheme="minorEastAsia" w:eastAsiaTheme="minorEastAsia" w:cstheme="minorEastAsia"/>
                <w:color w:val="auto"/>
                <w:kern w:val="0"/>
                <w:sz w:val="22"/>
                <w:szCs w:val="22"/>
              </w:rPr>
              <w:t>/</w:t>
            </w:r>
            <w:r>
              <w:rPr>
                <w:rFonts w:hint="eastAsia" w:asciiTheme="minorEastAsia" w:hAnsiTheme="minorEastAsia" w:eastAsiaTheme="minorEastAsia" w:cstheme="minorEastAsia"/>
                <w:color w:val="auto"/>
                <w:kern w:val="0"/>
                <w:sz w:val="22"/>
                <w:szCs w:val="22"/>
                <w:lang w:eastAsia="zh-CN"/>
              </w:rPr>
              <w:t>13634235000</w:t>
            </w:r>
          </w:p>
          <w:p>
            <w:pPr>
              <w:widowControl/>
              <w:tabs>
                <w:tab w:val="left" w:pos="-360"/>
              </w:tabs>
              <w:autoSpaceDE w:val="0"/>
              <w:autoSpaceDN w:val="0"/>
              <w:spacing w:line="300" w:lineRule="exact"/>
              <w:ind w:right="-34"/>
              <w:textAlignment w:val="bottom"/>
              <w:rPr>
                <w:rFonts w:hint="eastAsia" w:asciiTheme="minorEastAsia" w:hAnsiTheme="minorEastAsia" w:eastAsiaTheme="minorEastAsia" w:cstheme="minorEastAsia"/>
                <w:color w:val="auto"/>
                <w:kern w:val="0"/>
                <w:sz w:val="22"/>
                <w:szCs w:val="22"/>
                <w:lang w:eastAsia="zh-CN"/>
              </w:rPr>
            </w:pPr>
            <w:r>
              <w:rPr>
                <w:rFonts w:hint="eastAsia" w:asciiTheme="minorEastAsia" w:hAnsiTheme="minorEastAsia" w:eastAsiaTheme="minorEastAsia" w:cstheme="minorEastAsia"/>
                <w:color w:val="auto"/>
                <w:kern w:val="0"/>
                <w:sz w:val="22"/>
                <w:szCs w:val="22"/>
              </w:rPr>
              <w:t>传真：</w:t>
            </w:r>
            <w:r>
              <w:rPr>
                <w:rFonts w:hint="eastAsia" w:asciiTheme="minorEastAsia" w:hAnsiTheme="minorEastAsia" w:eastAsiaTheme="minorEastAsia" w:cstheme="minorEastAsia"/>
                <w:color w:val="auto"/>
                <w:kern w:val="0"/>
                <w:sz w:val="22"/>
                <w:szCs w:val="22"/>
                <w:lang w:eastAsia="zh-CN"/>
              </w:rPr>
              <w:t>0577-88370255</w:t>
            </w:r>
          </w:p>
        </w:tc>
      </w:tr>
      <w:tr>
        <w:tblPrEx>
          <w:tblLayout w:type="fixed"/>
          <w:tblCellMar>
            <w:top w:w="0" w:type="dxa"/>
            <w:left w:w="108" w:type="dxa"/>
            <w:bottom w:w="0" w:type="dxa"/>
            <w:right w:w="108" w:type="dxa"/>
          </w:tblCellMar>
        </w:tblPrEx>
        <w:trPr>
          <w:trHeight w:val="65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7</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评标办法</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综合评分法</w:t>
            </w:r>
          </w:p>
        </w:tc>
      </w:tr>
      <w:tr>
        <w:tblPrEx>
          <w:tblLayout w:type="fixed"/>
          <w:tblCellMar>
            <w:top w:w="0" w:type="dxa"/>
            <w:left w:w="108" w:type="dxa"/>
            <w:bottom w:w="0" w:type="dxa"/>
            <w:right w:w="108" w:type="dxa"/>
          </w:tblCellMar>
        </w:tblPrEx>
        <w:trPr>
          <w:trHeight w:val="5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8</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招标内容</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本项目采购预算金额总计3116906元；具体招标内容及详细技术要求见</w:t>
            </w:r>
            <w:r>
              <w:rPr>
                <w:rFonts w:hint="eastAsia" w:asciiTheme="minorEastAsia" w:hAnsiTheme="minorEastAsia" w:eastAsiaTheme="minorEastAsia" w:cstheme="minorEastAsia"/>
                <w:color w:val="auto"/>
                <w:kern w:val="0"/>
                <w:sz w:val="22"/>
                <w:szCs w:val="22"/>
                <w:lang w:eastAsia="zh-CN"/>
              </w:rPr>
              <w:t>采购文件</w:t>
            </w:r>
            <w:r>
              <w:rPr>
                <w:rFonts w:hint="eastAsia" w:asciiTheme="minorEastAsia" w:hAnsiTheme="minorEastAsia" w:eastAsiaTheme="minorEastAsia" w:cstheme="minorEastAsia"/>
                <w:color w:val="auto"/>
                <w:kern w:val="0"/>
                <w:sz w:val="22"/>
                <w:szCs w:val="22"/>
              </w:rPr>
              <w:t>相关部分。</w:t>
            </w:r>
          </w:p>
        </w:tc>
      </w:tr>
      <w:tr>
        <w:tblPrEx>
          <w:tblLayout w:type="fixed"/>
          <w:tblCellMar>
            <w:top w:w="0" w:type="dxa"/>
            <w:left w:w="108" w:type="dxa"/>
            <w:bottom w:w="0" w:type="dxa"/>
            <w:right w:w="108" w:type="dxa"/>
          </w:tblCellMar>
        </w:tblPrEx>
        <w:trPr>
          <w:trHeight w:val="55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9</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项目服务期限</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2年服务期，合同一年一签，</w:t>
            </w:r>
            <w:r>
              <w:rPr>
                <w:rFonts w:hint="eastAsia" w:asciiTheme="minorEastAsia" w:hAnsiTheme="minorEastAsia" w:eastAsiaTheme="minorEastAsia" w:cstheme="minorEastAsia"/>
                <w:color w:val="auto"/>
                <w:kern w:val="0"/>
                <w:sz w:val="22"/>
                <w:szCs w:val="22"/>
                <w:lang w:eastAsia="zh-CN"/>
              </w:rPr>
              <w:t>如采购人对供应商前一年（前三期）的养护服务管理服务质量满意，且前一年（前三期）的平均考核分为90分以上时，并报当地财政部门备案后重新签订一年合同</w:t>
            </w:r>
            <w:r>
              <w:rPr>
                <w:rFonts w:hint="eastAsia" w:asciiTheme="minorEastAsia" w:hAnsiTheme="minorEastAsia" w:eastAsiaTheme="minorEastAsia" w:cstheme="minorEastAsia"/>
                <w:color w:val="auto"/>
                <w:kern w:val="0"/>
                <w:sz w:val="22"/>
                <w:szCs w:val="22"/>
              </w:rPr>
              <w:t>。</w:t>
            </w:r>
          </w:p>
        </w:tc>
      </w:tr>
      <w:tr>
        <w:tblPrEx>
          <w:tblLayout w:type="fixed"/>
          <w:tblCellMar>
            <w:top w:w="0" w:type="dxa"/>
            <w:left w:w="108" w:type="dxa"/>
            <w:bottom w:w="0" w:type="dxa"/>
            <w:right w:w="108" w:type="dxa"/>
          </w:tblCellMar>
        </w:tblPrEx>
        <w:trPr>
          <w:trHeight w:val="80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10</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供应商资质格要求</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1、投标人必须符合《中华人民共和国政府采购法》第二十二条规定；</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2、单位负责人为同一人或者存在直接控股、管理关系的不同供应商，不得参加同一合同项下的政府采购活动；</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3、未被“信用中国”（www.creditchina.gov.cn）、“中国政府采购网”（www.ccgp.gov.cn）、“浙江政府采购网”（ </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zfcg.czt.zj.gov.cn/）列入失信被执行人、重大税收违法案件当事人名单、政府采购严重违法失信行为记录名单、处理决定名单、被浙江省内县级及以上行政主管部门限制参加政府采购活动处罚（或处理）名单；"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 w:val="22"/>
                <w:szCs w:val="22"/>
              </w:rPr>
              <w:t>http://zfcg.czt.zj.gov.cn/）列入失信被执行人、重大税收违法案件当事人名单、政府采购严重违法失信行为记录名单、处理决定名单、被浙江省内县级及以上行政主管部门限制参加政府采购活动处罚（或处理）名单；</w:t>
            </w:r>
            <w:r>
              <w:rPr>
                <w:rFonts w:hint="eastAsia" w:asciiTheme="minorEastAsia" w:hAnsiTheme="minorEastAsia" w:eastAsiaTheme="minorEastAsia" w:cstheme="minorEastAsia"/>
                <w:color w:val="auto"/>
                <w:kern w:val="0"/>
                <w:sz w:val="22"/>
                <w:szCs w:val="22"/>
              </w:rPr>
              <w:fldChar w:fldCharType="end"/>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4、本项目不接受联合体；</w:t>
            </w:r>
          </w:p>
        </w:tc>
      </w:tr>
      <w:tr>
        <w:tblPrEx>
          <w:tblLayout w:type="fixed"/>
          <w:tblCellMar>
            <w:top w:w="0" w:type="dxa"/>
            <w:left w:w="108" w:type="dxa"/>
            <w:bottom w:w="0" w:type="dxa"/>
            <w:right w:w="108" w:type="dxa"/>
          </w:tblCellMar>
        </w:tblPrEx>
        <w:trPr>
          <w:trHeight w:val="73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11</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是否接受联合体投标</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sym w:font="Wingdings" w:char="F0FE"/>
            </w:r>
            <w:r>
              <w:rPr>
                <w:rFonts w:hint="eastAsia" w:asciiTheme="minorEastAsia" w:hAnsiTheme="minorEastAsia" w:eastAsiaTheme="minorEastAsia" w:cstheme="minorEastAsia"/>
                <w:color w:val="auto"/>
                <w:kern w:val="0"/>
                <w:sz w:val="22"/>
                <w:szCs w:val="22"/>
              </w:rPr>
              <w:t>不接受      □接受，应满足下列要求：</w:t>
            </w:r>
          </w:p>
        </w:tc>
      </w:tr>
      <w:tr>
        <w:tblPrEx>
          <w:tblLayout w:type="fixed"/>
          <w:tblCellMar>
            <w:top w:w="0" w:type="dxa"/>
            <w:left w:w="108" w:type="dxa"/>
            <w:bottom w:w="0" w:type="dxa"/>
            <w:right w:w="108" w:type="dxa"/>
          </w:tblCellMar>
        </w:tblPrEx>
        <w:trPr>
          <w:trHeight w:val="73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12</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踏勘现场</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□组织        </w:t>
            </w:r>
            <w:r>
              <w:rPr>
                <w:rFonts w:hint="eastAsia" w:asciiTheme="minorEastAsia" w:hAnsiTheme="minorEastAsia" w:eastAsiaTheme="minorEastAsia" w:cstheme="minorEastAsia"/>
                <w:color w:val="auto"/>
                <w:kern w:val="0"/>
                <w:sz w:val="22"/>
                <w:szCs w:val="22"/>
              </w:rPr>
              <w:sym w:font="Wingdings" w:char="F0FE"/>
            </w:r>
            <w:r>
              <w:rPr>
                <w:rFonts w:hint="eastAsia" w:asciiTheme="minorEastAsia" w:hAnsiTheme="minorEastAsia" w:eastAsiaTheme="minorEastAsia" w:cstheme="minorEastAsia"/>
                <w:color w:val="auto"/>
                <w:kern w:val="0"/>
                <w:sz w:val="22"/>
                <w:szCs w:val="22"/>
              </w:rPr>
              <w:t>不组织</w:t>
            </w:r>
          </w:p>
        </w:tc>
      </w:tr>
      <w:tr>
        <w:tblPrEx>
          <w:tblLayout w:type="fixed"/>
          <w:tblCellMar>
            <w:top w:w="0" w:type="dxa"/>
            <w:left w:w="108" w:type="dxa"/>
            <w:bottom w:w="0" w:type="dxa"/>
            <w:right w:w="108" w:type="dxa"/>
          </w:tblCellMar>
        </w:tblPrEx>
        <w:trPr>
          <w:trHeight w:val="73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13</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投标预备会</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□召开        </w:t>
            </w:r>
            <w:r>
              <w:rPr>
                <w:rFonts w:hint="eastAsia" w:asciiTheme="minorEastAsia" w:hAnsiTheme="minorEastAsia" w:eastAsiaTheme="minorEastAsia" w:cstheme="minorEastAsia"/>
                <w:color w:val="auto"/>
                <w:kern w:val="0"/>
                <w:sz w:val="22"/>
                <w:szCs w:val="22"/>
              </w:rPr>
              <w:sym w:font="Wingdings" w:char="F0FE"/>
            </w:r>
            <w:r>
              <w:rPr>
                <w:rFonts w:hint="eastAsia" w:asciiTheme="minorEastAsia" w:hAnsiTheme="minorEastAsia" w:eastAsiaTheme="minorEastAsia" w:cstheme="minorEastAsia"/>
                <w:color w:val="auto"/>
                <w:kern w:val="0"/>
                <w:sz w:val="22"/>
                <w:szCs w:val="22"/>
              </w:rPr>
              <w:t>不召开</w:t>
            </w:r>
          </w:p>
        </w:tc>
      </w:tr>
      <w:tr>
        <w:tblPrEx>
          <w:tblLayout w:type="fixed"/>
          <w:tblCellMar>
            <w:top w:w="0" w:type="dxa"/>
            <w:left w:w="108" w:type="dxa"/>
            <w:bottom w:w="0" w:type="dxa"/>
            <w:right w:w="108" w:type="dxa"/>
          </w:tblCellMar>
        </w:tblPrEx>
        <w:trPr>
          <w:trHeight w:val="77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14</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是否允许递交备选投标方案</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 允许       </w:t>
            </w:r>
            <w:r>
              <w:rPr>
                <w:rFonts w:hint="eastAsia" w:asciiTheme="minorEastAsia" w:hAnsiTheme="minorEastAsia" w:eastAsiaTheme="minorEastAsia" w:cstheme="minorEastAsia"/>
                <w:color w:val="auto"/>
                <w:kern w:val="0"/>
                <w:sz w:val="22"/>
                <w:szCs w:val="22"/>
              </w:rPr>
              <w:sym w:font="Wingdings" w:char="F0FE"/>
            </w:r>
            <w:r>
              <w:rPr>
                <w:rFonts w:hint="eastAsia" w:asciiTheme="minorEastAsia" w:hAnsiTheme="minorEastAsia" w:eastAsiaTheme="minorEastAsia" w:cstheme="minorEastAsia"/>
                <w:color w:val="auto"/>
                <w:kern w:val="0"/>
                <w:sz w:val="22"/>
                <w:szCs w:val="22"/>
              </w:rPr>
              <w:t xml:space="preserve"> 不允许</w:t>
            </w:r>
          </w:p>
        </w:tc>
      </w:tr>
      <w:tr>
        <w:tblPrEx>
          <w:tblLayout w:type="fixed"/>
          <w:tblCellMar>
            <w:top w:w="0" w:type="dxa"/>
            <w:left w:w="108" w:type="dxa"/>
            <w:bottom w:w="0" w:type="dxa"/>
            <w:right w:w="108" w:type="dxa"/>
          </w:tblCellMar>
        </w:tblPrEx>
        <w:trPr>
          <w:trHeight w:val="63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15</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是否允许分包</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□允许        </w:t>
            </w:r>
            <w:r>
              <w:rPr>
                <w:rFonts w:hint="eastAsia" w:asciiTheme="minorEastAsia" w:hAnsiTheme="minorEastAsia" w:eastAsiaTheme="minorEastAsia" w:cstheme="minorEastAsia"/>
                <w:color w:val="auto"/>
                <w:kern w:val="0"/>
                <w:sz w:val="22"/>
                <w:szCs w:val="22"/>
              </w:rPr>
              <w:sym w:font="Wingdings" w:char="F0FE"/>
            </w:r>
            <w:r>
              <w:rPr>
                <w:rFonts w:hint="eastAsia" w:asciiTheme="minorEastAsia" w:hAnsiTheme="minorEastAsia" w:eastAsiaTheme="minorEastAsia" w:cstheme="minorEastAsia"/>
                <w:color w:val="auto"/>
                <w:kern w:val="0"/>
                <w:sz w:val="22"/>
                <w:szCs w:val="22"/>
              </w:rPr>
              <w:t>不允许</w:t>
            </w:r>
          </w:p>
        </w:tc>
      </w:tr>
      <w:tr>
        <w:tblPrEx>
          <w:tblLayout w:type="fixed"/>
          <w:tblCellMar>
            <w:top w:w="0" w:type="dxa"/>
            <w:left w:w="108" w:type="dxa"/>
            <w:bottom w:w="0" w:type="dxa"/>
            <w:right w:w="108" w:type="dxa"/>
          </w:tblCellMar>
        </w:tblPrEx>
        <w:trPr>
          <w:trHeight w:val="63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16</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z w:val="22"/>
                <w:szCs w:val="22"/>
              </w:rPr>
              <w:t>投标样品</w:t>
            </w:r>
          </w:p>
        </w:tc>
        <w:tc>
          <w:tcPr>
            <w:tcW w:w="731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sym w:font="Wingdings" w:char="F0FE"/>
            </w:r>
            <w:r>
              <w:rPr>
                <w:rFonts w:hint="eastAsia" w:asciiTheme="minorEastAsia" w:hAnsiTheme="minorEastAsia" w:eastAsiaTheme="minorEastAsia" w:cstheme="minorEastAsia"/>
                <w:color w:val="auto"/>
                <w:kern w:val="0"/>
                <w:sz w:val="22"/>
                <w:szCs w:val="22"/>
              </w:rPr>
              <w:t xml:space="preserve">不需要     </w:t>
            </w:r>
            <w:r>
              <w:rPr>
                <w:rFonts w:hint="eastAsia" w:asciiTheme="minorEastAsia" w:hAnsiTheme="minorEastAsia" w:eastAsiaTheme="minorEastAsia" w:cstheme="minorEastAsia"/>
                <w:color w:val="auto"/>
                <w:kern w:val="0"/>
                <w:sz w:val="22"/>
                <w:szCs w:val="22"/>
                <w:lang w:val="en-US" w:eastAsia="zh-CN"/>
              </w:rPr>
              <w:t xml:space="preserve"> </w:t>
            </w:r>
            <w:r>
              <w:rPr>
                <w:rFonts w:hint="eastAsia" w:asciiTheme="minorEastAsia" w:hAnsiTheme="minorEastAsia" w:eastAsiaTheme="minorEastAsia" w:cstheme="minorEastAsia"/>
                <w:color w:val="auto"/>
                <w:kern w:val="0"/>
                <w:sz w:val="22"/>
                <w:szCs w:val="22"/>
              </w:rPr>
              <w:t>□需要:具体见供应商须知</w:t>
            </w:r>
          </w:p>
        </w:tc>
      </w:tr>
      <w:tr>
        <w:tblPrEx>
          <w:tblLayout w:type="fixed"/>
          <w:tblCellMar>
            <w:top w:w="0" w:type="dxa"/>
            <w:left w:w="108" w:type="dxa"/>
            <w:bottom w:w="0" w:type="dxa"/>
            <w:right w:w="108" w:type="dxa"/>
          </w:tblCellMar>
        </w:tblPrEx>
        <w:trPr>
          <w:trHeight w:val="63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17</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投标截止时间</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见招标公告中的投标文件递交截止时间</w:t>
            </w:r>
          </w:p>
        </w:tc>
      </w:tr>
      <w:tr>
        <w:tblPrEx>
          <w:tblLayout w:type="fixed"/>
          <w:tblCellMar>
            <w:top w:w="0" w:type="dxa"/>
            <w:left w:w="108" w:type="dxa"/>
            <w:bottom w:w="0" w:type="dxa"/>
            <w:right w:w="108" w:type="dxa"/>
          </w:tblCellMar>
        </w:tblPrEx>
        <w:trPr>
          <w:trHeight w:val="108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18</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偏离</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偏差允许幅度及其处理方法：允许细微偏差，不允许重大偏差。由评标委员会判断，细微偏差要求供应商在评标结束前予以澄清、说明或补正，不接受要求进行的，评标委员会有权做无效标处理，详见第六部分评标办法。</w:t>
            </w:r>
          </w:p>
        </w:tc>
      </w:tr>
      <w:tr>
        <w:tblPrEx>
          <w:tblLayout w:type="fixed"/>
          <w:tblCellMar>
            <w:top w:w="0" w:type="dxa"/>
            <w:left w:w="108" w:type="dxa"/>
            <w:bottom w:w="0" w:type="dxa"/>
            <w:right w:w="108" w:type="dxa"/>
          </w:tblCellMar>
        </w:tblPrEx>
        <w:trPr>
          <w:trHeight w:val="468"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19</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投标有效期</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投标文件自投标截止时间起生效，有效期90天。</w:t>
            </w:r>
          </w:p>
        </w:tc>
      </w:tr>
      <w:tr>
        <w:tblPrEx>
          <w:tblLayout w:type="fixed"/>
          <w:tblCellMar>
            <w:top w:w="0" w:type="dxa"/>
            <w:left w:w="108" w:type="dxa"/>
            <w:bottom w:w="0" w:type="dxa"/>
            <w:right w:w="108" w:type="dxa"/>
          </w:tblCellMar>
        </w:tblPrEx>
        <w:trPr>
          <w:trHeight w:val="659"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20</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z w:val="22"/>
                <w:szCs w:val="22"/>
              </w:rPr>
              <w:t>履约担保</w:t>
            </w:r>
          </w:p>
        </w:tc>
        <w:tc>
          <w:tcPr>
            <w:tcW w:w="7312" w:type="dxa"/>
            <w:tcBorders>
              <w:top w:val="single" w:color="auto" w:sz="4" w:space="0"/>
              <w:left w:val="single" w:color="auto" w:sz="4" w:space="0"/>
              <w:bottom w:val="single" w:color="auto" w:sz="4" w:space="0"/>
              <w:right w:val="single" w:color="auto" w:sz="4" w:space="0"/>
            </w:tcBorders>
            <w:vAlign w:val="center"/>
          </w:tcPr>
          <w:p>
            <w:pPr>
              <w:pStyle w:val="2"/>
              <w:spacing w:line="460" w:lineRule="exact"/>
              <w:ind w:firstLine="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中标供应商在收到中标通知书后5个工作日内，需向甲方提供合同总价2％的履约保证金或银行保函。履约保证金在中标供应商与采购人签订养护合同前递交。  </w:t>
            </w:r>
          </w:p>
        </w:tc>
      </w:tr>
      <w:tr>
        <w:tblPrEx>
          <w:tblLayout w:type="fixed"/>
          <w:tblCellMar>
            <w:top w:w="0" w:type="dxa"/>
            <w:left w:w="108" w:type="dxa"/>
            <w:bottom w:w="0" w:type="dxa"/>
            <w:right w:w="108" w:type="dxa"/>
          </w:tblCellMar>
        </w:tblPrEx>
        <w:trPr>
          <w:trHeight w:val="67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21</w:t>
            </w:r>
          </w:p>
        </w:tc>
        <w:tc>
          <w:tcPr>
            <w:tcW w:w="186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投标文件的组成</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由“</w:t>
            </w:r>
            <w:r>
              <w:rPr>
                <w:rFonts w:hint="eastAsia" w:asciiTheme="minorEastAsia" w:hAnsiTheme="minorEastAsia" w:eastAsiaTheme="minorEastAsia" w:cstheme="minorEastAsia"/>
                <w:color w:val="auto"/>
                <w:sz w:val="22"/>
                <w:szCs w:val="22"/>
              </w:rPr>
              <w:t>资格部分、技术资信部分和商务报价部分</w:t>
            </w:r>
            <w:r>
              <w:rPr>
                <w:rFonts w:hint="eastAsia" w:asciiTheme="minorEastAsia" w:hAnsiTheme="minorEastAsia" w:eastAsiaTheme="minorEastAsia" w:cstheme="minorEastAsia"/>
                <w:color w:val="auto"/>
                <w:kern w:val="0"/>
                <w:sz w:val="22"/>
                <w:szCs w:val="22"/>
              </w:rPr>
              <w:t>”三个部分组成。</w:t>
            </w:r>
          </w:p>
        </w:tc>
      </w:tr>
      <w:tr>
        <w:tblPrEx>
          <w:tblLayout w:type="fixed"/>
          <w:tblCellMar>
            <w:top w:w="0" w:type="dxa"/>
            <w:left w:w="108" w:type="dxa"/>
            <w:bottom w:w="0" w:type="dxa"/>
            <w:right w:w="108" w:type="dxa"/>
          </w:tblCellMar>
        </w:tblPrEx>
        <w:trPr>
          <w:trHeight w:val="1425"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22</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投标文件的编制</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2"/>
                <w:szCs w:val="22"/>
              </w:rPr>
              <w:t>1.供应商应先安装“政采云电子交易客户端”，并按照本</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和“政府采购云平台”的要求，通过“政采云电子交易客户端”编制并加密投标文件。</w:t>
            </w:r>
          </w:p>
        </w:tc>
      </w:tr>
      <w:tr>
        <w:tblPrEx>
          <w:tblLayout w:type="fixed"/>
          <w:tblCellMar>
            <w:top w:w="0" w:type="dxa"/>
            <w:left w:w="108" w:type="dxa"/>
            <w:bottom w:w="0" w:type="dxa"/>
            <w:right w:w="108" w:type="dxa"/>
          </w:tblCellMar>
        </w:tblPrEx>
        <w:trPr>
          <w:trHeight w:val="54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23</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开标时间和地点</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1.开标时间：同投标截止时间</w:t>
            </w:r>
          </w:p>
          <w:p>
            <w:pPr>
              <w:widowControl/>
              <w:tabs>
                <w:tab w:val="left" w:pos="-360"/>
              </w:tabs>
              <w:autoSpaceDE w:val="0"/>
              <w:autoSpaceDN w:val="0"/>
              <w:spacing w:line="380" w:lineRule="exact"/>
              <w:ind w:left="220" w:right="-34" w:hanging="220" w:hangingChars="100"/>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2.开标地点：</w:t>
            </w:r>
            <w:r>
              <w:rPr>
                <w:rFonts w:hint="eastAsia" w:asciiTheme="minorEastAsia" w:hAnsiTheme="minorEastAsia" w:eastAsiaTheme="minorEastAsia" w:cstheme="minorEastAsia"/>
                <w:color w:val="auto"/>
                <w:sz w:val="22"/>
                <w:szCs w:val="22"/>
              </w:rPr>
              <w:t>政府采购云平台在线投标，投标供应商无须前往评审现场。 </w:t>
            </w:r>
          </w:p>
        </w:tc>
      </w:tr>
      <w:tr>
        <w:tblPrEx>
          <w:tblLayout w:type="fixed"/>
          <w:tblCellMar>
            <w:top w:w="0" w:type="dxa"/>
            <w:left w:w="108" w:type="dxa"/>
            <w:bottom w:w="0" w:type="dxa"/>
            <w:right w:w="108" w:type="dxa"/>
          </w:tblCellMar>
        </w:tblPrEx>
        <w:trPr>
          <w:trHeight w:val="41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24</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递交投标文件</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电子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Layout w:type="fixed"/>
          <w:tblCellMar>
            <w:top w:w="0" w:type="dxa"/>
            <w:left w:w="108" w:type="dxa"/>
            <w:bottom w:w="0" w:type="dxa"/>
            <w:right w:w="108" w:type="dxa"/>
          </w:tblCellMar>
        </w:tblPrEx>
        <w:trPr>
          <w:trHeight w:val="1226"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25</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评标委员会的组建</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1.评标委员会成员由采购人代表和有关技术、经济等方面的专家组成，有关技术、经济等方面的专家成员人数为</w:t>
            </w:r>
            <w:r>
              <w:rPr>
                <w:rFonts w:hint="eastAsia" w:asciiTheme="minorEastAsia" w:hAnsiTheme="minorEastAsia" w:eastAsiaTheme="minorEastAsia" w:cstheme="minorEastAsia"/>
                <w:color w:val="auto"/>
                <w:kern w:val="0"/>
                <w:sz w:val="22"/>
                <w:szCs w:val="22"/>
                <w:lang w:val="en-US" w:eastAsia="zh-CN"/>
              </w:rPr>
              <w:t>5</w:t>
            </w:r>
            <w:r>
              <w:rPr>
                <w:rFonts w:hint="eastAsia" w:asciiTheme="minorEastAsia" w:hAnsiTheme="minorEastAsia" w:eastAsiaTheme="minorEastAsia" w:cstheme="minorEastAsia"/>
                <w:color w:val="auto"/>
                <w:kern w:val="0"/>
                <w:sz w:val="22"/>
                <w:szCs w:val="22"/>
              </w:rPr>
              <w:t>人及以上单数。</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2.评标专家确定方式：除采购人代表外的专家按相关规定从专家库中抽取。</w:t>
            </w:r>
          </w:p>
        </w:tc>
      </w:tr>
      <w:tr>
        <w:tblPrEx>
          <w:tblLayout w:type="fixed"/>
          <w:tblCellMar>
            <w:top w:w="0" w:type="dxa"/>
            <w:left w:w="108" w:type="dxa"/>
            <w:bottom w:w="0" w:type="dxa"/>
            <w:right w:w="108" w:type="dxa"/>
          </w:tblCellMar>
        </w:tblPrEx>
        <w:trPr>
          <w:trHeight w:val="3231" w:hRule="exac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26</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政府采购扶持政策</w:t>
            </w:r>
          </w:p>
        </w:tc>
        <w:tc>
          <w:tcPr>
            <w:tcW w:w="73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80" w:lineRule="exact"/>
              <w:ind w:right="-34"/>
              <w:textAlignment w:val="bottom"/>
              <w:outlineLvl w:val="9"/>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1.对符合财政扶持政策的小微企业（或监狱企业、或残疾人福利性单位）给予评标价格折扣。供应商企业属于以上多种性质的，不重复享受扶持政策。</w:t>
            </w:r>
          </w:p>
          <w:p>
            <w:pPr>
              <w:keepNext w:val="0"/>
              <w:keepLines w:val="0"/>
              <w:pageBreakBefore w:val="0"/>
              <w:widowControl/>
              <w:tabs>
                <w:tab w:val="left" w:pos="-360"/>
              </w:tabs>
              <w:kinsoku/>
              <w:wordWrap/>
              <w:overflowPunct/>
              <w:topLinePunct w:val="0"/>
              <w:autoSpaceDE w:val="0"/>
              <w:autoSpaceDN w:val="0"/>
              <w:bidi w:val="0"/>
              <w:adjustRightInd/>
              <w:snapToGrid/>
              <w:spacing w:line="380" w:lineRule="exact"/>
              <w:ind w:right="-34"/>
              <w:textAlignment w:val="bottom"/>
              <w:outlineLvl w:val="9"/>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Layout w:type="fixed"/>
          <w:tblCellMar>
            <w:top w:w="0" w:type="dxa"/>
            <w:left w:w="108" w:type="dxa"/>
            <w:bottom w:w="0" w:type="dxa"/>
            <w:right w:w="108" w:type="dxa"/>
          </w:tblCellMar>
        </w:tblPrEx>
        <w:trPr>
          <w:trHeight w:val="88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27</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供应商信用查询</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4"/>
              </w:rPr>
              <w:t>1</w:t>
            </w:r>
            <w:r>
              <w:rPr>
                <w:rFonts w:hint="eastAsia" w:asciiTheme="minorEastAsia" w:hAnsiTheme="minorEastAsia" w:eastAsiaTheme="minorEastAsia" w:cstheme="minorEastAsia"/>
                <w:color w:val="auto"/>
                <w:kern w:val="0"/>
                <w:sz w:val="22"/>
                <w:szCs w:val="22"/>
              </w:rPr>
              <w:t>.投标供应商信用信息查询的查询渠道:</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“信用中国”(www.creditchina.gov.cn)；</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“中国政府采购网”（http://www.ccgp.gov.cn）；</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“浙江政府采购网”（ http://zfcg.czt.zj.gov.cn/）</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2.投标供应商信用信息查询截止时点：本项目投标截止时间。</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3.投标供应商信用信息查询记录和证据留存的具体方式：网页截图打印；</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4.信用信息的使用规则：未被“信用中国”（www.creditchina.gov.cn）、中国政府采购网（www.ccgp.gov.cn）、浙江政府采购网（http://zfcg.czt.zj.gov.cn/）列入失信被执行人、重大税收违法案件当事人名单、政府采购严重违法失信行为记录名单，处理决定名单、被浙江省内县级及以上行政主管部门限制参加政府采购活动处罚（或处理）名单。</w:t>
            </w:r>
          </w:p>
        </w:tc>
      </w:tr>
      <w:tr>
        <w:tblPrEx>
          <w:tblLayout w:type="fixed"/>
          <w:tblCellMar>
            <w:top w:w="0" w:type="dxa"/>
            <w:left w:w="108" w:type="dxa"/>
            <w:bottom w:w="0" w:type="dxa"/>
            <w:right w:w="108" w:type="dxa"/>
          </w:tblCellMar>
        </w:tblPrEx>
        <w:trPr>
          <w:trHeight w:val="41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28</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z w:val="22"/>
                <w:szCs w:val="22"/>
              </w:rPr>
              <w:t>合同备案</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1.中标供应商须在发出中标通知书之日起30日历天内与采购人签订合同。</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2.中标供应商与采购人签订合同后, 2日历天内将合同原件扫描件电子版发给</w:t>
            </w:r>
            <w:r>
              <w:rPr>
                <w:rFonts w:hint="eastAsia" w:asciiTheme="minorEastAsia" w:hAnsiTheme="minorEastAsia" w:eastAsiaTheme="minorEastAsia" w:cstheme="minorEastAsia"/>
                <w:color w:val="auto"/>
                <w:kern w:val="0"/>
                <w:sz w:val="22"/>
                <w:szCs w:val="22"/>
                <w:lang w:eastAsia="zh-CN"/>
              </w:rPr>
              <w:t>温州市兴城工程造价审计咨询事务所（普通合伙）</w:t>
            </w:r>
            <w:r>
              <w:rPr>
                <w:rFonts w:hint="eastAsia" w:asciiTheme="minorEastAsia" w:hAnsiTheme="minorEastAsia" w:eastAsiaTheme="minorEastAsia" w:cstheme="minorEastAsia"/>
                <w:color w:val="auto"/>
                <w:kern w:val="0"/>
                <w:sz w:val="22"/>
                <w:szCs w:val="22"/>
              </w:rPr>
              <w:t>：邮箱：</w:t>
            </w:r>
            <w:r>
              <w:rPr>
                <w:rFonts w:hint="eastAsia" w:asciiTheme="minorEastAsia" w:hAnsiTheme="minorEastAsia" w:eastAsiaTheme="minorEastAsia" w:cstheme="minorEastAsia"/>
                <w:color w:val="auto"/>
                <w:kern w:val="0"/>
                <w:sz w:val="22"/>
                <w:szCs w:val="22"/>
                <w:lang w:eastAsia="zh-CN"/>
              </w:rPr>
              <w:t>1589009783</w:t>
            </w:r>
            <w:r>
              <w:rPr>
                <w:rFonts w:hint="eastAsia" w:asciiTheme="minorEastAsia" w:hAnsiTheme="minorEastAsia" w:eastAsiaTheme="minorEastAsia" w:cstheme="minorEastAsia"/>
                <w:color w:val="auto"/>
                <w:kern w:val="0"/>
                <w:sz w:val="22"/>
                <w:szCs w:val="22"/>
              </w:rPr>
              <w:t>@qq.com；</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3.本项目政府采购合同按规定在浙江政府采购网予以公告</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（http://zfcg.czt.zj.gov.cn/）。</w:t>
            </w:r>
          </w:p>
        </w:tc>
      </w:tr>
      <w:tr>
        <w:tblPrEx>
          <w:tblLayout w:type="fixed"/>
          <w:tblCellMar>
            <w:top w:w="0" w:type="dxa"/>
            <w:left w:w="108" w:type="dxa"/>
            <w:bottom w:w="0" w:type="dxa"/>
            <w:right w:w="108" w:type="dxa"/>
          </w:tblCellMar>
        </w:tblPrEx>
        <w:trPr>
          <w:trHeight w:val="416"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29</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lang w:val="zh-CN"/>
              </w:rPr>
            </w:pPr>
            <w:r>
              <w:rPr>
                <w:rFonts w:hint="eastAsia" w:asciiTheme="minorEastAsia" w:hAnsiTheme="minorEastAsia" w:eastAsiaTheme="minorEastAsia" w:cstheme="minorEastAsia"/>
                <w:color w:val="auto"/>
                <w:kern w:val="0"/>
                <w:sz w:val="22"/>
                <w:szCs w:val="22"/>
              </w:rPr>
              <w:t>合同履约管理</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lang w:val="zh-CN"/>
              </w:rPr>
            </w:pPr>
            <w:r>
              <w:rPr>
                <w:rFonts w:hint="eastAsia" w:asciiTheme="minorEastAsia" w:hAnsiTheme="minorEastAsia" w:eastAsiaTheme="minorEastAsia" w:cstheme="minorEastAsia"/>
                <w:color w:val="auto"/>
                <w:kern w:val="0"/>
                <w:sz w:val="22"/>
                <w:szCs w:val="22"/>
              </w:rPr>
              <w:t>合同签订后，采购人依法加强对合同履约进行管理，并在中标单位服务、项目验收等重要关节，如实填写《合同验收报告》（或考核资料），并及时向同级财政部门报告验收过程中遇到的问题。</w:t>
            </w:r>
          </w:p>
        </w:tc>
      </w:tr>
      <w:tr>
        <w:tblPrEx>
          <w:tblLayout w:type="fixed"/>
          <w:tblCellMar>
            <w:top w:w="0" w:type="dxa"/>
            <w:left w:w="108" w:type="dxa"/>
            <w:bottom w:w="0" w:type="dxa"/>
            <w:right w:w="108" w:type="dxa"/>
          </w:tblCellMar>
        </w:tblPrEx>
        <w:trPr>
          <w:trHeight w:val="198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30</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其他说明</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2.除单一来源采购项目外，为采购项目提供整体设计、规范编制或者项目管理、监理、检测等服务的供应商，不得参加该采购项目的其他采购活动。</w:t>
            </w:r>
          </w:p>
        </w:tc>
      </w:tr>
      <w:tr>
        <w:tblPrEx>
          <w:tblLayout w:type="fixed"/>
          <w:tblCellMar>
            <w:top w:w="0" w:type="dxa"/>
            <w:left w:w="108" w:type="dxa"/>
            <w:bottom w:w="0" w:type="dxa"/>
            <w:right w:w="108" w:type="dxa"/>
          </w:tblCellMar>
        </w:tblPrEx>
        <w:trPr>
          <w:trHeight w:val="699"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31</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免责声明</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1、投标供应商自行承担投标过程中产生的费用。无论何种因素导致采购项目延期开标、废标（流标）、投标供应商未中标、项目终止采购的，采购人与代理机构均不承担供应商投标费用。</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Layout w:type="fixed"/>
          <w:tblCellMar>
            <w:top w:w="0" w:type="dxa"/>
            <w:left w:w="108" w:type="dxa"/>
            <w:bottom w:w="0" w:type="dxa"/>
            <w:right w:w="108" w:type="dxa"/>
          </w:tblCellMar>
        </w:tblPrEx>
        <w:trPr>
          <w:trHeight w:val="331"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32</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解释权</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构成本</w:t>
            </w:r>
            <w:r>
              <w:rPr>
                <w:rFonts w:hint="eastAsia" w:asciiTheme="minorEastAsia" w:hAnsiTheme="minorEastAsia" w:eastAsiaTheme="minorEastAsia" w:cstheme="minorEastAsia"/>
                <w:color w:val="auto"/>
                <w:kern w:val="0"/>
                <w:sz w:val="22"/>
                <w:szCs w:val="22"/>
                <w:lang w:eastAsia="zh-CN"/>
              </w:rPr>
              <w:t>采购文件</w:t>
            </w:r>
            <w:r>
              <w:rPr>
                <w:rFonts w:hint="eastAsia" w:asciiTheme="minorEastAsia" w:hAnsiTheme="minorEastAsia" w:eastAsiaTheme="minorEastAsia" w:cstheme="minorEastAsia"/>
                <w:color w:val="auto"/>
                <w:kern w:val="0"/>
                <w:sz w:val="22"/>
                <w:szCs w:val="22"/>
              </w:rPr>
              <w:t>的各个组成文件应互为解释，互为说明；</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如有不明确或不一致，构成合同文件组成内容的，以合同文件约定内容为准，且以专用合同条款约定的合同文件优先顺序解释；</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仅适用于招标投标阶段的约定，按招标公告、投标供应商须知、评标办法、投标文件格式的先后顺序解释；</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同一文件中就同一事项的约定不一致的，以逻辑顺序在后者为准；</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同一文件不同版本之间有不一致的，以形成时间在后者为准。</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按本款前述约定仍不能形成结论的，由采购人负责解释。</w:t>
            </w:r>
          </w:p>
        </w:tc>
      </w:tr>
      <w:tr>
        <w:tblPrEx>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33</w:t>
            </w:r>
          </w:p>
        </w:tc>
        <w:tc>
          <w:tcPr>
            <w:tcW w:w="1867"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其他事项</w:t>
            </w:r>
          </w:p>
        </w:tc>
        <w:tc>
          <w:tcPr>
            <w:tcW w:w="7312"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1、本</w:t>
            </w:r>
            <w:r>
              <w:rPr>
                <w:rFonts w:hint="eastAsia" w:asciiTheme="minorEastAsia" w:hAnsiTheme="minorEastAsia" w:eastAsiaTheme="minorEastAsia" w:cstheme="minorEastAsia"/>
                <w:color w:val="auto"/>
                <w:kern w:val="0"/>
                <w:sz w:val="22"/>
                <w:szCs w:val="22"/>
                <w:lang w:eastAsia="zh-CN"/>
              </w:rPr>
              <w:t>采购文件</w:t>
            </w:r>
            <w:r>
              <w:rPr>
                <w:rFonts w:hint="eastAsia" w:asciiTheme="minorEastAsia" w:hAnsiTheme="minorEastAsia" w:eastAsiaTheme="minorEastAsia" w:cstheme="minorEastAsia"/>
                <w:color w:val="auto"/>
                <w:kern w:val="0"/>
                <w:sz w:val="22"/>
                <w:szCs w:val="22"/>
              </w:rPr>
              <w:t>中有关时间安排如有不一致的，一律以本“投标邀请函”为准；</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2、本</w:t>
            </w:r>
            <w:r>
              <w:rPr>
                <w:rFonts w:hint="eastAsia" w:asciiTheme="minorEastAsia" w:hAnsiTheme="minorEastAsia" w:eastAsiaTheme="minorEastAsia" w:cstheme="minorEastAsia"/>
                <w:color w:val="auto"/>
                <w:kern w:val="0"/>
                <w:sz w:val="22"/>
                <w:szCs w:val="22"/>
                <w:lang w:eastAsia="zh-CN"/>
              </w:rPr>
              <w:t>采购文件</w:t>
            </w:r>
            <w:r>
              <w:rPr>
                <w:rFonts w:hint="eastAsia" w:asciiTheme="minorEastAsia" w:hAnsiTheme="minorEastAsia" w:eastAsiaTheme="minorEastAsia" w:cstheme="minorEastAsia"/>
                <w:color w:val="auto"/>
                <w:kern w:val="0"/>
                <w:sz w:val="22"/>
                <w:szCs w:val="22"/>
              </w:rPr>
              <w:t>涉及的时间为“北京时间”；</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3、本</w:t>
            </w:r>
            <w:r>
              <w:rPr>
                <w:rFonts w:hint="eastAsia" w:asciiTheme="minorEastAsia" w:hAnsiTheme="minorEastAsia" w:eastAsiaTheme="minorEastAsia" w:cstheme="minorEastAsia"/>
                <w:color w:val="auto"/>
                <w:kern w:val="0"/>
                <w:sz w:val="22"/>
                <w:szCs w:val="22"/>
                <w:lang w:eastAsia="zh-CN"/>
              </w:rPr>
              <w:t>采购文件</w:t>
            </w:r>
            <w:r>
              <w:rPr>
                <w:rFonts w:hint="eastAsia" w:asciiTheme="minorEastAsia" w:hAnsiTheme="minorEastAsia" w:eastAsiaTheme="minorEastAsia" w:cstheme="minorEastAsia"/>
                <w:color w:val="auto"/>
                <w:kern w:val="0"/>
                <w:sz w:val="22"/>
                <w:szCs w:val="22"/>
              </w:rPr>
              <w:t>涉及的货币为“人民币”；</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4、同级采购监督部门：</w:t>
            </w:r>
            <w:r>
              <w:rPr>
                <w:rFonts w:hint="eastAsia" w:asciiTheme="minorEastAsia" w:hAnsiTheme="minorEastAsia" w:eastAsiaTheme="minorEastAsia" w:cstheme="minorEastAsia"/>
                <w:color w:val="auto"/>
                <w:sz w:val="22"/>
                <w:szCs w:val="22"/>
              </w:rPr>
              <w:t>温州市瓯海区财政局 </w:t>
            </w:r>
            <w:r>
              <w:rPr>
                <w:rFonts w:hint="eastAsia" w:asciiTheme="minorEastAsia" w:hAnsiTheme="minorEastAsia" w:eastAsiaTheme="minorEastAsia" w:cstheme="minorEastAsia"/>
                <w:color w:val="auto"/>
                <w:kern w:val="0"/>
                <w:sz w:val="22"/>
                <w:szCs w:val="22"/>
              </w:rPr>
              <w:t>，</w:t>
            </w:r>
          </w:p>
          <w:p>
            <w:pPr>
              <w:widowControl/>
              <w:spacing w:before="75" w:after="75" w:line="360" w:lineRule="exact"/>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联系人：徐先生 </w:t>
            </w:r>
          </w:p>
          <w:p>
            <w:pPr>
              <w:widowControl/>
              <w:spacing w:before="75" w:after="75" w:line="360" w:lineRule="exact"/>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z w:val="22"/>
                <w:szCs w:val="22"/>
              </w:rPr>
              <w:t>监督投诉电话：0577-88522238</w:t>
            </w:r>
          </w:p>
        </w:tc>
      </w:tr>
      <w:tr>
        <w:tblPrEx>
          <w:tblLayout w:type="fixed"/>
          <w:tblCellMar>
            <w:top w:w="0" w:type="dxa"/>
            <w:left w:w="108" w:type="dxa"/>
            <w:bottom w:w="0" w:type="dxa"/>
            <w:right w:w="108" w:type="dxa"/>
          </w:tblCellMar>
        </w:tblPrEx>
        <w:trPr>
          <w:trHeight w:val="96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jc w:val="center"/>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34</w:t>
            </w:r>
          </w:p>
        </w:tc>
        <w:tc>
          <w:tcPr>
            <w:tcW w:w="917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注意事项：</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（1）投标人不必到开标现场，自行在公司完成传输、解密等事宜。</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（2）请务必确保投标文件制作客户端为最新版本，旧版本可能导致投标文件解密失败。</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（3）请务必确保投标文件制作时所用的 CA 锁与投标文件解密时的 CA 锁为同一把，否则可能导致投标文件解密失败。</w:t>
            </w:r>
          </w:p>
          <w:p>
            <w:pPr>
              <w:widowControl/>
              <w:tabs>
                <w:tab w:val="left" w:pos="-360"/>
              </w:tabs>
              <w:autoSpaceDE w:val="0"/>
              <w:autoSpaceDN w:val="0"/>
              <w:spacing w:line="380" w:lineRule="exact"/>
              <w:ind w:right="-34"/>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2"/>
                <w:szCs w:val="22"/>
              </w:rPr>
              <w:t>（4）在投标文件解密前，请务必检验 CA 锁与所用电脑的兼容性，部分电脑因 CA 驱动未正常安装、USB 接口兼容性差等原因可能造成投标文件解密失败。</w:t>
            </w:r>
          </w:p>
        </w:tc>
      </w:tr>
    </w:tbl>
    <w:p>
      <w:pPr>
        <w:widowControl/>
        <w:tabs>
          <w:tab w:val="left" w:pos="-360"/>
        </w:tabs>
        <w:autoSpaceDE w:val="0"/>
        <w:autoSpaceDN w:val="0"/>
        <w:spacing w:line="380" w:lineRule="exact"/>
        <w:ind w:right="-34" w:firstLine="480" w:firstLineChars="200"/>
        <w:textAlignment w:val="bottom"/>
        <w:rPr>
          <w:rFonts w:hint="eastAsia" w:asciiTheme="minorEastAsia" w:hAnsiTheme="minorEastAsia" w:eastAsiaTheme="minorEastAsia" w:cstheme="minorEastAsia"/>
          <w:color w:val="auto"/>
          <w:kern w:val="0"/>
          <w:sz w:val="24"/>
        </w:rPr>
      </w:pPr>
    </w:p>
    <w:p>
      <w:pPr>
        <w:spacing w:line="360" w:lineRule="auto"/>
        <w:ind w:left="479" w:leftChars="228"/>
        <w:jc w:val="center"/>
        <w:rPr>
          <w:rFonts w:hint="eastAsia" w:asciiTheme="minorEastAsia" w:hAnsiTheme="minorEastAsia" w:eastAsiaTheme="minorEastAsia" w:cstheme="minorEastAsia"/>
          <w:color w:val="auto"/>
          <w:sz w:val="24"/>
        </w:rPr>
      </w:pPr>
    </w:p>
    <w:p>
      <w:pPr>
        <w:spacing w:line="360" w:lineRule="auto"/>
        <w:ind w:left="479" w:leftChars="228"/>
        <w:jc w:val="center"/>
        <w:rPr>
          <w:rFonts w:hint="eastAsia" w:asciiTheme="minorEastAsia" w:hAnsiTheme="minorEastAsia" w:eastAsiaTheme="minorEastAsia" w:cstheme="minorEastAsia"/>
          <w:color w:val="auto"/>
          <w:sz w:val="24"/>
        </w:rPr>
      </w:pPr>
    </w:p>
    <w:p>
      <w:pPr>
        <w:spacing w:line="360" w:lineRule="auto"/>
        <w:rPr>
          <w:rFonts w:hint="eastAsia" w:asciiTheme="minorEastAsia" w:hAnsiTheme="minorEastAsia" w:eastAsiaTheme="minorEastAsia" w:cstheme="minorEastAsia"/>
          <w:color w:val="auto"/>
          <w:sz w:val="24"/>
        </w:rPr>
      </w:pPr>
    </w:p>
    <w:p>
      <w:pPr>
        <w:spacing w:line="360" w:lineRule="auto"/>
        <w:rPr>
          <w:rFonts w:hint="eastAsia" w:asciiTheme="minorEastAsia" w:hAnsiTheme="minorEastAsia" w:eastAsiaTheme="minorEastAsia" w:cstheme="minorEastAsia"/>
          <w:color w:val="auto"/>
          <w:sz w:val="24"/>
        </w:rPr>
      </w:pPr>
    </w:p>
    <w:p>
      <w:pPr>
        <w:spacing w:line="360" w:lineRule="auto"/>
        <w:rPr>
          <w:rFonts w:hint="eastAsia" w:asciiTheme="minorEastAsia" w:hAnsiTheme="minorEastAsia" w:eastAsiaTheme="minorEastAsia" w:cstheme="minorEastAsia"/>
          <w:color w:val="auto"/>
          <w:sz w:val="24"/>
        </w:rPr>
      </w:pPr>
    </w:p>
    <w:p>
      <w:pPr>
        <w:pStyle w:val="14"/>
        <w:ind w:firstLine="480"/>
        <w:rPr>
          <w:rFonts w:hint="eastAsia" w:asciiTheme="minorEastAsia" w:hAnsiTheme="minorEastAsia" w:eastAsiaTheme="minorEastAsia" w:cstheme="minorEastAsia"/>
          <w:color w:val="auto"/>
        </w:rPr>
      </w:pPr>
    </w:p>
    <w:p>
      <w:pPr>
        <w:pStyle w:val="14"/>
        <w:ind w:firstLine="480"/>
        <w:rPr>
          <w:rFonts w:hint="eastAsia" w:asciiTheme="minorEastAsia" w:hAnsiTheme="minorEastAsia" w:eastAsiaTheme="minorEastAsia" w:cstheme="minorEastAsia"/>
          <w:color w:val="auto"/>
        </w:rPr>
      </w:pPr>
    </w:p>
    <w:p>
      <w:pPr>
        <w:pStyle w:val="14"/>
        <w:ind w:firstLine="480"/>
        <w:rPr>
          <w:rFonts w:hint="eastAsia" w:asciiTheme="minorEastAsia" w:hAnsiTheme="minorEastAsia" w:eastAsiaTheme="minorEastAsia" w:cstheme="minorEastAsia"/>
          <w:color w:val="auto"/>
        </w:rPr>
      </w:pPr>
    </w:p>
    <w:p>
      <w:pPr>
        <w:pStyle w:val="14"/>
        <w:ind w:firstLine="480"/>
        <w:rPr>
          <w:rFonts w:hint="eastAsia" w:asciiTheme="minorEastAsia" w:hAnsiTheme="minorEastAsia" w:eastAsiaTheme="minorEastAsia" w:cstheme="minorEastAsia"/>
          <w:color w:val="auto"/>
        </w:rPr>
      </w:pPr>
    </w:p>
    <w:p>
      <w:pPr>
        <w:pStyle w:val="14"/>
        <w:ind w:firstLine="480"/>
        <w:rPr>
          <w:rFonts w:hint="eastAsia" w:asciiTheme="minorEastAsia" w:hAnsiTheme="minorEastAsia" w:eastAsiaTheme="minorEastAsia" w:cstheme="minorEastAsia"/>
          <w:color w:val="auto"/>
        </w:rPr>
      </w:pPr>
    </w:p>
    <w:p>
      <w:pPr>
        <w:pStyle w:val="14"/>
        <w:ind w:firstLine="480"/>
        <w:rPr>
          <w:rFonts w:hint="eastAsia" w:asciiTheme="minorEastAsia" w:hAnsiTheme="minorEastAsia" w:eastAsiaTheme="minorEastAsia" w:cstheme="minorEastAsia"/>
          <w:color w:val="auto"/>
        </w:rPr>
      </w:pPr>
    </w:p>
    <w:p>
      <w:pPr>
        <w:pStyle w:val="5"/>
        <w:tabs>
          <w:tab w:val="clear" w:pos="840"/>
        </w:tabs>
        <w:adjustRightInd/>
        <w:snapToGrid/>
        <w:spacing w:before="120" w:after="120" w:line="460" w:lineRule="exact"/>
        <w:jc w:val="center"/>
        <w:rPr>
          <w:rFonts w:hint="eastAsia" w:asciiTheme="minorEastAsia" w:hAnsiTheme="minorEastAsia" w:eastAsiaTheme="minorEastAsia" w:cstheme="minorEastAsia"/>
          <w:bCs/>
          <w:color w:val="auto"/>
          <w:sz w:val="32"/>
          <w:szCs w:val="32"/>
        </w:rPr>
      </w:pPr>
      <w:bookmarkStart w:id="14" w:name="_Toc515203431"/>
      <w:r>
        <w:rPr>
          <w:rFonts w:hint="eastAsia" w:asciiTheme="minorEastAsia" w:hAnsiTheme="minorEastAsia" w:eastAsiaTheme="minorEastAsia" w:cstheme="minorEastAsia"/>
          <w:bCs/>
          <w:color w:val="auto"/>
          <w:sz w:val="32"/>
          <w:szCs w:val="32"/>
        </w:rPr>
        <w:t>第一部分   投标供应商须知</w:t>
      </w:r>
      <w:bookmarkEnd w:id="14"/>
    </w:p>
    <w:p>
      <w:pPr>
        <w:pStyle w:val="6"/>
        <w:spacing w:line="500" w:lineRule="exact"/>
        <w:jc w:val="center"/>
        <w:rPr>
          <w:rFonts w:hint="eastAsia" w:asciiTheme="minorEastAsia" w:hAnsiTheme="minorEastAsia" w:eastAsiaTheme="minorEastAsia" w:cstheme="minorEastAsia"/>
          <w:color w:val="auto"/>
          <w:sz w:val="24"/>
          <w:szCs w:val="24"/>
        </w:rPr>
      </w:pPr>
      <w:bookmarkStart w:id="15" w:name="_Toc515203432"/>
      <w:r>
        <w:rPr>
          <w:rFonts w:hint="eastAsia" w:asciiTheme="minorEastAsia" w:hAnsiTheme="minorEastAsia" w:eastAsiaTheme="minorEastAsia" w:cstheme="minorEastAsia"/>
          <w:color w:val="auto"/>
          <w:sz w:val="24"/>
          <w:szCs w:val="24"/>
        </w:rPr>
        <w:t>一、 说  明</w:t>
      </w:r>
      <w:bookmarkEnd w:id="15"/>
    </w:p>
    <w:p>
      <w:pPr>
        <w:tabs>
          <w:tab w:val="left" w:pos="360"/>
        </w:tabs>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1．本次招标是按照《中华人民共和国政府采购法》、《政府采购货物和服务招标投标管理办法》</w:t>
      </w:r>
    </w:p>
    <w:p>
      <w:pPr>
        <w:tabs>
          <w:tab w:val="left" w:pos="360"/>
        </w:tabs>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等有关法律法规组织和实施。</w:t>
      </w:r>
    </w:p>
    <w:p>
      <w:pPr>
        <w:spacing w:line="360" w:lineRule="auto"/>
        <w:ind w:left="552" w:hanging="552" w:hangingChars="250"/>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rPr>
        <w:t>2．</w:t>
      </w:r>
      <w:r>
        <w:rPr>
          <w:rFonts w:hint="eastAsia" w:asciiTheme="minorEastAsia" w:hAnsiTheme="minorEastAsia" w:eastAsiaTheme="minorEastAsia" w:cstheme="minorEastAsia"/>
          <w:b/>
          <w:color w:val="auto"/>
          <w:sz w:val="22"/>
          <w:szCs w:val="22"/>
          <w:u w:val="single"/>
        </w:rPr>
        <w:t>▲合格投标供应商</w:t>
      </w:r>
    </w:p>
    <w:p>
      <w:pPr>
        <w:spacing w:line="360" w:lineRule="auto"/>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合格投标供应商要求，以本项目招标公告及须知前附表述为准。</w:t>
      </w:r>
    </w:p>
    <w:p>
      <w:pPr>
        <w:spacing w:line="360" w:lineRule="auto"/>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3. 投标供应商代表</w:t>
      </w:r>
    </w:p>
    <w:p>
      <w:pPr>
        <w:spacing w:line="360" w:lineRule="auto"/>
        <w:ind w:left="550" w:hanging="550" w:hangingChars="250"/>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color w:val="auto"/>
          <w:sz w:val="22"/>
          <w:szCs w:val="22"/>
        </w:rPr>
        <w:t>3.1 指全权代表投标供应商参加投标活动并签署投标文件的人。</w:t>
      </w:r>
      <w:r>
        <w:rPr>
          <w:rFonts w:hint="eastAsia" w:asciiTheme="minorEastAsia" w:hAnsiTheme="minorEastAsia" w:eastAsiaTheme="minorEastAsia" w:cstheme="minorEastAsia"/>
          <w:b/>
          <w:color w:val="auto"/>
          <w:sz w:val="22"/>
          <w:szCs w:val="22"/>
          <w:u w:val="single"/>
        </w:rPr>
        <w:t>▲如果投标供应商代表不是法定</w:t>
      </w:r>
    </w:p>
    <w:p>
      <w:pPr>
        <w:spacing w:line="360" w:lineRule="auto"/>
        <w:ind w:left="552" w:hanging="552" w:hangingChars="250"/>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b/>
          <w:color w:val="auto"/>
          <w:sz w:val="22"/>
          <w:szCs w:val="22"/>
          <w:u w:val="single"/>
        </w:rPr>
        <w:t>代表人，须持有有效的《法定代表人授权书》（见附件统一格式）。</w:t>
      </w:r>
    </w:p>
    <w:p>
      <w:pPr>
        <w:spacing w:line="360" w:lineRule="auto"/>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4. 本项目不接受联合体投标。</w:t>
      </w:r>
    </w:p>
    <w:p>
      <w:pPr>
        <w:spacing w:line="360" w:lineRule="auto"/>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rPr>
        <w:t>5</w:t>
      </w:r>
      <w:r>
        <w:rPr>
          <w:rFonts w:hint="eastAsia" w:asciiTheme="minorEastAsia" w:hAnsiTheme="minorEastAsia" w:eastAsiaTheme="minorEastAsia" w:cstheme="minorEastAsia"/>
          <w:b/>
          <w:color w:val="auto"/>
          <w:spacing w:val="100"/>
          <w:sz w:val="22"/>
          <w:szCs w:val="22"/>
        </w:rPr>
        <w:t>.</w:t>
      </w:r>
      <w:r>
        <w:rPr>
          <w:rFonts w:hint="eastAsia" w:asciiTheme="minorEastAsia" w:hAnsiTheme="minorEastAsia" w:eastAsiaTheme="minorEastAsia" w:cstheme="minorEastAsia"/>
          <w:b/>
          <w:color w:val="auto"/>
          <w:sz w:val="22"/>
          <w:szCs w:val="22"/>
          <w:u w:val="single"/>
        </w:rPr>
        <w:t>▲供应商如果报名后不来参与本次投标要在投标截止时间前3天给予书面告知及其理由。</w:t>
      </w:r>
    </w:p>
    <w:p>
      <w:pPr>
        <w:spacing w:line="360" w:lineRule="auto"/>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6. 投标费用</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6.1 投标供应商应承担所有与准备和参加投标有关的费用，不论投标的结果如何，采购人和采购代</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理机构（以下统称为招标采购单位）均无义务和责任承担这些费用。</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7． 投标供应商获取</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后，决定不参加本项目投标的，应在获取</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后三个工作日内以</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书面形式（信函、传真加盖投标单位公章）通知招标采购单位，如在规定期限内未收到投标供应商</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的书面函件，视为投标供应商同意参加投标。投标截止时无故（不可抗力事件影响除外）不参加投</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标，建议政府采购中心将其列入不诚信供应商名单。</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8.  优化政府采购金融服务</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8.1各级财政部门要深入实施政府采购支持融资畅通工程，积极协同相关部门加快推广政采贷、履</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约保函等政府采购金融服务，创新优化金融服务模式，引入更多金融机构参与，做到线上与线下并</w:t>
      </w:r>
    </w:p>
    <w:p>
      <w:pPr>
        <w:spacing w:line="360" w:lineRule="auto"/>
        <w:ind w:left="5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举，实现全省全覆盖；各地搭建的政府采购相关金融服务平台应逐步与政采云金融服务平台进行</w:t>
      </w:r>
    </w:p>
    <w:p>
      <w:pPr>
        <w:spacing w:line="360" w:lineRule="auto"/>
        <w:ind w:left="580" w:hanging="580" w:hangingChars="250"/>
        <w:rPr>
          <w:rFonts w:hint="eastAsia" w:asciiTheme="minorEastAsia" w:hAnsiTheme="minorEastAsia" w:eastAsiaTheme="minorEastAsia" w:cstheme="minorEastAsia"/>
          <w:bCs/>
          <w:color w:val="auto"/>
          <w:spacing w:val="6"/>
          <w:sz w:val="22"/>
          <w:szCs w:val="22"/>
        </w:rPr>
      </w:pPr>
      <w:r>
        <w:rPr>
          <w:rFonts w:hint="eastAsia" w:asciiTheme="minorEastAsia" w:hAnsiTheme="minorEastAsia" w:eastAsiaTheme="minorEastAsia" w:cstheme="minorEastAsia"/>
          <w:bCs/>
          <w:color w:val="auto"/>
          <w:spacing w:val="6"/>
          <w:sz w:val="22"/>
          <w:szCs w:val="22"/>
        </w:rPr>
        <w:t>整合，做到金融机构统一接入，供应商统一入口，数据统一标准，构建政府采购金融服务全</w:t>
      </w:r>
    </w:p>
    <w:p>
      <w:pPr>
        <w:spacing w:line="360" w:lineRule="auto"/>
        <w:ind w:left="580" w:hanging="580" w:hangingChars="250"/>
        <w:rPr>
          <w:rFonts w:hint="eastAsia" w:asciiTheme="minorEastAsia" w:hAnsiTheme="minorEastAsia" w:eastAsiaTheme="minorEastAsia" w:cstheme="minorEastAsia"/>
          <w:bCs/>
          <w:color w:val="auto"/>
          <w:spacing w:val="6"/>
          <w:sz w:val="22"/>
        </w:rPr>
      </w:pPr>
      <w:r>
        <w:rPr>
          <w:rFonts w:hint="eastAsia" w:asciiTheme="minorEastAsia" w:hAnsiTheme="minorEastAsia" w:eastAsiaTheme="minorEastAsia" w:cstheme="minorEastAsia"/>
          <w:bCs/>
          <w:color w:val="auto"/>
          <w:spacing w:val="6"/>
          <w:sz w:val="22"/>
          <w:szCs w:val="22"/>
        </w:rPr>
        <w:t>省互联互通共享机制，实现全省一盘棋，切实缓解供应商资金难题。</w:t>
      </w:r>
    </w:p>
    <w:p>
      <w:pPr>
        <w:spacing w:line="400" w:lineRule="exact"/>
        <w:rPr>
          <w:rFonts w:hint="eastAsia" w:asciiTheme="minorEastAsia" w:hAnsiTheme="minorEastAsia" w:eastAsiaTheme="minorEastAsia" w:cstheme="minorEastAsia"/>
          <w:bCs/>
          <w:color w:val="auto"/>
          <w:spacing w:val="6"/>
          <w:sz w:val="22"/>
        </w:rPr>
      </w:pPr>
      <w:r>
        <w:rPr>
          <w:rFonts w:hint="eastAsia" w:asciiTheme="minorEastAsia" w:hAnsiTheme="minorEastAsia" w:eastAsiaTheme="minorEastAsia" w:cstheme="minorEastAsia"/>
          <w:bCs/>
          <w:color w:val="auto"/>
          <w:spacing w:val="6"/>
          <w:sz w:val="22"/>
          <w:szCs w:val="22"/>
        </w:rPr>
        <w:t>8.2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疫情期间，鼓励金融机构按照相关要求，优化政采贷服务条件，有效满足企业流动性需求。</w:t>
      </w:r>
    </w:p>
    <w:p>
      <w:pPr>
        <w:pStyle w:val="14"/>
        <w:ind w:left="0" w:firstLine="0" w:firstLineChars="0"/>
        <w:rPr>
          <w:rFonts w:hint="eastAsia" w:asciiTheme="minorEastAsia" w:hAnsiTheme="minorEastAsia" w:eastAsiaTheme="minorEastAsia" w:cstheme="minorEastAsia"/>
          <w:color w:val="auto"/>
        </w:rPr>
      </w:pPr>
    </w:p>
    <w:p>
      <w:pPr>
        <w:pStyle w:val="6"/>
        <w:spacing w:line="500" w:lineRule="exact"/>
        <w:jc w:val="center"/>
        <w:rPr>
          <w:rFonts w:hint="eastAsia" w:asciiTheme="minorEastAsia" w:hAnsiTheme="minorEastAsia" w:eastAsiaTheme="minorEastAsia" w:cstheme="minorEastAsia"/>
          <w:color w:val="auto"/>
          <w:sz w:val="24"/>
          <w:szCs w:val="24"/>
          <w:lang w:eastAsia="zh-CN"/>
        </w:rPr>
      </w:pPr>
      <w:bookmarkStart w:id="16" w:name="_Toc515203433"/>
      <w:r>
        <w:rPr>
          <w:rFonts w:hint="eastAsia" w:asciiTheme="minorEastAsia" w:hAnsiTheme="minorEastAsia" w:eastAsiaTheme="minorEastAsia" w:cstheme="minorEastAsia"/>
          <w:color w:val="auto"/>
          <w:sz w:val="24"/>
          <w:szCs w:val="24"/>
        </w:rPr>
        <w:t xml:space="preserve">二、 </w:t>
      </w:r>
      <w:bookmarkEnd w:id="16"/>
      <w:r>
        <w:rPr>
          <w:rFonts w:hint="eastAsia" w:asciiTheme="minorEastAsia" w:hAnsiTheme="minorEastAsia" w:eastAsiaTheme="minorEastAsia" w:cstheme="minorEastAsia"/>
          <w:color w:val="auto"/>
          <w:sz w:val="24"/>
          <w:szCs w:val="24"/>
          <w:lang w:eastAsia="zh-CN"/>
        </w:rPr>
        <w:t>采购文件</w:t>
      </w:r>
    </w:p>
    <w:p>
      <w:pPr>
        <w:spacing w:line="44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1．</w:t>
      </w:r>
      <w:r>
        <w:rPr>
          <w:rFonts w:hint="eastAsia" w:asciiTheme="minorEastAsia" w:hAnsiTheme="minorEastAsia" w:eastAsiaTheme="minorEastAsia" w:cstheme="minorEastAsia"/>
          <w:b/>
          <w:color w:val="auto"/>
          <w:sz w:val="22"/>
          <w:szCs w:val="22"/>
          <w:lang w:eastAsia="zh-CN"/>
        </w:rPr>
        <w:t>采购文件</w:t>
      </w:r>
      <w:r>
        <w:rPr>
          <w:rFonts w:hint="eastAsia" w:asciiTheme="minorEastAsia" w:hAnsiTheme="minorEastAsia" w:eastAsiaTheme="minorEastAsia" w:cstheme="minorEastAsia"/>
          <w:b/>
          <w:color w:val="auto"/>
          <w:sz w:val="22"/>
          <w:szCs w:val="22"/>
        </w:rPr>
        <w:t>由</w:t>
      </w:r>
      <w:r>
        <w:rPr>
          <w:rFonts w:hint="eastAsia" w:asciiTheme="minorEastAsia" w:hAnsiTheme="minorEastAsia" w:eastAsiaTheme="minorEastAsia" w:cstheme="minorEastAsia"/>
          <w:b/>
          <w:color w:val="auto"/>
          <w:sz w:val="22"/>
          <w:szCs w:val="22"/>
          <w:lang w:eastAsia="zh-CN"/>
        </w:rPr>
        <w:t>采购文件</w:t>
      </w:r>
      <w:r>
        <w:rPr>
          <w:rFonts w:hint="eastAsia" w:asciiTheme="minorEastAsia" w:hAnsiTheme="minorEastAsia" w:eastAsiaTheme="minorEastAsia" w:cstheme="minorEastAsia"/>
          <w:b/>
          <w:color w:val="auto"/>
          <w:sz w:val="22"/>
          <w:szCs w:val="22"/>
        </w:rPr>
        <w:t>目录所列内容及相关资料组成。</w:t>
      </w:r>
    </w:p>
    <w:p>
      <w:pPr>
        <w:spacing w:line="44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 xml:space="preserve">2． </w:t>
      </w:r>
      <w:r>
        <w:rPr>
          <w:rFonts w:hint="eastAsia" w:asciiTheme="minorEastAsia" w:hAnsiTheme="minorEastAsia" w:eastAsiaTheme="minorEastAsia" w:cstheme="minorEastAsia"/>
          <w:b/>
          <w:bCs/>
          <w:color w:val="auto"/>
          <w:sz w:val="22"/>
          <w:szCs w:val="22"/>
          <w:lang w:eastAsia="zh-CN"/>
        </w:rPr>
        <w:t>采购文件</w:t>
      </w:r>
      <w:r>
        <w:rPr>
          <w:rFonts w:hint="eastAsia" w:asciiTheme="minorEastAsia" w:hAnsiTheme="minorEastAsia" w:eastAsiaTheme="minorEastAsia" w:cstheme="minorEastAsia"/>
          <w:b/>
          <w:bCs/>
          <w:color w:val="auto"/>
          <w:sz w:val="22"/>
          <w:szCs w:val="22"/>
        </w:rPr>
        <w:t>的澄清</w:t>
      </w:r>
    </w:p>
    <w:p>
      <w:pPr>
        <w:spacing w:line="440" w:lineRule="exact"/>
        <w:ind w:left="655" w:leftChars="50" w:hanging="550" w:hanging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 任何要求对</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进行澄清的投标供应商，均应以书面形式（信函、传真，下同）通知招</w:t>
      </w:r>
    </w:p>
    <w:p>
      <w:pPr>
        <w:spacing w:line="440" w:lineRule="exact"/>
        <w:ind w:left="660"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标采购单位，但该通知不得迟于投标截止时间前十五日使招标采购单位收到，招标采购单位将以书</w:t>
      </w:r>
    </w:p>
    <w:p>
      <w:pPr>
        <w:spacing w:line="440" w:lineRule="exact"/>
        <w:ind w:left="660"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面形式予以答复。如有必要，可将不说明问题来源的答复发给各投标文件收受人或召开答疑会。如</w:t>
      </w:r>
    </w:p>
    <w:p>
      <w:pPr>
        <w:spacing w:line="440" w:lineRule="exact"/>
        <w:ind w:left="660"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果</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澄清期内未收到有关澄清要求，视为投标供应商完全同意</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所有条款，且对于招</w:t>
      </w:r>
    </w:p>
    <w:p>
      <w:pPr>
        <w:spacing w:line="440" w:lineRule="exact"/>
        <w:ind w:left="660"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标文件有关表述以及未尽事宜如有异议，以招标采购单位解释为准。</w:t>
      </w:r>
    </w:p>
    <w:p>
      <w:pPr>
        <w:spacing w:line="440" w:lineRule="exact"/>
        <w:ind w:left="189" w:hanging="189" w:hangingChars="86"/>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的修改</w:t>
      </w:r>
    </w:p>
    <w:p>
      <w:pPr>
        <w:spacing w:line="440" w:lineRule="exact"/>
        <w:ind w:left="534" w:leftChars="50" w:hanging="429" w:hangingChars="1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 招标采购单位对已发出的</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进行必要的澄清或者修改的，应当在</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要求递交投</w:t>
      </w:r>
    </w:p>
    <w:p>
      <w:pPr>
        <w:spacing w:line="440" w:lineRule="exact"/>
        <w:ind w:left="534" w:leftChars="50" w:hanging="429" w:hangingChars="1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标文件截止时间十五日前，在财政部门指定的政府采购信息发布媒体上发布更正公告，并以书面</w:t>
      </w:r>
    </w:p>
    <w:p>
      <w:pPr>
        <w:spacing w:line="440" w:lineRule="exact"/>
        <w:ind w:left="534" w:leftChars="50" w:hanging="429" w:hangingChars="1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形式通知所有</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收受人。该澄清或修改内容为</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的组成部分。</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收受人收到</w:t>
      </w:r>
    </w:p>
    <w:p>
      <w:pPr>
        <w:spacing w:line="440" w:lineRule="exact"/>
        <w:ind w:left="534" w:leftChars="50" w:hanging="429" w:hangingChars="1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该书面通知后，应立即书面回复确认已收到该通知。</w:t>
      </w:r>
    </w:p>
    <w:p>
      <w:pPr>
        <w:spacing w:line="440" w:lineRule="exact"/>
        <w:ind w:left="534" w:leftChars="50" w:hanging="429" w:hangingChars="195"/>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rPr>
        <w:t>3.2  招标代理单位可以视采购的具体情况决定是否延长投标截止时间和开标时间，并在</w:t>
      </w:r>
      <w:r>
        <w:rPr>
          <w:rFonts w:hint="eastAsia" w:asciiTheme="minorEastAsia" w:hAnsiTheme="minorEastAsia" w:eastAsiaTheme="minorEastAsia" w:cstheme="minorEastAsia"/>
          <w:color w:val="auto"/>
          <w:sz w:val="22"/>
          <w:szCs w:val="22"/>
          <w:lang w:eastAsia="zh-CN"/>
        </w:rPr>
        <w:t>采购文件</w:t>
      </w:r>
    </w:p>
    <w:p>
      <w:pPr>
        <w:spacing w:line="440" w:lineRule="exact"/>
        <w:ind w:left="105" w:leftChars="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要求递交投标文件的截止时间三日前，将变更时间书面通知所有</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收受人，同时在财政部门指定的政府采购信息发布媒体上发布变更公告。</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收受人收到变更时间的书面通知后，应立即书面回复确认已收到该通知。</w:t>
      </w:r>
    </w:p>
    <w:p>
      <w:pPr>
        <w:pStyle w:val="6"/>
        <w:spacing w:line="500" w:lineRule="exact"/>
        <w:jc w:val="center"/>
        <w:rPr>
          <w:rFonts w:hint="eastAsia" w:asciiTheme="minorEastAsia" w:hAnsiTheme="minorEastAsia" w:eastAsiaTheme="minorEastAsia" w:cstheme="minorEastAsia"/>
          <w:color w:val="auto"/>
          <w:sz w:val="24"/>
          <w:szCs w:val="24"/>
        </w:rPr>
      </w:pPr>
      <w:bookmarkStart w:id="17" w:name="_Toc515203434"/>
      <w:r>
        <w:rPr>
          <w:rFonts w:hint="eastAsia" w:asciiTheme="minorEastAsia" w:hAnsiTheme="minorEastAsia" w:eastAsiaTheme="minorEastAsia" w:cstheme="minorEastAsia"/>
          <w:color w:val="auto"/>
          <w:sz w:val="24"/>
          <w:szCs w:val="24"/>
        </w:rPr>
        <w:t>三、 投标文件</w:t>
      </w:r>
      <w:bookmarkEnd w:id="17"/>
    </w:p>
    <w:p>
      <w:pPr>
        <w:spacing w:line="440" w:lineRule="exact"/>
        <w:ind w:left="541" w:hanging="541" w:hangingChars="245"/>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1 .投标文件</w:t>
      </w:r>
    </w:p>
    <w:p>
      <w:pPr>
        <w:spacing w:line="440" w:lineRule="exact"/>
        <w:ind w:left="534" w:leftChars="50" w:hanging="429" w:hangingChars="1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1.1、供应商应仔细阅读</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中的所有内容，按照</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要求，详细编制投标文件。</w:t>
      </w:r>
    </w:p>
    <w:p>
      <w:pPr>
        <w:spacing w:line="44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并对</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的要求做出实质上响应。实质上响应的投标应该是与</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要求没有重大偏离的</w:t>
      </w:r>
    </w:p>
    <w:p>
      <w:pPr>
        <w:spacing w:line="44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投标。未实质上响应的投标文件将被拒绝，但允许在基本满足招标要求的前提下出现的微小差异。</w:t>
      </w:r>
    </w:p>
    <w:p>
      <w:pPr>
        <w:spacing w:line="440" w:lineRule="exact"/>
        <w:ind w:left="534" w:leftChars="50" w:hanging="429" w:hangingChars="1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1.2、供应商必须按</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的要求提供资料，并保证投标文件的正确性和真实性。投标文</w:t>
      </w:r>
    </w:p>
    <w:p>
      <w:pPr>
        <w:spacing w:line="44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件全部内容应保持一致，否则可能导致不利于其投标的评定甚至被拒绝。技术和商务如有偏离均</w:t>
      </w:r>
    </w:p>
    <w:p>
      <w:pPr>
        <w:spacing w:line="44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应填写偏离表。</w:t>
      </w:r>
    </w:p>
    <w:p>
      <w:pPr>
        <w:spacing w:line="440" w:lineRule="exact"/>
        <w:ind w:left="534" w:leftChars="50" w:hanging="429" w:hangingChars="1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1.3、供应商应仔细阅读</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中的所有内容，按照</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要求，详细编制投标文件，</w:t>
      </w:r>
    </w:p>
    <w:p>
      <w:pPr>
        <w:spacing w:line="44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所有文件资料必须是针对本次投标。不按</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的要求提供的投标文件可能导致被拒绝。</w:t>
      </w:r>
    </w:p>
    <w:p>
      <w:pPr>
        <w:spacing w:line="440" w:lineRule="exact"/>
        <w:ind w:left="541" w:hanging="541" w:hangingChars="245"/>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2 .投标文件的形式和效力</w:t>
      </w:r>
    </w:p>
    <w:p>
      <w:pPr>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2.1、投标文件为电子投标文件。电子投标文件按政采云平台供应商项目采购-电子招投标操作指南及本</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要求制作、加密并递交；</w:t>
      </w:r>
    </w:p>
    <w:p>
      <w:pPr>
        <w:spacing w:line="44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3．  投标文件的构成：</w:t>
      </w:r>
    </w:p>
    <w:p>
      <w:pPr>
        <w:spacing w:line="440" w:lineRule="exact"/>
        <w:ind w:left="189" w:hanging="189" w:hangingChars="86"/>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  投标文件由资格审查部分、技术资信部分和商务报价部分三部分组成，电子投标文件中所须加盖公章部分均采用CA签章。</w:t>
      </w:r>
    </w:p>
    <w:p>
      <w:pPr>
        <w:spacing w:line="440" w:lineRule="exact"/>
        <w:ind w:left="189" w:hanging="189" w:hangingChars="86"/>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3.1.1投标人的资格审查部分至少应包括以下内容：</w:t>
      </w:r>
    </w:p>
    <w:p>
      <w:pPr>
        <w:spacing w:line="44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（1）法定代表人授权书；                          （附件四（一））</w:t>
      </w:r>
    </w:p>
    <w:p>
      <w:pPr>
        <w:spacing w:line="44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（2）投标供应商有效的营业执照（复印件加盖公章）；</w:t>
      </w:r>
    </w:p>
    <w:p>
      <w:pPr>
        <w:pStyle w:val="17"/>
        <w:tabs>
          <w:tab w:val="left" w:pos="0"/>
          <w:tab w:val="left" w:pos="540"/>
        </w:tabs>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（3）未被“信用中国”（www.creditchina.gov.cn）、“中国政府采购网”（www.ccgp.gov.cn）、“浙江政府采购网”（ </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zfcg.czt.zj.gov.cn/）列入失信被执行人、重大税收违法案件当事人名单、政府采购严重违法失信行为记录名单、处理决定名单、被浙江省内县级及以上行政主管部门限制参加政府采购活动处罚（或处理）名单；"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 w:val="22"/>
          <w:szCs w:val="22"/>
        </w:rPr>
        <w:t>http://zfcg.czt.zj.gov.cn/）列入失信被执行人、重大税收违法案件当事人名单、政府采购严重违法失信行为记录名单、处理决定名单、被浙江省内县级及以上行政主管部门限制参加政府采购活动处罚（或处理）名单；</w:t>
      </w:r>
      <w:r>
        <w:rPr>
          <w:rFonts w:hint="eastAsia" w:asciiTheme="minorEastAsia" w:hAnsiTheme="minorEastAsia" w:eastAsiaTheme="minorEastAsia" w:cstheme="minorEastAsia"/>
          <w:color w:val="auto"/>
          <w:sz w:val="22"/>
          <w:szCs w:val="22"/>
        </w:rPr>
        <w:fldChar w:fldCharType="end"/>
      </w:r>
    </w:p>
    <w:p>
      <w:pPr>
        <w:pStyle w:val="17"/>
        <w:tabs>
          <w:tab w:val="left" w:pos="0"/>
          <w:tab w:val="left" w:pos="540"/>
        </w:tabs>
        <w:spacing w:line="440" w:lineRule="exact"/>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color w:val="auto"/>
          <w:sz w:val="22"/>
          <w:szCs w:val="22"/>
          <w:lang w:val="en-US" w:eastAsia="zh-CN"/>
        </w:rPr>
        <w:t>4</w:t>
      </w:r>
      <w:r>
        <w:rPr>
          <w:rFonts w:hint="eastAsia" w:asciiTheme="minorEastAsia" w:hAnsiTheme="minorEastAsia" w:eastAsiaTheme="minorEastAsia" w:cstheme="minorEastAsia"/>
          <w:color w:val="auto"/>
          <w:sz w:val="22"/>
          <w:szCs w:val="22"/>
          <w:lang w:eastAsia="zh-CN"/>
        </w:rPr>
        <w:t>）承诺书</w:t>
      </w:r>
      <w:r>
        <w:rPr>
          <w:rFonts w:hint="eastAsia" w:asciiTheme="minorEastAsia" w:hAnsiTheme="minorEastAsia" w:eastAsia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22"/>
          <w:szCs w:val="22"/>
        </w:rPr>
        <w:t>（附件</w:t>
      </w:r>
      <w:r>
        <w:rPr>
          <w:rFonts w:hint="eastAsia" w:asciiTheme="minorEastAsia" w:hAnsiTheme="minorEastAsia" w:eastAsiaTheme="minorEastAsia" w:cstheme="minorEastAsia"/>
          <w:color w:val="auto"/>
          <w:sz w:val="22"/>
          <w:szCs w:val="22"/>
          <w:lang w:eastAsia="zh-CN"/>
        </w:rPr>
        <w:t>十</w:t>
      </w:r>
      <w:r>
        <w:rPr>
          <w:rFonts w:hint="eastAsia" w:asciiTheme="minorEastAsia" w:hAnsiTheme="minorEastAsia" w:eastAsiaTheme="minorEastAsia" w:cstheme="minorEastAsia"/>
          <w:color w:val="auto"/>
          <w:sz w:val="22"/>
          <w:szCs w:val="22"/>
        </w:rPr>
        <w:t>）</w:t>
      </w:r>
      <w:r>
        <w:rPr>
          <w:rFonts w:hint="eastAsia" w:asciiTheme="minorEastAsia" w:hAnsiTheme="minorEastAsia" w:eastAsiaTheme="minorEastAsia" w:cstheme="minorEastAsia"/>
          <w:color w:val="auto"/>
          <w:sz w:val="22"/>
          <w:szCs w:val="22"/>
          <w:lang w:val="en-US" w:eastAsia="zh-CN"/>
        </w:rPr>
        <w:t xml:space="preserve">  </w:t>
      </w:r>
    </w:p>
    <w:p>
      <w:pPr>
        <w:pStyle w:val="17"/>
        <w:tabs>
          <w:tab w:val="left" w:pos="0"/>
          <w:tab w:val="left" w:pos="540"/>
        </w:tabs>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color w:val="auto"/>
          <w:sz w:val="22"/>
          <w:szCs w:val="22"/>
          <w:lang w:val="en-US" w:eastAsia="zh-CN"/>
        </w:rPr>
        <w:t>5</w:t>
      </w: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color w:val="auto"/>
          <w:sz w:val="22"/>
          <w:szCs w:val="22"/>
        </w:rPr>
        <w:t>供应商认为有必要提供的其他资信文件（复印件加盖公章）；</w:t>
      </w:r>
    </w:p>
    <w:p>
      <w:pPr>
        <w:spacing w:line="440" w:lineRule="exact"/>
        <w:ind w:left="189" w:hanging="189" w:hangingChars="86"/>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3.1.2技术资信标</w:t>
      </w:r>
    </w:p>
    <w:p>
      <w:pPr>
        <w:spacing w:line="440" w:lineRule="exact"/>
        <w:ind w:firstLine="325" w:firstLineChars="147"/>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color w:val="auto"/>
          <w:sz w:val="22"/>
          <w:szCs w:val="22"/>
          <w:u w:val="single"/>
        </w:rPr>
        <w:t>▲</w:t>
      </w:r>
      <w:r>
        <w:rPr>
          <w:rFonts w:hint="eastAsia" w:asciiTheme="minorEastAsia" w:hAnsiTheme="minorEastAsia" w:eastAsiaTheme="minorEastAsia" w:cstheme="minorEastAsia"/>
          <w:color w:val="auto"/>
          <w:sz w:val="22"/>
          <w:szCs w:val="22"/>
          <w:u w:val="single"/>
        </w:rPr>
        <w:t>（1）投标函；</w:t>
      </w:r>
      <w:r>
        <w:rPr>
          <w:rFonts w:hint="eastAsia" w:asciiTheme="minorEastAsia" w:hAnsiTheme="minorEastAsia" w:eastAsiaTheme="minorEastAsia" w:cstheme="minorEastAsia"/>
          <w:color w:val="auto"/>
          <w:sz w:val="22"/>
          <w:szCs w:val="22"/>
        </w:rPr>
        <w:t xml:space="preserve">                                  （附件一）</w:t>
      </w:r>
    </w:p>
    <w:p>
      <w:pPr>
        <w:spacing w:line="440" w:lineRule="exact"/>
        <w:ind w:firstLine="325" w:firstLineChars="147"/>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
          <w:color w:val="auto"/>
          <w:sz w:val="22"/>
          <w:szCs w:val="22"/>
          <w:u w:val="single"/>
        </w:rPr>
        <w:t>▲</w:t>
      </w:r>
      <w:r>
        <w:rPr>
          <w:rFonts w:hint="eastAsia" w:asciiTheme="minorEastAsia" w:hAnsiTheme="minorEastAsia" w:eastAsiaTheme="minorEastAsia" w:cstheme="minorEastAsia"/>
          <w:color w:val="auto"/>
          <w:sz w:val="22"/>
          <w:szCs w:val="22"/>
          <w:u w:val="single"/>
        </w:rPr>
        <w:t xml:space="preserve">（2）商务条款、技术规格偏离表； </w:t>
      </w:r>
      <w:r>
        <w:rPr>
          <w:rFonts w:hint="eastAsia" w:asciiTheme="minorEastAsia" w:hAnsiTheme="minorEastAsia" w:eastAsiaTheme="minorEastAsia" w:cstheme="minorEastAsia"/>
          <w:color w:val="auto"/>
          <w:sz w:val="22"/>
          <w:szCs w:val="22"/>
        </w:rPr>
        <w:t xml:space="preserve">               （附件三）</w:t>
      </w:r>
    </w:p>
    <w:p>
      <w:pPr>
        <w:autoSpaceDE w:val="0"/>
        <w:autoSpaceDN w:val="0"/>
        <w:spacing w:line="400" w:lineRule="exact"/>
        <w:ind w:firstLine="440" w:firstLineChars="200"/>
        <w:textAlignment w:val="bottom"/>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（3）投标单位情况声明                 </w:t>
      </w:r>
      <w:r>
        <w:rPr>
          <w:rFonts w:hint="eastAsia" w:asciiTheme="minorEastAsia" w:hAnsiTheme="minorEastAsia" w:eastAsia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22"/>
          <w:szCs w:val="22"/>
        </w:rPr>
        <w:t xml:space="preserve"> （附件四（二）） </w:t>
      </w:r>
    </w:p>
    <w:p>
      <w:pPr>
        <w:autoSpaceDE w:val="0"/>
        <w:autoSpaceDN w:val="0"/>
        <w:spacing w:line="400" w:lineRule="exact"/>
        <w:ind w:firstLine="440" w:firstLineChars="200"/>
        <w:textAlignment w:val="bottom"/>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（4）投标技术方案（按“评标细则”相关评分内容逐项编制，格式自拟）</w:t>
      </w:r>
    </w:p>
    <w:p>
      <w:pPr>
        <w:spacing w:line="44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（5）投标供应商认为需要提供的其他相关资料</w:t>
      </w:r>
    </w:p>
    <w:p>
      <w:pPr>
        <w:spacing w:line="440" w:lineRule="exact"/>
        <w:ind w:firstLine="221"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color w:val="auto"/>
          <w:sz w:val="22"/>
          <w:szCs w:val="22"/>
          <w:u w:val="thick"/>
        </w:rPr>
        <w:t>以上所需的各种证书、证件、证明、执照若系复印件，须在复印件上盖上有效的公章。</w:t>
      </w:r>
    </w:p>
    <w:p>
      <w:pPr>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3.1.3商务（价格）标</w:t>
      </w:r>
      <w:r>
        <w:rPr>
          <w:rFonts w:hint="eastAsia" w:asciiTheme="minorEastAsia" w:hAnsiTheme="minorEastAsia" w:eastAsiaTheme="minorEastAsia" w:cstheme="minorEastAsia"/>
          <w:color w:val="auto"/>
          <w:sz w:val="22"/>
          <w:szCs w:val="22"/>
        </w:rPr>
        <w:tab/>
      </w:r>
    </w:p>
    <w:p>
      <w:pPr>
        <w:tabs>
          <w:tab w:val="left" w:pos="540"/>
        </w:tabs>
        <w:spacing w:line="440" w:lineRule="exact"/>
        <w:ind w:firstLine="330" w:firstLineChars="1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（1）开标一览表                                             （附件二）</w:t>
      </w:r>
    </w:p>
    <w:p>
      <w:pPr>
        <w:spacing w:line="440" w:lineRule="exact"/>
        <w:ind w:left="328" w:leftChars="156"/>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（2）中小企业声明函等的证明材料（如有）</w:t>
      </w:r>
    </w:p>
    <w:p>
      <w:pPr>
        <w:spacing w:line="440" w:lineRule="exact"/>
        <w:ind w:left="329" w:leftChars="-100"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3.2  投标文件格编制</w:t>
      </w:r>
    </w:p>
    <w:p>
      <w:pPr>
        <w:spacing w:line="360" w:lineRule="auto"/>
        <w:ind w:firstLine="442" w:firstLineChars="200"/>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3.2.1本项目通过“政府采购云平台（www.zcygov.cn）”实行在线投标响应（电子投标）。供应商应通过“政采云电子交易客户端”，并按照本</w:t>
      </w:r>
      <w:r>
        <w:rPr>
          <w:rFonts w:hint="eastAsia" w:asciiTheme="minorEastAsia" w:hAnsiTheme="minorEastAsia" w:eastAsiaTheme="minorEastAsia" w:cstheme="minorEastAsia"/>
          <w:b/>
          <w:color w:val="auto"/>
          <w:sz w:val="22"/>
          <w:szCs w:val="22"/>
          <w:lang w:eastAsia="zh-CN"/>
        </w:rPr>
        <w:t>采购文件</w:t>
      </w:r>
      <w:r>
        <w:rPr>
          <w:rFonts w:hint="eastAsia" w:asciiTheme="minorEastAsia" w:hAnsiTheme="minorEastAsia" w:eastAsiaTheme="minorEastAsia" w:cstheme="minorEastAsia"/>
          <w:b/>
          <w:color w:val="auto"/>
          <w:sz w:val="22"/>
          <w:szCs w:val="22"/>
        </w:rPr>
        <w:t>和“政府采购云平台”的要求编制并加密投标文件。</w:t>
      </w:r>
    </w:p>
    <w:p>
      <w:pPr>
        <w:spacing w:line="360" w:lineRule="auto"/>
        <w:ind w:firstLine="387" w:firstLineChars="175"/>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3.2.2投标供应商应当按照本章节 “投标文件组成”规定的内容及顺序在“政采云电子交易客户端”编制投标文件。其中《资格部分》和《技术资信部分》中不得出现本项目投标报价，如因投标人原因提前泄露投标报价，是投标人的责任。</w:t>
      </w:r>
    </w:p>
    <w:p>
      <w:pPr>
        <w:spacing w:line="360" w:lineRule="auto"/>
        <w:ind w:firstLine="387" w:firstLineChars="175"/>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3.2.3本文件《第四部分 投标文件格式》中有提供格式的，投标供应商须参照格式进行编制（格式中要求提供相关证明材料的还需后附相关证明材料），并按格式要求在指定位置根据要求进行签章，否则视为未提供；本文件《第四部分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投标文件格式》未提供格式的，请各投标单位自行拟定格式，并加盖单位公章并由法定代表人或其授权代表签署（签字或盖章），否则视为未</w:t>
      </w:r>
      <w:r>
        <w:rPr>
          <w:rFonts w:hint="eastAsia" w:asciiTheme="minorEastAsia" w:hAnsiTheme="minorEastAsia" w:eastAsiaTheme="minorEastAsia" w:cstheme="minorEastAsia"/>
          <w:b/>
          <w:color w:val="auto"/>
          <w:sz w:val="22"/>
          <w:szCs w:val="22"/>
        </w:rPr>
        <w:t>提供。</w:t>
      </w:r>
    </w:p>
    <w:p>
      <w:pPr>
        <w:tabs>
          <w:tab w:val="left" w:pos="-180"/>
          <w:tab w:val="left" w:pos="180"/>
          <w:tab w:val="left" w:pos="360"/>
        </w:tabs>
        <w:spacing w:line="440" w:lineRule="exact"/>
        <w:ind w:left="663" w:hanging="663" w:hangingChars="300"/>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bCs/>
          <w:color w:val="auto"/>
          <w:sz w:val="22"/>
          <w:szCs w:val="22"/>
        </w:rPr>
        <w:t>4．  投标报价</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4.1本次招标实行年度固定总价承包，工程承包总价必须包括投标人在承包区域内提供绿化养护及设施、补植等相关服务所需的一切劳务、材料、设备、配件、备件、损耗、仓储、运输（包括垃圾分类、外运及消纳等）、维护、税费、保险、利润及招标代理费</w:t>
      </w:r>
      <w:r>
        <w:rPr>
          <w:rFonts w:hint="eastAsia" w:asciiTheme="minorEastAsia" w:hAnsiTheme="minorEastAsia" w:eastAsiaTheme="minorEastAsia" w:cstheme="minorEastAsia"/>
          <w:b/>
          <w:bCs/>
          <w:color w:val="auto"/>
          <w:sz w:val="22"/>
          <w:szCs w:val="22"/>
          <w:u w:val="single"/>
          <w:lang w:eastAsia="zh-CN"/>
        </w:rPr>
        <w:t>等</w:t>
      </w:r>
      <w:r>
        <w:rPr>
          <w:rFonts w:hint="eastAsia" w:asciiTheme="minorEastAsia" w:hAnsiTheme="minorEastAsia" w:eastAsiaTheme="minorEastAsia" w:cstheme="minorEastAsia"/>
          <w:b/>
          <w:bCs/>
          <w:color w:val="auto"/>
          <w:sz w:val="22"/>
          <w:szCs w:val="22"/>
          <w:u w:val="single"/>
        </w:rPr>
        <w:t xml:space="preserve">完成合同所需的一切本身和不可或缺的所有工作开支、政策性文件规定及合同包含的所有风险、责任等各项全部费用并承担一切风险责任。除发生下列因素可调整合同价外，不得以任何其他理由调整任何费用：    </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1）招标承包范围内绿地的面积及数量根据采购单位提供的为准，今后对于投标时提供的养护范围内面积、数量增加的，乙方考虑相应风险，今后价格不予调整；今后对于投标时提供的养护范围内面积、数量有明显减少的，以该范围原建设单位或绿地归属单位核对确认后的数量进行相应调整。该部分工程量按实际测量为准，今后按中标单价结算。</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2）彩化：本次彩化以草花为主，具体的草花品种规格等由采购人根据季节及节假日的需求签发任务单，承包人须根据任务单完成，草花（一年六换，64株/平方米）的工程量今后结算时按实调整，按相应中标单价执行。草坪草籽混播费用在混播完成45天后，对草坪生长情况进行考核并给时予以一次性支付相应费用。</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（3）若维养期间，有因改造提升产生的养护范围变更，则根据实际情况将提升面积做相应扣除，单价按相应中标单价执行调整。</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4）若维养期间，有新建绿化项目处以绿化施工养护期的，若原建设单位及施工单位同意将该部分养护以就近原则委托中标单位进行管养的，其单价按相应中标单价执行，该费用由原建设单位按规定支付给中标单位，中标单位须无条件接收。该部分的考核等与招标范围内一致，由采购人进行考核。</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▲4.2如因台风、自然灾害等不可抗力因素导致的</w:t>
      </w:r>
      <w:r>
        <w:rPr>
          <w:rFonts w:hint="eastAsia" w:asciiTheme="minorEastAsia" w:hAnsiTheme="minorEastAsia" w:eastAsiaTheme="minorEastAsia" w:cstheme="minorEastAsia"/>
          <w:b/>
          <w:bCs/>
          <w:color w:val="auto"/>
          <w:sz w:val="22"/>
          <w:szCs w:val="22"/>
          <w:u w:val="single"/>
          <w:lang w:eastAsia="zh-CN"/>
        </w:rPr>
        <w:t>草花</w:t>
      </w:r>
      <w:r>
        <w:rPr>
          <w:rFonts w:hint="eastAsia" w:asciiTheme="minorEastAsia" w:hAnsiTheme="minorEastAsia" w:eastAsiaTheme="minorEastAsia" w:cstheme="minorEastAsia"/>
          <w:b/>
          <w:bCs/>
          <w:color w:val="auto"/>
          <w:sz w:val="22"/>
          <w:szCs w:val="22"/>
          <w:u w:val="single"/>
        </w:rPr>
        <w:t>损坏,需补植，则补植内容今后按实际工程量按相应计价方式进行结算。但属于承包人可以预见、预防，而承包人预防不力所造成的损失，不予赔偿，其经济损失由承包人承担。</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▲4.3采购人在授予合同时有权对招标范围的数量和服务在一定幅度范围内予以增加或减少,但不得对中标单价和其他的条款和条件作任何改变，由此产生的风险由投标人自行考虑并承担。</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▲4.4投标供应商必须按第四部分投标文件格式中的投标报价一览表（均统一格式）内容填写综合单价、合价和总价，并由法定代表人（或授权代表）签署。</w:t>
      </w:r>
    </w:p>
    <w:p>
      <w:pPr>
        <w:tabs>
          <w:tab w:val="left" w:pos="-180"/>
          <w:tab w:val="left" w:pos="180"/>
          <w:tab w:val="left" w:pos="360"/>
        </w:tabs>
        <w:spacing w:line="44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4.6本次投标均以人民币报价，投标供应商如需外汇购入某些货物，须折合成人民币计入投标报价中。</w:t>
      </w:r>
    </w:p>
    <w:p>
      <w:pPr>
        <w:tabs>
          <w:tab w:val="left" w:pos="-180"/>
          <w:tab w:val="left" w:pos="180"/>
          <w:tab w:val="left" w:pos="360"/>
        </w:tabs>
        <w:spacing w:line="440" w:lineRule="exac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rPr>
        <w:t xml:space="preserve">4.7 </w:t>
      </w:r>
      <w:r>
        <w:rPr>
          <w:rFonts w:hint="eastAsia" w:asciiTheme="minorEastAsia" w:hAnsiTheme="minorEastAsia" w:eastAsiaTheme="minorEastAsia" w:cstheme="minorEastAsia"/>
          <w:b/>
          <w:color w:val="auto"/>
          <w:sz w:val="22"/>
          <w:szCs w:val="22"/>
          <w:u w:val="single"/>
        </w:rPr>
        <w:t>招标采购单位不接受任何选择报价，对任何货物或服务只允许一个报价。</w:t>
      </w:r>
    </w:p>
    <w:p>
      <w:pPr>
        <w:tabs>
          <w:tab w:val="left" w:pos="-180"/>
          <w:tab w:val="left" w:pos="180"/>
          <w:tab w:val="left" w:pos="360"/>
        </w:tabs>
        <w:spacing w:line="44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4.8投标价报出后，投标供应商不得以任何理由予以变更。任何包含价格调整的要求，将被认为是非实质性响应投标而予以拒绝。</w:t>
      </w:r>
    </w:p>
    <w:p>
      <w:pPr>
        <w:tabs>
          <w:tab w:val="left" w:pos="-180"/>
          <w:tab w:val="left" w:pos="180"/>
          <w:tab w:val="left" w:pos="360"/>
        </w:tabs>
        <w:spacing w:line="440" w:lineRule="exact"/>
        <w:ind w:left="660"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4.9  最低报价不能作为中标的保证。</w:t>
      </w:r>
    </w:p>
    <w:p>
      <w:pPr>
        <w:tabs>
          <w:tab w:val="left" w:pos="-180"/>
          <w:tab w:val="left" w:pos="180"/>
          <w:tab w:val="left" w:pos="360"/>
        </w:tabs>
        <w:spacing w:line="440" w:lineRule="exact"/>
        <w:ind w:left="663" w:hanging="663" w:hangingChars="300"/>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5．  投标保证金</w:t>
      </w:r>
    </w:p>
    <w:p>
      <w:pPr>
        <w:spacing w:line="440" w:lineRule="exac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b/>
          <w:color w:val="auto"/>
          <w:sz w:val="22"/>
          <w:szCs w:val="22"/>
        </w:rPr>
        <w:t>5.1  本项目无需提交投标保证金.</w:t>
      </w:r>
    </w:p>
    <w:p>
      <w:pPr>
        <w:spacing w:line="440" w:lineRule="exact"/>
        <w:ind w:left="663" w:hanging="663" w:hangingChars="300"/>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5.2  如发生下列情况之一，采购人将作为不良行为，上报财政主管部门：</w:t>
      </w:r>
    </w:p>
    <w:p>
      <w:pPr>
        <w:spacing w:line="440" w:lineRule="exact"/>
        <w:ind w:left="759" w:hanging="759" w:hangingChars="3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 投标供应商在</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规定的投标有效期内撤回投标的；</w:t>
      </w:r>
    </w:p>
    <w:p>
      <w:pPr>
        <w:tabs>
          <w:tab w:val="left" w:pos="5355"/>
        </w:tabs>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 中标供应商未按中标通知书中规定的时间与采购人签订合同的；</w:t>
      </w:r>
    </w:p>
    <w:p>
      <w:pPr>
        <w:spacing w:line="440" w:lineRule="exact"/>
        <w:ind w:left="759" w:hanging="759" w:hangingChars="3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 投标供应商在投标文件中提供虚假资料，经评标委员会确认属实的；</w:t>
      </w:r>
    </w:p>
    <w:p>
      <w:pPr>
        <w:spacing w:line="440" w:lineRule="exact"/>
        <w:ind w:left="630" w:leftChars="-9" w:hanging="649" w:hangingChars="29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 经查实，投标供应商在本次采购活动中存在违法违规行为，或法律、法规及</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规定的其他条件的。</w:t>
      </w:r>
    </w:p>
    <w:p>
      <w:pPr>
        <w:spacing w:line="440" w:lineRule="exact"/>
        <w:ind w:left="663" w:hanging="663" w:hangingChars="300"/>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bCs/>
          <w:color w:val="auto"/>
          <w:sz w:val="22"/>
          <w:szCs w:val="22"/>
        </w:rPr>
        <w:t>6．  投标有效期</w:t>
      </w:r>
    </w:p>
    <w:p>
      <w:pPr>
        <w:spacing w:line="440" w:lineRule="exact"/>
        <w:ind w:left="660"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6.1  自开标之日起</w:t>
      </w:r>
      <w:r>
        <w:rPr>
          <w:rFonts w:hint="eastAsia" w:asciiTheme="minorEastAsia" w:hAnsiTheme="minorEastAsia" w:eastAsiaTheme="minorEastAsia" w:cstheme="minorEastAsia"/>
          <w:bCs/>
          <w:color w:val="auto"/>
          <w:sz w:val="22"/>
          <w:szCs w:val="22"/>
          <w:u w:val="single"/>
        </w:rPr>
        <w:t xml:space="preserve"> 90</w:t>
      </w:r>
      <w:r>
        <w:rPr>
          <w:rFonts w:hint="eastAsia" w:asciiTheme="minorEastAsia" w:hAnsiTheme="minorEastAsia" w:eastAsiaTheme="minorEastAsia" w:cstheme="minorEastAsia"/>
          <w:color w:val="auto"/>
          <w:sz w:val="22"/>
          <w:szCs w:val="22"/>
        </w:rPr>
        <w:t>天内投标应保持有效。</w:t>
      </w:r>
    </w:p>
    <w:p>
      <w:pPr>
        <w:spacing w:line="440" w:lineRule="exact"/>
        <w:ind w:left="523" w:leftChars="3" w:hanging="517" w:hangingChars="23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6.2  特殊情况下，在原投标有效期截止前，招标采购单位可与投标供应商协商延长投标有效期，这种要求和答复均以书面形式进行。投标供应商可拒绝接受延期要求。同意延长投标有效期的投标供应商不得修改投标文件。</w:t>
      </w:r>
    </w:p>
    <w:p>
      <w:pPr>
        <w:pStyle w:val="6"/>
        <w:spacing w:line="500" w:lineRule="exact"/>
        <w:jc w:val="center"/>
        <w:rPr>
          <w:rFonts w:hint="eastAsia" w:asciiTheme="minorEastAsia" w:hAnsiTheme="minorEastAsia" w:eastAsiaTheme="minorEastAsia" w:cstheme="minorEastAsia"/>
          <w:color w:val="auto"/>
          <w:sz w:val="24"/>
          <w:szCs w:val="24"/>
        </w:rPr>
      </w:pPr>
      <w:bookmarkStart w:id="18" w:name="_Toc515203435"/>
      <w:r>
        <w:rPr>
          <w:rFonts w:hint="eastAsia" w:asciiTheme="minorEastAsia" w:hAnsiTheme="minorEastAsia" w:eastAsiaTheme="minorEastAsia" w:cstheme="minorEastAsia"/>
          <w:color w:val="auto"/>
          <w:sz w:val="24"/>
          <w:szCs w:val="24"/>
        </w:rPr>
        <w:t>四、 投标文件的递交</w:t>
      </w:r>
      <w:bookmarkEnd w:id="18"/>
    </w:p>
    <w:p>
      <w:pPr>
        <w:spacing w:line="46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1．  投标文件的递交</w:t>
      </w:r>
    </w:p>
    <w:p>
      <w:pPr>
        <w:spacing w:line="460" w:lineRule="exact"/>
        <w:ind w:left="539" w:hanging="539" w:hangingChars="2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Cs/>
          <w:color w:val="auto"/>
          <w:sz w:val="22"/>
          <w:szCs w:val="22"/>
        </w:rPr>
        <w:t xml:space="preserve">1.1  </w:t>
      </w:r>
      <w:r>
        <w:rPr>
          <w:rFonts w:hint="eastAsia" w:asciiTheme="minorEastAsia" w:hAnsiTheme="minorEastAsia" w:eastAsiaTheme="minorEastAsia" w:cstheme="minorEastAsia"/>
          <w:color w:val="auto"/>
          <w:sz w:val="22"/>
          <w:szCs w:val="22"/>
        </w:rPr>
        <w:t>“投标文件”的上传、递交：见《前附表》</w:t>
      </w:r>
    </w:p>
    <w:p>
      <w:pPr>
        <w:spacing w:line="46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2．  投标文件的修改和撤回</w:t>
      </w:r>
    </w:p>
    <w:p>
      <w:pPr>
        <w:spacing w:line="360" w:lineRule="auto"/>
        <w:rPr>
          <w:rFonts w:hint="eastAsia" w:asciiTheme="minorEastAsia" w:hAnsiTheme="minorEastAsia" w:eastAsiaTheme="minorEastAsia" w:cstheme="minorEastAsia"/>
          <w:color w:val="auto"/>
          <w:sz w:val="22"/>
          <w:szCs w:val="22"/>
        </w:rPr>
      </w:pPr>
      <w:bookmarkStart w:id="19" w:name="_Toc515203436"/>
      <w:r>
        <w:rPr>
          <w:rFonts w:hint="eastAsia" w:asciiTheme="minorEastAsia" w:hAnsiTheme="minorEastAsia" w:eastAsiaTheme="minorEastAsia" w:cstheme="minorEastAsia"/>
          <w:color w:val="auto"/>
          <w:sz w:val="22"/>
          <w:szCs w:val="22"/>
        </w:rPr>
        <w:t>2.1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2.2投标截止时间后，投标供应商不得撤回、修改《投标文件》。</w:t>
      </w:r>
    </w:p>
    <w:p>
      <w:pPr>
        <w:spacing w:line="360" w:lineRule="auto"/>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3.投标文件的备选方案</w:t>
      </w:r>
    </w:p>
    <w:p>
      <w:pPr>
        <w:spacing w:line="360" w:lineRule="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3.1投标供应商不得递交任何的投标备选（替代）方案，否则其投标文件将作无效标处理。</w:t>
      </w:r>
    </w:p>
    <w:p>
      <w:pPr>
        <w:pStyle w:val="6"/>
        <w:spacing w:line="5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 开标和评标</w:t>
      </w:r>
      <w:bookmarkEnd w:id="19"/>
    </w:p>
    <w:p>
      <w:pPr>
        <w:spacing w:line="460" w:lineRule="exact"/>
        <w:rPr>
          <w:rFonts w:hint="eastAsia" w:asciiTheme="minorEastAsia" w:hAnsiTheme="minorEastAsia" w:eastAsiaTheme="minorEastAsia" w:cstheme="minorEastAsia"/>
          <w:bCs/>
          <w:color w:val="auto"/>
          <w:sz w:val="22"/>
          <w:szCs w:val="22"/>
        </w:rPr>
      </w:pPr>
      <w:bookmarkStart w:id="20" w:name="_Toc515203437"/>
      <w:r>
        <w:rPr>
          <w:rFonts w:hint="eastAsia" w:asciiTheme="minorEastAsia" w:hAnsiTheme="minorEastAsia" w:eastAsiaTheme="minorEastAsia" w:cstheme="minorEastAsia"/>
          <w:b/>
          <w:bCs/>
          <w:color w:val="auto"/>
          <w:sz w:val="22"/>
          <w:szCs w:val="22"/>
        </w:rPr>
        <w:t>1．  开标</w:t>
      </w:r>
    </w:p>
    <w:p>
      <w:pPr>
        <w:pStyle w:val="7"/>
        <w:tabs>
          <w:tab w:val="left" w:pos="720"/>
        </w:tabs>
        <w:spacing w:before="0" w:after="0"/>
        <w:ind w:left="720" w:hanging="720"/>
        <w:rPr>
          <w:rFonts w:hint="eastAsia" w:asciiTheme="minorEastAsia" w:hAnsiTheme="minorEastAsia" w:eastAsiaTheme="minorEastAsia" w:cstheme="minorEastAsia"/>
          <w:b w:val="0"/>
          <w:color w:val="auto"/>
          <w:sz w:val="22"/>
          <w:szCs w:val="22"/>
        </w:rPr>
      </w:pPr>
      <w:r>
        <w:rPr>
          <w:rFonts w:hint="eastAsia" w:asciiTheme="minorEastAsia" w:hAnsiTheme="minorEastAsia" w:eastAsiaTheme="minorEastAsia" w:cstheme="minorEastAsia"/>
          <w:b w:val="0"/>
          <w:color w:val="auto"/>
          <w:sz w:val="22"/>
          <w:szCs w:val="22"/>
        </w:rPr>
        <w:t>（一） 开标组织与邀请</w:t>
      </w:r>
    </w:p>
    <w:p>
      <w:pPr>
        <w:spacing w:line="360" w:lineRule="auto"/>
        <w:ind w:firstLine="387" w:firstLineChars="176"/>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1.1开标组织：本项目开标现场活动由采购人或采购代理机构（以下简称“采购组织机构”）组织实施，准备工作由采购组织机构负责落实，开标过程由采购组织机构负责记录，开标现场由采购组织机构人员主持。</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1.2开标邀请：</w:t>
      </w:r>
      <w:r>
        <w:rPr>
          <w:rFonts w:hint="eastAsia" w:asciiTheme="minorEastAsia" w:hAnsiTheme="minorEastAsia" w:eastAsiaTheme="minorEastAsia" w:cstheme="minorEastAsia"/>
          <w:bCs/>
          <w:color w:val="auto"/>
          <w:kern w:val="0"/>
          <w:sz w:val="22"/>
          <w:szCs w:val="22"/>
          <w:u w:val="single"/>
        </w:rPr>
        <w:t>本项目采用电子交易，采购组织机构将按照采购文件规定的开标时间在“政府采购云平台，网址：</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"http://www.zcygov.cn"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 w:val="22"/>
          <w:szCs w:val="22"/>
          <w:u w:val="single"/>
        </w:rPr>
        <w:t>www.zcygov.cn</w:t>
      </w:r>
      <w:r>
        <w:rPr>
          <w:rFonts w:hint="eastAsia" w:asciiTheme="minorEastAsia" w:hAnsiTheme="minorEastAsia" w:eastAsiaTheme="minorEastAsia" w:cstheme="minorEastAsia"/>
          <w:bCs/>
          <w:color w:val="auto"/>
          <w:kern w:val="0"/>
          <w:sz w:val="22"/>
          <w:szCs w:val="22"/>
          <w:u w:val="single"/>
        </w:rPr>
        <w:fldChar w:fldCharType="end"/>
      </w:r>
      <w:r>
        <w:rPr>
          <w:rFonts w:hint="eastAsia" w:asciiTheme="minorEastAsia" w:hAnsiTheme="minorEastAsia" w:eastAsiaTheme="minorEastAsia" w:cstheme="minorEastAsia"/>
          <w:bCs/>
          <w:color w:val="auto"/>
          <w:kern w:val="0"/>
          <w:sz w:val="22"/>
          <w:szCs w:val="22"/>
          <w:u w:val="single"/>
        </w:rPr>
        <w:t>”组织开标、开启投标文件，所有供应商均应当准时在线参加</w:t>
      </w:r>
      <w:r>
        <w:rPr>
          <w:rFonts w:hint="eastAsia" w:asciiTheme="minorEastAsia" w:hAnsiTheme="minorEastAsia" w:eastAsiaTheme="minorEastAsia" w:cstheme="minorEastAsia"/>
          <w:bCs/>
          <w:color w:val="auto"/>
          <w:kern w:val="0"/>
          <w:sz w:val="22"/>
          <w:szCs w:val="22"/>
        </w:rPr>
        <w:t>。</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1.3投标文件开启顺序：</w:t>
      </w:r>
      <w:r>
        <w:rPr>
          <w:rFonts w:hint="eastAsia" w:asciiTheme="minorEastAsia" w:hAnsiTheme="minorEastAsia" w:eastAsiaTheme="minorEastAsia" w:cstheme="minorEastAsia"/>
          <w:bCs/>
          <w:color w:val="auto"/>
          <w:kern w:val="0"/>
          <w:sz w:val="22"/>
          <w:szCs w:val="22"/>
          <w:u w:val="single"/>
        </w:rPr>
        <w:t>资格部分、技术资信部分、商务报价部分</w:t>
      </w:r>
      <w:r>
        <w:rPr>
          <w:rFonts w:hint="eastAsia" w:asciiTheme="minorEastAsia" w:hAnsiTheme="minorEastAsia" w:eastAsiaTheme="minorEastAsia" w:cstheme="minorEastAsia"/>
          <w:bCs/>
          <w:color w:val="auto"/>
          <w:kern w:val="0"/>
          <w:sz w:val="22"/>
          <w:szCs w:val="22"/>
        </w:rPr>
        <w:t>。</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1.4供应商对开标过程和开标记录有疑义，以及认为采购人、采购代理机构相关工作人员有需要回避的情形的，应当场提出询问或回避申请。供应商未参加开标的视同认可开标结果。</w:t>
      </w:r>
    </w:p>
    <w:p>
      <w:pPr>
        <w:pStyle w:val="7"/>
        <w:tabs>
          <w:tab w:val="left" w:pos="720"/>
        </w:tabs>
        <w:spacing w:before="0" w:after="0"/>
        <w:ind w:left="720" w:hanging="720"/>
        <w:rPr>
          <w:rFonts w:hint="eastAsia" w:asciiTheme="minorEastAsia" w:hAnsiTheme="minorEastAsia" w:eastAsiaTheme="minorEastAsia" w:cstheme="minorEastAsia"/>
          <w:b w:val="0"/>
          <w:color w:val="auto"/>
          <w:sz w:val="22"/>
          <w:szCs w:val="22"/>
        </w:rPr>
      </w:pPr>
      <w:r>
        <w:rPr>
          <w:rFonts w:hint="eastAsia" w:asciiTheme="minorEastAsia" w:hAnsiTheme="minorEastAsia" w:eastAsiaTheme="minorEastAsia" w:cstheme="minorEastAsia"/>
          <w:b w:val="0"/>
          <w:color w:val="auto"/>
          <w:sz w:val="22"/>
          <w:szCs w:val="22"/>
        </w:rPr>
        <w:t xml:space="preserve">（二）开标流程 </w:t>
      </w:r>
    </w:p>
    <w:p>
      <w:pPr>
        <w:spacing w:line="360" w:lineRule="auto"/>
        <w:ind w:firstLine="389" w:firstLineChars="177"/>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本项目开标由采购组织机构的开标现场组织人员按以下流程顺序组织实施：</w:t>
      </w:r>
    </w:p>
    <w:p>
      <w:pPr>
        <w:spacing w:line="360" w:lineRule="auto"/>
        <w:ind w:firstLine="389" w:firstLineChars="177"/>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2.1投标文件在线解密：开标现场组织人员在“政府采购云平台”在线发出“投标文件解密”通知，启动投标文件的解密程序；“投标文件解密”通知发出后，投标供应商应当登录“</w:t>
      </w:r>
      <w:r>
        <w:rPr>
          <w:rFonts w:hint="eastAsia" w:asciiTheme="minorEastAsia" w:hAnsiTheme="minorEastAsia" w:eastAsiaTheme="minorEastAsia" w:cstheme="minorEastAsia"/>
          <w:bCs/>
          <w:color w:val="auto"/>
          <w:sz w:val="22"/>
          <w:szCs w:val="22"/>
        </w:rPr>
        <w:t>政府采购云平台</w:t>
      </w:r>
      <w:r>
        <w:rPr>
          <w:rFonts w:hint="eastAsia" w:asciiTheme="minorEastAsia" w:hAnsiTheme="minorEastAsia" w:eastAsiaTheme="minorEastAsia" w:cstheme="minorEastAsia"/>
          <w:bCs/>
          <w:color w:val="auto"/>
          <w:kern w:val="0"/>
          <w:sz w:val="22"/>
          <w:szCs w:val="22"/>
        </w:rPr>
        <w:t>”并在规定的“在线解密时间期限”内完成投标文件的解密（</w:t>
      </w:r>
      <w:r>
        <w:rPr>
          <w:rFonts w:hint="eastAsia" w:asciiTheme="minorEastAsia" w:hAnsiTheme="minorEastAsia" w:eastAsiaTheme="minorEastAsia" w:cstheme="minorEastAsia"/>
          <w:bCs/>
          <w:color w:val="auto"/>
          <w:kern w:val="0"/>
          <w:sz w:val="22"/>
          <w:szCs w:val="22"/>
          <w:u w:val="single"/>
        </w:rPr>
        <w:t>在线解密时间期限：30分钟</w:t>
      </w:r>
      <w:r>
        <w:rPr>
          <w:rFonts w:hint="eastAsia" w:asciiTheme="minorEastAsia" w:hAnsiTheme="minorEastAsia" w:eastAsiaTheme="minorEastAsia" w:cstheme="minorEastAsia"/>
          <w:bCs/>
          <w:color w:val="auto"/>
          <w:kern w:val="0"/>
          <w:sz w:val="22"/>
          <w:szCs w:val="22"/>
        </w:rPr>
        <w:t>）；</w:t>
      </w:r>
    </w:p>
    <w:p>
      <w:pPr>
        <w:spacing w:line="360" w:lineRule="auto"/>
        <w:ind w:firstLine="389" w:firstLineChars="177"/>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2.</w:t>
      </w:r>
      <w:r>
        <w:rPr>
          <w:rFonts w:hint="eastAsia" w:asciiTheme="minorEastAsia" w:hAnsiTheme="minorEastAsia" w:eastAsiaTheme="minorEastAsia" w:cstheme="minorEastAsia"/>
          <w:bCs/>
          <w:color w:val="auto"/>
          <w:kern w:val="0"/>
          <w:sz w:val="22"/>
          <w:szCs w:val="22"/>
          <w:lang w:val="en-US" w:eastAsia="zh-CN"/>
        </w:rPr>
        <w:t>2</w:t>
      </w:r>
      <w:r>
        <w:rPr>
          <w:rFonts w:hint="eastAsia" w:asciiTheme="minorEastAsia" w:hAnsiTheme="minorEastAsia" w:eastAsiaTheme="minorEastAsia" w:cstheme="minorEastAsia"/>
          <w:bCs/>
          <w:color w:val="auto"/>
          <w:kern w:val="0"/>
          <w:sz w:val="22"/>
          <w:szCs w:val="22"/>
        </w:rPr>
        <w:t>投标文件在线解密异常情况处理（如需）：如有投标供应商在线解密失败时，开标现场组织人员按规定启动“投标文件在线解密异常情况处理”（</w:t>
      </w:r>
      <w:r>
        <w:rPr>
          <w:rFonts w:hint="eastAsia" w:asciiTheme="minorEastAsia" w:hAnsiTheme="minorEastAsia" w:eastAsiaTheme="minorEastAsia" w:cstheme="minorEastAsia"/>
          <w:bCs/>
          <w:color w:val="auto"/>
          <w:kern w:val="0"/>
          <w:sz w:val="22"/>
          <w:szCs w:val="22"/>
          <w:u w:val="single"/>
        </w:rPr>
        <w:t>投标文件在线解密异常情况处理办法见《投标须知前附表》</w:t>
      </w:r>
      <w:r>
        <w:rPr>
          <w:rFonts w:hint="eastAsia" w:asciiTheme="minorEastAsia" w:hAnsiTheme="minorEastAsia" w:eastAsiaTheme="minorEastAsia" w:cstheme="minorEastAsia"/>
          <w:bCs/>
          <w:color w:val="auto"/>
          <w:kern w:val="0"/>
          <w:sz w:val="22"/>
          <w:szCs w:val="22"/>
        </w:rPr>
        <w:t>）。</w:t>
      </w:r>
    </w:p>
    <w:p>
      <w:pPr>
        <w:spacing w:line="360" w:lineRule="auto"/>
        <w:ind w:firstLine="389" w:firstLineChars="177"/>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w:t>
      </w:r>
      <w:r>
        <w:rPr>
          <w:rFonts w:hint="eastAsia" w:asciiTheme="minorEastAsia" w:hAnsiTheme="minorEastAsia" w:eastAsiaTheme="minorEastAsia" w:cstheme="minorEastAsia"/>
          <w:color w:val="auto"/>
          <w:kern w:val="0"/>
          <w:sz w:val="22"/>
          <w:szCs w:val="22"/>
          <w:lang w:val="en-US" w:eastAsia="zh-CN"/>
        </w:rPr>
        <w:t>3</w:t>
      </w:r>
      <w:r>
        <w:rPr>
          <w:rFonts w:hint="eastAsia" w:asciiTheme="minorEastAsia" w:hAnsiTheme="minorEastAsia" w:eastAsiaTheme="minorEastAsia" w:cstheme="minorEastAsia"/>
          <w:b/>
          <w:bCs w:val="0"/>
          <w:color w:val="auto"/>
          <w:sz w:val="22"/>
          <w:szCs w:val="22"/>
          <w:u w:val="single"/>
        </w:rPr>
        <w:t>电子投标文件解密结束后，各投标供应商签署《政府采购活动现场确认声明书》（见附件）后将扫描件发送至采购代理机构邮箱1589009783@qq.com。有效的《政府采购活动现场确认声明书》是投标供应商资格部分的组成部分，未提交的作资格审查不合格处理</w:t>
      </w:r>
      <w:r>
        <w:rPr>
          <w:rFonts w:hint="eastAsia" w:asciiTheme="minorEastAsia" w:hAnsiTheme="minorEastAsia" w:eastAsiaTheme="minorEastAsia" w:cstheme="minorEastAsia"/>
          <w:b/>
          <w:bCs w:val="0"/>
          <w:color w:val="auto"/>
          <w:kern w:val="0"/>
          <w:sz w:val="22"/>
          <w:szCs w:val="22"/>
        </w:rPr>
        <w:t>。</w:t>
      </w:r>
    </w:p>
    <w:p>
      <w:pPr>
        <w:spacing w:line="360" w:lineRule="auto"/>
        <w:ind w:firstLine="389" w:firstLineChars="177"/>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w:t>
      </w:r>
      <w:r>
        <w:rPr>
          <w:rFonts w:hint="eastAsia" w:asciiTheme="minorEastAsia" w:hAnsiTheme="minorEastAsia" w:eastAsiaTheme="minorEastAsia" w:cstheme="minorEastAsia"/>
          <w:color w:val="auto"/>
          <w:kern w:val="0"/>
          <w:sz w:val="22"/>
          <w:szCs w:val="22"/>
          <w:lang w:val="en-US" w:eastAsia="zh-CN"/>
        </w:rPr>
        <w:t>4</w:t>
      </w:r>
      <w:r>
        <w:rPr>
          <w:rFonts w:hint="eastAsia" w:asciiTheme="minorEastAsia" w:hAnsiTheme="minorEastAsia" w:eastAsiaTheme="minorEastAsia" w:cstheme="minorEastAsia"/>
          <w:color w:val="auto"/>
          <w:kern w:val="0"/>
          <w:sz w:val="22"/>
          <w:szCs w:val="22"/>
        </w:rPr>
        <w:t>开标现场组织人员在政府采购云平台在线开启标书信息。</w:t>
      </w:r>
    </w:p>
    <w:p>
      <w:pPr>
        <w:spacing w:line="360" w:lineRule="auto"/>
        <w:ind w:firstLine="389" w:firstLineChars="177"/>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w:t>
      </w:r>
      <w:r>
        <w:rPr>
          <w:rFonts w:hint="eastAsia" w:asciiTheme="minorEastAsia" w:hAnsiTheme="minorEastAsia" w:eastAsiaTheme="minorEastAsia" w:cstheme="minorEastAsia"/>
          <w:color w:val="auto"/>
          <w:kern w:val="0"/>
          <w:sz w:val="22"/>
          <w:szCs w:val="22"/>
          <w:lang w:val="en-US" w:eastAsia="zh-CN"/>
        </w:rPr>
        <w:t>5</w:t>
      </w:r>
      <w:r>
        <w:rPr>
          <w:rFonts w:hint="eastAsia" w:asciiTheme="minorEastAsia" w:hAnsiTheme="minorEastAsia" w:eastAsiaTheme="minorEastAsia" w:cstheme="minorEastAsia"/>
          <w:color w:val="auto"/>
          <w:kern w:val="0"/>
          <w:sz w:val="22"/>
          <w:szCs w:val="22"/>
        </w:rPr>
        <w:t>商务技术评审结束后，开标现场组织人员在政府采购云平台公布商务技术评审无效供应商名称及理由；公布经商务技术评审的有效投标供应商名单，同时公布其商务技术得分情况。</w:t>
      </w:r>
    </w:p>
    <w:p>
      <w:pPr>
        <w:spacing w:line="360" w:lineRule="auto"/>
        <w:ind w:firstLine="389" w:firstLineChars="177"/>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w:t>
      </w:r>
      <w:r>
        <w:rPr>
          <w:rFonts w:hint="eastAsia" w:asciiTheme="minorEastAsia" w:hAnsiTheme="minorEastAsia" w:eastAsiaTheme="minorEastAsia" w:cstheme="minorEastAsia"/>
          <w:color w:val="auto"/>
          <w:kern w:val="0"/>
          <w:sz w:val="22"/>
          <w:szCs w:val="22"/>
          <w:lang w:val="en-US" w:eastAsia="zh-CN"/>
        </w:rPr>
        <w:t>6</w:t>
      </w:r>
      <w:r>
        <w:rPr>
          <w:rFonts w:hint="eastAsia" w:asciiTheme="minorEastAsia" w:hAnsiTheme="minorEastAsia" w:eastAsiaTheme="minorEastAsia" w:cstheme="minorEastAsia"/>
          <w:color w:val="auto"/>
          <w:kern w:val="0"/>
          <w:sz w:val="22"/>
          <w:szCs w:val="22"/>
        </w:rPr>
        <w:t>开标现场组织人员在政府采购云平台在线开启有效投标供应商的《报价文件》，宣读开标一览表有关内容，同时当场制作开标记录表（电子交易项目供应商可通过“政府采购云平台在线确认”），供应商不予确认的应说明理由，否则视为无异议。</w:t>
      </w:r>
    </w:p>
    <w:p>
      <w:pPr>
        <w:spacing w:line="360" w:lineRule="auto"/>
        <w:ind w:firstLine="389" w:firstLineChars="177"/>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w:t>
      </w:r>
      <w:r>
        <w:rPr>
          <w:rFonts w:hint="eastAsia" w:asciiTheme="minorEastAsia" w:hAnsiTheme="minorEastAsia" w:eastAsiaTheme="minorEastAsia" w:cstheme="minorEastAsia"/>
          <w:color w:val="auto"/>
          <w:kern w:val="0"/>
          <w:sz w:val="22"/>
          <w:szCs w:val="22"/>
          <w:lang w:val="en-US" w:eastAsia="zh-CN"/>
        </w:rPr>
        <w:t>7</w:t>
      </w:r>
      <w:r>
        <w:rPr>
          <w:rFonts w:hint="eastAsia" w:asciiTheme="minorEastAsia" w:hAnsiTheme="minorEastAsia" w:eastAsiaTheme="minorEastAsia" w:cstheme="minorEastAsia"/>
          <w:color w:val="auto"/>
          <w:kern w:val="0"/>
          <w:sz w:val="22"/>
          <w:szCs w:val="22"/>
        </w:rPr>
        <w:t>评审结束后，开标现场组织人员在政府采购云平台在线公布中标候选供应商名单，及采购人最终确定中标或成交供应商名单的时间和公告方式等。</w:t>
      </w:r>
    </w:p>
    <w:p>
      <w:pPr>
        <w:spacing w:line="360" w:lineRule="auto"/>
        <w:ind w:firstLine="389" w:firstLineChars="177"/>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2.</w:t>
      </w:r>
      <w:r>
        <w:rPr>
          <w:rFonts w:hint="eastAsia" w:asciiTheme="minorEastAsia" w:hAnsiTheme="minorEastAsia" w:eastAsiaTheme="minorEastAsia" w:cstheme="minorEastAsia"/>
          <w:bCs/>
          <w:color w:val="auto"/>
          <w:kern w:val="0"/>
          <w:sz w:val="22"/>
          <w:szCs w:val="22"/>
          <w:lang w:val="en-US" w:eastAsia="zh-CN"/>
        </w:rPr>
        <w:t>8</w:t>
      </w:r>
      <w:r>
        <w:rPr>
          <w:rFonts w:hint="eastAsia" w:asciiTheme="minorEastAsia" w:hAnsiTheme="minorEastAsia" w:eastAsiaTheme="minorEastAsia" w:cstheme="minorEastAsia"/>
          <w:bCs/>
          <w:color w:val="auto"/>
          <w:kern w:val="0"/>
          <w:sz w:val="22"/>
          <w:szCs w:val="22"/>
        </w:rPr>
        <w:t>特殊情况说明</w:t>
      </w:r>
    </w:p>
    <w:p>
      <w:pPr>
        <w:spacing w:line="360" w:lineRule="auto"/>
        <w:ind w:firstLine="389" w:firstLineChars="177"/>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（1）如遇“政府采购云平台”电子化开标或评审程序调整的，按调整后程序执行。</w:t>
      </w:r>
    </w:p>
    <w:p>
      <w:pPr>
        <w:spacing w:after="240" w:line="360" w:lineRule="auto"/>
        <w:ind w:firstLine="389" w:firstLineChars="177"/>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（2）开标过程中需要相关当事人进行签字或盖章确认的材料将通过“政府采购云平台”进行，若因“政府采购云平台”技术问题无法进行签字或盖章确认的，采购组织机构将通过邮件、传真等形式组织确认。</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bookmarkStart w:id="21" w:name="_Toc69378198"/>
      <w:r>
        <w:rPr>
          <w:rFonts w:hint="eastAsia" w:asciiTheme="minorEastAsia" w:hAnsiTheme="minorEastAsia" w:eastAsiaTheme="minorEastAsia" w:cstheme="minorEastAsia"/>
          <w:bCs/>
          <w:color w:val="auto"/>
          <w:kern w:val="0"/>
          <w:sz w:val="22"/>
          <w:szCs w:val="22"/>
        </w:rPr>
        <w:t>（三）、投标供应商资格审查</w:t>
      </w:r>
      <w:bookmarkEnd w:id="21"/>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3.1开标（标书信息开启）后，首先依法对投标供应商的资格文件进行审查，审查各投标供应商的资格符合情况。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3.2投标供应商提交的资格证明材料无法证明其符合采购文件规定的“投标供应商资格要求”的，将对其作“资格审查不合格”处理，并不再将其技术资信部分、商务报价部分提交评标委员会进行后续评审。</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3.3单位负责人为同一人或者存在直接控股、管理关系的不同供应商参加同一合同项下的政府采购活动的，相关投标供应商均作资格无效处理。</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3.4供应商信用记录查询与使用：见《投标须知前附表》。</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3.5资格审查合格的投标供应商不足三家的，项目不再进行评审。除采购任务取消情形外，采购人可选择以下方式之一处理：</w:t>
      </w:r>
    </w:p>
    <w:p>
      <w:pPr>
        <w:spacing w:line="360" w:lineRule="auto"/>
        <w:ind w:firstLine="387" w:firstLineChars="176"/>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（1）将本标项作废标处理，重新组织采购；</w:t>
      </w:r>
    </w:p>
    <w:p>
      <w:pPr>
        <w:spacing w:line="360" w:lineRule="auto"/>
        <w:ind w:firstLine="387" w:firstLineChars="176"/>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Cs/>
          <w:color w:val="auto"/>
          <w:kern w:val="0"/>
          <w:sz w:val="22"/>
          <w:szCs w:val="22"/>
        </w:rPr>
        <w:t>（2）按同级政府采购监督管理部门的审批意见采用其他采购方式组织采购。</w:t>
      </w:r>
    </w:p>
    <w:p>
      <w:pPr>
        <w:spacing w:line="460" w:lineRule="exac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2、评标</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（一）评审工作的组织</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1.1采购人或采购代理机构负责组织本项目的评审工作，并依据《政府采购货物和服务招标投标管理办法（财政部第87号令）》第四十五条的相关规定履行职责。</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（二）评标委员会的组建</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2.1评标委员会由采购人或采购代理机构依法组建，成员包括采购人代表和评审专家，成员人数为</w:t>
      </w:r>
      <w:r>
        <w:rPr>
          <w:rFonts w:hint="eastAsia" w:asciiTheme="minorEastAsia" w:hAnsiTheme="minorEastAsia" w:eastAsiaTheme="minorEastAsia" w:cstheme="minorEastAsia"/>
          <w:bCs/>
          <w:color w:val="auto"/>
          <w:sz w:val="22"/>
          <w:szCs w:val="22"/>
          <w:lang w:eastAsia="zh-CN"/>
        </w:rPr>
        <w:t>五</w:t>
      </w:r>
      <w:r>
        <w:rPr>
          <w:rFonts w:hint="eastAsia" w:asciiTheme="minorEastAsia" w:hAnsiTheme="minorEastAsia" w:eastAsiaTheme="minorEastAsia" w:cstheme="minorEastAsia"/>
          <w:bCs/>
          <w:color w:val="auto"/>
          <w:sz w:val="22"/>
          <w:szCs w:val="22"/>
        </w:rPr>
        <w:t>人或以上单数，其中评审专家不少于成员总数的三分之二。</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2.2评标委员会成员名单在评审结果（采购结果）公告前保密。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（三）评标委员会的职责</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3.1评标委员会负责具体评审事务，并独立履行下列职责：</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（1）审查、评价投标文件是否符合</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的商务、技术等实质性要求；</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（2）要求投标人对投标文件有关事项作出澄清或者说明；</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（3）对投标文件进行比较和评价；</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（4）确定中标候选人名单，以及根据采购人委托直接确定中标人；</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eastAsia="zh-CN"/>
        </w:rPr>
        <w:t>（</w:t>
      </w:r>
      <w:r>
        <w:rPr>
          <w:rFonts w:hint="eastAsia" w:asciiTheme="minorEastAsia" w:hAnsiTheme="minorEastAsia" w:eastAsiaTheme="minorEastAsia" w:cstheme="minorEastAsia"/>
          <w:bCs/>
          <w:color w:val="auto"/>
          <w:sz w:val="22"/>
          <w:szCs w:val="22"/>
          <w:lang w:val="en-US" w:eastAsia="zh-CN"/>
        </w:rPr>
        <w:t>5</w:t>
      </w:r>
      <w:r>
        <w:rPr>
          <w:rFonts w:hint="eastAsia" w:asciiTheme="minorEastAsia" w:hAnsiTheme="minorEastAsia" w:eastAsiaTheme="minorEastAsia" w:cstheme="minorEastAsia"/>
          <w:bCs/>
          <w:color w:val="auto"/>
          <w:sz w:val="22"/>
          <w:szCs w:val="22"/>
          <w:lang w:eastAsia="zh-CN"/>
        </w:rPr>
        <w:t>）</w:t>
      </w:r>
      <w:r>
        <w:rPr>
          <w:rFonts w:hint="eastAsia" w:asciiTheme="minorEastAsia" w:hAnsiTheme="minorEastAsia" w:eastAsiaTheme="minorEastAsia" w:cstheme="minorEastAsia"/>
          <w:bCs/>
          <w:color w:val="auto"/>
          <w:sz w:val="22"/>
          <w:szCs w:val="22"/>
        </w:rPr>
        <w:t>向采购人、采购代理机构或者有关部门报告评审中发现的违法行为。</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（四）评审原则</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4.1评审原则：评标委员会按照客观、公正、审慎、择优的原则，根据</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规定的评审程序、评审方法和评审标准进行独立评审。</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4.2评审工作将依据</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、投标文件及</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中事先已列明的内容进行。</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（五）评审意见的争议处理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5.1评标委员会成员对需要共同认定的事项存在争议的，按照少数服从多数的原则作出结论。持不同意见的评标委员会成员应当在评审报告上签署不同意见及理由，否则视为同意评审报告。</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（六）评委纪律</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6.1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bookmarkStart w:id="22" w:name="_Toc24550043"/>
      <w:bookmarkStart w:id="23" w:name="_Toc33194395"/>
      <w:r>
        <w:rPr>
          <w:rFonts w:hint="eastAsia" w:asciiTheme="minorEastAsia" w:hAnsiTheme="minorEastAsia" w:eastAsiaTheme="minorEastAsia" w:cstheme="minorEastAsia"/>
          <w:bCs/>
          <w:color w:val="auto"/>
          <w:sz w:val="22"/>
          <w:szCs w:val="22"/>
        </w:rPr>
        <w:t>（七）</w:t>
      </w:r>
      <w:bookmarkEnd w:id="22"/>
      <w:bookmarkStart w:id="24" w:name="_Toc24550044"/>
      <w:r>
        <w:rPr>
          <w:rFonts w:hint="eastAsia" w:asciiTheme="minorEastAsia" w:hAnsiTheme="minorEastAsia" w:eastAsiaTheme="minorEastAsia" w:cstheme="minorEastAsia"/>
          <w:bCs/>
          <w:color w:val="auto"/>
          <w:sz w:val="22"/>
          <w:szCs w:val="22"/>
        </w:rPr>
        <w:t>评审流程及内容</w:t>
      </w:r>
      <w:bookmarkEnd w:id="23"/>
      <w:bookmarkEnd w:id="24"/>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本项目具体的评审事务由评标委员会负责，评审流程及内容如下：</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7.1 评审前准备</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7.1.1由评审专家推选评审小组组长，采购人代表不得担任评审小组组长。</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7.1.2由评审小组组长（评标委员会主任委员）召集所有评委成员阅读</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及相关补充、质疑、答复文件、项目书面说明等材料，熟悉采购项目基本情况、采购需求、合同主要条款、投标文件无效情形、评审办法、评审标准，以及其他与评审有关的内容。</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7.2投标文件的初步审查、符合性审查</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对所有通过资格审查的投标供应商的投标文件进行初步审查，审查、评价投标文件是否符合</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的商务、技术、服务等实质性要求。</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7.2.1评标委员会首先对所有通过资格审查的投标供应商的投标文件进行符合性审查，审查每份投标文件是否实质上响应了</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的要求（实质性响应的投标文件是指投标文件符合</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规定的实质性内容、条件和规定）。</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7.3 投标文件的澄清、说明或补正</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7.4 投标文件的错误修正</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7.4.1《投标文件》如果出现计算或表达上的错误，修正错误的原则如下：</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（1）投标文件中开标一览表（报价表）内容与投标文件中相应内容不一致的，以开标一览表（报价表）为准。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（2）《投标文件》的大写金额和小写金额不一致的，以大写金额为准；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（3）单价金额小数点或者百分比有明显错位的，应以开标一览表（报价表）的总价为准，并修改单价；</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（4）总价金额与按单价汇总金额不一致的，以单价金额计算结果为准。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7.4.2对不同文字文本《投标文件》的解释发生异议的，以中文文本为准。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（八）投标文件有下列情况之一者将视为无效：</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bookmarkStart w:id="25" w:name="_Hlk33211013"/>
      <w:r>
        <w:rPr>
          <w:rFonts w:hint="eastAsia" w:asciiTheme="minorEastAsia" w:hAnsiTheme="minorEastAsia" w:eastAsiaTheme="minorEastAsia" w:cstheme="minorEastAsia"/>
          <w:b/>
          <w:color w:val="auto"/>
          <w:sz w:val="22"/>
          <w:szCs w:val="22"/>
          <w:u w:val="single"/>
        </w:rPr>
        <w:t>▲8.1商务、技术文件符合性审查中，存在下列情形之一的，经评标委员会认定后作无效标处理：</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bookmarkStart w:id="26" w:name="_Toc33194396"/>
      <w:r>
        <w:rPr>
          <w:rFonts w:hint="eastAsia" w:asciiTheme="minorEastAsia" w:hAnsiTheme="minorEastAsia" w:eastAsiaTheme="minorEastAsia" w:cstheme="minorEastAsia"/>
          <w:b/>
          <w:color w:val="auto"/>
          <w:sz w:val="22"/>
          <w:szCs w:val="22"/>
          <w:u w:val="single"/>
        </w:rPr>
        <w:t>（1）投标文件未有效授权，法定代表人授权委托书等填写不完整或有涂改的；</w:t>
      </w:r>
      <w:bookmarkEnd w:id="26"/>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（2）投标文件没有对本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作出实质性响应的，或不满足（不响应）本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中标注“▲”的实质性要求条款的，或存在</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中明确规定的其他无效标情形的；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（3）投标文件存在一个或一个以上备选（替代）投标方案的；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（4）文件组成内容不齐全，本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规定必须提供而未提供的（属于资格审查范围的除外）；</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（5）投标文件标注的响应或偏离情况与事实不符，或提供了虚假材料的；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（6）不响应或擅自改变本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要求或投标文件有采购人不能接受的附加条件的；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（7）参加同一合同项下政府采购活动的不同供应商之间存在利害关系并且存在影响政府采购公平竞争行为的；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bookmarkStart w:id="27" w:name="_Toc33194397"/>
      <w:r>
        <w:rPr>
          <w:rFonts w:hint="eastAsia" w:asciiTheme="minorEastAsia" w:hAnsiTheme="minorEastAsia" w:eastAsiaTheme="minorEastAsia" w:cstheme="minorEastAsia"/>
          <w:b/>
          <w:color w:val="auto"/>
          <w:sz w:val="22"/>
          <w:szCs w:val="22"/>
          <w:u w:val="single"/>
        </w:rPr>
        <w:t>（8）</w:t>
      </w:r>
      <w:r>
        <w:rPr>
          <w:rFonts w:hint="eastAsia" w:asciiTheme="minorEastAsia" w:hAnsiTheme="minorEastAsia" w:eastAsiaTheme="minorEastAsia" w:cstheme="minorEastAsia"/>
          <w:b/>
          <w:color w:val="auto"/>
          <w:sz w:val="22"/>
          <w:szCs w:val="22"/>
          <w:u w:val="single"/>
          <w:lang w:eastAsia="zh-CN"/>
        </w:rPr>
        <w:t>采购人</w:t>
      </w:r>
      <w:r>
        <w:rPr>
          <w:rFonts w:hint="eastAsia" w:asciiTheme="minorEastAsia" w:hAnsiTheme="minorEastAsia" w:eastAsiaTheme="minorEastAsia" w:cstheme="minorEastAsia"/>
          <w:b/>
          <w:color w:val="auto"/>
          <w:sz w:val="22"/>
          <w:szCs w:val="22"/>
          <w:u w:val="single"/>
        </w:rPr>
        <w:t>拟采购的产品如属于品目清单范围内的强制采购品目的，投标人未</w:t>
      </w:r>
      <w:bookmarkEnd w:id="27"/>
      <w:bookmarkStart w:id="28" w:name="_Toc33194398"/>
      <w:r>
        <w:rPr>
          <w:rFonts w:hint="eastAsia" w:asciiTheme="minorEastAsia" w:hAnsiTheme="minorEastAsia" w:eastAsiaTheme="minorEastAsia" w:cstheme="minorEastAsia"/>
          <w:b/>
          <w:color w:val="auto"/>
          <w:sz w:val="22"/>
          <w:szCs w:val="22"/>
          <w:u w:val="single"/>
        </w:rPr>
        <w:t>能在响应文件中提供国家确定的认证机构出具的、处于有效期之内的该产品节能产品、环境标志产品认证证书；</w:t>
      </w:r>
      <w:bookmarkEnd w:id="28"/>
    </w:p>
    <w:p>
      <w:pPr>
        <w:pStyle w:val="2"/>
        <w:rPr>
          <w:rFonts w:hint="eastAsia" w:eastAsiaTheme="minorEastAsia"/>
          <w:color w:val="auto"/>
          <w:lang w:eastAsia="zh-CN"/>
        </w:rPr>
      </w:pPr>
      <w:r>
        <w:rPr>
          <w:rFonts w:hint="eastAsia" w:asciiTheme="minorEastAsia" w:hAnsiTheme="minorEastAsia" w:eastAsiaTheme="minorEastAsia" w:cstheme="minorEastAsia"/>
          <w:b/>
          <w:color w:val="auto"/>
          <w:sz w:val="22"/>
          <w:szCs w:val="22"/>
          <w:u w:val="single"/>
          <w:lang w:eastAsia="zh-CN"/>
        </w:rPr>
        <w:t>（</w:t>
      </w:r>
      <w:r>
        <w:rPr>
          <w:rFonts w:hint="eastAsia" w:asciiTheme="minorEastAsia" w:hAnsiTheme="minorEastAsia" w:eastAsiaTheme="minorEastAsia" w:cstheme="minorEastAsia"/>
          <w:b/>
          <w:color w:val="auto"/>
          <w:sz w:val="22"/>
          <w:szCs w:val="22"/>
          <w:u w:val="single"/>
          <w:lang w:val="en-US" w:eastAsia="zh-CN"/>
        </w:rPr>
        <w:t>9</w:t>
      </w:r>
      <w:r>
        <w:rPr>
          <w:rFonts w:hint="eastAsia" w:asciiTheme="minorEastAsia" w:hAnsiTheme="minorEastAsia" w:eastAsiaTheme="minorEastAsia" w:cstheme="minorEastAsia"/>
          <w:b/>
          <w:color w:val="auto"/>
          <w:sz w:val="22"/>
          <w:szCs w:val="22"/>
          <w:u w:val="single"/>
          <w:lang w:eastAsia="zh-CN"/>
        </w:rPr>
        <w:t>）《资格部分》或《技术资信部分》中出现本项目投标报价得；</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w:t>
      </w:r>
      <w:r>
        <w:rPr>
          <w:rFonts w:hint="eastAsia" w:asciiTheme="minorEastAsia" w:hAnsiTheme="minorEastAsia" w:eastAsiaTheme="minorEastAsia" w:cstheme="minorEastAsia"/>
          <w:b/>
          <w:color w:val="auto"/>
          <w:sz w:val="22"/>
          <w:szCs w:val="22"/>
          <w:u w:val="single"/>
          <w:lang w:val="en-US" w:eastAsia="zh-CN"/>
        </w:rPr>
        <w:t>10</w:t>
      </w:r>
      <w:r>
        <w:rPr>
          <w:rFonts w:hint="eastAsia" w:asciiTheme="minorEastAsia" w:hAnsiTheme="minorEastAsia" w:eastAsiaTheme="minorEastAsia" w:cstheme="minorEastAsia"/>
          <w:b/>
          <w:color w:val="auto"/>
          <w:sz w:val="22"/>
          <w:szCs w:val="22"/>
          <w:u w:val="single"/>
        </w:rPr>
        <w:t>）违反国家或政府部门相关法律、法规、文件规定的。</w:t>
      </w:r>
    </w:p>
    <w:bookmarkEnd w:id="25"/>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▲8.2报价文件符合性审查中，存在下列情形之一的，经评标委员会认定后作无效标处理：</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（1）投标文件没有对本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作出实质性响应的，或不满足（不响应）本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中标注“▲”的实质性要求条款的，或存在</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中明确规定的其他无效标情形的；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（2）投标文件存在一个或一个以上备选（替代）投标方案的；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（3）未按照</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标明的币种报价的，或者投标报价涵盖的内容不符合</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要求的；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（4）《开标一览表》内容与《投标报价明细表》内容不一致且拒不接受修正的；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（5）投标报价具有选择性，唱标价格与《投标文件》承诺的优惠（折扣）后价格不一致的；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（6）投标报价超过采购预算（或最高限价）的；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（7）投标文件组成内容不齐全，本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规定必须提供而未提供的（属于资格审查范围的除外）；</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（8）投标文件标注的响应或偏离情况与事实不符，或提供了虚假材料的；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（9）不响应或擅自改变本</w:t>
      </w:r>
      <w:r>
        <w:rPr>
          <w:rFonts w:hint="eastAsia" w:asciiTheme="minorEastAsia" w:hAnsiTheme="minorEastAsia" w:eastAsiaTheme="minorEastAsia" w:cstheme="minorEastAsia"/>
          <w:b/>
          <w:color w:val="auto"/>
          <w:sz w:val="22"/>
          <w:szCs w:val="22"/>
          <w:u w:val="single"/>
          <w:lang w:eastAsia="zh-CN"/>
        </w:rPr>
        <w:t>采购文件</w:t>
      </w:r>
      <w:r>
        <w:rPr>
          <w:rFonts w:hint="eastAsia" w:asciiTheme="minorEastAsia" w:hAnsiTheme="minorEastAsia" w:eastAsiaTheme="minorEastAsia" w:cstheme="minorEastAsia"/>
          <w:b/>
          <w:color w:val="auto"/>
          <w:sz w:val="22"/>
          <w:szCs w:val="22"/>
          <w:u w:val="single"/>
        </w:rPr>
        <w:t>要求或投标文件有采购人不能接受的附加条件的；</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10）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391" w:firstLineChars="177"/>
        <w:jc w:val="left"/>
        <w:rPr>
          <w:rFonts w:hint="eastAsia" w:asciiTheme="minorEastAsia" w:hAnsiTheme="minorEastAsia" w:eastAsiaTheme="minorEastAsia" w:cstheme="minorEastAsia"/>
          <w:b/>
          <w:color w:val="auto"/>
          <w:sz w:val="22"/>
          <w:szCs w:val="22"/>
          <w:u w:val="single"/>
        </w:rPr>
      </w:pPr>
      <w:r>
        <w:rPr>
          <w:rFonts w:hint="eastAsia" w:asciiTheme="minorEastAsia" w:hAnsiTheme="minorEastAsia" w:eastAsiaTheme="minorEastAsia" w:cstheme="minorEastAsia"/>
          <w:b/>
          <w:color w:val="auto"/>
          <w:sz w:val="22"/>
          <w:szCs w:val="22"/>
          <w:u w:val="single"/>
        </w:rPr>
        <w:t>（11）违反国家或政府部门相关法律、法规、文件规定的。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（九）投标文件的评估、比较、评分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9.1评标委员会应当按照</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中规定的评审方法和标准，对符合性审查合格的投标文件进行商务和技术评估，综合比较与评价。评标时，评标委员会各成员将独立对每个投标人的投标文件进行评价，并汇总每个投标人的得分。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（十）修改评审结果</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10.1评标结果汇总完成后，除下列情形外，任何人不得修改评标结果：</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（1）分值汇总计算错误的；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（2）分项评分超出评分标准范围的；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（3）评标委员会成员对客观评审因素评分不一致的；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（4）经评标委员会认定评分畸高、畸低的。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10.2评标报告签署前，经复核发现存在以上情形之一的，评标委员会将当场修改评标结果，并在评标报告中记载。</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（十一）供应商排序及推荐中标（成交）候选供应商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评标委员会根据以下规定确定供应商排名并推荐中标（成交）候选供应商。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11.1评标委员会根据各投标供应商的综合得分（商务技术分与报价得分之和）从高到低依次进行排名排序。特殊情形按以下原则处理：</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（1）综合得分相同的，按投标报价低的优先原则确定排名；</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（2）综合得分和投标报价均相同的，按商务技术得分从高到低确定排名；</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（3）综合得分、投标报价和商务技术得分均相同的由评标委员会全体成员记名投票按少数服从多数的原则确定排名。</w:t>
      </w:r>
    </w:p>
    <w:p>
      <w:pPr>
        <w:spacing w:line="360" w:lineRule="auto"/>
        <w:ind w:firstLine="391" w:firstLineChars="177"/>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22"/>
          <w:szCs w:val="22"/>
        </w:rPr>
        <w:t>11.2评标委员会依据法律、法规及采购文件有关规定在有效标中按投标供应商的综合得分（即技术分与商务分之和）高低进行排序，得分</w:t>
      </w:r>
      <w:r>
        <w:rPr>
          <w:rFonts w:hint="eastAsia" w:asciiTheme="minorEastAsia" w:hAnsiTheme="minorEastAsia" w:eastAsiaTheme="minorEastAsia" w:cstheme="minorEastAsia"/>
          <w:b/>
          <w:color w:val="auto"/>
          <w:sz w:val="22"/>
          <w:szCs w:val="22"/>
          <w:lang w:eastAsia="zh-CN"/>
        </w:rPr>
        <w:t>最高</w:t>
      </w:r>
      <w:r>
        <w:rPr>
          <w:rFonts w:hint="eastAsia" w:asciiTheme="minorEastAsia" w:hAnsiTheme="minorEastAsia" w:eastAsiaTheme="minorEastAsia" w:cstheme="minorEastAsia"/>
          <w:b/>
          <w:color w:val="auto"/>
          <w:sz w:val="22"/>
          <w:szCs w:val="22"/>
        </w:rPr>
        <w:t>的投标供应商推荐为</w:t>
      </w:r>
      <w:r>
        <w:rPr>
          <w:rFonts w:hint="eastAsia" w:asciiTheme="minorEastAsia" w:hAnsiTheme="minorEastAsia" w:eastAsiaTheme="minorEastAsia" w:cstheme="minorEastAsia"/>
          <w:b/>
          <w:color w:val="auto"/>
          <w:sz w:val="22"/>
          <w:szCs w:val="22"/>
          <w:lang w:eastAsia="zh-CN"/>
        </w:rPr>
        <w:t>预中标供应商</w:t>
      </w:r>
      <w:r>
        <w:rPr>
          <w:rFonts w:hint="eastAsia" w:asciiTheme="minorEastAsia" w:hAnsiTheme="minorEastAsia" w:eastAsiaTheme="minorEastAsia" w:cstheme="minorEastAsia"/>
          <w:b/>
          <w:bCs/>
          <w:color w:val="auto"/>
          <w:sz w:val="22"/>
          <w:szCs w:val="22"/>
          <w:u w:val="none"/>
        </w:rPr>
        <w:t>。</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（十二）起草、签署评审报告</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（十三）可中止电子交易活动的情形</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采购过程中出现以下情形，导致电子交易平台无法正常运行，或者无法保证电子交易的公平、公正和安全时，采购组织机构可中止电子交易活动：</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1、电子交易平台发生故障而无法登录访问的；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2、电子交易平台应用或数据库出现错误，不能进行正常操作的；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3、电子交易平台发现严重安全漏洞，有潜在泄密危险的；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4、病毒发作导致不能进行正常操作的；</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5、其他无法保证电子交易的公平、公正和安全的情况。</w:t>
      </w:r>
    </w:p>
    <w:p>
      <w:pPr>
        <w:spacing w:line="360" w:lineRule="auto"/>
        <w:ind w:firstLine="389" w:firstLineChars="177"/>
        <w:jc w:val="lef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出现前款规定情形，不影响采购公平、公正性的，采购组织机构可以待上述情形消除后继续组织电子交易活动；影响或可能影响采购公平、公正性的，应当重新采购。</w:t>
      </w:r>
    </w:p>
    <w:p>
      <w:pPr>
        <w:pStyle w:val="6"/>
        <w:spacing w:line="5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 授予合同</w:t>
      </w:r>
      <w:bookmarkEnd w:id="20"/>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1、中标条件</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1) 投标文件基本符合</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要求，能够最大限度满足</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中规定的各项综合评价标准；</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2) 供应商有很好的执行合同的能力；</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bookmarkStart w:id="29" w:name="_Toc132122122"/>
      <w:bookmarkStart w:id="30" w:name="_Toc132122419"/>
      <w:r>
        <w:rPr>
          <w:rFonts w:hint="eastAsia" w:asciiTheme="minorEastAsia" w:hAnsiTheme="minorEastAsia" w:eastAsiaTheme="minorEastAsia" w:cstheme="minorEastAsia"/>
          <w:color w:val="auto"/>
          <w:sz w:val="22"/>
          <w:szCs w:val="22"/>
        </w:rPr>
        <w:t xml:space="preserve">    3) 供应商能够提供质量技术、商务经济占综合优势的产品及服务；</w:t>
      </w:r>
      <w:bookmarkEnd w:id="29"/>
      <w:bookmarkEnd w:id="30"/>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w:t>
      </w:r>
      <w:r>
        <w:rPr>
          <w:rFonts w:hint="eastAsia" w:asciiTheme="minorEastAsia" w:hAnsiTheme="minorEastAsia" w:eastAsiaTheme="minorEastAsia" w:cstheme="minorEastAsia"/>
          <w:color w:val="auto"/>
          <w:sz w:val="22"/>
          <w:szCs w:val="22"/>
          <w:lang w:val="en-US" w:eastAsia="zh-CN"/>
        </w:rPr>
        <w:t>4）</w:t>
      </w:r>
      <w:r>
        <w:rPr>
          <w:rFonts w:hint="eastAsia" w:asciiTheme="minorEastAsia" w:hAnsiTheme="minorEastAsia" w:eastAsiaTheme="minorEastAsia" w:cstheme="minorEastAsia"/>
          <w:color w:val="auto"/>
          <w:sz w:val="22"/>
          <w:szCs w:val="22"/>
        </w:rPr>
        <w:t>采购人将把中标通知书授予最佳投标者，但最低报价不是中标的唯一保证。</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w:t>
      </w:r>
      <w:bookmarkStart w:id="31" w:name="_Toc132122420"/>
      <w:bookmarkStart w:id="32" w:name="_Toc132122123"/>
      <w:r>
        <w:rPr>
          <w:rFonts w:hint="eastAsia" w:asciiTheme="minorEastAsia" w:hAnsiTheme="minorEastAsia" w:eastAsiaTheme="minorEastAsia" w:cstheme="minorEastAsia"/>
          <w:color w:val="auto"/>
          <w:sz w:val="22"/>
          <w:szCs w:val="22"/>
        </w:rPr>
        <w:t>2、中标通知</w:t>
      </w:r>
      <w:bookmarkEnd w:id="31"/>
      <w:bookmarkEnd w:id="32"/>
    </w:p>
    <w:p>
      <w:pPr>
        <w:keepNext w:val="0"/>
        <w:keepLines w:val="0"/>
        <w:pageBreakBefore w:val="0"/>
        <w:widowControl w:val="0"/>
        <w:tabs>
          <w:tab w:val="left" w:pos="1365"/>
        </w:tabs>
        <w:kinsoku/>
        <w:wordWrap/>
        <w:overflowPunct/>
        <w:topLinePunct w:val="0"/>
        <w:autoSpaceDE/>
        <w:autoSpaceDN/>
        <w:bidi w:val="0"/>
        <w:adjustRightInd/>
        <w:snapToGrid/>
        <w:spacing w:line="420" w:lineRule="exact"/>
        <w:ind w:firstLine="440" w:firstLineChars="200"/>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评标结束后，采购人在浙江政府采购网上公示预中标供应商名单，公示期为1个工作日，公示期结束，如无异议，将向预中标供应商发出中标通知书。如发现预中标供应商资格无效，则按本次评标供应商得分排序结果依次替补或重新组织采购；中标供应商确定后，采购机构向中标供应商发出中标通知书。</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ind w:firstLine="440" w:firstLineChars="200"/>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2.2、评标委员会对评标结果不负责解释。</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w:t>
      </w:r>
      <w:bookmarkStart w:id="33" w:name="_Toc132122421"/>
      <w:bookmarkStart w:id="34" w:name="_Toc132122124"/>
      <w:r>
        <w:rPr>
          <w:rFonts w:hint="eastAsia" w:asciiTheme="minorEastAsia" w:hAnsiTheme="minorEastAsia" w:eastAsiaTheme="minorEastAsia" w:cstheme="minorEastAsia"/>
          <w:color w:val="auto"/>
          <w:sz w:val="22"/>
          <w:szCs w:val="22"/>
        </w:rPr>
        <w:t>3、签订合同</w:t>
      </w:r>
      <w:bookmarkEnd w:id="33"/>
      <w:bookmarkEnd w:id="34"/>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3.1、预中标供应商需在公示期结束后3日内主动联系采购人或采购机构领取中标通知书；并在领取中标通知书后30日内与采购人签订合同。如中标供应商未经采购人许可，在规定的时间内未到采购人处签订合同的，视为拒签合同。</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3.2、</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、中标供应商的投标文件及招标补充文件、评标过程中有关澄清文件及经双方签字的询标纪要和中标通知书均作为合同附件。</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3.3、拒签合同的责任</w:t>
      </w:r>
    </w:p>
    <w:p>
      <w:pPr>
        <w:keepNext w:val="0"/>
        <w:keepLines w:val="0"/>
        <w:pageBreakBefore w:val="0"/>
        <w:widowControl w:val="0"/>
        <w:tabs>
          <w:tab w:val="left" w:pos="1365"/>
        </w:tabs>
        <w:kinsoku/>
        <w:wordWrap/>
        <w:overflowPunct/>
        <w:topLinePunct w:val="0"/>
        <w:autoSpaceDE/>
        <w:autoSpaceDN/>
        <w:bidi w:val="0"/>
        <w:adjustRightInd/>
        <w:snapToGrid/>
        <w:spacing w:line="420" w:lineRule="exact"/>
        <w:ind w:firstLine="440" w:firstLineChars="200"/>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中标人接到中标通知书后，在规定时间内拒签合同或拒交履约保证金者，以投标违约处理，赔偿采购人由此造成的直接经济损失；采购人重新组织招标的，所需费用由原中标人承担。</w:t>
      </w:r>
    </w:p>
    <w:p>
      <w:pPr>
        <w:keepNext w:val="0"/>
        <w:keepLines w:val="0"/>
        <w:pageBreakBefore w:val="0"/>
        <w:widowControl w:val="0"/>
        <w:kinsoku/>
        <w:wordWrap/>
        <w:overflowPunct/>
        <w:topLinePunct w:val="0"/>
        <w:autoSpaceDE/>
        <w:autoSpaceDN/>
        <w:bidi w:val="0"/>
        <w:adjustRightInd/>
        <w:snapToGrid/>
        <w:spacing w:line="420" w:lineRule="exact"/>
        <w:ind w:left="549" w:leftChars="104" w:hanging="331" w:hangingChars="150"/>
        <w:textAlignment w:val="auto"/>
        <w:outlineLvl w:val="9"/>
        <w:rPr>
          <w:rFonts w:hint="eastAsia"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b/>
          <w:bCs/>
          <w:color w:val="auto"/>
          <w:sz w:val="22"/>
          <w:szCs w:val="22"/>
        </w:rPr>
        <w:t>4． 招标代理服务费</w:t>
      </w:r>
    </w:p>
    <w:p>
      <w:pPr>
        <w:keepNext w:val="0"/>
        <w:keepLines w:val="0"/>
        <w:pageBreakBefore w:val="0"/>
        <w:widowControl w:val="0"/>
        <w:kinsoku/>
        <w:wordWrap/>
        <w:overflowPunct/>
        <w:topLinePunct w:val="0"/>
        <w:autoSpaceDE/>
        <w:autoSpaceDN/>
        <w:bidi w:val="0"/>
        <w:adjustRightInd/>
        <w:snapToGrid/>
        <w:spacing w:line="420" w:lineRule="exact"/>
        <w:ind w:left="538" w:leftChars="104" w:hanging="320" w:hangingChars="145"/>
        <w:textAlignment w:val="auto"/>
        <w:outlineLvl w:val="9"/>
        <w:rPr>
          <w:rFonts w:hint="eastAsia" w:asciiTheme="minorEastAsia" w:hAnsiTheme="minorEastAsia" w:eastAsiaTheme="minorEastAsia" w:cstheme="minorEastAsia"/>
          <w:b/>
          <w:color w:val="auto"/>
          <w:sz w:val="22"/>
        </w:rPr>
      </w:pPr>
      <w:r>
        <w:rPr>
          <w:rFonts w:hint="eastAsia" w:asciiTheme="minorEastAsia" w:hAnsiTheme="minorEastAsia" w:eastAsiaTheme="minorEastAsia" w:cstheme="minorEastAsia"/>
          <w:b/>
          <w:color w:val="auto"/>
          <w:sz w:val="22"/>
          <w:szCs w:val="22"/>
        </w:rPr>
        <w:t xml:space="preserve">4.1 </w:t>
      </w:r>
      <w:r>
        <w:rPr>
          <w:rFonts w:hint="eastAsia" w:asciiTheme="minorEastAsia" w:hAnsiTheme="minorEastAsia" w:eastAsiaTheme="minorEastAsia" w:cstheme="minorEastAsia"/>
          <w:color w:val="auto"/>
          <w:sz w:val="22"/>
          <w:szCs w:val="22"/>
        </w:rPr>
        <w:t>本次招标采购代理服务费由中标供应商支付，采购代理服务费以各中标金额作为收费基准价格，按发改办价格（2003）857号文件及国家计委计价格[2002]1980号规定的服务类标准计算下浮20%计取，由各中标人在领取中标（成交）通知书之前将代理服务费用支付给招标代理机构。</w:t>
      </w:r>
    </w:p>
    <w:p>
      <w:pPr>
        <w:keepNext w:val="0"/>
        <w:keepLines w:val="0"/>
        <w:pageBreakBefore w:val="0"/>
        <w:widowControl w:val="0"/>
        <w:kinsoku/>
        <w:wordWrap/>
        <w:overflowPunct/>
        <w:topLinePunct w:val="0"/>
        <w:autoSpaceDE/>
        <w:autoSpaceDN/>
        <w:bidi w:val="0"/>
        <w:adjustRightInd/>
        <w:snapToGrid/>
        <w:spacing w:line="420" w:lineRule="exact"/>
        <w:ind w:firstLine="220" w:firstLineChars="100"/>
        <w:textAlignment w:val="auto"/>
        <w:outlineLvl w:val="9"/>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4.2  </w:t>
      </w:r>
      <w:r>
        <w:rPr>
          <w:rFonts w:hint="eastAsia" w:asciiTheme="minorEastAsia" w:hAnsiTheme="minorEastAsia" w:eastAsiaTheme="minorEastAsia" w:cstheme="minorEastAsia"/>
          <w:bCs/>
          <w:color w:val="auto"/>
          <w:sz w:val="22"/>
        </w:rPr>
        <w:t>招标</w:t>
      </w:r>
      <w:r>
        <w:rPr>
          <w:rFonts w:hint="eastAsia" w:asciiTheme="minorEastAsia" w:hAnsiTheme="minorEastAsia" w:eastAsiaTheme="minorEastAsia" w:cstheme="minorEastAsia"/>
          <w:color w:val="auto"/>
          <w:sz w:val="22"/>
        </w:rPr>
        <w:t>代理服务费可以是现金、支票或汇票。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宋体" w:hAnsi="宋体" w:cs="宋体"/>
          <w:color w:val="auto"/>
          <w:sz w:val="22"/>
        </w:rPr>
      </w:pPr>
      <w:r>
        <w:rPr>
          <w:rFonts w:hint="eastAsia" w:ascii="宋体" w:hAnsi="宋体" w:cs="宋体"/>
          <w:color w:val="auto"/>
          <w:sz w:val="22"/>
        </w:rPr>
        <w:t>开户银行：兴业银行股份有限公司温州鹿城支行</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宋体" w:hAnsi="宋体" w:cs="宋体"/>
          <w:color w:val="auto"/>
          <w:sz w:val="22"/>
        </w:rPr>
      </w:pPr>
      <w:r>
        <w:rPr>
          <w:rFonts w:hint="eastAsia" w:ascii="宋体" w:hAnsi="宋体" w:cs="宋体"/>
          <w:color w:val="auto"/>
          <w:sz w:val="22"/>
        </w:rPr>
        <w:t>开户名称：温州市兴城工程造价审计咨询事务所（普通合伙）</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color w:val="auto"/>
        </w:rPr>
      </w:pPr>
      <w:r>
        <w:rPr>
          <w:rFonts w:hint="eastAsia" w:ascii="宋体" w:hAnsi="宋体" w:cs="宋体"/>
          <w:color w:val="auto"/>
          <w:sz w:val="22"/>
        </w:rPr>
        <w:t>开户帐号：355 860 100 1000 51218</w:t>
      </w:r>
    </w:p>
    <w:p>
      <w:pPr>
        <w:pStyle w:val="59"/>
        <w:spacing w:line="500" w:lineRule="exact"/>
        <w:ind w:firstLine="602"/>
        <w:jc w:val="center"/>
        <w:rPr>
          <w:rFonts w:hint="eastAsia" w:asciiTheme="minorEastAsia" w:hAnsiTheme="minorEastAsia" w:eastAsiaTheme="minorEastAsia" w:cstheme="minorEastAsia"/>
          <w:b/>
          <w:color w:val="auto"/>
          <w:sz w:val="30"/>
          <w:szCs w:val="30"/>
        </w:rPr>
      </w:pPr>
      <w:bookmarkStart w:id="35" w:name="_Toc279347587"/>
      <w:r>
        <w:rPr>
          <w:rFonts w:hint="eastAsia" w:asciiTheme="minorEastAsia" w:hAnsiTheme="minorEastAsia" w:eastAsiaTheme="minorEastAsia" w:cstheme="minorEastAsia"/>
          <w:b/>
          <w:color w:val="auto"/>
          <w:sz w:val="30"/>
          <w:szCs w:val="30"/>
        </w:rPr>
        <w:t>政府采购活动现场确认声明书</w:t>
      </w:r>
    </w:p>
    <w:p>
      <w:pPr>
        <w:pStyle w:val="30"/>
        <w:spacing w:line="300" w:lineRule="atLeast"/>
        <w:rPr>
          <w:rFonts w:hint="eastAsia"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温州市瓯海区综合行政执法局</w:t>
      </w:r>
    </w:p>
    <w:p>
      <w:pPr>
        <w:pStyle w:val="30"/>
        <w:spacing w:line="300" w:lineRule="atLeast"/>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kern w:val="2"/>
          <w:lang w:eastAsia="zh-CN"/>
        </w:rPr>
        <w:t>温州市兴城工程造价审计咨询事务所（普通合伙）</w:t>
      </w:r>
      <w:r>
        <w:rPr>
          <w:rFonts w:hint="eastAsia" w:asciiTheme="minorEastAsia" w:hAnsiTheme="minorEastAsia" w:eastAsiaTheme="minorEastAsia" w:cstheme="minorEastAsia"/>
          <w:b/>
          <w:color w:val="auto"/>
        </w:rPr>
        <w:t>：</w:t>
      </w:r>
    </w:p>
    <w:p>
      <w:pPr>
        <w:pStyle w:val="59"/>
        <w:spacing w:line="420" w:lineRule="exact"/>
        <w:ind w:firstLine="464"/>
        <w:rPr>
          <w:rFonts w:hint="eastAsia"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pacing w:val="6"/>
          <w:sz w:val="22"/>
          <w:szCs w:val="22"/>
        </w:rPr>
        <w:t>本人经由</w:t>
      </w:r>
      <w:r>
        <w:rPr>
          <w:rFonts w:hint="eastAsia" w:asciiTheme="minorEastAsia" w:hAnsiTheme="minorEastAsia" w:eastAsiaTheme="minorEastAsia" w:cstheme="minorEastAsia"/>
          <w:color w:val="auto"/>
          <w:spacing w:val="6"/>
          <w:sz w:val="22"/>
          <w:szCs w:val="22"/>
          <w:u w:val="single"/>
        </w:rPr>
        <w:t xml:space="preserve">                  （单位）</w:t>
      </w:r>
      <w:r>
        <w:rPr>
          <w:rFonts w:hint="eastAsia" w:asciiTheme="minorEastAsia" w:hAnsiTheme="minorEastAsia" w:eastAsiaTheme="minorEastAsia" w:cstheme="minorEastAsia"/>
          <w:color w:val="auto"/>
          <w:spacing w:val="6"/>
          <w:sz w:val="22"/>
          <w:szCs w:val="22"/>
        </w:rPr>
        <w:t>负责人</w:t>
      </w:r>
      <w:r>
        <w:rPr>
          <w:rFonts w:hint="eastAsia" w:asciiTheme="minorEastAsia" w:hAnsiTheme="minorEastAsia" w:eastAsiaTheme="minorEastAsia" w:cstheme="minorEastAsia"/>
          <w:color w:val="auto"/>
          <w:spacing w:val="6"/>
          <w:sz w:val="22"/>
          <w:szCs w:val="22"/>
          <w:u w:val="single"/>
        </w:rPr>
        <w:t xml:space="preserve">        （姓名）</w:t>
      </w:r>
      <w:r>
        <w:rPr>
          <w:rFonts w:hint="eastAsia" w:asciiTheme="minorEastAsia" w:hAnsiTheme="minorEastAsia" w:eastAsiaTheme="minorEastAsia" w:cstheme="minorEastAsia"/>
          <w:color w:val="auto"/>
          <w:spacing w:val="6"/>
          <w:sz w:val="22"/>
          <w:szCs w:val="22"/>
        </w:rPr>
        <w:t>合法授权参加</w:t>
      </w:r>
      <w:r>
        <w:rPr>
          <w:rFonts w:hint="eastAsia" w:asciiTheme="minorEastAsia" w:hAnsiTheme="minorEastAsia" w:eastAsiaTheme="minorEastAsia" w:cstheme="minorEastAsia"/>
          <w:color w:val="auto"/>
          <w:spacing w:val="6"/>
          <w:sz w:val="22"/>
          <w:szCs w:val="22"/>
          <w:u w:val="single"/>
        </w:rPr>
        <w:t>金丽温高速古岸头互通绿化养护项目</w:t>
      </w:r>
      <w:r>
        <w:rPr>
          <w:rFonts w:hint="eastAsia" w:asciiTheme="minorEastAsia" w:hAnsiTheme="minorEastAsia" w:eastAsiaTheme="minorEastAsia" w:cstheme="minorEastAsia"/>
          <w:color w:val="auto"/>
          <w:spacing w:val="6"/>
          <w:sz w:val="22"/>
          <w:szCs w:val="22"/>
        </w:rPr>
        <w:t>（</w:t>
      </w:r>
      <w:r>
        <w:rPr>
          <w:rFonts w:hint="eastAsia" w:asciiTheme="minorEastAsia" w:hAnsiTheme="minorEastAsia" w:eastAsiaTheme="minorEastAsia" w:cstheme="minorEastAsia"/>
          <w:color w:val="auto"/>
          <w:spacing w:val="6"/>
          <w:sz w:val="22"/>
          <w:szCs w:val="22"/>
          <w:lang w:eastAsia="zh-CN"/>
        </w:rPr>
        <w:t>项目</w:t>
      </w:r>
      <w:r>
        <w:rPr>
          <w:rFonts w:hint="eastAsia" w:asciiTheme="minorEastAsia" w:hAnsiTheme="minorEastAsia" w:eastAsiaTheme="minorEastAsia" w:cstheme="minorEastAsia"/>
          <w:color w:val="auto"/>
          <w:spacing w:val="6"/>
          <w:sz w:val="22"/>
          <w:szCs w:val="22"/>
        </w:rPr>
        <w:t>编号：</w:t>
      </w:r>
      <w:r>
        <w:rPr>
          <w:rFonts w:hint="eastAsia" w:asciiTheme="minorEastAsia" w:hAnsiTheme="minorEastAsia" w:eastAsiaTheme="minorEastAsia" w:cstheme="minorEastAsia"/>
          <w:color w:val="auto"/>
          <w:spacing w:val="6"/>
          <w:sz w:val="22"/>
          <w:szCs w:val="22"/>
          <w:u w:val="single"/>
        </w:rPr>
        <w:t xml:space="preserve">             </w:t>
      </w:r>
      <w:r>
        <w:rPr>
          <w:rFonts w:hint="eastAsia" w:asciiTheme="minorEastAsia" w:hAnsiTheme="minorEastAsia" w:eastAsiaTheme="minorEastAsia" w:cstheme="minorEastAsia"/>
          <w:color w:val="auto"/>
          <w:spacing w:val="6"/>
          <w:sz w:val="22"/>
          <w:szCs w:val="22"/>
        </w:rPr>
        <w:t xml:space="preserve">）政府采购活动，经与本单位法人代表（负责人）联系确认，现就有关公平竞争事项郑重声明如下： </w:t>
      </w:r>
    </w:p>
    <w:p>
      <w:pPr>
        <w:pStyle w:val="62"/>
        <w:widowControl/>
        <w:numPr>
          <w:ilvl w:val="0"/>
          <w:numId w:val="0"/>
        </w:numPr>
        <w:snapToGrid w:val="0"/>
        <w:spacing w:line="420" w:lineRule="exact"/>
        <w:ind w:firstLine="440" w:firstLineChars="20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lang w:eastAsia="zh-CN"/>
        </w:rPr>
        <w:t>一、</w:t>
      </w:r>
      <w:r>
        <w:rPr>
          <w:rFonts w:hint="eastAsia" w:asciiTheme="minorEastAsia" w:hAnsiTheme="minorEastAsia" w:eastAsiaTheme="minorEastAsia" w:cstheme="minorEastAsia"/>
          <w:color w:val="auto"/>
          <w:kern w:val="0"/>
          <w:sz w:val="22"/>
          <w:szCs w:val="22"/>
        </w:rPr>
        <w:t>本单位与采购人之间 □不存在利害关系 □存在下列利害关系：</w:t>
      </w:r>
    </w:p>
    <w:p>
      <w:pPr>
        <w:pStyle w:val="62"/>
        <w:widowControl/>
        <w:snapToGrid w:val="0"/>
        <w:spacing w:line="42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  A.投资关系    B.行政隶属关系    C.业务指导关系</w:t>
      </w:r>
    </w:p>
    <w:p>
      <w:pPr>
        <w:pStyle w:val="62"/>
        <w:widowControl/>
        <w:snapToGrid w:val="0"/>
        <w:spacing w:line="42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  D.其他可能</w:t>
      </w:r>
      <w:r>
        <w:rPr>
          <w:rFonts w:hint="eastAsia" w:asciiTheme="minorEastAsia" w:hAnsiTheme="minorEastAsia" w:eastAsiaTheme="minorEastAsia" w:cstheme="minorEastAsia"/>
          <w:color w:val="auto"/>
          <w:sz w:val="22"/>
          <w:szCs w:val="22"/>
        </w:rPr>
        <w:t>影响采购公正的</w:t>
      </w:r>
      <w:r>
        <w:rPr>
          <w:rFonts w:hint="eastAsia" w:asciiTheme="minorEastAsia" w:hAnsiTheme="minorEastAsia" w:eastAsiaTheme="minorEastAsia" w:cstheme="minorEastAsia"/>
          <w:color w:val="auto"/>
          <w:kern w:val="0"/>
          <w:sz w:val="22"/>
          <w:szCs w:val="22"/>
        </w:rPr>
        <w:t>利害关系</w:t>
      </w:r>
      <w:r>
        <w:rPr>
          <w:rFonts w:hint="eastAsia" w:asciiTheme="minorEastAsia" w:hAnsiTheme="minorEastAsia" w:eastAsiaTheme="minorEastAsia" w:cstheme="minorEastAsia"/>
          <w:color w:val="auto"/>
          <w:kern w:val="0"/>
          <w:sz w:val="22"/>
          <w:szCs w:val="22"/>
          <w:u w:val="single"/>
        </w:rPr>
        <w:t xml:space="preserve">（如有，请如实说明）                 </w:t>
      </w:r>
      <w:r>
        <w:rPr>
          <w:rFonts w:hint="eastAsia" w:asciiTheme="minorEastAsia" w:hAnsiTheme="minorEastAsia" w:eastAsiaTheme="minorEastAsia" w:cstheme="minorEastAsia"/>
          <w:color w:val="auto"/>
          <w:kern w:val="0"/>
          <w:sz w:val="22"/>
          <w:szCs w:val="22"/>
        </w:rPr>
        <w:t>。</w:t>
      </w:r>
    </w:p>
    <w:p>
      <w:pPr>
        <w:pStyle w:val="62"/>
        <w:widowControl/>
        <w:snapToGrid w:val="0"/>
        <w:spacing w:line="42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6"/>
          <w:sz w:val="22"/>
          <w:szCs w:val="22"/>
        </w:rPr>
        <w:t xml:space="preserve"> </w:t>
      </w:r>
      <w:r>
        <w:rPr>
          <w:rFonts w:hint="eastAsia" w:asciiTheme="minorEastAsia" w:hAnsiTheme="minorEastAsia" w:eastAsiaTheme="minorEastAsia" w:cstheme="minorEastAsia"/>
          <w:color w:val="auto"/>
          <w:spacing w:val="6"/>
          <w:sz w:val="22"/>
          <w:szCs w:val="22"/>
          <w:lang w:val="en-US" w:eastAsia="zh-CN"/>
        </w:rPr>
        <w:t xml:space="preserve">  </w:t>
      </w:r>
      <w:r>
        <w:rPr>
          <w:rFonts w:hint="eastAsia" w:asciiTheme="minorEastAsia" w:hAnsiTheme="minorEastAsia" w:eastAsiaTheme="minorEastAsia" w:cstheme="minorEastAsia"/>
          <w:color w:val="auto"/>
          <w:spacing w:val="6"/>
          <w:sz w:val="22"/>
          <w:szCs w:val="22"/>
        </w:rPr>
        <w:t xml:space="preserve"> 二、</w:t>
      </w:r>
      <w:r>
        <w:rPr>
          <w:rFonts w:hint="eastAsia" w:asciiTheme="minorEastAsia" w:hAnsiTheme="minorEastAsia" w:eastAsiaTheme="minorEastAsia" w:cstheme="minorEastAsia"/>
          <w:color w:val="auto"/>
          <w:kern w:val="0"/>
          <w:sz w:val="22"/>
          <w:szCs w:val="22"/>
        </w:rPr>
        <w:t>现已清楚知道参加本项目采购活动的其他所有供应商名称，本单位 □与其他所有供应商之间均不存在利害关系 □与</w:t>
      </w:r>
      <w:r>
        <w:rPr>
          <w:rFonts w:hint="eastAsia" w:asciiTheme="minorEastAsia" w:hAnsiTheme="minorEastAsia" w:eastAsiaTheme="minorEastAsia" w:cstheme="minorEastAsia"/>
          <w:color w:val="auto"/>
          <w:kern w:val="0"/>
          <w:sz w:val="22"/>
          <w:szCs w:val="22"/>
          <w:u w:val="single"/>
        </w:rPr>
        <w:t xml:space="preserve">           （供应商名称）</w:t>
      </w:r>
      <w:r>
        <w:rPr>
          <w:rFonts w:hint="eastAsia" w:asciiTheme="minorEastAsia" w:hAnsiTheme="minorEastAsia" w:eastAsiaTheme="minorEastAsia" w:cstheme="minorEastAsia"/>
          <w:color w:val="auto"/>
          <w:kern w:val="0"/>
          <w:sz w:val="22"/>
          <w:szCs w:val="22"/>
        </w:rPr>
        <w:t>之间存在下列利害关系：</w:t>
      </w:r>
    </w:p>
    <w:p>
      <w:pPr>
        <w:pStyle w:val="59"/>
        <w:spacing w:line="400" w:lineRule="exact"/>
        <w:ind w:firstLine="44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  A.法定代表人或负责人或实际控制人是同一人</w:t>
      </w:r>
    </w:p>
    <w:p>
      <w:pPr>
        <w:pStyle w:val="59"/>
        <w:spacing w:line="400" w:lineRule="exact"/>
        <w:ind w:firstLine="440"/>
        <w:rPr>
          <w:rFonts w:hint="eastAsia"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kern w:val="0"/>
          <w:sz w:val="22"/>
          <w:szCs w:val="22"/>
        </w:rPr>
        <w:t xml:space="preserve">  B.法定代表人或负责人或实际控制人是夫妻关系</w:t>
      </w:r>
    </w:p>
    <w:p>
      <w:pPr>
        <w:pStyle w:val="59"/>
        <w:spacing w:line="400" w:lineRule="exact"/>
        <w:ind w:firstLine="440"/>
        <w:rPr>
          <w:rFonts w:hint="eastAsia"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kern w:val="0"/>
          <w:sz w:val="22"/>
          <w:szCs w:val="22"/>
        </w:rPr>
        <w:t xml:space="preserve">  C.法定代表人或负责人或实际控制人是直系血亲关系</w:t>
      </w:r>
    </w:p>
    <w:p>
      <w:pPr>
        <w:pStyle w:val="59"/>
        <w:spacing w:line="400" w:lineRule="exact"/>
        <w:ind w:firstLine="440"/>
        <w:rPr>
          <w:rFonts w:hint="eastAsia"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kern w:val="0"/>
          <w:sz w:val="22"/>
          <w:szCs w:val="22"/>
        </w:rPr>
        <w:t xml:space="preserve">  D.法定代表人或负责人或实际控制人存在三代以内旁系血亲关系</w:t>
      </w:r>
    </w:p>
    <w:p>
      <w:pPr>
        <w:pStyle w:val="59"/>
        <w:spacing w:line="400" w:lineRule="exact"/>
        <w:ind w:firstLine="44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  E.法定代表人或负责人或实际控制人存在近姻亲关系</w:t>
      </w:r>
    </w:p>
    <w:p>
      <w:pPr>
        <w:pStyle w:val="59"/>
        <w:spacing w:line="400" w:lineRule="exact"/>
        <w:ind w:firstLine="44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  F.法定代表人或负责人或实际控制人存在股份控制或实际控制关系</w:t>
      </w:r>
    </w:p>
    <w:p>
      <w:pPr>
        <w:pStyle w:val="59"/>
        <w:spacing w:line="400" w:lineRule="exact"/>
        <w:ind w:firstLine="44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xml:space="preserve">  G.存在共同直接或间接投资设立子公司、联营企业和合营企业情况</w:t>
      </w:r>
    </w:p>
    <w:p>
      <w:pPr>
        <w:pStyle w:val="59"/>
        <w:spacing w:line="400" w:lineRule="exact"/>
        <w:ind w:firstLine="44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kern w:val="0"/>
          <w:sz w:val="22"/>
          <w:szCs w:val="22"/>
        </w:rPr>
        <w:t xml:space="preserve">  H.存在分级代理或代销关系、同一生产制造商关系、</w:t>
      </w:r>
      <w:r>
        <w:rPr>
          <w:rFonts w:hint="eastAsia" w:asciiTheme="minorEastAsia" w:hAnsiTheme="minorEastAsia" w:eastAsiaTheme="minorEastAsia" w:cstheme="minorEastAsia"/>
          <w:color w:val="auto"/>
          <w:sz w:val="22"/>
          <w:szCs w:val="22"/>
        </w:rPr>
        <w:t>管理关系、重要业务（占主营业务收入50%以上）或重要财务往来关系（如融资）等其他实质性控制关系</w:t>
      </w:r>
    </w:p>
    <w:p>
      <w:pPr>
        <w:pStyle w:val="59"/>
        <w:spacing w:line="400" w:lineRule="exact"/>
        <w:ind w:firstLine="440"/>
        <w:rPr>
          <w:rFonts w:hint="eastAsia" w:asciiTheme="minorEastAsia" w:hAnsiTheme="minorEastAsia" w:eastAsiaTheme="minorEastAsia" w:cstheme="minorEastAsia"/>
          <w:color w:val="auto"/>
          <w:spacing w:val="6"/>
          <w:sz w:val="22"/>
          <w:szCs w:val="22"/>
        </w:rPr>
      </w:pPr>
      <w:r>
        <w:rPr>
          <w:rFonts w:hint="eastAsia" w:asciiTheme="minorEastAsia" w:hAnsiTheme="minorEastAsia" w:eastAsiaTheme="minorEastAsia" w:cstheme="minorEastAsia"/>
          <w:color w:val="auto"/>
          <w:sz w:val="22"/>
          <w:szCs w:val="22"/>
        </w:rPr>
        <w:t xml:space="preserve">    I</w:t>
      </w:r>
      <w:r>
        <w:rPr>
          <w:rFonts w:hint="eastAsia" w:asciiTheme="minorEastAsia" w:hAnsiTheme="minorEastAsia" w:eastAsiaTheme="minorEastAsia" w:cstheme="minorEastAsia"/>
          <w:color w:val="auto"/>
          <w:kern w:val="0"/>
          <w:sz w:val="22"/>
          <w:szCs w:val="22"/>
        </w:rPr>
        <w:t>.</w:t>
      </w:r>
      <w:r>
        <w:rPr>
          <w:rFonts w:hint="eastAsia" w:asciiTheme="minorEastAsia" w:hAnsiTheme="minorEastAsia" w:eastAsiaTheme="minorEastAsia" w:cstheme="minorEastAsia"/>
          <w:color w:val="auto"/>
          <w:sz w:val="22"/>
          <w:szCs w:val="22"/>
        </w:rPr>
        <w:t>其他利害关系情况</w:t>
      </w:r>
      <w:r>
        <w:rPr>
          <w:rFonts w:hint="eastAsia" w:asciiTheme="minorEastAsia" w:hAnsiTheme="minorEastAsia" w:eastAsiaTheme="minorEastAsia" w:cstheme="minorEastAsia"/>
          <w:color w:val="auto"/>
          <w:kern w:val="0"/>
          <w:sz w:val="22"/>
          <w:szCs w:val="22"/>
        </w:rPr>
        <w:t>。</w:t>
      </w:r>
    </w:p>
    <w:p>
      <w:pPr>
        <w:pStyle w:val="62"/>
        <w:widowControl/>
        <w:numPr>
          <w:ilvl w:val="0"/>
          <w:numId w:val="0"/>
        </w:numPr>
        <w:snapToGrid w:val="0"/>
        <w:spacing w:line="400" w:lineRule="exact"/>
        <w:ind w:firstLine="440" w:firstLineChars="20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z w:val="22"/>
          <w:szCs w:val="22"/>
          <w:lang w:eastAsia="zh-CN"/>
        </w:rPr>
        <w:t>三、</w:t>
      </w:r>
      <w:r>
        <w:rPr>
          <w:rFonts w:hint="eastAsia" w:asciiTheme="minorEastAsia" w:hAnsiTheme="minorEastAsia" w:eastAsiaTheme="minorEastAsia" w:cstheme="minorEastAsia"/>
          <w:color w:val="auto"/>
          <w:sz w:val="22"/>
          <w:szCs w:val="22"/>
        </w:rPr>
        <w:t>现已清楚知道并</w:t>
      </w:r>
      <w:r>
        <w:rPr>
          <w:rFonts w:hint="eastAsia" w:asciiTheme="minorEastAsia" w:hAnsiTheme="minorEastAsia" w:eastAsiaTheme="minorEastAsia" w:cstheme="minorEastAsia"/>
          <w:color w:val="auto"/>
          <w:kern w:val="0"/>
          <w:sz w:val="22"/>
          <w:szCs w:val="22"/>
        </w:rPr>
        <w:t>严格遵守政府采购法律法规和现场纪律。</w:t>
      </w:r>
    </w:p>
    <w:p>
      <w:pPr>
        <w:pStyle w:val="62"/>
        <w:widowControl/>
        <w:numPr>
          <w:ilvl w:val="0"/>
          <w:numId w:val="0"/>
        </w:numPr>
        <w:snapToGrid w:val="0"/>
        <w:spacing w:line="400" w:lineRule="exact"/>
        <w:ind w:leftChars="189"/>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lang w:eastAsia="zh-CN"/>
        </w:rPr>
        <w:t>四、</w:t>
      </w:r>
      <w:r>
        <w:rPr>
          <w:rFonts w:hint="eastAsia" w:asciiTheme="minorEastAsia" w:hAnsiTheme="minorEastAsia" w:eastAsiaTheme="minorEastAsia" w:cstheme="minorEastAsia"/>
          <w:color w:val="auto"/>
          <w:kern w:val="0"/>
          <w:sz w:val="22"/>
          <w:szCs w:val="22"/>
        </w:rPr>
        <w:t>我发现供应商之间存在或可能存在上述第二条第项利害关系。</w:t>
      </w:r>
    </w:p>
    <w:p>
      <w:pPr>
        <w:pStyle w:val="59"/>
        <w:spacing w:line="500" w:lineRule="exact"/>
        <w:ind w:firstLine="440"/>
        <w:rPr>
          <w:rFonts w:hint="eastAsia" w:asciiTheme="minorEastAsia" w:hAnsiTheme="minorEastAsia" w:eastAsiaTheme="minorEastAsia" w:cstheme="minorEastAsia"/>
          <w:color w:val="auto"/>
          <w:sz w:val="22"/>
          <w:szCs w:val="22"/>
        </w:rPr>
      </w:pPr>
    </w:p>
    <w:p>
      <w:pPr>
        <w:pStyle w:val="59"/>
        <w:spacing w:line="500" w:lineRule="exact"/>
        <w:ind w:firstLine="440"/>
        <w:jc w:val="right"/>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color w:val="auto"/>
          <w:sz w:val="22"/>
          <w:szCs w:val="22"/>
        </w:rPr>
        <w:t>投标人代表签字：</w:t>
      </w:r>
    </w:p>
    <w:p>
      <w:pPr>
        <w:spacing w:line="440" w:lineRule="exact"/>
        <w:jc w:val="righ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ab/>
      </w:r>
    </w:p>
    <w:p>
      <w:pPr>
        <w:spacing w:line="440" w:lineRule="exact"/>
        <w:jc w:val="righ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color w:val="auto"/>
          <w:sz w:val="22"/>
          <w:szCs w:val="22"/>
        </w:rPr>
        <w:t xml:space="preserve"> 年  月  日</w:t>
      </w:r>
    </w:p>
    <w:p>
      <w:pPr>
        <w:pStyle w:val="14"/>
        <w:ind w:left="0" w:firstLine="0" w:firstLineChars="0"/>
        <w:rPr>
          <w:rFonts w:hint="eastAsia" w:asciiTheme="minorEastAsia" w:hAnsiTheme="minorEastAsia" w:eastAsiaTheme="minorEastAsia" w:cstheme="minorEastAsia"/>
          <w:color w:val="auto"/>
          <w:sz w:val="22"/>
          <w:szCs w:val="22"/>
        </w:rPr>
        <w:sectPr>
          <w:pgSz w:w="11906" w:h="16838"/>
          <w:pgMar w:top="1134" w:right="1134" w:bottom="1134" w:left="1134" w:header="851" w:footer="992" w:gutter="284"/>
          <w:pgNumType w:fmt="decimal"/>
          <w:cols w:space="720" w:num="1"/>
          <w:titlePg/>
          <w:docGrid w:linePitch="312" w:charSpace="0"/>
        </w:sectPr>
      </w:pPr>
    </w:p>
    <w:p>
      <w:pPr>
        <w:autoSpaceDE w:val="0"/>
        <w:autoSpaceDN w:val="0"/>
        <w:adjustRightInd w:val="0"/>
        <w:spacing w:line="400" w:lineRule="exact"/>
        <w:jc w:val="center"/>
        <w:rPr>
          <w:rFonts w:hint="eastAsia" w:asciiTheme="minorEastAsia" w:hAnsiTheme="minorEastAsia" w:eastAsiaTheme="minorEastAsia" w:cstheme="minorEastAsia"/>
          <w:color w:val="auto"/>
          <w:sz w:val="32"/>
          <w:szCs w:val="32"/>
        </w:rPr>
      </w:pPr>
      <w:bookmarkStart w:id="36" w:name="_Toc515203438"/>
      <w:r>
        <w:rPr>
          <w:rFonts w:hint="eastAsia" w:asciiTheme="minorEastAsia" w:hAnsiTheme="minorEastAsia" w:eastAsiaTheme="minorEastAsia" w:cstheme="minorEastAsia"/>
          <w:color w:val="auto"/>
          <w:sz w:val="32"/>
          <w:szCs w:val="32"/>
        </w:rPr>
        <w:t>第二部分  政府采购政策功能相关说明</w:t>
      </w:r>
    </w:p>
    <w:p>
      <w:pPr>
        <w:spacing w:line="480" w:lineRule="auto"/>
        <w:ind w:firstLine="442"/>
        <w:rPr>
          <w:rFonts w:hint="eastAsia" w:asciiTheme="minorEastAsia" w:hAnsiTheme="minorEastAsia" w:eastAsiaTheme="minorEastAsia" w:cstheme="minorEastAsia"/>
          <w:b/>
          <w:color w:val="auto"/>
          <w:sz w:val="22"/>
          <w:szCs w:val="22"/>
        </w:rPr>
      </w:pPr>
      <w:bookmarkStart w:id="37" w:name="_Hlk507407938"/>
      <w:r>
        <w:rPr>
          <w:rFonts w:hint="eastAsia" w:asciiTheme="minorEastAsia" w:hAnsiTheme="minorEastAsia" w:eastAsiaTheme="minorEastAsia" w:cstheme="minorEastAsia"/>
          <w:b/>
          <w:color w:val="auto"/>
          <w:sz w:val="22"/>
          <w:szCs w:val="22"/>
        </w:rPr>
        <w:t>一、小、微企业（含监狱企业、残疾人福利性单位）扶持政策说明</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1、文件依据</w:t>
      </w:r>
    </w:p>
    <w:p>
      <w:pPr>
        <w:numPr>
          <w:ilvl w:val="0"/>
          <w:numId w:val="1"/>
        </w:numPr>
        <w:spacing w:line="48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《政府采购促进中小企业发展管理办法》(财库〔2020〕46号)</w:t>
      </w:r>
    </w:p>
    <w:p>
      <w:pPr>
        <w:numPr>
          <w:ilvl w:val="0"/>
          <w:numId w:val="1"/>
        </w:numPr>
        <w:spacing w:line="48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《工业和信息化部、国家统计局、国家发展和改革委员会、财政部关于印发中小企业划型标准规定的通知》（工信部联企业[2011]300号）</w:t>
      </w:r>
    </w:p>
    <w:p>
      <w:pPr>
        <w:numPr>
          <w:ilvl w:val="0"/>
          <w:numId w:val="1"/>
        </w:numPr>
        <w:spacing w:line="48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财政部、司法部《关于政府采购支持监狱企业发展有关问题的通知》（财库〔2014〕68号）</w:t>
      </w:r>
    </w:p>
    <w:p>
      <w:pPr>
        <w:numPr>
          <w:ilvl w:val="0"/>
          <w:numId w:val="1"/>
        </w:numPr>
        <w:spacing w:line="48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《财政部 民政部 中国残疾人联合会关于促进残疾人就业政府采购政策的通知》（财库〔2017〕 141号）</w:t>
      </w:r>
    </w:p>
    <w:p>
      <w:pPr>
        <w:numPr>
          <w:ilvl w:val="0"/>
          <w:numId w:val="1"/>
        </w:numPr>
        <w:spacing w:line="48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《2017年国民经济行业分类（GBT 4754—2017）》</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2、在政府采购活动中，供应商提供的货物、工程 或者服务符合下列情形的，享受本办法规定的中小企业扶持政策：</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 xml:space="preserve">（一）在货物采购项目中，货物由中小企业制造，即货物由中小企业生产且使用该中小企业商号或者注册商标； </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 xml:space="preserve">（二）在工程采购项目中，工程由中小企业承建，即工程施工单位为中小企业； </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（三）在服务采购项目中，服务由中小企业承接，即提供服务的人员为中小企业依照《中华人民共和国劳动合同法》 订立劳动合同的从业人员。</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 xml:space="preserve"> 在货物采购项目中，供应商提供的货物既有中小企业制 造货物，也有大型企业制造货物的，不享受本办法规定的中小企业扶持政策。 </w:t>
      </w:r>
    </w:p>
    <w:p>
      <w:pPr>
        <w:spacing w:line="480" w:lineRule="exact"/>
        <w:ind w:firstLine="442"/>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color w:val="auto"/>
          <w:sz w:val="22"/>
          <w:szCs w:val="22"/>
        </w:rPr>
        <w:t>以联合体形式参加政府采购活动，联合体各方均为中小企业的，联合体视同中小企业。其中，联合体各方均为小微 企业的，联合体视同小微企业。</w:t>
      </w:r>
      <w:r>
        <w:rPr>
          <w:rFonts w:hint="eastAsia" w:asciiTheme="minorEastAsia" w:hAnsiTheme="minorEastAsia" w:eastAsiaTheme="minorEastAsia" w:cstheme="minorEastAsia"/>
          <w:color w:val="auto"/>
          <w:sz w:val="22"/>
          <w:szCs w:val="22"/>
        </w:rPr>
        <w:t>。</w:t>
      </w:r>
    </w:p>
    <w:p>
      <w:pPr>
        <w:spacing w:line="480" w:lineRule="exact"/>
        <w:ind w:firstLine="440"/>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color w:val="auto"/>
          <w:sz w:val="22"/>
          <w:szCs w:val="22"/>
          <w:u w:val="single"/>
        </w:rPr>
        <w:t>3、本项目对小型和微型企业的价格给予6%的扣除，用扣除后的价格参与评审。</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u w:val="single"/>
        </w:rPr>
        <w:t>4、享受小微企业价格折扣应提供以下证明材料</w:t>
      </w:r>
      <w:r>
        <w:rPr>
          <w:rFonts w:hint="eastAsia" w:asciiTheme="minorEastAsia" w:hAnsiTheme="minorEastAsia" w:eastAsiaTheme="minorEastAsia" w:cstheme="minorEastAsia"/>
          <w:b/>
          <w:color w:val="auto"/>
          <w:sz w:val="22"/>
          <w:szCs w:val="22"/>
        </w:rPr>
        <w:t>：</w:t>
      </w:r>
    </w:p>
    <w:p>
      <w:pPr>
        <w:spacing w:line="480" w:lineRule="exact"/>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 xml:space="preserve">（一）《中小企业声明函》（上传后进行CA电子签章，格式及具体要求见附件1） </w:t>
      </w:r>
    </w:p>
    <w:p>
      <w:pPr>
        <w:spacing w:line="480" w:lineRule="auto"/>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5、</w:t>
      </w:r>
      <w:r>
        <w:rPr>
          <w:rFonts w:hint="eastAsia" w:asciiTheme="minorEastAsia" w:hAnsiTheme="minorEastAsia" w:eastAsiaTheme="minorEastAsia" w:cstheme="minorEastAsia"/>
          <w:b/>
          <w:color w:val="auto"/>
          <w:sz w:val="22"/>
          <w:szCs w:val="22"/>
          <w:u w:val="single"/>
        </w:rPr>
        <w:t>享受监狱企业6%价格折扣应提供以下证明材料（响应文件中，不提供的不享受价格折扣）</w:t>
      </w:r>
      <w:r>
        <w:rPr>
          <w:rFonts w:hint="eastAsia" w:asciiTheme="minorEastAsia" w:hAnsiTheme="minorEastAsia" w:eastAsiaTheme="minorEastAsia" w:cstheme="minorEastAsia"/>
          <w:b/>
          <w:color w:val="auto"/>
          <w:sz w:val="22"/>
          <w:szCs w:val="22"/>
        </w:rPr>
        <w:t>：</w:t>
      </w:r>
    </w:p>
    <w:p>
      <w:pPr>
        <w:spacing w:line="480" w:lineRule="auto"/>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一）监狱企业参加政府采购活动时，应当提供由省级以上监狱管理局、戒毒管理局(含新疆生产建设兵团)出具的属于监狱企业的证明文件（上传后进行CA电子签章）。在政府采购活动中，监狱企业视同小型、微型企业，享受评审中价格扣除政策。</w:t>
      </w:r>
    </w:p>
    <w:p>
      <w:pPr>
        <w:spacing w:line="480" w:lineRule="auto"/>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6、</w:t>
      </w:r>
      <w:r>
        <w:rPr>
          <w:rFonts w:hint="eastAsia" w:asciiTheme="minorEastAsia" w:hAnsiTheme="minorEastAsia" w:eastAsiaTheme="minorEastAsia" w:cstheme="minorEastAsia"/>
          <w:b/>
          <w:color w:val="auto"/>
          <w:sz w:val="22"/>
          <w:szCs w:val="22"/>
          <w:u w:val="single"/>
        </w:rPr>
        <w:t>享受残疾人福利性单位6%格折扣应提供以下证明材料（不提供的不享受价格折扣）</w:t>
      </w:r>
      <w:r>
        <w:rPr>
          <w:rFonts w:hint="eastAsia" w:asciiTheme="minorEastAsia" w:hAnsiTheme="minorEastAsia" w:eastAsiaTheme="minorEastAsia" w:cstheme="minorEastAsia"/>
          <w:b/>
          <w:color w:val="auto"/>
          <w:sz w:val="22"/>
          <w:szCs w:val="22"/>
        </w:rPr>
        <w:t>：</w:t>
      </w:r>
    </w:p>
    <w:p>
      <w:pPr>
        <w:spacing w:line="480" w:lineRule="auto"/>
        <w:ind w:firstLine="442"/>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（一）残疾人福利性单位声明函；</w:t>
      </w:r>
    </w:p>
    <w:p>
      <w:pPr>
        <w:widowControl/>
        <w:shd w:val="clear" w:color="auto" w:fill="FDFAF5"/>
        <w:spacing w:before="100" w:beforeAutospacing="1" w:after="100" w:afterAutospacing="1" w:line="440" w:lineRule="atLeast"/>
        <w:ind w:firstLine="422"/>
        <w:jc w:val="lef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附件1：</w:t>
      </w:r>
    </w:p>
    <w:p>
      <w:pPr>
        <w:widowControl/>
        <w:shd w:val="clear" w:color="auto" w:fill="FDFAF5"/>
        <w:spacing w:before="100" w:beforeAutospacing="1" w:after="100" w:afterAutospacing="1" w:line="440" w:lineRule="atLeast"/>
        <w:ind w:firstLine="422"/>
        <w:jc w:val="left"/>
        <w:rPr>
          <w:rFonts w:hint="eastAsia" w:asciiTheme="minorEastAsia" w:hAnsiTheme="minorEastAsia" w:eastAsiaTheme="minorEastAsia" w:cstheme="minorEastAsia"/>
          <w:b/>
          <w:color w:val="auto"/>
          <w:szCs w:val="21"/>
        </w:rPr>
      </w:pPr>
    </w:p>
    <w:p>
      <w:pPr>
        <w:widowControl/>
        <w:jc w:val="center"/>
        <w:rPr>
          <w:rFonts w:hint="eastAsia" w:asciiTheme="minorEastAsia" w:hAnsiTheme="minorEastAsia" w:eastAsiaTheme="minorEastAsia" w:cstheme="minorEastAsia"/>
          <w:color w:val="auto"/>
        </w:rPr>
      </w:pPr>
      <w:bookmarkStart w:id="38" w:name="OLE_LINK13"/>
      <w:bookmarkStart w:id="39" w:name="OLE_LINK14"/>
      <w:r>
        <w:rPr>
          <w:rFonts w:hint="eastAsia" w:asciiTheme="minorEastAsia" w:hAnsiTheme="minorEastAsia" w:eastAsiaTheme="minorEastAsia" w:cstheme="minorEastAsia"/>
          <w:b/>
          <w:color w:val="auto"/>
          <w:kern w:val="0"/>
          <w:sz w:val="36"/>
          <w:szCs w:val="36"/>
        </w:rPr>
        <w:t>中小企业声明函</w:t>
      </w:r>
    </w:p>
    <w:p>
      <w:pPr>
        <w:widowControl/>
        <w:ind w:firstLine="42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本公司（联合体）郑重声明，根据《政府采购促进中小 企业发展管理办法》（财库﹝2020﹞46 号）的规定，本公司 （联合体）参加（单位名称）的（项目名称）采购活动，提 供的服务全部由符合政策要求的中小企业制造。相关企业 （含联合体中的中小企业、签订分包意向协议的中小企业） 的具体情况如下：</w:t>
      </w:r>
    </w:p>
    <w:p>
      <w:pPr>
        <w:widowControl/>
        <w:spacing w:line="48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1. （</w:t>
      </w:r>
      <w:r>
        <w:rPr>
          <w:rFonts w:hint="eastAsia" w:asciiTheme="minorEastAsia" w:hAnsiTheme="minorEastAsia" w:eastAsiaTheme="minorEastAsia" w:cstheme="minorEastAsia"/>
          <w:color w:val="auto"/>
          <w:kern w:val="0"/>
          <w:szCs w:val="21"/>
          <w:u w:val="single"/>
        </w:rPr>
        <w:t>标的名称）</w:t>
      </w:r>
      <w:r>
        <w:rPr>
          <w:rFonts w:hint="eastAsia" w:asciiTheme="minorEastAsia" w:hAnsiTheme="minorEastAsia" w:eastAsiaTheme="minorEastAsia" w:cstheme="minorEastAsia"/>
          <w:color w:val="auto"/>
          <w:kern w:val="0"/>
          <w:szCs w:val="21"/>
        </w:rPr>
        <w:t xml:space="preserve"> ，属于</w:t>
      </w:r>
      <w:r>
        <w:rPr>
          <w:rFonts w:hint="eastAsia" w:asciiTheme="minorEastAsia" w:hAnsiTheme="minorEastAsia" w:eastAsiaTheme="minorEastAsia" w:cstheme="minorEastAsia"/>
          <w:color w:val="auto"/>
          <w:kern w:val="0"/>
          <w:szCs w:val="21"/>
          <w:u w:val="single"/>
        </w:rPr>
        <w:t>（采购文件中明确的所属行业）</w:t>
      </w:r>
      <w:r>
        <w:rPr>
          <w:rFonts w:hint="eastAsia" w:asciiTheme="minorEastAsia" w:hAnsiTheme="minorEastAsia" w:eastAsiaTheme="minorEastAsia" w:cstheme="minorEastAsia"/>
          <w:color w:val="auto"/>
          <w:kern w:val="0"/>
          <w:szCs w:val="21"/>
        </w:rPr>
        <w:t>；制造商为</w:t>
      </w:r>
      <w:r>
        <w:rPr>
          <w:rFonts w:hint="eastAsia" w:asciiTheme="minorEastAsia" w:hAnsiTheme="minorEastAsia" w:eastAsiaTheme="minorEastAsia" w:cstheme="minorEastAsia"/>
          <w:color w:val="auto"/>
          <w:kern w:val="0"/>
          <w:szCs w:val="21"/>
          <w:u w:val="single"/>
        </w:rPr>
        <w:t>（企业名称）</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widowControl/>
        <w:spacing w:line="48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人，营业收入为</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万元，资产总额为</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万元，属于</w:t>
      </w:r>
      <w:r>
        <w:rPr>
          <w:rFonts w:hint="eastAsia" w:asciiTheme="minorEastAsia" w:hAnsiTheme="minorEastAsia" w:eastAsiaTheme="minorEastAsia" w:cstheme="minorEastAsia"/>
          <w:color w:val="auto"/>
          <w:kern w:val="0"/>
          <w:szCs w:val="21"/>
          <w:u w:val="single"/>
        </w:rPr>
        <w:t>（中型企业、小型企业、微型企业）</w:t>
      </w:r>
      <w:r>
        <w:rPr>
          <w:rFonts w:hint="eastAsia" w:asciiTheme="minorEastAsia" w:hAnsiTheme="minorEastAsia" w:eastAsiaTheme="minorEastAsia" w:cstheme="minorEastAsia"/>
          <w:color w:val="auto"/>
          <w:kern w:val="0"/>
          <w:szCs w:val="21"/>
        </w:rPr>
        <w:t xml:space="preserve">； </w:t>
      </w:r>
    </w:p>
    <w:p>
      <w:pPr>
        <w:widowControl/>
        <w:spacing w:line="48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2. （</w:t>
      </w:r>
      <w:r>
        <w:rPr>
          <w:rFonts w:hint="eastAsia" w:asciiTheme="minorEastAsia" w:hAnsiTheme="minorEastAsia" w:eastAsiaTheme="minorEastAsia" w:cstheme="minorEastAsia"/>
          <w:color w:val="auto"/>
          <w:kern w:val="0"/>
          <w:szCs w:val="21"/>
          <w:u w:val="single"/>
        </w:rPr>
        <w:t>标的名称）</w:t>
      </w:r>
      <w:r>
        <w:rPr>
          <w:rFonts w:hint="eastAsia" w:asciiTheme="minorEastAsia" w:hAnsiTheme="minorEastAsia" w:eastAsiaTheme="minorEastAsia" w:cstheme="minorEastAsia"/>
          <w:color w:val="auto"/>
          <w:kern w:val="0"/>
          <w:szCs w:val="21"/>
        </w:rPr>
        <w:t xml:space="preserve"> ，属于</w:t>
      </w:r>
      <w:r>
        <w:rPr>
          <w:rFonts w:hint="eastAsia" w:asciiTheme="minorEastAsia" w:hAnsiTheme="minorEastAsia" w:eastAsiaTheme="minorEastAsia" w:cstheme="minorEastAsia"/>
          <w:color w:val="auto"/>
          <w:kern w:val="0"/>
          <w:szCs w:val="21"/>
          <w:u w:val="single"/>
        </w:rPr>
        <w:t>（采购文件中明确的所属行业）</w:t>
      </w:r>
      <w:r>
        <w:rPr>
          <w:rFonts w:hint="eastAsia" w:asciiTheme="minorEastAsia" w:hAnsiTheme="minorEastAsia" w:eastAsiaTheme="minorEastAsia" w:cstheme="minorEastAsia"/>
          <w:color w:val="auto"/>
          <w:kern w:val="0"/>
          <w:szCs w:val="21"/>
        </w:rPr>
        <w:t>；制造商为</w:t>
      </w:r>
      <w:r>
        <w:rPr>
          <w:rFonts w:hint="eastAsia" w:asciiTheme="minorEastAsia" w:hAnsiTheme="minorEastAsia" w:eastAsiaTheme="minorEastAsia" w:cstheme="minorEastAsia"/>
          <w:color w:val="auto"/>
          <w:kern w:val="0"/>
          <w:szCs w:val="21"/>
          <w:u w:val="single"/>
        </w:rPr>
        <w:t>（企业名称）</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widowControl/>
        <w:spacing w:line="48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人，营业收入为</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万元，资产总额为</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万元，属于</w:t>
      </w:r>
      <w:r>
        <w:rPr>
          <w:rFonts w:hint="eastAsia" w:asciiTheme="minorEastAsia" w:hAnsiTheme="minorEastAsia" w:eastAsiaTheme="minorEastAsia" w:cstheme="minorEastAsia"/>
          <w:color w:val="auto"/>
          <w:kern w:val="0"/>
          <w:szCs w:val="21"/>
          <w:u w:val="single"/>
        </w:rPr>
        <w:t>（中型企业、小型企业、微型企业）</w:t>
      </w:r>
      <w:r>
        <w:rPr>
          <w:rFonts w:hint="eastAsia" w:asciiTheme="minorEastAsia" w:hAnsiTheme="minorEastAsia" w:eastAsiaTheme="minorEastAsia" w:cstheme="minorEastAsia"/>
          <w:color w:val="auto"/>
          <w:kern w:val="0"/>
          <w:szCs w:val="21"/>
        </w:rPr>
        <w:t xml:space="preserve">； </w:t>
      </w:r>
    </w:p>
    <w:p>
      <w:pPr>
        <w:widowControl/>
        <w:spacing w:line="48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w:t>
      </w:r>
    </w:p>
    <w:p>
      <w:pPr>
        <w:widowControl/>
        <w:spacing w:line="48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以上企业，不属于大企业的分支机构，不存在控股股东为大企业的情形，也不存在与大企业的负责人为同一人的情形。</w:t>
      </w:r>
    </w:p>
    <w:p>
      <w:pPr>
        <w:widowControl/>
        <w:spacing w:line="48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 xml:space="preserve">本企业对上述声明内容的真实性负责。如有虚假，将依法承担相应责任。 </w:t>
      </w:r>
    </w:p>
    <w:p>
      <w:pPr>
        <w:widowControl/>
        <w:spacing w:line="48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 xml:space="preserve">企业名称（盖章）： </w:t>
      </w:r>
    </w:p>
    <w:p>
      <w:pPr>
        <w:widowControl/>
        <w:spacing w:line="48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日 期：</w:t>
      </w:r>
    </w:p>
    <w:p>
      <w:pPr>
        <w:widowControl/>
        <w:spacing w:line="480" w:lineRule="auto"/>
        <w:ind w:firstLine="420"/>
        <w:jc w:val="left"/>
        <w:rPr>
          <w:rFonts w:hint="eastAsia" w:asciiTheme="minorEastAsia" w:hAnsiTheme="minorEastAsia" w:eastAsiaTheme="minorEastAsia" w:cstheme="minorEastAsia"/>
          <w:color w:val="auto"/>
          <w:kern w:val="0"/>
          <w:szCs w:val="21"/>
        </w:rPr>
      </w:pPr>
    </w:p>
    <w:p>
      <w:pPr>
        <w:widowControl/>
        <w:spacing w:line="480" w:lineRule="auto"/>
        <w:ind w:firstLine="42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注：从业人员、营业收入、资产总额填报上一年度数据，无上一年度数据的新成立企业可不填报</w:t>
      </w:r>
    </w:p>
    <w:p>
      <w:pPr>
        <w:spacing w:line="588" w:lineRule="exact"/>
        <w:ind w:firstLine="444"/>
        <w:jc w:val="center"/>
        <w:rPr>
          <w:rFonts w:hint="eastAsia" w:asciiTheme="minorEastAsia" w:hAnsiTheme="minorEastAsia" w:eastAsiaTheme="minorEastAsia" w:cstheme="minorEastAsia"/>
          <w:color w:val="auto"/>
          <w:spacing w:val="6"/>
          <w:szCs w:val="21"/>
        </w:rPr>
        <w:sectPr>
          <w:pgSz w:w="11906" w:h="16838"/>
          <w:pgMar w:top="1440" w:right="1304" w:bottom="1089" w:left="1531" w:header="851" w:footer="992" w:gutter="0"/>
          <w:pgNumType w:fmt="decimal"/>
          <w:cols w:space="720" w:num="1"/>
          <w:docGrid w:linePitch="312" w:charSpace="0"/>
        </w:sectPr>
      </w:pPr>
    </w:p>
    <w:p>
      <w:pPr>
        <w:spacing w:line="588" w:lineRule="exact"/>
        <w:ind w:firstLine="444"/>
        <w:jc w:val="left"/>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附件2</w:t>
      </w:r>
    </w:p>
    <w:p>
      <w:pPr>
        <w:spacing w:line="588" w:lineRule="exact"/>
        <w:ind w:firstLine="444"/>
        <w:jc w:val="center"/>
        <w:rPr>
          <w:rFonts w:hint="eastAsia" w:asciiTheme="minorEastAsia" w:hAnsiTheme="minorEastAsia" w:eastAsiaTheme="minorEastAsia" w:cstheme="minorEastAsia"/>
          <w:b/>
          <w:color w:val="auto"/>
          <w:spacing w:val="6"/>
          <w:szCs w:val="21"/>
        </w:rPr>
      </w:pPr>
      <w:r>
        <w:rPr>
          <w:rFonts w:hint="eastAsia" w:asciiTheme="minorEastAsia" w:hAnsiTheme="minorEastAsia" w:eastAsiaTheme="minorEastAsia" w:cstheme="minorEastAsia"/>
          <w:color w:val="auto"/>
          <w:spacing w:val="6"/>
          <w:szCs w:val="21"/>
        </w:rPr>
        <w:t>残疾人福利性单位声明函</w:t>
      </w:r>
    </w:p>
    <w:bookmarkEnd w:id="38"/>
    <w:bookmarkEnd w:id="39"/>
    <w:p>
      <w:pPr>
        <w:spacing w:line="588" w:lineRule="exact"/>
        <w:ind w:firstLine="446"/>
        <w:rPr>
          <w:rFonts w:hint="eastAsia" w:asciiTheme="minorEastAsia" w:hAnsiTheme="minorEastAsia" w:eastAsiaTheme="minorEastAsia" w:cstheme="minorEastAsia"/>
          <w:b/>
          <w:color w:val="auto"/>
          <w:spacing w:val="6"/>
          <w:szCs w:val="21"/>
        </w:rPr>
      </w:pPr>
    </w:p>
    <w:p>
      <w:pPr>
        <w:spacing w:line="588" w:lineRule="exact"/>
        <w:ind w:firstLine="444"/>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Cs w:val="21"/>
        </w:rPr>
        <w:t>〔2017〕 141</w:t>
      </w:r>
      <w:r>
        <w:rPr>
          <w:rFonts w:hint="eastAsia" w:asciiTheme="minorEastAsia" w:hAnsiTheme="minorEastAsia" w:eastAsiaTheme="minorEastAsia" w:cstheme="minorEastAsia"/>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本单位对上述声明的真实性负责。如有虚假，将依法承担相应责任。</w:t>
      </w:r>
    </w:p>
    <w:p>
      <w:pPr>
        <w:spacing w:line="588" w:lineRule="exact"/>
        <w:ind w:firstLine="444"/>
        <w:rPr>
          <w:rFonts w:hint="eastAsia" w:asciiTheme="minorEastAsia" w:hAnsiTheme="minorEastAsia" w:eastAsiaTheme="minorEastAsia" w:cstheme="minorEastAsia"/>
          <w:color w:val="auto"/>
          <w:spacing w:val="6"/>
          <w:szCs w:val="21"/>
        </w:rPr>
      </w:pPr>
    </w:p>
    <w:p>
      <w:pPr>
        <w:spacing w:line="588" w:lineRule="exact"/>
        <w:ind w:firstLine="444"/>
        <w:rPr>
          <w:rFonts w:hint="eastAsia" w:asciiTheme="minorEastAsia" w:hAnsiTheme="minorEastAsia" w:eastAsiaTheme="minorEastAsia" w:cstheme="minorEastAsia"/>
          <w:color w:val="auto"/>
          <w:spacing w:val="6"/>
          <w:szCs w:val="21"/>
        </w:rPr>
      </w:pPr>
    </w:p>
    <w:p>
      <w:pPr>
        <w:tabs>
          <w:tab w:val="left" w:pos="4860"/>
        </w:tabs>
        <w:spacing w:line="588" w:lineRule="exact"/>
        <w:ind w:right="1560" w:firstLine="444"/>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单位名称（盖章）：</w:t>
      </w:r>
    </w:p>
    <w:p>
      <w:pPr>
        <w:tabs>
          <w:tab w:val="left" w:pos="4860"/>
        </w:tabs>
        <w:spacing w:line="588" w:lineRule="exact"/>
        <w:ind w:right="1560" w:firstLine="444"/>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日期：</w:t>
      </w:r>
    </w:p>
    <w:p>
      <w:pPr>
        <w:tabs>
          <w:tab w:val="left" w:pos="4860"/>
        </w:tabs>
        <w:spacing w:line="588" w:lineRule="exact"/>
        <w:ind w:right="1560" w:firstLine="42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备注说明：</w:t>
      </w:r>
    </w:p>
    <w:p>
      <w:pPr>
        <w:tabs>
          <w:tab w:val="left" w:pos="4860"/>
        </w:tabs>
        <w:ind w:firstLine="840" w:firstLineChars="40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1、如中标，将在中标公示中将此残疾人福利性单位声明函予以公示，接受社会监督；</w:t>
      </w:r>
    </w:p>
    <w:p>
      <w:pPr>
        <w:spacing w:line="420" w:lineRule="exact"/>
        <w:ind w:left="439" w:leftChars="209" w:firstLine="42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2、供应商提供的《残疾人福利性单位声明函》与事实不符的，依照《政府采购法》第七十七条第一款的规定追究法律责任。</w:t>
      </w:r>
    </w:p>
    <w:p>
      <w:pPr>
        <w:pStyle w:val="13"/>
        <w:rPr>
          <w:rFonts w:hint="eastAsia" w:asciiTheme="minorEastAsia" w:hAnsiTheme="minorEastAsia" w:eastAsiaTheme="minorEastAsia" w:cstheme="minorEastAsia"/>
          <w:color w:val="auto"/>
        </w:rPr>
        <w:sectPr>
          <w:pgSz w:w="11906" w:h="16838"/>
          <w:pgMar w:top="1440" w:right="1304" w:bottom="1089" w:left="1531" w:header="851" w:footer="992" w:gutter="0"/>
          <w:pgNumType w:fmt="decimal"/>
          <w:cols w:space="720" w:num="1"/>
          <w:docGrid w:linePitch="312" w:charSpace="0"/>
        </w:sectPr>
      </w:pPr>
    </w:p>
    <w:bookmarkEnd w:id="37"/>
    <w:p>
      <w:pPr>
        <w:pStyle w:val="6"/>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第三部分    合同主要条款</w:t>
      </w:r>
    </w:p>
    <w:p>
      <w:pPr>
        <w:spacing w:line="460" w:lineRule="exact"/>
        <w:jc w:val="center"/>
        <w:rPr>
          <w:rFonts w:hint="eastAsia"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24"/>
        </w:rPr>
        <w:t xml:space="preserve">                            </w:t>
      </w:r>
    </w:p>
    <w:p>
      <w:pPr>
        <w:spacing w:line="360" w:lineRule="atLeas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发包方：                       （以下简称甲方）</w:t>
      </w:r>
    </w:p>
    <w:p>
      <w:pPr>
        <w:spacing w:line="360" w:lineRule="atLeas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承包方：                       （以下简称乙方）</w:t>
      </w:r>
    </w:p>
    <w:p>
      <w:pPr>
        <w:pStyle w:val="59"/>
        <w:spacing w:line="420" w:lineRule="exact"/>
        <w:ind w:firstLine="440"/>
        <w:rPr>
          <w:rFonts w:hint="eastAsia" w:asciiTheme="minorEastAsia" w:hAnsiTheme="minorEastAsia" w:eastAsiaTheme="minorEastAsia" w:cstheme="minorEastAsia"/>
          <w:color w:val="auto"/>
          <w:spacing w:val="6"/>
          <w:sz w:val="22"/>
          <w:szCs w:val="22"/>
          <w:u w:val="single"/>
        </w:rPr>
      </w:pPr>
      <w:r>
        <w:rPr>
          <w:rFonts w:hint="eastAsia" w:asciiTheme="minorEastAsia" w:hAnsiTheme="minorEastAsia" w:eastAsiaTheme="minorEastAsia" w:cstheme="minorEastAsia"/>
          <w:bCs/>
          <w:color w:val="auto"/>
          <w:sz w:val="22"/>
          <w:szCs w:val="22"/>
        </w:rPr>
        <w:t>根据《</w:t>
      </w:r>
      <w:r>
        <w:rPr>
          <w:rFonts w:hint="eastAsia" w:asciiTheme="minorEastAsia" w:hAnsiTheme="minorEastAsia" w:eastAsiaTheme="minorEastAsia" w:cstheme="minorEastAsia"/>
          <w:bCs/>
          <w:color w:val="auto"/>
          <w:sz w:val="22"/>
          <w:szCs w:val="22"/>
          <w:lang w:eastAsia="zh-CN"/>
        </w:rPr>
        <w:t>金丽温高速古岸头互通绿化养护项目</w:t>
      </w:r>
      <w:r>
        <w:rPr>
          <w:rFonts w:hint="eastAsia" w:asciiTheme="minorEastAsia" w:hAnsiTheme="minorEastAsia" w:eastAsiaTheme="minorEastAsia" w:cstheme="minorEastAsia"/>
          <w:bCs/>
          <w:color w:val="auto"/>
          <w:sz w:val="22"/>
          <w:szCs w:val="22"/>
        </w:rPr>
        <w:t>》中标通知书，甲方将</w:t>
      </w:r>
      <w:r>
        <w:rPr>
          <w:rFonts w:hint="eastAsia" w:asciiTheme="minorEastAsia" w:hAnsiTheme="minorEastAsia" w:eastAsiaTheme="minorEastAsia" w:cstheme="minorEastAsia"/>
          <w:color w:val="auto"/>
          <w:spacing w:val="6"/>
          <w:sz w:val="22"/>
          <w:szCs w:val="22"/>
          <w:u w:val="single"/>
        </w:rPr>
        <w:t xml:space="preserve">        </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color w:val="auto"/>
          <w:spacing w:val="6"/>
          <w:sz w:val="22"/>
          <w:szCs w:val="22"/>
          <w:u w:val="single"/>
        </w:rPr>
        <w:t xml:space="preserve">          </w:t>
      </w:r>
      <w:r>
        <w:rPr>
          <w:rFonts w:hint="eastAsia" w:asciiTheme="minorEastAsia" w:hAnsiTheme="minorEastAsia" w:eastAsiaTheme="minorEastAsia" w:cstheme="minorEastAsia"/>
          <w:color w:val="auto"/>
          <w:spacing w:val="6"/>
          <w:sz w:val="22"/>
          <w:szCs w:val="22"/>
        </w:rPr>
        <w:t>项目</w:t>
      </w:r>
      <w:r>
        <w:rPr>
          <w:rFonts w:hint="eastAsia" w:asciiTheme="minorEastAsia" w:hAnsiTheme="minorEastAsia" w:eastAsiaTheme="minorEastAsia" w:cstheme="minorEastAsia"/>
          <w:bCs/>
          <w:color w:val="auto"/>
          <w:sz w:val="22"/>
          <w:szCs w:val="22"/>
        </w:rPr>
        <w:t>承包给乙方，为了明确甲、乙双方的权利和义务，履行各自的职责，高效优质地完成工作任务，按照《中华人民共和国</w:t>
      </w:r>
      <w:r>
        <w:rPr>
          <w:rFonts w:hint="eastAsia" w:asciiTheme="minorEastAsia" w:hAnsiTheme="minorEastAsia" w:eastAsiaTheme="minorEastAsia" w:cstheme="minorEastAsia"/>
          <w:bCs/>
          <w:color w:val="auto"/>
          <w:sz w:val="22"/>
          <w:szCs w:val="22"/>
          <w:lang w:eastAsia="zh-CN"/>
        </w:rPr>
        <w:t>民法典</w:t>
      </w:r>
      <w:r>
        <w:rPr>
          <w:rFonts w:hint="eastAsia" w:asciiTheme="minorEastAsia" w:hAnsiTheme="minorEastAsia" w:eastAsiaTheme="minorEastAsia" w:cstheme="minorEastAsia"/>
          <w:bCs/>
          <w:color w:val="auto"/>
          <w:sz w:val="22"/>
          <w:szCs w:val="22"/>
        </w:rPr>
        <w:t>》的有关规定，经甲乙双方在平等、自愿的基础上共同协商一致，现签订承包合同。</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第一条  项目名称</w:t>
      </w:r>
    </w:p>
    <w:p>
      <w:pPr>
        <w:pStyle w:val="17"/>
        <w:snapToGrid w:val="0"/>
        <w:spacing w:line="400" w:lineRule="exact"/>
        <w:ind w:left="438" w:leftChars="104" w:hanging="220" w:hanging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u w:val="single"/>
        </w:rPr>
        <w:t xml:space="preserve">                  </w:t>
      </w:r>
      <w:r>
        <w:rPr>
          <w:rFonts w:hint="eastAsia" w:asciiTheme="minorEastAsia" w:hAnsiTheme="minorEastAsia" w:eastAsiaTheme="minorEastAsia" w:cstheme="minorEastAsia"/>
          <w:bCs/>
          <w:color w:val="auto"/>
          <w:sz w:val="22"/>
          <w:szCs w:val="22"/>
        </w:rPr>
        <w:t xml:space="preserve"> 承包合同。乙方项目负责人 </w:t>
      </w:r>
      <w:r>
        <w:rPr>
          <w:rFonts w:hint="eastAsia" w:asciiTheme="minorEastAsia" w:hAnsiTheme="minorEastAsia" w:eastAsiaTheme="minorEastAsia" w:cstheme="minorEastAsia"/>
          <w:bCs/>
          <w:color w:val="auto"/>
          <w:sz w:val="22"/>
          <w:szCs w:val="22"/>
          <w:u w:val="single"/>
        </w:rPr>
        <w:t xml:space="preserve">        </w:t>
      </w:r>
      <w:r>
        <w:rPr>
          <w:rFonts w:hint="eastAsia" w:asciiTheme="minorEastAsia" w:hAnsiTheme="minorEastAsia" w:eastAsiaTheme="minorEastAsia" w:cstheme="minorEastAsia"/>
          <w:bCs/>
          <w:color w:val="auto"/>
          <w:sz w:val="22"/>
          <w:szCs w:val="22"/>
        </w:rPr>
        <w:t xml:space="preserve">，联系电话 </w:t>
      </w:r>
      <w:r>
        <w:rPr>
          <w:rFonts w:hint="eastAsia" w:asciiTheme="minorEastAsia" w:hAnsiTheme="minorEastAsia" w:eastAsiaTheme="minorEastAsia" w:cstheme="minorEastAsia"/>
          <w:bCs/>
          <w:color w:val="auto"/>
          <w:sz w:val="22"/>
          <w:szCs w:val="22"/>
          <w:u w:val="single"/>
        </w:rPr>
        <w:t xml:space="preserve">         </w:t>
      </w:r>
      <w:r>
        <w:rPr>
          <w:rFonts w:hint="eastAsia" w:asciiTheme="minorEastAsia" w:hAnsiTheme="minorEastAsia" w:eastAsiaTheme="minorEastAsia" w:cstheme="minorEastAsia"/>
          <w:bCs/>
          <w:color w:val="auto"/>
          <w:sz w:val="22"/>
          <w:szCs w:val="22"/>
        </w:rPr>
        <w:t xml:space="preserve"> 。 </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第二条  承包内容</w:t>
      </w:r>
    </w:p>
    <w:p>
      <w:pPr>
        <w:widowControl/>
        <w:spacing w:line="400" w:lineRule="exact"/>
        <w:ind w:firstLine="330" w:firstLineChars="150"/>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(一)日常养护。包括施肥、松土、浇水、修剪、绿地保洁、除草、绿化补种、绿化除尘、病虫害防治等。</w:t>
      </w:r>
    </w:p>
    <w:p>
      <w:pPr>
        <w:widowControl/>
        <w:autoSpaceDE w:val="0"/>
        <w:autoSpaceDN w:val="0"/>
        <w:adjustRightInd w:val="0"/>
        <w:spacing w:line="460" w:lineRule="atLeast"/>
        <w:ind w:firstLine="220" w:firstLineChars="100"/>
        <w:textAlignment w:val="bottom"/>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0"/>
          <w:sz w:val="22"/>
          <w:szCs w:val="22"/>
        </w:rPr>
        <w:t>(二)绿地补植。</w:t>
      </w:r>
      <w:r>
        <w:rPr>
          <w:rFonts w:hint="eastAsia" w:asciiTheme="minorEastAsia" w:hAnsiTheme="minorEastAsia" w:eastAsiaTheme="minorEastAsia" w:cstheme="minorEastAsia"/>
          <w:bCs/>
          <w:color w:val="auto"/>
          <w:sz w:val="22"/>
        </w:rPr>
        <w:t>在养护过程在对绿地存在的缺株、死株等问题，在规定时间内完成补植工作。</w:t>
      </w:r>
    </w:p>
    <w:p>
      <w:pPr>
        <w:widowControl/>
        <w:spacing w:line="400" w:lineRule="exact"/>
        <w:ind w:firstLine="330" w:firstLineChars="150"/>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(三)绿地保洁。包括清运残花落叶、保持绿地清洁；承保范围内垃圾桶内垃圾、园路每天清理不少于两次等。</w:t>
      </w:r>
    </w:p>
    <w:p>
      <w:pPr>
        <w:widowControl/>
        <w:spacing w:line="400" w:lineRule="exact"/>
        <w:ind w:firstLine="330" w:firstLineChars="150"/>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(四)设施维修保养。包括绿地内的侧石</w:t>
      </w:r>
      <w:r>
        <w:rPr>
          <w:rFonts w:hint="eastAsia" w:asciiTheme="minorEastAsia" w:hAnsiTheme="minorEastAsia" w:eastAsiaTheme="minorEastAsia" w:cstheme="minorEastAsia"/>
          <w:bCs/>
          <w:color w:val="auto"/>
          <w:kern w:val="0"/>
          <w:sz w:val="22"/>
          <w:szCs w:val="22"/>
        </w:rPr>
        <w:t>、游步道、</w:t>
      </w:r>
      <w:r>
        <w:rPr>
          <w:rFonts w:hint="eastAsia" w:asciiTheme="minorEastAsia" w:hAnsiTheme="minorEastAsia" w:eastAsiaTheme="minorEastAsia" w:cstheme="minorEastAsia"/>
          <w:bCs/>
          <w:color w:val="auto"/>
          <w:kern w:val="0"/>
          <w:sz w:val="22"/>
          <w:szCs w:val="22"/>
        </w:rPr>
        <w:t>绿道、硬质铺装、垃圾桶、护栏、花箱、景观灯、</w:t>
      </w:r>
      <w:r>
        <w:rPr>
          <w:rFonts w:hint="eastAsia" w:asciiTheme="minorEastAsia" w:hAnsiTheme="minorEastAsia" w:eastAsiaTheme="minorEastAsia" w:cstheme="minorEastAsia"/>
          <w:bCs/>
          <w:color w:val="auto"/>
          <w:kern w:val="0"/>
          <w:sz w:val="22"/>
          <w:szCs w:val="22"/>
        </w:rPr>
        <w:t>喷灌系统等所</w:t>
      </w:r>
      <w:r>
        <w:rPr>
          <w:rFonts w:hint="eastAsia" w:asciiTheme="minorEastAsia" w:hAnsiTheme="minorEastAsia" w:eastAsiaTheme="minorEastAsia" w:cstheme="minorEastAsia"/>
          <w:bCs/>
          <w:color w:val="auto"/>
          <w:kern w:val="0"/>
          <w:sz w:val="22"/>
          <w:szCs w:val="22"/>
        </w:rPr>
        <w:t>有设施的日常保养和保洁。设施保洁每周不少于一次。</w:t>
      </w:r>
    </w:p>
    <w:p>
      <w:pPr>
        <w:widowControl/>
        <w:spacing w:line="400" w:lineRule="exact"/>
        <w:ind w:firstLine="330" w:firstLineChars="150"/>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(五)日常巡查。到岗当天对绿地至少巡查一次，确保绿地完好不缺失、没有黄土裸露、没有垃圾。</w:t>
      </w:r>
    </w:p>
    <w:p>
      <w:pPr>
        <w:widowControl/>
        <w:spacing w:line="400" w:lineRule="exact"/>
        <w:ind w:firstLine="330" w:firstLineChars="150"/>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(六)应急处置。包括绿地内积水处理、防台抗雪、防洪抗涝、节庆和重大活动等应急任务，以及应急物资储备等工作。</w:t>
      </w:r>
    </w:p>
    <w:p>
      <w:pPr>
        <w:widowControl/>
        <w:spacing w:line="400" w:lineRule="exact"/>
        <w:ind w:firstLine="330" w:firstLineChars="150"/>
        <w:jc w:val="left"/>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(七)及时完成数字件、投诉件、交办件等案件的处置和回复。</w:t>
      </w:r>
    </w:p>
    <w:p>
      <w:pPr>
        <w:pStyle w:val="17"/>
        <w:snapToGrid w:val="0"/>
        <w:spacing w:line="400" w:lineRule="exact"/>
        <w:rPr>
          <w:rFonts w:hint="eastAsia" w:asciiTheme="minorEastAsia" w:hAnsiTheme="minorEastAsia" w:eastAsiaTheme="minorEastAsia" w:cstheme="minorEastAsia"/>
          <w:bCs/>
          <w:color w:val="auto"/>
          <w:sz w:val="22"/>
          <w:szCs w:val="22"/>
        </w:rPr>
      </w:pPr>
      <w:bookmarkStart w:id="40" w:name="_Toc452652220"/>
      <w:r>
        <w:rPr>
          <w:rFonts w:hint="eastAsia" w:asciiTheme="minorEastAsia" w:hAnsiTheme="minorEastAsia" w:eastAsiaTheme="minorEastAsia" w:cstheme="minorEastAsia"/>
          <w:bCs/>
          <w:color w:val="auto"/>
          <w:sz w:val="22"/>
          <w:szCs w:val="22"/>
        </w:rPr>
        <w:t>第三条  承包期限</w:t>
      </w:r>
    </w:p>
    <w:p>
      <w:pPr>
        <w:pStyle w:val="17"/>
        <w:snapToGrid w:val="0"/>
        <w:spacing w:line="40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Cs/>
          <w:color w:val="auto"/>
          <w:sz w:val="22"/>
          <w:szCs w:val="22"/>
        </w:rPr>
        <w:t>服务</w:t>
      </w:r>
      <w:r>
        <w:rPr>
          <w:rFonts w:hint="eastAsia" w:asciiTheme="minorEastAsia" w:hAnsiTheme="minorEastAsia" w:eastAsiaTheme="minorEastAsia" w:cstheme="minorEastAsia"/>
          <w:bCs/>
          <w:color w:val="auto"/>
          <w:sz w:val="22"/>
          <w:szCs w:val="22"/>
        </w:rPr>
        <w:t>期限：2年服务期，</w:t>
      </w:r>
      <w:r>
        <w:rPr>
          <w:rFonts w:hint="eastAsia" w:asciiTheme="minorEastAsia" w:hAnsiTheme="minorEastAsia" w:eastAsiaTheme="minorEastAsia" w:cstheme="minorEastAsia"/>
          <w:color w:val="auto"/>
          <w:sz w:val="24"/>
          <w:szCs w:val="24"/>
        </w:rPr>
        <w:t>合同一年一签，</w:t>
      </w:r>
      <w:r>
        <w:rPr>
          <w:rFonts w:hint="eastAsia" w:asciiTheme="minorEastAsia" w:hAnsiTheme="minorEastAsia" w:eastAsiaTheme="minorEastAsia" w:cstheme="minorEastAsia"/>
          <w:color w:val="auto"/>
          <w:sz w:val="22"/>
          <w:szCs w:val="22"/>
        </w:rPr>
        <w:t>202</w:t>
      </w:r>
      <w:r>
        <w:rPr>
          <w:rFonts w:hint="eastAsia" w:asciiTheme="minorEastAsia" w:hAnsiTheme="minorEastAsia" w:eastAsia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22"/>
          <w:szCs w:val="22"/>
        </w:rPr>
        <w:t>年  月  日至202</w:t>
      </w:r>
      <w:r>
        <w:rPr>
          <w:rFonts w:hint="eastAsia" w:asciiTheme="minorEastAsia" w:hAnsiTheme="minorEastAsia" w:eastAsia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22"/>
          <w:szCs w:val="22"/>
        </w:rPr>
        <w:t>年  月   日止。</w:t>
      </w:r>
    </w:p>
    <w:p>
      <w:pPr>
        <w:pStyle w:val="17"/>
        <w:snapToGrid w:val="0"/>
        <w:spacing w:line="40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如</w:t>
      </w:r>
      <w:r>
        <w:rPr>
          <w:rFonts w:hint="eastAsia" w:asciiTheme="minorEastAsia" w:hAnsiTheme="minorEastAsia" w:eastAsiaTheme="minorEastAsia" w:cstheme="minorEastAsia"/>
          <w:color w:val="auto"/>
          <w:sz w:val="22"/>
          <w:szCs w:val="22"/>
          <w:lang w:eastAsia="zh-CN"/>
        </w:rPr>
        <w:t>甲方</w:t>
      </w:r>
      <w:r>
        <w:rPr>
          <w:rFonts w:hint="eastAsia" w:asciiTheme="minorEastAsia" w:hAnsiTheme="minorEastAsia" w:eastAsiaTheme="minorEastAsia" w:cstheme="minorEastAsia"/>
          <w:color w:val="auto"/>
          <w:sz w:val="22"/>
          <w:szCs w:val="22"/>
        </w:rPr>
        <w:t>对</w:t>
      </w:r>
      <w:r>
        <w:rPr>
          <w:rFonts w:hint="eastAsia" w:asciiTheme="minorEastAsia" w:hAnsiTheme="minorEastAsia" w:eastAsiaTheme="minorEastAsia" w:cstheme="minorEastAsia"/>
          <w:color w:val="auto"/>
          <w:sz w:val="22"/>
          <w:szCs w:val="22"/>
          <w:lang w:eastAsia="zh-CN"/>
        </w:rPr>
        <w:t>乙方</w:t>
      </w:r>
      <w:r>
        <w:rPr>
          <w:rFonts w:hint="eastAsia" w:asciiTheme="minorEastAsia" w:hAnsiTheme="minorEastAsia" w:eastAsiaTheme="minorEastAsia" w:cstheme="minorEastAsia"/>
          <w:color w:val="auto"/>
          <w:sz w:val="22"/>
          <w:szCs w:val="22"/>
        </w:rPr>
        <w:t>前一年（前三期）的养护服务管理服务质量满意，且前一年（前三期）的平均考核分为90分以上时，</w:t>
      </w:r>
      <w:r>
        <w:rPr>
          <w:rFonts w:hint="eastAsia" w:asciiTheme="minorEastAsia" w:hAnsiTheme="minorEastAsia" w:eastAsiaTheme="minorEastAsia" w:cstheme="minorEastAsia"/>
          <w:color w:val="auto"/>
          <w:sz w:val="22"/>
          <w:szCs w:val="22"/>
          <w:lang w:eastAsia="zh-CN"/>
        </w:rPr>
        <w:t>并报当地财政部门备案后重新签订一年合同</w:t>
      </w:r>
      <w:r>
        <w:rPr>
          <w:rFonts w:hint="eastAsia" w:asciiTheme="minorEastAsia" w:hAnsiTheme="minorEastAsia" w:eastAsiaTheme="minorEastAsia" w:cstheme="minorEastAsia"/>
          <w:color w:val="auto"/>
          <w:sz w:val="22"/>
          <w:szCs w:val="22"/>
        </w:rPr>
        <w:t>。</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第四条  承包经费</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（一）承包经费：</w:t>
      </w:r>
      <w:r>
        <w:rPr>
          <w:rFonts w:hint="eastAsia" w:asciiTheme="minorEastAsia" w:hAnsiTheme="minorEastAsia" w:eastAsiaTheme="minorEastAsia" w:cstheme="minorEastAsia"/>
          <w:bCs/>
          <w:color w:val="auto"/>
          <w:sz w:val="22"/>
          <w:szCs w:val="22"/>
          <w:u w:val="single"/>
        </w:rPr>
        <w:t xml:space="preserve">             </w:t>
      </w:r>
      <w:r>
        <w:rPr>
          <w:rFonts w:hint="eastAsia" w:asciiTheme="minorEastAsia" w:hAnsiTheme="minorEastAsia" w:eastAsiaTheme="minorEastAsia" w:cstheme="minorEastAsia"/>
          <w:bCs/>
          <w:color w:val="auto"/>
          <w:sz w:val="22"/>
          <w:szCs w:val="22"/>
        </w:rPr>
        <w:t>元（人民币大写：</w:t>
      </w:r>
      <w:r>
        <w:rPr>
          <w:rFonts w:hint="eastAsia" w:asciiTheme="minorEastAsia" w:hAnsiTheme="minorEastAsia" w:eastAsiaTheme="minorEastAsia" w:cstheme="minorEastAsia"/>
          <w:bCs/>
          <w:color w:val="auto"/>
          <w:sz w:val="22"/>
          <w:szCs w:val="22"/>
          <w:u w:val="single"/>
        </w:rPr>
        <w:t xml:space="preserve">              </w:t>
      </w:r>
      <w:r>
        <w:rPr>
          <w:rFonts w:hint="eastAsia" w:asciiTheme="minorEastAsia" w:hAnsiTheme="minorEastAsia" w:eastAsiaTheme="minorEastAsia" w:cstheme="minorEastAsia"/>
          <w:bCs/>
          <w:color w:val="auto"/>
          <w:sz w:val="22"/>
          <w:szCs w:val="22"/>
        </w:rPr>
        <w:t>元整）。</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（二）承包经费组成：</w:t>
      </w:r>
    </w:p>
    <w:p>
      <w:pPr>
        <w:pStyle w:val="17"/>
        <w:snapToGrid w:val="0"/>
        <w:spacing w:line="400" w:lineRule="exact"/>
        <w:ind w:firstLine="330" w:firstLineChars="15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 xml:space="preserve">1.本次实行年度固定总价承包，工程承包总价必须包括投标人在承包区域内提供绿化养护及设施、补植等相关服务所需的一切劳务、材料、设备、配件、备件、损耗、仓储、运输（包括垃圾分类、外运及消纳）、维护、税费、保险、利润及招标代理费完成合同所需的一切本身和不可或缺的所有工作开支、政策性文件规定及合同包含的所有风险、责任等各项全部费用并承担一切风险责任。除发生下列因素可调整合同价外，不得以任何其他理由调整任何费用：    </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1）招标承包范围内绿地的面积及数量根据采购单位提供的为准，今后对于投标时提供的养护范围内面积、数量增加的，乙方考虑相应风险，今后价格不予调整；今后对于投标时提供的养护范围内面积、数量有明显减少的，以该范围原建设单位或绿地归属单位核对确认后的数量进行相应调整。该部分工程量按实际测量为准，今后按中标单价结算。</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2）彩化：本次彩化以草花为主，具体的草花品种规格等由采购人根据季节及节假日的需求签发任务单，承包人须根据任务单完成，草花（一年六换，64株/平方米）的工程量今后结算时按实调整，按相应中标单价执行。草坪草籽混播费用在混播完成45天后，对草坪生长情况进行考核并给时予以一次性支付相应费用。</w:t>
      </w:r>
    </w:p>
    <w:p>
      <w:pPr>
        <w:pStyle w:val="17"/>
        <w:snapToGrid w:val="0"/>
        <w:spacing w:line="440" w:lineRule="atLeast"/>
        <w:ind w:firstLine="442" w:firstLineChars="200"/>
        <w:rPr>
          <w:rFonts w:hint="eastAsia" w:asciiTheme="minorEastAsia" w:hAnsiTheme="minorEastAsia" w:eastAsiaTheme="minorEastAsia" w:cstheme="minorEastAsia"/>
          <w:b/>
          <w:bCs/>
          <w:color w:val="auto"/>
          <w:sz w:val="22"/>
          <w:szCs w:val="22"/>
          <w:u w:val="single"/>
        </w:rPr>
      </w:pPr>
      <w:r>
        <w:rPr>
          <w:rFonts w:hint="eastAsia" w:asciiTheme="minorEastAsia" w:hAnsiTheme="minorEastAsia" w:eastAsiaTheme="minorEastAsia" w:cstheme="minorEastAsia"/>
          <w:b/>
          <w:bCs/>
          <w:color w:val="auto"/>
          <w:sz w:val="22"/>
          <w:szCs w:val="22"/>
          <w:u w:val="single"/>
        </w:rPr>
        <w:t>（3）若维养期间，有因改造提升产生的养护范围变更，则根据实际情况将提升面积做相应扣除，单价按相应中标单价执行调整。</w:t>
      </w:r>
    </w:p>
    <w:p>
      <w:pPr>
        <w:pStyle w:val="17"/>
        <w:snapToGrid w:val="0"/>
        <w:spacing w:line="440" w:lineRule="atLeast"/>
        <w:ind w:firstLine="442"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
          <w:bCs/>
          <w:color w:val="auto"/>
          <w:sz w:val="22"/>
          <w:szCs w:val="22"/>
          <w:u w:val="single"/>
        </w:rPr>
        <w:t>（4）若维养期间，有新建绿化项目处以绿化施工养护期的，若原建设单位及施工单位同意将该部分养护以就近原则委托中标单位进行管养的，其单价按相应中标单价执行，该费用由原建设单位按规定支付给中标单位，中标单位须无条件接收。该部分的考核等与招标范围内一致，由采购人进行考核。</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2.如因台风、自然灾害等不可抗力因素导致的</w:t>
      </w:r>
      <w:r>
        <w:rPr>
          <w:rFonts w:hint="eastAsia" w:asciiTheme="minorEastAsia" w:hAnsiTheme="minorEastAsia" w:eastAsiaTheme="minorEastAsia" w:cstheme="minorEastAsia"/>
          <w:bCs/>
          <w:color w:val="auto"/>
          <w:sz w:val="22"/>
          <w:szCs w:val="22"/>
          <w:lang w:eastAsia="zh-CN"/>
        </w:rPr>
        <w:t>草花</w:t>
      </w:r>
      <w:r>
        <w:rPr>
          <w:rFonts w:hint="eastAsia" w:asciiTheme="minorEastAsia" w:hAnsiTheme="minorEastAsia" w:eastAsiaTheme="minorEastAsia" w:cstheme="minorEastAsia"/>
          <w:bCs/>
          <w:color w:val="auto"/>
          <w:sz w:val="22"/>
          <w:szCs w:val="22"/>
        </w:rPr>
        <w:t>损坏,需补植，则补植内容今后按实际工程量按相应计价方式进行结算。但属于承包人可以预见、预防，而承包人预防不力所造成的损失，不予赔偿，其经济损失由承包人承担。</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3.采购人在授予合同时有权对招标货物的数量和服务在一定幅度范围内予以增加或减少,但不得对中标单价和其他的条款和条件作任何改变，由此产生的风险由投标人自行考虑并承担</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（三）承包经费按项目进度、检查验收结果和资金到账情况分次核拨，由乙方按甲方业务要求支配使用。</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（四）承包经费最终结算价依据中标通知书、招投标文件、验收考核等要求计算。</w:t>
      </w:r>
    </w:p>
    <w:p>
      <w:pPr>
        <w:widowControl/>
        <w:autoSpaceDE w:val="0"/>
        <w:autoSpaceDN w:val="0"/>
        <w:adjustRightInd w:val="0"/>
        <w:spacing w:line="400" w:lineRule="exact"/>
        <w:ind w:firstLine="440" w:firstLineChars="200"/>
        <w:textAlignment w:val="bottom"/>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sz w:val="22"/>
          <w:szCs w:val="22"/>
        </w:rPr>
        <w:t>（五）付款方式</w:t>
      </w:r>
      <w:r>
        <w:rPr>
          <w:rFonts w:hint="eastAsia" w:asciiTheme="minorEastAsia" w:hAnsiTheme="minorEastAsia" w:eastAsiaTheme="minorEastAsia" w:cstheme="minorEastAsia"/>
          <w:bCs/>
          <w:color w:val="auto"/>
          <w:kern w:val="0"/>
          <w:sz w:val="22"/>
          <w:szCs w:val="22"/>
        </w:rPr>
        <w:t>：</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1.养护费用支付：付款方式为先做后结,每三个月按照实际养护数量支付一次，单价为年度绿地日常养护费用中标单价的四分之一，除混播草籽一次性支付外，由采购单位根据三个月的考核结果支付经费。</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2.每季度采购单位按本</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中考核办法及考核评分细则作出的考核结果，所产生的违约金额直接在每次日常养护费用中扣除。</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3.承包到期后根据考核结果将余款一次付清。</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4.上述养护计费结算，中标单位需要根据三个月考核结果，出具对应</w:t>
      </w:r>
      <w:r>
        <w:rPr>
          <w:rFonts w:hint="eastAsia" w:asciiTheme="minorEastAsia" w:hAnsiTheme="minorEastAsia" w:eastAsiaTheme="minorEastAsia" w:cstheme="minorEastAsia"/>
          <w:bCs/>
          <w:color w:val="auto"/>
          <w:sz w:val="22"/>
          <w:szCs w:val="22"/>
          <w:lang w:eastAsia="zh-CN"/>
        </w:rPr>
        <w:t>金额的</w:t>
      </w:r>
      <w:r>
        <w:rPr>
          <w:rFonts w:hint="eastAsia" w:asciiTheme="minorEastAsia" w:hAnsiTheme="minorEastAsia" w:eastAsiaTheme="minorEastAsia" w:cstheme="minorEastAsia"/>
          <w:bCs/>
          <w:color w:val="auto"/>
          <w:sz w:val="22"/>
          <w:szCs w:val="22"/>
        </w:rPr>
        <w:t>有效发票。</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第五条  工作要求和质量标准</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各项具体工作的质量标准和作业规范结合甲方具体要求，按《</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》中所规定的执行。</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第六条  检查考评办法</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具体的检查验收方法、内容、程序等按甲方具体要求及《</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》执行。</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第七条  履约保证金</w:t>
      </w:r>
    </w:p>
    <w:p>
      <w:pPr>
        <w:pStyle w:val="2"/>
        <w:spacing w:line="400" w:lineRule="exact"/>
        <w:ind w:firstLine="440" w:firstLineChars="200"/>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中标供应商在收到中标通知书后5个工作日内，需向甲方提供合同总价2％的履约保证金</w:t>
      </w:r>
      <w:r>
        <w:rPr>
          <w:rFonts w:hint="eastAsia" w:asciiTheme="minorEastAsia" w:hAnsiTheme="minorEastAsia" w:eastAsiaTheme="minorEastAsia" w:cstheme="minorEastAsia"/>
          <w:color w:val="auto"/>
          <w:kern w:val="0"/>
          <w:sz w:val="22"/>
          <w:szCs w:val="22"/>
        </w:rPr>
        <w:t>或银行保函</w:t>
      </w:r>
      <w:r>
        <w:rPr>
          <w:rFonts w:hint="eastAsia" w:asciiTheme="minorEastAsia" w:hAnsiTheme="minorEastAsia" w:eastAsiaTheme="minorEastAsia" w:cstheme="minorEastAsia"/>
          <w:bCs/>
          <w:color w:val="auto"/>
          <w:kern w:val="0"/>
          <w:sz w:val="22"/>
          <w:szCs w:val="22"/>
        </w:rPr>
        <w:t>。履约保证金在中标供应商与采购人签订经济合同前递交。</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第八条  考评办法</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（一）乙方应严格按照甲方具体要求及《</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》的规定，对承包面积范围内绿地进行管养和设施的维护。同时，还要接受甲方按</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考核办法及考核评分细则的规定进行质量检查考评。</w:t>
      </w:r>
    </w:p>
    <w:p>
      <w:pPr>
        <w:pStyle w:val="17"/>
        <w:snapToGrid w:val="0"/>
        <w:spacing w:line="400" w:lineRule="exact"/>
        <w:ind w:firstLine="220" w:firstLineChars="100"/>
        <w:rPr>
          <w:rStyle w:val="38"/>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bCs/>
          <w:color w:val="auto"/>
          <w:sz w:val="22"/>
          <w:szCs w:val="22"/>
        </w:rPr>
        <w:t>（二）考核及处罚标准</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按</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执行（具体签订合同时将</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中的内容详细填入）。</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第九条  权利和义务</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（一）甲方权利与义务</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1.甲方对乙方的绿化管养业务进行全面的技术指导、检查、管理和监督，对检查中发现的质量问题及时向乙方提出书面或口头改进意见。</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2.甲方对乙方违反考核办法中规定的行为进行处罚。</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3.甲方监督检查乙方落实各类养护计划、人员安排、预案和安全生产措施（包括防汛、防冻、抗旱、防火），发现乙方上报的养护计划、人员安排等明显不符合养护要求的，责令乙方按规定修改。</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4.甲方监督检查乙方对员工进行培训的情况，以提高绿化养护服务的技术水平。</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5.甲方应按绿化养护质量和检查验收结果计算每一期服务费，扣除乙方因检查不合格相应扣款后，将服务费按季（期）支付给乙方。</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6.甲方可要求乙方调整不合格员工。</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7.甲方应按时支付款项。本合同的经费由政府拨款，如因政策影响，拨款未能及时到位，乙方不得以此为由而不履行本合同规定的义务，否则甲方按规定扣罚。</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（二）乙方权利、职责与义务</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1.养护费用。按照本合同确定的养护范围，根据考核情况取得相应的养护经费。</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养护配备。按项目需求配备项目负责人、技术负责人、各类专业技术人员、技工和其他人员等，并保持相对稳定，如果需要更换项目负责人，应事先报请甲方同意；甲方有权要求乙方撤换不能胜任工作或玩忽职守、不负责的工作人员；养护期间应保证与养护设施相匹配的机具设备，不得另做他用。</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3.养护计划。编制年度、月度养护计划，经甲方审定后安排日常养护工作，在每月月底前报送当月完成的工作量和下月的计划；并按甲方要求修改不符合的养护计划及人员安排等。</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4.绿化养护。根据绿地等级标准精心组织绿化养护，及时安排绿化洒水、修剪、施肥、除虫、除草等工作，实现精细化养护目标</w:t>
      </w:r>
      <w:r>
        <w:rPr>
          <w:rFonts w:hint="eastAsia" w:asciiTheme="minorEastAsia" w:hAnsiTheme="minorEastAsia" w:eastAsiaTheme="minorEastAsia" w:cstheme="minorEastAsia"/>
          <w:bCs/>
          <w:color w:val="auto"/>
          <w:sz w:val="22"/>
          <w:szCs w:val="22"/>
        </w:rPr>
        <w:t>，争创区级、市级绿化养护荣誉。</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5.一次性整改补植。根据绿地的实际情况进行补植，且所补植苗木与周边苗木品种规格相一致，并建立相应的台账（包括补植前后的照片）。</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6.彩化布置。根据甲方的任务书及草花的种植情况进行布置，其布置的方案需经甲方同意，并做好后期的管养工作。</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7.绿地保洁。对绿地范围进行日常保洁，垃圾桶每日进行清理，场地内的清扫每日不少于两次。</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8.日常巡查。建立巡查队伍，配备巡查车、照相机等仪器设备（必要时采用无人机），对养护范围内的绿地进行巡查，发现垃圾及时进行清理。发现严重偷倒垃圾行为或损坏绿化行为及时报告甲方和执法部门，并及时进行处置。在重大活动期间和节假日应加大巡查频率，必要时采取监护措施。</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9.应急抢险及服务保障。建立应急抢险及服务保障机制，成立应急抢险及服务保障领导小组和队伍。认真做好抗雪防冻、防汛抗台及突发事件的应急处置工作，确保人员、设备、材料“三落实”，做好数据、图片和台帐的记录和存档工作，及时反映情况，严格服从甲方的统一指挥和安排。配合做好大型公共活动的服务及安全保障工作。</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10.绿化保护。乙方有责任发现并及时制止合同范围内绿化遭损坏或侵害，做好报告、调查、修复等工作，并通知甲方和相关执法部门。</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11.投诉处理。及时完成数字件、投诉件、交办件等案件的处置及回复，保证办结率和回复率达到100%。</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12.档案资料。建立养护档案，健全日常养护、巡查等作业的文字和影像记录，做好台帐的整理和归档工作，建立养护活动的“追溯机制”，以备检查。每年底对日常养护、特殊情况、突发事件、服务保障、更新改造、应急抢险等工作进行总结，形成年度养护报告并存档。</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13.在实施和完成本合同的养护作业过程中，遵守国家、省、市颁布的法律、法令、条例以及有关规定，遵守有关部门的规章细则等，养护操作中涉及的有关审批及协调手续由乙方办理，由于乙方违反上述有关规定而导致各种罚款和责任，由乙方自行负责。</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14.其他。配合甲方做好养护过程中涉及审批、移交等相关工作；配合甲方做好新接养绿地的验前检查等提前介入工作。</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15.乙方根据本合同所承担的服务内容及养护计划安排人员，乙方应为上岗工人购买统一的工作服及反光背心，并负责安排骨干参加业务技术的培训学习，负责提供本项目所需的全部工具、设备和材料。还应安排好管养人员（属下人员）的住宿和教育管理工作，如发生违纪事件，由乙方承担一切经济责任和法律责任。</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第十条  合同组成</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承包合同组成：《</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》、《投标文件》、《中标通知书》及询标纪要和承诺书为本合同的有效组成部分。</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第十一条  违约责任</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（一）乙方违反甲方具体要求及《</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规定的行为均属违约行为，除按规定进行处罚外，甲方可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（二）乙方因机械、工具或技术、劳动等跟不上管理需要影响工作，未达到质量标准，甲方有权单方终止本合同，并没收履约保证金。</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(三)乙方在养护期间，若未及时在规定的时间内完成甲方提出的应急任务的，每发生一次甲方从乙方每季度进度款中扣除3000元/次。</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第十二条  验收移交</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（一）在合同终止前十个工作日内，由乙方书面向甲方提出移交验收申请。</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（二）合同期满，乙方必须将全部绿化管养业务及时移交甲方。未经甲方许可，合同期满，乙方不及时移交管理工程给甲方，每超过一天扣除履约保证金的5%。</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第十三条  争议的解决</w:t>
      </w:r>
    </w:p>
    <w:p>
      <w:pPr>
        <w:pStyle w:val="17"/>
        <w:snapToGrid w:val="0"/>
        <w:spacing w:line="400" w:lineRule="exact"/>
        <w:ind w:firstLine="440" w:firstLineChars="2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合同未尽事宜，应双方友好协调解决。协商不一致，任何一方均可提起仲裁或诉讼，仲裁或诉讼按合同履行地原则。</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第十四条  合同生效及终止</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（一）本合同在采购人收到中标供应商提交的履约保证金后，且经双方法定代表人或授权代表签署，采购人与中标供应商加盖印章后生效。</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（二）合同终止：本合同出现以下情况时终止。</w:t>
      </w:r>
    </w:p>
    <w:p>
      <w:pPr>
        <w:pStyle w:val="17"/>
        <w:snapToGrid w:val="0"/>
        <w:spacing w:line="400" w:lineRule="exact"/>
        <w:ind w:firstLine="701" w:firstLineChars="31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1.期限届满时自行终止。</w:t>
      </w:r>
    </w:p>
    <w:p>
      <w:pPr>
        <w:pStyle w:val="17"/>
        <w:snapToGrid w:val="0"/>
        <w:spacing w:line="400" w:lineRule="exact"/>
        <w:ind w:firstLine="701" w:firstLineChars="31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2.根据</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考核办法及考核评分细则进行检查考评，不符合相关规定需终止合同的。</w:t>
      </w:r>
    </w:p>
    <w:p>
      <w:pPr>
        <w:pStyle w:val="17"/>
        <w:snapToGrid w:val="0"/>
        <w:spacing w:line="400" w:lineRule="exact"/>
        <w:ind w:firstLine="701" w:firstLineChars="31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3.有以下行为之一的：</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（1）违反管理规定，造成重大伤亡或重大损失。</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（2）因管理不善造成恶劣影响。</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（3）擅自将合同转包给第三者。</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（4）违反劳动法或其他相关法律法规，造成恶劣影响。</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（5）弄虚作假及其他不正当行为。</w:t>
      </w:r>
    </w:p>
    <w:p>
      <w:pPr>
        <w:pStyle w:val="17"/>
        <w:snapToGrid w:val="0"/>
        <w:spacing w:line="400" w:lineRule="exact"/>
        <w:ind w:firstLine="701" w:firstLineChars="31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4.法律规定的终止事由。</w:t>
      </w:r>
    </w:p>
    <w:p>
      <w:pPr>
        <w:pStyle w:val="17"/>
        <w:snapToGrid w:val="0"/>
        <w:spacing w:line="400" w:lineRule="exact"/>
        <w:ind w:firstLine="220" w:firstLineChars="1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（三）本合同一式肆份，双方各贰份</w:t>
      </w:r>
      <w:r>
        <w:rPr>
          <w:rFonts w:hint="eastAsia" w:asciiTheme="minorEastAsia" w:hAnsiTheme="minorEastAsia" w:eastAsiaTheme="minorEastAsia" w:cstheme="minorEastAsia"/>
          <w:bCs/>
          <w:color w:val="auto"/>
          <w:sz w:val="22"/>
          <w:szCs w:val="22"/>
          <w:lang w:eastAsia="zh-CN"/>
        </w:rPr>
        <w:t>，</w:t>
      </w:r>
      <w:r>
        <w:rPr>
          <w:rFonts w:hint="eastAsia" w:hAnsi="宋体" w:eastAsia="宋体"/>
          <w:b w:val="0"/>
          <w:color w:val="auto"/>
          <w:sz w:val="22"/>
          <w:szCs w:val="22"/>
        </w:rPr>
        <w:t>经甲、乙双方签字并加盖单位公章后生效</w:t>
      </w:r>
      <w:r>
        <w:rPr>
          <w:rFonts w:hint="eastAsia" w:asciiTheme="minorEastAsia" w:hAnsiTheme="minorEastAsia" w:eastAsiaTheme="minorEastAsia" w:cstheme="minorEastAsia"/>
          <w:bCs/>
          <w:color w:val="auto"/>
          <w:sz w:val="22"/>
          <w:szCs w:val="22"/>
        </w:rPr>
        <w:t>。</w:t>
      </w:r>
    </w:p>
    <w:p>
      <w:pPr>
        <w:pStyle w:val="17"/>
        <w:snapToGrid w:val="0"/>
        <w:spacing w:line="4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第十</w:t>
      </w:r>
      <w:r>
        <w:rPr>
          <w:rFonts w:hint="eastAsia" w:asciiTheme="minorEastAsia" w:hAnsiTheme="minorEastAsia" w:eastAsiaTheme="minorEastAsia" w:cstheme="minorEastAsia"/>
          <w:bCs/>
          <w:color w:val="auto"/>
          <w:sz w:val="21"/>
          <w:szCs w:val="21"/>
          <w:lang w:eastAsia="zh-CN"/>
        </w:rPr>
        <w:t>五</w:t>
      </w:r>
      <w:r>
        <w:rPr>
          <w:rFonts w:hint="eastAsia" w:asciiTheme="minorEastAsia" w:hAnsiTheme="minorEastAsia" w:eastAsiaTheme="minorEastAsia" w:cstheme="minorEastAsia"/>
          <w:bCs/>
          <w:color w:val="auto"/>
          <w:sz w:val="22"/>
          <w:szCs w:val="22"/>
        </w:rPr>
        <w:t>条  合同的解释</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本合同的解释权在温州市瓯海区综合行政执法局。</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甲    方：（印章）                    乙    方：（印章）</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全权代表：（签字</w:t>
      </w:r>
      <w:r>
        <w:rPr>
          <w:rFonts w:hint="eastAsia" w:asciiTheme="minorEastAsia" w:hAnsiTheme="minorEastAsia" w:eastAsiaTheme="minorEastAsia" w:cstheme="minorEastAsia"/>
          <w:bCs/>
          <w:color w:val="auto"/>
          <w:sz w:val="22"/>
          <w:szCs w:val="22"/>
          <w:lang w:eastAsia="zh-CN"/>
        </w:rPr>
        <w:t>或盖章</w:t>
      </w:r>
      <w:r>
        <w:rPr>
          <w:rFonts w:hint="eastAsia" w:asciiTheme="minorEastAsia" w:hAnsiTheme="minorEastAsia" w:eastAsiaTheme="minorEastAsia" w:cstheme="minorEastAsia"/>
          <w:bCs/>
          <w:color w:val="auto"/>
          <w:sz w:val="22"/>
          <w:szCs w:val="22"/>
        </w:rPr>
        <w:t>）              全权代表：（签字</w:t>
      </w:r>
      <w:r>
        <w:rPr>
          <w:rFonts w:hint="eastAsia" w:asciiTheme="minorEastAsia" w:hAnsiTheme="minorEastAsia" w:eastAsiaTheme="minorEastAsia" w:cstheme="minorEastAsia"/>
          <w:bCs/>
          <w:color w:val="auto"/>
          <w:sz w:val="22"/>
          <w:szCs w:val="22"/>
          <w:lang w:eastAsia="zh-CN"/>
        </w:rPr>
        <w:t>或盖章</w:t>
      </w:r>
      <w:r>
        <w:rPr>
          <w:rFonts w:hint="eastAsia" w:asciiTheme="minorEastAsia" w:hAnsiTheme="minorEastAsia" w:eastAsiaTheme="minorEastAsia" w:cstheme="minorEastAsia"/>
          <w:bCs/>
          <w:color w:val="auto"/>
          <w:sz w:val="22"/>
          <w:szCs w:val="22"/>
        </w:rPr>
        <w:t>）</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地    址：                            地    址：</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邮政编码：                            邮政编码：</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电    话：                            电    话：</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传    真：                            传    真：</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开户银行：                            开户银行：</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帐    号：                            帐    号：</w:t>
      </w:r>
    </w:p>
    <w:p>
      <w:pPr>
        <w:pStyle w:val="17"/>
        <w:snapToGrid w:val="0"/>
        <w:spacing w:line="400" w:lineRule="exact"/>
        <w:ind w:firstLine="482"/>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时    间：                            时    间：</w:t>
      </w:r>
    </w:p>
    <w:p>
      <w:pPr>
        <w:pStyle w:val="31"/>
        <w:spacing w:line="400" w:lineRule="exact"/>
        <w:ind w:firstLine="420"/>
        <w:rPr>
          <w:rFonts w:hint="eastAsia" w:asciiTheme="minorEastAsia" w:hAnsiTheme="minorEastAsia" w:eastAsiaTheme="minorEastAsia" w:cstheme="minorEastAsia"/>
          <w:color w:val="auto"/>
          <w:sz w:val="22"/>
          <w:szCs w:val="22"/>
        </w:rPr>
      </w:pPr>
    </w:p>
    <w:bookmarkEnd w:id="35"/>
    <w:bookmarkEnd w:id="36"/>
    <w:bookmarkEnd w:id="40"/>
    <w:p>
      <w:pPr>
        <w:pStyle w:val="30"/>
        <w:spacing w:before="0" w:beforeAutospacing="0" w:after="0" w:afterAutospacing="0" w:line="480" w:lineRule="exact"/>
        <w:rPr>
          <w:rFonts w:hint="eastAsia" w:asciiTheme="minorEastAsia" w:hAnsiTheme="minorEastAsia" w:eastAsiaTheme="minorEastAsia" w:cstheme="minorEastAsia"/>
          <w:color w:val="auto"/>
          <w:sz w:val="22"/>
          <w:szCs w:val="22"/>
        </w:rPr>
        <w:sectPr>
          <w:pgSz w:w="11906" w:h="16838"/>
          <w:pgMar w:top="1440" w:right="1800" w:bottom="1440" w:left="1800" w:header="851" w:footer="992" w:gutter="0"/>
          <w:pgNumType w:fmt="decimal"/>
          <w:cols w:space="720" w:num="1"/>
          <w:docGrid w:type="lines" w:linePitch="312" w:charSpace="0"/>
        </w:sectPr>
      </w:pPr>
    </w:p>
    <w:p>
      <w:pPr>
        <w:pStyle w:val="5"/>
        <w:tabs>
          <w:tab w:val="clear" w:pos="840"/>
        </w:tabs>
        <w:adjustRightInd/>
        <w:snapToGrid/>
        <w:spacing w:before="120" w:after="120" w:line="400" w:lineRule="exact"/>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第四部分 投标文件格式</w:t>
      </w:r>
    </w:p>
    <w:p>
      <w:pPr>
        <w:pStyle w:val="6"/>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附件一   投 标 函</w:t>
      </w:r>
    </w:p>
    <w:p>
      <w:pPr>
        <w:spacing w:line="400" w:lineRule="exact"/>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投 标 函</w:t>
      </w:r>
    </w:p>
    <w:p>
      <w:pPr>
        <w:spacing w:line="420" w:lineRule="exact"/>
        <w:rPr>
          <w:rFonts w:hint="eastAsia" w:asciiTheme="minorEastAsia" w:hAnsiTheme="minorEastAsia" w:eastAsiaTheme="minorEastAsia" w:cstheme="minorEastAsia"/>
          <w:color w:val="auto"/>
          <w:sz w:val="22"/>
          <w:szCs w:val="22"/>
        </w:rPr>
      </w:pPr>
    </w:p>
    <w:p>
      <w:pPr>
        <w:spacing w:line="420" w:lineRule="exact"/>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color w:val="auto"/>
          <w:sz w:val="22"/>
          <w:szCs w:val="22"/>
        </w:rPr>
        <w:t>致：</w:t>
      </w:r>
      <w:r>
        <w:rPr>
          <w:rFonts w:hint="eastAsia" w:asciiTheme="minorEastAsia" w:hAnsiTheme="minorEastAsia" w:eastAsiaTheme="minorEastAsia" w:cstheme="minorEastAsia"/>
          <w:color w:val="auto"/>
          <w:kern w:val="0"/>
          <w:sz w:val="22"/>
          <w:szCs w:val="22"/>
        </w:rPr>
        <w:t>温州市瓯海区综合行政执法局</w:t>
      </w:r>
    </w:p>
    <w:p>
      <w:pPr>
        <w:spacing w:line="420" w:lineRule="exact"/>
        <w:ind w:firstLine="550" w:firstLine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根据贵方为</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项目（项目编号：</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 xml:space="preserve"> ）的投标邀请，我方</w:t>
      </w:r>
      <w:r>
        <w:rPr>
          <w:rFonts w:hint="eastAsia" w:asciiTheme="minorEastAsia" w:hAnsiTheme="minorEastAsia" w:eastAsiaTheme="minorEastAsia" w:cstheme="minorEastAsia"/>
          <w:color w:val="auto"/>
          <w:sz w:val="22"/>
          <w:szCs w:val="22"/>
          <w:u w:val="single"/>
        </w:rPr>
        <w:t xml:space="preserve">           　　      （投标供应商名称）     </w:t>
      </w:r>
      <w:r>
        <w:rPr>
          <w:rFonts w:hint="eastAsia" w:asciiTheme="minorEastAsia" w:hAnsiTheme="minorEastAsia" w:eastAsiaTheme="minorEastAsia" w:cstheme="minorEastAsia"/>
          <w:color w:val="auto"/>
          <w:sz w:val="22"/>
          <w:szCs w:val="22"/>
        </w:rPr>
        <w:t>作为投标供应商正式授权</w:t>
      </w:r>
      <w:r>
        <w:rPr>
          <w:rFonts w:hint="eastAsia" w:asciiTheme="minorEastAsia" w:hAnsiTheme="minorEastAsia" w:eastAsiaTheme="minorEastAsia" w:cstheme="minorEastAsia"/>
          <w:color w:val="auto"/>
          <w:sz w:val="22"/>
          <w:szCs w:val="22"/>
          <w:u w:val="single"/>
        </w:rPr>
        <w:t>　           （授权代表全名，职务）</w:t>
      </w:r>
      <w:r>
        <w:rPr>
          <w:rFonts w:hint="eastAsia" w:asciiTheme="minorEastAsia" w:hAnsiTheme="minorEastAsia" w:eastAsiaTheme="minorEastAsia" w:cstheme="minorEastAsia"/>
          <w:color w:val="auto"/>
          <w:sz w:val="22"/>
          <w:szCs w:val="22"/>
        </w:rPr>
        <w:t>代表我方处理有关本投标的一切事宜。</w:t>
      </w:r>
    </w:p>
    <w:p>
      <w:pPr>
        <w:spacing w:line="42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我方己完全明白</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的所有条款要求，并重申以下几点：</w:t>
      </w:r>
    </w:p>
    <w:p>
      <w:pPr>
        <w:spacing w:line="420" w:lineRule="exact"/>
        <w:ind w:left="1019" w:leftChars="171"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（一）本投标文件的有效期自投标截止日起 </w:t>
      </w:r>
      <w:r>
        <w:rPr>
          <w:rFonts w:hint="eastAsia" w:asciiTheme="minorEastAsia" w:hAnsiTheme="minorEastAsia" w:eastAsiaTheme="minorEastAsia" w:cstheme="minorEastAsia"/>
          <w:color w:val="auto"/>
          <w:sz w:val="22"/>
          <w:szCs w:val="22"/>
          <w:u w:val="single"/>
        </w:rPr>
        <w:t xml:space="preserve"> 90  </w:t>
      </w:r>
      <w:r>
        <w:rPr>
          <w:rFonts w:hint="eastAsia" w:asciiTheme="minorEastAsia" w:hAnsiTheme="minorEastAsia" w:eastAsiaTheme="minorEastAsia" w:cstheme="minorEastAsia"/>
          <w:color w:val="auto"/>
          <w:sz w:val="22"/>
          <w:szCs w:val="22"/>
        </w:rPr>
        <w:t>天内有效，如中标，有效期将延至合同终止日为止；</w:t>
      </w:r>
    </w:p>
    <w:p>
      <w:pPr>
        <w:spacing w:line="420" w:lineRule="exact"/>
        <w:ind w:left="1019" w:leftChars="171"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（二）我方已详细研究了</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的所有内容包括修改书（如有）和所有已提供的参考资料以及有关附件，我方完全理解并同意放弃在此方面提出含糊意见或误解的一切权力；</w:t>
      </w:r>
    </w:p>
    <w:p>
      <w:pPr>
        <w:spacing w:line="420" w:lineRule="exact"/>
        <w:ind w:left="1019" w:leftChars="171"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（三）我方明白并愿意在规定的开标时间之后，我方如在投标有效期内撤回投标，因我方原因对采购单位造成损失的，我方愿承担赔偿责任；</w:t>
      </w:r>
    </w:p>
    <w:p>
      <w:pPr>
        <w:spacing w:line="420" w:lineRule="exact"/>
        <w:ind w:left="359" w:leftChars="171"/>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（四）我方同意提供按照贵方可能要求的与投标有关的一切数据或资料；</w:t>
      </w:r>
    </w:p>
    <w:p>
      <w:pPr>
        <w:spacing w:line="420" w:lineRule="exact"/>
        <w:ind w:left="359" w:leftChars="171"/>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（五）我方理解贵方不一定接受最低报价。</w:t>
      </w:r>
    </w:p>
    <w:p>
      <w:pPr>
        <w:spacing w:line="420" w:lineRule="exact"/>
        <w:ind w:left="1019" w:leftChars="171"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（六）我方如果中标，将保证履行</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以及</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修改书（如有）中的全部责任和义务，按质、按量、按期完成《合同书》中的全部任务。</w:t>
      </w:r>
    </w:p>
    <w:p>
      <w:pPr>
        <w:spacing w:line="420" w:lineRule="exact"/>
        <w:ind w:left="31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（七）所有与本投标有关的函件请发往下列地址：</w:t>
      </w:r>
    </w:p>
    <w:p>
      <w:pPr>
        <w:spacing w:line="420" w:lineRule="exact"/>
        <w:ind w:firstLine="43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w:t>
      </w:r>
    </w:p>
    <w:p>
      <w:pPr>
        <w:spacing w:line="420" w:lineRule="exact"/>
        <w:ind w:firstLine="435"/>
        <w:rPr>
          <w:rFonts w:hint="eastAsia" w:asciiTheme="minorEastAsia" w:hAnsiTheme="minorEastAsia" w:eastAsiaTheme="minorEastAsia" w:cstheme="minorEastAsia"/>
          <w:color w:val="auto"/>
          <w:sz w:val="22"/>
          <w:szCs w:val="22"/>
        </w:rPr>
      </w:pPr>
    </w:p>
    <w:p>
      <w:pPr>
        <w:spacing w:line="420" w:lineRule="exact"/>
        <w:ind w:firstLine="435"/>
        <w:rPr>
          <w:rFonts w:hint="eastAsia" w:asciiTheme="minorEastAsia" w:hAnsiTheme="minorEastAsia" w:eastAsiaTheme="minorEastAsia" w:cstheme="minorEastAsia"/>
          <w:color w:val="auto"/>
          <w:sz w:val="22"/>
          <w:szCs w:val="22"/>
          <w:u w:val="single"/>
        </w:rPr>
      </w:pPr>
    </w:p>
    <w:p>
      <w:pPr>
        <w:spacing w:line="420" w:lineRule="exact"/>
        <w:ind w:firstLine="435"/>
        <w:rPr>
          <w:rFonts w:hint="eastAsia" w:asciiTheme="minorEastAsia" w:hAnsiTheme="minorEastAsia" w:eastAsiaTheme="minorEastAsia" w:cstheme="minorEastAsia"/>
          <w:color w:val="auto"/>
          <w:sz w:val="22"/>
          <w:szCs w:val="22"/>
        </w:rPr>
      </w:pPr>
    </w:p>
    <w:p>
      <w:pPr>
        <w:spacing w:line="420" w:lineRule="exact"/>
        <w:ind w:firstLine="4180" w:firstLineChars="19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投标供应商全称（盖章）：</w:t>
      </w:r>
      <w:r>
        <w:rPr>
          <w:rFonts w:hint="eastAsia" w:asciiTheme="minorEastAsia" w:hAnsiTheme="minorEastAsia" w:eastAsiaTheme="minorEastAsia" w:cstheme="minorEastAsia"/>
          <w:color w:val="auto"/>
          <w:sz w:val="22"/>
          <w:szCs w:val="22"/>
          <w:u w:val="single"/>
        </w:rPr>
        <w:t xml:space="preserve">             </w:t>
      </w:r>
    </w:p>
    <w:p>
      <w:pPr>
        <w:spacing w:line="420" w:lineRule="exact"/>
        <w:ind w:firstLine="4279" w:firstLineChars="194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授权代表（签字或盖章）</w:t>
      </w:r>
      <w:r>
        <w:rPr>
          <w:rFonts w:hint="eastAsia" w:asciiTheme="minorEastAsia" w:hAnsiTheme="minorEastAsia" w:eastAsiaTheme="minorEastAsia" w:cstheme="minorEastAsia"/>
          <w:color w:val="auto"/>
          <w:sz w:val="22"/>
          <w:szCs w:val="22"/>
          <w:u w:val="single"/>
        </w:rPr>
        <w:t xml:space="preserve">                  </w:t>
      </w:r>
    </w:p>
    <w:p>
      <w:pPr>
        <w:spacing w:line="460" w:lineRule="exact"/>
        <w:ind w:firstLine="435"/>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color w:val="auto"/>
          <w:sz w:val="22"/>
          <w:szCs w:val="22"/>
        </w:rPr>
        <w:t xml:space="preserve">                                   日期</w:t>
      </w:r>
      <w:r>
        <w:rPr>
          <w:rFonts w:hint="eastAsia" w:asciiTheme="minorEastAsia" w:hAnsiTheme="minorEastAsia" w:eastAsiaTheme="minorEastAsia" w:cstheme="minorEastAsia"/>
          <w:color w:val="auto"/>
          <w:sz w:val="22"/>
          <w:szCs w:val="22"/>
          <w:u w:val="single"/>
        </w:rPr>
        <w:t xml:space="preserve">                                    </w:t>
      </w:r>
    </w:p>
    <w:p>
      <w:pPr>
        <w:rPr>
          <w:rFonts w:hint="eastAsia" w:asciiTheme="minorEastAsia" w:hAnsiTheme="minorEastAsia" w:eastAsiaTheme="minorEastAsia" w:cstheme="minorEastAsia"/>
          <w:color w:val="auto"/>
          <w:szCs w:val="21"/>
        </w:rPr>
        <w:sectPr>
          <w:pgSz w:w="11906" w:h="16838"/>
          <w:pgMar w:top="1134" w:right="1134" w:bottom="1134" w:left="1134" w:header="851" w:footer="992" w:gutter="284"/>
          <w:pgNumType w:fmt="decimal"/>
          <w:cols w:space="720" w:num="1"/>
          <w:titlePg/>
          <w:docGrid w:linePitch="312" w:charSpace="0"/>
        </w:sectPr>
      </w:pPr>
    </w:p>
    <w:p>
      <w:pPr>
        <w:pStyle w:val="14"/>
        <w:ind w:firstLine="48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sz w:val="32"/>
          <w:szCs w:val="32"/>
          <w:lang w:val="zh-CN"/>
        </w:rPr>
      </w:pPr>
      <w:r>
        <w:rPr>
          <w:rFonts w:hint="eastAsia" w:asciiTheme="minorEastAsia" w:hAnsiTheme="minorEastAsia" w:eastAsiaTheme="minorEastAsia" w:cstheme="minorEastAsia"/>
          <w:b/>
          <w:color w:val="auto"/>
          <w:sz w:val="22"/>
          <w:szCs w:val="22"/>
        </w:rPr>
        <w:t>附件二</w:t>
      </w:r>
    </w:p>
    <w:p>
      <w:pPr>
        <w:autoSpaceDE w:val="0"/>
        <w:autoSpaceDN w:val="0"/>
        <w:adjustRightInd w:val="0"/>
        <w:jc w:val="center"/>
        <w:rPr>
          <w:rFonts w:hint="eastAsia" w:asciiTheme="minorEastAsia" w:hAnsiTheme="minorEastAsia" w:eastAsiaTheme="minorEastAsia" w:cstheme="minorEastAsia"/>
          <w:color w:val="auto"/>
          <w:sz w:val="32"/>
          <w:szCs w:val="32"/>
          <w:lang w:val="zh-CN"/>
        </w:rPr>
      </w:pPr>
    </w:p>
    <w:p>
      <w:pPr>
        <w:autoSpaceDE w:val="0"/>
        <w:autoSpaceDN w:val="0"/>
        <w:adjustRightInd w:val="0"/>
        <w:jc w:val="center"/>
        <w:rPr>
          <w:rFonts w:hint="eastAsia" w:asciiTheme="minorEastAsia" w:hAnsiTheme="minorEastAsia" w:eastAsiaTheme="minorEastAsia" w:cstheme="minorEastAsia"/>
          <w:color w:val="auto"/>
          <w:sz w:val="32"/>
          <w:szCs w:val="32"/>
          <w:lang w:val="zh-CN"/>
        </w:rPr>
      </w:pPr>
      <w:r>
        <w:rPr>
          <w:rFonts w:hint="eastAsia" w:asciiTheme="minorEastAsia" w:hAnsiTheme="minorEastAsia" w:eastAsiaTheme="minorEastAsia" w:cstheme="minorEastAsia"/>
          <w:color w:val="auto"/>
          <w:sz w:val="32"/>
          <w:szCs w:val="32"/>
          <w:lang w:val="zh-CN"/>
        </w:rPr>
        <w:t>开标一览表</w:t>
      </w:r>
    </w:p>
    <w:p>
      <w:pPr>
        <w:autoSpaceDE w:val="0"/>
        <w:autoSpaceDN w:val="0"/>
        <w:adjustRightInd w:val="0"/>
        <w:rPr>
          <w:rFonts w:hint="eastAsia" w:asciiTheme="minorEastAsia" w:hAnsiTheme="minorEastAsia" w:eastAsiaTheme="minorEastAsia" w:cstheme="minorEastAsia"/>
          <w:b/>
          <w:color w:val="auto"/>
          <w:sz w:val="22"/>
          <w:szCs w:val="22"/>
          <w:lang w:val="zh-CN"/>
        </w:rPr>
      </w:pPr>
    </w:p>
    <w:p>
      <w:pPr>
        <w:autoSpaceDE w:val="0"/>
        <w:autoSpaceDN w:val="0"/>
        <w:adjustRightInd w:val="0"/>
        <w:rPr>
          <w:rFonts w:hint="eastAsia" w:asciiTheme="minorEastAsia" w:hAnsiTheme="minorEastAsia" w:eastAsiaTheme="minorEastAsia" w:cstheme="minorEastAsia"/>
          <w:b/>
          <w:color w:val="auto"/>
          <w:sz w:val="22"/>
          <w:szCs w:val="22"/>
          <w:lang w:val="zh-CN"/>
        </w:rPr>
      </w:pPr>
      <w:r>
        <w:rPr>
          <w:rFonts w:hint="eastAsia" w:asciiTheme="minorEastAsia" w:hAnsiTheme="minorEastAsia" w:eastAsiaTheme="minorEastAsia" w:cstheme="minorEastAsia"/>
          <w:b/>
          <w:color w:val="auto"/>
          <w:sz w:val="22"/>
          <w:szCs w:val="22"/>
          <w:lang w:val="zh-CN"/>
        </w:rPr>
        <w:t>项目名称：</w:t>
      </w:r>
      <w:r>
        <w:rPr>
          <w:rFonts w:hint="eastAsia" w:asciiTheme="minorEastAsia" w:hAnsiTheme="minorEastAsia" w:eastAsiaTheme="minorEastAsia" w:cstheme="minorEastAsia"/>
          <w:b/>
          <w:color w:val="auto"/>
          <w:sz w:val="22"/>
          <w:szCs w:val="22"/>
          <w:u w:val="single"/>
          <w:lang w:val="zh-CN"/>
        </w:rPr>
        <w:t xml:space="preserve">              </w:t>
      </w:r>
      <w:r>
        <w:rPr>
          <w:rFonts w:hint="eastAsia" w:asciiTheme="minorEastAsia" w:hAnsiTheme="minorEastAsia" w:eastAsiaTheme="minorEastAsia" w:cstheme="minorEastAsia"/>
          <w:b/>
          <w:color w:val="auto"/>
          <w:sz w:val="22"/>
          <w:szCs w:val="22"/>
        </w:rPr>
        <w:t xml:space="preserve">   </w:t>
      </w:r>
      <w:r>
        <w:rPr>
          <w:rFonts w:hint="eastAsia" w:asciiTheme="minorEastAsia" w:hAnsiTheme="minorEastAsia" w:eastAsiaTheme="minorEastAsia" w:cstheme="minorEastAsia"/>
          <w:b/>
          <w:color w:val="auto"/>
          <w:sz w:val="22"/>
          <w:szCs w:val="22"/>
          <w:lang w:val="en-US" w:eastAsia="zh-CN"/>
        </w:rPr>
        <w:t xml:space="preserve">    </w:t>
      </w:r>
      <w:r>
        <w:rPr>
          <w:rFonts w:hint="eastAsia" w:asciiTheme="minorEastAsia" w:hAnsiTheme="minorEastAsia" w:eastAsiaTheme="minorEastAsia" w:cstheme="minorEastAsia"/>
          <w:b/>
          <w:color w:val="auto"/>
          <w:sz w:val="22"/>
          <w:szCs w:val="22"/>
          <w:lang w:val="zh-CN"/>
        </w:rPr>
        <w:t>项目编号：</w:t>
      </w:r>
      <w:r>
        <w:rPr>
          <w:rFonts w:hint="eastAsia" w:asciiTheme="minorEastAsia" w:hAnsiTheme="minorEastAsia" w:eastAsiaTheme="minorEastAsia" w:cstheme="minorEastAsia"/>
          <w:b/>
          <w:color w:val="auto"/>
          <w:sz w:val="22"/>
          <w:szCs w:val="22"/>
          <w:u w:val="single"/>
          <w:lang w:val="zh-CN"/>
        </w:rPr>
        <w:t xml:space="preserve">   </w:t>
      </w:r>
      <w:r>
        <w:rPr>
          <w:rFonts w:hint="eastAsia" w:asciiTheme="minorEastAsia" w:hAnsiTheme="minorEastAsia" w:eastAsiaTheme="minorEastAsia" w:cstheme="minorEastAsia"/>
          <w:b/>
          <w:color w:val="auto"/>
          <w:sz w:val="22"/>
          <w:szCs w:val="22"/>
          <w:u w:val="single"/>
          <w:lang w:val="en-US" w:eastAsia="zh-CN"/>
        </w:rPr>
        <w:t xml:space="preserve">     </w:t>
      </w:r>
      <w:r>
        <w:rPr>
          <w:rFonts w:hint="eastAsia" w:asciiTheme="minorEastAsia" w:hAnsiTheme="minorEastAsia" w:eastAsiaTheme="minorEastAsia" w:cstheme="minorEastAsia"/>
          <w:b/>
          <w:color w:val="auto"/>
          <w:sz w:val="22"/>
          <w:szCs w:val="22"/>
          <w:u w:val="single"/>
          <w:lang w:val="zh-CN"/>
        </w:rPr>
        <w:t xml:space="preserve">      </w:t>
      </w:r>
      <w:r>
        <w:rPr>
          <w:rFonts w:hint="eastAsia" w:asciiTheme="minorEastAsia" w:hAnsiTheme="minorEastAsia" w:eastAsiaTheme="minorEastAsia" w:cstheme="minorEastAsia"/>
          <w:b/>
          <w:color w:val="auto"/>
          <w:sz w:val="22"/>
          <w:szCs w:val="22"/>
          <w:lang w:val="zh-CN"/>
        </w:rPr>
        <w:t xml:space="preserve">    </w:t>
      </w:r>
      <w:r>
        <w:rPr>
          <w:rFonts w:hint="eastAsia" w:asciiTheme="minorEastAsia" w:hAnsiTheme="minorEastAsia" w:eastAsiaTheme="minorEastAsia" w:cstheme="minorEastAsia"/>
          <w:b/>
          <w:color w:val="auto"/>
          <w:sz w:val="22"/>
          <w:szCs w:val="22"/>
          <w:lang w:val="en-US" w:eastAsia="zh-CN"/>
        </w:rPr>
        <w:t xml:space="preserve">     </w:t>
      </w:r>
      <w:r>
        <w:rPr>
          <w:rFonts w:hint="eastAsia" w:asciiTheme="minorEastAsia" w:hAnsiTheme="minorEastAsia" w:eastAsiaTheme="minorEastAsia" w:cstheme="minorEastAsia"/>
          <w:b/>
          <w:color w:val="auto"/>
          <w:sz w:val="22"/>
          <w:szCs w:val="22"/>
          <w:lang w:val="zh-CN"/>
        </w:rPr>
        <w:t>报价单位：</w:t>
      </w:r>
      <w:r>
        <w:rPr>
          <w:rFonts w:hint="eastAsia" w:asciiTheme="minorEastAsia" w:hAnsiTheme="minorEastAsia" w:eastAsiaTheme="minorEastAsia" w:cstheme="minorEastAsia"/>
          <w:b/>
          <w:color w:val="auto"/>
          <w:sz w:val="22"/>
          <w:szCs w:val="22"/>
          <w:u w:val="single"/>
          <w:lang w:val="zh-CN"/>
        </w:rPr>
        <w:t>人民币元</w:t>
      </w:r>
    </w:p>
    <w:tbl>
      <w:tblPr>
        <w:tblStyle w:val="3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423"/>
        <w:gridCol w:w="847"/>
        <w:gridCol w:w="1386"/>
        <w:gridCol w:w="1094"/>
        <w:gridCol w:w="1103"/>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77" w:type="dxa"/>
            <w:tcBorders>
              <w:right w:val="single" w:color="auto" w:sz="4" w:space="0"/>
            </w:tcBorders>
            <w:vAlign w:val="center"/>
          </w:tcPr>
          <w:p>
            <w:pPr>
              <w:pStyle w:val="17"/>
              <w:snapToGrid w:val="0"/>
              <w:spacing w:line="24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序号</w:t>
            </w:r>
          </w:p>
        </w:tc>
        <w:tc>
          <w:tcPr>
            <w:tcW w:w="3423" w:type="dxa"/>
            <w:tcBorders>
              <w:right w:val="single" w:color="auto" w:sz="4" w:space="0"/>
            </w:tcBorders>
            <w:vAlign w:val="center"/>
          </w:tcPr>
          <w:p>
            <w:pPr>
              <w:pStyle w:val="17"/>
              <w:snapToGrid w:val="0"/>
              <w:spacing w:line="24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项目名称</w:t>
            </w:r>
          </w:p>
        </w:tc>
        <w:tc>
          <w:tcPr>
            <w:tcW w:w="847" w:type="dxa"/>
            <w:vAlign w:val="center"/>
          </w:tcPr>
          <w:p>
            <w:pPr>
              <w:widowControl/>
              <w:spacing w:line="24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单位</w:t>
            </w:r>
          </w:p>
        </w:tc>
        <w:tc>
          <w:tcPr>
            <w:tcW w:w="1386" w:type="dxa"/>
            <w:vAlign w:val="center"/>
          </w:tcPr>
          <w:p>
            <w:pPr>
              <w:widowControl/>
              <w:spacing w:line="24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工程量</w:t>
            </w:r>
          </w:p>
        </w:tc>
        <w:tc>
          <w:tcPr>
            <w:tcW w:w="1094" w:type="dxa"/>
            <w:vAlign w:val="center"/>
          </w:tcPr>
          <w:p>
            <w:pPr>
              <w:pStyle w:val="17"/>
              <w:snapToGrid w:val="0"/>
              <w:spacing w:line="24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单价</w:t>
            </w:r>
          </w:p>
          <w:p>
            <w:pPr>
              <w:pStyle w:val="17"/>
              <w:snapToGrid w:val="0"/>
              <w:spacing w:line="24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（元/㎡）</w:t>
            </w:r>
          </w:p>
        </w:tc>
        <w:tc>
          <w:tcPr>
            <w:tcW w:w="1103" w:type="dxa"/>
            <w:vAlign w:val="center"/>
          </w:tcPr>
          <w:p>
            <w:pPr>
              <w:pStyle w:val="17"/>
              <w:snapToGrid w:val="0"/>
              <w:spacing w:line="24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合价</w:t>
            </w:r>
          </w:p>
          <w:p>
            <w:pPr>
              <w:pStyle w:val="17"/>
              <w:snapToGrid w:val="0"/>
              <w:spacing w:line="24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（元/年）</w:t>
            </w:r>
          </w:p>
        </w:tc>
        <w:tc>
          <w:tcPr>
            <w:tcW w:w="1046" w:type="dxa"/>
            <w:vAlign w:val="center"/>
          </w:tcPr>
          <w:p>
            <w:pPr>
              <w:pStyle w:val="17"/>
              <w:snapToGrid w:val="0"/>
              <w:spacing w:line="24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exact"/>
        </w:trPr>
        <w:tc>
          <w:tcPr>
            <w:tcW w:w="677" w:type="dxa"/>
            <w:tcBorders>
              <w:right w:val="single" w:color="auto" w:sz="4" w:space="0"/>
            </w:tcBorders>
            <w:vAlign w:val="center"/>
          </w:tcPr>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w:t>
            </w:r>
          </w:p>
        </w:tc>
        <w:tc>
          <w:tcPr>
            <w:tcW w:w="3423" w:type="dxa"/>
            <w:tcBorders>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绿地（包括灌木、草坪、片植灌木等）-I级绿地</w:t>
            </w:r>
          </w:p>
        </w:tc>
        <w:tc>
          <w:tcPr>
            <w:tcW w:w="847" w:type="dxa"/>
            <w:tcBorders>
              <w:left w:val="single" w:color="000000" w:sz="6"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m2</w:t>
            </w:r>
          </w:p>
        </w:tc>
        <w:tc>
          <w:tcPr>
            <w:tcW w:w="1386" w:type="dxa"/>
            <w:tcBorders>
              <w:left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lang w:eastAsia="zh-CN"/>
              </w:rPr>
              <w:t>108649</w:t>
            </w:r>
            <w:r>
              <w:rPr>
                <w:rFonts w:hint="eastAsia" w:asciiTheme="minorEastAsia" w:hAnsiTheme="minorEastAsia" w:eastAsiaTheme="minorEastAsia" w:cstheme="minorEastAsia"/>
                <w:color w:val="auto"/>
                <w:kern w:val="0"/>
                <w:sz w:val="24"/>
                <w:szCs w:val="24"/>
              </w:rPr>
              <w:t xml:space="preserve"> </w:t>
            </w:r>
          </w:p>
        </w:tc>
        <w:tc>
          <w:tcPr>
            <w:tcW w:w="1094"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103"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046" w:type="dxa"/>
            <w:vMerge w:val="restart"/>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所报单价及合价均为每年的费用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6" w:hRule="exact"/>
        </w:trPr>
        <w:tc>
          <w:tcPr>
            <w:tcW w:w="677" w:type="dxa"/>
            <w:tcBorders>
              <w:right w:val="single" w:color="auto" w:sz="4" w:space="0"/>
            </w:tcBorders>
            <w:vAlign w:val="center"/>
          </w:tcPr>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w:t>
            </w:r>
          </w:p>
        </w:tc>
        <w:tc>
          <w:tcPr>
            <w:tcW w:w="3423" w:type="dxa"/>
            <w:tcBorders>
              <w:right w:val="single" w:color="auto" w:sz="4" w:space="0"/>
            </w:tcBorders>
            <w:vAlign w:val="center"/>
          </w:tcPr>
          <w:p>
            <w:pPr>
              <w:widowControl/>
              <w:jc w:val="left"/>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草花</w:t>
            </w:r>
            <w:r>
              <w:rPr>
                <w:rFonts w:hint="eastAsia" w:asciiTheme="minorEastAsia" w:hAnsiTheme="minorEastAsia" w:eastAsiaTheme="minorEastAsia" w:cstheme="minorEastAsia"/>
                <w:color w:val="auto"/>
                <w:sz w:val="24"/>
                <w:szCs w:val="24"/>
                <w:lang w:eastAsia="zh-CN"/>
              </w:rPr>
              <w:t>（一串红、石竹、矮牵牛、孔雀草、鸡冠花等小杯苗）</w:t>
            </w:r>
            <w:r>
              <w:rPr>
                <w:rFonts w:hint="eastAsia" w:asciiTheme="minorEastAsia" w:hAnsiTheme="minorEastAsia" w:eastAsiaTheme="minorEastAsia" w:cstheme="minorEastAsia"/>
                <w:color w:val="auto"/>
                <w:kern w:val="0"/>
                <w:sz w:val="24"/>
                <w:szCs w:val="24"/>
              </w:rPr>
              <w:t>（64株/m2,1年6换），草花摆放时间有业主单位控制，报价含原有草花清理</w:t>
            </w:r>
          </w:p>
        </w:tc>
        <w:tc>
          <w:tcPr>
            <w:tcW w:w="847" w:type="dxa"/>
            <w:tcBorders>
              <w:left w:val="single" w:color="000000" w:sz="6"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m2</w:t>
            </w:r>
          </w:p>
        </w:tc>
        <w:tc>
          <w:tcPr>
            <w:tcW w:w="1386" w:type="dxa"/>
            <w:tcBorders>
              <w:left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280</w:t>
            </w:r>
          </w:p>
        </w:tc>
        <w:tc>
          <w:tcPr>
            <w:tcW w:w="1094"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103"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046" w:type="dxa"/>
            <w:vMerge w:val="continue"/>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 w:hRule="exact"/>
        </w:trPr>
        <w:tc>
          <w:tcPr>
            <w:tcW w:w="677" w:type="dxa"/>
            <w:tcBorders>
              <w:right w:val="single" w:color="auto" w:sz="4" w:space="0"/>
            </w:tcBorders>
            <w:vAlign w:val="center"/>
          </w:tcPr>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w:t>
            </w:r>
          </w:p>
        </w:tc>
        <w:tc>
          <w:tcPr>
            <w:tcW w:w="3423" w:type="dxa"/>
            <w:tcBorders>
              <w:right w:val="single" w:color="auto" w:sz="4" w:space="0"/>
            </w:tcBorders>
            <w:vAlign w:val="center"/>
          </w:tcPr>
          <w:p>
            <w:pPr>
              <w:widowControl/>
              <w:jc w:val="left"/>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草坪（换季草籽混播，黑麦草籽播）</w:t>
            </w:r>
          </w:p>
        </w:tc>
        <w:tc>
          <w:tcPr>
            <w:tcW w:w="847" w:type="dxa"/>
            <w:tcBorders>
              <w:left w:val="single" w:color="000000" w:sz="6"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m2</w:t>
            </w:r>
          </w:p>
        </w:tc>
        <w:tc>
          <w:tcPr>
            <w:tcW w:w="1386" w:type="dxa"/>
            <w:tcBorders>
              <w:left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 xml:space="preserve">43678 </w:t>
            </w:r>
          </w:p>
        </w:tc>
        <w:tc>
          <w:tcPr>
            <w:tcW w:w="1094"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103"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046" w:type="dxa"/>
            <w:vMerge w:val="continue"/>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exact"/>
        </w:trPr>
        <w:tc>
          <w:tcPr>
            <w:tcW w:w="677" w:type="dxa"/>
            <w:tcBorders>
              <w:right w:val="single" w:color="auto" w:sz="4" w:space="0"/>
            </w:tcBorders>
            <w:vAlign w:val="center"/>
          </w:tcPr>
          <w:p>
            <w:pPr>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w:t>
            </w:r>
          </w:p>
        </w:tc>
        <w:tc>
          <w:tcPr>
            <w:tcW w:w="3423" w:type="dxa"/>
            <w:tcBorders>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绿地保洁</w:t>
            </w:r>
          </w:p>
        </w:tc>
        <w:tc>
          <w:tcPr>
            <w:tcW w:w="847" w:type="dxa"/>
            <w:tcBorders>
              <w:left w:val="single" w:color="000000" w:sz="6"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项</w:t>
            </w:r>
          </w:p>
        </w:tc>
        <w:tc>
          <w:tcPr>
            <w:tcW w:w="1386" w:type="dxa"/>
            <w:tcBorders>
              <w:left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1</w:t>
            </w:r>
          </w:p>
        </w:tc>
        <w:tc>
          <w:tcPr>
            <w:tcW w:w="1094"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103" w:type="dxa"/>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c>
          <w:tcPr>
            <w:tcW w:w="1046" w:type="dxa"/>
            <w:vMerge w:val="continue"/>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trPr>
        <w:tc>
          <w:tcPr>
            <w:tcW w:w="677" w:type="dxa"/>
            <w:tcBorders>
              <w:right w:val="single" w:color="auto" w:sz="4" w:space="0"/>
            </w:tcBorders>
            <w:vAlign w:val="center"/>
          </w:tcPr>
          <w:p>
            <w:pPr>
              <w:jc w:val="center"/>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5</w:t>
            </w:r>
          </w:p>
        </w:tc>
        <w:tc>
          <w:tcPr>
            <w:tcW w:w="3423" w:type="dxa"/>
            <w:tcBorders>
              <w:righ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投标报价（元）</w:t>
            </w:r>
          </w:p>
        </w:tc>
        <w:tc>
          <w:tcPr>
            <w:tcW w:w="2233" w:type="dxa"/>
            <w:gridSpan w:val="2"/>
            <w:tcBorders>
              <w:righ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kern w:val="2"/>
                <w:sz w:val="24"/>
                <w:szCs w:val="24"/>
              </w:rPr>
            </w:pPr>
            <w:r>
              <w:rPr>
                <w:rFonts w:hint="eastAsia" w:asciiTheme="minorEastAsia" w:hAnsiTheme="minorEastAsia" w:eastAsiaTheme="minorEastAsia" w:cstheme="minorEastAsia"/>
                <w:b/>
                <w:bCs/>
                <w:color w:val="auto"/>
                <w:kern w:val="2"/>
                <w:sz w:val="24"/>
                <w:szCs w:val="24"/>
              </w:rPr>
              <w:t>（1+2+3+4）的合价*2年</w:t>
            </w:r>
          </w:p>
        </w:tc>
        <w:tc>
          <w:tcPr>
            <w:tcW w:w="3243" w:type="dxa"/>
            <w:gridSpan w:val="3"/>
            <w:tcBorders>
              <w:left w:val="single" w:color="auto" w:sz="4" w:space="0"/>
            </w:tcBorders>
            <w:vAlign w:val="center"/>
          </w:tcPr>
          <w:p>
            <w:pPr>
              <w:pStyle w:val="17"/>
              <w:snapToGrid w:val="0"/>
              <w:jc w:val="center"/>
              <w:rPr>
                <w:rFonts w:hint="eastAsia" w:asciiTheme="minorEastAsia" w:hAnsiTheme="minorEastAsia" w:eastAsiaTheme="minorEastAsia" w:cstheme="minorEastAsia"/>
                <w:b/>
                <w:bCs/>
                <w:color w:val="auto"/>
                <w:sz w:val="24"/>
                <w:szCs w:val="24"/>
              </w:rPr>
            </w:pPr>
          </w:p>
        </w:tc>
      </w:tr>
    </w:tbl>
    <w:p>
      <w:pPr>
        <w:pStyle w:val="17"/>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▲开标一览表中投标</w:t>
      </w:r>
      <w:r>
        <w:rPr>
          <w:rFonts w:hint="eastAsia" w:asciiTheme="minorEastAsia" w:hAnsiTheme="minorEastAsia" w:eastAsiaTheme="minorEastAsia" w:cstheme="minorEastAsia"/>
          <w:b/>
          <w:color w:val="auto"/>
          <w:sz w:val="24"/>
          <w:szCs w:val="24"/>
          <w:lang w:eastAsia="zh-CN"/>
        </w:rPr>
        <w:t>报</w:t>
      </w:r>
      <w:r>
        <w:rPr>
          <w:rFonts w:hint="eastAsia" w:asciiTheme="minorEastAsia" w:hAnsiTheme="minorEastAsia" w:eastAsiaTheme="minorEastAsia" w:cstheme="minorEastAsia"/>
          <w:b/>
          <w:color w:val="auto"/>
          <w:sz w:val="24"/>
          <w:szCs w:val="24"/>
        </w:rPr>
        <w:t>价为符合</w:t>
      </w:r>
      <w:r>
        <w:rPr>
          <w:rFonts w:hint="eastAsia" w:asciiTheme="minorEastAsia" w:hAnsiTheme="minorEastAsia" w:eastAsiaTheme="minorEastAsia" w:cstheme="minorEastAsia"/>
          <w:b/>
          <w:color w:val="auto"/>
          <w:sz w:val="24"/>
          <w:szCs w:val="24"/>
          <w:lang w:eastAsia="zh-CN"/>
        </w:rPr>
        <w:t>采购文件</w:t>
      </w:r>
      <w:r>
        <w:rPr>
          <w:rFonts w:hint="eastAsia" w:asciiTheme="minorEastAsia" w:hAnsiTheme="minorEastAsia" w:eastAsiaTheme="minorEastAsia" w:cstheme="minorEastAsia"/>
          <w:b/>
          <w:color w:val="auto"/>
          <w:sz w:val="24"/>
          <w:szCs w:val="24"/>
        </w:rPr>
        <w:t>要求的全部费用。</w:t>
      </w:r>
    </w:p>
    <w:p>
      <w:pPr>
        <w:pStyle w:val="17"/>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▲不提供此表格的将视为没有实质性响应</w:t>
      </w:r>
      <w:r>
        <w:rPr>
          <w:rFonts w:hint="eastAsia" w:asciiTheme="minorEastAsia" w:hAnsiTheme="minorEastAsia" w:eastAsiaTheme="minorEastAsia" w:cstheme="minorEastAsia"/>
          <w:b/>
          <w:color w:val="auto"/>
          <w:sz w:val="24"/>
          <w:szCs w:val="24"/>
          <w:lang w:eastAsia="zh-CN"/>
        </w:rPr>
        <w:t>采购文件</w:t>
      </w:r>
      <w:r>
        <w:rPr>
          <w:rFonts w:hint="eastAsia" w:asciiTheme="minorEastAsia" w:hAnsiTheme="minorEastAsia" w:eastAsiaTheme="minorEastAsia" w:cstheme="minorEastAsia"/>
          <w:b/>
          <w:color w:val="auto"/>
          <w:sz w:val="24"/>
          <w:szCs w:val="24"/>
        </w:rPr>
        <w:t>。</w:t>
      </w:r>
    </w:p>
    <w:p>
      <w:pPr>
        <w:autoSpaceDE w:val="0"/>
        <w:autoSpaceDN w:val="0"/>
        <w:adjustRightInd w:val="0"/>
        <w:spacing w:line="260" w:lineRule="exact"/>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w:t>
      </w:r>
    </w:p>
    <w:p>
      <w:pPr>
        <w:autoSpaceDE w:val="0"/>
        <w:autoSpaceDN w:val="0"/>
        <w:adjustRightInd w:val="0"/>
        <w:spacing w:line="260" w:lineRule="exact"/>
        <w:jc w:val="center"/>
        <w:rPr>
          <w:rFonts w:hint="eastAsia" w:asciiTheme="minorEastAsia" w:hAnsiTheme="minorEastAsia" w:eastAsiaTheme="minorEastAsia" w:cstheme="minorEastAsia"/>
          <w:b/>
          <w:color w:val="auto"/>
          <w:sz w:val="24"/>
          <w:szCs w:val="24"/>
        </w:rPr>
      </w:pPr>
    </w:p>
    <w:p>
      <w:pPr>
        <w:autoSpaceDE w:val="0"/>
        <w:autoSpaceDN w:val="0"/>
        <w:adjustRightInd w:val="0"/>
        <w:spacing w:line="260" w:lineRule="exact"/>
        <w:jc w:val="center"/>
        <w:rPr>
          <w:rFonts w:hint="eastAsia" w:asciiTheme="minorEastAsia" w:hAnsiTheme="minorEastAsia" w:eastAsiaTheme="minorEastAsia" w:cstheme="minorEastAsia"/>
          <w:b/>
          <w:color w:val="auto"/>
          <w:sz w:val="24"/>
          <w:szCs w:val="24"/>
        </w:rPr>
      </w:pPr>
    </w:p>
    <w:p>
      <w:pPr>
        <w:autoSpaceDE w:val="0"/>
        <w:autoSpaceDN w:val="0"/>
        <w:adjustRightInd w:val="0"/>
        <w:spacing w:line="360" w:lineRule="auto"/>
        <w:jc w:val="center"/>
        <w:rPr>
          <w:rFonts w:hint="eastAsia" w:asciiTheme="minorEastAsia" w:hAnsiTheme="minorEastAsia" w:eastAsiaTheme="minorEastAsia" w:cstheme="minorEastAsia"/>
          <w:b/>
          <w:color w:val="auto"/>
          <w:sz w:val="24"/>
          <w:szCs w:val="24"/>
          <w:lang w:val="zh-CN"/>
        </w:rPr>
      </w:pP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b/>
          <w:color w:val="auto"/>
          <w:sz w:val="24"/>
          <w:szCs w:val="24"/>
          <w:lang w:val="zh-CN"/>
        </w:rPr>
        <w:t>供应商全称（盖章）：</w:t>
      </w:r>
    </w:p>
    <w:p>
      <w:pPr>
        <w:autoSpaceDE w:val="0"/>
        <w:autoSpaceDN w:val="0"/>
        <w:adjustRightInd w:val="0"/>
        <w:spacing w:line="360" w:lineRule="auto"/>
        <w:jc w:val="center"/>
        <w:rPr>
          <w:rFonts w:hint="eastAsia" w:asciiTheme="minorEastAsia" w:hAnsiTheme="minorEastAsia" w:eastAsiaTheme="minorEastAsia" w:cstheme="minorEastAsia"/>
          <w:b/>
          <w:color w:val="auto"/>
          <w:sz w:val="24"/>
          <w:szCs w:val="24"/>
          <w:lang w:val="zh-CN"/>
        </w:rPr>
      </w:pP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b/>
          <w:color w:val="auto"/>
          <w:sz w:val="24"/>
          <w:szCs w:val="24"/>
          <w:lang w:val="zh-CN"/>
        </w:rPr>
        <w:t>授权代表（签字或盖章）：</w:t>
      </w:r>
    </w:p>
    <w:p>
      <w:pPr>
        <w:autoSpaceDE w:val="0"/>
        <w:autoSpaceDN w:val="0"/>
        <w:adjustRightInd w:val="0"/>
        <w:spacing w:line="360" w:lineRule="auto"/>
        <w:ind w:firstLine="3614" w:firstLineChars="1500"/>
        <w:jc w:val="both"/>
        <w:rPr>
          <w:rFonts w:hint="eastAsia" w:asciiTheme="minorEastAsia" w:hAnsiTheme="minorEastAsia" w:eastAsiaTheme="minorEastAsia" w:cstheme="minorEastAsia"/>
          <w:b/>
          <w:color w:val="auto"/>
          <w:sz w:val="24"/>
          <w:szCs w:val="24"/>
          <w:lang w:val="zh-CN"/>
        </w:rPr>
      </w:pPr>
      <w:r>
        <w:rPr>
          <w:rFonts w:hint="eastAsia" w:asciiTheme="minorEastAsia" w:hAnsiTheme="minorEastAsia" w:eastAsiaTheme="minorEastAsia" w:cstheme="minorEastAsia"/>
          <w:b/>
          <w:color w:val="auto"/>
          <w:sz w:val="24"/>
          <w:szCs w:val="24"/>
          <w:lang w:val="zh-CN"/>
        </w:rPr>
        <w:t>日期：</w:t>
      </w:r>
    </w:p>
    <w:p>
      <w:pPr>
        <w:pStyle w:val="14"/>
        <w:ind w:firstLine="480"/>
        <w:rPr>
          <w:rFonts w:hint="eastAsia" w:asciiTheme="minorEastAsia" w:hAnsiTheme="minorEastAsia" w:eastAsiaTheme="minorEastAsia" w:cstheme="minorEastAsia"/>
          <w:color w:val="auto"/>
          <w:sz w:val="24"/>
          <w:szCs w:val="24"/>
        </w:rPr>
      </w:pPr>
    </w:p>
    <w:p>
      <w:pPr>
        <w:pStyle w:val="14"/>
        <w:ind w:firstLine="480"/>
        <w:rPr>
          <w:rFonts w:hint="eastAsia" w:asciiTheme="minorEastAsia" w:hAnsiTheme="minorEastAsia" w:eastAsiaTheme="minorEastAsia" w:cstheme="minorEastAsia"/>
          <w:color w:val="auto"/>
          <w:sz w:val="24"/>
          <w:szCs w:val="24"/>
        </w:rPr>
      </w:pPr>
    </w:p>
    <w:p>
      <w:pPr>
        <w:pStyle w:val="14"/>
        <w:ind w:firstLine="480"/>
        <w:rPr>
          <w:rFonts w:hint="eastAsia" w:asciiTheme="minorEastAsia" w:hAnsiTheme="minorEastAsia" w:eastAsiaTheme="minorEastAsia" w:cstheme="minorEastAsia"/>
          <w:color w:val="auto"/>
        </w:rPr>
      </w:pPr>
    </w:p>
    <w:p>
      <w:pPr>
        <w:pStyle w:val="14"/>
        <w:ind w:left="0" w:firstLine="0" w:firstLineChars="0"/>
        <w:rPr>
          <w:rFonts w:hint="eastAsia" w:asciiTheme="minorEastAsia" w:hAnsiTheme="minorEastAsia" w:eastAsiaTheme="minorEastAsia" w:cstheme="minorEastAsia"/>
          <w:color w:val="auto"/>
        </w:rPr>
        <w:sectPr>
          <w:pgSz w:w="11906" w:h="16838"/>
          <w:pgMar w:top="1134" w:right="1134" w:bottom="1134" w:left="1134" w:header="851" w:footer="992" w:gutter="284"/>
          <w:pgNumType w:fmt="decimal"/>
          <w:cols w:space="720" w:num="1"/>
          <w:titlePg/>
          <w:docGrid w:linePitch="312" w:charSpace="0"/>
        </w:sectPr>
      </w:pPr>
    </w:p>
    <w:p>
      <w:pPr>
        <w:pStyle w:val="6"/>
        <w:tabs>
          <w:tab w:val="left" w:pos="7455"/>
        </w:tabs>
        <w:spacing w:before="0" w:after="0" w:line="400" w:lineRule="exact"/>
        <w:rPr>
          <w:rFonts w:hint="eastAsia" w:asciiTheme="minorEastAsia" w:hAnsiTheme="minorEastAsia" w:eastAsiaTheme="minorEastAsia" w:cstheme="minorEastAsia"/>
          <w:color w:val="auto"/>
          <w:sz w:val="22"/>
          <w:szCs w:val="22"/>
        </w:rPr>
      </w:pPr>
      <w:bookmarkStart w:id="41" w:name="_Toc515203444"/>
      <w:bookmarkStart w:id="42" w:name="_Toc195336281"/>
      <w:r>
        <w:rPr>
          <w:rFonts w:hint="eastAsia" w:asciiTheme="minorEastAsia" w:hAnsiTheme="minorEastAsia" w:eastAsiaTheme="minorEastAsia" w:cstheme="minorEastAsia"/>
          <w:color w:val="auto"/>
          <w:sz w:val="22"/>
          <w:szCs w:val="22"/>
        </w:rPr>
        <w:t>附件三  商务条款、技术规格偏离表</w:t>
      </w:r>
      <w:bookmarkEnd w:id="41"/>
    </w:p>
    <w:p>
      <w:pPr>
        <w:spacing w:line="380" w:lineRule="exact"/>
        <w:ind w:left="-358" w:leftChars="-171" w:hanging="1"/>
        <w:jc w:val="center"/>
        <w:rPr>
          <w:rFonts w:hint="eastAsia" w:asciiTheme="minorEastAsia" w:hAnsiTheme="minorEastAsia" w:eastAsiaTheme="minorEastAsia" w:cstheme="minorEastAsia"/>
          <w:b/>
          <w:bCs/>
          <w:color w:val="auto"/>
          <w:sz w:val="28"/>
          <w:szCs w:val="28"/>
        </w:rPr>
      </w:pPr>
    </w:p>
    <w:p>
      <w:pPr>
        <w:spacing w:line="380" w:lineRule="exact"/>
        <w:ind w:left="-358" w:leftChars="-171" w:hanging="1"/>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商务条款、技术规格偏离表</w:t>
      </w:r>
    </w:p>
    <w:p>
      <w:pPr>
        <w:spacing w:line="560" w:lineRule="exact"/>
        <w:ind w:firstLine="110" w:firstLineChars="5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color w:val="auto"/>
          <w:sz w:val="22"/>
          <w:szCs w:val="22"/>
        </w:rPr>
        <w:t>项目名称：                            项目编号：</w:t>
      </w:r>
    </w:p>
    <w:tbl>
      <w:tblPr>
        <w:tblStyle w:val="39"/>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01"/>
        <w:gridCol w:w="1985"/>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268"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内   容</w:t>
            </w:r>
          </w:p>
        </w:tc>
        <w:tc>
          <w:tcPr>
            <w:tcW w:w="1701" w:type="dxa"/>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采购文件</w:t>
            </w:r>
          </w:p>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条目</w:t>
            </w:r>
          </w:p>
        </w:tc>
        <w:tc>
          <w:tcPr>
            <w:tcW w:w="1985" w:type="dxa"/>
            <w:vAlign w:val="center"/>
          </w:tcPr>
          <w:p>
            <w:pPr>
              <w:jc w:val="center"/>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采购文件</w:t>
            </w:r>
          </w:p>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规格要求</w:t>
            </w:r>
          </w:p>
        </w:tc>
        <w:tc>
          <w:tcPr>
            <w:tcW w:w="1843"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投标文件</w:t>
            </w:r>
          </w:p>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对应规格</w:t>
            </w:r>
          </w:p>
        </w:tc>
        <w:tc>
          <w:tcPr>
            <w:tcW w:w="1842"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2268" w:type="dxa"/>
            <w:vMerge w:val="restart"/>
            <w:vAlign w:val="center"/>
          </w:tcPr>
          <w:p>
            <w:pPr>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商务条款</w:t>
            </w: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restart"/>
            <w:vAlign w:val="center"/>
          </w:tcPr>
          <w:p>
            <w:pPr>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技术偏离</w:t>
            </w: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2268" w:type="dxa"/>
            <w:vMerge w:val="continue"/>
            <w:vAlign w:val="center"/>
          </w:tcPr>
          <w:p>
            <w:pPr>
              <w:jc w:val="center"/>
              <w:rPr>
                <w:rFonts w:hint="eastAsia" w:asciiTheme="minorEastAsia" w:hAnsiTheme="minorEastAsia" w:eastAsiaTheme="minorEastAsia" w:cstheme="minorEastAsia"/>
                <w:color w:val="auto"/>
                <w:sz w:val="22"/>
                <w:szCs w:val="22"/>
              </w:rPr>
            </w:pPr>
          </w:p>
        </w:tc>
        <w:tc>
          <w:tcPr>
            <w:tcW w:w="1701" w:type="dxa"/>
            <w:vAlign w:val="center"/>
          </w:tcPr>
          <w:p>
            <w:pPr>
              <w:jc w:val="center"/>
              <w:rPr>
                <w:rFonts w:hint="eastAsia" w:asciiTheme="minorEastAsia" w:hAnsiTheme="minorEastAsia" w:eastAsiaTheme="minorEastAsia" w:cstheme="minorEastAsia"/>
                <w:color w:val="auto"/>
                <w:sz w:val="22"/>
                <w:szCs w:val="22"/>
              </w:rPr>
            </w:pPr>
          </w:p>
        </w:tc>
        <w:tc>
          <w:tcPr>
            <w:tcW w:w="1985" w:type="dxa"/>
            <w:vAlign w:val="center"/>
          </w:tcPr>
          <w:p>
            <w:pPr>
              <w:jc w:val="center"/>
              <w:rPr>
                <w:rFonts w:hint="eastAsia" w:asciiTheme="minorEastAsia" w:hAnsiTheme="minorEastAsia" w:eastAsiaTheme="minorEastAsia" w:cstheme="minorEastAsia"/>
                <w:color w:val="auto"/>
                <w:sz w:val="22"/>
                <w:szCs w:val="22"/>
              </w:rPr>
            </w:pPr>
          </w:p>
        </w:tc>
        <w:tc>
          <w:tcPr>
            <w:tcW w:w="1843" w:type="dxa"/>
            <w:vAlign w:val="center"/>
          </w:tcPr>
          <w:p>
            <w:pPr>
              <w:jc w:val="center"/>
              <w:rPr>
                <w:rFonts w:hint="eastAsia" w:asciiTheme="minorEastAsia" w:hAnsiTheme="minorEastAsia" w:eastAsiaTheme="minorEastAsia" w:cstheme="minorEastAsia"/>
                <w:color w:val="auto"/>
                <w:sz w:val="22"/>
                <w:szCs w:val="22"/>
              </w:rPr>
            </w:pPr>
          </w:p>
        </w:tc>
        <w:tc>
          <w:tcPr>
            <w:tcW w:w="1842" w:type="dxa"/>
            <w:vAlign w:val="center"/>
          </w:tcPr>
          <w:p>
            <w:pPr>
              <w:jc w:val="center"/>
              <w:rPr>
                <w:rFonts w:hint="eastAsia" w:asciiTheme="minorEastAsia" w:hAnsiTheme="minorEastAsia" w:eastAsiaTheme="minorEastAsia" w:cstheme="minorEastAsia"/>
                <w:color w:val="auto"/>
                <w:sz w:val="22"/>
                <w:szCs w:val="22"/>
              </w:rPr>
            </w:pPr>
          </w:p>
        </w:tc>
      </w:tr>
    </w:tbl>
    <w:p>
      <w:pPr>
        <w:pStyle w:val="17"/>
        <w:spacing w:line="400" w:lineRule="atLeast"/>
        <w:ind w:left="535" w:hanging="534" w:hangingChars="243"/>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注：如有偏离，必须在偏离表中进行详细对比说明并注明正偏离（负偏离），如</w:t>
      </w:r>
      <w:r>
        <w:rPr>
          <w:rFonts w:hint="eastAsia" w:asciiTheme="minorEastAsia" w:hAnsiTheme="minorEastAsia" w:eastAsiaTheme="minorEastAsia" w:cstheme="minorEastAsia"/>
          <w:color w:val="auto"/>
          <w:sz w:val="22"/>
          <w:szCs w:val="22"/>
          <w:lang w:eastAsia="zh-CN"/>
        </w:rPr>
        <w:t>不提供或</w:t>
      </w:r>
      <w:r>
        <w:rPr>
          <w:rFonts w:hint="eastAsia" w:asciiTheme="minorEastAsia" w:hAnsiTheme="minorEastAsia" w:eastAsiaTheme="minorEastAsia" w:cstheme="minorEastAsia"/>
          <w:color w:val="auto"/>
          <w:sz w:val="22"/>
          <w:szCs w:val="22"/>
        </w:rPr>
        <w:t>不说明偏离情况，视为完全响应</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要求无偏离。</w:t>
      </w:r>
    </w:p>
    <w:p>
      <w:pPr>
        <w:rPr>
          <w:rFonts w:hint="eastAsia" w:asciiTheme="minorEastAsia" w:hAnsiTheme="minorEastAsia" w:eastAsiaTheme="minorEastAsia" w:cstheme="minorEastAsia"/>
          <w:color w:val="auto"/>
          <w:sz w:val="22"/>
          <w:szCs w:val="22"/>
        </w:rPr>
      </w:pPr>
    </w:p>
    <w:p>
      <w:pPr>
        <w:spacing w:line="400" w:lineRule="exact"/>
        <w:ind w:firstLine="4400" w:firstLineChars="20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投标供应商全称（盖章）：</w:t>
      </w:r>
    </w:p>
    <w:p>
      <w:pPr>
        <w:spacing w:line="400" w:lineRule="exact"/>
        <w:ind w:firstLine="4400" w:firstLineChars="20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授权代表（签字或盖章）：</w:t>
      </w:r>
    </w:p>
    <w:p>
      <w:pPr>
        <w:spacing w:line="400" w:lineRule="exact"/>
        <w:ind w:firstLine="4400" w:firstLineChars="20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日期：      年    月    日</w:t>
      </w:r>
    </w:p>
    <w:p>
      <w:pPr>
        <w:jc w:val="left"/>
        <w:rPr>
          <w:rFonts w:hint="eastAsia" w:asciiTheme="minorEastAsia" w:hAnsiTheme="minorEastAsia" w:eastAsiaTheme="minorEastAsia" w:cstheme="minorEastAsia"/>
          <w:color w:val="auto"/>
        </w:rPr>
        <w:sectPr>
          <w:pgSz w:w="11906" w:h="16838"/>
          <w:pgMar w:top="1134" w:right="1134" w:bottom="1134" w:left="1134" w:header="851" w:footer="801" w:gutter="284"/>
          <w:pgNumType w:fmt="decimal"/>
          <w:cols w:space="720" w:num="1"/>
          <w:docGrid w:linePitch="312" w:charSpace="0"/>
        </w:sectPr>
      </w:pPr>
    </w:p>
    <w:bookmarkEnd w:id="42"/>
    <w:p>
      <w:pPr>
        <w:pStyle w:val="6"/>
        <w:spacing w:line="400" w:lineRule="exact"/>
        <w:rPr>
          <w:rFonts w:hint="eastAsia" w:asciiTheme="minorEastAsia" w:hAnsiTheme="minorEastAsia" w:eastAsiaTheme="minorEastAsia" w:cstheme="minorEastAsia"/>
          <w:color w:val="auto"/>
          <w:sz w:val="22"/>
          <w:szCs w:val="22"/>
        </w:rPr>
      </w:pPr>
      <w:bookmarkStart w:id="43" w:name="_Toc515203445"/>
      <w:r>
        <w:rPr>
          <w:rFonts w:hint="eastAsia" w:asciiTheme="minorEastAsia" w:hAnsiTheme="minorEastAsia" w:eastAsiaTheme="minorEastAsia" w:cstheme="minorEastAsia"/>
          <w:color w:val="auto"/>
          <w:sz w:val="22"/>
          <w:szCs w:val="22"/>
        </w:rPr>
        <w:t>附件四   资格证明文件</w:t>
      </w:r>
      <w:bookmarkEnd w:id="43"/>
    </w:p>
    <w:p>
      <w:pPr>
        <w:spacing w:line="380" w:lineRule="exact"/>
        <w:ind w:left="-358" w:leftChars="-171" w:hanging="1"/>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资格证明文件</w:t>
      </w:r>
    </w:p>
    <w:p>
      <w:pPr>
        <w:spacing w:line="380" w:lineRule="exact"/>
        <w:ind w:left="-358" w:leftChars="-171" w:hanging="1"/>
        <w:jc w:val="center"/>
        <w:rPr>
          <w:rFonts w:hint="eastAsia" w:asciiTheme="minorEastAsia" w:hAnsiTheme="minorEastAsia" w:eastAsiaTheme="minorEastAsia" w:cstheme="minorEastAsia"/>
          <w:b/>
          <w:bCs/>
          <w:color w:val="auto"/>
          <w:sz w:val="28"/>
          <w:szCs w:val="28"/>
        </w:rPr>
      </w:pPr>
    </w:p>
    <w:p>
      <w:pPr>
        <w:spacing w:line="380" w:lineRule="exact"/>
        <w:ind w:left="-358" w:leftChars="-171" w:hanging="1"/>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（一）法定代表人授权书</w:t>
      </w:r>
    </w:p>
    <w:p>
      <w:pPr>
        <w:spacing w:line="460" w:lineRule="exact"/>
        <w:rPr>
          <w:rFonts w:hint="eastAsia" w:asciiTheme="minorEastAsia" w:hAnsiTheme="minorEastAsia" w:eastAsiaTheme="minorEastAsia" w:cstheme="minorEastAsia"/>
          <w:color w:val="auto"/>
          <w:sz w:val="22"/>
          <w:szCs w:val="22"/>
        </w:rPr>
      </w:pPr>
    </w:p>
    <w:p>
      <w:pPr>
        <w:spacing w:line="46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kern w:val="0"/>
          <w:sz w:val="22"/>
          <w:szCs w:val="22"/>
        </w:rPr>
        <w:t>温州市瓯海区综合行政执法局</w:t>
      </w:r>
      <w:r>
        <w:rPr>
          <w:rFonts w:hint="eastAsia" w:asciiTheme="minorEastAsia" w:hAnsiTheme="minorEastAsia" w:eastAsiaTheme="minorEastAsia" w:cstheme="minorEastAsia"/>
          <w:color w:val="auto"/>
          <w:sz w:val="22"/>
          <w:szCs w:val="22"/>
        </w:rPr>
        <w:t>：</w:t>
      </w:r>
    </w:p>
    <w:p>
      <w:pPr>
        <w:spacing w:line="460" w:lineRule="exact"/>
        <w:rPr>
          <w:rFonts w:hint="eastAsia" w:asciiTheme="minorEastAsia" w:hAnsiTheme="minorEastAsia" w:eastAsiaTheme="minorEastAsia" w:cstheme="minorEastAsia"/>
          <w:color w:val="auto"/>
          <w:sz w:val="22"/>
          <w:szCs w:val="22"/>
          <w:u w:val="single"/>
        </w:rPr>
      </w:pPr>
    </w:p>
    <w:p>
      <w:pPr>
        <w:spacing w:line="460" w:lineRule="exact"/>
        <w:ind w:firstLine="550" w:firstLineChars="2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（投标供应商全称）法定代表人</w:t>
      </w:r>
      <w:r>
        <w:rPr>
          <w:rFonts w:hint="eastAsia" w:asciiTheme="minorEastAsia" w:hAnsiTheme="minorEastAsia" w:eastAsiaTheme="minorEastAsia" w:cstheme="minorEastAsia"/>
          <w:color w:val="auto"/>
          <w:sz w:val="22"/>
          <w:szCs w:val="22"/>
          <w:u w:val="single"/>
        </w:rPr>
        <w:t xml:space="preserve">   （姓名）    </w:t>
      </w:r>
      <w:r>
        <w:rPr>
          <w:rFonts w:hint="eastAsia" w:asciiTheme="minorEastAsia" w:hAnsiTheme="minorEastAsia" w:eastAsiaTheme="minorEastAsia" w:cstheme="minorEastAsia"/>
          <w:color w:val="auto"/>
          <w:sz w:val="22"/>
          <w:szCs w:val="22"/>
        </w:rPr>
        <w:t>授权</w:t>
      </w:r>
      <w:r>
        <w:rPr>
          <w:rFonts w:hint="eastAsia" w:asciiTheme="minorEastAsia" w:hAnsiTheme="minorEastAsia" w:eastAsiaTheme="minorEastAsia" w:cstheme="minorEastAsia"/>
          <w:color w:val="auto"/>
          <w:sz w:val="22"/>
          <w:szCs w:val="22"/>
          <w:u w:val="single"/>
        </w:rPr>
        <w:t xml:space="preserve">           （全权代表姓名）</w:t>
      </w:r>
      <w:r>
        <w:rPr>
          <w:rFonts w:hint="eastAsia" w:asciiTheme="minorEastAsia" w:hAnsiTheme="minorEastAsia" w:eastAsiaTheme="minorEastAsia" w:cstheme="minorEastAsia"/>
          <w:color w:val="auto"/>
          <w:sz w:val="22"/>
          <w:szCs w:val="22"/>
        </w:rPr>
        <w:t>为全权代表，参加贵处组织的</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u w:val="single"/>
        </w:rPr>
        <w:t>项目名称</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u w:val="single"/>
        </w:rPr>
        <w:t>（项目编号）</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rPr>
        <w:t>的招标活动，全权代表我方处理招标活动中的一切事宜。</w:t>
      </w:r>
    </w:p>
    <w:p>
      <w:pPr>
        <w:spacing w:line="46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本授权书于</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年</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月</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日签字生效，特此说明。</w:t>
      </w:r>
    </w:p>
    <w:p>
      <w:pPr>
        <w:spacing w:line="460" w:lineRule="exact"/>
        <w:ind w:firstLine="295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w:t>
      </w:r>
    </w:p>
    <w:p>
      <w:pPr>
        <w:spacing w:line="460" w:lineRule="exact"/>
        <w:ind w:firstLine="4191" w:firstLineChars="190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 (签字或盖章)：</w:t>
      </w:r>
    </w:p>
    <w:p>
      <w:pPr>
        <w:spacing w:line="460" w:lineRule="exact"/>
        <w:ind w:firstLine="295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投标供应商全称（公章）：</w:t>
      </w:r>
    </w:p>
    <w:p>
      <w:pPr>
        <w:spacing w:line="460" w:lineRule="exact"/>
        <w:ind w:firstLine="2955"/>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日期：     年    月   日</w:t>
      </w:r>
    </w:p>
    <w:p>
      <w:pPr>
        <w:spacing w:line="46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附：</w:t>
      </w:r>
    </w:p>
    <w:p>
      <w:pPr>
        <w:spacing w:line="46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授权代表姓名：</w:t>
      </w:r>
    </w:p>
    <w:p>
      <w:pPr>
        <w:spacing w:line="46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职务：</w:t>
      </w:r>
    </w:p>
    <w:tbl>
      <w:tblPr>
        <w:tblStyle w:val="39"/>
        <w:tblpPr w:leftFromText="180" w:rightFromText="180" w:vertAnchor="text" w:horzAnchor="margin" w:tblpXSpec="right" w:tblpY="1820"/>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trPr>
        <w:tc>
          <w:tcPr>
            <w:tcW w:w="5040" w:type="dxa"/>
          </w:tcPr>
          <w:p>
            <w:pPr>
              <w:spacing w:line="460" w:lineRule="exact"/>
              <w:rPr>
                <w:rFonts w:hint="eastAsia" w:asciiTheme="minorEastAsia" w:hAnsiTheme="minorEastAsia" w:eastAsiaTheme="minorEastAsia" w:cstheme="minorEastAsia"/>
                <w:color w:val="auto"/>
                <w:sz w:val="22"/>
                <w:szCs w:val="22"/>
              </w:rPr>
            </w:pPr>
          </w:p>
          <w:p>
            <w:pPr>
              <w:spacing w:line="460" w:lineRule="exact"/>
              <w:rPr>
                <w:rFonts w:hint="eastAsia" w:asciiTheme="minorEastAsia" w:hAnsiTheme="minorEastAsia" w:eastAsiaTheme="minorEastAsia" w:cstheme="minorEastAsia"/>
                <w:color w:val="auto"/>
                <w:sz w:val="22"/>
                <w:szCs w:val="22"/>
              </w:rPr>
            </w:pPr>
          </w:p>
          <w:p>
            <w:pPr>
              <w:spacing w:line="460" w:lineRule="exact"/>
              <w:rPr>
                <w:rFonts w:hint="eastAsia" w:asciiTheme="minorEastAsia" w:hAnsiTheme="minorEastAsia" w:eastAsiaTheme="minorEastAsia" w:cstheme="minorEastAsia"/>
                <w:color w:val="auto"/>
                <w:sz w:val="22"/>
                <w:szCs w:val="22"/>
              </w:rPr>
            </w:pPr>
          </w:p>
          <w:p>
            <w:pPr>
              <w:spacing w:line="460" w:lineRule="exact"/>
              <w:ind w:firstLine="1100" w:firstLineChars="5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投标供应商代表身份证复印件</w:t>
            </w:r>
          </w:p>
          <w:p>
            <w:pPr>
              <w:spacing w:line="460" w:lineRule="exact"/>
              <w:ind w:firstLine="1760" w:firstLineChars="8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（粘贴处）</w:t>
            </w:r>
          </w:p>
        </w:tc>
      </w:tr>
    </w:tbl>
    <w:p>
      <w:pPr>
        <w:spacing w:line="46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详细通讯地址：  </w:t>
      </w:r>
    </w:p>
    <w:p>
      <w:pPr>
        <w:spacing w:line="46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电话：</w:t>
      </w:r>
    </w:p>
    <w:p>
      <w:pPr>
        <w:spacing w:line="46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传真：</w:t>
      </w:r>
    </w:p>
    <w:p>
      <w:pPr>
        <w:spacing w:line="46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邮政编码:</w:t>
      </w:r>
    </w:p>
    <w:p>
      <w:pPr>
        <w:spacing w:line="460" w:lineRule="exact"/>
        <w:rPr>
          <w:rFonts w:hint="eastAsia" w:asciiTheme="minorEastAsia" w:hAnsiTheme="minorEastAsia" w:eastAsiaTheme="minorEastAsia" w:cstheme="minorEastAsia"/>
          <w:color w:val="auto"/>
          <w:sz w:val="22"/>
          <w:szCs w:val="22"/>
        </w:rPr>
      </w:pPr>
    </w:p>
    <w:p>
      <w:pPr>
        <w:spacing w:line="460" w:lineRule="exact"/>
        <w:rPr>
          <w:rFonts w:hint="eastAsia" w:asciiTheme="minorEastAsia" w:hAnsiTheme="minorEastAsia" w:eastAsiaTheme="minorEastAsia" w:cstheme="minorEastAsia"/>
          <w:bCs/>
          <w:color w:val="auto"/>
          <w:sz w:val="22"/>
          <w:szCs w:val="22"/>
        </w:rPr>
      </w:pPr>
    </w:p>
    <w:p>
      <w:pPr>
        <w:spacing w:line="460" w:lineRule="exact"/>
        <w:rPr>
          <w:rFonts w:hint="eastAsia" w:asciiTheme="minorEastAsia" w:hAnsiTheme="minorEastAsia" w:eastAsiaTheme="minorEastAsia" w:cstheme="minorEastAsia"/>
          <w:bCs/>
          <w:color w:val="auto"/>
          <w:sz w:val="22"/>
          <w:szCs w:val="22"/>
        </w:rPr>
      </w:pPr>
    </w:p>
    <w:p>
      <w:pPr>
        <w:spacing w:line="380" w:lineRule="exact"/>
        <w:rPr>
          <w:rFonts w:hint="eastAsia" w:asciiTheme="minorEastAsia" w:hAnsiTheme="minorEastAsia" w:eastAsiaTheme="minorEastAsia" w:cstheme="minorEastAsia"/>
          <w:bCs/>
          <w:color w:val="auto"/>
          <w:sz w:val="22"/>
          <w:szCs w:val="22"/>
        </w:rPr>
      </w:pPr>
    </w:p>
    <w:p>
      <w:pPr>
        <w:spacing w:line="380" w:lineRule="exact"/>
        <w:rPr>
          <w:rFonts w:hint="eastAsia" w:asciiTheme="minorEastAsia" w:hAnsiTheme="minorEastAsia" w:eastAsiaTheme="minorEastAsia" w:cstheme="minorEastAsia"/>
          <w:bCs/>
          <w:color w:val="auto"/>
          <w:sz w:val="22"/>
          <w:szCs w:val="22"/>
        </w:rPr>
      </w:pPr>
    </w:p>
    <w:p>
      <w:pPr>
        <w:spacing w:line="380" w:lineRule="exact"/>
        <w:rPr>
          <w:rFonts w:hint="eastAsia" w:asciiTheme="minorEastAsia" w:hAnsiTheme="minorEastAsia" w:eastAsiaTheme="minorEastAsia" w:cstheme="minorEastAsia"/>
          <w:bCs/>
          <w:color w:val="auto"/>
          <w:sz w:val="22"/>
          <w:szCs w:val="22"/>
        </w:rPr>
      </w:pPr>
    </w:p>
    <w:p>
      <w:pPr>
        <w:spacing w:line="380" w:lineRule="exact"/>
        <w:rPr>
          <w:rFonts w:hint="eastAsia" w:asciiTheme="minorEastAsia" w:hAnsiTheme="minorEastAsia" w:eastAsiaTheme="minorEastAsia" w:cstheme="minorEastAsia"/>
          <w:bCs/>
          <w:color w:val="auto"/>
          <w:sz w:val="22"/>
          <w:szCs w:val="22"/>
        </w:rPr>
      </w:pPr>
    </w:p>
    <w:p>
      <w:pPr>
        <w:spacing w:line="380" w:lineRule="exact"/>
        <w:rPr>
          <w:rFonts w:hint="eastAsia" w:asciiTheme="minorEastAsia" w:hAnsiTheme="minorEastAsia" w:eastAsiaTheme="minorEastAsia" w:cstheme="minorEastAsia"/>
          <w:bCs/>
          <w:color w:val="auto"/>
          <w:sz w:val="22"/>
          <w:szCs w:val="22"/>
        </w:rPr>
      </w:pPr>
    </w:p>
    <w:p>
      <w:pPr>
        <w:pStyle w:val="3"/>
        <w:snapToGrid w:val="0"/>
        <w:rPr>
          <w:rFonts w:hint="eastAsia" w:asciiTheme="minorEastAsia" w:hAnsiTheme="minorEastAsia" w:eastAsiaTheme="minorEastAsia" w:cstheme="minorEastAsia"/>
          <w:color w:val="auto"/>
          <w:sz w:val="22"/>
          <w:szCs w:val="22"/>
        </w:rPr>
        <w:sectPr>
          <w:pgSz w:w="11906" w:h="16838"/>
          <w:pgMar w:top="1134" w:right="1134" w:bottom="1134" w:left="1134" w:header="851" w:footer="992" w:gutter="284"/>
          <w:pgNumType w:fmt="decimal"/>
          <w:cols w:space="720" w:num="1"/>
          <w:docGrid w:linePitch="312" w:charSpace="0"/>
        </w:sectPr>
      </w:pPr>
    </w:p>
    <w:p>
      <w:pPr>
        <w:autoSpaceDE w:val="0"/>
        <w:autoSpaceDN w:val="0"/>
        <w:adjustRightInd w:val="0"/>
        <w:spacing w:line="440" w:lineRule="atLeast"/>
        <w:jc w:val="center"/>
        <w:rPr>
          <w:rFonts w:hint="eastAsia" w:asciiTheme="minorEastAsia" w:hAnsiTheme="minorEastAsia" w:eastAsiaTheme="minorEastAsia" w:cstheme="minorEastAsia"/>
          <w:color w:val="auto"/>
          <w:sz w:val="32"/>
          <w:szCs w:val="32"/>
          <w:lang w:val="zh-CN"/>
        </w:rPr>
      </w:pPr>
      <w:bookmarkStart w:id="44" w:name="_Toc133657116"/>
      <w:bookmarkStart w:id="45" w:name="_Toc183079084"/>
      <w:r>
        <w:rPr>
          <w:rFonts w:hint="eastAsia" w:asciiTheme="minorEastAsia" w:hAnsiTheme="minorEastAsia" w:eastAsiaTheme="minorEastAsia" w:cstheme="minorEastAsia"/>
          <w:color w:val="auto"/>
          <w:sz w:val="32"/>
          <w:szCs w:val="32"/>
          <w:lang w:val="zh-CN"/>
        </w:rPr>
        <w:t>（二）投标供应商情况声明</w:t>
      </w:r>
    </w:p>
    <w:p>
      <w:pPr>
        <w:autoSpaceDE w:val="0"/>
        <w:autoSpaceDN w:val="0"/>
        <w:adjustRightInd w:val="0"/>
        <w:spacing w:line="440" w:lineRule="atLeast"/>
        <w:jc w:val="center"/>
        <w:rPr>
          <w:rFonts w:hint="eastAsia" w:asciiTheme="minorEastAsia" w:hAnsiTheme="minorEastAsia" w:eastAsiaTheme="minorEastAsia" w:cstheme="minorEastAsia"/>
          <w:color w:val="auto"/>
          <w:sz w:val="36"/>
          <w:szCs w:val="36"/>
          <w:lang w:val="zh-CN"/>
        </w:rPr>
      </w:pP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 名称及概况：</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（1）投标供应商名称：</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（2）总部地址：</w:t>
      </w:r>
      <w:r>
        <w:rPr>
          <w:rFonts w:hint="eastAsia" w:asciiTheme="minorEastAsia" w:hAnsiTheme="minorEastAsia" w:eastAsiaTheme="minorEastAsia" w:cstheme="minorEastAsia"/>
          <w:color w:val="auto"/>
          <w:sz w:val="22"/>
          <w:szCs w:val="22"/>
          <w:u w:val="single"/>
        </w:rPr>
        <w:t xml:space="preserve">                             </w:t>
      </w:r>
    </w:p>
    <w:p>
      <w:pPr>
        <w:spacing w:line="400" w:lineRule="exact"/>
        <w:ind w:firstLine="6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传真/电话号码：</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（3）成立或注册日期：</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（4）近期资产负债表（到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年</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月</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日止）</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1）固定资产：</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2）流动资产：</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3）长期负债：</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4）流动负债：</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5）净值：</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（6）主要负责人姓名：</w:t>
      </w:r>
      <w:r>
        <w:rPr>
          <w:rFonts w:hint="eastAsia" w:asciiTheme="minorEastAsia" w:hAnsiTheme="minorEastAsia" w:eastAsiaTheme="minorEastAsia" w:cstheme="minorEastAsia"/>
          <w:color w:val="auto"/>
          <w:sz w:val="22"/>
          <w:szCs w:val="22"/>
          <w:u w:val="single"/>
        </w:rPr>
        <w:t xml:space="preserve">                      </w:t>
      </w:r>
    </w:p>
    <w:p>
      <w:pPr>
        <w:spacing w:line="360" w:lineRule="exact"/>
        <w:ind w:left="660" w:hanging="660" w:hangingChars="3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2．企业生产设备及规模：</w:t>
      </w:r>
    </w:p>
    <w:p>
      <w:pPr>
        <w:spacing w:line="360" w:lineRule="exact"/>
        <w:ind w:left="660" w:hanging="660" w:hangingChars="3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 企业人员情况：</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职工（在职）人数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人，其中技术人员</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人，</w:t>
      </w:r>
    </w:p>
    <w:p>
      <w:pPr>
        <w:spacing w:line="360" w:lineRule="exact"/>
        <w:ind w:left="660" w:hanging="660" w:hangingChars="3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 近三年的年营业总额</w:t>
      </w:r>
      <w:r>
        <w:rPr>
          <w:rFonts w:hint="eastAsia" w:asciiTheme="minorEastAsia" w:hAnsiTheme="minorEastAsia" w:eastAsiaTheme="minorEastAsia" w:cstheme="minorEastAsia"/>
          <w:color w:val="auto"/>
          <w:sz w:val="22"/>
          <w:szCs w:val="22"/>
          <w:u w:val="single"/>
        </w:rPr>
        <w:t xml:space="preserve">                       </w:t>
      </w:r>
    </w:p>
    <w:p>
      <w:pPr>
        <w:spacing w:line="40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兹证明上述声明是真实、正确的、并提供了全部能提供的资料和数据，我们同意遵照贵方要求出示有关证明文件。</w:t>
      </w:r>
    </w:p>
    <w:p>
      <w:pPr>
        <w:spacing w:line="400" w:lineRule="exact"/>
        <w:rPr>
          <w:rFonts w:hint="eastAsia" w:asciiTheme="minorEastAsia" w:hAnsiTheme="minorEastAsia" w:eastAsiaTheme="minorEastAsia" w:cstheme="minorEastAsia"/>
          <w:color w:val="auto"/>
          <w:sz w:val="22"/>
          <w:szCs w:val="22"/>
        </w:rPr>
      </w:pP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投标供应商名称</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法定代表人姓名和职务</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授权代表人</w:t>
      </w: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color w:val="auto"/>
          <w:sz w:val="22"/>
          <w:szCs w:val="22"/>
        </w:rPr>
        <w:t>签字</w:t>
      </w:r>
      <w:r>
        <w:rPr>
          <w:rFonts w:hint="eastAsia" w:asciiTheme="minorEastAsia" w:hAnsiTheme="minorEastAsia" w:eastAsiaTheme="minorEastAsia" w:cstheme="minorEastAsia"/>
          <w:color w:val="auto"/>
          <w:sz w:val="22"/>
          <w:szCs w:val="22"/>
          <w:lang w:eastAsia="zh-CN"/>
        </w:rPr>
        <w:t>或盖章）</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签字日期</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u w:val="single"/>
        </w:rPr>
        <w:t xml:space="preserve">      </w:t>
      </w:r>
    </w:p>
    <w:p>
      <w:pPr>
        <w:spacing w:line="360" w:lineRule="exact"/>
        <w:jc w:val="left"/>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color w:val="auto"/>
          <w:sz w:val="22"/>
          <w:szCs w:val="22"/>
        </w:rPr>
        <w:t>电子邮件</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u w:val="single"/>
        </w:rPr>
        <w:t xml:space="preserve">      </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5. 投标单位有效营业执照副本（复印件，加盖单位公章）</w:t>
      </w:r>
    </w:p>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6．投标单位资格资质证书及</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要求提供的资格证明、证书（复印件，加盖单位公章）</w:t>
      </w:r>
    </w:p>
    <w:p>
      <w:pPr>
        <w:pStyle w:val="17"/>
        <w:snapToGrid w:val="0"/>
        <w:spacing w:line="400" w:lineRule="exact"/>
        <w:rPr>
          <w:rFonts w:hint="eastAsia" w:asciiTheme="minorEastAsia" w:hAnsiTheme="minorEastAsia" w:eastAsiaTheme="minorEastAsia" w:cstheme="minorEastAsia"/>
          <w:color w:val="auto"/>
          <w:sz w:val="24"/>
        </w:rPr>
      </w:pPr>
    </w:p>
    <w:p>
      <w:pPr>
        <w:tabs>
          <w:tab w:val="left" w:pos="3210"/>
        </w:tabs>
        <w:autoSpaceDE w:val="0"/>
        <w:autoSpaceDN w:val="0"/>
        <w:adjustRightInd w:val="0"/>
        <w:rPr>
          <w:rFonts w:hint="eastAsia" w:asciiTheme="minorEastAsia" w:hAnsiTheme="minorEastAsia" w:eastAsiaTheme="minorEastAsia" w:cstheme="minorEastAsia"/>
          <w:color w:val="auto"/>
          <w:sz w:val="36"/>
          <w:szCs w:val="36"/>
          <w:lang w:val="zh-CN"/>
        </w:rPr>
      </w:pPr>
      <w:r>
        <w:rPr>
          <w:rFonts w:hint="eastAsia" w:asciiTheme="minorEastAsia" w:hAnsiTheme="minorEastAsia" w:eastAsiaTheme="minorEastAsia" w:cstheme="minorEastAsia"/>
          <w:color w:val="auto"/>
          <w:sz w:val="36"/>
          <w:szCs w:val="36"/>
          <w:lang w:val="zh-CN"/>
        </w:rPr>
        <w:tab/>
      </w:r>
    </w:p>
    <w:p>
      <w:pPr>
        <w:tabs>
          <w:tab w:val="left" w:pos="3210"/>
        </w:tabs>
        <w:autoSpaceDE w:val="0"/>
        <w:autoSpaceDN w:val="0"/>
        <w:adjustRightInd w:val="0"/>
        <w:rPr>
          <w:rFonts w:hint="eastAsia" w:asciiTheme="minorEastAsia" w:hAnsiTheme="minorEastAsia" w:eastAsiaTheme="minorEastAsia" w:cstheme="minorEastAsia"/>
          <w:color w:val="auto"/>
          <w:sz w:val="36"/>
          <w:szCs w:val="36"/>
          <w:lang w:val="zh-CN"/>
        </w:rPr>
      </w:pPr>
    </w:p>
    <w:p>
      <w:pPr>
        <w:pStyle w:val="2"/>
        <w:rPr>
          <w:rFonts w:hint="eastAsia" w:asciiTheme="minorEastAsia" w:hAnsiTheme="minorEastAsia" w:eastAsiaTheme="minorEastAsia" w:cstheme="minorEastAsia"/>
          <w:color w:val="auto"/>
          <w:sz w:val="36"/>
          <w:szCs w:val="36"/>
          <w:lang w:val="zh-CN"/>
        </w:rPr>
      </w:pPr>
    </w:p>
    <w:p>
      <w:pPr>
        <w:pStyle w:val="4"/>
        <w:rPr>
          <w:rFonts w:hint="eastAsia" w:asciiTheme="minorEastAsia" w:hAnsiTheme="minorEastAsia" w:eastAsiaTheme="minorEastAsia" w:cstheme="minorEastAsia"/>
          <w:color w:val="auto"/>
          <w:sz w:val="36"/>
          <w:szCs w:val="36"/>
          <w:lang w:val="zh-CN"/>
        </w:rPr>
      </w:pPr>
    </w:p>
    <w:p>
      <w:pPr>
        <w:rPr>
          <w:rFonts w:hint="eastAsia"/>
          <w:color w:val="auto"/>
          <w:lang w:val="zh-CN"/>
        </w:rPr>
      </w:pPr>
    </w:p>
    <w:p>
      <w:pPr>
        <w:pStyle w:val="14"/>
        <w:ind w:firstLine="480"/>
        <w:rPr>
          <w:rFonts w:hint="eastAsia" w:asciiTheme="minorEastAsia" w:hAnsiTheme="minorEastAsia" w:eastAsiaTheme="minorEastAsia" w:cstheme="minorEastAsia"/>
          <w:color w:val="auto"/>
          <w:lang w:val="zh-CN"/>
        </w:rPr>
      </w:pPr>
    </w:p>
    <w:p>
      <w:pPr>
        <w:pStyle w:val="17"/>
        <w:snapToGrid w:val="0"/>
        <w:spacing w:line="440" w:lineRule="atLeast"/>
        <w:ind w:firstLine="442"/>
        <w:outlineLvl w:val="0"/>
        <w:rPr>
          <w:rFonts w:hint="eastAsia" w:asciiTheme="minorEastAsia" w:hAnsiTheme="minorEastAsia" w:eastAsiaTheme="minorEastAsia" w:cstheme="minorEastAsia"/>
          <w:color w:val="auto"/>
          <w:sz w:val="22"/>
          <w:szCs w:val="22"/>
        </w:rPr>
      </w:pPr>
      <w:bookmarkStart w:id="46" w:name="_Toc452652229"/>
      <w:r>
        <w:rPr>
          <w:rFonts w:hint="eastAsia" w:asciiTheme="minorEastAsia" w:hAnsiTheme="minorEastAsia" w:eastAsiaTheme="minorEastAsia" w:cstheme="minorEastAsia"/>
          <w:color w:val="auto"/>
          <w:sz w:val="22"/>
          <w:szCs w:val="22"/>
        </w:rPr>
        <w:t>附件</w:t>
      </w:r>
      <w:bookmarkEnd w:id="46"/>
      <w:r>
        <w:rPr>
          <w:rFonts w:hint="eastAsia" w:asciiTheme="minorEastAsia" w:hAnsiTheme="minorEastAsia" w:eastAsiaTheme="minorEastAsia" w:cstheme="minorEastAsia"/>
          <w:color w:val="auto"/>
          <w:sz w:val="22"/>
          <w:szCs w:val="22"/>
        </w:rPr>
        <w:t>五</w:t>
      </w:r>
    </w:p>
    <w:p>
      <w:pPr>
        <w:jc w:val="center"/>
        <w:rPr>
          <w:rFonts w:hint="eastAsia" w:asciiTheme="minorEastAsia" w:hAnsiTheme="minorEastAsia" w:eastAsiaTheme="minorEastAsia" w:cstheme="minorEastAsia"/>
          <w:color w:val="auto"/>
          <w:sz w:val="36"/>
          <w:szCs w:val="36"/>
        </w:rPr>
      </w:pPr>
    </w:p>
    <w:p>
      <w:pPr>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进场机具、设备明细表</w:t>
      </w:r>
    </w:p>
    <w:tbl>
      <w:tblPr>
        <w:tblStyle w:val="39"/>
        <w:tblpPr w:leftFromText="180" w:rightFromText="180" w:vertAnchor="text" w:horzAnchor="margin" w:tblpX="108" w:tblpY="533"/>
        <w:tblW w:w="90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83"/>
        <w:gridCol w:w="1260"/>
        <w:gridCol w:w="1455"/>
        <w:gridCol w:w="1247"/>
        <w:gridCol w:w="1247"/>
        <w:gridCol w:w="831"/>
        <w:gridCol w:w="1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trPr>
        <w:tc>
          <w:tcPr>
            <w:tcW w:w="675"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序号</w:t>
            </w:r>
          </w:p>
        </w:tc>
        <w:tc>
          <w:tcPr>
            <w:tcW w:w="1183"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设备名称</w:t>
            </w:r>
          </w:p>
        </w:tc>
        <w:tc>
          <w:tcPr>
            <w:tcW w:w="1260"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规格型号</w:t>
            </w:r>
          </w:p>
        </w:tc>
        <w:tc>
          <w:tcPr>
            <w:tcW w:w="1455"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品牌/产地</w:t>
            </w:r>
          </w:p>
        </w:tc>
        <w:tc>
          <w:tcPr>
            <w:tcW w:w="1247"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已使用</w:t>
            </w:r>
          </w:p>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年限</w:t>
            </w:r>
          </w:p>
        </w:tc>
        <w:tc>
          <w:tcPr>
            <w:tcW w:w="1247" w:type="dxa"/>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总质量（吨）</w:t>
            </w:r>
          </w:p>
        </w:tc>
        <w:tc>
          <w:tcPr>
            <w:tcW w:w="831"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数量（台）</w:t>
            </w:r>
          </w:p>
        </w:tc>
        <w:tc>
          <w:tcPr>
            <w:tcW w:w="1200"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 价格(元)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183"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60" w:type="dxa"/>
          </w:tcPr>
          <w:p>
            <w:pPr>
              <w:spacing w:line="360" w:lineRule="auto"/>
              <w:jc w:val="center"/>
              <w:rPr>
                <w:rFonts w:hint="eastAsia" w:asciiTheme="minorEastAsia" w:hAnsiTheme="minorEastAsia" w:eastAsiaTheme="minorEastAsia" w:cstheme="minorEastAsia"/>
                <w:color w:val="auto"/>
                <w:sz w:val="22"/>
                <w:szCs w:val="22"/>
              </w:rPr>
            </w:pPr>
          </w:p>
        </w:tc>
        <w:tc>
          <w:tcPr>
            <w:tcW w:w="145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tcPr>
          <w:p>
            <w:pPr>
              <w:spacing w:line="360" w:lineRule="auto"/>
              <w:jc w:val="center"/>
              <w:rPr>
                <w:rFonts w:hint="eastAsia" w:asciiTheme="minorEastAsia" w:hAnsiTheme="minorEastAsia" w:eastAsiaTheme="minorEastAsia" w:cstheme="minorEastAsia"/>
                <w:color w:val="auto"/>
                <w:sz w:val="22"/>
                <w:szCs w:val="22"/>
              </w:rPr>
            </w:pPr>
          </w:p>
        </w:tc>
        <w:tc>
          <w:tcPr>
            <w:tcW w:w="831" w:type="dxa"/>
          </w:tcPr>
          <w:p>
            <w:pPr>
              <w:spacing w:line="360" w:lineRule="auto"/>
              <w:jc w:val="center"/>
              <w:rPr>
                <w:rFonts w:hint="eastAsia" w:asciiTheme="minorEastAsia" w:hAnsiTheme="minorEastAsia" w:eastAsiaTheme="minorEastAsia" w:cstheme="minorEastAsia"/>
                <w:color w:val="auto"/>
                <w:sz w:val="22"/>
                <w:szCs w:val="22"/>
              </w:rPr>
            </w:pPr>
          </w:p>
        </w:tc>
        <w:tc>
          <w:tcPr>
            <w:tcW w:w="1200"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183"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60" w:type="dxa"/>
          </w:tcPr>
          <w:p>
            <w:pPr>
              <w:spacing w:line="360" w:lineRule="auto"/>
              <w:jc w:val="center"/>
              <w:rPr>
                <w:rFonts w:hint="eastAsia" w:asciiTheme="minorEastAsia" w:hAnsiTheme="minorEastAsia" w:eastAsiaTheme="minorEastAsia" w:cstheme="minorEastAsia"/>
                <w:color w:val="auto"/>
                <w:sz w:val="22"/>
                <w:szCs w:val="22"/>
              </w:rPr>
            </w:pPr>
          </w:p>
        </w:tc>
        <w:tc>
          <w:tcPr>
            <w:tcW w:w="145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tcPr>
          <w:p>
            <w:pPr>
              <w:spacing w:line="360" w:lineRule="auto"/>
              <w:jc w:val="center"/>
              <w:rPr>
                <w:rFonts w:hint="eastAsia" w:asciiTheme="minorEastAsia" w:hAnsiTheme="minorEastAsia" w:eastAsiaTheme="minorEastAsia" w:cstheme="minorEastAsia"/>
                <w:color w:val="auto"/>
                <w:sz w:val="22"/>
                <w:szCs w:val="22"/>
              </w:rPr>
            </w:pPr>
          </w:p>
        </w:tc>
        <w:tc>
          <w:tcPr>
            <w:tcW w:w="831" w:type="dxa"/>
          </w:tcPr>
          <w:p>
            <w:pPr>
              <w:spacing w:line="360" w:lineRule="auto"/>
              <w:jc w:val="center"/>
              <w:rPr>
                <w:rFonts w:hint="eastAsia" w:asciiTheme="minorEastAsia" w:hAnsiTheme="minorEastAsia" w:eastAsiaTheme="minorEastAsia" w:cstheme="minorEastAsia"/>
                <w:color w:val="auto"/>
                <w:sz w:val="22"/>
                <w:szCs w:val="22"/>
              </w:rPr>
            </w:pPr>
          </w:p>
        </w:tc>
        <w:tc>
          <w:tcPr>
            <w:tcW w:w="1200"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183"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60" w:type="dxa"/>
          </w:tcPr>
          <w:p>
            <w:pPr>
              <w:spacing w:line="360" w:lineRule="auto"/>
              <w:jc w:val="center"/>
              <w:rPr>
                <w:rFonts w:hint="eastAsia" w:asciiTheme="minorEastAsia" w:hAnsiTheme="minorEastAsia" w:eastAsiaTheme="minorEastAsia" w:cstheme="minorEastAsia"/>
                <w:color w:val="auto"/>
                <w:sz w:val="22"/>
                <w:szCs w:val="22"/>
              </w:rPr>
            </w:pPr>
          </w:p>
        </w:tc>
        <w:tc>
          <w:tcPr>
            <w:tcW w:w="145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tcPr>
          <w:p>
            <w:pPr>
              <w:spacing w:line="360" w:lineRule="auto"/>
              <w:jc w:val="center"/>
              <w:rPr>
                <w:rFonts w:hint="eastAsia" w:asciiTheme="minorEastAsia" w:hAnsiTheme="minorEastAsia" w:eastAsiaTheme="minorEastAsia" w:cstheme="minorEastAsia"/>
                <w:color w:val="auto"/>
                <w:sz w:val="22"/>
                <w:szCs w:val="22"/>
              </w:rPr>
            </w:pPr>
          </w:p>
        </w:tc>
        <w:tc>
          <w:tcPr>
            <w:tcW w:w="831" w:type="dxa"/>
          </w:tcPr>
          <w:p>
            <w:pPr>
              <w:spacing w:line="360" w:lineRule="auto"/>
              <w:jc w:val="center"/>
              <w:rPr>
                <w:rFonts w:hint="eastAsia" w:asciiTheme="minorEastAsia" w:hAnsiTheme="minorEastAsia" w:eastAsiaTheme="minorEastAsia" w:cstheme="minorEastAsia"/>
                <w:color w:val="auto"/>
                <w:sz w:val="22"/>
                <w:szCs w:val="22"/>
              </w:rPr>
            </w:pPr>
          </w:p>
        </w:tc>
        <w:tc>
          <w:tcPr>
            <w:tcW w:w="1200"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183"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60" w:type="dxa"/>
          </w:tcPr>
          <w:p>
            <w:pPr>
              <w:spacing w:line="360" w:lineRule="auto"/>
              <w:jc w:val="center"/>
              <w:rPr>
                <w:rFonts w:hint="eastAsia" w:asciiTheme="minorEastAsia" w:hAnsiTheme="minorEastAsia" w:eastAsiaTheme="minorEastAsia" w:cstheme="minorEastAsia"/>
                <w:color w:val="auto"/>
                <w:sz w:val="22"/>
                <w:szCs w:val="22"/>
              </w:rPr>
            </w:pPr>
          </w:p>
        </w:tc>
        <w:tc>
          <w:tcPr>
            <w:tcW w:w="145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tcPr>
          <w:p>
            <w:pPr>
              <w:spacing w:line="360" w:lineRule="auto"/>
              <w:jc w:val="center"/>
              <w:rPr>
                <w:rFonts w:hint="eastAsia" w:asciiTheme="minorEastAsia" w:hAnsiTheme="minorEastAsia" w:eastAsiaTheme="minorEastAsia" w:cstheme="minorEastAsia"/>
                <w:color w:val="auto"/>
                <w:sz w:val="22"/>
                <w:szCs w:val="22"/>
              </w:rPr>
            </w:pPr>
          </w:p>
        </w:tc>
        <w:tc>
          <w:tcPr>
            <w:tcW w:w="831" w:type="dxa"/>
          </w:tcPr>
          <w:p>
            <w:pPr>
              <w:spacing w:line="360" w:lineRule="auto"/>
              <w:jc w:val="center"/>
              <w:rPr>
                <w:rFonts w:hint="eastAsia" w:asciiTheme="minorEastAsia" w:hAnsiTheme="minorEastAsia" w:eastAsiaTheme="minorEastAsia" w:cstheme="minorEastAsia"/>
                <w:color w:val="auto"/>
                <w:sz w:val="22"/>
                <w:szCs w:val="22"/>
              </w:rPr>
            </w:pPr>
          </w:p>
        </w:tc>
        <w:tc>
          <w:tcPr>
            <w:tcW w:w="1200"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trPr>
        <w:tc>
          <w:tcPr>
            <w:tcW w:w="67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183"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60" w:type="dxa"/>
          </w:tcPr>
          <w:p>
            <w:pPr>
              <w:spacing w:line="360" w:lineRule="auto"/>
              <w:jc w:val="center"/>
              <w:rPr>
                <w:rFonts w:hint="eastAsia" w:asciiTheme="minorEastAsia" w:hAnsiTheme="minorEastAsia" w:eastAsiaTheme="minorEastAsia" w:cstheme="minorEastAsia"/>
                <w:color w:val="auto"/>
                <w:sz w:val="22"/>
                <w:szCs w:val="22"/>
              </w:rPr>
            </w:pPr>
          </w:p>
        </w:tc>
        <w:tc>
          <w:tcPr>
            <w:tcW w:w="1455"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247" w:type="dxa"/>
          </w:tcPr>
          <w:p>
            <w:pPr>
              <w:spacing w:line="360" w:lineRule="auto"/>
              <w:jc w:val="center"/>
              <w:rPr>
                <w:rFonts w:hint="eastAsia" w:asciiTheme="minorEastAsia" w:hAnsiTheme="minorEastAsia" w:eastAsiaTheme="minorEastAsia" w:cstheme="minorEastAsia"/>
                <w:color w:val="auto"/>
                <w:sz w:val="22"/>
                <w:szCs w:val="22"/>
              </w:rPr>
            </w:pPr>
          </w:p>
        </w:tc>
        <w:tc>
          <w:tcPr>
            <w:tcW w:w="831" w:type="dxa"/>
          </w:tcPr>
          <w:p>
            <w:pPr>
              <w:spacing w:line="360" w:lineRule="auto"/>
              <w:jc w:val="center"/>
              <w:rPr>
                <w:rFonts w:hint="eastAsia" w:asciiTheme="minorEastAsia" w:hAnsiTheme="minorEastAsia" w:eastAsiaTheme="minorEastAsia" w:cstheme="minorEastAsia"/>
                <w:color w:val="auto"/>
                <w:sz w:val="22"/>
                <w:szCs w:val="22"/>
              </w:rPr>
            </w:pPr>
          </w:p>
        </w:tc>
        <w:tc>
          <w:tcPr>
            <w:tcW w:w="1200"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bl>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项目名称：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 xml:space="preserve">   </w:t>
      </w:r>
      <w:r>
        <w:rPr>
          <w:rFonts w:hint="eastAsia" w:asciiTheme="minorEastAsia" w:hAnsiTheme="minorEastAsia" w:eastAsiaTheme="minorEastAsia" w:cstheme="minorEastAsia"/>
          <w:color w:val="auto"/>
          <w:sz w:val="22"/>
          <w:szCs w:val="22"/>
          <w:lang w:eastAsia="zh-CN"/>
        </w:rPr>
        <w:t>项目编号</w:t>
      </w:r>
      <w:r>
        <w:rPr>
          <w:rFonts w:hint="eastAsia" w:asciiTheme="minorEastAsia" w:hAnsiTheme="minorEastAsia" w:eastAsiaTheme="minorEastAsia" w:cstheme="minorEastAsia"/>
          <w:color w:val="auto"/>
          <w:sz w:val="22"/>
          <w:szCs w:val="22"/>
        </w:rPr>
        <w:t>：</w:t>
      </w:r>
    </w:p>
    <w:p>
      <w:pPr>
        <w:pStyle w:val="17"/>
        <w:spacing w:line="440" w:lineRule="exact"/>
        <w:rPr>
          <w:rFonts w:hint="eastAsia" w:asciiTheme="minorEastAsia" w:hAnsiTheme="minorEastAsia" w:eastAsiaTheme="minorEastAsia" w:cstheme="minorEastAsia"/>
          <w:color w:val="auto"/>
          <w:sz w:val="22"/>
          <w:szCs w:val="22"/>
        </w:rPr>
      </w:pPr>
    </w:p>
    <w:p>
      <w:pPr>
        <w:pStyle w:val="17"/>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注：1、本表所列为供应商拟投入的作业机具、设备清单。</w:t>
      </w:r>
    </w:p>
    <w:p>
      <w:pPr>
        <w:pStyle w:val="17"/>
        <w:spacing w:line="440" w:lineRule="exact"/>
        <w:ind w:left="437" w:leftChars="208"/>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2、本表所列设备价格不计入投标总价，但应在投标价格中考虑机具、设备的损耗、折旧及有关费用。</w:t>
      </w:r>
    </w:p>
    <w:p>
      <w:pPr>
        <w:pStyle w:val="17"/>
        <w:spacing w:line="44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3、此表仅提供了表格形式，供应商可按此表格编制。</w:t>
      </w:r>
    </w:p>
    <w:p>
      <w:pPr>
        <w:pStyle w:val="17"/>
        <w:spacing w:line="440" w:lineRule="exact"/>
        <w:ind w:left="657" w:leftChars="313"/>
        <w:rPr>
          <w:rFonts w:hint="eastAsia" w:asciiTheme="minorEastAsia" w:hAnsiTheme="minorEastAsia" w:eastAsiaTheme="minorEastAsia" w:cstheme="minorEastAsia"/>
          <w:color w:val="auto"/>
          <w:sz w:val="22"/>
          <w:szCs w:val="22"/>
        </w:rPr>
      </w:pPr>
    </w:p>
    <w:p>
      <w:pPr>
        <w:pStyle w:val="17"/>
        <w:spacing w:line="44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供应商名称（盖章）：</w:t>
      </w:r>
    </w:p>
    <w:p>
      <w:pPr>
        <w:pStyle w:val="17"/>
        <w:spacing w:line="44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法定代表人或授权代表（签字或盖章）：</w:t>
      </w:r>
    </w:p>
    <w:p>
      <w:pPr>
        <w:pStyle w:val="17"/>
        <w:spacing w:line="44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日    期：   </w:t>
      </w:r>
    </w:p>
    <w:p>
      <w:pPr>
        <w:widowControl/>
        <w:autoSpaceDE w:val="0"/>
        <w:autoSpaceDN w:val="0"/>
        <w:adjustRightInd w:val="0"/>
        <w:spacing w:line="460" w:lineRule="atLeast"/>
        <w:textAlignment w:val="bottom"/>
        <w:rPr>
          <w:rFonts w:hint="eastAsia" w:asciiTheme="minorEastAsia" w:hAnsiTheme="minorEastAsia" w:eastAsiaTheme="minorEastAsia" w:cstheme="minorEastAsia"/>
          <w:bCs/>
          <w:color w:val="auto"/>
          <w:sz w:val="22"/>
          <w:szCs w:val="22"/>
        </w:rPr>
      </w:pPr>
    </w:p>
    <w:p>
      <w:pPr>
        <w:widowControl/>
        <w:autoSpaceDE w:val="0"/>
        <w:autoSpaceDN w:val="0"/>
        <w:adjustRightInd w:val="0"/>
        <w:spacing w:line="460" w:lineRule="atLeast"/>
        <w:textAlignment w:val="bottom"/>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4"/>
        <w:ind w:firstLine="440"/>
        <w:rPr>
          <w:rFonts w:hint="eastAsia" w:asciiTheme="minorEastAsia" w:hAnsiTheme="minorEastAsia" w:eastAsiaTheme="minorEastAsia" w:cstheme="minorEastAsia"/>
          <w:bCs/>
          <w:color w:val="auto"/>
          <w:sz w:val="22"/>
          <w:szCs w:val="22"/>
        </w:rPr>
      </w:pPr>
    </w:p>
    <w:p>
      <w:pPr>
        <w:pStyle w:val="17"/>
        <w:snapToGrid w:val="0"/>
        <w:spacing w:line="440" w:lineRule="atLeast"/>
        <w:ind w:firstLine="480"/>
        <w:outlineLvl w:val="0"/>
        <w:rPr>
          <w:rFonts w:hint="eastAsia" w:asciiTheme="minorEastAsia" w:hAnsiTheme="minorEastAsia" w:eastAsiaTheme="minorEastAsia" w:cstheme="minorEastAsia"/>
          <w:color w:val="auto"/>
          <w:sz w:val="22"/>
          <w:szCs w:val="22"/>
        </w:rPr>
      </w:pPr>
      <w:bookmarkStart w:id="47" w:name="_Toc452652230"/>
      <w:r>
        <w:rPr>
          <w:rFonts w:hint="eastAsia" w:asciiTheme="minorEastAsia" w:hAnsiTheme="minorEastAsia" w:eastAsiaTheme="minorEastAsia" w:cstheme="minorEastAsia"/>
          <w:color w:val="auto"/>
          <w:sz w:val="22"/>
          <w:szCs w:val="22"/>
        </w:rPr>
        <w:t>附件</w:t>
      </w:r>
      <w:bookmarkEnd w:id="47"/>
      <w:r>
        <w:rPr>
          <w:rFonts w:hint="eastAsia" w:asciiTheme="minorEastAsia" w:hAnsiTheme="minorEastAsia" w:eastAsiaTheme="minorEastAsia" w:cstheme="minorEastAsia"/>
          <w:color w:val="auto"/>
          <w:sz w:val="22"/>
          <w:szCs w:val="22"/>
        </w:rPr>
        <w:t>六</w:t>
      </w:r>
    </w:p>
    <w:p>
      <w:pPr>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耗材配备明细表</w:t>
      </w:r>
    </w:p>
    <w:tbl>
      <w:tblPr>
        <w:tblStyle w:val="39"/>
        <w:tblpPr w:leftFromText="180" w:rightFromText="180" w:vertAnchor="text" w:horzAnchor="margin" w:tblpXSpec="center" w:tblpY="533"/>
        <w:tblW w:w="98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0"/>
        <w:gridCol w:w="1502"/>
        <w:gridCol w:w="1680"/>
        <w:gridCol w:w="1892"/>
        <w:gridCol w:w="1050"/>
        <w:gridCol w:w="1293"/>
        <w:gridCol w:w="16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3" w:hRule="atLeast"/>
        </w:trPr>
        <w:tc>
          <w:tcPr>
            <w:tcW w:w="820" w:type="dxa"/>
            <w:vAlign w:val="center"/>
          </w:tcPr>
          <w:p>
            <w:pPr>
              <w:jc w:val="cente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序号</w:t>
            </w:r>
          </w:p>
        </w:tc>
        <w:tc>
          <w:tcPr>
            <w:tcW w:w="1502" w:type="dxa"/>
            <w:vAlign w:val="center"/>
          </w:tcPr>
          <w:p>
            <w:pPr>
              <w:jc w:val="cente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耗材名称</w:t>
            </w:r>
          </w:p>
        </w:tc>
        <w:tc>
          <w:tcPr>
            <w:tcW w:w="1680" w:type="dxa"/>
            <w:vAlign w:val="center"/>
          </w:tcPr>
          <w:p>
            <w:pPr>
              <w:jc w:val="cente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规格型号</w:t>
            </w:r>
          </w:p>
        </w:tc>
        <w:tc>
          <w:tcPr>
            <w:tcW w:w="1892" w:type="dxa"/>
            <w:vAlign w:val="center"/>
          </w:tcPr>
          <w:p>
            <w:pPr>
              <w:jc w:val="cente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品牌/产地</w:t>
            </w:r>
          </w:p>
        </w:tc>
        <w:tc>
          <w:tcPr>
            <w:tcW w:w="1050" w:type="dxa"/>
            <w:vAlign w:val="center"/>
          </w:tcPr>
          <w:p>
            <w:pPr>
              <w:spacing w:line="280" w:lineRule="exact"/>
              <w:jc w:val="cente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数量</w:t>
            </w:r>
          </w:p>
        </w:tc>
        <w:tc>
          <w:tcPr>
            <w:tcW w:w="1293" w:type="dxa"/>
            <w:vAlign w:val="center"/>
          </w:tcPr>
          <w:p>
            <w:pPr>
              <w:spacing w:line="280" w:lineRule="exact"/>
              <w:jc w:val="cente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价格(元)</w:t>
            </w:r>
          </w:p>
        </w:tc>
        <w:tc>
          <w:tcPr>
            <w:tcW w:w="1603" w:type="dxa"/>
            <w:vAlign w:val="center"/>
          </w:tcPr>
          <w:p>
            <w:pPr>
              <w:jc w:val="center"/>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exact"/>
        </w:trPr>
        <w:tc>
          <w:tcPr>
            <w:tcW w:w="820" w:type="dxa"/>
            <w:vAlign w:val="center"/>
          </w:tcPr>
          <w:p>
            <w:pPr>
              <w:spacing w:line="360" w:lineRule="auto"/>
              <w:jc w:val="center"/>
              <w:rPr>
                <w:rFonts w:hint="eastAsia" w:asciiTheme="minorEastAsia" w:hAnsiTheme="minorEastAsia" w:eastAsiaTheme="minorEastAsia" w:cstheme="minorEastAsia"/>
                <w:color w:val="auto"/>
                <w:sz w:val="22"/>
              </w:rPr>
            </w:pPr>
          </w:p>
        </w:tc>
        <w:tc>
          <w:tcPr>
            <w:tcW w:w="150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80" w:type="dxa"/>
          </w:tcPr>
          <w:p>
            <w:pPr>
              <w:spacing w:line="360" w:lineRule="auto"/>
              <w:jc w:val="center"/>
              <w:rPr>
                <w:rFonts w:hint="eastAsia" w:asciiTheme="minorEastAsia" w:hAnsiTheme="minorEastAsia" w:eastAsiaTheme="minorEastAsia" w:cstheme="minorEastAsia"/>
                <w:color w:val="auto"/>
                <w:sz w:val="22"/>
              </w:rPr>
            </w:pPr>
          </w:p>
        </w:tc>
        <w:tc>
          <w:tcPr>
            <w:tcW w:w="1892" w:type="dxa"/>
            <w:vAlign w:val="center"/>
          </w:tcPr>
          <w:p>
            <w:pPr>
              <w:spacing w:line="360" w:lineRule="auto"/>
              <w:jc w:val="center"/>
              <w:rPr>
                <w:rFonts w:hint="eastAsia" w:asciiTheme="minorEastAsia" w:hAnsiTheme="minorEastAsia" w:eastAsiaTheme="minorEastAsia" w:cstheme="minorEastAsia"/>
                <w:color w:val="auto"/>
                <w:sz w:val="22"/>
              </w:rPr>
            </w:pPr>
          </w:p>
        </w:tc>
        <w:tc>
          <w:tcPr>
            <w:tcW w:w="1050" w:type="dxa"/>
          </w:tcPr>
          <w:p>
            <w:pPr>
              <w:spacing w:line="360" w:lineRule="auto"/>
              <w:jc w:val="center"/>
              <w:rPr>
                <w:rFonts w:hint="eastAsia" w:asciiTheme="minorEastAsia" w:hAnsiTheme="minorEastAsia" w:eastAsiaTheme="minorEastAsia" w:cstheme="minorEastAsia"/>
                <w:color w:val="auto"/>
                <w:sz w:val="22"/>
              </w:rPr>
            </w:pPr>
          </w:p>
        </w:tc>
        <w:tc>
          <w:tcPr>
            <w:tcW w:w="1293" w:type="dxa"/>
            <w:vAlign w:val="center"/>
          </w:tcPr>
          <w:p>
            <w:pPr>
              <w:spacing w:line="360" w:lineRule="auto"/>
              <w:jc w:val="center"/>
              <w:rPr>
                <w:rFonts w:hint="eastAsia" w:asciiTheme="minorEastAsia" w:hAnsiTheme="minorEastAsia" w:eastAsiaTheme="minorEastAsia" w:cstheme="minorEastAsia"/>
                <w:color w:val="auto"/>
                <w:sz w:val="22"/>
              </w:rPr>
            </w:pPr>
          </w:p>
        </w:tc>
        <w:tc>
          <w:tcPr>
            <w:tcW w:w="1603" w:type="dxa"/>
          </w:tcPr>
          <w:p>
            <w:pPr>
              <w:rPr>
                <w:rFonts w:hint="eastAsia" w:asciiTheme="minorEastAsia" w:hAnsiTheme="minorEastAsia" w:eastAsiaTheme="minorEastAsia" w:cstheme="minorEastAsia"/>
                <w:color w:val="auto"/>
                <w:sz w:val="22"/>
              </w:rPr>
            </w:pPr>
          </w:p>
        </w:tc>
      </w:tr>
    </w:tbl>
    <w:p>
      <w:pPr>
        <w:spacing w:line="40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项目名称：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 xml:space="preserve">   </w:t>
      </w:r>
      <w:r>
        <w:rPr>
          <w:rFonts w:hint="eastAsia" w:asciiTheme="minorEastAsia" w:hAnsiTheme="minorEastAsia" w:eastAsiaTheme="minorEastAsia" w:cstheme="minorEastAsia"/>
          <w:color w:val="auto"/>
          <w:sz w:val="22"/>
          <w:szCs w:val="22"/>
          <w:lang w:eastAsia="zh-CN"/>
        </w:rPr>
        <w:t>项目编号</w:t>
      </w:r>
      <w:r>
        <w:rPr>
          <w:rFonts w:hint="eastAsia" w:asciiTheme="minorEastAsia" w:hAnsiTheme="minorEastAsia" w:eastAsiaTheme="minorEastAsia" w:cstheme="minorEastAsia"/>
          <w:color w:val="auto"/>
          <w:sz w:val="22"/>
          <w:szCs w:val="22"/>
        </w:rPr>
        <w:t>：</w:t>
      </w:r>
    </w:p>
    <w:p>
      <w:pPr>
        <w:pStyle w:val="14"/>
        <w:ind w:firstLine="480"/>
        <w:rPr>
          <w:rFonts w:hint="eastAsia" w:asciiTheme="minorEastAsia" w:hAnsiTheme="minorEastAsia" w:eastAsiaTheme="minorEastAsia" w:cstheme="minorEastAsia"/>
          <w:color w:val="auto"/>
        </w:rPr>
      </w:pPr>
    </w:p>
    <w:p>
      <w:pPr>
        <w:pStyle w:val="14"/>
        <w:ind w:firstLine="480"/>
        <w:rPr>
          <w:rFonts w:hint="eastAsia" w:asciiTheme="minorEastAsia" w:hAnsiTheme="minorEastAsia" w:eastAsiaTheme="minorEastAsia" w:cstheme="minorEastAsia"/>
          <w:color w:val="auto"/>
        </w:rPr>
      </w:pPr>
    </w:p>
    <w:p>
      <w:pPr>
        <w:pStyle w:val="14"/>
        <w:ind w:firstLine="480"/>
        <w:rPr>
          <w:rFonts w:hint="eastAsia" w:asciiTheme="minorEastAsia" w:hAnsiTheme="minorEastAsia" w:eastAsiaTheme="minorEastAsia" w:cstheme="minorEastAsia"/>
          <w:color w:val="auto"/>
        </w:rPr>
      </w:pPr>
    </w:p>
    <w:p>
      <w:pPr>
        <w:pStyle w:val="17"/>
        <w:spacing w:line="320" w:lineRule="exact"/>
        <w:ind w:left="658" w:leftChars="104" w:hanging="440" w:hangingChars="2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注：1、本表所列为投标供应商拟投入的消耗材料清单。</w:t>
      </w:r>
    </w:p>
    <w:p>
      <w:pPr>
        <w:pStyle w:val="17"/>
        <w:spacing w:line="320" w:lineRule="exact"/>
        <w:ind w:left="987" w:leftChars="313" w:hanging="330" w:hangingChars="1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2、本表所列耗材价格应计入投标总价。</w:t>
      </w:r>
    </w:p>
    <w:p>
      <w:pPr>
        <w:pStyle w:val="17"/>
        <w:spacing w:line="320" w:lineRule="exact"/>
        <w:ind w:left="657" w:leftChars="313"/>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3、此表仅提供了表格形式，供应商可按此表格编制。</w:t>
      </w:r>
    </w:p>
    <w:p>
      <w:pPr>
        <w:pStyle w:val="17"/>
        <w:spacing w:line="320" w:lineRule="exact"/>
        <w:ind w:left="657" w:leftChars="313"/>
        <w:rPr>
          <w:rFonts w:hint="eastAsia" w:asciiTheme="minorEastAsia" w:hAnsiTheme="minorEastAsia" w:eastAsiaTheme="minorEastAsia" w:cstheme="minorEastAsia"/>
          <w:color w:val="auto"/>
          <w:sz w:val="22"/>
        </w:rPr>
      </w:pPr>
    </w:p>
    <w:p>
      <w:pPr>
        <w:pStyle w:val="17"/>
        <w:spacing w:line="360" w:lineRule="exact"/>
        <w:ind w:left="655" w:leftChars="312"/>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供应商名称（盖章）：</w:t>
      </w:r>
    </w:p>
    <w:p>
      <w:pPr>
        <w:pStyle w:val="17"/>
        <w:spacing w:line="44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法定代表人或授权代表（签字或盖章）：</w:t>
      </w:r>
    </w:p>
    <w:p>
      <w:pPr>
        <w:pStyle w:val="17"/>
        <w:spacing w:line="360" w:lineRule="exac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      日    期：    </w:t>
      </w:r>
    </w:p>
    <w:p>
      <w:pPr>
        <w:jc w:val="center"/>
        <w:rPr>
          <w:rFonts w:hint="eastAsia" w:asciiTheme="minorEastAsia" w:hAnsiTheme="minorEastAsia" w:eastAsiaTheme="minorEastAsia" w:cstheme="minorEastAsia"/>
          <w:color w:val="auto"/>
          <w:sz w:val="36"/>
          <w:szCs w:val="36"/>
        </w:rPr>
      </w:pPr>
    </w:p>
    <w:p>
      <w:pPr>
        <w:jc w:val="center"/>
        <w:rPr>
          <w:rFonts w:hint="eastAsia" w:asciiTheme="minorEastAsia" w:hAnsiTheme="minorEastAsia" w:eastAsiaTheme="minorEastAsia" w:cstheme="minorEastAsia"/>
          <w:color w:val="auto"/>
          <w:sz w:val="36"/>
          <w:szCs w:val="36"/>
        </w:rPr>
      </w:pPr>
    </w:p>
    <w:p>
      <w:pPr>
        <w:jc w:val="center"/>
        <w:rPr>
          <w:rFonts w:hint="eastAsia" w:asciiTheme="minorEastAsia" w:hAnsiTheme="minorEastAsia" w:eastAsiaTheme="minorEastAsia" w:cstheme="minorEastAsia"/>
          <w:color w:val="auto"/>
          <w:sz w:val="36"/>
          <w:szCs w:val="36"/>
        </w:rPr>
      </w:pPr>
    </w:p>
    <w:p>
      <w:pPr>
        <w:pStyle w:val="2"/>
        <w:rPr>
          <w:rFonts w:hint="eastAsia" w:asciiTheme="minorEastAsia" w:hAnsiTheme="minorEastAsia" w:eastAsiaTheme="minorEastAsia" w:cstheme="minorEastAsia"/>
          <w:color w:val="auto"/>
          <w:sz w:val="36"/>
          <w:szCs w:val="36"/>
        </w:rPr>
      </w:pPr>
    </w:p>
    <w:p>
      <w:pPr>
        <w:pStyle w:val="4"/>
        <w:rPr>
          <w:rFonts w:hint="eastAsia" w:asciiTheme="minorEastAsia" w:hAnsiTheme="minorEastAsia" w:eastAsiaTheme="minorEastAsia" w:cstheme="minorEastAsia"/>
          <w:color w:val="auto"/>
          <w:sz w:val="36"/>
          <w:szCs w:val="36"/>
        </w:rPr>
      </w:pPr>
    </w:p>
    <w:p>
      <w:pPr>
        <w:rPr>
          <w:rFonts w:hint="eastAsia"/>
          <w:color w:val="auto"/>
        </w:rPr>
      </w:pPr>
    </w:p>
    <w:p>
      <w:pPr>
        <w:jc w:val="center"/>
        <w:rPr>
          <w:rFonts w:hint="eastAsia" w:asciiTheme="minorEastAsia" w:hAnsiTheme="minorEastAsia" w:eastAsiaTheme="minorEastAsia" w:cstheme="minorEastAsia"/>
          <w:color w:val="auto"/>
          <w:sz w:val="36"/>
          <w:szCs w:val="36"/>
        </w:rPr>
      </w:pPr>
    </w:p>
    <w:p>
      <w:pPr>
        <w:jc w:val="center"/>
        <w:rPr>
          <w:rFonts w:hint="eastAsia" w:asciiTheme="minorEastAsia" w:hAnsiTheme="minorEastAsia" w:eastAsiaTheme="minorEastAsia" w:cstheme="minorEastAsia"/>
          <w:color w:val="auto"/>
          <w:sz w:val="36"/>
          <w:szCs w:val="36"/>
        </w:rPr>
      </w:pPr>
    </w:p>
    <w:p>
      <w:pPr>
        <w:pStyle w:val="17"/>
        <w:snapToGrid w:val="0"/>
        <w:spacing w:line="440" w:lineRule="atLeast"/>
        <w:ind w:firstLine="480"/>
        <w:outlineLvl w:val="0"/>
        <w:rPr>
          <w:rFonts w:hint="eastAsia" w:asciiTheme="minorEastAsia" w:hAnsiTheme="minorEastAsia" w:eastAsiaTheme="minorEastAsia" w:cstheme="minorEastAsia"/>
          <w:color w:val="auto"/>
          <w:sz w:val="22"/>
          <w:szCs w:val="22"/>
        </w:rPr>
      </w:pPr>
      <w:bookmarkStart w:id="48" w:name="_Toc452652231"/>
      <w:r>
        <w:rPr>
          <w:rFonts w:hint="eastAsia" w:asciiTheme="minorEastAsia" w:hAnsiTheme="minorEastAsia" w:eastAsiaTheme="minorEastAsia" w:cstheme="minorEastAsia"/>
          <w:color w:val="auto"/>
          <w:sz w:val="22"/>
          <w:szCs w:val="22"/>
        </w:rPr>
        <w:t>附件</w:t>
      </w:r>
      <w:bookmarkEnd w:id="48"/>
      <w:r>
        <w:rPr>
          <w:rFonts w:hint="eastAsia" w:asciiTheme="minorEastAsia" w:hAnsiTheme="minorEastAsia" w:eastAsiaTheme="minorEastAsia" w:cstheme="minorEastAsia"/>
          <w:color w:val="auto"/>
          <w:sz w:val="22"/>
          <w:szCs w:val="22"/>
        </w:rPr>
        <w:t>七</w:t>
      </w:r>
    </w:p>
    <w:p>
      <w:pPr>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项目主管人员、专业人员概况</w:t>
      </w:r>
    </w:p>
    <w:p>
      <w:pP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项目名称：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 xml:space="preserve">   </w:t>
      </w:r>
      <w:r>
        <w:rPr>
          <w:rFonts w:hint="eastAsia" w:asciiTheme="minorEastAsia" w:hAnsiTheme="minorEastAsia" w:eastAsiaTheme="minorEastAsia" w:cstheme="minorEastAsia"/>
          <w:color w:val="auto"/>
          <w:sz w:val="22"/>
          <w:szCs w:val="22"/>
          <w:lang w:eastAsia="zh-CN"/>
        </w:rPr>
        <w:t>项目编号</w:t>
      </w:r>
      <w:r>
        <w:rPr>
          <w:rFonts w:hint="eastAsia" w:asciiTheme="minorEastAsia" w:hAnsiTheme="minorEastAsia" w:eastAsiaTheme="minorEastAsia" w:cstheme="minorEastAsia"/>
          <w:color w:val="auto"/>
          <w:sz w:val="22"/>
          <w:szCs w:val="22"/>
        </w:rPr>
        <w:t xml:space="preserve">： </w:t>
      </w:r>
    </w:p>
    <w:tbl>
      <w:tblPr>
        <w:tblStyle w:val="39"/>
        <w:tblW w:w="919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768"/>
        <w:gridCol w:w="900"/>
        <w:gridCol w:w="720"/>
        <w:gridCol w:w="720"/>
        <w:gridCol w:w="1080"/>
        <w:gridCol w:w="720"/>
        <w:gridCol w:w="2189"/>
        <w:gridCol w:w="1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序号</w:t>
            </w: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姓名</w:t>
            </w: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性别</w:t>
            </w: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年龄</w:t>
            </w: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学历</w:t>
            </w:r>
          </w:p>
        </w:tc>
        <w:tc>
          <w:tcPr>
            <w:tcW w:w="1080"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资格</w:t>
            </w:r>
          </w:p>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证书</w:t>
            </w:r>
          </w:p>
        </w:tc>
        <w:tc>
          <w:tcPr>
            <w:tcW w:w="720"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现任职务</w:t>
            </w:r>
          </w:p>
        </w:tc>
        <w:tc>
          <w:tcPr>
            <w:tcW w:w="2189" w:type="dxa"/>
            <w:vAlign w:val="center"/>
          </w:tcPr>
          <w:p>
            <w:pPr>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从事绿化养护服务简历、年限</w:t>
            </w: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2"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68"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90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108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720" w:type="dxa"/>
            <w:vAlign w:val="center"/>
          </w:tcPr>
          <w:p>
            <w:pPr>
              <w:spacing w:line="360" w:lineRule="auto"/>
              <w:jc w:val="center"/>
              <w:rPr>
                <w:rFonts w:hint="eastAsia" w:asciiTheme="minorEastAsia" w:hAnsiTheme="minorEastAsia" w:eastAsiaTheme="minorEastAsia" w:cstheme="minorEastAsia"/>
                <w:color w:val="auto"/>
                <w:sz w:val="22"/>
                <w:szCs w:val="22"/>
              </w:rPr>
            </w:pPr>
          </w:p>
        </w:tc>
        <w:tc>
          <w:tcPr>
            <w:tcW w:w="2189" w:type="dxa"/>
          </w:tcPr>
          <w:p>
            <w:pPr>
              <w:spacing w:line="360" w:lineRule="auto"/>
              <w:jc w:val="center"/>
              <w:rPr>
                <w:rFonts w:hint="eastAsia" w:asciiTheme="minorEastAsia" w:hAnsiTheme="minorEastAsia" w:eastAsiaTheme="minorEastAsia" w:cstheme="minorEastAsia"/>
                <w:color w:val="auto"/>
                <w:sz w:val="22"/>
                <w:szCs w:val="22"/>
              </w:rPr>
            </w:pPr>
          </w:p>
        </w:tc>
        <w:tc>
          <w:tcPr>
            <w:tcW w:w="1428" w:type="dxa"/>
            <w:vAlign w:val="center"/>
          </w:tcPr>
          <w:p>
            <w:pPr>
              <w:spacing w:line="360" w:lineRule="auto"/>
              <w:jc w:val="center"/>
              <w:rPr>
                <w:rFonts w:hint="eastAsia" w:asciiTheme="minorEastAsia" w:hAnsiTheme="minorEastAsia" w:eastAsiaTheme="minorEastAsia" w:cstheme="minorEastAsia"/>
                <w:color w:val="auto"/>
                <w:sz w:val="22"/>
                <w:szCs w:val="22"/>
              </w:rPr>
            </w:pPr>
          </w:p>
        </w:tc>
      </w:tr>
    </w:tbl>
    <w:p>
      <w:pPr>
        <w:pStyle w:val="17"/>
        <w:spacing w:line="400" w:lineRule="atLeast"/>
        <w:ind w:left="660" w:hanging="660" w:hangingChars="300"/>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注：1、此表仅提供了表格形式，供应商可按此表格复制。</w:t>
      </w:r>
    </w:p>
    <w:p>
      <w:pPr>
        <w:pStyle w:val="17"/>
        <w:spacing w:line="400" w:lineRule="atLeast"/>
        <w:ind w:left="660" w:hanging="660" w:hangingChars="3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Cs/>
          <w:color w:val="auto"/>
          <w:sz w:val="22"/>
          <w:szCs w:val="22"/>
        </w:rPr>
        <w:t xml:space="preserve"> </w:t>
      </w:r>
      <w:r>
        <w:rPr>
          <w:rFonts w:hint="eastAsia" w:asciiTheme="minorEastAsia" w:hAnsiTheme="minorEastAsia" w:eastAsiaTheme="minorEastAsia" w:cstheme="minorEastAsia"/>
          <w:color w:val="auto"/>
          <w:sz w:val="22"/>
          <w:szCs w:val="22"/>
        </w:rPr>
        <w:t xml:space="preserve">                            </w:t>
      </w:r>
    </w:p>
    <w:p>
      <w:pPr>
        <w:pStyle w:val="17"/>
        <w:spacing w:line="360" w:lineRule="exac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供应商名称（盖章）：                   </w:t>
      </w:r>
    </w:p>
    <w:p>
      <w:pPr>
        <w:pStyle w:val="17"/>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法定代表人或授权代表（签字或盖章）：</w:t>
      </w: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日    期：</w:t>
      </w: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snapToGrid w:val="0"/>
        <w:spacing w:line="440" w:lineRule="atLeast"/>
        <w:outlineLvl w:val="0"/>
        <w:rPr>
          <w:rFonts w:hint="eastAsia" w:asciiTheme="minorEastAsia" w:hAnsiTheme="minorEastAsia" w:eastAsiaTheme="minorEastAsia" w:cstheme="minorEastAsia"/>
          <w:color w:val="auto"/>
          <w:sz w:val="22"/>
          <w:szCs w:val="22"/>
        </w:rPr>
      </w:pPr>
      <w:bookmarkStart w:id="49" w:name="_Toc452652232"/>
      <w:r>
        <w:rPr>
          <w:rFonts w:hint="eastAsia" w:asciiTheme="minorEastAsia" w:hAnsiTheme="minorEastAsia" w:eastAsiaTheme="minorEastAsia" w:cstheme="minorEastAsia"/>
          <w:color w:val="auto"/>
          <w:sz w:val="22"/>
          <w:szCs w:val="22"/>
        </w:rPr>
        <w:t>附件</w:t>
      </w:r>
      <w:bookmarkEnd w:id="49"/>
      <w:r>
        <w:rPr>
          <w:rFonts w:hint="eastAsia" w:asciiTheme="minorEastAsia" w:hAnsiTheme="minorEastAsia" w:eastAsiaTheme="minorEastAsia" w:cstheme="minorEastAsia"/>
          <w:color w:val="auto"/>
          <w:sz w:val="22"/>
          <w:szCs w:val="22"/>
        </w:rPr>
        <w:t>八</w:t>
      </w:r>
    </w:p>
    <w:p>
      <w:pPr>
        <w:rPr>
          <w:rFonts w:hint="eastAsia" w:asciiTheme="minorEastAsia" w:hAnsiTheme="minorEastAsia" w:eastAsiaTheme="minorEastAsia" w:cstheme="minorEastAsia"/>
          <w:color w:val="auto"/>
          <w:szCs w:val="28"/>
        </w:rPr>
      </w:pPr>
    </w:p>
    <w:p>
      <w:pPr>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项目主要负责人简历表</w:t>
      </w:r>
    </w:p>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szCs w:val="22"/>
        </w:rPr>
        <w:t>项目名称：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 xml:space="preserve"> </w:t>
      </w:r>
      <w:r>
        <w:rPr>
          <w:rFonts w:hint="eastAsia" w:asciiTheme="minorEastAsia" w:hAnsiTheme="minorEastAsia" w:eastAsiaTheme="minorEastAsia" w:cstheme="minorEastAsia"/>
          <w:color w:val="auto"/>
          <w:sz w:val="22"/>
        </w:rPr>
        <w:t xml:space="preserve">      </w:t>
      </w:r>
      <w:r>
        <w:rPr>
          <w:rFonts w:hint="eastAsia" w:asciiTheme="minorEastAsia" w:hAnsiTheme="minorEastAsia" w:eastAsiaTheme="minorEastAsia" w:cstheme="minorEastAsia"/>
          <w:color w:val="auto"/>
          <w:sz w:val="22"/>
          <w:szCs w:val="22"/>
          <w:lang w:eastAsia="zh-CN"/>
        </w:rPr>
        <w:t>项目编号</w:t>
      </w:r>
      <w:r>
        <w:rPr>
          <w:rFonts w:hint="eastAsia" w:asciiTheme="minorEastAsia" w:hAnsiTheme="minorEastAsia" w:eastAsiaTheme="minorEastAsia" w:cstheme="minorEastAsia"/>
          <w:color w:val="auto"/>
          <w:sz w:val="22"/>
        </w:rPr>
        <w:t>：</w:t>
      </w:r>
    </w:p>
    <w:tbl>
      <w:tblPr>
        <w:tblStyle w:val="39"/>
        <w:tblW w:w="9673"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654"/>
        <w:gridCol w:w="1650"/>
        <w:gridCol w:w="1764"/>
        <w:gridCol w:w="164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1431" w:type="dxa"/>
            <w:tcBorders>
              <w:top w:val="single" w:color="auto" w:sz="12" w:space="0"/>
              <w:left w:val="single" w:color="auto" w:sz="12"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姓 名</w:t>
            </w:r>
          </w:p>
        </w:tc>
        <w:tc>
          <w:tcPr>
            <w:tcW w:w="1654" w:type="dxa"/>
            <w:tcBorders>
              <w:top w:val="single" w:color="auto" w:sz="12"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c>
          <w:tcPr>
            <w:tcW w:w="1650" w:type="dxa"/>
            <w:tcBorders>
              <w:top w:val="single" w:color="auto" w:sz="12"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性 别</w:t>
            </w:r>
          </w:p>
        </w:tc>
        <w:tc>
          <w:tcPr>
            <w:tcW w:w="1764" w:type="dxa"/>
            <w:tcBorders>
              <w:top w:val="single" w:color="auto" w:sz="12"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c>
          <w:tcPr>
            <w:tcW w:w="1648" w:type="dxa"/>
            <w:tcBorders>
              <w:top w:val="single" w:color="auto" w:sz="12"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年 龄</w:t>
            </w:r>
          </w:p>
        </w:tc>
        <w:tc>
          <w:tcPr>
            <w:tcW w:w="1526" w:type="dxa"/>
            <w:tcBorders>
              <w:top w:val="single" w:color="auto" w:sz="12" w:space="0"/>
              <w:left w:val="single" w:color="auto" w:sz="6" w:space="0"/>
              <w:bottom w:val="single" w:color="auto" w:sz="6" w:space="0"/>
              <w:right w:val="single" w:color="auto" w:sz="12"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1431" w:type="dxa"/>
            <w:tcBorders>
              <w:top w:val="single" w:color="auto" w:sz="6" w:space="0"/>
              <w:left w:val="single" w:color="auto" w:sz="12"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学 历</w:t>
            </w:r>
          </w:p>
        </w:tc>
        <w:tc>
          <w:tcPr>
            <w:tcW w:w="1654" w:type="dxa"/>
            <w:tcBorders>
              <w:top w:val="single" w:color="auto" w:sz="6"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c>
          <w:tcPr>
            <w:tcW w:w="1650" w:type="dxa"/>
            <w:tcBorders>
              <w:top w:val="single" w:color="auto" w:sz="6"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职 称</w:t>
            </w:r>
          </w:p>
        </w:tc>
        <w:tc>
          <w:tcPr>
            <w:tcW w:w="1764" w:type="dxa"/>
            <w:tcBorders>
              <w:top w:val="single" w:color="auto" w:sz="6"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c>
          <w:tcPr>
            <w:tcW w:w="1648" w:type="dxa"/>
            <w:tcBorders>
              <w:top w:val="single" w:color="auto" w:sz="6"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职 务</w:t>
            </w:r>
          </w:p>
        </w:tc>
        <w:tc>
          <w:tcPr>
            <w:tcW w:w="1526" w:type="dxa"/>
            <w:tcBorders>
              <w:top w:val="single" w:color="auto" w:sz="6" w:space="0"/>
              <w:left w:val="single" w:color="auto" w:sz="6" w:space="0"/>
              <w:bottom w:val="single" w:color="auto" w:sz="6" w:space="0"/>
              <w:right w:val="single" w:color="auto" w:sz="12"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rPr>
        <w:tc>
          <w:tcPr>
            <w:tcW w:w="1431" w:type="dxa"/>
            <w:tcBorders>
              <w:top w:val="single" w:color="auto" w:sz="6" w:space="0"/>
              <w:left w:val="single" w:color="auto" w:sz="12"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联系电话</w:t>
            </w:r>
          </w:p>
        </w:tc>
        <w:tc>
          <w:tcPr>
            <w:tcW w:w="3304" w:type="dxa"/>
            <w:gridSpan w:val="2"/>
            <w:tcBorders>
              <w:top w:val="single" w:color="auto" w:sz="6"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c>
          <w:tcPr>
            <w:tcW w:w="1764" w:type="dxa"/>
            <w:tcBorders>
              <w:top w:val="single" w:color="auto" w:sz="6" w:space="0"/>
              <w:left w:val="single" w:color="auto" w:sz="6" w:space="0"/>
              <w:bottom w:val="single" w:color="auto" w:sz="6" w:space="0"/>
              <w:right w:val="single" w:color="auto" w:sz="6"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手 机</w:t>
            </w:r>
          </w:p>
        </w:tc>
        <w:tc>
          <w:tcPr>
            <w:tcW w:w="3174" w:type="dxa"/>
            <w:gridSpan w:val="2"/>
            <w:tcBorders>
              <w:top w:val="single" w:color="auto" w:sz="6" w:space="0"/>
              <w:left w:val="single" w:color="auto" w:sz="6" w:space="0"/>
              <w:bottom w:val="single" w:color="auto" w:sz="6" w:space="0"/>
              <w:right w:val="single" w:color="auto" w:sz="12" w:space="0"/>
            </w:tcBorders>
            <w:vAlign w:val="center"/>
          </w:tcPr>
          <w:p>
            <w:pPr>
              <w:pStyle w:val="17"/>
              <w:spacing w:line="400" w:lineRule="atLeast"/>
              <w:ind w:left="660" w:hanging="660" w:hangingChars="300"/>
              <w:rPr>
                <w:rFonts w:hint="eastAsia" w:asciiTheme="minorEastAsia" w:hAnsiTheme="minorEastAsia" w:eastAsiaTheme="minorEastAsia" w:cs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trPr>
        <w:tc>
          <w:tcPr>
            <w:tcW w:w="9673" w:type="dxa"/>
            <w:gridSpan w:val="6"/>
            <w:tcBorders>
              <w:top w:val="single" w:color="auto" w:sz="6" w:space="0"/>
              <w:left w:val="single" w:color="auto" w:sz="12" w:space="0"/>
              <w:bottom w:val="single" w:color="auto" w:sz="12" w:space="0"/>
              <w:right w:val="single" w:color="auto" w:sz="12" w:space="0"/>
            </w:tcBorders>
          </w:tcPr>
          <w:p>
            <w:pPr>
              <w:pStyle w:val="17"/>
              <w:spacing w:line="400" w:lineRule="atLeast"/>
              <w:ind w:left="660" w:hanging="660" w:hangingChars="3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近五年从事相关工作经历及业绩：</w:t>
            </w: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p>
            <w:pPr>
              <w:pStyle w:val="17"/>
              <w:spacing w:line="400" w:lineRule="atLeast"/>
              <w:ind w:left="660" w:hanging="660" w:hangingChars="300"/>
              <w:rPr>
                <w:rFonts w:hint="eastAsia" w:asciiTheme="minorEastAsia" w:hAnsiTheme="minorEastAsia" w:eastAsiaTheme="minorEastAsia" w:cstheme="minorEastAsia"/>
                <w:color w:val="auto"/>
                <w:sz w:val="22"/>
              </w:rPr>
            </w:pPr>
          </w:p>
        </w:tc>
      </w:tr>
    </w:tbl>
    <w:p>
      <w:pPr>
        <w:pStyle w:val="17"/>
        <w:spacing w:line="360" w:lineRule="exac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供应商名称（盖章）：</w:t>
      </w:r>
    </w:p>
    <w:p>
      <w:pPr>
        <w:pStyle w:val="17"/>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法定代表人或授权代表（签字或盖章）：</w:t>
      </w: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 xml:space="preserve">日    期：    </w:t>
      </w: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tabs>
          <w:tab w:val="left" w:pos="0"/>
          <w:tab w:val="left" w:pos="540"/>
        </w:tabs>
        <w:spacing w:line="360" w:lineRule="exact"/>
        <w:rPr>
          <w:rFonts w:hint="eastAsia" w:asciiTheme="minorEastAsia" w:hAnsiTheme="minorEastAsia" w:eastAsiaTheme="minorEastAsia" w:cstheme="minorEastAsia"/>
          <w:color w:val="auto"/>
          <w:sz w:val="22"/>
        </w:rPr>
      </w:pPr>
    </w:p>
    <w:p>
      <w:pPr>
        <w:pStyle w:val="17"/>
        <w:snapToGrid w:val="0"/>
        <w:spacing w:line="440" w:lineRule="atLeast"/>
        <w:outlineLvl w:val="0"/>
        <w:rPr>
          <w:rFonts w:hint="eastAsia" w:asciiTheme="minorEastAsia" w:hAnsiTheme="minorEastAsia" w:eastAsiaTheme="minorEastAsia" w:cstheme="minorEastAsia"/>
          <w:color w:val="auto"/>
          <w:sz w:val="22"/>
          <w:szCs w:val="22"/>
        </w:rPr>
      </w:pPr>
      <w:bookmarkStart w:id="50" w:name="_Toc452652233"/>
      <w:r>
        <w:rPr>
          <w:rFonts w:hint="eastAsia" w:asciiTheme="minorEastAsia" w:hAnsiTheme="minorEastAsia" w:eastAsiaTheme="minorEastAsia" w:cstheme="minorEastAsia"/>
          <w:color w:val="auto"/>
          <w:sz w:val="22"/>
          <w:szCs w:val="22"/>
        </w:rPr>
        <w:t>附件</w:t>
      </w:r>
      <w:bookmarkEnd w:id="50"/>
      <w:r>
        <w:rPr>
          <w:rFonts w:hint="eastAsia" w:asciiTheme="minorEastAsia" w:hAnsiTheme="minorEastAsia" w:eastAsiaTheme="minorEastAsia" w:cstheme="minorEastAsia"/>
          <w:color w:val="auto"/>
          <w:sz w:val="22"/>
          <w:szCs w:val="22"/>
        </w:rPr>
        <w:t>九</w:t>
      </w:r>
    </w:p>
    <w:p>
      <w:pPr>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rPr>
        <w:t>岗位员工配置计划表</w:t>
      </w:r>
    </w:p>
    <w:p>
      <w:pPr>
        <w:pStyle w:val="17"/>
        <w:spacing w:line="400" w:lineRule="atLeast"/>
        <w:ind w:left="660" w:hanging="660" w:hanging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2"/>
          <w:szCs w:val="22"/>
        </w:rPr>
        <w:t>项目名称：</w:t>
      </w:r>
      <w:r>
        <w:rPr>
          <w:rFonts w:hint="eastAsia" w:asciiTheme="minorEastAsia" w:hAnsiTheme="minorEastAsia" w:eastAsiaTheme="minorEastAsia" w:cstheme="minorEastAsia"/>
          <w:color w:val="auto"/>
          <w:sz w:val="22"/>
          <w:szCs w:val="22"/>
          <w:u w:val="single"/>
        </w:rPr>
        <w:t xml:space="preserve">                                 </w:t>
      </w:r>
      <w:r>
        <w:rPr>
          <w:rFonts w:hint="eastAsia" w:asciiTheme="minorEastAsia" w:hAnsiTheme="minorEastAsia" w:eastAsiaTheme="minorEastAsia" w:cstheme="minorEastAsia"/>
          <w:color w:val="auto"/>
          <w:sz w:val="22"/>
          <w:szCs w:val="22"/>
        </w:rPr>
        <w:t xml:space="preserve"> </w:t>
      </w:r>
      <w:r>
        <w:rPr>
          <w:rFonts w:hint="eastAsia" w:asciiTheme="minorEastAsia" w:hAnsiTheme="minorEastAsia" w:eastAsia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22"/>
          <w:szCs w:val="22"/>
          <w:lang w:eastAsia="zh-CN"/>
        </w:rPr>
        <w:t>项目编号</w:t>
      </w:r>
      <w:r>
        <w:rPr>
          <w:rFonts w:hint="eastAsia" w:asciiTheme="minorEastAsia" w:hAnsiTheme="minorEastAsia" w:eastAsiaTheme="minorEastAsia" w:cstheme="minorEastAsia"/>
          <w:color w:val="auto"/>
          <w:sz w:val="22"/>
        </w:rPr>
        <w:t>：</w:t>
      </w:r>
    </w:p>
    <w:tbl>
      <w:tblPr>
        <w:tblStyle w:val="39"/>
        <w:tblW w:w="921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6"/>
        <w:gridCol w:w="2049"/>
        <w:gridCol w:w="2917"/>
        <w:gridCol w:w="22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岗位</w:t>
            </w:r>
          </w:p>
        </w:tc>
        <w:tc>
          <w:tcPr>
            <w:tcW w:w="2049"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人数</w:t>
            </w:r>
          </w:p>
        </w:tc>
        <w:tc>
          <w:tcPr>
            <w:tcW w:w="2917"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现 场 承 担 工 作</w:t>
            </w:r>
          </w:p>
        </w:tc>
        <w:tc>
          <w:tcPr>
            <w:tcW w:w="2299" w:type="dxa"/>
            <w:vAlign w:val="center"/>
          </w:tcPr>
          <w:p>
            <w:pPr>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946" w:type="dxa"/>
          </w:tcPr>
          <w:p>
            <w:pPr>
              <w:spacing w:line="480" w:lineRule="auto"/>
              <w:rPr>
                <w:rFonts w:hint="eastAsia" w:asciiTheme="minorEastAsia" w:hAnsiTheme="minorEastAsia" w:eastAsiaTheme="minorEastAsia" w:cstheme="minorEastAsia"/>
                <w:color w:val="auto"/>
                <w:sz w:val="24"/>
              </w:rPr>
            </w:pPr>
          </w:p>
        </w:tc>
        <w:tc>
          <w:tcPr>
            <w:tcW w:w="2049" w:type="dxa"/>
          </w:tcPr>
          <w:p>
            <w:pPr>
              <w:spacing w:line="480" w:lineRule="auto"/>
              <w:rPr>
                <w:rFonts w:hint="eastAsia" w:asciiTheme="minorEastAsia" w:hAnsiTheme="minorEastAsia" w:eastAsiaTheme="minorEastAsia" w:cstheme="minorEastAsia"/>
                <w:color w:val="auto"/>
                <w:sz w:val="24"/>
              </w:rPr>
            </w:pPr>
          </w:p>
        </w:tc>
        <w:tc>
          <w:tcPr>
            <w:tcW w:w="2917" w:type="dxa"/>
          </w:tcPr>
          <w:p>
            <w:pPr>
              <w:spacing w:line="480" w:lineRule="auto"/>
              <w:rPr>
                <w:rFonts w:hint="eastAsia" w:asciiTheme="minorEastAsia" w:hAnsiTheme="minorEastAsia" w:eastAsiaTheme="minorEastAsia" w:cstheme="minorEastAsia"/>
                <w:color w:val="auto"/>
                <w:sz w:val="24"/>
              </w:rPr>
            </w:pPr>
          </w:p>
        </w:tc>
        <w:tc>
          <w:tcPr>
            <w:tcW w:w="2299" w:type="dxa"/>
          </w:tcPr>
          <w:p>
            <w:pPr>
              <w:spacing w:line="480" w:lineRule="auto"/>
              <w:rPr>
                <w:rFonts w:hint="eastAsia" w:asciiTheme="minorEastAsia" w:hAnsiTheme="minorEastAsia" w:eastAsiaTheme="minorEastAsia" w:cstheme="minorEastAsia"/>
                <w:color w:val="auto"/>
                <w:sz w:val="24"/>
              </w:rPr>
            </w:pPr>
          </w:p>
        </w:tc>
      </w:tr>
    </w:tbl>
    <w:p>
      <w:pPr>
        <w:pStyle w:val="17"/>
        <w:tabs>
          <w:tab w:val="left" w:pos="0"/>
          <w:tab w:val="left" w:pos="540"/>
        </w:tabs>
        <w:spacing w:line="30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2"/>
          <w:szCs w:val="22"/>
        </w:rPr>
        <w:t>注：此表仅提供了表格形式，供应商可按此表格复制。</w:t>
      </w:r>
    </w:p>
    <w:p>
      <w:pPr>
        <w:pStyle w:val="17"/>
        <w:spacing w:line="400" w:lineRule="atLeas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供应商名称（盖章）：</w:t>
      </w:r>
    </w:p>
    <w:p>
      <w:pPr>
        <w:pStyle w:val="17"/>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法定代表人或授权代表（签字或盖章）：</w:t>
      </w:r>
    </w:p>
    <w:p>
      <w:pPr>
        <w:spacing w:line="500" w:lineRule="exact"/>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color w:val="auto"/>
          <w:sz w:val="22"/>
        </w:rPr>
        <w:t xml:space="preserve">日    期： </w:t>
      </w:r>
    </w:p>
    <w:p>
      <w:pPr>
        <w:pStyle w:val="17"/>
        <w:spacing w:line="400" w:lineRule="atLeas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项目负责人及主要管理人员与《</w:t>
      </w:r>
      <w:r>
        <w:rPr>
          <w:rFonts w:hint="eastAsia" w:asciiTheme="minorEastAsia" w:hAnsiTheme="minorEastAsia" w:eastAsiaTheme="minorEastAsia" w:cstheme="minorEastAsia"/>
          <w:color w:val="auto"/>
          <w:sz w:val="22"/>
          <w:szCs w:val="22"/>
        </w:rPr>
        <w:t>岗位员工配置计划表</w:t>
      </w:r>
      <w:r>
        <w:rPr>
          <w:rFonts w:hint="eastAsia" w:asciiTheme="minorEastAsia" w:hAnsiTheme="minorEastAsia" w:eastAsiaTheme="minorEastAsia" w:cstheme="minorEastAsia"/>
          <w:color w:val="auto"/>
          <w:sz w:val="22"/>
        </w:rPr>
        <w:t>》一致。如确需变更的，经采购单位审核同意后方可变更。</w:t>
      </w:r>
    </w:p>
    <w:p>
      <w:pPr>
        <w:pStyle w:val="17"/>
        <w:spacing w:line="400" w:lineRule="atLeast"/>
        <w:ind w:left="1"/>
        <w:jc w:val="center"/>
        <w:rPr>
          <w:rFonts w:hint="eastAsia" w:asciiTheme="minorEastAsia" w:hAnsiTheme="minorEastAsia" w:eastAsiaTheme="minorEastAsia" w:cstheme="minorEastAsia"/>
          <w:color w:val="auto"/>
          <w:sz w:val="22"/>
          <w:szCs w:val="22"/>
        </w:rPr>
      </w:pPr>
    </w:p>
    <w:p>
      <w:pPr>
        <w:pStyle w:val="17"/>
        <w:spacing w:line="400" w:lineRule="atLeast"/>
        <w:ind w:left="1"/>
        <w:jc w:val="center"/>
        <w:rPr>
          <w:rFonts w:hint="eastAsia" w:asciiTheme="minorEastAsia" w:hAnsiTheme="minorEastAsia" w:eastAsiaTheme="minorEastAsia" w:cstheme="minorEastAsia"/>
          <w:color w:val="auto"/>
          <w:sz w:val="22"/>
          <w:szCs w:val="22"/>
        </w:rPr>
      </w:pPr>
    </w:p>
    <w:p>
      <w:pPr>
        <w:pStyle w:val="17"/>
        <w:spacing w:line="400" w:lineRule="atLeast"/>
        <w:ind w:left="1"/>
        <w:rPr>
          <w:rFonts w:hint="eastAsia"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22"/>
          <w:szCs w:val="22"/>
        </w:rPr>
        <w:t>附件十</w:t>
      </w:r>
    </w:p>
    <w:p>
      <w:pPr>
        <w:pStyle w:val="17"/>
        <w:spacing w:line="400" w:lineRule="atLeast"/>
        <w:ind w:left="1"/>
        <w:jc w:val="center"/>
        <w:rPr>
          <w:rFonts w:hint="eastAsia" w:asciiTheme="minorEastAsia" w:hAnsiTheme="minorEastAsia" w:eastAsiaTheme="minorEastAsia" w:cstheme="minorEastAsia"/>
          <w:color w:val="auto"/>
          <w:sz w:val="36"/>
        </w:rPr>
      </w:pPr>
    </w:p>
    <w:p>
      <w:pPr>
        <w:pStyle w:val="17"/>
        <w:spacing w:line="400" w:lineRule="atLeast"/>
        <w:ind w:left="1"/>
        <w:jc w:val="center"/>
        <w:rPr>
          <w:rFonts w:hint="eastAsia"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t>承 诺 书</w:t>
      </w:r>
    </w:p>
    <w:p>
      <w:pPr>
        <w:pStyle w:val="17"/>
        <w:spacing w:line="400" w:lineRule="atLeast"/>
        <w:ind w:left="1"/>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4"/>
        </w:rPr>
        <w:t xml:space="preserve">       </w:t>
      </w:r>
    </w:p>
    <w:p>
      <w:pPr>
        <w:spacing w:line="600" w:lineRule="exact"/>
        <w:ind w:left="108" w:hanging="107" w:hangingChars="49"/>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u w:val="single"/>
        </w:rPr>
        <w:t>温州市瓯海区综合行政执法局</w:t>
      </w:r>
      <w:r>
        <w:rPr>
          <w:rFonts w:hint="eastAsia" w:asciiTheme="minorEastAsia" w:hAnsiTheme="minorEastAsia" w:eastAsiaTheme="minorEastAsia" w:cstheme="minorEastAsia"/>
          <w:color w:val="auto"/>
          <w:sz w:val="22"/>
        </w:rPr>
        <w:t>：</w:t>
      </w:r>
    </w:p>
    <w:p>
      <w:pPr>
        <w:spacing w:line="600" w:lineRule="exact"/>
        <w:ind w:left="107" w:leftChars="51" w:firstLine="440" w:firstLineChars="2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我公司就</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u w:val="single"/>
          <w:lang w:eastAsia="zh-CN"/>
        </w:rPr>
        <w:t>项目名称</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（项目编号：</w:t>
      </w:r>
      <w:r>
        <w:rPr>
          <w:rFonts w:hint="eastAsia" w:asciiTheme="minorEastAsia" w:hAnsiTheme="minorEastAsia" w:eastAsiaTheme="minorEastAsia" w:cstheme="minorEastAsia"/>
          <w:color w:val="auto"/>
          <w:sz w:val="22"/>
          <w:u w:val="single"/>
        </w:rPr>
        <w:t xml:space="preserve">          </w:t>
      </w:r>
      <w:r>
        <w:rPr>
          <w:rFonts w:hint="eastAsia" w:asciiTheme="minorEastAsia" w:hAnsiTheme="minorEastAsia" w:eastAsiaTheme="minorEastAsia" w:cstheme="minorEastAsia"/>
          <w:color w:val="auto"/>
          <w:sz w:val="22"/>
        </w:rPr>
        <w:t>）的投标人员、设备及办公条件等作如下承诺：</w:t>
      </w:r>
      <w:r>
        <w:rPr>
          <w:rFonts w:hint="eastAsia" w:asciiTheme="minorEastAsia" w:hAnsiTheme="minorEastAsia" w:eastAsiaTheme="minorEastAsia" w:cstheme="minorEastAsia"/>
          <w:b/>
          <w:bCs/>
          <w:color w:val="auto"/>
          <w:sz w:val="22"/>
        </w:rPr>
        <w:t>若我公司在本项目中标，将按照</w:t>
      </w:r>
      <w:r>
        <w:rPr>
          <w:rFonts w:hint="eastAsia" w:asciiTheme="minorEastAsia" w:hAnsiTheme="minorEastAsia" w:eastAsiaTheme="minorEastAsia" w:cstheme="minorEastAsia"/>
          <w:b/>
          <w:bCs/>
          <w:color w:val="auto"/>
          <w:sz w:val="22"/>
          <w:lang w:eastAsia="zh-CN"/>
        </w:rPr>
        <w:t>采购文件</w:t>
      </w:r>
      <w:r>
        <w:rPr>
          <w:rFonts w:hint="eastAsia" w:asciiTheme="minorEastAsia" w:hAnsiTheme="minorEastAsia" w:eastAsiaTheme="minorEastAsia" w:cstheme="minorEastAsia"/>
          <w:b/>
          <w:bCs/>
          <w:color w:val="auto"/>
          <w:spacing w:val="6"/>
          <w:sz w:val="22"/>
          <w:szCs w:val="22"/>
        </w:rPr>
        <w:t>要求时间内按</w:t>
      </w:r>
      <w:r>
        <w:rPr>
          <w:rFonts w:hint="eastAsia" w:asciiTheme="minorEastAsia" w:hAnsiTheme="minorEastAsia" w:eastAsiaTheme="minorEastAsia" w:cstheme="minorEastAsia"/>
          <w:b/>
          <w:bCs/>
          <w:color w:val="auto"/>
          <w:spacing w:val="6"/>
          <w:sz w:val="22"/>
          <w:szCs w:val="22"/>
          <w:lang w:eastAsia="zh-CN"/>
        </w:rPr>
        <w:t>采购文件</w:t>
      </w:r>
      <w:r>
        <w:rPr>
          <w:rFonts w:hint="eastAsia" w:asciiTheme="minorEastAsia" w:hAnsiTheme="minorEastAsia" w:eastAsiaTheme="minorEastAsia" w:cstheme="minorEastAsia"/>
          <w:b/>
          <w:bCs/>
          <w:color w:val="auto"/>
          <w:spacing w:val="6"/>
          <w:sz w:val="22"/>
          <w:szCs w:val="22"/>
        </w:rPr>
        <w:t>的规定及投标文件的承诺配备人员、机械及办公条件等</w:t>
      </w:r>
      <w:r>
        <w:rPr>
          <w:rFonts w:hint="eastAsia" w:asciiTheme="minorEastAsia" w:hAnsiTheme="minorEastAsia" w:eastAsiaTheme="minorEastAsia" w:cstheme="minorEastAsia"/>
          <w:b/>
          <w:bCs/>
          <w:color w:val="auto"/>
          <w:sz w:val="22"/>
        </w:rPr>
        <w:t>，如不能履行上述承诺，视为我公司自动放弃中标资格</w:t>
      </w:r>
      <w:r>
        <w:rPr>
          <w:rFonts w:hint="eastAsia" w:asciiTheme="minorEastAsia" w:hAnsiTheme="minorEastAsia" w:eastAsiaTheme="minorEastAsia" w:cstheme="minorEastAsia"/>
          <w:b/>
          <w:bCs/>
          <w:color w:val="auto"/>
          <w:spacing w:val="6"/>
          <w:sz w:val="22"/>
          <w:szCs w:val="22"/>
        </w:rPr>
        <w:t>。</w:t>
      </w:r>
    </w:p>
    <w:p>
      <w:pPr>
        <w:spacing w:line="600" w:lineRule="exact"/>
        <w:ind w:left="107" w:leftChars="51" w:firstLine="464" w:firstLineChars="200"/>
        <w:rPr>
          <w:rFonts w:hint="eastAsia" w:asciiTheme="minorEastAsia" w:hAnsiTheme="minorEastAsia" w:eastAsiaTheme="minorEastAsia" w:cstheme="minorEastAsia"/>
          <w:color w:val="auto"/>
          <w:spacing w:val="6"/>
          <w:sz w:val="22"/>
          <w:szCs w:val="22"/>
        </w:rPr>
      </w:pPr>
    </w:p>
    <w:p>
      <w:pPr>
        <w:spacing w:line="600" w:lineRule="exact"/>
        <w:ind w:left="107" w:leftChars="51" w:firstLine="464" w:firstLineChars="200"/>
        <w:rPr>
          <w:rFonts w:hint="eastAsia" w:asciiTheme="minorEastAsia" w:hAnsiTheme="minorEastAsia" w:eastAsiaTheme="minorEastAsia" w:cstheme="minorEastAsia"/>
          <w:color w:val="auto"/>
          <w:spacing w:val="6"/>
          <w:sz w:val="22"/>
          <w:szCs w:val="22"/>
        </w:rPr>
      </w:pPr>
    </w:p>
    <w:p>
      <w:pPr>
        <w:spacing w:line="600" w:lineRule="exact"/>
        <w:ind w:left="107" w:leftChars="51" w:firstLine="330" w:firstLineChars="1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特此承诺！</w:t>
      </w:r>
    </w:p>
    <w:p>
      <w:pPr>
        <w:spacing w:line="600" w:lineRule="exact"/>
        <w:ind w:left="108" w:hanging="107" w:hangingChars="49"/>
        <w:rPr>
          <w:rFonts w:hint="eastAsia" w:asciiTheme="minorEastAsia" w:hAnsiTheme="minorEastAsia" w:eastAsiaTheme="minorEastAsia" w:cstheme="minorEastAsia"/>
          <w:color w:val="auto"/>
          <w:sz w:val="22"/>
        </w:rPr>
      </w:pPr>
    </w:p>
    <w:p>
      <w:pPr>
        <w:spacing w:line="600" w:lineRule="exact"/>
        <w:ind w:left="108" w:hanging="107" w:hangingChars="49"/>
        <w:rPr>
          <w:rFonts w:hint="eastAsia" w:asciiTheme="minorEastAsia" w:hAnsiTheme="minorEastAsia" w:eastAsiaTheme="minorEastAsia" w:cstheme="minorEastAsia"/>
          <w:color w:val="auto"/>
          <w:sz w:val="22"/>
        </w:rPr>
      </w:pPr>
    </w:p>
    <w:p>
      <w:pPr>
        <w:spacing w:line="380" w:lineRule="exact"/>
        <w:ind w:firstLine="4400" w:firstLineChars="2000"/>
        <w:jc w:val="righ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投标人全称（盖章）：</w:t>
      </w:r>
    </w:p>
    <w:p>
      <w:pPr>
        <w:spacing w:line="380" w:lineRule="exact"/>
        <w:ind w:firstLine="4400" w:firstLineChars="2000"/>
        <w:jc w:val="righ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法定代表人或授权代表（签字或盖章）：</w:t>
      </w:r>
    </w:p>
    <w:p>
      <w:pPr>
        <w:pStyle w:val="17"/>
        <w:spacing w:line="400" w:lineRule="atLeast"/>
        <w:ind w:left="1"/>
        <w:jc w:val="right"/>
        <w:rPr>
          <w:rFonts w:hint="eastAsia"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22"/>
          <w:szCs w:val="22"/>
        </w:rPr>
        <w:t>日    期：     年   月  日</w:t>
      </w:r>
    </w:p>
    <w:p>
      <w:pPr>
        <w:spacing w:line="380" w:lineRule="exact"/>
        <w:rPr>
          <w:rFonts w:hint="eastAsia" w:asciiTheme="minorEastAsia" w:hAnsiTheme="minorEastAsia" w:eastAsiaTheme="minorEastAsia" w:cstheme="minorEastAsia"/>
          <w:color w:val="auto"/>
          <w:u w:val="single"/>
        </w:rPr>
      </w:pPr>
    </w:p>
    <w:p>
      <w:pPr>
        <w:pStyle w:val="17"/>
        <w:snapToGrid w:val="0"/>
        <w:spacing w:line="440" w:lineRule="atLeast"/>
        <w:ind w:firstLine="480"/>
        <w:outlineLvl w:val="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br w:type="page"/>
      </w:r>
    </w:p>
    <w:p>
      <w:pPr>
        <w:pStyle w:val="17"/>
        <w:snapToGrid w:val="0"/>
        <w:spacing w:line="440" w:lineRule="atLeast"/>
        <w:ind w:firstLine="480"/>
        <w:outlineLvl w:val="0"/>
        <w:rPr>
          <w:rFonts w:hint="eastAsia" w:asciiTheme="minorEastAsia" w:hAnsiTheme="minorEastAsia" w:eastAsiaTheme="minorEastAsia" w:cstheme="minorEastAsia"/>
          <w:color w:val="auto"/>
          <w:sz w:val="22"/>
          <w:szCs w:val="22"/>
        </w:rPr>
      </w:pPr>
      <w:bookmarkStart w:id="51" w:name="_Toc452652234"/>
      <w:r>
        <w:rPr>
          <w:rFonts w:hint="eastAsia" w:asciiTheme="minorEastAsia" w:hAnsiTheme="minorEastAsia" w:eastAsiaTheme="minorEastAsia" w:cstheme="minorEastAsia"/>
          <w:color w:val="auto"/>
          <w:sz w:val="22"/>
          <w:szCs w:val="22"/>
        </w:rPr>
        <w:t>附件</w:t>
      </w:r>
      <w:bookmarkEnd w:id="51"/>
      <w:r>
        <w:rPr>
          <w:rFonts w:hint="eastAsia" w:asciiTheme="minorEastAsia" w:hAnsiTheme="minorEastAsia" w:eastAsiaTheme="minorEastAsia" w:cstheme="minorEastAsia"/>
          <w:color w:val="auto"/>
          <w:sz w:val="22"/>
          <w:szCs w:val="22"/>
        </w:rPr>
        <w:t xml:space="preserve">十一  </w:t>
      </w:r>
    </w:p>
    <w:p>
      <w:pPr>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z w:val="36"/>
          <w:szCs w:val="36"/>
          <w:lang w:eastAsia="zh-CN"/>
        </w:rPr>
        <w:t>2018年</w:t>
      </w:r>
      <w:r>
        <w:rPr>
          <w:rFonts w:hint="eastAsia" w:asciiTheme="minorEastAsia" w:hAnsiTheme="minorEastAsia" w:eastAsiaTheme="minorEastAsia" w:cstheme="minorEastAsia"/>
          <w:color w:val="auto"/>
          <w:sz w:val="36"/>
          <w:szCs w:val="36"/>
        </w:rPr>
        <w:t>1月1日以来绿地养护服务业绩证明</w:t>
      </w:r>
    </w:p>
    <w:tbl>
      <w:tblPr>
        <w:tblStyle w:val="39"/>
        <w:tblW w:w="100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序号</w:t>
            </w: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项目名称</w:t>
            </w: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项目地址</w:t>
            </w: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合同内容</w:t>
            </w: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合同总价</w:t>
            </w: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签约日期</w:t>
            </w: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发包方联系人</w:t>
            </w: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联系电话</w:t>
            </w: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41"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99"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70"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966"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034" w:type="dxa"/>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695" w:type="dxa"/>
            <w:tcBorders>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174" w:type="dxa"/>
            <w:tcBorders>
              <w:left w:val="single" w:color="auto" w:sz="4" w:space="0"/>
              <w:righ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c>
          <w:tcPr>
            <w:tcW w:w="1407" w:type="dxa"/>
            <w:tcBorders>
              <w:left w:val="single" w:color="auto" w:sz="4" w:space="0"/>
            </w:tcBorders>
            <w:vAlign w:val="center"/>
          </w:tcPr>
          <w:p>
            <w:pPr>
              <w:autoSpaceDE w:val="0"/>
              <w:autoSpaceDN w:val="0"/>
              <w:adjustRightInd w:val="0"/>
              <w:jc w:val="center"/>
              <w:rPr>
                <w:rFonts w:hint="eastAsia" w:asciiTheme="minorEastAsia" w:hAnsiTheme="minorEastAsia" w:eastAsiaTheme="minorEastAsia" w:cstheme="minorEastAsia"/>
                <w:color w:val="auto"/>
              </w:rPr>
            </w:pPr>
          </w:p>
        </w:tc>
      </w:tr>
    </w:tbl>
    <w:p>
      <w:pPr>
        <w:spacing w:line="360" w:lineRule="auto"/>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注：1、合同复印件（加盖单位公章）须附在技术资信部分投标文件中。</w:t>
      </w:r>
    </w:p>
    <w:p>
      <w:pPr>
        <w:spacing w:line="360" w:lineRule="auto"/>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2、评标结束后</w:t>
      </w:r>
      <w:r>
        <w:rPr>
          <w:rFonts w:hint="eastAsia" w:asciiTheme="minorEastAsia" w:hAnsiTheme="minorEastAsia" w:eastAsiaTheme="minorEastAsia" w:cstheme="minorEastAsia"/>
          <w:color w:val="auto"/>
          <w:sz w:val="22"/>
          <w:szCs w:val="22"/>
          <w:lang w:eastAsia="zh-CN"/>
        </w:rPr>
        <w:t>采购人</w:t>
      </w:r>
      <w:r>
        <w:rPr>
          <w:rFonts w:hint="eastAsia" w:asciiTheme="minorEastAsia" w:hAnsiTheme="minorEastAsia" w:eastAsiaTheme="minorEastAsia" w:cstheme="minorEastAsia"/>
          <w:color w:val="auto"/>
          <w:sz w:val="22"/>
          <w:szCs w:val="22"/>
        </w:rPr>
        <w:t>有权对所有业绩进行公示。若发现业绩有造假行为的，将根据有关规定以“提供虚假材料谋取中标”予以处罚。</w:t>
      </w:r>
    </w:p>
    <w:p>
      <w:pPr>
        <w:pStyle w:val="17"/>
        <w:spacing w:line="400" w:lineRule="atLeast"/>
        <w:rPr>
          <w:rFonts w:hint="eastAsia" w:asciiTheme="minorEastAsia" w:hAnsiTheme="minorEastAsia" w:eastAsiaTheme="minorEastAsia" w:cstheme="minorEastAsia"/>
          <w:color w:val="auto"/>
          <w:sz w:val="22"/>
          <w:szCs w:val="22"/>
        </w:rPr>
      </w:pPr>
    </w:p>
    <w:p>
      <w:pPr>
        <w:pStyle w:val="17"/>
        <w:spacing w:line="400" w:lineRule="atLeast"/>
        <w:rPr>
          <w:rFonts w:hint="eastAsia" w:asciiTheme="minorEastAsia" w:hAnsiTheme="minorEastAsia" w:eastAsiaTheme="minorEastAsia" w:cstheme="minorEastAsia"/>
          <w:color w:val="auto"/>
          <w:sz w:val="22"/>
          <w:szCs w:val="22"/>
        </w:rPr>
      </w:pPr>
    </w:p>
    <w:p>
      <w:pPr>
        <w:pStyle w:val="17"/>
        <w:spacing w:line="400" w:lineRule="exac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供应商名称（盖章）：</w:t>
      </w:r>
    </w:p>
    <w:p>
      <w:pPr>
        <w:pStyle w:val="17"/>
        <w:spacing w:line="400" w:lineRule="exac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授权代表（签字</w:t>
      </w:r>
      <w:r>
        <w:rPr>
          <w:rFonts w:hint="eastAsia" w:asciiTheme="minorEastAsia" w:hAnsiTheme="minorEastAsia" w:eastAsiaTheme="minorEastAsia" w:cstheme="minorEastAsia"/>
          <w:color w:val="auto"/>
          <w:sz w:val="22"/>
          <w:lang w:eastAsia="zh-CN"/>
        </w:rPr>
        <w:t>或盖章</w:t>
      </w:r>
      <w:r>
        <w:rPr>
          <w:rFonts w:hint="eastAsia" w:asciiTheme="minorEastAsia" w:hAnsiTheme="minorEastAsia" w:eastAsiaTheme="minorEastAsia" w:cstheme="minorEastAsia"/>
          <w:color w:val="auto"/>
          <w:sz w:val="22"/>
        </w:rPr>
        <w:t>）：</w:t>
      </w:r>
    </w:p>
    <w:p>
      <w:pPr>
        <w:pStyle w:val="17"/>
        <w:spacing w:line="400" w:lineRule="exact"/>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rPr>
        <w:t>日    期：</w:t>
      </w: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p>
      <w:pPr>
        <w:pStyle w:val="17"/>
        <w:spacing w:line="400" w:lineRule="exact"/>
        <w:rPr>
          <w:rFonts w:hint="eastAsia" w:asciiTheme="minorEastAsia" w:hAnsiTheme="minorEastAsia" w:eastAsiaTheme="minorEastAsia" w:cstheme="minorEastAsia"/>
          <w:color w:val="auto"/>
          <w:sz w:val="22"/>
        </w:rPr>
      </w:pPr>
    </w:p>
    <w:bookmarkEnd w:id="44"/>
    <w:bookmarkEnd w:id="45"/>
    <w:p>
      <w:pPr>
        <w:pStyle w:val="5"/>
        <w:tabs>
          <w:tab w:val="clear" w:pos="840"/>
        </w:tabs>
        <w:adjustRightInd/>
        <w:snapToGrid/>
        <w:spacing w:before="120" w:after="120" w:line="440" w:lineRule="exact"/>
        <w:jc w:val="center"/>
        <w:rPr>
          <w:rFonts w:hint="eastAsia" w:asciiTheme="minorEastAsia" w:hAnsiTheme="minorEastAsia" w:eastAsiaTheme="minorEastAsia" w:cstheme="minorEastAsia"/>
          <w:color w:val="auto"/>
          <w:sz w:val="28"/>
          <w:szCs w:val="28"/>
        </w:rPr>
      </w:pPr>
      <w:bookmarkStart w:id="52" w:name="_Toc515203447"/>
      <w:r>
        <w:rPr>
          <w:rFonts w:hint="eastAsia" w:asciiTheme="minorEastAsia" w:hAnsiTheme="minorEastAsia" w:eastAsiaTheme="minorEastAsia" w:cstheme="minorEastAsia"/>
          <w:color w:val="auto"/>
          <w:sz w:val="28"/>
          <w:szCs w:val="28"/>
        </w:rPr>
        <w:t>第五部分   招标内容及要求</w:t>
      </w:r>
      <w:bookmarkEnd w:id="52"/>
      <w:bookmarkStart w:id="53" w:name="_Toc182398358"/>
    </w:p>
    <w:p>
      <w:pPr>
        <w:rPr>
          <w:rFonts w:hint="eastAsia" w:asciiTheme="minorEastAsia" w:hAnsiTheme="minorEastAsia" w:eastAsiaTheme="minorEastAsia" w:cstheme="minorEastAsia"/>
          <w:color w:val="auto"/>
        </w:rPr>
      </w:pP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一、绿化管养服务范围</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eastAsia="zh-CN"/>
        </w:rPr>
        <w:t>金丽温高速古岸头互通绿化养护项目</w:t>
      </w:r>
      <w:r>
        <w:rPr>
          <w:rFonts w:hint="eastAsia" w:asciiTheme="minorEastAsia" w:hAnsiTheme="minorEastAsia" w:eastAsiaTheme="minorEastAsia" w:cstheme="minorEastAsia"/>
          <w:bCs/>
          <w:color w:val="auto"/>
          <w:sz w:val="22"/>
        </w:rPr>
        <w:t>，具体的养护范围见附件清单。</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 xml:space="preserve">二、承包内容   </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① 日常养护。包括施肥、松土、浇水、修剪、绿地保洁、除草、绿化补种、绿化除尘、病虫害防治等。</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② 绿地补植。在养护过程在对绿地存在的缺株、死株等问题，在规定时间内完成补植工作。</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③ 绿地保洁。包括清运残花落叶及垃圾、保持绿地清洁；垃圾桶内垃圾、园路每天清理不少于一次等。</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④ 设施维修保养。包括绿地内的侧石、游步道、绿道、硬质铺装、垃圾桶、护栏、花箱、景观灯、喷灌系统等所有设施的日常保养和保洁。设施保洁每周不少于一次。</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⑤ 日常巡查。到岗当天对绿地至少巡查一次，确保绿地完好不缺失、没有黄土裸露、没有垃圾。</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⑥ 应急处置。包括绿地内积水处理、防台抗雪、防洪抗涝、节庆和重大活动等应急任务，以及应急物资储备等工作。</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⑦及时完成数字键、投诉件、交办件等案件的处置和回复。</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三、养护标准</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符合《中华人民共和国城市绿化条例》、《城市绿化工程施工及验收规范》、《园林绿化技术规程》、《温州市城市绿化条例》、《温州市园林植物养护技术规程》等，达到绿化养护标准，养护单位依据标准制定本次目的养护技术规则，中标后一个月内报采购单位审核。</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四、主要工作要求</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1.绿篱、色块小灌木，无缺株、小道、混种及黄土裸露，补植灌木品种、规格一致，在规定时间内完成；道路色块灌木定期修剪，切边清晰。</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2</w:t>
      </w:r>
      <w:r>
        <w:rPr>
          <w:rFonts w:hint="eastAsia" w:asciiTheme="minorEastAsia" w:hAnsiTheme="minorEastAsia" w:eastAsiaTheme="minorEastAsia" w:cstheme="minorEastAsia"/>
          <w:bCs/>
          <w:color w:val="auto"/>
          <w:sz w:val="22"/>
        </w:rPr>
        <w:t>.草坪生长繁茂、平整，土壤低于园路或侧石；时花花期整齐，色彩效果好。暖季型草修剪一年不少于6次，冷季型草修剪一年不少于10次。草坪草高度不超过8cm（常绿草高度不超过6cm），草坪边缘应及时切边。常绿草四季应保持绿色，草坪的纯洁度在98%以上，无空秃、黄化现象。对被人为损坏和已发生病害的常绿草坪两天内切除调换，补种时确保草坪的美观和平整。摸清草坪地板结情况，及时对草坪地进行打孔处理，每年不少于一次。</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3</w:t>
      </w:r>
      <w:r>
        <w:rPr>
          <w:rFonts w:hint="eastAsia" w:asciiTheme="minorEastAsia" w:hAnsiTheme="minorEastAsia" w:eastAsiaTheme="minorEastAsia" w:cstheme="minorEastAsia"/>
          <w:bCs/>
          <w:color w:val="auto"/>
          <w:sz w:val="22"/>
        </w:rPr>
        <w:t>.掌握病虫害情况，防治措施有效。</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4</w:t>
      </w:r>
      <w:r>
        <w:rPr>
          <w:rFonts w:hint="eastAsia" w:asciiTheme="minorEastAsia" w:hAnsiTheme="minorEastAsia" w:eastAsiaTheme="minorEastAsia" w:cstheme="minorEastAsia"/>
          <w:bCs/>
          <w:color w:val="auto"/>
          <w:sz w:val="22"/>
        </w:rPr>
        <w:t>.绿地内无垃圾、石块、垃圾渣土、果壳、修剪弃料等杂物；含保洁的绿地，无白色污染物滞留。</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5</w:t>
      </w:r>
      <w:r>
        <w:rPr>
          <w:rFonts w:hint="eastAsia" w:asciiTheme="minorEastAsia" w:hAnsiTheme="minorEastAsia" w:eastAsiaTheme="minorEastAsia" w:cstheme="minorEastAsia"/>
          <w:bCs/>
          <w:color w:val="auto"/>
          <w:sz w:val="22"/>
        </w:rPr>
        <w:t>.管理制度完善，养护管理人员配备到位；养护人员作业规范；管理人员巡查监管到位，无违章占绿情况。</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6</w:t>
      </w:r>
      <w:r>
        <w:rPr>
          <w:rFonts w:hint="eastAsia" w:asciiTheme="minorEastAsia" w:hAnsiTheme="minorEastAsia" w:eastAsiaTheme="minorEastAsia" w:cstheme="minorEastAsia"/>
          <w:bCs/>
          <w:color w:val="auto"/>
          <w:sz w:val="22"/>
        </w:rPr>
        <w:t>.有防台、抗雪、抗旱、保绿等应急预案及措施；档案资料完整，巡查记录、病虫害防治记录、绿地概况表等详尽。</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7</w:t>
      </w:r>
      <w:r>
        <w:rPr>
          <w:rFonts w:hint="eastAsia" w:asciiTheme="minorEastAsia" w:hAnsiTheme="minorEastAsia" w:eastAsiaTheme="minorEastAsia" w:cstheme="minorEastAsia"/>
          <w:bCs/>
          <w:color w:val="auto"/>
          <w:sz w:val="22"/>
        </w:rPr>
        <w:t>.绿地修剪、滚草的清理等绿地的垃圾当日清运完毕。</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8</w:t>
      </w:r>
      <w:r>
        <w:rPr>
          <w:rFonts w:hint="eastAsia" w:asciiTheme="minorEastAsia" w:hAnsiTheme="minorEastAsia" w:eastAsiaTheme="minorEastAsia" w:cstheme="minorEastAsia"/>
          <w:bCs/>
          <w:color w:val="auto"/>
          <w:sz w:val="22"/>
        </w:rPr>
        <w:t>.落实专人建立养护管理工作台帐，制定全年及每月绿地养护工作计划，主要包括绿地的各类养护措施（如施肥、修剪、病虫害防治、</w:t>
      </w:r>
      <w:r>
        <w:rPr>
          <w:rFonts w:hint="eastAsia" w:asciiTheme="minorEastAsia" w:hAnsiTheme="minorEastAsia" w:eastAsiaTheme="minorEastAsia" w:cstheme="minorEastAsia"/>
          <w:bCs/>
          <w:color w:val="auto"/>
          <w:sz w:val="22"/>
          <w:lang w:eastAsia="zh-CN"/>
        </w:rPr>
        <w:t>草地</w:t>
      </w:r>
      <w:r>
        <w:rPr>
          <w:rFonts w:hint="eastAsia" w:asciiTheme="minorEastAsia" w:hAnsiTheme="minorEastAsia" w:eastAsiaTheme="minorEastAsia" w:cstheme="minorEastAsia"/>
          <w:bCs/>
          <w:color w:val="auto"/>
          <w:sz w:val="22"/>
        </w:rPr>
        <w:t>浇水等）、养护质量及安全保证、养护应急管理预案（抗旱、抗涝、抗台、抗寒、抗雪等）、重点技术措施等，按要求上报月度养护计划，人员安排计划等。</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9</w:t>
      </w:r>
      <w:r>
        <w:rPr>
          <w:rFonts w:hint="eastAsia" w:asciiTheme="minorEastAsia" w:hAnsiTheme="minorEastAsia" w:eastAsiaTheme="minorEastAsia" w:cstheme="minorEastAsia"/>
          <w:bCs/>
          <w:color w:val="auto"/>
          <w:sz w:val="22"/>
        </w:rPr>
        <w:t>.规范管理、文明作业、自觉接受采购人及其上级各部门领导的检查和社会监督，对出现的问题要及时整改。及时处理市长热线、舆情信息等热线的反映的问题。</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0</w:t>
      </w:r>
      <w:r>
        <w:rPr>
          <w:rFonts w:hint="eastAsia" w:asciiTheme="minorEastAsia" w:hAnsiTheme="minorEastAsia" w:eastAsiaTheme="minorEastAsia" w:cstheme="minorEastAsia"/>
          <w:bCs/>
          <w:color w:val="auto"/>
          <w:sz w:val="22"/>
        </w:rPr>
        <w:t>.作业时应严格遵守交通规则、遵守安全操作规程，作业时设置警示牌、安全警示锥等安全措施，作业人员上路作业时须统一穿戴安全反光背心。加强日常安全生产管理，确保职工人身安全。如遇各种意外事故发生由中标单位自行负责，并依照法律法规妥善处理（事故情况应及时书面告知采购人）。</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1</w:t>
      </w:r>
      <w:r>
        <w:rPr>
          <w:rFonts w:hint="eastAsia" w:asciiTheme="minorEastAsia" w:hAnsiTheme="minorEastAsia" w:eastAsiaTheme="minorEastAsia" w:cstheme="minorEastAsia"/>
          <w:bCs/>
          <w:color w:val="auto"/>
          <w:sz w:val="22"/>
        </w:rPr>
        <w:t>.建立日常巡查制度，到岗当天，项目负责人或巡查人员对所管辖绿地巡查一次，发现问题及时整改。由交通事故造成的，由承包方负责追究肇事者责任和相应费用；对进入绿地践踏、损坏绿化现象应及时予以制止，如遇严重损坏绿化行为应通知执法部门和采购人。</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2</w:t>
      </w:r>
      <w:r>
        <w:rPr>
          <w:rFonts w:hint="eastAsia" w:asciiTheme="minorEastAsia" w:hAnsiTheme="minorEastAsia" w:eastAsiaTheme="minorEastAsia" w:cstheme="minorEastAsia"/>
          <w:bCs/>
          <w:color w:val="auto"/>
          <w:sz w:val="22"/>
        </w:rPr>
        <w:t>.绿化维护及保洁所用耗材、材料装备设施；水、电的接入及费用（浇灌设备用水、园灯用电除外）；人员食宿、安全等均由承包单位自行负责解决，请投标供应商报价时充分考虑养护用水费用，包含在投标总价中；</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3</w:t>
      </w:r>
      <w:r>
        <w:rPr>
          <w:rFonts w:hint="eastAsia" w:asciiTheme="minorEastAsia" w:hAnsiTheme="minorEastAsia" w:eastAsiaTheme="minorEastAsia" w:cstheme="minorEastAsia"/>
          <w:bCs/>
          <w:color w:val="auto"/>
          <w:sz w:val="22"/>
        </w:rPr>
        <w:t>.人员及设备到岗到位情况：项目负责人每月月初须到场参加月例会，并对该月养护计划进行汇报，并负责具体事项的对接汇报处理等。 除项目负责人外，其他养护人员按养护计划到岗须配备具有定位功能的智能设备</w:t>
      </w:r>
      <w:r>
        <w:rPr>
          <w:rFonts w:hint="eastAsia" w:asciiTheme="minorEastAsia" w:hAnsiTheme="minorEastAsia" w:eastAsiaTheme="minorEastAsia" w:cstheme="minorEastAsia"/>
          <w:bCs/>
          <w:color w:val="auto"/>
          <w:sz w:val="22"/>
          <w:lang w:val="zh-CN"/>
        </w:rPr>
        <w:t>；设备等按养护计划投入，且所有车辆配备具有定位及洒水</w:t>
      </w:r>
      <w:r>
        <w:rPr>
          <w:rFonts w:hint="eastAsia" w:asciiTheme="minorEastAsia" w:hAnsiTheme="minorEastAsia" w:eastAsiaTheme="minorEastAsia" w:cstheme="minorEastAsia"/>
          <w:bCs/>
          <w:color w:val="auto"/>
          <w:sz w:val="22"/>
        </w:rPr>
        <w:t>车工作状态的智能设施；以上设备所需的含购买安装调试等一切费用，由中标人自行考虑。</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4</w:t>
      </w:r>
      <w:r>
        <w:rPr>
          <w:rFonts w:hint="eastAsia" w:asciiTheme="minorEastAsia" w:hAnsiTheme="minorEastAsia" w:eastAsiaTheme="minorEastAsia" w:cstheme="minorEastAsia"/>
          <w:bCs/>
          <w:color w:val="auto"/>
          <w:sz w:val="22"/>
        </w:rPr>
        <w:t>.加强应急响应管理工作：</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（1）制定灾害性天气应急预案，建立应急救灾队伍，将应急预案和人员名单上报采购人备案。</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（2）建立应急备货制，备货的内容有：抗旱、抗涝、抗台、抗寒、抗雪等物资（水泵、遮阴网、草包等）。所有权归承包人，接受采购人检查。</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 xml:space="preserve">（3）遇灾害性天气，听从采购人统一指挥，及时组织人员夏季抗旱、抗台，冬季遇积雪必须及时组织人员进行抗雪。 </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5</w:t>
      </w:r>
      <w:r>
        <w:rPr>
          <w:rFonts w:hint="eastAsia" w:asciiTheme="minorEastAsia" w:hAnsiTheme="minorEastAsia" w:eastAsiaTheme="minorEastAsia" w:cstheme="minorEastAsia"/>
          <w:bCs/>
          <w:color w:val="auto"/>
          <w:sz w:val="22"/>
        </w:rPr>
        <w:t>.积极做好各类“迎检”和“创建”准备工作。</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6</w:t>
      </w:r>
      <w:r>
        <w:rPr>
          <w:rFonts w:hint="eastAsia" w:asciiTheme="minorEastAsia" w:hAnsiTheme="minorEastAsia" w:eastAsiaTheme="minorEastAsia" w:cstheme="minorEastAsia"/>
          <w:bCs/>
          <w:color w:val="auto"/>
          <w:sz w:val="22"/>
        </w:rPr>
        <w:t>.积极配合经相关部门批准的绿地内挖掘及占用绿地，对于超范围施工情况应当及时予以制止并报采购人及执法部门，复种后的绿地应由承包人负责正常养护。</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w:t>
      </w:r>
      <w:r>
        <w:rPr>
          <w:rFonts w:hint="eastAsia" w:asciiTheme="minorEastAsia" w:hAnsiTheme="minorEastAsia" w:eastAsiaTheme="minorEastAsia" w:cstheme="minorEastAsia"/>
          <w:bCs/>
          <w:color w:val="auto"/>
          <w:sz w:val="22"/>
          <w:lang w:val="en-US" w:eastAsia="zh-CN"/>
        </w:rPr>
        <w:t>7</w:t>
      </w:r>
      <w:r>
        <w:rPr>
          <w:rFonts w:hint="eastAsia" w:asciiTheme="minorEastAsia" w:hAnsiTheme="minorEastAsia" w:eastAsiaTheme="minorEastAsia" w:cstheme="minorEastAsia"/>
          <w:bCs/>
          <w:color w:val="auto"/>
          <w:sz w:val="22"/>
        </w:rPr>
        <w:t>.产生的各种垃圾必须按政府部门的要求进行分类处理，进入垃圾中转站或自有垃圾处理场地，其处理产生费用由承包人负责。</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val="en-US" w:eastAsia="zh-CN"/>
        </w:rPr>
        <w:t>18</w:t>
      </w:r>
      <w:r>
        <w:rPr>
          <w:rFonts w:hint="eastAsia" w:asciiTheme="minorEastAsia" w:hAnsiTheme="minorEastAsia" w:eastAsiaTheme="minorEastAsia" w:cstheme="minorEastAsia"/>
          <w:bCs/>
          <w:color w:val="auto"/>
          <w:sz w:val="22"/>
        </w:rPr>
        <w:t>.在合同执行期内，投标人应遵守法律法规及其他有关规定，并接受甲方及有关部门的监督、检查和管理。本项目不得转包、分包。</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五、其他要求及说明</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1、开标前，投标人应自行对招标区域现状情况做实地勘察测量，本项目采取固定综合总价包干，除采购文件规定的可调整风险外。</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2、承包期间如遇政策原因最低工资调整，合同价不调整；投标人应在投标报价时充分考虑该因素。</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
          <w:color w:val="auto"/>
          <w:sz w:val="22"/>
          <w:u w:val="single"/>
        </w:rPr>
      </w:pPr>
      <w:r>
        <w:rPr>
          <w:rFonts w:hint="eastAsia" w:asciiTheme="minorEastAsia" w:hAnsiTheme="minorEastAsia" w:eastAsiaTheme="minorEastAsia" w:cstheme="minorEastAsia"/>
          <w:bCs/>
          <w:color w:val="auto"/>
          <w:sz w:val="22"/>
          <w:u w:val="single"/>
        </w:rPr>
        <w:t>▲</w:t>
      </w:r>
      <w:r>
        <w:rPr>
          <w:rFonts w:hint="eastAsia" w:asciiTheme="minorEastAsia" w:hAnsiTheme="minorEastAsia" w:eastAsiaTheme="minorEastAsia" w:cstheme="minorEastAsia"/>
          <w:b/>
          <w:color w:val="auto"/>
          <w:sz w:val="22"/>
          <w:u w:val="single"/>
        </w:rPr>
        <w:t>3、采购单位不提供管理用房及仓库，由投标人自行解决；但中标后，中标单位20天内必须提供相关合同及文件，由甲方现场验收，不能提供的单位视为自动放弃中标。</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
          <w:color w:val="auto"/>
          <w:sz w:val="22"/>
          <w:u w:val="single"/>
        </w:rPr>
      </w:pPr>
      <w:r>
        <w:rPr>
          <w:rFonts w:hint="eastAsia" w:asciiTheme="minorEastAsia" w:hAnsiTheme="minorEastAsia" w:eastAsiaTheme="minorEastAsia" w:cstheme="minorEastAsia"/>
          <w:bCs/>
          <w:color w:val="auto"/>
          <w:sz w:val="22"/>
          <w:u w:val="single"/>
        </w:rPr>
        <w:t>▲</w:t>
      </w:r>
      <w:r>
        <w:rPr>
          <w:rFonts w:hint="eastAsia" w:asciiTheme="minorEastAsia" w:hAnsiTheme="minorEastAsia" w:eastAsiaTheme="minorEastAsia" w:cstheme="minorEastAsia"/>
          <w:b/>
          <w:color w:val="auto"/>
          <w:sz w:val="22"/>
          <w:u w:val="single"/>
        </w:rPr>
        <w:t>4、中标后，中标单位20天内提供在养护区域5公里范围内的固定办公地点、值班人员及联系电话，确保24小时应急服务和承诺服务工作，由甲方现场验收，不能提供的单位视为自动放弃中标。</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
          <w:color w:val="auto"/>
          <w:sz w:val="22"/>
          <w:u w:val="single"/>
        </w:rPr>
      </w:pPr>
      <w:r>
        <w:rPr>
          <w:rFonts w:hint="eastAsia" w:asciiTheme="minorEastAsia" w:hAnsiTheme="minorEastAsia" w:eastAsiaTheme="minorEastAsia" w:cstheme="minorEastAsia"/>
          <w:bCs/>
          <w:color w:val="auto"/>
          <w:sz w:val="22"/>
          <w:u w:val="single"/>
        </w:rPr>
        <w:t>▲</w:t>
      </w:r>
      <w:r>
        <w:rPr>
          <w:rFonts w:hint="eastAsia" w:asciiTheme="minorEastAsia" w:hAnsiTheme="minorEastAsia" w:eastAsiaTheme="minorEastAsia" w:cstheme="minorEastAsia"/>
          <w:b/>
          <w:color w:val="auto"/>
          <w:sz w:val="22"/>
          <w:u w:val="single"/>
        </w:rPr>
        <w:t>5、中标后，中标单位20天内须按</w:t>
      </w:r>
      <w:r>
        <w:rPr>
          <w:rFonts w:hint="eastAsia" w:asciiTheme="minorEastAsia" w:hAnsiTheme="minorEastAsia" w:eastAsiaTheme="minorEastAsia" w:cstheme="minorEastAsia"/>
          <w:b/>
          <w:color w:val="auto"/>
          <w:sz w:val="22"/>
          <w:u w:val="single"/>
          <w:lang w:eastAsia="zh-CN"/>
        </w:rPr>
        <w:t>采购文件</w:t>
      </w:r>
      <w:r>
        <w:rPr>
          <w:rFonts w:hint="eastAsia" w:asciiTheme="minorEastAsia" w:hAnsiTheme="minorEastAsia" w:eastAsiaTheme="minorEastAsia" w:cstheme="minorEastAsia"/>
          <w:b/>
          <w:color w:val="auto"/>
          <w:sz w:val="22"/>
          <w:u w:val="single"/>
        </w:rPr>
        <w:t>要求的及投标文件承诺的设备机械等到达采购人指定的地点，由采购人现场验收。</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
          <w:color w:val="auto"/>
          <w:sz w:val="22"/>
          <w:u w:val="single"/>
        </w:rPr>
      </w:pPr>
      <w:r>
        <w:rPr>
          <w:rFonts w:hint="eastAsia" w:asciiTheme="minorEastAsia" w:hAnsiTheme="minorEastAsia" w:eastAsiaTheme="minorEastAsia" w:cstheme="minorEastAsia"/>
          <w:bCs/>
          <w:color w:val="auto"/>
          <w:sz w:val="22"/>
          <w:u w:val="single"/>
        </w:rPr>
        <w:t>▲</w:t>
      </w:r>
      <w:r>
        <w:rPr>
          <w:rFonts w:hint="eastAsia" w:asciiTheme="minorEastAsia" w:hAnsiTheme="minorEastAsia" w:eastAsiaTheme="minorEastAsia" w:cstheme="minorEastAsia"/>
          <w:b/>
          <w:color w:val="auto"/>
          <w:sz w:val="22"/>
          <w:u w:val="single"/>
        </w:rPr>
        <w:t>6、中标单位须配备有定位功能的智能设备</w:t>
      </w:r>
      <w:r>
        <w:rPr>
          <w:rFonts w:hint="eastAsia" w:asciiTheme="minorEastAsia" w:hAnsiTheme="minorEastAsia" w:eastAsiaTheme="minorEastAsia" w:cstheme="minorEastAsia"/>
          <w:b/>
          <w:color w:val="auto"/>
          <w:sz w:val="22"/>
          <w:u w:val="single"/>
          <w:lang w:val="zh-CN"/>
        </w:rPr>
        <w:t>和车辆</w:t>
      </w:r>
      <w:r>
        <w:rPr>
          <w:rFonts w:hint="eastAsia" w:asciiTheme="minorEastAsia" w:hAnsiTheme="minorEastAsia" w:eastAsiaTheme="minorEastAsia" w:cstheme="minorEastAsia"/>
          <w:b/>
          <w:color w:val="auto"/>
          <w:sz w:val="22"/>
          <w:u w:val="single"/>
        </w:rPr>
        <w:t>智能设施等，今后采购单位若建立数字化系统进行后期管理，则所有智能设备须能满足后期接入平台的要求。</w:t>
      </w:r>
    </w:p>
    <w:p>
      <w:pPr>
        <w:widowControl/>
        <w:autoSpaceDE w:val="0"/>
        <w:autoSpaceDN w:val="0"/>
        <w:adjustRightInd w:val="0"/>
        <w:spacing w:line="460" w:lineRule="atLeast"/>
        <w:ind w:firstLine="442" w:firstLineChars="200"/>
        <w:textAlignment w:val="bottom"/>
        <w:rPr>
          <w:rFonts w:hint="eastAsia" w:asciiTheme="minorEastAsia" w:hAnsiTheme="minorEastAsia" w:eastAsiaTheme="minorEastAsia" w:cstheme="minorEastAsia"/>
          <w:b/>
          <w:bCs w:val="0"/>
          <w:color w:val="auto"/>
          <w:sz w:val="22"/>
          <w:lang w:val="en-US" w:eastAsia="zh-CN"/>
        </w:rPr>
      </w:pPr>
      <w:r>
        <w:rPr>
          <w:rFonts w:hint="eastAsia" w:asciiTheme="minorEastAsia" w:hAnsiTheme="minorEastAsia" w:eastAsiaTheme="minorEastAsia" w:cstheme="minorEastAsia"/>
          <w:b/>
          <w:bCs w:val="0"/>
          <w:color w:val="auto"/>
          <w:sz w:val="22"/>
          <w:lang w:val="en-US" w:eastAsia="zh-CN"/>
        </w:rPr>
        <w:t>7、采购预算：3116906元。</w:t>
      </w:r>
    </w:p>
    <w:p>
      <w:pPr>
        <w:widowControl/>
        <w:autoSpaceDE w:val="0"/>
        <w:autoSpaceDN w:val="0"/>
        <w:adjustRightInd w:val="0"/>
        <w:spacing w:line="460" w:lineRule="atLeast"/>
        <w:ind w:firstLine="442" w:firstLineChars="200"/>
        <w:textAlignment w:val="bottom"/>
        <w:rPr>
          <w:rFonts w:hint="eastAsia" w:asciiTheme="minorEastAsia" w:hAnsiTheme="minorEastAsia" w:eastAsiaTheme="minorEastAsia" w:cstheme="minorEastAsia"/>
          <w:b/>
          <w:bCs w:val="0"/>
          <w:color w:val="auto"/>
          <w:sz w:val="22"/>
          <w:lang w:val="en-US" w:eastAsia="zh-CN"/>
        </w:rPr>
      </w:pPr>
      <w:r>
        <w:rPr>
          <w:rFonts w:hint="eastAsia" w:asciiTheme="minorEastAsia" w:hAnsiTheme="minorEastAsia" w:eastAsiaTheme="minorEastAsia" w:cstheme="minorEastAsia"/>
          <w:b/>
          <w:bCs w:val="0"/>
          <w:color w:val="auto"/>
          <w:sz w:val="22"/>
          <w:lang w:val="en-US" w:eastAsia="zh-CN"/>
        </w:rPr>
        <w:t>8、付款方式：详见采购文件合同部分。</w:t>
      </w:r>
    </w:p>
    <w:p>
      <w:pPr>
        <w:widowControl/>
        <w:autoSpaceDE w:val="0"/>
        <w:autoSpaceDN w:val="0"/>
        <w:adjustRightInd w:val="0"/>
        <w:spacing w:line="460" w:lineRule="atLeast"/>
        <w:ind w:firstLine="442" w:firstLineChars="200"/>
        <w:textAlignment w:val="bottom"/>
        <w:rPr>
          <w:rFonts w:hint="eastAsia" w:asciiTheme="minorEastAsia" w:hAnsiTheme="minorEastAsia" w:eastAsiaTheme="minorEastAsia" w:cstheme="minorEastAsia"/>
          <w:b/>
          <w:bCs w:val="0"/>
          <w:color w:val="auto"/>
          <w:sz w:val="22"/>
          <w:lang w:val="en-US" w:eastAsia="zh-CN"/>
        </w:rPr>
      </w:pPr>
      <w:r>
        <w:rPr>
          <w:rFonts w:hint="eastAsia" w:asciiTheme="minorEastAsia" w:hAnsiTheme="minorEastAsia" w:eastAsiaTheme="minorEastAsia" w:cstheme="minorEastAsia"/>
          <w:b/>
          <w:bCs w:val="0"/>
          <w:color w:val="auto"/>
          <w:sz w:val="22"/>
          <w:lang w:val="en-US" w:eastAsia="zh-CN"/>
        </w:rPr>
        <w:t>9、服务期限：2年服务期，合同一年一签，如采购人对供应商前一年（前三期）的养护服务管理服务质量满意，且前一年（前三期）的平均考核分为90分以上时，并报当地财政部门备案后重新签订一年合同。</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六、服务和质量要求：</w:t>
      </w:r>
    </w:p>
    <w:p>
      <w:pPr>
        <w:pStyle w:val="72"/>
        <w:spacing w:line="460" w:lineRule="exact"/>
        <w:ind w:firstLine="221" w:firstLineChars="100"/>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rPr>
        <w:t>本</w:t>
      </w:r>
      <w:r>
        <w:rPr>
          <w:rFonts w:hint="eastAsia" w:asciiTheme="minorEastAsia" w:hAnsiTheme="minorEastAsia" w:eastAsiaTheme="minorEastAsia" w:cstheme="minorEastAsia"/>
          <w:b/>
          <w:color w:val="auto"/>
          <w:sz w:val="22"/>
          <w:szCs w:val="22"/>
        </w:rPr>
        <w:t>项目作业技术设备配备情况如下：</w:t>
      </w:r>
    </w:p>
    <w:tbl>
      <w:tblPr>
        <w:tblStyle w:val="39"/>
        <w:tblW w:w="8219"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411"/>
        <w:gridCol w:w="1775"/>
        <w:gridCol w:w="168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120"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序号</w:t>
            </w:r>
          </w:p>
        </w:tc>
        <w:tc>
          <w:tcPr>
            <w:tcW w:w="2411"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名称</w:t>
            </w:r>
          </w:p>
        </w:tc>
        <w:tc>
          <w:tcPr>
            <w:tcW w:w="1775"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数量</w:t>
            </w:r>
          </w:p>
        </w:tc>
        <w:tc>
          <w:tcPr>
            <w:tcW w:w="1687"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规格要求</w:t>
            </w:r>
          </w:p>
        </w:tc>
        <w:tc>
          <w:tcPr>
            <w:tcW w:w="1226"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exact"/>
        </w:trPr>
        <w:tc>
          <w:tcPr>
            <w:tcW w:w="1120"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w:t>
            </w:r>
          </w:p>
        </w:tc>
        <w:tc>
          <w:tcPr>
            <w:tcW w:w="2411"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洒水车</w:t>
            </w:r>
          </w:p>
        </w:tc>
        <w:tc>
          <w:tcPr>
            <w:tcW w:w="1775"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val="en-US" w:eastAsia="zh-CN"/>
              </w:rPr>
              <w:t>1</w:t>
            </w:r>
            <w:r>
              <w:rPr>
                <w:rFonts w:hint="eastAsia" w:asciiTheme="minorEastAsia" w:hAnsiTheme="minorEastAsia" w:eastAsiaTheme="minorEastAsia" w:cstheme="minorEastAsia"/>
                <w:bCs/>
                <w:color w:val="auto"/>
                <w:sz w:val="22"/>
                <w:szCs w:val="22"/>
              </w:rPr>
              <w:t>辆</w:t>
            </w:r>
          </w:p>
        </w:tc>
        <w:tc>
          <w:tcPr>
            <w:tcW w:w="1687"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每辆总质量7.5吨及以上</w:t>
            </w:r>
          </w:p>
        </w:tc>
        <w:tc>
          <w:tcPr>
            <w:tcW w:w="1226"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trPr>
        <w:tc>
          <w:tcPr>
            <w:tcW w:w="1120"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w:t>
            </w:r>
          </w:p>
        </w:tc>
        <w:tc>
          <w:tcPr>
            <w:tcW w:w="2411"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垃圾运输车</w:t>
            </w:r>
          </w:p>
        </w:tc>
        <w:tc>
          <w:tcPr>
            <w:tcW w:w="1775" w:type="dxa"/>
            <w:vAlign w:val="center"/>
          </w:tcPr>
          <w:p>
            <w:pPr>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1辆</w:t>
            </w:r>
          </w:p>
        </w:tc>
        <w:tc>
          <w:tcPr>
            <w:tcW w:w="1687"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p>
        </w:tc>
        <w:tc>
          <w:tcPr>
            <w:tcW w:w="1226" w:type="dxa"/>
            <w:vAlign w:val="center"/>
          </w:tcPr>
          <w:p>
            <w:pPr>
              <w:pStyle w:val="72"/>
              <w:ind w:firstLine="440"/>
              <w:jc w:val="center"/>
              <w:rPr>
                <w:rFonts w:hint="eastAsia" w:asciiTheme="minorEastAsia" w:hAnsiTheme="minorEastAsia" w:eastAsiaTheme="minorEastAsia" w:cstheme="minorEastAsia"/>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120"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w:t>
            </w:r>
          </w:p>
        </w:tc>
        <w:tc>
          <w:tcPr>
            <w:tcW w:w="2411"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打药车</w:t>
            </w:r>
          </w:p>
        </w:tc>
        <w:tc>
          <w:tcPr>
            <w:tcW w:w="1775" w:type="dxa"/>
            <w:vAlign w:val="center"/>
          </w:tcPr>
          <w:p>
            <w:pPr>
              <w:jc w:val="center"/>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1辆</w:t>
            </w:r>
          </w:p>
        </w:tc>
        <w:tc>
          <w:tcPr>
            <w:tcW w:w="1687" w:type="dxa"/>
            <w:vAlign w:val="center"/>
          </w:tcPr>
          <w:p>
            <w:pPr>
              <w:pStyle w:val="72"/>
              <w:ind w:firstLine="0" w:firstLineChars="0"/>
              <w:jc w:val="center"/>
              <w:rPr>
                <w:rFonts w:hint="eastAsia" w:asciiTheme="minorEastAsia" w:hAnsiTheme="minorEastAsia" w:eastAsiaTheme="minorEastAsia" w:cstheme="minorEastAsia"/>
                <w:bCs/>
                <w:color w:val="auto"/>
                <w:sz w:val="22"/>
                <w:szCs w:val="22"/>
              </w:rPr>
            </w:pPr>
          </w:p>
        </w:tc>
        <w:tc>
          <w:tcPr>
            <w:tcW w:w="1226" w:type="dxa"/>
            <w:vAlign w:val="center"/>
          </w:tcPr>
          <w:p>
            <w:pPr>
              <w:pStyle w:val="72"/>
              <w:ind w:firstLine="440"/>
              <w:jc w:val="center"/>
              <w:rPr>
                <w:rFonts w:hint="eastAsia" w:asciiTheme="minorEastAsia" w:hAnsiTheme="minorEastAsia" w:eastAsiaTheme="minorEastAsia" w:cstheme="minorEastAsia"/>
                <w:bCs/>
                <w:color w:val="auto"/>
                <w:sz w:val="22"/>
                <w:szCs w:val="22"/>
              </w:rPr>
            </w:pPr>
          </w:p>
        </w:tc>
      </w:tr>
    </w:tbl>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七、现场条件</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szCs w:val="22"/>
          <w:u w:val="single"/>
        </w:rPr>
      </w:pPr>
      <w:r>
        <w:rPr>
          <w:rFonts w:hint="eastAsia" w:asciiTheme="minorEastAsia" w:hAnsiTheme="minorEastAsia" w:eastAsiaTheme="minorEastAsia" w:cstheme="minorEastAsia"/>
          <w:bCs/>
          <w:color w:val="auto"/>
          <w:sz w:val="22"/>
          <w:szCs w:val="22"/>
        </w:rPr>
        <w:t>1．▲</w:t>
      </w:r>
      <w:r>
        <w:rPr>
          <w:rFonts w:hint="eastAsia" w:asciiTheme="minorEastAsia" w:hAnsiTheme="minorEastAsia" w:eastAsiaTheme="minorEastAsia" w:cstheme="minorEastAsia"/>
          <w:bCs/>
          <w:color w:val="auto"/>
          <w:sz w:val="22"/>
          <w:szCs w:val="22"/>
          <w:u w:val="single"/>
        </w:rPr>
        <w:t>此次招标所涉及的人员食宿和作业工具、服装等均由承包单位自行负责解决。</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w:t>
      </w:r>
      <w:r>
        <w:rPr>
          <w:rFonts w:hint="eastAsia" w:asciiTheme="minorEastAsia" w:hAnsiTheme="minorEastAsia" w:eastAsiaTheme="minorEastAsia" w:cstheme="minorEastAsia"/>
          <w:bCs/>
          <w:color w:val="auto"/>
          <w:sz w:val="22"/>
          <w:szCs w:val="22"/>
          <w:u w:val="single"/>
        </w:rPr>
        <w:t>作业工具的临时停放仓库、管理用房、办公用房等由承包单位负责。</w:t>
      </w:r>
    </w:p>
    <w:p>
      <w:pPr>
        <w:widowControl/>
        <w:autoSpaceDE w:val="0"/>
        <w:autoSpaceDN w:val="0"/>
        <w:adjustRightInd w:val="0"/>
        <w:spacing w:line="380" w:lineRule="exact"/>
        <w:ind w:firstLine="440" w:firstLineChars="200"/>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八、本次招标清单如下：</w:t>
      </w: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203"/>
        <w:gridCol w:w="1198"/>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5"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序号</w:t>
            </w:r>
          </w:p>
        </w:tc>
        <w:tc>
          <w:tcPr>
            <w:tcW w:w="5203"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项目名称</w:t>
            </w:r>
          </w:p>
        </w:tc>
        <w:tc>
          <w:tcPr>
            <w:tcW w:w="1198"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单位</w:t>
            </w:r>
          </w:p>
        </w:tc>
        <w:tc>
          <w:tcPr>
            <w:tcW w:w="1296"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25"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w:t>
            </w:r>
          </w:p>
        </w:tc>
        <w:tc>
          <w:tcPr>
            <w:tcW w:w="5203"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eastAsia="zh-CN"/>
              </w:rPr>
              <w:t>绿地养护</w:t>
            </w:r>
          </w:p>
        </w:tc>
        <w:tc>
          <w:tcPr>
            <w:tcW w:w="1198"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m2</w:t>
            </w:r>
          </w:p>
        </w:tc>
        <w:tc>
          <w:tcPr>
            <w:tcW w:w="1296"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108649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w:t>
            </w:r>
          </w:p>
        </w:tc>
        <w:tc>
          <w:tcPr>
            <w:tcW w:w="5203"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eastAsia="zh-CN"/>
              </w:rPr>
              <w:t>草花摆放（一串红、石竹、矮牵牛、孔雀草、鸡冠花等小杯苗）</w:t>
            </w:r>
          </w:p>
        </w:tc>
        <w:tc>
          <w:tcPr>
            <w:tcW w:w="1198"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eastAsia="zh-CN"/>
              </w:rPr>
              <w:t>㎡</w:t>
            </w:r>
          </w:p>
        </w:tc>
        <w:tc>
          <w:tcPr>
            <w:tcW w:w="1296"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lang w:val="en-US" w:eastAsia="zh-CN"/>
              </w:rPr>
            </w:pPr>
            <w:r>
              <w:rPr>
                <w:rFonts w:hint="eastAsia" w:asciiTheme="minorEastAsia" w:hAnsiTheme="minorEastAsia" w:eastAsiaTheme="minorEastAsia" w:cstheme="minorEastAsia"/>
                <w:bCs/>
                <w:color w:val="auto"/>
                <w:sz w:val="22"/>
                <w:szCs w:val="22"/>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w:t>
            </w:r>
          </w:p>
        </w:tc>
        <w:tc>
          <w:tcPr>
            <w:tcW w:w="5203"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eastAsia="zh-CN"/>
              </w:rPr>
              <w:t>草坪（换季草籽混播，黑麦草籽播）</w:t>
            </w:r>
          </w:p>
        </w:tc>
        <w:tc>
          <w:tcPr>
            <w:tcW w:w="1198"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m2</w:t>
            </w:r>
          </w:p>
        </w:tc>
        <w:tc>
          <w:tcPr>
            <w:tcW w:w="1296"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43678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w:t>
            </w:r>
          </w:p>
        </w:tc>
        <w:tc>
          <w:tcPr>
            <w:tcW w:w="5203"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eastAsia="zh-CN"/>
              </w:rPr>
              <w:t>保洁</w:t>
            </w:r>
          </w:p>
        </w:tc>
        <w:tc>
          <w:tcPr>
            <w:tcW w:w="1198"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lang w:eastAsia="zh-CN"/>
              </w:rPr>
            </w:pPr>
            <w:r>
              <w:rPr>
                <w:rFonts w:hint="eastAsia" w:asciiTheme="minorEastAsia" w:hAnsiTheme="minorEastAsia" w:eastAsiaTheme="minorEastAsia" w:cstheme="minorEastAsia"/>
                <w:bCs/>
                <w:color w:val="auto"/>
                <w:sz w:val="22"/>
                <w:szCs w:val="22"/>
                <w:lang w:eastAsia="zh-CN"/>
              </w:rPr>
              <w:t>项</w:t>
            </w:r>
          </w:p>
        </w:tc>
        <w:tc>
          <w:tcPr>
            <w:tcW w:w="1296" w:type="dxa"/>
            <w:vAlign w:val="center"/>
          </w:tcPr>
          <w:p>
            <w:pPr>
              <w:widowControl/>
              <w:autoSpaceDE w:val="0"/>
              <w:autoSpaceDN w:val="0"/>
              <w:adjustRightInd w:val="0"/>
              <w:spacing w:line="460" w:lineRule="atLeast"/>
              <w:jc w:val="center"/>
              <w:textAlignment w:val="bottom"/>
              <w:rPr>
                <w:rFonts w:hint="eastAsia" w:asciiTheme="minorEastAsia" w:hAnsiTheme="minorEastAsia" w:eastAsiaTheme="minorEastAsia" w:cstheme="minorEastAsia"/>
                <w:bCs/>
                <w:color w:val="auto"/>
                <w:sz w:val="22"/>
                <w:szCs w:val="22"/>
                <w:lang w:eastAsia="zh-CN"/>
              </w:rPr>
            </w:pPr>
            <w:r>
              <w:rPr>
                <w:rFonts w:hint="eastAsia" w:asciiTheme="minorEastAsia" w:hAnsiTheme="minorEastAsia" w:eastAsiaTheme="minorEastAsia" w:cstheme="minorEastAsia"/>
                <w:bCs/>
                <w:color w:val="auto"/>
                <w:sz w:val="22"/>
                <w:szCs w:val="22"/>
                <w:lang w:val="en-US" w:eastAsia="zh-CN"/>
              </w:rPr>
              <w:t>1</w:t>
            </w:r>
          </w:p>
        </w:tc>
      </w:tr>
    </w:tbl>
    <w:p>
      <w:pPr>
        <w:pStyle w:val="14"/>
        <w:spacing w:line="440" w:lineRule="exact"/>
        <w:ind w:left="0" w:firstLine="0" w:firstLineChars="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备注：项目具体进场养护时间由业主根据实际移交情况最终确定，</w:t>
      </w:r>
      <w:r>
        <w:rPr>
          <w:rFonts w:hint="eastAsia" w:asciiTheme="minorEastAsia" w:hAnsiTheme="minorEastAsia" w:eastAsiaTheme="minorEastAsia" w:cstheme="minorEastAsia"/>
          <w:color w:val="auto"/>
          <w:kern w:val="0"/>
          <w:sz w:val="22"/>
          <w:szCs w:val="22"/>
          <w:lang w:eastAsia="zh-CN"/>
        </w:rPr>
        <w:t>结算</w:t>
      </w:r>
      <w:r>
        <w:rPr>
          <w:rFonts w:hint="eastAsia" w:asciiTheme="minorEastAsia" w:hAnsiTheme="minorEastAsia" w:eastAsiaTheme="minorEastAsia" w:cstheme="minorEastAsia"/>
          <w:color w:val="auto"/>
          <w:kern w:val="0"/>
          <w:sz w:val="22"/>
          <w:szCs w:val="22"/>
        </w:rPr>
        <w:t>费用按实际养护结算。</w:t>
      </w:r>
    </w:p>
    <w:p>
      <w:pPr>
        <w:widowControl/>
        <w:numPr>
          <w:ilvl w:val="0"/>
          <w:numId w:val="0"/>
        </w:numPr>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lang w:eastAsia="zh-CN"/>
        </w:rPr>
        <w:t>九、</w:t>
      </w:r>
      <w:r>
        <w:rPr>
          <w:rFonts w:hint="eastAsia" w:asciiTheme="minorEastAsia" w:hAnsiTheme="minorEastAsia" w:eastAsiaTheme="minorEastAsia" w:cstheme="minorEastAsia"/>
          <w:bCs/>
          <w:color w:val="auto"/>
          <w:sz w:val="22"/>
        </w:rPr>
        <w:t>考核办法：</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szCs w:val="22"/>
        </w:rPr>
        <w:t>1.考核方式</w:t>
      </w:r>
    </w:p>
    <w:p>
      <w:pPr>
        <w:widowControl/>
        <w:autoSpaceDE w:val="0"/>
        <w:autoSpaceDN w:val="0"/>
        <w:adjustRightInd w:val="0"/>
        <w:spacing w:line="460" w:lineRule="atLeast"/>
        <w:ind w:firstLine="440" w:firstLineChars="200"/>
        <w:textAlignment w:val="bottom"/>
        <w:rPr>
          <w:rFonts w:hint="eastAsia" w:asciiTheme="minorEastAsia" w:hAnsiTheme="minorEastAsia" w:eastAsiaTheme="minorEastAsia" w:cstheme="minorEastAsia"/>
          <w:bCs/>
          <w:color w:val="auto"/>
          <w:sz w:val="22"/>
        </w:rPr>
      </w:pPr>
      <w:r>
        <w:rPr>
          <w:rFonts w:hint="eastAsia" w:asciiTheme="minorEastAsia" w:hAnsiTheme="minorEastAsia" w:eastAsiaTheme="minorEastAsia" w:cstheme="minorEastAsia"/>
          <w:bCs/>
          <w:color w:val="auto"/>
          <w:sz w:val="22"/>
        </w:rPr>
        <w:t>1.1考核采取日常随机巡查和月度考核相结合形式进行，目前瓯海区园林养护数字化系统未组建前，采购人将按</w:t>
      </w:r>
      <w:r>
        <w:rPr>
          <w:rFonts w:hint="eastAsia" w:asciiTheme="minorEastAsia" w:hAnsiTheme="minorEastAsia" w:eastAsiaTheme="minorEastAsia" w:cstheme="minorEastAsia"/>
          <w:bCs/>
          <w:color w:val="auto"/>
          <w:sz w:val="22"/>
          <w:lang w:eastAsia="zh-CN"/>
        </w:rPr>
        <w:t>采购文件</w:t>
      </w:r>
      <w:r>
        <w:rPr>
          <w:rFonts w:hint="eastAsia" w:asciiTheme="minorEastAsia" w:hAnsiTheme="minorEastAsia" w:eastAsiaTheme="minorEastAsia" w:cstheme="minorEastAsia"/>
          <w:bCs/>
          <w:color w:val="auto"/>
          <w:sz w:val="22"/>
        </w:rPr>
        <w:t>规定的考核办法进行人工考核，在系统建设期间及试运行阶段中标人须按采购人的要求全力配合其考核管理工作。</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Cs/>
          <w:color w:val="auto"/>
          <w:sz w:val="22"/>
        </w:rPr>
        <w:t>1.2</w:t>
      </w:r>
      <w:r>
        <w:rPr>
          <w:rFonts w:hint="eastAsia" w:asciiTheme="minorEastAsia" w:hAnsiTheme="minorEastAsia" w:eastAsiaTheme="minorEastAsia" w:cstheme="minorEastAsia"/>
          <w:color w:val="auto"/>
          <w:sz w:val="22"/>
          <w:szCs w:val="22"/>
        </w:rPr>
        <w:t>绿化养护单位在每月26日前上报次月养护计划，采购人将在月初召开例会对养护单位上报的上月考核进行总结及本月养护计划进行确认。</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1.3绿化养护单位按当月养护计划开展养护工作，每日依据《温州市城市绿地养护管理标准》对养护的绿地进行巡查全覆盖，对养护内容、所养护绿地内发生发现的问题上报日巡查。</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1.4绿化养护企业应在规定时间内上报工作台账，台账包括管理制度、月度工作计划、日常养护记录、督办件完成情况、工作问题总结分析等五部分，其中日巡查、养护计划内的人员工作、设备机械投入运行记录等需提供照片或影像资料。</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1.5公众媒体上级部门督办 ：当月媒体网站、新闻媒体、信访、上级部门等批评及表扬意见等汇总数量，每表扬一次加一分，5分封顶；每批评一次扣一分，扣完为止，即为公众媒体上级部门督办月度分值。未发生，不扣不加。</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1.6采购人依据考核评分细则，对绿地进行月考核（日常随机及月度相结合），发现问题，进行记录、扣除相应分数并拍照留档。并于月末统计本月考核数据并结合公众媒体上级部门督办的分数作为当月考核得分。</w:t>
      </w:r>
    </w:p>
    <w:p>
      <w:pPr>
        <w:widowControl/>
        <w:tabs>
          <w:tab w:val="left" w:pos="1170"/>
          <w:tab w:val="left" w:pos="1620"/>
        </w:tabs>
        <w:spacing w:line="480" w:lineRule="exact"/>
        <w:ind w:left="420" w:left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kern w:val="0"/>
          <w:sz w:val="22"/>
          <w:szCs w:val="22"/>
        </w:rPr>
        <w:t>2.奖惩办法</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 养护管理实行百分制月度考评并结合加分奖励计算得分，得分在90分（含90分）以上，可计取当月养护费；得分在90分-80分（含80分）按所得分百分比支付养护费（如得分为89分，则记取本</w:t>
      </w:r>
      <w:r>
        <w:rPr>
          <w:rFonts w:hint="eastAsia" w:asciiTheme="minorEastAsia" w:hAnsiTheme="minorEastAsia" w:eastAsiaTheme="minorEastAsia" w:cstheme="minorEastAsia"/>
          <w:color w:val="auto"/>
          <w:sz w:val="22"/>
          <w:szCs w:val="22"/>
          <w:lang w:eastAsia="zh-CN"/>
        </w:rPr>
        <w:t>项目</w:t>
      </w:r>
      <w:r>
        <w:rPr>
          <w:rFonts w:hint="eastAsia" w:asciiTheme="minorEastAsia" w:hAnsiTheme="minorEastAsia" w:eastAsiaTheme="minorEastAsia" w:cstheme="minorEastAsia"/>
          <w:color w:val="auto"/>
          <w:sz w:val="22"/>
          <w:szCs w:val="22"/>
        </w:rPr>
        <w:t>当月89%的养护费），得分在80分-70分（含70分）扣除当月养护费的一半；得分在70分（不含70分）以下，扣除当月全部养护费，连续二次得分或累计一年内三次在70分（不含70分）以下的，终止养护合同。</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2.2 出现以下情况时， 在</w:t>
      </w:r>
      <w:r>
        <w:rPr>
          <w:rFonts w:hint="eastAsia" w:asciiTheme="minorEastAsia" w:hAnsiTheme="minorEastAsia" w:eastAsiaTheme="minorEastAsia" w:cstheme="minorEastAsia"/>
          <w:color w:val="auto"/>
          <w:sz w:val="22"/>
          <w:szCs w:val="22"/>
        </w:rPr>
        <w:t>百分制月度考评之外，对当月工作表现出色的企业，且</w:t>
      </w:r>
      <w:r>
        <w:rPr>
          <w:rFonts w:hint="eastAsia" w:asciiTheme="minorEastAsia" w:hAnsiTheme="minorEastAsia" w:eastAsiaTheme="minorEastAsia" w:cstheme="minorEastAsia"/>
          <w:color w:val="auto"/>
          <w:sz w:val="22"/>
          <w:szCs w:val="22"/>
        </w:rPr>
        <w:t>考核分数高于85分（含85分），给予一定的加分奖励，当月累积不超过5分：</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（一）积极参与社区帮扶、组织员工培训或者其他社会公益活动，有较好的社会反响，获得区级及以上表扬的，奖励当月考核总分加0.5~1分。</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（二）在当月养护考核中排名成绩第一名，奖励当月考核总分加1分；</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（三）在应急抢险工作中，做出突出贡献，获得区级及以上表扬的，奖励当月考核总分加1分；</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（四）在区级及以上评比活动中（如花镜评比等）获得奖项，按照排名，奖励当月考核总分加1~3分；</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（五）在省市级绿化创建中，获得嘉奖的，奖励当月考核总分加2~3分；</w:t>
      </w:r>
    </w:p>
    <w:p>
      <w:pPr>
        <w:widowControl/>
        <w:tabs>
          <w:tab w:val="left" w:pos="1170"/>
          <w:tab w:val="left" w:pos="1620"/>
        </w:tabs>
        <w:spacing w:line="480" w:lineRule="exact"/>
        <w:ind w:firstLine="440" w:firstLineChars="200"/>
        <w:jc w:val="lef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2.3</w:t>
      </w:r>
      <w:r>
        <w:rPr>
          <w:rFonts w:hint="eastAsia" w:asciiTheme="minorEastAsia" w:hAnsiTheme="minorEastAsia" w:eastAsiaTheme="minorEastAsia" w:cstheme="minorEastAsia"/>
          <w:bCs/>
          <w:color w:val="auto"/>
          <w:sz w:val="22"/>
          <w:szCs w:val="22"/>
        </w:rPr>
        <w:t xml:space="preserve"> </w:t>
      </w:r>
      <w:r>
        <w:rPr>
          <w:rFonts w:hint="eastAsia" w:asciiTheme="minorEastAsia" w:hAnsiTheme="minorEastAsia" w:eastAsiaTheme="minorEastAsia" w:cstheme="minorEastAsia"/>
          <w:color w:val="auto"/>
          <w:sz w:val="22"/>
          <w:szCs w:val="22"/>
        </w:rPr>
        <w:t>对巡查发现的问题，养护单位逾期未整改及回复的每次扣除养护费200元；在规定时间内再次未整改每次扣除养护经费400元；对当月合计同一个问题累计三次以上（不含），额外扣除养护经费1000元。</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w:t>
      </w:r>
      <w:r>
        <w:rPr>
          <w:rFonts w:hint="eastAsia" w:asciiTheme="minorEastAsia" w:hAnsiTheme="minorEastAsia" w:eastAsiaTheme="minorEastAsia" w:cstheme="minorEastAsia"/>
          <w:color w:val="auto"/>
          <w:sz w:val="22"/>
          <w:szCs w:val="22"/>
          <w:lang w:val="en-US" w:eastAsia="zh-CN"/>
        </w:rPr>
        <w:t>4</w:t>
      </w:r>
      <w:r>
        <w:rPr>
          <w:rFonts w:hint="eastAsia" w:asciiTheme="minorEastAsia" w:hAnsiTheme="minorEastAsia" w:eastAsiaTheme="minorEastAsia" w:cstheme="minorEastAsia"/>
          <w:color w:val="auto"/>
          <w:sz w:val="22"/>
          <w:szCs w:val="22"/>
        </w:rPr>
        <w:t>因养护企业养护不当，在节假日期间以及省市重大活动期间发送督办单，每张扣除2000元；在全国性创建活动中失分的，扣除相关绿地养护企业的履约保证金及该绿地当月养护经费。</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w:t>
      </w:r>
      <w:r>
        <w:rPr>
          <w:rFonts w:hint="eastAsia" w:asciiTheme="minorEastAsia" w:hAnsiTheme="minorEastAsia" w:eastAsiaTheme="minorEastAsia" w:cstheme="minorEastAsia"/>
          <w:color w:val="auto"/>
          <w:sz w:val="22"/>
          <w:szCs w:val="22"/>
          <w:lang w:val="en-US" w:eastAsia="zh-CN"/>
        </w:rPr>
        <w:t>5</w:t>
      </w:r>
      <w:r>
        <w:rPr>
          <w:rFonts w:hint="eastAsia" w:asciiTheme="minorEastAsia" w:hAnsiTheme="minorEastAsia" w:eastAsiaTheme="minorEastAsia" w:cstheme="minorEastAsia"/>
          <w:color w:val="auto"/>
          <w:sz w:val="22"/>
          <w:szCs w:val="22"/>
        </w:rPr>
        <w:t xml:space="preserve"> 对于数字城管派遣问题未在规定时间内整改完毕或整改后未及时回复的，每个扣除养护费1000元。同一问题因整改不到位返工的每个扣除养护费2000元。同一案卷造成二次返工的，扣除养护经费5000元/次。</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w:t>
      </w:r>
      <w:r>
        <w:rPr>
          <w:rFonts w:hint="eastAsia" w:asciiTheme="minorEastAsia" w:hAnsiTheme="minorEastAsia" w:eastAsiaTheme="minorEastAsia" w:cstheme="minorEastAsia"/>
          <w:color w:val="auto"/>
          <w:sz w:val="22"/>
          <w:szCs w:val="22"/>
          <w:lang w:val="en-US" w:eastAsia="zh-CN"/>
        </w:rPr>
        <w:t>6</w:t>
      </w:r>
      <w:r>
        <w:rPr>
          <w:rFonts w:hint="eastAsia" w:asciiTheme="minorEastAsia" w:hAnsiTheme="minorEastAsia" w:eastAsiaTheme="minorEastAsia" w:cstheme="minorEastAsia"/>
          <w:color w:val="auto"/>
          <w:sz w:val="22"/>
          <w:szCs w:val="22"/>
        </w:rPr>
        <w:t xml:space="preserve"> 对</w:t>
      </w:r>
      <w:r>
        <w:rPr>
          <w:rFonts w:hint="eastAsia" w:asciiTheme="minorEastAsia" w:hAnsiTheme="minorEastAsia" w:eastAsiaTheme="minorEastAsia" w:cstheme="minorEastAsia"/>
          <w:color w:val="auto"/>
          <w:sz w:val="22"/>
          <w:szCs w:val="22"/>
          <w:lang w:eastAsia="zh-CN"/>
        </w:rPr>
        <w:t>项目</w:t>
      </w:r>
      <w:r>
        <w:rPr>
          <w:rFonts w:hint="eastAsia" w:asciiTheme="minorEastAsia" w:hAnsiTheme="minorEastAsia" w:eastAsiaTheme="minorEastAsia" w:cstheme="minorEastAsia"/>
          <w:color w:val="auto"/>
          <w:sz w:val="22"/>
          <w:szCs w:val="22"/>
        </w:rPr>
        <w:t>内所发生的违章占绿或毁绿现象未及时上报或处置不及时的，发现一处扣除养护费500元；未按时完成上级有关部门布置的专项养护工作任务，一次扣除养护费2000元。</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w:t>
      </w:r>
      <w:r>
        <w:rPr>
          <w:rFonts w:hint="eastAsia" w:asciiTheme="minorEastAsia" w:hAnsiTheme="minorEastAsia" w:eastAsiaTheme="minorEastAsia" w:cstheme="minorEastAsia"/>
          <w:color w:val="auto"/>
          <w:sz w:val="22"/>
          <w:szCs w:val="22"/>
          <w:lang w:val="en-US" w:eastAsia="zh-CN"/>
        </w:rPr>
        <w:t>7</w:t>
      </w:r>
      <w:r>
        <w:rPr>
          <w:rFonts w:hint="eastAsia" w:asciiTheme="minorEastAsia" w:hAnsiTheme="minorEastAsia" w:eastAsiaTheme="minorEastAsia" w:cstheme="minorEastAsia"/>
          <w:color w:val="auto"/>
          <w:sz w:val="22"/>
          <w:szCs w:val="22"/>
        </w:rPr>
        <w:t xml:space="preserve"> 养护企业必须自行配备具有定位功能且符合要求，今后可以接入园林养护数字化系统的智能设备，无法接入、不在规定的范围中工作或园林养护数字化系统无法监测的，均视为缺勤。</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w:t>
      </w:r>
      <w:r>
        <w:rPr>
          <w:rFonts w:hint="eastAsia" w:asciiTheme="minorEastAsia" w:hAnsiTheme="minorEastAsia" w:eastAsiaTheme="minorEastAsia" w:cstheme="minorEastAsia"/>
          <w:color w:val="auto"/>
          <w:sz w:val="22"/>
          <w:szCs w:val="22"/>
          <w:lang w:val="en-US" w:eastAsia="zh-CN"/>
        </w:rPr>
        <w:t>8</w:t>
      </w:r>
      <w:r>
        <w:rPr>
          <w:rFonts w:hint="eastAsia" w:asciiTheme="minorEastAsia" w:hAnsiTheme="minorEastAsia" w:eastAsiaTheme="minorEastAsia" w:cstheme="minorEastAsia"/>
          <w:color w:val="auto"/>
          <w:sz w:val="22"/>
          <w:szCs w:val="22"/>
        </w:rPr>
        <w:t xml:space="preserve"> 养护企业所派项目负责人，必须为本公司在职人员，项目负责人每月必须参加月例会及采购人组织的临时会议等，未到视为缺勤，严禁脱岗，一次未到场扣除2000元；若养护企业未经采购人同意更换项目负责人的，则扣除养护经费20000元/次。</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w:t>
      </w:r>
      <w:r>
        <w:rPr>
          <w:rFonts w:hint="eastAsia" w:asciiTheme="minorEastAsia" w:hAnsiTheme="minorEastAsia" w:eastAsiaTheme="minorEastAsia" w:cstheme="minorEastAsia"/>
          <w:color w:val="auto"/>
          <w:sz w:val="22"/>
          <w:szCs w:val="22"/>
          <w:lang w:val="en-US" w:eastAsia="zh-CN"/>
        </w:rPr>
        <w:t>9</w:t>
      </w:r>
      <w:r>
        <w:rPr>
          <w:rFonts w:hint="eastAsia" w:asciiTheme="minorEastAsia" w:hAnsiTheme="minorEastAsia" w:eastAsiaTheme="minorEastAsia" w:cstheme="minorEastAsia"/>
          <w:color w:val="auto"/>
          <w:sz w:val="22"/>
          <w:szCs w:val="22"/>
        </w:rPr>
        <w:t xml:space="preserve"> 养护企业须进行每日巡查，现场巡查人员当天必须所有绿地巡查一遍，如现场巡查人员巡查不力，没有及时发现和处理问题，被监测或现场督察发现问题，视为缺勤，发现一次扣除500元。</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0</w:t>
      </w:r>
      <w:r>
        <w:rPr>
          <w:rFonts w:hint="eastAsia" w:asciiTheme="minorEastAsia" w:hAnsiTheme="minorEastAsia" w:eastAsiaTheme="minorEastAsia" w:cstheme="minorEastAsia"/>
          <w:color w:val="auto"/>
          <w:sz w:val="22"/>
          <w:szCs w:val="22"/>
        </w:rPr>
        <w:t xml:space="preserve"> 项目负责人如果连续两次或累计一年内三次（含三次）未到场的，扣除1个月养护经费，并终止养护合同，同时记录该项目评价为不合格。</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1</w:t>
      </w:r>
      <w:r>
        <w:rPr>
          <w:rFonts w:hint="eastAsia" w:asciiTheme="minorEastAsia" w:hAnsiTheme="minorEastAsia" w:eastAsiaTheme="minorEastAsia" w:cstheme="minorEastAsia"/>
          <w:color w:val="auto"/>
          <w:sz w:val="22"/>
          <w:szCs w:val="22"/>
        </w:rPr>
        <w:t xml:space="preserve"> 因养护项目为户外工作，养护单位按当月养护计划受天气影响而未能作业的原因，故养护期间实行工日制，每月底统计累积工日并计算当月投入工人数量是否与养护计划相对应，1工日按照每人每天8小时计，每月累计工日不得少于当月养护计划投入工日（雨天按全勤计算工日，以当天上午5时温州市气象局发布为准）。 </w:t>
      </w:r>
    </w:p>
    <w:p>
      <w:pPr>
        <w:pStyle w:val="30"/>
        <w:spacing w:before="0" w:beforeAutospacing="0" w:after="0" w:afterAutospacing="0" w:line="48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2</w:t>
      </w:r>
      <w:r>
        <w:rPr>
          <w:rFonts w:hint="eastAsia" w:asciiTheme="minorEastAsia" w:hAnsiTheme="minorEastAsia" w:eastAsiaTheme="minorEastAsia" w:cstheme="minorEastAsia"/>
          <w:color w:val="auto"/>
          <w:sz w:val="22"/>
          <w:szCs w:val="22"/>
        </w:rPr>
        <w:t xml:space="preserve"> 做好日常养护工作台帐每月上报我处，台账包括管理制度、月度工作计划、日常养护记录、督办件完成情况、工作问题总结分析等五部分。在每月最后一个工作日前上报，未按时上报的或上报内容缺失的一次扣养护经费1000元。</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3</w:t>
      </w:r>
      <w:r>
        <w:rPr>
          <w:rFonts w:hint="eastAsia" w:asciiTheme="minorEastAsia" w:hAnsiTheme="minorEastAsia" w:eastAsiaTheme="minorEastAsia" w:cstheme="minorEastAsia"/>
          <w:color w:val="auto"/>
          <w:sz w:val="22"/>
          <w:szCs w:val="22"/>
        </w:rPr>
        <w:t xml:space="preserve"> 合同期内，在所有自行购买的智能设备使用期间，弄虚作假的，第一次出现，扣除当月养护经费，累计第二次出现的，扣除半年养护经费，累计第三次出现的，直接终止合同，并扣除半年养护经费和没收全部履约保证金，同时记录该项目评价为不合格。</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4</w:t>
      </w:r>
      <w:r>
        <w:rPr>
          <w:rFonts w:hint="eastAsia" w:asciiTheme="minorEastAsia" w:hAnsiTheme="minorEastAsia" w:eastAsiaTheme="minorEastAsia" w:cstheme="minorEastAsia"/>
          <w:color w:val="auto"/>
          <w:sz w:val="22"/>
          <w:szCs w:val="22"/>
        </w:rPr>
        <w:t xml:space="preserve"> 按照要求做好防灾抗灾应急工作，未按要求落实防灾抗灾工作的，发现问题一次扣除养护费5000元。未按时上报防灾抗灾统计报表的一次扣除养护费1000元；防灾抗灾物资落实不到位的每次扣除养护费5000元。在防灾抗灾护绿工作中，由于责任原因导致事故或重大损失的，除负责全部经济损失外，一次扣除全年养护费。</w:t>
      </w:r>
    </w:p>
    <w:p>
      <w:pPr>
        <w:pStyle w:val="30"/>
        <w:spacing w:before="0" w:beforeAutospacing="0" w:after="0" w:afterAutospacing="0" w:line="480" w:lineRule="exact"/>
        <w:ind w:firstLine="448" w:firstLineChars="204"/>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5</w:t>
      </w:r>
      <w:r>
        <w:rPr>
          <w:rFonts w:hint="eastAsia" w:asciiTheme="minorEastAsia" w:hAnsiTheme="minorEastAsia" w:eastAsiaTheme="minorEastAsia" w:cstheme="minorEastAsia"/>
          <w:color w:val="auto"/>
          <w:sz w:val="22"/>
          <w:szCs w:val="22"/>
        </w:rPr>
        <w:t xml:space="preserve"> 在绿地养护工作中，因养护不当，被上级部门点名批评或批示件的每次扣除养护费3000元，逾期未落实整改的每次扣除养护费5000元。</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448" w:firstLineChars="204"/>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6</w:t>
      </w:r>
      <w:r>
        <w:rPr>
          <w:rFonts w:hint="eastAsia" w:asciiTheme="minorEastAsia" w:hAnsiTheme="minorEastAsia" w:eastAsiaTheme="minorEastAsia" w:cstheme="minorEastAsia"/>
          <w:color w:val="auto"/>
          <w:sz w:val="22"/>
          <w:szCs w:val="22"/>
        </w:rPr>
        <w:t xml:space="preserve"> 因责任事故被区级问责或区级媒体曝光的，每次扣除养护费10000元；被市级问责或市级媒体曝光的，每次扣除养护费20000元；被省级问责或省级媒体曝光的，每次扣除养护费30000元；</w:t>
      </w:r>
    </w:p>
    <w:p>
      <w:pPr>
        <w:keepNext w:val="0"/>
        <w:keepLines w:val="0"/>
        <w:pageBreakBefore w:val="0"/>
        <w:widowControl/>
        <w:tabs>
          <w:tab w:val="left" w:pos="1170"/>
          <w:tab w:val="left" w:pos="1620"/>
        </w:tabs>
        <w:kinsoku/>
        <w:wordWrap/>
        <w:overflowPunct/>
        <w:topLinePunct w:val="0"/>
        <w:bidi w:val="0"/>
        <w:snapToGrid/>
        <w:spacing w:line="440" w:lineRule="exact"/>
        <w:ind w:firstLine="440" w:firstLineChars="200"/>
        <w:jc w:val="left"/>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7</w:t>
      </w:r>
      <w:r>
        <w:rPr>
          <w:rFonts w:hint="eastAsia" w:asciiTheme="minorEastAsia" w:hAnsiTheme="minorEastAsia" w:eastAsiaTheme="minorEastAsia" w:cstheme="minorEastAsia"/>
          <w:color w:val="auto"/>
          <w:sz w:val="22"/>
          <w:szCs w:val="22"/>
        </w:rPr>
        <w:t xml:space="preserve"> 出现安全责任事故的，各相关责任主体除照国家法律法规承担各自的责任外，参照本办法对相关养护企业予以经济处罚，一般安全责任事故的，给予扣除相关养护企业履约保证金50%的处罚，并通报批评；较大安全责任事故的，给予扣除相关养护企业履约保证金75%的处罚，并通报批评；重大安全责任事故、特别重大安全责任事故的，给予扣除相关养护企业履约保证金100%的处罚，并通报批评，终止养护合同，并向相关部门通报。</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440" w:firstLineChars="200"/>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2.1</w:t>
      </w:r>
      <w:r>
        <w:rPr>
          <w:rFonts w:hint="eastAsia" w:asciiTheme="minorEastAsia" w:hAnsiTheme="minorEastAsia" w:eastAsiaTheme="minorEastAsia" w:cstheme="minorEastAsia"/>
          <w:color w:val="auto"/>
          <w:sz w:val="22"/>
          <w:szCs w:val="22"/>
          <w:lang w:val="en-US" w:eastAsia="zh-CN"/>
        </w:rPr>
        <w:t>8</w:t>
      </w:r>
      <w:r>
        <w:rPr>
          <w:rFonts w:hint="eastAsia" w:asciiTheme="minorEastAsia" w:hAnsiTheme="minorEastAsia" w:eastAsiaTheme="minorEastAsia" w:cstheme="minorEastAsia"/>
          <w:color w:val="auto"/>
          <w:sz w:val="22"/>
          <w:szCs w:val="22"/>
        </w:rPr>
        <w:t xml:space="preserve"> 当月</w:t>
      </w:r>
      <w:r>
        <w:rPr>
          <w:rFonts w:hint="eastAsia" w:asciiTheme="minorEastAsia" w:hAnsiTheme="minorEastAsia" w:eastAsiaTheme="minorEastAsia" w:cstheme="minorEastAsia"/>
          <w:color w:val="auto"/>
          <w:sz w:val="22"/>
          <w:szCs w:val="22"/>
        </w:rPr>
        <w:t>在瓯海执法局公园或道路绿化养护项目中</w:t>
      </w:r>
      <w:r>
        <w:rPr>
          <w:rFonts w:hint="eastAsia" w:asciiTheme="minorEastAsia" w:hAnsiTheme="minorEastAsia" w:eastAsiaTheme="minorEastAsia" w:cstheme="minorEastAsia"/>
          <w:color w:val="auto"/>
          <w:sz w:val="22"/>
          <w:szCs w:val="22"/>
        </w:rPr>
        <w:t>排名成绩最后一名的，且月考核分数小于90分的（不含90分），扣罚当月养护经费1000元。</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440" w:firstLineChars="200"/>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3.其他规定</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448" w:firstLineChars="204"/>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3.1在绿地养护过程中因养护不到位造成黄土裸露、灯具维修及设施维修等同一个问题在经3次整改后，依然不到位的或对于数字城管派遣问题、督办件问题在规定时间内拒不整改的，则由采购人进行代整治；</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448" w:firstLineChars="204"/>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3.2 采购人根据实际测算代整治费用，在养护经费中直接扣除。</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448" w:firstLineChars="204"/>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w:t>
      </w:r>
      <w:r>
        <w:rPr>
          <w:rFonts w:hint="eastAsia" w:asciiTheme="minorEastAsia" w:hAnsiTheme="minorEastAsia" w:eastAsiaTheme="minorEastAsia" w:cstheme="minorEastAsia"/>
          <w:color w:val="auto"/>
          <w:sz w:val="22"/>
          <w:szCs w:val="22"/>
          <w:lang w:val="en-US" w:eastAsia="zh-CN"/>
        </w:rPr>
        <w:t>3</w:t>
      </w:r>
      <w:r>
        <w:rPr>
          <w:rFonts w:hint="eastAsia" w:asciiTheme="minorEastAsia" w:hAnsiTheme="minorEastAsia" w:eastAsiaTheme="minorEastAsia" w:cstheme="minorEastAsia"/>
          <w:color w:val="auto"/>
          <w:sz w:val="22"/>
          <w:szCs w:val="22"/>
        </w:rPr>
        <w:t>因非养护单位原因造成绿化或设施损害的，可向肇事方提出索赔。</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440" w:firstLineChars="200"/>
        <w:jc w:val="both"/>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w:t>
      </w:r>
      <w:r>
        <w:rPr>
          <w:rFonts w:hint="eastAsia" w:asciiTheme="minorEastAsia" w:hAnsiTheme="minorEastAsia" w:eastAsiaTheme="minorEastAsia" w:cstheme="minorEastAsia"/>
          <w:color w:val="auto"/>
          <w:sz w:val="22"/>
          <w:szCs w:val="22"/>
          <w:lang w:val="en-US" w:eastAsia="zh-CN"/>
        </w:rPr>
        <w:t>4</w:t>
      </w:r>
      <w:r>
        <w:rPr>
          <w:rFonts w:hint="eastAsia" w:asciiTheme="minorEastAsia" w:hAnsiTheme="minorEastAsia" w:eastAsiaTheme="minorEastAsia" w:cstheme="minorEastAsia"/>
          <w:color w:val="auto"/>
          <w:sz w:val="22"/>
          <w:szCs w:val="22"/>
        </w:rPr>
        <w:t>发生下列情况之一的，扣除履约保证金，终止合同，并记录该项目评价为不合格：</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330" w:firstLineChars="150"/>
        <w:jc w:val="both"/>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（一）月考核成绩连续两次或一年内累计三次（含三次）70分以下（不含70分）的；</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330" w:firstLineChars="150"/>
        <w:jc w:val="both"/>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（二）项目负责人如果连续两次或累计一年内三次（含三次）未到场的；</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330" w:firstLineChars="150"/>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（三）在合同期内，工日连续两个月不足合同规定70%的；</w:t>
      </w:r>
    </w:p>
    <w:p>
      <w:pPr>
        <w:pStyle w:val="30"/>
        <w:keepNext w:val="0"/>
        <w:keepLines w:val="0"/>
        <w:pageBreakBefore w:val="0"/>
        <w:widowControl/>
        <w:kinsoku/>
        <w:wordWrap/>
        <w:overflowPunct/>
        <w:topLinePunct w:val="0"/>
        <w:bidi w:val="0"/>
        <w:snapToGrid/>
        <w:spacing w:before="0" w:beforeAutospacing="0" w:after="0" w:afterAutospacing="0" w:line="440" w:lineRule="exact"/>
        <w:ind w:firstLine="330" w:firstLineChars="150"/>
        <w:jc w:val="both"/>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（四）养护</w:t>
      </w:r>
      <w:r>
        <w:rPr>
          <w:rFonts w:hint="eastAsia" w:asciiTheme="minorEastAsia" w:hAnsiTheme="minorEastAsia" w:eastAsiaTheme="minorEastAsia" w:cstheme="minorEastAsia"/>
          <w:color w:val="auto"/>
          <w:sz w:val="22"/>
          <w:szCs w:val="22"/>
          <w:lang w:eastAsia="zh-CN"/>
        </w:rPr>
        <w:t>单位</w:t>
      </w:r>
      <w:r>
        <w:rPr>
          <w:rFonts w:hint="eastAsia" w:asciiTheme="minorEastAsia" w:hAnsiTheme="minorEastAsia" w:eastAsiaTheme="minorEastAsia" w:cstheme="minorEastAsia"/>
          <w:color w:val="auto"/>
          <w:sz w:val="22"/>
          <w:szCs w:val="22"/>
        </w:rPr>
        <w:t>在所有自行购买的智能设备使用期间，弄虚作假，累计第三次出现的；</w:t>
      </w:r>
    </w:p>
    <w:p>
      <w:pPr>
        <w:keepNext w:val="0"/>
        <w:keepLines w:val="0"/>
        <w:pageBreakBefore w:val="0"/>
        <w:widowControl/>
        <w:tabs>
          <w:tab w:val="left" w:pos="1170"/>
          <w:tab w:val="left" w:pos="1620"/>
        </w:tabs>
        <w:kinsoku/>
        <w:wordWrap/>
        <w:overflowPunct/>
        <w:topLinePunct w:val="0"/>
        <w:bidi w:val="0"/>
        <w:snapToGrid/>
        <w:spacing w:line="440" w:lineRule="exact"/>
        <w:ind w:firstLine="330" w:firstLineChars="150"/>
        <w:jc w:val="left"/>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（五）出现重大安全责任事故、特别重大安全责任事故的；</w:t>
      </w:r>
    </w:p>
    <w:p>
      <w:pPr>
        <w:keepNext w:val="0"/>
        <w:keepLines w:val="0"/>
        <w:pageBreakBefore w:val="0"/>
        <w:widowControl/>
        <w:tabs>
          <w:tab w:val="left" w:pos="1170"/>
          <w:tab w:val="left" w:pos="1620"/>
        </w:tabs>
        <w:kinsoku/>
        <w:wordWrap/>
        <w:overflowPunct/>
        <w:topLinePunct w:val="0"/>
        <w:bidi w:val="0"/>
        <w:snapToGrid/>
        <w:spacing w:line="440" w:lineRule="exact"/>
        <w:ind w:firstLine="330" w:firstLineChars="150"/>
        <w:jc w:val="left"/>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（六）有转包和分包行为的；</w:t>
      </w:r>
    </w:p>
    <w:p>
      <w:pPr>
        <w:keepNext w:val="0"/>
        <w:keepLines w:val="0"/>
        <w:pageBreakBefore w:val="0"/>
        <w:widowControl/>
        <w:tabs>
          <w:tab w:val="left" w:pos="1170"/>
          <w:tab w:val="left" w:pos="1620"/>
        </w:tabs>
        <w:kinsoku/>
        <w:wordWrap/>
        <w:overflowPunct/>
        <w:topLinePunct w:val="0"/>
        <w:bidi w:val="0"/>
        <w:snapToGrid/>
        <w:spacing w:line="440" w:lineRule="exact"/>
        <w:ind w:firstLine="330" w:firstLineChars="150"/>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（七）拖欠工人工资，经劳动或其他政府部门催告或通报拒不清清的。</w:t>
      </w:r>
    </w:p>
    <w:p>
      <w:pPr>
        <w:keepNext w:val="0"/>
        <w:keepLines w:val="0"/>
        <w:pageBreakBefore w:val="0"/>
        <w:widowControl/>
        <w:tabs>
          <w:tab w:val="left" w:pos="1170"/>
          <w:tab w:val="left" w:pos="1620"/>
        </w:tabs>
        <w:kinsoku/>
        <w:wordWrap/>
        <w:overflowPunct/>
        <w:topLinePunct w:val="0"/>
        <w:bidi w:val="0"/>
        <w:snapToGrid/>
        <w:spacing w:line="440" w:lineRule="exact"/>
        <w:ind w:firstLine="330" w:firstLineChars="150"/>
        <w:jc w:val="left"/>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（八）合同期内不服从管理的；</w:t>
      </w:r>
    </w:p>
    <w:p>
      <w:pPr>
        <w:keepNext w:val="0"/>
        <w:keepLines w:val="0"/>
        <w:pageBreakBefore w:val="0"/>
        <w:widowControl/>
        <w:tabs>
          <w:tab w:val="left" w:pos="1170"/>
          <w:tab w:val="left" w:pos="1620"/>
        </w:tabs>
        <w:kinsoku/>
        <w:wordWrap/>
        <w:overflowPunct/>
        <w:topLinePunct w:val="0"/>
        <w:bidi w:val="0"/>
        <w:snapToGrid/>
        <w:spacing w:line="440" w:lineRule="exact"/>
        <w:ind w:firstLine="330" w:firstLineChars="150"/>
        <w:jc w:val="left"/>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（九）未按时报送数据累计达到3次的；</w:t>
      </w:r>
    </w:p>
    <w:p>
      <w:pPr>
        <w:keepNext w:val="0"/>
        <w:keepLines w:val="0"/>
        <w:pageBreakBefore w:val="0"/>
        <w:widowControl/>
        <w:tabs>
          <w:tab w:val="left" w:pos="1170"/>
          <w:tab w:val="left" w:pos="1620"/>
        </w:tabs>
        <w:kinsoku/>
        <w:wordWrap/>
        <w:overflowPunct/>
        <w:topLinePunct w:val="0"/>
        <w:bidi w:val="0"/>
        <w:snapToGrid/>
        <w:spacing w:line="440" w:lineRule="exact"/>
        <w:ind w:firstLine="330" w:firstLineChars="150"/>
        <w:jc w:val="left"/>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（十）有商业贿赂行为的；</w:t>
      </w:r>
    </w:p>
    <w:p>
      <w:pPr>
        <w:keepNext w:val="0"/>
        <w:keepLines w:val="0"/>
        <w:pageBreakBefore w:val="0"/>
        <w:widowControl/>
        <w:tabs>
          <w:tab w:val="left" w:pos="1170"/>
          <w:tab w:val="left" w:pos="1620"/>
        </w:tabs>
        <w:kinsoku/>
        <w:wordWrap/>
        <w:overflowPunct/>
        <w:topLinePunct w:val="0"/>
        <w:bidi w:val="0"/>
        <w:snapToGrid/>
        <w:spacing w:line="440" w:lineRule="exact"/>
        <w:ind w:firstLine="330" w:firstLineChars="150"/>
        <w:jc w:val="left"/>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（十一）其他违反法律、法规和协议规定的行为的。</w:t>
      </w:r>
    </w:p>
    <w:p>
      <w:pPr>
        <w:keepNext w:val="0"/>
        <w:keepLines w:val="0"/>
        <w:pageBreakBefore w:val="0"/>
        <w:widowControl/>
        <w:kinsoku/>
        <w:wordWrap/>
        <w:overflowPunct/>
        <w:topLinePunct w:val="0"/>
        <w:autoSpaceDE w:val="0"/>
        <w:autoSpaceDN w:val="0"/>
        <w:bidi w:val="0"/>
        <w:adjustRightInd w:val="0"/>
        <w:snapToGrid/>
        <w:spacing w:line="440" w:lineRule="exact"/>
        <w:ind w:firstLine="220" w:firstLineChars="100"/>
        <w:textAlignment w:val="bottom"/>
        <w:outlineLvl w:val="9"/>
        <w:rPr>
          <w:rFonts w:hint="eastAsia" w:asciiTheme="minorEastAsia" w:hAnsiTheme="minorEastAsia" w:eastAsiaTheme="minorEastAsia" w:cstheme="minorEastAsia"/>
          <w:bCs/>
          <w:color w:val="auto"/>
          <w:sz w:val="22"/>
          <w:lang w:eastAsia="zh-CN"/>
        </w:rPr>
      </w:pPr>
      <w:r>
        <w:rPr>
          <w:rFonts w:hint="eastAsia" w:asciiTheme="minorEastAsia" w:hAnsiTheme="minorEastAsia" w:eastAsiaTheme="minorEastAsia" w:cstheme="minorEastAsia"/>
          <w:bCs/>
          <w:color w:val="auto"/>
          <w:sz w:val="22"/>
        </w:rPr>
        <w:t>4.考核办法在今后实施过程中，采购人有权对相应的考核办法及评分细则等做相应的调整</w:t>
      </w:r>
      <w:r>
        <w:rPr>
          <w:rFonts w:hint="eastAsia" w:asciiTheme="minorEastAsia" w:hAnsiTheme="minorEastAsia" w:eastAsiaTheme="minorEastAsia" w:cstheme="minorEastAsia"/>
          <w:bCs/>
          <w:color w:val="auto"/>
          <w:sz w:val="22"/>
          <w:lang w:eastAsia="zh-CN"/>
        </w:rPr>
        <w:t>。</w:t>
      </w:r>
    </w:p>
    <w:p>
      <w:pPr>
        <w:pStyle w:val="2"/>
        <w:rPr>
          <w:rFonts w:hint="eastAsia"/>
          <w:color w:val="auto"/>
          <w:lang w:eastAsia="zh-CN"/>
        </w:rPr>
      </w:pPr>
    </w:p>
    <w:p>
      <w:pPr>
        <w:pStyle w:val="4"/>
        <w:rPr>
          <w:rFonts w:hint="eastAsia"/>
          <w:color w:val="auto"/>
          <w:lang w:eastAsia="zh-CN"/>
        </w:rPr>
      </w:pPr>
    </w:p>
    <w:p>
      <w:pPr>
        <w:rPr>
          <w:rFonts w:hint="eastAsia"/>
          <w:color w:val="auto"/>
          <w:lang w:eastAsia="zh-CN"/>
        </w:rPr>
      </w:pPr>
    </w:p>
    <w:p>
      <w:pPr>
        <w:pStyle w:val="2"/>
        <w:rPr>
          <w:rFonts w:hint="eastAsia"/>
          <w:color w:val="auto"/>
          <w:lang w:eastAsia="zh-CN"/>
        </w:rPr>
      </w:pPr>
    </w:p>
    <w:p>
      <w:pPr>
        <w:pStyle w:val="4"/>
        <w:rPr>
          <w:rFonts w:hint="eastAsia"/>
          <w:color w:val="auto"/>
          <w:lang w:eastAsia="zh-CN"/>
        </w:rPr>
      </w:pPr>
    </w:p>
    <w:p>
      <w:pPr>
        <w:rPr>
          <w:rFonts w:hint="eastAsia"/>
          <w:color w:val="auto"/>
          <w:lang w:eastAsia="zh-CN"/>
        </w:rPr>
      </w:pPr>
    </w:p>
    <w:p>
      <w:pPr>
        <w:pStyle w:val="2"/>
        <w:rPr>
          <w:rFonts w:hint="eastAsia"/>
          <w:color w:val="auto"/>
          <w:lang w:eastAsia="zh-CN"/>
        </w:rPr>
      </w:pPr>
    </w:p>
    <w:p>
      <w:pPr>
        <w:pStyle w:val="4"/>
        <w:rPr>
          <w:rFonts w:hint="eastAsia"/>
          <w:color w:val="auto"/>
          <w:lang w:eastAsia="zh-CN"/>
        </w:rPr>
      </w:pPr>
    </w:p>
    <w:p>
      <w:pPr>
        <w:rPr>
          <w:rFonts w:hint="eastAsia"/>
          <w:color w:val="auto"/>
          <w:lang w:eastAsia="zh-CN"/>
        </w:rPr>
      </w:pPr>
    </w:p>
    <w:p>
      <w:pPr>
        <w:pStyle w:val="2"/>
        <w:rPr>
          <w:rFonts w:hint="eastAsia"/>
          <w:color w:val="auto"/>
          <w:lang w:eastAsia="zh-CN"/>
        </w:rPr>
      </w:pPr>
    </w:p>
    <w:p>
      <w:pPr>
        <w:pStyle w:val="4"/>
        <w:rPr>
          <w:rFonts w:hint="eastAsia"/>
          <w:color w:val="auto"/>
          <w:lang w:eastAsia="zh-CN"/>
        </w:rPr>
      </w:pPr>
    </w:p>
    <w:bookmarkEnd w:id="53"/>
    <w:p>
      <w:pPr>
        <w:rPr>
          <w:rFonts w:hint="eastAsia" w:asciiTheme="minorEastAsia" w:hAnsiTheme="minorEastAsia" w:eastAsiaTheme="minorEastAsia" w:cstheme="minorEastAsia"/>
          <w:b/>
          <w:bCs/>
          <w:color w:val="auto"/>
          <w:sz w:val="22"/>
          <w:szCs w:val="22"/>
        </w:rPr>
      </w:pPr>
      <w:bookmarkStart w:id="54" w:name="_Toc515203448"/>
      <w:r>
        <w:rPr>
          <w:rFonts w:hint="eastAsia" w:asciiTheme="minorEastAsia" w:hAnsiTheme="minorEastAsia" w:eastAsiaTheme="minorEastAsia" w:cstheme="minorEastAsia"/>
          <w:b/>
          <w:bCs/>
          <w:color w:val="auto"/>
          <w:sz w:val="22"/>
          <w:szCs w:val="22"/>
        </w:rPr>
        <w:t>附件</w:t>
      </w:r>
    </w:p>
    <w:p>
      <w:pPr>
        <w:widowControl/>
        <w:spacing w:line="40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kern w:val="0"/>
          <w:sz w:val="22"/>
          <w:szCs w:val="22"/>
        </w:rPr>
        <w:t>养护考核评分细则</w:t>
      </w:r>
    </w:p>
    <w:p>
      <w:pPr>
        <w:widowControl/>
        <w:spacing w:line="460" w:lineRule="atLeast"/>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   为全面提高瓯海区绿化的养护管理质量，切实加强绿化养护管理综合考核工作，依据《</w:t>
      </w:r>
      <w:r>
        <w:rPr>
          <w:rFonts w:hint="eastAsia" w:asciiTheme="minorEastAsia" w:hAnsiTheme="minorEastAsia" w:eastAsiaTheme="minorEastAsia" w:cstheme="minorEastAsia"/>
          <w:color w:val="auto"/>
          <w:sz w:val="22"/>
          <w:szCs w:val="22"/>
        </w:rPr>
        <w:t>温州市城市绿地养护管理标准</w:t>
      </w:r>
      <w:r>
        <w:rPr>
          <w:rFonts w:hint="eastAsia" w:asciiTheme="minorEastAsia" w:hAnsiTheme="minorEastAsia" w:eastAsiaTheme="minorEastAsia" w:cstheme="minorEastAsia"/>
          <w:color w:val="auto"/>
          <w:kern w:val="0"/>
          <w:sz w:val="22"/>
          <w:szCs w:val="22"/>
        </w:rPr>
        <w:t>》，特制定养护考核评分细则。</w:t>
      </w:r>
    </w:p>
    <w:p>
      <w:pPr>
        <w:widowControl/>
        <w:spacing w:line="500" w:lineRule="atLeast"/>
        <w:ind w:firstLine="6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kern w:val="0"/>
          <w:sz w:val="22"/>
          <w:szCs w:val="22"/>
        </w:rPr>
        <w:t>一、考核对象</w:t>
      </w:r>
    </w:p>
    <w:p>
      <w:pPr>
        <w:widowControl/>
        <w:spacing w:line="500" w:lineRule="atLeast"/>
        <w:ind w:firstLine="6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绿化养护企业</w:t>
      </w:r>
    </w:p>
    <w:p>
      <w:pPr>
        <w:widowControl/>
        <w:spacing w:line="500" w:lineRule="atLeast"/>
        <w:ind w:firstLine="672"/>
        <w:jc w:val="lef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kern w:val="0"/>
          <w:sz w:val="22"/>
          <w:szCs w:val="22"/>
        </w:rPr>
        <w:t>二、考核内容及分值</w:t>
      </w:r>
    </w:p>
    <w:p>
      <w:pPr>
        <w:widowControl/>
        <w:spacing w:line="500" w:lineRule="atLeast"/>
        <w:ind w:firstLine="64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绿化养护月考核采用百分制</w:t>
      </w:r>
    </w:p>
    <w:p>
      <w:pPr>
        <w:widowControl/>
        <w:spacing w:line="500" w:lineRule="atLeast"/>
        <w:ind w:firstLine="64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kern w:val="0"/>
          <w:sz w:val="22"/>
          <w:szCs w:val="22"/>
        </w:rPr>
        <w:t>三、考核评分细则</w:t>
      </w:r>
    </w:p>
    <w:p>
      <w:pPr>
        <w:widowControl/>
        <w:spacing w:line="36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spacing w:val="-8"/>
          <w:kern w:val="0"/>
          <w:sz w:val="22"/>
          <w:szCs w:val="22"/>
        </w:rPr>
        <w:t>养护考核评分细则</w:t>
      </w:r>
    </w:p>
    <w:tbl>
      <w:tblPr>
        <w:tblStyle w:val="39"/>
        <w:tblW w:w="9302" w:type="dxa"/>
        <w:tblCellSpacing w:w="15" w:type="dxa"/>
        <w:tblInd w:w="0" w:type="dxa"/>
        <w:tblLayout w:type="fixed"/>
        <w:tblCellMar>
          <w:top w:w="0" w:type="dxa"/>
          <w:left w:w="108" w:type="dxa"/>
          <w:bottom w:w="0" w:type="dxa"/>
          <w:right w:w="108" w:type="dxa"/>
        </w:tblCellMar>
      </w:tblPr>
      <w:tblGrid>
        <w:gridCol w:w="1193"/>
        <w:gridCol w:w="794"/>
        <w:gridCol w:w="3547"/>
        <w:gridCol w:w="3768"/>
      </w:tblGrid>
      <w:tr>
        <w:tblPrEx>
          <w:tblLayout w:type="fixed"/>
          <w:tblCellMar>
            <w:top w:w="0" w:type="dxa"/>
            <w:left w:w="108" w:type="dxa"/>
            <w:bottom w:w="0" w:type="dxa"/>
            <w:right w:w="108" w:type="dxa"/>
          </w:tblCellMar>
        </w:tblPrEx>
        <w:trPr>
          <w:trHeight w:val="510" w:hRule="atLeast"/>
          <w:tblCellSpacing w:w="15" w:type="dxa"/>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spacing w:val="-8"/>
                <w:kern w:val="0"/>
                <w:sz w:val="22"/>
                <w:szCs w:val="22"/>
              </w:rPr>
              <w:t>项目</w:t>
            </w:r>
          </w:p>
        </w:tc>
        <w:tc>
          <w:tcPr>
            <w:tcW w:w="764" w:type="dxa"/>
            <w:tcBorders>
              <w:top w:val="single" w:color="auto" w:sz="4" w:space="0"/>
              <w:left w:val="nil"/>
              <w:bottom w:val="single" w:color="auto" w:sz="4" w:space="0"/>
              <w:right w:val="single" w:color="auto" w:sz="4" w:space="0"/>
            </w:tcBorders>
            <w:vAlign w:val="center"/>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spacing w:val="-8"/>
                <w:kern w:val="0"/>
                <w:sz w:val="22"/>
                <w:szCs w:val="22"/>
              </w:rPr>
              <w:t>分项</w:t>
            </w:r>
          </w:p>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spacing w:val="-8"/>
                <w:kern w:val="0"/>
                <w:sz w:val="22"/>
                <w:szCs w:val="22"/>
              </w:rPr>
              <w:t>编号</w:t>
            </w:r>
          </w:p>
        </w:tc>
        <w:tc>
          <w:tcPr>
            <w:tcW w:w="3517" w:type="dxa"/>
            <w:tcBorders>
              <w:top w:val="single" w:color="auto" w:sz="4" w:space="0"/>
              <w:left w:val="nil"/>
              <w:bottom w:val="single" w:color="auto" w:sz="4" w:space="0"/>
              <w:right w:val="single" w:color="auto" w:sz="4" w:space="0"/>
            </w:tcBorders>
            <w:vAlign w:val="center"/>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spacing w:val="-8"/>
                <w:kern w:val="0"/>
                <w:sz w:val="22"/>
                <w:szCs w:val="22"/>
              </w:rPr>
              <w:t>分项标准</w:t>
            </w:r>
          </w:p>
        </w:tc>
        <w:tc>
          <w:tcPr>
            <w:tcW w:w="3723" w:type="dxa"/>
            <w:tcBorders>
              <w:top w:val="single" w:color="auto" w:sz="4" w:space="0"/>
              <w:left w:val="nil"/>
              <w:bottom w:val="single" w:color="auto" w:sz="4" w:space="0"/>
              <w:right w:val="single" w:color="auto" w:sz="4" w:space="0"/>
            </w:tcBorders>
            <w:vAlign w:val="center"/>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b/>
                <w:bCs/>
                <w:color w:val="auto"/>
                <w:spacing w:val="-8"/>
                <w:kern w:val="0"/>
                <w:sz w:val="22"/>
                <w:szCs w:val="22"/>
              </w:rPr>
              <w:t>评分细则</w:t>
            </w:r>
          </w:p>
        </w:tc>
      </w:tr>
      <w:tr>
        <w:tblPrEx>
          <w:tblLayout w:type="fixed"/>
          <w:tblCellMar>
            <w:top w:w="0" w:type="dxa"/>
            <w:left w:w="108" w:type="dxa"/>
            <w:bottom w:w="0" w:type="dxa"/>
            <w:right w:w="108" w:type="dxa"/>
          </w:tblCellMar>
        </w:tblPrEx>
        <w:trPr>
          <w:trHeight w:val="815" w:hRule="atLeast"/>
          <w:tblCellSpacing w:w="15" w:type="dxa"/>
        </w:trPr>
        <w:tc>
          <w:tcPr>
            <w:tcW w:w="1148" w:type="dxa"/>
            <w:vMerge w:val="restart"/>
            <w:tcBorders>
              <w:top w:val="nil"/>
              <w:left w:val="single" w:color="auto" w:sz="4" w:space="0"/>
              <w:right w:val="single" w:color="auto" w:sz="4" w:space="0"/>
            </w:tcBorders>
            <w:vAlign w:val="center"/>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植物养护</w:t>
            </w:r>
          </w:p>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（50分）</w:t>
            </w: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1.1</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根据设计意图体现植物造景，养护精细，生长茂盛，景观良好。(3分)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层次不明显，整体景观较差的，每个路段扣1分。</w:t>
            </w:r>
          </w:p>
        </w:tc>
      </w:tr>
      <w:tr>
        <w:tblPrEx>
          <w:tblLayout w:type="fixed"/>
          <w:tblCellMar>
            <w:top w:w="0" w:type="dxa"/>
            <w:left w:w="108" w:type="dxa"/>
            <w:bottom w:w="0" w:type="dxa"/>
            <w:right w:w="108" w:type="dxa"/>
          </w:tblCellMar>
        </w:tblPrEx>
        <w:trPr>
          <w:trHeight w:val="1388" w:hRule="atLeast"/>
          <w:tblCellSpacing w:w="15" w:type="dxa"/>
        </w:trPr>
        <w:tc>
          <w:tcPr>
            <w:tcW w:w="1148"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1.2</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植物要有群体效果，选用的品种、规格相对统一，补植品种一致、规格也应保持一致（6分）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补植灌木品种不统一、每处扣1分。</w:t>
            </w:r>
          </w:p>
        </w:tc>
      </w:tr>
      <w:tr>
        <w:tblPrEx>
          <w:tblLayout w:type="fixed"/>
          <w:tblCellMar>
            <w:top w:w="0" w:type="dxa"/>
            <w:left w:w="108" w:type="dxa"/>
            <w:bottom w:w="0" w:type="dxa"/>
            <w:right w:w="108" w:type="dxa"/>
          </w:tblCellMar>
        </w:tblPrEx>
        <w:trPr>
          <w:trHeight w:val="1160" w:hRule="atLeast"/>
          <w:tblCellSpacing w:w="15" w:type="dxa"/>
        </w:trPr>
        <w:tc>
          <w:tcPr>
            <w:tcW w:w="1148"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1.3</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灌木修剪及时，无窜枝，控制好高度，植物高度不得影响交通视线。（10分）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灌木未及时修剪，有窜枝，每处扣1分；</w:t>
            </w:r>
          </w:p>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灌木植物高度过高的，每处扣1分。</w:t>
            </w:r>
          </w:p>
        </w:tc>
      </w:tr>
      <w:tr>
        <w:tblPrEx>
          <w:tblLayout w:type="fixed"/>
          <w:tblCellMar>
            <w:top w:w="0" w:type="dxa"/>
            <w:left w:w="108" w:type="dxa"/>
            <w:bottom w:w="0" w:type="dxa"/>
            <w:right w:w="108" w:type="dxa"/>
          </w:tblCellMar>
        </w:tblPrEx>
        <w:trPr>
          <w:trHeight w:val="673" w:hRule="atLeast"/>
          <w:tblCellSpacing w:w="15" w:type="dxa"/>
        </w:trPr>
        <w:tc>
          <w:tcPr>
            <w:tcW w:w="1148"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1.4</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宿根花卉精心养护，图案美观，效果良好；花坛种植不露底土。无枯枝残花，无杂草垃圾。（6分）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宿根花卉欠整齐美观的，每处扣1分；</w:t>
            </w:r>
          </w:p>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花坛中露底土，每处扣1分；花卉植株生长不健壮，每处扣0.5分；有杂草垃圾，每处扣1分。</w:t>
            </w:r>
          </w:p>
        </w:tc>
      </w:tr>
      <w:tr>
        <w:tblPrEx>
          <w:tblLayout w:type="fixed"/>
          <w:tblCellMar>
            <w:top w:w="0" w:type="dxa"/>
            <w:left w:w="108" w:type="dxa"/>
            <w:bottom w:w="0" w:type="dxa"/>
            <w:right w:w="108" w:type="dxa"/>
          </w:tblCellMar>
        </w:tblPrEx>
        <w:trPr>
          <w:trHeight w:val="1148" w:hRule="atLeast"/>
          <w:tblCellSpacing w:w="15" w:type="dxa"/>
        </w:trPr>
        <w:tc>
          <w:tcPr>
            <w:tcW w:w="1148"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1.5</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绿地无裸露，可种植地被植物或草坪；绿地内无枯枝残叶、无绿化垃圾。（8分）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发现泥土秃裸的，每平方米扣0.5分，不足1平方米按1平方米计算。</w:t>
            </w:r>
            <w:r>
              <w:rPr>
                <w:rFonts w:hint="eastAsia" w:asciiTheme="minorEastAsia" w:hAnsiTheme="minorEastAsia" w:eastAsiaTheme="minorEastAsia" w:cstheme="minorEastAsia"/>
                <w:color w:val="auto"/>
                <w:kern w:val="0"/>
                <w:sz w:val="22"/>
                <w:szCs w:val="22"/>
              </w:rPr>
              <w:t>绿带内枯枝残叶未及时清理，每处扣0.5分。</w:t>
            </w:r>
          </w:p>
        </w:tc>
      </w:tr>
      <w:tr>
        <w:tblPrEx>
          <w:tblLayout w:type="fixed"/>
          <w:tblCellMar>
            <w:top w:w="0" w:type="dxa"/>
            <w:left w:w="108" w:type="dxa"/>
            <w:bottom w:w="0" w:type="dxa"/>
            <w:right w:w="108" w:type="dxa"/>
          </w:tblCellMar>
        </w:tblPrEx>
        <w:trPr>
          <w:trHeight w:val="419" w:hRule="atLeast"/>
          <w:tblCellSpacing w:w="15" w:type="dxa"/>
        </w:trPr>
        <w:tc>
          <w:tcPr>
            <w:tcW w:w="1148"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1.6</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草坪生长茂盛，无空秃，无明显杂草，草坪边缘线清晰（及时切边），草高不超过8厘米。常绿草草坪要求草种纯正，草高不超过6厘米。（4分）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草坪有杂草，每处扣0.5分；草坪边缘线不清晰的，每处扣0.5分；草坪高度不符要求的，每处扣0.5分。</w:t>
            </w:r>
          </w:p>
        </w:tc>
      </w:tr>
      <w:tr>
        <w:tblPrEx>
          <w:tblLayout w:type="fixed"/>
          <w:tblCellMar>
            <w:top w:w="0" w:type="dxa"/>
            <w:left w:w="108" w:type="dxa"/>
            <w:bottom w:w="0" w:type="dxa"/>
            <w:right w:w="108" w:type="dxa"/>
          </w:tblCellMar>
        </w:tblPrEx>
        <w:trPr>
          <w:trHeight w:val="268" w:hRule="atLeast"/>
          <w:tblCellSpacing w:w="15" w:type="dxa"/>
        </w:trPr>
        <w:tc>
          <w:tcPr>
            <w:tcW w:w="1148"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1.7</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绿化垃圾及时清运。（5分）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有绿化垃圾未及时清运的，每次扣0.5分。</w:t>
            </w:r>
          </w:p>
        </w:tc>
      </w:tr>
      <w:tr>
        <w:tblPrEx>
          <w:tblLayout w:type="fixed"/>
          <w:tblCellMar>
            <w:top w:w="0" w:type="dxa"/>
            <w:left w:w="108" w:type="dxa"/>
            <w:bottom w:w="0" w:type="dxa"/>
            <w:right w:w="108" w:type="dxa"/>
          </w:tblCellMar>
        </w:tblPrEx>
        <w:trPr>
          <w:trHeight w:val="545" w:hRule="atLeast"/>
          <w:tblCellSpacing w:w="15" w:type="dxa"/>
        </w:trPr>
        <w:tc>
          <w:tcPr>
            <w:tcW w:w="1148" w:type="dxa"/>
            <w:tcBorders>
              <w:top w:val="nil"/>
              <w:left w:val="single" w:color="auto" w:sz="4" w:space="0"/>
              <w:bottom w:val="single" w:color="auto" w:sz="4" w:space="0"/>
              <w:right w:val="single" w:color="auto" w:sz="4" w:space="0"/>
            </w:tcBorders>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植物保存率</w:t>
            </w:r>
          </w:p>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（15分）</w:t>
            </w: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2.1</w:t>
            </w:r>
          </w:p>
        </w:tc>
        <w:tc>
          <w:tcPr>
            <w:tcW w:w="3517" w:type="dxa"/>
            <w:tcBorders>
              <w:top w:val="nil"/>
              <w:left w:val="nil"/>
              <w:bottom w:val="single" w:color="auto" w:sz="4" w:space="0"/>
              <w:right w:val="single" w:color="auto" w:sz="4" w:space="0"/>
            </w:tcBorders>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绿化保存率98%以上。无死株、无缺株。（15分）</w:t>
            </w:r>
          </w:p>
        </w:tc>
        <w:tc>
          <w:tcPr>
            <w:tcW w:w="3723" w:type="dxa"/>
            <w:tcBorders>
              <w:top w:val="nil"/>
              <w:left w:val="nil"/>
              <w:bottom w:val="single" w:color="auto" w:sz="4" w:space="0"/>
              <w:right w:val="single" w:color="auto" w:sz="4" w:space="0"/>
            </w:tcBorders>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灌木球有死株、缺株的，每株扣1分；其他灌木有明显缺株的、死株的，每处扣0.5分。</w:t>
            </w:r>
          </w:p>
        </w:tc>
      </w:tr>
      <w:tr>
        <w:tblPrEx>
          <w:tblLayout w:type="fixed"/>
          <w:tblCellMar>
            <w:top w:w="0" w:type="dxa"/>
            <w:left w:w="108" w:type="dxa"/>
            <w:bottom w:w="0" w:type="dxa"/>
            <w:right w:w="108" w:type="dxa"/>
          </w:tblCellMar>
        </w:tblPrEx>
        <w:trPr>
          <w:trHeight w:val="545" w:hRule="atLeast"/>
          <w:tblCellSpacing w:w="15" w:type="dxa"/>
        </w:trPr>
        <w:tc>
          <w:tcPr>
            <w:tcW w:w="1148" w:type="dxa"/>
            <w:vMerge w:val="restart"/>
            <w:tcBorders>
              <w:top w:val="nil"/>
              <w:left w:val="single" w:color="auto" w:sz="4" w:space="0"/>
              <w:right w:val="single" w:color="auto" w:sz="4" w:space="0"/>
            </w:tcBorders>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设施维护</w:t>
            </w:r>
          </w:p>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（11分）</w:t>
            </w: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3.1</w:t>
            </w:r>
          </w:p>
        </w:tc>
        <w:tc>
          <w:tcPr>
            <w:tcW w:w="3517" w:type="dxa"/>
            <w:tcBorders>
              <w:top w:val="nil"/>
              <w:left w:val="nil"/>
              <w:bottom w:val="single" w:color="auto" w:sz="4" w:space="0"/>
              <w:right w:val="single" w:color="auto" w:sz="4" w:space="0"/>
            </w:tcBorders>
          </w:tcPr>
          <w:p>
            <w:pPr>
              <w:widowControl/>
              <w:spacing w:line="280" w:lineRule="exact"/>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无杂草，无黄土裸露。（4分）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有杂草或泥土裸露的，每处扣0.5分。</w:t>
            </w:r>
          </w:p>
        </w:tc>
      </w:tr>
      <w:tr>
        <w:tblPrEx>
          <w:tblLayout w:type="fixed"/>
          <w:tblCellMar>
            <w:top w:w="0" w:type="dxa"/>
            <w:left w:w="108" w:type="dxa"/>
            <w:bottom w:w="0" w:type="dxa"/>
            <w:right w:w="108" w:type="dxa"/>
          </w:tblCellMar>
        </w:tblPrEx>
        <w:trPr>
          <w:trHeight w:val="545" w:hRule="atLeast"/>
          <w:tblCellSpacing w:w="15" w:type="dxa"/>
        </w:trPr>
        <w:tc>
          <w:tcPr>
            <w:tcW w:w="1148" w:type="dxa"/>
            <w:vMerge w:val="continue"/>
            <w:tcBorders>
              <w:left w:val="single" w:color="auto" w:sz="4" w:space="0"/>
              <w:right w:val="single" w:color="auto" w:sz="4" w:space="0"/>
            </w:tcBorders>
          </w:tcPr>
          <w:p>
            <w:pPr>
              <w:widowControl/>
              <w:spacing w:line="280" w:lineRule="atLeast"/>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3.2</w:t>
            </w:r>
          </w:p>
        </w:tc>
        <w:tc>
          <w:tcPr>
            <w:tcW w:w="3517" w:type="dxa"/>
            <w:tcBorders>
              <w:top w:val="nil"/>
              <w:left w:val="nil"/>
              <w:bottom w:val="single" w:color="auto" w:sz="4" w:space="0"/>
              <w:right w:val="single" w:color="auto" w:sz="4" w:space="0"/>
            </w:tcBorders>
            <w:vAlign w:val="top"/>
          </w:tcPr>
          <w:p>
            <w:pPr>
              <w:widowControl/>
              <w:spacing w:line="280" w:lineRule="exact"/>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辅助设施（包括遮光网、栏杆、浇灌设施、栽植容器、</w:t>
            </w:r>
            <w:r>
              <w:rPr>
                <w:rFonts w:hint="eastAsia" w:asciiTheme="minorEastAsia" w:hAnsiTheme="minorEastAsia" w:eastAsiaTheme="minorEastAsia" w:cstheme="minorEastAsia"/>
                <w:color w:val="auto"/>
                <w:spacing w:val="-8"/>
                <w:kern w:val="0"/>
                <w:sz w:val="22"/>
                <w:szCs w:val="22"/>
                <w:lang w:eastAsia="zh-CN"/>
              </w:rPr>
              <w:t>路</w:t>
            </w:r>
            <w:r>
              <w:rPr>
                <w:rFonts w:hint="eastAsia" w:asciiTheme="minorEastAsia" w:hAnsiTheme="minorEastAsia" w:eastAsiaTheme="minorEastAsia" w:cstheme="minorEastAsia"/>
                <w:color w:val="auto"/>
                <w:spacing w:val="-8"/>
                <w:kern w:val="0"/>
                <w:sz w:val="22"/>
                <w:szCs w:val="22"/>
              </w:rPr>
              <w:t>灯等）必须安全、完好、美观。</w:t>
            </w:r>
            <w:r>
              <w:rPr>
                <w:rFonts w:hint="eastAsia" w:asciiTheme="minorEastAsia" w:hAnsiTheme="minorEastAsia" w:eastAsiaTheme="minorEastAsia" w:cstheme="minorEastAsia"/>
                <w:color w:val="auto"/>
                <w:spacing w:val="-8"/>
                <w:kern w:val="0"/>
                <w:sz w:val="22"/>
                <w:szCs w:val="22"/>
                <w:lang w:eastAsia="zh-CN"/>
              </w:rPr>
              <w:t>道路</w:t>
            </w:r>
            <w:r>
              <w:rPr>
                <w:rFonts w:hint="eastAsia" w:asciiTheme="minorEastAsia" w:hAnsiTheme="minorEastAsia" w:eastAsiaTheme="minorEastAsia" w:cstheme="minorEastAsia"/>
                <w:color w:val="auto"/>
                <w:spacing w:val="-8"/>
                <w:kern w:val="0"/>
                <w:sz w:val="22"/>
                <w:szCs w:val="22"/>
              </w:rPr>
              <w:t>、铺装无大面积破损</w:t>
            </w:r>
            <w:r>
              <w:rPr>
                <w:rFonts w:hint="eastAsia" w:asciiTheme="minorEastAsia" w:hAnsiTheme="minorEastAsia" w:eastAsiaTheme="minorEastAsia" w:cstheme="minorEastAsia"/>
                <w:color w:val="auto"/>
                <w:spacing w:val="-8"/>
                <w:kern w:val="0"/>
                <w:sz w:val="22"/>
                <w:szCs w:val="22"/>
                <w:lang w:eastAsia="zh-CN"/>
              </w:rPr>
              <w:t>，</w:t>
            </w:r>
            <w:r>
              <w:rPr>
                <w:rFonts w:hint="eastAsia" w:asciiTheme="minorEastAsia" w:hAnsiTheme="minorEastAsia" w:eastAsiaTheme="minorEastAsia" w:cstheme="minorEastAsia"/>
                <w:color w:val="auto"/>
                <w:spacing w:val="-8"/>
                <w:kern w:val="0"/>
                <w:sz w:val="22"/>
                <w:szCs w:val="22"/>
              </w:rPr>
              <w:t>垃圾桶等维护良好，指示牌等放置整齐、清洁（4分）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发现辅助设施不</w:t>
            </w:r>
            <w:r>
              <w:rPr>
                <w:rFonts w:hint="eastAsia" w:asciiTheme="minorEastAsia" w:hAnsiTheme="minorEastAsia" w:eastAsiaTheme="minorEastAsia" w:cstheme="minorEastAsia"/>
                <w:color w:val="auto"/>
                <w:spacing w:val="-8"/>
                <w:kern w:val="0"/>
                <w:sz w:val="22"/>
                <w:szCs w:val="22"/>
              </w:rPr>
              <w:t>符合要求的，每处扣1分。</w:t>
            </w:r>
            <w:r>
              <w:rPr>
                <w:rFonts w:hint="eastAsia" w:asciiTheme="minorEastAsia" w:hAnsiTheme="minorEastAsia" w:eastAsiaTheme="minorEastAsia" w:cstheme="minorEastAsia"/>
                <w:color w:val="auto"/>
                <w:spacing w:val="-8"/>
                <w:kern w:val="0"/>
                <w:sz w:val="22"/>
                <w:szCs w:val="22"/>
                <w:lang w:eastAsia="zh-CN"/>
              </w:rPr>
              <w:t>路</w:t>
            </w:r>
            <w:r>
              <w:rPr>
                <w:rFonts w:hint="eastAsia" w:asciiTheme="minorEastAsia" w:hAnsiTheme="minorEastAsia" w:eastAsiaTheme="minorEastAsia" w:cstheme="minorEastAsia"/>
                <w:color w:val="auto"/>
                <w:spacing w:val="-8"/>
                <w:kern w:val="0"/>
                <w:sz w:val="22"/>
                <w:szCs w:val="22"/>
              </w:rPr>
              <w:t>灯、</w:t>
            </w:r>
            <w:r>
              <w:rPr>
                <w:rFonts w:hint="eastAsia" w:asciiTheme="minorEastAsia" w:hAnsiTheme="minorEastAsia" w:eastAsiaTheme="minorEastAsia" w:cstheme="minorEastAsia"/>
                <w:color w:val="auto"/>
                <w:spacing w:val="-8"/>
                <w:kern w:val="0"/>
                <w:sz w:val="22"/>
                <w:szCs w:val="22"/>
                <w:lang w:eastAsia="zh-CN"/>
              </w:rPr>
              <w:t>道</w:t>
            </w:r>
            <w:r>
              <w:rPr>
                <w:rFonts w:hint="eastAsia" w:asciiTheme="minorEastAsia" w:hAnsiTheme="minorEastAsia" w:eastAsiaTheme="minorEastAsia" w:cstheme="minorEastAsia"/>
                <w:color w:val="auto"/>
                <w:spacing w:val="-8"/>
                <w:kern w:val="0"/>
                <w:sz w:val="22"/>
                <w:szCs w:val="22"/>
              </w:rPr>
              <w:t>路、铺装、垃圾桶等损坏的，每处扣1分。</w:t>
            </w:r>
          </w:p>
        </w:tc>
      </w:tr>
      <w:tr>
        <w:tblPrEx>
          <w:tblLayout w:type="fixed"/>
          <w:tblCellMar>
            <w:top w:w="0" w:type="dxa"/>
            <w:left w:w="108" w:type="dxa"/>
            <w:bottom w:w="0" w:type="dxa"/>
            <w:right w:w="108" w:type="dxa"/>
          </w:tblCellMar>
        </w:tblPrEx>
        <w:trPr>
          <w:trHeight w:val="545" w:hRule="atLeast"/>
          <w:tblCellSpacing w:w="15" w:type="dxa"/>
        </w:trPr>
        <w:tc>
          <w:tcPr>
            <w:tcW w:w="1148" w:type="dxa"/>
            <w:tcBorders>
              <w:left w:val="single" w:color="auto" w:sz="4" w:space="0"/>
              <w:bottom w:val="single" w:color="auto" w:sz="4" w:space="0"/>
              <w:right w:val="single" w:color="auto" w:sz="4" w:space="0"/>
            </w:tcBorders>
            <w:vAlign w:val="center"/>
          </w:tcPr>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土肥标准</w:t>
            </w:r>
          </w:p>
          <w:p>
            <w:pPr>
              <w:widowControl/>
              <w:spacing w:line="280" w:lineRule="atLeas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（4分）</w:t>
            </w: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4</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栽培基质应具有一定的透水、透气、保肥能力，土壤疏松，无积水，无建筑水泥、砂石（4分）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土壤出现板结、积水、贫瘠、建筑水泥、砂石，每个地段扣1分。未定期施肥，每个地段扣1分。</w:t>
            </w:r>
          </w:p>
        </w:tc>
      </w:tr>
      <w:tr>
        <w:tblPrEx>
          <w:tblLayout w:type="fixed"/>
          <w:tblCellMar>
            <w:top w:w="0" w:type="dxa"/>
            <w:left w:w="108" w:type="dxa"/>
            <w:bottom w:w="0" w:type="dxa"/>
            <w:right w:w="108" w:type="dxa"/>
          </w:tblCellMar>
        </w:tblPrEx>
        <w:trPr>
          <w:trHeight w:val="545" w:hRule="atLeast"/>
          <w:tblCellSpacing w:w="15" w:type="dxa"/>
        </w:trPr>
        <w:tc>
          <w:tcPr>
            <w:tcW w:w="1148" w:type="dxa"/>
            <w:tcBorders>
              <w:left w:val="single" w:color="auto" w:sz="4" w:space="0"/>
              <w:bottom w:val="single" w:color="auto" w:sz="4" w:space="0"/>
              <w:right w:val="single" w:color="auto" w:sz="4" w:space="0"/>
            </w:tcBorders>
            <w:vAlign w:val="center"/>
          </w:tcPr>
          <w:p>
            <w:pPr>
              <w:widowControl/>
              <w:spacing w:line="280" w:lineRule="atLeast"/>
              <w:ind w:left="107" w:right="-107" w:hanging="107"/>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病虫害防治</w:t>
            </w:r>
          </w:p>
          <w:p>
            <w:pPr>
              <w:widowControl/>
              <w:spacing w:line="280" w:lineRule="atLeast"/>
              <w:ind w:left="107" w:right="-107" w:hanging="107"/>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（10分）</w:t>
            </w: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5</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提倡综合防治，以防为主。病虫害危害应控制在以不影响观赏效果的范围之内。（10分）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绿化带有明显病虫害的，每处扣1分</w:t>
            </w:r>
            <w:r>
              <w:rPr>
                <w:rFonts w:hint="eastAsia" w:asciiTheme="minorEastAsia" w:hAnsiTheme="minorEastAsia" w:eastAsiaTheme="minorEastAsia" w:cstheme="minorEastAsia"/>
                <w:color w:val="auto"/>
                <w:spacing w:val="-8"/>
                <w:kern w:val="0"/>
                <w:sz w:val="22"/>
                <w:szCs w:val="22"/>
              </w:rPr>
              <w:t>。</w:t>
            </w:r>
          </w:p>
        </w:tc>
      </w:tr>
      <w:tr>
        <w:tblPrEx>
          <w:tblLayout w:type="fixed"/>
          <w:tblCellMar>
            <w:top w:w="0" w:type="dxa"/>
            <w:left w:w="108" w:type="dxa"/>
            <w:bottom w:w="0" w:type="dxa"/>
            <w:right w:w="108" w:type="dxa"/>
          </w:tblCellMar>
        </w:tblPrEx>
        <w:trPr>
          <w:trHeight w:val="545" w:hRule="atLeast"/>
          <w:tblCellSpacing w:w="15" w:type="dxa"/>
        </w:trPr>
        <w:tc>
          <w:tcPr>
            <w:tcW w:w="1148" w:type="dxa"/>
            <w:vMerge w:val="restart"/>
            <w:tcBorders>
              <w:left w:val="single" w:color="auto" w:sz="4" w:space="0"/>
              <w:right w:val="single" w:color="auto" w:sz="4" w:space="0"/>
            </w:tcBorders>
            <w:vAlign w:val="center"/>
          </w:tcPr>
          <w:p>
            <w:pPr>
              <w:widowControl/>
              <w:spacing w:line="280" w:lineRule="atLeast"/>
              <w:ind w:left="107" w:right="-107" w:hanging="107"/>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管理及卫生</w:t>
            </w:r>
          </w:p>
          <w:p>
            <w:pPr>
              <w:widowControl/>
              <w:spacing w:line="280" w:lineRule="atLeast"/>
              <w:ind w:left="107" w:right="-107" w:hanging="107"/>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（10分）</w:t>
            </w: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6.1</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绿地及设施整洁，无张贴小广告，叶面无陈旧性积尘。（2分）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绿地及设施不整洁，有小广告，每处扣0.5分。</w:t>
            </w:r>
          </w:p>
        </w:tc>
      </w:tr>
      <w:tr>
        <w:tblPrEx>
          <w:tblLayout w:type="fixed"/>
          <w:tblCellMar>
            <w:top w:w="0" w:type="dxa"/>
            <w:left w:w="108" w:type="dxa"/>
            <w:bottom w:w="0" w:type="dxa"/>
            <w:right w:w="108" w:type="dxa"/>
          </w:tblCellMar>
        </w:tblPrEx>
        <w:trPr>
          <w:trHeight w:val="545" w:hRule="atLeast"/>
          <w:tblCellSpacing w:w="15" w:type="dxa"/>
        </w:trPr>
        <w:tc>
          <w:tcPr>
            <w:tcW w:w="1148" w:type="dxa"/>
            <w:vMerge w:val="continue"/>
            <w:tcBorders>
              <w:left w:val="single" w:color="auto" w:sz="4" w:space="0"/>
              <w:right w:val="single" w:color="auto" w:sz="4" w:space="0"/>
            </w:tcBorders>
            <w:vAlign w:val="center"/>
          </w:tcPr>
          <w:p>
            <w:pPr>
              <w:widowControl/>
              <w:spacing w:line="280" w:lineRule="atLeast"/>
              <w:ind w:left="107" w:right="-107" w:hanging="107"/>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6.2</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防台、防汛、防寒、返旱及时到位（2分）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防台、防汛、防寒、返旱工作未及时到位的扣除本项全部分数（2分）。</w:t>
            </w:r>
          </w:p>
        </w:tc>
      </w:tr>
      <w:tr>
        <w:tblPrEx>
          <w:tblLayout w:type="fixed"/>
          <w:tblCellMar>
            <w:top w:w="0" w:type="dxa"/>
            <w:left w:w="108" w:type="dxa"/>
            <w:bottom w:w="0" w:type="dxa"/>
            <w:right w:w="108" w:type="dxa"/>
          </w:tblCellMar>
        </w:tblPrEx>
        <w:trPr>
          <w:trHeight w:val="545" w:hRule="atLeast"/>
          <w:tblCellSpacing w:w="15" w:type="dxa"/>
        </w:trPr>
        <w:tc>
          <w:tcPr>
            <w:tcW w:w="1148" w:type="dxa"/>
            <w:vMerge w:val="continue"/>
            <w:tcBorders>
              <w:left w:val="single" w:color="auto" w:sz="4" w:space="0"/>
              <w:right w:val="single" w:color="auto" w:sz="4" w:space="0"/>
            </w:tcBorders>
            <w:vAlign w:val="center"/>
          </w:tcPr>
          <w:p>
            <w:pPr>
              <w:widowControl/>
              <w:spacing w:line="280" w:lineRule="atLeast"/>
              <w:ind w:left="107" w:right="-107" w:hanging="107"/>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6.3</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管理制度落实，养护管理人员到位；养护作业人员必须穿着有反光条的工作服，放置警示牌，做到文明作业。（4分）</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管理制度不落实的，一处扣0.5分；</w:t>
            </w:r>
          </w:p>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养护人员上路作业不穿有反光条的工作服，未放置警示牌，不文明作业，扣2分。</w:t>
            </w:r>
          </w:p>
        </w:tc>
      </w:tr>
      <w:tr>
        <w:tblPrEx>
          <w:tblLayout w:type="fixed"/>
          <w:tblCellMar>
            <w:top w:w="0" w:type="dxa"/>
            <w:left w:w="108" w:type="dxa"/>
            <w:bottom w:w="0" w:type="dxa"/>
            <w:right w:w="108" w:type="dxa"/>
          </w:tblCellMar>
        </w:tblPrEx>
        <w:trPr>
          <w:trHeight w:val="545" w:hRule="atLeast"/>
          <w:tblCellSpacing w:w="15" w:type="dxa"/>
        </w:trPr>
        <w:tc>
          <w:tcPr>
            <w:tcW w:w="1148" w:type="dxa"/>
            <w:vMerge w:val="continue"/>
            <w:tcBorders>
              <w:left w:val="single" w:color="auto" w:sz="4" w:space="0"/>
              <w:right w:val="single" w:color="auto" w:sz="4" w:space="0"/>
            </w:tcBorders>
            <w:vAlign w:val="center"/>
          </w:tcPr>
          <w:p>
            <w:pPr>
              <w:widowControl/>
              <w:spacing w:line="280" w:lineRule="atLeast"/>
              <w:ind w:left="107" w:right="-107" w:hanging="107"/>
              <w:jc w:val="center"/>
              <w:rPr>
                <w:rFonts w:hint="eastAsia" w:asciiTheme="minorEastAsia" w:hAnsiTheme="minorEastAsia" w:eastAsiaTheme="minorEastAsia" w:cstheme="minorEastAsia"/>
                <w:color w:val="auto"/>
                <w:kern w:val="0"/>
                <w:sz w:val="22"/>
                <w:szCs w:val="22"/>
              </w:rPr>
            </w:pPr>
          </w:p>
        </w:tc>
        <w:tc>
          <w:tcPr>
            <w:tcW w:w="764" w:type="dxa"/>
            <w:tcBorders>
              <w:top w:val="nil"/>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6.4</w:t>
            </w:r>
          </w:p>
        </w:tc>
        <w:tc>
          <w:tcPr>
            <w:tcW w:w="3517"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无未审批占绿、无未审批建设。（一项否决制）</w:t>
            </w:r>
          </w:p>
        </w:tc>
        <w:tc>
          <w:tcPr>
            <w:tcW w:w="3723" w:type="dxa"/>
            <w:tcBorders>
              <w:top w:val="nil"/>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kern w:val="0"/>
                <w:sz w:val="22"/>
                <w:szCs w:val="22"/>
              </w:rPr>
              <w:t>一旦发现未审批占绿或未审批建设情况，未及时上报，扣除管理及卫生全部分数的50%（5分）。</w:t>
            </w:r>
          </w:p>
        </w:tc>
      </w:tr>
    </w:tbl>
    <w:p>
      <w:pPr>
        <w:widowControl/>
        <w:spacing w:line="280" w:lineRule="atLeast"/>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备注：1、本表根据《</w:t>
      </w:r>
      <w:r>
        <w:rPr>
          <w:rFonts w:hint="eastAsia" w:asciiTheme="minorEastAsia" w:hAnsiTheme="minorEastAsia" w:eastAsiaTheme="minorEastAsia" w:cstheme="minorEastAsia"/>
          <w:color w:val="auto"/>
          <w:sz w:val="22"/>
          <w:szCs w:val="22"/>
        </w:rPr>
        <w:t>温州市城市绿地养护管理标准</w:t>
      </w:r>
      <w:r>
        <w:rPr>
          <w:rFonts w:hint="eastAsia" w:asciiTheme="minorEastAsia" w:hAnsiTheme="minorEastAsia" w:eastAsiaTheme="minorEastAsia" w:cstheme="minorEastAsia"/>
          <w:color w:val="auto"/>
          <w:spacing w:val="-8"/>
          <w:kern w:val="0"/>
          <w:sz w:val="22"/>
          <w:szCs w:val="22"/>
        </w:rPr>
        <w:t>》制定；</w:t>
      </w:r>
    </w:p>
    <w:p>
      <w:pPr>
        <w:widowControl/>
        <w:spacing w:line="280" w:lineRule="atLeast"/>
        <w:ind w:firstLine="612" w:firstLineChars="300"/>
        <w:rPr>
          <w:rFonts w:hint="eastAsia" w:asciiTheme="minorEastAsia" w:hAnsiTheme="minorEastAsia" w:eastAsiaTheme="minorEastAsia" w:cstheme="minorEastAsia"/>
          <w:color w:val="auto"/>
          <w:spacing w:val="-8"/>
          <w:kern w:val="0"/>
          <w:sz w:val="22"/>
          <w:szCs w:val="22"/>
        </w:rPr>
      </w:pPr>
      <w:r>
        <w:rPr>
          <w:rFonts w:hint="eastAsia" w:asciiTheme="minorEastAsia" w:hAnsiTheme="minorEastAsia" w:eastAsiaTheme="minorEastAsia" w:cstheme="minorEastAsia"/>
          <w:color w:val="auto"/>
          <w:spacing w:val="-8"/>
          <w:kern w:val="0"/>
          <w:sz w:val="22"/>
          <w:szCs w:val="22"/>
        </w:rPr>
        <w:t>2、本表适用于城区道路绿地日常养护检查，满分为100分；</w:t>
      </w:r>
    </w:p>
    <w:p>
      <w:pPr>
        <w:widowControl/>
        <w:spacing w:line="280" w:lineRule="atLeast"/>
        <w:ind w:firstLine="612" w:firstLineChars="300"/>
        <w:rPr>
          <w:rFonts w:hint="eastAsia" w:asciiTheme="minorEastAsia" w:hAnsiTheme="minorEastAsia" w:eastAsiaTheme="minorEastAsia" w:cstheme="minorEastAsia"/>
          <w:color w:val="auto"/>
          <w:kern w:val="0"/>
          <w:sz w:val="22"/>
          <w:szCs w:val="22"/>
        </w:rPr>
      </w:pPr>
      <w:r>
        <w:rPr>
          <w:rFonts w:hint="eastAsia" w:asciiTheme="minorEastAsia" w:hAnsiTheme="minorEastAsia" w:eastAsiaTheme="minorEastAsia" w:cstheme="minorEastAsia"/>
          <w:color w:val="auto"/>
          <w:spacing w:val="-8"/>
          <w:kern w:val="0"/>
          <w:sz w:val="22"/>
          <w:szCs w:val="22"/>
        </w:rPr>
        <w:t>3、各分项分值扣完为止，不计负分。</w:t>
      </w:r>
    </w:p>
    <w:p>
      <w:pPr>
        <w:spacing w:line="260" w:lineRule="exact"/>
        <w:rPr>
          <w:rFonts w:hint="eastAsia" w:asciiTheme="minorEastAsia" w:hAnsiTheme="minorEastAsia" w:eastAsiaTheme="minorEastAsia" w:cstheme="minorEastAsia"/>
          <w:color w:val="auto"/>
          <w:szCs w:val="21"/>
        </w:rPr>
      </w:pPr>
    </w:p>
    <w:p>
      <w:pPr>
        <w:pStyle w:val="5"/>
        <w:tabs>
          <w:tab w:val="clear" w:pos="840"/>
        </w:tabs>
        <w:adjustRightInd/>
        <w:snapToGrid/>
        <w:spacing w:before="120" w:after="120" w:line="260" w:lineRule="exact"/>
        <w:rPr>
          <w:rFonts w:hint="eastAsia" w:asciiTheme="minorEastAsia" w:hAnsiTheme="minorEastAsia" w:eastAsiaTheme="minorEastAsia" w:cstheme="minorEastAsia"/>
          <w:bCs/>
          <w:color w:val="auto"/>
          <w:sz w:val="32"/>
          <w:szCs w:val="32"/>
        </w:rPr>
      </w:pPr>
    </w:p>
    <w:p>
      <w:pPr>
        <w:rPr>
          <w:rFonts w:hint="eastAsia" w:asciiTheme="minorEastAsia" w:hAnsiTheme="minorEastAsia" w:eastAsiaTheme="minorEastAsia" w:cstheme="minorEastAsia"/>
          <w:bCs/>
          <w:color w:val="auto"/>
          <w:sz w:val="32"/>
          <w:szCs w:val="32"/>
        </w:rPr>
      </w:pPr>
    </w:p>
    <w:p>
      <w:pPr>
        <w:pStyle w:val="2"/>
        <w:rPr>
          <w:rFonts w:hint="eastAsia" w:asciiTheme="minorEastAsia" w:hAnsiTheme="minorEastAsia" w:eastAsiaTheme="minorEastAsia" w:cstheme="minorEastAsia"/>
          <w:bCs/>
          <w:color w:val="auto"/>
          <w:sz w:val="32"/>
          <w:szCs w:val="32"/>
        </w:rPr>
      </w:pPr>
    </w:p>
    <w:p>
      <w:pPr>
        <w:pStyle w:val="4"/>
        <w:rPr>
          <w:rFonts w:hint="eastAsia" w:asciiTheme="minorEastAsia" w:hAnsiTheme="minorEastAsia" w:eastAsiaTheme="minorEastAsia" w:cstheme="minorEastAsia"/>
          <w:bCs/>
          <w:color w:val="auto"/>
          <w:sz w:val="32"/>
          <w:szCs w:val="32"/>
        </w:rPr>
      </w:pPr>
    </w:p>
    <w:p>
      <w:pPr>
        <w:rPr>
          <w:rFonts w:hint="eastAsia" w:asciiTheme="minorEastAsia" w:hAnsiTheme="minorEastAsia" w:eastAsiaTheme="minorEastAsia" w:cstheme="minorEastAsia"/>
          <w:bCs/>
          <w:color w:val="auto"/>
          <w:sz w:val="32"/>
          <w:szCs w:val="32"/>
        </w:rPr>
      </w:pPr>
    </w:p>
    <w:p>
      <w:pPr>
        <w:pStyle w:val="2"/>
        <w:rPr>
          <w:rFonts w:hint="eastAsia" w:asciiTheme="minorEastAsia" w:hAnsiTheme="minorEastAsia" w:eastAsiaTheme="minorEastAsia" w:cstheme="minorEastAsia"/>
          <w:bCs/>
          <w:color w:val="auto"/>
          <w:sz w:val="32"/>
          <w:szCs w:val="32"/>
        </w:rPr>
      </w:pPr>
    </w:p>
    <w:p>
      <w:pPr>
        <w:pStyle w:val="4"/>
        <w:rPr>
          <w:rFonts w:hint="eastAsia" w:asciiTheme="minorEastAsia" w:hAnsiTheme="minorEastAsia" w:eastAsiaTheme="minorEastAsia" w:cstheme="minorEastAsia"/>
          <w:bCs/>
          <w:color w:val="auto"/>
          <w:sz w:val="32"/>
          <w:szCs w:val="32"/>
        </w:rPr>
      </w:pPr>
    </w:p>
    <w:p>
      <w:pPr>
        <w:rPr>
          <w:rFonts w:hint="eastAsia" w:asciiTheme="minorEastAsia" w:hAnsiTheme="minorEastAsia" w:eastAsiaTheme="minorEastAsia" w:cstheme="minorEastAsia"/>
          <w:bCs/>
          <w:color w:val="auto"/>
          <w:sz w:val="32"/>
          <w:szCs w:val="32"/>
        </w:rPr>
      </w:pPr>
    </w:p>
    <w:p>
      <w:pPr>
        <w:pStyle w:val="2"/>
        <w:rPr>
          <w:rFonts w:hint="eastAsia" w:asciiTheme="minorEastAsia" w:hAnsiTheme="minorEastAsia" w:eastAsiaTheme="minorEastAsia" w:cstheme="minorEastAsia"/>
          <w:bCs/>
          <w:color w:val="auto"/>
          <w:sz w:val="32"/>
          <w:szCs w:val="32"/>
        </w:rPr>
      </w:pPr>
    </w:p>
    <w:p>
      <w:pPr>
        <w:pStyle w:val="4"/>
        <w:rPr>
          <w:rFonts w:hint="eastAsia" w:asciiTheme="minorEastAsia" w:hAnsiTheme="minorEastAsia" w:eastAsiaTheme="minorEastAsia" w:cstheme="minorEastAsia"/>
          <w:bCs/>
          <w:color w:val="auto"/>
          <w:sz w:val="32"/>
          <w:szCs w:val="32"/>
        </w:rPr>
      </w:pPr>
    </w:p>
    <w:p>
      <w:pPr>
        <w:rPr>
          <w:rFonts w:hint="eastAsia"/>
          <w:color w:val="auto"/>
        </w:rPr>
      </w:pPr>
    </w:p>
    <w:p>
      <w:pPr>
        <w:pStyle w:val="5"/>
        <w:tabs>
          <w:tab w:val="clear" w:pos="840"/>
        </w:tabs>
        <w:adjustRightInd/>
        <w:snapToGrid/>
        <w:spacing w:before="120" w:after="120" w:line="500" w:lineRule="exact"/>
        <w:rPr>
          <w:rFonts w:hint="eastAsia" w:asciiTheme="minorEastAsia" w:hAnsiTheme="minorEastAsia" w:eastAsiaTheme="minorEastAsia" w:cstheme="minorEastAsia"/>
          <w:bCs/>
          <w:color w:val="auto"/>
          <w:sz w:val="32"/>
          <w:szCs w:val="32"/>
        </w:rPr>
      </w:pPr>
    </w:p>
    <w:p>
      <w:pPr>
        <w:rPr>
          <w:rFonts w:hint="eastAsia" w:asciiTheme="minorEastAsia" w:hAnsiTheme="minorEastAsia" w:eastAsiaTheme="minorEastAsia" w:cstheme="minorEastAsia"/>
          <w:color w:val="auto"/>
        </w:rPr>
      </w:pPr>
    </w:p>
    <w:p>
      <w:pPr>
        <w:pStyle w:val="5"/>
        <w:tabs>
          <w:tab w:val="clear" w:pos="840"/>
        </w:tabs>
        <w:adjustRightInd/>
        <w:snapToGrid/>
        <w:spacing w:before="120" w:after="120" w:line="500" w:lineRule="exact"/>
        <w:jc w:val="center"/>
        <w:rPr>
          <w:rFonts w:hint="eastAsia" w:asciiTheme="minorEastAsia" w:hAnsiTheme="minorEastAsia" w:eastAsiaTheme="minorEastAsia" w:cstheme="minorEastAsia"/>
          <w:bCs/>
          <w:color w:val="auto"/>
          <w:sz w:val="32"/>
          <w:szCs w:val="32"/>
        </w:rPr>
      </w:pPr>
      <w:r>
        <w:rPr>
          <w:rFonts w:hint="eastAsia" w:asciiTheme="minorEastAsia" w:hAnsiTheme="minorEastAsia" w:eastAsiaTheme="minorEastAsia" w:cstheme="minorEastAsia"/>
          <w:bCs/>
          <w:color w:val="auto"/>
          <w:sz w:val="32"/>
          <w:szCs w:val="32"/>
        </w:rPr>
        <w:t>第六部分   评标原则及方法</w:t>
      </w:r>
      <w:bookmarkEnd w:id="54"/>
    </w:p>
    <w:p>
      <w:pPr>
        <w:pStyle w:val="3"/>
        <w:adjustRightInd w:val="0"/>
        <w:snapToGrid w:val="0"/>
        <w:spacing w:after="0" w:line="460" w:lineRule="exact"/>
        <w:ind w:left="538" w:leftChars="256"/>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根据《中华人民共和国政府采购法》、《政府采购货物和服务招标投标管理办法》等相关法律、法规特制定以下评标办法。</w:t>
      </w:r>
    </w:p>
    <w:p>
      <w:pPr>
        <w:pStyle w:val="3"/>
        <w:adjustRightInd w:val="0"/>
        <w:snapToGrid w:val="0"/>
        <w:spacing w:after="0" w:line="46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一、 总  则</w:t>
      </w:r>
    </w:p>
    <w:p>
      <w:pPr>
        <w:spacing w:line="460" w:lineRule="exact"/>
        <w:ind w:left="548" w:leftChars="261"/>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评标工作应遵循公开、公平、公正、科学、择优原则，科学、严谨的态度，认真进行评标，推进技术进步，确保工程质量、交货期，节约投资，最大限度的保护当事人权益。严格按照</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的商务、技术要求，对投标文件进行综合评定，编写评标报告。对落标单位，评委会不作任何落标解释。投标供应商不得以任何方式干扰招投标工作的进行，一经发现其投标文件将被拒绝。</w:t>
      </w:r>
    </w:p>
    <w:p>
      <w:pPr>
        <w:pStyle w:val="3"/>
        <w:adjustRightInd w:val="0"/>
        <w:snapToGrid w:val="0"/>
        <w:spacing w:after="0" w:line="46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二、 评标组织</w:t>
      </w:r>
    </w:p>
    <w:p>
      <w:pPr>
        <w:spacing w:line="460" w:lineRule="exact"/>
        <w:ind w:left="439" w:leftChars="209" w:firstLine="110" w:firstLineChars="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评标工作由招标采购单位依法组建的评标委员会负责，评标全过程由有关部门指导监督。</w:t>
      </w:r>
    </w:p>
    <w:p>
      <w:pPr>
        <w:pStyle w:val="3"/>
        <w:adjustRightInd w:val="0"/>
        <w:snapToGrid w:val="0"/>
        <w:spacing w:after="0" w:line="46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三、 评标办法</w:t>
      </w:r>
    </w:p>
    <w:p>
      <w:pPr>
        <w:pStyle w:val="13"/>
        <w:spacing w:line="460" w:lineRule="exact"/>
        <w:ind w:left="438" w:leftChars="104" w:hanging="220" w:hangingChars="10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bCs/>
          <w:color w:val="auto"/>
          <w:kern w:val="28"/>
          <w:sz w:val="22"/>
          <w:szCs w:val="22"/>
        </w:rPr>
        <w:t xml:space="preserve">1、 </w:t>
      </w:r>
      <w:r>
        <w:rPr>
          <w:rFonts w:hint="eastAsia" w:asciiTheme="minorEastAsia" w:hAnsiTheme="minorEastAsia" w:eastAsiaTheme="minorEastAsia" w:cstheme="minorEastAsia"/>
          <w:color w:val="auto"/>
          <w:sz w:val="22"/>
          <w:lang w:eastAsia="zh-CN"/>
        </w:rPr>
        <w:t>本项目评标办法采取百分制综合评分法</w:t>
      </w:r>
      <w:r>
        <w:rPr>
          <w:rFonts w:hint="eastAsia" w:asciiTheme="minorEastAsia" w:hAnsiTheme="minorEastAsia" w:eastAsiaTheme="minorEastAsia" w:cstheme="minorEastAsia"/>
          <w:color w:val="auto"/>
          <w:sz w:val="22"/>
        </w:rPr>
        <w:t>，其中技术资信标70分（技术权值70%），商务标（报价）30分（价格权值30%）。</w:t>
      </w:r>
    </w:p>
    <w:p>
      <w:pPr>
        <w:spacing w:line="460" w:lineRule="exact"/>
        <w:ind w:left="550" w:hanging="550" w:hangingChars="250"/>
        <w:rPr>
          <w:rFonts w:hint="eastAsia" w:asciiTheme="minorEastAsia" w:hAnsiTheme="minorEastAsia" w:eastAsiaTheme="minorEastAsia" w:cstheme="minorEastAsia"/>
          <w:color w:val="auto"/>
          <w:sz w:val="22"/>
        </w:rPr>
      </w:pPr>
      <w:r>
        <w:rPr>
          <w:rFonts w:hint="eastAsia" w:asciiTheme="minorEastAsia" w:hAnsiTheme="minorEastAsia" w:eastAsiaTheme="minorEastAsia" w:cstheme="minorEastAsia"/>
          <w:color w:val="auto"/>
          <w:sz w:val="22"/>
          <w:szCs w:val="22"/>
        </w:rPr>
        <w:t>2．  评标过程中遇到特殊情况，由评标委员会遵循公平、公正原则</w:t>
      </w:r>
      <w:r>
        <w:rPr>
          <w:rFonts w:hint="eastAsia" w:asciiTheme="minorEastAsia" w:hAnsiTheme="minorEastAsia" w:eastAsiaTheme="minorEastAsia" w:cstheme="minorEastAsia"/>
          <w:color w:val="auto"/>
          <w:sz w:val="22"/>
        </w:rPr>
        <w:t>，采取记名投票方式按照少数服从多数原则决定。</w:t>
      </w:r>
    </w:p>
    <w:p>
      <w:pPr>
        <w:pStyle w:val="3"/>
        <w:adjustRightInd w:val="0"/>
        <w:snapToGrid w:val="0"/>
        <w:spacing w:line="44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四、 评分细则</w:t>
      </w:r>
    </w:p>
    <w:p>
      <w:pPr>
        <w:spacing w:line="44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  技术资信分的评定（</w:t>
      </w:r>
      <w:r>
        <w:rPr>
          <w:rFonts w:hint="eastAsia" w:asciiTheme="minorEastAsia" w:hAnsiTheme="minorEastAsia" w:eastAsiaTheme="minorEastAsia" w:cstheme="minorEastAsia"/>
          <w:color w:val="auto"/>
          <w:sz w:val="22"/>
          <w:szCs w:val="22"/>
          <w:u w:val="single"/>
        </w:rPr>
        <w:t>70</w:t>
      </w:r>
      <w:r>
        <w:rPr>
          <w:rFonts w:hint="eastAsia" w:asciiTheme="minorEastAsia" w:hAnsiTheme="minorEastAsia" w:eastAsiaTheme="minorEastAsia" w:cstheme="minorEastAsia"/>
          <w:color w:val="auto"/>
          <w:sz w:val="22"/>
          <w:szCs w:val="22"/>
        </w:rPr>
        <w:t>分）</w:t>
      </w:r>
    </w:p>
    <w:tbl>
      <w:tblPr>
        <w:tblStyle w:val="39"/>
        <w:tblW w:w="980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10"/>
        <w:gridCol w:w="766"/>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69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bCs/>
                <w:color w:val="auto"/>
                <w:szCs w:val="21"/>
                <w:u w:color="000000"/>
                <w:lang w:val="zh-TW" w:eastAsia="zh-TW"/>
              </w:rPr>
              <w:t>评分内容</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bCs/>
                <w:color w:val="auto"/>
                <w:szCs w:val="21"/>
                <w:u w:color="000000"/>
                <w:lang w:val="zh-TW" w:eastAsia="zh-TW"/>
              </w:rPr>
              <w:t>分值</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b/>
                <w:bCs/>
                <w:color w:val="auto"/>
                <w:szCs w:val="21"/>
                <w:u w:color="000000"/>
                <w:lang w:val="zh-TW" w:eastAsia="zh-TW"/>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lang w:val="zh-TW" w:eastAsia="zh-TW"/>
              </w:rPr>
              <w:t>技术</w:t>
            </w:r>
            <w:r>
              <w:rPr>
                <w:rFonts w:hint="eastAsia" w:asciiTheme="minorEastAsia" w:hAnsiTheme="minorEastAsia" w:eastAsiaTheme="minorEastAsia" w:cstheme="minorEastAsia"/>
                <w:bCs/>
                <w:color w:val="auto"/>
                <w:sz w:val="22"/>
                <w:szCs w:val="22"/>
                <w:lang w:val="zh-TW"/>
              </w:rPr>
              <w:t>资信</w:t>
            </w:r>
            <w:r>
              <w:rPr>
                <w:rFonts w:hint="eastAsia" w:asciiTheme="minorEastAsia" w:hAnsiTheme="minorEastAsia" w:eastAsiaTheme="minorEastAsia" w:cstheme="minorEastAsia"/>
                <w:bCs/>
                <w:color w:val="auto"/>
                <w:sz w:val="22"/>
                <w:szCs w:val="22"/>
              </w:rPr>
              <w:t>70分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总体方案</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5</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分析现有绿地养护现状、存在问题并提出相应的解决措施。根据供应商提供的养护现状、存在问题的解决措施方案能否满足采购需求，由评审小组判定评分。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5分，良得3分，一般得1分，差得0分，本项</w:t>
            </w:r>
            <w:r>
              <w:rPr>
                <w:rFonts w:hint="eastAsia" w:asciiTheme="minorEastAsia" w:hAnsiTheme="minorEastAsia" w:eastAsiaTheme="minorEastAsia" w:cstheme="minorEastAsia"/>
                <w:bCs/>
                <w:color w:val="auto"/>
                <w:sz w:val="22"/>
                <w:szCs w:val="22"/>
              </w:rPr>
              <w:t>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绿化养护质量保证体系</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rPr>
              <w:t>12</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（1）有每月全面具体完整的养护方案。根据供应商提供的对养护方案能否满足采购需求，由评审小组判定评分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4分，良得3分，一般得1分，差得0分，</w:t>
            </w:r>
            <w:r>
              <w:rPr>
                <w:rFonts w:hint="eastAsia" w:asciiTheme="minorEastAsia" w:hAnsiTheme="minorEastAsia" w:eastAsiaTheme="minorEastAsia" w:cstheme="minorEastAsia"/>
                <w:bCs/>
                <w:color w:val="auto"/>
                <w:sz w:val="22"/>
                <w:szCs w:val="22"/>
              </w:rPr>
              <w:t>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eastAsia="zh-TW"/>
              </w:rPr>
            </w:pPr>
            <w:r>
              <w:rPr>
                <w:rFonts w:hint="eastAsia" w:asciiTheme="minorEastAsia" w:hAnsiTheme="minorEastAsia" w:eastAsiaTheme="minorEastAsia" w:cstheme="minorEastAsia"/>
                <w:bCs/>
                <w:color w:val="auto"/>
                <w:sz w:val="22"/>
                <w:szCs w:val="22"/>
              </w:rPr>
              <w:t>（2）方案是否切合本养护项目的实际。由评审小组对方案是否切合实际评审后评分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（3）有针对性、突出点的养护内容。由评审小组对有针对性、突出点的养护内容评审后评分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（4）对养护质量有必要的承诺。由评审小组对养护质量的承诺评审后评分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2分，一般得1分，差得0分，</w:t>
            </w:r>
            <w:r>
              <w:rPr>
                <w:rFonts w:hint="eastAsia" w:asciiTheme="minorEastAsia" w:hAnsiTheme="minorEastAsia" w:eastAsiaTheme="minorEastAsia" w:cstheme="minorEastAsia"/>
                <w:bCs/>
                <w:color w:val="auto"/>
                <w:sz w:val="22"/>
                <w:szCs w:val="22"/>
              </w:rPr>
              <w:t>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养护管理措施及内部考核制度</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8</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（1）养护管理体系完善、有保障，养护管理制度、规程齐全。根据供应商提供的养护管理体系完善等内容进行评审后评分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4分，良得3分，一般得1分，差得0分，</w:t>
            </w:r>
            <w:r>
              <w:rPr>
                <w:rFonts w:hint="eastAsia" w:asciiTheme="minorEastAsia" w:hAnsiTheme="minorEastAsia" w:eastAsiaTheme="minorEastAsia" w:cstheme="minorEastAsia"/>
                <w:bCs/>
                <w:color w:val="auto"/>
                <w:sz w:val="22"/>
                <w:szCs w:val="22"/>
              </w:rPr>
              <w:t>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（2）拟专门的考核机制进行内部考核。由评审小组对考核机制评审后评分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4分，良得3分，一般得1分，差得0分，</w:t>
            </w:r>
            <w:r>
              <w:rPr>
                <w:rFonts w:hint="eastAsia" w:asciiTheme="minorEastAsia" w:hAnsiTheme="minorEastAsia" w:eastAsiaTheme="minorEastAsia" w:cstheme="minorEastAsia"/>
                <w:bCs/>
                <w:color w:val="auto"/>
                <w:sz w:val="22"/>
                <w:szCs w:val="22"/>
              </w:rPr>
              <w:t>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安全生产、文明施工、环保措施</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绿地养护安全文明作业和环境保护管理措施是否到位。根据供应商提供的绿地养护安全及管理措施进行评审后评分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垃圾处置及消纳</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rPr>
              <w:t>3</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阐述园林绿化垃圾处置消纳方案。由评审小组对绿化垃圾处置消纳方案评审后评分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服务响应时间</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3</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根据投标人承诺突发事件、恶劣天气的现场响应时间评定：3小时内响应的得1分，每减少半个小时的加0.5分，最多加2分；每增加半小时的扣1分，扣完该项得分为止。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合理化建议或承诺</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eastAsia="zh-TW"/>
              </w:rPr>
            </w:pPr>
            <w:r>
              <w:rPr>
                <w:rFonts w:hint="eastAsia" w:asciiTheme="minorEastAsia" w:hAnsiTheme="minorEastAsia" w:eastAsiaTheme="minorEastAsia" w:cstheme="minorEastAsia"/>
                <w:bCs/>
                <w:color w:val="auto"/>
                <w:sz w:val="22"/>
                <w:szCs w:val="22"/>
              </w:rPr>
              <w:t>3</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根据投标人提出的针对本项目的合理化建议或承诺。由评审小组对合理化建议或承诺评审后评分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lang w:val="zh-TW"/>
              </w:rPr>
              <w:t>投入本项目的人力</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8</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（1）项目负责人：具备园林专业高级及以上职称的，得4分，具备园林专业中级职称的，得2分，其余不得分。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（2）人员配置结构是否能满足绿化养护项目质量的要求，有无合理的劳动力投入计划。根据供应商提供的人员配置结构能否满足采购需求，由评审小组判定评分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4分，良得3分，一般得1分，差得0分。</w:t>
            </w:r>
            <w:r>
              <w:rPr>
                <w:rFonts w:hint="eastAsia" w:asciiTheme="minorEastAsia" w:hAnsiTheme="minorEastAsia" w:eastAsiaTheme="minorEastAsia" w:cstheme="minorEastAsia"/>
                <w:bCs/>
                <w:color w:val="auto"/>
                <w:sz w:val="22"/>
                <w:szCs w:val="22"/>
              </w:rPr>
              <w:t>最高得4分。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备注：提供项目负责人2021年4月份以来任一个月的社保缴纳证明及证书复印件，如不能提供养老保险则（1）项不得分。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lang w:val="zh-TW"/>
              </w:rPr>
              <w:t>投入本项目的主要机械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lang w:val="zh-TW"/>
              </w:rPr>
              <w:t>设备</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12</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（1）投标人拟投入使用的</w:t>
            </w:r>
            <w:r>
              <w:rPr>
                <w:rFonts w:hint="eastAsia" w:asciiTheme="minorEastAsia" w:hAnsiTheme="minorEastAsia" w:eastAsiaTheme="minorEastAsia" w:cstheme="minorEastAsia"/>
                <w:bCs/>
                <w:color w:val="auto"/>
                <w:sz w:val="22"/>
                <w:szCs w:val="22"/>
              </w:rPr>
              <w:t>机械设备（如水泵、喷药设备、绿篱机、割草机、油锯、绿篱剪等）满足养护项目实际规模，各类养护机械设备数量。根据供应商提供的设备配置数量能否满足采购需求，由评审小组判定评分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 xml:space="preserve">最高得3分。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（2）机械设备的维修有保障，实行专人化和定期维护。根据供应商提供设备维修及维护方案能否满足采购需求，由评审小组判定评分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 xml:space="preserve">最高得3分。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（3）投标人拟投入的已有的洒水车（每辆总质量7.5吨及以上）、垃圾运输车及打药车均满足</w:t>
            </w:r>
            <w:r>
              <w:rPr>
                <w:rFonts w:hint="eastAsia" w:asciiTheme="minorEastAsia" w:hAnsiTheme="minorEastAsia" w:eastAsiaTheme="minorEastAsia" w:cstheme="minorEastAsia"/>
                <w:bCs/>
                <w:color w:val="auto"/>
                <w:sz w:val="22"/>
                <w:szCs w:val="22"/>
                <w:lang w:eastAsia="zh-CN"/>
              </w:rPr>
              <w:t>采购文件</w:t>
            </w:r>
            <w:r>
              <w:rPr>
                <w:rFonts w:hint="eastAsia" w:asciiTheme="minorEastAsia" w:hAnsiTheme="minorEastAsia" w:eastAsiaTheme="minorEastAsia" w:cstheme="minorEastAsia"/>
                <w:bCs/>
                <w:color w:val="auto"/>
                <w:sz w:val="22"/>
                <w:szCs w:val="22"/>
              </w:rPr>
              <w:t>设备要求的，则得基本分5分，另外提供洒水车（每辆总质量7.5吨及以上）每增加1辆，得1分；最高得6分。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备注：1、需提供相关机械设备的购置发票复印件，否则不得分。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2.车辆需同时提供行驶证、车辆登记证及购买发票复印件，否则不得分。如果已经购买车辆未办理行驶证，则提供购车合同及发票复印件，否则不得分。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eastAsia="zh-CN"/>
              </w:rPr>
            </w:pPr>
            <w:r>
              <w:rPr>
                <w:rFonts w:hint="eastAsia" w:asciiTheme="minorEastAsia" w:hAnsiTheme="minorEastAsia" w:eastAsiaTheme="minorEastAsia" w:cstheme="minorEastAsia"/>
                <w:bCs/>
                <w:color w:val="auto"/>
                <w:sz w:val="22"/>
                <w:szCs w:val="22"/>
              </w:rPr>
              <w:t>3.</w:t>
            </w:r>
            <w:r>
              <w:rPr>
                <w:rFonts w:hint="eastAsia" w:asciiTheme="minorEastAsia" w:hAnsiTheme="minorEastAsia" w:eastAsiaTheme="minorEastAsia" w:cstheme="minorEastAsia"/>
                <w:bCs/>
                <w:color w:val="auto"/>
                <w:sz w:val="22"/>
                <w:szCs w:val="22"/>
                <w:lang w:eastAsia="zh-CN"/>
              </w:rPr>
              <w:t>所投设备如为租赁，则需要提供租赁合同或协议，否则不得分。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lang w:val="en-US" w:eastAsia="zh-CN"/>
              </w:rPr>
              <w:t>4.</w:t>
            </w:r>
            <w:r>
              <w:rPr>
                <w:rFonts w:hint="eastAsia" w:asciiTheme="minorEastAsia" w:hAnsiTheme="minorEastAsia" w:eastAsiaTheme="minorEastAsia" w:cstheme="minorEastAsia"/>
                <w:bCs/>
                <w:color w:val="auto"/>
                <w:sz w:val="22"/>
                <w:szCs w:val="22"/>
              </w:rPr>
              <w:t>投标文件中拟投入使用的机械设备，在中标后须在规定时间内进场。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rPr>
              <w:t>服务场地</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对投标人提供有固定的养护管理房及停车场地（可租赁），根据场地与养护服务区域距离。根据供应商提供的固定养护管理房及停车场能否满足采购需求，由评审小组判定评分。</w:t>
            </w:r>
            <w:r>
              <w:rPr>
                <w:rFonts w:hint="eastAsia" w:asciiTheme="minorEastAsia" w:hAnsiTheme="minorEastAsia" w:eastAsiaTheme="minorEastAsia" w:cstheme="minorEastAsia"/>
                <w:bCs/>
                <w:color w:val="auto"/>
                <w:sz w:val="22"/>
                <w:szCs w:val="22"/>
                <w:lang w:eastAsia="zh-CN"/>
              </w:rPr>
              <w:t>优得</w:t>
            </w:r>
            <w:r>
              <w:rPr>
                <w:rFonts w:hint="eastAsia" w:asciiTheme="minorEastAsia" w:hAnsiTheme="minorEastAsia" w:eastAsiaTheme="minorEastAsia" w:cstheme="minorEastAsia"/>
                <w:bCs/>
                <w:color w:val="auto"/>
                <w:sz w:val="22"/>
                <w:szCs w:val="22"/>
                <w:lang w:val="en-US" w:eastAsia="zh-CN"/>
              </w:rPr>
              <w:t>3分，良得2分，一般得1分，差得0分，</w:t>
            </w:r>
            <w:r>
              <w:rPr>
                <w:rFonts w:hint="eastAsia" w:asciiTheme="minorEastAsia" w:hAnsiTheme="minorEastAsia" w:eastAsiaTheme="minorEastAsia" w:cstheme="minorEastAsia"/>
                <w:bCs/>
                <w:color w:val="auto"/>
                <w:sz w:val="22"/>
                <w:szCs w:val="22"/>
              </w:rPr>
              <w:t>最高得3分。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注：已租赁场地提供租赁协议、产权证明、发票、实景图片（复印件加盖公章，提供不全不得分）。自有场地提供产权证明及实景照片（复印件加盖公章）；意向租赁的，提供租赁意向协议、产权证明、实景图片（复印件加盖公章，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rPr>
              <w:t>供应商综合实力</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en-US"/>
              </w:rPr>
            </w:pPr>
            <w:r>
              <w:rPr>
                <w:rFonts w:hint="eastAsia" w:asciiTheme="minorEastAsia" w:hAnsiTheme="minorEastAsia" w:eastAsiaTheme="minorEastAsia" w:cstheme="minorEastAsia"/>
                <w:bCs/>
                <w:color w:val="auto"/>
                <w:sz w:val="22"/>
                <w:szCs w:val="22"/>
              </w:rPr>
              <w:t>根据投标人的社会信誉、行业信誉、企业实力。由评审小组对投标人的信誉及企业实力评审后评分。</w:t>
            </w:r>
            <w:r>
              <w:rPr>
                <w:rFonts w:hint="eastAsia" w:asciiTheme="minorEastAsia" w:hAnsiTheme="minorEastAsia" w:eastAsiaTheme="minorEastAsia" w:cstheme="minorEastAsia"/>
                <w:bCs/>
                <w:color w:val="auto"/>
                <w:sz w:val="22"/>
                <w:szCs w:val="22"/>
                <w:lang w:eastAsia="zh-CN"/>
              </w:rPr>
              <w:t>一档得</w:t>
            </w:r>
            <w:r>
              <w:rPr>
                <w:rFonts w:hint="eastAsia" w:asciiTheme="minorEastAsia" w:hAnsiTheme="minorEastAsia" w:eastAsiaTheme="minorEastAsia" w:cstheme="minorEastAsia"/>
                <w:bCs/>
                <w:color w:val="auto"/>
                <w:sz w:val="22"/>
                <w:szCs w:val="22"/>
                <w:lang w:val="en-US" w:eastAsia="zh-CN"/>
              </w:rPr>
              <w:t>3，</w:t>
            </w:r>
            <w:r>
              <w:rPr>
                <w:rFonts w:hint="eastAsia" w:asciiTheme="minorEastAsia" w:hAnsiTheme="minorEastAsia" w:eastAsiaTheme="minorEastAsia" w:cstheme="minorEastAsia"/>
                <w:bCs/>
                <w:color w:val="auto"/>
                <w:sz w:val="22"/>
                <w:szCs w:val="22"/>
                <w:lang w:eastAsia="zh-CN"/>
              </w:rPr>
              <w:t>二档</w:t>
            </w:r>
            <w:r>
              <w:rPr>
                <w:rFonts w:hint="eastAsia" w:asciiTheme="minorEastAsia" w:hAnsiTheme="minorEastAsia" w:eastAsiaTheme="minorEastAsia" w:cstheme="minorEastAsia"/>
                <w:bCs/>
                <w:color w:val="auto"/>
                <w:sz w:val="22"/>
                <w:szCs w:val="22"/>
                <w:lang w:val="en-US" w:eastAsia="zh-CN"/>
              </w:rPr>
              <w:t>得2分，三挡得1-0分，本项最高得3分。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lang w:val="zh-TW"/>
              </w:rPr>
              <w:t>体系认证</w:t>
            </w:r>
          </w:p>
        </w:tc>
        <w:tc>
          <w:tcPr>
            <w:tcW w:w="7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投标人具有质量管理体系认证证书、环境认证体系认证证书及职业健康安全管理体系认证证书的每项得1分，最高3分。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lang w:val="zh-TW"/>
              </w:rPr>
            </w:pPr>
            <w:r>
              <w:rPr>
                <w:rFonts w:hint="eastAsia" w:asciiTheme="minorEastAsia" w:hAnsiTheme="minorEastAsia" w:eastAsiaTheme="minorEastAsia" w:cstheme="minorEastAsia"/>
                <w:bCs/>
                <w:color w:val="auto"/>
                <w:sz w:val="22"/>
                <w:szCs w:val="22"/>
                <w:lang w:val="zh-TW"/>
              </w:rPr>
              <w:t>业绩</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4</w:t>
            </w: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投标人</w:t>
            </w:r>
            <w:r>
              <w:rPr>
                <w:rFonts w:hint="eastAsia" w:asciiTheme="minorEastAsia" w:hAnsiTheme="minorEastAsia" w:eastAsiaTheme="minorEastAsia" w:cstheme="minorEastAsia"/>
                <w:bCs/>
                <w:color w:val="auto"/>
                <w:sz w:val="22"/>
                <w:szCs w:val="22"/>
                <w:lang w:eastAsia="zh-CN"/>
              </w:rPr>
              <w:t>2018年</w:t>
            </w:r>
            <w:r>
              <w:rPr>
                <w:rFonts w:hint="eastAsia" w:asciiTheme="minorEastAsia" w:hAnsiTheme="minorEastAsia" w:eastAsiaTheme="minorEastAsia" w:cstheme="minorEastAsia"/>
                <w:bCs/>
                <w:color w:val="auto"/>
                <w:sz w:val="22"/>
                <w:szCs w:val="22"/>
              </w:rPr>
              <w:t>1月1日至今承担过同类项目业绩，每</w:t>
            </w:r>
            <w:r>
              <w:rPr>
                <w:rFonts w:hint="eastAsia" w:asciiTheme="minorEastAsia" w:hAnsiTheme="minorEastAsia" w:eastAsiaTheme="minorEastAsia" w:cstheme="minorEastAsia"/>
                <w:bCs/>
                <w:color w:val="auto"/>
                <w:sz w:val="22"/>
                <w:szCs w:val="22"/>
                <w:lang w:eastAsia="zh-CN"/>
              </w:rPr>
              <w:t>提供一个业绩</w:t>
            </w:r>
            <w:r>
              <w:rPr>
                <w:rFonts w:hint="eastAsia" w:asciiTheme="minorEastAsia" w:hAnsiTheme="minorEastAsia" w:eastAsiaTheme="minorEastAsia" w:cstheme="minorEastAsia"/>
                <w:bCs/>
                <w:color w:val="auto"/>
                <w:sz w:val="22"/>
                <w:szCs w:val="22"/>
              </w:rPr>
              <w:t>得1分，最多得4分；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eastAsia="zh-TW"/>
              </w:rPr>
            </w:pPr>
          </w:p>
        </w:tc>
        <w:tc>
          <w:tcPr>
            <w:tcW w:w="16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lang w:val="zh-TW"/>
              </w:rPr>
            </w:pPr>
          </w:p>
        </w:tc>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p>
        </w:tc>
        <w:tc>
          <w:tcPr>
            <w:tcW w:w="6344"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注：1.同类项目业绩指以城市道路或公园绿化养护项目，施工类项目质保期内的养护项目不计。</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2.投标文件中必须有合同复印件并加盖单位公章，时间以合同签订日为准。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bCs/>
                <w:color w:val="auto"/>
                <w:sz w:val="22"/>
                <w:szCs w:val="22"/>
              </w:rPr>
            </w:pPr>
            <w:r>
              <w:rPr>
                <w:rFonts w:hint="eastAsia" w:asciiTheme="minorEastAsia" w:hAnsiTheme="minorEastAsia" w:eastAsiaTheme="minorEastAsia" w:cstheme="minorEastAsia"/>
                <w:bCs/>
                <w:color w:val="auto"/>
                <w:sz w:val="22"/>
                <w:szCs w:val="22"/>
              </w:rPr>
              <w:t>3.同一服务续签合同的（续签服务期必须满一年及以上）的，按同等有效业绩计算。</w:t>
            </w:r>
          </w:p>
        </w:tc>
      </w:tr>
    </w:tbl>
    <w:p>
      <w:pPr>
        <w:spacing w:line="36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rPr>
        <w:t>注 ：每个评委根据上述评分内容和分值独立打分，然后将各评委汇总分的算术平均值作为该投标供应商的技术资信标最后有效得分。</w:t>
      </w:r>
      <w:r>
        <w:rPr>
          <w:rFonts w:hint="eastAsia" w:asciiTheme="minorEastAsia" w:hAnsiTheme="minorEastAsia" w:eastAsiaTheme="minorEastAsia" w:cstheme="minorEastAsia"/>
          <w:bCs/>
          <w:color w:val="auto"/>
          <w:sz w:val="22"/>
        </w:rPr>
        <w:t>（计算分值精确到小数点后二位，第三位四舍五入）</w:t>
      </w:r>
    </w:p>
    <w:p>
      <w:pPr>
        <w:spacing w:line="380" w:lineRule="exact"/>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  商务（价格）评分30分：</w:t>
      </w:r>
    </w:p>
    <w:p>
      <w:pPr>
        <w:spacing w:line="380" w:lineRule="exact"/>
        <w:ind w:left="328" w:leftChars="156"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满足</w:t>
      </w:r>
      <w:r>
        <w:rPr>
          <w:rFonts w:hint="eastAsia" w:asciiTheme="minorEastAsia" w:hAnsiTheme="minorEastAsia" w:eastAsiaTheme="minorEastAsia" w:cstheme="minorEastAsia"/>
          <w:color w:val="auto"/>
          <w:sz w:val="22"/>
          <w:szCs w:val="22"/>
          <w:lang w:eastAsia="zh-CN"/>
        </w:rPr>
        <w:t>采购文件</w:t>
      </w:r>
      <w:r>
        <w:rPr>
          <w:rFonts w:hint="eastAsia" w:asciiTheme="minorEastAsia" w:hAnsiTheme="minorEastAsia" w:eastAsiaTheme="minorEastAsia" w:cstheme="minorEastAsia"/>
          <w:color w:val="auto"/>
          <w:sz w:val="22"/>
          <w:szCs w:val="22"/>
        </w:rPr>
        <w:t>要求且投标价格最低</w:t>
      </w:r>
      <w:r>
        <w:rPr>
          <w:rFonts w:hint="eastAsia" w:ascii="宋体" w:eastAsia="宋体" w:cs="宋体"/>
          <w:b w:val="0"/>
          <w:color w:val="auto"/>
          <w:sz w:val="22"/>
          <w:szCs w:val="22"/>
          <w:u w:val="none"/>
        </w:rPr>
        <w:t>（或政策功能扣除后的评标价格最低）</w:t>
      </w:r>
      <w:r>
        <w:rPr>
          <w:rFonts w:hint="eastAsia" w:asciiTheme="minorEastAsia" w:hAnsiTheme="minorEastAsia" w:eastAsiaTheme="minorEastAsia" w:cstheme="minorEastAsia"/>
          <w:color w:val="auto"/>
          <w:sz w:val="22"/>
          <w:szCs w:val="22"/>
        </w:rPr>
        <w:t>的投标报价为评标基准价。</w:t>
      </w:r>
    </w:p>
    <w:p>
      <w:pPr>
        <w:spacing w:line="380" w:lineRule="exact"/>
        <w:ind w:left="328" w:leftChars="156"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（1）有效投标供应商的投标报价等于评标基准价时其价格分为满分30分；</w:t>
      </w:r>
    </w:p>
    <w:p>
      <w:pPr>
        <w:spacing w:line="380" w:lineRule="exact"/>
        <w:ind w:left="328" w:leftChars="156"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（2）商务标评审前已经做无效标处理的及商务标做无效标处理的，不进入商务标计算且其报价不计入评标基准价。</w:t>
      </w:r>
    </w:p>
    <w:p>
      <w:pPr>
        <w:spacing w:line="380" w:lineRule="exact"/>
        <w:ind w:left="328" w:leftChars="156"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（3）其他投标供应商的价格分按以下公式计算：</w:t>
      </w:r>
    </w:p>
    <w:p>
      <w:pPr>
        <w:spacing w:line="380" w:lineRule="exact"/>
        <w:ind w:left="548" w:leftChars="261"/>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投标报价得分=（评标基准价/投标供应商投标价）× 价格权值 ×100（保留小数点后2位，第三位四舍五入）</w:t>
      </w:r>
    </w:p>
    <w:p>
      <w:pPr>
        <w:spacing w:line="380" w:lineRule="exact"/>
        <w:ind w:left="530" w:leftChars="200" w:hanging="110" w:hangingChars="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w:t>
      </w:r>
      <w:r>
        <w:rPr>
          <w:rFonts w:hint="eastAsia" w:asciiTheme="minorEastAsia" w:hAnsiTheme="minorEastAsia" w:eastAsiaTheme="minorEastAsia" w:cstheme="minorEastAsia"/>
          <w:b/>
          <w:color w:val="auto"/>
          <w:sz w:val="22"/>
          <w:szCs w:val="22"/>
          <w:u w:val="single"/>
        </w:rPr>
        <w:t>如投标供应商报价超过采购预算3116906</w:t>
      </w:r>
      <w:r>
        <w:rPr>
          <w:rFonts w:hint="eastAsia" w:asciiTheme="minorEastAsia" w:hAnsiTheme="minorEastAsia" w:eastAsiaTheme="minorEastAsia" w:cstheme="minorEastAsia"/>
          <w:b/>
          <w:color w:val="auto"/>
          <w:sz w:val="22"/>
          <w:szCs w:val="22"/>
          <w:u w:val="single"/>
          <w:lang w:eastAsia="zh-CN"/>
        </w:rPr>
        <w:t>元</w:t>
      </w:r>
      <w:r>
        <w:rPr>
          <w:rFonts w:hint="eastAsia" w:asciiTheme="minorEastAsia" w:hAnsiTheme="minorEastAsia" w:eastAsiaTheme="minorEastAsia" w:cstheme="minorEastAsia"/>
          <w:b/>
          <w:color w:val="auto"/>
          <w:sz w:val="22"/>
          <w:szCs w:val="22"/>
          <w:u w:val="single"/>
        </w:rPr>
        <w:t>的</w:t>
      </w:r>
      <w:r>
        <w:rPr>
          <w:rFonts w:hint="eastAsia" w:asciiTheme="minorEastAsia" w:hAnsiTheme="minorEastAsia" w:eastAsiaTheme="minorEastAsia" w:cstheme="minorEastAsia"/>
          <w:b/>
          <w:color w:val="auto"/>
          <w:sz w:val="22"/>
          <w:szCs w:val="22"/>
          <w:u w:val="single"/>
          <w:lang w:eastAsia="zh-CN"/>
        </w:rPr>
        <w:t>，</w:t>
      </w:r>
      <w:r>
        <w:rPr>
          <w:rFonts w:hint="eastAsia" w:asciiTheme="minorEastAsia" w:hAnsiTheme="minorEastAsia" w:eastAsiaTheme="minorEastAsia" w:cstheme="minorEastAsia"/>
          <w:b/>
          <w:color w:val="auto"/>
          <w:sz w:val="22"/>
          <w:szCs w:val="22"/>
          <w:u w:val="single"/>
        </w:rPr>
        <w:t>作无效标处理。</w:t>
      </w:r>
    </w:p>
    <w:p>
      <w:pPr>
        <w:spacing w:line="380" w:lineRule="exact"/>
        <w:ind w:left="530" w:leftChars="200" w:hanging="110" w:hangingChars="50"/>
        <w:rPr>
          <w:rFonts w:hint="eastAsia" w:asciiTheme="minorEastAsia" w:hAnsiTheme="minorEastAsia" w:eastAsiaTheme="minorEastAsia" w:cstheme="minorEastAsia"/>
          <w:color w:val="auto"/>
          <w:sz w:val="22"/>
          <w:szCs w:val="22"/>
          <w:u w:val="single"/>
        </w:rPr>
      </w:pPr>
      <w:r>
        <w:rPr>
          <w:rFonts w:hint="eastAsia" w:asciiTheme="minorEastAsia" w:hAnsiTheme="minorEastAsia" w:eastAsiaTheme="minorEastAsia" w:cstheme="minorEastAsia"/>
          <w:color w:val="auto"/>
          <w:sz w:val="22"/>
          <w:szCs w:val="22"/>
        </w:rPr>
        <w:t>（5）</w:t>
      </w:r>
      <w:r>
        <w:rPr>
          <w:rFonts w:hint="eastAsia" w:asciiTheme="minorEastAsia" w:hAnsiTheme="minorEastAsia" w:eastAsiaTheme="minorEastAsia" w:cstheme="minorEastAsia"/>
          <w:color w:val="auto"/>
          <w:sz w:val="22"/>
          <w:szCs w:val="22"/>
          <w:u w:val="single"/>
        </w:rPr>
        <w:t>投标供应商的报价均超过采购预算且采购人不能支付的，或未超过采购预算的供应商不足三家的情况下，本次采购应予失败，并重新组织招标。</w:t>
      </w:r>
    </w:p>
    <w:p>
      <w:pPr>
        <w:spacing w:line="460" w:lineRule="exact"/>
        <w:ind w:left="530" w:leftChars="200" w:hanging="110" w:hangingChars="50"/>
        <w:rPr>
          <w:rFonts w:hint="eastAsia" w:asciiTheme="minorEastAsia" w:hAnsiTheme="minorEastAsia" w:eastAsiaTheme="minorEastAsia" w:cstheme="minorEastAsia"/>
          <w:color w:val="auto"/>
          <w:sz w:val="22"/>
          <w:szCs w:val="22"/>
          <w:lang w:val="zh-CN"/>
        </w:rPr>
      </w:pPr>
      <w:r>
        <w:rPr>
          <w:rFonts w:hint="eastAsia" w:asciiTheme="minorEastAsia" w:hAnsiTheme="minorEastAsia" w:eastAsiaTheme="minorEastAsia" w:cstheme="minorEastAsia"/>
          <w:color w:val="auto"/>
          <w:sz w:val="22"/>
          <w:szCs w:val="22"/>
          <w:lang w:val="zh-CN"/>
        </w:rPr>
        <w:t>(6)根据《政府采购促进中小企业发展暂行办法》（财库[2011]181号），对小型或微型企业参加投标且投标产品为小型或微型企业生产的，</w:t>
      </w:r>
      <w:r>
        <w:rPr>
          <w:rFonts w:hint="eastAsia" w:asciiTheme="minorEastAsia" w:hAnsiTheme="minorEastAsia" w:eastAsiaTheme="minorEastAsia" w:cstheme="minorEastAsia"/>
          <w:b/>
          <w:bCs/>
          <w:color w:val="auto"/>
          <w:sz w:val="22"/>
          <w:szCs w:val="22"/>
          <w:u w:val="single"/>
          <w:lang w:val="zh-CN"/>
        </w:rPr>
        <w:t>价格给予6%的扣除</w:t>
      </w:r>
      <w:r>
        <w:rPr>
          <w:rFonts w:hint="eastAsia" w:asciiTheme="minorEastAsia" w:hAnsiTheme="minorEastAsia" w:eastAsiaTheme="minorEastAsia" w:cstheme="minorEastAsia"/>
          <w:color w:val="auto"/>
          <w:sz w:val="22"/>
          <w:szCs w:val="22"/>
          <w:lang w:val="zh-CN"/>
        </w:rPr>
        <w:t>，用扣除后的价格参与价格评分。</w:t>
      </w:r>
    </w:p>
    <w:p>
      <w:pPr>
        <w:spacing w:line="40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3．有效投标供应商的综合得分为技术资信分和商务（价格）分的总和。</w:t>
      </w:r>
    </w:p>
    <w:p>
      <w:pPr>
        <w:pStyle w:val="13"/>
        <w:spacing w:line="460" w:lineRule="exact"/>
        <w:ind w:left="438" w:leftChars="104" w:hanging="220" w:hanging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4．</w:t>
      </w:r>
      <w:r>
        <w:rPr>
          <w:rFonts w:hint="eastAsia" w:asciiTheme="minorEastAsia" w:hAnsiTheme="minorEastAsia" w:eastAsiaTheme="minorEastAsia" w:cstheme="minorEastAsia"/>
          <w:color w:val="auto"/>
          <w:sz w:val="22"/>
        </w:rPr>
        <w:t>评标委员会按综合得分</w:t>
      </w:r>
      <w:r>
        <w:rPr>
          <w:rFonts w:hint="eastAsia" w:asciiTheme="minorEastAsia" w:hAnsiTheme="minorEastAsia" w:eastAsiaTheme="minorEastAsia" w:cstheme="minorEastAsia"/>
          <w:color w:val="auto"/>
          <w:sz w:val="22"/>
          <w:lang w:eastAsia="zh-CN"/>
        </w:rPr>
        <w:t>从</w:t>
      </w:r>
      <w:r>
        <w:rPr>
          <w:rFonts w:hint="eastAsia" w:asciiTheme="minorEastAsia" w:hAnsiTheme="minorEastAsia" w:eastAsiaTheme="minorEastAsia" w:cstheme="minorEastAsia"/>
          <w:color w:val="auto"/>
          <w:sz w:val="22"/>
        </w:rPr>
        <w:t>高</w:t>
      </w:r>
      <w:r>
        <w:rPr>
          <w:rFonts w:hint="eastAsia" w:asciiTheme="minorEastAsia" w:hAnsiTheme="minorEastAsia" w:eastAsiaTheme="minorEastAsia" w:cstheme="minorEastAsia"/>
          <w:color w:val="auto"/>
          <w:sz w:val="22"/>
          <w:lang w:eastAsia="zh-CN"/>
        </w:rPr>
        <w:t>到</w:t>
      </w:r>
      <w:r>
        <w:rPr>
          <w:rFonts w:hint="eastAsia" w:asciiTheme="minorEastAsia" w:hAnsiTheme="minorEastAsia" w:eastAsiaTheme="minorEastAsia" w:cstheme="minorEastAsia"/>
          <w:color w:val="auto"/>
          <w:sz w:val="22"/>
        </w:rPr>
        <w:t>低顺序排列，综合得分前</w:t>
      </w:r>
      <w:r>
        <w:rPr>
          <w:rFonts w:hint="eastAsia" w:asciiTheme="minorEastAsia" w:hAnsiTheme="minorEastAsia" w:eastAsiaTheme="minorEastAsia" w:cstheme="minorEastAsia"/>
          <w:color w:val="auto"/>
          <w:sz w:val="22"/>
          <w:lang w:eastAsia="zh-CN"/>
        </w:rPr>
        <w:t>二</w:t>
      </w:r>
      <w:r>
        <w:rPr>
          <w:rFonts w:hint="eastAsia" w:asciiTheme="minorEastAsia" w:hAnsiTheme="minorEastAsia" w:eastAsiaTheme="minorEastAsia" w:cstheme="minorEastAsia"/>
          <w:color w:val="auto"/>
          <w:sz w:val="22"/>
        </w:rPr>
        <w:t>名</w:t>
      </w:r>
      <w:r>
        <w:rPr>
          <w:rFonts w:hint="eastAsia" w:asciiTheme="minorEastAsia" w:hAnsiTheme="minorEastAsia" w:eastAsiaTheme="minorEastAsia" w:cstheme="minorEastAsia"/>
          <w:color w:val="auto"/>
          <w:sz w:val="22"/>
          <w:lang w:eastAsia="zh-CN"/>
        </w:rPr>
        <w:t>的</w:t>
      </w:r>
      <w:r>
        <w:rPr>
          <w:rFonts w:hint="eastAsia" w:asciiTheme="minorEastAsia" w:hAnsiTheme="minorEastAsia" w:eastAsiaTheme="minorEastAsia" w:cstheme="minorEastAsia"/>
          <w:color w:val="auto"/>
          <w:sz w:val="22"/>
        </w:rPr>
        <w:t>投标人依次作为第一中标候选人和第二中标候选人向</w:t>
      </w:r>
      <w:r>
        <w:rPr>
          <w:rFonts w:hint="eastAsia" w:asciiTheme="minorEastAsia" w:hAnsiTheme="minorEastAsia" w:eastAsiaTheme="minorEastAsia" w:cstheme="minorEastAsia"/>
          <w:color w:val="auto"/>
          <w:sz w:val="22"/>
          <w:lang w:eastAsia="zh-CN"/>
        </w:rPr>
        <w:t>采购人</w:t>
      </w:r>
      <w:r>
        <w:rPr>
          <w:rFonts w:hint="eastAsia" w:asciiTheme="minorEastAsia" w:hAnsiTheme="minorEastAsia" w:eastAsiaTheme="minorEastAsia" w:cstheme="minorEastAsia"/>
          <w:color w:val="auto"/>
          <w:sz w:val="22"/>
        </w:rPr>
        <w:t>推荐，并提交评标报告。出现得分相同的情况，按投标报价由低到高顺序排列；若投标报价相同的，则由</w:t>
      </w:r>
      <w:r>
        <w:rPr>
          <w:rFonts w:hint="eastAsia" w:asciiTheme="minorEastAsia" w:hAnsiTheme="minorEastAsia" w:eastAsiaTheme="minorEastAsia" w:cstheme="minorEastAsia"/>
          <w:color w:val="auto"/>
          <w:sz w:val="22"/>
          <w:lang w:eastAsia="zh-CN"/>
        </w:rPr>
        <w:t>采购人</w:t>
      </w:r>
      <w:r>
        <w:rPr>
          <w:rFonts w:hint="eastAsia" w:asciiTheme="minorEastAsia" w:hAnsiTheme="minorEastAsia" w:eastAsiaTheme="minorEastAsia" w:cstheme="minorEastAsia"/>
          <w:color w:val="auto"/>
          <w:sz w:val="22"/>
        </w:rPr>
        <w:t>代表在所有得分均相同者中随机抽取其中一名为名次优先者。</w:t>
      </w:r>
    </w:p>
    <w:p>
      <w:pPr>
        <w:spacing w:line="40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六、 定标办法</w:t>
      </w:r>
    </w:p>
    <w:p>
      <w:pPr>
        <w:spacing w:line="400" w:lineRule="exact"/>
        <w:ind w:firstLine="440" w:firstLineChars="2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本次采购由评标委员会推荐预中标供应商，采购人根据评标委员会的推荐结果进行最终确认。如中标供应商放弃中标、或因不可抗力提出不能履行合同；或者采购文件规定应当提交履约保证金而在规定的期限内未能提交的；或未能在规定时间内与采购人签订合同的；或者经质疑，采购人审查后，确因排名第一的中标候选人在本次采购活动中存在违法违规行为或其他原因使质疑成立的，采购人有权按本次评标供应商得分排序结果依次替补或重新组织采购。</w:t>
      </w:r>
    </w:p>
    <w:p>
      <w:pPr>
        <w:spacing w:line="40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七、 中标结果公告</w:t>
      </w:r>
    </w:p>
    <w:p>
      <w:pPr>
        <w:spacing w:line="400" w:lineRule="exact"/>
        <w:ind w:firstLine="220" w:firstLineChars="10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 xml:space="preserve">中标供应商确定后，中标公告在指定的信息网上发布，并向中标供应商发出中标通知书。中标通知书对采购人和中标供应商具有同等法律效力。   </w:t>
      </w:r>
    </w:p>
    <w:p>
      <w:pPr>
        <w:pStyle w:val="3"/>
        <w:adjustRightInd w:val="0"/>
        <w:snapToGrid w:val="0"/>
        <w:spacing w:line="400" w:lineRule="exact"/>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b/>
          <w:color w:val="auto"/>
          <w:sz w:val="22"/>
          <w:szCs w:val="22"/>
        </w:rPr>
        <w:t>八、 投标供应商义务</w:t>
      </w:r>
    </w:p>
    <w:p>
      <w:pPr>
        <w:spacing w:line="400" w:lineRule="exact"/>
        <w:ind w:firstLine="330" w:firstLineChars="150"/>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投标供应商应随时接受评标委员会的询标，解答包括有关的商务、技术等问题。评标结束，所有评标资料归档备查。</w:t>
      </w:r>
    </w:p>
    <w:sectPr>
      <w:pgSz w:w="11906" w:h="16838"/>
      <w:pgMar w:top="1134" w:right="1134" w:bottom="1134" w:left="1134" w:header="851" w:footer="992" w:gutter="284"/>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2"/>
                            <w:jc w:val="center"/>
                            <w:rPr>
                              <w:rStyle w:val="34"/>
                            </w:rPr>
                          </w:pPr>
                          <w:r>
                            <w:fldChar w:fldCharType="begin"/>
                          </w:r>
                          <w:r>
                            <w:rPr>
                              <w:rStyle w:val="34"/>
                            </w:rPr>
                            <w:instrText xml:space="preserve">PAGE  </w:instrText>
                          </w:r>
                          <w:r>
                            <w:fldChar w:fldCharType="separate"/>
                          </w:r>
                          <w:r>
                            <w:rPr>
                              <w:rStyle w:val="34"/>
                            </w:rPr>
                            <w:t>20</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2"/>
                      <w:jc w:val="center"/>
                      <w:rPr>
                        <w:rStyle w:val="34"/>
                      </w:rPr>
                    </w:pPr>
                    <w:r>
                      <w:fldChar w:fldCharType="begin"/>
                    </w:r>
                    <w:r>
                      <w:rPr>
                        <w:rStyle w:val="34"/>
                      </w:rPr>
                      <w:instrText xml:space="preserve">PAGE  </w:instrText>
                    </w:r>
                    <w:r>
                      <w:fldChar w:fldCharType="separate"/>
                    </w:r>
                    <w:r>
                      <w:rPr>
                        <w:rStyle w:val="34"/>
                      </w:rP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fldChar w:fldCharType="begin"/>
    </w:r>
    <w:r>
      <w:rPr>
        <w:rStyle w:val="34"/>
      </w:rPr>
      <w:instrText xml:space="preserve">PAGE  </w:instrText>
    </w:r>
    <w: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2"/>
                            <w:jc w:val="center"/>
                          </w:pPr>
                          <w:r>
                            <w:fldChar w:fldCharType="begin"/>
                          </w:r>
                          <w:r>
                            <w:rPr>
                              <w:rStyle w:val="34"/>
                            </w:rPr>
                            <w:instrText xml:space="preserve"> PAGE </w:instrText>
                          </w:r>
                          <w:r>
                            <w:fldChar w:fldCharType="separate"/>
                          </w:r>
                          <w:r>
                            <w:rPr>
                              <w:rStyle w:val="34"/>
                            </w:rPr>
                            <w:t>2</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22"/>
                      <w:jc w:val="center"/>
                    </w:pPr>
                    <w:r>
                      <w:fldChar w:fldCharType="begin"/>
                    </w:r>
                    <w:r>
                      <w:rPr>
                        <w:rStyle w:val="34"/>
                      </w:rPr>
                      <w:instrText xml:space="preserve"> PAGE </w:instrText>
                    </w:r>
                    <w:r>
                      <w:fldChar w:fldCharType="separate"/>
                    </w:r>
                    <w:r>
                      <w:rPr>
                        <w:rStyle w:val="34"/>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42E01"/>
    <w:multiLevelType w:val="singleLevel"/>
    <w:tmpl w:val="53342E01"/>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5F"/>
    <w:rsid w:val="0000013B"/>
    <w:rsid w:val="000009AA"/>
    <w:rsid w:val="00001B5C"/>
    <w:rsid w:val="00002D0D"/>
    <w:rsid w:val="00003F58"/>
    <w:rsid w:val="00006230"/>
    <w:rsid w:val="0000659A"/>
    <w:rsid w:val="000075EE"/>
    <w:rsid w:val="0001038E"/>
    <w:rsid w:val="000104E9"/>
    <w:rsid w:val="0001112A"/>
    <w:rsid w:val="00012213"/>
    <w:rsid w:val="0002328F"/>
    <w:rsid w:val="00023FF4"/>
    <w:rsid w:val="00025063"/>
    <w:rsid w:val="00025E1A"/>
    <w:rsid w:val="000263F7"/>
    <w:rsid w:val="0003203B"/>
    <w:rsid w:val="000338BD"/>
    <w:rsid w:val="00033C57"/>
    <w:rsid w:val="00034197"/>
    <w:rsid w:val="000364C2"/>
    <w:rsid w:val="0003790D"/>
    <w:rsid w:val="00037ACB"/>
    <w:rsid w:val="00040A77"/>
    <w:rsid w:val="0004281D"/>
    <w:rsid w:val="00042D32"/>
    <w:rsid w:val="00042D9E"/>
    <w:rsid w:val="00043387"/>
    <w:rsid w:val="00043634"/>
    <w:rsid w:val="0004458D"/>
    <w:rsid w:val="000445AF"/>
    <w:rsid w:val="00046438"/>
    <w:rsid w:val="0004677D"/>
    <w:rsid w:val="000474FB"/>
    <w:rsid w:val="00047689"/>
    <w:rsid w:val="00051110"/>
    <w:rsid w:val="00052CB8"/>
    <w:rsid w:val="00053846"/>
    <w:rsid w:val="00055D16"/>
    <w:rsid w:val="00056B23"/>
    <w:rsid w:val="000573AE"/>
    <w:rsid w:val="0006147F"/>
    <w:rsid w:val="000619AD"/>
    <w:rsid w:val="00063614"/>
    <w:rsid w:val="00066343"/>
    <w:rsid w:val="0006758E"/>
    <w:rsid w:val="000676A6"/>
    <w:rsid w:val="0007133C"/>
    <w:rsid w:val="00071495"/>
    <w:rsid w:val="00072088"/>
    <w:rsid w:val="00073137"/>
    <w:rsid w:val="00073AAB"/>
    <w:rsid w:val="00074A4E"/>
    <w:rsid w:val="0007770F"/>
    <w:rsid w:val="00077B4A"/>
    <w:rsid w:val="00077C61"/>
    <w:rsid w:val="00080973"/>
    <w:rsid w:val="0008442A"/>
    <w:rsid w:val="00085907"/>
    <w:rsid w:val="00085D0F"/>
    <w:rsid w:val="0009033E"/>
    <w:rsid w:val="00090F5B"/>
    <w:rsid w:val="00093DEF"/>
    <w:rsid w:val="0009536D"/>
    <w:rsid w:val="00095D12"/>
    <w:rsid w:val="000977BD"/>
    <w:rsid w:val="000A00ED"/>
    <w:rsid w:val="000A0804"/>
    <w:rsid w:val="000A1ABA"/>
    <w:rsid w:val="000A29F2"/>
    <w:rsid w:val="000A2C80"/>
    <w:rsid w:val="000A31F6"/>
    <w:rsid w:val="000A37F0"/>
    <w:rsid w:val="000A3F74"/>
    <w:rsid w:val="000A4394"/>
    <w:rsid w:val="000A54C0"/>
    <w:rsid w:val="000B0696"/>
    <w:rsid w:val="000B263D"/>
    <w:rsid w:val="000B33EF"/>
    <w:rsid w:val="000B4252"/>
    <w:rsid w:val="000B43B6"/>
    <w:rsid w:val="000B4F34"/>
    <w:rsid w:val="000B5182"/>
    <w:rsid w:val="000B5F7C"/>
    <w:rsid w:val="000B7102"/>
    <w:rsid w:val="000C0C11"/>
    <w:rsid w:val="000C12E1"/>
    <w:rsid w:val="000C1BFC"/>
    <w:rsid w:val="000C1FA3"/>
    <w:rsid w:val="000C38F0"/>
    <w:rsid w:val="000C39BF"/>
    <w:rsid w:val="000C48FF"/>
    <w:rsid w:val="000C5040"/>
    <w:rsid w:val="000C66DB"/>
    <w:rsid w:val="000C6773"/>
    <w:rsid w:val="000C67CC"/>
    <w:rsid w:val="000C68AD"/>
    <w:rsid w:val="000C723F"/>
    <w:rsid w:val="000D06C9"/>
    <w:rsid w:val="000D091C"/>
    <w:rsid w:val="000D11EC"/>
    <w:rsid w:val="000D1953"/>
    <w:rsid w:val="000D1F7E"/>
    <w:rsid w:val="000D1FA0"/>
    <w:rsid w:val="000D28B7"/>
    <w:rsid w:val="000D3080"/>
    <w:rsid w:val="000D3314"/>
    <w:rsid w:val="000D422C"/>
    <w:rsid w:val="000D42C2"/>
    <w:rsid w:val="000D5F97"/>
    <w:rsid w:val="000E1C7A"/>
    <w:rsid w:val="000E1E9B"/>
    <w:rsid w:val="000E20B6"/>
    <w:rsid w:val="000E26D7"/>
    <w:rsid w:val="000E3EE3"/>
    <w:rsid w:val="000E4993"/>
    <w:rsid w:val="000F09E6"/>
    <w:rsid w:val="000F1323"/>
    <w:rsid w:val="000F1848"/>
    <w:rsid w:val="000F2C10"/>
    <w:rsid w:val="000F2ED8"/>
    <w:rsid w:val="000F53B8"/>
    <w:rsid w:val="00100553"/>
    <w:rsid w:val="00100651"/>
    <w:rsid w:val="00101C9B"/>
    <w:rsid w:val="001020F5"/>
    <w:rsid w:val="001024D6"/>
    <w:rsid w:val="00103A52"/>
    <w:rsid w:val="00104443"/>
    <w:rsid w:val="00104B38"/>
    <w:rsid w:val="001069C4"/>
    <w:rsid w:val="00107692"/>
    <w:rsid w:val="001078B3"/>
    <w:rsid w:val="00111505"/>
    <w:rsid w:val="001129F8"/>
    <w:rsid w:val="00113BDB"/>
    <w:rsid w:val="00114AB9"/>
    <w:rsid w:val="00116563"/>
    <w:rsid w:val="00116B3D"/>
    <w:rsid w:val="001174B9"/>
    <w:rsid w:val="00121EA1"/>
    <w:rsid w:val="001244B1"/>
    <w:rsid w:val="00125C07"/>
    <w:rsid w:val="00125EA3"/>
    <w:rsid w:val="00131E00"/>
    <w:rsid w:val="00133196"/>
    <w:rsid w:val="00133276"/>
    <w:rsid w:val="00133F0A"/>
    <w:rsid w:val="0013583A"/>
    <w:rsid w:val="0013640E"/>
    <w:rsid w:val="0013650F"/>
    <w:rsid w:val="00137D9D"/>
    <w:rsid w:val="00140037"/>
    <w:rsid w:val="00140C90"/>
    <w:rsid w:val="00141BD9"/>
    <w:rsid w:val="00142613"/>
    <w:rsid w:val="00142740"/>
    <w:rsid w:val="001441B7"/>
    <w:rsid w:val="00145E4E"/>
    <w:rsid w:val="001475E8"/>
    <w:rsid w:val="001477E4"/>
    <w:rsid w:val="0015060C"/>
    <w:rsid w:val="001512DB"/>
    <w:rsid w:val="001515D9"/>
    <w:rsid w:val="00152069"/>
    <w:rsid w:val="0015290D"/>
    <w:rsid w:val="0015388F"/>
    <w:rsid w:val="00154300"/>
    <w:rsid w:val="001543A8"/>
    <w:rsid w:val="00154427"/>
    <w:rsid w:val="001545CE"/>
    <w:rsid w:val="00155195"/>
    <w:rsid w:val="001553B7"/>
    <w:rsid w:val="00156A8C"/>
    <w:rsid w:val="00160DFD"/>
    <w:rsid w:val="00161D75"/>
    <w:rsid w:val="0016364C"/>
    <w:rsid w:val="0016368B"/>
    <w:rsid w:val="001646CE"/>
    <w:rsid w:val="001656AE"/>
    <w:rsid w:val="00165FD0"/>
    <w:rsid w:val="00166823"/>
    <w:rsid w:val="00172431"/>
    <w:rsid w:val="00173CB8"/>
    <w:rsid w:val="00174226"/>
    <w:rsid w:val="001754C8"/>
    <w:rsid w:val="0017588D"/>
    <w:rsid w:val="00176167"/>
    <w:rsid w:val="0017677A"/>
    <w:rsid w:val="00176F8B"/>
    <w:rsid w:val="001779FA"/>
    <w:rsid w:val="001804C1"/>
    <w:rsid w:val="00180ADF"/>
    <w:rsid w:val="00180D76"/>
    <w:rsid w:val="001818D0"/>
    <w:rsid w:val="00181E9E"/>
    <w:rsid w:val="0018254B"/>
    <w:rsid w:val="00182A49"/>
    <w:rsid w:val="00182D9B"/>
    <w:rsid w:val="0018464D"/>
    <w:rsid w:val="001846F6"/>
    <w:rsid w:val="00185342"/>
    <w:rsid w:val="00185696"/>
    <w:rsid w:val="00186995"/>
    <w:rsid w:val="001902B9"/>
    <w:rsid w:val="00192073"/>
    <w:rsid w:val="001924D6"/>
    <w:rsid w:val="001926D2"/>
    <w:rsid w:val="00192F99"/>
    <w:rsid w:val="001959D0"/>
    <w:rsid w:val="00197A2D"/>
    <w:rsid w:val="001A1871"/>
    <w:rsid w:val="001A1C9C"/>
    <w:rsid w:val="001A2E7F"/>
    <w:rsid w:val="001A30A4"/>
    <w:rsid w:val="001A4BDA"/>
    <w:rsid w:val="001A5766"/>
    <w:rsid w:val="001A62B2"/>
    <w:rsid w:val="001A6688"/>
    <w:rsid w:val="001B0754"/>
    <w:rsid w:val="001B0EEB"/>
    <w:rsid w:val="001B46C3"/>
    <w:rsid w:val="001B4CD7"/>
    <w:rsid w:val="001B5F98"/>
    <w:rsid w:val="001B5FE0"/>
    <w:rsid w:val="001B622E"/>
    <w:rsid w:val="001B750C"/>
    <w:rsid w:val="001B7C59"/>
    <w:rsid w:val="001C1B44"/>
    <w:rsid w:val="001C201E"/>
    <w:rsid w:val="001C204A"/>
    <w:rsid w:val="001C2054"/>
    <w:rsid w:val="001C3988"/>
    <w:rsid w:val="001C5583"/>
    <w:rsid w:val="001C56CD"/>
    <w:rsid w:val="001C5A33"/>
    <w:rsid w:val="001C5DE3"/>
    <w:rsid w:val="001D1B82"/>
    <w:rsid w:val="001D25BF"/>
    <w:rsid w:val="001D30BE"/>
    <w:rsid w:val="001D4110"/>
    <w:rsid w:val="001D49A9"/>
    <w:rsid w:val="001D5DE0"/>
    <w:rsid w:val="001D66FD"/>
    <w:rsid w:val="001E0E47"/>
    <w:rsid w:val="001E102C"/>
    <w:rsid w:val="001E1329"/>
    <w:rsid w:val="001E2845"/>
    <w:rsid w:val="001E7EF0"/>
    <w:rsid w:val="001F27D3"/>
    <w:rsid w:val="001F3CA8"/>
    <w:rsid w:val="001F4151"/>
    <w:rsid w:val="001F4D1A"/>
    <w:rsid w:val="001F5364"/>
    <w:rsid w:val="001F5E0F"/>
    <w:rsid w:val="001F6CBE"/>
    <w:rsid w:val="002026FF"/>
    <w:rsid w:val="00203804"/>
    <w:rsid w:val="00203CF2"/>
    <w:rsid w:val="002040F1"/>
    <w:rsid w:val="00204983"/>
    <w:rsid w:val="00205309"/>
    <w:rsid w:val="00206708"/>
    <w:rsid w:val="0020745E"/>
    <w:rsid w:val="00207D05"/>
    <w:rsid w:val="00210D1B"/>
    <w:rsid w:val="00214B74"/>
    <w:rsid w:val="00215E7E"/>
    <w:rsid w:val="002178D7"/>
    <w:rsid w:val="00217DFC"/>
    <w:rsid w:val="002202F4"/>
    <w:rsid w:val="00220DEB"/>
    <w:rsid w:val="00220E2B"/>
    <w:rsid w:val="002217DF"/>
    <w:rsid w:val="00223485"/>
    <w:rsid w:val="00223692"/>
    <w:rsid w:val="002249FD"/>
    <w:rsid w:val="0022512F"/>
    <w:rsid w:val="002252CA"/>
    <w:rsid w:val="00225EA6"/>
    <w:rsid w:val="002276A5"/>
    <w:rsid w:val="0023196B"/>
    <w:rsid w:val="00231F74"/>
    <w:rsid w:val="00233320"/>
    <w:rsid w:val="00233A4F"/>
    <w:rsid w:val="002347E9"/>
    <w:rsid w:val="00234876"/>
    <w:rsid w:val="00234DC4"/>
    <w:rsid w:val="00235D0A"/>
    <w:rsid w:val="00236561"/>
    <w:rsid w:val="00236B8A"/>
    <w:rsid w:val="002420FA"/>
    <w:rsid w:val="002434D6"/>
    <w:rsid w:val="0024388D"/>
    <w:rsid w:val="00243BF0"/>
    <w:rsid w:val="002441FC"/>
    <w:rsid w:val="002457CA"/>
    <w:rsid w:val="00245DED"/>
    <w:rsid w:val="00245F22"/>
    <w:rsid w:val="0024679E"/>
    <w:rsid w:val="002478C0"/>
    <w:rsid w:val="00251639"/>
    <w:rsid w:val="00253E08"/>
    <w:rsid w:val="00254B54"/>
    <w:rsid w:val="0025506C"/>
    <w:rsid w:val="0025509C"/>
    <w:rsid w:val="00256AB5"/>
    <w:rsid w:val="00261A05"/>
    <w:rsid w:val="00265E22"/>
    <w:rsid w:val="002660EF"/>
    <w:rsid w:val="0026755B"/>
    <w:rsid w:val="00270412"/>
    <w:rsid w:val="002719FB"/>
    <w:rsid w:val="002725E9"/>
    <w:rsid w:val="002765B4"/>
    <w:rsid w:val="00276D5A"/>
    <w:rsid w:val="00280E20"/>
    <w:rsid w:val="0028137D"/>
    <w:rsid w:val="00281B53"/>
    <w:rsid w:val="0028485F"/>
    <w:rsid w:val="002848ED"/>
    <w:rsid w:val="00290B15"/>
    <w:rsid w:val="00290B2C"/>
    <w:rsid w:val="00293514"/>
    <w:rsid w:val="00294017"/>
    <w:rsid w:val="00294212"/>
    <w:rsid w:val="00296359"/>
    <w:rsid w:val="002966C0"/>
    <w:rsid w:val="0029673E"/>
    <w:rsid w:val="00296D4D"/>
    <w:rsid w:val="00297345"/>
    <w:rsid w:val="00297ACA"/>
    <w:rsid w:val="00297FE6"/>
    <w:rsid w:val="002A102C"/>
    <w:rsid w:val="002A11B3"/>
    <w:rsid w:val="002A1D72"/>
    <w:rsid w:val="002A27AE"/>
    <w:rsid w:val="002A697F"/>
    <w:rsid w:val="002B188C"/>
    <w:rsid w:val="002B18BA"/>
    <w:rsid w:val="002B2430"/>
    <w:rsid w:val="002B2802"/>
    <w:rsid w:val="002B2A80"/>
    <w:rsid w:val="002B3D90"/>
    <w:rsid w:val="002B4453"/>
    <w:rsid w:val="002B58DA"/>
    <w:rsid w:val="002B6860"/>
    <w:rsid w:val="002C020A"/>
    <w:rsid w:val="002C2035"/>
    <w:rsid w:val="002C3A25"/>
    <w:rsid w:val="002C4658"/>
    <w:rsid w:val="002C4DF1"/>
    <w:rsid w:val="002C5966"/>
    <w:rsid w:val="002C5CB8"/>
    <w:rsid w:val="002C7CA2"/>
    <w:rsid w:val="002D0D51"/>
    <w:rsid w:val="002D197F"/>
    <w:rsid w:val="002D3277"/>
    <w:rsid w:val="002D60FD"/>
    <w:rsid w:val="002D6A4D"/>
    <w:rsid w:val="002D7BEA"/>
    <w:rsid w:val="002E169E"/>
    <w:rsid w:val="002E2EA0"/>
    <w:rsid w:val="002E4340"/>
    <w:rsid w:val="002E4695"/>
    <w:rsid w:val="002E56BF"/>
    <w:rsid w:val="002E5CE9"/>
    <w:rsid w:val="002E6BC6"/>
    <w:rsid w:val="002E79C0"/>
    <w:rsid w:val="002F1003"/>
    <w:rsid w:val="002F1D0E"/>
    <w:rsid w:val="002F2ED3"/>
    <w:rsid w:val="002F447C"/>
    <w:rsid w:val="002F783E"/>
    <w:rsid w:val="00300406"/>
    <w:rsid w:val="00300DA5"/>
    <w:rsid w:val="00301B9F"/>
    <w:rsid w:val="00304222"/>
    <w:rsid w:val="00307AA9"/>
    <w:rsid w:val="0031034F"/>
    <w:rsid w:val="0031069E"/>
    <w:rsid w:val="00315112"/>
    <w:rsid w:val="003152B3"/>
    <w:rsid w:val="0031603D"/>
    <w:rsid w:val="00316AAA"/>
    <w:rsid w:val="00316B87"/>
    <w:rsid w:val="0032186A"/>
    <w:rsid w:val="00322492"/>
    <w:rsid w:val="00322537"/>
    <w:rsid w:val="003227BB"/>
    <w:rsid w:val="00322E99"/>
    <w:rsid w:val="00325964"/>
    <w:rsid w:val="003259D9"/>
    <w:rsid w:val="00331E15"/>
    <w:rsid w:val="00333A7F"/>
    <w:rsid w:val="00333C60"/>
    <w:rsid w:val="00333E0C"/>
    <w:rsid w:val="00334B70"/>
    <w:rsid w:val="00335A46"/>
    <w:rsid w:val="003363FC"/>
    <w:rsid w:val="00337189"/>
    <w:rsid w:val="003377C3"/>
    <w:rsid w:val="003415A5"/>
    <w:rsid w:val="0034232E"/>
    <w:rsid w:val="00342794"/>
    <w:rsid w:val="003447E1"/>
    <w:rsid w:val="00344D49"/>
    <w:rsid w:val="00347333"/>
    <w:rsid w:val="0035024D"/>
    <w:rsid w:val="0035032B"/>
    <w:rsid w:val="0035109D"/>
    <w:rsid w:val="0035241D"/>
    <w:rsid w:val="003526A3"/>
    <w:rsid w:val="00352CE4"/>
    <w:rsid w:val="00353B80"/>
    <w:rsid w:val="0035452A"/>
    <w:rsid w:val="00355E06"/>
    <w:rsid w:val="00356ECA"/>
    <w:rsid w:val="00356F98"/>
    <w:rsid w:val="003572F0"/>
    <w:rsid w:val="00357B4E"/>
    <w:rsid w:val="003606DB"/>
    <w:rsid w:val="00363B6B"/>
    <w:rsid w:val="0036435D"/>
    <w:rsid w:val="0036591B"/>
    <w:rsid w:val="00367588"/>
    <w:rsid w:val="00370A47"/>
    <w:rsid w:val="00373DAF"/>
    <w:rsid w:val="00377AAA"/>
    <w:rsid w:val="0038076D"/>
    <w:rsid w:val="00380BB2"/>
    <w:rsid w:val="00380C3E"/>
    <w:rsid w:val="0038145D"/>
    <w:rsid w:val="00382A6A"/>
    <w:rsid w:val="00382B9E"/>
    <w:rsid w:val="00383A26"/>
    <w:rsid w:val="00384EF2"/>
    <w:rsid w:val="0038609B"/>
    <w:rsid w:val="00386248"/>
    <w:rsid w:val="00386741"/>
    <w:rsid w:val="00386FCC"/>
    <w:rsid w:val="0039266E"/>
    <w:rsid w:val="00393789"/>
    <w:rsid w:val="00393A15"/>
    <w:rsid w:val="00393D9D"/>
    <w:rsid w:val="003949CC"/>
    <w:rsid w:val="00396D78"/>
    <w:rsid w:val="003A00B5"/>
    <w:rsid w:val="003A01D6"/>
    <w:rsid w:val="003A0313"/>
    <w:rsid w:val="003A2EAC"/>
    <w:rsid w:val="003A3D21"/>
    <w:rsid w:val="003A3FF9"/>
    <w:rsid w:val="003A46BA"/>
    <w:rsid w:val="003A4AD9"/>
    <w:rsid w:val="003A4BAB"/>
    <w:rsid w:val="003A6C0D"/>
    <w:rsid w:val="003A6C44"/>
    <w:rsid w:val="003B0BA1"/>
    <w:rsid w:val="003B2543"/>
    <w:rsid w:val="003B2C80"/>
    <w:rsid w:val="003B2E05"/>
    <w:rsid w:val="003B56F3"/>
    <w:rsid w:val="003B7309"/>
    <w:rsid w:val="003B76F6"/>
    <w:rsid w:val="003C0FEC"/>
    <w:rsid w:val="003C1B23"/>
    <w:rsid w:val="003C290A"/>
    <w:rsid w:val="003C346F"/>
    <w:rsid w:val="003C6AD6"/>
    <w:rsid w:val="003C7C7E"/>
    <w:rsid w:val="003D042C"/>
    <w:rsid w:val="003D0991"/>
    <w:rsid w:val="003D1772"/>
    <w:rsid w:val="003D2510"/>
    <w:rsid w:val="003D3499"/>
    <w:rsid w:val="003D3BE4"/>
    <w:rsid w:val="003D4B89"/>
    <w:rsid w:val="003D597A"/>
    <w:rsid w:val="003D5DB7"/>
    <w:rsid w:val="003D63A7"/>
    <w:rsid w:val="003E0421"/>
    <w:rsid w:val="003E0436"/>
    <w:rsid w:val="003E06BA"/>
    <w:rsid w:val="003E1331"/>
    <w:rsid w:val="003E208B"/>
    <w:rsid w:val="003E324D"/>
    <w:rsid w:val="003E3C1C"/>
    <w:rsid w:val="003E4AE7"/>
    <w:rsid w:val="003E4DC7"/>
    <w:rsid w:val="003E5D92"/>
    <w:rsid w:val="003F0C8C"/>
    <w:rsid w:val="003F1621"/>
    <w:rsid w:val="003F1A49"/>
    <w:rsid w:val="003F1E6D"/>
    <w:rsid w:val="003F208A"/>
    <w:rsid w:val="003F3D68"/>
    <w:rsid w:val="003F6B1D"/>
    <w:rsid w:val="00400EB6"/>
    <w:rsid w:val="00401162"/>
    <w:rsid w:val="00401EAE"/>
    <w:rsid w:val="00403907"/>
    <w:rsid w:val="0040415D"/>
    <w:rsid w:val="004053AB"/>
    <w:rsid w:val="00407504"/>
    <w:rsid w:val="00407D94"/>
    <w:rsid w:val="004107A3"/>
    <w:rsid w:val="00411F54"/>
    <w:rsid w:val="00413005"/>
    <w:rsid w:val="00413187"/>
    <w:rsid w:val="00413C9C"/>
    <w:rsid w:val="004141FF"/>
    <w:rsid w:val="00414F26"/>
    <w:rsid w:val="0041555D"/>
    <w:rsid w:val="00415779"/>
    <w:rsid w:val="00416ADB"/>
    <w:rsid w:val="00420762"/>
    <w:rsid w:val="00422159"/>
    <w:rsid w:val="0042379F"/>
    <w:rsid w:val="00424327"/>
    <w:rsid w:val="004245FB"/>
    <w:rsid w:val="00427207"/>
    <w:rsid w:val="00427A61"/>
    <w:rsid w:val="00430A85"/>
    <w:rsid w:val="00433431"/>
    <w:rsid w:val="00433441"/>
    <w:rsid w:val="00434DC8"/>
    <w:rsid w:val="00434F78"/>
    <w:rsid w:val="0043547D"/>
    <w:rsid w:val="00436175"/>
    <w:rsid w:val="00436989"/>
    <w:rsid w:val="00437189"/>
    <w:rsid w:val="00437986"/>
    <w:rsid w:val="0044113E"/>
    <w:rsid w:val="004421D6"/>
    <w:rsid w:val="00443C96"/>
    <w:rsid w:val="00445D02"/>
    <w:rsid w:val="00445D66"/>
    <w:rsid w:val="004465F0"/>
    <w:rsid w:val="00446ABA"/>
    <w:rsid w:val="00446AE3"/>
    <w:rsid w:val="00446DD5"/>
    <w:rsid w:val="00446FD4"/>
    <w:rsid w:val="00447876"/>
    <w:rsid w:val="0045127F"/>
    <w:rsid w:val="00452767"/>
    <w:rsid w:val="00453ABC"/>
    <w:rsid w:val="00454D89"/>
    <w:rsid w:val="00455373"/>
    <w:rsid w:val="004563CF"/>
    <w:rsid w:val="00463EB8"/>
    <w:rsid w:val="0046412C"/>
    <w:rsid w:val="0046630F"/>
    <w:rsid w:val="004667E6"/>
    <w:rsid w:val="00467209"/>
    <w:rsid w:val="00467B43"/>
    <w:rsid w:val="00467D96"/>
    <w:rsid w:val="00470DCC"/>
    <w:rsid w:val="00471317"/>
    <w:rsid w:val="004721F2"/>
    <w:rsid w:val="00472D6E"/>
    <w:rsid w:val="0047415F"/>
    <w:rsid w:val="00474207"/>
    <w:rsid w:val="00476326"/>
    <w:rsid w:val="00477C6A"/>
    <w:rsid w:val="00483268"/>
    <w:rsid w:val="00483AE9"/>
    <w:rsid w:val="00483CF0"/>
    <w:rsid w:val="00484226"/>
    <w:rsid w:val="00484A77"/>
    <w:rsid w:val="00485012"/>
    <w:rsid w:val="004874EB"/>
    <w:rsid w:val="0048777A"/>
    <w:rsid w:val="00487893"/>
    <w:rsid w:val="00487BA7"/>
    <w:rsid w:val="00490701"/>
    <w:rsid w:val="00490E4D"/>
    <w:rsid w:val="00491994"/>
    <w:rsid w:val="00491CFC"/>
    <w:rsid w:val="004925E0"/>
    <w:rsid w:val="00493CB3"/>
    <w:rsid w:val="00494FF3"/>
    <w:rsid w:val="00496FD4"/>
    <w:rsid w:val="00497055"/>
    <w:rsid w:val="00497959"/>
    <w:rsid w:val="004A2C7B"/>
    <w:rsid w:val="004A3717"/>
    <w:rsid w:val="004A6408"/>
    <w:rsid w:val="004B0C27"/>
    <w:rsid w:val="004B1E82"/>
    <w:rsid w:val="004B207A"/>
    <w:rsid w:val="004B29CE"/>
    <w:rsid w:val="004B2C53"/>
    <w:rsid w:val="004B2CA1"/>
    <w:rsid w:val="004B3B06"/>
    <w:rsid w:val="004B4CD0"/>
    <w:rsid w:val="004B4DDB"/>
    <w:rsid w:val="004B5242"/>
    <w:rsid w:val="004B7581"/>
    <w:rsid w:val="004B7E70"/>
    <w:rsid w:val="004C176D"/>
    <w:rsid w:val="004C3DEB"/>
    <w:rsid w:val="004C3E2B"/>
    <w:rsid w:val="004C3E91"/>
    <w:rsid w:val="004C4624"/>
    <w:rsid w:val="004C4864"/>
    <w:rsid w:val="004C4C32"/>
    <w:rsid w:val="004C5CEB"/>
    <w:rsid w:val="004C68E1"/>
    <w:rsid w:val="004D0510"/>
    <w:rsid w:val="004D05BD"/>
    <w:rsid w:val="004D05E0"/>
    <w:rsid w:val="004D0EFC"/>
    <w:rsid w:val="004D0F69"/>
    <w:rsid w:val="004D1C24"/>
    <w:rsid w:val="004D45E7"/>
    <w:rsid w:val="004D5FF0"/>
    <w:rsid w:val="004D6AFF"/>
    <w:rsid w:val="004D7667"/>
    <w:rsid w:val="004E0380"/>
    <w:rsid w:val="004E0B11"/>
    <w:rsid w:val="004E15DA"/>
    <w:rsid w:val="004E2FF0"/>
    <w:rsid w:val="004E359C"/>
    <w:rsid w:val="004E611C"/>
    <w:rsid w:val="004F05D8"/>
    <w:rsid w:val="004F0C31"/>
    <w:rsid w:val="004F12FC"/>
    <w:rsid w:val="004F1ACE"/>
    <w:rsid w:val="004F298A"/>
    <w:rsid w:val="004F2A1D"/>
    <w:rsid w:val="004F2AFA"/>
    <w:rsid w:val="004F4180"/>
    <w:rsid w:val="004F5593"/>
    <w:rsid w:val="0051183F"/>
    <w:rsid w:val="00512B2E"/>
    <w:rsid w:val="005131CE"/>
    <w:rsid w:val="0051485F"/>
    <w:rsid w:val="0051500D"/>
    <w:rsid w:val="0051543B"/>
    <w:rsid w:val="00516AEA"/>
    <w:rsid w:val="00516C78"/>
    <w:rsid w:val="00517D88"/>
    <w:rsid w:val="00520236"/>
    <w:rsid w:val="0052136C"/>
    <w:rsid w:val="00521F43"/>
    <w:rsid w:val="005222CA"/>
    <w:rsid w:val="00522794"/>
    <w:rsid w:val="00524F2A"/>
    <w:rsid w:val="0052656E"/>
    <w:rsid w:val="00530381"/>
    <w:rsid w:val="00530CE2"/>
    <w:rsid w:val="005310EB"/>
    <w:rsid w:val="005320AF"/>
    <w:rsid w:val="00532419"/>
    <w:rsid w:val="00532D70"/>
    <w:rsid w:val="005340A1"/>
    <w:rsid w:val="00535365"/>
    <w:rsid w:val="00535887"/>
    <w:rsid w:val="00535B90"/>
    <w:rsid w:val="00535D13"/>
    <w:rsid w:val="00535EBB"/>
    <w:rsid w:val="005364B8"/>
    <w:rsid w:val="00536547"/>
    <w:rsid w:val="00537C04"/>
    <w:rsid w:val="00540313"/>
    <w:rsid w:val="005420FD"/>
    <w:rsid w:val="0054302D"/>
    <w:rsid w:val="00543C9A"/>
    <w:rsid w:val="00543D83"/>
    <w:rsid w:val="00544446"/>
    <w:rsid w:val="00545603"/>
    <w:rsid w:val="00545B7F"/>
    <w:rsid w:val="00546BFD"/>
    <w:rsid w:val="005476ED"/>
    <w:rsid w:val="00547C57"/>
    <w:rsid w:val="00550E24"/>
    <w:rsid w:val="00552E5E"/>
    <w:rsid w:val="00553C4C"/>
    <w:rsid w:val="005540E0"/>
    <w:rsid w:val="00555533"/>
    <w:rsid w:val="005558D4"/>
    <w:rsid w:val="00555CF6"/>
    <w:rsid w:val="00555DF8"/>
    <w:rsid w:val="00556DD8"/>
    <w:rsid w:val="0055749A"/>
    <w:rsid w:val="00557A56"/>
    <w:rsid w:val="00557CAB"/>
    <w:rsid w:val="00557CAC"/>
    <w:rsid w:val="00561DDD"/>
    <w:rsid w:val="0056231E"/>
    <w:rsid w:val="00562AA0"/>
    <w:rsid w:val="005640F5"/>
    <w:rsid w:val="00566F66"/>
    <w:rsid w:val="00567B4F"/>
    <w:rsid w:val="00567E63"/>
    <w:rsid w:val="0057123B"/>
    <w:rsid w:val="0057401F"/>
    <w:rsid w:val="00574469"/>
    <w:rsid w:val="00574A8A"/>
    <w:rsid w:val="00580E1F"/>
    <w:rsid w:val="00581254"/>
    <w:rsid w:val="00581B39"/>
    <w:rsid w:val="00581CF1"/>
    <w:rsid w:val="00582B9C"/>
    <w:rsid w:val="005833E3"/>
    <w:rsid w:val="005836F7"/>
    <w:rsid w:val="00583B58"/>
    <w:rsid w:val="0058533B"/>
    <w:rsid w:val="00585DC2"/>
    <w:rsid w:val="00585DE1"/>
    <w:rsid w:val="00586183"/>
    <w:rsid w:val="005869FC"/>
    <w:rsid w:val="00586C73"/>
    <w:rsid w:val="00592C09"/>
    <w:rsid w:val="005942E1"/>
    <w:rsid w:val="0059521B"/>
    <w:rsid w:val="00595A97"/>
    <w:rsid w:val="00596F82"/>
    <w:rsid w:val="00596F96"/>
    <w:rsid w:val="00596FCA"/>
    <w:rsid w:val="005974F0"/>
    <w:rsid w:val="005A0D06"/>
    <w:rsid w:val="005A269C"/>
    <w:rsid w:val="005A2A06"/>
    <w:rsid w:val="005A2A1F"/>
    <w:rsid w:val="005A2CB6"/>
    <w:rsid w:val="005A4909"/>
    <w:rsid w:val="005A5A18"/>
    <w:rsid w:val="005B017D"/>
    <w:rsid w:val="005B07FA"/>
    <w:rsid w:val="005B0D09"/>
    <w:rsid w:val="005B206D"/>
    <w:rsid w:val="005B3CAF"/>
    <w:rsid w:val="005B4F05"/>
    <w:rsid w:val="005B5D92"/>
    <w:rsid w:val="005B7AC2"/>
    <w:rsid w:val="005C0856"/>
    <w:rsid w:val="005C0EEA"/>
    <w:rsid w:val="005C1F1D"/>
    <w:rsid w:val="005C2CAC"/>
    <w:rsid w:val="005C42A9"/>
    <w:rsid w:val="005C4C5A"/>
    <w:rsid w:val="005D1709"/>
    <w:rsid w:val="005D1CC6"/>
    <w:rsid w:val="005D4561"/>
    <w:rsid w:val="005D58B7"/>
    <w:rsid w:val="005D73BD"/>
    <w:rsid w:val="005E1B51"/>
    <w:rsid w:val="005E3880"/>
    <w:rsid w:val="005E6218"/>
    <w:rsid w:val="005E6680"/>
    <w:rsid w:val="005E69E5"/>
    <w:rsid w:val="005E6B72"/>
    <w:rsid w:val="005F0432"/>
    <w:rsid w:val="005F3030"/>
    <w:rsid w:val="005F7A78"/>
    <w:rsid w:val="00600166"/>
    <w:rsid w:val="006021D4"/>
    <w:rsid w:val="006023B4"/>
    <w:rsid w:val="00604B02"/>
    <w:rsid w:val="00605948"/>
    <w:rsid w:val="00605A9D"/>
    <w:rsid w:val="00605DB8"/>
    <w:rsid w:val="00605E7D"/>
    <w:rsid w:val="00607AE0"/>
    <w:rsid w:val="0061052E"/>
    <w:rsid w:val="0061052F"/>
    <w:rsid w:val="006110E2"/>
    <w:rsid w:val="00611C81"/>
    <w:rsid w:val="00611E8A"/>
    <w:rsid w:val="0061200A"/>
    <w:rsid w:val="0061413A"/>
    <w:rsid w:val="00616165"/>
    <w:rsid w:val="00620F3A"/>
    <w:rsid w:val="00621D6F"/>
    <w:rsid w:val="00623A7D"/>
    <w:rsid w:val="00623A8E"/>
    <w:rsid w:val="00624014"/>
    <w:rsid w:val="00624292"/>
    <w:rsid w:val="00624834"/>
    <w:rsid w:val="006251EF"/>
    <w:rsid w:val="00625B9E"/>
    <w:rsid w:val="00626EBE"/>
    <w:rsid w:val="006325F5"/>
    <w:rsid w:val="00633017"/>
    <w:rsid w:val="0063665F"/>
    <w:rsid w:val="0063693E"/>
    <w:rsid w:val="00636CB0"/>
    <w:rsid w:val="00636D4F"/>
    <w:rsid w:val="00640B3F"/>
    <w:rsid w:val="0064171C"/>
    <w:rsid w:val="0064323F"/>
    <w:rsid w:val="00643C23"/>
    <w:rsid w:val="00645F21"/>
    <w:rsid w:val="006467CC"/>
    <w:rsid w:val="00646A40"/>
    <w:rsid w:val="006472AF"/>
    <w:rsid w:val="0065054E"/>
    <w:rsid w:val="00651348"/>
    <w:rsid w:val="00651DD6"/>
    <w:rsid w:val="00652997"/>
    <w:rsid w:val="006535C5"/>
    <w:rsid w:val="006535E3"/>
    <w:rsid w:val="0065407E"/>
    <w:rsid w:val="00655823"/>
    <w:rsid w:val="006561B5"/>
    <w:rsid w:val="00665249"/>
    <w:rsid w:val="00665CE6"/>
    <w:rsid w:val="00666C91"/>
    <w:rsid w:val="00666E20"/>
    <w:rsid w:val="00670C0F"/>
    <w:rsid w:val="00670FF8"/>
    <w:rsid w:val="006710C8"/>
    <w:rsid w:val="00672BCD"/>
    <w:rsid w:val="00672E80"/>
    <w:rsid w:val="00674F1F"/>
    <w:rsid w:val="00676A4A"/>
    <w:rsid w:val="0068026D"/>
    <w:rsid w:val="00682175"/>
    <w:rsid w:val="006862C4"/>
    <w:rsid w:val="00687CA3"/>
    <w:rsid w:val="00687E30"/>
    <w:rsid w:val="0069001B"/>
    <w:rsid w:val="00690F1A"/>
    <w:rsid w:val="00692BC3"/>
    <w:rsid w:val="00693081"/>
    <w:rsid w:val="00696BB6"/>
    <w:rsid w:val="006A19B4"/>
    <w:rsid w:val="006A2DE4"/>
    <w:rsid w:val="006A4122"/>
    <w:rsid w:val="006A4EA6"/>
    <w:rsid w:val="006A6B53"/>
    <w:rsid w:val="006B0A15"/>
    <w:rsid w:val="006B0BCF"/>
    <w:rsid w:val="006B15CC"/>
    <w:rsid w:val="006B1EC9"/>
    <w:rsid w:val="006B488D"/>
    <w:rsid w:val="006B495B"/>
    <w:rsid w:val="006B51A5"/>
    <w:rsid w:val="006B5872"/>
    <w:rsid w:val="006B67D8"/>
    <w:rsid w:val="006B7501"/>
    <w:rsid w:val="006B7AB0"/>
    <w:rsid w:val="006C1493"/>
    <w:rsid w:val="006C23F1"/>
    <w:rsid w:val="006C3FEC"/>
    <w:rsid w:val="006C469C"/>
    <w:rsid w:val="006C49E2"/>
    <w:rsid w:val="006C4F56"/>
    <w:rsid w:val="006C7847"/>
    <w:rsid w:val="006C78EA"/>
    <w:rsid w:val="006C7A6F"/>
    <w:rsid w:val="006C7B93"/>
    <w:rsid w:val="006D0100"/>
    <w:rsid w:val="006D2BA9"/>
    <w:rsid w:val="006D3913"/>
    <w:rsid w:val="006D4091"/>
    <w:rsid w:val="006D4E69"/>
    <w:rsid w:val="006D5110"/>
    <w:rsid w:val="006D68AE"/>
    <w:rsid w:val="006D74B0"/>
    <w:rsid w:val="006E22D8"/>
    <w:rsid w:val="006E3D52"/>
    <w:rsid w:val="006E569D"/>
    <w:rsid w:val="006E60E4"/>
    <w:rsid w:val="006E6512"/>
    <w:rsid w:val="006E65FB"/>
    <w:rsid w:val="006E7790"/>
    <w:rsid w:val="006E79D9"/>
    <w:rsid w:val="006F0C4C"/>
    <w:rsid w:val="006F12B0"/>
    <w:rsid w:val="006F43EB"/>
    <w:rsid w:val="006F5E0A"/>
    <w:rsid w:val="00700369"/>
    <w:rsid w:val="00701DD3"/>
    <w:rsid w:val="00702C4E"/>
    <w:rsid w:val="00703529"/>
    <w:rsid w:val="00705AF3"/>
    <w:rsid w:val="0070794C"/>
    <w:rsid w:val="00710C2A"/>
    <w:rsid w:val="0071136D"/>
    <w:rsid w:val="00712F96"/>
    <w:rsid w:val="007137BF"/>
    <w:rsid w:val="00715CF8"/>
    <w:rsid w:val="007163BC"/>
    <w:rsid w:val="0071703C"/>
    <w:rsid w:val="00717F88"/>
    <w:rsid w:val="00721F5A"/>
    <w:rsid w:val="007220DC"/>
    <w:rsid w:val="00724902"/>
    <w:rsid w:val="007267E8"/>
    <w:rsid w:val="00727976"/>
    <w:rsid w:val="00730A4F"/>
    <w:rsid w:val="00730FC3"/>
    <w:rsid w:val="00734A3F"/>
    <w:rsid w:val="00734CDB"/>
    <w:rsid w:val="00737B9F"/>
    <w:rsid w:val="00737C3E"/>
    <w:rsid w:val="007414C3"/>
    <w:rsid w:val="00742301"/>
    <w:rsid w:val="00742E1E"/>
    <w:rsid w:val="00742FCC"/>
    <w:rsid w:val="00746202"/>
    <w:rsid w:val="007465CF"/>
    <w:rsid w:val="00746A90"/>
    <w:rsid w:val="00746B5A"/>
    <w:rsid w:val="00750C1E"/>
    <w:rsid w:val="007512C4"/>
    <w:rsid w:val="007518D4"/>
    <w:rsid w:val="007518F6"/>
    <w:rsid w:val="007539F9"/>
    <w:rsid w:val="00754B60"/>
    <w:rsid w:val="0075605E"/>
    <w:rsid w:val="007614F0"/>
    <w:rsid w:val="0076548D"/>
    <w:rsid w:val="00765E3C"/>
    <w:rsid w:val="007671A3"/>
    <w:rsid w:val="007711EF"/>
    <w:rsid w:val="00771637"/>
    <w:rsid w:val="00771A76"/>
    <w:rsid w:val="00772BF6"/>
    <w:rsid w:val="00773EEB"/>
    <w:rsid w:val="007744D2"/>
    <w:rsid w:val="007745B7"/>
    <w:rsid w:val="00777088"/>
    <w:rsid w:val="0078024F"/>
    <w:rsid w:val="007814A2"/>
    <w:rsid w:val="00782C1C"/>
    <w:rsid w:val="0078496F"/>
    <w:rsid w:val="00784FF4"/>
    <w:rsid w:val="00785456"/>
    <w:rsid w:val="00785675"/>
    <w:rsid w:val="00786F27"/>
    <w:rsid w:val="00787D9F"/>
    <w:rsid w:val="00787FDE"/>
    <w:rsid w:val="00793BB7"/>
    <w:rsid w:val="007949A3"/>
    <w:rsid w:val="00795B98"/>
    <w:rsid w:val="00795FA3"/>
    <w:rsid w:val="00796206"/>
    <w:rsid w:val="007971D3"/>
    <w:rsid w:val="00797C9A"/>
    <w:rsid w:val="007A06FE"/>
    <w:rsid w:val="007A46FC"/>
    <w:rsid w:val="007A58A1"/>
    <w:rsid w:val="007A5DFE"/>
    <w:rsid w:val="007B1086"/>
    <w:rsid w:val="007B115D"/>
    <w:rsid w:val="007B1924"/>
    <w:rsid w:val="007B1BC5"/>
    <w:rsid w:val="007B279D"/>
    <w:rsid w:val="007B3843"/>
    <w:rsid w:val="007B4CA3"/>
    <w:rsid w:val="007B571F"/>
    <w:rsid w:val="007B6077"/>
    <w:rsid w:val="007B6EED"/>
    <w:rsid w:val="007B721D"/>
    <w:rsid w:val="007C0E68"/>
    <w:rsid w:val="007C1F4D"/>
    <w:rsid w:val="007C2DED"/>
    <w:rsid w:val="007C2E5A"/>
    <w:rsid w:val="007C3145"/>
    <w:rsid w:val="007C3273"/>
    <w:rsid w:val="007C3D96"/>
    <w:rsid w:val="007C4124"/>
    <w:rsid w:val="007C48DE"/>
    <w:rsid w:val="007C5019"/>
    <w:rsid w:val="007C5D6F"/>
    <w:rsid w:val="007C7FEC"/>
    <w:rsid w:val="007D107E"/>
    <w:rsid w:val="007D1A9D"/>
    <w:rsid w:val="007D2958"/>
    <w:rsid w:val="007D69A8"/>
    <w:rsid w:val="007D6AAB"/>
    <w:rsid w:val="007D7543"/>
    <w:rsid w:val="007D7E94"/>
    <w:rsid w:val="007E0179"/>
    <w:rsid w:val="007E062F"/>
    <w:rsid w:val="007E0C96"/>
    <w:rsid w:val="007E1126"/>
    <w:rsid w:val="007E1472"/>
    <w:rsid w:val="007E223F"/>
    <w:rsid w:val="007E3C8D"/>
    <w:rsid w:val="007E4AF7"/>
    <w:rsid w:val="007E5897"/>
    <w:rsid w:val="007E5FEB"/>
    <w:rsid w:val="007F001E"/>
    <w:rsid w:val="007F0C37"/>
    <w:rsid w:val="007F2B86"/>
    <w:rsid w:val="007F6B6A"/>
    <w:rsid w:val="00800950"/>
    <w:rsid w:val="008014BC"/>
    <w:rsid w:val="00802DAD"/>
    <w:rsid w:val="008046CC"/>
    <w:rsid w:val="00805137"/>
    <w:rsid w:val="00805344"/>
    <w:rsid w:val="00807082"/>
    <w:rsid w:val="00807ECA"/>
    <w:rsid w:val="008121B8"/>
    <w:rsid w:val="00813AE5"/>
    <w:rsid w:val="00815CCB"/>
    <w:rsid w:val="00816245"/>
    <w:rsid w:val="00816335"/>
    <w:rsid w:val="00816F81"/>
    <w:rsid w:val="00817E4D"/>
    <w:rsid w:val="00820218"/>
    <w:rsid w:val="00820705"/>
    <w:rsid w:val="00823320"/>
    <w:rsid w:val="00825098"/>
    <w:rsid w:val="008271E4"/>
    <w:rsid w:val="008278BD"/>
    <w:rsid w:val="00827AA4"/>
    <w:rsid w:val="00831AC7"/>
    <w:rsid w:val="00831C13"/>
    <w:rsid w:val="00833622"/>
    <w:rsid w:val="008351FE"/>
    <w:rsid w:val="00835312"/>
    <w:rsid w:val="008360A1"/>
    <w:rsid w:val="00836146"/>
    <w:rsid w:val="00836D6B"/>
    <w:rsid w:val="00841364"/>
    <w:rsid w:val="008413EA"/>
    <w:rsid w:val="00842214"/>
    <w:rsid w:val="0084278C"/>
    <w:rsid w:val="0084363A"/>
    <w:rsid w:val="00844A23"/>
    <w:rsid w:val="00844A65"/>
    <w:rsid w:val="00845A44"/>
    <w:rsid w:val="00850998"/>
    <w:rsid w:val="008511CA"/>
    <w:rsid w:val="00852AE2"/>
    <w:rsid w:val="00854B8C"/>
    <w:rsid w:val="00855C66"/>
    <w:rsid w:val="008612DF"/>
    <w:rsid w:val="00862C43"/>
    <w:rsid w:val="00863363"/>
    <w:rsid w:val="00863934"/>
    <w:rsid w:val="00863D31"/>
    <w:rsid w:val="00863F4A"/>
    <w:rsid w:val="0086427A"/>
    <w:rsid w:val="008642B7"/>
    <w:rsid w:val="008645F8"/>
    <w:rsid w:val="00865B36"/>
    <w:rsid w:val="00866B33"/>
    <w:rsid w:val="00866EEE"/>
    <w:rsid w:val="0086797D"/>
    <w:rsid w:val="00867AAC"/>
    <w:rsid w:val="00870295"/>
    <w:rsid w:val="00870914"/>
    <w:rsid w:val="00871223"/>
    <w:rsid w:val="00871454"/>
    <w:rsid w:val="00871A8B"/>
    <w:rsid w:val="00872218"/>
    <w:rsid w:val="00875A1C"/>
    <w:rsid w:val="00875E9C"/>
    <w:rsid w:val="0087700F"/>
    <w:rsid w:val="008805C0"/>
    <w:rsid w:val="00880966"/>
    <w:rsid w:val="00880F50"/>
    <w:rsid w:val="0088374D"/>
    <w:rsid w:val="00884567"/>
    <w:rsid w:val="00887446"/>
    <w:rsid w:val="0088750C"/>
    <w:rsid w:val="00892E4A"/>
    <w:rsid w:val="00893997"/>
    <w:rsid w:val="00894016"/>
    <w:rsid w:val="00894A17"/>
    <w:rsid w:val="00894AF3"/>
    <w:rsid w:val="00894C40"/>
    <w:rsid w:val="0089619D"/>
    <w:rsid w:val="00896AD2"/>
    <w:rsid w:val="00897367"/>
    <w:rsid w:val="008A0E9A"/>
    <w:rsid w:val="008A13B2"/>
    <w:rsid w:val="008A1E0F"/>
    <w:rsid w:val="008A5554"/>
    <w:rsid w:val="008A5ECD"/>
    <w:rsid w:val="008B0EB7"/>
    <w:rsid w:val="008B140C"/>
    <w:rsid w:val="008B238E"/>
    <w:rsid w:val="008B3AB9"/>
    <w:rsid w:val="008B515D"/>
    <w:rsid w:val="008B51B6"/>
    <w:rsid w:val="008B51CE"/>
    <w:rsid w:val="008B533D"/>
    <w:rsid w:val="008B6147"/>
    <w:rsid w:val="008B6671"/>
    <w:rsid w:val="008B74B1"/>
    <w:rsid w:val="008C0711"/>
    <w:rsid w:val="008C23A4"/>
    <w:rsid w:val="008C3422"/>
    <w:rsid w:val="008C528C"/>
    <w:rsid w:val="008C7778"/>
    <w:rsid w:val="008C7C56"/>
    <w:rsid w:val="008D16A4"/>
    <w:rsid w:val="008D1D08"/>
    <w:rsid w:val="008D3812"/>
    <w:rsid w:val="008D3AC1"/>
    <w:rsid w:val="008D41D6"/>
    <w:rsid w:val="008D4FEB"/>
    <w:rsid w:val="008D5563"/>
    <w:rsid w:val="008D590C"/>
    <w:rsid w:val="008D6492"/>
    <w:rsid w:val="008D7B2B"/>
    <w:rsid w:val="008D7CF5"/>
    <w:rsid w:val="008E00B2"/>
    <w:rsid w:val="008E1C04"/>
    <w:rsid w:val="008E2495"/>
    <w:rsid w:val="008E456B"/>
    <w:rsid w:val="008E458B"/>
    <w:rsid w:val="008E4FA8"/>
    <w:rsid w:val="008E5E4A"/>
    <w:rsid w:val="008E6CBF"/>
    <w:rsid w:val="008F05D8"/>
    <w:rsid w:val="008F0702"/>
    <w:rsid w:val="008F0AEC"/>
    <w:rsid w:val="008F404D"/>
    <w:rsid w:val="008F41D7"/>
    <w:rsid w:val="008F45AC"/>
    <w:rsid w:val="008F47B4"/>
    <w:rsid w:val="008F4AF0"/>
    <w:rsid w:val="008F52F2"/>
    <w:rsid w:val="008F5D4D"/>
    <w:rsid w:val="008F61E6"/>
    <w:rsid w:val="008F67F6"/>
    <w:rsid w:val="008F763C"/>
    <w:rsid w:val="008F7F55"/>
    <w:rsid w:val="00901795"/>
    <w:rsid w:val="009017D8"/>
    <w:rsid w:val="00902F06"/>
    <w:rsid w:val="009038DB"/>
    <w:rsid w:val="0090438F"/>
    <w:rsid w:val="009078F0"/>
    <w:rsid w:val="009106E4"/>
    <w:rsid w:val="00910B61"/>
    <w:rsid w:val="00911315"/>
    <w:rsid w:val="0091198C"/>
    <w:rsid w:val="00912732"/>
    <w:rsid w:val="00912770"/>
    <w:rsid w:val="00912A48"/>
    <w:rsid w:val="00913E78"/>
    <w:rsid w:val="00917CD9"/>
    <w:rsid w:val="0092065E"/>
    <w:rsid w:val="009209CE"/>
    <w:rsid w:val="00921B61"/>
    <w:rsid w:val="009224AC"/>
    <w:rsid w:val="00922EB9"/>
    <w:rsid w:val="0092326C"/>
    <w:rsid w:val="00927C73"/>
    <w:rsid w:val="009300DA"/>
    <w:rsid w:val="009320DB"/>
    <w:rsid w:val="009329DE"/>
    <w:rsid w:val="0093594D"/>
    <w:rsid w:val="00936DEE"/>
    <w:rsid w:val="009371BF"/>
    <w:rsid w:val="00944900"/>
    <w:rsid w:val="009479E8"/>
    <w:rsid w:val="00951EC4"/>
    <w:rsid w:val="00951EC6"/>
    <w:rsid w:val="00952625"/>
    <w:rsid w:val="0095624D"/>
    <w:rsid w:val="00957EBE"/>
    <w:rsid w:val="00960ABD"/>
    <w:rsid w:val="009664A0"/>
    <w:rsid w:val="00970B52"/>
    <w:rsid w:val="00972686"/>
    <w:rsid w:val="00973B45"/>
    <w:rsid w:val="00974A01"/>
    <w:rsid w:val="00974F5C"/>
    <w:rsid w:val="00975361"/>
    <w:rsid w:val="00975E8E"/>
    <w:rsid w:val="00976978"/>
    <w:rsid w:val="00976DF4"/>
    <w:rsid w:val="00977A54"/>
    <w:rsid w:val="00980870"/>
    <w:rsid w:val="00982662"/>
    <w:rsid w:val="00982EAA"/>
    <w:rsid w:val="00984BB3"/>
    <w:rsid w:val="00987B39"/>
    <w:rsid w:val="00992222"/>
    <w:rsid w:val="00992AAA"/>
    <w:rsid w:val="0099338B"/>
    <w:rsid w:val="00995D39"/>
    <w:rsid w:val="009969C9"/>
    <w:rsid w:val="00996BD4"/>
    <w:rsid w:val="00996BDD"/>
    <w:rsid w:val="00997D0F"/>
    <w:rsid w:val="00997F08"/>
    <w:rsid w:val="009A16DF"/>
    <w:rsid w:val="009A27CA"/>
    <w:rsid w:val="009A3167"/>
    <w:rsid w:val="009A5FCD"/>
    <w:rsid w:val="009A6B2B"/>
    <w:rsid w:val="009A6D18"/>
    <w:rsid w:val="009A72ED"/>
    <w:rsid w:val="009A7420"/>
    <w:rsid w:val="009A79DC"/>
    <w:rsid w:val="009B1118"/>
    <w:rsid w:val="009B11AD"/>
    <w:rsid w:val="009B14C4"/>
    <w:rsid w:val="009B2A77"/>
    <w:rsid w:val="009B3B2A"/>
    <w:rsid w:val="009B475E"/>
    <w:rsid w:val="009B55BF"/>
    <w:rsid w:val="009B5764"/>
    <w:rsid w:val="009C008B"/>
    <w:rsid w:val="009C01A4"/>
    <w:rsid w:val="009C18D8"/>
    <w:rsid w:val="009C2D3A"/>
    <w:rsid w:val="009C385D"/>
    <w:rsid w:val="009C4C16"/>
    <w:rsid w:val="009C5AAC"/>
    <w:rsid w:val="009D477A"/>
    <w:rsid w:val="009D5814"/>
    <w:rsid w:val="009D7C74"/>
    <w:rsid w:val="009D7D98"/>
    <w:rsid w:val="009E193E"/>
    <w:rsid w:val="009E1DCB"/>
    <w:rsid w:val="009E22F8"/>
    <w:rsid w:val="009E2CE3"/>
    <w:rsid w:val="009E34CF"/>
    <w:rsid w:val="009E4B87"/>
    <w:rsid w:val="009E524C"/>
    <w:rsid w:val="009F05DD"/>
    <w:rsid w:val="009F0DE1"/>
    <w:rsid w:val="009F1190"/>
    <w:rsid w:val="009F12B8"/>
    <w:rsid w:val="009F42B9"/>
    <w:rsid w:val="009F5380"/>
    <w:rsid w:val="009F6247"/>
    <w:rsid w:val="009F6566"/>
    <w:rsid w:val="009F6D0D"/>
    <w:rsid w:val="009F7F29"/>
    <w:rsid w:val="00A00DBC"/>
    <w:rsid w:val="00A01161"/>
    <w:rsid w:val="00A0238A"/>
    <w:rsid w:val="00A030B0"/>
    <w:rsid w:val="00A03BBA"/>
    <w:rsid w:val="00A0406A"/>
    <w:rsid w:val="00A04163"/>
    <w:rsid w:val="00A05143"/>
    <w:rsid w:val="00A07905"/>
    <w:rsid w:val="00A1118A"/>
    <w:rsid w:val="00A1238C"/>
    <w:rsid w:val="00A13DA0"/>
    <w:rsid w:val="00A1499C"/>
    <w:rsid w:val="00A2034B"/>
    <w:rsid w:val="00A22192"/>
    <w:rsid w:val="00A22D77"/>
    <w:rsid w:val="00A22F92"/>
    <w:rsid w:val="00A24369"/>
    <w:rsid w:val="00A24C28"/>
    <w:rsid w:val="00A25884"/>
    <w:rsid w:val="00A27B7C"/>
    <w:rsid w:val="00A304DE"/>
    <w:rsid w:val="00A30FC9"/>
    <w:rsid w:val="00A3137E"/>
    <w:rsid w:val="00A313E0"/>
    <w:rsid w:val="00A31A80"/>
    <w:rsid w:val="00A335A2"/>
    <w:rsid w:val="00A33F87"/>
    <w:rsid w:val="00A360F8"/>
    <w:rsid w:val="00A3679B"/>
    <w:rsid w:val="00A40838"/>
    <w:rsid w:val="00A4290E"/>
    <w:rsid w:val="00A42AFC"/>
    <w:rsid w:val="00A4361D"/>
    <w:rsid w:val="00A44303"/>
    <w:rsid w:val="00A455A4"/>
    <w:rsid w:val="00A46D3F"/>
    <w:rsid w:val="00A46EE8"/>
    <w:rsid w:val="00A4784D"/>
    <w:rsid w:val="00A50EE6"/>
    <w:rsid w:val="00A51CA8"/>
    <w:rsid w:val="00A530A8"/>
    <w:rsid w:val="00A5387E"/>
    <w:rsid w:val="00A54709"/>
    <w:rsid w:val="00A5582E"/>
    <w:rsid w:val="00A57CBB"/>
    <w:rsid w:val="00A605E5"/>
    <w:rsid w:val="00A61099"/>
    <w:rsid w:val="00A62BBE"/>
    <w:rsid w:val="00A6343B"/>
    <w:rsid w:val="00A65968"/>
    <w:rsid w:val="00A66185"/>
    <w:rsid w:val="00A66E8A"/>
    <w:rsid w:val="00A6779F"/>
    <w:rsid w:val="00A67E6A"/>
    <w:rsid w:val="00A72BA1"/>
    <w:rsid w:val="00A732CF"/>
    <w:rsid w:val="00A74940"/>
    <w:rsid w:val="00A75F5F"/>
    <w:rsid w:val="00A76420"/>
    <w:rsid w:val="00A767FB"/>
    <w:rsid w:val="00A82FF0"/>
    <w:rsid w:val="00A8496E"/>
    <w:rsid w:val="00A86860"/>
    <w:rsid w:val="00A87D60"/>
    <w:rsid w:val="00A930E3"/>
    <w:rsid w:val="00A93154"/>
    <w:rsid w:val="00A9359F"/>
    <w:rsid w:val="00A93A74"/>
    <w:rsid w:val="00A93B84"/>
    <w:rsid w:val="00A94074"/>
    <w:rsid w:val="00A94A40"/>
    <w:rsid w:val="00A9534B"/>
    <w:rsid w:val="00A956F3"/>
    <w:rsid w:val="00A96CC9"/>
    <w:rsid w:val="00A97841"/>
    <w:rsid w:val="00AA0AA0"/>
    <w:rsid w:val="00AA1190"/>
    <w:rsid w:val="00AA142F"/>
    <w:rsid w:val="00AA1793"/>
    <w:rsid w:val="00AA1FFB"/>
    <w:rsid w:val="00AB0B39"/>
    <w:rsid w:val="00AB104D"/>
    <w:rsid w:val="00AB531C"/>
    <w:rsid w:val="00AB6E65"/>
    <w:rsid w:val="00AB7644"/>
    <w:rsid w:val="00AC1D75"/>
    <w:rsid w:val="00AC2431"/>
    <w:rsid w:val="00AC3BDD"/>
    <w:rsid w:val="00AC4C0F"/>
    <w:rsid w:val="00AC6A72"/>
    <w:rsid w:val="00AC7A81"/>
    <w:rsid w:val="00AC7B8F"/>
    <w:rsid w:val="00AC7D09"/>
    <w:rsid w:val="00AD0509"/>
    <w:rsid w:val="00AD0E26"/>
    <w:rsid w:val="00AD1212"/>
    <w:rsid w:val="00AD1F48"/>
    <w:rsid w:val="00AD52C3"/>
    <w:rsid w:val="00AD5ADD"/>
    <w:rsid w:val="00AE09CB"/>
    <w:rsid w:val="00AE3E40"/>
    <w:rsid w:val="00AE4FC2"/>
    <w:rsid w:val="00AE536D"/>
    <w:rsid w:val="00AE5AE1"/>
    <w:rsid w:val="00AF109F"/>
    <w:rsid w:val="00AF160B"/>
    <w:rsid w:val="00AF1DE3"/>
    <w:rsid w:val="00AF6380"/>
    <w:rsid w:val="00AF655D"/>
    <w:rsid w:val="00AF7EE7"/>
    <w:rsid w:val="00AF7F23"/>
    <w:rsid w:val="00B00186"/>
    <w:rsid w:val="00B01914"/>
    <w:rsid w:val="00B04A17"/>
    <w:rsid w:val="00B06469"/>
    <w:rsid w:val="00B10324"/>
    <w:rsid w:val="00B10619"/>
    <w:rsid w:val="00B10B14"/>
    <w:rsid w:val="00B1106B"/>
    <w:rsid w:val="00B12FF6"/>
    <w:rsid w:val="00B13941"/>
    <w:rsid w:val="00B153E1"/>
    <w:rsid w:val="00B20847"/>
    <w:rsid w:val="00B20A0C"/>
    <w:rsid w:val="00B21F95"/>
    <w:rsid w:val="00B22159"/>
    <w:rsid w:val="00B22E90"/>
    <w:rsid w:val="00B243D5"/>
    <w:rsid w:val="00B24E36"/>
    <w:rsid w:val="00B250CB"/>
    <w:rsid w:val="00B26D9A"/>
    <w:rsid w:val="00B27E11"/>
    <w:rsid w:val="00B31D11"/>
    <w:rsid w:val="00B31D50"/>
    <w:rsid w:val="00B320D0"/>
    <w:rsid w:val="00B32187"/>
    <w:rsid w:val="00B3308F"/>
    <w:rsid w:val="00B33269"/>
    <w:rsid w:val="00B34E05"/>
    <w:rsid w:val="00B35052"/>
    <w:rsid w:val="00B36734"/>
    <w:rsid w:val="00B41E34"/>
    <w:rsid w:val="00B42A35"/>
    <w:rsid w:val="00B42BBC"/>
    <w:rsid w:val="00B43821"/>
    <w:rsid w:val="00B44030"/>
    <w:rsid w:val="00B45597"/>
    <w:rsid w:val="00B4669B"/>
    <w:rsid w:val="00B508F6"/>
    <w:rsid w:val="00B50FE4"/>
    <w:rsid w:val="00B51543"/>
    <w:rsid w:val="00B524FC"/>
    <w:rsid w:val="00B54398"/>
    <w:rsid w:val="00B54DED"/>
    <w:rsid w:val="00B55DAF"/>
    <w:rsid w:val="00B5739E"/>
    <w:rsid w:val="00B57F98"/>
    <w:rsid w:val="00B6013A"/>
    <w:rsid w:val="00B60E20"/>
    <w:rsid w:val="00B61817"/>
    <w:rsid w:val="00B61D05"/>
    <w:rsid w:val="00B6369D"/>
    <w:rsid w:val="00B66586"/>
    <w:rsid w:val="00B66613"/>
    <w:rsid w:val="00B66731"/>
    <w:rsid w:val="00B66F03"/>
    <w:rsid w:val="00B71F82"/>
    <w:rsid w:val="00B72270"/>
    <w:rsid w:val="00B72C95"/>
    <w:rsid w:val="00B7345A"/>
    <w:rsid w:val="00B735BC"/>
    <w:rsid w:val="00B747F8"/>
    <w:rsid w:val="00B74F14"/>
    <w:rsid w:val="00B77C50"/>
    <w:rsid w:val="00B81127"/>
    <w:rsid w:val="00B816CB"/>
    <w:rsid w:val="00B81901"/>
    <w:rsid w:val="00B83104"/>
    <w:rsid w:val="00B83866"/>
    <w:rsid w:val="00B8554B"/>
    <w:rsid w:val="00B855A7"/>
    <w:rsid w:val="00B856FD"/>
    <w:rsid w:val="00B85903"/>
    <w:rsid w:val="00B86D5F"/>
    <w:rsid w:val="00B8712E"/>
    <w:rsid w:val="00B87282"/>
    <w:rsid w:val="00B900A7"/>
    <w:rsid w:val="00B90B58"/>
    <w:rsid w:val="00B916AE"/>
    <w:rsid w:val="00B921FE"/>
    <w:rsid w:val="00B93358"/>
    <w:rsid w:val="00B9471A"/>
    <w:rsid w:val="00B9701E"/>
    <w:rsid w:val="00B97E23"/>
    <w:rsid w:val="00B97F28"/>
    <w:rsid w:val="00BA0253"/>
    <w:rsid w:val="00BA09BB"/>
    <w:rsid w:val="00BA28E9"/>
    <w:rsid w:val="00BA46D9"/>
    <w:rsid w:val="00BA50EC"/>
    <w:rsid w:val="00BA572C"/>
    <w:rsid w:val="00BA5AD4"/>
    <w:rsid w:val="00BA6D5B"/>
    <w:rsid w:val="00BA6E48"/>
    <w:rsid w:val="00BA6F21"/>
    <w:rsid w:val="00BB0376"/>
    <w:rsid w:val="00BB13D0"/>
    <w:rsid w:val="00BB32AF"/>
    <w:rsid w:val="00BB4277"/>
    <w:rsid w:val="00BB46E7"/>
    <w:rsid w:val="00BB5CF0"/>
    <w:rsid w:val="00BB6086"/>
    <w:rsid w:val="00BC0C0E"/>
    <w:rsid w:val="00BC171D"/>
    <w:rsid w:val="00BC226D"/>
    <w:rsid w:val="00BC2EC4"/>
    <w:rsid w:val="00BC3DCF"/>
    <w:rsid w:val="00BC453F"/>
    <w:rsid w:val="00BC49F8"/>
    <w:rsid w:val="00BC6459"/>
    <w:rsid w:val="00BC7243"/>
    <w:rsid w:val="00BC7370"/>
    <w:rsid w:val="00BC744F"/>
    <w:rsid w:val="00BC79D2"/>
    <w:rsid w:val="00BC7EC1"/>
    <w:rsid w:val="00BD0686"/>
    <w:rsid w:val="00BD0ECC"/>
    <w:rsid w:val="00BD1500"/>
    <w:rsid w:val="00BD192F"/>
    <w:rsid w:val="00BD1AFA"/>
    <w:rsid w:val="00BD2D9D"/>
    <w:rsid w:val="00BD381C"/>
    <w:rsid w:val="00BD3935"/>
    <w:rsid w:val="00BD61B2"/>
    <w:rsid w:val="00BD63E5"/>
    <w:rsid w:val="00BD7878"/>
    <w:rsid w:val="00BD79D6"/>
    <w:rsid w:val="00BE0D97"/>
    <w:rsid w:val="00BE1640"/>
    <w:rsid w:val="00BE3332"/>
    <w:rsid w:val="00BE5834"/>
    <w:rsid w:val="00BE6B2A"/>
    <w:rsid w:val="00BE7F0E"/>
    <w:rsid w:val="00BE7F7E"/>
    <w:rsid w:val="00BF0C79"/>
    <w:rsid w:val="00BF1C25"/>
    <w:rsid w:val="00BF595E"/>
    <w:rsid w:val="00BF6103"/>
    <w:rsid w:val="00BF7CB1"/>
    <w:rsid w:val="00C016AA"/>
    <w:rsid w:val="00C01F73"/>
    <w:rsid w:val="00C0343C"/>
    <w:rsid w:val="00C04CBA"/>
    <w:rsid w:val="00C05638"/>
    <w:rsid w:val="00C0574B"/>
    <w:rsid w:val="00C059B1"/>
    <w:rsid w:val="00C0602E"/>
    <w:rsid w:val="00C060DE"/>
    <w:rsid w:val="00C062BB"/>
    <w:rsid w:val="00C067D5"/>
    <w:rsid w:val="00C115C5"/>
    <w:rsid w:val="00C12839"/>
    <w:rsid w:val="00C12EB9"/>
    <w:rsid w:val="00C133EE"/>
    <w:rsid w:val="00C14A87"/>
    <w:rsid w:val="00C164D3"/>
    <w:rsid w:val="00C1717F"/>
    <w:rsid w:val="00C1735E"/>
    <w:rsid w:val="00C20851"/>
    <w:rsid w:val="00C22A07"/>
    <w:rsid w:val="00C2358B"/>
    <w:rsid w:val="00C2397F"/>
    <w:rsid w:val="00C23A33"/>
    <w:rsid w:val="00C2426D"/>
    <w:rsid w:val="00C25863"/>
    <w:rsid w:val="00C30E33"/>
    <w:rsid w:val="00C33462"/>
    <w:rsid w:val="00C33E9C"/>
    <w:rsid w:val="00C35363"/>
    <w:rsid w:val="00C35687"/>
    <w:rsid w:val="00C35783"/>
    <w:rsid w:val="00C36C1C"/>
    <w:rsid w:val="00C37A6A"/>
    <w:rsid w:val="00C40196"/>
    <w:rsid w:val="00C429DF"/>
    <w:rsid w:val="00C42A42"/>
    <w:rsid w:val="00C43CC1"/>
    <w:rsid w:val="00C44336"/>
    <w:rsid w:val="00C46581"/>
    <w:rsid w:val="00C46947"/>
    <w:rsid w:val="00C479D7"/>
    <w:rsid w:val="00C50C23"/>
    <w:rsid w:val="00C514CF"/>
    <w:rsid w:val="00C522AF"/>
    <w:rsid w:val="00C53576"/>
    <w:rsid w:val="00C54CD3"/>
    <w:rsid w:val="00C55A5A"/>
    <w:rsid w:val="00C56866"/>
    <w:rsid w:val="00C57136"/>
    <w:rsid w:val="00C57AB4"/>
    <w:rsid w:val="00C61786"/>
    <w:rsid w:val="00C618F2"/>
    <w:rsid w:val="00C62DC4"/>
    <w:rsid w:val="00C62FFC"/>
    <w:rsid w:val="00C63FF0"/>
    <w:rsid w:val="00C6434C"/>
    <w:rsid w:val="00C65715"/>
    <w:rsid w:val="00C67B2A"/>
    <w:rsid w:val="00C70391"/>
    <w:rsid w:val="00C70D7C"/>
    <w:rsid w:val="00C7167D"/>
    <w:rsid w:val="00C7214C"/>
    <w:rsid w:val="00C759DC"/>
    <w:rsid w:val="00C76619"/>
    <w:rsid w:val="00C76B27"/>
    <w:rsid w:val="00C80F92"/>
    <w:rsid w:val="00C81422"/>
    <w:rsid w:val="00C816AC"/>
    <w:rsid w:val="00C82D5D"/>
    <w:rsid w:val="00C833E1"/>
    <w:rsid w:val="00C85A3F"/>
    <w:rsid w:val="00C91279"/>
    <w:rsid w:val="00C9318C"/>
    <w:rsid w:val="00C932E9"/>
    <w:rsid w:val="00C9348B"/>
    <w:rsid w:val="00C93BC7"/>
    <w:rsid w:val="00C93E37"/>
    <w:rsid w:val="00C94B78"/>
    <w:rsid w:val="00C94DDA"/>
    <w:rsid w:val="00C971EF"/>
    <w:rsid w:val="00C97D60"/>
    <w:rsid w:val="00CA1D28"/>
    <w:rsid w:val="00CA1D88"/>
    <w:rsid w:val="00CA272E"/>
    <w:rsid w:val="00CA34D2"/>
    <w:rsid w:val="00CA3914"/>
    <w:rsid w:val="00CA3E01"/>
    <w:rsid w:val="00CA4075"/>
    <w:rsid w:val="00CB12A8"/>
    <w:rsid w:val="00CB1BF4"/>
    <w:rsid w:val="00CB2244"/>
    <w:rsid w:val="00CB2E13"/>
    <w:rsid w:val="00CB3072"/>
    <w:rsid w:val="00CB36ED"/>
    <w:rsid w:val="00CB383C"/>
    <w:rsid w:val="00CB5A4B"/>
    <w:rsid w:val="00CB62DA"/>
    <w:rsid w:val="00CB6F53"/>
    <w:rsid w:val="00CC0285"/>
    <w:rsid w:val="00CC07A5"/>
    <w:rsid w:val="00CC17FA"/>
    <w:rsid w:val="00CC25FC"/>
    <w:rsid w:val="00CC2F43"/>
    <w:rsid w:val="00CC30C2"/>
    <w:rsid w:val="00CC41CF"/>
    <w:rsid w:val="00CC62EA"/>
    <w:rsid w:val="00CC74EF"/>
    <w:rsid w:val="00CD266E"/>
    <w:rsid w:val="00CD3ED9"/>
    <w:rsid w:val="00CD5728"/>
    <w:rsid w:val="00CE14C5"/>
    <w:rsid w:val="00CE1EA2"/>
    <w:rsid w:val="00CE40CE"/>
    <w:rsid w:val="00CE410D"/>
    <w:rsid w:val="00CE42A9"/>
    <w:rsid w:val="00CE6544"/>
    <w:rsid w:val="00CF0C74"/>
    <w:rsid w:val="00CF0CB8"/>
    <w:rsid w:val="00CF3880"/>
    <w:rsid w:val="00CF4042"/>
    <w:rsid w:val="00CF53F8"/>
    <w:rsid w:val="00CF64C4"/>
    <w:rsid w:val="00CF65F3"/>
    <w:rsid w:val="00CF69BF"/>
    <w:rsid w:val="00CF6D90"/>
    <w:rsid w:val="00CF7D35"/>
    <w:rsid w:val="00D003E9"/>
    <w:rsid w:val="00D0141D"/>
    <w:rsid w:val="00D01C65"/>
    <w:rsid w:val="00D02A1A"/>
    <w:rsid w:val="00D02DC2"/>
    <w:rsid w:val="00D04706"/>
    <w:rsid w:val="00D0476F"/>
    <w:rsid w:val="00D049AD"/>
    <w:rsid w:val="00D05A9B"/>
    <w:rsid w:val="00D05FC1"/>
    <w:rsid w:val="00D06842"/>
    <w:rsid w:val="00D06B5F"/>
    <w:rsid w:val="00D07C58"/>
    <w:rsid w:val="00D10304"/>
    <w:rsid w:val="00D10823"/>
    <w:rsid w:val="00D109C6"/>
    <w:rsid w:val="00D11DE1"/>
    <w:rsid w:val="00D13DFA"/>
    <w:rsid w:val="00D14379"/>
    <w:rsid w:val="00D151B9"/>
    <w:rsid w:val="00D15326"/>
    <w:rsid w:val="00D16ADF"/>
    <w:rsid w:val="00D2389D"/>
    <w:rsid w:val="00D2452E"/>
    <w:rsid w:val="00D252CD"/>
    <w:rsid w:val="00D25FB3"/>
    <w:rsid w:val="00D26067"/>
    <w:rsid w:val="00D27A3F"/>
    <w:rsid w:val="00D30002"/>
    <w:rsid w:val="00D30A70"/>
    <w:rsid w:val="00D3212B"/>
    <w:rsid w:val="00D32BEB"/>
    <w:rsid w:val="00D339FA"/>
    <w:rsid w:val="00D3443B"/>
    <w:rsid w:val="00D37076"/>
    <w:rsid w:val="00D3786E"/>
    <w:rsid w:val="00D37DE7"/>
    <w:rsid w:val="00D4264E"/>
    <w:rsid w:val="00D427C7"/>
    <w:rsid w:val="00D43074"/>
    <w:rsid w:val="00D43726"/>
    <w:rsid w:val="00D43BBF"/>
    <w:rsid w:val="00D44144"/>
    <w:rsid w:val="00D4475D"/>
    <w:rsid w:val="00D469B8"/>
    <w:rsid w:val="00D46AA6"/>
    <w:rsid w:val="00D50006"/>
    <w:rsid w:val="00D52204"/>
    <w:rsid w:val="00D54627"/>
    <w:rsid w:val="00D572EA"/>
    <w:rsid w:val="00D607DD"/>
    <w:rsid w:val="00D608E9"/>
    <w:rsid w:val="00D63FFB"/>
    <w:rsid w:val="00D64700"/>
    <w:rsid w:val="00D65805"/>
    <w:rsid w:val="00D66DB4"/>
    <w:rsid w:val="00D67F87"/>
    <w:rsid w:val="00D70974"/>
    <w:rsid w:val="00D71B51"/>
    <w:rsid w:val="00D73541"/>
    <w:rsid w:val="00D74930"/>
    <w:rsid w:val="00D7580B"/>
    <w:rsid w:val="00D76497"/>
    <w:rsid w:val="00D77463"/>
    <w:rsid w:val="00D8021E"/>
    <w:rsid w:val="00D80C93"/>
    <w:rsid w:val="00D81EEC"/>
    <w:rsid w:val="00D839E5"/>
    <w:rsid w:val="00D85C67"/>
    <w:rsid w:val="00D86281"/>
    <w:rsid w:val="00D90BED"/>
    <w:rsid w:val="00D952C8"/>
    <w:rsid w:val="00D96883"/>
    <w:rsid w:val="00D973D1"/>
    <w:rsid w:val="00D97A5A"/>
    <w:rsid w:val="00D97AFF"/>
    <w:rsid w:val="00DA0167"/>
    <w:rsid w:val="00DA16A9"/>
    <w:rsid w:val="00DA2B4B"/>
    <w:rsid w:val="00DA2BEF"/>
    <w:rsid w:val="00DA31BF"/>
    <w:rsid w:val="00DA382D"/>
    <w:rsid w:val="00DB0F4E"/>
    <w:rsid w:val="00DB13BB"/>
    <w:rsid w:val="00DB1789"/>
    <w:rsid w:val="00DB607A"/>
    <w:rsid w:val="00DB63B1"/>
    <w:rsid w:val="00DB64D5"/>
    <w:rsid w:val="00DB6D96"/>
    <w:rsid w:val="00DB7710"/>
    <w:rsid w:val="00DB7C71"/>
    <w:rsid w:val="00DC2B80"/>
    <w:rsid w:val="00DC4B21"/>
    <w:rsid w:val="00DD0563"/>
    <w:rsid w:val="00DD066B"/>
    <w:rsid w:val="00DD0968"/>
    <w:rsid w:val="00DD2BB9"/>
    <w:rsid w:val="00DD3103"/>
    <w:rsid w:val="00DD5101"/>
    <w:rsid w:val="00DD7186"/>
    <w:rsid w:val="00DE1CE0"/>
    <w:rsid w:val="00DE2B04"/>
    <w:rsid w:val="00DE36F4"/>
    <w:rsid w:val="00DE57DF"/>
    <w:rsid w:val="00DE7647"/>
    <w:rsid w:val="00DF1DD1"/>
    <w:rsid w:val="00DF2A3F"/>
    <w:rsid w:val="00DF37D2"/>
    <w:rsid w:val="00DF524A"/>
    <w:rsid w:val="00DF667C"/>
    <w:rsid w:val="00E014BA"/>
    <w:rsid w:val="00E01F96"/>
    <w:rsid w:val="00E0223F"/>
    <w:rsid w:val="00E02729"/>
    <w:rsid w:val="00E037DC"/>
    <w:rsid w:val="00E03A89"/>
    <w:rsid w:val="00E04D26"/>
    <w:rsid w:val="00E06636"/>
    <w:rsid w:val="00E07E69"/>
    <w:rsid w:val="00E10209"/>
    <w:rsid w:val="00E10C59"/>
    <w:rsid w:val="00E1119E"/>
    <w:rsid w:val="00E11C62"/>
    <w:rsid w:val="00E12BB3"/>
    <w:rsid w:val="00E13D64"/>
    <w:rsid w:val="00E15CB1"/>
    <w:rsid w:val="00E17A29"/>
    <w:rsid w:val="00E2008E"/>
    <w:rsid w:val="00E20604"/>
    <w:rsid w:val="00E2124E"/>
    <w:rsid w:val="00E22489"/>
    <w:rsid w:val="00E24881"/>
    <w:rsid w:val="00E24910"/>
    <w:rsid w:val="00E258B2"/>
    <w:rsid w:val="00E2595F"/>
    <w:rsid w:val="00E27C8E"/>
    <w:rsid w:val="00E27EBC"/>
    <w:rsid w:val="00E31AA4"/>
    <w:rsid w:val="00E31CA3"/>
    <w:rsid w:val="00E31E96"/>
    <w:rsid w:val="00E325E2"/>
    <w:rsid w:val="00E32633"/>
    <w:rsid w:val="00E3434E"/>
    <w:rsid w:val="00E34FF0"/>
    <w:rsid w:val="00E35819"/>
    <w:rsid w:val="00E3774D"/>
    <w:rsid w:val="00E400AB"/>
    <w:rsid w:val="00E404D4"/>
    <w:rsid w:val="00E4083A"/>
    <w:rsid w:val="00E41D66"/>
    <w:rsid w:val="00E42562"/>
    <w:rsid w:val="00E435E9"/>
    <w:rsid w:val="00E43655"/>
    <w:rsid w:val="00E461A8"/>
    <w:rsid w:val="00E467AE"/>
    <w:rsid w:val="00E52012"/>
    <w:rsid w:val="00E54F62"/>
    <w:rsid w:val="00E55020"/>
    <w:rsid w:val="00E55DFA"/>
    <w:rsid w:val="00E55EE7"/>
    <w:rsid w:val="00E56580"/>
    <w:rsid w:val="00E56853"/>
    <w:rsid w:val="00E6012F"/>
    <w:rsid w:val="00E60458"/>
    <w:rsid w:val="00E606E0"/>
    <w:rsid w:val="00E6435B"/>
    <w:rsid w:val="00E648E7"/>
    <w:rsid w:val="00E64D9B"/>
    <w:rsid w:val="00E65A02"/>
    <w:rsid w:val="00E70486"/>
    <w:rsid w:val="00E70621"/>
    <w:rsid w:val="00E70EAA"/>
    <w:rsid w:val="00E71072"/>
    <w:rsid w:val="00E71A2D"/>
    <w:rsid w:val="00E71E56"/>
    <w:rsid w:val="00E7235A"/>
    <w:rsid w:val="00E72CE8"/>
    <w:rsid w:val="00E7503A"/>
    <w:rsid w:val="00E76378"/>
    <w:rsid w:val="00E7689E"/>
    <w:rsid w:val="00E76F27"/>
    <w:rsid w:val="00E818CC"/>
    <w:rsid w:val="00E82DA3"/>
    <w:rsid w:val="00E83EBE"/>
    <w:rsid w:val="00E86D57"/>
    <w:rsid w:val="00E90536"/>
    <w:rsid w:val="00E91356"/>
    <w:rsid w:val="00E91707"/>
    <w:rsid w:val="00E9239B"/>
    <w:rsid w:val="00E93EC5"/>
    <w:rsid w:val="00E94F00"/>
    <w:rsid w:val="00E96296"/>
    <w:rsid w:val="00E97554"/>
    <w:rsid w:val="00E97E60"/>
    <w:rsid w:val="00EA0298"/>
    <w:rsid w:val="00EA0BD3"/>
    <w:rsid w:val="00EA1D0D"/>
    <w:rsid w:val="00EA1F37"/>
    <w:rsid w:val="00EA4AB0"/>
    <w:rsid w:val="00EA65CA"/>
    <w:rsid w:val="00EA6963"/>
    <w:rsid w:val="00EB0080"/>
    <w:rsid w:val="00EB053A"/>
    <w:rsid w:val="00EB18B3"/>
    <w:rsid w:val="00EB21EE"/>
    <w:rsid w:val="00EB3E77"/>
    <w:rsid w:val="00EB4B7A"/>
    <w:rsid w:val="00EB52AB"/>
    <w:rsid w:val="00EB588F"/>
    <w:rsid w:val="00EB7C86"/>
    <w:rsid w:val="00EC0ECB"/>
    <w:rsid w:val="00EC3829"/>
    <w:rsid w:val="00EC3D09"/>
    <w:rsid w:val="00EC4A04"/>
    <w:rsid w:val="00EC5803"/>
    <w:rsid w:val="00EC5FE6"/>
    <w:rsid w:val="00ED02AD"/>
    <w:rsid w:val="00ED04A4"/>
    <w:rsid w:val="00ED1F58"/>
    <w:rsid w:val="00ED2E26"/>
    <w:rsid w:val="00ED3205"/>
    <w:rsid w:val="00ED33A7"/>
    <w:rsid w:val="00ED36C9"/>
    <w:rsid w:val="00ED441C"/>
    <w:rsid w:val="00ED4A73"/>
    <w:rsid w:val="00EE0CE3"/>
    <w:rsid w:val="00EE25BE"/>
    <w:rsid w:val="00EE27DF"/>
    <w:rsid w:val="00EE6B95"/>
    <w:rsid w:val="00EE7068"/>
    <w:rsid w:val="00EF2240"/>
    <w:rsid w:val="00EF40B5"/>
    <w:rsid w:val="00EF5423"/>
    <w:rsid w:val="00EF592F"/>
    <w:rsid w:val="00EF59BD"/>
    <w:rsid w:val="00EF6D2E"/>
    <w:rsid w:val="00F00E45"/>
    <w:rsid w:val="00F056A5"/>
    <w:rsid w:val="00F10E89"/>
    <w:rsid w:val="00F123CF"/>
    <w:rsid w:val="00F12EFA"/>
    <w:rsid w:val="00F1335B"/>
    <w:rsid w:val="00F14D0A"/>
    <w:rsid w:val="00F16E90"/>
    <w:rsid w:val="00F20F3B"/>
    <w:rsid w:val="00F21555"/>
    <w:rsid w:val="00F21982"/>
    <w:rsid w:val="00F21F44"/>
    <w:rsid w:val="00F220D6"/>
    <w:rsid w:val="00F2218C"/>
    <w:rsid w:val="00F227AA"/>
    <w:rsid w:val="00F242C3"/>
    <w:rsid w:val="00F2552D"/>
    <w:rsid w:val="00F267AF"/>
    <w:rsid w:val="00F271F7"/>
    <w:rsid w:val="00F27C83"/>
    <w:rsid w:val="00F27E24"/>
    <w:rsid w:val="00F30770"/>
    <w:rsid w:val="00F32678"/>
    <w:rsid w:val="00F36B5C"/>
    <w:rsid w:val="00F40B36"/>
    <w:rsid w:val="00F41842"/>
    <w:rsid w:val="00F4241C"/>
    <w:rsid w:val="00F425DD"/>
    <w:rsid w:val="00F4281D"/>
    <w:rsid w:val="00F432F9"/>
    <w:rsid w:val="00F46ECE"/>
    <w:rsid w:val="00F4748E"/>
    <w:rsid w:val="00F47DDA"/>
    <w:rsid w:val="00F51A3F"/>
    <w:rsid w:val="00F5202C"/>
    <w:rsid w:val="00F53296"/>
    <w:rsid w:val="00F53DEF"/>
    <w:rsid w:val="00F56729"/>
    <w:rsid w:val="00F57936"/>
    <w:rsid w:val="00F57C6E"/>
    <w:rsid w:val="00F60B26"/>
    <w:rsid w:val="00F61C2E"/>
    <w:rsid w:val="00F61F93"/>
    <w:rsid w:val="00F626D7"/>
    <w:rsid w:val="00F646AE"/>
    <w:rsid w:val="00F73486"/>
    <w:rsid w:val="00F73F28"/>
    <w:rsid w:val="00F758F1"/>
    <w:rsid w:val="00F80BDE"/>
    <w:rsid w:val="00F81797"/>
    <w:rsid w:val="00F81B69"/>
    <w:rsid w:val="00F82301"/>
    <w:rsid w:val="00F82D5F"/>
    <w:rsid w:val="00F83A15"/>
    <w:rsid w:val="00F84127"/>
    <w:rsid w:val="00F8481D"/>
    <w:rsid w:val="00F868D9"/>
    <w:rsid w:val="00F86947"/>
    <w:rsid w:val="00F86E9F"/>
    <w:rsid w:val="00F87FA7"/>
    <w:rsid w:val="00F91709"/>
    <w:rsid w:val="00F97111"/>
    <w:rsid w:val="00F973E8"/>
    <w:rsid w:val="00F9769E"/>
    <w:rsid w:val="00F97FE6"/>
    <w:rsid w:val="00FA0C7E"/>
    <w:rsid w:val="00FA0E6C"/>
    <w:rsid w:val="00FA11B1"/>
    <w:rsid w:val="00FA1551"/>
    <w:rsid w:val="00FA160C"/>
    <w:rsid w:val="00FA1BF4"/>
    <w:rsid w:val="00FA24B2"/>
    <w:rsid w:val="00FA33FC"/>
    <w:rsid w:val="00FA36BA"/>
    <w:rsid w:val="00FA3AAE"/>
    <w:rsid w:val="00FA4DA7"/>
    <w:rsid w:val="00FA5AF6"/>
    <w:rsid w:val="00FA606F"/>
    <w:rsid w:val="00FA66FF"/>
    <w:rsid w:val="00FA6D6D"/>
    <w:rsid w:val="00FA70EC"/>
    <w:rsid w:val="00FB0DDC"/>
    <w:rsid w:val="00FB25D3"/>
    <w:rsid w:val="00FB35DE"/>
    <w:rsid w:val="00FB40B7"/>
    <w:rsid w:val="00FB5BF7"/>
    <w:rsid w:val="00FB6111"/>
    <w:rsid w:val="00FB6CCC"/>
    <w:rsid w:val="00FB7414"/>
    <w:rsid w:val="00FC058F"/>
    <w:rsid w:val="00FC2318"/>
    <w:rsid w:val="00FC2BF5"/>
    <w:rsid w:val="00FC4642"/>
    <w:rsid w:val="00FC4B6E"/>
    <w:rsid w:val="00FC56F5"/>
    <w:rsid w:val="00FC5F6D"/>
    <w:rsid w:val="00FC60E9"/>
    <w:rsid w:val="00FC7561"/>
    <w:rsid w:val="00FD00F1"/>
    <w:rsid w:val="00FD2D31"/>
    <w:rsid w:val="00FD334A"/>
    <w:rsid w:val="00FD589D"/>
    <w:rsid w:val="00FE12E4"/>
    <w:rsid w:val="00FE1B3C"/>
    <w:rsid w:val="00FE2159"/>
    <w:rsid w:val="00FE414D"/>
    <w:rsid w:val="00FE5DCD"/>
    <w:rsid w:val="00FE5EF0"/>
    <w:rsid w:val="00FE6178"/>
    <w:rsid w:val="00FE7F9B"/>
    <w:rsid w:val="00FF0A17"/>
    <w:rsid w:val="00FF15BD"/>
    <w:rsid w:val="00FF2EB8"/>
    <w:rsid w:val="00FF2FA6"/>
    <w:rsid w:val="00FF3A22"/>
    <w:rsid w:val="00FF5692"/>
    <w:rsid w:val="00FF6354"/>
    <w:rsid w:val="00FF6772"/>
    <w:rsid w:val="00FF7CE8"/>
    <w:rsid w:val="00FF7D4E"/>
    <w:rsid w:val="027A086A"/>
    <w:rsid w:val="029F6E2A"/>
    <w:rsid w:val="02A50848"/>
    <w:rsid w:val="02DF3528"/>
    <w:rsid w:val="03685E4D"/>
    <w:rsid w:val="0396569B"/>
    <w:rsid w:val="03F7099F"/>
    <w:rsid w:val="042130F8"/>
    <w:rsid w:val="042F56EC"/>
    <w:rsid w:val="04434B6F"/>
    <w:rsid w:val="04506231"/>
    <w:rsid w:val="045A3C3D"/>
    <w:rsid w:val="04BA6D78"/>
    <w:rsid w:val="05931577"/>
    <w:rsid w:val="059E401F"/>
    <w:rsid w:val="062B2C3B"/>
    <w:rsid w:val="06660AB9"/>
    <w:rsid w:val="06C64278"/>
    <w:rsid w:val="06F736E4"/>
    <w:rsid w:val="06FD2985"/>
    <w:rsid w:val="06FF0FDC"/>
    <w:rsid w:val="0726768B"/>
    <w:rsid w:val="07426966"/>
    <w:rsid w:val="075D7C76"/>
    <w:rsid w:val="0775253E"/>
    <w:rsid w:val="080A0EDF"/>
    <w:rsid w:val="084C7558"/>
    <w:rsid w:val="08C734D9"/>
    <w:rsid w:val="08ED05A7"/>
    <w:rsid w:val="09D47C86"/>
    <w:rsid w:val="0A20394C"/>
    <w:rsid w:val="0A6250F2"/>
    <w:rsid w:val="0A6E5607"/>
    <w:rsid w:val="0AAB7F34"/>
    <w:rsid w:val="0AF955F5"/>
    <w:rsid w:val="0B105042"/>
    <w:rsid w:val="0B2E3105"/>
    <w:rsid w:val="0B3414B3"/>
    <w:rsid w:val="0B4D42A5"/>
    <w:rsid w:val="0B8A7717"/>
    <w:rsid w:val="0BA94938"/>
    <w:rsid w:val="0C447433"/>
    <w:rsid w:val="0C4A6C59"/>
    <w:rsid w:val="0CC81B35"/>
    <w:rsid w:val="0CE57445"/>
    <w:rsid w:val="0D1E2BEC"/>
    <w:rsid w:val="0D7E3150"/>
    <w:rsid w:val="0DFF6C03"/>
    <w:rsid w:val="0E22160C"/>
    <w:rsid w:val="0E6D079F"/>
    <w:rsid w:val="0E9F257D"/>
    <w:rsid w:val="0F371DAC"/>
    <w:rsid w:val="0F637F49"/>
    <w:rsid w:val="0FA74D41"/>
    <w:rsid w:val="0FDF1F9B"/>
    <w:rsid w:val="10025EFA"/>
    <w:rsid w:val="10563B27"/>
    <w:rsid w:val="105647B2"/>
    <w:rsid w:val="10E30A4E"/>
    <w:rsid w:val="11517361"/>
    <w:rsid w:val="11782DA9"/>
    <w:rsid w:val="11A10BCA"/>
    <w:rsid w:val="11C421FC"/>
    <w:rsid w:val="12235E16"/>
    <w:rsid w:val="124F5451"/>
    <w:rsid w:val="1254580A"/>
    <w:rsid w:val="12A07B82"/>
    <w:rsid w:val="12EC1B0F"/>
    <w:rsid w:val="135C0186"/>
    <w:rsid w:val="14104524"/>
    <w:rsid w:val="14126400"/>
    <w:rsid w:val="14E13D3F"/>
    <w:rsid w:val="15835691"/>
    <w:rsid w:val="15BD3EC4"/>
    <w:rsid w:val="15C44A34"/>
    <w:rsid w:val="15E67081"/>
    <w:rsid w:val="173F4BE7"/>
    <w:rsid w:val="174D1DE0"/>
    <w:rsid w:val="177B4930"/>
    <w:rsid w:val="17A43679"/>
    <w:rsid w:val="187B7657"/>
    <w:rsid w:val="18B96EA5"/>
    <w:rsid w:val="19192595"/>
    <w:rsid w:val="195B3238"/>
    <w:rsid w:val="1A190154"/>
    <w:rsid w:val="1A80327D"/>
    <w:rsid w:val="1AC36CDD"/>
    <w:rsid w:val="1AFB6C58"/>
    <w:rsid w:val="1B1C3356"/>
    <w:rsid w:val="1B596E38"/>
    <w:rsid w:val="1D190963"/>
    <w:rsid w:val="1E406401"/>
    <w:rsid w:val="1E41421A"/>
    <w:rsid w:val="1E822D51"/>
    <w:rsid w:val="1EB36F38"/>
    <w:rsid w:val="1F331539"/>
    <w:rsid w:val="1F350CD7"/>
    <w:rsid w:val="1F6E0CC1"/>
    <w:rsid w:val="1FFB0D7E"/>
    <w:rsid w:val="204025D7"/>
    <w:rsid w:val="20F11A9E"/>
    <w:rsid w:val="212D32FB"/>
    <w:rsid w:val="21403022"/>
    <w:rsid w:val="21A057F2"/>
    <w:rsid w:val="21AA213E"/>
    <w:rsid w:val="229B435B"/>
    <w:rsid w:val="23A605D9"/>
    <w:rsid w:val="23B937DB"/>
    <w:rsid w:val="23F12675"/>
    <w:rsid w:val="24150342"/>
    <w:rsid w:val="24CB2303"/>
    <w:rsid w:val="24D254E0"/>
    <w:rsid w:val="2507416E"/>
    <w:rsid w:val="252B625B"/>
    <w:rsid w:val="25363FBB"/>
    <w:rsid w:val="253E4E59"/>
    <w:rsid w:val="266F7738"/>
    <w:rsid w:val="26932658"/>
    <w:rsid w:val="269B7E90"/>
    <w:rsid w:val="26F8752D"/>
    <w:rsid w:val="272708CA"/>
    <w:rsid w:val="27515BA5"/>
    <w:rsid w:val="27920C2F"/>
    <w:rsid w:val="27BA3B5F"/>
    <w:rsid w:val="27E60B1F"/>
    <w:rsid w:val="284F4912"/>
    <w:rsid w:val="28731E49"/>
    <w:rsid w:val="28895156"/>
    <w:rsid w:val="28DF100E"/>
    <w:rsid w:val="2A333954"/>
    <w:rsid w:val="2A384618"/>
    <w:rsid w:val="2A3A40F2"/>
    <w:rsid w:val="2B0D1CF3"/>
    <w:rsid w:val="2BD77D3E"/>
    <w:rsid w:val="2C4E6754"/>
    <w:rsid w:val="2C8548D4"/>
    <w:rsid w:val="2D06213D"/>
    <w:rsid w:val="2D2823AE"/>
    <w:rsid w:val="2D4535BE"/>
    <w:rsid w:val="2D4D37D6"/>
    <w:rsid w:val="2D4F47A3"/>
    <w:rsid w:val="2D7038A7"/>
    <w:rsid w:val="2DDB1504"/>
    <w:rsid w:val="2E9F282A"/>
    <w:rsid w:val="2EA02780"/>
    <w:rsid w:val="2EBA7439"/>
    <w:rsid w:val="2F9E797B"/>
    <w:rsid w:val="2FAA0876"/>
    <w:rsid w:val="2FC907BD"/>
    <w:rsid w:val="30F82904"/>
    <w:rsid w:val="31101B55"/>
    <w:rsid w:val="31824997"/>
    <w:rsid w:val="31A762FD"/>
    <w:rsid w:val="31C624E3"/>
    <w:rsid w:val="31C86857"/>
    <w:rsid w:val="31D47F42"/>
    <w:rsid w:val="31E541DB"/>
    <w:rsid w:val="32914B85"/>
    <w:rsid w:val="32AA3E49"/>
    <w:rsid w:val="32E5486E"/>
    <w:rsid w:val="333C56DB"/>
    <w:rsid w:val="342931C2"/>
    <w:rsid w:val="34954A3A"/>
    <w:rsid w:val="34A62484"/>
    <w:rsid w:val="35A41229"/>
    <w:rsid w:val="35C70880"/>
    <w:rsid w:val="35C86F0C"/>
    <w:rsid w:val="36C10565"/>
    <w:rsid w:val="373123BC"/>
    <w:rsid w:val="375C74B7"/>
    <w:rsid w:val="376B2419"/>
    <w:rsid w:val="377F5877"/>
    <w:rsid w:val="37A00B2C"/>
    <w:rsid w:val="380742CD"/>
    <w:rsid w:val="3811797A"/>
    <w:rsid w:val="38312985"/>
    <w:rsid w:val="387E79C6"/>
    <w:rsid w:val="38A83827"/>
    <w:rsid w:val="3901468C"/>
    <w:rsid w:val="393423C0"/>
    <w:rsid w:val="39C2669D"/>
    <w:rsid w:val="3A2E5F10"/>
    <w:rsid w:val="3A300FB9"/>
    <w:rsid w:val="3A4D37A7"/>
    <w:rsid w:val="3A932450"/>
    <w:rsid w:val="3AAB2D0F"/>
    <w:rsid w:val="3AC728B8"/>
    <w:rsid w:val="3AD43D82"/>
    <w:rsid w:val="3B1B431C"/>
    <w:rsid w:val="3B4C7733"/>
    <w:rsid w:val="3BAB1560"/>
    <w:rsid w:val="3D440F4F"/>
    <w:rsid w:val="3FCF4B8D"/>
    <w:rsid w:val="40026CC6"/>
    <w:rsid w:val="40156E6A"/>
    <w:rsid w:val="41094F83"/>
    <w:rsid w:val="41861813"/>
    <w:rsid w:val="41987DC6"/>
    <w:rsid w:val="41B01FD9"/>
    <w:rsid w:val="41C06F0B"/>
    <w:rsid w:val="41F71CB4"/>
    <w:rsid w:val="42023B0E"/>
    <w:rsid w:val="420F7A02"/>
    <w:rsid w:val="4229452C"/>
    <w:rsid w:val="429515BB"/>
    <w:rsid w:val="429D0AC0"/>
    <w:rsid w:val="42C332BD"/>
    <w:rsid w:val="432038BC"/>
    <w:rsid w:val="4361188B"/>
    <w:rsid w:val="442F4444"/>
    <w:rsid w:val="444C462D"/>
    <w:rsid w:val="4478250C"/>
    <w:rsid w:val="44957B45"/>
    <w:rsid w:val="452B4977"/>
    <w:rsid w:val="45416E53"/>
    <w:rsid w:val="462425FA"/>
    <w:rsid w:val="46560A68"/>
    <w:rsid w:val="469E3BD6"/>
    <w:rsid w:val="472004DC"/>
    <w:rsid w:val="47BD4095"/>
    <w:rsid w:val="48092B19"/>
    <w:rsid w:val="49123E8C"/>
    <w:rsid w:val="491F1B71"/>
    <w:rsid w:val="49341936"/>
    <w:rsid w:val="4A652710"/>
    <w:rsid w:val="4A8357FE"/>
    <w:rsid w:val="4ACA4E7B"/>
    <w:rsid w:val="4AE93475"/>
    <w:rsid w:val="4AED1FAB"/>
    <w:rsid w:val="4B160C82"/>
    <w:rsid w:val="4B1D0F5A"/>
    <w:rsid w:val="4B673EC0"/>
    <w:rsid w:val="4B8B3565"/>
    <w:rsid w:val="4BBF0C5F"/>
    <w:rsid w:val="4C114233"/>
    <w:rsid w:val="4C3C11C5"/>
    <w:rsid w:val="4C857855"/>
    <w:rsid w:val="4CB15EDF"/>
    <w:rsid w:val="4CBF35D9"/>
    <w:rsid w:val="4CC15BB4"/>
    <w:rsid w:val="4D7D2A20"/>
    <w:rsid w:val="4E447506"/>
    <w:rsid w:val="4E530B8A"/>
    <w:rsid w:val="4E8D0EC5"/>
    <w:rsid w:val="4E9B3C13"/>
    <w:rsid w:val="4EDE180A"/>
    <w:rsid w:val="4EFC18B1"/>
    <w:rsid w:val="4F1C6EFE"/>
    <w:rsid w:val="50273337"/>
    <w:rsid w:val="50810E74"/>
    <w:rsid w:val="50EE361E"/>
    <w:rsid w:val="515C510A"/>
    <w:rsid w:val="517178E4"/>
    <w:rsid w:val="517A2E5C"/>
    <w:rsid w:val="51DB1730"/>
    <w:rsid w:val="51F15F26"/>
    <w:rsid w:val="51F87E5D"/>
    <w:rsid w:val="52380CB1"/>
    <w:rsid w:val="52536D62"/>
    <w:rsid w:val="52F12801"/>
    <w:rsid w:val="53400910"/>
    <w:rsid w:val="535E7AF2"/>
    <w:rsid w:val="538924DA"/>
    <w:rsid w:val="539D402D"/>
    <w:rsid w:val="548F3E5E"/>
    <w:rsid w:val="54D0721E"/>
    <w:rsid w:val="54E20337"/>
    <w:rsid w:val="55236AC0"/>
    <w:rsid w:val="554B5D79"/>
    <w:rsid w:val="559F425F"/>
    <w:rsid w:val="565720A4"/>
    <w:rsid w:val="56EF4829"/>
    <w:rsid w:val="57337A62"/>
    <w:rsid w:val="57602701"/>
    <w:rsid w:val="580F7941"/>
    <w:rsid w:val="5866425D"/>
    <w:rsid w:val="586D13FA"/>
    <w:rsid w:val="587D5F0D"/>
    <w:rsid w:val="58A247EF"/>
    <w:rsid w:val="58F208B3"/>
    <w:rsid w:val="59D3464F"/>
    <w:rsid w:val="59FE0B96"/>
    <w:rsid w:val="5A402C3F"/>
    <w:rsid w:val="5A976771"/>
    <w:rsid w:val="5AA62E25"/>
    <w:rsid w:val="5AC75E72"/>
    <w:rsid w:val="5B0B1180"/>
    <w:rsid w:val="5B637F66"/>
    <w:rsid w:val="5B7877D5"/>
    <w:rsid w:val="5BC40C60"/>
    <w:rsid w:val="5C630452"/>
    <w:rsid w:val="5CD77D04"/>
    <w:rsid w:val="5CF84877"/>
    <w:rsid w:val="5D4B1617"/>
    <w:rsid w:val="5D526732"/>
    <w:rsid w:val="5D8013B6"/>
    <w:rsid w:val="5D9737ED"/>
    <w:rsid w:val="5DAC2FFD"/>
    <w:rsid w:val="5DCE523B"/>
    <w:rsid w:val="5DE410A5"/>
    <w:rsid w:val="5E0A5BC3"/>
    <w:rsid w:val="5E6203CA"/>
    <w:rsid w:val="5E6733F7"/>
    <w:rsid w:val="5F347BCD"/>
    <w:rsid w:val="5F49774A"/>
    <w:rsid w:val="5FF00645"/>
    <w:rsid w:val="60C0433D"/>
    <w:rsid w:val="60C7446B"/>
    <w:rsid w:val="6135008C"/>
    <w:rsid w:val="614E6B0B"/>
    <w:rsid w:val="61C32396"/>
    <w:rsid w:val="61E8707F"/>
    <w:rsid w:val="62C7435C"/>
    <w:rsid w:val="63174F49"/>
    <w:rsid w:val="633F586C"/>
    <w:rsid w:val="63752C27"/>
    <w:rsid w:val="63AB20A5"/>
    <w:rsid w:val="63F123F5"/>
    <w:rsid w:val="63F66792"/>
    <w:rsid w:val="63F914B0"/>
    <w:rsid w:val="640172F4"/>
    <w:rsid w:val="64021980"/>
    <w:rsid w:val="643E503A"/>
    <w:rsid w:val="646728F5"/>
    <w:rsid w:val="64A65672"/>
    <w:rsid w:val="64AF207D"/>
    <w:rsid w:val="65264622"/>
    <w:rsid w:val="653E5F61"/>
    <w:rsid w:val="65494EF5"/>
    <w:rsid w:val="65CD082D"/>
    <w:rsid w:val="65E30A37"/>
    <w:rsid w:val="666A416C"/>
    <w:rsid w:val="6688766C"/>
    <w:rsid w:val="66BE0F8B"/>
    <w:rsid w:val="66DC6767"/>
    <w:rsid w:val="670261CD"/>
    <w:rsid w:val="6722295B"/>
    <w:rsid w:val="673354E3"/>
    <w:rsid w:val="67367421"/>
    <w:rsid w:val="674E1CAA"/>
    <w:rsid w:val="67FA4B36"/>
    <w:rsid w:val="682D068B"/>
    <w:rsid w:val="68467D4C"/>
    <w:rsid w:val="68725ABA"/>
    <w:rsid w:val="68F525FB"/>
    <w:rsid w:val="69125452"/>
    <w:rsid w:val="6923182C"/>
    <w:rsid w:val="69477722"/>
    <w:rsid w:val="69C94EC6"/>
    <w:rsid w:val="69DC6144"/>
    <w:rsid w:val="6A742849"/>
    <w:rsid w:val="6B070EAB"/>
    <w:rsid w:val="6B630CEA"/>
    <w:rsid w:val="6B9B3045"/>
    <w:rsid w:val="6BAF10F9"/>
    <w:rsid w:val="6BD77814"/>
    <w:rsid w:val="6C2B7ED2"/>
    <w:rsid w:val="6C5625C9"/>
    <w:rsid w:val="6CA67A50"/>
    <w:rsid w:val="6CEB36AA"/>
    <w:rsid w:val="6D052799"/>
    <w:rsid w:val="6E2169C5"/>
    <w:rsid w:val="6E9F2D3F"/>
    <w:rsid w:val="6EF96B0A"/>
    <w:rsid w:val="6F1170C6"/>
    <w:rsid w:val="6F583F66"/>
    <w:rsid w:val="6FC76A49"/>
    <w:rsid w:val="700B3B08"/>
    <w:rsid w:val="70266CC4"/>
    <w:rsid w:val="704B398C"/>
    <w:rsid w:val="70C213F7"/>
    <w:rsid w:val="712A4B7C"/>
    <w:rsid w:val="71CD728B"/>
    <w:rsid w:val="71DF144D"/>
    <w:rsid w:val="71E9078C"/>
    <w:rsid w:val="728D19EA"/>
    <w:rsid w:val="72B45ACE"/>
    <w:rsid w:val="731C2668"/>
    <w:rsid w:val="73E700E8"/>
    <w:rsid w:val="741F06B0"/>
    <w:rsid w:val="74402E9C"/>
    <w:rsid w:val="74517A8B"/>
    <w:rsid w:val="75A160B7"/>
    <w:rsid w:val="763B6929"/>
    <w:rsid w:val="7644601F"/>
    <w:rsid w:val="7690400C"/>
    <w:rsid w:val="771C0FF8"/>
    <w:rsid w:val="77402FE5"/>
    <w:rsid w:val="77892376"/>
    <w:rsid w:val="77C75128"/>
    <w:rsid w:val="7833484D"/>
    <w:rsid w:val="785A3165"/>
    <w:rsid w:val="78722EE5"/>
    <w:rsid w:val="79091643"/>
    <w:rsid w:val="792311DD"/>
    <w:rsid w:val="79A61E17"/>
    <w:rsid w:val="79E67B60"/>
    <w:rsid w:val="79F71B49"/>
    <w:rsid w:val="7A027B2F"/>
    <w:rsid w:val="7A470177"/>
    <w:rsid w:val="7AF000F9"/>
    <w:rsid w:val="7B0058B8"/>
    <w:rsid w:val="7B7A6A76"/>
    <w:rsid w:val="7B925022"/>
    <w:rsid w:val="7BB04588"/>
    <w:rsid w:val="7C6A3551"/>
    <w:rsid w:val="7CD652DB"/>
    <w:rsid w:val="7CF97C36"/>
    <w:rsid w:val="7D2B4FE0"/>
    <w:rsid w:val="7DB22F60"/>
    <w:rsid w:val="7DBD2CA8"/>
    <w:rsid w:val="7E9A2B85"/>
    <w:rsid w:val="7EAF0B24"/>
    <w:rsid w:val="7F3A717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tabs>
        <w:tab w:val="left" w:pos="840"/>
      </w:tabs>
      <w:adjustRightInd w:val="0"/>
      <w:snapToGrid w:val="0"/>
      <w:spacing w:line="360" w:lineRule="auto"/>
      <w:outlineLvl w:val="0"/>
    </w:pPr>
    <w:rPr>
      <w:rFonts w:ascii="宋体"/>
      <w:b/>
      <w:kern w:val="44"/>
      <w:sz w:val="24"/>
      <w:szCs w:val="20"/>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32">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qFormat/>
    <w:uiPriority w:val="0"/>
    <w:pPr>
      <w:ind w:firstLine="420"/>
    </w:pPr>
  </w:style>
  <w:style w:type="paragraph" w:styleId="3">
    <w:name w:val="Body Text"/>
    <w:basedOn w:val="1"/>
    <w:next w:val="2"/>
    <w:qFormat/>
    <w:uiPriority w:val="0"/>
    <w:pPr>
      <w:spacing w:after="120"/>
    </w:pPr>
  </w:style>
  <w:style w:type="paragraph" w:styleId="4">
    <w:name w:val="toc 6"/>
    <w:basedOn w:val="1"/>
    <w:next w:val="1"/>
    <w:semiHidden/>
    <w:qFormat/>
    <w:uiPriority w:val="0"/>
    <w:pPr>
      <w:ind w:left="1050"/>
      <w:jc w:val="left"/>
    </w:pPr>
    <w:rPr>
      <w:sz w:val="18"/>
      <w:szCs w:val="18"/>
    </w:rPr>
  </w:style>
  <w:style w:type="paragraph" w:styleId="8">
    <w:name w:val="annotation subject"/>
    <w:basedOn w:val="9"/>
    <w:next w:val="9"/>
    <w:semiHidden/>
    <w:qFormat/>
    <w:uiPriority w:val="0"/>
    <w:rPr>
      <w:b/>
      <w:bCs/>
    </w:rPr>
  </w:style>
  <w:style w:type="paragraph" w:styleId="9">
    <w:name w:val="annotation text"/>
    <w:basedOn w:val="1"/>
    <w:semiHidden/>
    <w:qFormat/>
    <w:uiPriority w:val="0"/>
    <w:pPr>
      <w:jc w:val="left"/>
    </w:pPr>
  </w:style>
  <w:style w:type="paragraph" w:styleId="10">
    <w:name w:val="toc 7"/>
    <w:basedOn w:val="1"/>
    <w:next w:val="1"/>
    <w:semiHidden/>
    <w:qFormat/>
    <w:uiPriority w:val="0"/>
    <w:pPr>
      <w:ind w:left="1260"/>
      <w:jc w:val="left"/>
    </w:pPr>
    <w:rPr>
      <w:sz w:val="18"/>
      <w:szCs w:val="18"/>
    </w:rPr>
  </w:style>
  <w:style w:type="paragraph" w:styleId="11">
    <w:name w:val="Normal Indent"/>
    <w:basedOn w:val="1"/>
    <w:link w:val="43"/>
    <w:qFormat/>
    <w:uiPriority w:val="0"/>
    <w:pPr>
      <w:adjustRightInd w:val="0"/>
      <w:spacing w:line="312" w:lineRule="atLeast"/>
      <w:ind w:firstLine="420"/>
      <w:textAlignment w:val="baseline"/>
    </w:pPr>
    <w:rPr>
      <w:kern w:val="0"/>
      <w:szCs w:val="20"/>
    </w:rPr>
  </w:style>
  <w:style w:type="paragraph" w:styleId="12">
    <w:name w:val="Document Map"/>
    <w:basedOn w:val="1"/>
    <w:semiHidden/>
    <w:qFormat/>
    <w:uiPriority w:val="0"/>
    <w:pPr>
      <w:shd w:val="clear" w:color="auto" w:fill="000080"/>
    </w:pPr>
  </w:style>
  <w:style w:type="paragraph" w:styleId="13">
    <w:name w:val="Body Text Indent"/>
    <w:basedOn w:val="1"/>
    <w:next w:val="14"/>
    <w:link w:val="44"/>
    <w:qFormat/>
    <w:uiPriority w:val="0"/>
    <w:pPr>
      <w:ind w:left="480" w:hanging="480" w:hangingChars="200"/>
    </w:pPr>
    <w:rPr>
      <w:sz w:val="24"/>
    </w:rPr>
  </w:style>
  <w:style w:type="paragraph" w:styleId="14">
    <w:name w:val="Body Text First Indent 2"/>
    <w:basedOn w:val="13"/>
    <w:unhideWhenUsed/>
    <w:qFormat/>
    <w:uiPriority w:val="99"/>
    <w:pPr>
      <w:ind w:firstLine="420" w:firstLineChars="200"/>
    </w:pPr>
  </w:style>
  <w:style w:type="paragraph" w:styleId="15">
    <w:name w:val="toc 5"/>
    <w:basedOn w:val="1"/>
    <w:next w:val="1"/>
    <w:semiHidden/>
    <w:qFormat/>
    <w:uiPriority w:val="0"/>
    <w:pPr>
      <w:ind w:left="840"/>
      <w:jc w:val="left"/>
    </w:pPr>
    <w:rPr>
      <w:sz w:val="18"/>
      <w:szCs w:val="18"/>
    </w:rPr>
  </w:style>
  <w:style w:type="paragraph" w:styleId="16">
    <w:name w:val="toc 3"/>
    <w:basedOn w:val="1"/>
    <w:next w:val="1"/>
    <w:semiHidden/>
    <w:qFormat/>
    <w:uiPriority w:val="0"/>
    <w:pPr>
      <w:ind w:left="420"/>
      <w:jc w:val="left"/>
    </w:pPr>
    <w:rPr>
      <w:i/>
      <w:iCs/>
      <w:sz w:val="20"/>
      <w:szCs w:val="20"/>
    </w:rPr>
  </w:style>
  <w:style w:type="paragraph" w:styleId="17">
    <w:name w:val="Plain Text"/>
    <w:basedOn w:val="1"/>
    <w:link w:val="45"/>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18">
    <w:name w:val="toc 8"/>
    <w:basedOn w:val="1"/>
    <w:next w:val="1"/>
    <w:semiHidden/>
    <w:qFormat/>
    <w:uiPriority w:val="0"/>
    <w:pPr>
      <w:ind w:left="1470"/>
      <w:jc w:val="left"/>
    </w:pPr>
    <w:rPr>
      <w:sz w:val="18"/>
      <w:szCs w:val="18"/>
    </w:rPr>
  </w:style>
  <w:style w:type="paragraph" w:styleId="19">
    <w:name w:val="Date"/>
    <w:basedOn w:val="1"/>
    <w:next w:val="1"/>
    <w:qFormat/>
    <w:uiPriority w:val="0"/>
    <w:pPr>
      <w:ind w:left="100" w:leftChars="2500"/>
    </w:pPr>
    <w:rPr>
      <w:szCs w:val="20"/>
    </w:rPr>
  </w:style>
  <w:style w:type="paragraph" w:styleId="20">
    <w:name w:val="Body Text Indent 2"/>
    <w:basedOn w:val="1"/>
    <w:link w:val="46"/>
    <w:qFormat/>
    <w:uiPriority w:val="0"/>
    <w:pPr>
      <w:spacing w:line="500" w:lineRule="exact"/>
      <w:ind w:firstLine="511" w:firstLineChars="213"/>
    </w:pPr>
    <w:rPr>
      <w:sz w:val="24"/>
    </w:rPr>
  </w:style>
  <w:style w:type="paragraph" w:styleId="21">
    <w:name w:val="Balloon Text"/>
    <w:basedOn w:val="1"/>
    <w:semiHidden/>
    <w:qFormat/>
    <w:uiPriority w:val="0"/>
    <w:rPr>
      <w:sz w:val="18"/>
      <w:szCs w:val="18"/>
    </w:rPr>
  </w:style>
  <w:style w:type="paragraph" w:styleId="22">
    <w:name w:val="footer"/>
    <w:basedOn w:val="1"/>
    <w:link w:val="47"/>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b/>
      <w:bCs/>
      <w:caps/>
      <w:sz w:val="20"/>
      <w:szCs w:val="20"/>
    </w:rPr>
  </w:style>
  <w:style w:type="paragraph" w:styleId="25">
    <w:name w:val="toc 4"/>
    <w:basedOn w:val="1"/>
    <w:next w:val="1"/>
    <w:semiHidden/>
    <w:qFormat/>
    <w:uiPriority w:val="0"/>
    <w:pPr>
      <w:ind w:left="630"/>
      <w:jc w:val="left"/>
    </w:pPr>
    <w:rPr>
      <w:sz w:val="18"/>
      <w:szCs w:val="18"/>
    </w:rPr>
  </w:style>
  <w:style w:type="paragraph" w:styleId="26">
    <w:name w:val="Body Text Indent 3"/>
    <w:basedOn w:val="1"/>
    <w:qFormat/>
    <w:uiPriority w:val="0"/>
    <w:pPr>
      <w:spacing w:line="500" w:lineRule="exact"/>
      <w:ind w:left="511" w:hanging="511" w:hangingChars="213"/>
    </w:pPr>
    <w:rPr>
      <w:sz w:val="24"/>
    </w:rPr>
  </w:style>
  <w:style w:type="paragraph" w:styleId="27">
    <w:name w:val="toc 2"/>
    <w:basedOn w:val="1"/>
    <w:next w:val="1"/>
    <w:qFormat/>
    <w:uiPriority w:val="39"/>
    <w:pPr>
      <w:ind w:left="210"/>
      <w:jc w:val="left"/>
    </w:pPr>
    <w:rPr>
      <w:smallCaps/>
      <w:sz w:val="20"/>
      <w:szCs w:val="20"/>
    </w:rPr>
  </w:style>
  <w:style w:type="paragraph" w:styleId="28">
    <w:name w:val="toc 9"/>
    <w:basedOn w:val="1"/>
    <w:next w:val="1"/>
    <w:semiHidden/>
    <w:qFormat/>
    <w:uiPriority w:val="0"/>
    <w:pPr>
      <w:ind w:left="1680"/>
      <w:jc w:val="left"/>
    </w:pPr>
    <w:rPr>
      <w:sz w:val="18"/>
      <w:szCs w:val="18"/>
    </w:rPr>
  </w:style>
  <w:style w:type="paragraph" w:styleId="2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3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next w:val="1"/>
    <w:link w:val="48"/>
    <w:qFormat/>
    <w:uiPriority w:val="0"/>
    <w:pPr>
      <w:spacing w:before="240" w:after="60"/>
      <w:jc w:val="center"/>
      <w:outlineLvl w:val="0"/>
    </w:pPr>
    <w:rPr>
      <w:rFonts w:ascii="Arial" w:hAnsi="Arial"/>
      <w:b/>
      <w:bCs/>
      <w:color w:val="000000"/>
      <w:kern w:val="0"/>
      <w:sz w:val="32"/>
      <w:szCs w:val="32"/>
    </w:r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0"/>
  </w:style>
  <w:style w:type="character" w:styleId="37">
    <w:name w:val="Hyperlink"/>
    <w:basedOn w:val="32"/>
    <w:qFormat/>
    <w:uiPriority w:val="99"/>
    <w:rPr>
      <w:color w:val="333333"/>
      <w:u w:val="none"/>
    </w:rPr>
  </w:style>
  <w:style w:type="character" w:styleId="38">
    <w:name w:val="annotation reference"/>
    <w:basedOn w:val="32"/>
    <w:semiHidden/>
    <w:qFormat/>
    <w:uiPriority w:val="0"/>
    <w:rPr>
      <w:sz w:val="21"/>
      <w:szCs w:val="21"/>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1">
    <w:name w:val="Table Theme"/>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2">
    <w:name w:val="Table Grid 1"/>
    <w:basedOn w:val="3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character" w:customStyle="1" w:styleId="43">
    <w:name w:val="正文缩进 Char"/>
    <w:link w:val="11"/>
    <w:qFormat/>
    <w:uiPriority w:val="0"/>
    <w:rPr>
      <w:sz w:val="21"/>
    </w:rPr>
  </w:style>
  <w:style w:type="character" w:customStyle="1" w:styleId="44">
    <w:name w:val="正文文本缩进 Char"/>
    <w:basedOn w:val="32"/>
    <w:link w:val="13"/>
    <w:qFormat/>
    <w:uiPriority w:val="0"/>
    <w:rPr>
      <w:rFonts w:eastAsia="宋体"/>
      <w:kern w:val="2"/>
      <w:sz w:val="24"/>
      <w:szCs w:val="24"/>
      <w:lang w:val="en-US" w:eastAsia="zh-CN" w:bidi="ar-SA"/>
    </w:rPr>
  </w:style>
  <w:style w:type="character" w:customStyle="1" w:styleId="45">
    <w:name w:val="纯文本 Char"/>
    <w:link w:val="17"/>
    <w:qFormat/>
    <w:uiPriority w:val="0"/>
    <w:rPr>
      <w:rFonts w:ascii="宋体" w:hAnsi="Courier New" w:eastAsia="宋体"/>
      <w:sz w:val="21"/>
      <w:szCs w:val="21"/>
      <w:lang w:val="en-US" w:eastAsia="zh-CN" w:bidi="ar-SA"/>
    </w:rPr>
  </w:style>
  <w:style w:type="character" w:customStyle="1" w:styleId="46">
    <w:name w:val="正文文本缩进 2 Char"/>
    <w:basedOn w:val="32"/>
    <w:link w:val="20"/>
    <w:qFormat/>
    <w:uiPriority w:val="0"/>
    <w:rPr>
      <w:kern w:val="2"/>
      <w:sz w:val="24"/>
      <w:szCs w:val="24"/>
    </w:rPr>
  </w:style>
  <w:style w:type="character" w:customStyle="1" w:styleId="47">
    <w:name w:val="页脚 Char"/>
    <w:basedOn w:val="32"/>
    <w:link w:val="22"/>
    <w:qFormat/>
    <w:uiPriority w:val="0"/>
    <w:rPr>
      <w:rFonts w:eastAsia="宋体"/>
      <w:kern w:val="2"/>
      <w:sz w:val="18"/>
      <w:szCs w:val="18"/>
      <w:lang w:val="en-US" w:eastAsia="zh-CN" w:bidi="ar-SA"/>
    </w:rPr>
  </w:style>
  <w:style w:type="character" w:customStyle="1" w:styleId="48">
    <w:name w:val="标题 Char"/>
    <w:link w:val="31"/>
    <w:qFormat/>
    <w:uiPriority w:val="0"/>
    <w:rPr>
      <w:rFonts w:ascii="Arial" w:hAnsi="Arial" w:cs="Arial"/>
      <w:b/>
      <w:bCs/>
      <w:color w:val="000000"/>
      <w:sz w:val="32"/>
      <w:szCs w:val="32"/>
    </w:rPr>
  </w:style>
  <w:style w:type="character" w:customStyle="1" w:styleId="49">
    <w:name w:val="large1"/>
    <w:qFormat/>
    <w:uiPriority w:val="0"/>
    <w:rPr>
      <w:rFonts w:hint="eastAsia" w:ascii="宋体" w:hAnsi="宋体" w:eastAsia="宋体"/>
      <w:sz w:val="21"/>
      <w:szCs w:val="21"/>
    </w:rPr>
  </w:style>
  <w:style w:type="character" w:customStyle="1" w:styleId="50">
    <w:name w:val="Char Char Char"/>
    <w:basedOn w:val="32"/>
    <w:qFormat/>
    <w:uiPriority w:val="0"/>
    <w:rPr>
      <w:rFonts w:ascii="宋体" w:hAnsi="Courier New" w:eastAsia="宋体"/>
      <w:sz w:val="21"/>
      <w:szCs w:val="21"/>
      <w:lang w:val="en-US" w:eastAsia="zh-CN" w:bidi="ar-SA"/>
    </w:rPr>
  </w:style>
  <w:style w:type="character" w:customStyle="1" w:styleId="51">
    <w:name w:val="正文（首行缩进两字） Char"/>
    <w:basedOn w:val="32"/>
    <w:qFormat/>
    <w:uiPriority w:val="0"/>
    <w:rPr>
      <w:rFonts w:eastAsia="宋体"/>
      <w:sz w:val="21"/>
      <w:lang w:val="en-US" w:eastAsia="zh-CN" w:bidi="ar-SA"/>
    </w:rPr>
  </w:style>
  <w:style w:type="character" w:customStyle="1" w:styleId="52">
    <w:name w:val="b2"/>
    <w:basedOn w:val="32"/>
    <w:qFormat/>
    <w:uiPriority w:val="0"/>
  </w:style>
  <w:style w:type="character" w:customStyle="1" w:styleId="53">
    <w:name w:val="px141"/>
    <w:basedOn w:val="32"/>
    <w:qFormat/>
    <w:uiPriority w:val="0"/>
    <w:rPr>
      <w:sz w:val="21"/>
      <w:szCs w:val="21"/>
    </w:rPr>
  </w:style>
  <w:style w:type="character" w:customStyle="1" w:styleId="54">
    <w:name w:val="stone1"/>
    <w:basedOn w:val="32"/>
    <w:qFormat/>
    <w:uiPriority w:val="0"/>
    <w:rPr>
      <w:vanish/>
    </w:rPr>
  </w:style>
  <w:style w:type="character" w:customStyle="1" w:styleId="55">
    <w:name w:val="title1"/>
    <w:basedOn w:val="32"/>
    <w:qFormat/>
    <w:uiPriority w:val="0"/>
    <w:rPr>
      <w:rFonts w:hint="eastAsia" w:ascii="宋体" w:hAnsi="宋体" w:eastAsia="宋体"/>
      <w:b/>
      <w:bCs/>
      <w:sz w:val="22"/>
      <w:szCs w:val="22"/>
    </w:rPr>
  </w:style>
  <w:style w:type="character" w:customStyle="1" w:styleId="56">
    <w:name w:val="headline-content2"/>
    <w:basedOn w:val="32"/>
    <w:qFormat/>
    <w:uiPriority w:val="0"/>
  </w:style>
  <w:style w:type="character" w:customStyle="1" w:styleId="57">
    <w:name w:val="Texte Char Char"/>
    <w:basedOn w:val="32"/>
    <w:qFormat/>
    <w:uiPriority w:val="0"/>
    <w:rPr>
      <w:rFonts w:ascii="宋体" w:hAnsi="Courier New" w:eastAsia="宋体"/>
      <w:sz w:val="21"/>
      <w:szCs w:val="21"/>
      <w:lang w:val="en-US" w:eastAsia="zh-CN" w:bidi="ar-SA"/>
    </w:rPr>
  </w:style>
  <w:style w:type="character" w:customStyle="1" w:styleId="58">
    <w:name w:val="标题 Char1"/>
    <w:basedOn w:val="32"/>
    <w:qFormat/>
    <w:uiPriority w:val="0"/>
    <w:rPr>
      <w:rFonts w:ascii="Cambria" w:hAnsi="Cambria" w:cs="Times New Roman"/>
      <w:b/>
      <w:bCs/>
      <w:kern w:val="2"/>
      <w:sz w:val="32"/>
      <w:szCs w:val="32"/>
    </w:rPr>
  </w:style>
  <w:style w:type="paragraph" w:customStyle="1" w:styleId="59">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60">
    <w:name w:val="正文－恩普"/>
    <w:basedOn w:val="11"/>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61">
    <w:name w:val="Char Char Char Char"/>
    <w:basedOn w:val="12"/>
    <w:qFormat/>
    <w:uiPriority w:val="0"/>
    <w:pPr>
      <w:adjustRightInd w:val="0"/>
      <w:snapToGrid w:val="0"/>
      <w:spacing w:line="360" w:lineRule="auto"/>
    </w:pPr>
    <w:rPr>
      <w:rFonts w:ascii="Tahoma" w:hAnsi="Tahoma"/>
      <w:sz w:val="24"/>
    </w:rPr>
  </w:style>
  <w:style w:type="paragraph" w:customStyle="1" w:styleId="62">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Char Char Char1 Char Char Char Char"/>
    <w:basedOn w:val="1"/>
    <w:qFormat/>
    <w:uiPriority w:val="0"/>
    <w:pPr>
      <w:ind w:firstLine="200" w:firstLineChars="200"/>
    </w:pPr>
    <w:rPr>
      <w:rFonts w:ascii="Tahoma" w:hAnsi="Tahoma"/>
      <w:sz w:val="24"/>
      <w:szCs w:val="20"/>
    </w:rPr>
  </w:style>
  <w:style w:type="paragraph" w:customStyle="1" w:styleId="64">
    <w:name w:val="正文首行缩进:2字符"/>
    <w:basedOn w:val="1"/>
    <w:qFormat/>
    <w:uiPriority w:val="0"/>
    <w:pPr>
      <w:spacing w:line="360" w:lineRule="auto"/>
      <w:ind w:firstLine="480" w:firstLineChars="200"/>
    </w:pPr>
    <w:rPr>
      <w:rFonts w:cs="宋体"/>
      <w:szCs w:val="20"/>
    </w:rPr>
  </w:style>
  <w:style w:type="paragraph" w:customStyle="1" w:styleId="65">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 w:cs="Times New Roman"/>
      <w:szCs w:val="28"/>
      <w:lang w:val="en-US" w:eastAsia="zh-CN" w:bidi="ar-SA"/>
    </w:rPr>
  </w:style>
  <w:style w:type="paragraph" w:customStyle="1" w:styleId="66">
    <w:name w:val="Char Char"/>
    <w:basedOn w:val="1"/>
    <w:qFormat/>
    <w:uiPriority w:val="0"/>
    <w:rPr>
      <w:rFonts w:ascii="仿宋_GB2312" w:eastAsia="仿宋_GB2312"/>
      <w:b/>
      <w:sz w:val="32"/>
      <w:szCs w:val="32"/>
    </w:rPr>
  </w:style>
  <w:style w:type="paragraph" w:customStyle="1" w:styleId="67">
    <w:name w:val="默认段落字体 Para Char Char Char Char"/>
    <w:basedOn w:val="1"/>
    <w:qFormat/>
    <w:uiPriority w:val="0"/>
    <w:rPr>
      <w:szCs w:val="21"/>
    </w:rPr>
  </w:style>
  <w:style w:type="paragraph" w:customStyle="1" w:styleId="68">
    <w:name w:val="Char Char Char Char Char Char Char"/>
    <w:basedOn w:val="1"/>
    <w:qFormat/>
    <w:uiPriority w:val="0"/>
    <w:rPr>
      <w:rFonts w:ascii="仿宋_GB2312" w:eastAsia="仿宋_GB2312"/>
      <w:b/>
      <w:sz w:val="32"/>
      <w:szCs w:val="32"/>
    </w:rPr>
  </w:style>
  <w:style w:type="paragraph" w:customStyle="1" w:styleId="69">
    <w:name w:val="保留正文"/>
    <w:basedOn w:val="3"/>
    <w:qFormat/>
    <w:uiPriority w:val="0"/>
    <w:pPr>
      <w:keepNext/>
      <w:spacing w:after="160"/>
    </w:pPr>
    <w:rPr>
      <w:szCs w:val="20"/>
    </w:rPr>
  </w:style>
  <w:style w:type="paragraph" w:customStyle="1" w:styleId="70">
    <w:name w:val="Char Char Char2 Char"/>
    <w:basedOn w:val="1"/>
    <w:qFormat/>
    <w:uiPriority w:val="0"/>
    <w:pPr>
      <w:tabs>
        <w:tab w:val="left" w:pos="360"/>
      </w:tabs>
      <w:ind w:left="360" w:hanging="360"/>
    </w:pPr>
  </w:style>
  <w:style w:type="paragraph" w:customStyle="1" w:styleId="71">
    <w:name w:val="Char1"/>
    <w:basedOn w:val="1"/>
    <w:qFormat/>
    <w:uiPriority w:val="0"/>
    <w:rPr>
      <w:rFonts w:ascii="仿宋_GB2312" w:eastAsia="仿宋_GB2312"/>
      <w:b/>
      <w:sz w:val="32"/>
      <w:szCs w:val="32"/>
    </w:rPr>
  </w:style>
  <w:style w:type="paragraph" w:customStyle="1" w:styleId="72">
    <w:name w:val="列出段落1"/>
    <w:basedOn w:val="1"/>
    <w:qFormat/>
    <w:uiPriority w:val="0"/>
    <w:pPr>
      <w:ind w:firstLine="420" w:firstLineChars="200"/>
    </w:pPr>
    <w:rPr>
      <w:szCs w:val="20"/>
    </w:rPr>
  </w:style>
  <w:style w:type="paragraph" w:customStyle="1" w:styleId="73">
    <w:name w:val="列出段落2"/>
    <w:basedOn w:val="1"/>
    <w:qFormat/>
    <w:uiPriority w:val="0"/>
    <w:pPr>
      <w:ind w:firstLine="420" w:firstLineChars="200"/>
    </w:pPr>
    <w:rPr>
      <w:szCs w:val="20"/>
    </w:rPr>
  </w:style>
  <w:style w:type="character" w:customStyle="1" w:styleId="74">
    <w:name w:val="font11"/>
    <w:basedOn w:val="32"/>
    <w:qFormat/>
    <w:uiPriority w:val="0"/>
    <w:rPr>
      <w:rFonts w:hint="eastAsia" w:ascii="宋体" w:hAnsi="宋体" w:eastAsia="宋体" w:cs="宋体"/>
      <w:color w:val="000000"/>
      <w:sz w:val="24"/>
      <w:szCs w:val="24"/>
      <w:u w:val="none"/>
    </w:rPr>
  </w:style>
  <w:style w:type="character" w:customStyle="1" w:styleId="75">
    <w:name w:val="font01"/>
    <w:basedOn w:val="3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7725</Words>
  <Characters>44038</Characters>
  <Lines>366</Lines>
  <Paragraphs>103</Paragraphs>
  <TotalTime>47</TotalTime>
  <ScaleCrop>false</ScaleCrop>
  <LinksUpToDate>false</LinksUpToDate>
  <CharactersWithSpaces>51660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2021-10-19T07:56:00Z</dcterms:created>
  <dc:creator>雨林木风</dc:creator>
  <cp:lastModifiedBy>未知</cp:lastModifiedBy>
  <cp:lastPrinted>2021-08-27T02:19:00Z</cp:lastPrinted>
  <dcterms:modified xsi:type="dcterms:W3CDTF">2021-12-31T12:17:56Z</dcterms:modified>
  <dc:title>洞头县政府（分散）采购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F9D296348DCD45E88C4D89E1FEE3E852</vt:lpwstr>
  </property>
</Properties>
</file>