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2E9B">
      <w:pPr>
        <w:autoSpaceDE w:val="0"/>
        <w:autoSpaceDN w:val="0"/>
        <w:spacing w:line="500" w:lineRule="atLeast"/>
        <w:jc w:val="distribute"/>
        <w:textAlignment w:val="bottom"/>
        <w:rPr>
          <w:rFonts w:ascii="宋体" w:hAnsi="宋体"/>
          <w:b/>
          <w:bCs/>
          <w:sz w:val="72"/>
          <w:szCs w:val="72"/>
          <w:highlight w:val="none"/>
        </w:rPr>
      </w:pPr>
    </w:p>
    <w:p w14:paraId="4DCF6CA5">
      <w:pPr>
        <w:autoSpaceDE w:val="0"/>
        <w:autoSpaceDN w:val="0"/>
        <w:spacing w:line="500" w:lineRule="atLeast"/>
        <w:jc w:val="distribute"/>
        <w:textAlignment w:val="bottom"/>
        <w:rPr>
          <w:rFonts w:ascii="宋体" w:hAnsi="宋体"/>
          <w:bCs/>
          <w:sz w:val="72"/>
          <w:szCs w:val="72"/>
          <w:highlight w:val="none"/>
        </w:rPr>
      </w:pPr>
      <w:r>
        <w:rPr>
          <w:rFonts w:hint="eastAsia" w:ascii="宋体" w:hAnsi="宋体"/>
          <w:b/>
          <w:bCs/>
          <w:sz w:val="72"/>
          <w:szCs w:val="72"/>
          <w:highlight w:val="none"/>
        </w:rPr>
        <w:t>温州市龙湾区政府采购</w:t>
      </w:r>
    </w:p>
    <w:p w14:paraId="4C95305D">
      <w:pPr>
        <w:spacing w:line="400" w:lineRule="atLeast"/>
        <w:jc w:val="center"/>
        <w:rPr>
          <w:rFonts w:ascii="宋体" w:hAnsi="宋体"/>
          <w:b/>
          <w:sz w:val="52"/>
          <w:highlight w:val="none"/>
        </w:rPr>
      </w:pPr>
    </w:p>
    <w:p w14:paraId="446E14E8">
      <w:pPr>
        <w:spacing w:line="400" w:lineRule="atLeast"/>
        <w:jc w:val="center"/>
        <w:rPr>
          <w:rFonts w:ascii="宋体" w:hAnsi="宋体"/>
          <w:b/>
          <w:sz w:val="52"/>
          <w:highlight w:val="none"/>
        </w:rPr>
      </w:pPr>
    </w:p>
    <w:p w14:paraId="22A90FBF">
      <w:pPr>
        <w:spacing w:line="400" w:lineRule="atLeast"/>
        <w:jc w:val="center"/>
        <w:rPr>
          <w:rFonts w:ascii="宋体" w:hAnsi="宋体"/>
          <w:b/>
          <w:sz w:val="52"/>
          <w:highlight w:val="none"/>
        </w:rPr>
      </w:pPr>
    </w:p>
    <w:p w14:paraId="7A2416F2">
      <w:pPr>
        <w:autoSpaceDE w:val="0"/>
        <w:autoSpaceDN w:val="0"/>
        <w:spacing w:line="500" w:lineRule="atLeast"/>
        <w:jc w:val="center"/>
        <w:textAlignment w:val="bottom"/>
        <w:rPr>
          <w:rFonts w:ascii="宋体" w:hAnsi="宋体"/>
          <w:b/>
          <w:sz w:val="72"/>
          <w:szCs w:val="72"/>
          <w:highlight w:val="none"/>
        </w:rPr>
      </w:pPr>
      <w:r>
        <w:rPr>
          <w:rFonts w:hint="eastAsia" w:ascii="宋体" w:hAnsi="宋体"/>
          <w:b/>
          <w:bCs/>
          <w:sz w:val="72"/>
          <w:szCs w:val="72"/>
          <w:highlight w:val="none"/>
        </w:rPr>
        <w:t>招 标 文 件</w:t>
      </w:r>
    </w:p>
    <w:p w14:paraId="273C08D5">
      <w:pPr>
        <w:spacing w:line="400" w:lineRule="atLeast"/>
        <w:jc w:val="center"/>
        <w:rPr>
          <w:rFonts w:ascii="宋体" w:hAnsi="宋体"/>
          <w:b/>
          <w:sz w:val="32"/>
          <w:highlight w:val="none"/>
        </w:rPr>
      </w:pPr>
    </w:p>
    <w:p w14:paraId="0265426C">
      <w:pPr>
        <w:jc w:val="center"/>
        <w:rPr>
          <w:rFonts w:ascii="宋体" w:hAnsi="宋体"/>
          <w:b/>
          <w:bCs/>
          <w:sz w:val="24"/>
          <w:highlight w:val="none"/>
        </w:rPr>
      </w:pPr>
    </w:p>
    <w:p w14:paraId="2A99C352">
      <w:pPr>
        <w:jc w:val="center"/>
        <w:rPr>
          <w:rFonts w:ascii="宋体" w:hAnsi="宋体"/>
          <w:b/>
          <w:bCs/>
          <w:sz w:val="24"/>
          <w:highlight w:val="none"/>
        </w:rPr>
      </w:pPr>
    </w:p>
    <w:p w14:paraId="78C66CF5">
      <w:pPr>
        <w:tabs>
          <w:tab w:val="left" w:pos="4860"/>
        </w:tabs>
        <w:spacing w:line="600" w:lineRule="exact"/>
        <w:ind w:right="1143" w:firstLine="1483" w:firstLineChars="389"/>
        <w:jc w:val="left"/>
        <w:rPr>
          <w:rFonts w:hint="eastAsia" w:ascii="宋体" w:hAnsi="宋体" w:eastAsia="宋体"/>
          <w:b/>
          <w:sz w:val="30"/>
          <w:szCs w:val="30"/>
          <w:highlight w:val="none"/>
          <w:lang w:eastAsia="zh-CN"/>
        </w:rPr>
      </w:pPr>
      <w:r>
        <w:rPr>
          <w:rFonts w:hint="eastAsia" w:ascii="宋体" w:hAnsi="宋体"/>
          <w:b/>
          <w:spacing w:val="40"/>
          <w:sz w:val="30"/>
          <w:szCs w:val="30"/>
          <w:highlight w:val="none"/>
        </w:rPr>
        <w:t xml:space="preserve">招 标 编 </w:t>
      </w:r>
      <w:r>
        <w:rPr>
          <w:rFonts w:hint="eastAsia" w:ascii="宋体" w:hAnsi="宋体" w:cs="Arial"/>
          <w:b/>
          <w:spacing w:val="40"/>
          <w:sz w:val="30"/>
          <w:szCs w:val="30"/>
          <w:highlight w:val="none"/>
        </w:rPr>
        <w:t>号</w:t>
      </w:r>
      <w:r>
        <w:rPr>
          <w:rFonts w:hint="eastAsia" w:ascii="宋体" w:hAnsi="宋体"/>
          <w:b/>
          <w:sz w:val="30"/>
          <w:szCs w:val="30"/>
          <w:highlight w:val="none"/>
        </w:rPr>
        <w:t>：</w:t>
      </w:r>
      <w:r>
        <w:rPr>
          <w:rFonts w:hint="eastAsia" w:ascii="宋体" w:hAnsi="宋体"/>
          <w:b/>
          <w:sz w:val="30"/>
          <w:szCs w:val="30"/>
          <w:highlight w:val="none"/>
          <w:lang w:eastAsia="zh-CN"/>
        </w:rPr>
        <w:t>WZBH-2025012401</w:t>
      </w:r>
    </w:p>
    <w:p w14:paraId="7B074E87">
      <w:pPr>
        <w:tabs>
          <w:tab w:val="left" w:pos="5245"/>
          <w:tab w:val="left" w:pos="9660"/>
        </w:tabs>
        <w:spacing w:line="600" w:lineRule="exact"/>
        <w:ind w:right="-22" w:firstLine="1483" w:firstLineChars="389"/>
        <w:jc w:val="left"/>
        <w:rPr>
          <w:rFonts w:hint="eastAsia" w:ascii="宋体" w:hAnsi="宋体" w:eastAsia="宋体"/>
          <w:b/>
          <w:sz w:val="30"/>
          <w:szCs w:val="30"/>
          <w:highlight w:val="none"/>
          <w:lang w:eastAsia="zh-CN"/>
        </w:rPr>
      </w:pPr>
      <w:r>
        <w:rPr>
          <w:rFonts w:hint="eastAsia" w:ascii="宋体" w:hAnsi="宋体"/>
          <w:b/>
          <w:spacing w:val="40"/>
          <w:sz w:val="30"/>
          <w:szCs w:val="30"/>
          <w:highlight w:val="none"/>
        </w:rPr>
        <w:t>招 标 项 目</w:t>
      </w:r>
      <w:r>
        <w:rPr>
          <w:rFonts w:hint="eastAsia" w:ascii="宋体" w:hAnsi="宋体"/>
          <w:b/>
          <w:sz w:val="30"/>
          <w:szCs w:val="30"/>
          <w:highlight w:val="none"/>
        </w:rPr>
        <w:t>：</w:t>
      </w:r>
      <w:r>
        <w:rPr>
          <w:rFonts w:hint="eastAsia" w:ascii="宋体" w:hAnsi="宋体"/>
          <w:b/>
          <w:sz w:val="30"/>
          <w:szCs w:val="30"/>
          <w:highlight w:val="none"/>
          <w:lang w:eastAsia="zh-CN"/>
        </w:rPr>
        <w:t>温州至福州高速铁路（龙湾段）工程海滨街道北片区房屋征收事务代理项目</w:t>
      </w:r>
    </w:p>
    <w:p w14:paraId="70C7E779">
      <w:pPr>
        <w:tabs>
          <w:tab w:val="left" w:pos="4860"/>
        </w:tabs>
        <w:spacing w:line="600" w:lineRule="exact"/>
        <w:ind w:right="1143" w:firstLine="1483" w:firstLineChars="389"/>
        <w:jc w:val="left"/>
        <w:rPr>
          <w:rFonts w:ascii="宋体" w:hAnsi="宋体"/>
          <w:b/>
          <w:spacing w:val="40"/>
          <w:sz w:val="30"/>
          <w:szCs w:val="30"/>
          <w:highlight w:val="none"/>
        </w:rPr>
      </w:pPr>
      <w:r>
        <w:rPr>
          <w:rFonts w:hint="eastAsia" w:ascii="宋体" w:hAnsi="宋体"/>
          <w:b/>
          <w:spacing w:val="40"/>
          <w:sz w:val="30"/>
          <w:szCs w:val="30"/>
          <w:highlight w:val="none"/>
        </w:rPr>
        <w:t>招 标 方 式</w:t>
      </w:r>
      <w:r>
        <w:rPr>
          <w:rFonts w:hint="eastAsia" w:ascii="宋体" w:hAnsi="宋体"/>
          <w:b/>
          <w:sz w:val="30"/>
          <w:szCs w:val="30"/>
          <w:highlight w:val="none"/>
        </w:rPr>
        <w:t>：公 开 招 标</w:t>
      </w:r>
    </w:p>
    <w:p w14:paraId="06706E12">
      <w:pPr>
        <w:jc w:val="center"/>
        <w:rPr>
          <w:rFonts w:ascii="宋体" w:hAnsi="宋体"/>
          <w:b/>
          <w:bCs/>
          <w:sz w:val="24"/>
          <w:highlight w:val="none"/>
        </w:rPr>
      </w:pPr>
    </w:p>
    <w:p w14:paraId="20E8B170">
      <w:pPr>
        <w:jc w:val="center"/>
        <w:rPr>
          <w:rFonts w:ascii="宋体" w:hAnsi="宋体"/>
          <w:b/>
          <w:bCs/>
          <w:sz w:val="24"/>
          <w:highlight w:val="none"/>
        </w:rPr>
      </w:pPr>
    </w:p>
    <w:p w14:paraId="69E3C650">
      <w:pPr>
        <w:jc w:val="center"/>
        <w:rPr>
          <w:rFonts w:ascii="宋体" w:hAnsi="宋体"/>
          <w:b/>
          <w:bCs/>
          <w:sz w:val="24"/>
          <w:highlight w:val="none"/>
        </w:rPr>
      </w:pPr>
    </w:p>
    <w:p w14:paraId="59C15BE8">
      <w:pPr>
        <w:jc w:val="center"/>
        <w:rPr>
          <w:rFonts w:ascii="宋体" w:hAnsi="宋体"/>
          <w:b/>
          <w:bCs/>
          <w:sz w:val="24"/>
          <w:highlight w:val="none"/>
        </w:rPr>
      </w:pPr>
    </w:p>
    <w:p w14:paraId="1A48100D">
      <w:pPr>
        <w:jc w:val="center"/>
        <w:rPr>
          <w:rFonts w:ascii="宋体" w:hAnsi="宋体"/>
          <w:b/>
          <w:bCs/>
          <w:sz w:val="24"/>
          <w:highlight w:val="none"/>
        </w:rPr>
      </w:pPr>
    </w:p>
    <w:p w14:paraId="72E15042">
      <w:pPr>
        <w:jc w:val="center"/>
        <w:rPr>
          <w:rFonts w:ascii="宋体" w:hAnsi="宋体"/>
          <w:b/>
          <w:bCs/>
          <w:sz w:val="24"/>
          <w:highlight w:val="none"/>
        </w:rPr>
      </w:pPr>
    </w:p>
    <w:p w14:paraId="27ECA055">
      <w:pPr>
        <w:jc w:val="center"/>
        <w:rPr>
          <w:rFonts w:ascii="宋体" w:hAnsi="宋体"/>
          <w:b/>
          <w:bCs/>
          <w:sz w:val="24"/>
          <w:highlight w:val="none"/>
        </w:rPr>
      </w:pPr>
    </w:p>
    <w:p w14:paraId="3354B89A">
      <w:pPr>
        <w:jc w:val="center"/>
        <w:rPr>
          <w:rFonts w:ascii="宋体" w:hAnsi="宋体"/>
          <w:b/>
          <w:bCs/>
          <w:sz w:val="24"/>
          <w:highlight w:val="none"/>
        </w:rPr>
      </w:pPr>
    </w:p>
    <w:p w14:paraId="2E39FAD2">
      <w:pPr>
        <w:jc w:val="center"/>
        <w:rPr>
          <w:rFonts w:ascii="宋体" w:hAnsi="宋体"/>
          <w:b/>
          <w:bCs/>
          <w:sz w:val="24"/>
          <w:highlight w:val="none"/>
        </w:rPr>
      </w:pPr>
    </w:p>
    <w:p w14:paraId="78C0A484">
      <w:pPr>
        <w:jc w:val="center"/>
        <w:rPr>
          <w:rFonts w:ascii="宋体" w:hAnsi="宋体"/>
          <w:b/>
          <w:bCs/>
          <w:sz w:val="24"/>
          <w:highlight w:val="none"/>
        </w:rPr>
      </w:pPr>
    </w:p>
    <w:p w14:paraId="2A61CEAC">
      <w:pPr>
        <w:jc w:val="center"/>
        <w:rPr>
          <w:rFonts w:ascii="宋体" w:hAnsi="宋体"/>
          <w:b/>
          <w:bCs/>
          <w:sz w:val="24"/>
          <w:highlight w:val="none"/>
        </w:rPr>
      </w:pPr>
    </w:p>
    <w:p w14:paraId="419418D6">
      <w:pPr>
        <w:spacing w:line="600" w:lineRule="exact"/>
        <w:ind w:left="1476" w:leftChars="693" w:hanging="21" w:hangingChars="7"/>
        <w:rPr>
          <w:rFonts w:hint="eastAsia" w:ascii="宋体" w:hAnsi="宋体" w:eastAsia="宋体"/>
          <w:b/>
          <w:sz w:val="30"/>
          <w:szCs w:val="30"/>
          <w:highlight w:val="none"/>
          <w:lang w:eastAsia="zh-CN"/>
        </w:rPr>
      </w:pPr>
      <w:r>
        <w:rPr>
          <w:rFonts w:hint="eastAsia" w:ascii="宋体" w:hAnsi="宋体"/>
          <w:b/>
          <w:sz w:val="30"/>
          <w:szCs w:val="30"/>
          <w:highlight w:val="none"/>
        </w:rPr>
        <w:t>招  标  人：</w:t>
      </w:r>
      <w:r>
        <w:rPr>
          <w:rFonts w:hint="eastAsia" w:ascii="宋体" w:hAnsi="宋体"/>
          <w:b/>
          <w:bCs/>
          <w:sz w:val="30"/>
          <w:szCs w:val="30"/>
          <w:highlight w:val="none"/>
          <w:lang w:eastAsia="zh-CN"/>
        </w:rPr>
        <w:t>温州市龙湾区人民政府海滨街道办事处</w:t>
      </w:r>
    </w:p>
    <w:p w14:paraId="7957A14F">
      <w:pPr>
        <w:spacing w:line="600" w:lineRule="exact"/>
        <w:ind w:left="1482" w:leftChars="693" w:hanging="27" w:hangingChars="7"/>
        <w:rPr>
          <w:rFonts w:ascii="宋体" w:hAnsi="宋体"/>
          <w:b/>
          <w:spacing w:val="12"/>
          <w:sz w:val="30"/>
          <w:szCs w:val="30"/>
          <w:highlight w:val="none"/>
        </w:rPr>
      </w:pPr>
      <w:r>
        <w:rPr>
          <w:rFonts w:hint="eastAsia" w:ascii="宋体" w:hAnsi="宋体"/>
          <w:b/>
          <w:spacing w:val="40"/>
          <w:sz w:val="30"/>
          <w:szCs w:val="30"/>
          <w:highlight w:val="none"/>
        </w:rPr>
        <w:t>招标代理</w:t>
      </w:r>
      <w:r>
        <w:rPr>
          <w:rFonts w:hint="eastAsia" w:ascii="宋体" w:hAnsi="宋体"/>
          <w:b/>
          <w:sz w:val="30"/>
          <w:szCs w:val="30"/>
          <w:highlight w:val="none"/>
        </w:rPr>
        <w:t>：</w:t>
      </w:r>
      <w:r>
        <w:rPr>
          <w:rFonts w:hint="eastAsia" w:ascii="宋体" w:hAnsi="宋体"/>
          <w:b/>
          <w:spacing w:val="12"/>
          <w:sz w:val="30"/>
          <w:szCs w:val="30"/>
          <w:highlight w:val="none"/>
        </w:rPr>
        <w:t>温州市滨海招标代理有限公司</w:t>
      </w:r>
    </w:p>
    <w:p w14:paraId="67400698">
      <w:pPr>
        <w:spacing w:line="600" w:lineRule="exact"/>
        <w:ind w:left="2130" w:leftChars="1000" w:hanging="30" w:hangingChars="8"/>
        <w:rPr>
          <w:rFonts w:ascii="宋体" w:hAnsi="宋体"/>
          <w:b/>
          <w:spacing w:val="40"/>
          <w:sz w:val="30"/>
          <w:szCs w:val="30"/>
          <w:highlight w:val="none"/>
        </w:rPr>
      </w:pPr>
    </w:p>
    <w:p w14:paraId="660BBF9E">
      <w:pPr>
        <w:spacing w:line="600" w:lineRule="exact"/>
        <w:jc w:val="center"/>
        <w:rPr>
          <w:rFonts w:ascii="宋体" w:hAnsi="宋体"/>
          <w:b/>
          <w:spacing w:val="40"/>
          <w:sz w:val="30"/>
          <w:szCs w:val="30"/>
          <w:highlight w:val="none"/>
        </w:rPr>
      </w:pPr>
      <w:r>
        <w:rPr>
          <w:rFonts w:hint="eastAsia" w:ascii="宋体" w:hAnsi="宋体"/>
          <w:b/>
          <w:spacing w:val="40"/>
          <w:sz w:val="30"/>
          <w:szCs w:val="30"/>
          <w:highlight w:val="none"/>
        </w:rPr>
        <w:t>二</w:t>
      </w:r>
      <w:r>
        <w:rPr>
          <w:rFonts w:hint="eastAsia" w:ascii="宋体" w:hAnsi="宋体" w:cs="宋体"/>
          <w:b/>
          <w:spacing w:val="40"/>
          <w:sz w:val="30"/>
          <w:szCs w:val="30"/>
          <w:highlight w:val="none"/>
        </w:rPr>
        <w:t>〇</w:t>
      </w:r>
      <w:r>
        <w:rPr>
          <w:rFonts w:hint="eastAsia" w:ascii="宋体" w:hAnsi="宋体"/>
          <w:b/>
          <w:spacing w:val="40"/>
          <w:sz w:val="30"/>
          <w:szCs w:val="30"/>
          <w:highlight w:val="none"/>
        </w:rPr>
        <w:t>二</w:t>
      </w:r>
      <w:r>
        <w:rPr>
          <w:rFonts w:hint="eastAsia" w:ascii="宋体" w:hAnsi="宋体"/>
          <w:b/>
          <w:spacing w:val="40"/>
          <w:sz w:val="30"/>
          <w:szCs w:val="30"/>
          <w:highlight w:val="none"/>
          <w:lang w:val="en-US" w:eastAsia="zh-CN"/>
        </w:rPr>
        <w:t>五</w:t>
      </w:r>
      <w:r>
        <w:rPr>
          <w:rFonts w:hint="eastAsia" w:ascii="宋体" w:hAnsi="宋体" w:cs="仿宋_GB2312"/>
          <w:b/>
          <w:spacing w:val="40"/>
          <w:sz w:val="30"/>
          <w:szCs w:val="30"/>
          <w:highlight w:val="none"/>
        </w:rPr>
        <w:t>年</w:t>
      </w:r>
      <w:r>
        <w:rPr>
          <w:rFonts w:hint="eastAsia" w:ascii="宋体" w:hAnsi="宋体" w:cs="仿宋_GB2312"/>
          <w:b/>
          <w:spacing w:val="40"/>
          <w:sz w:val="30"/>
          <w:szCs w:val="30"/>
          <w:highlight w:val="none"/>
          <w:lang w:val="en-US" w:eastAsia="zh-CN"/>
        </w:rPr>
        <w:t>七</w:t>
      </w:r>
      <w:r>
        <w:rPr>
          <w:rFonts w:hint="eastAsia" w:ascii="宋体" w:hAnsi="宋体" w:cs="仿宋_GB2312"/>
          <w:b/>
          <w:spacing w:val="40"/>
          <w:sz w:val="30"/>
          <w:szCs w:val="30"/>
          <w:highlight w:val="none"/>
        </w:rPr>
        <w:t>月</w:t>
      </w:r>
    </w:p>
    <w:p w14:paraId="0B1AD875">
      <w:pPr>
        <w:spacing w:line="600" w:lineRule="exact"/>
        <w:jc w:val="center"/>
        <w:rPr>
          <w:rFonts w:ascii="宋体" w:hAnsi="宋体"/>
          <w:b/>
          <w:bCs/>
          <w:sz w:val="32"/>
          <w:szCs w:val="32"/>
          <w:highlight w:val="none"/>
        </w:rPr>
      </w:pPr>
      <w:r>
        <w:rPr>
          <w:rFonts w:hint="eastAsia" w:ascii="宋体" w:hAnsi="宋体"/>
          <w:spacing w:val="40"/>
          <w:sz w:val="30"/>
          <w:szCs w:val="30"/>
          <w:highlight w:val="none"/>
        </w:rPr>
        <w:br w:type="page"/>
      </w:r>
      <w:r>
        <w:rPr>
          <w:rFonts w:hint="eastAsia" w:ascii="宋体" w:hAnsi="宋体"/>
          <w:b/>
          <w:bCs/>
          <w:sz w:val="32"/>
          <w:szCs w:val="32"/>
          <w:highlight w:val="none"/>
        </w:rPr>
        <w:t>目    录</w:t>
      </w:r>
    </w:p>
    <w:p w14:paraId="1BBF672D">
      <w:pPr>
        <w:spacing w:line="600" w:lineRule="exact"/>
        <w:jc w:val="center"/>
        <w:rPr>
          <w:rFonts w:ascii="宋体" w:hAnsi="宋体"/>
          <w:b/>
          <w:bCs/>
          <w:sz w:val="24"/>
          <w:highlight w:val="none"/>
        </w:rPr>
      </w:pPr>
    </w:p>
    <w:p w14:paraId="5F8EB2B2">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
          <w:bCs w:val="0"/>
          <w:sz w:val="24"/>
          <w:szCs w:val="24"/>
          <w:highlight w:val="none"/>
        </w:rPr>
        <w:fldChar w:fldCharType="begin"/>
      </w:r>
      <w:r>
        <w:rPr>
          <w:rFonts w:hint="eastAsia" w:ascii="宋体" w:hAnsi="宋体" w:eastAsia="宋体" w:cs="宋体"/>
          <w:b/>
          <w:bCs w:val="0"/>
          <w:sz w:val="24"/>
          <w:szCs w:val="24"/>
          <w:highlight w:val="none"/>
        </w:rPr>
        <w:instrText xml:space="preserve"> TOC \o "1-3" \h \z \u </w:instrText>
      </w:r>
      <w:r>
        <w:rPr>
          <w:rFonts w:hint="eastAsia" w:ascii="宋体" w:hAnsi="宋体" w:eastAsia="宋体" w:cs="宋体"/>
          <w:b/>
          <w:bCs w:val="0"/>
          <w:sz w:val="24"/>
          <w:szCs w:val="24"/>
          <w:highlight w:val="none"/>
        </w:rPr>
        <w:fldChar w:fldCharType="separate"/>
      </w: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_Toc11320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highlight w:val="none"/>
        </w:rPr>
        <w:t>温州市滨海招标代理有限公司关于</w:t>
      </w:r>
      <w:r>
        <w:rPr>
          <w:rFonts w:hint="eastAsia" w:ascii="宋体" w:hAnsi="宋体" w:eastAsia="宋体" w:cs="宋体"/>
          <w:sz w:val="24"/>
          <w:szCs w:val="24"/>
          <w:highlight w:val="none"/>
          <w:lang w:eastAsia="zh-CN"/>
        </w:rPr>
        <w:t>温州至福州高速铁路（龙湾段）工程海滨街道北片区房屋征收事务代理项目</w:t>
      </w:r>
      <w:r>
        <w:rPr>
          <w:rFonts w:hint="eastAsia" w:ascii="宋体" w:hAnsi="宋体" w:eastAsia="宋体" w:cs="宋体"/>
          <w:sz w:val="24"/>
          <w:szCs w:val="24"/>
          <w:highlight w:val="none"/>
        </w:rPr>
        <w:t>的公开招标公告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_Toc11320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bCs w:val="0"/>
          <w:sz w:val="24"/>
          <w:szCs w:val="24"/>
          <w:highlight w:val="none"/>
        </w:rPr>
        <w:fldChar w:fldCharType="end"/>
      </w:r>
    </w:p>
    <w:p w14:paraId="524D5179">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_Toc31758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第一部分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_Toc31758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17527344">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_Toc18798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一、须知前附表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_Toc18798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07F98CA1">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_Toc21012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二、  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_Toc21012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3F061E53">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_Toc12159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三、 招标文件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_Toc12159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35748ED5">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_Toc5147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四、 投标文件的编制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_Toc5147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447D17DA">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_Toc1762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五、 投标文件的递交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4138E9AE">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_Toc18218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六、 开标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_Toc18218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0E34F7E0">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_Toc3372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七、 评标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_Toc3372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591EC677">
      <w:pPr>
        <w:pStyle w:val="2"/>
        <w:tabs>
          <w:tab w:val="right" w:leader="dot" w:pos="9638"/>
          <w:tab w:val="clear" w:pos="9628"/>
        </w:tabs>
        <w:rPr>
          <w:rFonts w:hint="eastAsia" w:ascii="宋体" w:hAnsi="宋体" w:eastAsia="宋体" w:cs="宋体"/>
          <w:bCs/>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_Toc29829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八、 授予合同</w:t>
      </w:r>
      <w:r>
        <w:rPr>
          <w:rFonts w:hint="eastAsia" w:ascii="宋体" w:hAnsi="宋体" w:eastAsia="宋体" w:cs="宋体"/>
          <w:bCs/>
          <w:sz w:val="24"/>
          <w:szCs w:val="24"/>
          <w:highlight w:val="none"/>
        </w:rPr>
        <w:tab/>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PAGEREF _Toc29829 \h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20</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fldChar w:fldCharType="end"/>
      </w:r>
    </w:p>
    <w:p w14:paraId="3853B81C">
      <w:pPr>
        <w:pStyle w:val="2"/>
        <w:tabs>
          <w:tab w:val="right" w:leader="dot" w:pos="9638"/>
          <w:tab w:val="clear" w:pos="9628"/>
        </w:tabs>
        <w:rPr>
          <w:rFonts w:hint="eastAsia" w:ascii="宋体" w:hAnsi="宋体" w:eastAsia="宋体" w:cs="宋体"/>
          <w:bCs/>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_Toc26763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九、</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w:t>
      </w:r>
      <w:r>
        <w:rPr>
          <w:rFonts w:hint="eastAsia" w:ascii="宋体" w:hAnsi="宋体" w:eastAsia="宋体" w:cs="宋体"/>
          <w:bCs/>
          <w:sz w:val="24"/>
          <w:szCs w:val="24"/>
          <w:highlight w:val="none"/>
        </w:rPr>
        <w:tab/>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PAGEREF _Toc26763 \h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21</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fldChar w:fldCharType="end"/>
      </w:r>
    </w:p>
    <w:p w14:paraId="00D71FA9">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_Toc19382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第二部分   采购内容及需求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_Toc19382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71EEBD08">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_Toc27692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第三部分   评标原则及方法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_Toc27692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46D7A14E">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_Toc21979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第四部分   合同主要条款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_Toc21979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4C79E63E">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_Toc31951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第五部分   附件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_Toc31951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1DD4B9E1">
      <w:pPr>
        <w:spacing w:line="480" w:lineRule="auto"/>
        <w:rPr>
          <w:rFonts w:ascii="宋体" w:hAnsi="宋体"/>
          <w:b/>
          <w:bCs/>
          <w:sz w:val="22"/>
          <w:szCs w:val="22"/>
          <w:highlight w:val="none"/>
        </w:rPr>
      </w:pPr>
      <w:r>
        <w:rPr>
          <w:rFonts w:hint="eastAsia" w:ascii="宋体" w:hAnsi="宋体" w:eastAsia="宋体" w:cs="宋体"/>
          <w:bCs/>
          <w:sz w:val="24"/>
          <w:szCs w:val="24"/>
          <w:highlight w:val="none"/>
        </w:rPr>
        <w:fldChar w:fldCharType="end"/>
      </w:r>
      <w:r>
        <w:rPr>
          <w:rFonts w:hint="eastAsia" w:ascii="宋体" w:hAnsi="宋体"/>
          <w:b/>
          <w:bCs/>
          <w:sz w:val="22"/>
          <w:szCs w:val="22"/>
          <w:highlight w:val="none"/>
        </w:rPr>
        <w:t>注：</w:t>
      </w:r>
      <w:r>
        <w:rPr>
          <w:rFonts w:hint="eastAsia" w:ascii="宋体" w:hAnsi="宋体"/>
          <w:b/>
          <w:bCs/>
          <w:sz w:val="24"/>
          <w:highlight w:val="none"/>
          <w:u w:val="single"/>
        </w:rPr>
        <w:t>招标文件中部分加“▲”且加下划线的条款，为招标的实质性要求和条件，着重提醒各投标人注意，并认真查看招标文件中的每一个条款及要求，因误读招标文件而造成的后果，</w:t>
      </w:r>
      <w:r>
        <w:rPr>
          <w:rFonts w:hint="eastAsia" w:ascii="宋体" w:hAnsi="宋体"/>
          <w:b/>
          <w:bCs/>
          <w:sz w:val="24"/>
          <w:highlight w:val="none"/>
          <w:u w:val="single"/>
          <w:lang w:eastAsia="zh-CN"/>
        </w:rPr>
        <w:t>采购人</w:t>
      </w:r>
      <w:r>
        <w:rPr>
          <w:rFonts w:hint="eastAsia" w:ascii="宋体" w:hAnsi="宋体"/>
          <w:b/>
          <w:bCs/>
          <w:sz w:val="24"/>
          <w:highlight w:val="none"/>
          <w:u w:val="single"/>
        </w:rPr>
        <w:t>概不负责。</w:t>
      </w:r>
    </w:p>
    <w:p w14:paraId="5F47A6A0">
      <w:pPr>
        <w:widowControl/>
        <w:jc w:val="left"/>
        <w:rPr>
          <w:rFonts w:ascii="宋体" w:hAnsi="宋体"/>
          <w:b/>
          <w:bCs/>
          <w:highlight w:val="none"/>
        </w:rPr>
      </w:pPr>
      <w:r>
        <w:rPr>
          <w:rFonts w:ascii="宋体" w:hAnsi="宋体"/>
          <w:highlight w:val="none"/>
        </w:rPr>
        <w:br w:type="page"/>
      </w:r>
    </w:p>
    <w:p w14:paraId="712CFD71">
      <w:pPr>
        <w:pStyle w:val="4"/>
        <w:rPr>
          <w:rFonts w:ascii="宋体" w:hAnsi="宋体" w:eastAsia="宋体" w:cs="Arial"/>
          <w:b w:val="0"/>
          <w:bCs w:val="0"/>
          <w:kern w:val="0"/>
          <w:sz w:val="30"/>
          <w:szCs w:val="30"/>
          <w:highlight w:val="none"/>
        </w:rPr>
      </w:pPr>
      <w:bookmarkStart w:id="0" w:name="_Toc398293639"/>
      <w:bookmarkStart w:id="1" w:name="_Toc492496682"/>
      <w:bookmarkStart w:id="2" w:name="_Toc11320"/>
      <w:bookmarkStart w:id="3" w:name="_Toc348800908"/>
      <w:bookmarkStart w:id="4" w:name="_Toc246261260"/>
      <w:bookmarkStart w:id="5" w:name="_Toc249758859"/>
      <w:bookmarkStart w:id="6" w:name="_Toc223715992"/>
      <w:bookmarkStart w:id="7" w:name="_Toc249758707"/>
      <w:bookmarkStart w:id="8" w:name="_Toc223715993"/>
      <w:bookmarkStart w:id="9" w:name="_Toc221356881"/>
      <w:bookmarkStart w:id="10" w:name="_Toc245191309"/>
      <w:bookmarkStart w:id="11" w:name="_Toc221356946"/>
      <w:bookmarkStart w:id="12" w:name="_Toc221423613"/>
      <w:bookmarkStart w:id="13" w:name="_Toc239145349"/>
      <w:bookmarkStart w:id="14" w:name="_Toc241404197"/>
      <w:bookmarkStart w:id="15" w:name="_Toc262105498"/>
      <w:bookmarkStart w:id="16" w:name="_Toc262049413"/>
      <w:bookmarkStart w:id="17" w:name="_Toc221374621"/>
      <w:bookmarkStart w:id="18" w:name="_Toc337660883"/>
      <w:bookmarkStart w:id="19" w:name="_Toc221356945"/>
      <w:bookmarkStart w:id="20" w:name="_Toc221423614"/>
      <w:bookmarkStart w:id="21" w:name="_Toc222114873"/>
      <w:bookmarkStart w:id="22" w:name="_Toc222114874"/>
      <w:bookmarkStart w:id="23" w:name="_Toc221356880"/>
      <w:bookmarkStart w:id="24" w:name="_Toc221374620"/>
      <w:bookmarkStart w:id="25" w:name="_Toc245722276"/>
      <w:r>
        <w:rPr>
          <w:rFonts w:hint="eastAsia" w:ascii="宋体" w:hAnsi="宋体" w:eastAsia="宋体" w:cs="Arial"/>
          <w:sz w:val="30"/>
          <w:szCs w:val="30"/>
          <w:highlight w:val="none"/>
        </w:rPr>
        <w:t>温州市滨海招标代理有限公司关于</w:t>
      </w:r>
      <w:r>
        <w:rPr>
          <w:rFonts w:hint="eastAsia" w:ascii="宋体" w:hAnsi="宋体" w:eastAsia="宋体" w:cs="Arial"/>
          <w:sz w:val="30"/>
          <w:szCs w:val="30"/>
          <w:highlight w:val="none"/>
          <w:lang w:eastAsia="zh-CN"/>
        </w:rPr>
        <w:t>温州至福州高速铁路（龙湾段）工程海滨街道北片区房屋征收事务代理项目</w:t>
      </w:r>
      <w:r>
        <w:rPr>
          <w:rFonts w:hint="eastAsia" w:ascii="宋体" w:hAnsi="宋体" w:eastAsia="宋体" w:cs="Arial"/>
          <w:sz w:val="30"/>
          <w:szCs w:val="30"/>
          <w:highlight w:val="none"/>
        </w:rPr>
        <w:t>的公开招标公告</w:t>
      </w:r>
      <w:bookmarkEnd w:id="0"/>
      <w:bookmarkEnd w:id="1"/>
      <w:bookmarkEnd w:id="2"/>
    </w:p>
    <w:p w14:paraId="5E3F71D3">
      <w:pPr>
        <w:pBdr>
          <w:top w:val="single" w:color="auto" w:sz="4" w:space="1"/>
          <w:left w:val="single" w:color="auto" w:sz="4" w:space="4"/>
          <w:bottom w:val="single" w:color="auto" w:sz="4" w:space="1"/>
          <w:right w:val="single" w:color="auto" w:sz="4" w:space="4"/>
        </w:pBdr>
        <w:ind w:firstLine="440" w:firstLineChars="200"/>
        <w:rPr>
          <w:rFonts w:ascii="宋体"/>
          <w:sz w:val="22"/>
          <w:szCs w:val="22"/>
          <w:highlight w:val="none"/>
        </w:rPr>
      </w:pPr>
      <w:r>
        <w:rPr>
          <w:rFonts w:hint="eastAsia" w:ascii="宋体" w:hAnsi="宋体"/>
          <w:sz w:val="22"/>
          <w:szCs w:val="22"/>
          <w:highlight w:val="none"/>
        </w:rPr>
        <w:t>项目概况</w:t>
      </w:r>
    </w:p>
    <w:p w14:paraId="564D4742">
      <w:pPr>
        <w:pBdr>
          <w:top w:val="single" w:color="auto" w:sz="4" w:space="1"/>
          <w:left w:val="single" w:color="auto" w:sz="4" w:space="4"/>
          <w:bottom w:val="single" w:color="auto" w:sz="4" w:space="1"/>
          <w:right w:val="single" w:color="auto" w:sz="4" w:space="4"/>
        </w:pBdr>
        <w:ind w:firstLine="440" w:firstLineChars="200"/>
        <w:rPr>
          <w:rFonts w:ascii="宋体" w:hAnsi="宋体"/>
          <w:sz w:val="22"/>
          <w:szCs w:val="22"/>
          <w:highlight w:val="none"/>
        </w:rPr>
      </w:pP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sz w:val="22"/>
          <w:szCs w:val="22"/>
          <w:highlight w:val="none"/>
          <w:u w:val="single"/>
        </w:rPr>
        <w:t>的潜在投标人应在政采云平台（www.zcygov.cn）获取（下载）采购文件，并于202</w:t>
      </w:r>
      <w:r>
        <w:rPr>
          <w:rFonts w:hint="eastAsia" w:ascii="宋体" w:hAnsi="宋体"/>
          <w:sz w:val="22"/>
          <w:szCs w:val="22"/>
          <w:highlight w:val="none"/>
          <w:u w:val="single"/>
          <w:lang w:val="en-US" w:eastAsia="zh-CN"/>
        </w:rPr>
        <w:t>5</w:t>
      </w:r>
      <w:r>
        <w:rPr>
          <w:rFonts w:hint="eastAsia" w:ascii="宋体" w:hAnsi="宋体"/>
          <w:sz w:val="22"/>
          <w:szCs w:val="22"/>
          <w:highlight w:val="none"/>
          <w:u w:val="single"/>
        </w:rPr>
        <w:t>年</w:t>
      </w:r>
      <w:r>
        <w:rPr>
          <w:rFonts w:hint="eastAsia" w:ascii="宋体" w:hAnsi="宋体"/>
          <w:sz w:val="22"/>
          <w:szCs w:val="22"/>
          <w:highlight w:val="none"/>
          <w:u w:val="single"/>
          <w:lang w:val="en-US" w:eastAsia="zh-CN"/>
        </w:rPr>
        <w:t>X</w:t>
      </w:r>
      <w:r>
        <w:rPr>
          <w:rFonts w:hint="eastAsia" w:ascii="宋体" w:hAnsi="宋体"/>
          <w:sz w:val="22"/>
          <w:szCs w:val="22"/>
          <w:highlight w:val="none"/>
          <w:u w:val="single"/>
        </w:rPr>
        <w:t>月</w:t>
      </w:r>
      <w:r>
        <w:rPr>
          <w:rFonts w:hint="eastAsia" w:ascii="宋体" w:hAnsi="宋体"/>
          <w:sz w:val="22"/>
          <w:szCs w:val="22"/>
          <w:highlight w:val="none"/>
          <w:u w:val="single"/>
          <w:lang w:val="en-US" w:eastAsia="zh-CN"/>
        </w:rPr>
        <w:t>X</w:t>
      </w:r>
      <w:r>
        <w:rPr>
          <w:rFonts w:hint="eastAsia" w:ascii="宋体" w:hAnsi="宋体"/>
          <w:sz w:val="22"/>
          <w:szCs w:val="22"/>
          <w:highlight w:val="none"/>
          <w:u w:val="single"/>
        </w:rPr>
        <w:t>日9:30（北京时间）前提交（上传）响应文件。</w:t>
      </w:r>
    </w:p>
    <w:p w14:paraId="75ADFD28">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一、项目基本情况</w:t>
      </w:r>
    </w:p>
    <w:p w14:paraId="71C47DD9">
      <w:pPr>
        <w:widowControl/>
        <w:spacing w:before="60" w:after="60" w:line="360" w:lineRule="exact"/>
        <w:ind w:right="60" w:firstLine="418" w:firstLineChars="190"/>
        <w:jc w:val="left"/>
        <w:rPr>
          <w:rFonts w:ascii="宋体" w:hAnsi="宋体" w:cs="宋体"/>
          <w:bCs/>
          <w:kern w:val="0"/>
          <w:sz w:val="22"/>
          <w:szCs w:val="22"/>
          <w:highlight w:val="none"/>
        </w:rPr>
      </w:pPr>
      <w:r>
        <w:rPr>
          <w:rFonts w:hint="eastAsia" w:ascii="宋体" w:hAnsi="宋体" w:cs="宋体"/>
          <w:bCs/>
          <w:kern w:val="0"/>
          <w:sz w:val="22"/>
          <w:szCs w:val="22"/>
          <w:highlight w:val="none"/>
        </w:rPr>
        <w:t>项目编号：</w:t>
      </w:r>
      <w:r>
        <w:rPr>
          <w:rFonts w:hint="eastAsia" w:ascii="宋体" w:hAnsi="宋体" w:cs="宋体"/>
          <w:bCs/>
          <w:kern w:val="0"/>
          <w:sz w:val="22"/>
          <w:szCs w:val="22"/>
          <w:highlight w:val="none"/>
          <w:lang w:eastAsia="zh-CN"/>
        </w:rPr>
        <w:t>WZBH-2025012401</w:t>
      </w:r>
      <w:r>
        <w:rPr>
          <w:rFonts w:hint="eastAsia" w:ascii="宋体" w:hAnsi="宋体" w:cs="宋体"/>
          <w:bCs/>
          <w:kern w:val="0"/>
          <w:sz w:val="22"/>
          <w:szCs w:val="22"/>
          <w:highlight w:val="none"/>
        </w:rPr>
        <w:t xml:space="preserve"> </w:t>
      </w:r>
    </w:p>
    <w:p w14:paraId="3E47F39A">
      <w:pPr>
        <w:widowControl/>
        <w:spacing w:before="60" w:after="60" w:line="360" w:lineRule="exact"/>
        <w:ind w:right="60" w:firstLine="418" w:firstLineChars="190"/>
        <w:jc w:val="left"/>
        <w:rPr>
          <w:rFonts w:hint="eastAsia" w:ascii="宋体" w:hAnsi="宋体" w:eastAsia="宋体" w:cs="宋体"/>
          <w:bCs/>
          <w:kern w:val="0"/>
          <w:sz w:val="22"/>
          <w:szCs w:val="22"/>
          <w:highlight w:val="none"/>
        </w:rPr>
      </w:pPr>
      <w:r>
        <w:rPr>
          <w:rFonts w:hint="eastAsia" w:ascii="宋体" w:hAnsi="宋体" w:cs="宋体"/>
          <w:bCs/>
          <w:kern w:val="0"/>
          <w:sz w:val="22"/>
          <w:szCs w:val="22"/>
          <w:highlight w:val="none"/>
        </w:rPr>
        <w:t>项目名称</w:t>
      </w:r>
      <w:r>
        <w:rPr>
          <w:rFonts w:hint="eastAsia" w:ascii="宋体" w:hAnsi="宋体" w:eastAsia="宋体" w:cs="宋体"/>
          <w:bCs/>
          <w:kern w:val="0"/>
          <w:sz w:val="22"/>
          <w:szCs w:val="22"/>
          <w:highlight w:val="none"/>
        </w:rPr>
        <w:t>：</w:t>
      </w:r>
      <w:r>
        <w:rPr>
          <w:rFonts w:hint="eastAsia" w:ascii="宋体" w:hAnsi="宋体" w:cs="宋体"/>
          <w:bCs/>
          <w:kern w:val="0"/>
          <w:sz w:val="22"/>
          <w:szCs w:val="22"/>
          <w:highlight w:val="none"/>
          <w:lang w:eastAsia="zh-CN"/>
        </w:rPr>
        <w:t>温州至福州高速铁路（龙湾段）工程海滨街道北片区房屋征收事务代理项目</w:t>
      </w:r>
      <w:r>
        <w:rPr>
          <w:rFonts w:hint="eastAsia" w:ascii="宋体" w:hAnsi="宋体" w:eastAsia="宋体" w:cs="宋体"/>
          <w:bCs/>
          <w:kern w:val="0"/>
          <w:sz w:val="22"/>
          <w:szCs w:val="22"/>
          <w:highlight w:val="none"/>
        </w:rPr>
        <w:t xml:space="preserve"> </w:t>
      </w:r>
    </w:p>
    <w:p w14:paraId="06306F0B">
      <w:pPr>
        <w:widowControl/>
        <w:spacing w:before="60" w:after="60" w:line="360" w:lineRule="exact"/>
        <w:ind w:right="60" w:firstLine="418" w:firstLineChars="190"/>
        <w:jc w:val="left"/>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预算金额：</w:t>
      </w:r>
      <w:r>
        <w:rPr>
          <w:rFonts w:hint="eastAsia" w:ascii="宋体" w:hAnsi="宋体" w:cs="宋体"/>
          <w:bCs/>
          <w:kern w:val="0"/>
          <w:sz w:val="22"/>
          <w:szCs w:val="22"/>
          <w:highlight w:val="none"/>
          <w:lang w:val="en-US" w:eastAsia="zh-CN"/>
        </w:rPr>
        <w:t>5390000</w:t>
      </w:r>
      <w:r>
        <w:rPr>
          <w:rFonts w:hint="eastAsia" w:ascii="宋体" w:hAnsi="宋体" w:eastAsia="宋体" w:cs="宋体"/>
          <w:bCs/>
          <w:kern w:val="0"/>
          <w:sz w:val="22"/>
          <w:szCs w:val="22"/>
          <w:highlight w:val="none"/>
          <w:lang w:val="en-US" w:eastAsia="zh-CN"/>
        </w:rPr>
        <w:t>元</w:t>
      </w:r>
    </w:p>
    <w:p w14:paraId="09491C14">
      <w:pPr>
        <w:widowControl/>
        <w:spacing w:before="60" w:after="60" w:line="360" w:lineRule="exact"/>
        <w:ind w:right="60" w:firstLine="418" w:firstLineChars="190"/>
        <w:jc w:val="left"/>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采购需求：</w:t>
      </w:r>
    </w:p>
    <w:p w14:paraId="6BFD348D">
      <w:pPr>
        <w:widowControl/>
        <w:spacing w:before="60" w:after="60" w:line="360" w:lineRule="exact"/>
        <w:ind w:left="440" w:right="60" w:hanging="440" w:hangingChars="200"/>
        <w:jc w:val="left"/>
        <w:rPr>
          <w:rFonts w:hint="eastAsia" w:ascii="宋体" w:hAnsi="宋体" w:eastAsia="宋体" w:cs="宋体"/>
          <w:bCs/>
          <w:kern w:val="0"/>
          <w:sz w:val="22"/>
          <w:szCs w:val="22"/>
          <w:highlight w:val="none"/>
          <w:lang w:eastAsia="zh-CN"/>
        </w:rPr>
      </w:pPr>
      <w:r>
        <w:rPr>
          <w:rFonts w:hint="eastAsia" w:ascii="宋体" w:hAnsi="宋体" w:eastAsia="宋体" w:cs="宋体"/>
          <w:bCs/>
          <w:kern w:val="0"/>
          <w:sz w:val="22"/>
          <w:szCs w:val="22"/>
          <w:highlight w:val="none"/>
          <w:lang w:eastAsia="zh-CN"/>
        </w:rPr>
        <w:t>标项一：</w:t>
      </w:r>
      <w:r>
        <w:rPr>
          <w:rFonts w:hint="eastAsia" w:ascii="宋体" w:hAnsi="宋体" w:eastAsia="宋体" w:cs="宋体"/>
          <w:bCs/>
          <w:kern w:val="0"/>
          <w:sz w:val="22"/>
          <w:szCs w:val="22"/>
          <w:highlight w:val="none"/>
          <w:lang w:eastAsia="zh-CN"/>
        </w:rPr>
        <w:br w:type="textWrapping"/>
      </w:r>
      <w:r>
        <w:rPr>
          <w:rFonts w:hint="eastAsia" w:ascii="宋体" w:hAnsi="宋体" w:eastAsia="宋体" w:cs="宋体"/>
          <w:bCs/>
          <w:kern w:val="0"/>
          <w:sz w:val="22"/>
          <w:szCs w:val="22"/>
          <w:highlight w:val="none"/>
          <w:lang w:eastAsia="zh-CN"/>
        </w:rPr>
        <w:t>标项名称:</w:t>
      </w:r>
      <w:r>
        <w:rPr>
          <w:rFonts w:hint="eastAsia" w:ascii="宋体" w:hAnsi="宋体" w:cs="宋体"/>
          <w:bCs/>
          <w:kern w:val="0"/>
          <w:sz w:val="22"/>
          <w:szCs w:val="22"/>
          <w:highlight w:val="none"/>
          <w:lang w:eastAsia="zh-CN"/>
        </w:rPr>
        <w:t>温州至福州高速铁路（龙湾段）工程海滨街道北片区房屋征收事务代理项目</w:t>
      </w:r>
      <w:r>
        <w:rPr>
          <w:rFonts w:hint="eastAsia" w:ascii="宋体" w:hAnsi="宋体" w:cs="宋体"/>
          <w:bCs/>
          <w:kern w:val="0"/>
          <w:sz w:val="22"/>
          <w:szCs w:val="22"/>
          <w:highlight w:val="none"/>
          <w:lang w:val="en-US" w:eastAsia="zh-CN"/>
        </w:rPr>
        <w:t>一标段</w:t>
      </w:r>
      <w:r>
        <w:rPr>
          <w:rFonts w:hint="eastAsia" w:ascii="宋体" w:hAnsi="宋体" w:eastAsia="宋体" w:cs="宋体"/>
          <w:bCs/>
          <w:kern w:val="0"/>
          <w:sz w:val="22"/>
          <w:szCs w:val="22"/>
          <w:highlight w:val="none"/>
          <w:lang w:eastAsia="zh-CN"/>
        </w:rPr>
        <w:t> </w:t>
      </w:r>
      <w:r>
        <w:rPr>
          <w:rFonts w:hint="eastAsia" w:ascii="宋体" w:hAnsi="宋体" w:eastAsia="宋体" w:cs="宋体"/>
          <w:bCs/>
          <w:kern w:val="0"/>
          <w:sz w:val="22"/>
          <w:szCs w:val="22"/>
          <w:highlight w:val="none"/>
          <w:lang w:eastAsia="zh-CN"/>
        </w:rPr>
        <w:br w:type="textWrapping"/>
      </w:r>
      <w:r>
        <w:rPr>
          <w:rFonts w:hint="eastAsia" w:ascii="宋体" w:hAnsi="宋体" w:eastAsia="宋体" w:cs="宋体"/>
          <w:bCs/>
          <w:kern w:val="0"/>
          <w:sz w:val="22"/>
          <w:szCs w:val="22"/>
          <w:highlight w:val="none"/>
          <w:lang w:eastAsia="zh-CN"/>
        </w:rPr>
        <w:t>预算金额（元）:</w:t>
      </w:r>
      <w:r>
        <w:rPr>
          <w:rFonts w:hint="eastAsia" w:ascii="宋体" w:hAnsi="宋体" w:cs="宋体"/>
          <w:bCs/>
          <w:kern w:val="0"/>
          <w:sz w:val="22"/>
          <w:szCs w:val="22"/>
          <w:highlight w:val="none"/>
          <w:lang w:eastAsia="zh-CN"/>
        </w:rPr>
        <w:t>2100000</w:t>
      </w:r>
      <w:r>
        <w:rPr>
          <w:rFonts w:hint="eastAsia" w:ascii="宋体" w:hAnsi="宋体" w:eastAsia="宋体" w:cs="宋体"/>
          <w:bCs/>
          <w:kern w:val="0"/>
          <w:sz w:val="22"/>
          <w:szCs w:val="22"/>
          <w:highlight w:val="none"/>
          <w:lang w:eastAsia="zh-CN"/>
        </w:rPr>
        <w:t> </w:t>
      </w:r>
    </w:p>
    <w:p w14:paraId="1AB3F40C">
      <w:pPr>
        <w:widowControl/>
        <w:spacing w:before="60" w:after="60" w:line="360" w:lineRule="exact"/>
        <w:ind w:left="440" w:right="60" w:hanging="440" w:hangingChars="200"/>
        <w:jc w:val="left"/>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eastAsia="zh-CN"/>
        </w:rPr>
        <w:t>标项二：</w:t>
      </w:r>
      <w:r>
        <w:rPr>
          <w:rFonts w:hint="eastAsia" w:ascii="宋体" w:hAnsi="宋体" w:eastAsia="宋体" w:cs="宋体"/>
          <w:bCs/>
          <w:kern w:val="0"/>
          <w:sz w:val="22"/>
          <w:szCs w:val="22"/>
          <w:highlight w:val="none"/>
          <w:lang w:eastAsia="zh-CN"/>
        </w:rPr>
        <w:br w:type="textWrapping"/>
      </w:r>
      <w:r>
        <w:rPr>
          <w:rFonts w:hint="eastAsia" w:ascii="宋体" w:hAnsi="宋体" w:eastAsia="宋体" w:cs="宋体"/>
          <w:bCs/>
          <w:kern w:val="0"/>
          <w:sz w:val="22"/>
          <w:szCs w:val="22"/>
          <w:highlight w:val="none"/>
          <w:lang w:eastAsia="zh-CN"/>
        </w:rPr>
        <w:t>标项名称:</w:t>
      </w:r>
      <w:r>
        <w:rPr>
          <w:rFonts w:hint="eastAsia" w:ascii="宋体" w:hAnsi="宋体" w:cs="宋体"/>
          <w:bCs/>
          <w:kern w:val="0"/>
          <w:sz w:val="22"/>
          <w:szCs w:val="22"/>
          <w:highlight w:val="none"/>
          <w:lang w:eastAsia="zh-CN"/>
        </w:rPr>
        <w:t>温州至福州高速铁路（龙湾段）工程海滨街道北片区房屋征收事务代理项目</w:t>
      </w:r>
      <w:r>
        <w:rPr>
          <w:rFonts w:hint="eastAsia" w:ascii="宋体" w:hAnsi="宋体" w:cs="宋体"/>
          <w:bCs/>
          <w:kern w:val="0"/>
          <w:sz w:val="22"/>
          <w:szCs w:val="22"/>
          <w:highlight w:val="none"/>
          <w:lang w:val="en-US" w:eastAsia="zh-CN"/>
        </w:rPr>
        <w:t>二标段</w:t>
      </w:r>
      <w:r>
        <w:rPr>
          <w:rFonts w:hint="eastAsia" w:ascii="宋体" w:hAnsi="宋体" w:eastAsia="宋体" w:cs="宋体"/>
          <w:bCs/>
          <w:kern w:val="0"/>
          <w:sz w:val="22"/>
          <w:szCs w:val="22"/>
          <w:highlight w:val="none"/>
          <w:lang w:eastAsia="zh-CN"/>
        </w:rPr>
        <w:t> </w:t>
      </w:r>
      <w:r>
        <w:rPr>
          <w:rFonts w:hint="eastAsia" w:ascii="宋体" w:hAnsi="宋体" w:eastAsia="宋体" w:cs="宋体"/>
          <w:bCs/>
          <w:kern w:val="0"/>
          <w:sz w:val="22"/>
          <w:szCs w:val="22"/>
          <w:highlight w:val="none"/>
          <w:lang w:eastAsia="zh-CN"/>
        </w:rPr>
        <w:br w:type="textWrapping"/>
      </w:r>
      <w:r>
        <w:rPr>
          <w:rFonts w:hint="eastAsia" w:ascii="宋体" w:hAnsi="宋体" w:eastAsia="宋体" w:cs="宋体"/>
          <w:bCs/>
          <w:kern w:val="0"/>
          <w:sz w:val="22"/>
          <w:szCs w:val="22"/>
          <w:highlight w:val="none"/>
          <w:lang w:eastAsia="zh-CN"/>
        </w:rPr>
        <w:t>预算金额（元）:</w:t>
      </w:r>
      <w:r>
        <w:rPr>
          <w:rFonts w:hint="eastAsia" w:ascii="宋体" w:hAnsi="宋体" w:cs="宋体"/>
          <w:bCs/>
          <w:kern w:val="0"/>
          <w:sz w:val="22"/>
          <w:szCs w:val="22"/>
          <w:highlight w:val="none"/>
          <w:lang w:eastAsia="zh-CN"/>
        </w:rPr>
        <w:t>3290000</w:t>
      </w:r>
      <w:r>
        <w:rPr>
          <w:rFonts w:hint="eastAsia" w:ascii="宋体" w:hAnsi="宋体" w:eastAsia="宋体" w:cs="宋体"/>
          <w:bCs/>
          <w:kern w:val="0"/>
          <w:sz w:val="22"/>
          <w:szCs w:val="22"/>
          <w:highlight w:val="none"/>
          <w:lang w:eastAsia="zh-CN"/>
        </w:rPr>
        <w:t>  </w:t>
      </w:r>
      <w:r>
        <w:rPr>
          <w:rFonts w:hint="eastAsia" w:ascii="宋体" w:hAnsi="宋体" w:eastAsia="宋体" w:cs="宋体"/>
          <w:bCs/>
          <w:kern w:val="0"/>
          <w:sz w:val="22"/>
          <w:szCs w:val="22"/>
          <w:highlight w:val="none"/>
          <w:lang w:val="en-US" w:eastAsia="zh-CN"/>
        </w:rPr>
        <w:t>   </w:t>
      </w:r>
    </w:p>
    <w:p w14:paraId="3002C1C1">
      <w:pPr>
        <w:widowControl/>
        <w:spacing w:before="60" w:after="60" w:line="360" w:lineRule="exact"/>
        <w:ind w:right="60" w:firstLine="418" w:firstLineChars="190"/>
        <w:jc w:val="left"/>
        <w:rPr>
          <w:rFonts w:hint="default"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简要规格描述或项目基本概况介绍、用途：</w:t>
      </w:r>
      <w:r>
        <w:rPr>
          <w:rFonts w:hint="eastAsia" w:ascii="宋体" w:hAnsi="宋体" w:cs="宋体"/>
          <w:bCs/>
          <w:kern w:val="0"/>
          <w:sz w:val="22"/>
          <w:szCs w:val="22"/>
          <w:highlight w:val="none"/>
          <w:lang w:val="en-US" w:eastAsia="zh-CN"/>
        </w:rPr>
        <w:t>温福高铁沿线海滨街道瓯海大道北片拆迁事务代理，</w:t>
      </w:r>
      <w:r>
        <w:rPr>
          <w:rFonts w:hint="eastAsia" w:ascii="宋体" w:hAnsi="宋体" w:eastAsia="宋体" w:cs="宋体"/>
          <w:bCs/>
          <w:kern w:val="0"/>
          <w:sz w:val="22"/>
          <w:szCs w:val="22"/>
          <w:highlight w:val="none"/>
          <w:lang w:val="en-US" w:eastAsia="zh-CN"/>
        </w:rPr>
        <w:t>其他内容详见招标文件采购内容及需求；</w:t>
      </w:r>
    </w:p>
    <w:p w14:paraId="23DE3F10">
      <w:pPr>
        <w:widowControl/>
        <w:spacing w:before="60" w:after="60" w:line="360" w:lineRule="exact"/>
        <w:ind w:right="60" w:firstLine="418" w:firstLineChars="190"/>
        <w:jc w:val="left"/>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合同履行期限：</w:t>
      </w:r>
      <w:r>
        <w:rPr>
          <w:rFonts w:hint="eastAsia" w:ascii="宋体" w:hAnsi="宋体" w:cs="宋体"/>
          <w:bCs/>
          <w:kern w:val="0"/>
          <w:sz w:val="22"/>
          <w:szCs w:val="22"/>
          <w:highlight w:val="none"/>
          <w:lang w:val="en-US" w:eastAsia="zh-CN"/>
        </w:rPr>
        <w:t>详见</w:t>
      </w:r>
      <w:r>
        <w:rPr>
          <w:rFonts w:hint="eastAsia" w:ascii="宋体" w:hAnsi="宋体" w:eastAsia="宋体" w:cs="宋体"/>
          <w:bCs/>
          <w:kern w:val="0"/>
          <w:sz w:val="22"/>
          <w:szCs w:val="22"/>
          <w:highlight w:val="none"/>
          <w:lang w:val="en-US" w:eastAsia="zh-CN"/>
        </w:rPr>
        <w:t>采购内容及需求；</w:t>
      </w:r>
    </w:p>
    <w:p w14:paraId="393E9AE6">
      <w:pPr>
        <w:widowControl/>
        <w:spacing w:before="60" w:after="60" w:line="360" w:lineRule="exact"/>
        <w:ind w:right="60" w:firstLine="418" w:firstLineChars="190"/>
        <w:jc w:val="left"/>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本项目（</w:t>
      </w:r>
      <w:r>
        <w:rPr>
          <w:rFonts w:hint="eastAsia" w:ascii="宋体" w:hAnsi="宋体" w:cs="宋体"/>
          <w:bCs/>
          <w:kern w:val="0"/>
          <w:sz w:val="22"/>
          <w:szCs w:val="22"/>
          <w:highlight w:val="none"/>
          <w:lang w:val="en-US" w:eastAsia="zh-CN"/>
        </w:rPr>
        <w:t>否</w:t>
      </w:r>
      <w:r>
        <w:rPr>
          <w:rFonts w:hint="eastAsia" w:ascii="宋体" w:hAnsi="宋体" w:eastAsia="宋体" w:cs="宋体"/>
          <w:bCs/>
          <w:kern w:val="0"/>
          <w:sz w:val="22"/>
          <w:szCs w:val="22"/>
          <w:highlight w:val="none"/>
          <w:lang w:val="en-US" w:eastAsia="zh-CN"/>
        </w:rPr>
        <w:t>）接受联合体投标。</w:t>
      </w:r>
    </w:p>
    <w:p w14:paraId="0E1D5B53">
      <w:pPr>
        <w:widowControl/>
        <w:spacing w:before="60" w:after="60" w:line="360" w:lineRule="exact"/>
        <w:ind w:left="60" w:right="60"/>
        <w:jc w:val="left"/>
        <w:rPr>
          <w:rFonts w:ascii="宋体" w:hAnsi="宋体" w:cs="宋体"/>
          <w:kern w:val="0"/>
          <w:sz w:val="22"/>
          <w:szCs w:val="22"/>
          <w:highlight w:val="none"/>
        </w:rPr>
      </w:pPr>
      <w:r>
        <w:rPr>
          <w:rFonts w:hint="eastAsia" w:ascii="宋体" w:hAnsi="宋体" w:cs="宋体"/>
          <w:b/>
          <w:kern w:val="0"/>
          <w:sz w:val="22"/>
          <w:szCs w:val="22"/>
          <w:highlight w:val="none"/>
        </w:rPr>
        <w:t>二、申请人的资格要求</w:t>
      </w:r>
    </w:p>
    <w:p w14:paraId="5DDC4388">
      <w:pPr>
        <w:widowControl/>
        <w:spacing w:before="60" w:after="60" w:line="360" w:lineRule="exact"/>
        <w:ind w:right="60" w:firstLine="418" w:firstLineChars="190"/>
        <w:jc w:val="left"/>
        <w:rPr>
          <w:rFonts w:ascii="宋体" w:hAnsi="宋体" w:cs="宋体"/>
          <w:bCs/>
          <w:kern w:val="0"/>
          <w:sz w:val="22"/>
          <w:szCs w:val="22"/>
          <w:highlight w:val="none"/>
        </w:rPr>
      </w:pPr>
      <w:r>
        <w:rPr>
          <w:rFonts w:hint="eastAsia" w:ascii="宋体" w:hAnsi="宋体" w:cs="宋体"/>
          <w:bCs/>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760469F5">
      <w:pPr>
        <w:widowControl/>
        <w:spacing w:before="60" w:after="60" w:line="360" w:lineRule="exact"/>
        <w:ind w:right="60" w:firstLine="418" w:firstLineChars="190"/>
        <w:jc w:val="left"/>
        <w:rPr>
          <w:rFonts w:ascii="宋体" w:hAnsi="宋体" w:cs="宋体"/>
          <w:bCs/>
          <w:kern w:val="0"/>
          <w:sz w:val="22"/>
          <w:szCs w:val="22"/>
          <w:highlight w:val="none"/>
        </w:rPr>
      </w:pPr>
      <w:r>
        <w:rPr>
          <w:rFonts w:hint="eastAsia" w:ascii="宋体" w:hAnsi="宋体" w:cs="宋体"/>
          <w:bCs/>
          <w:kern w:val="0"/>
          <w:sz w:val="22"/>
          <w:szCs w:val="22"/>
          <w:highlight w:val="none"/>
        </w:rPr>
        <w:t>2.落实政府采购政策需满足的资格要求：本项目为专门面向中小企业采购的项目，供应商为中小企业/小微企业或监狱企业或残疾人福利企业；</w:t>
      </w:r>
    </w:p>
    <w:p w14:paraId="593D7B39">
      <w:pPr>
        <w:widowControl/>
        <w:spacing w:before="60" w:after="60" w:line="360" w:lineRule="exact"/>
        <w:ind w:right="60" w:firstLine="418" w:firstLineChars="190"/>
        <w:jc w:val="left"/>
        <w:rPr>
          <w:rFonts w:ascii="宋体" w:hAnsi="宋体" w:cs="宋体"/>
          <w:bCs/>
          <w:kern w:val="0"/>
          <w:sz w:val="22"/>
          <w:szCs w:val="22"/>
          <w:highlight w:val="none"/>
        </w:rPr>
      </w:pPr>
      <w:r>
        <w:rPr>
          <w:rFonts w:hint="eastAsia" w:ascii="宋体" w:hAnsi="宋体" w:cs="宋体"/>
          <w:bCs/>
          <w:kern w:val="0"/>
          <w:sz w:val="22"/>
          <w:szCs w:val="22"/>
          <w:highlight w:val="none"/>
        </w:rPr>
        <w:t>3.本项目的特定资格要求：</w:t>
      </w:r>
      <w:r>
        <w:rPr>
          <w:rFonts w:hint="eastAsia" w:ascii="宋体" w:hAnsi="宋体" w:cs="宋体"/>
          <w:bCs/>
          <w:kern w:val="0"/>
          <w:sz w:val="22"/>
          <w:szCs w:val="22"/>
          <w:highlight w:val="none"/>
          <w:lang w:val="en-US" w:eastAsia="zh-CN"/>
        </w:rPr>
        <w:t>无</w:t>
      </w:r>
      <w:r>
        <w:rPr>
          <w:rFonts w:hint="eastAsia" w:ascii="宋体" w:hAnsi="宋体" w:cs="宋体"/>
          <w:bCs/>
          <w:kern w:val="0"/>
          <w:sz w:val="22"/>
          <w:szCs w:val="22"/>
          <w:highlight w:val="none"/>
        </w:rPr>
        <w:t>。</w:t>
      </w:r>
    </w:p>
    <w:p w14:paraId="66A35505">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三、获取招标文件</w:t>
      </w:r>
    </w:p>
    <w:p w14:paraId="33009A45">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1.时间：公告发布之日起至投标截止时间前，每天上午08:30-11:30，下午14:30-17:30（节假日除外）。</w:t>
      </w:r>
    </w:p>
    <w:p w14:paraId="759CC783">
      <w:pPr>
        <w:widowControl/>
        <w:spacing w:before="60" w:after="60" w:line="360" w:lineRule="exact"/>
        <w:ind w:right="60" w:firstLine="440"/>
        <w:jc w:val="left"/>
        <w:rPr>
          <w:rFonts w:ascii="宋体" w:hAnsi="宋体" w:cs="hakuyoxingshu7000"/>
          <w:kern w:val="0"/>
          <w:sz w:val="22"/>
          <w:szCs w:val="22"/>
          <w:highlight w:val="none"/>
        </w:rPr>
      </w:pPr>
      <w:r>
        <w:rPr>
          <w:rFonts w:hint="eastAsia" w:ascii="宋体" w:hAnsi="宋体" w:cs="宋体"/>
          <w:kern w:val="0"/>
          <w:sz w:val="22"/>
          <w:szCs w:val="22"/>
          <w:highlight w:val="none"/>
        </w:rPr>
        <w:t>2.地点：</w:t>
      </w:r>
      <w:r>
        <w:rPr>
          <w:rFonts w:hint="eastAsia" w:ascii="宋体" w:hAnsi="宋体" w:cs="hakuyoxingshu7000"/>
          <w:kern w:val="0"/>
          <w:sz w:val="22"/>
          <w:szCs w:val="22"/>
          <w:highlight w:val="none"/>
        </w:rPr>
        <w:t>在政采云平台（www.zcygov.cn）</w:t>
      </w:r>
    </w:p>
    <w:p w14:paraId="2E597D2E">
      <w:pPr>
        <w:widowControl/>
        <w:spacing w:before="60" w:after="60" w:line="360" w:lineRule="exact"/>
        <w:ind w:right="60" w:firstLine="440"/>
        <w:jc w:val="left"/>
        <w:rPr>
          <w:rFonts w:ascii="宋体" w:hAnsi="宋体"/>
          <w:sz w:val="22"/>
          <w:szCs w:val="22"/>
          <w:highlight w:val="none"/>
        </w:rPr>
      </w:pPr>
      <w:r>
        <w:rPr>
          <w:rFonts w:hint="eastAsia" w:ascii="宋体" w:hAnsi="宋体" w:cs="宋体"/>
          <w:kern w:val="0"/>
          <w:sz w:val="22"/>
          <w:szCs w:val="22"/>
          <w:highlight w:val="none"/>
        </w:rPr>
        <w:t>3.方式：</w:t>
      </w:r>
      <w:r>
        <w:rPr>
          <w:rFonts w:ascii="宋体" w:hAnsi="宋体"/>
          <w:sz w:val="22"/>
          <w:szCs w:val="22"/>
          <w:highlight w:val="none"/>
        </w:rPr>
        <w:t>潜在投标人登陆政采云平台</w:t>
      </w:r>
      <w:r>
        <w:rPr>
          <w:rFonts w:hint="eastAsia" w:ascii="宋体" w:hAnsi="宋体" w:cs="hakuyoxingshu7000"/>
          <w:kern w:val="0"/>
          <w:sz w:val="22"/>
          <w:szCs w:val="22"/>
          <w:highlight w:val="none"/>
        </w:rPr>
        <w:t>（www.zcygov.cn）</w:t>
      </w:r>
      <w:r>
        <w:rPr>
          <w:rFonts w:ascii="宋体" w:hAnsi="宋体"/>
          <w:sz w:val="22"/>
          <w:szCs w:val="22"/>
          <w:highlight w:val="none"/>
        </w:rPr>
        <w:t>，在线申请获取</w:t>
      </w:r>
      <w:r>
        <w:rPr>
          <w:rFonts w:hint="eastAsia" w:ascii="宋体" w:hAnsi="宋体"/>
          <w:sz w:val="22"/>
          <w:szCs w:val="22"/>
          <w:highlight w:val="none"/>
        </w:rPr>
        <w:t>采购文件</w:t>
      </w:r>
      <w:r>
        <w:rPr>
          <w:rFonts w:ascii="宋体" w:hAnsi="宋体"/>
          <w:sz w:val="22"/>
          <w:szCs w:val="22"/>
          <w:highlight w:val="none"/>
        </w:rPr>
        <w:t>（</w:t>
      </w:r>
      <w:r>
        <w:rPr>
          <w:rFonts w:hint="eastAsia" w:ascii="宋体" w:hAnsi="宋体"/>
          <w:sz w:val="22"/>
          <w:szCs w:val="22"/>
          <w:highlight w:val="none"/>
        </w:rPr>
        <w:t>进入</w:t>
      </w:r>
      <w:r>
        <w:rPr>
          <w:rFonts w:hint="eastAsia" w:ascii="宋体"/>
          <w:sz w:val="22"/>
          <w:szCs w:val="22"/>
          <w:highlight w:val="none"/>
        </w:rPr>
        <w:t>“</w:t>
      </w:r>
      <w:r>
        <w:rPr>
          <w:rFonts w:hint="eastAsia" w:ascii="宋体" w:hAnsi="宋体"/>
          <w:sz w:val="22"/>
          <w:szCs w:val="22"/>
          <w:highlight w:val="none"/>
        </w:rPr>
        <w:t>项目采购</w:t>
      </w:r>
      <w:r>
        <w:rPr>
          <w:rFonts w:hint="eastAsia" w:ascii="宋体"/>
          <w:sz w:val="22"/>
          <w:szCs w:val="22"/>
          <w:highlight w:val="none"/>
        </w:rPr>
        <w:t>”</w:t>
      </w:r>
      <w:r>
        <w:rPr>
          <w:rFonts w:hint="eastAsia" w:ascii="宋体" w:hAnsi="宋体"/>
          <w:sz w:val="22"/>
          <w:szCs w:val="22"/>
          <w:highlight w:val="none"/>
        </w:rPr>
        <w:t>应用，在获取采购文件菜单中选择项目，申请获取采购文件；仅需浏览采购文件的投标人可点击</w:t>
      </w:r>
      <w:r>
        <w:rPr>
          <w:rFonts w:hint="eastAsia" w:ascii="宋体"/>
          <w:sz w:val="22"/>
          <w:szCs w:val="22"/>
          <w:highlight w:val="none"/>
        </w:rPr>
        <w:t>“</w:t>
      </w:r>
      <w:r>
        <w:rPr>
          <w:rFonts w:hint="eastAsia" w:ascii="宋体" w:hAnsi="宋体"/>
          <w:sz w:val="22"/>
          <w:szCs w:val="22"/>
          <w:highlight w:val="none"/>
        </w:rPr>
        <w:t>游客，浏览采购文件</w:t>
      </w:r>
      <w:r>
        <w:rPr>
          <w:rFonts w:hint="eastAsia" w:ascii="宋体"/>
          <w:sz w:val="22"/>
          <w:szCs w:val="22"/>
          <w:highlight w:val="none"/>
        </w:rPr>
        <w:t>”</w:t>
      </w:r>
      <w:r>
        <w:rPr>
          <w:rFonts w:hint="eastAsia" w:ascii="宋体" w:hAnsi="宋体"/>
          <w:sz w:val="22"/>
          <w:szCs w:val="22"/>
          <w:highlight w:val="none"/>
        </w:rPr>
        <w:t>直接下载采购文件浏览</w:t>
      </w:r>
      <w:r>
        <w:rPr>
          <w:rFonts w:ascii="宋体" w:hAnsi="宋体"/>
          <w:sz w:val="22"/>
          <w:szCs w:val="22"/>
          <w:highlight w:val="none"/>
        </w:rPr>
        <w:t>）。</w:t>
      </w:r>
    </w:p>
    <w:p w14:paraId="18A0B3E5">
      <w:pPr>
        <w:widowControl/>
        <w:spacing w:before="60" w:after="60" w:line="360" w:lineRule="exact"/>
        <w:ind w:right="60" w:firstLine="440"/>
        <w:jc w:val="left"/>
        <w:rPr>
          <w:rFonts w:ascii="宋体"/>
          <w:sz w:val="22"/>
          <w:szCs w:val="22"/>
          <w:highlight w:val="none"/>
        </w:rPr>
      </w:pPr>
      <w:r>
        <w:rPr>
          <w:rFonts w:hint="eastAsia" w:ascii="宋体" w:hAnsi="宋体" w:cs="宋体"/>
          <w:b/>
          <w:kern w:val="0"/>
          <w:sz w:val="22"/>
          <w:szCs w:val="22"/>
          <w:highlight w:val="none"/>
        </w:rPr>
        <w:t>投标人只有在“政采云平台”完成获取采购文件申请并下载了采购文件后才视作依法获取采购文件（法律法规所指的投标人获取采购文件时间以投标人完成获取采购文件申请后下载采购文件的时间为准）。未依法获取采购文件的潜在投标人对采购文件提起质疑投诉，不予受理。</w:t>
      </w:r>
    </w:p>
    <w:p w14:paraId="17681B02">
      <w:pPr>
        <w:widowControl/>
        <w:spacing w:before="60" w:after="60" w:line="360" w:lineRule="exact"/>
        <w:ind w:right="60" w:firstLine="440"/>
        <w:jc w:val="left"/>
        <w:rPr>
          <w:rFonts w:ascii="宋体" w:cs="宋体"/>
          <w:b/>
          <w:kern w:val="0"/>
          <w:sz w:val="22"/>
          <w:szCs w:val="22"/>
          <w:highlight w:val="none"/>
        </w:rPr>
      </w:pPr>
      <w:r>
        <w:rPr>
          <w:rFonts w:ascii="宋体" w:hAnsi="宋体" w:cs="宋体"/>
          <w:kern w:val="0"/>
          <w:sz w:val="22"/>
          <w:szCs w:val="22"/>
          <w:highlight w:val="none"/>
        </w:rPr>
        <w:t>4</w:t>
      </w:r>
      <w:r>
        <w:rPr>
          <w:rFonts w:hint="eastAsia" w:ascii="宋体" w:hAnsi="宋体" w:cs="宋体"/>
          <w:kern w:val="0"/>
          <w:sz w:val="22"/>
          <w:szCs w:val="22"/>
          <w:highlight w:val="none"/>
        </w:rPr>
        <w:t>．售价（元）：0</w:t>
      </w:r>
    </w:p>
    <w:p w14:paraId="56B62C36">
      <w:pPr>
        <w:widowControl/>
        <w:spacing w:before="60" w:after="60" w:line="360" w:lineRule="exact"/>
        <w:ind w:left="60" w:right="60"/>
        <w:jc w:val="left"/>
        <w:rPr>
          <w:rFonts w:ascii="宋体" w:hAnsi="宋体" w:cs="宋体"/>
          <w:b/>
          <w:bCs/>
          <w:kern w:val="0"/>
          <w:sz w:val="22"/>
          <w:szCs w:val="22"/>
          <w:highlight w:val="none"/>
        </w:rPr>
      </w:pPr>
      <w:r>
        <w:rPr>
          <w:rFonts w:hint="eastAsia" w:ascii="宋体" w:hAnsi="宋体" w:cs="宋体"/>
          <w:b/>
          <w:bCs/>
          <w:kern w:val="0"/>
          <w:sz w:val="22"/>
          <w:szCs w:val="22"/>
          <w:highlight w:val="none"/>
        </w:rPr>
        <w:t>四、提交投标文件截止时间、开标时间和地点</w:t>
      </w:r>
    </w:p>
    <w:p w14:paraId="6FB62556">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投标文件提交截止时间：202</w:t>
      </w:r>
      <w:r>
        <w:rPr>
          <w:rFonts w:hint="eastAsia" w:ascii="宋体" w:hAnsi="宋体" w:cs="宋体"/>
          <w:kern w:val="0"/>
          <w:sz w:val="22"/>
          <w:szCs w:val="22"/>
          <w:highlight w:val="none"/>
          <w:lang w:val="en-US" w:eastAsia="zh-CN"/>
        </w:rPr>
        <w:t>5</w:t>
      </w:r>
      <w:r>
        <w:rPr>
          <w:rFonts w:hint="eastAsia" w:ascii="宋体" w:hAnsi="宋体" w:cs="宋体"/>
          <w:kern w:val="0"/>
          <w:sz w:val="22"/>
          <w:szCs w:val="22"/>
          <w:highlight w:val="none"/>
        </w:rPr>
        <w:t>年</w:t>
      </w:r>
      <w:r>
        <w:rPr>
          <w:rFonts w:hint="eastAsia" w:ascii="宋体" w:hAnsi="宋体" w:cs="宋体"/>
          <w:kern w:val="0"/>
          <w:sz w:val="22"/>
          <w:szCs w:val="22"/>
          <w:highlight w:val="none"/>
          <w:lang w:val="en-US" w:eastAsia="zh-CN"/>
        </w:rPr>
        <w:t>X</w:t>
      </w:r>
      <w:r>
        <w:rPr>
          <w:rFonts w:hint="eastAsia" w:ascii="宋体" w:hAnsi="宋体" w:cs="宋体"/>
          <w:kern w:val="0"/>
          <w:sz w:val="22"/>
          <w:szCs w:val="22"/>
          <w:highlight w:val="none"/>
        </w:rPr>
        <w:t>月</w:t>
      </w:r>
      <w:r>
        <w:rPr>
          <w:rFonts w:hint="eastAsia" w:ascii="宋体" w:hAnsi="宋体" w:cs="宋体"/>
          <w:kern w:val="0"/>
          <w:sz w:val="22"/>
          <w:szCs w:val="22"/>
          <w:highlight w:val="none"/>
          <w:lang w:val="en-US" w:eastAsia="zh-CN"/>
        </w:rPr>
        <w:t>X</w:t>
      </w:r>
      <w:r>
        <w:rPr>
          <w:rFonts w:hint="eastAsia" w:ascii="宋体" w:hAnsi="宋体" w:cs="宋体"/>
          <w:kern w:val="0"/>
          <w:sz w:val="22"/>
          <w:szCs w:val="22"/>
          <w:highlight w:val="none"/>
        </w:rPr>
        <w:t>日9:30（北京时间）</w:t>
      </w:r>
    </w:p>
    <w:p w14:paraId="57237179">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 xml:space="preserve">投标地点（网址）：政府采购云平台（www.zcygov.cn） </w:t>
      </w:r>
    </w:p>
    <w:p w14:paraId="6F188C67">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开标时间：202</w:t>
      </w:r>
      <w:r>
        <w:rPr>
          <w:rFonts w:hint="eastAsia" w:ascii="宋体" w:hAnsi="宋体" w:cs="宋体"/>
          <w:kern w:val="0"/>
          <w:sz w:val="22"/>
          <w:szCs w:val="22"/>
          <w:highlight w:val="none"/>
          <w:lang w:val="en-US" w:eastAsia="zh-CN"/>
        </w:rPr>
        <w:t>5</w:t>
      </w:r>
      <w:r>
        <w:rPr>
          <w:rFonts w:hint="eastAsia" w:ascii="宋体" w:hAnsi="宋体" w:cs="宋体"/>
          <w:kern w:val="0"/>
          <w:sz w:val="22"/>
          <w:szCs w:val="22"/>
          <w:highlight w:val="none"/>
        </w:rPr>
        <w:t>年</w:t>
      </w:r>
      <w:r>
        <w:rPr>
          <w:rFonts w:hint="eastAsia" w:ascii="宋体" w:hAnsi="宋体" w:cs="宋体"/>
          <w:kern w:val="0"/>
          <w:sz w:val="22"/>
          <w:szCs w:val="22"/>
          <w:highlight w:val="none"/>
          <w:lang w:val="en-US" w:eastAsia="zh-CN"/>
        </w:rPr>
        <w:t>X</w:t>
      </w:r>
      <w:r>
        <w:rPr>
          <w:rFonts w:hint="eastAsia" w:ascii="宋体" w:hAnsi="宋体" w:cs="宋体"/>
          <w:kern w:val="0"/>
          <w:sz w:val="22"/>
          <w:szCs w:val="22"/>
          <w:highlight w:val="none"/>
        </w:rPr>
        <w:t>月</w:t>
      </w:r>
      <w:r>
        <w:rPr>
          <w:rFonts w:hint="eastAsia" w:ascii="宋体" w:hAnsi="宋体" w:cs="宋体"/>
          <w:kern w:val="0"/>
          <w:sz w:val="22"/>
          <w:szCs w:val="22"/>
          <w:highlight w:val="none"/>
          <w:lang w:val="en-US" w:eastAsia="zh-CN"/>
        </w:rPr>
        <w:t>X</w:t>
      </w:r>
      <w:r>
        <w:rPr>
          <w:rFonts w:hint="eastAsia" w:ascii="宋体" w:hAnsi="宋体" w:cs="宋体"/>
          <w:kern w:val="0"/>
          <w:sz w:val="22"/>
          <w:szCs w:val="22"/>
          <w:highlight w:val="none"/>
        </w:rPr>
        <w:t>日9:30</w:t>
      </w:r>
    </w:p>
    <w:p w14:paraId="1AEEF704">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开标地点（网址）：政府采购云平台（</w:t>
      </w:r>
      <w:r>
        <w:rPr>
          <w:rFonts w:ascii="宋体" w:hAnsi="宋体" w:cs="宋体"/>
          <w:kern w:val="0"/>
          <w:sz w:val="22"/>
          <w:szCs w:val="22"/>
          <w:highlight w:val="none"/>
        </w:rPr>
        <w:t>www.zcygov.cn</w:t>
      </w:r>
      <w:r>
        <w:rPr>
          <w:rFonts w:hint="eastAsia" w:ascii="宋体" w:hAnsi="宋体" w:cs="宋体"/>
          <w:kern w:val="0"/>
          <w:sz w:val="22"/>
          <w:szCs w:val="22"/>
          <w:highlight w:val="none"/>
        </w:rPr>
        <w:t>）</w:t>
      </w:r>
    </w:p>
    <w:p w14:paraId="113A3059">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五、公告期限</w:t>
      </w:r>
    </w:p>
    <w:p w14:paraId="69E799DB">
      <w:pPr>
        <w:widowControl/>
        <w:spacing w:before="60" w:after="60" w:line="360" w:lineRule="exact"/>
        <w:ind w:left="61" w:leftChars="29" w:right="60" w:firstLine="323" w:firstLineChars="147"/>
        <w:jc w:val="left"/>
        <w:rPr>
          <w:rFonts w:ascii="宋体" w:hAnsi="宋体" w:cs="宋体"/>
          <w:kern w:val="0"/>
          <w:sz w:val="22"/>
          <w:szCs w:val="22"/>
          <w:highlight w:val="none"/>
        </w:rPr>
      </w:pPr>
      <w:r>
        <w:rPr>
          <w:rFonts w:hint="eastAsia" w:ascii="宋体" w:hAnsi="宋体" w:cs="宋体"/>
          <w:kern w:val="0"/>
          <w:sz w:val="22"/>
          <w:szCs w:val="22"/>
          <w:highlight w:val="none"/>
        </w:rPr>
        <w:t>自本公告发布之日起5个工作日。</w:t>
      </w:r>
    </w:p>
    <w:p w14:paraId="2CA889A3">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六、其他补充事宜</w:t>
      </w:r>
    </w:p>
    <w:p w14:paraId="0A78BDFC">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B488644">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894351">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宋体" w:hAnsi="宋体" w:eastAsia="宋体" w:cs="宋体"/>
          <w:color w:val="auto"/>
          <w:kern w:val="0"/>
          <w:sz w:val="22"/>
          <w:szCs w:val="22"/>
          <w:highlight w:val="none"/>
          <w:lang w:eastAsia="zh-CN"/>
        </w:rPr>
        <w:t>集采机构</w:t>
      </w:r>
      <w:r>
        <w:rPr>
          <w:rFonts w:hint="eastAsia" w:ascii="宋体" w:hAnsi="宋体" w:eastAsia="宋体" w:cs="宋体"/>
          <w:color w:val="auto"/>
          <w:kern w:val="0"/>
          <w:sz w:val="22"/>
          <w:szCs w:val="22"/>
          <w:highlight w:val="none"/>
        </w:rPr>
        <w:t>提出质疑。质疑供应商对采购人、</w:t>
      </w:r>
      <w:r>
        <w:rPr>
          <w:rFonts w:hint="eastAsia" w:ascii="宋体" w:hAnsi="宋体" w:eastAsia="宋体" w:cs="宋体"/>
          <w:color w:val="auto"/>
          <w:kern w:val="0"/>
          <w:sz w:val="22"/>
          <w:szCs w:val="22"/>
          <w:highlight w:val="none"/>
          <w:lang w:eastAsia="zh-CN"/>
        </w:rPr>
        <w:t>集采机构</w:t>
      </w:r>
      <w:r>
        <w:rPr>
          <w:rFonts w:hint="eastAsia" w:ascii="宋体" w:hAnsi="宋体" w:eastAsia="宋体" w:cs="宋体"/>
          <w:color w:val="auto"/>
          <w:kern w:val="0"/>
          <w:sz w:val="22"/>
          <w:szCs w:val="22"/>
          <w:highlight w:val="none"/>
        </w:rPr>
        <w:t>的答复不满意或者采购人、</w:t>
      </w:r>
      <w:r>
        <w:rPr>
          <w:rFonts w:hint="eastAsia" w:ascii="宋体" w:hAnsi="宋体" w:eastAsia="宋体" w:cs="宋体"/>
          <w:color w:val="auto"/>
          <w:kern w:val="0"/>
          <w:sz w:val="22"/>
          <w:szCs w:val="22"/>
          <w:highlight w:val="none"/>
          <w:lang w:eastAsia="zh-CN"/>
        </w:rPr>
        <w:t>集采机构</w:t>
      </w:r>
      <w:r>
        <w:rPr>
          <w:rFonts w:hint="eastAsia" w:ascii="宋体" w:hAnsi="宋体" w:eastAsia="宋体" w:cs="宋体"/>
          <w:color w:val="auto"/>
          <w:kern w:val="0"/>
          <w:sz w:val="22"/>
          <w:szCs w:val="22"/>
          <w:highlight w:val="none"/>
        </w:rPr>
        <w:t>未在规定的时间内作出答复的，可以在答复期满后十五个工作日内向同级政府采购监督管理部门投诉。质疑函范本、投诉书范本请到浙江政府采购网下载专区下载。</w:t>
      </w:r>
    </w:p>
    <w:p w14:paraId="2A05DB2F">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4.其他事项：详见招标文件</w:t>
      </w:r>
      <w:r>
        <w:rPr>
          <w:rFonts w:hint="eastAsia" w:ascii="宋体" w:hAnsi="宋体" w:eastAsia="宋体" w:cs="宋体"/>
          <w:color w:val="auto"/>
          <w:kern w:val="0"/>
          <w:sz w:val="22"/>
          <w:szCs w:val="22"/>
          <w:highlight w:val="none"/>
          <w:lang w:val="zh-CN"/>
        </w:rPr>
        <w:t>。</w:t>
      </w:r>
    </w:p>
    <w:p w14:paraId="06B124DA">
      <w:pPr>
        <w:widowControl/>
        <w:spacing w:before="60" w:after="60" w:line="360" w:lineRule="exact"/>
        <w:ind w:left="60" w:right="60"/>
        <w:jc w:val="left"/>
        <w:rPr>
          <w:rFonts w:ascii="宋体" w:hAnsi="宋体" w:cs="宋体"/>
          <w:kern w:val="0"/>
          <w:sz w:val="22"/>
          <w:szCs w:val="22"/>
          <w:highlight w:val="none"/>
        </w:rPr>
      </w:pPr>
      <w:r>
        <w:rPr>
          <w:rFonts w:hint="eastAsia" w:ascii="宋体" w:hAnsi="宋体" w:cs="宋体"/>
          <w:b/>
          <w:kern w:val="0"/>
          <w:sz w:val="22"/>
          <w:szCs w:val="22"/>
          <w:highlight w:val="none"/>
        </w:rPr>
        <w:t>七、</w:t>
      </w:r>
      <w:r>
        <w:rPr>
          <w:rFonts w:ascii="宋体" w:hAnsi="宋体" w:cs="宋体"/>
          <w:b/>
          <w:bCs/>
          <w:kern w:val="0"/>
          <w:sz w:val="22"/>
          <w:szCs w:val="22"/>
          <w:highlight w:val="none"/>
        </w:rPr>
        <w:t>对本次招标提出询问、质疑、投诉，请按以下方式联系</w:t>
      </w:r>
    </w:p>
    <w:p w14:paraId="680D27A1">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采购人：温州市龙湾区人民政府海滨街道办事处</w:t>
      </w:r>
    </w:p>
    <w:p w14:paraId="41ECB72C">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地址：</w:t>
      </w:r>
      <w:r>
        <w:rPr>
          <w:rFonts w:hint="eastAsia" w:ascii="宋体" w:hAnsi="宋体" w:eastAsia="宋体" w:cs="宋体"/>
          <w:color w:val="auto"/>
          <w:kern w:val="0"/>
          <w:sz w:val="22"/>
          <w:szCs w:val="22"/>
          <w:highlight w:val="none"/>
          <w:lang w:val="zh-CN"/>
        </w:rPr>
        <w:fldChar w:fldCharType="begin"/>
      </w:r>
      <w:r>
        <w:rPr>
          <w:rFonts w:hint="eastAsia" w:ascii="宋体" w:hAnsi="宋体" w:eastAsia="宋体" w:cs="宋体"/>
          <w:color w:val="auto"/>
          <w:kern w:val="0"/>
          <w:sz w:val="22"/>
          <w:szCs w:val="22"/>
          <w:highlight w:val="none"/>
          <w:lang w:val="zh-CN"/>
        </w:rPr>
        <w:instrText xml:space="preserve"> HYPERLINK "https://ditu.so.com/?pid=67272e25bdb79e73&amp;src=onebox" \t "https://www.so.com/_blank" </w:instrText>
      </w:r>
      <w:r>
        <w:rPr>
          <w:rFonts w:hint="eastAsia" w:ascii="宋体" w:hAnsi="宋体" w:eastAsia="宋体" w:cs="宋体"/>
          <w:color w:val="auto"/>
          <w:kern w:val="0"/>
          <w:sz w:val="22"/>
          <w:szCs w:val="22"/>
          <w:highlight w:val="none"/>
          <w:lang w:val="zh-CN"/>
        </w:rPr>
        <w:fldChar w:fldCharType="separate"/>
      </w:r>
      <w:r>
        <w:rPr>
          <w:rFonts w:hint="eastAsia" w:ascii="宋体" w:hAnsi="宋体" w:eastAsia="宋体" w:cs="宋体"/>
          <w:color w:val="auto"/>
          <w:kern w:val="0"/>
          <w:sz w:val="22"/>
          <w:szCs w:val="22"/>
          <w:highlight w:val="none"/>
          <w:lang w:val="zh-CN"/>
        </w:rPr>
        <w:t>温州市龙湾区海滨街道</w:t>
      </w:r>
      <w:r>
        <w:rPr>
          <w:rFonts w:hint="eastAsia" w:ascii="宋体" w:hAnsi="宋体" w:eastAsia="宋体" w:cs="宋体"/>
          <w:color w:val="auto"/>
          <w:kern w:val="0"/>
          <w:sz w:val="22"/>
          <w:szCs w:val="22"/>
          <w:highlight w:val="none"/>
          <w:lang w:val="en-US" w:eastAsia="zh-CN"/>
        </w:rPr>
        <w:t>沙村路</w:t>
      </w:r>
      <w:r>
        <w:rPr>
          <w:rFonts w:hint="eastAsia" w:ascii="宋体" w:hAnsi="宋体" w:eastAsia="宋体" w:cs="宋体"/>
          <w:color w:val="auto"/>
          <w:kern w:val="0"/>
          <w:sz w:val="22"/>
          <w:szCs w:val="22"/>
          <w:highlight w:val="none"/>
          <w:lang w:val="zh-CN"/>
        </w:rPr>
        <w:fldChar w:fldCharType="end"/>
      </w:r>
      <w:r>
        <w:rPr>
          <w:rFonts w:hint="eastAsia" w:ascii="宋体" w:hAnsi="宋体" w:eastAsia="宋体" w:cs="宋体"/>
          <w:color w:val="auto"/>
          <w:kern w:val="0"/>
          <w:sz w:val="22"/>
          <w:szCs w:val="22"/>
          <w:highlight w:val="none"/>
          <w:lang w:val="en-US" w:eastAsia="zh-CN"/>
        </w:rPr>
        <w:t>29号</w:t>
      </w:r>
      <w:r>
        <w:rPr>
          <w:rFonts w:hint="eastAsia" w:ascii="宋体" w:hAnsi="宋体" w:eastAsia="宋体" w:cs="宋体"/>
          <w:color w:val="auto"/>
          <w:kern w:val="0"/>
          <w:sz w:val="22"/>
          <w:szCs w:val="22"/>
          <w:highlight w:val="none"/>
          <w:lang w:val="zh-CN"/>
        </w:rPr>
        <w:t> </w:t>
      </w:r>
    </w:p>
    <w:p w14:paraId="3431A97C">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联系人：</w:t>
      </w:r>
      <w:r>
        <w:rPr>
          <w:rFonts w:hint="eastAsia" w:ascii="宋体" w:hAnsi="宋体" w:eastAsia="宋体" w:cs="宋体"/>
          <w:color w:val="auto"/>
          <w:kern w:val="0"/>
          <w:sz w:val="22"/>
          <w:szCs w:val="22"/>
          <w:highlight w:val="none"/>
          <w:lang w:val="en-US" w:eastAsia="zh-CN"/>
        </w:rPr>
        <w:t>陈先生</w:t>
      </w:r>
      <w:r>
        <w:rPr>
          <w:rFonts w:hint="eastAsia" w:ascii="宋体" w:hAnsi="宋体" w:eastAsia="宋体" w:cs="宋体"/>
          <w:color w:val="auto"/>
          <w:kern w:val="0"/>
          <w:sz w:val="22"/>
          <w:szCs w:val="22"/>
          <w:highlight w:val="none"/>
          <w:lang w:val="zh-CN"/>
        </w:rPr>
        <w:t>  </w:t>
      </w:r>
    </w:p>
    <w:p w14:paraId="3EDB3A08">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联系方式：0577-86888780</w:t>
      </w:r>
    </w:p>
    <w:p w14:paraId="1772FC6B">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质疑联系人：</w:t>
      </w:r>
      <w:r>
        <w:rPr>
          <w:rFonts w:hint="eastAsia" w:ascii="宋体" w:hAnsi="宋体" w:eastAsia="宋体" w:cs="宋体"/>
          <w:color w:val="auto"/>
          <w:kern w:val="0"/>
          <w:sz w:val="22"/>
          <w:szCs w:val="22"/>
          <w:highlight w:val="none"/>
          <w:lang w:val="en-US" w:eastAsia="zh-CN"/>
        </w:rPr>
        <w:t>陈</w:t>
      </w:r>
      <w:r>
        <w:rPr>
          <w:rFonts w:hint="eastAsia" w:ascii="宋体" w:hAnsi="宋体" w:eastAsia="宋体" w:cs="宋体"/>
          <w:color w:val="auto"/>
          <w:kern w:val="0"/>
          <w:sz w:val="22"/>
          <w:szCs w:val="22"/>
          <w:highlight w:val="none"/>
          <w:lang w:val="zh-CN"/>
        </w:rPr>
        <w:t>先生    </w:t>
      </w:r>
    </w:p>
    <w:p w14:paraId="0BCC6811">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质疑联系方式：0577-86888780</w:t>
      </w:r>
    </w:p>
    <w:p w14:paraId="4CE369EA">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招标代理机构：温州市滨海招标代理有限公司</w:t>
      </w:r>
    </w:p>
    <w:p w14:paraId="297D14FD">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地址：永中街道永宁西路587号龙湾建设大厦4层</w:t>
      </w:r>
    </w:p>
    <w:p w14:paraId="788F96D0">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联系人：李先生</w:t>
      </w:r>
    </w:p>
    <w:p w14:paraId="00427B3A">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联系电话：0577-86861010、13736315989</w:t>
      </w:r>
    </w:p>
    <w:p w14:paraId="1A874D8E">
      <w:pPr>
        <w:widowControl/>
        <w:spacing w:before="60" w:after="60" w:line="360" w:lineRule="exact"/>
        <w:ind w:left="61" w:leftChars="29" w:right="60" w:firstLine="431" w:firstLineChars="196"/>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zh-CN"/>
        </w:rPr>
        <w:t>传真：0577-</w:t>
      </w:r>
      <w:r>
        <w:rPr>
          <w:rFonts w:hint="eastAsia" w:ascii="宋体" w:hAnsi="宋体" w:cs="宋体"/>
          <w:color w:val="auto"/>
          <w:kern w:val="0"/>
          <w:sz w:val="22"/>
          <w:szCs w:val="22"/>
          <w:highlight w:val="none"/>
          <w:lang w:val="en-US" w:eastAsia="zh-CN"/>
        </w:rPr>
        <w:t>86888301</w:t>
      </w:r>
    </w:p>
    <w:p w14:paraId="633128AA">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质疑联系人：陈先生 </w:t>
      </w:r>
    </w:p>
    <w:p w14:paraId="4B21B0F6">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联系电话：0577-86861010</w:t>
      </w:r>
    </w:p>
    <w:p w14:paraId="02E26283">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同级政府采购监管部门：</w:t>
      </w:r>
      <w:r>
        <w:rPr>
          <w:rFonts w:hint="eastAsia" w:ascii="宋体" w:hAnsi="宋体" w:cs="宋体"/>
          <w:color w:val="auto"/>
          <w:kern w:val="0"/>
          <w:sz w:val="22"/>
          <w:szCs w:val="22"/>
          <w:highlight w:val="none"/>
          <w:lang w:val="en-US" w:eastAsia="zh-CN"/>
        </w:rPr>
        <w:t>温州市</w:t>
      </w:r>
      <w:r>
        <w:rPr>
          <w:rFonts w:hint="eastAsia" w:ascii="宋体" w:hAnsi="宋体" w:cs="宋体"/>
          <w:color w:val="auto"/>
          <w:kern w:val="0"/>
          <w:sz w:val="22"/>
          <w:szCs w:val="22"/>
          <w:highlight w:val="none"/>
          <w:lang w:val="zh-CN"/>
        </w:rPr>
        <w:t>龙湾区财政局（浙江省政府采购行政裁决服务中心（温州））</w:t>
      </w:r>
    </w:p>
    <w:p w14:paraId="1187F1AE">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地址：</w:t>
      </w:r>
      <w:r>
        <w:rPr>
          <w:rFonts w:hint="eastAsia" w:ascii="宋体" w:hAnsi="宋体" w:cs="宋体"/>
          <w:color w:val="auto"/>
          <w:kern w:val="0"/>
          <w:sz w:val="22"/>
          <w:szCs w:val="22"/>
          <w:highlight w:val="none"/>
          <w:lang w:val="zh-CN"/>
        </w:rPr>
        <w:t>温州市鹿城区滨江街道瓯江路展银大厦1606室</w:t>
      </w:r>
    </w:p>
    <w:p w14:paraId="543A905A">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联系人：</w:t>
      </w:r>
      <w:r>
        <w:rPr>
          <w:rFonts w:hint="eastAsia" w:ascii="宋体" w:hAnsi="宋体" w:eastAsia="宋体" w:cs="宋体"/>
          <w:color w:val="auto"/>
          <w:kern w:val="0"/>
          <w:sz w:val="22"/>
          <w:szCs w:val="22"/>
          <w:highlight w:val="none"/>
        </w:rPr>
        <w:t>李老师、王老师</w:t>
      </w:r>
    </w:p>
    <w:p w14:paraId="33C5C8F2">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监督投诉电话：0577-88501561，0577-85501562   </w:t>
      </w:r>
    </w:p>
    <w:p w14:paraId="6434AB0D">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若对项目采购电子交易系统操作有疑问，可登录政采云（https://www.zcygov.cn/），点击右侧咨询小采，获取采小蜜智能服务管家帮助，或拨打政采云服务热线95763获取热线服务帮助。</w:t>
      </w:r>
    </w:p>
    <w:p w14:paraId="523F1030">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CA问题联系电话（人工）：汇信CA 400-888-4636；天谷CA 400-087-8198   </w:t>
      </w:r>
    </w:p>
    <w:p w14:paraId="718FD747">
      <w:pPr>
        <w:pStyle w:val="4"/>
        <w:rPr>
          <w:rFonts w:ascii="宋体" w:hAnsi="宋体" w:eastAsia="宋体" w:cs="Arial"/>
          <w:sz w:val="36"/>
          <w:szCs w:val="36"/>
          <w:highlight w:val="none"/>
        </w:rPr>
      </w:pPr>
      <w:r>
        <w:rPr>
          <w:rFonts w:ascii="宋体" w:hAnsi="宋体" w:eastAsia="宋体" w:cs="Arial"/>
          <w:b w:val="0"/>
          <w:bCs w:val="0"/>
          <w:sz w:val="36"/>
          <w:szCs w:val="36"/>
          <w:highlight w:val="none"/>
        </w:rPr>
        <w:br w:type="page"/>
      </w:r>
      <w:bookmarkStart w:id="26" w:name="_Toc239145350"/>
      <w:bookmarkStart w:id="27" w:name="_Toc221374622"/>
      <w:bookmarkStart w:id="28" w:name="_Toc249758860"/>
      <w:bookmarkStart w:id="29" w:name="_Toc222114875"/>
      <w:bookmarkStart w:id="30" w:name="_Toc221423615"/>
      <w:bookmarkStart w:id="31" w:name="_Toc249758708"/>
      <w:bookmarkStart w:id="32" w:name="_Toc221356882"/>
      <w:bookmarkStart w:id="33" w:name="_Toc221356947"/>
      <w:bookmarkStart w:id="34" w:name="_Toc245191310"/>
      <w:bookmarkStart w:id="35" w:name="_Toc245722277"/>
      <w:bookmarkStart w:id="36" w:name="_Toc223715994"/>
      <w:bookmarkStart w:id="37" w:name="_Toc262105499"/>
      <w:bookmarkStart w:id="38" w:name="_Toc241404198"/>
      <w:bookmarkStart w:id="39" w:name="_Toc246261261"/>
      <w:bookmarkStart w:id="40" w:name="_Toc262049414"/>
      <w:bookmarkStart w:id="41" w:name="_Toc31758"/>
      <w:bookmarkStart w:id="42" w:name="_Toc27051"/>
      <w:bookmarkStart w:id="43" w:name="_Toc22767"/>
      <w:r>
        <w:rPr>
          <w:rFonts w:hint="eastAsia" w:ascii="宋体" w:hAnsi="宋体" w:eastAsia="宋体" w:cs="Arial"/>
          <w:sz w:val="36"/>
          <w:szCs w:val="36"/>
          <w:highlight w:val="none"/>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5899531">
      <w:pPr>
        <w:pStyle w:val="4"/>
        <w:spacing w:before="120" w:after="120"/>
        <w:rPr>
          <w:rFonts w:ascii="宋体" w:hAnsi="宋体" w:eastAsia="宋体"/>
          <w:sz w:val="26"/>
          <w:szCs w:val="26"/>
          <w:highlight w:val="none"/>
        </w:rPr>
      </w:pPr>
    </w:p>
    <w:p w14:paraId="3A0C826D">
      <w:pPr>
        <w:pStyle w:val="4"/>
        <w:spacing w:before="120" w:after="120"/>
        <w:rPr>
          <w:rFonts w:ascii="宋体" w:hAnsi="宋体" w:eastAsia="宋体"/>
          <w:sz w:val="26"/>
          <w:szCs w:val="26"/>
          <w:highlight w:val="none"/>
        </w:rPr>
      </w:pPr>
      <w:bookmarkStart w:id="44" w:name="_Toc18798"/>
      <w:r>
        <w:rPr>
          <w:rFonts w:hint="eastAsia" w:ascii="宋体" w:hAnsi="宋体" w:eastAsia="宋体"/>
          <w:sz w:val="26"/>
          <w:szCs w:val="26"/>
          <w:highlight w:val="none"/>
        </w:rPr>
        <w:t>一、须知前附表</w:t>
      </w:r>
      <w:bookmarkEnd w:id="42"/>
      <w:bookmarkEnd w:id="43"/>
      <w:bookmarkEnd w:id="44"/>
    </w:p>
    <w:tbl>
      <w:tblPr>
        <w:tblStyle w:val="63"/>
        <w:tblW w:w="9859" w:type="dxa"/>
        <w:tblInd w:w="0" w:type="dxa"/>
        <w:tblLayout w:type="fixed"/>
        <w:tblCellMar>
          <w:top w:w="0" w:type="dxa"/>
          <w:left w:w="108" w:type="dxa"/>
          <w:bottom w:w="0" w:type="dxa"/>
          <w:right w:w="108" w:type="dxa"/>
        </w:tblCellMar>
      </w:tblPr>
      <w:tblGrid>
        <w:gridCol w:w="722"/>
        <w:gridCol w:w="1790"/>
        <w:gridCol w:w="7347"/>
      </w:tblGrid>
      <w:tr w14:paraId="6803044E">
        <w:tblPrEx>
          <w:tblCellMar>
            <w:top w:w="0" w:type="dxa"/>
            <w:left w:w="108" w:type="dxa"/>
            <w:bottom w:w="0" w:type="dxa"/>
            <w:right w:w="108" w:type="dxa"/>
          </w:tblCellMar>
        </w:tblPrEx>
        <w:trPr>
          <w:trHeight w:val="118"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5489C5">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序号</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E558FD">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条款名称</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5C9C02">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编列内容</w:t>
            </w:r>
          </w:p>
        </w:tc>
      </w:tr>
      <w:tr w14:paraId="0D4FF335">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99A261">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D19288">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采购人</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F3A177">
            <w:pPr>
              <w:spacing w:line="300" w:lineRule="exact"/>
              <w:rPr>
                <w:rFonts w:hint="eastAsia" w:ascii="宋体" w:hAnsi="宋体" w:eastAsia="宋体" w:cs="新宋体"/>
                <w:bCs/>
                <w:kern w:val="0"/>
                <w:sz w:val="22"/>
                <w:szCs w:val="22"/>
                <w:highlight w:val="none"/>
                <w:lang w:eastAsia="zh-CN"/>
              </w:rPr>
            </w:pPr>
            <w:r>
              <w:rPr>
                <w:rFonts w:hint="eastAsia" w:ascii="宋体" w:hAnsi="宋体" w:cs="新宋体"/>
                <w:bCs/>
                <w:kern w:val="0"/>
                <w:sz w:val="22"/>
                <w:szCs w:val="22"/>
                <w:highlight w:val="none"/>
              </w:rPr>
              <w:t>采购人名称：</w:t>
            </w:r>
            <w:r>
              <w:rPr>
                <w:rFonts w:hint="eastAsia" w:ascii="宋体" w:hAnsi="宋体" w:cs="新宋体"/>
                <w:bCs/>
                <w:kern w:val="0"/>
                <w:sz w:val="22"/>
                <w:szCs w:val="22"/>
                <w:highlight w:val="none"/>
                <w:lang w:eastAsia="zh-CN"/>
              </w:rPr>
              <w:t>温州市龙湾区人民政府海滨街道办事处</w:t>
            </w:r>
          </w:p>
          <w:p w14:paraId="5299191C">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地址：</w:t>
            </w:r>
            <w:r>
              <w:rPr>
                <w:rFonts w:hint="eastAsia" w:ascii="宋体" w:hAnsi="宋体" w:cs="宋体"/>
                <w:kern w:val="0"/>
                <w:sz w:val="22"/>
                <w:szCs w:val="22"/>
                <w:highlight w:val="none"/>
                <w:lang w:eastAsia="zh-CN"/>
              </w:rPr>
              <w:t>温州市龙湾区海滨街道沙村路29号</w:t>
            </w:r>
            <w:r>
              <w:rPr>
                <w:rFonts w:hint="eastAsia" w:ascii="宋体" w:hAnsi="宋体" w:cs="宋体"/>
                <w:kern w:val="0"/>
                <w:sz w:val="22"/>
                <w:szCs w:val="22"/>
                <w:highlight w:val="none"/>
              </w:rPr>
              <w:t> </w:t>
            </w:r>
          </w:p>
          <w:p w14:paraId="70C45069">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联系人：</w:t>
            </w:r>
            <w:r>
              <w:rPr>
                <w:rFonts w:hint="eastAsia" w:ascii="宋体" w:hAnsi="宋体" w:cs="宋体"/>
                <w:kern w:val="0"/>
                <w:sz w:val="22"/>
                <w:szCs w:val="22"/>
                <w:highlight w:val="none"/>
                <w:lang w:val="en-US" w:eastAsia="zh-CN"/>
              </w:rPr>
              <w:t>陈</w:t>
            </w:r>
            <w:r>
              <w:rPr>
                <w:rFonts w:hint="eastAsia" w:ascii="宋体" w:hAnsi="宋体" w:cs="宋体"/>
                <w:kern w:val="0"/>
                <w:sz w:val="22"/>
                <w:szCs w:val="22"/>
                <w:highlight w:val="none"/>
                <w:lang w:eastAsia="zh-CN"/>
              </w:rPr>
              <w:t>先生</w:t>
            </w:r>
            <w:r>
              <w:rPr>
                <w:rFonts w:hint="eastAsia" w:ascii="宋体" w:hAnsi="宋体" w:cs="宋体"/>
                <w:kern w:val="0"/>
                <w:sz w:val="22"/>
                <w:szCs w:val="22"/>
                <w:highlight w:val="none"/>
              </w:rPr>
              <w:t>  </w:t>
            </w:r>
          </w:p>
          <w:p w14:paraId="66A9B339">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联系方式：</w:t>
            </w:r>
            <w:r>
              <w:rPr>
                <w:rFonts w:hint="eastAsia" w:ascii="宋体" w:hAnsi="宋体" w:cs="宋体"/>
                <w:kern w:val="0"/>
                <w:sz w:val="22"/>
                <w:szCs w:val="22"/>
                <w:highlight w:val="none"/>
                <w:lang w:val="zh-CN"/>
              </w:rPr>
              <w:t>0577-86888780</w:t>
            </w:r>
          </w:p>
        </w:tc>
      </w:tr>
      <w:tr w14:paraId="3493EDF8">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2B0B87">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B092E3">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采购代理机构</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6DF926">
            <w:pPr>
              <w:spacing w:line="300" w:lineRule="exact"/>
              <w:rPr>
                <w:rFonts w:ascii="宋体" w:hAnsi="宋体" w:cs="新宋体"/>
                <w:bCs/>
                <w:kern w:val="0"/>
                <w:sz w:val="22"/>
                <w:szCs w:val="22"/>
                <w:highlight w:val="none"/>
              </w:rPr>
            </w:pPr>
            <w:r>
              <w:rPr>
                <w:rFonts w:hint="eastAsia" w:ascii="宋体" w:hAnsi="宋体" w:cs="新宋体"/>
                <w:bCs/>
                <w:kern w:val="0"/>
                <w:sz w:val="22"/>
                <w:szCs w:val="22"/>
                <w:highlight w:val="none"/>
              </w:rPr>
              <w:t>采购代理机构名称：温州市滨海招标代理有限公司</w:t>
            </w:r>
          </w:p>
          <w:p w14:paraId="37A4308E">
            <w:pPr>
              <w:spacing w:line="300" w:lineRule="exact"/>
              <w:rPr>
                <w:rFonts w:ascii="宋体" w:hAnsi="宋体" w:cs="新宋体"/>
                <w:bCs/>
                <w:kern w:val="0"/>
                <w:sz w:val="22"/>
                <w:szCs w:val="22"/>
                <w:highlight w:val="none"/>
              </w:rPr>
            </w:pPr>
            <w:r>
              <w:rPr>
                <w:rFonts w:hint="eastAsia" w:ascii="宋体" w:hAnsi="宋体" w:cs="新宋体"/>
                <w:bCs/>
                <w:kern w:val="0"/>
                <w:sz w:val="22"/>
                <w:szCs w:val="22"/>
                <w:highlight w:val="none"/>
              </w:rPr>
              <w:t>地 址：永中街道永宁西路587号龙湾建设大厦4层</w:t>
            </w:r>
          </w:p>
          <w:p w14:paraId="30C3386B">
            <w:pPr>
              <w:spacing w:line="300" w:lineRule="exact"/>
              <w:rPr>
                <w:rFonts w:ascii="宋体" w:hAnsi="宋体" w:cs="新宋体"/>
                <w:bCs/>
                <w:kern w:val="0"/>
                <w:sz w:val="22"/>
                <w:szCs w:val="22"/>
                <w:highlight w:val="none"/>
              </w:rPr>
            </w:pPr>
            <w:r>
              <w:rPr>
                <w:rFonts w:hint="eastAsia" w:ascii="宋体" w:hAnsi="宋体" w:cs="新宋体"/>
                <w:bCs/>
                <w:kern w:val="0"/>
                <w:sz w:val="22"/>
                <w:szCs w:val="22"/>
                <w:highlight w:val="none"/>
              </w:rPr>
              <w:t xml:space="preserve">联系人：李先生  </w:t>
            </w:r>
          </w:p>
          <w:p w14:paraId="0F265213">
            <w:pPr>
              <w:spacing w:line="300" w:lineRule="exact"/>
              <w:rPr>
                <w:rFonts w:ascii="宋体" w:hAnsi="宋体" w:cs="宋体"/>
                <w:sz w:val="22"/>
                <w:szCs w:val="22"/>
                <w:highlight w:val="none"/>
              </w:rPr>
            </w:pPr>
            <w:r>
              <w:rPr>
                <w:rFonts w:hint="eastAsia" w:ascii="宋体" w:hAnsi="宋体" w:cs="新宋体"/>
                <w:bCs/>
                <w:kern w:val="0"/>
                <w:sz w:val="22"/>
                <w:szCs w:val="22"/>
                <w:highlight w:val="none"/>
              </w:rPr>
              <w:t>联系电话：0577-86861010、13736315989</w:t>
            </w:r>
          </w:p>
        </w:tc>
      </w:tr>
      <w:tr w14:paraId="7875C7B3">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62B6EA">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3</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45E25A0">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采购名称</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683AF3">
            <w:pPr>
              <w:spacing w:line="40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项目名称：</w:t>
            </w:r>
            <w:r>
              <w:rPr>
                <w:rFonts w:hint="eastAsia" w:ascii="宋体" w:hAnsi="宋体" w:cs="宋体"/>
                <w:bCs/>
                <w:kern w:val="0"/>
                <w:sz w:val="22"/>
                <w:szCs w:val="22"/>
                <w:highlight w:val="none"/>
                <w:lang w:eastAsia="zh-CN"/>
              </w:rPr>
              <w:t>温州至福州高速铁路（龙湾段）工程海滨街道北片区房屋征收事务代理项目</w:t>
            </w:r>
          </w:p>
          <w:p w14:paraId="4531F8D1">
            <w:pPr>
              <w:spacing w:line="40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项目编号：</w:t>
            </w:r>
            <w:r>
              <w:rPr>
                <w:rFonts w:hint="eastAsia" w:ascii="宋体" w:hAnsi="宋体" w:cs="宋体"/>
                <w:bCs/>
                <w:kern w:val="0"/>
                <w:sz w:val="22"/>
                <w:szCs w:val="22"/>
                <w:highlight w:val="none"/>
                <w:lang w:eastAsia="zh-CN"/>
              </w:rPr>
              <w:t>WZBH-2025012401</w:t>
            </w:r>
          </w:p>
        </w:tc>
      </w:tr>
      <w:tr w14:paraId="5B5BC035">
        <w:tblPrEx>
          <w:tblCellMar>
            <w:top w:w="0" w:type="dxa"/>
            <w:left w:w="108" w:type="dxa"/>
            <w:bottom w:w="0" w:type="dxa"/>
            <w:right w:w="108" w:type="dxa"/>
          </w:tblCellMar>
        </w:tblPrEx>
        <w:trPr>
          <w:trHeight w:val="15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BB3B4D">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4</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E4E748">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采购内容</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8B364A">
            <w:pPr>
              <w:autoSpaceDE w:val="0"/>
              <w:autoSpaceDN w:val="0"/>
              <w:adjustRightInd w:val="0"/>
              <w:spacing w:line="400" w:lineRule="exact"/>
              <w:ind w:right="-34"/>
              <w:rPr>
                <w:rFonts w:ascii="宋体" w:hAnsi="宋体" w:cs="宋体"/>
                <w:kern w:val="0"/>
                <w:sz w:val="22"/>
                <w:szCs w:val="22"/>
                <w:highlight w:val="none"/>
                <w:lang w:val="zh-CN"/>
              </w:rPr>
            </w:pPr>
            <w:r>
              <w:rPr>
                <w:rFonts w:hint="eastAsia" w:ascii="宋体" w:hAnsi="宋体" w:cs="宋体"/>
                <w:kern w:val="0"/>
                <w:sz w:val="22"/>
                <w:szCs w:val="22"/>
                <w:highlight w:val="none"/>
                <w:lang w:val="zh-CN"/>
              </w:rPr>
              <w:t>具体内容及要求见</w:t>
            </w:r>
            <w:r>
              <w:rPr>
                <w:rFonts w:hint="eastAsia" w:ascii="宋体" w:hAnsi="宋体" w:cs="宋体"/>
                <w:kern w:val="0"/>
                <w:sz w:val="22"/>
                <w:szCs w:val="22"/>
                <w:highlight w:val="none"/>
              </w:rPr>
              <w:t>招标</w:t>
            </w:r>
            <w:r>
              <w:rPr>
                <w:rFonts w:hint="eastAsia" w:ascii="宋体" w:hAnsi="宋体" w:cs="宋体"/>
                <w:kern w:val="0"/>
                <w:sz w:val="22"/>
                <w:szCs w:val="22"/>
                <w:highlight w:val="none"/>
                <w:lang w:val="zh-CN"/>
              </w:rPr>
              <w:t>文件。</w:t>
            </w:r>
          </w:p>
        </w:tc>
      </w:tr>
      <w:tr w14:paraId="0E4246AC">
        <w:tblPrEx>
          <w:tblCellMar>
            <w:top w:w="0" w:type="dxa"/>
            <w:left w:w="108" w:type="dxa"/>
            <w:bottom w:w="0" w:type="dxa"/>
            <w:right w:w="108" w:type="dxa"/>
          </w:tblCellMar>
        </w:tblPrEx>
        <w:trPr>
          <w:trHeight w:val="15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81ECED">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5</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2D4209">
            <w:pPr>
              <w:spacing w:line="360" w:lineRule="exact"/>
              <w:rPr>
                <w:rFonts w:ascii="宋体" w:hAnsi="宋体" w:cs="宋体"/>
                <w:kern w:val="0"/>
                <w:sz w:val="22"/>
                <w:szCs w:val="22"/>
                <w:highlight w:val="none"/>
                <w:lang w:val="zh-CN"/>
              </w:rPr>
            </w:pPr>
            <w:r>
              <w:rPr>
                <w:rFonts w:hint="eastAsia" w:ascii="宋体" w:hAnsi="宋体" w:cs="宋体"/>
                <w:b/>
                <w:kern w:val="0"/>
                <w:sz w:val="22"/>
                <w:szCs w:val="22"/>
                <w:highlight w:val="none"/>
              </w:rPr>
              <w:t>核心产品</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DB2AF2">
            <w:pPr>
              <w:spacing w:line="360" w:lineRule="exact"/>
              <w:rPr>
                <w:rFonts w:ascii="宋体" w:hAnsi="宋体" w:cs="宋体"/>
                <w:b/>
                <w:bCs/>
                <w:kern w:val="0"/>
                <w:sz w:val="22"/>
                <w:szCs w:val="22"/>
                <w:highlight w:val="none"/>
              </w:rPr>
            </w:pPr>
            <w:r>
              <w:rPr>
                <w:rFonts w:hint="eastAsia" w:ascii="宋体" w:hAnsi="宋体" w:cs="宋体"/>
                <w:b/>
                <w:bCs/>
                <w:kern w:val="0"/>
                <w:sz w:val="22"/>
                <w:szCs w:val="22"/>
                <w:highlight w:val="none"/>
              </w:rPr>
              <w:t>本项目为服务类招标项目，无核心产品。</w:t>
            </w:r>
          </w:p>
        </w:tc>
      </w:tr>
      <w:tr w14:paraId="08E21962">
        <w:tblPrEx>
          <w:tblCellMar>
            <w:top w:w="0" w:type="dxa"/>
            <w:left w:w="108" w:type="dxa"/>
            <w:bottom w:w="0" w:type="dxa"/>
            <w:right w:w="108" w:type="dxa"/>
          </w:tblCellMar>
        </w:tblPrEx>
        <w:trPr>
          <w:trHeight w:val="196"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77FFE8">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6</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D6A00CC">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u w:val="single"/>
                <w:lang w:val="zh-CN"/>
              </w:rPr>
              <w:t>▲</w:t>
            </w:r>
            <w:r>
              <w:rPr>
                <w:rFonts w:hint="eastAsia" w:ascii="宋体" w:hAnsi="宋体" w:cs="宋体"/>
                <w:b/>
                <w:bCs/>
                <w:kern w:val="0"/>
                <w:sz w:val="22"/>
                <w:szCs w:val="22"/>
                <w:highlight w:val="none"/>
                <w:u w:val="single"/>
              </w:rPr>
              <w:t>投标人</w:t>
            </w:r>
            <w:r>
              <w:rPr>
                <w:rFonts w:hint="eastAsia" w:ascii="宋体" w:hAnsi="宋体" w:cs="宋体"/>
                <w:b/>
                <w:bCs/>
                <w:kern w:val="0"/>
                <w:sz w:val="22"/>
                <w:szCs w:val="22"/>
                <w:highlight w:val="none"/>
                <w:u w:val="single"/>
                <w:lang w:val="zh-CN"/>
              </w:rPr>
              <w:t>资质格要求</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F88416">
            <w:pPr>
              <w:widowControl/>
              <w:spacing w:before="60" w:after="60" w:line="360" w:lineRule="exact"/>
              <w:ind w:right="60"/>
              <w:jc w:val="left"/>
              <w:rPr>
                <w:rFonts w:ascii="宋体" w:hAnsi="宋体" w:cs="宋体"/>
                <w:bCs/>
                <w:kern w:val="0"/>
                <w:sz w:val="22"/>
                <w:szCs w:val="22"/>
                <w:highlight w:val="none"/>
              </w:rPr>
            </w:pPr>
            <w:r>
              <w:rPr>
                <w:rFonts w:hint="eastAsia" w:ascii="宋体" w:hAnsi="宋体" w:cs="宋体"/>
                <w:bCs/>
                <w:kern w:val="0"/>
                <w:sz w:val="22"/>
                <w:szCs w:val="22"/>
                <w:highlight w:val="none"/>
              </w:rPr>
              <w:t>详见招标公告。</w:t>
            </w:r>
          </w:p>
        </w:tc>
      </w:tr>
      <w:tr w14:paraId="48645148">
        <w:tblPrEx>
          <w:tblCellMar>
            <w:top w:w="0" w:type="dxa"/>
            <w:left w:w="108" w:type="dxa"/>
            <w:bottom w:w="0" w:type="dxa"/>
            <w:right w:w="108" w:type="dxa"/>
          </w:tblCellMar>
        </w:tblPrEx>
        <w:trPr>
          <w:trHeight w:val="346"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70D493B">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7</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6C2E7F4">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是否接受联合体投标</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93A2CD">
            <w:pPr>
              <w:autoSpaceDE w:val="0"/>
              <w:autoSpaceDN w:val="0"/>
              <w:adjustRightInd w:val="0"/>
              <w:spacing w:line="400" w:lineRule="exact"/>
              <w:rPr>
                <w:sz w:val="22"/>
                <w:szCs w:val="22"/>
                <w:highlight w:val="none"/>
                <w:lang w:val="zh-CN"/>
              </w:rPr>
            </w:pPr>
            <w:r>
              <w:rPr>
                <w:rFonts w:hint="eastAsia"/>
                <w:sz w:val="22"/>
                <w:szCs w:val="22"/>
                <w:highlight w:val="none"/>
              </w:rPr>
              <w:sym w:font="Wingdings" w:char="00FE"/>
            </w:r>
            <w:r>
              <w:rPr>
                <w:rFonts w:hint="eastAsia"/>
                <w:sz w:val="22"/>
                <w:szCs w:val="22"/>
                <w:highlight w:val="none"/>
                <w:lang w:val="zh-CN"/>
              </w:rPr>
              <w:t>不接受</w:t>
            </w:r>
          </w:p>
          <w:p w14:paraId="3BE7C7B5">
            <w:pPr>
              <w:autoSpaceDE w:val="0"/>
              <w:autoSpaceDN w:val="0"/>
              <w:adjustRightInd w:val="0"/>
              <w:spacing w:line="400" w:lineRule="exact"/>
              <w:rPr>
                <w:rFonts w:ascii="宋体" w:hAnsi="宋体" w:cs="宋体"/>
                <w:kern w:val="0"/>
                <w:sz w:val="22"/>
                <w:szCs w:val="22"/>
                <w:highlight w:val="none"/>
              </w:rPr>
            </w:pPr>
            <w:r>
              <w:rPr>
                <w:rFonts w:hint="eastAsia"/>
                <w:sz w:val="22"/>
                <w:szCs w:val="22"/>
                <w:highlight w:val="none"/>
                <w:lang w:val="zh-CN"/>
              </w:rPr>
              <w:sym w:font="Wingdings 2" w:char="00A3"/>
            </w:r>
            <w:r>
              <w:rPr>
                <w:rFonts w:hint="eastAsia"/>
                <w:sz w:val="22"/>
                <w:szCs w:val="22"/>
                <w:highlight w:val="none"/>
                <w:lang w:val="zh-CN"/>
              </w:rPr>
              <w:t>接受</w:t>
            </w:r>
            <w:r>
              <w:rPr>
                <w:rFonts w:hint="eastAsia" w:ascii="宋体" w:hAnsi="宋体" w:cs="宋体"/>
                <w:kern w:val="0"/>
                <w:sz w:val="22"/>
                <w:szCs w:val="22"/>
                <w:highlight w:val="none"/>
              </w:rPr>
              <w:t>，应满足下列要求：</w:t>
            </w:r>
          </w:p>
          <w:p w14:paraId="78D08649">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（1）允许大中型企业与小微企业组成联合体参与投标；</w:t>
            </w:r>
          </w:p>
          <w:p w14:paraId="01B8F721">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（2）需提供联合体协议书，明确双方各自责任与义务；</w:t>
            </w:r>
          </w:p>
          <w:p w14:paraId="19BD5C7F">
            <w:pPr>
              <w:pStyle w:val="35"/>
              <w:rPr>
                <w:highlight w:val="none"/>
                <w:lang w:val="zh-CN"/>
              </w:rPr>
            </w:pPr>
            <w:r>
              <w:rPr>
                <w:rFonts w:hint="eastAsia" w:hAnsi="宋体" w:cs="宋体"/>
                <w:sz w:val="22"/>
                <w:szCs w:val="22"/>
                <w:highlight w:val="none"/>
              </w:rPr>
              <w:t>（3）联合体成员不超过两家。</w:t>
            </w:r>
          </w:p>
        </w:tc>
      </w:tr>
      <w:tr w14:paraId="0E327053">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EE5CAB">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8</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4391B8B">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踏勘现场</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B6D15E">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□组织</w:t>
            </w:r>
          </w:p>
          <w:p w14:paraId="4ED87939">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lang w:val="zh-CN"/>
              </w:rPr>
              <w:t>不组织</w:t>
            </w:r>
          </w:p>
        </w:tc>
      </w:tr>
      <w:tr w14:paraId="540D9D9D">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D4C3DB">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9</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40C43A0">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投标预备会</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37A361">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□召开</w:t>
            </w:r>
          </w:p>
          <w:p w14:paraId="11EF59A0">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lang w:val="zh-CN"/>
              </w:rPr>
              <w:t>不召开</w:t>
            </w:r>
          </w:p>
        </w:tc>
      </w:tr>
      <w:tr w14:paraId="79E6A7A1">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5B959E">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10</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C1B967">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截止时间</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907F5E">
            <w:pPr>
              <w:autoSpaceDE w:val="0"/>
              <w:autoSpaceDN w:val="0"/>
              <w:adjustRightInd w:val="0"/>
              <w:spacing w:line="400" w:lineRule="exact"/>
              <w:rPr>
                <w:rFonts w:ascii="宋体" w:hAnsi="宋体" w:cs="宋体"/>
                <w:kern w:val="0"/>
                <w:sz w:val="22"/>
                <w:szCs w:val="22"/>
                <w:highlight w:val="none"/>
              </w:rPr>
            </w:pPr>
            <w:r>
              <w:rPr>
                <w:rFonts w:hint="eastAsia" w:ascii="宋体" w:hAnsi="宋体" w:cs="宋体"/>
                <w:bCs/>
                <w:kern w:val="0"/>
                <w:sz w:val="22"/>
                <w:szCs w:val="22"/>
                <w:highlight w:val="none"/>
              </w:rPr>
              <w:t>见招标公告</w:t>
            </w:r>
          </w:p>
        </w:tc>
      </w:tr>
      <w:tr w14:paraId="1BFFC796">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93A684">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11</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DBA526">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分包</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3CE44A">
            <w:pPr>
              <w:autoSpaceDE w:val="0"/>
              <w:autoSpaceDN w:val="0"/>
              <w:adjustRightInd w:val="0"/>
              <w:spacing w:line="400" w:lineRule="exact"/>
              <w:rPr>
                <w:sz w:val="22"/>
                <w:szCs w:val="22"/>
                <w:highlight w:val="none"/>
                <w:lang w:val="zh-CN"/>
              </w:rPr>
            </w:pPr>
            <w:r>
              <w:rPr>
                <w:rFonts w:hint="eastAsia"/>
                <w:sz w:val="22"/>
                <w:szCs w:val="22"/>
                <w:highlight w:val="none"/>
              </w:rPr>
              <w:sym w:font="Wingdings" w:char="00FE"/>
            </w:r>
            <w:r>
              <w:rPr>
                <w:rFonts w:hint="eastAsia"/>
                <w:sz w:val="22"/>
                <w:szCs w:val="22"/>
                <w:highlight w:val="none"/>
                <w:lang w:val="zh-CN"/>
              </w:rPr>
              <w:t>不允许</w:t>
            </w:r>
          </w:p>
          <w:p w14:paraId="6B82E3AD">
            <w:pPr>
              <w:autoSpaceDE w:val="0"/>
              <w:autoSpaceDN w:val="0"/>
              <w:adjustRightInd w:val="0"/>
              <w:spacing w:line="400" w:lineRule="exact"/>
              <w:rPr>
                <w:sz w:val="22"/>
                <w:szCs w:val="22"/>
                <w:highlight w:val="none"/>
                <w:lang w:val="zh-CN"/>
              </w:rPr>
            </w:pPr>
            <w:r>
              <w:rPr>
                <w:rFonts w:hint="eastAsia"/>
                <w:sz w:val="22"/>
                <w:szCs w:val="22"/>
                <w:highlight w:val="none"/>
                <w:lang w:val="zh-CN"/>
              </w:rPr>
              <w:sym w:font="Wingdings 2" w:char="00A3"/>
            </w:r>
            <w:r>
              <w:rPr>
                <w:rFonts w:hint="eastAsia"/>
                <w:sz w:val="22"/>
                <w:szCs w:val="22"/>
                <w:highlight w:val="none"/>
                <w:lang w:val="zh-CN"/>
              </w:rPr>
              <w:t>允许</w:t>
            </w:r>
            <w:r>
              <w:rPr>
                <w:rFonts w:hint="eastAsia"/>
                <w:sz w:val="22"/>
                <w:szCs w:val="22"/>
                <w:highlight w:val="none"/>
              </w:rPr>
              <w:t xml:space="preserve">  </w:t>
            </w:r>
            <w:r>
              <w:rPr>
                <w:rFonts w:hint="eastAsia" w:ascii="宋体" w:hAnsi="宋体" w:cs="宋体"/>
                <w:kern w:val="0"/>
                <w:sz w:val="22"/>
                <w:szCs w:val="22"/>
                <w:highlight w:val="none"/>
              </w:rPr>
              <w:t>允许大中型企业向小微企业合理分包，若分包需在投标文件内提供分包意向书，明确分包内容及金额比例。</w:t>
            </w:r>
          </w:p>
        </w:tc>
      </w:tr>
      <w:tr w14:paraId="49D7EE24">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8DA3DA">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12</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F01BD3">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偏离</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140D11">
            <w:pPr>
              <w:autoSpaceDE w:val="0"/>
              <w:autoSpaceDN w:val="0"/>
              <w:adjustRightInd w:val="0"/>
              <w:spacing w:line="400" w:lineRule="exact"/>
              <w:rPr>
                <w:rFonts w:ascii="宋体" w:hAnsi="宋体" w:cs="宋体"/>
                <w:strike/>
                <w:kern w:val="0"/>
                <w:sz w:val="22"/>
                <w:szCs w:val="22"/>
                <w:highlight w:val="none"/>
                <w:lang w:val="zh-CN"/>
              </w:rPr>
            </w:pPr>
            <w:r>
              <w:rPr>
                <w:rFonts w:hint="eastAsia" w:ascii="宋体" w:hAnsi="宋体" w:cs="宋体"/>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kern w:val="0"/>
                <w:sz w:val="22"/>
                <w:szCs w:val="22"/>
                <w:highlight w:val="none"/>
              </w:rPr>
              <w:t>评标委员会</w:t>
            </w:r>
            <w:r>
              <w:rPr>
                <w:rFonts w:hint="eastAsia" w:ascii="宋体" w:hAnsi="宋体" w:cs="宋体"/>
                <w:kern w:val="0"/>
                <w:sz w:val="22"/>
                <w:szCs w:val="22"/>
                <w:highlight w:val="none"/>
                <w:lang w:val="zh-CN"/>
              </w:rPr>
              <w:t>有权做无效标处理，详见评标办法。</w:t>
            </w:r>
          </w:p>
        </w:tc>
      </w:tr>
      <w:tr w14:paraId="35E8827E">
        <w:tblPrEx>
          <w:tblCellMar>
            <w:top w:w="0" w:type="dxa"/>
            <w:left w:w="108" w:type="dxa"/>
            <w:bottom w:w="0" w:type="dxa"/>
            <w:right w:w="108" w:type="dxa"/>
          </w:tblCellMar>
        </w:tblPrEx>
        <w:trPr>
          <w:trHeight w:val="90"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677B14">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13</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B22945">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投标有效期</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43D5A84">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自投标</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截止时间起生效，有效期90天。</w:t>
            </w:r>
          </w:p>
        </w:tc>
      </w:tr>
      <w:tr w14:paraId="45AFEAA8">
        <w:tblPrEx>
          <w:tblCellMar>
            <w:top w:w="0" w:type="dxa"/>
            <w:left w:w="108" w:type="dxa"/>
            <w:bottom w:w="0" w:type="dxa"/>
            <w:right w:w="108" w:type="dxa"/>
          </w:tblCellMar>
        </w:tblPrEx>
        <w:trPr>
          <w:trHeight w:val="90"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0EE4DF">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14</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E68B50">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投标保证金</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0B2A53">
            <w:pPr>
              <w:autoSpaceDE w:val="0"/>
              <w:autoSpaceDN w:val="0"/>
              <w:adjustRightInd w:val="0"/>
              <w:spacing w:line="400" w:lineRule="exact"/>
              <w:rPr>
                <w:rFonts w:ascii="宋体" w:hAnsi="宋体" w:cs="宋体"/>
                <w:b/>
                <w:bCs/>
                <w:sz w:val="22"/>
                <w:szCs w:val="22"/>
                <w:highlight w:val="none"/>
              </w:rPr>
            </w:pPr>
            <w:r>
              <w:rPr>
                <w:rFonts w:hint="eastAsia" w:ascii="宋体" w:hAnsi="宋体" w:cs="宋体"/>
                <w:sz w:val="22"/>
                <w:szCs w:val="22"/>
                <w:highlight w:val="none"/>
              </w:rPr>
              <w:t>无需提交</w:t>
            </w:r>
          </w:p>
        </w:tc>
      </w:tr>
      <w:tr w14:paraId="353A8686">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BA57E0">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15</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7DD935">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响应文件</w:t>
            </w:r>
            <w:r>
              <w:rPr>
                <w:rFonts w:hint="eastAsia" w:ascii="宋体" w:hAnsi="宋体" w:cs="宋体"/>
                <w:kern w:val="0"/>
                <w:sz w:val="22"/>
                <w:szCs w:val="22"/>
                <w:highlight w:val="none"/>
                <w:lang w:val="zh-CN"/>
              </w:rPr>
              <w:t>的组成</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940447">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由“资格响应文件”、“</w:t>
            </w:r>
            <w:r>
              <w:rPr>
                <w:rFonts w:hint="eastAsia" w:ascii="宋体" w:hAnsi="宋体" w:cs="宋体"/>
                <w:kern w:val="0"/>
                <w:sz w:val="22"/>
                <w:szCs w:val="22"/>
                <w:highlight w:val="none"/>
              </w:rPr>
              <w:t>商务技术响应文件</w:t>
            </w:r>
            <w:r>
              <w:rPr>
                <w:rFonts w:hint="eastAsia" w:ascii="宋体" w:hAnsi="宋体" w:cs="宋体"/>
                <w:kern w:val="0"/>
                <w:sz w:val="22"/>
                <w:szCs w:val="22"/>
                <w:highlight w:val="none"/>
                <w:lang w:val="zh-CN"/>
              </w:rPr>
              <w:t>”和“报价响应文件”三个部分组成。</w:t>
            </w:r>
          </w:p>
        </w:tc>
      </w:tr>
      <w:tr w14:paraId="233A7A2B">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E85AB4">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16</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B97EAF">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响应文件</w:t>
            </w:r>
            <w:r>
              <w:rPr>
                <w:rFonts w:hint="eastAsia" w:ascii="宋体" w:hAnsi="宋体" w:cs="宋体"/>
                <w:kern w:val="0"/>
                <w:sz w:val="22"/>
                <w:szCs w:val="22"/>
                <w:highlight w:val="none"/>
                <w:lang w:val="zh-CN"/>
              </w:rPr>
              <w:t>的编制</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5F6A76">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投标人应先安装“政采云投标客户端”，并按照本招标文件和“《政府采购项目电子交易管理操作指南-投标人》”的要求，编制并加密响应文件。</w:t>
            </w:r>
          </w:p>
        </w:tc>
      </w:tr>
      <w:tr w14:paraId="65AB0060">
        <w:tblPrEx>
          <w:tblCellMar>
            <w:top w:w="0" w:type="dxa"/>
            <w:left w:w="108" w:type="dxa"/>
            <w:bottom w:w="0" w:type="dxa"/>
            <w:right w:w="108" w:type="dxa"/>
          </w:tblCellMar>
        </w:tblPrEx>
        <w:trPr>
          <w:trHeight w:val="329"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CB7782">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17</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18EA7E">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开标时间</w:t>
            </w:r>
          </w:p>
          <w:p w14:paraId="7EAC433B">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和地点</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A3BDA8">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详见招标公告</w:t>
            </w:r>
          </w:p>
          <w:p w14:paraId="72676FCC">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注：本项目为电子招投标，相关的招投标流程（招标文件下载、电子响应文件上传、评标等程序）均在浙江政府采购网“政府采购云平台”进行，投标人不必前往现场进行投标活动等事宜</w:t>
            </w:r>
          </w:p>
        </w:tc>
      </w:tr>
      <w:tr w14:paraId="3711DECA">
        <w:tblPrEx>
          <w:tblCellMar>
            <w:top w:w="0" w:type="dxa"/>
            <w:left w:w="108" w:type="dxa"/>
            <w:bottom w:w="0" w:type="dxa"/>
            <w:right w:w="108" w:type="dxa"/>
          </w:tblCellMar>
        </w:tblPrEx>
        <w:trPr>
          <w:trHeight w:val="656"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2B2037">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18</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7AE5F0C">
            <w:pPr>
              <w:autoSpaceDE w:val="0"/>
              <w:autoSpaceDN w:val="0"/>
              <w:adjustRightInd w:val="0"/>
              <w:spacing w:line="400" w:lineRule="exact"/>
              <w:jc w:val="left"/>
              <w:rPr>
                <w:rFonts w:ascii="宋体" w:hAnsi="宋体" w:cs="宋体"/>
                <w:kern w:val="0"/>
                <w:sz w:val="22"/>
                <w:szCs w:val="22"/>
                <w:highlight w:val="none"/>
                <w:lang w:val="zh-CN"/>
              </w:rPr>
            </w:pPr>
            <w:r>
              <w:rPr>
                <w:rFonts w:hint="eastAsia" w:ascii="宋体" w:hAnsi="宋体" w:cs="宋体"/>
                <w:kern w:val="0"/>
                <w:sz w:val="22"/>
                <w:szCs w:val="22"/>
                <w:highlight w:val="none"/>
              </w:rPr>
              <w:t>询标澄清</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276D04">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1.</w:t>
            </w:r>
            <w:r>
              <w:rPr>
                <w:rFonts w:hint="eastAsia" w:ascii="宋体" w:hAnsi="宋体" w:cs="宋体"/>
                <w:kern w:val="0"/>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p>
          <w:p w14:paraId="6E617A94">
            <w:p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kern w:val="0"/>
                <w:sz w:val="22"/>
                <w:szCs w:val="22"/>
                <w:highlight w:val="none"/>
              </w:rPr>
              <w:t>2.</w:t>
            </w:r>
            <w:r>
              <w:rPr>
                <w:rFonts w:hint="eastAsia" w:ascii="宋体" w:hAnsi="宋体" w:cs="宋体"/>
                <w:kern w:val="0"/>
                <w:sz w:val="22"/>
                <w:szCs w:val="22"/>
                <w:highlight w:val="none"/>
                <w:lang w:val="zh-CN"/>
              </w:rPr>
              <w:t>本项目采购过程中，涉及的投标人联系方式（如手机号码、响应文件中预留的邮箱、投标人地址），均以投标人递交的电子响应文件中《法定代表人资格声明书》或《法定代表人授权委托书》上注明的联系方式为准。</w:t>
            </w:r>
          </w:p>
        </w:tc>
      </w:tr>
      <w:tr w14:paraId="3DFECDDE">
        <w:tblPrEx>
          <w:tblCellMar>
            <w:top w:w="0" w:type="dxa"/>
            <w:left w:w="108" w:type="dxa"/>
            <w:bottom w:w="0" w:type="dxa"/>
            <w:right w:w="108" w:type="dxa"/>
          </w:tblCellMar>
        </w:tblPrEx>
        <w:trPr>
          <w:trHeight w:val="329"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C28E64F">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19</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84F4AAE">
            <w:pPr>
              <w:spacing w:line="400" w:lineRule="exact"/>
              <w:jc w:val="left"/>
              <w:rPr>
                <w:rFonts w:ascii="宋体" w:hAnsi="宋体" w:cs="宋体"/>
                <w:kern w:val="0"/>
                <w:sz w:val="22"/>
                <w:szCs w:val="22"/>
                <w:highlight w:val="none"/>
              </w:rPr>
            </w:pPr>
            <w:r>
              <w:rPr>
                <w:rFonts w:hint="eastAsia" w:ascii="宋体" w:hAnsi="宋体" w:cs="宋体"/>
                <w:kern w:val="0"/>
                <w:sz w:val="22"/>
                <w:szCs w:val="22"/>
                <w:highlight w:val="none"/>
              </w:rPr>
              <w:t>评标委员会</w:t>
            </w:r>
          </w:p>
          <w:p w14:paraId="6502E275">
            <w:pPr>
              <w:spacing w:line="400" w:lineRule="exact"/>
              <w:jc w:val="left"/>
              <w:rPr>
                <w:rFonts w:ascii="宋体" w:hAnsi="宋体" w:cs="宋体"/>
                <w:kern w:val="0"/>
                <w:sz w:val="22"/>
                <w:szCs w:val="22"/>
                <w:highlight w:val="none"/>
                <w:lang w:val="zh-CN"/>
              </w:rPr>
            </w:pPr>
            <w:r>
              <w:rPr>
                <w:rFonts w:hint="eastAsia" w:ascii="宋体" w:hAnsi="宋体" w:cs="宋体"/>
                <w:kern w:val="0"/>
                <w:sz w:val="22"/>
                <w:szCs w:val="22"/>
                <w:highlight w:val="none"/>
              </w:rPr>
              <w:t>的组建</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5E9FCA">
            <w:pPr>
              <w:spacing w:line="400" w:lineRule="exact"/>
              <w:rPr>
                <w:rFonts w:ascii="宋体" w:hAnsi="宋体" w:cs="宋体"/>
                <w:kern w:val="0"/>
                <w:sz w:val="22"/>
                <w:szCs w:val="22"/>
                <w:highlight w:val="none"/>
                <w:lang w:val="zh-CN"/>
              </w:rPr>
            </w:pPr>
            <w:r>
              <w:rPr>
                <w:rFonts w:hint="eastAsia" w:ascii="宋体" w:hAnsi="宋体" w:cs="宋体"/>
                <w:sz w:val="22"/>
                <w:szCs w:val="22"/>
                <w:highlight w:val="none"/>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14:paraId="214DBFDF">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4068C1">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20</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17871D">
            <w:pPr>
              <w:spacing w:line="400" w:lineRule="exact"/>
              <w:jc w:val="left"/>
              <w:rPr>
                <w:rFonts w:ascii="宋体" w:hAnsi="宋体" w:cs="宋体"/>
                <w:kern w:val="0"/>
                <w:sz w:val="22"/>
                <w:szCs w:val="22"/>
                <w:highlight w:val="none"/>
                <w:lang w:val="zh-CN"/>
              </w:rPr>
            </w:pPr>
            <w:r>
              <w:rPr>
                <w:rFonts w:hint="eastAsia" w:ascii="宋体" w:hAnsi="宋体" w:cs="宋体"/>
                <w:kern w:val="0"/>
                <w:sz w:val="22"/>
                <w:szCs w:val="22"/>
                <w:highlight w:val="none"/>
              </w:rPr>
              <w:t>履约担保</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63BB4C">
            <w:pPr>
              <w:spacing w:line="400" w:lineRule="exact"/>
              <w:rPr>
                <w:rFonts w:hint="eastAsia" w:ascii="宋体" w:hAnsi="宋体" w:cs="宋体"/>
                <w:sz w:val="22"/>
                <w:szCs w:val="22"/>
                <w:highlight w:val="none"/>
              </w:rPr>
            </w:pPr>
            <w:r>
              <w:rPr>
                <w:rFonts w:hint="eastAsia" w:ascii="宋体" w:hAnsi="宋体" w:cs="宋体"/>
                <w:sz w:val="22"/>
                <w:szCs w:val="22"/>
                <w:highlight w:val="none"/>
              </w:rPr>
              <w:sym w:font="Wingdings" w:char="00FE"/>
            </w:r>
            <w:r>
              <w:rPr>
                <w:rFonts w:hint="eastAsia" w:ascii="宋体" w:hAnsi="宋体" w:cs="宋体"/>
                <w:sz w:val="22"/>
                <w:szCs w:val="22"/>
                <w:highlight w:val="none"/>
              </w:rPr>
              <w:t>需要</w:t>
            </w:r>
            <w:r>
              <w:rPr>
                <w:rFonts w:hint="eastAsia" w:ascii="宋体" w:hAnsi="宋体" w:cs="宋体"/>
                <w:sz w:val="22"/>
                <w:szCs w:val="22"/>
                <w:highlight w:val="none"/>
                <w:lang w:eastAsia="zh-CN"/>
              </w:rPr>
              <w:t>，</w:t>
            </w:r>
            <w:r>
              <w:rPr>
                <w:rFonts w:hint="eastAsia" w:ascii="宋体" w:hAnsi="宋体" w:cs="宋体"/>
                <w:sz w:val="22"/>
                <w:szCs w:val="22"/>
                <w:highlight w:val="none"/>
              </w:rPr>
              <w:t>合同总价</w:t>
            </w:r>
            <w:r>
              <w:rPr>
                <w:rFonts w:hint="eastAsia" w:ascii="宋体" w:hAnsi="宋体" w:cs="宋体"/>
                <w:sz w:val="22"/>
                <w:szCs w:val="22"/>
                <w:highlight w:val="none"/>
                <w:lang w:eastAsia="zh-CN"/>
              </w:rPr>
              <w:t>的</w:t>
            </w:r>
            <w:r>
              <w:rPr>
                <w:rFonts w:hint="eastAsia" w:ascii="宋体" w:hAnsi="宋体" w:cs="宋体"/>
                <w:sz w:val="22"/>
                <w:szCs w:val="22"/>
                <w:highlight w:val="none"/>
                <w:lang w:val="en-US" w:eastAsia="zh-CN"/>
              </w:rPr>
              <w:t>1</w:t>
            </w:r>
            <w:r>
              <w:rPr>
                <w:rFonts w:hint="eastAsia" w:ascii="宋体" w:hAnsi="宋体" w:cs="宋体"/>
                <w:sz w:val="22"/>
                <w:szCs w:val="22"/>
                <w:highlight w:val="none"/>
              </w:rPr>
              <w:t>%</w:t>
            </w:r>
          </w:p>
          <w:p w14:paraId="5F47DC76">
            <w:pPr>
              <w:spacing w:line="400" w:lineRule="exact"/>
              <w:rPr>
                <w:rFonts w:ascii="宋体" w:hAnsi="宋体" w:cs="宋体"/>
                <w:kern w:val="0"/>
                <w:sz w:val="22"/>
                <w:szCs w:val="22"/>
                <w:highlight w:val="none"/>
                <w:lang w:val="zh-CN"/>
              </w:rPr>
            </w:pPr>
            <w:r>
              <w:rPr>
                <w:rFonts w:hint="eastAsia" w:ascii="宋体" w:hAnsi="宋体" w:cs="宋体"/>
                <w:sz w:val="22"/>
                <w:szCs w:val="22"/>
                <w:highlight w:val="none"/>
              </w:rPr>
              <w:t>履约保证金的形式：银行转账或银行保函</w:t>
            </w:r>
          </w:p>
        </w:tc>
      </w:tr>
      <w:tr w14:paraId="7B07EEC1">
        <w:tblPrEx>
          <w:tblCellMar>
            <w:top w:w="0" w:type="dxa"/>
            <w:left w:w="108" w:type="dxa"/>
            <w:bottom w:w="0" w:type="dxa"/>
            <w:right w:w="108" w:type="dxa"/>
          </w:tblCellMar>
        </w:tblPrEx>
        <w:trPr>
          <w:trHeight w:val="702"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2AD8B5">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21</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7E48AD5">
            <w:pPr>
              <w:adjustRightInd w:val="0"/>
              <w:spacing w:line="400" w:lineRule="exact"/>
              <w:jc w:val="left"/>
              <w:rPr>
                <w:rFonts w:ascii="宋体" w:hAnsi="宋体" w:cs="宋体"/>
                <w:sz w:val="22"/>
                <w:szCs w:val="22"/>
                <w:highlight w:val="none"/>
              </w:rPr>
            </w:pPr>
            <w:r>
              <w:rPr>
                <w:rFonts w:hint="eastAsia" w:ascii="宋体" w:hAnsi="宋体" w:cs="宋体"/>
                <w:sz w:val="22"/>
                <w:szCs w:val="22"/>
                <w:highlight w:val="none"/>
              </w:rPr>
              <w:t>政府采购</w:t>
            </w:r>
          </w:p>
          <w:p w14:paraId="4BF13731">
            <w:pPr>
              <w:adjustRightInd w:val="0"/>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扶持政策</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044C55">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1.本项目对符合财政扶持政策的中小企业（小型、微型）、监狱企业、残疾人福利性单位给予价格优惠扶持，详见采购文件相关政府采购相关政策说明部分；</w:t>
            </w:r>
          </w:p>
          <w:p w14:paraId="1AF93363">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14:paraId="2D3CDA17">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3.本项目《面向中小企业预留采购份额》执行的政策：</w:t>
            </w:r>
          </w:p>
          <w:p w14:paraId="0C1CD8CD">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（1）本项目</w:t>
            </w:r>
            <w:r>
              <w:rPr>
                <w:rFonts w:hint="eastAsia" w:ascii="宋体" w:hAnsi="宋体" w:eastAsia="宋体" w:cs="宋体"/>
                <w:b/>
                <w:bCs/>
                <w:sz w:val="22"/>
                <w:szCs w:val="22"/>
                <w:highlight w:val="none"/>
                <w:u w:val="single"/>
                <w:lang w:val="en-US" w:eastAsia="zh-CN"/>
              </w:rPr>
              <w:t>是</w:t>
            </w:r>
            <w:r>
              <w:rPr>
                <w:rFonts w:hint="eastAsia" w:ascii="宋体" w:hAnsi="宋体" w:eastAsia="宋体" w:cs="宋体"/>
                <w:sz w:val="22"/>
                <w:szCs w:val="22"/>
                <w:highlight w:val="none"/>
                <w:lang w:val="en-US" w:eastAsia="zh-CN"/>
              </w:rPr>
              <w:t>（是/否）属于预留份额专门面向中小企业采购的项目。</w:t>
            </w:r>
          </w:p>
          <w:p w14:paraId="2B5ABA45">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（2）本项目属性：</w:t>
            </w:r>
            <w:r>
              <w:rPr>
                <w:rFonts w:hint="eastAsia" w:ascii="宋体" w:hAnsi="宋体" w:eastAsia="宋体" w:cs="宋体"/>
                <w:b/>
                <w:bCs/>
                <w:sz w:val="22"/>
                <w:szCs w:val="22"/>
                <w:highlight w:val="none"/>
                <w:u w:val="single"/>
                <w:lang w:val="en-US" w:eastAsia="zh-CN"/>
              </w:rPr>
              <w:t>②服务类</w:t>
            </w:r>
            <w:r>
              <w:rPr>
                <w:rFonts w:hint="eastAsia" w:ascii="宋体" w:hAnsi="宋体" w:eastAsia="宋体" w:cs="宋体"/>
                <w:sz w:val="22"/>
                <w:szCs w:val="22"/>
                <w:highlight w:val="none"/>
                <w:lang w:val="en-US" w:eastAsia="zh-CN"/>
              </w:rPr>
              <w:t>（①货物类/②服务类/③工程类）。</w:t>
            </w:r>
          </w:p>
          <w:p w14:paraId="4170A564">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（3）本项目对应的中小企业划分标准所属行业：</w:t>
            </w:r>
            <w:r>
              <w:rPr>
                <w:rFonts w:hint="eastAsia" w:ascii="宋体" w:hAnsi="宋体" w:eastAsia="宋体" w:cs="宋体"/>
                <w:b/>
                <w:bCs/>
                <w:sz w:val="22"/>
                <w:szCs w:val="22"/>
                <w:highlight w:val="none"/>
                <w:u w:val="single"/>
                <w:lang w:val="en-US" w:eastAsia="zh-CN"/>
              </w:rPr>
              <w:t>其他未列明行业</w:t>
            </w:r>
            <w:r>
              <w:rPr>
                <w:rFonts w:hint="eastAsia" w:ascii="宋体" w:hAnsi="宋体" w:eastAsia="宋体" w:cs="宋体"/>
                <w:sz w:val="22"/>
                <w:szCs w:val="22"/>
                <w:highlight w:val="none"/>
                <w:lang w:val="en-US" w:eastAsia="zh-CN"/>
              </w:rPr>
              <w:t>。从业人员300人以下的为中小微型企业。其中，从业人员100人及以上的为中型企业；从业人员10人及以上的为小型企业；从业人员10人以下的为微型企业。</w:t>
            </w:r>
          </w:p>
          <w:p w14:paraId="1C5EB399">
            <w:pPr>
              <w:autoSpaceDE w:val="0"/>
              <w:autoSpaceDN w:val="0"/>
              <w:adjustRightInd w:val="0"/>
              <w:spacing w:line="400" w:lineRule="exact"/>
              <w:rPr>
                <w:highlight w:val="none"/>
                <w:lang w:val="zh-CN"/>
              </w:rPr>
            </w:pPr>
            <w:r>
              <w:rPr>
                <w:rFonts w:hint="eastAsia" w:ascii="宋体" w:hAnsi="宋体" w:eastAsia="宋体" w:cs="宋体"/>
                <w:sz w:val="22"/>
                <w:szCs w:val="22"/>
                <w:highlight w:val="none"/>
                <w:lang w:val="en-US" w:eastAsia="zh-CN"/>
              </w:rPr>
              <w:t>（4）如为专门面向中小企业采购的项目，不再执行价格评审优惠的扶持政策。</w:t>
            </w:r>
          </w:p>
        </w:tc>
      </w:tr>
      <w:tr w14:paraId="7BBFA9CB">
        <w:tblPrEx>
          <w:tblCellMar>
            <w:top w:w="0" w:type="dxa"/>
            <w:left w:w="108" w:type="dxa"/>
            <w:bottom w:w="0" w:type="dxa"/>
            <w:right w:w="108" w:type="dxa"/>
          </w:tblCellMar>
        </w:tblPrEx>
        <w:trPr>
          <w:trHeight w:val="820"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435868">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22</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9B93BA">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投标人信用查询</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F8C35A7">
            <w:pPr>
              <w:spacing w:line="400" w:lineRule="exact"/>
              <w:jc w:val="left"/>
              <w:rPr>
                <w:rFonts w:ascii="宋体" w:hAnsi="宋体" w:cs="宋体"/>
                <w:sz w:val="22"/>
                <w:szCs w:val="22"/>
                <w:highlight w:val="none"/>
              </w:rPr>
            </w:pPr>
            <w:r>
              <w:rPr>
                <w:rFonts w:hint="eastAsia" w:ascii="宋体" w:hAnsi="宋体" w:cs="宋体"/>
                <w:sz w:val="22"/>
                <w:szCs w:val="22"/>
                <w:highlight w:val="none"/>
              </w:rPr>
              <w:t>（1）投标人信用信息查询的查询渠道：“信用中国”(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 w:val="22"/>
                <w:szCs w:val="22"/>
                <w:highlight w:val="none"/>
              </w:rPr>
              <w:t>www.creditchina.gov.cn</w:t>
            </w:r>
            <w:r>
              <w:rPr>
                <w:rFonts w:hint="eastAsia" w:ascii="宋体" w:hAnsi="宋体" w:cs="宋体"/>
                <w:sz w:val="22"/>
                <w:szCs w:val="22"/>
                <w:highlight w:val="none"/>
              </w:rPr>
              <w:fldChar w:fldCharType="end"/>
            </w:r>
            <w:r>
              <w:rPr>
                <w:rFonts w:hint="eastAsia" w:ascii="宋体" w:hAnsi="宋体" w:cs="宋体"/>
                <w:sz w:val="22"/>
                <w:szCs w:val="22"/>
                <w:highlight w:val="none"/>
              </w:rPr>
              <w:t>)；“中国政府采购网”（http://www.ccgp.gov.cn/）；</w:t>
            </w:r>
          </w:p>
          <w:p w14:paraId="230C84CA">
            <w:pPr>
              <w:spacing w:line="400" w:lineRule="exact"/>
              <w:jc w:val="left"/>
              <w:rPr>
                <w:rFonts w:ascii="宋体" w:hAnsi="宋体" w:cs="宋体"/>
                <w:sz w:val="22"/>
                <w:szCs w:val="22"/>
                <w:highlight w:val="none"/>
              </w:rPr>
            </w:pPr>
            <w:r>
              <w:rPr>
                <w:rFonts w:hint="eastAsia" w:ascii="宋体" w:hAnsi="宋体" w:cs="宋体"/>
                <w:sz w:val="22"/>
                <w:szCs w:val="22"/>
                <w:highlight w:val="none"/>
              </w:rPr>
              <w:t>（2）投标人信用信息查询记录和证据留存的具体方式：网页截图打印；</w:t>
            </w:r>
          </w:p>
          <w:p w14:paraId="7D02BD21">
            <w:pPr>
              <w:spacing w:line="400" w:lineRule="exact"/>
              <w:jc w:val="left"/>
              <w:rPr>
                <w:rFonts w:ascii="宋体" w:hAnsi="宋体" w:cs="宋体"/>
                <w:sz w:val="22"/>
                <w:szCs w:val="22"/>
                <w:highlight w:val="none"/>
              </w:rPr>
            </w:pPr>
            <w:r>
              <w:rPr>
                <w:rFonts w:hint="eastAsia" w:ascii="宋体" w:hAnsi="宋体" w:cs="宋体"/>
                <w:sz w:val="22"/>
                <w:szCs w:val="22"/>
                <w:highlight w:val="none"/>
              </w:rPr>
              <w:t>（3）信用信息的使用规则：</w:t>
            </w:r>
          </w:p>
          <w:p w14:paraId="2BDD174C">
            <w:pPr>
              <w:spacing w:line="400" w:lineRule="exact"/>
              <w:jc w:val="left"/>
              <w:rPr>
                <w:rFonts w:ascii="宋体" w:hAnsi="宋体" w:cs="宋体"/>
                <w:sz w:val="22"/>
                <w:szCs w:val="22"/>
                <w:highlight w:val="none"/>
              </w:rPr>
            </w:pPr>
            <w:r>
              <w:rPr>
                <w:rFonts w:hint="eastAsia" w:ascii="宋体" w:hAnsi="宋体" w:cs="宋体"/>
                <w:sz w:val="22"/>
                <w:szCs w:val="22"/>
                <w:highlight w:val="none"/>
              </w:rPr>
              <w:t>①在“信用中国”具有负面记录：列入失信被执行人、重大税收违法案件当事人名单、政府采购严重违法失信行为名单；</w:t>
            </w:r>
          </w:p>
          <w:p w14:paraId="0CB4FEC4">
            <w:pPr>
              <w:spacing w:line="400" w:lineRule="exact"/>
              <w:jc w:val="left"/>
              <w:rPr>
                <w:rFonts w:ascii="宋体" w:hAnsi="宋体" w:cs="宋体"/>
                <w:sz w:val="22"/>
                <w:szCs w:val="22"/>
                <w:highlight w:val="none"/>
              </w:rPr>
            </w:pPr>
            <w:r>
              <w:rPr>
                <w:rFonts w:hint="eastAsia" w:ascii="宋体" w:hAnsi="宋体" w:cs="宋体"/>
                <w:sz w:val="22"/>
                <w:szCs w:val="22"/>
                <w:highlight w:val="none"/>
              </w:rPr>
              <w:t>②被“中国政府采购网”(www.ccgp.gov.cn)列入政府采购严重违法失信行为记录名单。</w:t>
            </w:r>
          </w:p>
          <w:p w14:paraId="234DE700">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（4）具有以上（3）所述信息记录的投标人，其投标做无效投标处理。</w:t>
            </w:r>
          </w:p>
        </w:tc>
      </w:tr>
      <w:tr w14:paraId="6B4D2115">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720D6C">
            <w:pPr>
              <w:spacing w:line="400" w:lineRule="exact"/>
              <w:jc w:val="center"/>
              <w:rPr>
                <w:rFonts w:ascii="宋体" w:hAnsi="宋体" w:cs="宋体"/>
                <w:kern w:val="0"/>
                <w:sz w:val="22"/>
                <w:szCs w:val="22"/>
                <w:highlight w:val="none"/>
              </w:rPr>
            </w:pPr>
            <w:r>
              <w:rPr>
                <w:rFonts w:hint="eastAsia" w:ascii="宋体" w:hAnsi="宋体" w:cs="宋体"/>
                <w:kern w:val="0"/>
                <w:sz w:val="22"/>
                <w:szCs w:val="22"/>
                <w:highlight w:val="none"/>
              </w:rPr>
              <w:t>23</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54F0FD">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合同备案</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B91AE94">
            <w:pPr>
              <w:spacing w:line="400" w:lineRule="exact"/>
              <w:jc w:val="left"/>
              <w:rPr>
                <w:rFonts w:ascii="宋体" w:hAnsi="宋体" w:cs="宋体"/>
                <w:sz w:val="22"/>
                <w:szCs w:val="22"/>
                <w:highlight w:val="none"/>
              </w:rPr>
            </w:pPr>
            <w:r>
              <w:rPr>
                <w:rFonts w:hint="eastAsia" w:ascii="宋体" w:hAnsi="宋体" w:cs="宋体"/>
                <w:sz w:val="22"/>
                <w:szCs w:val="22"/>
                <w:highlight w:val="none"/>
              </w:rPr>
              <w:t>（1）中标投标人在中标通知书发出之日起30日历天内与采购人签订合同。</w:t>
            </w:r>
          </w:p>
          <w:p w14:paraId="2259F1CC">
            <w:pPr>
              <w:spacing w:line="400" w:lineRule="exact"/>
              <w:jc w:val="left"/>
              <w:rPr>
                <w:rFonts w:ascii="宋体" w:hAnsi="宋体" w:cs="宋体"/>
                <w:kern w:val="0"/>
                <w:sz w:val="22"/>
                <w:szCs w:val="22"/>
                <w:highlight w:val="none"/>
              </w:rPr>
            </w:pPr>
            <w:r>
              <w:rPr>
                <w:rFonts w:hint="eastAsia" w:ascii="宋体" w:hAnsi="宋体" w:cs="宋体"/>
                <w:sz w:val="22"/>
                <w:szCs w:val="22"/>
                <w:highlight w:val="none"/>
              </w:rPr>
              <w:t>（2）中标投标人与采购人签订合同后，2日历天内将合同扫描件电子版发给采购代理机构。</w:t>
            </w:r>
          </w:p>
        </w:tc>
      </w:tr>
      <w:tr w14:paraId="209DFC95">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5839F6A">
            <w:pPr>
              <w:spacing w:line="400" w:lineRule="exact"/>
              <w:jc w:val="center"/>
              <w:rPr>
                <w:rFonts w:ascii="宋体" w:hAnsi="宋体" w:cs="宋体"/>
                <w:kern w:val="0"/>
                <w:sz w:val="22"/>
                <w:szCs w:val="22"/>
                <w:highlight w:val="none"/>
              </w:rPr>
            </w:pPr>
            <w:r>
              <w:rPr>
                <w:rFonts w:hint="eastAsia" w:ascii="宋体" w:hAnsi="宋体" w:cs="宋体"/>
                <w:kern w:val="0"/>
                <w:sz w:val="22"/>
                <w:szCs w:val="22"/>
                <w:highlight w:val="none"/>
              </w:rPr>
              <w:t>24</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57B993">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合同履约管理</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7EF17B8">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3E0DF9E6">
        <w:tblPrEx>
          <w:tblCellMar>
            <w:top w:w="0" w:type="dxa"/>
            <w:left w:w="108" w:type="dxa"/>
            <w:bottom w:w="0" w:type="dxa"/>
            <w:right w:w="108" w:type="dxa"/>
          </w:tblCellMar>
        </w:tblPrEx>
        <w:trPr>
          <w:trHeight w:val="574"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6FB0D2">
            <w:pPr>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25</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D8CC6E">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解释权</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7F7EC8">
            <w:pPr>
              <w:spacing w:line="400" w:lineRule="exact"/>
              <w:rPr>
                <w:rFonts w:ascii="宋体" w:hAnsi="宋体" w:cs="宋体"/>
                <w:kern w:val="0"/>
                <w:sz w:val="22"/>
                <w:szCs w:val="22"/>
                <w:highlight w:val="none"/>
                <w:lang w:val="zh-CN"/>
              </w:rPr>
            </w:pPr>
            <w:r>
              <w:rPr>
                <w:rFonts w:hint="eastAsia" w:ascii="宋体" w:hAnsi="宋体" w:cs="宋体"/>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8B6D844">
        <w:tblPrEx>
          <w:tblCellMar>
            <w:top w:w="0" w:type="dxa"/>
            <w:left w:w="108" w:type="dxa"/>
            <w:bottom w:w="0" w:type="dxa"/>
            <w:right w:w="108" w:type="dxa"/>
          </w:tblCellMar>
        </w:tblPrEx>
        <w:trPr>
          <w:trHeight w:val="329"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0DFD5B">
            <w:pPr>
              <w:spacing w:line="400" w:lineRule="exact"/>
              <w:jc w:val="center"/>
              <w:rPr>
                <w:rFonts w:ascii="宋体" w:hAnsi="宋体" w:cs="宋体"/>
                <w:kern w:val="0"/>
                <w:sz w:val="22"/>
                <w:szCs w:val="22"/>
                <w:highlight w:val="none"/>
              </w:rPr>
            </w:pPr>
            <w:r>
              <w:rPr>
                <w:rFonts w:hint="eastAsia" w:ascii="宋体" w:hAnsi="宋体" w:cs="宋体"/>
                <w:kern w:val="0"/>
                <w:sz w:val="22"/>
                <w:szCs w:val="22"/>
                <w:highlight w:val="none"/>
              </w:rPr>
              <w:t>26</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196203">
            <w:pPr>
              <w:spacing w:line="400" w:lineRule="exact"/>
              <w:jc w:val="left"/>
              <w:rPr>
                <w:rFonts w:ascii="宋体" w:hAnsi="宋体" w:cs="宋体"/>
                <w:sz w:val="22"/>
                <w:szCs w:val="22"/>
                <w:highlight w:val="none"/>
                <w:lang w:val="zh-CN"/>
              </w:rPr>
            </w:pPr>
            <w:r>
              <w:rPr>
                <w:rFonts w:hint="eastAsia" w:ascii="宋体" w:hAnsi="宋体" w:cs="宋体"/>
                <w:sz w:val="22"/>
                <w:szCs w:val="22"/>
                <w:highlight w:val="none"/>
              </w:rPr>
              <w:t>采购代理服务费</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74BF80">
            <w:pPr>
              <w:spacing w:line="400" w:lineRule="exact"/>
              <w:rPr>
                <w:rFonts w:ascii="宋体" w:hAnsi="宋体" w:cs="宋体"/>
                <w:sz w:val="22"/>
                <w:szCs w:val="22"/>
                <w:highlight w:val="none"/>
              </w:rPr>
            </w:pPr>
            <w:r>
              <w:rPr>
                <w:rFonts w:hint="eastAsia" w:ascii="宋体" w:hAnsi="宋体" w:cs="宋体"/>
                <w:sz w:val="22"/>
                <w:szCs w:val="22"/>
                <w:highlight w:val="none"/>
              </w:rPr>
              <w:t>（1）</w:t>
            </w:r>
            <w:r>
              <w:rPr>
                <w:rFonts w:hint="eastAsia" w:ascii="宋体" w:hAnsi="宋体"/>
                <w:sz w:val="22"/>
                <w:highlight w:val="none"/>
                <w:lang w:val="en-US" w:eastAsia="zh-CN"/>
              </w:rPr>
              <w:t>每个标项招标代理服务费按固定金额15000元收取，</w:t>
            </w:r>
            <w:r>
              <w:rPr>
                <w:rFonts w:hint="eastAsia" w:ascii="宋体" w:hAnsi="宋体"/>
                <w:sz w:val="22"/>
                <w:highlight w:val="none"/>
              </w:rPr>
              <w:t>中标人在领取中标通知书同时向代理机构支付招标代理服务费</w:t>
            </w:r>
            <w:r>
              <w:rPr>
                <w:rFonts w:hint="eastAsia" w:ascii="宋体" w:hAnsi="宋体"/>
                <w:sz w:val="22"/>
                <w:highlight w:val="none"/>
                <w:lang w:eastAsia="zh-CN"/>
              </w:rPr>
              <w:t>。</w:t>
            </w:r>
            <w:r>
              <w:rPr>
                <w:rFonts w:hint="eastAsia" w:ascii="宋体" w:hAnsi="宋体" w:cs="宋体"/>
                <w:sz w:val="22"/>
                <w:szCs w:val="22"/>
                <w:highlight w:val="none"/>
              </w:rPr>
              <w:t>投标人在报价时应充分考虑该部分费用；</w:t>
            </w:r>
          </w:p>
          <w:p w14:paraId="14E70DC5">
            <w:pPr>
              <w:spacing w:line="400" w:lineRule="exact"/>
              <w:rPr>
                <w:rFonts w:ascii="宋体" w:hAnsi="宋体" w:cs="宋体"/>
                <w:sz w:val="22"/>
                <w:szCs w:val="22"/>
                <w:highlight w:val="none"/>
                <w:lang w:val="zh-CN"/>
              </w:rPr>
            </w:pPr>
            <w:r>
              <w:rPr>
                <w:rFonts w:hint="eastAsia" w:ascii="宋体" w:hAnsi="宋体" w:cs="宋体"/>
                <w:sz w:val="22"/>
                <w:szCs w:val="22"/>
                <w:highlight w:val="none"/>
              </w:rPr>
              <w:t>（2）采购代理服务费可以是现金、支票或汇票。</w:t>
            </w:r>
          </w:p>
        </w:tc>
      </w:tr>
      <w:tr w14:paraId="31881AC6">
        <w:tblPrEx>
          <w:tblCellMar>
            <w:top w:w="0" w:type="dxa"/>
            <w:left w:w="108" w:type="dxa"/>
            <w:bottom w:w="0" w:type="dxa"/>
            <w:right w:w="108" w:type="dxa"/>
          </w:tblCellMar>
        </w:tblPrEx>
        <w:trPr>
          <w:trHeight w:val="330"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6030C9">
            <w:pPr>
              <w:spacing w:line="400" w:lineRule="exact"/>
              <w:jc w:val="center"/>
              <w:rPr>
                <w:rFonts w:hint="default" w:ascii="宋体" w:hAnsi="宋体" w:eastAsia="宋体" w:cs="宋体"/>
                <w:kern w:val="0"/>
                <w:sz w:val="22"/>
                <w:szCs w:val="22"/>
                <w:highlight w:val="none"/>
                <w:lang w:val="en-US" w:eastAsia="zh-CN"/>
              </w:rPr>
            </w:pPr>
            <w:bookmarkStart w:id="45" w:name="_Toc221356948"/>
            <w:bookmarkStart w:id="46" w:name="_Toc245722278"/>
            <w:bookmarkStart w:id="47" w:name="_Toc262049415"/>
            <w:bookmarkStart w:id="48" w:name="_Toc249758861"/>
            <w:bookmarkStart w:id="49" w:name="_Toc221374623"/>
            <w:bookmarkStart w:id="50" w:name="_Toc241404199"/>
            <w:bookmarkStart w:id="51" w:name="_Toc239145351"/>
            <w:bookmarkStart w:id="52" w:name="_Toc222114876"/>
            <w:bookmarkStart w:id="53" w:name="_Toc262105500"/>
            <w:bookmarkStart w:id="54" w:name="_Toc249758709"/>
            <w:bookmarkStart w:id="55" w:name="_Toc245191311"/>
            <w:bookmarkStart w:id="56" w:name="_Toc223715995"/>
            <w:bookmarkStart w:id="57" w:name="_Toc246261262"/>
            <w:bookmarkStart w:id="58" w:name="_Toc221356883"/>
            <w:bookmarkStart w:id="59" w:name="_Toc221423616"/>
            <w:r>
              <w:rPr>
                <w:rFonts w:hint="eastAsia" w:ascii="宋体" w:hAnsi="宋体" w:cs="宋体"/>
                <w:kern w:val="0"/>
                <w:sz w:val="22"/>
                <w:szCs w:val="22"/>
                <w:highlight w:val="none"/>
                <w:lang w:val="en-US" w:eastAsia="zh-CN"/>
              </w:rPr>
              <w:t>27</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EB6DF2">
            <w:pPr>
              <w:jc w:val="left"/>
              <w:rPr>
                <w:rFonts w:hint="eastAsia" w:ascii="宋体" w:hAnsi="宋体" w:cs="宋体"/>
                <w:sz w:val="22"/>
                <w:szCs w:val="22"/>
                <w:highlight w:val="none"/>
              </w:rPr>
            </w:pPr>
            <w:r>
              <w:rPr>
                <w:rFonts w:hint="eastAsia" w:ascii="宋体" w:cs="宋体"/>
                <w:b/>
                <w:bCs/>
                <w:color w:val="auto"/>
                <w:sz w:val="22"/>
                <w:szCs w:val="22"/>
                <w:highlight w:val="none"/>
                <w:u w:val="single"/>
              </w:rPr>
              <w:t>注意事项</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FCE41E">
            <w:pPr>
              <w:spacing w:line="400" w:lineRule="exact"/>
              <w:rPr>
                <w:rFonts w:hint="eastAsia" w:ascii="宋体" w:hAnsi="宋体" w:eastAsia="宋体" w:cs="宋体"/>
                <w:b/>
                <w:bCs/>
                <w:sz w:val="22"/>
                <w:szCs w:val="22"/>
                <w:highlight w:val="none"/>
                <w:u w:val="single"/>
              </w:rPr>
            </w:pPr>
            <w:r>
              <w:rPr>
                <w:rFonts w:hint="eastAsia" w:ascii="宋体" w:hAnsi="宋体" w:eastAsia="宋体" w:cs="宋体"/>
                <w:b/>
                <w:bCs/>
                <w:sz w:val="22"/>
                <w:szCs w:val="22"/>
                <w:highlight w:val="none"/>
                <w:u w:val="single"/>
              </w:rPr>
              <w:t>项目负责人答辩</w:t>
            </w:r>
            <w:r>
              <w:rPr>
                <w:rFonts w:hint="eastAsia" w:ascii="宋体" w:hAnsi="宋体" w:eastAsia="宋体" w:cs="宋体"/>
                <w:b/>
                <w:bCs/>
                <w:sz w:val="22"/>
                <w:szCs w:val="22"/>
                <w:highlight w:val="none"/>
                <w:u w:val="single"/>
                <w:lang w:eastAsia="zh-CN"/>
              </w:rPr>
              <w:t>：</w:t>
            </w:r>
            <w:r>
              <w:rPr>
                <w:rFonts w:hint="eastAsia" w:ascii="宋体" w:hAnsi="宋体" w:eastAsia="宋体" w:cs="宋体"/>
                <w:b/>
                <w:bCs/>
                <w:sz w:val="22"/>
                <w:szCs w:val="22"/>
                <w:highlight w:val="none"/>
                <w:u w:val="single"/>
              </w:rPr>
              <w:t>项目负责人请于投标截止时间前到温州市龙湾区便民服务中心</w:t>
            </w:r>
            <w:r>
              <w:rPr>
                <w:rFonts w:hint="eastAsia" w:ascii="宋体" w:hAnsi="宋体" w:eastAsia="宋体" w:cs="宋体"/>
                <w:b/>
                <w:bCs/>
                <w:sz w:val="22"/>
                <w:szCs w:val="22"/>
                <w:highlight w:val="none"/>
                <w:u w:val="single"/>
                <w:lang w:val="en-US" w:eastAsia="zh-CN"/>
              </w:rPr>
              <w:t>(温州市龙湾区升平路77号)</w:t>
            </w:r>
            <w:r>
              <w:rPr>
                <w:rFonts w:hint="eastAsia" w:ascii="宋体" w:hAnsi="宋体" w:eastAsia="宋体" w:cs="宋体"/>
                <w:b/>
                <w:bCs/>
                <w:sz w:val="22"/>
                <w:szCs w:val="22"/>
                <w:highlight w:val="none"/>
                <w:u w:val="single"/>
              </w:rPr>
              <w:t>西裙楼三楼开标室签到。</w:t>
            </w:r>
          </w:p>
          <w:p w14:paraId="341999A2">
            <w:pPr>
              <w:spacing w:line="400" w:lineRule="exact"/>
              <w:rPr>
                <w:rFonts w:hint="eastAsia" w:ascii="宋体" w:hAnsi="宋体" w:cs="宋体"/>
                <w:sz w:val="22"/>
                <w:szCs w:val="22"/>
                <w:highlight w:val="none"/>
              </w:rPr>
            </w:pPr>
            <w:r>
              <w:rPr>
                <w:rFonts w:hint="eastAsia" w:ascii="宋体" w:hAnsi="宋体" w:eastAsia="宋体" w:cs="宋体"/>
                <w:b/>
                <w:bCs/>
                <w:sz w:val="22"/>
                <w:szCs w:val="22"/>
                <w:highlight w:val="none"/>
                <w:u w:val="single"/>
              </w:rPr>
              <w:t>未按上述规定人员、时间和地点参加答辩，或无法联系的或在答辩时</w:t>
            </w:r>
            <w:r>
              <w:rPr>
                <w:rFonts w:hint="eastAsia" w:ascii="宋体" w:hAnsi="宋体" w:eastAsia="宋体" w:cs="宋体"/>
                <w:b/>
                <w:bCs/>
                <w:sz w:val="22"/>
                <w:szCs w:val="22"/>
                <w:highlight w:val="none"/>
                <w:u w:val="single"/>
                <w:lang w:val="en-US" w:eastAsia="zh-CN"/>
              </w:rPr>
              <w:t>违反纪律</w:t>
            </w:r>
            <w:r>
              <w:rPr>
                <w:rFonts w:hint="eastAsia" w:ascii="宋体" w:hAnsi="宋体" w:eastAsia="宋体" w:cs="宋体"/>
                <w:b/>
                <w:bCs/>
                <w:sz w:val="22"/>
                <w:szCs w:val="22"/>
                <w:highlight w:val="none"/>
                <w:u w:val="single"/>
              </w:rPr>
              <w:t>或不服从工作人员管理的，经评标委员会认定后该投标供应商答辩得分作零分处理。</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7DE05223">
      <w:pPr>
        <w:rPr>
          <w:rFonts w:ascii="宋体" w:hAnsi="宋体"/>
          <w:b/>
          <w:bCs/>
          <w:sz w:val="26"/>
          <w:szCs w:val="26"/>
          <w:highlight w:val="none"/>
        </w:rPr>
      </w:pPr>
      <w:r>
        <w:rPr>
          <w:rFonts w:hint="eastAsia" w:ascii="宋体" w:hAnsi="宋体"/>
          <w:b/>
          <w:bCs/>
          <w:sz w:val="26"/>
          <w:szCs w:val="26"/>
          <w:highlight w:val="none"/>
        </w:rPr>
        <w:br w:type="page"/>
      </w:r>
    </w:p>
    <w:p w14:paraId="6682CCF0">
      <w:pPr>
        <w:spacing w:before="100" w:beforeAutospacing="1" w:after="100" w:afterAutospacing="1" w:line="440" w:lineRule="exact"/>
        <w:jc w:val="center"/>
        <w:outlineLvl w:val="0"/>
        <w:rPr>
          <w:rFonts w:ascii="宋体" w:hAnsi="宋体"/>
          <w:b/>
          <w:bCs/>
          <w:sz w:val="26"/>
          <w:szCs w:val="26"/>
          <w:highlight w:val="none"/>
        </w:rPr>
      </w:pPr>
      <w:bookmarkStart w:id="60" w:name="_Toc21012"/>
      <w:r>
        <w:rPr>
          <w:rFonts w:hint="eastAsia" w:ascii="宋体" w:hAnsi="宋体"/>
          <w:b/>
          <w:bCs/>
          <w:sz w:val="26"/>
          <w:szCs w:val="26"/>
          <w:highlight w:val="none"/>
        </w:rPr>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E4111E7">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bookmarkStart w:id="61" w:name="_Toc245722279"/>
      <w:bookmarkStart w:id="62" w:name="_Toc221423617"/>
      <w:bookmarkStart w:id="63" w:name="_Toc221356884"/>
      <w:bookmarkStart w:id="64" w:name="_Toc249758710"/>
      <w:bookmarkStart w:id="65" w:name="_Toc239145352"/>
      <w:bookmarkStart w:id="66" w:name="_Toc262049416"/>
      <w:bookmarkStart w:id="67" w:name="_Toc222114877"/>
      <w:bookmarkStart w:id="68" w:name="_Toc249758862"/>
      <w:bookmarkStart w:id="69" w:name="_Toc246261263"/>
      <w:bookmarkStart w:id="70" w:name="_Toc221356949"/>
      <w:bookmarkStart w:id="71" w:name="_Toc221374624"/>
      <w:bookmarkStart w:id="72" w:name="_Toc241404200"/>
      <w:bookmarkStart w:id="73" w:name="_Toc262105501"/>
      <w:bookmarkStart w:id="74" w:name="_Toc245191312"/>
      <w:bookmarkStart w:id="75" w:name="_Toc223715996"/>
      <w:r>
        <w:rPr>
          <w:rFonts w:hint="eastAsia" w:ascii="宋体" w:hAnsi="宋体" w:cs="Arial"/>
          <w:sz w:val="22"/>
          <w:szCs w:val="22"/>
          <w:highlight w:val="none"/>
        </w:rPr>
        <w:t>本次招标是按照《中华人民共和国政府采购法》、《中华人民共和国政府采购法实施条例》、《政府采购货物和服务招标投标管理办法》和《关于进一步规范政府采购活动的若干意见》等法律及有关法规组织和实施的。</w:t>
      </w:r>
    </w:p>
    <w:p w14:paraId="43B3EF5E">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合格投标人要求以招标公告对投标人资格条件要求的表述为准。</w:t>
      </w:r>
    </w:p>
    <w:p w14:paraId="1D0CFDAF">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投标人代表</w:t>
      </w:r>
    </w:p>
    <w:p w14:paraId="1FB54D98">
      <w:pPr>
        <w:spacing w:line="400" w:lineRule="exact"/>
        <w:ind w:firstLine="420" w:firstLineChars="191"/>
        <w:rPr>
          <w:rFonts w:ascii="宋体" w:hAnsi="宋体" w:cs="宋体"/>
          <w:sz w:val="22"/>
          <w:szCs w:val="22"/>
          <w:highlight w:val="none"/>
        </w:rPr>
      </w:pPr>
      <w:r>
        <w:rPr>
          <w:rFonts w:hint="eastAsia" w:ascii="宋体" w:hAnsi="宋体" w:cs="宋体"/>
          <w:sz w:val="22"/>
          <w:szCs w:val="22"/>
          <w:highlight w:val="none"/>
        </w:rPr>
        <w:t>指全权代表投标人参加投标活动并签署投标文件的人。如果投标人代表不是法定代表人，须持有《法定代表人授权书》。</w:t>
      </w:r>
    </w:p>
    <w:p w14:paraId="4739D219">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投标费用</w:t>
      </w:r>
    </w:p>
    <w:p w14:paraId="5D3FF1C5">
      <w:pPr>
        <w:spacing w:line="400" w:lineRule="exact"/>
        <w:ind w:firstLine="420" w:firstLineChars="191"/>
        <w:rPr>
          <w:rFonts w:ascii="宋体" w:hAnsi="宋体" w:cs="宋体"/>
          <w:sz w:val="22"/>
          <w:szCs w:val="22"/>
          <w:highlight w:val="none"/>
        </w:rPr>
      </w:pPr>
      <w:r>
        <w:rPr>
          <w:rFonts w:hint="eastAsia" w:ascii="宋体" w:hAnsi="宋体" w:cs="宋体"/>
          <w:sz w:val="22"/>
          <w:szCs w:val="22"/>
          <w:highlight w:val="none"/>
        </w:rPr>
        <w:t>投标人应承担所有与准备和参加投标有关费用，不论投标的结果如何，采购人和招标代理机构均无义务和责任承担这些费用。</w:t>
      </w:r>
    </w:p>
    <w:p w14:paraId="7DFD013F">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优化政府采购金融服务</w:t>
      </w:r>
    </w:p>
    <w:p w14:paraId="03C2DAB8">
      <w:pPr>
        <w:spacing w:line="400" w:lineRule="exact"/>
        <w:ind w:firstLine="443" w:firstLineChars="191"/>
        <w:rPr>
          <w:rFonts w:ascii="宋体" w:hAnsi="宋体" w:cs="宋体"/>
          <w:bCs/>
          <w:spacing w:val="6"/>
          <w:sz w:val="22"/>
          <w:highlight w:val="none"/>
        </w:rPr>
      </w:pPr>
      <w:r>
        <w:rPr>
          <w:rFonts w:hint="eastAsia" w:ascii="宋体" w:hAnsi="宋体" w:cs="宋体"/>
          <w:bCs/>
          <w:spacing w:val="6"/>
          <w:sz w:val="22"/>
          <w:szCs w:val="22"/>
          <w:highlight w:val="none"/>
        </w:rPr>
        <w:t xml:space="preserve">  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14:paraId="0CC7E48E">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特别说明：</w:t>
      </w:r>
    </w:p>
    <w:p w14:paraId="7BCC414B">
      <w:pPr>
        <w:numPr>
          <w:ilvl w:val="1"/>
          <w:numId w:val="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投标人应仔细阅读招标文件的所有内容，按照招标文件的要求提交投标文件，并对所提供的全部资料的真实性承担法律责任。</w:t>
      </w:r>
    </w:p>
    <w:p w14:paraId="0530BAC6">
      <w:pPr>
        <w:numPr>
          <w:ilvl w:val="1"/>
          <w:numId w:val="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10ACF929">
      <w:pPr>
        <w:spacing w:before="100" w:beforeAutospacing="1" w:after="100" w:afterAutospacing="1" w:line="440" w:lineRule="exact"/>
        <w:jc w:val="center"/>
        <w:outlineLvl w:val="0"/>
        <w:rPr>
          <w:rFonts w:ascii="宋体" w:hAnsi="宋体"/>
          <w:b/>
          <w:bCs/>
          <w:sz w:val="26"/>
          <w:szCs w:val="26"/>
          <w:highlight w:val="none"/>
        </w:rPr>
      </w:pPr>
      <w:bookmarkStart w:id="76" w:name="_Toc12159"/>
      <w:r>
        <w:rPr>
          <w:rFonts w:hint="eastAsia" w:ascii="宋体" w:hAnsi="宋体"/>
          <w:b/>
          <w:bCs/>
          <w:sz w:val="26"/>
          <w:szCs w:val="26"/>
          <w:highlight w:val="none"/>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4D30AFD">
      <w:pPr>
        <w:numPr>
          <w:ilvl w:val="0"/>
          <w:numId w:val="4"/>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招标文件由招标文件目录所列内容及相关资料组成。</w:t>
      </w:r>
    </w:p>
    <w:p w14:paraId="55731436">
      <w:pPr>
        <w:numPr>
          <w:ilvl w:val="0"/>
          <w:numId w:val="4"/>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质疑</w:t>
      </w:r>
    </w:p>
    <w:p w14:paraId="65296B00">
      <w:pPr>
        <w:numPr>
          <w:ilvl w:val="1"/>
          <w:numId w:val="5"/>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1696C2CF">
      <w:pPr>
        <w:numPr>
          <w:ilvl w:val="1"/>
          <w:numId w:val="5"/>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投标人提出质疑应当提交质疑函和必要的证明材料，质疑函范本请到“浙江政府采购网下载专区”下载，质疑函内容及签署等相关要求请参看《政府采购质疑和投诉办法》相关规定。</w:t>
      </w:r>
    </w:p>
    <w:p w14:paraId="0CE86055">
      <w:pPr>
        <w:numPr>
          <w:ilvl w:val="1"/>
          <w:numId w:val="5"/>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提出质疑的投标人应当是参与本项目招标活动的投标人。投标人在法定质疑期内一次性提出针对同一采购程序环节的质疑。</w:t>
      </w:r>
    </w:p>
    <w:p w14:paraId="54DBE96A">
      <w:pPr>
        <w:numPr>
          <w:ilvl w:val="1"/>
          <w:numId w:val="5"/>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根据《政府采购质疑和投诉办法》第三十七条的规定，投诉人在全国范围12个月内三次以上投诉查无实据的，由财政部门列入不良行为记录名单。</w:t>
      </w:r>
    </w:p>
    <w:p w14:paraId="3942C10C">
      <w:pPr>
        <w:numPr>
          <w:ilvl w:val="0"/>
          <w:numId w:val="4"/>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投诉</w:t>
      </w:r>
    </w:p>
    <w:p w14:paraId="7E046299">
      <w:pPr>
        <w:tabs>
          <w:tab w:val="left" w:pos="0"/>
        </w:tabs>
        <w:spacing w:line="400" w:lineRule="exact"/>
        <w:ind w:firstLine="443" w:firstLineChars="191"/>
        <w:rPr>
          <w:rFonts w:ascii="宋体" w:hAnsi="宋体" w:cs="宋体"/>
          <w:sz w:val="22"/>
          <w:szCs w:val="22"/>
          <w:highlight w:val="none"/>
        </w:rPr>
      </w:pPr>
      <w:r>
        <w:rPr>
          <w:rFonts w:hint="eastAsia" w:ascii="宋体" w:hAnsi="宋体" w:cs="宋体"/>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65E59674">
      <w:pPr>
        <w:numPr>
          <w:ilvl w:val="0"/>
          <w:numId w:val="4"/>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招标文件的澄清或修改</w:t>
      </w:r>
    </w:p>
    <w:p w14:paraId="51356E2E">
      <w:pPr>
        <w:numPr>
          <w:ilvl w:val="1"/>
          <w:numId w:val="6"/>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14:paraId="0464688D">
      <w:pPr>
        <w:numPr>
          <w:ilvl w:val="1"/>
          <w:numId w:val="6"/>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14:paraId="77E091A9">
      <w:pPr>
        <w:numPr>
          <w:ilvl w:val="1"/>
          <w:numId w:val="6"/>
        </w:numPr>
        <w:tabs>
          <w:tab w:val="left" w:pos="360"/>
          <w:tab w:val="clear" w:pos="992"/>
        </w:tabs>
        <w:spacing w:line="460" w:lineRule="exact"/>
        <w:ind w:left="0" w:firstLine="420" w:firstLineChars="191"/>
        <w:rPr>
          <w:rFonts w:ascii="宋体" w:hAnsi="宋体" w:cs="宋体"/>
          <w:sz w:val="22"/>
          <w:szCs w:val="22"/>
          <w:highlight w:val="none"/>
        </w:rPr>
      </w:pPr>
      <w:r>
        <w:rPr>
          <w:rFonts w:hint="eastAsia" w:ascii="宋体" w:hAnsi="宋体" w:cs="Arial"/>
          <w:sz w:val="22"/>
          <w:szCs w:val="22"/>
          <w:highlight w:val="none"/>
        </w:rPr>
        <w:t>招标文件如有补充更正均见“浙江政府采购”（https://zfcg.czt.zj.gov.cn/）。投标人须在开标</w:t>
      </w:r>
      <w:r>
        <w:rPr>
          <w:rFonts w:hint="eastAsia" w:ascii="宋体" w:hAnsi="宋体" w:cs="宋体"/>
          <w:spacing w:val="6"/>
          <w:sz w:val="22"/>
          <w:highlight w:val="none"/>
        </w:rPr>
        <w:t>前一日自行查看是否有补充更正文件，并按补充更正文件要求投标，否则责任自负。</w:t>
      </w:r>
    </w:p>
    <w:p w14:paraId="21B50028">
      <w:pPr>
        <w:spacing w:before="100" w:beforeAutospacing="1" w:after="100" w:afterAutospacing="1" w:line="440" w:lineRule="exact"/>
        <w:jc w:val="center"/>
        <w:outlineLvl w:val="0"/>
        <w:rPr>
          <w:rFonts w:ascii="宋体" w:hAnsi="宋体"/>
          <w:b/>
          <w:bCs/>
          <w:sz w:val="26"/>
          <w:szCs w:val="26"/>
          <w:highlight w:val="none"/>
        </w:rPr>
      </w:pPr>
      <w:bookmarkStart w:id="77" w:name="_Toc245722280"/>
      <w:bookmarkStart w:id="78" w:name="_Toc239145353"/>
      <w:bookmarkStart w:id="79" w:name="_Toc221423618"/>
      <w:bookmarkStart w:id="80" w:name="_Toc221374625"/>
      <w:bookmarkStart w:id="81" w:name="_Toc262105502"/>
      <w:bookmarkStart w:id="82" w:name="_Toc245191313"/>
      <w:bookmarkStart w:id="83" w:name="_Toc262049417"/>
      <w:bookmarkStart w:id="84" w:name="_Toc221356950"/>
      <w:bookmarkStart w:id="85" w:name="_Toc246261264"/>
      <w:bookmarkStart w:id="86" w:name="_Toc241404201"/>
      <w:bookmarkStart w:id="87" w:name="_Toc221356885"/>
      <w:bookmarkStart w:id="88" w:name="_Toc5147"/>
      <w:bookmarkStart w:id="89" w:name="_Toc249758863"/>
      <w:bookmarkStart w:id="90" w:name="_Toc222114878"/>
      <w:bookmarkStart w:id="91" w:name="_Toc249758711"/>
      <w:bookmarkStart w:id="92" w:name="_Toc223715997"/>
      <w:r>
        <w:rPr>
          <w:rFonts w:hint="eastAsia" w:ascii="宋体" w:hAnsi="宋体"/>
          <w:b/>
          <w:bCs/>
          <w:sz w:val="26"/>
          <w:szCs w:val="26"/>
          <w:highlight w:val="none"/>
        </w:rPr>
        <w:t>四、 投标文件的编制</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A4DD6B2">
      <w:pPr>
        <w:numPr>
          <w:ilvl w:val="0"/>
          <w:numId w:val="7"/>
        </w:numPr>
        <w:tabs>
          <w:tab w:val="left" w:pos="0"/>
          <w:tab w:val="clear" w:pos="420"/>
        </w:tabs>
        <w:spacing w:line="460" w:lineRule="exact"/>
        <w:ind w:left="0" w:firstLine="420" w:firstLineChars="191"/>
        <w:rPr>
          <w:rFonts w:ascii="宋体" w:hAnsi="宋体"/>
          <w:sz w:val="22"/>
          <w:szCs w:val="22"/>
          <w:highlight w:val="none"/>
        </w:rPr>
      </w:pPr>
      <w:r>
        <w:rPr>
          <w:rFonts w:hint="eastAsia" w:ascii="宋体" w:hAnsi="宋体" w:cs="Arial"/>
          <w:sz w:val="22"/>
          <w:szCs w:val="22"/>
          <w:highlight w:val="none"/>
        </w:rPr>
        <w:t>投标人应认真阅读招标文件中所有事项格式、条款和技术规范等。</w:t>
      </w:r>
      <w:r>
        <w:rPr>
          <w:rFonts w:hint="eastAsia" w:ascii="宋体" w:hAnsi="宋体" w:cs="Arial"/>
          <w:b/>
          <w:sz w:val="22"/>
          <w:szCs w:val="22"/>
          <w:highlight w:val="none"/>
        </w:rPr>
        <w:t>投标人没有按照招标文件要求提交全部资料，或者没有对招标文件各个方面做出实质性响应，导致投标被拒绝的风险由投标人自行承担。</w:t>
      </w:r>
    </w:p>
    <w:p w14:paraId="04B5F453">
      <w:pPr>
        <w:numPr>
          <w:ilvl w:val="0"/>
          <w:numId w:val="7"/>
        </w:numPr>
        <w:tabs>
          <w:tab w:val="left" w:pos="540"/>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投标文件的构成</w:t>
      </w:r>
    </w:p>
    <w:p w14:paraId="1E1360C1">
      <w:pPr>
        <w:tabs>
          <w:tab w:val="left" w:pos="540"/>
        </w:tabs>
        <w:spacing w:line="460" w:lineRule="exact"/>
        <w:ind w:firstLine="422" w:firstLineChars="191"/>
        <w:rPr>
          <w:rFonts w:ascii="宋体" w:hAnsi="宋体" w:cs="Arial"/>
          <w:b/>
          <w:sz w:val="22"/>
          <w:szCs w:val="22"/>
          <w:highlight w:val="none"/>
          <w:u w:val="single"/>
        </w:rPr>
      </w:pPr>
      <w:r>
        <w:rPr>
          <w:rFonts w:hint="eastAsia" w:ascii="宋体" w:hAnsi="宋体" w:cs="Arial"/>
          <w:b/>
          <w:sz w:val="22"/>
          <w:szCs w:val="22"/>
          <w:highlight w:val="none"/>
          <w:u w:val="single"/>
        </w:rPr>
        <w:t>投标文件由资格文件、商务技术文件、报价文件三部分构成：</w:t>
      </w:r>
    </w:p>
    <w:p w14:paraId="03E3D7E9">
      <w:pPr>
        <w:spacing w:line="430" w:lineRule="exact"/>
        <w:ind w:firstLine="422" w:firstLineChars="191"/>
        <w:rPr>
          <w:rFonts w:ascii="宋体" w:cs="hakuyoxingshu7000"/>
          <w:b/>
          <w:sz w:val="22"/>
          <w:szCs w:val="22"/>
          <w:highlight w:val="none"/>
        </w:rPr>
      </w:pPr>
      <w:r>
        <w:rPr>
          <w:rFonts w:hint="eastAsia" w:ascii="宋体" w:hAnsi="宋体" w:cs="hakuyoxingshu7000"/>
          <w:b/>
          <w:sz w:val="22"/>
          <w:szCs w:val="22"/>
          <w:highlight w:val="none"/>
        </w:rPr>
        <w:t>（</w:t>
      </w:r>
      <w:r>
        <w:rPr>
          <w:rFonts w:ascii="宋体" w:hAnsi="宋体" w:cs="hakuyoxingshu7000"/>
          <w:b/>
          <w:sz w:val="22"/>
          <w:szCs w:val="22"/>
          <w:highlight w:val="none"/>
        </w:rPr>
        <w:t>1</w:t>
      </w:r>
      <w:r>
        <w:rPr>
          <w:rFonts w:hint="eastAsia" w:ascii="宋体" w:hAnsi="宋体" w:cs="hakuyoxingshu7000"/>
          <w:b/>
          <w:sz w:val="22"/>
          <w:szCs w:val="22"/>
          <w:highlight w:val="none"/>
        </w:rPr>
        <w:t>）资格文件</w:t>
      </w:r>
    </w:p>
    <w:tbl>
      <w:tblPr>
        <w:tblStyle w:val="6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200C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376029D">
            <w:pPr>
              <w:overflowPunct w:val="0"/>
              <w:spacing w:line="430" w:lineRule="exact"/>
              <w:jc w:val="center"/>
              <w:rPr>
                <w:rFonts w:ascii="宋体" w:cs="新宋体"/>
                <w:b/>
                <w:sz w:val="22"/>
                <w:szCs w:val="22"/>
                <w:highlight w:val="none"/>
              </w:rPr>
            </w:pPr>
            <w:r>
              <w:rPr>
                <w:rFonts w:hint="eastAsia" w:ascii="宋体" w:hAnsi="宋体" w:cs="新宋体"/>
                <w:b/>
                <w:sz w:val="22"/>
                <w:szCs w:val="22"/>
                <w:highlight w:val="none"/>
              </w:rPr>
              <w:t>序号</w:t>
            </w:r>
          </w:p>
        </w:tc>
        <w:tc>
          <w:tcPr>
            <w:tcW w:w="7514" w:type="dxa"/>
            <w:vAlign w:val="center"/>
          </w:tcPr>
          <w:p w14:paraId="04F9359B">
            <w:pPr>
              <w:overflowPunct w:val="0"/>
              <w:spacing w:line="430" w:lineRule="exact"/>
              <w:jc w:val="center"/>
              <w:rPr>
                <w:rFonts w:ascii="宋体" w:cs="新宋体"/>
                <w:b/>
                <w:sz w:val="22"/>
                <w:szCs w:val="22"/>
                <w:highlight w:val="none"/>
              </w:rPr>
            </w:pPr>
            <w:r>
              <w:rPr>
                <w:rFonts w:hint="eastAsia" w:ascii="宋体" w:hAnsi="宋体" w:cs="新宋体"/>
                <w:b/>
                <w:sz w:val="22"/>
                <w:szCs w:val="22"/>
                <w:highlight w:val="none"/>
              </w:rPr>
              <w:t>内容</w:t>
            </w:r>
          </w:p>
        </w:tc>
        <w:tc>
          <w:tcPr>
            <w:tcW w:w="1523" w:type="dxa"/>
            <w:vAlign w:val="center"/>
          </w:tcPr>
          <w:p w14:paraId="3F92205C">
            <w:pPr>
              <w:overflowPunct w:val="0"/>
              <w:spacing w:line="430" w:lineRule="exact"/>
              <w:jc w:val="center"/>
              <w:rPr>
                <w:rFonts w:ascii="宋体" w:cs="新宋体"/>
                <w:b/>
                <w:sz w:val="22"/>
                <w:szCs w:val="22"/>
                <w:highlight w:val="none"/>
              </w:rPr>
            </w:pPr>
            <w:r>
              <w:rPr>
                <w:rFonts w:hint="eastAsia" w:ascii="宋体" w:hAnsi="宋体" w:cs="新宋体"/>
                <w:b/>
                <w:sz w:val="22"/>
                <w:szCs w:val="22"/>
                <w:highlight w:val="none"/>
              </w:rPr>
              <w:t>备注</w:t>
            </w:r>
          </w:p>
        </w:tc>
      </w:tr>
      <w:tr w14:paraId="4088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3479AC9">
            <w:pPr>
              <w:overflowPunct w:val="0"/>
              <w:spacing w:line="430" w:lineRule="exact"/>
              <w:jc w:val="center"/>
              <w:rPr>
                <w:rFonts w:ascii="宋体" w:cs="新宋体"/>
                <w:bCs/>
                <w:sz w:val="22"/>
                <w:szCs w:val="22"/>
                <w:highlight w:val="none"/>
              </w:rPr>
            </w:pPr>
            <w:r>
              <w:rPr>
                <w:rFonts w:ascii="宋体" w:hAnsi="宋体" w:cs="新宋体"/>
                <w:bCs/>
                <w:sz w:val="22"/>
                <w:szCs w:val="22"/>
                <w:highlight w:val="none"/>
              </w:rPr>
              <w:t>1</w:t>
            </w:r>
          </w:p>
        </w:tc>
        <w:tc>
          <w:tcPr>
            <w:tcW w:w="7514" w:type="dxa"/>
            <w:vAlign w:val="center"/>
          </w:tcPr>
          <w:p w14:paraId="7AC8E58D">
            <w:pPr>
              <w:rPr>
                <w:rFonts w:ascii="宋体" w:cs="新宋体"/>
                <w:bCs/>
                <w:sz w:val="22"/>
                <w:szCs w:val="22"/>
                <w:highlight w:val="none"/>
              </w:rPr>
            </w:pPr>
            <w:r>
              <w:rPr>
                <w:rFonts w:hint="eastAsia" w:ascii="宋体" w:hAnsi="宋体"/>
                <w:sz w:val="22"/>
                <w:szCs w:val="22"/>
                <w:highlight w:val="none"/>
              </w:rPr>
              <w:t>营业执照</w:t>
            </w:r>
            <w:r>
              <w:rPr>
                <w:rFonts w:ascii="宋体" w:hAnsi="宋体"/>
                <w:sz w:val="22"/>
                <w:szCs w:val="22"/>
                <w:highlight w:val="none"/>
              </w:rPr>
              <w:t>(</w:t>
            </w:r>
            <w:r>
              <w:rPr>
                <w:rFonts w:hint="eastAsia" w:ascii="宋体" w:hAnsi="宋体"/>
                <w:sz w:val="22"/>
                <w:szCs w:val="22"/>
                <w:highlight w:val="none"/>
              </w:rPr>
              <w:t>或事业法人登记证书或其它工商等登记证明材料；自然人参与政府采购，提供身份证</w:t>
            </w:r>
            <w:r>
              <w:rPr>
                <w:rFonts w:ascii="宋体" w:hAnsi="宋体"/>
                <w:sz w:val="22"/>
                <w:szCs w:val="22"/>
                <w:highlight w:val="none"/>
              </w:rPr>
              <w:t>)</w:t>
            </w:r>
            <w:r>
              <w:rPr>
                <w:rFonts w:hint="eastAsia" w:ascii="宋体" w:hAnsi="宋体"/>
                <w:sz w:val="22"/>
                <w:szCs w:val="22"/>
                <w:highlight w:val="none"/>
              </w:rPr>
              <w:t>复印件、税务登记证</w:t>
            </w:r>
            <w:r>
              <w:rPr>
                <w:rFonts w:ascii="宋体" w:hAnsi="宋体"/>
                <w:sz w:val="22"/>
                <w:szCs w:val="22"/>
                <w:highlight w:val="none"/>
              </w:rPr>
              <w:t>(</w:t>
            </w:r>
            <w:r>
              <w:rPr>
                <w:rFonts w:hint="eastAsia" w:ascii="宋体" w:hAnsi="宋体"/>
                <w:sz w:val="22"/>
                <w:szCs w:val="22"/>
                <w:highlight w:val="none"/>
              </w:rPr>
              <w:t>或其它缴纳证明材料</w:t>
            </w:r>
            <w:r>
              <w:rPr>
                <w:rFonts w:ascii="宋体" w:hAnsi="宋体"/>
                <w:sz w:val="22"/>
                <w:szCs w:val="22"/>
                <w:highlight w:val="none"/>
              </w:rPr>
              <w:t>)</w:t>
            </w:r>
            <w:r>
              <w:rPr>
                <w:rFonts w:hint="eastAsia" w:ascii="宋体" w:hAnsi="宋体"/>
                <w:sz w:val="22"/>
                <w:szCs w:val="22"/>
                <w:highlight w:val="none"/>
              </w:rPr>
              <w:t>复印件、社保登记证（或其它缴纳证明材料）复印件；实施“五证合一、一照一码”登记制度改革的，只需提供改革后取得的营业执照复印件；</w:t>
            </w:r>
          </w:p>
        </w:tc>
        <w:tc>
          <w:tcPr>
            <w:tcW w:w="1523" w:type="dxa"/>
            <w:vAlign w:val="center"/>
          </w:tcPr>
          <w:p w14:paraId="56238BBD">
            <w:pPr>
              <w:overflowPunct w:val="0"/>
              <w:spacing w:line="430" w:lineRule="exact"/>
              <w:jc w:val="center"/>
              <w:rPr>
                <w:rFonts w:ascii="宋体" w:cs="新宋体"/>
                <w:b/>
                <w:sz w:val="22"/>
                <w:szCs w:val="22"/>
                <w:highlight w:val="none"/>
              </w:rPr>
            </w:pPr>
          </w:p>
        </w:tc>
      </w:tr>
      <w:tr w14:paraId="35E0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F5C9AB8">
            <w:pPr>
              <w:overflowPunct w:val="0"/>
              <w:spacing w:line="430" w:lineRule="exact"/>
              <w:jc w:val="center"/>
              <w:rPr>
                <w:rFonts w:ascii="宋体" w:cs="新宋体"/>
                <w:bCs/>
                <w:sz w:val="22"/>
                <w:szCs w:val="22"/>
                <w:highlight w:val="none"/>
              </w:rPr>
            </w:pPr>
            <w:r>
              <w:rPr>
                <w:rFonts w:ascii="宋体" w:hAnsi="宋体" w:cs="新宋体"/>
                <w:bCs/>
                <w:sz w:val="22"/>
                <w:szCs w:val="22"/>
                <w:highlight w:val="none"/>
              </w:rPr>
              <w:t>2</w:t>
            </w:r>
          </w:p>
        </w:tc>
        <w:tc>
          <w:tcPr>
            <w:tcW w:w="7514" w:type="dxa"/>
            <w:vAlign w:val="center"/>
          </w:tcPr>
          <w:p w14:paraId="3F5E0B59">
            <w:pPr>
              <w:rPr>
                <w:rFonts w:ascii="宋体" w:cs="新宋体"/>
                <w:bCs/>
                <w:sz w:val="22"/>
                <w:szCs w:val="22"/>
                <w:highlight w:val="none"/>
              </w:rPr>
            </w:pPr>
            <w:r>
              <w:rPr>
                <w:rFonts w:hint="eastAsia" w:ascii="宋体" w:cs="新宋体"/>
                <w:bCs/>
                <w:sz w:val="22"/>
                <w:szCs w:val="22"/>
                <w:highlight w:val="none"/>
              </w:rPr>
              <w:t>法定代表人声明书或法定代表人授权书</w:t>
            </w:r>
          </w:p>
        </w:tc>
        <w:tc>
          <w:tcPr>
            <w:tcW w:w="1523" w:type="dxa"/>
            <w:vMerge w:val="restart"/>
            <w:vAlign w:val="center"/>
          </w:tcPr>
          <w:p w14:paraId="78117CC5">
            <w:pPr>
              <w:jc w:val="center"/>
              <w:rPr>
                <w:rFonts w:ascii="宋体" w:cs="新宋体"/>
                <w:bCs/>
                <w:sz w:val="22"/>
                <w:szCs w:val="22"/>
                <w:highlight w:val="none"/>
              </w:rPr>
            </w:pPr>
            <w:r>
              <w:rPr>
                <w:rFonts w:hint="eastAsia" w:ascii="宋体" w:hAnsi="宋体" w:cs="新宋体"/>
                <w:bCs/>
                <w:sz w:val="22"/>
                <w:szCs w:val="22"/>
                <w:highlight w:val="none"/>
              </w:rPr>
              <w:t>附件一</w:t>
            </w:r>
          </w:p>
        </w:tc>
      </w:tr>
      <w:tr w14:paraId="12E7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297F6D2">
            <w:pPr>
              <w:overflowPunct w:val="0"/>
              <w:spacing w:line="430" w:lineRule="exact"/>
              <w:jc w:val="center"/>
              <w:rPr>
                <w:rFonts w:ascii="宋体" w:cs="新宋体"/>
                <w:bCs/>
                <w:sz w:val="22"/>
                <w:szCs w:val="22"/>
                <w:highlight w:val="none"/>
              </w:rPr>
            </w:pPr>
            <w:r>
              <w:rPr>
                <w:rFonts w:ascii="宋体" w:hAnsi="宋体" w:cs="新宋体"/>
                <w:bCs/>
                <w:sz w:val="22"/>
                <w:szCs w:val="22"/>
                <w:highlight w:val="none"/>
              </w:rPr>
              <w:t>3</w:t>
            </w:r>
          </w:p>
        </w:tc>
        <w:tc>
          <w:tcPr>
            <w:tcW w:w="7514" w:type="dxa"/>
            <w:vAlign w:val="center"/>
          </w:tcPr>
          <w:p w14:paraId="19438DA1">
            <w:pPr>
              <w:rPr>
                <w:rFonts w:ascii="宋体" w:cs="新宋体"/>
                <w:bCs/>
                <w:sz w:val="22"/>
                <w:szCs w:val="22"/>
                <w:highlight w:val="none"/>
              </w:rPr>
            </w:pPr>
            <w:r>
              <w:rPr>
                <w:rFonts w:hint="eastAsia" w:ascii="宋体" w:cs="新宋体"/>
                <w:bCs/>
                <w:sz w:val="22"/>
                <w:szCs w:val="22"/>
                <w:highlight w:val="none"/>
              </w:rPr>
              <w:t>投标人参与政府采购活动投标资格声明函</w:t>
            </w:r>
          </w:p>
        </w:tc>
        <w:tc>
          <w:tcPr>
            <w:tcW w:w="1523" w:type="dxa"/>
            <w:vMerge w:val="continue"/>
            <w:vAlign w:val="center"/>
          </w:tcPr>
          <w:p w14:paraId="3272A3BA">
            <w:pPr>
              <w:jc w:val="center"/>
              <w:rPr>
                <w:rFonts w:ascii="宋体" w:cs="新宋体"/>
                <w:bCs/>
                <w:sz w:val="22"/>
                <w:szCs w:val="22"/>
                <w:highlight w:val="none"/>
              </w:rPr>
            </w:pPr>
          </w:p>
        </w:tc>
      </w:tr>
      <w:tr w14:paraId="56FD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56F4113">
            <w:pPr>
              <w:overflowPunct w:val="0"/>
              <w:spacing w:line="430" w:lineRule="exact"/>
              <w:jc w:val="center"/>
              <w:rPr>
                <w:rFonts w:ascii="宋体" w:cs="新宋体"/>
                <w:bCs/>
                <w:sz w:val="22"/>
                <w:szCs w:val="22"/>
                <w:highlight w:val="none"/>
              </w:rPr>
            </w:pPr>
            <w:r>
              <w:rPr>
                <w:rFonts w:ascii="宋体" w:hAnsi="宋体" w:cs="新宋体"/>
                <w:bCs/>
                <w:sz w:val="22"/>
                <w:szCs w:val="22"/>
                <w:highlight w:val="none"/>
              </w:rPr>
              <w:t>4</w:t>
            </w:r>
          </w:p>
        </w:tc>
        <w:tc>
          <w:tcPr>
            <w:tcW w:w="7514" w:type="dxa"/>
            <w:vAlign w:val="center"/>
          </w:tcPr>
          <w:p w14:paraId="34F87854">
            <w:pPr>
              <w:rPr>
                <w:rFonts w:ascii="宋体" w:cs="新宋体"/>
                <w:bCs/>
                <w:sz w:val="22"/>
                <w:szCs w:val="22"/>
                <w:highlight w:val="none"/>
              </w:rPr>
            </w:pPr>
            <w:r>
              <w:rPr>
                <w:rFonts w:hint="eastAsia" w:ascii="宋体" w:cs="新宋体"/>
                <w:bCs/>
                <w:sz w:val="22"/>
                <w:szCs w:val="22"/>
                <w:highlight w:val="none"/>
              </w:rPr>
              <w:t>诚信投标承诺书</w:t>
            </w:r>
          </w:p>
        </w:tc>
        <w:tc>
          <w:tcPr>
            <w:tcW w:w="1523" w:type="dxa"/>
            <w:vMerge w:val="continue"/>
            <w:vAlign w:val="center"/>
          </w:tcPr>
          <w:p w14:paraId="4629B9AC">
            <w:pPr>
              <w:spacing w:line="400" w:lineRule="exact"/>
              <w:jc w:val="center"/>
              <w:rPr>
                <w:rFonts w:ascii="宋体"/>
                <w:sz w:val="22"/>
                <w:szCs w:val="22"/>
                <w:highlight w:val="none"/>
              </w:rPr>
            </w:pPr>
          </w:p>
        </w:tc>
      </w:tr>
      <w:tr w14:paraId="500B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1AA1E82">
            <w:pPr>
              <w:overflowPunct w:val="0"/>
              <w:spacing w:line="430" w:lineRule="exact"/>
              <w:jc w:val="center"/>
              <w:rPr>
                <w:rFonts w:ascii="宋体" w:cs="新宋体"/>
                <w:bCs/>
                <w:sz w:val="22"/>
                <w:szCs w:val="22"/>
                <w:highlight w:val="none"/>
              </w:rPr>
            </w:pPr>
            <w:r>
              <w:rPr>
                <w:rFonts w:hint="eastAsia" w:ascii="宋体" w:cs="新宋体"/>
                <w:bCs/>
                <w:sz w:val="22"/>
                <w:szCs w:val="22"/>
                <w:highlight w:val="none"/>
              </w:rPr>
              <w:t>5</w:t>
            </w:r>
          </w:p>
        </w:tc>
        <w:tc>
          <w:tcPr>
            <w:tcW w:w="7514" w:type="dxa"/>
            <w:vAlign w:val="center"/>
          </w:tcPr>
          <w:p w14:paraId="000B2118">
            <w:pPr>
              <w:rPr>
                <w:rFonts w:ascii="宋体" w:hAnsi="宋体" w:cs="新宋体"/>
                <w:bCs/>
                <w:sz w:val="22"/>
                <w:szCs w:val="22"/>
                <w:highlight w:val="none"/>
              </w:rPr>
            </w:pPr>
            <w:r>
              <w:rPr>
                <w:rFonts w:hint="eastAsia" w:ascii="宋体" w:cs="新宋体"/>
                <w:bCs/>
                <w:sz w:val="22"/>
                <w:szCs w:val="22"/>
                <w:highlight w:val="none"/>
              </w:rPr>
              <w:t>中小企业声明函</w:t>
            </w:r>
          </w:p>
        </w:tc>
        <w:tc>
          <w:tcPr>
            <w:tcW w:w="1523" w:type="dxa"/>
            <w:vMerge w:val="continue"/>
            <w:vAlign w:val="center"/>
          </w:tcPr>
          <w:p w14:paraId="178F7EF5">
            <w:pPr>
              <w:spacing w:line="400" w:lineRule="exact"/>
              <w:jc w:val="center"/>
              <w:rPr>
                <w:rFonts w:ascii="宋体"/>
                <w:sz w:val="22"/>
                <w:szCs w:val="22"/>
                <w:highlight w:val="none"/>
              </w:rPr>
            </w:pPr>
          </w:p>
        </w:tc>
      </w:tr>
      <w:tr w14:paraId="2332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709A090">
            <w:pPr>
              <w:overflowPunct w:val="0"/>
              <w:spacing w:line="430" w:lineRule="exact"/>
              <w:jc w:val="center"/>
              <w:rPr>
                <w:rFonts w:ascii="宋体" w:cs="新宋体"/>
                <w:bCs/>
                <w:sz w:val="22"/>
                <w:szCs w:val="22"/>
                <w:highlight w:val="none"/>
              </w:rPr>
            </w:pPr>
            <w:r>
              <w:rPr>
                <w:rFonts w:hint="eastAsia" w:ascii="宋体" w:cs="新宋体"/>
                <w:bCs/>
                <w:sz w:val="22"/>
                <w:szCs w:val="22"/>
                <w:highlight w:val="none"/>
              </w:rPr>
              <w:t>6</w:t>
            </w:r>
          </w:p>
        </w:tc>
        <w:tc>
          <w:tcPr>
            <w:tcW w:w="7514" w:type="dxa"/>
            <w:vAlign w:val="center"/>
          </w:tcPr>
          <w:p w14:paraId="5773A864">
            <w:pPr>
              <w:rPr>
                <w:rFonts w:ascii="宋体" w:cs="新宋体"/>
                <w:bCs/>
                <w:sz w:val="22"/>
                <w:szCs w:val="22"/>
                <w:highlight w:val="none"/>
              </w:rPr>
            </w:pPr>
            <w:r>
              <w:rPr>
                <w:rFonts w:hint="eastAsia" w:ascii="宋体" w:cs="新宋体"/>
                <w:bCs/>
                <w:sz w:val="22"/>
                <w:szCs w:val="22"/>
                <w:highlight w:val="none"/>
              </w:rPr>
              <w:t>投标人“信用中国”</w:t>
            </w:r>
            <w:r>
              <w:rPr>
                <w:rFonts w:ascii="宋体" w:cs="新宋体"/>
                <w:bCs/>
                <w:sz w:val="22"/>
                <w:szCs w:val="22"/>
                <w:highlight w:val="none"/>
              </w:rPr>
              <w:t>(www.creditchina.gov.cn)</w:t>
            </w:r>
            <w:r>
              <w:rPr>
                <w:rFonts w:hint="eastAsia" w:ascii="宋体" w:cs="新宋体"/>
                <w:bCs/>
                <w:sz w:val="22"/>
                <w:szCs w:val="22"/>
                <w:highlight w:val="none"/>
              </w:rPr>
              <w:t>；“中国政府采购网”（</w:t>
            </w:r>
            <w:r>
              <w:rPr>
                <w:rFonts w:ascii="宋体" w:cs="新宋体"/>
                <w:bCs/>
                <w:sz w:val="22"/>
                <w:szCs w:val="22"/>
                <w:highlight w:val="none"/>
              </w:rPr>
              <w:t>http://www.ccgp.gov.cn/</w:t>
            </w:r>
            <w:r>
              <w:rPr>
                <w:rFonts w:hint="eastAsia" w:ascii="宋体" w:cs="新宋体"/>
                <w:bCs/>
                <w:sz w:val="22"/>
                <w:szCs w:val="22"/>
                <w:highlight w:val="none"/>
              </w:rPr>
              <w:t>）信用记录网页截图（采购公告发布之日至投标截止时间前）；</w:t>
            </w:r>
          </w:p>
        </w:tc>
        <w:tc>
          <w:tcPr>
            <w:tcW w:w="1523" w:type="dxa"/>
            <w:vAlign w:val="center"/>
          </w:tcPr>
          <w:p w14:paraId="2C8CCC57">
            <w:pPr>
              <w:spacing w:line="400" w:lineRule="exact"/>
              <w:jc w:val="center"/>
              <w:rPr>
                <w:rFonts w:ascii="宋体"/>
                <w:sz w:val="22"/>
                <w:szCs w:val="22"/>
                <w:highlight w:val="none"/>
              </w:rPr>
            </w:pPr>
          </w:p>
        </w:tc>
      </w:tr>
      <w:tr w14:paraId="3B33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9D19AEC">
            <w:pPr>
              <w:overflowPunct w:val="0"/>
              <w:spacing w:line="430" w:lineRule="exact"/>
              <w:jc w:val="center"/>
              <w:rPr>
                <w:rFonts w:ascii="宋体" w:cs="新宋体"/>
                <w:bCs/>
                <w:sz w:val="22"/>
                <w:szCs w:val="22"/>
                <w:highlight w:val="none"/>
              </w:rPr>
            </w:pPr>
            <w:r>
              <w:rPr>
                <w:rFonts w:hint="eastAsia" w:ascii="宋体" w:cs="新宋体"/>
                <w:bCs/>
                <w:sz w:val="22"/>
                <w:szCs w:val="22"/>
                <w:highlight w:val="none"/>
              </w:rPr>
              <w:t>7</w:t>
            </w:r>
          </w:p>
        </w:tc>
        <w:tc>
          <w:tcPr>
            <w:tcW w:w="7514" w:type="dxa"/>
            <w:vAlign w:val="center"/>
          </w:tcPr>
          <w:p w14:paraId="46E0967E">
            <w:pPr>
              <w:rPr>
                <w:rFonts w:hint="eastAsia" w:ascii="宋体" w:hAnsi="Times New Roman" w:cs="新宋体"/>
                <w:bCs/>
                <w:sz w:val="22"/>
                <w:szCs w:val="22"/>
                <w:highlight w:val="none"/>
              </w:rPr>
            </w:pPr>
            <w:r>
              <w:rPr>
                <w:rFonts w:hint="eastAsia" w:ascii="宋体" w:hAnsi="Times New Roman" w:cs="新宋体"/>
                <w:bCs/>
                <w:sz w:val="22"/>
                <w:szCs w:val="22"/>
                <w:highlight w:val="none"/>
              </w:rPr>
              <w:t>本项目的特定资格要求</w:t>
            </w:r>
            <w:r>
              <w:rPr>
                <w:rFonts w:hint="eastAsia" w:ascii="宋体" w:hAnsi="Times New Roman" w:cs="新宋体"/>
                <w:bCs/>
                <w:sz w:val="22"/>
                <w:szCs w:val="22"/>
                <w:highlight w:val="none"/>
                <w:lang w:eastAsia="zh-CN"/>
              </w:rPr>
              <w:t>：</w:t>
            </w:r>
            <w:r>
              <w:rPr>
                <w:rFonts w:hint="eastAsia" w:ascii="宋体" w:cs="新宋体"/>
                <w:bCs/>
                <w:sz w:val="22"/>
                <w:szCs w:val="22"/>
                <w:highlight w:val="none"/>
                <w:lang w:val="en-US" w:eastAsia="zh-CN"/>
              </w:rPr>
              <w:t>无</w:t>
            </w:r>
          </w:p>
        </w:tc>
        <w:tc>
          <w:tcPr>
            <w:tcW w:w="1523" w:type="dxa"/>
            <w:vAlign w:val="center"/>
          </w:tcPr>
          <w:p w14:paraId="7821C742">
            <w:pPr>
              <w:jc w:val="center"/>
              <w:rPr>
                <w:rFonts w:ascii="宋体" w:cs="新宋体"/>
                <w:bCs/>
                <w:sz w:val="22"/>
                <w:szCs w:val="22"/>
                <w:highlight w:val="none"/>
              </w:rPr>
            </w:pPr>
          </w:p>
        </w:tc>
      </w:tr>
      <w:tr w14:paraId="5753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97BE1D8">
            <w:pPr>
              <w:overflowPunct w:val="0"/>
              <w:spacing w:line="430" w:lineRule="exact"/>
              <w:jc w:val="center"/>
              <w:rPr>
                <w:rFonts w:hint="eastAsia" w:ascii="宋体" w:eastAsia="宋体" w:cs="新宋体"/>
                <w:bCs/>
                <w:sz w:val="22"/>
                <w:szCs w:val="22"/>
                <w:highlight w:val="none"/>
                <w:lang w:val="en-US" w:eastAsia="zh-CN"/>
              </w:rPr>
            </w:pPr>
            <w:r>
              <w:rPr>
                <w:rFonts w:hint="eastAsia" w:ascii="宋体" w:cs="新宋体"/>
                <w:bCs/>
                <w:sz w:val="22"/>
                <w:szCs w:val="22"/>
                <w:highlight w:val="none"/>
                <w:lang w:val="en-US" w:eastAsia="zh-CN"/>
              </w:rPr>
              <w:t>8</w:t>
            </w:r>
          </w:p>
        </w:tc>
        <w:tc>
          <w:tcPr>
            <w:tcW w:w="7514" w:type="dxa"/>
            <w:vAlign w:val="center"/>
          </w:tcPr>
          <w:p w14:paraId="6EB11C87">
            <w:pPr>
              <w:rPr>
                <w:rFonts w:hint="eastAsia" w:ascii="宋体" w:hAnsi="Times New Roman" w:cs="新宋体"/>
                <w:bCs/>
                <w:sz w:val="22"/>
                <w:szCs w:val="22"/>
                <w:highlight w:val="none"/>
              </w:rPr>
            </w:pPr>
            <w:r>
              <w:rPr>
                <w:rFonts w:hint="eastAsia" w:ascii="宋体" w:hAnsi="Times New Roman" w:cs="新宋体"/>
                <w:bCs/>
                <w:sz w:val="22"/>
                <w:szCs w:val="22"/>
                <w:highlight w:val="none"/>
              </w:rPr>
              <w:t>投标人认为其他需要提交的资料</w:t>
            </w:r>
          </w:p>
        </w:tc>
        <w:tc>
          <w:tcPr>
            <w:tcW w:w="1523" w:type="dxa"/>
            <w:vAlign w:val="center"/>
          </w:tcPr>
          <w:p w14:paraId="26452ECC">
            <w:pPr>
              <w:jc w:val="center"/>
              <w:rPr>
                <w:rFonts w:ascii="宋体" w:cs="新宋体"/>
                <w:bCs/>
                <w:sz w:val="22"/>
                <w:szCs w:val="22"/>
                <w:highlight w:val="none"/>
              </w:rPr>
            </w:pPr>
          </w:p>
        </w:tc>
      </w:tr>
    </w:tbl>
    <w:p w14:paraId="48FFE01D">
      <w:pPr>
        <w:spacing w:line="430" w:lineRule="exact"/>
        <w:ind w:left="-9" w:leftChars="0" w:firstLine="429" w:firstLineChars="0"/>
        <w:rPr>
          <w:rFonts w:ascii="宋体" w:cs="楷体"/>
          <w:b/>
          <w:sz w:val="22"/>
          <w:szCs w:val="22"/>
          <w:highlight w:val="none"/>
        </w:rPr>
      </w:pPr>
      <w:r>
        <w:rPr>
          <w:rFonts w:hint="eastAsia" w:ascii="宋体" w:hAnsi="宋体" w:cs="楷体"/>
          <w:b/>
          <w:sz w:val="22"/>
          <w:szCs w:val="22"/>
          <w:highlight w:val="none"/>
        </w:rPr>
        <w:t>备注：</w:t>
      </w:r>
      <w:r>
        <w:rPr>
          <w:rFonts w:hint="eastAsia" w:ascii="宋体" w:hAnsi="宋体" w:cs="新宋体"/>
          <w:sz w:val="22"/>
          <w:szCs w:val="22"/>
          <w:highlight w:val="none"/>
        </w:rPr>
        <w:t>金融、保险、通讯等特定行业的全国性企业所设立的区域性分支机构，以及个体工商户、个人独资企业、合伙企业，如果已经依法办理了工商、税务和社保登记手续，并且获得</w:t>
      </w:r>
      <w:r>
        <w:rPr>
          <w:rFonts w:hint="eastAsia" w:ascii="宋体" w:hAnsi="宋体" w:cs="新宋体"/>
          <w:b/>
          <w:bCs/>
          <w:sz w:val="22"/>
          <w:szCs w:val="22"/>
          <w:highlight w:val="none"/>
        </w:rPr>
        <w:t>总公司（总机构）授权或能够提供房产权证或其他有效财产证明材料（在投标文件中提供相关材料）</w:t>
      </w:r>
      <w:r>
        <w:rPr>
          <w:rFonts w:hint="eastAsia" w:ascii="宋体" w:hAnsi="宋体" w:cs="新宋体"/>
          <w:sz w:val="22"/>
          <w:szCs w:val="22"/>
          <w:highlight w:val="none"/>
        </w:rPr>
        <w:t>，证明其具备实际承担责任的能力和法定的缔结合同能力，可以独立参加政府采购活动，由单位负责人签署相关文件材料；</w:t>
      </w:r>
    </w:p>
    <w:p w14:paraId="7E90AB88">
      <w:pPr>
        <w:spacing w:line="430" w:lineRule="exact"/>
        <w:ind w:left="187" w:leftChars="85" w:hanging="9" w:hangingChars="4"/>
        <w:rPr>
          <w:rFonts w:ascii="宋体" w:hAnsi="宋体" w:cs="hakuyoxingshu7000"/>
          <w:b/>
          <w:sz w:val="22"/>
          <w:szCs w:val="22"/>
          <w:highlight w:val="none"/>
        </w:rPr>
      </w:pPr>
      <w:r>
        <w:rPr>
          <w:rFonts w:hint="eastAsia" w:ascii="宋体" w:hAnsi="宋体" w:cs="hakuyoxingshu7000"/>
          <w:b/>
          <w:sz w:val="22"/>
          <w:szCs w:val="22"/>
          <w:highlight w:val="none"/>
        </w:rPr>
        <w:t>（2）报价文件</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4E57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194A85E">
            <w:pPr>
              <w:spacing w:line="430" w:lineRule="exact"/>
              <w:jc w:val="center"/>
              <w:rPr>
                <w:rFonts w:ascii="宋体" w:cs="hakuyoxingshu7000"/>
                <w:kern w:val="0"/>
                <w:sz w:val="22"/>
                <w:szCs w:val="22"/>
                <w:highlight w:val="none"/>
              </w:rPr>
            </w:pPr>
            <w:r>
              <w:rPr>
                <w:rFonts w:hint="eastAsia" w:ascii="宋体" w:hAnsi="宋体" w:cs="hakuyoxingshu7000"/>
                <w:kern w:val="0"/>
                <w:sz w:val="22"/>
                <w:szCs w:val="22"/>
                <w:highlight w:val="none"/>
              </w:rPr>
              <w:t>序号</w:t>
            </w:r>
          </w:p>
        </w:tc>
        <w:tc>
          <w:tcPr>
            <w:tcW w:w="7513" w:type="dxa"/>
            <w:vAlign w:val="center"/>
          </w:tcPr>
          <w:p w14:paraId="5889EC1E">
            <w:pPr>
              <w:spacing w:line="430" w:lineRule="exact"/>
              <w:rPr>
                <w:rFonts w:ascii="宋体" w:cs="hakuyoxingshu7000"/>
                <w:kern w:val="0"/>
                <w:sz w:val="22"/>
                <w:szCs w:val="22"/>
                <w:highlight w:val="none"/>
              </w:rPr>
            </w:pPr>
            <w:r>
              <w:rPr>
                <w:rFonts w:hint="eastAsia" w:ascii="宋体" w:hAnsi="宋体" w:cs="hakuyoxingshu7000"/>
                <w:kern w:val="0"/>
                <w:sz w:val="22"/>
                <w:szCs w:val="22"/>
                <w:highlight w:val="none"/>
              </w:rPr>
              <w:t>内容</w:t>
            </w:r>
          </w:p>
        </w:tc>
        <w:tc>
          <w:tcPr>
            <w:tcW w:w="1524" w:type="dxa"/>
            <w:vAlign w:val="center"/>
          </w:tcPr>
          <w:p w14:paraId="26D783E8">
            <w:pPr>
              <w:spacing w:line="430" w:lineRule="exact"/>
              <w:jc w:val="center"/>
              <w:rPr>
                <w:rFonts w:ascii="宋体" w:cs="hakuyoxingshu7000"/>
                <w:kern w:val="0"/>
                <w:sz w:val="22"/>
                <w:szCs w:val="22"/>
                <w:highlight w:val="none"/>
              </w:rPr>
            </w:pPr>
            <w:r>
              <w:rPr>
                <w:rFonts w:hint="eastAsia" w:ascii="宋体" w:hAnsi="宋体" w:cs="hakuyoxingshu7000"/>
                <w:kern w:val="0"/>
                <w:sz w:val="22"/>
                <w:szCs w:val="22"/>
                <w:highlight w:val="none"/>
              </w:rPr>
              <w:t>备注</w:t>
            </w:r>
          </w:p>
        </w:tc>
      </w:tr>
      <w:tr w14:paraId="2385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B700438">
            <w:pPr>
              <w:spacing w:line="430" w:lineRule="exact"/>
              <w:jc w:val="center"/>
              <w:rPr>
                <w:rFonts w:ascii="宋体" w:cs="hakuyoxingshu7000"/>
                <w:kern w:val="0"/>
                <w:sz w:val="22"/>
                <w:szCs w:val="22"/>
                <w:highlight w:val="none"/>
              </w:rPr>
            </w:pPr>
            <w:r>
              <w:rPr>
                <w:rFonts w:ascii="宋体" w:hAnsi="宋体" w:cs="hakuyoxingshu7000"/>
                <w:kern w:val="0"/>
                <w:sz w:val="22"/>
                <w:szCs w:val="22"/>
                <w:highlight w:val="none"/>
              </w:rPr>
              <w:t>1)</w:t>
            </w:r>
          </w:p>
        </w:tc>
        <w:tc>
          <w:tcPr>
            <w:tcW w:w="7513" w:type="dxa"/>
            <w:vAlign w:val="center"/>
          </w:tcPr>
          <w:p w14:paraId="643B2DFB">
            <w:pPr>
              <w:spacing w:line="430" w:lineRule="exact"/>
              <w:rPr>
                <w:rFonts w:hint="eastAsia" w:ascii="宋体" w:hAnsi="宋体" w:eastAsia="宋体" w:cs="hakuyoxingshu7000"/>
                <w:kern w:val="0"/>
                <w:sz w:val="22"/>
                <w:szCs w:val="22"/>
                <w:highlight w:val="none"/>
              </w:rPr>
            </w:pPr>
            <w:r>
              <w:rPr>
                <w:rFonts w:hint="eastAsia" w:ascii="宋体" w:hAnsi="宋体" w:eastAsia="宋体" w:cs="hakuyoxingshu7000"/>
                <w:kern w:val="0"/>
                <w:sz w:val="22"/>
                <w:szCs w:val="22"/>
                <w:highlight w:val="none"/>
              </w:rPr>
              <w:t>开标一览表</w:t>
            </w:r>
          </w:p>
        </w:tc>
        <w:tc>
          <w:tcPr>
            <w:tcW w:w="1524" w:type="dxa"/>
            <w:vAlign w:val="center"/>
          </w:tcPr>
          <w:p w14:paraId="3EDC5AA9">
            <w:pPr>
              <w:spacing w:line="430" w:lineRule="exact"/>
              <w:jc w:val="center"/>
              <w:rPr>
                <w:rFonts w:ascii="宋体" w:cs="hakuyoxingshu7000"/>
                <w:kern w:val="0"/>
                <w:sz w:val="22"/>
                <w:szCs w:val="22"/>
                <w:highlight w:val="none"/>
              </w:rPr>
            </w:pPr>
            <w:r>
              <w:rPr>
                <w:rFonts w:hint="eastAsia" w:ascii="宋体" w:hAnsi="宋体" w:cs="hakuyoxingshu7000"/>
                <w:kern w:val="0"/>
                <w:sz w:val="22"/>
                <w:szCs w:val="22"/>
                <w:highlight w:val="none"/>
              </w:rPr>
              <w:t>附件二</w:t>
            </w:r>
          </w:p>
        </w:tc>
      </w:tr>
      <w:tr w14:paraId="24BD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CA09D38">
            <w:pPr>
              <w:spacing w:line="430" w:lineRule="exact"/>
              <w:jc w:val="center"/>
              <w:rPr>
                <w:rFonts w:hint="eastAsia" w:ascii="宋体" w:hAnsi="宋体" w:eastAsia="宋体" w:cs="hakuyoxingshu7000"/>
                <w:kern w:val="0"/>
                <w:sz w:val="22"/>
                <w:szCs w:val="22"/>
                <w:highlight w:val="none"/>
                <w:lang w:val="en-US" w:eastAsia="zh-CN"/>
              </w:rPr>
            </w:pPr>
            <w:r>
              <w:rPr>
                <w:rFonts w:hint="eastAsia" w:ascii="宋体" w:hAnsi="宋体" w:cs="hakuyoxingshu7000"/>
                <w:kern w:val="0"/>
                <w:sz w:val="22"/>
                <w:szCs w:val="22"/>
                <w:highlight w:val="none"/>
                <w:lang w:val="en-US" w:eastAsia="zh-CN"/>
              </w:rPr>
              <w:t>2）</w:t>
            </w:r>
          </w:p>
        </w:tc>
        <w:tc>
          <w:tcPr>
            <w:tcW w:w="7513" w:type="dxa"/>
            <w:vAlign w:val="center"/>
          </w:tcPr>
          <w:p w14:paraId="77BBB3F9">
            <w:pPr>
              <w:spacing w:line="430" w:lineRule="exact"/>
              <w:rPr>
                <w:rFonts w:hint="eastAsia" w:ascii="宋体" w:hAnsi="宋体" w:eastAsia="宋体" w:cs="hakuyoxingshu7000"/>
                <w:kern w:val="0"/>
                <w:sz w:val="22"/>
                <w:szCs w:val="22"/>
                <w:highlight w:val="none"/>
              </w:rPr>
            </w:pPr>
            <w:r>
              <w:rPr>
                <w:rFonts w:hint="eastAsia" w:ascii="宋体" w:hAnsi="宋体" w:eastAsia="宋体" w:cs="hakuyoxingshu7000"/>
                <w:kern w:val="0"/>
                <w:sz w:val="22"/>
                <w:szCs w:val="22"/>
                <w:highlight w:val="none"/>
              </w:rPr>
              <w:t>分项报价表</w:t>
            </w:r>
          </w:p>
        </w:tc>
        <w:tc>
          <w:tcPr>
            <w:tcW w:w="1524" w:type="dxa"/>
            <w:vAlign w:val="center"/>
          </w:tcPr>
          <w:p w14:paraId="12D348B5">
            <w:pPr>
              <w:spacing w:line="430" w:lineRule="exact"/>
              <w:jc w:val="center"/>
              <w:rPr>
                <w:rFonts w:hint="eastAsia" w:ascii="宋体" w:hAnsi="宋体" w:cs="hakuyoxingshu7000"/>
                <w:kern w:val="0"/>
                <w:sz w:val="22"/>
                <w:szCs w:val="22"/>
                <w:highlight w:val="none"/>
              </w:rPr>
            </w:pPr>
          </w:p>
        </w:tc>
      </w:tr>
    </w:tbl>
    <w:p w14:paraId="6D30C1DA">
      <w:pPr>
        <w:spacing w:line="430" w:lineRule="exact"/>
        <w:ind w:left="187" w:leftChars="85" w:hanging="9" w:hangingChars="4"/>
        <w:rPr>
          <w:rFonts w:ascii="宋体" w:cs="hakuyoxingshu7000"/>
          <w:b/>
          <w:sz w:val="22"/>
          <w:szCs w:val="22"/>
          <w:highlight w:val="none"/>
        </w:rPr>
      </w:pPr>
      <w:r>
        <w:rPr>
          <w:rFonts w:hint="eastAsia" w:ascii="宋体" w:hAnsi="宋体" w:cs="hakuyoxingshu7000"/>
          <w:b/>
          <w:kern w:val="0"/>
          <w:sz w:val="22"/>
          <w:szCs w:val="22"/>
          <w:highlight w:val="none"/>
        </w:rPr>
        <w:t>（</w:t>
      </w:r>
      <w:r>
        <w:rPr>
          <w:rFonts w:ascii="宋体" w:hAnsi="宋体" w:cs="hakuyoxingshu7000"/>
          <w:b/>
          <w:kern w:val="0"/>
          <w:sz w:val="22"/>
          <w:szCs w:val="22"/>
          <w:highlight w:val="none"/>
        </w:rPr>
        <w:t>3</w:t>
      </w:r>
      <w:r>
        <w:rPr>
          <w:rFonts w:hint="eastAsia" w:ascii="宋体" w:hAnsi="宋体" w:cs="hakuyoxingshu7000"/>
          <w:b/>
          <w:kern w:val="0"/>
          <w:sz w:val="22"/>
          <w:szCs w:val="22"/>
          <w:highlight w:val="none"/>
        </w:rPr>
        <w:t>）</w:t>
      </w:r>
      <w:r>
        <w:rPr>
          <w:rFonts w:hint="eastAsia" w:ascii="宋体" w:hAnsi="宋体" w:cs="hakuyoxingshu7000"/>
          <w:b/>
          <w:sz w:val="22"/>
          <w:szCs w:val="22"/>
          <w:highlight w:val="none"/>
        </w:rPr>
        <w:t>商务技术文件</w:t>
      </w:r>
    </w:p>
    <w:tbl>
      <w:tblPr>
        <w:tblStyle w:val="6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20BB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C8BC0AF">
            <w:pPr>
              <w:spacing w:line="430" w:lineRule="exact"/>
              <w:jc w:val="center"/>
              <w:rPr>
                <w:rFonts w:ascii="宋体" w:cs="仿宋"/>
                <w:b/>
                <w:sz w:val="22"/>
                <w:szCs w:val="22"/>
                <w:highlight w:val="none"/>
              </w:rPr>
            </w:pPr>
            <w:r>
              <w:rPr>
                <w:rFonts w:hint="eastAsia" w:ascii="宋体" w:hAnsi="宋体" w:cs="仿宋"/>
                <w:b/>
                <w:sz w:val="22"/>
                <w:szCs w:val="22"/>
                <w:highlight w:val="none"/>
              </w:rPr>
              <w:t>序号</w:t>
            </w:r>
          </w:p>
        </w:tc>
        <w:tc>
          <w:tcPr>
            <w:tcW w:w="7513" w:type="dxa"/>
            <w:vAlign w:val="center"/>
          </w:tcPr>
          <w:p w14:paraId="4B900A06">
            <w:pPr>
              <w:spacing w:line="430" w:lineRule="exact"/>
              <w:rPr>
                <w:rFonts w:ascii="宋体" w:cs="仿宋"/>
                <w:b/>
                <w:sz w:val="22"/>
                <w:szCs w:val="22"/>
                <w:highlight w:val="none"/>
              </w:rPr>
            </w:pPr>
            <w:r>
              <w:rPr>
                <w:rFonts w:hint="eastAsia" w:ascii="宋体" w:hAnsi="宋体" w:cs="仿宋"/>
                <w:b/>
                <w:sz w:val="22"/>
                <w:szCs w:val="22"/>
                <w:highlight w:val="none"/>
              </w:rPr>
              <w:t>内容</w:t>
            </w:r>
          </w:p>
        </w:tc>
        <w:tc>
          <w:tcPr>
            <w:tcW w:w="1524" w:type="dxa"/>
            <w:vAlign w:val="center"/>
          </w:tcPr>
          <w:p w14:paraId="6F8FFF3A">
            <w:pPr>
              <w:spacing w:line="430" w:lineRule="exact"/>
              <w:jc w:val="center"/>
              <w:rPr>
                <w:rFonts w:ascii="宋体" w:cs="仿宋"/>
                <w:b/>
                <w:sz w:val="22"/>
                <w:szCs w:val="22"/>
                <w:highlight w:val="none"/>
              </w:rPr>
            </w:pPr>
            <w:r>
              <w:rPr>
                <w:rFonts w:hint="eastAsia" w:ascii="宋体" w:hAnsi="宋体" w:cs="仿宋"/>
                <w:b/>
                <w:sz w:val="22"/>
                <w:szCs w:val="22"/>
                <w:highlight w:val="none"/>
              </w:rPr>
              <w:t>备注</w:t>
            </w:r>
          </w:p>
        </w:tc>
      </w:tr>
      <w:tr w14:paraId="09BF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E590894">
            <w:pPr>
              <w:spacing w:line="430" w:lineRule="exact"/>
              <w:jc w:val="center"/>
              <w:rPr>
                <w:rFonts w:ascii="宋体" w:eastAsia="宋体" w:cs="仿宋"/>
                <w:sz w:val="22"/>
                <w:szCs w:val="22"/>
                <w:highlight w:val="none"/>
              </w:rPr>
            </w:pPr>
            <w:r>
              <w:rPr>
                <w:rFonts w:ascii="宋体" w:eastAsia="宋体" w:cs="仿宋"/>
                <w:sz w:val="22"/>
                <w:szCs w:val="22"/>
                <w:highlight w:val="none"/>
              </w:rPr>
              <w:t>1</w:t>
            </w:r>
            <w:r>
              <w:rPr>
                <w:rFonts w:hint="eastAsia" w:ascii="宋体" w:eastAsia="宋体" w:cs="仿宋"/>
                <w:sz w:val="22"/>
                <w:szCs w:val="22"/>
                <w:highlight w:val="none"/>
              </w:rPr>
              <w:t>）</w:t>
            </w:r>
          </w:p>
        </w:tc>
        <w:tc>
          <w:tcPr>
            <w:tcW w:w="7513" w:type="dxa"/>
            <w:vAlign w:val="center"/>
          </w:tcPr>
          <w:p w14:paraId="036561CF">
            <w:pPr>
              <w:spacing w:line="430" w:lineRule="exact"/>
              <w:rPr>
                <w:rFonts w:ascii="宋体" w:cs="仿宋"/>
                <w:sz w:val="22"/>
                <w:szCs w:val="22"/>
                <w:highlight w:val="none"/>
              </w:rPr>
            </w:pPr>
            <w:r>
              <w:rPr>
                <w:rFonts w:hint="eastAsia" w:ascii="宋体" w:hAnsi="宋体" w:cs="仿宋"/>
                <w:sz w:val="22"/>
                <w:szCs w:val="22"/>
                <w:highlight w:val="none"/>
              </w:rPr>
              <w:t>投标函</w:t>
            </w:r>
          </w:p>
        </w:tc>
        <w:tc>
          <w:tcPr>
            <w:tcW w:w="1524" w:type="dxa"/>
            <w:vAlign w:val="center"/>
          </w:tcPr>
          <w:p w14:paraId="356D82B2">
            <w:pPr>
              <w:spacing w:line="430" w:lineRule="exact"/>
              <w:jc w:val="center"/>
              <w:rPr>
                <w:rFonts w:ascii="宋体" w:cs="hakuyoxingshu7000"/>
                <w:kern w:val="0"/>
                <w:sz w:val="22"/>
                <w:szCs w:val="22"/>
                <w:highlight w:val="none"/>
              </w:rPr>
            </w:pPr>
            <w:r>
              <w:rPr>
                <w:rFonts w:hint="eastAsia" w:ascii="宋体" w:hAnsi="宋体" w:cs="hakuyoxingshu7000"/>
                <w:kern w:val="0"/>
                <w:sz w:val="22"/>
                <w:szCs w:val="22"/>
                <w:highlight w:val="none"/>
              </w:rPr>
              <w:t>附件三</w:t>
            </w:r>
          </w:p>
        </w:tc>
      </w:tr>
      <w:tr w14:paraId="6929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BA6E596">
            <w:pPr>
              <w:spacing w:line="430" w:lineRule="exact"/>
              <w:jc w:val="center"/>
              <w:rPr>
                <w:rFonts w:ascii="宋体" w:eastAsia="宋体" w:cs="仿宋"/>
                <w:sz w:val="22"/>
                <w:szCs w:val="22"/>
                <w:highlight w:val="none"/>
              </w:rPr>
            </w:pPr>
            <w:r>
              <w:rPr>
                <w:rFonts w:ascii="宋体" w:eastAsia="宋体" w:cs="仿宋"/>
                <w:sz w:val="22"/>
                <w:szCs w:val="22"/>
                <w:highlight w:val="none"/>
              </w:rPr>
              <w:t>2</w:t>
            </w:r>
            <w:r>
              <w:rPr>
                <w:rFonts w:hint="eastAsia" w:ascii="宋体" w:eastAsia="宋体" w:cs="仿宋"/>
                <w:sz w:val="22"/>
                <w:szCs w:val="22"/>
                <w:highlight w:val="none"/>
              </w:rPr>
              <w:t>）</w:t>
            </w:r>
          </w:p>
        </w:tc>
        <w:tc>
          <w:tcPr>
            <w:tcW w:w="7513" w:type="dxa"/>
            <w:vAlign w:val="center"/>
          </w:tcPr>
          <w:p w14:paraId="395D65C6">
            <w:pPr>
              <w:spacing w:line="430" w:lineRule="exact"/>
              <w:rPr>
                <w:rFonts w:ascii="宋体" w:cs="仿宋"/>
                <w:sz w:val="22"/>
                <w:szCs w:val="22"/>
                <w:highlight w:val="none"/>
              </w:rPr>
            </w:pPr>
            <w:r>
              <w:rPr>
                <w:rFonts w:hint="eastAsia" w:ascii="宋体" w:hAnsi="宋体" w:cs="仿宋"/>
                <w:sz w:val="22"/>
                <w:szCs w:val="22"/>
                <w:highlight w:val="none"/>
              </w:rPr>
              <w:t>技术规格、商务条款偏离表</w:t>
            </w:r>
          </w:p>
        </w:tc>
        <w:tc>
          <w:tcPr>
            <w:tcW w:w="1524" w:type="dxa"/>
            <w:vAlign w:val="center"/>
          </w:tcPr>
          <w:p w14:paraId="2B1AF542">
            <w:pPr>
              <w:spacing w:line="430" w:lineRule="exact"/>
              <w:jc w:val="center"/>
              <w:rPr>
                <w:rFonts w:ascii="宋体" w:cs="仿宋"/>
                <w:sz w:val="22"/>
                <w:szCs w:val="22"/>
                <w:highlight w:val="none"/>
              </w:rPr>
            </w:pPr>
            <w:r>
              <w:rPr>
                <w:rFonts w:hint="eastAsia" w:ascii="宋体" w:hAnsi="宋体" w:cs="仿宋"/>
                <w:sz w:val="22"/>
                <w:szCs w:val="22"/>
                <w:highlight w:val="none"/>
              </w:rPr>
              <w:t>附件四</w:t>
            </w:r>
          </w:p>
        </w:tc>
      </w:tr>
      <w:tr w14:paraId="7E8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1301F5C">
            <w:pPr>
              <w:spacing w:line="430" w:lineRule="exact"/>
              <w:jc w:val="center"/>
              <w:rPr>
                <w:rFonts w:ascii="宋体" w:eastAsia="宋体" w:cs="仿宋"/>
                <w:sz w:val="22"/>
                <w:szCs w:val="22"/>
                <w:highlight w:val="none"/>
              </w:rPr>
            </w:pPr>
            <w:r>
              <w:rPr>
                <w:rFonts w:ascii="宋体" w:eastAsia="宋体" w:cs="仿宋"/>
                <w:sz w:val="22"/>
                <w:szCs w:val="22"/>
                <w:highlight w:val="none"/>
              </w:rPr>
              <w:t>3</w:t>
            </w:r>
            <w:r>
              <w:rPr>
                <w:rFonts w:hint="eastAsia" w:ascii="宋体" w:eastAsia="宋体" w:cs="仿宋"/>
                <w:sz w:val="22"/>
                <w:szCs w:val="22"/>
                <w:highlight w:val="none"/>
              </w:rPr>
              <w:t>）</w:t>
            </w:r>
          </w:p>
        </w:tc>
        <w:tc>
          <w:tcPr>
            <w:tcW w:w="7513" w:type="dxa"/>
            <w:vAlign w:val="center"/>
          </w:tcPr>
          <w:p w14:paraId="033B0D35">
            <w:pPr>
              <w:spacing w:line="430" w:lineRule="exact"/>
              <w:rPr>
                <w:rFonts w:ascii="宋体" w:hAnsi="宋体" w:cs="仿宋"/>
                <w:sz w:val="22"/>
                <w:szCs w:val="22"/>
                <w:highlight w:val="none"/>
              </w:rPr>
            </w:pPr>
            <w:r>
              <w:rPr>
                <w:rFonts w:hint="eastAsia" w:ascii="宋体" w:hAnsi="宋体" w:cs="新宋体"/>
                <w:b/>
                <w:bCs/>
                <w:sz w:val="22"/>
                <w:szCs w:val="22"/>
                <w:highlight w:val="none"/>
              </w:rPr>
              <w:t>投标技术方案（按“评标细则”相关评分内容逐项编制，格式自拟）</w:t>
            </w:r>
          </w:p>
        </w:tc>
        <w:tc>
          <w:tcPr>
            <w:tcW w:w="1524" w:type="dxa"/>
            <w:vAlign w:val="center"/>
          </w:tcPr>
          <w:p w14:paraId="4E065A93">
            <w:pPr>
              <w:spacing w:line="430" w:lineRule="exact"/>
              <w:jc w:val="center"/>
              <w:rPr>
                <w:rFonts w:ascii="宋体" w:cs="仿宋"/>
                <w:sz w:val="22"/>
                <w:szCs w:val="22"/>
                <w:highlight w:val="none"/>
              </w:rPr>
            </w:pPr>
          </w:p>
        </w:tc>
      </w:tr>
      <w:tr w14:paraId="62F5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1473A4F">
            <w:pPr>
              <w:spacing w:line="430" w:lineRule="exact"/>
              <w:jc w:val="center"/>
              <w:rPr>
                <w:rFonts w:ascii="宋体" w:eastAsia="宋体" w:cs="仿宋"/>
                <w:sz w:val="22"/>
                <w:szCs w:val="22"/>
                <w:highlight w:val="none"/>
              </w:rPr>
            </w:pPr>
            <w:r>
              <w:rPr>
                <w:rFonts w:ascii="宋体" w:eastAsia="宋体" w:cs="仿宋"/>
                <w:sz w:val="22"/>
                <w:szCs w:val="22"/>
                <w:highlight w:val="none"/>
              </w:rPr>
              <w:t>4</w:t>
            </w:r>
            <w:r>
              <w:rPr>
                <w:rFonts w:hint="eastAsia" w:ascii="宋体" w:eastAsia="宋体" w:cs="仿宋"/>
                <w:sz w:val="22"/>
                <w:szCs w:val="22"/>
                <w:highlight w:val="none"/>
              </w:rPr>
              <w:t>）</w:t>
            </w:r>
          </w:p>
        </w:tc>
        <w:tc>
          <w:tcPr>
            <w:tcW w:w="7513" w:type="dxa"/>
            <w:vAlign w:val="center"/>
          </w:tcPr>
          <w:p w14:paraId="1626011B">
            <w:pPr>
              <w:spacing w:line="430" w:lineRule="exact"/>
              <w:rPr>
                <w:rFonts w:ascii="宋体" w:hAnsi="宋体" w:cs="仿宋"/>
                <w:sz w:val="22"/>
                <w:szCs w:val="22"/>
                <w:highlight w:val="none"/>
              </w:rPr>
            </w:pPr>
            <w:r>
              <w:rPr>
                <w:rFonts w:hint="eastAsia" w:ascii="宋体" w:hAnsi="宋体" w:cs="仿宋"/>
                <w:sz w:val="22"/>
                <w:szCs w:val="22"/>
                <w:highlight w:val="none"/>
              </w:rPr>
              <w:t>结合招标文件评分细则投标人认为需要提供的其他技术资料</w:t>
            </w:r>
          </w:p>
        </w:tc>
        <w:tc>
          <w:tcPr>
            <w:tcW w:w="1524" w:type="dxa"/>
            <w:vAlign w:val="center"/>
          </w:tcPr>
          <w:p w14:paraId="48B80C67">
            <w:pPr>
              <w:spacing w:line="430" w:lineRule="exact"/>
              <w:jc w:val="center"/>
              <w:rPr>
                <w:rFonts w:ascii="宋体" w:cs="宋体"/>
                <w:sz w:val="22"/>
                <w:szCs w:val="22"/>
                <w:highlight w:val="none"/>
              </w:rPr>
            </w:pPr>
          </w:p>
        </w:tc>
      </w:tr>
    </w:tbl>
    <w:p w14:paraId="6FBC5A9D">
      <w:pPr>
        <w:spacing w:line="400" w:lineRule="exact"/>
        <w:rPr>
          <w:rFonts w:ascii="宋体" w:hAnsi="宋体" w:cs="宋体"/>
          <w:b/>
          <w:sz w:val="22"/>
          <w:szCs w:val="22"/>
          <w:highlight w:val="none"/>
        </w:rPr>
      </w:pPr>
      <w:r>
        <w:rPr>
          <w:rFonts w:hint="eastAsia" w:ascii="宋体" w:hAnsi="宋体" w:cs="宋体"/>
          <w:b/>
          <w:sz w:val="22"/>
          <w:szCs w:val="22"/>
          <w:highlight w:val="none"/>
        </w:rPr>
        <w:t>备注：</w:t>
      </w:r>
    </w:p>
    <w:p w14:paraId="783B7E3F">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①　</w:t>
      </w:r>
      <w:r>
        <w:rPr>
          <w:rFonts w:hint="eastAsia" w:ascii="宋体" w:hAnsi="宋体" w:cs="宋体"/>
          <w:sz w:val="22"/>
          <w:szCs w:val="22"/>
          <w:highlight w:val="none"/>
        </w:rPr>
        <w:t>投标人可根据招标文件中的采购内容及需求和商务技术文件评分细则，提供投标人认为需要提供的文件和资料。</w:t>
      </w:r>
    </w:p>
    <w:p w14:paraId="46180CA8">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②　</w:t>
      </w:r>
      <w:r>
        <w:rPr>
          <w:rFonts w:hint="eastAsia" w:ascii="宋体" w:hAnsi="宋体" w:cs="宋体"/>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7A944FE0">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③　</w:t>
      </w:r>
      <w:r>
        <w:rPr>
          <w:rFonts w:hint="eastAsia" w:ascii="宋体" w:hAnsi="宋体" w:cs="宋体"/>
          <w:sz w:val="22"/>
          <w:szCs w:val="22"/>
          <w:highlight w:val="none"/>
        </w:rPr>
        <w:t>以上所需的各种证书、证件、证明等若系复印件、扫描件，须加盖投标人有效的公章。</w:t>
      </w:r>
    </w:p>
    <w:p w14:paraId="6ED451F8">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④　</w:t>
      </w:r>
      <w:r>
        <w:rPr>
          <w:rFonts w:hint="eastAsia" w:ascii="宋体" w:hAnsi="宋体" w:cs="宋体"/>
          <w:sz w:val="22"/>
          <w:szCs w:val="22"/>
          <w:highlight w:val="none"/>
        </w:rPr>
        <w:t>相关证书、报告等如遇年检或换证等特殊情况须按要求提供相应的证明材料。</w:t>
      </w:r>
    </w:p>
    <w:p w14:paraId="41C472EF">
      <w:pPr>
        <w:numPr>
          <w:ilvl w:val="0"/>
          <w:numId w:val="7"/>
        </w:numPr>
        <w:tabs>
          <w:tab w:val="clear" w:pos="420"/>
        </w:tabs>
        <w:spacing w:line="460" w:lineRule="exact"/>
        <w:ind w:left="0" w:firstLine="420" w:firstLineChars="191"/>
        <w:rPr>
          <w:rFonts w:ascii="宋体" w:hAnsi="宋体"/>
          <w:bCs/>
          <w:sz w:val="22"/>
          <w:szCs w:val="22"/>
          <w:highlight w:val="none"/>
        </w:rPr>
      </w:pPr>
      <w:bookmarkStart w:id="93" w:name="_Toc262049418"/>
      <w:bookmarkStart w:id="94" w:name="_Toc241404202"/>
      <w:bookmarkStart w:id="95" w:name="_Toc221374626"/>
      <w:bookmarkStart w:id="96" w:name="_Toc245722281"/>
      <w:bookmarkStart w:id="97" w:name="_Toc221356887"/>
      <w:bookmarkStart w:id="98" w:name="_Toc221356951"/>
      <w:bookmarkStart w:id="99" w:name="_Toc222114879"/>
      <w:bookmarkStart w:id="100" w:name="_Toc249758712"/>
      <w:bookmarkStart w:id="101" w:name="_Toc246261265"/>
      <w:bookmarkStart w:id="102" w:name="_Toc249758864"/>
      <w:bookmarkStart w:id="103" w:name="_Toc221423619"/>
      <w:bookmarkStart w:id="104" w:name="_Toc239145354"/>
      <w:bookmarkStart w:id="105" w:name="_Toc262105503"/>
      <w:bookmarkStart w:id="106" w:name="_Toc245191314"/>
      <w:bookmarkStart w:id="107" w:name="_Toc223715998"/>
      <w:r>
        <w:rPr>
          <w:rFonts w:hint="eastAsia" w:ascii="宋体" w:hAnsi="宋体"/>
          <w:bCs/>
          <w:sz w:val="22"/>
          <w:szCs w:val="22"/>
          <w:highlight w:val="none"/>
        </w:rPr>
        <w:t>投标文件编制</w:t>
      </w:r>
    </w:p>
    <w:p w14:paraId="48D8F7BA">
      <w:pPr>
        <w:numPr>
          <w:ilvl w:val="1"/>
          <w:numId w:val="8"/>
        </w:numPr>
        <w:tabs>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本项目通过“政采云平台（www.zcygov.cn）”实行在线投标响应（电子投标）。投标人应通过“政采云电子交易客户端”，并按照本招标文件和“政采云平台”的要求编制并加密投标文件。</w:t>
      </w:r>
    </w:p>
    <w:p w14:paraId="5B3D55EE">
      <w:pPr>
        <w:numPr>
          <w:ilvl w:val="1"/>
          <w:numId w:val="8"/>
        </w:numPr>
        <w:tabs>
          <w:tab w:val="clear" w:pos="992"/>
        </w:tabs>
        <w:spacing w:line="460" w:lineRule="exact"/>
        <w:ind w:left="0" w:firstLine="422" w:firstLineChars="191"/>
        <w:rPr>
          <w:rFonts w:ascii="宋体" w:hAnsi="宋体"/>
          <w:bCs/>
          <w:sz w:val="22"/>
          <w:szCs w:val="22"/>
          <w:highlight w:val="none"/>
        </w:rPr>
      </w:pPr>
      <w:r>
        <w:rPr>
          <w:rFonts w:hint="eastAsia" w:ascii="宋体" w:hAnsi="宋体"/>
          <w:b/>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2157F2C7">
      <w:pPr>
        <w:numPr>
          <w:ilvl w:val="1"/>
          <w:numId w:val="8"/>
        </w:numPr>
        <w:tabs>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735F7B3F">
      <w:pPr>
        <w:numPr>
          <w:ilvl w:val="1"/>
          <w:numId w:val="8"/>
        </w:numPr>
        <w:tabs>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投标文件内容不完整、编排混乱导致投标文件被误读、漏读或者查找不到相关内容的，是投标人的责任。</w:t>
      </w:r>
    </w:p>
    <w:p w14:paraId="16654A80">
      <w:pPr>
        <w:numPr>
          <w:ilvl w:val="1"/>
          <w:numId w:val="8"/>
        </w:numPr>
        <w:tabs>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投标文件因字迹潦草或表达不清所引起的后果由投标人负责。</w:t>
      </w:r>
    </w:p>
    <w:p w14:paraId="3786DC04">
      <w:pPr>
        <w:numPr>
          <w:ilvl w:val="1"/>
          <w:numId w:val="8"/>
        </w:numPr>
        <w:tabs>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07B6AEF0">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投标文件的签章</w:t>
      </w:r>
    </w:p>
    <w:p w14:paraId="6EB10018">
      <w:pPr>
        <w:numPr>
          <w:ilvl w:val="1"/>
          <w:numId w:val="9"/>
        </w:numPr>
        <w:tabs>
          <w:tab w:val="left" w:pos="360"/>
          <w:tab w:val="clear" w:pos="992"/>
        </w:tabs>
        <w:spacing w:line="460" w:lineRule="exact"/>
        <w:ind w:left="0" w:firstLine="420" w:firstLineChars="191"/>
        <w:rPr>
          <w:rFonts w:ascii="宋体" w:hAnsi="宋体" w:cs="宋体"/>
          <w:kern w:val="0"/>
          <w:sz w:val="22"/>
          <w:szCs w:val="22"/>
          <w:highlight w:val="none"/>
          <w:lang w:val="zh-CN"/>
        </w:rPr>
      </w:pPr>
      <w:r>
        <w:rPr>
          <w:rFonts w:hint="eastAsia" w:ascii="宋体" w:hAnsi="宋体" w:cs="宋体"/>
          <w:kern w:val="0"/>
          <w:sz w:val="22"/>
          <w:szCs w:val="22"/>
          <w:highlight w:val="none"/>
          <w:lang w:val="zh-CN"/>
        </w:rPr>
        <w:t>单位公章：电子投标响应文件中所须加盖公章部分均采用CA电子签章，</w:t>
      </w:r>
      <w:r>
        <w:rPr>
          <w:rFonts w:hint="eastAsia" w:ascii="宋体" w:hAnsi="宋体" w:cs="宋体"/>
          <w:kern w:val="0"/>
          <w:sz w:val="22"/>
          <w:szCs w:val="22"/>
          <w:highlight w:val="none"/>
        </w:rPr>
        <w:t>如投标人以联合体形式参与投标的，由联合体牵头人进行</w:t>
      </w:r>
      <w:r>
        <w:rPr>
          <w:rFonts w:hint="eastAsia" w:ascii="宋体" w:hAnsi="宋体" w:cs="宋体"/>
          <w:kern w:val="0"/>
          <w:sz w:val="22"/>
          <w:szCs w:val="22"/>
          <w:highlight w:val="none"/>
          <w:lang w:val="zh-CN"/>
        </w:rPr>
        <w:t>CA</w:t>
      </w:r>
      <w:r>
        <w:rPr>
          <w:rFonts w:hint="eastAsia" w:ascii="宋体" w:hAnsi="宋体" w:cs="宋体"/>
          <w:kern w:val="0"/>
          <w:sz w:val="22"/>
          <w:szCs w:val="22"/>
          <w:highlight w:val="none"/>
        </w:rPr>
        <w:t>电子签章</w:t>
      </w:r>
      <w:r>
        <w:rPr>
          <w:rFonts w:hint="eastAsia" w:ascii="宋体" w:hAnsi="宋体" w:cs="宋体"/>
          <w:kern w:val="0"/>
          <w:sz w:val="22"/>
          <w:szCs w:val="22"/>
          <w:highlight w:val="none"/>
          <w:lang w:val="zh-CN"/>
        </w:rPr>
        <w:t>；</w:t>
      </w:r>
    </w:p>
    <w:p w14:paraId="37625029">
      <w:pPr>
        <w:numPr>
          <w:ilvl w:val="1"/>
          <w:numId w:val="9"/>
        </w:numPr>
        <w:tabs>
          <w:tab w:val="left" w:pos="360"/>
          <w:tab w:val="clear" w:pos="992"/>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如投标人已办理法人CA电子签章的，投标文件应由投标人法定代表人或其授权代表签章（电子签章），并同时加盖投标人公章（电子签章）；如投标人未办理法人CA电子签章的</w:t>
      </w:r>
      <w:r>
        <w:rPr>
          <w:rFonts w:hint="eastAsia" w:ascii="宋体" w:hAnsi="宋体" w:cs="宋体"/>
          <w:kern w:val="0"/>
          <w:sz w:val="22"/>
          <w:szCs w:val="22"/>
          <w:highlight w:val="none"/>
          <w:lang w:val="zh-CN"/>
        </w:rPr>
        <w:t>，</w:t>
      </w:r>
      <w:r>
        <w:rPr>
          <w:rFonts w:hint="eastAsia" w:ascii="宋体" w:hAnsi="宋体" w:cs="宋体"/>
          <w:kern w:val="0"/>
          <w:sz w:val="22"/>
          <w:szCs w:val="22"/>
          <w:highlight w:val="none"/>
        </w:rPr>
        <w:t>需</w:t>
      </w:r>
      <w:r>
        <w:rPr>
          <w:rFonts w:hint="eastAsia" w:ascii="宋体" w:hAnsi="宋体" w:cs="宋体"/>
          <w:kern w:val="0"/>
          <w:sz w:val="22"/>
          <w:szCs w:val="22"/>
          <w:highlight w:val="none"/>
          <w:lang w:val="zh-CN"/>
        </w:rPr>
        <w:t>先制作word版打印，相应位置签字或盖章后再扫描上传。</w:t>
      </w:r>
    </w:p>
    <w:p w14:paraId="6CBF56C3">
      <w:pPr>
        <w:numPr>
          <w:ilvl w:val="1"/>
          <w:numId w:val="9"/>
        </w:numPr>
        <w:tabs>
          <w:tab w:val="left" w:pos="360"/>
          <w:tab w:val="clear" w:pos="992"/>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lang w:val="zh-CN"/>
        </w:rPr>
        <w:t>政采云系统平台有新的操作流程的，按其规定。</w:t>
      </w:r>
    </w:p>
    <w:p w14:paraId="124C5B9D">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投标文件的形式</w:t>
      </w:r>
    </w:p>
    <w:p w14:paraId="66C99708">
      <w:pPr>
        <w:numPr>
          <w:ilvl w:val="1"/>
          <w:numId w:val="10"/>
        </w:numPr>
        <w:tabs>
          <w:tab w:val="left" w:pos="360"/>
          <w:tab w:val="left" w:pos="640"/>
          <w:tab w:val="clear" w:pos="992"/>
        </w:tabs>
        <w:spacing w:line="460" w:lineRule="exact"/>
        <w:ind w:left="0" w:firstLine="420" w:firstLineChars="191"/>
        <w:rPr>
          <w:rFonts w:ascii="宋体" w:hAnsi="宋体" w:cs="Arial"/>
          <w:sz w:val="22"/>
          <w:szCs w:val="22"/>
          <w:highlight w:val="none"/>
          <w:lang w:val="zh-CN"/>
        </w:rPr>
      </w:pPr>
      <w:r>
        <w:rPr>
          <w:rFonts w:hint="eastAsia" w:ascii="宋体" w:hAnsi="宋体" w:cs="Arial"/>
          <w:sz w:val="22"/>
          <w:szCs w:val="22"/>
          <w:highlight w:val="none"/>
          <w:lang w:val="zh-CN"/>
        </w:rPr>
        <w:t>“电子响应文件”是指通过“政采云电子交易客户端”完成投标响应文件编制后生成并加密的数据电文形式的</w:t>
      </w:r>
      <w:r>
        <w:rPr>
          <w:rFonts w:hint="eastAsia" w:ascii="宋体" w:hAnsi="宋体" w:cs="Arial"/>
          <w:sz w:val="22"/>
          <w:szCs w:val="22"/>
          <w:highlight w:val="none"/>
        </w:rPr>
        <w:t>加密标书,加密标书文件后缀格式为.jmbs</w:t>
      </w:r>
      <w:r>
        <w:rPr>
          <w:rFonts w:hint="eastAsia" w:ascii="宋体" w:hAnsi="宋体" w:cs="Arial"/>
          <w:sz w:val="22"/>
          <w:szCs w:val="22"/>
          <w:highlight w:val="none"/>
          <w:lang w:val="zh-CN"/>
        </w:rPr>
        <w:t>。</w:t>
      </w:r>
    </w:p>
    <w:p w14:paraId="68F12FB0">
      <w:pPr>
        <w:numPr>
          <w:ilvl w:val="1"/>
          <w:numId w:val="10"/>
        </w:numPr>
        <w:tabs>
          <w:tab w:val="left" w:pos="360"/>
          <w:tab w:val="left" w:pos="64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lang w:val="zh-CN"/>
        </w:rPr>
        <w:t>“备份响应文件”是指与“</w:t>
      </w:r>
      <w:r>
        <w:rPr>
          <w:rFonts w:hint="eastAsia" w:ascii="宋体" w:hAnsi="宋体" w:cs="Arial"/>
          <w:sz w:val="22"/>
          <w:szCs w:val="22"/>
          <w:highlight w:val="none"/>
        </w:rPr>
        <w:t>加密标书</w:t>
      </w:r>
      <w:r>
        <w:rPr>
          <w:rFonts w:hint="eastAsia" w:ascii="宋体" w:hAnsi="宋体" w:cs="Arial"/>
          <w:sz w:val="22"/>
          <w:szCs w:val="22"/>
          <w:highlight w:val="none"/>
          <w:lang w:val="zh-CN"/>
        </w:rPr>
        <w:t>”同时生成的数据电文形式的电子文件（备份标书），其他方式编制的备份响应文件视为无效备份响应文件。</w:t>
      </w:r>
    </w:p>
    <w:p w14:paraId="2F816191">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政采云系统默认投标人自动放弃的情形</w:t>
      </w:r>
    </w:p>
    <w:p w14:paraId="331C062E">
      <w:pPr>
        <w:numPr>
          <w:ilvl w:val="1"/>
          <w:numId w:val="11"/>
        </w:numPr>
        <w:tabs>
          <w:tab w:val="left" w:pos="360"/>
          <w:tab w:val="left" w:pos="640"/>
          <w:tab w:val="clear" w:pos="992"/>
        </w:tabs>
        <w:spacing w:line="460" w:lineRule="exact"/>
        <w:ind w:left="0" w:firstLine="420" w:firstLineChars="191"/>
        <w:rPr>
          <w:rFonts w:ascii="宋体" w:hAnsi="宋体" w:cs="Arial"/>
          <w:sz w:val="22"/>
          <w:szCs w:val="22"/>
          <w:highlight w:val="none"/>
          <w:lang w:val="zh-CN"/>
        </w:rPr>
      </w:pPr>
      <w:r>
        <w:rPr>
          <w:rFonts w:hint="eastAsia" w:ascii="宋体" w:hAnsi="宋体" w:cs="Arial"/>
          <w:sz w:val="22"/>
          <w:szCs w:val="22"/>
          <w:highlight w:val="none"/>
          <w:lang w:val="zh-CN"/>
        </w:rPr>
        <w:t>投标人未按规定上传电子响应文件的；</w:t>
      </w:r>
    </w:p>
    <w:p w14:paraId="34CE9B00">
      <w:pPr>
        <w:numPr>
          <w:ilvl w:val="1"/>
          <w:numId w:val="11"/>
        </w:numPr>
        <w:tabs>
          <w:tab w:val="left" w:pos="360"/>
          <w:tab w:val="left" w:pos="640"/>
          <w:tab w:val="clear" w:pos="992"/>
        </w:tabs>
        <w:spacing w:line="460" w:lineRule="exact"/>
        <w:ind w:left="0" w:firstLine="420" w:firstLineChars="191"/>
        <w:rPr>
          <w:rFonts w:ascii="宋体" w:hAnsi="宋体" w:cs="Arial"/>
          <w:sz w:val="22"/>
          <w:szCs w:val="22"/>
          <w:highlight w:val="none"/>
          <w:lang w:val="zh-CN"/>
        </w:rPr>
      </w:pPr>
      <w:r>
        <w:rPr>
          <w:rFonts w:hint="eastAsia" w:ascii="宋体" w:hAnsi="宋体" w:cs="Arial"/>
          <w:sz w:val="22"/>
          <w:szCs w:val="22"/>
          <w:highlight w:val="none"/>
          <w:lang w:val="zh-CN"/>
        </w:rPr>
        <w:t>在解密期限内投标人电子响应文件解密失败，且经异常处理后政采云电子交易系统仍未能解决的。</w:t>
      </w:r>
    </w:p>
    <w:p w14:paraId="36C55447">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投标报价</w:t>
      </w:r>
    </w:p>
    <w:p w14:paraId="45BA30EF">
      <w:pPr>
        <w:numPr>
          <w:ilvl w:val="1"/>
          <w:numId w:val="12"/>
        </w:numPr>
        <w:tabs>
          <w:tab w:val="left" w:pos="360"/>
          <w:tab w:val="clear" w:pos="992"/>
        </w:tabs>
        <w:spacing w:line="460" w:lineRule="exact"/>
        <w:ind w:left="0" w:firstLine="420" w:firstLineChars="191"/>
        <w:rPr>
          <w:rFonts w:hint="eastAsia" w:ascii="宋体" w:hAnsi="宋体" w:eastAsia="宋体" w:cs="Arial"/>
          <w:sz w:val="22"/>
          <w:szCs w:val="22"/>
          <w:highlight w:val="none"/>
        </w:rPr>
      </w:pPr>
      <w:r>
        <w:rPr>
          <w:rFonts w:hint="eastAsia" w:ascii="宋体" w:hAnsi="宋体" w:eastAsia="宋体" w:cs="Arial"/>
          <w:sz w:val="22"/>
          <w:szCs w:val="22"/>
          <w:highlight w:val="none"/>
        </w:rPr>
        <w:t>投标报价是</w:t>
      </w:r>
      <w:r>
        <w:rPr>
          <w:rFonts w:hint="eastAsia" w:ascii="宋体" w:hAnsi="宋体" w:eastAsia="宋体" w:cs="Arial"/>
          <w:sz w:val="22"/>
          <w:szCs w:val="22"/>
          <w:highlight w:val="none"/>
          <w:lang w:val="zh-CN"/>
        </w:rPr>
        <w:t>包括完成合同所需的一切本身和不可或缺的所有工作开支、政策性文件规定及合同包含的所有风险、责任等各项全部费用。</w:t>
      </w:r>
      <w:r>
        <w:rPr>
          <w:rFonts w:hint="eastAsia" w:ascii="宋体" w:hAnsi="宋体" w:eastAsia="宋体" w:cs="Arial"/>
          <w:sz w:val="22"/>
          <w:szCs w:val="22"/>
          <w:highlight w:val="none"/>
        </w:rPr>
        <w:t>投标人应根据上述因素自行考虑含入投标总价。</w:t>
      </w:r>
    </w:p>
    <w:p w14:paraId="116391D7">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eastAsia="宋体" w:cs="Arial"/>
          <w:sz w:val="22"/>
          <w:szCs w:val="22"/>
          <w:highlight w:val="none"/>
        </w:rPr>
        <w:t>投标人须认真阅读、充分</w:t>
      </w:r>
      <w:r>
        <w:rPr>
          <w:rFonts w:hint="eastAsia" w:ascii="宋体" w:hAnsi="宋体" w:cs="Arial"/>
          <w:sz w:val="22"/>
          <w:szCs w:val="22"/>
          <w:highlight w:val="none"/>
        </w:rPr>
        <w:t>理解招标文件，如有疑问可在询疑截止时间前送达（或传真）招标代理机构，招标代理机构将会统一解答。任何因对本项目招标文件理解不清、产生歧义等由此产生的费用，视作以含在投标总价中。</w:t>
      </w:r>
    </w:p>
    <w:p w14:paraId="4F7D7236">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投标人必须按招标文件规定的开标一览表（统一格式）的内容填写单价、合价及其他事项，并由法定代表人或授权代表签署。</w:t>
      </w:r>
    </w:p>
    <w:p w14:paraId="7E480E2C">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所有投标报价均以人民币报价。</w:t>
      </w:r>
    </w:p>
    <w:p w14:paraId="3C8C0B72">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采购人不接受任何选择报价，对每一项货物/服务只允许一个报价。</w:t>
      </w:r>
    </w:p>
    <w:p w14:paraId="36E31682">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采购人要求分类报价是为了方便评标，但在任何情况下不限制采购人以其认为最合适的条款、条件签订合同的权利。</w:t>
      </w:r>
    </w:p>
    <w:p w14:paraId="2D7B6EC6">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报价是成交的一个重要因素，但最低报价不是成交的唯一依据。</w:t>
      </w:r>
    </w:p>
    <w:p w14:paraId="57EE0EF0">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投标人如发生下列情况之一，将上报同级政府采购监督管理部门，追究其责任：</w:t>
      </w:r>
    </w:p>
    <w:p w14:paraId="495880D8">
      <w:pPr>
        <w:numPr>
          <w:ilvl w:val="0"/>
          <w:numId w:val="13"/>
        </w:numPr>
        <w:tabs>
          <w:tab w:val="left" w:pos="360"/>
          <w:tab w:val="clear" w:pos="420"/>
        </w:tabs>
        <w:spacing w:line="440" w:lineRule="exact"/>
        <w:ind w:left="0" w:firstLine="420" w:firstLineChars="191"/>
        <w:rPr>
          <w:rFonts w:ascii="宋体" w:hAnsi="宋体" w:cs="宋体"/>
          <w:sz w:val="22"/>
          <w:szCs w:val="22"/>
          <w:highlight w:val="none"/>
        </w:rPr>
      </w:pPr>
      <w:r>
        <w:rPr>
          <w:rFonts w:hint="eastAsia" w:ascii="宋体" w:hAnsi="宋体" w:cs="宋体"/>
          <w:sz w:val="22"/>
          <w:szCs w:val="22"/>
          <w:highlight w:val="none"/>
        </w:rPr>
        <w:t>投标人在招标文件规定的投标有效期内撤回投标；</w:t>
      </w:r>
    </w:p>
    <w:p w14:paraId="44AD9742">
      <w:pPr>
        <w:numPr>
          <w:ilvl w:val="0"/>
          <w:numId w:val="13"/>
        </w:numPr>
        <w:tabs>
          <w:tab w:val="left" w:pos="360"/>
          <w:tab w:val="clear" w:pos="420"/>
        </w:tabs>
        <w:spacing w:line="440" w:lineRule="exact"/>
        <w:ind w:left="0" w:firstLine="420" w:firstLineChars="191"/>
        <w:rPr>
          <w:rFonts w:ascii="宋体" w:hAnsi="宋体" w:cs="宋体"/>
          <w:sz w:val="22"/>
          <w:szCs w:val="22"/>
          <w:highlight w:val="none"/>
        </w:rPr>
      </w:pPr>
      <w:r>
        <w:rPr>
          <w:rFonts w:hint="eastAsia" w:ascii="宋体" w:hAnsi="宋体" w:cs="宋体"/>
          <w:sz w:val="22"/>
          <w:szCs w:val="22"/>
          <w:highlight w:val="none"/>
        </w:rPr>
        <w:t>中标人未按中标通知书中规定的时间与采购人签订合同；</w:t>
      </w:r>
    </w:p>
    <w:p w14:paraId="460A8652">
      <w:pPr>
        <w:numPr>
          <w:ilvl w:val="0"/>
          <w:numId w:val="13"/>
        </w:numPr>
        <w:tabs>
          <w:tab w:val="left" w:pos="360"/>
          <w:tab w:val="clear" w:pos="420"/>
        </w:tabs>
        <w:spacing w:line="440" w:lineRule="exact"/>
        <w:ind w:left="0" w:firstLine="420" w:firstLineChars="191"/>
        <w:rPr>
          <w:rFonts w:ascii="宋体" w:hAnsi="宋体" w:cs="宋体"/>
          <w:sz w:val="22"/>
          <w:szCs w:val="22"/>
          <w:highlight w:val="none"/>
        </w:rPr>
      </w:pPr>
      <w:r>
        <w:rPr>
          <w:rFonts w:hint="eastAsia" w:ascii="宋体" w:hAnsi="宋体" w:cs="宋体"/>
          <w:sz w:val="22"/>
          <w:szCs w:val="22"/>
          <w:highlight w:val="none"/>
        </w:rPr>
        <w:t>投标人在招标文件中提供虚假技术指标及参数，经评标委员会确认属实的。</w:t>
      </w:r>
    </w:p>
    <w:p w14:paraId="29261CA7">
      <w:pPr>
        <w:numPr>
          <w:ilvl w:val="0"/>
          <w:numId w:val="13"/>
        </w:numPr>
        <w:tabs>
          <w:tab w:val="left" w:pos="360"/>
          <w:tab w:val="clear" w:pos="420"/>
        </w:tabs>
        <w:spacing w:line="440" w:lineRule="exact"/>
        <w:ind w:left="0" w:firstLine="420" w:firstLineChars="191"/>
        <w:rPr>
          <w:rFonts w:ascii="宋体" w:hAnsi="宋体" w:cs="宋体"/>
          <w:sz w:val="22"/>
          <w:szCs w:val="22"/>
          <w:highlight w:val="none"/>
        </w:rPr>
      </w:pPr>
      <w:r>
        <w:rPr>
          <w:rFonts w:hint="eastAsia" w:ascii="宋体" w:hAnsi="宋体" w:cs="宋体"/>
          <w:sz w:val="22"/>
          <w:szCs w:val="22"/>
          <w:highlight w:val="none"/>
        </w:rPr>
        <w:t>经同级政府采购监督管理部门审查认定投标人有违反《中华人民共和国政府采购法》等有关法律法规的行为。</w:t>
      </w:r>
    </w:p>
    <w:p w14:paraId="70B43046">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投标有效期</w:t>
      </w:r>
    </w:p>
    <w:p w14:paraId="4D2ED9E8">
      <w:pPr>
        <w:numPr>
          <w:ilvl w:val="1"/>
          <w:numId w:val="14"/>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自开标之日起 90天内投标应保持有效。投标有效期短于这个规定期限的投标将视为非响应性投标而予以拒绝。</w:t>
      </w:r>
    </w:p>
    <w:p w14:paraId="2C3D6887">
      <w:pPr>
        <w:numPr>
          <w:ilvl w:val="1"/>
          <w:numId w:val="14"/>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53AC7BDF">
      <w:pPr>
        <w:spacing w:before="100" w:beforeAutospacing="1" w:after="100" w:afterAutospacing="1" w:line="440" w:lineRule="exact"/>
        <w:ind w:left="783" w:hanging="783" w:hangingChars="300"/>
        <w:jc w:val="center"/>
        <w:outlineLvl w:val="0"/>
        <w:rPr>
          <w:rFonts w:ascii="宋体" w:hAnsi="宋体"/>
          <w:sz w:val="22"/>
          <w:szCs w:val="22"/>
          <w:highlight w:val="none"/>
        </w:rPr>
      </w:pPr>
      <w:bookmarkStart w:id="108" w:name="_Toc1762"/>
      <w:r>
        <w:rPr>
          <w:rFonts w:hint="eastAsia" w:ascii="宋体" w:hAnsi="宋体"/>
          <w:b/>
          <w:bCs/>
          <w:sz w:val="26"/>
          <w:szCs w:val="26"/>
          <w:highlight w:val="none"/>
        </w:rPr>
        <w:t>五、 投标文件的递交</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7B44F5E">
      <w:pPr>
        <w:numPr>
          <w:ilvl w:val="0"/>
          <w:numId w:val="15"/>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投标文件的递交</w:t>
      </w:r>
    </w:p>
    <w:p w14:paraId="35EDB6DD">
      <w:pPr>
        <w:numPr>
          <w:ilvl w:val="1"/>
          <w:numId w:val="16"/>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“电子响应文件”的上传、递交，具体详见《政府采购项目电子交易管理操作指南-投标人》（投标人自行去政采云系统上进行下载）：</w:t>
      </w:r>
    </w:p>
    <w:p w14:paraId="31B18796">
      <w:pPr>
        <w:pStyle w:val="27"/>
        <w:numPr>
          <w:ilvl w:val="0"/>
          <w:numId w:val="17"/>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电子响应文件制作完成并生成加密标书，在投标响应截止时间前，投标人需将加密的响应文件上传至政采云平台，接到解密通知后，解密投标响应文件。</w:t>
      </w:r>
    </w:p>
    <w:p w14:paraId="12776FE1">
      <w:pPr>
        <w:pStyle w:val="27"/>
        <w:numPr>
          <w:ilvl w:val="0"/>
          <w:numId w:val="17"/>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电子响应文件上传成功后，在“投标响应文件上传-进行中”标签页下，显示状态为“已上传”。可在此处下载打印投标回执；在投标响应截止时间前，投标人可撤回投标响应文件，修改内容。</w:t>
      </w:r>
    </w:p>
    <w:p w14:paraId="3E7816F2">
      <w:pPr>
        <w:numPr>
          <w:ilvl w:val="1"/>
          <w:numId w:val="16"/>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 xml:space="preserve"> “备份响应文件”的递交：</w:t>
      </w:r>
    </w:p>
    <w:p w14:paraId="3253B344">
      <w:pPr>
        <w:pStyle w:val="27"/>
        <w:numPr>
          <w:ilvl w:val="0"/>
          <w:numId w:val="18"/>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备份响应文件的递交：</w:t>
      </w:r>
      <w:r>
        <w:rPr>
          <w:rFonts w:hint="eastAsia" w:ascii="宋体" w:hAnsi="宋体" w:cs="宋体"/>
          <w:b w:val="0"/>
          <w:bCs w:val="0"/>
          <w:sz w:val="22"/>
          <w:szCs w:val="22"/>
          <w:highlight w:val="none"/>
        </w:rPr>
        <w:t>投标人在电子交易平台传输递交投标文件后，还可以在投标截止时间前直接提交或者以邮政快递方式递交备份投标文件1份给采购代理公司</w:t>
      </w:r>
      <w:r>
        <w:rPr>
          <w:rFonts w:hint="eastAsia" w:ascii="宋体" w:hAnsi="宋体" w:eastAsia="宋体" w:cs="宋体"/>
          <w:sz w:val="22"/>
          <w:szCs w:val="22"/>
        </w:rPr>
        <w:t>（地址：温州市龙湾区永宁西路587号龙湾建设总部大厦</w:t>
      </w:r>
      <w:r>
        <w:rPr>
          <w:rFonts w:hint="eastAsia" w:ascii="宋体" w:hAnsi="宋体" w:eastAsia="宋体" w:cs="宋体"/>
          <w:sz w:val="22"/>
          <w:szCs w:val="22"/>
          <w:lang w:val="en-US" w:eastAsia="zh-CN"/>
        </w:rPr>
        <w:t>4层</w:t>
      </w:r>
      <w:r>
        <w:rPr>
          <w:rFonts w:hint="eastAsia" w:ascii="宋体" w:hAnsi="宋体" w:eastAsia="宋体" w:cs="宋体"/>
          <w:sz w:val="22"/>
          <w:szCs w:val="22"/>
        </w:rPr>
        <w:t>，联系人：</w:t>
      </w:r>
      <w:r>
        <w:rPr>
          <w:rFonts w:hint="eastAsia" w:ascii="宋体" w:hAnsi="宋体" w:eastAsia="宋体" w:cs="宋体"/>
          <w:sz w:val="22"/>
          <w:szCs w:val="22"/>
          <w:lang w:val="en-US" w:eastAsia="zh-CN"/>
        </w:rPr>
        <w:t>李先生</w:t>
      </w:r>
      <w:r>
        <w:rPr>
          <w:rFonts w:hint="eastAsia" w:ascii="宋体" w:hAnsi="宋体" w:eastAsia="宋体" w:cs="宋体"/>
          <w:sz w:val="22"/>
          <w:szCs w:val="22"/>
        </w:rPr>
        <w:t>收 电话：</w:t>
      </w:r>
      <w:r>
        <w:rPr>
          <w:rFonts w:hint="eastAsia" w:ascii="宋体" w:hAnsi="宋体" w:eastAsia="宋体" w:cs="宋体"/>
          <w:sz w:val="22"/>
          <w:szCs w:val="22"/>
          <w:lang w:val="en-US" w:eastAsia="zh-CN"/>
        </w:rPr>
        <w:t>13736315989</w:t>
      </w:r>
      <w:r>
        <w:rPr>
          <w:rFonts w:hint="eastAsia" w:ascii="宋体" w:hAnsi="宋体" w:eastAsia="宋体" w:cs="宋体"/>
          <w:sz w:val="22"/>
          <w:szCs w:val="22"/>
        </w:rPr>
        <w:t>；特别说明：不接受到付，双休日和法定节假日不收件，</w:t>
      </w:r>
      <w:r>
        <w:rPr>
          <w:rFonts w:hint="eastAsia" w:ascii="宋体" w:hAnsi="宋体" w:eastAsia="宋体" w:cs="宋体"/>
          <w:sz w:val="22"/>
          <w:szCs w:val="22"/>
          <w:lang w:val="en-US" w:eastAsia="zh-CN"/>
        </w:rPr>
        <w:t>投标人</w:t>
      </w:r>
      <w:r>
        <w:rPr>
          <w:rFonts w:hint="eastAsia" w:ascii="宋体" w:hAnsi="宋体" w:eastAsia="宋体" w:cs="宋体"/>
          <w:sz w:val="22"/>
          <w:szCs w:val="22"/>
        </w:rPr>
        <w:t>自行承担邮寄风险，</w:t>
      </w:r>
      <w:r>
        <w:rPr>
          <w:rFonts w:hint="eastAsia" w:ascii="宋体" w:hAnsi="宋体" w:eastAsia="宋体" w:cs="宋体"/>
          <w:sz w:val="22"/>
          <w:szCs w:val="22"/>
          <w:lang w:eastAsia="zh-CN"/>
        </w:rPr>
        <w:t>使其在投标文件提交截止时间前收到</w:t>
      </w:r>
      <w:r>
        <w:rPr>
          <w:rFonts w:hint="eastAsia" w:ascii="宋体" w:hAnsi="宋体" w:eastAsia="宋体" w:cs="宋体"/>
          <w:sz w:val="22"/>
          <w:szCs w:val="22"/>
        </w:rPr>
        <w:t>），采</w:t>
      </w:r>
      <w:r>
        <w:rPr>
          <w:rFonts w:hint="eastAsia" w:ascii="宋体" w:hAnsi="宋体" w:cs="宋体"/>
          <w:sz w:val="22"/>
          <w:szCs w:val="22"/>
        </w:rPr>
        <w:t>购机构将拒绝接受逾期送达的备份投标文件。</w:t>
      </w:r>
      <w:r>
        <w:rPr>
          <w:rFonts w:hint="eastAsia" w:ascii="宋体" w:hAnsi="宋体" w:cs="宋体"/>
          <w:b/>
          <w:bCs/>
          <w:sz w:val="22"/>
          <w:szCs w:val="22"/>
        </w:rPr>
        <w:t>采购人、采购机构不强制投标人提交备份投标文件</w:t>
      </w:r>
      <w:r>
        <w:rPr>
          <w:rFonts w:hint="eastAsia" w:ascii="宋体" w:hAnsi="宋体" w:cs="宋体"/>
          <w:b/>
          <w:bCs/>
          <w:sz w:val="22"/>
          <w:szCs w:val="22"/>
          <w:highlight w:val="none"/>
        </w:rPr>
        <w:t>。</w:t>
      </w:r>
    </w:p>
    <w:p w14:paraId="1CFFAE47">
      <w:pPr>
        <w:pStyle w:val="27"/>
        <w:numPr>
          <w:ilvl w:val="0"/>
          <w:numId w:val="18"/>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6036AB31">
      <w:pPr>
        <w:pStyle w:val="27"/>
        <w:numPr>
          <w:ilvl w:val="0"/>
          <w:numId w:val="18"/>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6520A18">
      <w:pPr>
        <w:pStyle w:val="27"/>
        <w:numPr>
          <w:ilvl w:val="0"/>
          <w:numId w:val="18"/>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 xml:space="preserve"> 投标人需保证上传的电子响应文件与提交的备份响应文件必须同时生成且内容完全一致；通过“政府采购云平台”上传递交的“电子投标文件”已按时解密的，“备份投标文件”自动失效。投标供应商仅递交备份投标文件的，投标无效。</w:t>
      </w:r>
    </w:p>
    <w:p w14:paraId="72844E51">
      <w:pPr>
        <w:numPr>
          <w:ilvl w:val="0"/>
          <w:numId w:val="15"/>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“电子加密投标文件”解密和异常情况处理。</w:t>
      </w:r>
    </w:p>
    <w:p w14:paraId="46E82293">
      <w:pPr>
        <w:numPr>
          <w:ilvl w:val="1"/>
          <w:numId w:val="19"/>
        </w:numPr>
        <w:tabs>
          <w:tab w:val="left" w:pos="360"/>
          <w:tab w:val="clear" w:pos="992"/>
        </w:tabs>
        <w:spacing w:line="460" w:lineRule="exact"/>
        <w:ind w:left="0" w:firstLine="420" w:firstLineChars="191"/>
        <w:rPr>
          <w:rFonts w:ascii="宋体" w:hAnsi="宋体" w:cs="Arial"/>
          <w:sz w:val="22"/>
          <w:szCs w:val="22"/>
          <w:highlight w:val="none"/>
          <w:lang w:val="zh-CN"/>
        </w:rPr>
      </w:pPr>
      <w:r>
        <w:rPr>
          <w:rFonts w:hint="eastAsia" w:ascii="宋体" w:hAnsi="宋体" w:cs="Arial"/>
          <w:sz w:val="22"/>
          <w:szCs w:val="22"/>
          <w:highlight w:val="none"/>
        </w:rPr>
        <w:t xml:space="preserve">  </w:t>
      </w:r>
      <w:r>
        <w:rPr>
          <w:rFonts w:hint="eastAsia" w:ascii="宋体" w:hAnsi="宋体" w:cs="Arial"/>
          <w:sz w:val="22"/>
          <w:szCs w:val="22"/>
          <w:highlight w:val="none"/>
          <w:lang w:val="zh-CN"/>
        </w:rPr>
        <w:t>投标</w:t>
      </w:r>
      <w:r>
        <w:rPr>
          <w:rFonts w:hint="eastAsia" w:ascii="宋体" w:hAnsi="宋体" w:cs="Arial"/>
          <w:sz w:val="22"/>
          <w:szCs w:val="22"/>
          <w:highlight w:val="none"/>
        </w:rPr>
        <w:t>响应</w:t>
      </w:r>
      <w:r>
        <w:rPr>
          <w:rFonts w:hint="eastAsia" w:ascii="宋体" w:hAnsi="宋体" w:cs="Arial"/>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Arial"/>
          <w:sz w:val="22"/>
          <w:szCs w:val="22"/>
          <w:highlight w:val="none"/>
        </w:rPr>
        <w:t>电子响应</w:t>
      </w:r>
      <w:r>
        <w:rPr>
          <w:rFonts w:hint="eastAsia" w:ascii="宋体" w:hAnsi="宋体" w:cs="Arial"/>
          <w:sz w:val="22"/>
          <w:szCs w:val="22"/>
          <w:highlight w:val="none"/>
          <w:lang w:val="zh-CN"/>
        </w:rPr>
        <w:t>文件必须插入CA），在线解密电子响应文件时间为接到解密通知后</w:t>
      </w:r>
      <w:r>
        <w:rPr>
          <w:rFonts w:hint="eastAsia" w:ascii="宋体" w:hAnsi="宋体" w:cs="Arial"/>
          <w:sz w:val="22"/>
          <w:szCs w:val="22"/>
          <w:highlight w:val="none"/>
        </w:rPr>
        <w:t>3</w:t>
      </w:r>
      <w:r>
        <w:rPr>
          <w:rFonts w:hint="eastAsia" w:ascii="宋体" w:hAnsi="宋体" w:cs="Arial"/>
          <w:sz w:val="22"/>
          <w:szCs w:val="22"/>
          <w:highlight w:val="none"/>
          <w:lang w:val="zh-CN"/>
        </w:rPr>
        <w:t>0分钟内。</w:t>
      </w:r>
    </w:p>
    <w:p w14:paraId="3E1A058D">
      <w:pPr>
        <w:numPr>
          <w:ilvl w:val="1"/>
          <w:numId w:val="19"/>
        </w:numPr>
        <w:tabs>
          <w:tab w:val="left" w:pos="360"/>
          <w:tab w:val="clear" w:pos="992"/>
        </w:tabs>
        <w:spacing w:line="460" w:lineRule="exact"/>
        <w:ind w:left="0" w:firstLine="420" w:firstLineChars="191"/>
        <w:rPr>
          <w:rStyle w:val="73"/>
          <w:rFonts w:ascii="宋体" w:hAnsi="宋体" w:cs="Arial"/>
          <w:sz w:val="22"/>
          <w:szCs w:val="22"/>
          <w:highlight w:val="none"/>
        </w:rPr>
      </w:pPr>
      <w:r>
        <w:rPr>
          <w:rFonts w:hint="eastAsia" w:ascii="宋体" w:hAnsi="宋体" w:cs="Arial"/>
          <w:sz w:val="22"/>
          <w:szCs w:val="22"/>
          <w:highlight w:val="none"/>
        </w:rPr>
        <w:t xml:space="preserve">  </w:t>
      </w:r>
      <w:r>
        <w:rPr>
          <w:rFonts w:hint="eastAsia" w:ascii="宋体" w:hAnsi="宋体" w:cs="Arial"/>
          <w:sz w:val="22"/>
          <w:szCs w:val="22"/>
          <w:highlight w:val="none"/>
          <w:lang w:val="zh-CN"/>
        </w:rPr>
        <w:t>异常处理</w:t>
      </w:r>
      <w:r>
        <w:rPr>
          <w:rFonts w:hint="eastAsia" w:ascii="宋体" w:hAnsi="宋体" w:cs="Arial"/>
          <w:sz w:val="22"/>
          <w:szCs w:val="22"/>
          <w:highlight w:val="none"/>
        </w:rPr>
        <w:t>：</w:t>
      </w:r>
      <w:r>
        <w:rPr>
          <w:highlight w:val="none"/>
        </w:rPr>
        <w:fldChar w:fldCharType="begin"/>
      </w:r>
      <w:r>
        <w:rPr>
          <w:highlight w:val="none"/>
        </w:rPr>
        <w:instrText xml:space="preserve"> HYPERLINK "mailto:如政采云上电子响应文件出现解密失败情况，投标人可根据自身意愿确认是否将备份标书压缩包的解密密码传送至采购代理机构邮箱542686728@qq.com,采购代理机构收到解密密码后通过【异常处理】的端口对投标人的备份响应文件进行上传（上传成功后，“电子响应文件”自动失效），不能成功上传的视为响应文件撤回。" </w:instrText>
      </w:r>
      <w:r>
        <w:rPr>
          <w:highlight w:val="none"/>
        </w:rPr>
        <w:fldChar w:fldCharType="separate"/>
      </w:r>
      <w:r>
        <w:rPr>
          <w:rStyle w:val="73"/>
          <w:rFonts w:hint="eastAsia" w:ascii="宋体" w:hAnsi="宋体" w:cs="Arial"/>
          <w:sz w:val="22"/>
          <w:szCs w:val="22"/>
          <w:highlight w:val="none"/>
          <w:lang w:val="zh-CN"/>
        </w:rPr>
        <w:t>如政采云上电子响应文件出现解密失败情况</w:t>
      </w:r>
      <w:r>
        <w:rPr>
          <w:rStyle w:val="73"/>
          <w:rFonts w:hint="eastAsia" w:ascii="宋体" w:hAnsi="宋体" w:cs="Arial"/>
          <w:sz w:val="22"/>
          <w:szCs w:val="22"/>
          <w:highlight w:val="none"/>
        </w:rPr>
        <w:t>，</w:t>
      </w:r>
      <w:r>
        <w:rPr>
          <w:rStyle w:val="73"/>
          <w:rFonts w:hint="eastAsia" w:ascii="宋体" w:hAnsi="宋体" w:cs="Arial"/>
          <w:sz w:val="22"/>
          <w:szCs w:val="22"/>
          <w:highlight w:val="none"/>
          <w:lang w:val="zh-CN"/>
        </w:rPr>
        <w:t>投标人可根据自身意愿确认是否将备份标书压缩包的解密密码传送至采购代理机构邮箱</w:t>
      </w:r>
      <w:r>
        <w:rPr>
          <w:rStyle w:val="73"/>
          <w:rFonts w:hint="eastAsia" w:ascii="宋体" w:hAnsi="宋体" w:cs="Arial"/>
          <w:sz w:val="22"/>
          <w:szCs w:val="22"/>
          <w:highlight w:val="none"/>
        </w:rPr>
        <w:t>542686728@qq.com,</w:t>
      </w:r>
      <w:r>
        <w:rPr>
          <w:rStyle w:val="73"/>
          <w:rFonts w:hint="eastAsia" w:ascii="宋体" w:hAnsi="宋体" w:cs="Arial"/>
          <w:sz w:val="22"/>
          <w:szCs w:val="22"/>
          <w:highlight w:val="none"/>
          <w:lang w:val="zh-CN"/>
        </w:rPr>
        <w:t>采购代理机构收到解密密码后通过【异常处理】的端口对投标人的备份响应文件进行上传</w:t>
      </w:r>
      <w:r>
        <w:rPr>
          <w:rStyle w:val="73"/>
          <w:rFonts w:hint="eastAsia" w:ascii="宋体" w:hAnsi="宋体" w:cs="Arial"/>
          <w:sz w:val="22"/>
          <w:szCs w:val="22"/>
          <w:highlight w:val="none"/>
        </w:rPr>
        <w:t>（</w:t>
      </w:r>
      <w:r>
        <w:rPr>
          <w:rStyle w:val="73"/>
          <w:rFonts w:hint="eastAsia" w:ascii="宋体" w:hAnsi="宋体" w:cs="Arial"/>
          <w:sz w:val="22"/>
          <w:szCs w:val="22"/>
          <w:highlight w:val="none"/>
          <w:lang w:val="zh-CN"/>
        </w:rPr>
        <w:t>上传成功后</w:t>
      </w:r>
      <w:r>
        <w:rPr>
          <w:rStyle w:val="73"/>
          <w:rFonts w:hint="eastAsia" w:ascii="宋体" w:hAnsi="宋体" w:cs="Arial"/>
          <w:sz w:val="22"/>
          <w:szCs w:val="22"/>
          <w:highlight w:val="none"/>
        </w:rPr>
        <w:t>，“</w:t>
      </w:r>
      <w:r>
        <w:rPr>
          <w:rStyle w:val="73"/>
          <w:rFonts w:hint="eastAsia" w:ascii="宋体" w:hAnsi="宋体" w:cs="Arial"/>
          <w:sz w:val="22"/>
          <w:szCs w:val="22"/>
          <w:highlight w:val="none"/>
          <w:lang w:val="zh-CN"/>
        </w:rPr>
        <w:t>电子响应文件</w:t>
      </w:r>
      <w:r>
        <w:rPr>
          <w:rStyle w:val="73"/>
          <w:rFonts w:hint="eastAsia" w:ascii="宋体" w:hAnsi="宋体" w:cs="Arial"/>
          <w:sz w:val="22"/>
          <w:szCs w:val="22"/>
          <w:highlight w:val="none"/>
        </w:rPr>
        <w:t>”</w:t>
      </w:r>
      <w:r>
        <w:rPr>
          <w:rStyle w:val="73"/>
          <w:rFonts w:hint="eastAsia" w:ascii="宋体" w:hAnsi="宋体" w:cs="Arial"/>
          <w:sz w:val="22"/>
          <w:szCs w:val="22"/>
          <w:highlight w:val="none"/>
          <w:lang w:val="zh-CN"/>
        </w:rPr>
        <w:t>自动失效</w:t>
      </w:r>
      <w:r>
        <w:rPr>
          <w:rStyle w:val="73"/>
          <w:rFonts w:hint="eastAsia" w:ascii="宋体" w:hAnsi="宋体" w:cs="Arial"/>
          <w:sz w:val="22"/>
          <w:szCs w:val="22"/>
          <w:highlight w:val="none"/>
        </w:rPr>
        <w:t>），</w:t>
      </w:r>
      <w:r>
        <w:rPr>
          <w:rStyle w:val="73"/>
          <w:rFonts w:hint="eastAsia" w:ascii="宋体" w:hAnsi="宋体" w:cs="Arial"/>
          <w:sz w:val="22"/>
          <w:szCs w:val="22"/>
          <w:highlight w:val="none"/>
          <w:lang w:val="zh-CN"/>
        </w:rPr>
        <w:t>不能成功上传的视为响应文件撤回。</w:t>
      </w:r>
      <w:r>
        <w:rPr>
          <w:rStyle w:val="73"/>
          <w:rFonts w:hint="eastAsia" w:ascii="宋体" w:hAnsi="宋体" w:cs="Arial"/>
          <w:sz w:val="22"/>
          <w:szCs w:val="22"/>
          <w:highlight w:val="none"/>
          <w:lang w:val="zh-CN"/>
        </w:rPr>
        <w:fldChar w:fldCharType="end"/>
      </w:r>
    </w:p>
    <w:p w14:paraId="65C2B971">
      <w:pPr>
        <w:numPr>
          <w:ilvl w:val="1"/>
          <w:numId w:val="19"/>
        </w:numPr>
        <w:tabs>
          <w:tab w:val="left" w:pos="360"/>
          <w:tab w:val="clear" w:pos="992"/>
        </w:tabs>
        <w:spacing w:line="460" w:lineRule="exact"/>
        <w:ind w:left="0" w:firstLine="420" w:firstLineChars="191"/>
        <w:rPr>
          <w:rStyle w:val="73"/>
          <w:rFonts w:ascii="宋体" w:hAnsi="宋体" w:cs="Arial"/>
          <w:sz w:val="22"/>
          <w:szCs w:val="22"/>
          <w:highlight w:val="none"/>
        </w:rPr>
      </w:pPr>
      <w:r>
        <w:rPr>
          <w:rStyle w:val="73"/>
          <w:rFonts w:hint="eastAsia" w:ascii="宋体" w:hAnsi="宋体" w:cs="Arial"/>
          <w:sz w:val="22"/>
          <w:szCs w:val="22"/>
          <w:highlight w:val="none"/>
        </w:rPr>
        <w:t>投标文件</w:t>
      </w:r>
      <w:r>
        <w:rPr>
          <w:rStyle w:val="73"/>
          <w:rFonts w:hint="eastAsia" w:ascii="宋体" w:hAnsi="宋体" w:cs="Arial"/>
          <w:sz w:val="22"/>
          <w:szCs w:val="22"/>
          <w:highlight w:val="none"/>
          <w:lang w:val="zh-CN"/>
        </w:rPr>
        <w:t>的启用，按先后顺序分别为电子投标文件、备份投标文件，在下一顺位的</w:t>
      </w:r>
      <w:r>
        <w:rPr>
          <w:rStyle w:val="73"/>
          <w:rFonts w:hint="eastAsia" w:ascii="宋体" w:hAnsi="宋体" w:cs="Arial"/>
          <w:sz w:val="22"/>
          <w:szCs w:val="22"/>
          <w:highlight w:val="none"/>
        </w:rPr>
        <w:t>投标文件</w:t>
      </w:r>
      <w:r>
        <w:rPr>
          <w:rStyle w:val="73"/>
          <w:rFonts w:hint="eastAsia" w:ascii="宋体" w:hAnsi="宋体" w:cs="Arial"/>
          <w:sz w:val="22"/>
          <w:szCs w:val="22"/>
          <w:highlight w:val="none"/>
          <w:lang w:val="zh-CN"/>
        </w:rPr>
        <w:t>启用之后，前一顺位的</w:t>
      </w:r>
      <w:r>
        <w:rPr>
          <w:rStyle w:val="73"/>
          <w:rFonts w:hint="eastAsia" w:ascii="宋体" w:hAnsi="宋体" w:cs="Arial"/>
          <w:sz w:val="22"/>
          <w:szCs w:val="22"/>
          <w:highlight w:val="none"/>
        </w:rPr>
        <w:t>投标文件</w:t>
      </w:r>
      <w:r>
        <w:rPr>
          <w:rStyle w:val="73"/>
          <w:rFonts w:hint="eastAsia" w:ascii="宋体" w:hAnsi="宋体" w:cs="Arial"/>
          <w:sz w:val="22"/>
          <w:szCs w:val="22"/>
          <w:highlight w:val="none"/>
          <w:lang w:val="zh-CN"/>
        </w:rPr>
        <w:t>自动失效。</w:t>
      </w:r>
    </w:p>
    <w:p w14:paraId="41980164">
      <w:pPr>
        <w:numPr>
          <w:ilvl w:val="0"/>
          <w:numId w:val="15"/>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投标文件的补充、修改或撤回</w:t>
      </w:r>
    </w:p>
    <w:p w14:paraId="0D711D86">
      <w:pPr>
        <w:numPr>
          <w:ilvl w:val="1"/>
          <w:numId w:val="20"/>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74807B56">
      <w:pPr>
        <w:numPr>
          <w:ilvl w:val="1"/>
          <w:numId w:val="20"/>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投标文件递交截止时间后，投标人不得撤回、修改投标文件。</w:t>
      </w:r>
    </w:p>
    <w:p w14:paraId="7D31CCE5">
      <w:pPr>
        <w:numPr>
          <w:ilvl w:val="0"/>
          <w:numId w:val="15"/>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 xml:space="preserve"> </w:t>
      </w:r>
      <w:r>
        <w:rPr>
          <w:rFonts w:hint="eastAsia" w:ascii="宋体" w:hAnsi="宋体" w:cs="Arial"/>
          <w:b/>
          <w:sz w:val="22"/>
          <w:szCs w:val="22"/>
          <w:highlight w:val="none"/>
          <w:u w:val="single"/>
        </w:rPr>
        <w:t>▲发生下列情况之一的投标文件将不予受理：</w:t>
      </w:r>
    </w:p>
    <w:p w14:paraId="5B026D91">
      <w:pPr>
        <w:numPr>
          <w:ilvl w:val="1"/>
          <w:numId w:val="21"/>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在投标截止时间以后上传的投标文件；</w:t>
      </w:r>
    </w:p>
    <w:p w14:paraId="6CD10780">
      <w:pPr>
        <w:numPr>
          <w:ilvl w:val="1"/>
          <w:numId w:val="21"/>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仅递交了“备份投标文件”而未将电子加密投标文件上传至“政府采购云平台”的；</w:t>
      </w:r>
    </w:p>
    <w:p w14:paraId="2B45537A">
      <w:pPr>
        <w:numPr>
          <w:ilvl w:val="1"/>
          <w:numId w:val="21"/>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未在规定时间解密，或者，解密失败且经异常处理政采云系统仍未能识别的；</w:t>
      </w:r>
    </w:p>
    <w:p w14:paraId="046F43CE">
      <w:pPr>
        <w:numPr>
          <w:ilvl w:val="1"/>
          <w:numId w:val="21"/>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以纸质形式提交的；</w:t>
      </w:r>
    </w:p>
    <w:p w14:paraId="265C2F20">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sz w:val="22"/>
          <w:szCs w:val="22"/>
          <w:highlight w:val="none"/>
        </w:rPr>
      </w:pPr>
      <w:bookmarkStart w:id="109" w:name="_Toc245722282"/>
      <w:bookmarkStart w:id="110" w:name="_Toc221374627"/>
      <w:bookmarkStart w:id="111" w:name="_Toc249758713"/>
      <w:bookmarkStart w:id="112" w:name="_Toc262049419"/>
      <w:bookmarkStart w:id="113" w:name="_Toc18218"/>
      <w:bookmarkStart w:id="114" w:name="_Toc262105504"/>
      <w:bookmarkStart w:id="115" w:name="_Toc245191315"/>
      <w:bookmarkStart w:id="116" w:name="_Toc239145355"/>
      <w:bookmarkStart w:id="117" w:name="_Toc222114880"/>
      <w:bookmarkStart w:id="118" w:name="_Toc221356952"/>
      <w:bookmarkStart w:id="119" w:name="_Toc221356888"/>
      <w:bookmarkStart w:id="120" w:name="_Toc241404203"/>
      <w:bookmarkStart w:id="121" w:name="_Toc221423620"/>
      <w:bookmarkStart w:id="122" w:name="_Toc223715999"/>
      <w:bookmarkStart w:id="123" w:name="_Toc246261266"/>
      <w:bookmarkStart w:id="124" w:name="_Toc249758865"/>
      <w:r>
        <w:rPr>
          <w:rFonts w:hint="eastAsia" w:ascii="宋体" w:hAnsi="宋体"/>
          <w:b/>
          <w:bCs/>
          <w:sz w:val="26"/>
          <w:szCs w:val="26"/>
          <w:highlight w:val="none"/>
        </w:rPr>
        <w:t>六、 开标</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B4AE4FE">
      <w:pPr>
        <w:numPr>
          <w:ilvl w:val="0"/>
          <w:numId w:val="22"/>
        </w:numPr>
        <w:tabs>
          <w:tab w:val="left" w:pos="0"/>
          <w:tab w:val="clear" w:pos="420"/>
        </w:tabs>
        <w:spacing w:line="460" w:lineRule="exact"/>
        <w:ind w:left="0" w:firstLine="420" w:firstLineChars="191"/>
        <w:rPr>
          <w:rFonts w:ascii="宋体" w:hAnsi="宋体" w:cs="Arial"/>
          <w:bCs/>
          <w:sz w:val="22"/>
          <w:szCs w:val="22"/>
          <w:highlight w:val="none"/>
        </w:rPr>
      </w:pPr>
      <w:bookmarkStart w:id="125" w:name="_Toc262049420"/>
      <w:bookmarkStart w:id="126" w:name="_Toc222114881"/>
      <w:bookmarkStart w:id="127" w:name="_Toc221423621"/>
      <w:bookmarkStart w:id="128" w:name="_Toc246261267"/>
      <w:bookmarkStart w:id="129" w:name="_Toc249758866"/>
      <w:bookmarkStart w:id="130" w:name="_Toc221356953"/>
      <w:bookmarkStart w:id="131" w:name="_Toc239145356"/>
      <w:bookmarkStart w:id="132" w:name="_Toc245722283"/>
      <w:bookmarkStart w:id="133" w:name="_Toc223716000"/>
      <w:bookmarkStart w:id="134" w:name="_Toc245191316"/>
      <w:bookmarkStart w:id="135" w:name="_Toc221374628"/>
      <w:bookmarkStart w:id="136" w:name="_Toc262105505"/>
      <w:bookmarkStart w:id="137" w:name="_Toc221356889"/>
      <w:bookmarkStart w:id="138" w:name="_Toc249758714"/>
      <w:bookmarkStart w:id="139" w:name="_Toc241404204"/>
      <w:r>
        <w:rPr>
          <w:rFonts w:hint="eastAsia" w:ascii="宋体" w:hAnsi="宋体" w:cs="Arial"/>
          <w:bCs/>
          <w:sz w:val="22"/>
          <w:szCs w:val="22"/>
          <w:highlight w:val="none"/>
        </w:rPr>
        <w:t>开标形式</w:t>
      </w:r>
    </w:p>
    <w:p w14:paraId="3AF8A43D">
      <w:pPr>
        <w:tabs>
          <w:tab w:val="left" w:pos="0"/>
        </w:tabs>
        <w:spacing w:line="460" w:lineRule="exact"/>
        <w:ind w:firstLine="420" w:firstLineChars="191"/>
        <w:rPr>
          <w:rFonts w:ascii="宋体" w:hAnsi="宋体" w:cs="宋体"/>
          <w:bCs/>
          <w:kern w:val="0"/>
          <w:sz w:val="22"/>
          <w:szCs w:val="22"/>
          <w:highlight w:val="none"/>
        </w:rPr>
      </w:pPr>
      <w:r>
        <w:rPr>
          <w:rFonts w:hint="eastAsia" w:ascii="宋体" w:hAnsi="宋体" w:cs="宋体"/>
          <w:bCs/>
          <w:kern w:val="0"/>
          <w:sz w:val="22"/>
          <w:szCs w:val="22"/>
          <w:highlight w:val="none"/>
        </w:rPr>
        <w:t>采购组织机构将按照招标文件规定的时间通过“政采云平台”组织开标、开启投标文件，所有投标人均应当准时在线参加。</w:t>
      </w:r>
    </w:p>
    <w:p w14:paraId="4AA479BE">
      <w:pPr>
        <w:numPr>
          <w:ilvl w:val="0"/>
          <w:numId w:val="22"/>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开标准备</w:t>
      </w:r>
    </w:p>
    <w:p w14:paraId="5A23DEDD">
      <w:pPr>
        <w:numPr>
          <w:ilvl w:val="1"/>
          <w:numId w:val="2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开标的准备工作由采购组织机构负责落实。</w:t>
      </w:r>
    </w:p>
    <w:p w14:paraId="39DC1682">
      <w:pPr>
        <w:numPr>
          <w:ilvl w:val="1"/>
          <w:numId w:val="2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6F69178">
      <w:pPr>
        <w:numPr>
          <w:ilvl w:val="0"/>
          <w:numId w:val="22"/>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开标流程</w:t>
      </w:r>
    </w:p>
    <w:p w14:paraId="04C8A470">
      <w:pPr>
        <w:numPr>
          <w:ilvl w:val="1"/>
          <w:numId w:val="24"/>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按采购文件规定的时间、地点开启各投标人的投标文件。开标前，首先检查投标文件的密封情况，确认无误后开启投标文件（资格文件、商务技术文件、报价文件）</w:t>
      </w:r>
    </w:p>
    <w:p w14:paraId="6F205C11">
      <w:pPr>
        <w:numPr>
          <w:ilvl w:val="1"/>
          <w:numId w:val="24"/>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电子招投标开标及评审程序</w:t>
      </w:r>
    </w:p>
    <w:p w14:paraId="4BF2BBE7">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投标截止时间后，投标人登录政采云平台，用“项目采购-开标评标”功能对电子投标文件进行在线解密。在线解密电子投标文件时间为开标时间起30分钟内。</w:t>
      </w:r>
    </w:p>
    <w:p w14:paraId="4BD259D1">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在系统上公布各投标人名称、投标报价及招标文件规定的需要宣布的其他内容。</w:t>
      </w:r>
    </w:p>
    <w:p w14:paraId="766F6563">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评标委员会对资格文件和商务技术文件进行评审。</w:t>
      </w:r>
    </w:p>
    <w:p w14:paraId="46B286A1">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在系统上公开资格和商务技术评审结果。</w:t>
      </w:r>
    </w:p>
    <w:p w14:paraId="319132EC">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评标委员会对报价文件进行评审。</w:t>
      </w:r>
    </w:p>
    <w:p w14:paraId="48ECEF3C">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在系统上公布评审结果。</w:t>
      </w:r>
    </w:p>
    <w:p w14:paraId="6324FCD8">
      <w:pPr>
        <w:overflowPunct w:val="0"/>
        <w:spacing w:line="440" w:lineRule="exact"/>
        <w:ind w:firstLine="422" w:firstLineChars="191"/>
        <w:rPr>
          <w:rFonts w:ascii="宋体" w:hAnsi="宋体" w:cs="宋体"/>
          <w:b/>
          <w:bCs/>
          <w:sz w:val="22"/>
          <w:szCs w:val="22"/>
          <w:highlight w:val="none"/>
        </w:rPr>
      </w:pPr>
      <w:r>
        <w:rPr>
          <w:rFonts w:hint="eastAsia" w:ascii="宋体" w:hAnsi="宋体" w:cs="宋体"/>
          <w:b/>
          <w:bCs/>
          <w:sz w:val="22"/>
          <w:szCs w:val="22"/>
          <w:highlight w:val="none"/>
        </w:rPr>
        <w:t>特别说明：1、政采云公司如对电子化开标及评审程序有调整的，按调整后的程序操作。</w:t>
      </w:r>
    </w:p>
    <w:p w14:paraId="45F22B85">
      <w:pPr>
        <w:overflowPunct w:val="0"/>
        <w:spacing w:line="440" w:lineRule="exact"/>
        <w:ind w:firstLine="422" w:firstLineChars="191"/>
        <w:rPr>
          <w:rFonts w:ascii="宋体" w:hAnsi="宋体" w:cs="宋体"/>
          <w:b/>
          <w:bCs/>
          <w:sz w:val="22"/>
          <w:szCs w:val="22"/>
          <w:highlight w:val="none"/>
        </w:rPr>
      </w:pPr>
      <w:r>
        <w:rPr>
          <w:rFonts w:hint="eastAsia" w:ascii="宋体" w:hAnsi="宋体" w:cs="宋体"/>
          <w:b/>
          <w:bCs/>
          <w:sz w:val="22"/>
          <w:szCs w:val="22"/>
          <w:highlight w:val="none"/>
        </w:rPr>
        <w:t>2、目前政府采购全流程电子化交易，投标人须在规定时间内自行解密。</w:t>
      </w:r>
    </w:p>
    <w:p w14:paraId="22F58E3D">
      <w:pPr>
        <w:numPr>
          <w:ilvl w:val="1"/>
          <w:numId w:val="24"/>
        </w:numPr>
        <w:tabs>
          <w:tab w:val="left" w:pos="0"/>
          <w:tab w:val="clear" w:pos="992"/>
        </w:tabs>
        <w:spacing w:line="460" w:lineRule="exact"/>
        <w:ind w:left="0" w:firstLine="422" w:firstLineChars="191"/>
        <w:rPr>
          <w:rFonts w:ascii="宋体" w:hAnsi="宋体"/>
          <w:b/>
          <w:sz w:val="22"/>
          <w:szCs w:val="22"/>
          <w:highlight w:val="none"/>
          <w:u w:val="single"/>
        </w:rPr>
      </w:pPr>
      <w:r>
        <w:rPr>
          <w:rFonts w:hint="eastAsia" w:ascii="宋体" w:hAnsi="宋体"/>
          <w:b/>
          <w:sz w:val="22"/>
          <w:szCs w:val="22"/>
          <w:highlight w:val="none"/>
          <w:u w:val="single"/>
        </w:rPr>
        <w:t>电子响应文件解密结束后，各投标人签署《政府采购活动现场确认声明书》（见附件）后将扫描件发送至采购代理机构邮箱305606728@qq.com。</w:t>
      </w:r>
    </w:p>
    <w:p w14:paraId="491CB267">
      <w:pPr>
        <w:numPr>
          <w:ilvl w:val="1"/>
          <w:numId w:val="24"/>
        </w:numPr>
        <w:tabs>
          <w:tab w:val="left" w:pos="0"/>
          <w:tab w:val="clear" w:pos="992"/>
        </w:tabs>
        <w:spacing w:line="460" w:lineRule="exact"/>
        <w:ind w:left="0" w:firstLine="422" w:firstLineChars="191"/>
        <w:rPr>
          <w:rFonts w:ascii="宋体" w:hAnsi="宋体"/>
          <w:b/>
          <w:sz w:val="22"/>
          <w:szCs w:val="22"/>
          <w:highlight w:val="none"/>
        </w:rPr>
      </w:pPr>
      <w:r>
        <w:rPr>
          <w:rFonts w:hint="eastAsia" w:ascii="宋体" w:hAnsi="宋体"/>
          <w:b/>
          <w:sz w:val="22"/>
          <w:szCs w:val="22"/>
          <w:highlight w:val="none"/>
        </w:rPr>
        <w:t>评审结束后，在“政采云平台”系统平台上公布个采购人的详细情况及中标（成交）候选投标人名单的公告等。</w:t>
      </w:r>
    </w:p>
    <w:p w14:paraId="3F03203B">
      <w:pPr>
        <w:tabs>
          <w:tab w:val="left" w:pos="0"/>
        </w:tabs>
        <w:spacing w:line="460" w:lineRule="exact"/>
        <w:ind w:firstLine="422" w:firstLineChars="191"/>
        <w:rPr>
          <w:rFonts w:ascii="宋体" w:hAnsi="宋体" w:cs="宋体"/>
          <w:b/>
          <w:bCs/>
          <w:kern w:val="0"/>
          <w:sz w:val="22"/>
          <w:szCs w:val="22"/>
          <w:highlight w:val="none"/>
        </w:rPr>
      </w:pPr>
      <w:r>
        <w:rPr>
          <w:rFonts w:hint="eastAsia" w:ascii="宋体" w:hAnsi="宋体" w:cs="宋体"/>
          <w:b/>
          <w:bCs/>
          <w:kern w:val="0"/>
          <w:sz w:val="22"/>
          <w:szCs w:val="22"/>
          <w:highlight w:val="none"/>
        </w:rPr>
        <w:t>特别说明：如遇“政采云平台”电子化开标或评审程序调整的，按调整后程序执行。</w:t>
      </w:r>
    </w:p>
    <w:p w14:paraId="22604F98">
      <w:pPr>
        <w:spacing w:before="100" w:beforeAutospacing="1" w:after="100" w:afterAutospacing="1" w:line="440" w:lineRule="exact"/>
        <w:ind w:left="-6"/>
        <w:jc w:val="center"/>
        <w:outlineLvl w:val="0"/>
        <w:rPr>
          <w:rFonts w:ascii="宋体" w:hAnsi="宋体"/>
          <w:b/>
          <w:bCs/>
          <w:sz w:val="26"/>
          <w:szCs w:val="26"/>
          <w:highlight w:val="none"/>
        </w:rPr>
      </w:pPr>
      <w:bookmarkStart w:id="140" w:name="_Toc3372"/>
      <w:r>
        <w:rPr>
          <w:rFonts w:hint="eastAsia" w:ascii="宋体" w:hAnsi="宋体"/>
          <w:b/>
          <w:bCs/>
          <w:sz w:val="26"/>
          <w:szCs w:val="26"/>
          <w:highlight w:val="none"/>
        </w:rPr>
        <w:t>七、 评标</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306D74E">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评标委员会</w:t>
      </w:r>
    </w:p>
    <w:p w14:paraId="012E7742">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0574FB2A">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评标过程的保密性</w:t>
      </w:r>
    </w:p>
    <w:p w14:paraId="0FF93F96">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2AC50527">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投标文件的初审。初审分为资格性审查和符合性检查。</w:t>
      </w:r>
    </w:p>
    <w:p w14:paraId="5C1027D6">
      <w:pPr>
        <w:numPr>
          <w:ilvl w:val="1"/>
          <w:numId w:val="27"/>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资格性审查。</w:t>
      </w:r>
    </w:p>
    <w:p w14:paraId="657EC947">
      <w:pPr>
        <w:pStyle w:val="123"/>
        <w:numPr>
          <w:ilvl w:val="0"/>
          <w:numId w:val="28"/>
        </w:numPr>
        <w:tabs>
          <w:tab w:val="left" w:pos="425"/>
        </w:tabs>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37E1D659">
      <w:pPr>
        <w:pStyle w:val="123"/>
        <w:numPr>
          <w:ilvl w:val="0"/>
          <w:numId w:val="28"/>
        </w:numPr>
        <w:tabs>
          <w:tab w:val="left" w:pos="425"/>
        </w:tabs>
        <w:overflowPunct w:val="0"/>
        <w:spacing w:line="440" w:lineRule="exact"/>
        <w:ind w:left="0" w:firstLine="422" w:firstLineChars="191"/>
        <w:rPr>
          <w:rFonts w:ascii="宋体" w:hAnsi="宋体" w:cs="宋体"/>
          <w:b/>
          <w:bCs/>
          <w:sz w:val="22"/>
          <w:szCs w:val="22"/>
          <w:highlight w:val="none"/>
        </w:rPr>
      </w:pPr>
      <w:r>
        <w:rPr>
          <w:rFonts w:hint="eastAsia" w:ascii="宋体" w:hAnsi="宋体" w:cs="宋体"/>
          <w:b/>
          <w:bCs/>
          <w:sz w:val="22"/>
          <w:szCs w:val="22"/>
          <w:highlight w:val="none"/>
        </w:rPr>
        <w:t>在资格审查过程中，若对投标人的资格审查文件有疑问，采购组织机构将在系统上向投标人发起询标函</w:t>
      </w:r>
      <w:r>
        <w:rPr>
          <w:rFonts w:hint="eastAsia" w:ascii="宋体" w:hAnsi="宋体" w:cs="宋体"/>
          <w:b/>
          <w:bCs/>
          <w:sz w:val="22"/>
          <w:szCs w:val="22"/>
          <w:highlight w:val="none"/>
          <w:lang w:eastAsia="zh-CN"/>
        </w:rPr>
        <w:t>。</w:t>
      </w:r>
    </w:p>
    <w:p w14:paraId="3BC212F3">
      <w:pPr>
        <w:numPr>
          <w:ilvl w:val="1"/>
          <w:numId w:val="27"/>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符合性检查。依据招标文件的规定，从投标文件中的有效性、完整性和对招标文件的响应程度进行审查，并在“政采云系统-符合性评审”中录入投标人的符合性审查情况。</w:t>
      </w:r>
    </w:p>
    <w:p w14:paraId="30C84C33">
      <w:pPr>
        <w:numPr>
          <w:ilvl w:val="1"/>
          <w:numId w:val="27"/>
        </w:numPr>
        <w:tabs>
          <w:tab w:val="left" w:pos="0"/>
          <w:tab w:val="clear" w:pos="992"/>
        </w:tabs>
        <w:spacing w:line="460" w:lineRule="exact"/>
        <w:ind w:left="0" w:firstLine="422" w:firstLineChars="191"/>
        <w:rPr>
          <w:rFonts w:ascii="宋体" w:hAnsi="宋体"/>
          <w:b/>
          <w:sz w:val="22"/>
          <w:szCs w:val="22"/>
          <w:highlight w:val="none"/>
          <w:u w:val="single"/>
        </w:rPr>
      </w:pPr>
      <w:r>
        <w:rPr>
          <w:rFonts w:hint="eastAsia" w:ascii="宋体" w:hAnsi="宋体"/>
          <w:b/>
          <w:sz w:val="22"/>
          <w:szCs w:val="22"/>
          <w:highlight w:val="none"/>
          <w:u w:val="single"/>
        </w:rPr>
        <w:t>▲通过资格性审查与符合性审查的商务技术文件由评委进行综合评审，审查确认未通过的商务技术文件不予评审。</w:t>
      </w:r>
    </w:p>
    <w:p w14:paraId="14DE9A33">
      <w:pPr>
        <w:numPr>
          <w:ilvl w:val="0"/>
          <w:numId w:val="26"/>
        </w:numPr>
        <w:tabs>
          <w:tab w:val="left" w:pos="0"/>
          <w:tab w:val="clear" w:pos="420"/>
        </w:tabs>
        <w:spacing w:line="460" w:lineRule="exact"/>
        <w:ind w:left="0" w:firstLine="422" w:firstLineChars="191"/>
        <w:rPr>
          <w:rFonts w:ascii="宋体" w:hAnsi="宋体" w:cs="Arial"/>
          <w:b/>
          <w:sz w:val="22"/>
          <w:szCs w:val="22"/>
          <w:highlight w:val="none"/>
        </w:rPr>
      </w:pPr>
      <w:r>
        <w:rPr>
          <w:rFonts w:hint="eastAsia" w:ascii="宋体" w:hAnsi="宋体" w:cs="Arial"/>
          <w:b/>
          <w:sz w:val="22"/>
          <w:szCs w:val="22"/>
          <w:highlight w:val="none"/>
        </w:rPr>
        <w:t>无效标认定</w:t>
      </w:r>
    </w:p>
    <w:p w14:paraId="7CC9F7DA">
      <w:pPr>
        <w:numPr>
          <w:ilvl w:val="1"/>
          <w:numId w:val="29"/>
        </w:numPr>
        <w:tabs>
          <w:tab w:val="left" w:pos="360"/>
          <w:tab w:val="clear" w:pos="992"/>
        </w:tabs>
        <w:spacing w:line="460" w:lineRule="exact"/>
        <w:ind w:left="0" w:firstLine="422" w:firstLineChars="191"/>
        <w:rPr>
          <w:rFonts w:ascii="宋体" w:hAnsi="宋体" w:cs="Arial"/>
          <w:b/>
          <w:bCs/>
          <w:sz w:val="22"/>
          <w:szCs w:val="22"/>
          <w:highlight w:val="none"/>
          <w:u w:val="single"/>
        </w:rPr>
      </w:pPr>
      <w:r>
        <w:rPr>
          <w:rFonts w:hint="eastAsia" w:ascii="宋体" w:hAnsi="宋体" w:cs="Arial"/>
          <w:b/>
          <w:bCs/>
          <w:sz w:val="22"/>
          <w:szCs w:val="22"/>
          <w:highlight w:val="none"/>
          <w:u w:val="single"/>
        </w:rPr>
        <w:t>▲在对各投标人的投标文件进行综合评审时，投标文件有下列情况之一的，经评标委员会认定后按无效标处理：</w:t>
      </w:r>
    </w:p>
    <w:p w14:paraId="342E6DE5">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电子投标文件未按规定进行CA签章；</w:t>
      </w:r>
    </w:p>
    <w:p w14:paraId="25A0B1CB">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投标文件中要求投标人法定代表人或授权代表签字的地方无法定代表人签字或其授权代表签字的；</w:t>
      </w:r>
    </w:p>
    <w:p w14:paraId="0684581C">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不具备招标文件中规定的资格要求的；</w:t>
      </w:r>
    </w:p>
    <w:p w14:paraId="2766FB88">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报价超过招标文件中规定的预算金额或者最高限价的；</w:t>
      </w:r>
    </w:p>
    <w:p w14:paraId="44E032C5">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投标文件含有采购人不能接受的附加条件的；</w:t>
      </w:r>
    </w:p>
    <w:p w14:paraId="15287402">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经评标委员会认定投标人串通投标的；</w:t>
      </w:r>
    </w:p>
    <w:p w14:paraId="2CCF804B">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同时出现两种及以上不一致价格且修正后投标人不确认报价的；</w:t>
      </w:r>
    </w:p>
    <w:p w14:paraId="35641C05">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报价明显低于其他通过符合性审查投标人的报价，且在评标现场合理的时间内不能证明其报价合理性的；</w:t>
      </w:r>
    </w:p>
    <w:p w14:paraId="4D534D07">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授权代表无法定代表人合法、有效委托的；</w:t>
      </w:r>
    </w:p>
    <w:p w14:paraId="66EDE5B6">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sz w:val="22"/>
          <w:szCs w:val="22"/>
          <w:highlight w:val="none"/>
          <w:u w:val="single"/>
        </w:rPr>
        <w:t>规定时间内解密失败且经异常处理但政采云电子交易系统仍未能识别备份投标文件的；</w:t>
      </w:r>
    </w:p>
    <w:p w14:paraId="6FFA1C66">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评标委员会认定不符合法律、法规和招标文件中规定的其他实质性要求的。</w:t>
      </w:r>
    </w:p>
    <w:p w14:paraId="1FA4399E">
      <w:pPr>
        <w:numPr>
          <w:ilvl w:val="1"/>
          <w:numId w:val="29"/>
        </w:numPr>
        <w:tabs>
          <w:tab w:val="left" w:pos="360"/>
          <w:tab w:val="clear" w:pos="992"/>
        </w:tabs>
        <w:spacing w:line="460" w:lineRule="exact"/>
        <w:ind w:left="0" w:firstLine="422" w:firstLineChars="191"/>
        <w:rPr>
          <w:rFonts w:ascii="宋体" w:hAnsi="宋体" w:cs="Arial"/>
          <w:sz w:val="22"/>
          <w:szCs w:val="22"/>
          <w:highlight w:val="none"/>
        </w:rPr>
      </w:pPr>
      <w:r>
        <w:rPr>
          <w:rFonts w:hint="eastAsia" w:ascii="宋体" w:hAnsi="宋体" w:cs="Arial"/>
          <w:b/>
          <w:bCs/>
          <w:sz w:val="22"/>
          <w:szCs w:val="22"/>
          <w:highlight w:val="none"/>
          <w:u w:val="single"/>
        </w:rPr>
        <w:t>▲评标委员会发现投标文件有下列情形之一的属于重大偏差(评标委员会按少数服从多数原则认定),按照无效投标处理：</w:t>
      </w:r>
    </w:p>
    <w:p w14:paraId="5C721D0F">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1）未按招标文件要求编制或字迹模糊、辨认不清的投标文件；</w:t>
      </w:r>
    </w:p>
    <w:p w14:paraId="66A1AD95">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2）出现明显不符合技术规格、技术标准的要求或不满足招标文件技术规格书中的主要参数的投标文件；</w:t>
      </w:r>
    </w:p>
    <w:p w14:paraId="375747C1">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3）出现投标项目数量与招标文件对比出现较大偏差；商务报价明细表计算错误，出现较大差错；</w:t>
      </w:r>
    </w:p>
    <w:p w14:paraId="558E5193">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4）出现其它不符合招标文件中规定的实质性要求的投标文件，是否为偏离实质性要求由评标委员会认定。</w:t>
      </w:r>
    </w:p>
    <w:p w14:paraId="69D0BEDD">
      <w:pPr>
        <w:numPr>
          <w:ilvl w:val="1"/>
          <w:numId w:val="29"/>
        </w:numPr>
        <w:tabs>
          <w:tab w:val="left" w:pos="360"/>
          <w:tab w:val="clear" w:pos="992"/>
        </w:tabs>
        <w:spacing w:line="460" w:lineRule="exact"/>
        <w:ind w:left="0" w:firstLine="422" w:firstLineChars="191"/>
        <w:rPr>
          <w:rFonts w:ascii="宋体" w:hAnsi="宋体" w:cs="Arial"/>
          <w:b/>
          <w:bCs/>
          <w:sz w:val="22"/>
          <w:szCs w:val="22"/>
          <w:highlight w:val="none"/>
          <w:u w:val="single"/>
        </w:rPr>
      </w:pPr>
      <w:r>
        <w:rPr>
          <w:rFonts w:hint="eastAsia" w:ascii="宋体" w:hAnsi="宋体" w:cs="Arial"/>
          <w:b/>
          <w:bCs/>
          <w:sz w:val="22"/>
          <w:szCs w:val="22"/>
          <w:highlight w:val="none"/>
          <w:u w:val="single"/>
        </w:rPr>
        <w:t>▲有下列情形之一的，视为投标人串通投标，其投标无效：</w:t>
      </w:r>
    </w:p>
    <w:p w14:paraId="309F198B">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1)不同投标人的投标文件由同一单位或者个人编制；</w:t>
      </w:r>
    </w:p>
    <w:p w14:paraId="5E99EF73">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2)不同投标人委托同一单位或者个人办理投标事宜；</w:t>
      </w:r>
    </w:p>
    <w:p w14:paraId="688E9AF1">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3)不同投标人的投标文件载明的项目管理成员或者联系人员为同一人；</w:t>
      </w:r>
    </w:p>
    <w:p w14:paraId="13532B73">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4）不同投标人的投标文件异常一致或者投标报价呈规律性差异；</w:t>
      </w:r>
    </w:p>
    <w:p w14:paraId="1C60F4CD">
      <w:pPr>
        <w:spacing w:line="460" w:lineRule="exact"/>
        <w:ind w:firstLine="420" w:firstLineChars="191"/>
        <w:rPr>
          <w:rFonts w:hint="eastAsia" w:ascii="宋体" w:hAnsi="宋体" w:eastAsia="宋体" w:cs="宋体"/>
          <w:kern w:val="0"/>
          <w:sz w:val="22"/>
          <w:szCs w:val="22"/>
          <w:highlight w:val="none"/>
          <w:u w:val="single"/>
        </w:rPr>
      </w:pPr>
      <w:r>
        <w:rPr>
          <w:rFonts w:hint="eastAsia" w:ascii="宋体" w:hAnsi="宋体" w:cs="宋体"/>
          <w:kern w:val="0"/>
          <w:sz w:val="22"/>
          <w:szCs w:val="22"/>
          <w:highlight w:val="none"/>
          <w:u w:val="single"/>
        </w:rPr>
        <w:t>5）不同投标</w:t>
      </w:r>
      <w:r>
        <w:rPr>
          <w:rFonts w:hint="eastAsia" w:ascii="宋体" w:hAnsi="宋体" w:eastAsia="宋体" w:cs="宋体"/>
          <w:kern w:val="0"/>
          <w:sz w:val="22"/>
          <w:szCs w:val="22"/>
          <w:highlight w:val="none"/>
          <w:u w:val="single"/>
        </w:rPr>
        <w:t>人的投标文件相互混装；</w:t>
      </w:r>
    </w:p>
    <w:p w14:paraId="1F3AF52A">
      <w:pPr>
        <w:spacing w:line="460" w:lineRule="exact"/>
        <w:ind w:firstLine="420" w:firstLineChars="191"/>
        <w:rPr>
          <w:rFonts w:hint="eastAsia" w:ascii="宋体" w:hAnsi="宋体" w:eastAsia="宋体" w:cs="宋体"/>
          <w:kern w:val="0"/>
          <w:sz w:val="22"/>
          <w:szCs w:val="22"/>
          <w:highlight w:val="none"/>
          <w:u w:val="single"/>
          <w:lang w:val="en-US" w:eastAsia="zh-CN"/>
        </w:rPr>
      </w:pPr>
      <w:r>
        <w:rPr>
          <w:rFonts w:hint="eastAsia" w:ascii="宋体" w:hAnsi="宋体" w:cs="宋体"/>
          <w:kern w:val="0"/>
          <w:sz w:val="22"/>
          <w:szCs w:val="22"/>
          <w:highlight w:val="none"/>
          <w:u w:val="single"/>
          <w:lang w:val="en-US" w:eastAsia="zh-CN"/>
        </w:rPr>
        <w:t>6</w:t>
      </w:r>
      <w:r>
        <w:rPr>
          <w:rFonts w:hint="eastAsia" w:ascii="宋体" w:hAnsi="宋体" w:cs="宋体"/>
          <w:kern w:val="0"/>
          <w:sz w:val="22"/>
          <w:szCs w:val="22"/>
          <w:highlight w:val="none"/>
          <w:u w:val="single"/>
        </w:rPr>
        <w:t>）</w:t>
      </w:r>
      <w:r>
        <w:rPr>
          <w:rFonts w:hint="eastAsia" w:ascii="宋体" w:hAnsi="宋体" w:eastAsia="宋体" w:cs="宋体"/>
          <w:kern w:val="0"/>
          <w:sz w:val="22"/>
          <w:szCs w:val="22"/>
          <w:highlight w:val="none"/>
          <w:u w:val="single"/>
          <w:lang w:val="en-US" w:eastAsia="zh-CN"/>
        </w:rPr>
        <w:t>不同供应商的电子投标（响应）文件上传计算机的网卡MAC地址或硬盘序列号等硬件信息相同的；</w:t>
      </w:r>
    </w:p>
    <w:p w14:paraId="311989C6">
      <w:pPr>
        <w:spacing w:line="460" w:lineRule="exact"/>
        <w:ind w:firstLine="420" w:firstLineChars="191"/>
        <w:rPr>
          <w:rFonts w:hint="eastAsia" w:ascii="宋体" w:hAnsi="宋体" w:eastAsia="宋体" w:cs="宋体"/>
          <w:kern w:val="0"/>
          <w:sz w:val="22"/>
          <w:szCs w:val="22"/>
          <w:highlight w:val="none"/>
          <w:u w:val="single"/>
          <w:lang w:val="en-US" w:eastAsia="zh-CN"/>
        </w:rPr>
      </w:pPr>
      <w:r>
        <w:rPr>
          <w:rFonts w:hint="eastAsia" w:ascii="宋体" w:hAnsi="宋体" w:cs="宋体"/>
          <w:kern w:val="0"/>
          <w:sz w:val="22"/>
          <w:szCs w:val="22"/>
          <w:highlight w:val="none"/>
          <w:u w:val="single"/>
          <w:lang w:val="en-US" w:eastAsia="zh-CN"/>
        </w:rPr>
        <w:t>7</w:t>
      </w:r>
      <w:r>
        <w:rPr>
          <w:rFonts w:hint="eastAsia" w:ascii="宋体" w:hAnsi="宋体" w:cs="宋体"/>
          <w:kern w:val="0"/>
          <w:sz w:val="22"/>
          <w:szCs w:val="22"/>
          <w:highlight w:val="none"/>
          <w:u w:val="single"/>
        </w:rPr>
        <w:t>）</w:t>
      </w:r>
      <w:r>
        <w:rPr>
          <w:rFonts w:hint="eastAsia" w:ascii="宋体" w:hAnsi="宋体" w:eastAsia="宋体" w:cs="宋体"/>
          <w:kern w:val="0"/>
          <w:sz w:val="22"/>
          <w:szCs w:val="22"/>
          <w:highlight w:val="none"/>
          <w:u w:val="single"/>
          <w:lang w:val="en-US" w:eastAsia="zh-CN"/>
        </w:rPr>
        <w:t>上传的电子投标（响应）文件若出现使用本项目其他投标（响应）供应商的数字证书加密的，或者加盖本项目其他投标（响应）供应商的电子印章的；</w:t>
      </w:r>
    </w:p>
    <w:p w14:paraId="1ECE4059">
      <w:pPr>
        <w:spacing w:line="460" w:lineRule="exact"/>
        <w:ind w:firstLine="420" w:firstLineChars="191"/>
        <w:rPr>
          <w:rFonts w:hint="eastAsia" w:ascii="宋体" w:hAnsi="宋体" w:eastAsia="宋体" w:cs="宋体"/>
          <w:kern w:val="0"/>
          <w:sz w:val="22"/>
          <w:szCs w:val="22"/>
          <w:highlight w:val="none"/>
          <w:u w:val="single"/>
          <w:lang w:val="en-US" w:eastAsia="zh-CN"/>
        </w:rPr>
      </w:pPr>
      <w:r>
        <w:rPr>
          <w:rFonts w:hint="eastAsia" w:ascii="宋体" w:hAnsi="宋体" w:cs="宋体"/>
          <w:kern w:val="0"/>
          <w:sz w:val="22"/>
          <w:szCs w:val="22"/>
          <w:highlight w:val="none"/>
          <w:u w:val="single"/>
          <w:lang w:val="en-US" w:eastAsia="zh-CN"/>
        </w:rPr>
        <w:t>8</w:t>
      </w:r>
      <w:r>
        <w:rPr>
          <w:rFonts w:hint="eastAsia" w:ascii="宋体" w:hAnsi="宋体" w:cs="宋体"/>
          <w:kern w:val="0"/>
          <w:sz w:val="22"/>
          <w:szCs w:val="22"/>
          <w:highlight w:val="none"/>
          <w:u w:val="single"/>
        </w:rPr>
        <w:t>）</w:t>
      </w:r>
      <w:r>
        <w:rPr>
          <w:rFonts w:hint="eastAsia" w:ascii="宋体" w:hAnsi="宋体" w:eastAsia="宋体" w:cs="宋体"/>
          <w:kern w:val="0"/>
          <w:sz w:val="22"/>
          <w:szCs w:val="22"/>
          <w:highlight w:val="none"/>
          <w:u w:val="single"/>
          <w:lang w:val="en-US" w:eastAsia="zh-CN"/>
        </w:rPr>
        <w:t>不同供应商的投标（响应）文件的内容存在3处（含）以上错误一致的；</w:t>
      </w:r>
    </w:p>
    <w:p w14:paraId="47BC1F57">
      <w:pPr>
        <w:spacing w:line="460" w:lineRule="exact"/>
        <w:ind w:firstLine="420" w:firstLineChars="191"/>
        <w:rPr>
          <w:rFonts w:hint="eastAsia" w:ascii="宋体" w:hAnsi="宋体" w:eastAsia="宋体" w:cs="宋体"/>
          <w:kern w:val="0"/>
          <w:sz w:val="22"/>
          <w:szCs w:val="22"/>
          <w:highlight w:val="none"/>
          <w:u w:val="single"/>
        </w:rPr>
      </w:pPr>
      <w:r>
        <w:rPr>
          <w:rFonts w:hint="eastAsia" w:ascii="宋体" w:hAnsi="宋体" w:cs="宋体"/>
          <w:kern w:val="0"/>
          <w:sz w:val="22"/>
          <w:szCs w:val="22"/>
          <w:highlight w:val="none"/>
          <w:u w:val="single"/>
          <w:lang w:val="en-US" w:eastAsia="zh-CN"/>
        </w:rPr>
        <w:t>9</w:t>
      </w:r>
      <w:r>
        <w:rPr>
          <w:rFonts w:hint="eastAsia" w:ascii="宋体" w:hAnsi="宋体" w:cs="宋体"/>
          <w:kern w:val="0"/>
          <w:sz w:val="22"/>
          <w:szCs w:val="22"/>
          <w:highlight w:val="none"/>
          <w:u w:val="single"/>
        </w:rPr>
        <w:t>）</w:t>
      </w:r>
      <w:r>
        <w:rPr>
          <w:rFonts w:hint="eastAsia" w:ascii="宋体" w:hAnsi="宋体" w:eastAsia="宋体" w:cs="宋体"/>
          <w:kern w:val="0"/>
          <w:sz w:val="22"/>
          <w:szCs w:val="22"/>
          <w:highlight w:val="none"/>
          <w:u w:val="single"/>
          <w:lang w:val="en-US" w:eastAsia="zh-CN"/>
        </w:rPr>
        <w:t>不同供应商联系人为同一人或不同联系人的联系电话一致的。</w:t>
      </w:r>
    </w:p>
    <w:p w14:paraId="05B9E96F">
      <w:pPr>
        <w:numPr>
          <w:ilvl w:val="1"/>
          <w:numId w:val="29"/>
        </w:numPr>
        <w:tabs>
          <w:tab w:val="left" w:pos="360"/>
          <w:tab w:val="clear" w:pos="992"/>
        </w:tabs>
        <w:spacing w:line="460" w:lineRule="exact"/>
        <w:ind w:left="0" w:firstLine="422" w:firstLineChars="191"/>
        <w:rPr>
          <w:rFonts w:ascii="宋体" w:hAnsi="宋体" w:cs="Arial"/>
          <w:b/>
          <w:bCs/>
          <w:sz w:val="22"/>
          <w:szCs w:val="22"/>
          <w:highlight w:val="none"/>
          <w:u w:val="single"/>
        </w:rPr>
      </w:pPr>
      <w:r>
        <w:rPr>
          <w:rFonts w:hint="eastAsia" w:ascii="宋体" w:hAnsi="宋体" w:cs="Arial"/>
          <w:b/>
          <w:bCs/>
          <w:sz w:val="22"/>
          <w:szCs w:val="22"/>
          <w:highlight w:val="none"/>
          <w:u w:val="single"/>
        </w:rPr>
        <w:t>▲本项目采用政采云电子招投标开标及评审程序，如有以下情形之一的，按以下情况处理：</w:t>
      </w:r>
    </w:p>
    <w:p w14:paraId="72EBB08D">
      <w:pPr>
        <w:numPr>
          <w:ilvl w:val="0"/>
          <w:numId w:val="31"/>
        </w:numPr>
        <w:spacing w:line="360" w:lineRule="auto"/>
        <w:ind w:left="0" w:firstLine="420" w:firstLineChars="191"/>
        <w:rPr>
          <w:rFonts w:ascii="宋体" w:hAnsi="宋体" w:cs="宋体"/>
          <w:sz w:val="22"/>
          <w:szCs w:val="22"/>
          <w:highlight w:val="none"/>
          <w:u w:val="single"/>
        </w:rPr>
      </w:pPr>
      <w:r>
        <w:rPr>
          <w:rFonts w:hint="eastAsia" w:ascii="宋体" w:hAnsi="宋体" w:cs="宋体"/>
          <w:sz w:val="22"/>
          <w:szCs w:val="22"/>
          <w:highlight w:val="none"/>
          <w:u w:val="single"/>
        </w:rPr>
        <w:t>投标人在规定时间内无法解密或解密失败的作无效投标处理。解密成功的投标人不足三家的，本项目流标重新组织采购活动。</w:t>
      </w:r>
    </w:p>
    <w:p w14:paraId="1B66C007">
      <w:pPr>
        <w:numPr>
          <w:ilvl w:val="0"/>
          <w:numId w:val="31"/>
        </w:numPr>
        <w:spacing w:line="360" w:lineRule="auto"/>
        <w:ind w:left="0" w:firstLine="420" w:firstLineChars="191"/>
        <w:rPr>
          <w:rFonts w:ascii="宋体" w:hAnsi="宋体" w:cs="宋体"/>
          <w:sz w:val="22"/>
          <w:szCs w:val="22"/>
          <w:highlight w:val="none"/>
          <w:u w:val="single"/>
        </w:rPr>
      </w:pPr>
      <w:r>
        <w:rPr>
          <w:rFonts w:hint="eastAsia" w:ascii="宋体" w:hAnsi="宋体" w:cs="宋体"/>
          <w:sz w:val="22"/>
          <w:szCs w:val="22"/>
          <w:highlight w:val="none"/>
          <w:u w:val="single"/>
        </w:rPr>
        <w:t>因政采云平台原因无法读取或电子开评标无法正常进行，采购机构将情况上报行业监管部门同意后，重新组织采购活动。</w:t>
      </w:r>
    </w:p>
    <w:p w14:paraId="2E8A4574">
      <w:pPr>
        <w:numPr>
          <w:ilvl w:val="0"/>
          <w:numId w:val="31"/>
        </w:numPr>
        <w:spacing w:line="360" w:lineRule="auto"/>
        <w:ind w:left="0" w:firstLine="420" w:firstLineChars="191"/>
        <w:rPr>
          <w:rFonts w:ascii="宋体" w:hAnsi="宋体" w:cs="宋体"/>
          <w:sz w:val="22"/>
          <w:szCs w:val="22"/>
          <w:highlight w:val="none"/>
          <w:u w:val="single"/>
        </w:rPr>
      </w:pPr>
      <w:r>
        <w:rPr>
          <w:rFonts w:hint="eastAsia" w:ascii="宋体" w:hAnsi="宋体" w:cs="宋体"/>
          <w:sz w:val="22"/>
          <w:szCs w:val="22"/>
          <w:highlight w:val="none"/>
          <w:u w:val="single"/>
        </w:rPr>
        <w:t>符合专业条件的投标人或者对招标文件作实质响应的投标人不足3家的，本次招标按废标处理，重新组织招标。</w:t>
      </w:r>
    </w:p>
    <w:p w14:paraId="7070E544">
      <w:pPr>
        <w:numPr>
          <w:ilvl w:val="1"/>
          <w:numId w:val="29"/>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30988868">
      <w:pPr>
        <w:numPr>
          <w:ilvl w:val="1"/>
          <w:numId w:val="29"/>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实质上没有响应招标文件要求的投标将被否决，投标人不得通过修正或撤消不合要求的偏离或保留从而使其投标成为实质上响应的投标。</w:t>
      </w:r>
    </w:p>
    <w:p w14:paraId="53D74FDA">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投标文件的澄清</w:t>
      </w:r>
    </w:p>
    <w:p w14:paraId="065DEFCF">
      <w:pPr>
        <w:numPr>
          <w:ilvl w:val="1"/>
          <w:numId w:val="3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4972A745">
      <w:pPr>
        <w:numPr>
          <w:ilvl w:val="1"/>
          <w:numId w:val="3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58B5AEA7">
      <w:pPr>
        <w:numPr>
          <w:ilvl w:val="1"/>
          <w:numId w:val="32"/>
        </w:numPr>
        <w:tabs>
          <w:tab w:val="left" w:pos="360"/>
          <w:tab w:val="clear" w:pos="992"/>
        </w:tabs>
        <w:spacing w:line="460" w:lineRule="exact"/>
        <w:ind w:left="0" w:firstLine="422" w:firstLineChars="191"/>
        <w:rPr>
          <w:rFonts w:ascii="宋体" w:hAnsi="宋体" w:cs="Arial"/>
          <w:b/>
          <w:bCs/>
          <w:sz w:val="22"/>
          <w:szCs w:val="22"/>
          <w:highlight w:val="none"/>
        </w:rPr>
      </w:pPr>
      <w:r>
        <w:rPr>
          <w:rFonts w:hint="eastAsia" w:ascii="宋体" w:hAnsi="宋体" w:cs="Arial"/>
          <w:b/>
          <w:bCs/>
          <w:sz w:val="22"/>
          <w:szCs w:val="22"/>
          <w:highlight w:val="none"/>
        </w:rPr>
        <w:t>投标文件报价出现前后不一致的，除招标文件另有规定外，按照下列规定修正：</w:t>
      </w:r>
    </w:p>
    <w:p w14:paraId="24CD8806">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sz w:val="22"/>
          <w:highlight w:val="none"/>
        </w:rPr>
        <w:t>投标文件中开标一览表（报价表）内容与投标文件中相应内容不一致的，以开标一览表（报价表）为准</w:t>
      </w:r>
      <w:r>
        <w:rPr>
          <w:rFonts w:hint="eastAsia" w:ascii="宋体" w:hAnsi="宋体" w:cs="宋体"/>
          <w:kern w:val="0"/>
          <w:sz w:val="22"/>
          <w:szCs w:val="22"/>
          <w:highlight w:val="none"/>
        </w:rPr>
        <w:t>。</w:t>
      </w:r>
    </w:p>
    <w:p w14:paraId="39E48B59">
      <w:pPr>
        <w:spacing w:line="460" w:lineRule="exact"/>
        <w:ind w:firstLine="420" w:firstLineChars="191"/>
        <w:rPr>
          <w:rFonts w:ascii="宋体" w:hAnsi="宋体" w:cs="宋体"/>
          <w:sz w:val="22"/>
          <w:highlight w:val="none"/>
        </w:rPr>
      </w:pPr>
      <w:r>
        <w:rPr>
          <w:rFonts w:hint="eastAsia" w:ascii="宋体" w:hAnsi="宋体" w:cs="宋体"/>
          <w:kern w:val="0"/>
          <w:sz w:val="22"/>
          <w:szCs w:val="22"/>
          <w:highlight w:val="none"/>
        </w:rPr>
        <w:t>2）</w:t>
      </w:r>
      <w:r>
        <w:rPr>
          <w:rFonts w:hint="eastAsia" w:ascii="宋体" w:hAnsi="宋体" w:cs="宋体"/>
          <w:sz w:val="22"/>
          <w:highlight w:val="none"/>
        </w:rPr>
        <w:t>大写金额和小写金额不一致的，以大写金额为准。</w:t>
      </w:r>
    </w:p>
    <w:p w14:paraId="7FF7746B">
      <w:pPr>
        <w:spacing w:line="460" w:lineRule="exact"/>
        <w:ind w:firstLine="420" w:firstLineChars="191"/>
        <w:rPr>
          <w:rFonts w:ascii="宋体" w:hAnsi="宋体" w:cs="宋体"/>
          <w:sz w:val="22"/>
          <w:highlight w:val="none"/>
        </w:rPr>
      </w:pPr>
      <w:r>
        <w:rPr>
          <w:rFonts w:hint="eastAsia" w:ascii="宋体" w:hAnsi="宋体" w:cs="宋体"/>
          <w:sz w:val="22"/>
          <w:highlight w:val="none"/>
        </w:rPr>
        <w:t>3）单价金额小数点或者百分比有明显错位的，以开标一览表的总价为准，并修改单价。</w:t>
      </w:r>
    </w:p>
    <w:p w14:paraId="6B68D73D">
      <w:pPr>
        <w:spacing w:line="460" w:lineRule="exact"/>
        <w:ind w:firstLine="420" w:firstLineChars="191"/>
        <w:rPr>
          <w:rFonts w:ascii="宋体" w:hAnsi="宋体" w:cs="宋体"/>
          <w:sz w:val="22"/>
          <w:highlight w:val="none"/>
        </w:rPr>
      </w:pPr>
      <w:r>
        <w:rPr>
          <w:rFonts w:hint="eastAsia" w:ascii="宋体" w:hAnsi="宋体" w:cs="宋体"/>
          <w:sz w:val="22"/>
          <w:highlight w:val="none"/>
        </w:rPr>
        <w:t>4）总价金额与按单价汇总金额不一致的，以单价金额计算结果为准。</w:t>
      </w:r>
    </w:p>
    <w:p w14:paraId="0553FEE8">
      <w:pPr>
        <w:spacing w:line="460" w:lineRule="exact"/>
        <w:ind w:firstLine="420" w:firstLineChars="191"/>
        <w:rPr>
          <w:rFonts w:ascii="宋体" w:hAnsi="宋体" w:cs="宋体"/>
          <w:b/>
          <w:bCs/>
          <w:sz w:val="22"/>
          <w:highlight w:val="none"/>
        </w:rPr>
      </w:pPr>
      <w:r>
        <w:rPr>
          <w:rFonts w:hint="eastAsia" w:ascii="宋体" w:hAnsi="宋体" w:cs="宋体"/>
          <w:sz w:val="22"/>
          <w:highlight w:val="none"/>
        </w:rPr>
        <w:t>5）</w:t>
      </w:r>
      <w:r>
        <w:rPr>
          <w:rFonts w:hint="eastAsia" w:ascii="宋体" w:hAnsi="宋体" w:cs="宋体"/>
          <w:b/>
          <w:bCs/>
          <w:sz w:val="22"/>
          <w:highlight w:val="none"/>
        </w:rPr>
        <w:t>同时出现两种以上不一致的，按照前款规定的顺序修正。修正后的报价按照本招标文件规定经投标人确认后产生约束力，投标人不确认的，其投标无效。</w:t>
      </w:r>
    </w:p>
    <w:p w14:paraId="7415F151">
      <w:pPr>
        <w:numPr>
          <w:ilvl w:val="1"/>
          <w:numId w:val="32"/>
        </w:numPr>
        <w:tabs>
          <w:tab w:val="left" w:pos="360"/>
          <w:tab w:val="clear" w:pos="992"/>
        </w:tabs>
        <w:spacing w:line="460" w:lineRule="exact"/>
        <w:ind w:left="0" w:firstLine="420" w:firstLineChars="191"/>
        <w:rPr>
          <w:rFonts w:ascii="宋体" w:hAnsi="宋体" w:cs="Arial"/>
          <w:b/>
          <w:bCs/>
          <w:sz w:val="22"/>
          <w:szCs w:val="22"/>
          <w:highlight w:val="none"/>
        </w:rPr>
      </w:pPr>
      <w:r>
        <w:rPr>
          <w:rFonts w:hint="eastAsia" w:ascii="宋体" w:hAnsi="宋体" w:cs="宋体"/>
          <w:kern w:val="0"/>
          <w:sz w:val="22"/>
          <w:szCs w:val="22"/>
          <w:highlight w:val="none"/>
        </w:rPr>
        <w:t>▲</w:t>
      </w:r>
      <w:r>
        <w:rPr>
          <w:rFonts w:hint="eastAsia" w:ascii="宋体" w:hAnsi="宋体" w:cs="宋体"/>
          <w:b/>
          <w:bCs/>
          <w:kern w:val="0"/>
          <w:sz w:val="22"/>
          <w:szCs w:val="22"/>
          <w:highlight w:val="none"/>
        </w:rPr>
        <w:t>评标委员会认为投标人的报价明显低于其他通过符合性审查投标人的报价，有可能影响产品质</w:t>
      </w:r>
      <w:r>
        <w:rPr>
          <w:rFonts w:hint="eastAsia" w:ascii="宋体" w:hAnsi="宋体" w:cs="Arial"/>
          <w:b/>
          <w:bCs/>
          <w:sz w:val="22"/>
          <w:szCs w:val="22"/>
          <w:highlight w:val="none"/>
        </w:rPr>
        <w:t>量或者不能诚信履约的，将要求其在合理时间内在“政采云平台”上作出在线澄清并提供书面说明，必要时提交相关证明材料；投标人不能证明其报价合理性的，评标委员会应当将其作为无效投标处理。</w:t>
      </w:r>
    </w:p>
    <w:p w14:paraId="4EE6EA31">
      <w:pPr>
        <w:numPr>
          <w:ilvl w:val="1"/>
          <w:numId w:val="3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如果投标人代表拒绝按评标委员会要求在“政采云平台”作出在线回复且无其他有效回复方式的，评标委员会可以对其作出否决投标处理。</w:t>
      </w:r>
    </w:p>
    <w:p w14:paraId="51D5E819">
      <w:pPr>
        <w:numPr>
          <w:ilvl w:val="1"/>
          <w:numId w:val="3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经澄清后，若偏差仍存在，且不可接受，则投标文件将被认定为“没有实质性响应招标文件要求”，按无效投标处理，不再进入下一步评审。</w:t>
      </w:r>
    </w:p>
    <w:p w14:paraId="79F25700">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评标原则和评标办法</w:t>
      </w:r>
    </w:p>
    <w:p w14:paraId="4C1D1B3F">
      <w:pPr>
        <w:numPr>
          <w:ilvl w:val="1"/>
          <w:numId w:val="3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0823805">
      <w:pPr>
        <w:numPr>
          <w:ilvl w:val="1"/>
          <w:numId w:val="3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6518417B">
      <w:pPr>
        <w:numPr>
          <w:ilvl w:val="1"/>
          <w:numId w:val="3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3D50685">
      <w:pPr>
        <w:numPr>
          <w:ilvl w:val="1"/>
          <w:numId w:val="3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本项目评标办法是综合评分法，具体评标内容及评分标准等详见第三部分“评标原则及方法”。</w:t>
      </w:r>
    </w:p>
    <w:p w14:paraId="1AB0387E">
      <w:pPr>
        <w:numPr>
          <w:ilvl w:val="1"/>
          <w:numId w:val="3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评标过程中遇到特殊情况，由评标委员会遵循公开、公正原则，采取投票方式按照少数服从多数原则决定。</w:t>
      </w:r>
    </w:p>
    <w:p w14:paraId="40B0B7D7">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确定中标候选人</w:t>
      </w:r>
    </w:p>
    <w:p w14:paraId="6E285362">
      <w:pPr>
        <w:numPr>
          <w:ilvl w:val="1"/>
          <w:numId w:val="34"/>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本次招标由评标委员会推荐中标候选人，采购人根据评标委员会的推荐结果进行最终确认。</w:t>
      </w:r>
    </w:p>
    <w:p w14:paraId="4FD1DC3D">
      <w:pPr>
        <w:numPr>
          <w:ilvl w:val="1"/>
          <w:numId w:val="34"/>
        </w:numPr>
        <w:tabs>
          <w:tab w:val="left" w:pos="360"/>
          <w:tab w:val="clear" w:pos="992"/>
        </w:tabs>
        <w:spacing w:line="460" w:lineRule="exact"/>
        <w:ind w:left="0" w:firstLine="420" w:firstLineChars="191"/>
        <w:rPr>
          <w:rFonts w:ascii="宋体" w:hAnsi="宋体" w:cs="宋体"/>
          <w:kern w:val="0"/>
          <w:sz w:val="22"/>
          <w:szCs w:val="22"/>
          <w:highlight w:val="none"/>
        </w:rPr>
      </w:pPr>
      <w:r>
        <w:rPr>
          <w:rFonts w:hint="eastAsia" w:ascii="宋体" w:hAnsi="宋体" w:cs="Arial"/>
          <w:sz w:val="22"/>
          <w:szCs w:val="22"/>
          <w:highlight w:val="none"/>
        </w:rPr>
        <w:t>评标委员会依据法律、法规及采购文件有关规定在有效标中按投标人的综合得分（商务技术分</w:t>
      </w:r>
      <w:r>
        <w:rPr>
          <w:rFonts w:hint="eastAsia" w:ascii="宋体" w:hAnsi="宋体" w:cs="宋体"/>
          <w:b/>
          <w:bCs/>
          <w:kern w:val="0"/>
          <w:sz w:val="22"/>
          <w:szCs w:val="22"/>
          <w:highlight w:val="none"/>
        </w:rPr>
        <w:t>及报价分之各）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70A650EA">
      <w:pPr>
        <w:numPr>
          <w:ilvl w:val="1"/>
          <w:numId w:val="34"/>
        </w:numPr>
        <w:tabs>
          <w:tab w:val="left" w:pos="360"/>
          <w:tab w:val="clear" w:pos="992"/>
        </w:tabs>
        <w:spacing w:line="460" w:lineRule="exact"/>
        <w:ind w:left="0" w:firstLine="422" w:firstLineChars="191"/>
        <w:rPr>
          <w:rFonts w:ascii="宋体" w:hAnsi="宋体" w:cs="Arial"/>
          <w:sz w:val="22"/>
          <w:szCs w:val="22"/>
          <w:highlight w:val="none"/>
        </w:rPr>
      </w:pPr>
      <w:r>
        <w:rPr>
          <w:rFonts w:hint="eastAsia" w:ascii="宋体" w:hAnsi="宋体" w:cs="Arial"/>
          <w:b/>
          <w:bCs/>
          <w:sz w:val="22"/>
          <w:szCs w:val="22"/>
          <w:highlight w:val="none"/>
          <w:u w:val="single"/>
        </w:rPr>
        <w:t>若出现以下情形之一，采购人可视具体情况确定是否由备选中标人为中标人或重新组织招标：</w:t>
      </w:r>
    </w:p>
    <w:p w14:paraId="23598963">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1）中标候选人放弃中标资格；</w:t>
      </w:r>
    </w:p>
    <w:p w14:paraId="46D8B13C">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2）中标候选人因不可抗力提出不能履行合同；</w:t>
      </w:r>
    </w:p>
    <w:p w14:paraId="2C8AF79B">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3）中标候选人未能在规定时间内与采购单位签订合同；</w:t>
      </w:r>
    </w:p>
    <w:p w14:paraId="53927C5A">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4）经质疑，采购人审查后，中标候选人确实在本次采购活动中存在违法违规行为或其他原因使质疑成立的。</w:t>
      </w:r>
    </w:p>
    <w:p w14:paraId="1C13E212">
      <w:pPr>
        <w:numPr>
          <w:ilvl w:val="1"/>
          <w:numId w:val="34"/>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采购人、采购代理机构及评标委员会对未中标的投标人不作解释。</w:t>
      </w:r>
    </w:p>
    <w:p w14:paraId="2995E374">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bookmarkStart w:id="141" w:name="_Toc34508136"/>
      <w:bookmarkStart w:id="142" w:name="_Toc306613654"/>
      <w:bookmarkStart w:id="143" w:name="_Toc34221901"/>
      <w:r>
        <w:rPr>
          <w:rFonts w:hint="eastAsia" w:ascii="宋体" w:hAnsi="宋体" w:cs="Arial"/>
          <w:bCs/>
          <w:sz w:val="22"/>
          <w:szCs w:val="22"/>
          <w:highlight w:val="none"/>
        </w:rPr>
        <w:t xml:space="preserve"> 可中止电子交易活动的情形</w:t>
      </w:r>
    </w:p>
    <w:p w14:paraId="7F36E56F">
      <w:pPr>
        <w:numPr>
          <w:ilvl w:val="1"/>
          <w:numId w:val="35"/>
        </w:numPr>
        <w:tabs>
          <w:tab w:val="left" w:pos="640"/>
          <w:tab w:val="clear" w:pos="992"/>
        </w:tabs>
        <w:spacing w:line="460" w:lineRule="exact"/>
        <w:ind w:left="0" w:firstLine="422" w:firstLineChars="191"/>
        <w:rPr>
          <w:rFonts w:ascii="宋体" w:hAnsi="宋体" w:cs="Arial"/>
          <w:b/>
          <w:bCs/>
          <w:sz w:val="22"/>
          <w:szCs w:val="22"/>
          <w:highlight w:val="none"/>
        </w:rPr>
      </w:pPr>
      <w:r>
        <w:rPr>
          <w:rFonts w:hint="eastAsia" w:ascii="宋体" w:hAnsi="宋体" w:cs="Arial"/>
          <w:b/>
          <w:bCs/>
          <w:sz w:val="22"/>
          <w:szCs w:val="22"/>
          <w:highlight w:val="none"/>
        </w:rPr>
        <w:t>采购过程中出现以下情形，导致电子交易平台无法正常运行，或者无法保证电子交易的公平、公正和安全时，采购组织机构可中止电子交易活动：</w:t>
      </w:r>
    </w:p>
    <w:p w14:paraId="5D40C807">
      <w:pPr>
        <w:numPr>
          <w:ilvl w:val="2"/>
          <w:numId w:val="36"/>
        </w:numPr>
        <w:tabs>
          <w:tab w:val="left" w:pos="993"/>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电子交易平台发生故障而无法登录访问的；</w:t>
      </w:r>
    </w:p>
    <w:p w14:paraId="3356E599">
      <w:pPr>
        <w:numPr>
          <w:ilvl w:val="2"/>
          <w:numId w:val="36"/>
        </w:numPr>
        <w:tabs>
          <w:tab w:val="left" w:pos="993"/>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电子交易平台应用或数据库出现错误，不能进行正常操作的；</w:t>
      </w:r>
    </w:p>
    <w:p w14:paraId="78FB4D8B">
      <w:pPr>
        <w:numPr>
          <w:ilvl w:val="2"/>
          <w:numId w:val="36"/>
        </w:numPr>
        <w:tabs>
          <w:tab w:val="left" w:pos="993"/>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电子交易平台发现严重安全漏洞，有潜在泄密危险的；</w:t>
      </w:r>
    </w:p>
    <w:p w14:paraId="3BE5B3C8">
      <w:pPr>
        <w:numPr>
          <w:ilvl w:val="2"/>
          <w:numId w:val="36"/>
        </w:numPr>
        <w:tabs>
          <w:tab w:val="left" w:pos="993"/>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病毒发作导致不能进行正常操作的；</w:t>
      </w:r>
    </w:p>
    <w:p w14:paraId="54AD9BBF">
      <w:pPr>
        <w:numPr>
          <w:ilvl w:val="2"/>
          <w:numId w:val="36"/>
        </w:numPr>
        <w:tabs>
          <w:tab w:val="left" w:pos="993"/>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其他无法保证电子交易的公平、公正和安全的情况。</w:t>
      </w:r>
    </w:p>
    <w:p w14:paraId="54532200">
      <w:pPr>
        <w:numPr>
          <w:ilvl w:val="1"/>
          <w:numId w:val="35"/>
        </w:numPr>
        <w:tabs>
          <w:tab w:val="left" w:pos="64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出现前款规定情形，不影响采购公平、公正性的，采购组织机构可以待上述情形消除后继续组织电子交易活动；影响或可能影响采购公平、公正性的，应当重新采购。</w:t>
      </w:r>
    </w:p>
    <w:p w14:paraId="28DF68EE">
      <w:pPr>
        <w:pStyle w:val="5"/>
        <w:ind w:left="420"/>
        <w:jc w:val="center"/>
        <w:rPr>
          <w:rFonts w:ascii="宋体" w:hAnsi="宋体"/>
          <w:sz w:val="26"/>
          <w:szCs w:val="26"/>
          <w:highlight w:val="none"/>
        </w:rPr>
      </w:pPr>
      <w:bookmarkStart w:id="144" w:name="_Toc29829"/>
      <w:r>
        <w:rPr>
          <w:rFonts w:hint="eastAsia" w:ascii="宋体" w:hAnsi="宋体"/>
          <w:sz w:val="26"/>
          <w:szCs w:val="26"/>
          <w:highlight w:val="none"/>
        </w:rPr>
        <w:t xml:space="preserve">八、 </w:t>
      </w:r>
      <w:bookmarkStart w:id="145" w:name="_Toc32607"/>
      <w:r>
        <w:rPr>
          <w:rFonts w:hint="eastAsia" w:ascii="宋体" w:hAnsi="宋体"/>
          <w:sz w:val="26"/>
          <w:szCs w:val="26"/>
          <w:highlight w:val="none"/>
        </w:rPr>
        <w:t>授予合同</w:t>
      </w:r>
      <w:bookmarkEnd w:id="141"/>
      <w:bookmarkEnd w:id="142"/>
      <w:bookmarkEnd w:id="143"/>
      <w:bookmarkEnd w:id="144"/>
      <w:bookmarkEnd w:id="145"/>
    </w:p>
    <w:p w14:paraId="7554917C">
      <w:pPr>
        <w:numPr>
          <w:ilvl w:val="0"/>
          <w:numId w:val="37"/>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确定中标人</w:t>
      </w:r>
    </w:p>
    <w:p w14:paraId="4209A0DA">
      <w:pPr>
        <w:numPr>
          <w:ilvl w:val="1"/>
          <w:numId w:val="38"/>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采购人自收到评标报告之日起5个工作日内，在评标报告确定的中标候选人名单中按顺序确定中标人。</w:t>
      </w:r>
    </w:p>
    <w:p w14:paraId="566E4A62">
      <w:pPr>
        <w:numPr>
          <w:ilvl w:val="1"/>
          <w:numId w:val="38"/>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中标人确定之日起2个工作日内，在“政采云”平台上公示中标结果，中标公告期限为1个工作日；</w:t>
      </w:r>
    </w:p>
    <w:p w14:paraId="2F5D45BC">
      <w:pPr>
        <w:numPr>
          <w:ilvl w:val="1"/>
          <w:numId w:val="38"/>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在公告中标结果的同时，采购人向中标人发出中标通知书。</w:t>
      </w:r>
    </w:p>
    <w:p w14:paraId="26B183CD">
      <w:pPr>
        <w:numPr>
          <w:ilvl w:val="1"/>
          <w:numId w:val="38"/>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各投标人对评标结果如有异议，可在中标结果公示之日起7个工作日内以书面形式向采购人进行署名投诉或提出质疑，但需对投诉或质疑内容的真实性承担法律责任。</w:t>
      </w:r>
    </w:p>
    <w:p w14:paraId="1EE1FE55">
      <w:pPr>
        <w:numPr>
          <w:ilvl w:val="0"/>
          <w:numId w:val="37"/>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签订合同</w:t>
      </w:r>
    </w:p>
    <w:p w14:paraId="2F50C264">
      <w:pPr>
        <w:numPr>
          <w:ilvl w:val="1"/>
          <w:numId w:val="39"/>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26A06E45">
      <w:pPr>
        <w:numPr>
          <w:ilvl w:val="1"/>
          <w:numId w:val="39"/>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招标文件、中标人的投标文件及投标修改文件、评标过程中有关澄清文件及经双方签字的询标纪要（承诺）和中标通知书均作为合同附件。</w:t>
      </w:r>
    </w:p>
    <w:p w14:paraId="2D7BB3A8">
      <w:pPr>
        <w:numPr>
          <w:ilvl w:val="1"/>
          <w:numId w:val="39"/>
        </w:numPr>
        <w:tabs>
          <w:tab w:val="left" w:pos="360"/>
          <w:tab w:val="clear" w:pos="992"/>
        </w:tabs>
        <w:spacing w:line="460" w:lineRule="exact"/>
        <w:ind w:left="0" w:firstLine="422" w:firstLineChars="191"/>
        <w:rPr>
          <w:rFonts w:ascii="宋体" w:hAnsi="宋体" w:cs="Arial"/>
          <w:b/>
          <w:bCs/>
          <w:sz w:val="22"/>
          <w:szCs w:val="22"/>
          <w:highlight w:val="none"/>
        </w:rPr>
      </w:pPr>
      <w:r>
        <w:rPr>
          <w:rFonts w:hint="eastAsia" w:ascii="宋体" w:hAnsi="宋体" w:cs="Arial"/>
          <w:b/>
          <w:bCs/>
          <w:sz w:val="22"/>
          <w:szCs w:val="22"/>
          <w:highlight w:val="none"/>
        </w:rPr>
        <w:t>中标投标人应在合同签订后2个工作日内提交一份合同文本扫描件报招标代理机构备案。</w:t>
      </w:r>
    </w:p>
    <w:p w14:paraId="630A6B74">
      <w:pPr>
        <w:numPr>
          <w:ilvl w:val="1"/>
          <w:numId w:val="39"/>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中标人在规定时间内（30日历天）借故否认已经承诺的条件、拒签合同，以投标违约处理，并赔偿采购人由此造成的直接经济损失；采购人重新组织招标的，所需费用由原中标人承担。</w:t>
      </w:r>
    </w:p>
    <w:p w14:paraId="77FD6CFB">
      <w:pPr>
        <w:numPr>
          <w:ilvl w:val="0"/>
          <w:numId w:val="37"/>
        </w:numPr>
        <w:tabs>
          <w:tab w:val="left" w:pos="0"/>
          <w:tab w:val="clear" w:pos="420"/>
        </w:tabs>
        <w:spacing w:line="460" w:lineRule="exact"/>
        <w:ind w:left="0" w:firstLine="422" w:firstLineChars="191"/>
        <w:rPr>
          <w:rFonts w:ascii="宋体" w:hAnsi="宋体" w:cs="Arial"/>
          <w:bCs/>
          <w:sz w:val="22"/>
          <w:szCs w:val="22"/>
          <w:highlight w:val="none"/>
        </w:rPr>
      </w:pPr>
      <w:r>
        <w:rPr>
          <w:rFonts w:hint="eastAsia" w:ascii="宋体" w:hAnsi="宋体" w:cs="Arial"/>
          <w:b/>
          <w:sz w:val="22"/>
          <w:szCs w:val="22"/>
          <w:highlight w:val="none"/>
        </w:rPr>
        <w:t>根据《浙江省财政厅关于明确政府采购保证金管理工作的通知》（浙财采监〔2019〕5号）规定“投标人在政府采购活动中违反政府采购相关规定给采购组织机构造成损失的，采购组织机构可按照采购文件约定要求投标人承担赔偿责任。”的规定，对因</w:t>
      </w:r>
      <w:r>
        <w:rPr>
          <w:rFonts w:hint="eastAsia" w:ascii="宋体" w:hAnsi="宋体" w:cs="宋体"/>
          <w:b/>
          <w:kern w:val="0"/>
          <w:sz w:val="22"/>
          <w:szCs w:val="22"/>
          <w:highlight w:val="none"/>
        </w:rPr>
        <w:t>违法违规行为或其他原因取消</w:t>
      </w:r>
      <w:r>
        <w:rPr>
          <w:rFonts w:hint="eastAsia" w:ascii="宋体" w:hAnsi="宋体" w:cs="Arial"/>
          <w:b/>
          <w:sz w:val="22"/>
          <w:szCs w:val="22"/>
          <w:highlight w:val="none"/>
        </w:rPr>
        <w:t>中标（成交）资格，或自愿放弃中标（成交）资格的投标人，需承担代理费和专家评审费等费用。</w:t>
      </w:r>
    </w:p>
    <w:p w14:paraId="4BB67D3D">
      <w:pPr>
        <w:pStyle w:val="5"/>
        <w:ind w:left="420"/>
        <w:jc w:val="center"/>
        <w:rPr>
          <w:rFonts w:ascii="宋体" w:hAnsi="宋体"/>
          <w:sz w:val="26"/>
          <w:szCs w:val="26"/>
          <w:highlight w:val="none"/>
        </w:rPr>
      </w:pPr>
      <w:bookmarkStart w:id="146" w:name="_Toc26763"/>
      <w:bookmarkStart w:id="147" w:name="_Toc25540"/>
      <w:bookmarkStart w:id="148" w:name="_Toc18423"/>
      <w:r>
        <w:rPr>
          <w:rFonts w:hint="eastAsia" w:ascii="宋体" w:hAnsi="宋体"/>
          <w:sz w:val="26"/>
          <w:szCs w:val="26"/>
          <w:highlight w:val="none"/>
        </w:rPr>
        <w:t>九、验收</w:t>
      </w:r>
      <w:bookmarkEnd w:id="146"/>
      <w:bookmarkEnd w:id="147"/>
      <w:bookmarkEnd w:id="148"/>
    </w:p>
    <w:p w14:paraId="069B5E3E">
      <w:pPr>
        <w:numPr>
          <w:ilvl w:val="0"/>
          <w:numId w:val="40"/>
        </w:numPr>
        <w:tabs>
          <w:tab w:val="left" w:pos="0"/>
          <w:tab w:val="clear" w:pos="420"/>
        </w:tabs>
        <w:spacing w:line="460" w:lineRule="exact"/>
        <w:ind w:left="0" w:firstLine="420"/>
        <w:rPr>
          <w:rFonts w:ascii="宋体" w:hAnsi="宋体" w:cs="Arial"/>
          <w:bCs/>
          <w:sz w:val="22"/>
          <w:szCs w:val="22"/>
          <w:highlight w:val="none"/>
        </w:rPr>
      </w:pPr>
      <w:r>
        <w:rPr>
          <w:rFonts w:hint="eastAsia" w:ascii="宋体" w:hAnsi="宋体" w:cs="Arial"/>
          <w:bCs/>
          <w:sz w:val="22"/>
          <w:szCs w:val="22"/>
          <w:highlight w:val="none"/>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5F4D1A03">
      <w:pPr>
        <w:numPr>
          <w:ilvl w:val="0"/>
          <w:numId w:val="40"/>
        </w:numPr>
        <w:tabs>
          <w:tab w:val="left" w:pos="0"/>
          <w:tab w:val="clear" w:pos="420"/>
        </w:tabs>
        <w:spacing w:line="460" w:lineRule="exact"/>
        <w:ind w:left="0" w:firstLine="420"/>
        <w:rPr>
          <w:rFonts w:ascii="宋体" w:hAnsi="宋体" w:cs="Arial"/>
          <w:bCs/>
          <w:sz w:val="22"/>
          <w:szCs w:val="22"/>
          <w:highlight w:val="none"/>
        </w:rPr>
      </w:pPr>
      <w:r>
        <w:rPr>
          <w:rFonts w:hint="eastAsia" w:ascii="宋体" w:hAnsi="宋体" w:cs="Arial"/>
          <w:bCs/>
          <w:sz w:val="22"/>
          <w:szCs w:val="22"/>
          <w:highlight w:val="none"/>
        </w:rPr>
        <w:t>采购人可以邀请参加本项目的其他投标人或者第三方机构参与验收。参与验收的投标人或者第三方机构的意见作为验收书的参考资料一并存档。</w:t>
      </w:r>
    </w:p>
    <w:p w14:paraId="67A0923E">
      <w:pPr>
        <w:numPr>
          <w:ilvl w:val="0"/>
          <w:numId w:val="40"/>
        </w:numPr>
        <w:tabs>
          <w:tab w:val="left" w:pos="0"/>
          <w:tab w:val="clear" w:pos="420"/>
        </w:tabs>
        <w:spacing w:line="460" w:lineRule="exact"/>
        <w:ind w:left="0" w:firstLine="420"/>
        <w:rPr>
          <w:rFonts w:ascii="宋体" w:hAnsi="宋体" w:cs="Arial"/>
          <w:bCs/>
          <w:sz w:val="22"/>
          <w:szCs w:val="22"/>
          <w:highlight w:val="none"/>
        </w:rPr>
      </w:pPr>
      <w:r>
        <w:rPr>
          <w:rFonts w:hint="eastAsia" w:ascii="宋体" w:hAnsi="宋体" w:cs="Arial"/>
          <w:bCs/>
          <w:sz w:val="22"/>
          <w:szCs w:val="22"/>
          <w:highlight w:val="none"/>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CA1B866">
      <w:pPr>
        <w:numPr>
          <w:ilvl w:val="0"/>
          <w:numId w:val="40"/>
        </w:numPr>
        <w:tabs>
          <w:tab w:val="left" w:pos="0"/>
          <w:tab w:val="clear" w:pos="420"/>
        </w:tabs>
        <w:spacing w:line="460" w:lineRule="exact"/>
        <w:ind w:left="0" w:firstLine="420"/>
        <w:rPr>
          <w:rFonts w:ascii="宋体" w:hAnsi="宋体" w:cs="Arial"/>
          <w:bCs/>
          <w:sz w:val="22"/>
          <w:szCs w:val="22"/>
          <w:highlight w:val="none"/>
        </w:rPr>
      </w:pPr>
      <w:r>
        <w:rPr>
          <w:rFonts w:hint="eastAsia" w:ascii="宋体" w:hAnsi="宋体" w:cs="Arial"/>
          <w:bCs/>
          <w:sz w:val="22"/>
          <w:szCs w:val="22"/>
          <w:highlight w:val="none"/>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48F46D75">
      <w:pPr>
        <w:numPr>
          <w:ilvl w:val="0"/>
          <w:numId w:val="40"/>
        </w:numPr>
        <w:tabs>
          <w:tab w:val="left" w:pos="0"/>
          <w:tab w:val="clear" w:pos="420"/>
        </w:tabs>
        <w:spacing w:line="460" w:lineRule="exact"/>
        <w:ind w:left="0" w:firstLine="420"/>
        <w:rPr>
          <w:rFonts w:ascii="宋体" w:hAnsi="宋体" w:cs="Arial"/>
          <w:b/>
          <w:sz w:val="22"/>
          <w:szCs w:val="22"/>
          <w:highlight w:val="none"/>
        </w:rPr>
      </w:pPr>
      <w:bookmarkStart w:id="149" w:name="_Hlt68073093"/>
      <w:bookmarkEnd w:id="149"/>
      <w:bookmarkStart w:id="150" w:name="_Hlt74730295"/>
      <w:bookmarkEnd w:id="150"/>
      <w:bookmarkStart w:id="151" w:name="_Hlt68057669"/>
      <w:bookmarkEnd w:id="151"/>
      <w:bookmarkStart w:id="152" w:name="_Hlt75236101"/>
      <w:bookmarkEnd w:id="152"/>
      <w:bookmarkStart w:id="153" w:name="_Hlt68072990"/>
      <w:bookmarkEnd w:id="153"/>
      <w:bookmarkStart w:id="154" w:name="_Hlt68072998"/>
      <w:bookmarkEnd w:id="154"/>
      <w:bookmarkStart w:id="155" w:name="_Hlt74729768"/>
      <w:bookmarkEnd w:id="155"/>
      <w:bookmarkStart w:id="156" w:name="_Hlt74714665"/>
      <w:bookmarkEnd w:id="156"/>
      <w:bookmarkStart w:id="157" w:name="_Hlt75236290"/>
      <w:bookmarkEnd w:id="157"/>
      <w:bookmarkStart w:id="158" w:name="_Hlt68403820"/>
      <w:bookmarkEnd w:id="158"/>
      <w:bookmarkStart w:id="159" w:name="_Hlt74707468"/>
      <w:bookmarkEnd w:id="159"/>
      <w:bookmarkStart w:id="160" w:name="_Hlt75236011"/>
      <w:bookmarkEnd w:id="160"/>
      <w:r>
        <w:rPr>
          <w:rFonts w:hint="eastAsia" w:ascii="宋体" w:hAnsi="宋体" w:cs="Arial"/>
          <w:b/>
          <w:sz w:val="22"/>
          <w:szCs w:val="22"/>
          <w:highlight w:val="none"/>
        </w:rPr>
        <w:t>履约验收费用由投标人承担，因投标人原因造成验收不通过的，再次验收的费用仍由投标人承担。如采用简易验收的，则不需要支付该笔费用。</w:t>
      </w:r>
    </w:p>
    <w:p w14:paraId="7CCE4479">
      <w:pPr>
        <w:pStyle w:val="4"/>
        <w:rPr>
          <w:highlight w:val="none"/>
        </w:rPr>
      </w:pPr>
    </w:p>
    <w:p w14:paraId="09EDD4A7">
      <w:pPr>
        <w:pStyle w:val="26"/>
        <w:rPr>
          <w:highlight w:val="none"/>
        </w:rPr>
      </w:pPr>
    </w:p>
    <w:p w14:paraId="34C16178">
      <w:pPr>
        <w:pStyle w:val="77"/>
        <w:rPr>
          <w:rFonts w:ascii="宋体" w:hAnsi="宋体"/>
          <w:sz w:val="22"/>
          <w:szCs w:val="22"/>
          <w:highlight w:val="none"/>
        </w:rPr>
      </w:pPr>
    </w:p>
    <w:p w14:paraId="44FB328B">
      <w:pPr>
        <w:widowControl/>
        <w:spacing w:before="60" w:after="60" w:line="400" w:lineRule="exact"/>
        <w:ind w:left="424" w:leftChars="202" w:right="60" w:firstLine="440" w:firstLineChars="200"/>
        <w:jc w:val="center"/>
        <w:rPr>
          <w:rFonts w:ascii="宋体" w:hAnsi="宋体"/>
          <w:sz w:val="22"/>
          <w:szCs w:val="22"/>
          <w:highlight w:val="none"/>
        </w:rPr>
      </w:pPr>
    </w:p>
    <w:p w14:paraId="1CF19855">
      <w:pPr>
        <w:widowControl/>
        <w:spacing w:before="60" w:after="60" w:line="400" w:lineRule="exact"/>
        <w:ind w:left="424" w:leftChars="202" w:right="60" w:firstLine="440" w:firstLineChars="200"/>
        <w:jc w:val="center"/>
        <w:rPr>
          <w:rStyle w:val="78"/>
          <w:rFonts w:ascii="宋体" w:hAnsi="宋体" w:eastAsia="宋体" w:cs="宋体"/>
          <w:sz w:val="36"/>
          <w:szCs w:val="36"/>
          <w:highlight w:val="none"/>
        </w:rPr>
      </w:pPr>
      <w:r>
        <w:rPr>
          <w:rFonts w:hint="eastAsia" w:ascii="宋体" w:hAnsi="宋体"/>
          <w:sz w:val="22"/>
          <w:szCs w:val="22"/>
          <w:highlight w:val="none"/>
        </w:rPr>
        <w:br w:type="page"/>
      </w:r>
      <w:bookmarkStart w:id="161" w:name="_Toc19382"/>
      <w:bookmarkStart w:id="162" w:name="_Toc245191317"/>
      <w:bookmarkStart w:id="163" w:name="_Toc221423622"/>
      <w:bookmarkStart w:id="164" w:name="_Toc245722284"/>
      <w:bookmarkStart w:id="165" w:name="_Toc246261268"/>
      <w:bookmarkStart w:id="166" w:name="_Toc249758867"/>
      <w:bookmarkStart w:id="167" w:name="_Toc221374629"/>
      <w:bookmarkStart w:id="168" w:name="_Toc241404205"/>
      <w:bookmarkStart w:id="169" w:name="_Toc221356954"/>
      <w:bookmarkStart w:id="170" w:name="_Toc262049421"/>
      <w:bookmarkStart w:id="171" w:name="_Toc223716001"/>
      <w:bookmarkStart w:id="172" w:name="_Toc222114882"/>
      <w:bookmarkStart w:id="173" w:name="_Toc221356890"/>
      <w:bookmarkStart w:id="174" w:name="_Toc249758715"/>
      <w:bookmarkStart w:id="175" w:name="_Toc262105506"/>
      <w:bookmarkStart w:id="176" w:name="_Toc239145357"/>
      <w:r>
        <w:rPr>
          <w:rStyle w:val="78"/>
          <w:rFonts w:hint="eastAsia" w:ascii="宋体" w:hAnsi="宋体" w:eastAsia="宋体" w:cs="宋体"/>
          <w:sz w:val="36"/>
          <w:szCs w:val="36"/>
          <w:highlight w:val="none"/>
        </w:rPr>
        <w:t xml:space="preserve">第二部分   </w:t>
      </w:r>
      <w:bookmarkEnd w:id="161"/>
      <w:r>
        <w:rPr>
          <w:rFonts w:hint="eastAsia" w:ascii="宋体" w:hAnsi="宋体" w:eastAsia="宋体" w:cs="Arial"/>
          <w:b/>
          <w:bCs/>
          <w:kern w:val="2"/>
          <w:sz w:val="36"/>
          <w:szCs w:val="36"/>
          <w:highlight w:val="none"/>
          <w:lang w:val="en-US" w:eastAsia="zh-CN" w:bidi="ar-SA"/>
        </w:rPr>
        <w:t>采购内容及需求</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281F0CAF">
      <w:pPr>
        <w:numPr>
          <w:ilvl w:val="0"/>
          <w:numId w:val="0"/>
        </w:numPr>
        <w:spacing w:line="360" w:lineRule="auto"/>
        <w:rPr>
          <w:rFonts w:hint="eastAsia" w:ascii="宋体" w:hAnsi="宋体" w:eastAsia="宋体" w:cs="宋体"/>
          <w:b/>
          <w:bCs/>
          <w:sz w:val="24"/>
          <w:szCs w:val="24"/>
          <w:highlight w:val="none"/>
        </w:rPr>
      </w:pPr>
      <w:bookmarkStart w:id="177" w:name="_Toc221356892"/>
      <w:bookmarkStart w:id="178" w:name="_Toc241404207"/>
      <w:bookmarkStart w:id="179" w:name="_Toc245191319"/>
      <w:bookmarkStart w:id="180" w:name="_Toc262049424"/>
      <w:bookmarkStart w:id="181" w:name="_Toc239145359"/>
      <w:bookmarkStart w:id="182" w:name="_Toc249758719"/>
      <w:bookmarkStart w:id="183" w:name="_Toc249758718"/>
      <w:bookmarkStart w:id="184" w:name="_Toc245722286"/>
      <w:bookmarkStart w:id="185" w:name="_Toc221356956"/>
      <w:bookmarkStart w:id="186" w:name="_Toc221423624"/>
      <w:bookmarkStart w:id="187" w:name="_Toc222114884"/>
      <w:bookmarkStart w:id="188" w:name="_Toc249758870"/>
      <w:bookmarkStart w:id="189" w:name="_Toc223716003"/>
      <w:bookmarkStart w:id="190" w:name="_Toc246261270"/>
      <w:bookmarkStart w:id="191" w:name="_Toc262105509"/>
      <w:bookmarkStart w:id="192" w:name="_Toc221374631"/>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sz w:val="24"/>
          <w:szCs w:val="24"/>
          <w:highlight w:val="none"/>
        </w:rPr>
        <w:t>招标范围</w:t>
      </w:r>
    </w:p>
    <w:tbl>
      <w:tblPr>
        <w:tblStyle w:val="63"/>
        <w:tblW w:w="10057"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8"/>
        <w:gridCol w:w="1574"/>
        <w:gridCol w:w="1033"/>
        <w:gridCol w:w="818"/>
        <w:gridCol w:w="819"/>
        <w:gridCol w:w="857"/>
        <w:gridCol w:w="1550"/>
        <w:gridCol w:w="920"/>
        <w:gridCol w:w="1428"/>
      </w:tblGrid>
      <w:tr w14:paraId="22D0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058" w:type="dxa"/>
            <w:tcMar>
              <w:top w:w="15" w:type="dxa"/>
              <w:left w:w="15" w:type="dxa"/>
              <w:right w:w="15" w:type="dxa"/>
            </w:tcMar>
            <w:vAlign w:val="center"/>
          </w:tcPr>
          <w:p w14:paraId="4A747F3F">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名称</w:t>
            </w:r>
          </w:p>
        </w:tc>
        <w:tc>
          <w:tcPr>
            <w:tcW w:w="1574" w:type="dxa"/>
            <w:tcMar>
              <w:top w:w="15" w:type="dxa"/>
              <w:left w:w="15" w:type="dxa"/>
              <w:right w:w="15" w:type="dxa"/>
            </w:tcMar>
            <w:vAlign w:val="center"/>
          </w:tcPr>
          <w:p w14:paraId="76A35360">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标项名称</w:t>
            </w:r>
          </w:p>
        </w:tc>
        <w:tc>
          <w:tcPr>
            <w:tcW w:w="1033" w:type="dxa"/>
            <w:tcMar>
              <w:top w:w="15" w:type="dxa"/>
              <w:left w:w="15" w:type="dxa"/>
              <w:right w:w="15" w:type="dxa"/>
            </w:tcMar>
            <w:vAlign w:val="center"/>
          </w:tcPr>
          <w:p w14:paraId="055DA36C">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采购类别</w:t>
            </w:r>
          </w:p>
        </w:tc>
        <w:tc>
          <w:tcPr>
            <w:tcW w:w="818" w:type="dxa"/>
            <w:tcMar>
              <w:top w:w="15" w:type="dxa"/>
              <w:left w:w="15" w:type="dxa"/>
              <w:right w:w="15" w:type="dxa"/>
            </w:tcMar>
            <w:vAlign w:val="center"/>
          </w:tcPr>
          <w:p w14:paraId="0A6CFA59">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户数</w:t>
            </w:r>
          </w:p>
        </w:tc>
        <w:tc>
          <w:tcPr>
            <w:tcW w:w="819" w:type="dxa"/>
            <w:tcMar>
              <w:top w:w="15" w:type="dxa"/>
              <w:left w:w="15" w:type="dxa"/>
              <w:right w:w="15" w:type="dxa"/>
            </w:tcMar>
            <w:vAlign w:val="center"/>
          </w:tcPr>
          <w:p w14:paraId="21E105BF">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预计建筑面积（㎡）</w:t>
            </w:r>
          </w:p>
        </w:tc>
        <w:tc>
          <w:tcPr>
            <w:tcW w:w="857" w:type="dxa"/>
            <w:tcMar>
              <w:top w:w="15" w:type="dxa"/>
              <w:left w:w="15" w:type="dxa"/>
              <w:right w:w="15" w:type="dxa"/>
            </w:tcMar>
            <w:vAlign w:val="center"/>
          </w:tcPr>
          <w:p w14:paraId="6A496680">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购买服务阶段</w:t>
            </w:r>
          </w:p>
        </w:tc>
        <w:tc>
          <w:tcPr>
            <w:tcW w:w="1550" w:type="dxa"/>
            <w:shd w:val="clear" w:color="auto" w:fill="auto"/>
            <w:tcMar>
              <w:top w:w="15" w:type="dxa"/>
              <w:left w:w="15" w:type="dxa"/>
              <w:right w:w="15" w:type="dxa"/>
            </w:tcMar>
            <w:vAlign w:val="center"/>
          </w:tcPr>
          <w:p w14:paraId="1CC104CD">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最高预算单价</w:t>
            </w:r>
          </w:p>
          <w:p w14:paraId="6D5A4455">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（元/㎡）</w:t>
            </w:r>
          </w:p>
        </w:tc>
        <w:tc>
          <w:tcPr>
            <w:tcW w:w="920" w:type="dxa"/>
            <w:shd w:val="clear" w:color="auto" w:fill="auto"/>
            <w:tcMar>
              <w:top w:w="15" w:type="dxa"/>
              <w:left w:w="15" w:type="dxa"/>
              <w:right w:w="15" w:type="dxa"/>
            </w:tcMar>
            <w:vAlign w:val="center"/>
          </w:tcPr>
          <w:p w14:paraId="3BDC337E">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最高</w:t>
            </w:r>
            <w:r>
              <w:rPr>
                <w:rFonts w:hint="eastAsia" w:ascii="宋体" w:hAnsi="宋体" w:eastAsia="宋体" w:cs="宋体"/>
                <w:sz w:val="24"/>
                <w:szCs w:val="24"/>
                <w:highlight w:val="none"/>
                <w:lang w:val="en-US" w:eastAsia="zh-CN"/>
              </w:rPr>
              <w:t>限价</w:t>
            </w:r>
            <w:r>
              <w:rPr>
                <w:rFonts w:hint="eastAsia" w:ascii="宋体" w:hAnsi="宋体" w:eastAsia="宋体" w:cs="宋体"/>
                <w:sz w:val="24"/>
                <w:szCs w:val="24"/>
                <w:highlight w:val="none"/>
              </w:rPr>
              <w:t>（元）</w:t>
            </w:r>
          </w:p>
        </w:tc>
        <w:tc>
          <w:tcPr>
            <w:tcW w:w="1428" w:type="dxa"/>
            <w:shd w:val="clear" w:color="auto" w:fill="auto"/>
            <w:tcMar>
              <w:top w:w="15" w:type="dxa"/>
              <w:left w:w="15" w:type="dxa"/>
              <w:right w:w="15" w:type="dxa"/>
            </w:tcMar>
            <w:vAlign w:val="center"/>
          </w:tcPr>
          <w:p w14:paraId="17A6BC63">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r w14:paraId="2FBE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1058" w:type="dxa"/>
            <w:vMerge w:val="restart"/>
            <w:tcMar>
              <w:top w:w="15" w:type="dxa"/>
              <w:left w:w="15" w:type="dxa"/>
              <w:right w:w="15" w:type="dxa"/>
            </w:tcMar>
            <w:vAlign w:val="center"/>
          </w:tcPr>
          <w:p w14:paraId="6D093A6A">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cs="宋体"/>
                <w:bCs/>
                <w:kern w:val="0"/>
                <w:sz w:val="24"/>
                <w:szCs w:val="24"/>
                <w:highlight w:val="none"/>
                <w:lang w:eastAsia="zh-CN"/>
              </w:rPr>
              <w:t>温州至福州高速铁路（龙湾段）工程海滨街道北片区房屋征收事务代理项目</w:t>
            </w:r>
          </w:p>
        </w:tc>
        <w:tc>
          <w:tcPr>
            <w:tcW w:w="1574" w:type="dxa"/>
            <w:vMerge w:val="restart"/>
            <w:tcMar>
              <w:top w:w="15" w:type="dxa"/>
              <w:left w:w="15" w:type="dxa"/>
              <w:right w:w="15" w:type="dxa"/>
            </w:tcMar>
            <w:vAlign w:val="center"/>
          </w:tcPr>
          <w:p w14:paraId="77D857BF">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cs="宋体"/>
                <w:bCs/>
                <w:kern w:val="0"/>
                <w:sz w:val="24"/>
                <w:szCs w:val="24"/>
                <w:highlight w:val="none"/>
                <w:lang w:eastAsia="zh-CN"/>
              </w:rPr>
              <w:t>温州至福州高速铁路（龙湾段）工程海滨街道北片区房屋征收事务代理项目</w:t>
            </w:r>
            <w:r>
              <w:rPr>
                <w:rFonts w:hint="eastAsia" w:ascii="宋体" w:hAnsi="宋体" w:eastAsia="宋体" w:cs="宋体"/>
                <w:bCs/>
                <w:kern w:val="0"/>
                <w:sz w:val="24"/>
                <w:szCs w:val="24"/>
                <w:highlight w:val="none"/>
                <w:lang w:val="en-US" w:eastAsia="zh-CN"/>
              </w:rPr>
              <w:t>一标段</w:t>
            </w:r>
          </w:p>
        </w:tc>
        <w:tc>
          <w:tcPr>
            <w:tcW w:w="1033" w:type="dxa"/>
            <w:vMerge w:val="restart"/>
            <w:tcMar>
              <w:top w:w="15" w:type="dxa"/>
              <w:left w:w="15" w:type="dxa"/>
              <w:right w:w="15" w:type="dxa"/>
            </w:tcMar>
            <w:vAlign w:val="center"/>
          </w:tcPr>
          <w:p w14:paraId="34CA7D13">
            <w:pPr>
              <w:widowControl/>
              <w:jc w:val="center"/>
              <w:textAlignment w:val="center"/>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eastAsia="zh-CN"/>
              </w:rPr>
              <w:t>住宅用房征收</w:t>
            </w:r>
          </w:p>
        </w:tc>
        <w:tc>
          <w:tcPr>
            <w:tcW w:w="818" w:type="dxa"/>
            <w:vMerge w:val="restart"/>
            <w:tcMar>
              <w:top w:w="15" w:type="dxa"/>
              <w:left w:w="15" w:type="dxa"/>
              <w:right w:w="15" w:type="dxa"/>
            </w:tcMar>
            <w:vAlign w:val="center"/>
          </w:tcPr>
          <w:p w14:paraId="08D8174F">
            <w:pPr>
              <w:widowControl/>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750</w:t>
            </w:r>
          </w:p>
        </w:tc>
        <w:tc>
          <w:tcPr>
            <w:tcW w:w="819" w:type="dxa"/>
            <w:vMerge w:val="restart"/>
            <w:tcMar>
              <w:top w:w="15" w:type="dxa"/>
              <w:left w:w="15" w:type="dxa"/>
              <w:right w:w="15" w:type="dxa"/>
            </w:tcMar>
            <w:vAlign w:val="center"/>
          </w:tcPr>
          <w:p w14:paraId="11E29404">
            <w:pPr>
              <w:widowControl/>
              <w:jc w:val="center"/>
              <w:textAlignment w:val="center"/>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0000</w:t>
            </w:r>
          </w:p>
        </w:tc>
        <w:tc>
          <w:tcPr>
            <w:tcW w:w="857" w:type="dxa"/>
            <w:tcMar>
              <w:top w:w="15" w:type="dxa"/>
              <w:left w:w="15" w:type="dxa"/>
              <w:right w:w="15" w:type="dxa"/>
            </w:tcMar>
            <w:vAlign w:val="center"/>
          </w:tcPr>
          <w:p w14:paraId="7694D1F1">
            <w:pPr>
              <w:widowControl/>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前期</w:t>
            </w:r>
          </w:p>
        </w:tc>
        <w:tc>
          <w:tcPr>
            <w:tcW w:w="1550" w:type="dxa"/>
            <w:shd w:val="clear" w:color="auto" w:fill="auto"/>
            <w:tcMar>
              <w:top w:w="15" w:type="dxa"/>
              <w:left w:w="15" w:type="dxa"/>
              <w:right w:w="15" w:type="dxa"/>
            </w:tcMar>
            <w:vAlign w:val="center"/>
          </w:tcPr>
          <w:p w14:paraId="5196F431">
            <w:pPr>
              <w:widowControl/>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w:t>
            </w:r>
          </w:p>
        </w:tc>
        <w:tc>
          <w:tcPr>
            <w:tcW w:w="920" w:type="dxa"/>
            <w:vMerge w:val="restart"/>
            <w:shd w:val="clear" w:color="auto" w:fill="auto"/>
            <w:tcMar>
              <w:top w:w="15" w:type="dxa"/>
              <w:left w:w="15" w:type="dxa"/>
              <w:right w:w="15" w:type="dxa"/>
            </w:tcMar>
            <w:vAlign w:val="center"/>
          </w:tcPr>
          <w:p w14:paraId="27EF3D8C">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2100000</w:t>
            </w:r>
          </w:p>
        </w:tc>
        <w:tc>
          <w:tcPr>
            <w:tcW w:w="1428" w:type="dxa"/>
            <w:vMerge w:val="restart"/>
            <w:shd w:val="clear" w:color="auto" w:fill="auto"/>
            <w:tcMar>
              <w:top w:w="15" w:type="dxa"/>
              <w:left w:w="15" w:type="dxa"/>
              <w:right w:w="15" w:type="dxa"/>
            </w:tcMar>
            <w:vAlign w:val="center"/>
          </w:tcPr>
          <w:p w14:paraId="65176C23">
            <w:pPr>
              <w:widowControl/>
              <w:jc w:val="center"/>
              <w:textAlignment w:val="center"/>
              <w:rPr>
                <w:rFonts w:hint="eastAsia" w:ascii="宋体" w:hAnsi="宋体" w:cs="宋体"/>
                <w:sz w:val="24"/>
                <w:szCs w:val="24"/>
                <w:highlight w:val="none"/>
                <w:lang w:eastAsia="zh-CN"/>
              </w:rPr>
            </w:pPr>
            <w:r>
              <w:rPr>
                <w:rFonts w:hint="eastAsia" w:ascii="宋体" w:hAnsi="宋体" w:cs="宋体"/>
                <w:bCs/>
                <w:kern w:val="0"/>
                <w:sz w:val="24"/>
                <w:szCs w:val="24"/>
                <w:highlight w:val="none"/>
                <w:lang w:val="en-US" w:eastAsia="zh-CN"/>
              </w:rPr>
              <w:t>一标段为国有土地上的房屋征收，前期购买服务阶段最高预算单价为3元/㎡。</w:t>
            </w:r>
          </w:p>
        </w:tc>
      </w:tr>
      <w:tr w14:paraId="67A2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1058" w:type="dxa"/>
            <w:vMerge w:val="continue"/>
            <w:tcMar>
              <w:top w:w="15" w:type="dxa"/>
              <w:left w:w="15" w:type="dxa"/>
              <w:right w:w="15" w:type="dxa"/>
            </w:tcMar>
            <w:vAlign w:val="center"/>
          </w:tcPr>
          <w:p w14:paraId="13D57BB3">
            <w:pPr>
              <w:widowControl/>
              <w:jc w:val="center"/>
              <w:textAlignment w:val="center"/>
              <w:rPr>
                <w:rFonts w:hint="eastAsia" w:ascii="宋体" w:hAnsi="宋体" w:eastAsia="宋体" w:cs="宋体"/>
                <w:bCs/>
                <w:kern w:val="0"/>
                <w:sz w:val="24"/>
                <w:szCs w:val="24"/>
                <w:highlight w:val="none"/>
                <w:lang w:eastAsia="zh-CN"/>
              </w:rPr>
            </w:pPr>
          </w:p>
        </w:tc>
        <w:tc>
          <w:tcPr>
            <w:tcW w:w="1574" w:type="dxa"/>
            <w:vMerge w:val="continue"/>
            <w:tcMar>
              <w:top w:w="15" w:type="dxa"/>
              <w:left w:w="15" w:type="dxa"/>
              <w:right w:w="15" w:type="dxa"/>
            </w:tcMar>
            <w:vAlign w:val="center"/>
          </w:tcPr>
          <w:p w14:paraId="422A177A">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25291961">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39B422E3">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05570AA0">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74FF6010">
            <w:pPr>
              <w:widowControl/>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中期</w:t>
            </w:r>
          </w:p>
        </w:tc>
        <w:tc>
          <w:tcPr>
            <w:tcW w:w="1550" w:type="dxa"/>
            <w:shd w:val="clear" w:color="auto" w:fill="auto"/>
            <w:tcMar>
              <w:top w:w="15" w:type="dxa"/>
              <w:left w:w="15" w:type="dxa"/>
              <w:right w:w="15" w:type="dxa"/>
            </w:tcMar>
            <w:vAlign w:val="center"/>
          </w:tcPr>
          <w:p w14:paraId="48992987">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920" w:type="dxa"/>
            <w:vMerge w:val="continue"/>
            <w:shd w:val="clear" w:color="auto" w:fill="auto"/>
            <w:tcMar>
              <w:top w:w="15" w:type="dxa"/>
              <w:left w:w="15" w:type="dxa"/>
              <w:right w:w="15" w:type="dxa"/>
            </w:tcMar>
            <w:vAlign w:val="center"/>
          </w:tcPr>
          <w:p w14:paraId="3119ACCE">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47CA95F2">
            <w:pPr>
              <w:widowControl/>
              <w:jc w:val="center"/>
              <w:textAlignment w:val="center"/>
              <w:rPr>
                <w:rFonts w:hint="eastAsia" w:ascii="宋体" w:hAnsi="宋体" w:eastAsia="宋体" w:cs="宋体"/>
                <w:sz w:val="24"/>
                <w:szCs w:val="24"/>
                <w:highlight w:val="none"/>
              </w:rPr>
            </w:pPr>
          </w:p>
        </w:tc>
      </w:tr>
      <w:tr w14:paraId="0338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1058" w:type="dxa"/>
            <w:vMerge w:val="continue"/>
            <w:tcMar>
              <w:top w:w="15" w:type="dxa"/>
              <w:left w:w="15" w:type="dxa"/>
              <w:right w:w="15" w:type="dxa"/>
            </w:tcMar>
            <w:vAlign w:val="center"/>
          </w:tcPr>
          <w:p w14:paraId="334C0555">
            <w:pPr>
              <w:widowControl/>
              <w:jc w:val="center"/>
              <w:textAlignment w:val="center"/>
              <w:rPr>
                <w:rFonts w:hint="eastAsia" w:ascii="宋体" w:hAnsi="宋体" w:eastAsia="宋体" w:cs="宋体"/>
                <w:bCs/>
                <w:kern w:val="0"/>
                <w:sz w:val="24"/>
                <w:szCs w:val="24"/>
                <w:highlight w:val="none"/>
                <w:lang w:eastAsia="zh-CN"/>
              </w:rPr>
            </w:pPr>
          </w:p>
        </w:tc>
        <w:tc>
          <w:tcPr>
            <w:tcW w:w="1574" w:type="dxa"/>
            <w:vMerge w:val="continue"/>
            <w:tcMar>
              <w:top w:w="15" w:type="dxa"/>
              <w:left w:w="15" w:type="dxa"/>
              <w:right w:w="15" w:type="dxa"/>
            </w:tcMar>
            <w:vAlign w:val="center"/>
          </w:tcPr>
          <w:p w14:paraId="0356A959">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450F892F">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6590B9C3">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3F873CF2">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2EE834AF">
            <w:pPr>
              <w:widowControl/>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后期</w:t>
            </w:r>
          </w:p>
        </w:tc>
        <w:tc>
          <w:tcPr>
            <w:tcW w:w="1550" w:type="dxa"/>
            <w:shd w:val="clear" w:color="auto" w:fill="auto"/>
            <w:tcMar>
              <w:top w:w="15" w:type="dxa"/>
              <w:left w:w="15" w:type="dxa"/>
              <w:right w:w="15" w:type="dxa"/>
            </w:tcMar>
            <w:vAlign w:val="center"/>
          </w:tcPr>
          <w:p w14:paraId="02AF9117">
            <w:pPr>
              <w:widowControl/>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920" w:type="dxa"/>
            <w:vMerge w:val="continue"/>
            <w:shd w:val="clear" w:color="auto" w:fill="auto"/>
            <w:tcMar>
              <w:top w:w="15" w:type="dxa"/>
              <w:left w:w="15" w:type="dxa"/>
              <w:right w:w="15" w:type="dxa"/>
            </w:tcMar>
            <w:vAlign w:val="center"/>
          </w:tcPr>
          <w:p w14:paraId="123037BC">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4A184B8F">
            <w:pPr>
              <w:widowControl/>
              <w:jc w:val="center"/>
              <w:textAlignment w:val="center"/>
              <w:rPr>
                <w:rFonts w:hint="eastAsia" w:ascii="宋体" w:hAnsi="宋体" w:eastAsia="宋体" w:cs="宋体"/>
                <w:sz w:val="24"/>
                <w:szCs w:val="24"/>
                <w:highlight w:val="none"/>
              </w:rPr>
            </w:pPr>
          </w:p>
        </w:tc>
      </w:tr>
      <w:tr w14:paraId="43B5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058" w:type="dxa"/>
            <w:vMerge w:val="continue"/>
            <w:tcMar>
              <w:top w:w="15" w:type="dxa"/>
              <w:left w:w="15" w:type="dxa"/>
              <w:right w:w="15" w:type="dxa"/>
            </w:tcMar>
            <w:vAlign w:val="center"/>
          </w:tcPr>
          <w:p w14:paraId="16299B2F">
            <w:pPr>
              <w:widowControl/>
              <w:jc w:val="center"/>
              <w:textAlignment w:val="center"/>
              <w:rPr>
                <w:rFonts w:hint="eastAsia" w:ascii="宋体" w:hAnsi="宋体" w:eastAsia="宋体" w:cs="宋体"/>
                <w:sz w:val="24"/>
                <w:szCs w:val="24"/>
                <w:highlight w:val="none"/>
                <w:lang w:val="en-US" w:eastAsia="zh-CN"/>
              </w:rPr>
            </w:pPr>
          </w:p>
        </w:tc>
        <w:tc>
          <w:tcPr>
            <w:tcW w:w="1574" w:type="dxa"/>
            <w:vMerge w:val="restart"/>
            <w:tcMar>
              <w:top w:w="15" w:type="dxa"/>
              <w:left w:w="15" w:type="dxa"/>
              <w:right w:w="15" w:type="dxa"/>
            </w:tcMar>
            <w:vAlign w:val="center"/>
          </w:tcPr>
          <w:p w14:paraId="262443D3">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cs="宋体"/>
                <w:bCs/>
                <w:kern w:val="0"/>
                <w:sz w:val="24"/>
                <w:szCs w:val="24"/>
                <w:highlight w:val="none"/>
                <w:lang w:eastAsia="zh-CN"/>
              </w:rPr>
              <w:t>温州至福州高速铁路（龙湾段）工程海滨街道北片区房屋征收事务代理项目</w:t>
            </w:r>
            <w:r>
              <w:rPr>
                <w:rFonts w:hint="eastAsia" w:ascii="宋体" w:hAnsi="宋体" w:eastAsia="宋体" w:cs="宋体"/>
                <w:bCs/>
                <w:kern w:val="0"/>
                <w:sz w:val="24"/>
                <w:szCs w:val="24"/>
                <w:highlight w:val="none"/>
                <w:lang w:val="en-US" w:eastAsia="zh-CN"/>
              </w:rPr>
              <w:t>二标段</w:t>
            </w:r>
          </w:p>
        </w:tc>
        <w:tc>
          <w:tcPr>
            <w:tcW w:w="1033" w:type="dxa"/>
            <w:vMerge w:val="restart"/>
            <w:tcMar>
              <w:top w:w="15" w:type="dxa"/>
              <w:left w:w="15" w:type="dxa"/>
              <w:right w:w="15" w:type="dxa"/>
            </w:tcMar>
            <w:vAlign w:val="center"/>
          </w:tcPr>
          <w:p w14:paraId="5C34F759">
            <w:pPr>
              <w:widowControl/>
              <w:jc w:val="center"/>
              <w:textAlignment w:val="center"/>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eastAsia="zh-CN"/>
              </w:rPr>
              <w:t>住宅用房征收</w:t>
            </w:r>
          </w:p>
        </w:tc>
        <w:tc>
          <w:tcPr>
            <w:tcW w:w="818" w:type="dxa"/>
            <w:vMerge w:val="restart"/>
            <w:tcMar>
              <w:top w:w="15" w:type="dxa"/>
              <w:left w:w="15" w:type="dxa"/>
              <w:right w:w="15" w:type="dxa"/>
            </w:tcMar>
            <w:vAlign w:val="center"/>
          </w:tcPr>
          <w:p w14:paraId="2F52FE40">
            <w:pPr>
              <w:widowControl/>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380</w:t>
            </w:r>
          </w:p>
        </w:tc>
        <w:tc>
          <w:tcPr>
            <w:tcW w:w="819" w:type="dxa"/>
            <w:vMerge w:val="restart"/>
            <w:tcMar>
              <w:top w:w="15" w:type="dxa"/>
              <w:left w:w="15" w:type="dxa"/>
              <w:right w:w="15" w:type="dxa"/>
            </w:tcMar>
            <w:vAlign w:val="center"/>
          </w:tcPr>
          <w:p w14:paraId="027FAD25">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70000</w:t>
            </w:r>
          </w:p>
        </w:tc>
        <w:tc>
          <w:tcPr>
            <w:tcW w:w="857" w:type="dxa"/>
            <w:tcMar>
              <w:top w:w="15" w:type="dxa"/>
              <w:left w:w="15" w:type="dxa"/>
              <w:right w:w="15" w:type="dxa"/>
            </w:tcMar>
            <w:vAlign w:val="center"/>
          </w:tcPr>
          <w:p w14:paraId="64D01525">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前期</w:t>
            </w:r>
          </w:p>
        </w:tc>
        <w:tc>
          <w:tcPr>
            <w:tcW w:w="1550" w:type="dxa"/>
            <w:shd w:val="clear" w:color="auto" w:fill="auto"/>
            <w:tcMar>
              <w:top w:w="15" w:type="dxa"/>
              <w:left w:w="15" w:type="dxa"/>
              <w:right w:w="15" w:type="dxa"/>
            </w:tcMar>
            <w:vAlign w:val="center"/>
          </w:tcPr>
          <w:p w14:paraId="50A5E707">
            <w:pPr>
              <w:widowControl/>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5</w:t>
            </w:r>
          </w:p>
        </w:tc>
        <w:tc>
          <w:tcPr>
            <w:tcW w:w="920" w:type="dxa"/>
            <w:vMerge w:val="restart"/>
            <w:shd w:val="clear" w:color="auto" w:fill="auto"/>
            <w:tcMar>
              <w:top w:w="15" w:type="dxa"/>
              <w:left w:w="15" w:type="dxa"/>
              <w:right w:w="15" w:type="dxa"/>
            </w:tcMar>
            <w:vAlign w:val="center"/>
          </w:tcPr>
          <w:p w14:paraId="342E2530">
            <w:pPr>
              <w:widowControl/>
              <w:jc w:val="center"/>
              <w:textAlignment w:val="center"/>
              <w:rPr>
                <w:rFonts w:hint="default"/>
                <w:highlight w:val="none"/>
                <w:lang w:val="en-US" w:eastAsia="zh-CN"/>
              </w:rPr>
            </w:pPr>
            <w:r>
              <w:rPr>
                <w:rFonts w:hint="eastAsia" w:ascii="宋体" w:hAnsi="宋体" w:cs="宋体"/>
                <w:sz w:val="24"/>
                <w:szCs w:val="24"/>
                <w:highlight w:val="none"/>
                <w:lang w:val="en-US" w:eastAsia="zh-CN"/>
              </w:rPr>
              <w:t>329</w:t>
            </w:r>
            <w:r>
              <w:rPr>
                <w:rFonts w:hint="eastAsia" w:ascii="宋体" w:hAnsi="宋体" w:cs="宋体"/>
                <w:sz w:val="24"/>
                <w:szCs w:val="24"/>
                <w:highlight w:val="none"/>
                <w:lang w:eastAsia="zh-CN"/>
              </w:rPr>
              <w:t>0000</w:t>
            </w:r>
          </w:p>
        </w:tc>
        <w:tc>
          <w:tcPr>
            <w:tcW w:w="1428" w:type="dxa"/>
            <w:vMerge w:val="restart"/>
            <w:shd w:val="clear" w:color="auto" w:fill="auto"/>
            <w:tcMar>
              <w:top w:w="15" w:type="dxa"/>
              <w:left w:w="15" w:type="dxa"/>
              <w:right w:w="15" w:type="dxa"/>
            </w:tcMar>
            <w:vAlign w:val="center"/>
          </w:tcPr>
          <w:p w14:paraId="02361F1E">
            <w:pPr>
              <w:widowControl/>
              <w:jc w:val="center"/>
              <w:textAlignment w:val="center"/>
              <w:rPr>
                <w:rFonts w:hint="default" w:ascii="宋体" w:hAnsi="宋体" w:cs="宋体"/>
                <w:sz w:val="24"/>
                <w:szCs w:val="24"/>
                <w:highlight w:val="none"/>
                <w:lang w:val="en-US" w:eastAsia="zh-CN"/>
              </w:rPr>
            </w:pPr>
          </w:p>
        </w:tc>
      </w:tr>
      <w:tr w14:paraId="43DE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058" w:type="dxa"/>
            <w:vMerge w:val="continue"/>
            <w:tcMar>
              <w:top w:w="15" w:type="dxa"/>
              <w:left w:w="15" w:type="dxa"/>
              <w:right w:w="15" w:type="dxa"/>
            </w:tcMar>
            <w:vAlign w:val="center"/>
          </w:tcPr>
          <w:p w14:paraId="6E5CFF46">
            <w:pPr>
              <w:widowControl/>
              <w:jc w:val="center"/>
              <w:textAlignment w:val="center"/>
              <w:rPr>
                <w:rFonts w:hint="eastAsia" w:ascii="宋体" w:hAnsi="宋体" w:eastAsia="宋体" w:cs="宋体"/>
                <w:sz w:val="24"/>
                <w:szCs w:val="24"/>
                <w:highlight w:val="none"/>
                <w:lang w:val="en-US" w:eastAsia="zh-CN"/>
              </w:rPr>
            </w:pPr>
          </w:p>
        </w:tc>
        <w:tc>
          <w:tcPr>
            <w:tcW w:w="1574" w:type="dxa"/>
            <w:vMerge w:val="continue"/>
            <w:tcMar>
              <w:top w:w="15" w:type="dxa"/>
              <w:left w:w="15" w:type="dxa"/>
              <w:right w:w="15" w:type="dxa"/>
            </w:tcMar>
            <w:vAlign w:val="center"/>
          </w:tcPr>
          <w:p w14:paraId="71C2510C">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70A36220">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536A70CB">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5036DD35">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6ADF2DD5">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中期</w:t>
            </w:r>
          </w:p>
        </w:tc>
        <w:tc>
          <w:tcPr>
            <w:tcW w:w="1550" w:type="dxa"/>
            <w:shd w:val="clear" w:color="auto" w:fill="auto"/>
            <w:tcMar>
              <w:top w:w="15" w:type="dxa"/>
              <w:left w:w="15" w:type="dxa"/>
              <w:right w:w="15" w:type="dxa"/>
            </w:tcMar>
            <w:vAlign w:val="center"/>
          </w:tcPr>
          <w:p w14:paraId="0B591D54">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13</w:t>
            </w:r>
          </w:p>
        </w:tc>
        <w:tc>
          <w:tcPr>
            <w:tcW w:w="920" w:type="dxa"/>
            <w:vMerge w:val="continue"/>
            <w:shd w:val="clear" w:color="auto" w:fill="auto"/>
            <w:tcMar>
              <w:top w:w="15" w:type="dxa"/>
              <w:left w:w="15" w:type="dxa"/>
              <w:right w:w="15" w:type="dxa"/>
            </w:tcMar>
            <w:vAlign w:val="center"/>
          </w:tcPr>
          <w:p w14:paraId="0BE4DD62">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403F5C80">
            <w:pPr>
              <w:widowControl/>
              <w:jc w:val="center"/>
              <w:textAlignment w:val="center"/>
              <w:rPr>
                <w:rFonts w:hint="eastAsia" w:ascii="宋体" w:hAnsi="宋体" w:eastAsia="宋体" w:cs="宋体"/>
                <w:sz w:val="24"/>
                <w:szCs w:val="24"/>
                <w:highlight w:val="none"/>
              </w:rPr>
            </w:pPr>
          </w:p>
        </w:tc>
      </w:tr>
      <w:tr w14:paraId="362C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058" w:type="dxa"/>
            <w:vMerge w:val="continue"/>
            <w:tcMar>
              <w:top w:w="15" w:type="dxa"/>
              <w:left w:w="15" w:type="dxa"/>
              <w:right w:w="15" w:type="dxa"/>
            </w:tcMar>
            <w:vAlign w:val="center"/>
          </w:tcPr>
          <w:p w14:paraId="31E8BDDA">
            <w:pPr>
              <w:widowControl/>
              <w:jc w:val="center"/>
              <w:textAlignment w:val="center"/>
              <w:rPr>
                <w:rFonts w:hint="eastAsia" w:ascii="宋体" w:hAnsi="宋体" w:eastAsia="宋体" w:cs="宋体"/>
                <w:sz w:val="24"/>
                <w:szCs w:val="24"/>
                <w:highlight w:val="none"/>
                <w:lang w:val="en-US" w:eastAsia="zh-CN"/>
              </w:rPr>
            </w:pPr>
          </w:p>
        </w:tc>
        <w:tc>
          <w:tcPr>
            <w:tcW w:w="1574" w:type="dxa"/>
            <w:vMerge w:val="continue"/>
            <w:tcMar>
              <w:top w:w="15" w:type="dxa"/>
              <w:left w:w="15" w:type="dxa"/>
              <w:right w:w="15" w:type="dxa"/>
            </w:tcMar>
            <w:vAlign w:val="center"/>
          </w:tcPr>
          <w:p w14:paraId="7A71432D">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30A0B344">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3BBF03DA">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55DCBCEE">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21886E7F">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后期</w:t>
            </w:r>
          </w:p>
        </w:tc>
        <w:tc>
          <w:tcPr>
            <w:tcW w:w="1550" w:type="dxa"/>
            <w:shd w:val="clear" w:color="auto" w:fill="auto"/>
            <w:tcMar>
              <w:top w:w="15" w:type="dxa"/>
              <w:left w:w="15" w:type="dxa"/>
              <w:right w:w="15" w:type="dxa"/>
            </w:tcMar>
            <w:vAlign w:val="center"/>
          </w:tcPr>
          <w:p w14:paraId="7DFB36CF">
            <w:pPr>
              <w:widowControl/>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20" w:type="dxa"/>
            <w:vMerge w:val="continue"/>
            <w:shd w:val="clear" w:color="auto" w:fill="auto"/>
            <w:tcMar>
              <w:top w:w="15" w:type="dxa"/>
              <w:left w:w="15" w:type="dxa"/>
              <w:right w:w="15" w:type="dxa"/>
            </w:tcMar>
            <w:vAlign w:val="center"/>
          </w:tcPr>
          <w:p w14:paraId="28853E7B">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2A61E5AA">
            <w:pPr>
              <w:widowControl/>
              <w:jc w:val="center"/>
              <w:textAlignment w:val="center"/>
              <w:rPr>
                <w:rFonts w:hint="eastAsia" w:ascii="宋体" w:hAnsi="宋体" w:eastAsia="宋体" w:cs="宋体"/>
                <w:sz w:val="24"/>
                <w:szCs w:val="24"/>
                <w:highlight w:val="none"/>
              </w:rPr>
            </w:pPr>
          </w:p>
        </w:tc>
      </w:tr>
      <w:tr w14:paraId="1728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058" w:type="dxa"/>
            <w:vMerge w:val="continue"/>
            <w:tcMar>
              <w:top w:w="15" w:type="dxa"/>
              <w:left w:w="15" w:type="dxa"/>
              <w:right w:w="15" w:type="dxa"/>
            </w:tcMar>
            <w:vAlign w:val="center"/>
          </w:tcPr>
          <w:p w14:paraId="2C166086">
            <w:pPr>
              <w:widowControl/>
              <w:jc w:val="center"/>
              <w:textAlignment w:val="center"/>
              <w:rPr>
                <w:rFonts w:hint="eastAsia" w:ascii="宋体" w:hAnsi="宋体" w:eastAsia="宋体" w:cs="宋体"/>
                <w:sz w:val="24"/>
                <w:szCs w:val="24"/>
                <w:highlight w:val="none"/>
                <w:lang w:val="en-US" w:eastAsia="zh-CN"/>
              </w:rPr>
            </w:pPr>
          </w:p>
        </w:tc>
        <w:tc>
          <w:tcPr>
            <w:tcW w:w="1574" w:type="dxa"/>
            <w:vMerge w:val="continue"/>
            <w:tcMar>
              <w:top w:w="15" w:type="dxa"/>
              <w:left w:w="15" w:type="dxa"/>
              <w:right w:w="15" w:type="dxa"/>
            </w:tcMar>
            <w:vAlign w:val="center"/>
          </w:tcPr>
          <w:p w14:paraId="4C661C7F">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restart"/>
            <w:tcMar>
              <w:top w:w="15" w:type="dxa"/>
              <w:left w:w="15" w:type="dxa"/>
              <w:right w:w="15" w:type="dxa"/>
            </w:tcMar>
            <w:vAlign w:val="center"/>
          </w:tcPr>
          <w:p w14:paraId="30B54AD2">
            <w:pPr>
              <w:widowControl/>
              <w:jc w:val="center"/>
              <w:textAlignment w:val="center"/>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lang w:eastAsia="zh-CN"/>
              </w:rPr>
              <w:t>工业用房</w:t>
            </w:r>
            <w:r>
              <w:rPr>
                <w:rFonts w:hint="eastAsia" w:ascii="宋体" w:hAnsi="宋体" w:eastAsia="宋体" w:cs="宋体"/>
                <w:bCs/>
                <w:kern w:val="0"/>
                <w:sz w:val="24"/>
                <w:szCs w:val="24"/>
                <w:highlight w:val="none"/>
                <w:lang w:eastAsia="zh-CN"/>
              </w:rPr>
              <w:t>征收</w:t>
            </w:r>
          </w:p>
        </w:tc>
        <w:tc>
          <w:tcPr>
            <w:tcW w:w="818" w:type="dxa"/>
            <w:vMerge w:val="restart"/>
            <w:tcMar>
              <w:top w:w="15" w:type="dxa"/>
              <w:left w:w="15" w:type="dxa"/>
              <w:right w:w="15" w:type="dxa"/>
            </w:tcMar>
            <w:vAlign w:val="center"/>
          </w:tcPr>
          <w:p w14:paraId="71CDAB95">
            <w:pPr>
              <w:widowControl/>
              <w:jc w:val="center"/>
              <w:textAlignment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w:t>
            </w:r>
          </w:p>
        </w:tc>
        <w:tc>
          <w:tcPr>
            <w:tcW w:w="819" w:type="dxa"/>
            <w:vMerge w:val="restart"/>
            <w:tcMar>
              <w:top w:w="15" w:type="dxa"/>
              <w:left w:w="15" w:type="dxa"/>
              <w:right w:w="15" w:type="dxa"/>
            </w:tcMar>
            <w:vAlign w:val="center"/>
          </w:tcPr>
          <w:p w14:paraId="7772FDA0">
            <w:pPr>
              <w:widowControl/>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140000</w:t>
            </w:r>
          </w:p>
        </w:tc>
        <w:tc>
          <w:tcPr>
            <w:tcW w:w="857" w:type="dxa"/>
            <w:tcMar>
              <w:top w:w="15" w:type="dxa"/>
              <w:left w:w="15" w:type="dxa"/>
              <w:right w:w="15" w:type="dxa"/>
            </w:tcMar>
            <w:vAlign w:val="center"/>
          </w:tcPr>
          <w:p w14:paraId="12D9E9F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w:t>
            </w:r>
          </w:p>
        </w:tc>
        <w:tc>
          <w:tcPr>
            <w:tcW w:w="1550" w:type="dxa"/>
            <w:shd w:val="clear" w:color="auto" w:fill="auto"/>
            <w:tcMar>
              <w:top w:w="15" w:type="dxa"/>
              <w:left w:w="15" w:type="dxa"/>
              <w:right w:w="15" w:type="dxa"/>
            </w:tcMar>
            <w:vAlign w:val="center"/>
          </w:tcPr>
          <w:p w14:paraId="60A923DA">
            <w:pPr>
              <w:widowControl/>
              <w:jc w:val="center"/>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3</w:t>
            </w:r>
          </w:p>
        </w:tc>
        <w:tc>
          <w:tcPr>
            <w:tcW w:w="920" w:type="dxa"/>
            <w:vMerge w:val="continue"/>
            <w:shd w:val="clear" w:color="auto" w:fill="auto"/>
            <w:tcMar>
              <w:top w:w="15" w:type="dxa"/>
              <w:left w:w="15" w:type="dxa"/>
              <w:right w:w="15" w:type="dxa"/>
            </w:tcMar>
            <w:vAlign w:val="center"/>
          </w:tcPr>
          <w:p w14:paraId="1AB1B43B">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44BE1D4E">
            <w:pPr>
              <w:widowControl/>
              <w:jc w:val="center"/>
              <w:textAlignment w:val="center"/>
              <w:rPr>
                <w:rFonts w:hint="eastAsia" w:ascii="宋体" w:hAnsi="宋体" w:eastAsia="宋体" w:cs="宋体"/>
                <w:sz w:val="24"/>
                <w:szCs w:val="24"/>
                <w:highlight w:val="none"/>
              </w:rPr>
            </w:pPr>
          </w:p>
        </w:tc>
      </w:tr>
      <w:tr w14:paraId="3B2F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058" w:type="dxa"/>
            <w:vMerge w:val="continue"/>
            <w:tcMar>
              <w:top w:w="15" w:type="dxa"/>
              <w:left w:w="15" w:type="dxa"/>
              <w:right w:w="15" w:type="dxa"/>
            </w:tcMar>
            <w:vAlign w:val="center"/>
          </w:tcPr>
          <w:p w14:paraId="17ACF3AF">
            <w:pPr>
              <w:widowControl/>
              <w:jc w:val="center"/>
              <w:textAlignment w:val="center"/>
              <w:rPr>
                <w:rFonts w:hint="eastAsia" w:ascii="宋体" w:hAnsi="宋体" w:eastAsia="宋体" w:cs="宋体"/>
                <w:sz w:val="24"/>
                <w:szCs w:val="24"/>
                <w:highlight w:val="none"/>
                <w:lang w:val="en-US" w:eastAsia="zh-CN"/>
              </w:rPr>
            </w:pPr>
          </w:p>
        </w:tc>
        <w:tc>
          <w:tcPr>
            <w:tcW w:w="1574" w:type="dxa"/>
            <w:vMerge w:val="continue"/>
            <w:tcMar>
              <w:top w:w="15" w:type="dxa"/>
              <w:left w:w="15" w:type="dxa"/>
              <w:right w:w="15" w:type="dxa"/>
            </w:tcMar>
            <w:vAlign w:val="center"/>
          </w:tcPr>
          <w:p w14:paraId="5BB9B293">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6DE44541">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2BF54184">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73AA9772">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6F153B8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中期</w:t>
            </w:r>
          </w:p>
        </w:tc>
        <w:tc>
          <w:tcPr>
            <w:tcW w:w="1550" w:type="dxa"/>
            <w:shd w:val="clear" w:color="auto" w:fill="auto"/>
            <w:tcMar>
              <w:top w:w="15" w:type="dxa"/>
              <w:left w:w="15" w:type="dxa"/>
              <w:right w:w="15" w:type="dxa"/>
            </w:tcMar>
            <w:vAlign w:val="center"/>
          </w:tcPr>
          <w:p w14:paraId="1E8E1021">
            <w:pPr>
              <w:widowControl/>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920" w:type="dxa"/>
            <w:vMerge w:val="continue"/>
            <w:shd w:val="clear" w:color="auto" w:fill="auto"/>
            <w:tcMar>
              <w:top w:w="15" w:type="dxa"/>
              <w:left w:w="15" w:type="dxa"/>
              <w:right w:w="15" w:type="dxa"/>
            </w:tcMar>
            <w:vAlign w:val="center"/>
          </w:tcPr>
          <w:p w14:paraId="273F0CFD">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312F304E">
            <w:pPr>
              <w:widowControl/>
              <w:jc w:val="center"/>
              <w:textAlignment w:val="center"/>
              <w:rPr>
                <w:rFonts w:hint="eastAsia" w:ascii="宋体" w:hAnsi="宋体" w:eastAsia="宋体" w:cs="宋体"/>
                <w:sz w:val="24"/>
                <w:szCs w:val="24"/>
                <w:highlight w:val="none"/>
              </w:rPr>
            </w:pPr>
          </w:p>
        </w:tc>
      </w:tr>
      <w:tr w14:paraId="1F3B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058" w:type="dxa"/>
            <w:vMerge w:val="continue"/>
            <w:tcMar>
              <w:top w:w="15" w:type="dxa"/>
              <w:left w:w="15" w:type="dxa"/>
              <w:right w:w="15" w:type="dxa"/>
            </w:tcMar>
            <w:vAlign w:val="center"/>
          </w:tcPr>
          <w:p w14:paraId="337F0223">
            <w:pPr>
              <w:widowControl/>
              <w:jc w:val="center"/>
              <w:textAlignment w:val="center"/>
              <w:rPr>
                <w:rFonts w:hint="eastAsia" w:ascii="宋体" w:hAnsi="宋体" w:eastAsia="宋体" w:cs="宋体"/>
                <w:sz w:val="24"/>
                <w:szCs w:val="24"/>
                <w:highlight w:val="none"/>
                <w:lang w:val="en-US" w:eastAsia="zh-CN"/>
              </w:rPr>
            </w:pPr>
          </w:p>
        </w:tc>
        <w:tc>
          <w:tcPr>
            <w:tcW w:w="1574" w:type="dxa"/>
            <w:vMerge w:val="continue"/>
            <w:tcMar>
              <w:top w:w="15" w:type="dxa"/>
              <w:left w:w="15" w:type="dxa"/>
              <w:right w:w="15" w:type="dxa"/>
            </w:tcMar>
            <w:vAlign w:val="center"/>
          </w:tcPr>
          <w:p w14:paraId="143CD876">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76E381A1">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16E73CE8">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3637C944">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1F386DF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后期</w:t>
            </w:r>
          </w:p>
        </w:tc>
        <w:tc>
          <w:tcPr>
            <w:tcW w:w="1550" w:type="dxa"/>
            <w:shd w:val="clear" w:color="auto" w:fill="auto"/>
            <w:tcMar>
              <w:top w:w="15" w:type="dxa"/>
              <w:left w:w="15" w:type="dxa"/>
              <w:right w:w="15" w:type="dxa"/>
            </w:tcMar>
            <w:vAlign w:val="center"/>
          </w:tcPr>
          <w:p w14:paraId="003789EA">
            <w:pPr>
              <w:widowControl/>
              <w:jc w:val="center"/>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2</w:t>
            </w:r>
          </w:p>
        </w:tc>
        <w:tc>
          <w:tcPr>
            <w:tcW w:w="920" w:type="dxa"/>
            <w:vMerge w:val="continue"/>
            <w:shd w:val="clear" w:color="auto" w:fill="auto"/>
            <w:tcMar>
              <w:top w:w="15" w:type="dxa"/>
              <w:left w:w="15" w:type="dxa"/>
              <w:right w:w="15" w:type="dxa"/>
            </w:tcMar>
            <w:vAlign w:val="center"/>
          </w:tcPr>
          <w:p w14:paraId="7BF42FC8">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65BC62C1">
            <w:pPr>
              <w:widowControl/>
              <w:jc w:val="center"/>
              <w:textAlignment w:val="center"/>
              <w:rPr>
                <w:rFonts w:hint="eastAsia" w:ascii="宋体" w:hAnsi="宋体" w:eastAsia="宋体" w:cs="宋体"/>
                <w:sz w:val="24"/>
                <w:szCs w:val="24"/>
                <w:highlight w:val="none"/>
              </w:rPr>
            </w:pPr>
          </w:p>
        </w:tc>
      </w:tr>
      <w:tr w14:paraId="109E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10057" w:type="dxa"/>
            <w:gridSpan w:val="9"/>
            <w:tcMar>
              <w:top w:w="15" w:type="dxa"/>
              <w:left w:w="15" w:type="dxa"/>
              <w:right w:w="15" w:type="dxa"/>
            </w:tcMar>
            <w:vAlign w:val="center"/>
          </w:tcPr>
          <w:p w14:paraId="67954801">
            <w:pPr>
              <w:ind w:left="0" w:leftChars="0" w:firstLine="420" w:firstLineChars="175"/>
              <w:jc w:val="left"/>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rPr>
              <w:t>投标报价测量内容中应包含建筑附属物（塘、墙、道路等所有附属物），该部分测量内容面积不计入计价面积，费用由投标人综合考虑在报价内。最终</w:t>
            </w:r>
            <w:r>
              <w:rPr>
                <w:rFonts w:hint="eastAsia" w:ascii="宋体" w:hAnsi="宋体" w:cs="宋体"/>
                <w:b w:val="0"/>
                <w:bCs w:val="0"/>
                <w:sz w:val="24"/>
                <w:szCs w:val="24"/>
                <w:highlight w:val="none"/>
                <w:lang w:val="en-US" w:eastAsia="zh-CN"/>
              </w:rPr>
              <w:t>拆迁户数（</w:t>
            </w:r>
            <w:r>
              <w:rPr>
                <w:rFonts w:hint="eastAsia" w:ascii="宋体" w:hAnsi="宋体" w:eastAsia="宋体" w:cs="宋体"/>
                <w:b w:val="0"/>
                <w:bCs w:val="0"/>
                <w:sz w:val="24"/>
                <w:szCs w:val="24"/>
                <w:highlight w:val="none"/>
              </w:rPr>
              <w:t>拆迁量</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rPr>
              <w:t>以上级部门实际要求为准。</w:t>
            </w:r>
            <w:r>
              <w:rPr>
                <w:rFonts w:hint="eastAsia" w:ascii="宋体" w:hAnsi="宋体" w:eastAsia="宋体" w:cs="宋体"/>
                <w:b w:val="0"/>
                <w:bCs w:val="0"/>
                <w:sz w:val="24"/>
                <w:szCs w:val="24"/>
                <w:highlight w:val="none"/>
                <w:lang w:val="en-US" w:eastAsia="zh-CN"/>
              </w:rPr>
              <w:t>各标项（标段）具体位置以上级部门实际要求为准。</w:t>
            </w:r>
          </w:p>
        </w:tc>
      </w:tr>
    </w:tbl>
    <w:p w14:paraId="4F9EC46D">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u w:val="single"/>
        </w:rPr>
        <w:t>▲本次采购分为</w:t>
      </w:r>
      <w:r>
        <w:rPr>
          <w:rFonts w:hint="eastAsia" w:ascii="宋体" w:hAnsi="宋体" w:cs="宋体"/>
          <w:b/>
          <w:bCs/>
          <w:sz w:val="24"/>
          <w:szCs w:val="24"/>
          <w:highlight w:val="none"/>
          <w:u w:val="single"/>
          <w:lang w:val="en-US" w:eastAsia="zh-CN"/>
        </w:rPr>
        <w:t>2</w:t>
      </w:r>
      <w:r>
        <w:rPr>
          <w:rFonts w:hint="eastAsia" w:ascii="宋体" w:hAnsi="宋体" w:eastAsia="宋体" w:cs="宋体"/>
          <w:b/>
          <w:bCs/>
          <w:sz w:val="24"/>
          <w:szCs w:val="24"/>
          <w:highlight w:val="none"/>
          <w:u w:val="single"/>
          <w:lang w:eastAsia="zh-CN"/>
        </w:rPr>
        <w:t>个标项</w:t>
      </w:r>
      <w:r>
        <w:rPr>
          <w:rFonts w:hint="eastAsia" w:ascii="宋体" w:hAnsi="宋体" w:eastAsia="宋体" w:cs="宋体"/>
          <w:b/>
          <w:bCs/>
          <w:sz w:val="24"/>
          <w:szCs w:val="24"/>
          <w:highlight w:val="none"/>
          <w:u w:val="single"/>
        </w:rPr>
        <w:t>，潜在供应商可同时参加本项目</w:t>
      </w:r>
      <w:r>
        <w:rPr>
          <w:rFonts w:hint="eastAsia" w:ascii="宋体" w:hAnsi="宋体" w:cs="宋体"/>
          <w:b/>
          <w:bCs/>
          <w:sz w:val="24"/>
          <w:szCs w:val="24"/>
          <w:highlight w:val="none"/>
          <w:u w:val="single"/>
          <w:lang w:val="en-US" w:eastAsia="zh-CN"/>
        </w:rPr>
        <w:t>2</w:t>
      </w:r>
      <w:r>
        <w:rPr>
          <w:rFonts w:hint="eastAsia" w:ascii="宋体" w:hAnsi="宋体" w:eastAsia="宋体" w:cs="宋体"/>
          <w:b/>
          <w:bCs/>
          <w:sz w:val="24"/>
          <w:szCs w:val="24"/>
          <w:highlight w:val="none"/>
          <w:u w:val="single"/>
          <w:lang w:val="en-US" w:eastAsia="zh-CN"/>
        </w:rPr>
        <w:t>个</w:t>
      </w:r>
      <w:r>
        <w:rPr>
          <w:rFonts w:hint="eastAsia" w:ascii="宋体" w:hAnsi="宋体" w:eastAsia="宋体" w:cs="宋体"/>
          <w:b/>
          <w:bCs/>
          <w:sz w:val="24"/>
          <w:szCs w:val="24"/>
          <w:highlight w:val="none"/>
          <w:u w:val="single"/>
        </w:rPr>
        <w:t>标项投标，但只能中一个标项。评标顺序为先评审标项一，再评审标项二，被评标委员会推荐为标项一的第一中标供应商的，自动失去标项二的中标资格</w:t>
      </w:r>
      <w:r>
        <w:rPr>
          <w:rFonts w:hint="eastAsia" w:ascii="宋体" w:hAnsi="宋体" w:eastAsia="宋体" w:cs="宋体"/>
          <w:b/>
          <w:bCs/>
          <w:sz w:val="24"/>
          <w:szCs w:val="24"/>
          <w:highlight w:val="none"/>
          <w:u w:val="single"/>
          <w:lang w:eastAsia="zh-CN"/>
        </w:rPr>
        <w:t>，</w:t>
      </w:r>
      <w:r>
        <w:rPr>
          <w:rFonts w:hint="eastAsia" w:ascii="宋体" w:hAnsi="宋体" w:eastAsia="宋体" w:cs="宋体"/>
          <w:b/>
          <w:bCs/>
          <w:sz w:val="24"/>
          <w:szCs w:val="24"/>
          <w:highlight w:val="none"/>
          <w:u w:val="single"/>
          <w:lang w:val="en-US" w:eastAsia="zh-CN"/>
        </w:rPr>
        <w:t>以此类推</w:t>
      </w:r>
      <w:r>
        <w:rPr>
          <w:rFonts w:hint="eastAsia" w:ascii="宋体" w:hAnsi="宋体" w:eastAsia="宋体" w:cs="宋体"/>
          <w:b/>
          <w:bCs/>
          <w:sz w:val="24"/>
          <w:szCs w:val="24"/>
          <w:highlight w:val="none"/>
          <w:u w:val="single"/>
        </w:rPr>
        <w:t>。</w:t>
      </w:r>
    </w:p>
    <w:p w14:paraId="7EB19335">
      <w:pPr>
        <w:numPr>
          <w:ilvl w:val="0"/>
          <w:numId w:val="0"/>
        </w:numPr>
        <w:spacing w:line="360" w:lineRule="auto"/>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sz w:val="24"/>
          <w:szCs w:val="24"/>
          <w:highlight w:val="none"/>
        </w:rPr>
        <w:t>招标</w:t>
      </w:r>
      <w:r>
        <w:rPr>
          <w:rFonts w:hint="eastAsia" w:ascii="宋体" w:hAnsi="宋体" w:eastAsia="宋体" w:cs="宋体"/>
          <w:b/>
          <w:bCs/>
          <w:sz w:val="24"/>
          <w:szCs w:val="24"/>
          <w:highlight w:val="none"/>
          <w:lang w:val="en-US" w:eastAsia="zh-CN"/>
        </w:rPr>
        <w:t>基本</w:t>
      </w:r>
      <w:r>
        <w:rPr>
          <w:rFonts w:hint="eastAsia" w:ascii="宋体" w:hAnsi="宋体" w:eastAsia="宋体" w:cs="宋体"/>
          <w:b/>
          <w:bCs/>
          <w:sz w:val="24"/>
          <w:szCs w:val="24"/>
          <w:highlight w:val="none"/>
        </w:rPr>
        <w:t>要求</w:t>
      </w:r>
    </w:p>
    <w:p w14:paraId="2824C71A">
      <w:pPr>
        <w:wordWrap w:val="0"/>
        <w:spacing w:line="460" w:lineRule="exact"/>
        <w:ind w:firstLine="562" w:firstLineChars="200"/>
        <w:rPr>
          <w:rFonts w:hint="eastAsia" w:ascii="宋体" w:hAnsi="宋体" w:eastAsia="宋体" w:cs="宋体"/>
          <w:sz w:val="24"/>
          <w:szCs w:val="24"/>
          <w:highlight w:val="none"/>
          <w:lang w:eastAsia="zh-CN"/>
        </w:rPr>
      </w:pPr>
      <w:r>
        <w:rPr>
          <w:rFonts w:hint="eastAsia" w:ascii="宋体" w:hAnsi="宋体" w:eastAsia="宋体" w:cs="宋体"/>
          <w:b/>
          <w:bCs/>
          <w:sz w:val="28"/>
          <w:szCs w:val="28"/>
          <w:highlight w:val="none"/>
          <w:lang w:val="en-US" w:eastAsia="zh-CN"/>
        </w:rPr>
        <w:t>①</w:t>
      </w:r>
      <w:r>
        <w:rPr>
          <w:rFonts w:hint="eastAsia" w:ascii="宋体" w:hAnsi="宋体" w:eastAsia="宋体" w:cs="宋体"/>
          <w:b/>
          <w:bCs/>
          <w:sz w:val="28"/>
          <w:szCs w:val="28"/>
          <w:highlight w:val="none"/>
          <w:lang w:eastAsia="zh-CN"/>
        </w:rPr>
        <w:t>住宅用房征收</w:t>
      </w:r>
      <w:r>
        <w:rPr>
          <w:rFonts w:hint="eastAsia" w:ascii="宋体" w:hAnsi="宋体" w:eastAsia="宋体" w:cs="宋体"/>
          <w:b/>
          <w:bCs/>
          <w:sz w:val="28"/>
          <w:szCs w:val="28"/>
          <w:highlight w:val="none"/>
          <w:lang w:val="en-US" w:eastAsia="zh-CN"/>
        </w:rPr>
        <w:t>要求</w:t>
      </w:r>
      <w:r>
        <w:rPr>
          <w:rFonts w:hint="eastAsia" w:ascii="宋体" w:hAnsi="宋体" w:eastAsia="宋体" w:cs="宋体"/>
          <w:b/>
          <w:bCs/>
          <w:sz w:val="28"/>
          <w:szCs w:val="28"/>
          <w:highlight w:val="none"/>
          <w:lang w:eastAsia="zh-CN"/>
        </w:rPr>
        <w:t>：</w:t>
      </w:r>
    </w:p>
    <w:p w14:paraId="6CC29636">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按照房屋征收（征地房屋补偿）法定程序协助甲方完成</w:t>
      </w:r>
      <w:r>
        <w:rPr>
          <w:rFonts w:hint="eastAsia" w:ascii="宋体" w:hAnsi="宋体" w:eastAsia="宋体" w:cs="宋体"/>
          <w:sz w:val="24"/>
          <w:szCs w:val="24"/>
          <w:highlight w:val="none"/>
          <w:lang w:val="en-US" w:eastAsia="zh-CN"/>
        </w:rPr>
        <w:t>三个阶段（1.</w:t>
      </w:r>
      <w:r>
        <w:rPr>
          <w:rFonts w:hint="eastAsia" w:ascii="宋体" w:hAnsi="宋体" w:eastAsia="宋体" w:cs="宋体"/>
          <w:sz w:val="24"/>
          <w:szCs w:val="24"/>
          <w:highlight w:val="none"/>
        </w:rPr>
        <w:t>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中期协商签约权证注销</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后期认购安置阶段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相关工作，主要内容包括：</w:t>
      </w:r>
    </w:p>
    <w:p w14:paraId="6D389184">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rPr>
        <w:t>：</w:t>
      </w:r>
    </w:p>
    <w:p w14:paraId="662C7F4E">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负责入户调查所涉房屋及土地权属、房屋所有人的身份信息、共有产权人、抵押权人等利害关系人的调查等内容</w:t>
      </w:r>
      <w:r>
        <w:rPr>
          <w:rFonts w:hint="eastAsia" w:ascii="宋体" w:hAnsi="宋体" w:eastAsia="宋体" w:cs="宋体"/>
          <w:sz w:val="24"/>
          <w:szCs w:val="24"/>
          <w:highlight w:val="none"/>
        </w:rPr>
        <w:t>。收集房屋所有人家庭人员户口簿、身份证、房屋所有权证、土地使用权证、规划许可证、工商营业执照以及其它与房屋、土地相关资料复印件等，记录联系方式以及送达地址，并按户建立档案；</w:t>
      </w:r>
    </w:p>
    <w:p w14:paraId="2070EB4E">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2.负责委托具备房产测绘资质的单位对所涉房屋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面积（包括道坦及实施单位指定的空地）进行测量，制作调查表和测量图卡，由2名以上具备房产测绘资质的测绘人员签字，并加盖测绘单位的公章；</w:t>
      </w:r>
    </w:p>
    <w:p w14:paraId="699F555F">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3.负责对代理范围内房屋现状进行摄影、摄像，根据入户调查情况制作所涉房屋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工作图，汇总代理范围内所涉房屋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情况调查结果并在改造范围内进行公示；</w:t>
      </w:r>
    </w:p>
    <w:p w14:paraId="1DA090E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全程参与未经登记建筑年限初步审查工作，与甲方委托的勘测机构对接年限认定工作,收集整理未经登记建筑年限初审认定异议相关材料，提交区未经登记建筑认定领导小组办公室复审,并对涉嫌违法的建筑进行梳理，配合甲方协助区行政执法部门开展调查工作；</w:t>
      </w:r>
    </w:p>
    <w:p w14:paraId="3A1FB69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5.负责具体组织选定房地产价格评估机构，由甲方委托公证机构现场公证，评估机构选定后，陪同房地产估价师入户勘查评估。</w:t>
      </w:r>
    </w:p>
    <w:p w14:paraId="092F7AF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cs="宋体"/>
          <w:sz w:val="24"/>
          <w:szCs w:val="24"/>
          <w:highlight w:val="none"/>
          <w:lang w:eastAsia="zh-CN"/>
        </w:rPr>
        <w:t>中期协商签约权证注销阶段</w:t>
      </w:r>
      <w:r>
        <w:rPr>
          <w:rFonts w:hint="eastAsia" w:ascii="宋体" w:hAnsi="宋体" w:eastAsia="宋体" w:cs="宋体"/>
          <w:sz w:val="24"/>
          <w:szCs w:val="24"/>
          <w:highlight w:val="none"/>
        </w:rPr>
        <w:t>：</w:t>
      </w:r>
    </w:p>
    <w:p w14:paraId="5C2EBA21">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1.负责与房屋所有人签订房屋征收（征地房屋补偿）协议，并对协议补偿内容做好解释工作；</w:t>
      </w:r>
    </w:p>
    <w:p w14:paraId="2DC78D1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2.对于难以达成协议的疑似疑难户进行全面梳理，分析争议焦点，着重开展协商工作，并做好协商记录；</w:t>
      </w:r>
    </w:p>
    <w:p w14:paraId="15A5226E">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3.做好评估报告、通知等与房屋征收（征地房屋补偿）相关的文书材料送达工作</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配合土地报征相关工作</w:t>
      </w:r>
      <w:r>
        <w:rPr>
          <w:rFonts w:hint="eastAsia" w:ascii="宋体" w:hAnsi="宋体" w:eastAsia="宋体" w:cs="宋体"/>
          <w:sz w:val="24"/>
          <w:szCs w:val="24"/>
          <w:highlight w:val="none"/>
        </w:rPr>
        <w:t>；</w:t>
      </w:r>
    </w:p>
    <w:p w14:paraId="6B01B630">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4.负责发放第一次临时安置费、搬迁费等费用，并开具票据；同时梳理临时安置费发放明细，并收集房屋所有人银行账户，供甲方日后统一交银行转账使用；</w:t>
      </w:r>
    </w:p>
    <w:p w14:paraId="0C30E33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5.配合水电部门结清水费、电费；</w:t>
      </w:r>
    </w:p>
    <w:p w14:paraId="63A53390">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6.签约期截止后，统计补偿安置基本情况</w:t>
      </w:r>
      <w:r>
        <w:rPr>
          <w:rFonts w:hint="eastAsia" w:ascii="宋体" w:hAnsi="宋体" w:eastAsia="宋体" w:cs="宋体"/>
          <w:sz w:val="24"/>
          <w:szCs w:val="24"/>
          <w:highlight w:val="none"/>
          <w:lang w:eastAsia="zh-CN"/>
        </w:rPr>
        <w:t>，对资金平衡进行初步测算</w:t>
      </w:r>
      <w:r>
        <w:rPr>
          <w:rFonts w:hint="eastAsia" w:ascii="宋体" w:hAnsi="宋体" w:cs="宋体"/>
          <w:sz w:val="24"/>
          <w:szCs w:val="24"/>
          <w:highlight w:val="none"/>
          <w:lang w:eastAsia="zh-CN"/>
        </w:rPr>
        <w:t>；</w:t>
      </w:r>
    </w:p>
    <w:p w14:paraId="69DB63A1">
      <w:pPr>
        <w:wordWrap w:val="0"/>
        <w:spacing w:line="4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及时做好原房屋权属证书的注销</w:t>
      </w:r>
      <w:r>
        <w:rPr>
          <w:rFonts w:hint="eastAsia" w:ascii="宋体" w:hAnsi="宋体" w:cs="宋体"/>
          <w:sz w:val="24"/>
          <w:szCs w:val="24"/>
          <w:highlight w:val="none"/>
          <w:lang w:eastAsia="zh-CN"/>
        </w:rPr>
        <w:t>。</w:t>
      </w:r>
    </w:p>
    <w:p w14:paraId="7F2891C6">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（三）后期认购安置阶段：</w:t>
      </w:r>
    </w:p>
    <w:p w14:paraId="4F50580F">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1.及时做好货币安置对象货币补偿结算工作，并统计数量；</w:t>
      </w:r>
    </w:p>
    <w:p w14:paraId="639F2A9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Times New Roman" w:eastAsia="宋体" w:cs="宋体"/>
          <w:sz w:val="24"/>
          <w:highlight w:val="none"/>
          <w:lang w:eastAsia="zh-CN"/>
        </w:rPr>
        <w:t>协助开具房票及房票结算；</w:t>
      </w:r>
    </w:p>
    <w:p w14:paraId="4BA5EF5B">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3.安置房结顶后，负责收缴第二期购房款，并开具票据；</w:t>
      </w:r>
    </w:p>
    <w:p w14:paraId="09716C15">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按户梳理协议安置面积，同时编排安置方案，参与安置方案联审小组会议；公布安置方案，明确安置房摸文认购时间、地点以及摸文认购流程等内容，向房屋所有人发放安置手册及相关图纸；组织召开安置房摸文认购大会，做好会务工作；</w:t>
      </w:r>
    </w:p>
    <w:p w14:paraId="13680CEA">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5.负责对认购房源予以结算并开具票据，交付安置房钥匙</w:t>
      </w:r>
      <w:r>
        <w:rPr>
          <w:rFonts w:hint="eastAsia" w:ascii="宋体" w:cs="宋体"/>
          <w:color w:val="auto"/>
          <w:sz w:val="24"/>
          <w:highlight w:val="none"/>
          <w:lang w:eastAsia="zh-CN"/>
        </w:rPr>
        <w:t>，并根据最终安置情况对资金平衡进行重新测算</w:t>
      </w:r>
      <w:r>
        <w:rPr>
          <w:rFonts w:hint="eastAsia" w:ascii="宋体" w:hAnsi="宋体" w:eastAsia="宋体" w:cs="宋体"/>
          <w:sz w:val="24"/>
          <w:szCs w:val="24"/>
          <w:highlight w:val="none"/>
        </w:rPr>
        <w:t>。</w:t>
      </w:r>
    </w:p>
    <w:p w14:paraId="2F4B30BE">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（四）负责建立完整的房屋征收（征地房屋补偿）正、副档案（包括电子档案），并于每个阶段工作完成后将正档移交甲方验收保存。代理业务完成后，副档一并移交甲方保存。</w:t>
      </w:r>
    </w:p>
    <w:p w14:paraId="5F91B299">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（五）负责完成甲方交办的与本项目征地房屋补偿和房屋征收工作相关的其他工作</w:t>
      </w:r>
      <w:r>
        <w:rPr>
          <w:rFonts w:hint="eastAsia" w:ascii="宋体" w:hAnsi="宋体" w:eastAsia="宋体" w:cs="宋体"/>
          <w:sz w:val="24"/>
          <w:szCs w:val="24"/>
          <w:highlight w:val="none"/>
          <w:lang w:eastAsia="zh-CN"/>
        </w:rPr>
        <w:t>。</w:t>
      </w:r>
    </w:p>
    <w:p w14:paraId="2A9E16AC">
      <w:pPr>
        <w:wordWrap w:val="0"/>
        <w:spacing w:line="460" w:lineRule="exact"/>
        <w:ind w:firstLine="56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8"/>
          <w:szCs w:val="28"/>
          <w:highlight w:val="none"/>
          <w:lang w:val="en-US" w:eastAsia="zh-CN"/>
        </w:rPr>
        <w:t>②</w:t>
      </w:r>
      <w:r>
        <w:rPr>
          <w:rFonts w:hint="eastAsia" w:ascii="宋体" w:hAnsi="宋体" w:eastAsia="宋体" w:cs="宋体"/>
          <w:b/>
          <w:bCs/>
          <w:sz w:val="28"/>
          <w:szCs w:val="28"/>
          <w:highlight w:val="none"/>
          <w:lang w:eastAsia="zh-CN"/>
        </w:rPr>
        <w:t>工业用房征收</w:t>
      </w:r>
      <w:r>
        <w:rPr>
          <w:rFonts w:hint="eastAsia" w:ascii="宋体" w:hAnsi="宋体" w:eastAsia="宋体" w:cs="宋体"/>
          <w:b/>
          <w:bCs/>
          <w:sz w:val="28"/>
          <w:szCs w:val="28"/>
          <w:highlight w:val="none"/>
          <w:lang w:val="en-US" w:eastAsia="zh-CN"/>
        </w:rPr>
        <w:t>要求：</w:t>
      </w:r>
    </w:p>
    <w:p w14:paraId="0C01661A">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按照房屋征收（征地房屋补偿）法定程序协助甲方完成</w:t>
      </w:r>
      <w:r>
        <w:rPr>
          <w:rFonts w:hint="eastAsia" w:ascii="宋体" w:hAnsi="宋体" w:eastAsia="宋体" w:cs="宋体"/>
          <w:sz w:val="24"/>
          <w:szCs w:val="24"/>
          <w:highlight w:val="none"/>
          <w:lang w:val="en-US" w:eastAsia="zh-CN"/>
        </w:rPr>
        <w:t>三个阶段（1.</w:t>
      </w:r>
      <w:r>
        <w:rPr>
          <w:rFonts w:hint="eastAsia" w:ascii="宋体" w:hAnsi="宋体" w:eastAsia="宋体" w:cs="宋体"/>
          <w:sz w:val="24"/>
          <w:szCs w:val="24"/>
          <w:highlight w:val="none"/>
        </w:rPr>
        <w:t>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中期协商签约</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权证注销</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后期档案整理结算阶段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相关工作，主要内容包括：</w:t>
      </w:r>
    </w:p>
    <w:p w14:paraId="2FF15BA0">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rPr>
        <w:t>：</w:t>
      </w:r>
    </w:p>
    <w:p w14:paraId="74959FED">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负责入户调查所涉房屋及土地权属、房屋所有人的身份信息、共有产权人、抵押权人等利害关系人的调查等内容</w:t>
      </w:r>
      <w:r>
        <w:rPr>
          <w:rFonts w:hint="eastAsia" w:ascii="宋体" w:hAnsi="宋体" w:eastAsia="宋体" w:cs="宋体"/>
          <w:sz w:val="24"/>
          <w:szCs w:val="24"/>
          <w:highlight w:val="none"/>
        </w:rPr>
        <w:t>。收集房屋所有人工商登记基本资料、法定代表人身份证、房屋所有权证、土地使用权证、规划许可证、工商营业执照、组织机构代码证以及其它与房屋、土地相关资料复印件等，记录联系方式以及送达地址，并按户建立档案；</w:t>
      </w:r>
    </w:p>
    <w:p w14:paraId="54B067C0">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2.负责委托具备房产测绘资质的单位对所涉房屋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面积（包括道坦及实施单位指定的空地）进行测量，制作调查表和测量图卡，由2名以上具备房产测绘资质的测绘人员签字，并加盖测绘单位的公章；</w:t>
      </w:r>
    </w:p>
    <w:p w14:paraId="2C557C65">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3.负责对代理范围内房屋现状进行摄影、摄像，根据入户调查情况制作所涉房屋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工作图，汇总代理范围内所涉房屋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情况调查结果并在改造范围内进行公示；</w:t>
      </w:r>
    </w:p>
    <w:p w14:paraId="42E4087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全程参与未经登记建筑年限初步审查工作，与甲方委托的勘测机构对接年限认定工作,收集整理未经登记建筑年限初审认定异议相关材料，提交区未经登记建筑认定领导小组办公室复审,并对涉嫌违法的建筑进行梳理，配合甲方协助区行政执法部门开展调查工作；</w:t>
      </w:r>
    </w:p>
    <w:p w14:paraId="55EB9DD6">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5.负责具体组织选定房地产价格评估机构，由甲方委托公证机构现场公证，评估机构选定后，陪同房地产估价师入户勘查评估。</w:t>
      </w:r>
    </w:p>
    <w:p w14:paraId="4C63955E">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cs="宋体"/>
          <w:sz w:val="24"/>
          <w:szCs w:val="24"/>
          <w:highlight w:val="none"/>
          <w:lang w:eastAsia="zh-CN"/>
        </w:rPr>
        <w:t>中期协商签约权证注销阶段</w:t>
      </w:r>
      <w:r>
        <w:rPr>
          <w:rFonts w:hint="eastAsia" w:ascii="宋体" w:hAnsi="宋体" w:eastAsia="宋体" w:cs="宋体"/>
          <w:sz w:val="24"/>
          <w:szCs w:val="24"/>
          <w:highlight w:val="none"/>
        </w:rPr>
        <w:t>：</w:t>
      </w:r>
    </w:p>
    <w:p w14:paraId="4414B7C1">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1.负责与房屋所有人签订房屋征收（征地房屋补偿）协议，并对协议补偿内容做好解释工作；</w:t>
      </w:r>
    </w:p>
    <w:p w14:paraId="07C9A08C">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2.对于难以达成协议的疑似疑难户进行全面梳理，分析争议焦点，着重开展协商工作，并做好协商记录；</w:t>
      </w:r>
    </w:p>
    <w:p w14:paraId="3AE8AAD5">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3.做好评估报告、通知等与房屋征收（征地房屋补偿）相关的文书材料送达工作</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配合土地报征相关工作</w:t>
      </w:r>
      <w:r>
        <w:rPr>
          <w:rFonts w:hint="eastAsia" w:ascii="宋体" w:hAnsi="宋体" w:eastAsia="宋体" w:cs="宋体"/>
          <w:sz w:val="24"/>
          <w:szCs w:val="24"/>
          <w:highlight w:val="none"/>
        </w:rPr>
        <w:t>；</w:t>
      </w:r>
    </w:p>
    <w:p w14:paraId="1F024F7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4.负责发放第一次临时安置费、搬迁费等费用，并开具票据；同时梳理临时安置费发放明细，并收集房屋所有人银行账户，供甲方日后统一交银行转账使用；</w:t>
      </w:r>
    </w:p>
    <w:p w14:paraId="1D176784">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5.配合水电部门结清水费、电费；</w:t>
      </w:r>
    </w:p>
    <w:p w14:paraId="7A5E5D56">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6.签约期截止后，统计补偿安置基本情况</w:t>
      </w:r>
      <w:r>
        <w:rPr>
          <w:rFonts w:hint="eastAsia" w:ascii="宋体" w:hAnsi="宋体" w:eastAsia="宋体" w:cs="宋体"/>
          <w:sz w:val="24"/>
          <w:szCs w:val="24"/>
          <w:highlight w:val="none"/>
          <w:lang w:eastAsia="zh-CN"/>
        </w:rPr>
        <w:t>，对资金平衡进行初步测算</w:t>
      </w:r>
      <w:r>
        <w:rPr>
          <w:rFonts w:hint="eastAsia" w:ascii="宋体" w:hAnsi="宋体" w:cs="宋体"/>
          <w:sz w:val="24"/>
          <w:szCs w:val="24"/>
          <w:highlight w:val="none"/>
          <w:lang w:eastAsia="zh-CN"/>
        </w:rPr>
        <w:t>；</w:t>
      </w:r>
    </w:p>
    <w:p w14:paraId="1295C837">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及时做好原房屋权属证书的注销</w:t>
      </w:r>
      <w:r>
        <w:rPr>
          <w:rFonts w:hint="eastAsia" w:ascii="宋体" w:hAnsi="宋体" w:cs="宋体"/>
          <w:sz w:val="24"/>
          <w:szCs w:val="24"/>
          <w:highlight w:val="none"/>
          <w:lang w:eastAsia="zh-CN"/>
        </w:rPr>
        <w:t>。</w:t>
      </w:r>
    </w:p>
    <w:p w14:paraId="0A6C3EC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后期档案整理结算阶段</w:t>
      </w:r>
      <w:r>
        <w:rPr>
          <w:rFonts w:hint="eastAsia" w:ascii="宋体" w:hAnsi="宋体" w:eastAsia="宋体" w:cs="宋体"/>
          <w:sz w:val="24"/>
          <w:szCs w:val="24"/>
          <w:highlight w:val="none"/>
        </w:rPr>
        <w:t>：</w:t>
      </w:r>
    </w:p>
    <w:p w14:paraId="3A3585CD">
      <w:pPr>
        <w:wordWrap w:val="0"/>
        <w:spacing w:line="46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及时做好货币安置对象货币补偿结算工作，并统计数量</w:t>
      </w:r>
      <w:r>
        <w:rPr>
          <w:rFonts w:hint="eastAsia" w:ascii="宋体" w:hAnsi="宋体" w:eastAsia="宋体" w:cs="宋体"/>
          <w:sz w:val="24"/>
          <w:szCs w:val="24"/>
          <w:highlight w:val="none"/>
          <w:lang w:eastAsia="zh-CN"/>
        </w:rPr>
        <w:t>；</w:t>
      </w:r>
    </w:p>
    <w:p w14:paraId="28C87995">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.及时做好选择土地置换或者功能置换等安置方式的被征收人后续安置工作</w:t>
      </w:r>
      <w:r>
        <w:rPr>
          <w:rFonts w:hint="eastAsia" w:ascii="宋体" w:hAnsi="宋体" w:eastAsia="宋体" w:cs="宋体"/>
          <w:sz w:val="24"/>
          <w:szCs w:val="24"/>
          <w:highlight w:val="none"/>
          <w:lang w:eastAsia="zh-CN"/>
        </w:rPr>
        <w:t>；</w:t>
      </w:r>
    </w:p>
    <w:p w14:paraId="1F5FBF2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.负责按户梳理协议安置面积，同时编排安置方案；公布安置方案，协助完成安置工作等内容工作；</w:t>
      </w:r>
    </w:p>
    <w:p w14:paraId="111C7EA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.负责对选择土地置换和功能置换等安置方式进行结算并开具票据</w:t>
      </w:r>
      <w:r>
        <w:rPr>
          <w:rFonts w:hint="eastAsia" w:ascii="宋体" w:hAnsi="宋体" w:eastAsia="宋体" w:cs="宋体"/>
          <w:sz w:val="24"/>
          <w:szCs w:val="24"/>
          <w:highlight w:val="none"/>
          <w:lang w:eastAsia="zh-CN"/>
        </w:rPr>
        <w:t>，并根据最终安置情况对资金平衡进行重新测算</w:t>
      </w:r>
      <w:r>
        <w:rPr>
          <w:rFonts w:hint="eastAsia" w:ascii="宋体" w:hAnsi="宋体" w:eastAsia="宋体" w:cs="宋体"/>
          <w:sz w:val="24"/>
          <w:szCs w:val="24"/>
          <w:highlight w:val="none"/>
        </w:rPr>
        <w:t>。</w:t>
      </w:r>
    </w:p>
    <w:p w14:paraId="49AB1151">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（四）负责建立完整的房屋征收（征地房屋补偿）正、副档案（包括电子档案），并于每个阶段工作完成后将正档移交甲方验收保存。代理业务完成后，副档一并移交甲方保存。</w:t>
      </w:r>
    </w:p>
    <w:p w14:paraId="611E615C">
      <w:pPr>
        <w:wordWrap w:val="0"/>
        <w:spacing w:line="4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（五）负责完成甲方交办的与本项目征地房屋补偿和房屋征收工作相关的其他工作</w:t>
      </w:r>
      <w:r>
        <w:rPr>
          <w:rFonts w:hint="eastAsia" w:ascii="宋体" w:hAnsi="宋体" w:eastAsia="宋体" w:cs="宋体"/>
          <w:sz w:val="24"/>
          <w:szCs w:val="24"/>
          <w:highlight w:val="none"/>
          <w:lang w:eastAsia="zh-CN"/>
        </w:rPr>
        <w:t>。</w:t>
      </w:r>
    </w:p>
    <w:p w14:paraId="44C3ED63">
      <w:pPr>
        <w:autoSpaceDE w:val="0"/>
        <w:autoSpaceDN w:val="0"/>
        <w:adjustRightInd w:val="0"/>
        <w:snapToGrid w:val="0"/>
        <w:spacing w:line="440" w:lineRule="atLeast"/>
        <w:textAlignment w:val="bottom"/>
        <w:rPr>
          <w:rFonts w:hint="eastAsia" w:ascii="宋体" w:hAnsi="宋体" w:eastAsia="宋体" w:cs="宋体"/>
          <w:bCs/>
          <w:sz w:val="24"/>
          <w:szCs w:val="24"/>
          <w:highlight w:val="none"/>
        </w:rPr>
      </w:pPr>
      <w:r>
        <w:rPr>
          <w:rFonts w:hint="eastAsia" w:ascii="宋体" w:hAnsi="宋体" w:eastAsia="宋体" w:cs="宋体"/>
          <w:b/>
          <w:bCs/>
          <w:kern w:val="2"/>
          <w:sz w:val="24"/>
          <w:szCs w:val="24"/>
          <w:highlight w:val="none"/>
          <w:lang w:val="en-US" w:eastAsia="zh-CN" w:bidi="ar-SA"/>
        </w:rPr>
        <w:t>三、</w:t>
      </w:r>
      <w:r>
        <w:rPr>
          <w:rFonts w:hint="eastAsia" w:ascii="宋体" w:hAnsi="宋体" w:eastAsia="宋体" w:cs="宋体"/>
          <w:b/>
          <w:bCs/>
          <w:sz w:val="24"/>
          <w:szCs w:val="24"/>
          <w:highlight w:val="none"/>
          <w:lang w:val="en-US" w:eastAsia="zh-CN"/>
        </w:rPr>
        <w:t>其他</w:t>
      </w:r>
      <w:r>
        <w:rPr>
          <w:rFonts w:hint="eastAsia" w:ascii="宋体" w:hAnsi="宋体" w:eastAsia="宋体" w:cs="宋体"/>
          <w:b/>
          <w:bCs/>
          <w:sz w:val="24"/>
          <w:szCs w:val="24"/>
          <w:highlight w:val="none"/>
        </w:rPr>
        <w:t>要求</w:t>
      </w:r>
    </w:p>
    <w:p w14:paraId="04B1842F">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中标人与招标人签订合同后3个工作日内，应将本单位从事房屋征收（征地房屋补偿）工作的从业人员身份信息报送招标人备案。应做好从业人员信息登记，并要求从业人员向区房屋征收部门申领《温州市龙湾区房屋征收补偿上岗证》</w:t>
      </w:r>
      <w:r>
        <w:rPr>
          <w:rFonts w:hint="eastAsia" w:ascii="宋体" w:hAnsi="宋体" w:eastAsia="宋体" w:cs="宋体"/>
          <w:bCs/>
          <w:sz w:val="24"/>
          <w:szCs w:val="24"/>
          <w:highlight w:val="none"/>
          <w:lang w:eastAsia="zh-CN"/>
        </w:rPr>
        <w:t>。</w:t>
      </w:r>
    </w:p>
    <w:p w14:paraId="7AC0FBFC">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（2）中标单位从业人员每年至少参加一期由市、区房屋征收部门组织的培训课程。</w:t>
      </w:r>
    </w:p>
    <w:p w14:paraId="7A95B959">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（3）承接项目时，乙方应确保前期入户调查、</w:t>
      </w:r>
      <w:r>
        <w:rPr>
          <w:rFonts w:hint="eastAsia" w:ascii="宋体" w:hAnsi="宋体" w:cs="宋体"/>
          <w:bCs/>
          <w:sz w:val="24"/>
          <w:szCs w:val="24"/>
          <w:highlight w:val="none"/>
          <w:lang w:eastAsia="zh-CN"/>
        </w:rPr>
        <w:t>中期协商签约权证注销阶段</w:t>
      </w:r>
      <w:r>
        <w:rPr>
          <w:rFonts w:hint="eastAsia" w:ascii="宋体" w:hAnsi="宋体" w:eastAsia="宋体" w:cs="宋体"/>
          <w:bCs/>
          <w:sz w:val="24"/>
          <w:szCs w:val="24"/>
          <w:highlight w:val="none"/>
        </w:rPr>
        <w:t>至少配备</w:t>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名持工作证的从业人员。代理项目所涉户数达到250户的，应配备不少于12名持工作证的从业人员；户数达到500户及以上的，应配备不少于20名持工作证的从业人员。</w:t>
      </w:r>
      <w:r>
        <w:rPr>
          <w:rFonts w:hint="eastAsia" w:ascii="宋体" w:hAnsi="宋体" w:cs="宋体"/>
          <w:bCs/>
          <w:sz w:val="24"/>
          <w:szCs w:val="24"/>
          <w:highlight w:val="none"/>
          <w:lang w:eastAsia="zh-CN"/>
        </w:rPr>
        <w:t>后期认购安置阶段</w:t>
      </w:r>
      <w:r>
        <w:rPr>
          <w:rFonts w:hint="eastAsia" w:ascii="宋体" w:hAnsi="宋体" w:eastAsia="宋体" w:cs="宋体"/>
          <w:bCs/>
          <w:sz w:val="24"/>
          <w:szCs w:val="24"/>
          <w:highlight w:val="none"/>
        </w:rPr>
        <w:t>或</w:t>
      </w:r>
      <w:r>
        <w:rPr>
          <w:rFonts w:hint="eastAsia" w:ascii="宋体" w:hAnsi="宋体" w:cs="宋体"/>
          <w:bCs/>
          <w:sz w:val="24"/>
          <w:szCs w:val="24"/>
          <w:highlight w:val="none"/>
          <w:lang w:eastAsia="zh-CN"/>
        </w:rPr>
        <w:t>后期档案整理结算阶段</w:t>
      </w:r>
      <w:r>
        <w:rPr>
          <w:rFonts w:hint="eastAsia" w:ascii="宋体" w:hAnsi="宋体" w:eastAsia="宋体" w:cs="宋体"/>
          <w:bCs/>
          <w:sz w:val="24"/>
          <w:szCs w:val="24"/>
          <w:highlight w:val="none"/>
        </w:rPr>
        <w:t>至少配备5名持工作证的从业人员</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代理项目所涉户数达到250户的，应配备不少于6名持工作证的从业人员；户数达到500户及以上的，应配备不少于9名持工作证的从业人员。如遇到特殊情况必须按甲方要求增加工作。</w:t>
      </w:r>
    </w:p>
    <w:p w14:paraId="79B82AA2">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（4）上述项目实施情况以上级部门相关实际要求为准。</w:t>
      </w:r>
    </w:p>
    <w:p w14:paraId="5AAD2CAB">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）服务购买费用标准（上限）</w:t>
      </w:r>
    </w:p>
    <w:p w14:paraId="7D278A66">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①</w:t>
      </w:r>
      <w:r>
        <w:rPr>
          <w:rFonts w:hint="eastAsia" w:ascii="宋体" w:hAnsi="宋体" w:eastAsia="宋体" w:cs="宋体"/>
          <w:bCs/>
          <w:sz w:val="24"/>
          <w:szCs w:val="24"/>
          <w:highlight w:val="none"/>
        </w:rPr>
        <w:t>住宅</w:t>
      </w:r>
      <w:r>
        <w:rPr>
          <w:rFonts w:hint="eastAsia" w:ascii="宋体" w:hAnsi="宋体" w:cs="宋体"/>
          <w:bCs/>
          <w:sz w:val="24"/>
          <w:szCs w:val="24"/>
          <w:highlight w:val="none"/>
          <w:lang w:val="en-US" w:eastAsia="zh-CN"/>
        </w:rPr>
        <w:t>用房</w:t>
      </w:r>
      <w:r>
        <w:rPr>
          <w:rFonts w:hint="eastAsia" w:ascii="宋体" w:hAnsi="宋体" w:eastAsia="宋体" w:cs="宋体"/>
          <w:bCs/>
          <w:sz w:val="24"/>
          <w:szCs w:val="24"/>
          <w:highlight w:val="none"/>
        </w:rPr>
        <w:t>服务购买费用根据不同阶段按以下标准按实计价：</w:t>
      </w:r>
    </w:p>
    <w:p w14:paraId="5C3012AA">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（一）前期入户调查阶段。根据代理服务项目所涉房屋总建筑面积（棚、道坦与空地除外）计算，</w:t>
      </w:r>
      <w:r>
        <w:rPr>
          <w:rFonts w:hint="eastAsia" w:ascii="宋体" w:hAnsi="宋体" w:cs="宋体"/>
          <w:b/>
          <w:bCs w:val="0"/>
          <w:sz w:val="24"/>
          <w:szCs w:val="24"/>
          <w:highlight w:val="none"/>
          <w:lang w:val="en-US" w:eastAsia="zh-CN"/>
        </w:rPr>
        <w:t>一标段</w:t>
      </w:r>
      <w:r>
        <w:rPr>
          <w:rFonts w:hint="eastAsia" w:ascii="宋体" w:hAnsi="宋体" w:eastAsia="宋体" w:cs="宋体"/>
          <w:b/>
          <w:bCs w:val="0"/>
          <w:sz w:val="24"/>
          <w:szCs w:val="24"/>
          <w:highlight w:val="none"/>
        </w:rPr>
        <w:t>计价标准上限为</w:t>
      </w:r>
      <w:r>
        <w:rPr>
          <w:rFonts w:hint="eastAsia" w:ascii="宋体" w:hAnsi="宋体" w:cs="宋体"/>
          <w:b/>
          <w:bCs w:val="0"/>
          <w:sz w:val="24"/>
          <w:szCs w:val="24"/>
          <w:highlight w:val="none"/>
          <w:lang w:val="en-US" w:eastAsia="zh-CN"/>
        </w:rPr>
        <w:t>3</w:t>
      </w:r>
      <w:r>
        <w:rPr>
          <w:rFonts w:hint="eastAsia" w:ascii="宋体" w:hAnsi="宋体" w:eastAsia="宋体" w:cs="宋体"/>
          <w:b/>
          <w:bCs w:val="0"/>
          <w:sz w:val="24"/>
          <w:szCs w:val="24"/>
          <w:highlight w:val="none"/>
        </w:rPr>
        <w:t>元/平方米</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二标段</w:t>
      </w:r>
      <w:r>
        <w:rPr>
          <w:rFonts w:hint="eastAsia" w:ascii="宋体" w:hAnsi="宋体" w:eastAsia="宋体" w:cs="宋体"/>
          <w:b/>
          <w:bCs w:val="0"/>
          <w:sz w:val="24"/>
          <w:szCs w:val="24"/>
          <w:highlight w:val="none"/>
        </w:rPr>
        <w:t>计价标准上限为</w:t>
      </w:r>
      <w:r>
        <w:rPr>
          <w:rFonts w:hint="eastAsia" w:ascii="宋体" w:hAnsi="宋体" w:cs="宋体"/>
          <w:b/>
          <w:bCs w:val="0"/>
          <w:sz w:val="24"/>
          <w:szCs w:val="24"/>
          <w:highlight w:val="none"/>
          <w:lang w:val="en-US" w:eastAsia="zh-CN"/>
        </w:rPr>
        <w:t>5</w:t>
      </w:r>
      <w:r>
        <w:rPr>
          <w:rFonts w:hint="eastAsia" w:ascii="宋体" w:hAnsi="宋体" w:eastAsia="宋体" w:cs="宋体"/>
          <w:b/>
          <w:bCs w:val="0"/>
          <w:sz w:val="24"/>
          <w:szCs w:val="24"/>
          <w:highlight w:val="none"/>
        </w:rPr>
        <w:t>元/平方米</w:t>
      </w:r>
      <w:r>
        <w:rPr>
          <w:rFonts w:hint="eastAsia" w:ascii="宋体" w:hAnsi="宋体" w:eastAsia="宋体" w:cs="宋体"/>
          <w:bCs/>
          <w:sz w:val="24"/>
          <w:szCs w:val="24"/>
          <w:highlight w:val="none"/>
        </w:rPr>
        <w:t>；涉及棚与道坦按实际面积计算，计价标准上限为1.5元/平方米。</w:t>
      </w:r>
    </w:p>
    <w:p w14:paraId="29A2841A">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w:t>
      </w:r>
      <w:r>
        <w:rPr>
          <w:rFonts w:hint="eastAsia" w:ascii="宋体" w:hAnsi="宋体" w:cs="宋体"/>
          <w:bCs/>
          <w:sz w:val="24"/>
          <w:szCs w:val="24"/>
          <w:highlight w:val="none"/>
          <w:lang w:eastAsia="zh-CN"/>
        </w:rPr>
        <w:t>中期协商签约权证注销阶段</w:t>
      </w:r>
      <w:r>
        <w:rPr>
          <w:rFonts w:hint="eastAsia" w:ascii="宋体" w:hAnsi="宋体" w:eastAsia="宋体" w:cs="宋体"/>
          <w:bCs/>
          <w:sz w:val="24"/>
          <w:szCs w:val="24"/>
          <w:highlight w:val="none"/>
        </w:rPr>
        <w:t>。根据代理服务项目所涉房屋总建筑面积（棚、道坦与空地除外）计算，计价标准上限为13元/平方米。</w:t>
      </w:r>
    </w:p>
    <w:p w14:paraId="22DBC6CE">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w:t>
      </w:r>
      <w:r>
        <w:rPr>
          <w:rFonts w:hint="eastAsia" w:ascii="宋体" w:hAnsi="宋体" w:cs="宋体"/>
          <w:bCs/>
          <w:sz w:val="24"/>
          <w:szCs w:val="24"/>
          <w:highlight w:val="none"/>
          <w:lang w:eastAsia="zh-CN"/>
        </w:rPr>
        <w:t>后期认购安置阶段</w:t>
      </w:r>
      <w:r>
        <w:rPr>
          <w:rFonts w:hint="eastAsia" w:ascii="宋体" w:hAnsi="宋体" w:eastAsia="宋体" w:cs="宋体"/>
          <w:bCs/>
          <w:sz w:val="24"/>
          <w:szCs w:val="24"/>
          <w:highlight w:val="none"/>
        </w:rPr>
        <w:t>。住宅用房货币补偿的根据协议补偿房屋建筑面积（含一翻三）计算，计价标准上限为</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元/平方米；</w:t>
      </w:r>
      <w:r>
        <w:rPr>
          <w:rFonts w:hint="eastAsia" w:ascii="宋体" w:hAnsi="宋体" w:eastAsia="宋体" w:cs="宋体"/>
          <w:bCs/>
          <w:sz w:val="24"/>
          <w:szCs w:val="24"/>
          <w:highlight w:val="none"/>
          <w:lang w:eastAsia="zh-CN"/>
        </w:rPr>
        <w:t>实行</w:t>
      </w:r>
      <w:r>
        <w:rPr>
          <w:rFonts w:hint="eastAsia" w:ascii="宋体" w:hAnsi="宋体" w:eastAsia="宋体" w:cs="宋体"/>
          <w:bCs/>
          <w:sz w:val="24"/>
          <w:szCs w:val="24"/>
          <w:highlight w:val="none"/>
        </w:rPr>
        <w:t>房票安置</w:t>
      </w:r>
      <w:r>
        <w:rPr>
          <w:rFonts w:hint="eastAsia" w:ascii="宋体" w:hAnsi="宋体" w:eastAsia="宋体" w:cs="宋体"/>
          <w:bCs/>
          <w:sz w:val="24"/>
          <w:szCs w:val="24"/>
          <w:highlight w:val="none"/>
          <w:lang w:val="en-US" w:eastAsia="zh-CN"/>
        </w:rPr>
        <w:t>的根据</w:t>
      </w:r>
      <w:r>
        <w:rPr>
          <w:rFonts w:hint="eastAsia" w:ascii="宋体" w:hAnsi="宋体" w:eastAsia="宋体" w:cs="宋体"/>
          <w:bCs/>
          <w:sz w:val="24"/>
          <w:szCs w:val="24"/>
          <w:highlight w:val="none"/>
        </w:rPr>
        <w:t>房票安置</w:t>
      </w:r>
      <w:r>
        <w:rPr>
          <w:rFonts w:hint="eastAsia" w:ascii="宋体" w:hAnsi="宋体" w:eastAsia="宋体" w:cs="宋体"/>
          <w:bCs/>
          <w:sz w:val="24"/>
          <w:szCs w:val="24"/>
          <w:highlight w:val="none"/>
          <w:lang w:val="en-US" w:eastAsia="zh-CN"/>
        </w:rPr>
        <w:t>建筑面积计算，</w:t>
      </w:r>
      <w:r>
        <w:rPr>
          <w:rFonts w:hint="eastAsia" w:ascii="宋体" w:hAnsi="宋体" w:eastAsia="宋体" w:cs="宋体"/>
          <w:bCs/>
          <w:sz w:val="24"/>
          <w:szCs w:val="24"/>
          <w:highlight w:val="none"/>
        </w:rPr>
        <w:t>计价标准上限为</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元/平方米</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产权调换的根据协议安置建筑总面积（公摊率按25%计算，套型差及户增除外）计算，计价标准上限为5元/平方米。</w:t>
      </w:r>
    </w:p>
    <w:p w14:paraId="0C506057">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②</w:t>
      </w:r>
      <w:r>
        <w:rPr>
          <w:rFonts w:hint="eastAsia" w:ascii="宋体" w:hAnsi="宋体" w:eastAsia="宋体" w:cs="宋体"/>
          <w:bCs/>
          <w:sz w:val="24"/>
          <w:szCs w:val="24"/>
          <w:highlight w:val="none"/>
        </w:rPr>
        <w:t>工业</w:t>
      </w:r>
      <w:r>
        <w:rPr>
          <w:rFonts w:hint="eastAsia" w:ascii="宋体" w:hAnsi="宋体" w:cs="宋体"/>
          <w:bCs/>
          <w:sz w:val="24"/>
          <w:szCs w:val="24"/>
          <w:highlight w:val="none"/>
          <w:lang w:val="en-US" w:eastAsia="zh-CN"/>
        </w:rPr>
        <w:t>用房</w:t>
      </w:r>
      <w:r>
        <w:rPr>
          <w:rFonts w:hint="eastAsia" w:ascii="宋体" w:hAnsi="宋体" w:eastAsia="宋体" w:cs="宋体"/>
          <w:bCs/>
          <w:sz w:val="24"/>
          <w:szCs w:val="24"/>
          <w:highlight w:val="none"/>
        </w:rPr>
        <w:t>服务购买费用根据不同阶段按以下标准按实计价：　　</w:t>
      </w:r>
    </w:p>
    <w:p w14:paraId="11CDFAFC">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（一）前期入户调查阶段。根据代理服务项目所涉房屋总建筑面积（棚、道坦与空地除外）计算，计价标准上限为3元/平方米；</w:t>
      </w:r>
    </w:p>
    <w:p w14:paraId="641EC9FC">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w:t>
      </w:r>
      <w:r>
        <w:rPr>
          <w:rFonts w:hint="eastAsia" w:ascii="宋体" w:hAnsi="宋体" w:cs="宋体"/>
          <w:bCs/>
          <w:sz w:val="24"/>
          <w:szCs w:val="24"/>
          <w:highlight w:val="none"/>
          <w:lang w:eastAsia="zh-CN"/>
        </w:rPr>
        <w:t>中期协商签约权证注销阶段</w:t>
      </w:r>
      <w:r>
        <w:rPr>
          <w:rFonts w:hint="eastAsia" w:ascii="宋体" w:hAnsi="宋体" w:eastAsia="宋体" w:cs="宋体"/>
          <w:bCs/>
          <w:sz w:val="24"/>
          <w:szCs w:val="24"/>
          <w:highlight w:val="none"/>
        </w:rPr>
        <w:t>。根据代理服务项目所涉房屋总建筑面积（棚、道坦与空地除外）计算，计价标准上限为</w:t>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rPr>
        <w:t>元/平方米。</w:t>
      </w:r>
    </w:p>
    <w:p w14:paraId="2CC5BB6C">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w:t>
      </w:r>
      <w:r>
        <w:rPr>
          <w:rFonts w:hint="eastAsia" w:ascii="宋体" w:hAnsi="宋体" w:cs="宋体"/>
          <w:bCs/>
          <w:sz w:val="24"/>
          <w:szCs w:val="24"/>
          <w:highlight w:val="none"/>
          <w:lang w:eastAsia="zh-CN"/>
        </w:rPr>
        <w:t>后期档案整理结算阶段</w:t>
      </w:r>
      <w:r>
        <w:rPr>
          <w:rFonts w:hint="eastAsia" w:ascii="宋体" w:hAnsi="宋体" w:eastAsia="宋体" w:cs="宋体"/>
          <w:bCs/>
          <w:sz w:val="24"/>
          <w:szCs w:val="24"/>
          <w:highlight w:val="none"/>
        </w:rPr>
        <w:t>。工业用房按项目所涉房屋总建筑面积（棚、道坦与空地除外）计算，计价标准上限为2元/平方米。</w:t>
      </w:r>
    </w:p>
    <w:p w14:paraId="2F74A720">
      <w:pPr>
        <w:autoSpaceDE w:val="0"/>
        <w:autoSpaceDN w:val="0"/>
        <w:adjustRightInd w:val="0"/>
        <w:snapToGrid w:val="0"/>
        <w:spacing w:line="440" w:lineRule="atLeast"/>
        <w:textAlignment w:val="bottom"/>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四、商务条款</w:t>
      </w:r>
    </w:p>
    <w:p w14:paraId="00375BE1">
      <w:pPr>
        <w:spacing w:line="440" w:lineRule="exact"/>
        <w:ind w:firstLine="487" w:firstLineChars="203"/>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1、合同履约期限：本项目所有房屋征收事务代理服务项目计划于合同协议签订后3日内安排人员开始进行前期入户调查；房屋征收事务代理服务按甲方的相关公告为准完成中期协商签约及权证注销；后期认购安置</w:t>
      </w:r>
      <w:r>
        <w:rPr>
          <w:rFonts w:hint="eastAsia" w:ascii="宋体" w:hAnsi="宋体" w:cs="宋体"/>
          <w:bCs/>
          <w:sz w:val="24"/>
          <w:szCs w:val="24"/>
          <w:highlight w:val="none"/>
          <w:lang w:val="en-US" w:eastAsia="zh-CN"/>
        </w:rPr>
        <w:t>（或</w:t>
      </w:r>
      <w:r>
        <w:rPr>
          <w:rFonts w:hint="eastAsia" w:ascii="宋体" w:hAnsi="宋体" w:cs="宋体"/>
          <w:bCs/>
          <w:sz w:val="24"/>
          <w:szCs w:val="24"/>
          <w:highlight w:val="none"/>
          <w:lang w:eastAsia="zh-CN"/>
        </w:rPr>
        <w:t>后期档案整理结算</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lang w:val="en-US" w:eastAsia="zh-CN"/>
        </w:rPr>
        <w:t>根据实际情况由招标人另行确定。</w:t>
      </w:r>
    </w:p>
    <w:p w14:paraId="26FB7AAA">
      <w:pPr>
        <w:spacing w:line="440" w:lineRule="exact"/>
        <w:ind w:firstLine="487" w:firstLineChars="203"/>
        <w:rPr>
          <w:rFonts w:hint="eastAsia" w:ascii="宋体" w:hAnsi="宋体" w:eastAsia="宋体" w:cs="Arial"/>
          <w:sz w:val="36"/>
          <w:szCs w:val="36"/>
          <w:highlight w:val="none"/>
        </w:rPr>
      </w:pPr>
      <w:r>
        <w:rPr>
          <w:rFonts w:hint="eastAsia" w:ascii="宋体" w:hAnsi="宋体" w:eastAsia="宋体" w:cs="宋体"/>
          <w:bCs/>
          <w:sz w:val="24"/>
          <w:szCs w:val="24"/>
          <w:highlight w:val="none"/>
          <w:lang w:val="en-US" w:eastAsia="zh-CN"/>
        </w:rPr>
        <w:t>2、付款方式：详见合同条款。</w:t>
      </w:r>
      <w:r>
        <w:rPr>
          <w:rFonts w:hint="eastAsia" w:ascii="宋体" w:hAnsi="宋体" w:eastAsia="宋体" w:cs="Arial"/>
          <w:sz w:val="36"/>
          <w:szCs w:val="36"/>
          <w:highlight w:val="none"/>
        </w:rPr>
        <w:br w:type="page"/>
      </w:r>
    </w:p>
    <w:p w14:paraId="647B2351">
      <w:pPr>
        <w:pStyle w:val="4"/>
        <w:rPr>
          <w:rFonts w:ascii="宋体" w:hAnsi="宋体" w:eastAsia="宋体" w:cs="Arial"/>
          <w:sz w:val="36"/>
          <w:szCs w:val="36"/>
          <w:highlight w:val="none"/>
        </w:rPr>
      </w:pPr>
      <w:bookmarkStart w:id="193" w:name="_Toc27692"/>
      <w:r>
        <w:rPr>
          <w:rFonts w:hint="eastAsia" w:ascii="宋体" w:hAnsi="宋体" w:eastAsia="宋体" w:cs="Arial"/>
          <w:sz w:val="36"/>
          <w:szCs w:val="36"/>
          <w:highlight w:val="none"/>
        </w:rPr>
        <w:t xml:space="preserve">第三部分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eastAsia="宋体" w:cs="Arial"/>
          <w:sz w:val="36"/>
          <w:szCs w:val="36"/>
          <w:highlight w:val="none"/>
        </w:rPr>
        <w:t>评标原则及方法</w:t>
      </w:r>
      <w:bookmarkEnd w:id="193"/>
    </w:p>
    <w:p w14:paraId="0CBF54F4">
      <w:pPr>
        <w:spacing w:line="420" w:lineRule="exact"/>
        <w:ind w:left="439" w:leftChars="209"/>
        <w:rPr>
          <w:rFonts w:ascii="宋体" w:hAnsi="宋体"/>
          <w:b/>
          <w:sz w:val="22"/>
          <w:szCs w:val="22"/>
          <w:highlight w:val="none"/>
        </w:rPr>
      </w:pPr>
      <w:r>
        <w:rPr>
          <w:rFonts w:hint="eastAsia" w:ascii="宋体" w:hAnsi="宋体"/>
          <w:b/>
          <w:sz w:val="22"/>
          <w:szCs w:val="22"/>
          <w:highlight w:val="none"/>
        </w:rPr>
        <w:t>据《中华人民共和国政府采购法》等相关法规特制定以下评标办法。</w:t>
      </w:r>
    </w:p>
    <w:p w14:paraId="2DDBB2AE">
      <w:pPr>
        <w:pStyle w:val="26"/>
        <w:spacing w:before="120" w:beforeLines="50" w:afterLines="50"/>
        <w:rPr>
          <w:rFonts w:ascii="宋体" w:hAnsi="宋体" w:cs="Arial"/>
          <w:b/>
          <w:highlight w:val="none"/>
        </w:rPr>
      </w:pPr>
      <w:bookmarkStart w:id="194" w:name="_Toc221356898"/>
      <w:bookmarkStart w:id="195" w:name="_Toc221356961"/>
      <w:r>
        <w:rPr>
          <w:rFonts w:hint="eastAsia" w:ascii="宋体" w:hAnsi="宋体" w:cs="Arial"/>
          <w:b/>
          <w:highlight w:val="none"/>
        </w:rPr>
        <w:t>一. 总  则</w:t>
      </w:r>
      <w:bookmarkEnd w:id="194"/>
      <w:bookmarkEnd w:id="195"/>
    </w:p>
    <w:p w14:paraId="7D825227">
      <w:pPr>
        <w:spacing w:line="420" w:lineRule="exact"/>
        <w:ind w:left="439" w:leftChars="209"/>
        <w:rPr>
          <w:rFonts w:ascii="宋体" w:hAnsi="宋体" w:cs="Arial"/>
          <w:sz w:val="22"/>
          <w:szCs w:val="22"/>
          <w:highlight w:val="none"/>
        </w:rPr>
      </w:pPr>
      <w:r>
        <w:rPr>
          <w:rFonts w:hint="eastAsia" w:ascii="宋体" w:hAnsi="宋体" w:cs="Arial"/>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5E580CF4">
      <w:pPr>
        <w:spacing w:line="420" w:lineRule="exact"/>
        <w:rPr>
          <w:rFonts w:ascii="宋体" w:hAnsi="宋体" w:cs="Arial"/>
          <w:b/>
          <w:sz w:val="22"/>
          <w:highlight w:val="none"/>
        </w:rPr>
      </w:pPr>
      <w:r>
        <w:rPr>
          <w:rFonts w:hint="eastAsia" w:ascii="宋体" w:hAnsi="宋体" w:cs="Arial"/>
          <w:b/>
          <w:sz w:val="22"/>
          <w:highlight w:val="none"/>
        </w:rPr>
        <w:t>二、评标组织</w:t>
      </w:r>
    </w:p>
    <w:p w14:paraId="6C03029A">
      <w:pPr>
        <w:spacing w:line="420" w:lineRule="exact"/>
        <w:ind w:left="439" w:leftChars="209"/>
        <w:rPr>
          <w:rFonts w:ascii="宋体" w:hAnsi="宋体" w:cs="Arial"/>
          <w:sz w:val="22"/>
          <w:szCs w:val="22"/>
          <w:highlight w:val="none"/>
        </w:rPr>
      </w:pPr>
      <w:r>
        <w:rPr>
          <w:rFonts w:hint="eastAsia" w:ascii="宋体" w:hAnsi="宋体"/>
          <w:sz w:val="22"/>
          <w:szCs w:val="22"/>
          <w:highlight w:val="none"/>
        </w:rPr>
        <w:t>评标工作由</w:t>
      </w:r>
      <w:r>
        <w:rPr>
          <w:rFonts w:hint="eastAsia" w:ascii="宋体" w:hAnsi="宋体"/>
          <w:sz w:val="22"/>
          <w:szCs w:val="22"/>
          <w:highlight w:val="none"/>
          <w:lang w:eastAsia="zh-CN"/>
        </w:rPr>
        <w:t>采购人</w:t>
      </w:r>
      <w:r>
        <w:rPr>
          <w:rFonts w:hint="eastAsia" w:ascii="宋体" w:hAnsi="宋体"/>
          <w:sz w:val="22"/>
          <w:szCs w:val="22"/>
          <w:highlight w:val="none"/>
        </w:rPr>
        <w:t>依法组建的评标委员会负责，评标全过程由有关部门指导监督。</w:t>
      </w:r>
    </w:p>
    <w:p w14:paraId="746DCD27">
      <w:pPr>
        <w:spacing w:line="420" w:lineRule="exact"/>
        <w:rPr>
          <w:rFonts w:ascii="宋体" w:hAnsi="宋体" w:cs="Arial"/>
          <w:b/>
          <w:sz w:val="22"/>
          <w:highlight w:val="none"/>
        </w:rPr>
      </w:pPr>
      <w:r>
        <w:rPr>
          <w:rFonts w:hint="eastAsia" w:ascii="宋体" w:hAnsi="宋体" w:cs="Arial"/>
          <w:b/>
          <w:sz w:val="22"/>
          <w:highlight w:val="none"/>
        </w:rPr>
        <w:t>三、评标办法</w:t>
      </w:r>
    </w:p>
    <w:p w14:paraId="71D8A652">
      <w:pPr>
        <w:spacing w:line="400" w:lineRule="exact"/>
        <w:ind w:left="439" w:leftChars="209"/>
        <w:rPr>
          <w:rFonts w:ascii="宋体" w:hAnsi="宋体" w:cs="Arial"/>
          <w:b/>
          <w:sz w:val="22"/>
          <w:highlight w:val="none"/>
        </w:rPr>
      </w:pPr>
      <w:r>
        <w:rPr>
          <w:rFonts w:hint="eastAsia" w:ascii="宋体" w:hAnsi="宋体" w:cs="Arial"/>
          <w:sz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Arial"/>
          <w:b/>
          <w:sz w:val="22"/>
          <w:highlight w:val="none"/>
        </w:rPr>
        <w:t>总分设定为100分；其中商务技术文件</w:t>
      </w:r>
      <w:r>
        <w:rPr>
          <w:rFonts w:hint="eastAsia" w:ascii="宋体" w:hAnsi="宋体" w:cs="Arial"/>
          <w:b/>
          <w:sz w:val="22"/>
          <w:highlight w:val="none"/>
          <w:lang w:val="en-US" w:eastAsia="zh-CN"/>
        </w:rPr>
        <w:t>80</w:t>
      </w:r>
      <w:r>
        <w:rPr>
          <w:rFonts w:hint="eastAsia" w:ascii="宋体" w:hAnsi="宋体" w:cs="Arial"/>
          <w:b/>
          <w:sz w:val="22"/>
          <w:highlight w:val="none"/>
        </w:rPr>
        <w:t>分，报价文件（报价）</w:t>
      </w:r>
      <w:r>
        <w:rPr>
          <w:rFonts w:hint="eastAsia" w:ascii="宋体" w:hAnsi="宋体" w:cs="Arial"/>
          <w:b/>
          <w:sz w:val="22"/>
          <w:highlight w:val="none"/>
          <w:lang w:val="en-US" w:eastAsia="zh-CN"/>
        </w:rPr>
        <w:t>20</w:t>
      </w:r>
      <w:r>
        <w:rPr>
          <w:rFonts w:hint="eastAsia" w:ascii="宋体" w:hAnsi="宋体" w:cs="Arial"/>
          <w:b/>
          <w:sz w:val="22"/>
          <w:highlight w:val="none"/>
        </w:rPr>
        <w:t>分。</w:t>
      </w:r>
    </w:p>
    <w:p w14:paraId="5302BFE1">
      <w:pPr>
        <w:spacing w:line="420" w:lineRule="exact"/>
        <w:rPr>
          <w:rFonts w:ascii="宋体" w:hAnsi="宋体" w:cs="Arial"/>
          <w:b/>
          <w:sz w:val="22"/>
          <w:highlight w:val="none"/>
        </w:rPr>
      </w:pPr>
      <w:bookmarkStart w:id="196" w:name="_Toc221356965"/>
      <w:bookmarkStart w:id="197" w:name="_Toc221356902"/>
      <w:r>
        <w:rPr>
          <w:rFonts w:hint="eastAsia" w:ascii="宋体" w:hAnsi="宋体" w:cs="Arial"/>
          <w:b/>
          <w:sz w:val="22"/>
          <w:highlight w:val="none"/>
        </w:rPr>
        <w:t>四、评分细则</w:t>
      </w:r>
      <w:bookmarkEnd w:id="196"/>
      <w:bookmarkEnd w:id="197"/>
    </w:p>
    <w:p w14:paraId="000A6A1C">
      <w:pPr>
        <w:spacing w:line="400" w:lineRule="exact"/>
        <w:rPr>
          <w:rFonts w:ascii="宋体" w:hAnsi="宋体" w:cs="Arial"/>
          <w:sz w:val="22"/>
          <w:highlight w:val="none"/>
        </w:rPr>
      </w:pPr>
      <w:bookmarkStart w:id="198" w:name="_Toc221356903"/>
      <w:bookmarkStart w:id="199" w:name="_Toc221356966"/>
      <w:r>
        <w:rPr>
          <w:rFonts w:hint="eastAsia" w:ascii="宋体" w:hAnsi="宋体" w:cs="Arial"/>
          <w:sz w:val="22"/>
          <w:highlight w:val="none"/>
        </w:rPr>
        <w:t>1、商务技术分的评定（</w:t>
      </w:r>
      <w:r>
        <w:rPr>
          <w:rFonts w:hint="eastAsia" w:ascii="宋体" w:hAnsi="宋体" w:cs="Arial"/>
          <w:sz w:val="22"/>
          <w:highlight w:val="none"/>
          <w:lang w:val="en-US" w:eastAsia="zh-CN"/>
        </w:rPr>
        <w:t>80</w:t>
      </w:r>
      <w:r>
        <w:rPr>
          <w:rFonts w:hint="eastAsia" w:ascii="宋体" w:hAnsi="宋体" w:cs="Arial"/>
          <w:sz w:val="22"/>
          <w:highlight w:val="none"/>
        </w:rPr>
        <w:t>分）</w:t>
      </w:r>
    </w:p>
    <w:p w14:paraId="2CAA8FAE">
      <w:pPr>
        <w:spacing w:line="400" w:lineRule="exact"/>
        <w:ind w:left="439" w:leftChars="209"/>
        <w:rPr>
          <w:rFonts w:hint="eastAsia" w:ascii="宋体" w:hAnsi="宋体" w:cs="Arial"/>
          <w:sz w:val="22"/>
          <w:highlight w:val="none"/>
        </w:rPr>
      </w:pPr>
      <w:r>
        <w:rPr>
          <w:rFonts w:hint="eastAsia" w:ascii="宋体" w:hAnsi="宋体" w:cs="Arial"/>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3"/>
        <w:tblpPr w:leftFromText="180" w:rightFromText="180" w:vertAnchor="text" w:horzAnchor="page" w:tblpX="1524" w:tblpY="4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199"/>
        <w:gridCol w:w="791"/>
        <w:gridCol w:w="4659"/>
      </w:tblGrid>
      <w:tr w14:paraId="30BA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276CD9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序号</w:t>
            </w:r>
          </w:p>
        </w:tc>
        <w:tc>
          <w:tcPr>
            <w:tcW w:w="3199" w:type="dxa"/>
            <w:vAlign w:val="center"/>
          </w:tcPr>
          <w:p w14:paraId="0AF31D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w:t>
            </w:r>
          </w:p>
        </w:tc>
        <w:tc>
          <w:tcPr>
            <w:tcW w:w="791" w:type="dxa"/>
            <w:vAlign w:val="center"/>
          </w:tcPr>
          <w:p w14:paraId="70BA81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分值范围</w:t>
            </w:r>
          </w:p>
        </w:tc>
        <w:tc>
          <w:tcPr>
            <w:tcW w:w="4659" w:type="dxa"/>
            <w:vAlign w:val="center"/>
          </w:tcPr>
          <w:p w14:paraId="17A0CB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评分标准</w:t>
            </w:r>
          </w:p>
        </w:tc>
      </w:tr>
      <w:tr w14:paraId="3418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069CA2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1</w:t>
            </w:r>
          </w:p>
        </w:tc>
        <w:tc>
          <w:tcPr>
            <w:tcW w:w="3199" w:type="dxa"/>
            <w:vAlign w:val="center"/>
          </w:tcPr>
          <w:p w14:paraId="400EFD2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前期阶段的实施方案</w:t>
            </w:r>
          </w:p>
        </w:tc>
        <w:tc>
          <w:tcPr>
            <w:tcW w:w="791" w:type="dxa"/>
            <w:vAlign w:val="center"/>
          </w:tcPr>
          <w:p w14:paraId="4AA452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0-8</w:t>
            </w:r>
          </w:p>
        </w:tc>
        <w:tc>
          <w:tcPr>
            <w:tcW w:w="4659" w:type="dxa"/>
            <w:vAlign w:val="center"/>
          </w:tcPr>
          <w:p w14:paraId="73C81B05">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rPr>
              <w:t>科学合理的得</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分；</w:t>
            </w:r>
          </w:p>
          <w:p w14:paraId="0E6A24D5">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基本满足</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p w14:paraId="2ED53C08">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一般</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p>
          <w:p w14:paraId="003BB828">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bCs/>
                <w:color w:val="auto"/>
                <w:sz w:val="22"/>
                <w:szCs w:val="22"/>
                <w:highlight w:val="none"/>
                <w:lang w:val="en-US" w:eastAsia="zh-CN"/>
              </w:rPr>
              <w:t>较</w:t>
            </w:r>
            <w:r>
              <w:rPr>
                <w:rFonts w:hint="eastAsia" w:asciiTheme="minorEastAsia" w:hAnsiTheme="minorEastAsia" w:eastAsiaTheme="minorEastAsia" w:cstheme="minorEastAsia"/>
                <w:sz w:val="22"/>
                <w:szCs w:val="22"/>
                <w:highlight w:val="none"/>
                <w:lang w:val="en-US" w:eastAsia="zh-CN"/>
              </w:rPr>
              <w:t>差</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分；</w:t>
            </w:r>
          </w:p>
          <w:p w14:paraId="738C04C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不提供得0分。</w:t>
            </w:r>
          </w:p>
        </w:tc>
      </w:tr>
      <w:tr w14:paraId="6346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5EC552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w:t>
            </w:r>
          </w:p>
        </w:tc>
        <w:tc>
          <w:tcPr>
            <w:tcW w:w="3199" w:type="dxa"/>
            <w:vAlign w:val="center"/>
          </w:tcPr>
          <w:p w14:paraId="15A088A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中期阶段的实施方案</w:t>
            </w:r>
          </w:p>
        </w:tc>
        <w:tc>
          <w:tcPr>
            <w:tcW w:w="791" w:type="dxa"/>
            <w:vAlign w:val="center"/>
          </w:tcPr>
          <w:p w14:paraId="5B6997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0-8</w:t>
            </w:r>
          </w:p>
        </w:tc>
        <w:tc>
          <w:tcPr>
            <w:tcW w:w="4659" w:type="dxa"/>
            <w:vAlign w:val="center"/>
          </w:tcPr>
          <w:p w14:paraId="645A70F6">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rPr>
              <w:t>科学合理的得</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分；</w:t>
            </w:r>
          </w:p>
          <w:p w14:paraId="77D0E0A4">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基本满足</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p w14:paraId="02F4A912">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一般</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p>
          <w:p w14:paraId="0E4F81CE">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bCs/>
                <w:color w:val="auto"/>
                <w:sz w:val="22"/>
                <w:szCs w:val="22"/>
                <w:highlight w:val="none"/>
                <w:lang w:val="en-US" w:eastAsia="zh-CN"/>
              </w:rPr>
              <w:t>较</w:t>
            </w:r>
            <w:r>
              <w:rPr>
                <w:rFonts w:hint="eastAsia" w:asciiTheme="minorEastAsia" w:hAnsiTheme="minorEastAsia" w:eastAsiaTheme="minorEastAsia" w:cstheme="minorEastAsia"/>
                <w:sz w:val="22"/>
                <w:szCs w:val="22"/>
                <w:highlight w:val="none"/>
                <w:lang w:val="en-US" w:eastAsia="zh-CN"/>
              </w:rPr>
              <w:t>差</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分；</w:t>
            </w:r>
          </w:p>
          <w:p w14:paraId="11B793E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不提供得0分。</w:t>
            </w:r>
          </w:p>
        </w:tc>
      </w:tr>
      <w:tr w14:paraId="76C9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729" w:type="dxa"/>
            <w:vAlign w:val="center"/>
          </w:tcPr>
          <w:p w14:paraId="5A660F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3</w:t>
            </w:r>
          </w:p>
        </w:tc>
        <w:tc>
          <w:tcPr>
            <w:tcW w:w="3199" w:type="dxa"/>
            <w:vAlign w:val="center"/>
          </w:tcPr>
          <w:p w14:paraId="1EF41EF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后期阶段</w:t>
            </w:r>
            <w:r>
              <w:rPr>
                <w:rFonts w:hint="eastAsia" w:asciiTheme="minorEastAsia" w:hAnsiTheme="minorEastAsia" w:eastAsiaTheme="minorEastAsia" w:cstheme="minorEastAsia"/>
                <w:bCs/>
                <w:color w:val="auto"/>
                <w:sz w:val="22"/>
                <w:szCs w:val="22"/>
                <w:highlight w:val="none"/>
                <w:lang w:val="en-US" w:eastAsia="zh-CN"/>
              </w:rPr>
              <w:t>的</w:t>
            </w:r>
            <w:r>
              <w:rPr>
                <w:rFonts w:hint="eastAsia" w:asciiTheme="minorEastAsia" w:hAnsiTheme="minorEastAsia" w:eastAsiaTheme="minorEastAsia" w:cstheme="minorEastAsia"/>
                <w:bCs/>
                <w:color w:val="auto"/>
                <w:sz w:val="22"/>
                <w:szCs w:val="22"/>
                <w:highlight w:val="none"/>
              </w:rPr>
              <w:t>实施方案</w:t>
            </w:r>
          </w:p>
        </w:tc>
        <w:tc>
          <w:tcPr>
            <w:tcW w:w="791" w:type="dxa"/>
            <w:vAlign w:val="center"/>
          </w:tcPr>
          <w:p w14:paraId="5D2FB6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0-8</w:t>
            </w:r>
          </w:p>
        </w:tc>
        <w:tc>
          <w:tcPr>
            <w:tcW w:w="4659" w:type="dxa"/>
            <w:vAlign w:val="center"/>
          </w:tcPr>
          <w:p w14:paraId="7189B883">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rPr>
              <w:t>科学合理的得</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分；</w:t>
            </w:r>
          </w:p>
          <w:p w14:paraId="17A994A5">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基本满足</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p w14:paraId="78FBF2D5">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一般</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p>
          <w:p w14:paraId="3F310840">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bCs/>
                <w:color w:val="auto"/>
                <w:sz w:val="22"/>
                <w:szCs w:val="22"/>
                <w:highlight w:val="none"/>
                <w:lang w:val="en-US" w:eastAsia="zh-CN"/>
              </w:rPr>
              <w:t>较</w:t>
            </w:r>
            <w:r>
              <w:rPr>
                <w:rFonts w:hint="eastAsia" w:asciiTheme="minorEastAsia" w:hAnsiTheme="minorEastAsia" w:eastAsiaTheme="minorEastAsia" w:cstheme="minorEastAsia"/>
                <w:sz w:val="22"/>
                <w:szCs w:val="22"/>
                <w:highlight w:val="none"/>
                <w:lang w:val="en-US" w:eastAsia="zh-CN"/>
              </w:rPr>
              <w:t>差</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分；</w:t>
            </w:r>
          </w:p>
          <w:p w14:paraId="26BDB17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不提供得0分。</w:t>
            </w:r>
          </w:p>
        </w:tc>
      </w:tr>
      <w:tr w14:paraId="5B33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57C89EFA">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4</w:t>
            </w:r>
          </w:p>
        </w:tc>
        <w:tc>
          <w:tcPr>
            <w:tcW w:w="3199" w:type="dxa"/>
            <w:vAlign w:val="center"/>
          </w:tcPr>
          <w:p w14:paraId="4C212929">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供应商综合实力</w:t>
            </w:r>
          </w:p>
        </w:tc>
        <w:tc>
          <w:tcPr>
            <w:tcW w:w="791" w:type="dxa"/>
            <w:vAlign w:val="center"/>
          </w:tcPr>
          <w:p w14:paraId="25AEF724">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0-10</w:t>
            </w:r>
          </w:p>
        </w:tc>
        <w:tc>
          <w:tcPr>
            <w:tcW w:w="4659" w:type="dxa"/>
            <w:vAlign w:val="center"/>
          </w:tcPr>
          <w:p w14:paraId="56AEFBF3">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rPr>
              <w:t>根据投标人的信誉、企业获奖情况</w:t>
            </w:r>
            <w:r>
              <w:rPr>
                <w:rFonts w:hint="eastAsia" w:asciiTheme="minorEastAsia" w:hAnsiTheme="minorEastAsia" w:eastAsiaTheme="minorEastAsia" w:cstheme="minorEastAsia"/>
                <w:bCs/>
                <w:color w:val="auto"/>
                <w:sz w:val="22"/>
                <w:szCs w:val="22"/>
                <w:highlight w:val="none"/>
                <w:lang w:val="en-US" w:eastAsia="zh-CN"/>
              </w:rPr>
              <w:t>等。</w:t>
            </w:r>
          </w:p>
          <w:p w14:paraId="6A3C4E9B">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供应商信誉好、综合实力</w:t>
            </w:r>
            <w:r>
              <w:rPr>
                <w:rFonts w:hint="eastAsia" w:asciiTheme="minorEastAsia" w:hAnsiTheme="minorEastAsia" w:eastAsiaTheme="minorEastAsia" w:cstheme="minorEastAsia"/>
                <w:bCs/>
                <w:color w:val="auto"/>
                <w:sz w:val="22"/>
                <w:szCs w:val="22"/>
                <w:highlight w:val="none"/>
                <w:lang w:val="en-US" w:eastAsia="zh-CN"/>
              </w:rPr>
              <w:t>强</w:t>
            </w:r>
            <w:r>
              <w:rPr>
                <w:rFonts w:hint="eastAsia" w:asciiTheme="minorEastAsia" w:hAnsiTheme="minorEastAsia" w:eastAsiaTheme="minorEastAsia" w:cstheme="minorEastAsia"/>
                <w:bCs/>
                <w:color w:val="auto"/>
                <w:sz w:val="22"/>
                <w:szCs w:val="22"/>
                <w:highlight w:val="none"/>
              </w:rPr>
              <w:t>的得10分；</w:t>
            </w:r>
          </w:p>
          <w:p w14:paraId="574DC6B6">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供应商信誉</w:t>
            </w:r>
            <w:r>
              <w:rPr>
                <w:rFonts w:hint="eastAsia" w:asciiTheme="minorEastAsia" w:hAnsiTheme="minorEastAsia" w:eastAsiaTheme="minorEastAsia" w:cstheme="minorEastAsia"/>
                <w:bCs/>
                <w:color w:val="auto"/>
                <w:sz w:val="22"/>
                <w:szCs w:val="22"/>
                <w:highlight w:val="none"/>
                <w:lang w:val="en-US" w:eastAsia="zh-CN"/>
              </w:rPr>
              <w:t>较</w:t>
            </w:r>
            <w:r>
              <w:rPr>
                <w:rFonts w:hint="eastAsia" w:asciiTheme="minorEastAsia" w:hAnsiTheme="minorEastAsia" w:eastAsiaTheme="minorEastAsia" w:cstheme="minorEastAsia"/>
                <w:bCs/>
                <w:color w:val="auto"/>
                <w:sz w:val="22"/>
                <w:szCs w:val="22"/>
                <w:highlight w:val="none"/>
              </w:rPr>
              <w:t>好、综合实力</w:t>
            </w:r>
            <w:r>
              <w:rPr>
                <w:rFonts w:hint="eastAsia" w:asciiTheme="minorEastAsia" w:hAnsiTheme="minorEastAsia" w:eastAsiaTheme="minorEastAsia" w:cstheme="minorEastAsia"/>
                <w:bCs/>
                <w:color w:val="auto"/>
                <w:sz w:val="22"/>
                <w:szCs w:val="22"/>
                <w:highlight w:val="none"/>
                <w:lang w:val="en-US" w:eastAsia="zh-CN"/>
              </w:rPr>
              <w:t>较强</w:t>
            </w:r>
            <w:r>
              <w:rPr>
                <w:rFonts w:hint="eastAsia" w:asciiTheme="minorEastAsia" w:hAnsiTheme="minorEastAsia" w:eastAsiaTheme="minorEastAsia" w:cstheme="minorEastAsia"/>
                <w:bCs/>
                <w:color w:val="auto"/>
                <w:sz w:val="22"/>
                <w:szCs w:val="22"/>
                <w:highlight w:val="none"/>
              </w:rPr>
              <w:t>的得</w:t>
            </w:r>
            <w:r>
              <w:rPr>
                <w:rFonts w:hint="eastAsia" w:asciiTheme="minorEastAsia" w:hAnsiTheme="minorEastAsia" w:eastAsiaTheme="minorEastAsia" w:cstheme="minorEastAsia"/>
                <w:bCs/>
                <w:color w:val="auto"/>
                <w:sz w:val="22"/>
                <w:szCs w:val="22"/>
                <w:highlight w:val="none"/>
                <w:lang w:val="en-US" w:eastAsia="zh-CN"/>
              </w:rPr>
              <w:t>7</w:t>
            </w:r>
            <w:r>
              <w:rPr>
                <w:rFonts w:hint="eastAsia" w:asciiTheme="minorEastAsia" w:hAnsiTheme="minorEastAsia" w:eastAsiaTheme="minorEastAsia" w:cstheme="minorEastAsia"/>
                <w:bCs/>
                <w:color w:val="auto"/>
                <w:sz w:val="22"/>
                <w:szCs w:val="22"/>
                <w:highlight w:val="none"/>
              </w:rPr>
              <w:t>分</w:t>
            </w:r>
          </w:p>
          <w:p w14:paraId="0239D4FA">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供应商信誉一般、综合实力一般的得</w:t>
            </w:r>
            <w:r>
              <w:rPr>
                <w:rFonts w:hint="eastAsia" w:asciiTheme="minorEastAsia" w:hAnsiTheme="minorEastAsia" w:eastAsiaTheme="minorEastAsia" w:cstheme="minorEastAsia"/>
                <w:bCs/>
                <w:color w:val="auto"/>
                <w:sz w:val="22"/>
                <w:szCs w:val="22"/>
                <w:highlight w:val="none"/>
                <w:lang w:val="en-US" w:eastAsia="zh-CN"/>
              </w:rPr>
              <w:t>5</w:t>
            </w:r>
            <w:r>
              <w:rPr>
                <w:rFonts w:hint="eastAsia" w:asciiTheme="minorEastAsia" w:hAnsiTheme="minorEastAsia" w:eastAsiaTheme="minorEastAsia" w:cstheme="minorEastAsia"/>
                <w:bCs/>
                <w:color w:val="auto"/>
                <w:sz w:val="22"/>
                <w:szCs w:val="22"/>
                <w:highlight w:val="none"/>
              </w:rPr>
              <w:t>分；</w:t>
            </w:r>
          </w:p>
          <w:p w14:paraId="5F1046D3">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供应商信誉差、综合实力差的得</w:t>
            </w:r>
            <w:r>
              <w:rPr>
                <w:rFonts w:hint="eastAsia" w:asciiTheme="minorEastAsia" w:hAnsiTheme="minorEastAsia" w:eastAsiaTheme="minorEastAsia" w:cstheme="minorEastAsia"/>
                <w:bCs/>
                <w:color w:val="auto"/>
                <w:sz w:val="22"/>
                <w:szCs w:val="22"/>
                <w:highlight w:val="none"/>
                <w:lang w:val="en-US" w:eastAsia="zh-CN"/>
              </w:rPr>
              <w:t>3</w:t>
            </w:r>
            <w:r>
              <w:rPr>
                <w:rFonts w:hint="eastAsia" w:asciiTheme="minorEastAsia" w:hAnsiTheme="minorEastAsia" w:eastAsiaTheme="minorEastAsia" w:cstheme="minorEastAsia"/>
                <w:bCs/>
                <w:color w:val="auto"/>
                <w:sz w:val="22"/>
                <w:szCs w:val="22"/>
                <w:highlight w:val="none"/>
              </w:rPr>
              <w:t>分；</w:t>
            </w:r>
          </w:p>
          <w:p w14:paraId="0778F1B4">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不提供得0分。</w:t>
            </w:r>
          </w:p>
          <w:p w14:paraId="62C6F135">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需提供相关证书等证明材料</w:t>
            </w:r>
            <w:r>
              <w:rPr>
                <w:rFonts w:hint="eastAsia" w:asciiTheme="minorEastAsia" w:hAnsiTheme="minorEastAsia" w:eastAsiaTheme="minorEastAsia" w:cstheme="minorEastAsia"/>
                <w:bCs/>
                <w:color w:val="auto"/>
                <w:sz w:val="22"/>
                <w:szCs w:val="22"/>
                <w:highlight w:val="none"/>
                <w:lang w:eastAsia="zh-CN"/>
              </w:rPr>
              <w:t>）</w:t>
            </w:r>
          </w:p>
        </w:tc>
      </w:tr>
      <w:tr w14:paraId="1B73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73765080">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5</w:t>
            </w:r>
          </w:p>
        </w:tc>
        <w:tc>
          <w:tcPr>
            <w:tcW w:w="3199" w:type="dxa"/>
            <w:vAlign w:val="center"/>
          </w:tcPr>
          <w:p w14:paraId="38E05186">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项目负责人</w:t>
            </w:r>
          </w:p>
        </w:tc>
        <w:tc>
          <w:tcPr>
            <w:tcW w:w="791" w:type="dxa"/>
            <w:vAlign w:val="center"/>
          </w:tcPr>
          <w:p w14:paraId="61FB5DAB">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8</w:t>
            </w:r>
          </w:p>
        </w:tc>
        <w:tc>
          <w:tcPr>
            <w:tcW w:w="4659" w:type="dxa"/>
            <w:vAlign w:val="center"/>
          </w:tcPr>
          <w:p w14:paraId="5A3C861A">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rPr>
              <w:t>根据项目负责人工作履历、学历、承揽实施过的同类项目业绩完成情况等</w:t>
            </w:r>
            <w:r>
              <w:rPr>
                <w:rFonts w:hint="eastAsia" w:asciiTheme="minorEastAsia" w:hAnsiTheme="minorEastAsia" w:eastAsiaTheme="minorEastAsia" w:cstheme="minorEastAsia"/>
                <w:bCs/>
                <w:color w:val="auto"/>
                <w:sz w:val="22"/>
                <w:szCs w:val="22"/>
                <w:highlight w:val="none"/>
                <w:lang w:eastAsia="zh-CN"/>
              </w:rPr>
              <w:t>。</w:t>
            </w:r>
          </w:p>
          <w:p w14:paraId="143C6FCA">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项目负责人工作经验丰富、学历高、承揽实施过的同类项目业绩多的得</w:t>
            </w:r>
            <w:r>
              <w:rPr>
                <w:rFonts w:hint="eastAsia" w:asciiTheme="minorEastAsia" w:hAnsiTheme="minorEastAsia" w:eastAsiaTheme="minorEastAsia" w:cstheme="minorEastAsia"/>
                <w:bCs/>
                <w:color w:val="auto"/>
                <w:sz w:val="22"/>
                <w:szCs w:val="22"/>
                <w:highlight w:val="none"/>
                <w:lang w:val="en-US" w:eastAsia="zh-CN"/>
              </w:rPr>
              <w:t>8</w:t>
            </w:r>
            <w:r>
              <w:rPr>
                <w:rFonts w:hint="eastAsia" w:asciiTheme="minorEastAsia" w:hAnsiTheme="minorEastAsia" w:eastAsiaTheme="minorEastAsia" w:cstheme="minorEastAsia"/>
                <w:bCs/>
                <w:color w:val="auto"/>
                <w:sz w:val="22"/>
                <w:szCs w:val="22"/>
                <w:highlight w:val="none"/>
              </w:rPr>
              <w:t>分；</w:t>
            </w:r>
          </w:p>
          <w:p w14:paraId="6E528AF9">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项目负责人工作经验较</w:t>
            </w:r>
            <w:r>
              <w:rPr>
                <w:rFonts w:hint="eastAsia" w:asciiTheme="minorEastAsia" w:hAnsiTheme="minorEastAsia" w:eastAsiaTheme="minorEastAsia" w:cstheme="minorEastAsia"/>
                <w:bCs/>
                <w:color w:val="auto"/>
                <w:sz w:val="22"/>
                <w:szCs w:val="22"/>
                <w:highlight w:val="none"/>
                <w:lang w:val="en-US" w:eastAsia="zh-CN"/>
              </w:rPr>
              <w:t>多</w:t>
            </w:r>
            <w:r>
              <w:rPr>
                <w:rFonts w:hint="eastAsia" w:asciiTheme="minorEastAsia" w:hAnsiTheme="minorEastAsia" w:eastAsiaTheme="minorEastAsia" w:cstheme="minorEastAsia"/>
                <w:bCs/>
                <w:color w:val="auto"/>
                <w:sz w:val="22"/>
                <w:szCs w:val="22"/>
                <w:highlight w:val="none"/>
              </w:rPr>
              <w:t>、学历普通、承揽实施过的同类项目业绩较</w:t>
            </w:r>
            <w:r>
              <w:rPr>
                <w:rFonts w:hint="eastAsia" w:asciiTheme="minorEastAsia" w:hAnsiTheme="minorEastAsia" w:eastAsiaTheme="minorEastAsia" w:cstheme="minorEastAsia"/>
                <w:bCs/>
                <w:color w:val="auto"/>
                <w:sz w:val="22"/>
                <w:szCs w:val="22"/>
                <w:highlight w:val="none"/>
                <w:lang w:val="en-US" w:eastAsia="zh-CN"/>
              </w:rPr>
              <w:t>多</w:t>
            </w:r>
            <w:r>
              <w:rPr>
                <w:rFonts w:hint="eastAsia" w:asciiTheme="minorEastAsia" w:hAnsiTheme="minorEastAsia" w:eastAsiaTheme="minorEastAsia" w:cstheme="minorEastAsia"/>
                <w:bCs/>
                <w:color w:val="auto"/>
                <w:sz w:val="22"/>
                <w:szCs w:val="22"/>
                <w:highlight w:val="none"/>
              </w:rPr>
              <w:t>的得</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分；</w:t>
            </w:r>
          </w:p>
          <w:p w14:paraId="7A795C12">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项目负责人工作经验较少、学历普通、承揽实施过的同类项目业绩较少的得</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分；</w:t>
            </w:r>
          </w:p>
          <w:p w14:paraId="33A89E30">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项目负责人工作经验少、学历差、承揽实施过的同类项目业绩少的得</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rPr>
              <w:t>分；</w:t>
            </w:r>
          </w:p>
          <w:p w14:paraId="77A1055D">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不提供得0分。</w:t>
            </w:r>
          </w:p>
          <w:p w14:paraId="3A190EF0">
            <w:pPr>
              <w:keepNext w:val="0"/>
              <w:keepLines w:val="0"/>
              <w:pageBreakBefore w:val="0"/>
              <w:widowControl w:val="0"/>
              <w:kinsoku/>
              <w:wordWrap/>
              <w:overflowPunct/>
              <w:topLinePunct w:val="0"/>
              <w:autoSpaceDE/>
              <w:autoSpaceDN/>
              <w:bidi w:val="0"/>
              <w:spacing w:line="240" w:lineRule="auto"/>
              <w:textAlignment w:val="auto"/>
              <w:rPr>
                <w:rFonts w:hint="default"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sz w:val="22"/>
                <w:szCs w:val="22"/>
                <w:highlight w:val="none"/>
              </w:rPr>
              <w:t>须提供能体现评分因素的相关证书</w:t>
            </w:r>
            <w:r>
              <w:rPr>
                <w:rFonts w:hint="eastAsia" w:asciiTheme="minorEastAsia" w:hAnsiTheme="minorEastAsia" w:eastAsiaTheme="minorEastAsia" w:cstheme="minorEastAsia"/>
                <w:sz w:val="22"/>
                <w:szCs w:val="22"/>
                <w:highlight w:val="none"/>
                <w:lang w:val="zh-CN"/>
              </w:rPr>
              <w:t>扫描件</w:t>
            </w:r>
            <w:r>
              <w:rPr>
                <w:rFonts w:hint="eastAsia" w:asciiTheme="minorEastAsia" w:hAnsiTheme="minorEastAsia" w:eastAsiaTheme="minorEastAsia" w:cstheme="minorEastAsia"/>
                <w:sz w:val="22"/>
                <w:szCs w:val="22"/>
                <w:highlight w:val="none"/>
              </w:rPr>
              <w:t>和供应商本单位为其缴纳的近</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个月的</w:t>
            </w:r>
            <w:r>
              <w:rPr>
                <w:rFonts w:hint="eastAsia" w:asciiTheme="minorEastAsia" w:hAnsiTheme="minorEastAsia" w:eastAsiaTheme="minorEastAsia" w:cstheme="minorEastAsia"/>
                <w:sz w:val="22"/>
                <w:szCs w:val="22"/>
                <w:highlight w:val="none"/>
                <w:lang w:val="zh-CN"/>
              </w:rPr>
              <w:t>人员社保缴纳证明材料</w:t>
            </w:r>
            <w:r>
              <w:rPr>
                <w:rFonts w:hint="eastAsia" w:asciiTheme="minorEastAsia" w:hAnsiTheme="minorEastAsia" w:eastAsiaTheme="minorEastAsia" w:cstheme="minorEastAsia"/>
                <w:sz w:val="22"/>
                <w:szCs w:val="22"/>
                <w:highlight w:val="none"/>
              </w:rPr>
              <w:t>（社保部门出具的社保证明原件扫描件或盖有电子章的网上打印件扫描件）</w:t>
            </w:r>
            <w:r>
              <w:rPr>
                <w:rFonts w:hint="eastAsia" w:asciiTheme="minorEastAsia" w:hAnsiTheme="minorEastAsia" w:eastAsiaTheme="minorEastAsia" w:cstheme="minorEastAsia"/>
                <w:sz w:val="22"/>
                <w:szCs w:val="22"/>
                <w:highlight w:val="none"/>
                <w:lang w:val="zh-CN"/>
              </w:rPr>
              <w:t>，否则不得分。</w:t>
            </w:r>
          </w:p>
        </w:tc>
      </w:tr>
      <w:tr w14:paraId="2541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3F6738F9">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6</w:t>
            </w:r>
          </w:p>
        </w:tc>
        <w:tc>
          <w:tcPr>
            <w:tcW w:w="3199" w:type="dxa"/>
            <w:vAlign w:val="center"/>
          </w:tcPr>
          <w:p w14:paraId="5897005F">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拟投入本项目的其他人员</w:t>
            </w:r>
          </w:p>
        </w:tc>
        <w:tc>
          <w:tcPr>
            <w:tcW w:w="791" w:type="dxa"/>
            <w:shd w:val="clear" w:color="auto" w:fill="auto"/>
            <w:vAlign w:val="center"/>
          </w:tcPr>
          <w:p w14:paraId="06F2F53C">
            <w:pPr>
              <w:keepNext w:val="0"/>
              <w:keepLines w:val="0"/>
              <w:pageBreakBefore w:val="0"/>
              <w:widowControl w:val="0"/>
              <w:kinsoku/>
              <w:wordWrap/>
              <w:overflowPunct/>
              <w:topLinePunct w:val="0"/>
              <w:autoSpaceDE/>
              <w:autoSpaceDN/>
              <w:bidi w:val="0"/>
              <w:spacing w:line="240" w:lineRule="auto"/>
              <w:jc w:val="center"/>
              <w:textAlignment w:val="auto"/>
              <w:rPr>
                <w:rFonts w:hint="default"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10</w:t>
            </w:r>
          </w:p>
        </w:tc>
        <w:tc>
          <w:tcPr>
            <w:tcW w:w="4659" w:type="dxa"/>
            <w:shd w:val="clear" w:color="auto" w:fill="auto"/>
            <w:vAlign w:val="center"/>
          </w:tcPr>
          <w:p w14:paraId="1BA54C1F">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根据供应商投入其他人员的数量、工作年限、工作经验评分。</w:t>
            </w:r>
          </w:p>
          <w:p w14:paraId="7C1F2317">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投入人员配置科学合理的得10分；</w:t>
            </w:r>
          </w:p>
          <w:p w14:paraId="0250C21D">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投入人员配置基本合理的得7分；</w:t>
            </w:r>
          </w:p>
          <w:p w14:paraId="29961684">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投入人员配置一般的得5分；</w:t>
            </w:r>
          </w:p>
          <w:p w14:paraId="0836EC93">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投入人员配置差的得3分</w:t>
            </w:r>
          </w:p>
          <w:p w14:paraId="77522CDB">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不提供得0分。</w:t>
            </w:r>
          </w:p>
          <w:p w14:paraId="0A28A395">
            <w:pPr>
              <w:keepNext w:val="0"/>
              <w:keepLines w:val="0"/>
              <w:pageBreakBefore w:val="0"/>
              <w:widowControl w:val="0"/>
              <w:kinsoku/>
              <w:wordWrap/>
              <w:overflowPunct/>
              <w:topLinePunct w:val="0"/>
              <w:autoSpaceDE/>
              <w:autoSpaceDN/>
              <w:bidi w:val="0"/>
              <w:spacing w:line="240" w:lineRule="auto"/>
              <w:textAlignment w:val="auto"/>
              <w:rPr>
                <w:rFonts w:hint="eastAsia"/>
                <w:highlight w:val="none"/>
                <w:lang w:val="en-US" w:eastAsia="zh-CN"/>
              </w:rPr>
            </w:pPr>
            <w:r>
              <w:rPr>
                <w:rFonts w:hint="eastAsia" w:asciiTheme="minorEastAsia" w:hAnsiTheme="minorEastAsia" w:eastAsiaTheme="minorEastAsia" w:cstheme="minorEastAsia"/>
                <w:sz w:val="22"/>
                <w:szCs w:val="22"/>
                <w:highlight w:val="none"/>
              </w:rPr>
              <w:t>须提供能体现评分因素的相关证书</w:t>
            </w:r>
            <w:r>
              <w:rPr>
                <w:rFonts w:hint="eastAsia" w:asciiTheme="minorEastAsia" w:hAnsiTheme="minorEastAsia" w:eastAsiaTheme="minorEastAsia" w:cstheme="minorEastAsia"/>
                <w:sz w:val="22"/>
                <w:szCs w:val="22"/>
                <w:highlight w:val="none"/>
                <w:lang w:val="zh-CN"/>
              </w:rPr>
              <w:t>扫描件</w:t>
            </w:r>
            <w:r>
              <w:rPr>
                <w:rFonts w:hint="eastAsia" w:asciiTheme="minorEastAsia" w:hAnsiTheme="minorEastAsia" w:eastAsiaTheme="minorEastAsia" w:cstheme="minorEastAsia"/>
                <w:sz w:val="22"/>
                <w:szCs w:val="22"/>
                <w:highlight w:val="none"/>
              </w:rPr>
              <w:t>和供应商本单位为其缴纳的近</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个月的</w:t>
            </w:r>
            <w:r>
              <w:rPr>
                <w:rFonts w:hint="eastAsia" w:asciiTheme="minorEastAsia" w:hAnsiTheme="minorEastAsia" w:eastAsiaTheme="minorEastAsia" w:cstheme="minorEastAsia"/>
                <w:sz w:val="22"/>
                <w:szCs w:val="22"/>
                <w:highlight w:val="none"/>
                <w:lang w:val="zh-CN"/>
              </w:rPr>
              <w:t>人员社保缴纳证明材料</w:t>
            </w:r>
            <w:r>
              <w:rPr>
                <w:rFonts w:hint="eastAsia" w:asciiTheme="minorEastAsia" w:hAnsiTheme="minorEastAsia" w:eastAsiaTheme="minorEastAsia" w:cstheme="minorEastAsia"/>
                <w:sz w:val="22"/>
                <w:szCs w:val="22"/>
                <w:highlight w:val="none"/>
              </w:rPr>
              <w:t>（社保部门出具的社保证明原件扫描件或盖有电子章的网上打印件扫描件）</w:t>
            </w:r>
            <w:r>
              <w:rPr>
                <w:rFonts w:hint="eastAsia" w:asciiTheme="minorEastAsia" w:hAnsiTheme="minorEastAsia" w:eastAsiaTheme="minorEastAsia" w:cstheme="minorEastAsia"/>
                <w:sz w:val="22"/>
                <w:szCs w:val="22"/>
                <w:highlight w:val="none"/>
                <w:lang w:val="zh-CN"/>
              </w:rPr>
              <w:t>，否则不得分。</w:t>
            </w:r>
          </w:p>
        </w:tc>
      </w:tr>
      <w:tr w14:paraId="4FAF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23728979">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7</w:t>
            </w:r>
          </w:p>
        </w:tc>
        <w:tc>
          <w:tcPr>
            <w:tcW w:w="3199" w:type="dxa"/>
            <w:vAlign w:val="center"/>
          </w:tcPr>
          <w:p w14:paraId="539C1F9C">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项目的特点和难点分析及解决措施</w:t>
            </w:r>
          </w:p>
        </w:tc>
        <w:tc>
          <w:tcPr>
            <w:tcW w:w="791" w:type="dxa"/>
            <w:vAlign w:val="center"/>
          </w:tcPr>
          <w:p w14:paraId="4CE1461C">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10</w:t>
            </w:r>
          </w:p>
        </w:tc>
        <w:tc>
          <w:tcPr>
            <w:tcW w:w="4659" w:type="dxa"/>
            <w:vAlign w:val="center"/>
          </w:tcPr>
          <w:p w14:paraId="34D1C9AE">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综合本项目情况，供应商对本次项目</w:t>
            </w:r>
            <w:r>
              <w:rPr>
                <w:rFonts w:hint="eastAsia" w:asciiTheme="minorEastAsia" w:hAnsiTheme="minorEastAsia" w:eastAsiaTheme="minorEastAsia" w:cstheme="minorEastAsia"/>
                <w:sz w:val="22"/>
                <w:szCs w:val="22"/>
                <w:highlight w:val="none"/>
              </w:rPr>
              <w:t>特点和难点分析及解决措施</w:t>
            </w:r>
            <w:r>
              <w:rPr>
                <w:rFonts w:hint="eastAsia" w:asciiTheme="minorEastAsia" w:hAnsiTheme="minorEastAsia" w:eastAsiaTheme="minorEastAsia" w:cstheme="minorEastAsia"/>
                <w:sz w:val="22"/>
                <w:szCs w:val="22"/>
                <w:highlight w:val="none"/>
                <w:lang w:eastAsia="zh-CN"/>
              </w:rPr>
              <w:t>。</w:t>
            </w:r>
          </w:p>
          <w:p w14:paraId="7DF5A027">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科学合理、针对性强的10分；</w:t>
            </w:r>
          </w:p>
          <w:p w14:paraId="6EBFF1B6">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基本合理、针对性较好的7分；</w:t>
            </w:r>
          </w:p>
          <w:p w14:paraId="6B6F370D">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一般合理、针对性一般的5分；</w:t>
            </w:r>
          </w:p>
          <w:p w14:paraId="2987F774">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不合理、基本没有针对性的3分；</w:t>
            </w:r>
          </w:p>
          <w:p w14:paraId="35E565AA">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不提供得0分。</w:t>
            </w:r>
          </w:p>
        </w:tc>
      </w:tr>
      <w:tr w14:paraId="1E05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3F1E37CD">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8</w:t>
            </w:r>
          </w:p>
        </w:tc>
        <w:tc>
          <w:tcPr>
            <w:tcW w:w="3199" w:type="dxa"/>
            <w:vAlign w:val="center"/>
          </w:tcPr>
          <w:p w14:paraId="017578BE">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供应商类似业绩情况</w:t>
            </w:r>
          </w:p>
        </w:tc>
        <w:tc>
          <w:tcPr>
            <w:tcW w:w="791" w:type="dxa"/>
            <w:vAlign w:val="center"/>
          </w:tcPr>
          <w:p w14:paraId="100F97FB">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2</w:t>
            </w:r>
          </w:p>
        </w:tc>
        <w:tc>
          <w:tcPr>
            <w:tcW w:w="4659" w:type="dxa"/>
            <w:vAlign w:val="center"/>
          </w:tcPr>
          <w:p w14:paraId="56A5D3E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napToGrid w:val="0"/>
                <w:kern w:val="0"/>
                <w:sz w:val="22"/>
                <w:szCs w:val="22"/>
                <w:highlight w:val="none"/>
              </w:rPr>
            </w:pPr>
            <w:r>
              <w:rPr>
                <w:rFonts w:hint="eastAsia" w:asciiTheme="minorEastAsia" w:hAnsiTheme="minorEastAsia" w:eastAsiaTheme="minorEastAsia" w:cstheme="minorEastAsia"/>
                <w:snapToGrid w:val="0"/>
                <w:kern w:val="0"/>
                <w:sz w:val="22"/>
                <w:szCs w:val="22"/>
                <w:highlight w:val="none"/>
              </w:rPr>
              <w:t>供应商2018年1月1日至今（以合同签订时间为准）已承接类似房屋征收事务代理服务项目的业绩，每提供一个得1分；本项最高得2分；</w:t>
            </w:r>
          </w:p>
          <w:p w14:paraId="3DBF05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eastAsiaTheme="minorEastAsia"/>
                <w:highlight w:val="none"/>
                <w:lang w:val="en-US" w:eastAsia="zh-CN"/>
              </w:rPr>
            </w:pPr>
            <w:r>
              <w:rPr>
                <w:rFonts w:hint="eastAsia" w:asciiTheme="minorEastAsia" w:hAnsiTheme="minorEastAsia" w:eastAsiaTheme="minorEastAsia" w:cstheme="minorEastAsia"/>
                <w:snapToGrid w:val="0"/>
                <w:kern w:val="0"/>
                <w:sz w:val="22"/>
                <w:szCs w:val="22"/>
                <w:highlight w:val="none"/>
              </w:rPr>
              <w:t>注：须提供房屋征收事务代理合同扫描件。</w:t>
            </w:r>
          </w:p>
        </w:tc>
      </w:tr>
      <w:tr w14:paraId="7919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082C3F0B">
            <w:pPr>
              <w:keepNext w:val="0"/>
              <w:keepLines w:val="0"/>
              <w:pageBreakBefore w:val="0"/>
              <w:widowControl w:val="0"/>
              <w:kinsoku/>
              <w:wordWrap/>
              <w:overflowPunct/>
              <w:topLinePunct w:val="0"/>
              <w:autoSpaceDE/>
              <w:autoSpaceDN/>
              <w:bidi w:val="0"/>
              <w:spacing w:line="240" w:lineRule="auto"/>
              <w:jc w:val="center"/>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9</w:t>
            </w:r>
          </w:p>
        </w:tc>
        <w:tc>
          <w:tcPr>
            <w:tcW w:w="3199" w:type="dxa"/>
            <w:vAlign w:val="center"/>
          </w:tcPr>
          <w:p w14:paraId="211E0DE1">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项目负责人答辩情况</w:t>
            </w:r>
          </w:p>
        </w:tc>
        <w:tc>
          <w:tcPr>
            <w:tcW w:w="791" w:type="dxa"/>
            <w:vAlign w:val="center"/>
          </w:tcPr>
          <w:p w14:paraId="197F767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16</w:t>
            </w:r>
          </w:p>
        </w:tc>
        <w:tc>
          <w:tcPr>
            <w:tcW w:w="4659" w:type="dxa"/>
            <w:vAlign w:val="center"/>
          </w:tcPr>
          <w:p w14:paraId="194E006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根据项目负责人的答辩</w:t>
            </w:r>
            <w:r>
              <w:rPr>
                <w:rFonts w:hint="eastAsia" w:asciiTheme="minorEastAsia" w:hAnsiTheme="minorEastAsia" w:eastAsiaTheme="minorEastAsia" w:cstheme="minorEastAsia"/>
                <w:sz w:val="22"/>
                <w:szCs w:val="22"/>
                <w:highlight w:val="none"/>
              </w:rPr>
              <w:t>情况（组织能力、领导能力等）</w:t>
            </w:r>
            <w:r>
              <w:rPr>
                <w:rFonts w:hint="eastAsia" w:asciiTheme="minorEastAsia" w:hAnsiTheme="minorEastAsia" w:eastAsiaTheme="minorEastAsia" w:cstheme="minorEastAsia"/>
                <w:sz w:val="22"/>
                <w:szCs w:val="22"/>
                <w:highlight w:val="none"/>
                <w:lang w:val="en-US" w:eastAsia="zh-CN"/>
              </w:rPr>
              <w:t>进行评分。</w:t>
            </w:r>
          </w:p>
          <w:p w14:paraId="2C008C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思路清晰、针对性强、科学合理的</w:t>
            </w:r>
            <w:r>
              <w:rPr>
                <w:rFonts w:hint="eastAsia" w:asciiTheme="minorEastAsia" w:hAnsiTheme="minorEastAsia" w:eastAsiaTheme="minorEastAsia" w:cstheme="minorEastAsia"/>
                <w:sz w:val="22"/>
                <w:szCs w:val="22"/>
                <w:highlight w:val="none"/>
                <w:lang w:val="en-US" w:eastAsia="zh-CN"/>
              </w:rPr>
              <w:t>16</w:t>
            </w:r>
            <w:r>
              <w:rPr>
                <w:rFonts w:hint="eastAsia" w:asciiTheme="minorEastAsia" w:hAnsiTheme="minorEastAsia" w:eastAsiaTheme="minorEastAsia" w:cstheme="minorEastAsia"/>
                <w:sz w:val="22"/>
                <w:szCs w:val="22"/>
                <w:highlight w:val="none"/>
              </w:rPr>
              <w:t>分；</w:t>
            </w:r>
          </w:p>
          <w:p w14:paraId="2F7B4D8C">
            <w:pPr>
              <w:keepNext w:val="0"/>
              <w:keepLines w:val="0"/>
              <w:pageBreakBefore w:val="0"/>
              <w:widowControl w:val="0"/>
              <w:kinsoku/>
              <w:wordWrap/>
              <w:overflowPunct/>
              <w:topLinePunct w:val="0"/>
              <w:autoSpaceDE/>
              <w:autoSpaceDN/>
              <w:bidi w:val="0"/>
              <w:spacing w:line="240" w:lineRule="auto"/>
              <w:textAlignment w:val="auto"/>
              <w:rPr>
                <w:rFonts w:hint="eastAsia"/>
                <w:highlight w:val="none"/>
              </w:rPr>
            </w:pPr>
            <w:r>
              <w:rPr>
                <w:rFonts w:hint="eastAsia" w:asciiTheme="minorEastAsia" w:hAnsiTheme="minorEastAsia" w:eastAsiaTheme="minorEastAsia" w:cstheme="minorEastAsia"/>
                <w:sz w:val="22"/>
                <w:szCs w:val="22"/>
                <w:highlight w:val="none"/>
                <w:lang w:val="en-US" w:eastAsia="zh-CN"/>
              </w:rPr>
              <w:t>思路基本清晰、针对性较好、</w:t>
            </w:r>
            <w:r>
              <w:rPr>
                <w:rFonts w:hint="eastAsia" w:asciiTheme="minorEastAsia" w:hAnsiTheme="minorEastAsia" w:eastAsiaTheme="minorEastAsia" w:cstheme="minorEastAsia"/>
                <w:sz w:val="22"/>
                <w:szCs w:val="22"/>
                <w:highlight w:val="none"/>
              </w:rPr>
              <w:t>较完善</w:t>
            </w:r>
            <w:r>
              <w:rPr>
                <w:rFonts w:hint="eastAsia" w:asciiTheme="minorEastAsia" w:hAnsiTheme="minorEastAsia" w:eastAsiaTheme="minorEastAsia" w:cstheme="minorEastAsia"/>
                <w:sz w:val="22"/>
                <w:szCs w:val="22"/>
                <w:highlight w:val="none"/>
                <w:lang w:val="en-US" w:eastAsia="zh-CN"/>
              </w:rPr>
              <w:t>的12分；</w:t>
            </w:r>
          </w:p>
          <w:p w14:paraId="1536099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思路一般清晰、针对性一般的</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分；</w:t>
            </w:r>
          </w:p>
          <w:p w14:paraId="64ECD3E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思路不清晰、基本没有针对性、较片面的</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2760213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不参加答辩的得0分。</w:t>
            </w:r>
          </w:p>
        </w:tc>
      </w:tr>
    </w:tbl>
    <w:p w14:paraId="6872CBF6">
      <w:pPr>
        <w:spacing w:line="400" w:lineRule="exact"/>
        <w:rPr>
          <w:rFonts w:ascii="宋体" w:hAnsi="宋体" w:cs="Arial"/>
          <w:sz w:val="22"/>
          <w:highlight w:val="none"/>
        </w:rPr>
      </w:pPr>
      <w:r>
        <w:rPr>
          <w:rFonts w:hint="eastAsia" w:ascii="宋体" w:hAnsi="宋体" w:cs="Arial"/>
          <w:sz w:val="22"/>
          <w:highlight w:val="none"/>
        </w:rPr>
        <w:t>2、</w:t>
      </w:r>
      <w:r>
        <w:rPr>
          <w:rFonts w:hint="eastAsia" w:ascii="宋体" w:hAnsi="宋体" w:cs="Arial"/>
          <w:b/>
          <w:bCs/>
          <w:sz w:val="22"/>
          <w:highlight w:val="none"/>
        </w:rPr>
        <w:t>报价</w:t>
      </w:r>
      <w:r>
        <w:rPr>
          <w:rFonts w:hint="eastAsia" w:ascii="宋体" w:hAnsi="宋体" w:cs="Arial"/>
          <w:b/>
          <w:sz w:val="22"/>
          <w:highlight w:val="none"/>
        </w:rPr>
        <w:t>评分（</w:t>
      </w:r>
      <w:r>
        <w:rPr>
          <w:rFonts w:hint="eastAsia" w:ascii="宋体" w:hAnsi="宋体" w:cs="Arial"/>
          <w:b/>
          <w:sz w:val="22"/>
          <w:highlight w:val="none"/>
          <w:lang w:val="en-US" w:eastAsia="zh-CN"/>
        </w:rPr>
        <w:t>20</w:t>
      </w:r>
      <w:r>
        <w:rPr>
          <w:rFonts w:hint="eastAsia" w:ascii="宋体" w:hAnsi="宋体" w:cs="Arial"/>
          <w:b/>
          <w:sz w:val="22"/>
          <w:highlight w:val="none"/>
        </w:rPr>
        <w:t>分）</w:t>
      </w:r>
      <w:r>
        <w:rPr>
          <w:rFonts w:hint="eastAsia" w:ascii="宋体" w:hAnsi="宋体" w:cs="Arial"/>
          <w:sz w:val="22"/>
          <w:highlight w:val="none"/>
        </w:rPr>
        <w:t>：</w:t>
      </w:r>
    </w:p>
    <w:p w14:paraId="680E205D">
      <w:pPr>
        <w:spacing w:line="400" w:lineRule="exact"/>
        <w:ind w:left="0" w:leftChars="0" w:firstLine="420" w:firstLineChars="190"/>
        <w:rPr>
          <w:rFonts w:ascii="宋体" w:hAnsi="宋体" w:cs="宋体"/>
          <w:kern w:val="0"/>
          <w:sz w:val="22"/>
          <w:szCs w:val="22"/>
          <w:highlight w:val="none"/>
        </w:rPr>
      </w:pPr>
      <w:r>
        <w:rPr>
          <w:rFonts w:hint="eastAsia" w:ascii="宋体" w:hAnsi="宋体" w:cs="宋体"/>
          <w:b/>
          <w:sz w:val="22"/>
          <w:szCs w:val="22"/>
          <w:highlight w:val="none"/>
        </w:rPr>
        <w:t>1）</w:t>
      </w:r>
      <w:r>
        <w:rPr>
          <w:rFonts w:hint="eastAsia" w:ascii="宋体" w:hAnsi="宋体" w:cs="Arial"/>
          <w:sz w:val="22"/>
          <w:highlight w:val="none"/>
        </w:rPr>
        <w:t>满足招标文件要求且报价最低的投标报价为评标基准价。</w:t>
      </w:r>
      <w:r>
        <w:rPr>
          <w:rFonts w:hint="eastAsia" w:ascii="宋体" w:hAnsi="宋体" w:cs="宋体"/>
          <w:kern w:val="0"/>
          <w:sz w:val="22"/>
          <w:szCs w:val="22"/>
          <w:highlight w:val="none"/>
        </w:rPr>
        <w:t>有效投标人的投标价等于评标基准价时，其投标报价评分值为满分；</w:t>
      </w:r>
    </w:p>
    <w:p w14:paraId="369E6FFE">
      <w:pPr>
        <w:spacing w:line="440" w:lineRule="exact"/>
        <w:ind w:left="0" w:leftChars="0" w:firstLine="420" w:firstLineChars="190"/>
        <w:rPr>
          <w:rFonts w:ascii="宋体" w:hAnsi="宋体" w:cs="宋体"/>
          <w:kern w:val="0"/>
          <w:sz w:val="22"/>
          <w:szCs w:val="22"/>
          <w:highlight w:val="none"/>
        </w:rPr>
      </w:pPr>
      <w:r>
        <w:rPr>
          <w:rFonts w:hint="eastAsia" w:ascii="宋体" w:hAnsi="宋体" w:cs="宋体"/>
          <w:b/>
          <w:sz w:val="22"/>
          <w:szCs w:val="22"/>
          <w:highlight w:val="none"/>
        </w:rPr>
        <w:t>2）</w:t>
      </w:r>
      <w:r>
        <w:rPr>
          <w:rFonts w:hint="eastAsia" w:cs="宋体"/>
          <w:b/>
          <w:sz w:val="22"/>
          <w:highlight w:val="none"/>
        </w:rPr>
        <w:t>投标人报价得分的价格权值为</w:t>
      </w:r>
      <w:r>
        <w:rPr>
          <w:rFonts w:hint="eastAsia" w:cs="宋体"/>
          <w:b/>
          <w:sz w:val="22"/>
          <w:highlight w:val="none"/>
          <w:lang w:val="en-US" w:eastAsia="zh-CN"/>
        </w:rPr>
        <w:t>20</w:t>
      </w:r>
      <w:r>
        <w:rPr>
          <w:rFonts w:hint="eastAsia" w:cs="宋体"/>
          <w:b/>
          <w:sz w:val="22"/>
          <w:highlight w:val="none"/>
        </w:rPr>
        <w:t>分。</w:t>
      </w:r>
    </w:p>
    <w:p w14:paraId="0E136E4C">
      <w:pPr>
        <w:spacing w:line="440" w:lineRule="exact"/>
        <w:ind w:left="0" w:leftChars="0" w:firstLine="418" w:firstLineChars="190"/>
        <w:rPr>
          <w:rFonts w:ascii="宋体" w:hAnsi="宋体" w:cs="宋体"/>
          <w:sz w:val="22"/>
          <w:szCs w:val="22"/>
          <w:highlight w:val="none"/>
        </w:rPr>
      </w:pPr>
      <w:r>
        <w:rPr>
          <w:rFonts w:hint="eastAsia" w:ascii="宋体" w:hAnsi="宋体" w:cs="宋体"/>
          <w:sz w:val="22"/>
          <w:szCs w:val="22"/>
          <w:highlight w:val="none"/>
        </w:rPr>
        <w:t>投标人报价得分</w:t>
      </w:r>
      <w:r>
        <w:rPr>
          <w:rFonts w:hint="eastAsia" w:ascii="宋体" w:hAnsi="宋体" w:cs="宋体"/>
          <w:kern w:val="0"/>
          <w:sz w:val="22"/>
          <w:szCs w:val="22"/>
          <w:highlight w:val="none"/>
        </w:rPr>
        <w:t>=（评标基准价/投标人投标报价）*</w:t>
      </w:r>
      <w:r>
        <w:rPr>
          <w:rFonts w:hint="eastAsia" w:ascii="宋体" w:hAnsi="宋体" w:cs="宋体"/>
          <w:kern w:val="0"/>
          <w:sz w:val="22"/>
          <w:szCs w:val="22"/>
          <w:highlight w:val="none"/>
          <w:lang w:val="en-US" w:eastAsia="zh-CN"/>
        </w:rPr>
        <w:t>20</w:t>
      </w:r>
      <w:r>
        <w:rPr>
          <w:rFonts w:hint="eastAsia" w:ascii="宋体" w:hAnsi="宋体" w:cs="宋体"/>
          <w:kern w:val="0"/>
          <w:sz w:val="22"/>
          <w:szCs w:val="22"/>
          <w:highlight w:val="none"/>
        </w:rPr>
        <w:t>%*100（</w:t>
      </w:r>
      <w:r>
        <w:rPr>
          <w:rFonts w:hint="eastAsia" w:ascii="宋体" w:hAnsi="宋体" w:cs="宋体"/>
          <w:sz w:val="22"/>
          <w:szCs w:val="22"/>
          <w:highlight w:val="none"/>
        </w:rPr>
        <w:t>四舍五入，保留小数点后2位）</w:t>
      </w:r>
    </w:p>
    <w:p w14:paraId="3700CC11">
      <w:pPr>
        <w:spacing w:line="400" w:lineRule="exact"/>
        <w:ind w:left="0" w:leftChars="0" w:firstLine="420" w:firstLineChars="190"/>
        <w:rPr>
          <w:rFonts w:ascii="宋体" w:hAnsi="宋体" w:cs="宋体"/>
          <w:b/>
          <w:sz w:val="22"/>
          <w:szCs w:val="22"/>
          <w:highlight w:val="none"/>
        </w:rPr>
      </w:pPr>
      <w:r>
        <w:rPr>
          <w:rFonts w:hint="eastAsia" w:ascii="宋体" w:hAnsi="宋体" w:cs="宋体"/>
          <w:b/>
          <w:sz w:val="22"/>
          <w:szCs w:val="22"/>
          <w:highlight w:val="none"/>
        </w:rPr>
        <w:t>3）本项目为对应的中小企业划分标准所属行业：</w:t>
      </w:r>
      <w:r>
        <w:rPr>
          <w:rFonts w:hint="eastAsia" w:ascii="宋体" w:hAnsi="宋体" w:cs="宋体"/>
          <w:b/>
          <w:sz w:val="22"/>
          <w:szCs w:val="22"/>
          <w:highlight w:val="none"/>
          <w:lang w:val="zh-CN"/>
        </w:rPr>
        <w:t>其他未列明行业</w:t>
      </w:r>
      <w:r>
        <w:rPr>
          <w:rFonts w:hint="eastAsia" w:ascii="宋体" w:hAnsi="宋体" w:cs="宋体"/>
          <w:b/>
          <w:sz w:val="22"/>
          <w:szCs w:val="22"/>
          <w:highlight w:val="none"/>
        </w:rPr>
        <w:t>.</w:t>
      </w:r>
    </w:p>
    <w:p w14:paraId="6217C304">
      <w:pPr>
        <w:spacing w:line="400" w:lineRule="exact"/>
        <w:ind w:left="0" w:leftChars="0" w:firstLine="418" w:firstLineChars="190"/>
        <w:rPr>
          <w:rFonts w:ascii="宋体" w:hAnsi="宋体" w:cs="Arial"/>
          <w:b/>
          <w:sz w:val="22"/>
          <w:szCs w:val="22"/>
          <w:highlight w:val="none"/>
          <w:u w:val="single"/>
        </w:rPr>
      </w:pPr>
      <w:r>
        <w:rPr>
          <w:rFonts w:hint="eastAsia" w:ascii="宋体" w:hAnsi="宋体" w:cs="Arial"/>
          <w:sz w:val="22"/>
          <w:highlight w:val="none"/>
        </w:rPr>
        <w:t>4）</w:t>
      </w:r>
      <w:r>
        <w:rPr>
          <w:rFonts w:hint="eastAsia" w:ascii="宋体" w:hAnsi="宋体" w:cs="Arial"/>
          <w:b/>
          <w:sz w:val="22"/>
          <w:szCs w:val="22"/>
          <w:highlight w:val="none"/>
          <w:u w:val="single"/>
        </w:rPr>
        <w:t>本项目最高限价为</w:t>
      </w:r>
      <w:r>
        <w:rPr>
          <w:rFonts w:hint="eastAsia" w:ascii="宋体" w:hAnsi="宋体" w:cs="Arial"/>
          <w:b/>
          <w:sz w:val="22"/>
          <w:szCs w:val="22"/>
          <w:highlight w:val="none"/>
          <w:u w:val="single"/>
          <w:lang w:val="en-US" w:eastAsia="zh-CN"/>
        </w:rPr>
        <w:t>标项一</w:t>
      </w:r>
      <w:r>
        <w:rPr>
          <w:rFonts w:hint="eastAsia" w:ascii="宋体" w:hAnsi="宋体" w:cs="宋体"/>
          <w:b/>
          <w:sz w:val="22"/>
          <w:szCs w:val="22"/>
          <w:highlight w:val="none"/>
          <w:u w:val="single"/>
          <w:lang w:val="en-US" w:eastAsia="zh-CN"/>
        </w:rPr>
        <w:t>2100000元；标项二3290000元；</w:t>
      </w:r>
    </w:p>
    <w:p w14:paraId="0FD93EBD">
      <w:pPr>
        <w:spacing w:line="400" w:lineRule="exact"/>
        <w:ind w:left="0" w:leftChars="0" w:firstLine="418" w:firstLineChars="190"/>
        <w:rPr>
          <w:rFonts w:ascii="宋体" w:hAnsi="宋体" w:cs="Arial"/>
          <w:sz w:val="22"/>
          <w:highlight w:val="none"/>
        </w:rPr>
      </w:pPr>
      <w:r>
        <w:rPr>
          <w:rFonts w:hint="eastAsia" w:ascii="宋体" w:hAnsi="宋体" w:cs="Arial"/>
          <w:sz w:val="22"/>
          <w:highlight w:val="none"/>
        </w:rPr>
        <w:t>5）</w:t>
      </w:r>
      <w:r>
        <w:rPr>
          <w:rFonts w:hint="eastAsia" w:ascii="宋体" w:hAnsi="宋体" w:cs="宋体"/>
          <w:sz w:val="22"/>
          <w:highlight w:val="none"/>
        </w:rPr>
        <w:t>▲</w:t>
      </w:r>
      <w:r>
        <w:rPr>
          <w:rFonts w:hint="eastAsia" w:ascii="宋体" w:hAnsi="宋体" w:cs="Arial"/>
          <w:b/>
          <w:sz w:val="22"/>
          <w:szCs w:val="22"/>
          <w:highlight w:val="none"/>
          <w:u w:val="single"/>
        </w:rPr>
        <w:t>本项目设置最高限价，</w:t>
      </w:r>
      <w:r>
        <w:rPr>
          <w:rFonts w:hint="eastAsia" w:ascii="宋体" w:hAnsi="宋体"/>
          <w:b/>
          <w:sz w:val="22"/>
          <w:szCs w:val="22"/>
          <w:highlight w:val="none"/>
          <w:u w:val="single"/>
        </w:rPr>
        <w:t>如投标人报价超过最高限价，其投标文件作无效标处理</w:t>
      </w:r>
      <w:r>
        <w:rPr>
          <w:rFonts w:hint="eastAsia" w:ascii="宋体" w:hAnsi="宋体" w:cs="Arial"/>
          <w:sz w:val="22"/>
          <w:highlight w:val="none"/>
        </w:rPr>
        <w:t>。</w:t>
      </w:r>
    </w:p>
    <w:p w14:paraId="07845A1C">
      <w:pPr>
        <w:spacing w:line="400" w:lineRule="exact"/>
        <w:rPr>
          <w:rFonts w:ascii="宋体" w:hAnsi="宋体" w:cs="Arial"/>
          <w:sz w:val="22"/>
          <w:highlight w:val="none"/>
        </w:rPr>
      </w:pPr>
      <w:r>
        <w:rPr>
          <w:rFonts w:hint="eastAsia" w:ascii="宋体" w:hAnsi="宋体" w:cs="Arial"/>
          <w:sz w:val="22"/>
          <w:highlight w:val="none"/>
        </w:rPr>
        <w:t>3、 有效投标人的综合得分为商务技术分和报价得分的总和。</w:t>
      </w:r>
    </w:p>
    <w:p w14:paraId="779BEFDF">
      <w:pPr>
        <w:rPr>
          <w:rFonts w:ascii="宋体" w:hAnsi="宋体" w:cs="Arial"/>
          <w:sz w:val="22"/>
          <w:highlight w:val="none"/>
        </w:rPr>
      </w:pPr>
      <w:r>
        <w:rPr>
          <w:rFonts w:hint="eastAsia" w:ascii="宋体" w:hAnsi="宋体" w:cs="Arial"/>
          <w:sz w:val="22"/>
          <w:highlight w:val="none"/>
        </w:rPr>
        <w:br w:type="page"/>
      </w:r>
    </w:p>
    <w:p w14:paraId="238E53DE">
      <w:pPr>
        <w:pStyle w:val="26"/>
        <w:rPr>
          <w:highlight w:val="none"/>
        </w:rPr>
      </w:pPr>
    </w:p>
    <w:bookmarkEnd w:id="198"/>
    <w:bookmarkEnd w:id="199"/>
    <w:p w14:paraId="5AB820F6">
      <w:pPr>
        <w:pStyle w:val="4"/>
        <w:rPr>
          <w:rFonts w:ascii="宋体" w:hAnsi="宋体" w:eastAsia="宋体" w:cs="Arial"/>
          <w:sz w:val="36"/>
          <w:szCs w:val="36"/>
          <w:highlight w:val="none"/>
        </w:rPr>
      </w:pPr>
      <w:bookmarkStart w:id="200" w:name="_Toc221423625"/>
      <w:bookmarkStart w:id="201" w:name="_Toc249758721"/>
      <w:bookmarkStart w:id="202" w:name="_Toc262105510"/>
      <w:bookmarkStart w:id="203" w:name="_Toc249758871"/>
      <w:bookmarkStart w:id="204" w:name="_Toc221356894"/>
      <w:bookmarkStart w:id="205" w:name="_Toc245722287"/>
      <w:bookmarkStart w:id="206" w:name="_Toc222114885"/>
      <w:bookmarkStart w:id="207" w:name="_Toc223716004"/>
      <w:bookmarkStart w:id="208" w:name="_Toc246261271"/>
      <w:bookmarkStart w:id="209" w:name="_Toc221374632"/>
      <w:bookmarkStart w:id="210" w:name="_Toc221356957"/>
      <w:bookmarkStart w:id="211" w:name="_Toc262049425"/>
      <w:bookmarkStart w:id="212" w:name="_Toc239145360"/>
      <w:bookmarkStart w:id="213" w:name="_Toc21979"/>
      <w:bookmarkStart w:id="214" w:name="_Toc245191320"/>
      <w:bookmarkStart w:id="215" w:name="_Toc241404208"/>
      <w:r>
        <w:rPr>
          <w:rFonts w:hint="eastAsia" w:ascii="宋体" w:hAnsi="宋体" w:eastAsia="宋体" w:cs="Arial"/>
          <w:sz w:val="36"/>
          <w:szCs w:val="36"/>
          <w:highlight w:val="none"/>
        </w:rPr>
        <w:t>第四部分   合同主要条款</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07228341">
      <w:pPr>
        <w:rPr>
          <w:highlight w:val="none"/>
        </w:rPr>
      </w:pPr>
      <w:bookmarkStart w:id="216" w:name="_Toc221374633"/>
      <w:bookmarkStart w:id="217" w:name="_Toc221356897"/>
      <w:bookmarkStart w:id="218" w:name="_Toc221356960"/>
    </w:p>
    <w:p w14:paraId="3AFBEA8B">
      <w:pPr>
        <w:snapToGrid w:val="0"/>
        <w:spacing w:line="360" w:lineRule="auto"/>
        <w:jc w:val="left"/>
        <w:rPr>
          <w:rFonts w:ascii="仿宋_GB2312" w:hAnsi="宋体"/>
          <w:b/>
          <w:bCs/>
          <w:sz w:val="24"/>
          <w:highlight w:val="none"/>
          <w:u w:val="single"/>
        </w:rPr>
      </w:pPr>
      <w:r>
        <w:rPr>
          <w:rFonts w:hint="eastAsia" w:ascii="仿宋_GB2312" w:hAnsi="宋体"/>
          <w:b/>
          <w:bCs/>
          <w:sz w:val="24"/>
          <w:highlight w:val="none"/>
          <w:u w:val="single"/>
        </w:rPr>
        <w:t>注：本合同作为示范文本，具体以中标人与</w:t>
      </w:r>
      <w:r>
        <w:rPr>
          <w:rFonts w:hint="eastAsia" w:ascii="仿宋_GB2312" w:hAnsi="宋体"/>
          <w:b/>
          <w:bCs/>
          <w:sz w:val="24"/>
          <w:highlight w:val="none"/>
          <w:u w:val="single"/>
          <w:lang w:eastAsia="zh-CN"/>
        </w:rPr>
        <w:t>采购人</w:t>
      </w:r>
      <w:r>
        <w:rPr>
          <w:rFonts w:hint="eastAsia" w:ascii="仿宋_GB2312" w:hAnsi="宋体"/>
          <w:b/>
          <w:bCs/>
          <w:sz w:val="24"/>
          <w:highlight w:val="none"/>
          <w:u w:val="single"/>
        </w:rPr>
        <w:t>所签定正式合同为准。</w:t>
      </w:r>
    </w:p>
    <w:p w14:paraId="508A25AB">
      <w:pPr>
        <w:snapToGrid w:val="0"/>
        <w:spacing w:line="360" w:lineRule="auto"/>
        <w:jc w:val="left"/>
        <w:rPr>
          <w:rFonts w:ascii="宋体" w:hAnsi="宋体" w:cs="Arial"/>
          <w:sz w:val="22"/>
          <w:szCs w:val="22"/>
          <w:highlight w:val="none"/>
        </w:rPr>
      </w:pPr>
    </w:p>
    <w:p w14:paraId="28910688">
      <w:pPr>
        <w:spacing w:line="560" w:lineRule="exact"/>
        <w:jc w:val="center"/>
        <w:rPr>
          <w:rFonts w:ascii="宋体" w:cs="宋体"/>
          <w:bCs/>
          <w:sz w:val="40"/>
          <w:szCs w:val="44"/>
          <w:highlight w:val="none"/>
        </w:rPr>
      </w:pPr>
      <w:r>
        <w:rPr>
          <w:rFonts w:hint="eastAsia" w:ascii="宋体" w:cs="宋体"/>
          <w:bCs/>
          <w:sz w:val="40"/>
          <w:szCs w:val="44"/>
          <w:highlight w:val="none"/>
        </w:rPr>
        <w:t>龙湾区房屋征收事务代理服务委托合同</w:t>
      </w:r>
    </w:p>
    <w:p w14:paraId="45C724AA">
      <w:pPr>
        <w:spacing w:line="560" w:lineRule="exact"/>
        <w:jc w:val="center"/>
        <w:rPr>
          <w:rFonts w:ascii="宋体" w:cs="宋体"/>
          <w:bCs/>
          <w:sz w:val="44"/>
          <w:szCs w:val="44"/>
          <w:highlight w:val="none"/>
        </w:rPr>
      </w:pPr>
    </w:p>
    <w:p w14:paraId="51ABDDB8">
      <w:pPr>
        <w:spacing w:line="560" w:lineRule="exact"/>
        <w:rPr>
          <w:rFonts w:ascii="宋体" w:cs="宋体"/>
          <w:spacing w:val="-20"/>
          <w:sz w:val="28"/>
          <w:szCs w:val="28"/>
          <w:highlight w:val="none"/>
        </w:rPr>
      </w:pPr>
      <w:r>
        <w:rPr>
          <w:rFonts w:hint="eastAsia" w:ascii="宋体" w:cs="宋体"/>
          <w:spacing w:val="-20"/>
          <w:sz w:val="28"/>
          <w:szCs w:val="28"/>
          <w:highlight w:val="none"/>
        </w:rPr>
        <w:t xml:space="preserve">   </w:t>
      </w:r>
    </w:p>
    <w:p w14:paraId="5FD7CB68">
      <w:pPr>
        <w:spacing w:line="560" w:lineRule="exact"/>
        <w:rPr>
          <w:rFonts w:ascii="宋体" w:cs="宋体"/>
          <w:spacing w:val="-20"/>
          <w:sz w:val="24"/>
          <w:highlight w:val="none"/>
          <w:u w:val="single"/>
        </w:rPr>
      </w:pPr>
      <w:r>
        <w:rPr>
          <w:rFonts w:hint="eastAsia" w:ascii="宋体" w:cs="宋体"/>
          <w:spacing w:val="-20"/>
          <w:sz w:val="28"/>
          <w:szCs w:val="28"/>
          <w:highlight w:val="none"/>
        </w:rPr>
        <w:t xml:space="preserve">         </w:t>
      </w:r>
      <w:r>
        <w:rPr>
          <w:rFonts w:hint="eastAsia" w:ascii="宋体" w:cs="宋体"/>
          <w:spacing w:val="-20"/>
          <w:sz w:val="24"/>
          <w:highlight w:val="none"/>
        </w:rPr>
        <w:t>委托人（甲方）：</w:t>
      </w:r>
      <w:r>
        <w:rPr>
          <w:rFonts w:hint="eastAsia" w:ascii="宋体" w:cs="宋体"/>
          <w:spacing w:val="-20"/>
          <w:sz w:val="24"/>
          <w:highlight w:val="none"/>
          <w:u w:val="single"/>
        </w:rPr>
        <w:t xml:space="preserve">                                                                     </w:t>
      </w:r>
    </w:p>
    <w:p w14:paraId="120DD05E">
      <w:pPr>
        <w:spacing w:line="560" w:lineRule="exact"/>
        <w:rPr>
          <w:rFonts w:ascii="宋体" w:cs="宋体"/>
          <w:spacing w:val="-20"/>
          <w:sz w:val="24"/>
          <w:highlight w:val="none"/>
          <w:u w:val="single"/>
        </w:rPr>
      </w:pPr>
      <w:r>
        <w:rPr>
          <w:rFonts w:hint="eastAsia" w:ascii="宋体" w:cs="宋体"/>
          <w:spacing w:val="-20"/>
          <w:sz w:val="24"/>
          <w:highlight w:val="none"/>
        </w:rPr>
        <w:t xml:space="preserve">            受托人（乙方）：</w:t>
      </w:r>
      <w:r>
        <w:rPr>
          <w:rFonts w:hint="eastAsia" w:ascii="宋体" w:cs="宋体"/>
          <w:spacing w:val="-20"/>
          <w:sz w:val="24"/>
          <w:highlight w:val="none"/>
          <w:u w:val="single"/>
        </w:rPr>
        <w:t xml:space="preserve">                                                                    </w:t>
      </w:r>
    </w:p>
    <w:p w14:paraId="406BEE8D">
      <w:pPr>
        <w:wordWrap w:val="0"/>
        <w:spacing w:line="460" w:lineRule="exact"/>
        <w:ind w:firstLine="400" w:firstLineChars="200"/>
        <w:rPr>
          <w:rFonts w:ascii="宋体" w:cs="宋体"/>
          <w:spacing w:val="-20"/>
          <w:sz w:val="24"/>
          <w:highlight w:val="none"/>
        </w:rPr>
      </w:pPr>
      <w:r>
        <w:rPr>
          <w:rFonts w:hint="eastAsia" w:ascii="宋体" w:cs="宋体"/>
          <w:spacing w:val="-20"/>
          <w:sz w:val="24"/>
          <w:highlight w:val="none"/>
        </w:rPr>
        <w:t xml:space="preserve">  </w:t>
      </w:r>
    </w:p>
    <w:p w14:paraId="3681A25F">
      <w:pPr>
        <w:wordWrap w:val="0"/>
        <w:spacing w:line="460" w:lineRule="exact"/>
        <w:ind w:firstLine="480" w:firstLineChars="200"/>
        <w:rPr>
          <w:rFonts w:ascii="宋体" w:cs="宋体"/>
          <w:sz w:val="24"/>
          <w:highlight w:val="none"/>
        </w:rPr>
      </w:pPr>
      <w:r>
        <w:rPr>
          <w:rFonts w:hint="eastAsia" w:ascii="宋体" w:cs="宋体"/>
          <w:sz w:val="24"/>
          <w:highlight w:val="none"/>
        </w:rPr>
        <w:t>因龙湾区</w:t>
      </w:r>
      <w:r>
        <w:rPr>
          <w:rFonts w:hint="eastAsia" w:ascii="宋体" w:cs="宋体"/>
          <w:sz w:val="24"/>
          <w:highlight w:val="none"/>
          <w:u w:val="single"/>
        </w:rPr>
        <w:t xml:space="preserve">                                 </w:t>
      </w:r>
      <w:r>
        <w:rPr>
          <w:rFonts w:hint="eastAsia" w:ascii="宋体" w:cs="宋体"/>
          <w:sz w:val="24"/>
          <w:highlight w:val="none"/>
        </w:rPr>
        <w:t>项目房屋征收（征地房屋补偿）</w:t>
      </w:r>
      <w:bookmarkStart w:id="219" w:name="OLE_LINK6"/>
      <w:r>
        <w:rPr>
          <w:rFonts w:hint="eastAsia" w:ascii="宋体" w:cs="宋体"/>
          <w:sz w:val="24"/>
          <w:highlight w:val="none"/>
        </w:rPr>
        <w:t>事务代理服务</w:t>
      </w:r>
      <w:bookmarkEnd w:id="219"/>
      <w:r>
        <w:rPr>
          <w:rFonts w:hint="eastAsia" w:ascii="宋体" w:cs="宋体"/>
          <w:sz w:val="24"/>
          <w:highlight w:val="none"/>
        </w:rPr>
        <w:t>项目工作需要，需乙方协助开展房屋征收与补偿相关工作，经甲、乙双方协商一致，现就有关具体事项订立如下协议，以资共同信守。</w:t>
      </w:r>
    </w:p>
    <w:p w14:paraId="14E52ED7">
      <w:pPr>
        <w:pStyle w:val="58"/>
        <w:spacing w:line="460" w:lineRule="exact"/>
        <w:ind w:firstLine="482" w:firstLineChars="200"/>
        <w:rPr>
          <w:b/>
          <w:bCs/>
          <w:kern w:val="2"/>
          <w:highlight w:val="none"/>
        </w:rPr>
      </w:pPr>
      <w:r>
        <w:rPr>
          <w:rFonts w:hint="eastAsia"/>
          <w:b/>
          <w:bCs/>
          <w:kern w:val="2"/>
          <w:highlight w:val="none"/>
        </w:rPr>
        <w:t>第一条  项目概况</w:t>
      </w:r>
    </w:p>
    <w:p w14:paraId="38EDDB10">
      <w:pPr>
        <w:wordWrap w:val="0"/>
        <w:spacing w:line="460" w:lineRule="exact"/>
        <w:rPr>
          <w:rFonts w:ascii="宋体" w:cs="宋体"/>
          <w:sz w:val="24"/>
          <w:highlight w:val="none"/>
        </w:rPr>
      </w:pPr>
      <w:r>
        <w:rPr>
          <w:rFonts w:hint="eastAsia" w:ascii="宋体" w:cs="宋体"/>
          <w:sz w:val="24"/>
          <w:highlight w:val="none"/>
        </w:rPr>
        <w:t xml:space="preserve">    本项目房屋征收（征地房屋补偿）所涉房屋建筑面积约</w:t>
      </w:r>
      <w:r>
        <w:rPr>
          <w:rFonts w:hint="eastAsia" w:ascii="宋体" w:cs="宋体"/>
          <w:sz w:val="24"/>
          <w:highlight w:val="none"/>
          <w:u w:val="single"/>
        </w:rPr>
        <w:t xml:space="preserve">       </w:t>
      </w:r>
      <w:r>
        <w:rPr>
          <w:rFonts w:hint="eastAsia" w:ascii="宋体" w:cs="宋体"/>
          <w:sz w:val="24"/>
          <w:highlight w:val="none"/>
        </w:rPr>
        <w:t>万㎡，所涉户数约</w:t>
      </w:r>
      <w:r>
        <w:rPr>
          <w:rFonts w:hint="eastAsia" w:ascii="宋体" w:cs="宋体"/>
          <w:sz w:val="24"/>
          <w:highlight w:val="none"/>
          <w:u w:val="single"/>
        </w:rPr>
        <w:t xml:space="preserve">       </w:t>
      </w:r>
      <w:r>
        <w:rPr>
          <w:rFonts w:hint="eastAsia" w:ascii="宋体" w:cs="宋体"/>
          <w:sz w:val="24"/>
          <w:highlight w:val="none"/>
        </w:rPr>
        <w:t>户（其中：企业约</w:t>
      </w:r>
      <w:r>
        <w:rPr>
          <w:rFonts w:hint="eastAsia" w:ascii="宋体" w:cs="宋体"/>
          <w:sz w:val="24"/>
          <w:highlight w:val="none"/>
          <w:u w:val="single"/>
        </w:rPr>
        <w:t xml:space="preserve">      </w:t>
      </w:r>
      <w:r>
        <w:rPr>
          <w:rFonts w:hint="eastAsia" w:ascii="宋体" w:cs="宋体"/>
          <w:sz w:val="24"/>
          <w:highlight w:val="none"/>
        </w:rPr>
        <w:t>户），最终以实地调查为准。项目实施情况以上级部门相关实际要求为准。</w:t>
      </w:r>
    </w:p>
    <w:p w14:paraId="570BEBA8">
      <w:pPr>
        <w:spacing w:line="460" w:lineRule="exact"/>
        <w:ind w:firstLine="480" w:firstLineChars="200"/>
        <w:rPr>
          <w:rFonts w:ascii="宋体" w:cs="宋体"/>
          <w:bCs/>
          <w:sz w:val="24"/>
          <w:highlight w:val="none"/>
        </w:rPr>
      </w:pPr>
      <w:r>
        <w:rPr>
          <w:rFonts w:hint="eastAsia" w:ascii="宋体" w:cs="宋体"/>
          <w:bCs/>
          <w:sz w:val="24"/>
          <w:highlight w:val="none"/>
        </w:rPr>
        <w:t>第二条  委托事项</w:t>
      </w:r>
    </w:p>
    <w:p w14:paraId="69CB0757">
      <w:pPr>
        <w:wordWrap w:val="0"/>
        <w:spacing w:line="46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（签订合同时根据标项的实际情况选择①②委托事项）</w:t>
      </w:r>
    </w:p>
    <w:p w14:paraId="47E6638F">
      <w:pPr>
        <w:wordWrap w:val="0"/>
        <w:spacing w:line="460" w:lineRule="exact"/>
        <w:ind w:firstLine="562" w:firstLineChars="200"/>
        <w:rPr>
          <w:rFonts w:hint="eastAsia" w:ascii="宋体" w:hAnsi="宋体" w:eastAsia="宋体" w:cs="宋体"/>
          <w:sz w:val="24"/>
          <w:szCs w:val="24"/>
          <w:highlight w:val="none"/>
          <w:lang w:eastAsia="zh-CN"/>
        </w:rPr>
      </w:pPr>
      <w:r>
        <w:rPr>
          <w:rFonts w:hint="eastAsia" w:ascii="宋体" w:hAnsi="宋体" w:eastAsia="宋体" w:cs="宋体"/>
          <w:b/>
          <w:bCs/>
          <w:sz w:val="28"/>
          <w:szCs w:val="28"/>
          <w:highlight w:val="none"/>
          <w:lang w:val="en-US" w:eastAsia="zh-CN"/>
        </w:rPr>
        <w:t>①</w:t>
      </w:r>
      <w:r>
        <w:rPr>
          <w:rFonts w:hint="eastAsia" w:ascii="宋体" w:hAnsi="宋体" w:eastAsia="宋体" w:cs="宋体"/>
          <w:b/>
          <w:bCs/>
          <w:sz w:val="28"/>
          <w:szCs w:val="28"/>
          <w:highlight w:val="none"/>
          <w:lang w:eastAsia="zh-CN"/>
        </w:rPr>
        <w:t>住宅用房征收</w:t>
      </w:r>
      <w:r>
        <w:rPr>
          <w:rFonts w:hint="eastAsia" w:ascii="宋体" w:hAnsi="宋体" w:eastAsia="宋体" w:cs="宋体"/>
          <w:b/>
          <w:bCs/>
          <w:sz w:val="28"/>
          <w:szCs w:val="28"/>
          <w:highlight w:val="none"/>
          <w:lang w:val="en-US" w:eastAsia="zh-CN"/>
        </w:rPr>
        <w:t>要求</w:t>
      </w:r>
      <w:r>
        <w:rPr>
          <w:rFonts w:hint="eastAsia" w:ascii="宋体" w:hAnsi="宋体" w:eastAsia="宋体" w:cs="宋体"/>
          <w:b/>
          <w:bCs/>
          <w:sz w:val="28"/>
          <w:szCs w:val="28"/>
          <w:highlight w:val="none"/>
          <w:lang w:eastAsia="zh-CN"/>
        </w:rPr>
        <w:t>：</w:t>
      </w:r>
    </w:p>
    <w:p w14:paraId="35411D5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按照房屋征收（征地房屋补偿）法定程序协助甲方完成</w:t>
      </w:r>
      <w:r>
        <w:rPr>
          <w:rFonts w:hint="eastAsia" w:ascii="宋体" w:hAnsi="宋体" w:eastAsia="宋体" w:cs="宋体"/>
          <w:sz w:val="24"/>
          <w:szCs w:val="24"/>
          <w:highlight w:val="none"/>
          <w:lang w:val="en-US" w:eastAsia="zh-CN"/>
        </w:rPr>
        <w:t>三个阶段（1.</w:t>
      </w:r>
      <w:r>
        <w:rPr>
          <w:rFonts w:hint="eastAsia" w:ascii="宋体" w:hAnsi="宋体" w:eastAsia="宋体" w:cs="宋体"/>
          <w:sz w:val="24"/>
          <w:szCs w:val="24"/>
          <w:highlight w:val="none"/>
        </w:rPr>
        <w:t>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中期协商签约权证注销</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后期认购安置阶段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相关工作，主要内容包括：</w:t>
      </w:r>
    </w:p>
    <w:p w14:paraId="736F4ACC">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rPr>
        <w:t>：</w:t>
      </w:r>
    </w:p>
    <w:p w14:paraId="6CDE37FB">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负责入户调查所涉房屋及土地权属、房屋所有人的身份信息、共有产权人、抵押权人等利害关系人的调查等内容</w:t>
      </w:r>
      <w:r>
        <w:rPr>
          <w:rFonts w:hint="eastAsia" w:ascii="宋体" w:hAnsi="宋体" w:eastAsia="宋体" w:cs="宋体"/>
          <w:sz w:val="24"/>
          <w:szCs w:val="24"/>
          <w:highlight w:val="none"/>
        </w:rPr>
        <w:t>。收集房屋所有人家庭人员户口簿、身份证、房屋所有权证、土地使用权证、规划许可证、工商营业执照以及其它与房屋、土地相关资料复印件等，记录联系方式以及送达地址，并按户建立档案；</w:t>
      </w:r>
    </w:p>
    <w:p w14:paraId="6598FE89">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2.负责委托具备房产测绘资质的单位对所涉房屋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面积（包括道坦及实施单位指定的空地）进行测量，制作调查表和测量图卡，由2名以上具备房产测绘资质的测绘人员签字，并加盖测绘单位的公章；</w:t>
      </w:r>
    </w:p>
    <w:p w14:paraId="78E362C6">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3.负责对代理范围内房屋现状进行摄影、摄像，根据入户调查情况制作所涉房屋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工作图，汇总代理范围内所涉房屋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情况调查结果并在改造范围内进行公示；</w:t>
      </w:r>
    </w:p>
    <w:p w14:paraId="49EE82C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全程参与未经登记建筑年限初步审查工作，与甲方委托的勘测机构对接年限认定工作,收集整理未经登记建筑年限初审认定异议相关材料，提交区未经登记建筑认定领导小组办公室复审,并对涉嫌违法的建筑进行梳理，配合甲方协助区行政执法部门开展调查工作；</w:t>
      </w:r>
    </w:p>
    <w:p w14:paraId="72B1505D">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5.负责具体组织选定房地产价格评估机构，由甲方委托公证机构现场公证，评估机构选定后，陪同房地产估价师入户勘查评估。</w:t>
      </w:r>
    </w:p>
    <w:p w14:paraId="5B420B4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cs="宋体"/>
          <w:sz w:val="24"/>
          <w:szCs w:val="24"/>
          <w:highlight w:val="none"/>
          <w:lang w:eastAsia="zh-CN"/>
        </w:rPr>
        <w:t>中期协商签约权证注销阶段</w:t>
      </w:r>
      <w:r>
        <w:rPr>
          <w:rFonts w:hint="eastAsia" w:ascii="宋体" w:hAnsi="宋体" w:eastAsia="宋体" w:cs="宋体"/>
          <w:sz w:val="24"/>
          <w:szCs w:val="24"/>
          <w:highlight w:val="none"/>
        </w:rPr>
        <w:t>：</w:t>
      </w:r>
    </w:p>
    <w:p w14:paraId="673CC3A0">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1.负责与房屋所有人签订房屋征收（征地房屋补偿）协议，并对协议补偿内容做好解释工作；</w:t>
      </w:r>
    </w:p>
    <w:p w14:paraId="398D2B86">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2.对于难以达成协议的疑似疑难户进行全面梳理，分析争议焦点，着重开展协商工作，并做好协商记录；</w:t>
      </w:r>
    </w:p>
    <w:p w14:paraId="54C3E920">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3.做好评估报告、通知等与房屋征收（征地房屋补偿）相关的文书材料送达工作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配合土地报征相关工作</w:t>
      </w:r>
      <w:r>
        <w:rPr>
          <w:rFonts w:hint="eastAsia" w:ascii="宋体" w:hAnsi="宋体" w:eastAsia="宋体" w:cs="宋体"/>
          <w:sz w:val="24"/>
          <w:szCs w:val="24"/>
          <w:highlight w:val="none"/>
        </w:rPr>
        <w:t>；</w:t>
      </w:r>
    </w:p>
    <w:p w14:paraId="16EFAE7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4.负责发放第一次临时安置费、搬迁费等费用，并开具票据；同时梳理临时安置费发放明细，并收集房屋所有人银行账户，供甲方日后统一交银行转账使用；</w:t>
      </w:r>
    </w:p>
    <w:p w14:paraId="6B4F93E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5.配合水电部门结清水费、电费；</w:t>
      </w:r>
    </w:p>
    <w:p w14:paraId="2CB52950">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6.签约期截止后，统计补偿安置基本情况</w:t>
      </w:r>
      <w:r>
        <w:rPr>
          <w:rFonts w:hint="eastAsia" w:ascii="宋体" w:hAnsi="宋体" w:eastAsia="宋体" w:cs="宋体"/>
          <w:sz w:val="24"/>
          <w:szCs w:val="24"/>
          <w:highlight w:val="none"/>
          <w:lang w:eastAsia="zh-CN"/>
        </w:rPr>
        <w:t>，对资金平衡进行初步测算；</w:t>
      </w:r>
    </w:p>
    <w:p w14:paraId="1A838687">
      <w:pPr>
        <w:wordWrap w:val="0"/>
        <w:spacing w:line="4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及时做好原房屋权属证书的注销</w:t>
      </w:r>
      <w:r>
        <w:rPr>
          <w:rFonts w:hint="eastAsia" w:ascii="宋体" w:hAnsi="宋体" w:eastAsia="宋体" w:cs="宋体"/>
          <w:sz w:val="24"/>
          <w:szCs w:val="24"/>
          <w:highlight w:val="none"/>
          <w:lang w:eastAsia="zh-CN"/>
        </w:rPr>
        <w:t>。</w:t>
      </w:r>
    </w:p>
    <w:p w14:paraId="6A81D420">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（三）后期认购安置阶段：</w:t>
      </w:r>
    </w:p>
    <w:p w14:paraId="6D91733C">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1.及时做好货币安置对象货币补偿结算工作，并统计数量；</w:t>
      </w:r>
    </w:p>
    <w:p w14:paraId="137CD2E8">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Times New Roman" w:eastAsia="宋体" w:cs="宋体"/>
          <w:sz w:val="24"/>
          <w:highlight w:val="none"/>
          <w:lang w:eastAsia="zh-CN"/>
        </w:rPr>
        <w:t>协助开具房票及房票结算；</w:t>
      </w:r>
    </w:p>
    <w:p w14:paraId="010BCE3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3.安置房结顶后，负责收缴第二期购房款，并开具票据；</w:t>
      </w:r>
    </w:p>
    <w:p w14:paraId="55D46B1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按户梳理协议安置面积，同时编排安置方案，参与安置方案联审小组会议；公布安置方案，明确安置房摸文认购时间、地点以及摸文认购流程等内容，向房屋所有人发放安置手册及相关图纸；组织召开安置房摸文认购大会，做好会务工作；</w:t>
      </w:r>
    </w:p>
    <w:p w14:paraId="26C67E6A">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5.负责对认购房源予以结算并开具票据，交付安置房钥匙</w:t>
      </w:r>
      <w:r>
        <w:rPr>
          <w:rFonts w:hint="eastAsia" w:ascii="宋体" w:cs="宋体"/>
          <w:color w:val="auto"/>
          <w:sz w:val="24"/>
          <w:highlight w:val="none"/>
          <w:lang w:eastAsia="zh-CN"/>
        </w:rPr>
        <w:t>，并根据最终安置情况对资金平衡进行重新测算</w:t>
      </w:r>
      <w:r>
        <w:rPr>
          <w:rFonts w:hint="eastAsia" w:ascii="宋体" w:hAnsi="宋体" w:eastAsia="宋体" w:cs="宋体"/>
          <w:sz w:val="24"/>
          <w:szCs w:val="24"/>
          <w:highlight w:val="none"/>
        </w:rPr>
        <w:t>。</w:t>
      </w:r>
    </w:p>
    <w:p w14:paraId="3C47A8DB">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（四）负责建立完整的房屋征收（征地房屋补偿）正、副档案（包括电子档案），并于每个阶段工作完成后将正档移交甲方验收保存。代理业务完成后，副档一并移交甲方保存。</w:t>
      </w:r>
    </w:p>
    <w:p w14:paraId="4069771F">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（五）负责完成甲方交办的与本项目征地房屋补偿和房屋征收工作相关的其他工作</w:t>
      </w:r>
      <w:r>
        <w:rPr>
          <w:rFonts w:hint="eastAsia" w:ascii="宋体" w:hAnsi="宋体" w:eastAsia="宋体" w:cs="宋体"/>
          <w:sz w:val="24"/>
          <w:szCs w:val="24"/>
          <w:highlight w:val="none"/>
          <w:lang w:eastAsia="zh-CN"/>
        </w:rPr>
        <w:t>。</w:t>
      </w:r>
    </w:p>
    <w:p w14:paraId="53FDAA2C">
      <w:pPr>
        <w:wordWrap w:val="0"/>
        <w:spacing w:line="460" w:lineRule="exact"/>
        <w:ind w:firstLine="56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8"/>
          <w:szCs w:val="28"/>
          <w:highlight w:val="none"/>
          <w:lang w:val="en-US" w:eastAsia="zh-CN"/>
        </w:rPr>
        <w:t>②</w:t>
      </w:r>
      <w:r>
        <w:rPr>
          <w:rFonts w:hint="eastAsia" w:ascii="宋体" w:hAnsi="宋体" w:eastAsia="宋体" w:cs="宋体"/>
          <w:b/>
          <w:bCs/>
          <w:sz w:val="28"/>
          <w:szCs w:val="28"/>
          <w:highlight w:val="none"/>
          <w:lang w:eastAsia="zh-CN"/>
        </w:rPr>
        <w:t>工业用房征收</w:t>
      </w:r>
      <w:r>
        <w:rPr>
          <w:rFonts w:hint="eastAsia" w:ascii="宋体" w:hAnsi="宋体" w:eastAsia="宋体" w:cs="宋体"/>
          <w:b/>
          <w:bCs/>
          <w:sz w:val="28"/>
          <w:szCs w:val="28"/>
          <w:highlight w:val="none"/>
          <w:lang w:val="en-US" w:eastAsia="zh-CN"/>
        </w:rPr>
        <w:t>要求：</w:t>
      </w:r>
    </w:p>
    <w:p w14:paraId="02E6A9B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按照房屋征收（征地房屋补偿）法定程序协助甲方完成</w:t>
      </w:r>
      <w:r>
        <w:rPr>
          <w:rFonts w:hint="eastAsia" w:ascii="宋体" w:hAnsi="宋体" w:eastAsia="宋体" w:cs="宋体"/>
          <w:sz w:val="24"/>
          <w:szCs w:val="24"/>
          <w:highlight w:val="none"/>
          <w:lang w:val="en-US" w:eastAsia="zh-CN"/>
        </w:rPr>
        <w:t>三个阶段（1.</w:t>
      </w:r>
      <w:r>
        <w:rPr>
          <w:rFonts w:hint="eastAsia" w:ascii="宋体" w:hAnsi="宋体" w:eastAsia="宋体" w:cs="宋体"/>
          <w:sz w:val="24"/>
          <w:szCs w:val="24"/>
          <w:highlight w:val="none"/>
        </w:rPr>
        <w:t>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中期协商签约</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权证注销</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后期档案整理结算阶段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相关工作，主要内容包括：</w:t>
      </w:r>
    </w:p>
    <w:p w14:paraId="76B073A8">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rPr>
        <w:t>：</w:t>
      </w:r>
    </w:p>
    <w:p w14:paraId="04930DF3">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负责入户调查所涉房屋及土地权属、房屋所有人的身份信息、共有产权人、抵押权人等利害关系人的调查等内容</w:t>
      </w:r>
      <w:r>
        <w:rPr>
          <w:rFonts w:hint="eastAsia" w:ascii="宋体" w:hAnsi="宋体" w:eastAsia="宋体" w:cs="宋体"/>
          <w:sz w:val="24"/>
          <w:szCs w:val="24"/>
          <w:highlight w:val="none"/>
        </w:rPr>
        <w:t>。收集房屋所有人工商登记基本资料、法定代表人身份证、房屋所有权证、土地使用权证、规划许可证、工商营业执照、组织机构代码证以及其它与房屋、土地相关资料复印件等，记录联系方式以及送达地址，并按户建立档案；</w:t>
      </w:r>
    </w:p>
    <w:p w14:paraId="7BABD2C0">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2.负责委托具备房产测绘资质的单位对所涉房屋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面积（包括道坦及实施单位指定的空地）进行测量，制作调查表和测量图卡，由2名以上具备房产测绘资质的测绘人员签字，并加盖测绘单位的公章；</w:t>
      </w:r>
    </w:p>
    <w:p w14:paraId="24E23E50">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3.负责对代理范围内房屋现状进行摄影、摄像，根据入户调查情况制作所涉房屋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工作图，汇总代理范围内所涉房屋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情况调查结果并在改造范围内进行公示；</w:t>
      </w:r>
    </w:p>
    <w:p w14:paraId="206DB8B9">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全程参与未经登记建筑年限初步审查工作，与甲方委托的勘测机构对接年限认定工作,收集整理未经登记建筑年限初审认定异议相关材料，提交区未经登记建筑认定领导小组办公室复审,并对涉嫌违法的建筑进行梳理，配合甲方协助区行政执法部门开展调查工作；</w:t>
      </w:r>
    </w:p>
    <w:p w14:paraId="7AB7DCB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5.负责具体组织选定房地产价格评估机构，由甲方委托公证机构现场公证，评估机构选定后，陪同房地产估价师入户勘查评估。</w:t>
      </w:r>
    </w:p>
    <w:p w14:paraId="121ED109">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cs="宋体"/>
          <w:sz w:val="24"/>
          <w:szCs w:val="24"/>
          <w:highlight w:val="none"/>
          <w:lang w:eastAsia="zh-CN"/>
        </w:rPr>
        <w:t>中期协商签约权证注销阶段</w:t>
      </w:r>
      <w:r>
        <w:rPr>
          <w:rFonts w:hint="eastAsia" w:ascii="宋体" w:hAnsi="宋体" w:eastAsia="宋体" w:cs="宋体"/>
          <w:sz w:val="24"/>
          <w:szCs w:val="24"/>
          <w:highlight w:val="none"/>
        </w:rPr>
        <w:t>：</w:t>
      </w:r>
    </w:p>
    <w:p w14:paraId="0ABD4CDD">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1.负责与房屋所有人签订房屋征收（征地房屋补偿）协议，并对协议补偿内容做好解释工作；</w:t>
      </w:r>
    </w:p>
    <w:p w14:paraId="61E0E1B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2.对于难以达成协议的疑似疑难户进行全面梳理，分析争议焦点，着重开展协商工作，并做好协商记录；</w:t>
      </w:r>
    </w:p>
    <w:p w14:paraId="4B40371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3.做好评估报告、通知等与房屋征收（征地房屋补偿）相关的文书材料送达工作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配合土地报征相关工作</w:t>
      </w:r>
      <w:r>
        <w:rPr>
          <w:rFonts w:hint="eastAsia" w:ascii="宋体" w:hAnsi="宋体" w:eastAsia="宋体" w:cs="宋体"/>
          <w:sz w:val="24"/>
          <w:szCs w:val="24"/>
          <w:highlight w:val="none"/>
        </w:rPr>
        <w:t>；</w:t>
      </w:r>
    </w:p>
    <w:p w14:paraId="3CF55DDC">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4.负责发放第一次临时安置费、搬迁费等费用，并开具票据；同时梳理临时安置费发放明细，并收集房屋所有人银行账户，供甲方日后统一交银行转账使用；</w:t>
      </w:r>
    </w:p>
    <w:p w14:paraId="22073EB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5.配合水电部门结清水费、电费；</w:t>
      </w:r>
    </w:p>
    <w:p w14:paraId="0CB20674">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6.签约期截止后，统计补偿安置基本情况</w:t>
      </w:r>
      <w:r>
        <w:rPr>
          <w:rFonts w:hint="eastAsia" w:ascii="宋体" w:hAnsi="宋体" w:eastAsia="宋体" w:cs="宋体"/>
          <w:sz w:val="24"/>
          <w:szCs w:val="24"/>
          <w:highlight w:val="none"/>
          <w:lang w:eastAsia="zh-CN"/>
        </w:rPr>
        <w:t>，对资金平衡进行初步测算；</w:t>
      </w:r>
    </w:p>
    <w:p w14:paraId="478113D7">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及时做好原房屋权属证书的注销</w:t>
      </w:r>
      <w:r>
        <w:rPr>
          <w:rFonts w:hint="eastAsia" w:ascii="宋体" w:hAnsi="宋体" w:eastAsia="宋体" w:cs="宋体"/>
          <w:sz w:val="24"/>
          <w:szCs w:val="24"/>
          <w:highlight w:val="none"/>
          <w:lang w:eastAsia="zh-CN"/>
        </w:rPr>
        <w:t>。</w:t>
      </w:r>
    </w:p>
    <w:p w14:paraId="336C810B">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后期档案整理</w:t>
      </w:r>
      <w:r>
        <w:rPr>
          <w:rFonts w:hint="eastAsia" w:ascii="宋体" w:hAnsi="宋体" w:cs="宋体"/>
          <w:sz w:val="24"/>
          <w:szCs w:val="24"/>
          <w:highlight w:val="none"/>
          <w:lang w:eastAsia="zh-CN"/>
        </w:rPr>
        <w:t>结算阶段</w:t>
      </w:r>
      <w:r>
        <w:rPr>
          <w:rFonts w:hint="eastAsia" w:ascii="宋体" w:hAnsi="宋体" w:eastAsia="宋体" w:cs="宋体"/>
          <w:sz w:val="24"/>
          <w:szCs w:val="24"/>
          <w:highlight w:val="none"/>
        </w:rPr>
        <w:t>：</w:t>
      </w:r>
    </w:p>
    <w:p w14:paraId="19EB2044">
      <w:pPr>
        <w:wordWrap w:val="0"/>
        <w:spacing w:line="46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及时做好货币安置对象货币补偿结算工作，并统计数量</w:t>
      </w:r>
      <w:r>
        <w:rPr>
          <w:rFonts w:hint="eastAsia" w:ascii="宋体" w:hAnsi="宋体" w:eastAsia="宋体" w:cs="宋体"/>
          <w:sz w:val="24"/>
          <w:szCs w:val="24"/>
          <w:highlight w:val="none"/>
          <w:lang w:eastAsia="zh-CN"/>
        </w:rPr>
        <w:t>；</w:t>
      </w:r>
    </w:p>
    <w:p w14:paraId="70ED1B7A">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.及时做好选择土地置换或者功能置换等安置方式的被征收人后续安置工作</w:t>
      </w:r>
      <w:r>
        <w:rPr>
          <w:rFonts w:hint="eastAsia" w:ascii="宋体" w:hAnsi="宋体" w:eastAsia="宋体" w:cs="宋体"/>
          <w:sz w:val="24"/>
          <w:szCs w:val="24"/>
          <w:highlight w:val="none"/>
          <w:lang w:eastAsia="zh-CN"/>
        </w:rPr>
        <w:t>；</w:t>
      </w:r>
    </w:p>
    <w:p w14:paraId="6352CD9D">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.负责按户梳理协议安置面积，同时编排安置方案；公布安置方案，协助完成安置工作等内容工作；</w:t>
      </w:r>
    </w:p>
    <w:p w14:paraId="1184067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.负责对选择土地置换和功能置换等安置方式进行结算并开具票据</w:t>
      </w:r>
      <w:r>
        <w:rPr>
          <w:rFonts w:hint="eastAsia" w:ascii="宋体" w:hAnsi="宋体" w:eastAsia="宋体" w:cs="宋体"/>
          <w:sz w:val="24"/>
          <w:szCs w:val="24"/>
          <w:highlight w:val="none"/>
          <w:lang w:eastAsia="zh-CN"/>
        </w:rPr>
        <w:t>，并根据最终安置情况对资金平衡进行重新测算</w:t>
      </w:r>
      <w:r>
        <w:rPr>
          <w:rFonts w:hint="eastAsia" w:ascii="宋体" w:hAnsi="宋体" w:eastAsia="宋体" w:cs="宋体"/>
          <w:sz w:val="24"/>
          <w:szCs w:val="24"/>
          <w:highlight w:val="none"/>
        </w:rPr>
        <w:t>。</w:t>
      </w:r>
    </w:p>
    <w:p w14:paraId="393BCB9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（四）负责建立完整的房屋征收（征地房屋补偿）正、副档案（包括电子档案），并于每个阶段工作完成后将正档移交甲方验收保存。代理业务完成后，副档一并移交甲方保存。</w:t>
      </w:r>
    </w:p>
    <w:p w14:paraId="286E260F">
      <w:pPr>
        <w:wordWrap w:val="0"/>
        <w:spacing w:line="460" w:lineRule="exact"/>
        <w:ind w:firstLine="480" w:firstLineChars="200"/>
        <w:rPr>
          <w:rFonts w:ascii="宋体" w:cs="宋体"/>
          <w:sz w:val="24"/>
          <w:highlight w:val="none"/>
        </w:rPr>
      </w:pPr>
      <w:r>
        <w:rPr>
          <w:rFonts w:hint="eastAsia" w:ascii="宋体" w:hAnsi="宋体" w:eastAsia="宋体" w:cs="宋体"/>
          <w:sz w:val="24"/>
          <w:szCs w:val="24"/>
          <w:highlight w:val="none"/>
        </w:rPr>
        <w:t>（五）负责完成甲方交办的与本项目征地房屋补偿和房屋征收工作相关的其他工作</w:t>
      </w:r>
      <w:r>
        <w:rPr>
          <w:rFonts w:hint="eastAsia" w:ascii="宋体" w:cs="宋体"/>
          <w:sz w:val="24"/>
          <w:highlight w:val="none"/>
        </w:rPr>
        <w:t>。</w:t>
      </w:r>
    </w:p>
    <w:p w14:paraId="4009044A">
      <w:pPr>
        <w:spacing w:line="460" w:lineRule="exact"/>
        <w:ind w:firstLine="480" w:firstLineChars="200"/>
        <w:rPr>
          <w:rFonts w:ascii="宋体" w:cs="宋体"/>
          <w:bCs/>
          <w:sz w:val="24"/>
          <w:highlight w:val="none"/>
        </w:rPr>
      </w:pPr>
      <w:r>
        <w:rPr>
          <w:rFonts w:hint="eastAsia" w:ascii="宋体" w:cs="宋体"/>
          <w:bCs/>
          <w:sz w:val="24"/>
          <w:highlight w:val="none"/>
        </w:rPr>
        <w:t>第三条  劳务服务人员编排</w:t>
      </w:r>
    </w:p>
    <w:p w14:paraId="44BFB33C">
      <w:pPr>
        <w:wordWrap w:val="0"/>
        <w:spacing w:line="460" w:lineRule="exact"/>
        <w:ind w:firstLine="480" w:firstLineChars="200"/>
        <w:rPr>
          <w:rFonts w:ascii="宋体" w:cs="宋体"/>
          <w:sz w:val="24"/>
          <w:highlight w:val="none"/>
        </w:rPr>
      </w:pPr>
      <w:r>
        <w:rPr>
          <w:rFonts w:hint="eastAsia" w:ascii="宋体" w:cs="宋体"/>
          <w:sz w:val="24"/>
          <w:highlight w:val="none"/>
        </w:rPr>
        <w:t>（一）乙方现场负责人为</w:t>
      </w:r>
      <w:r>
        <w:rPr>
          <w:rFonts w:hint="eastAsia" w:ascii="宋体" w:cs="宋体"/>
          <w:sz w:val="24"/>
          <w:highlight w:val="none"/>
          <w:u w:val="single"/>
        </w:rPr>
        <w:t xml:space="preserve">              </w:t>
      </w:r>
      <w:r>
        <w:rPr>
          <w:rFonts w:hint="eastAsia" w:ascii="宋体" w:cs="宋体"/>
          <w:sz w:val="24"/>
          <w:highlight w:val="none"/>
        </w:rPr>
        <w:t>，联系方式：</w:t>
      </w:r>
      <w:r>
        <w:rPr>
          <w:rFonts w:hint="eastAsia" w:ascii="宋体" w:cs="宋体"/>
          <w:sz w:val="24"/>
          <w:highlight w:val="none"/>
          <w:u w:val="single"/>
        </w:rPr>
        <w:t xml:space="preserve">                </w:t>
      </w:r>
      <w:r>
        <w:rPr>
          <w:rFonts w:hint="eastAsia" w:ascii="宋体" w:cs="宋体"/>
          <w:sz w:val="24"/>
          <w:highlight w:val="none"/>
        </w:rPr>
        <w:t xml:space="preserve">。    </w:t>
      </w:r>
    </w:p>
    <w:p w14:paraId="6CF49B66">
      <w:pPr>
        <w:wordWrap w:val="0"/>
        <w:spacing w:line="460" w:lineRule="exact"/>
        <w:ind w:firstLine="480" w:firstLineChars="200"/>
        <w:rPr>
          <w:rFonts w:ascii="宋体" w:cs="宋体"/>
          <w:sz w:val="24"/>
          <w:highlight w:val="none"/>
        </w:rPr>
      </w:pPr>
      <w:r>
        <w:rPr>
          <w:rFonts w:hint="eastAsia" w:ascii="宋体" w:cs="宋体"/>
          <w:sz w:val="24"/>
          <w:highlight w:val="none"/>
        </w:rPr>
        <w:t>（二）乙方配备从业人员名单如下：</w:t>
      </w:r>
    </w:p>
    <w:p w14:paraId="38C5347A">
      <w:pPr>
        <w:wordWrap w:val="0"/>
        <w:spacing w:line="460" w:lineRule="exact"/>
        <w:rPr>
          <w:rFonts w:ascii="宋体" w:cs="宋体"/>
          <w:sz w:val="24"/>
          <w:highlight w:val="none"/>
        </w:rPr>
      </w:pPr>
      <w:r>
        <w:rPr>
          <w:rFonts w:hint="eastAsia" w:ascii="宋体" w:cs="宋体"/>
          <w:sz w:val="24"/>
          <w:highlight w:val="none"/>
          <w:u w:val="single"/>
        </w:rPr>
        <w:t xml:space="preserve">                                                                                                                                                                                                       </w:t>
      </w:r>
      <w:r>
        <w:rPr>
          <w:rFonts w:hint="eastAsia" w:ascii="宋体" w:cs="宋体"/>
          <w:sz w:val="24"/>
          <w:highlight w:val="none"/>
          <w:u w:val="single"/>
          <w:lang w:eastAsia="zh-CN"/>
        </w:rPr>
        <w:t>（</w:t>
      </w:r>
      <w:r>
        <w:rPr>
          <w:rFonts w:hint="eastAsia" w:ascii="宋体" w:cs="宋体"/>
          <w:sz w:val="24"/>
          <w:highlight w:val="none"/>
          <w:u w:val="single"/>
          <w:lang w:val="en-US" w:eastAsia="zh-CN"/>
        </w:rPr>
        <w:t>后附营业执照、资质证书、相关人员工作证</w:t>
      </w:r>
      <w:r>
        <w:rPr>
          <w:rFonts w:hint="eastAsia" w:ascii="宋体" w:cs="宋体"/>
          <w:sz w:val="24"/>
          <w:highlight w:val="none"/>
          <w:u w:val="single"/>
          <w:lang w:eastAsia="zh-CN"/>
        </w:rPr>
        <w:t>）</w:t>
      </w:r>
      <w:r>
        <w:rPr>
          <w:rFonts w:hint="eastAsia" w:ascii="宋体" w:cs="宋体"/>
          <w:sz w:val="24"/>
          <w:highlight w:val="none"/>
        </w:rPr>
        <w:t>。</w:t>
      </w:r>
    </w:p>
    <w:p w14:paraId="52432AF5">
      <w:pPr>
        <w:wordWrap w:val="0"/>
        <w:spacing w:line="460" w:lineRule="exact"/>
        <w:ind w:firstLine="562"/>
        <w:rPr>
          <w:rFonts w:ascii="宋体" w:cs="宋体"/>
          <w:bCs/>
          <w:sz w:val="24"/>
          <w:highlight w:val="none"/>
        </w:rPr>
      </w:pPr>
      <w:r>
        <w:rPr>
          <w:rFonts w:hint="eastAsia" w:ascii="宋体" w:cs="宋体"/>
          <w:bCs/>
          <w:sz w:val="24"/>
          <w:highlight w:val="none"/>
        </w:rPr>
        <w:t>第四条  服务期限</w:t>
      </w:r>
    </w:p>
    <w:p w14:paraId="0968486D">
      <w:pPr>
        <w:wordWrap w:val="0"/>
        <w:spacing w:line="460" w:lineRule="exact"/>
        <w:ind w:firstLine="560"/>
        <w:rPr>
          <w:rFonts w:hint="eastAsia" w:ascii="宋体" w:cs="宋体"/>
          <w:sz w:val="24"/>
          <w:highlight w:val="none"/>
        </w:rPr>
      </w:pPr>
      <w:r>
        <w:rPr>
          <w:rFonts w:hint="eastAsia" w:ascii="宋体" w:hAnsi="宋体" w:cs="宋体"/>
          <w:color w:val="auto"/>
          <w:sz w:val="22"/>
          <w:szCs w:val="22"/>
          <w:highlight w:val="none"/>
        </w:rPr>
        <w:t>乙方应于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前完成前期入户调查；于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前完成中期协商签约；于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前完成后期认购安置</w:t>
      </w:r>
      <w:r>
        <w:rPr>
          <w:rFonts w:hint="eastAsia" w:ascii="宋体" w:hAnsi="宋体" w:cs="宋体"/>
          <w:color w:val="auto"/>
          <w:sz w:val="22"/>
          <w:szCs w:val="22"/>
          <w:highlight w:val="none"/>
          <w:lang w:val="en-US" w:eastAsia="zh-CN"/>
        </w:rPr>
        <w:t>（或</w:t>
      </w:r>
      <w:r>
        <w:rPr>
          <w:rFonts w:hint="eastAsia" w:ascii="宋体" w:hAnsi="宋体" w:cs="宋体"/>
          <w:color w:val="auto"/>
          <w:sz w:val="22"/>
          <w:szCs w:val="22"/>
          <w:highlight w:val="none"/>
          <w:lang w:eastAsia="zh-CN"/>
        </w:rPr>
        <w:t>后期档案整理结算</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w:t>
      </w:r>
    </w:p>
    <w:p w14:paraId="50923149">
      <w:pPr>
        <w:wordWrap w:val="0"/>
        <w:spacing w:line="460" w:lineRule="exact"/>
        <w:ind w:firstLine="562"/>
        <w:rPr>
          <w:rFonts w:ascii="宋体" w:cs="宋体"/>
          <w:bCs/>
          <w:sz w:val="24"/>
          <w:highlight w:val="none"/>
        </w:rPr>
      </w:pPr>
      <w:r>
        <w:rPr>
          <w:rFonts w:hint="eastAsia" w:ascii="宋体" w:cs="宋体"/>
          <w:bCs/>
          <w:sz w:val="24"/>
          <w:highlight w:val="none"/>
        </w:rPr>
        <w:t>第五条  劳务费用</w:t>
      </w:r>
    </w:p>
    <w:p w14:paraId="01887952">
      <w:pPr>
        <w:wordWrap w:val="0"/>
        <w:spacing w:line="460" w:lineRule="exact"/>
        <w:ind w:firstLine="480" w:firstLineChars="200"/>
        <w:rPr>
          <w:rFonts w:ascii="宋体" w:cs="宋体"/>
          <w:sz w:val="24"/>
          <w:highlight w:val="none"/>
        </w:rPr>
      </w:pPr>
      <w:r>
        <w:rPr>
          <w:rFonts w:hint="eastAsia" w:ascii="宋体" w:cs="宋体"/>
          <w:sz w:val="24"/>
          <w:highlight w:val="none"/>
        </w:rPr>
        <w:t>（一）计价方式：</w:t>
      </w:r>
    </w:p>
    <w:p w14:paraId="1A2759F5">
      <w:pPr>
        <w:wordWrap w:val="0"/>
        <w:spacing w:line="460" w:lineRule="exact"/>
        <w:ind w:firstLine="560"/>
        <w:rPr>
          <w:rFonts w:ascii="宋体" w:cs="宋体"/>
          <w:sz w:val="24"/>
          <w:highlight w:val="none"/>
        </w:rPr>
      </w:pPr>
      <w:r>
        <w:rPr>
          <w:rFonts w:hint="eastAsia" w:ascii="宋体" w:cs="宋体"/>
          <w:sz w:val="24"/>
          <w:highlight w:val="none"/>
          <w:lang w:val="en-US" w:eastAsia="zh-CN"/>
        </w:rPr>
        <w:t>本项目中标合同价为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val="en-US" w:eastAsia="zh-CN"/>
        </w:rPr>
        <w:t>元，</w:t>
      </w:r>
      <w:r>
        <w:rPr>
          <w:rFonts w:hint="eastAsia" w:ascii="宋体" w:cs="宋体"/>
          <w:sz w:val="24"/>
          <w:highlight w:val="none"/>
        </w:rPr>
        <w:t>实行固定单价包干计价方式，用于支付乙方人员工资、餐饮、交通、奖金、加班费、夜餐费、社会保险、委托测绘等一切与委托服务工作相关的开支费用。房地产价格评估、年限查证、公证办理费用由甲方承担。</w:t>
      </w:r>
    </w:p>
    <w:p w14:paraId="46AAD55C">
      <w:pPr>
        <w:wordWrap w:val="0"/>
        <w:spacing w:line="460" w:lineRule="exact"/>
        <w:ind w:firstLine="560"/>
        <w:rPr>
          <w:rFonts w:ascii="宋体" w:cs="宋体"/>
          <w:sz w:val="24"/>
          <w:highlight w:val="none"/>
        </w:rPr>
      </w:pPr>
      <w:r>
        <w:rPr>
          <w:rFonts w:hint="eastAsia" w:ascii="宋体" w:cs="宋体"/>
          <w:sz w:val="24"/>
          <w:highlight w:val="none"/>
        </w:rPr>
        <w:t>（二）计价标准：</w:t>
      </w:r>
    </w:p>
    <w:p w14:paraId="01782AE4">
      <w:pPr>
        <w:wordWrap w:val="0"/>
        <w:spacing w:line="460" w:lineRule="exact"/>
        <w:ind w:firstLine="56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（签订合同时根据标项的实际情况选择①②计价标准）</w:t>
      </w:r>
    </w:p>
    <w:p w14:paraId="7B5C404E">
      <w:pPr>
        <w:autoSpaceDE w:val="0"/>
        <w:autoSpaceDN w:val="0"/>
        <w:adjustRightInd w:val="0"/>
        <w:snapToGrid w:val="0"/>
        <w:spacing w:line="440" w:lineRule="atLeast"/>
        <w:ind w:firstLine="489" w:firstLineChars="203"/>
        <w:textAlignment w:val="bottom"/>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lang w:val="en-US" w:eastAsia="zh-CN"/>
        </w:rPr>
        <w:t>①</w:t>
      </w:r>
      <w:r>
        <w:rPr>
          <w:rFonts w:hint="eastAsia" w:ascii="宋体" w:hAnsi="宋体" w:eastAsia="宋体" w:cs="宋体"/>
          <w:b/>
          <w:bCs w:val="0"/>
          <w:sz w:val="24"/>
          <w:szCs w:val="24"/>
          <w:highlight w:val="none"/>
        </w:rPr>
        <w:t>住宅</w:t>
      </w:r>
      <w:r>
        <w:rPr>
          <w:rFonts w:hint="eastAsia" w:ascii="宋体" w:hAnsi="宋体" w:cs="宋体"/>
          <w:b/>
          <w:bCs w:val="0"/>
          <w:sz w:val="24"/>
          <w:szCs w:val="24"/>
          <w:highlight w:val="none"/>
          <w:lang w:val="en-US" w:eastAsia="zh-CN"/>
        </w:rPr>
        <w:t>用房</w:t>
      </w:r>
      <w:r>
        <w:rPr>
          <w:rFonts w:hint="eastAsia" w:ascii="宋体" w:hAnsi="宋体" w:eastAsia="宋体" w:cs="宋体"/>
          <w:b/>
          <w:bCs w:val="0"/>
          <w:sz w:val="24"/>
          <w:szCs w:val="24"/>
          <w:highlight w:val="none"/>
        </w:rPr>
        <w:t>服务购买费用根据不同阶段按以下标准按实计价</w:t>
      </w:r>
      <w:r>
        <w:rPr>
          <w:rFonts w:hint="eastAsia" w:ascii="宋体" w:hAnsi="宋体" w:eastAsia="宋体" w:cs="宋体"/>
          <w:bCs/>
          <w:sz w:val="24"/>
          <w:szCs w:val="24"/>
          <w:highlight w:val="none"/>
        </w:rPr>
        <w:t>：</w:t>
      </w:r>
    </w:p>
    <w:p w14:paraId="3E935578">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（一）前期入户调查阶段。根据代理服务项目所涉房屋总建筑面积（棚、道坦与空地除外）计算，计价标准为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元/平方米；涉及棚与道坦按实际面积计算，计价标准为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p>
    <w:p w14:paraId="42C6B863">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w:t>
      </w:r>
      <w:r>
        <w:rPr>
          <w:rFonts w:hint="eastAsia" w:ascii="宋体" w:hAnsi="宋体" w:cs="宋体"/>
          <w:bCs/>
          <w:sz w:val="24"/>
          <w:szCs w:val="24"/>
          <w:highlight w:val="none"/>
          <w:lang w:eastAsia="zh-CN"/>
        </w:rPr>
        <w:t>中期协商签约权证注销阶段</w:t>
      </w:r>
      <w:r>
        <w:rPr>
          <w:rFonts w:hint="eastAsia" w:ascii="宋体" w:hAnsi="宋体" w:eastAsia="宋体" w:cs="宋体"/>
          <w:bCs/>
          <w:sz w:val="24"/>
          <w:szCs w:val="24"/>
          <w:highlight w:val="none"/>
        </w:rPr>
        <w:t>。根据代理服务项目所涉房屋总建筑面积（棚、道坦与空地除外）计算，计价标准为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p>
    <w:p w14:paraId="10A0CCCE">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w:t>
      </w:r>
      <w:r>
        <w:rPr>
          <w:rFonts w:hint="eastAsia" w:ascii="宋体" w:hAnsi="宋体" w:cs="宋体"/>
          <w:bCs/>
          <w:sz w:val="24"/>
          <w:szCs w:val="24"/>
          <w:highlight w:val="none"/>
          <w:lang w:eastAsia="zh-CN"/>
        </w:rPr>
        <w:t>后期认购安置阶段</w:t>
      </w:r>
      <w:r>
        <w:rPr>
          <w:rFonts w:hint="eastAsia" w:ascii="宋体" w:hAnsi="宋体" w:eastAsia="宋体" w:cs="宋体"/>
          <w:bCs/>
          <w:sz w:val="24"/>
          <w:szCs w:val="24"/>
          <w:highlight w:val="none"/>
        </w:rPr>
        <w:t>。住宅用房货币补偿的根据协议补偿房屋建筑面积（含一翻三）计算，计价标准为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r>
        <w:rPr>
          <w:rFonts w:hint="eastAsia" w:ascii="宋体" w:hAnsi="宋体" w:eastAsia="宋体" w:cs="宋体"/>
          <w:bCs/>
          <w:sz w:val="24"/>
          <w:szCs w:val="24"/>
          <w:highlight w:val="none"/>
          <w:lang w:eastAsia="zh-CN"/>
        </w:rPr>
        <w:t>实行</w:t>
      </w:r>
      <w:r>
        <w:rPr>
          <w:rFonts w:hint="eastAsia" w:ascii="宋体" w:hAnsi="宋体" w:eastAsia="宋体" w:cs="宋体"/>
          <w:bCs/>
          <w:sz w:val="24"/>
          <w:szCs w:val="24"/>
          <w:highlight w:val="none"/>
        </w:rPr>
        <w:t>房票安置</w:t>
      </w:r>
      <w:r>
        <w:rPr>
          <w:rFonts w:hint="eastAsia" w:ascii="宋体" w:hAnsi="宋体" w:eastAsia="宋体" w:cs="宋体"/>
          <w:bCs/>
          <w:sz w:val="24"/>
          <w:szCs w:val="24"/>
          <w:highlight w:val="none"/>
          <w:lang w:val="en-US" w:eastAsia="zh-CN"/>
        </w:rPr>
        <w:t>的根据</w:t>
      </w:r>
      <w:r>
        <w:rPr>
          <w:rFonts w:hint="eastAsia" w:ascii="宋体" w:hAnsi="宋体" w:eastAsia="宋体" w:cs="宋体"/>
          <w:bCs/>
          <w:sz w:val="24"/>
          <w:szCs w:val="24"/>
          <w:highlight w:val="none"/>
        </w:rPr>
        <w:t>房票安置</w:t>
      </w:r>
      <w:r>
        <w:rPr>
          <w:rFonts w:hint="eastAsia" w:ascii="宋体" w:hAnsi="宋体" w:eastAsia="宋体" w:cs="宋体"/>
          <w:bCs/>
          <w:sz w:val="24"/>
          <w:szCs w:val="24"/>
          <w:highlight w:val="none"/>
          <w:lang w:val="en-US" w:eastAsia="zh-CN"/>
        </w:rPr>
        <w:t>建筑面积计算，</w:t>
      </w:r>
      <w:r>
        <w:rPr>
          <w:rFonts w:hint="eastAsia" w:ascii="宋体" w:hAnsi="宋体" w:eastAsia="宋体" w:cs="宋体"/>
          <w:bCs/>
          <w:sz w:val="24"/>
          <w:szCs w:val="24"/>
          <w:highlight w:val="none"/>
        </w:rPr>
        <w:t>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产权调换的根据协议安置建筑总面积（公摊率按25%计算，套型差及户增除外）计算，计价标准</w:t>
      </w:r>
      <w:r>
        <w:rPr>
          <w:rFonts w:hint="eastAsia" w:ascii="宋体" w:hAnsi="宋体" w:cs="宋体"/>
          <w:bCs/>
          <w:sz w:val="24"/>
          <w:szCs w:val="24"/>
          <w:highlight w:val="none"/>
          <w:lang w:val="en-US" w:eastAsia="zh-CN"/>
        </w:rPr>
        <w:t>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p>
    <w:p w14:paraId="5E29A986">
      <w:pPr>
        <w:spacing w:line="440" w:lineRule="exact"/>
        <w:ind w:firstLine="489" w:firstLineChars="203"/>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lang w:val="en-US" w:eastAsia="zh-CN"/>
        </w:rPr>
        <w:t>②</w:t>
      </w:r>
      <w:r>
        <w:rPr>
          <w:rFonts w:hint="eastAsia" w:ascii="宋体" w:hAnsi="宋体" w:eastAsia="宋体" w:cs="宋体"/>
          <w:b/>
          <w:bCs w:val="0"/>
          <w:sz w:val="24"/>
          <w:szCs w:val="24"/>
          <w:highlight w:val="none"/>
        </w:rPr>
        <w:t>工业</w:t>
      </w:r>
      <w:r>
        <w:rPr>
          <w:rFonts w:hint="eastAsia" w:ascii="宋体" w:hAnsi="宋体" w:cs="宋体"/>
          <w:b/>
          <w:bCs w:val="0"/>
          <w:sz w:val="24"/>
          <w:szCs w:val="24"/>
          <w:highlight w:val="none"/>
          <w:lang w:val="en-US" w:eastAsia="zh-CN"/>
        </w:rPr>
        <w:t>用房</w:t>
      </w:r>
      <w:r>
        <w:rPr>
          <w:rFonts w:hint="eastAsia" w:ascii="宋体" w:hAnsi="宋体" w:eastAsia="宋体" w:cs="宋体"/>
          <w:b/>
          <w:bCs w:val="0"/>
          <w:sz w:val="24"/>
          <w:szCs w:val="24"/>
          <w:highlight w:val="none"/>
        </w:rPr>
        <w:t>服务购买费用根据不同阶段按以下标准按实计价：</w:t>
      </w:r>
      <w:r>
        <w:rPr>
          <w:rFonts w:hint="eastAsia" w:ascii="宋体" w:hAnsi="宋体" w:eastAsia="宋体" w:cs="宋体"/>
          <w:bCs/>
          <w:sz w:val="24"/>
          <w:szCs w:val="24"/>
          <w:highlight w:val="none"/>
        </w:rPr>
        <w:t>　　</w:t>
      </w:r>
    </w:p>
    <w:p w14:paraId="086505B7">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（一）前期入户调查阶段。根据代理服务项目所涉房屋总建筑面积（棚、道坦与空地除外）计算，计价标准为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p>
    <w:p w14:paraId="40CBBC63">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w:t>
      </w:r>
      <w:r>
        <w:rPr>
          <w:rFonts w:hint="eastAsia" w:ascii="宋体" w:hAnsi="宋体" w:cs="宋体"/>
          <w:bCs/>
          <w:sz w:val="24"/>
          <w:szCs w:val="24"/>
          <w:highlight w:val="none"/>
          <w:lang w:eastAsia="zh-CN"/>
        </w:rPr>
        <w:t>中期协商签约权证注销阶段</w:t>
      </w:r>
      <w:r>
        <w:rPr>
          <w:rFonts w:hint="eastAsia" w:ascii="宋体" w:hAnsi="宋体" w:eastAsia="宋体" w:cs="宋体"/>
          <w:bCs/>
          <w:sz w:val="24"/>
          <w:szCs w:val="24"/>
          <w:highlight w:val="none"/>
        </w:rPr>
        <w:t>。根据代理服务项目所涉房屋总建筑面积（棚、道坦与空地除外）计算，计价标准为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p>
    <w:p w14:paraId="33A2FCBE">
      <w:pPr>
        <w:autoSpaceDE w:val="0"/>
        <w:autoSpaceDN w:val="0"/>
        <w:adjustRightInd w:val="0"/>
        <w:snapToGrid w:val="0"/>
        <w:spacing w:line="440" w:lineRule="atLeast"/>
        <w:ind w:firstLine="487" w:firstLineChars="203"/>
        <w:textAlignment w:val="bottom"/>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（三）</w:t>
      </w:r>
      <w:r>
        <w:rPr>
          <w:rFonts w:hint="eastAsia" w:ascii="宋体" w:hAnsi="宋体" w:cs="宋体"/>
          <w:bCs/>
          <w:sz w:val="24"/>
          <w:szCs w:val="24"/>
          <w:highlight w:val="none"/>
          <w:lang w:eastAsia="zh-CN"/>
        </w:rPr>
        <w:t>后期档案整理结算阶段</w:t>
      </w:r>
      <w:r>
        <w:rPr>
          <w:rFonts w:hint="eastAsia" w:ascii="宋体" w:hAnsi="宋体" w:eastAsia="宋体" w:cs="宋体"/>
          <w:bCs/>
          <w:sz w:val="24"/>
          <w:szCs w:val="24"/>
          <w:highlight w:val="none"/>
        </w:rPr>
        <w:t>。工业用房按项目所涉房屋总建筑面积（棚、道坦与空地除外）计算，计价标准为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r>
        <w:rPr>
          <w:rFonts w:hint="eastAsia" w:ascii="宋体" w:hAnsi="宋体" w:cs="宋体"/>
          <w:bCs/>
          <w:sz w:val="24"/>
          <w:szCs w:val="24"/>
          <w:highlight w:val="none"/>
          <w:lang w:val="en-US" w:eastAsia="zh-CN"/>
        </w:rPr>
        <w:t>。</w:t>
      </w:r>
    </w:p>
    <w:p w14:paraId="5327E263">
      <w:pPr>
        <w:wordWrap w:val="0"/>
        <w:spacing w:line="460" w:lineRule="exact"/>
        <w:ind w:firstLine="480" w:firstLineChars="200"/>
        <w:rPr>
          <w:rFonts w:ascii="宋体" w:cs="宋体"/>
          <w:sz w:val="24"/>
          <w:highlight w:val="none"/>
        </w:rPr>
      </w:pPr>
      <w:r>
        <w:rPr>
          <w:rFonts w:hint="eastAsia" w:ascii="宋体" w:cs="宋体"/>
          <w:sz w:val="24"/>
          <w:highlight w:val="none"/>
        </w:rPr>
        <w:t>（三）支付方式：</w:t>
      </w:r>
    </w:p>
    <w:p w14:paraId="6A57B97E">
      <w:pPr>
        <w:wordWrap w:val="0"/>
        <w:spacing w:line="460" w:lineRule="exact"/>
        <w:ind w:firstLine="482" w:firstLineChars="200"/>
        <w:rPr>
          <w:rFonts w:hint="eastAsia" w:ascii="宋体" w:cs="宋体"/>
          <w:sz w:val="22"/>
          <w:szCs w:val="22"/>
          <w:highlight w:val="none"/>
          <w:lang w:eastAsia="zh-CN"/>
        </w:rPr>
      </w:pPr>
      <w:r>
        <w:rPr>
          <w:rFonts w:hint="eastAsia" w:ascii="宋体" w:hAnsi="宋体" w:cs="宋体"/>
          <w:b/>
          <w:bCs/>
          <w:sz w:val="24"/>
          <w:szCs w:val="24"/>
          <w:highlight w:val="none"/>
          <w:lang w:val="en-US" w:eastAsia="zh-CN"/>
        </w:rPr>
        <w:t>（签订合同时根据标项的实际情况选择①②支付方式）</w:t>
      </w:r>
    </w:p>
    <w:p w14:paraId="60777996">
      <w:pPr>
        <w:wordWrap w:val="0"/>
        <w:spacing w:line="460" w:lineRule="exact"/>
        <w:ind w:firstLine="482" w:firstLineChars="20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①住宅用房服务购买费用支付方式：</w:t>
      </w:r>
    </w:p>
    <w:p w14:paraId="398D64CB">
      <w:pPr>
        <w:wordWrap w:val="0"/>
        <w:spacing w:line="460" w:lineRule="exact"/>
        <w:ind w:firstLine="480" w:firstLineChars="200"/>
        <w:rPr>
          <w:rFonts w:hint="default" w:ascii="宋体" w:eastAsia="宋体" w:cs="宋体"/>
          <w:sz w:val="22"/>
          <w:szCs w:val="22"/>
          <w:highlight w:val="none"/>
          <w:lang w:val="en-US" w:eastAsia="zh-CN"/>
        </w:rPr>
      </w:pPr>
      <w:r>
        <w:rPr>
          <w:rFonts w:hint="eastAsia" w:ascii="宋体" w:hAnsi="宋体" w:cs="宋体"/>
          <w:bCs/>
          <w:sz w:val="24"/>
          <w:szCs w:val="24"/>
          <w:highlight w:val="none"/>
          <w:lang w:val="en-US" w:eastAsia="zh-CN"/>
        </w:rPr>
        <w:t>前期入户调查阶段</w:t>
      </w:r>
      <w:r>
        <w:rPr>
          <w:rFonts w:hint="eastAsia" w:ascii="宋体" w:cs="宋体"/>
          <w:sz w:val="24"/>
          <w:szCs w:val="24"/>
          <w:highlight w:val="none"/>
        </w:rPr>
        <w:t>：</w:t>
      </w:r>
      <w:r>
        <w:rPr>
          <w:rFonts w:hint="eastAsia" w:ascii="宋体" w:hAnsi="Times New Roman" w:eastAsia="宋体" w:cs="宋体"/>
          <w:sz w:val="24"/>
          <w:szCs w:val="24"/>
          <w:highlight w:val="none"/>
        </w:rPr>
        <w:t>合同生效并具备实施条件之</w:t>
      </w:r>
      <w:r>
        <w:rPr>
          <w:rFonts w:hint="eastAsia" w:ascii="宋体" w:cs="宋体"/>
          <w:sz w:val="24"/>
          <w:szCs w:val="24"/>
          <w:highlight w:val="none"/>
        </w:rPr>
        <w:t>日起</w:t>
      </w:r>
      <w:r>
        <w:rPr>
          <w:rFonts w:hint="eastAsia" w:ascii="宋体" w:cs="宋体"/>
          <w:sz w:val="24"/>
          <w:szCs w:val="24"/>
          <w:highlight w:val="none"/>
          <w:lang w:val="en-US" w:eastAsia="zh-CN"/>
        </w:rPr>
        <w:t>7个工作</w:t>
      </w:r>
      <w:r>
        <w:rPr>
          <w:rFonts w:hint="eastAsia" w:ascii="宋体" w:cs="宋体"/>
          <w:sz w:val="24"/>
          <w:szCs w:val="24"/>
          <w:highlight w:val="none"/>
        </w:rPr>
        <w:t>日内，甲方按</w:t>
      </w:r>
      <w:r>
        <w:rPr>
          <w:rFonts w:hint="eastAsia" w:ascii="宋体" w:cs="宋体"/>
          <w:sz w:val="24"/>
          <w:szCs w:val="24"/>
          <w:highlight w:val="none"/>
          <w:lang w:val="en-US" w:eastAsia="zh-CN"/>
        </w:rPr>
        <w:t>暂定金额（</w:t>
      </w:r>
      <w:r>
        <w:rPr>
          <w:rFonts w:hint="eastAsia" w:ascii="宋体" w:cs="宋体"/>
          <w:sz w:val="24"/>
          <w:szCs w:val="24"/>
          <w:highlight w:val="none"/>
        </w:rPr>
        <w:t>暂定建筑面积</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cs="宋体"/>
          <w:sz w:val="24"/>
          <w:szCs w:val="24"/>
          <w:highlight w:val="none"/>
          <w:lang w:val="en-US" w:eastAsia="zh-CN"/>
        </w:rPr>
        <w:t>）</w:t>
      </w:r>
      <w:r>
        <w:rPr>
          <w:rFonts w:hint="eastAsia" w:ascii="宋体" w:cs="宋体"/>
          <w:sz w:val="24"/>
          <w:szCs w:val="24"/>
          <w:highlight w:val="none"/>
        </w:rPr>
        <w:t>的20%支付</w:t>
      </w:r>
      <w:r>
        <w:rPr>
          <w:rFonts w:hint="eastAsia" w:ascii="宋体" w:hAnsi="Times New Roman" w:eastAsia="宋体" w:cs="宋体"/>
          <w:sz w:val="24"/>
          <w:szCs w:val="24"/>
          <w:highlight w:val="none"/>
        </w:rPr>
        <w:t>该阶段第</w:t>
      </w:r>
      <w:r>
        <w:rPr>
          <w:rFonts w:hint="eastAsia" w:ascii="宋体" w:hAnsi="Times New Roman" w:eastAsia="宋体" w:cs="宋体"/>
          <w:sz w:val="24"/>
          <w:szCs w:val="24"/>
          <w:highlight w:val="none"/>
          <w:lang w:val="en-US" w:eastAsia="zh-CN"/>
        </w:rPr>
        <w:t>一</w:t>
      </w:r>
      <w:r>
        <w:rPr>
          <w:rFonts w:hint="eastAsia" w:ascii="宋体" w:hAnsi="Times New Roman" w:eastAsia="宋体" w:cs="宋体"/>
          <w:sz w:val="24"/>
          <w:szCs w:val="24"/>
          <w:highlight w:val="none"/>
        </w:rPr>
        <w:t>期劳务费；乙方基本完成入户调查（原则上达95%），经甲方检查合格后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内，甲方按所涉房屋实际测量总建筑面积</w:t>
      </w:r>
      <w:r>
        <w:rPr>
          <w:rFonts w:hint="eastAsia" w:ascii="宋体" w:hAnsi="Times New Roman" w:eastAsia="宋体" w:cs="宋体"/>
          <w:sz w:val="24"/>
          <w:szCs w:val="24"/>
          <w:highlight w:val="none"/>
          <w:lang w:val="en-US" w:eastAsia="zh-CN"/>
        </w:rPr>
        <w:t>（棚、道坦与空地除外）</w:t>
      </w:r>
      <w:r>
        <w:rPr>
          <w:rFonts w:hint="eastAsia" w:ascii="宋体" w:hAnsi="Times New Roman" w:eastAsia="宋体" w:cs="宋体"/>
          <w:sz w:val="24"/>
          <w:szCs w:val="24"/>
          <w:highlight w:val="none"/>
        </w:rPr>
        <w:t>*该阶段中标单价的50%支付该阶段第二期劳务费</w:t>
      </w:r>
      <w:r>
        <w:rPr>
          <w:rFonts w:hint="eastAsia" w:ascii="宋体" w:hAnsi="Times New Roman" w:eastAsia="宋体" w:cs="宋体"/>
          <w:sz w:val="24"/>
          <w:szCs w:val="24"/>
          <w:highlight w:val="none"/>
          <w:lang w:eastAsia="zh-CN"/>
        </w:rPr>
        <w:t>；</w:t>
      </w:r>
      <w:r>
        <w:rPr>
          <w:rFonts w:hint="eastAsia" w:ascii="宋体" w:hAnsi="Times New Roman" w:eastAsia="宋体" w:cs="宋体"/>
          <w:sz w:val="24"/>
          <w:szCs w:val="24"/>
          <w:highlight w:val="none"/>
        </w:rPr>
        <w:t>前期工作全部完成，经甲方检查合格后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内，根据所涉房屋实际建筑面积</w:t>
      </w:r>
      <w:r>
        <w:rPr>
          <w:rFonts w:hint="eastAsia" w:ascii="宋体" w:hAnsi="Times New Roman" w:eastAsia="宋体" w:cs="宋体"/>
          <w:sz w:val="24"/>
          <w:szCs w:val="24"/>
          <w:highlight w:val="none"/>
          <w:lang w:val="en-US" w:eastAsia="zh-CN"/>
        </w:rPr>
        <w:t>（棚、道坦与空地除外）</w:t>
      </w:r>
      <w:r>
        <w:rPr>
          <w:rFonts w:hint="eastAsia" w:ascii="宋体" w:hAnsi="Times New Roman" w:eastAsia="宋体" w:cs="宋体"/>
          <w:sz w:val="24"/>
          <w:szCs w:val="24"/>
          <w:highlight w:val="none"/>
        </w:rPr>
        <w:t>结清尾款</w:t>
      </w:r>
      <w:r>
        <w:rPr>
          <w:rFonts w:hint="eastAsia" w:ascii="宋体" w:hAnsi="Times New Roman" w:eastAsia="宋体" w:cs="宋体"/>
          <w:sz w:val="24"/>
          <w:szCs w:val="24"/>
          <w:highlight w:val="none"/>
          <w:lang w:val="en-US" w:eastAsia="zh-CN"/>
        </w:rPr>
        <w:t>。</w:t>
      </w:r>
    </w:p>
    <w:p w14:paraId="433173ED">
      <w:pPr>
        <w:wordWrap w:val="0"/>
        <w:spacing w:line="460" w:lineRule="exact"/>
        <w:ind w:firstLine="480" w:firstLineChars="200"/>
        <w:rPr>
          <w:rFonts w:hint="eastAsia" w:ascii="宋体" w:eastAsia="宋体" w:cs="宋体"/>
          <w:sz w:val="22"/>
          <w:szCs w:val="22"/>
          <w:highlight w:val="none"/>
          <w:lang w:val="en-US" w:eastAsia="zh-CN"/>
        </w:rPr>
      </w:pPr>
      <w:r>
        <w:rPr>
          <w:rFonts w:hint="eastAsia" w:ascii="宋体" w:hAnsi="宋体" w:cs="宋体"/>
          <w:bCs/>
          <w:sz w:val="24"/>
          <w:szCs w:val="24"/>
          <w:highlight w:val="none"/>
          <w:lang w:val="en-US" w:eastAsia="zh-CN"/>
        </w:rPr>
        <w:t>中期协商签约权证注销阶段</w:t>
      </w:r>
      <w:r>
        <w:rPr>
          <w:rFonts w:hint="eastAsia" w:ascii="宋体" w:hAnsi="宋体" w:eastAsia="宋体" w:cs="宋体"/>
          <w:bCs/>
          <w:sz w:val="24"/>
          <w:szCs w:val="24"/>
          <w:highlight w:val="none"/>
          <w:lang w:val="en-US" w:eastAsia="zh-CN"/>
        </w:rPr>
        <w:t>：协议签约启动</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内，甲方按</w:t>
      </w:r>
      <w:r>
        <w:rPr>
          <w:rFonts w:hint="eastAsia" w:ascii="宋体" w:cs="宋体"/>
          <w:sz w:val="24"/>
          <w:szCs w:val="24"/>
          <w:highlight w:val="none"/>
          <w:lang w:val="en-US" w:eastAsia="zh-CN"/>
        </w:rPr>
        <w:t>暂定金额（</w:t>
      </w:r>
      <w:r>
        <w:rPr>
          <w:rFonts w:hint="eastAsia" w:ascii="宋体" w:cs="宋体"/>
          <w:sz w:val="24"/>
          <w:szCs w:val="24"/>
          <w:highlight w:val="none"/>
        </w:rPr>
        <w:t>暂定建筑面积</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cs="宋体"/>
          <w:sz w:val="24"/>
          <w:szCs w:val="24"/>
          <w:highlight w:val="none"/>
          <w:lang w:val="en-US" w:eastAsia="zh-CN"/>
        </w:rPr>
        <w:t>）</w:t>
      </w:r>
      <w:r>
        <w:rPr>
          <w:rFonts w:hint="eastAsia" w:ascii="宋体" w:hAnsi="宋体" w:eastAsia="宋体" w:cs="宋体"/>
          <w:bCs/>
          <w:sz w:val="24"/>
          <w:szCs w:val="24"/>
          <w:highlight w:val="none"/>
          <w:lang w:val="en-US" w:eastAsia="zh-CN"/>
        </w:rPr>
        <w:t>的20%支付该阶段第一期劳务费；签约期限届满同时完成权证注销，经甲方检查合格后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内，甲方按所涉房屋实际测量总建筑面积(棚、道坦与空地除外)</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hAnsi="宋体" w:eastAsia="宋体" w:cs="宋体"/>
          <w:bCs/>
          <w:sz w:val="24"/>
          <w:szCs w:val="24"/>
          <w:highlight w:val="none"/>
          <w:lang w:val="en-US" w:eastAsia="zh-CN"/>
        </w:rPr>
        <w:t>的50%支付该阶段的第二期劳务费；乙方按要求全部完成本项目的补偿协议签订，</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宋体" w:eastAsia="宋体" w:cs="宋体"/>
          <w:bCs/>
          <w:sz w:val="24"/>
          <w:szCs w:val="24"/>
          <w:highlight w:val="none"/>
          <w:lang w:val="en-US" w:eastAsia="zh-CN"/>
        </w:rPr>
        <w:t>，根据所涉房屋实际建筑面积(棚、道坦与空地除外)结清尾款。</w:t>
      </w:r>
    </w:p>
    <w:p w14:paraId="1BFBCFE0">
      <w:pPr>
        <w:wordWrap w:val="0"/>
        <w:spacing w:line="460" w:lineRule="exact"/>
        <w:ind w:firstLine="480" w:firstLineChars="200"/>
        <w:rPr>
          <w:rFonts w:hint="eastAsia" w:ascii="宋体" w:hAnsi="宋体" w:cs="宋体"/>
          <w:b/>
          <w:bCs w:val="0"/>
          <w:sz w:val="24"/>
          <w:szCs w:val="24"/>
          <w:highlight w:val="none"/>
          <w:lang w:val="en-US" w:eastAsia="zh-CN"/>
        </w:rPr>
      </w:pPr>
      <w:r>
        <w:rPr>
          <w:rFonts w:hint="eastAsia" w:ascii="宋体" w:hAnsi="宋体" w:cs="宋体"/>
          <w:bCs/>
          <w:sz w:val="24"/>
          <w:szCs w:val="24"/>
          <w:highlight w:val="none"/>
          <w:lang w:val="en-US" w:eastAsia="zh-CN"/>
        </w:rPr>
        <w:t>后期认购安置阶段</w:t>
      </w:r>
      <w:r>
        <w:rPr>
          <w:rFonts w:hint="eastAsia" w:ascii="宋体" w:hAnsi="宋体" w:eastAsia="宋体" w:cs="宋体"/>
          <w:bCs/>
          <w:sz w:val="24"/>
          <w:szCs w:val="24"/>
          <w:highlight w:val="none"/>
          <w:lang w:val="en-US" w:eastAsia="zh-CN"/>
        </w:rPr>
        <w:t>：货币补偿的，完成货币安置对象货币补偿结算结清，</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宋体" w:eastAsia="宋体" w:cs="宋体"/>
          <w:bCs/>
          <w:sz w:val="24"/>
          <w:szCs w:val="24"/>
          <w:highlight w:val="none"/>
          <w:lang w:val="en-US" w:eastAsia="zh-CN"/>
        </w:rPr>
        <w:t>，根据协议补偿房屋建筑面积（含“一翻三”空翻面积）支付货币补偿的劳务费；房票安置的，完成房票安置结算，</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内，结清房票安置的劳务费；产权调换的，安置方案编排工作启动</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内，甲方根据协议安置建筑总面积（公摊率按25%计算，套型差、户增除外）</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hAnsi="宋体" w:eastAsia="宋体" w:cs="宋体"/>
          <w:bCs/>
          <w:sz w:val="24"/>
          <w:szCs w:val="24"/>
          <w:highlight w:val="none"/>
          <w:lang w:val="en-US" w:eastAsia="zh-CN"/>
        </w:rPr>
        <w:t>的20%支付该阶段第一期劳务费；摸文认购基本完成（原则上达95%），</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Times New Roman" w:eastAsia="宋体" w:cs="宋体"/>
          <w:sz w:val="24"/>
          <w:szCs w:val="24"/>
          <w:highlight w:val="none"/>
          <w:lang w:eastAsia="zh-CN"/>
        </w:rPr>
        <w:t>，</w:t>
      </w:r>
      <w:r>
        <w:rPr>
          <w:rFonts w:hint="eastAsia" w:ascii="宋体" w:hAnsi="宋体" w:eastAsia="宋体" w:cs="宋体"/>
          <w:bCs/>
          <w:sz w:val="24"/>
          <w:szCs w:val="24"/>
          <w:highlight w:val="none"/>
          <w:lang w:val="en-US" w:eastAsia="zh-CN"/>
        </w:rPr>
        <w:t>甲方根据协议安置建筑总面积（公摊率按25%计算，套型差、户增除外）</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hAnsi="宋体" w:eastAsia="宋体" w:cs="宋体"/>
          <w:bCs/>
          <w:sz w:val="24"/>
          <w:szCs w:val="24"/>
          <w:highlight w:val="none"/>
          <w:lang w:val="en-US" w:eastAsia="zh-CN"/>
        </w:rPr>
        <w:t>的40%支付该阶段第二期劳务费；乙方配合甲方完成结算工作，经甲方检查合格后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内，甲方根据协议安置建筑总面积（公摊率按25%计算，套型差、户增除外）结算付清余款。</w:t>
      </w:r>
    </w:p>
    <w:p w14:paraId="6F0AFE6D">
      <w:pPr>
        <w:wordWrap w:val="0"/>
        <w:spacing w:line="460" w:lineRule="exact"/>
        <w:ind w:firstLine="482" w:firstLineChars="200"/>
        <w:rPr>
          <w:rFonts w:hint="eastAsia" w:ascii="宋体" w:cs="宋体"/>
          <w:sz w:val="22"/>
          <w:szCs w:val="22"/>
          <w:highlight w:val="none"/>
          <w:lang w:eastAsia="zh-CN"/>
        </w:rPr>
      </w:pPr>
      <w:r>
        <w:rPr>
          <w:rFonts w:hint="eastAsia" w:ascii="宋体" w:hAnsi="宋体" w:eastAsia="宋体" w:cs="宋体"/>
          <w:b/>
          <w:bCs w:val="0"/>
          <w:sz w:val="24"/>
          <w:szCs w:val="24"/>
          <w:highlight w:val="none"/>
          <w:lang w:val="en-US" w:eastAsia="zh-CN"/>
        </w:rPr>
        <w:t>②工业用房服务购买</w:t>
      </w:r>
      <w:r>
        <w:rPr>
          <w:rFonts w:hint="eastAsia" w:ascii="宋体" w:hAnsi="宋体" w:cs="宋体"/>
          <w:b/>
          <w:bCs w:val="0"/>
          <w:sz w:val="24"/>
          <w:szCs w:val="24"/>
          <w:highlight w:val="none"/>
          <w:lang w:val="en-US" w:eastAsia="zh-CN"/>
        </w:rPr>
        <w:t>费用支付方式：</w:t>
      </w:r>
    </w:p>
    <w:p w14:paraId="09ED4DEA">
      <w:pPr>
        <w:wordWrap w:val="0"/>
        <w:spacing w:line="460" w:lineRule="exact"/>
        <w:ind w:firstLine="480" w:firstLineChars="200"/>
        <w:rPr>
          <w:rFonts w:ascii="宋体" w:cs="宋体"/>
          <w:sz w:val="22"/>
          <w:szCs w:val="22"/>
          <w:highlight w:val="none"/>
        </w:rPr>
      </w:pPr>
      <w:r>
        <w:rPr>
          <w:rFonts w:hint="eastAsia" w:ascii="宋体" w:hAnsi="宋体" w:cs="宋体"/>
          <w:bCs/>
          <w:sz w:val="24"/>
          <w:szCs w:val="24"/>
          <w:highlight w:val="none"/>
          <w:lang w:val="en-US" w:eastAsia="zh-CN"/>
        </w:rPr>
        <w:t>前期入户调查阶段</w:t>
      </w:r>
      <w:r>
        <w:rPr>
          <w:rFonts w:hint="eastAsia" w:ascii="宋体" w:cs="宋体"/>
          <w:sz w:val="24"/>
          <w:szCs w:val="24"/>
          <w:highlight w:val="none"/>
        </w:rPr>
        <w:t>：</w:t>
      </w:r>
      <w:r>
        <w:rPr>
          <w:rFonts w:hint="eastAsia" w:ascii="宋体" w:hAnsi="Times New Roman" w:eastAsia="宋体" w:cs="宋体"/>
          <w:sz w:val="24"/>
          <w:szCs w:val="24"/>
          <w:highlight w:val="none"/>
        </w:rPr>
        <w:t>合同生效并具备实施条件之</w:t>
      </w:r>
      <w:r>
        <w:rPr>
          <w:rFonts w:hint="eastAsia" w:ascii="宋体" w:cs="宋体"/>
          <w:sz w:val="24"/>
          <w:szCs w:val="24"/>
          <w:highlight w:val="none"/>
        </w:rPr>
        <w:t>日起</w:t>
      </w:r>
      <w:r>
        <w:rPr>
          <w:rFonts w:hint="eastAsia" w:ascii="宋体" w:cs="宋体"/>
          <w:sz w:val="24"/>
          <w:szCs w:val="24"/>
          <w:highlight w:val="none"/>
          <w:lang w:val="en-US" w:eastAsia="zh-CN"/>
        </w:rPr>
        <w:t>7个工作</w:t>
      </w:r>
      <w:r>
        <w:rPr>
          <w:rFonts w:hint="eastAsia" w:ascii="宋体" w:cs="宋体"/>
          <w:sz w:val="24"/>
          <w:szCs w:val="24"/>
          <w:highlight w:val="none"/>
        </w:rPr>
        <w:t>日内，甲方按</w:t>
      </w:r>
      <w:r>
        <w:rPr>
          <w:rFonts w:hint="eastAsia" w:ascii="宋体" w:cs="宋体"/>
          <w:sz w:val="24"/>
          <w:szCs w:val="24"/>
          <w:highlight w:val="none"/>
          <w:lang w:val="en-US" w:eastAsia="zh-CN"/>
        </w:rPr>
        <w:t>暂定金额（</w:t>
      </w:r>
      <w:r>
        <w:rPr>
          <w:rFonts w:hint="eastAsia" w:ascii="宋体" w:cs="宋体"/>
          <w:sz w:val="24"/>
          <w:szCs w:val="24"/>
          <w:highlight w:val="none"/>
        </w:rPr>
        <w:t>暂定建筑面积</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cs="宋体"/>
          <w:sz w:val="24"/>
          <w:szCs w:val="24"/>
          <w:highlight w:val="none"/>
          <w:lang w:val="en-US" w:eastAsia="zh-CN"/>
        </w:rPr>
        <w:t>）</w:t>
      </w:r>
      <w:r>
        <w:rPr>
          <w:rFonts w:hint="eastAsia" w:ascii="宋体" w:cs="宋体"/>
          <w:sz w:val="24"/>
          <w:szCs w:val="24"/>
          <w:highlight w:val="none"/>
        </w:rPr>
        <w:t>的20%支付</w:t>
      </w:r>
      <w:r>
        <w:rPr>
          <w:rFonts w:hint="eastAsia" w:ascii="宋体" w:hAnsi="Times New Roman" w:eastAsia="宋体" w:cs="宋体"/>
          <w:sz w:val="24"/>
          <w:szCs w:val="24"/>
          <w:highlight w:val="none"/>
        </w:rPr>
        <w:t>该阶段第</w:t>
      </w:r>
      <w:r>
        <w:rPr>
          <w:rFonts w:hint="eastAsia" w:ascii="宋体" w:hAnsi="Times New Roman" w:eastAsia="宋体" w:cs="宋体"/>
          <w:sz w:val="24"/>
          <w:szCs w:val="24"/>
          <w:highlight w:val="none"/>
          <w:lang w:val="en-US" w:eastAsia="zh-CN"/>
        </w:rPr>
        <w:t>一</w:t>
      </w:r>
      <w:r>
        <w:rPr>
          <w:rFonts w:hint="eastAsia" w:ascii="宋体" w:hAnsi="Times New Roman" w:eastAsia="宋体" w:cs="宋体"/>
          <w:sz w:val="24"/>
          <w:szCs w:val="24"/>
          <w:highlight w:val="none"/>
        </w:rPr>
        <w:t>期劳务费；乙方基本完成入户调查（原则上达95%），经甲方检查合格后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内，甲方按所涉房屋实际测量总建筑面积</w:t>
      </w:r>
      <w:r>
        <w:rPr>
          <w:rFonts w:hint="eastAsia" w:ascii="宋体" w:hAnsi="Times New Roman" w:eastAsia="宋体" w:cs="宋体"/>
          <w:sz w:val="24"/>
          <w:szCs w:val="24"/>
          <w:highlight w:val="none"/>
          <w:lang w:val="en-US" w:eastAsia="zh-CN"/>
        </w:rPr>
        <w:t>（棚、道坦与空地除外）</w:t>
      </w:r>
      <w:r>
        <w:rPr>
          <w:rFonts w:hint="eastAsia" w:ascii="宋体" w:hAnsi="Times New Roman" w:eastAsia="宋体" w:cs="宋体"/>
          <w:sz w:val="24"/>
          <w:szCs w:val="24"/>
          <w:highlight w:val="none"/>
        </w:rPr>
        <w:t>*该阶段中标单价的50%支付该阶段第二期劳务费</w:t>
      </w:r>
      <w:r>
        <w:rPr>
          <w:rFonts w:hint="eastAsia" w:ascii="宋体" w:hAnsi="Times New Roman" w:eastAsia="宋体" w:cs="宋体"/>
          <w:sz w:val="24"/>
          <w:szCs w:val="24"/>
          <w:highlight w:val="none"/>
          <w:lang w:eastAsia="zh-CN"/>
        </w:rPr>
        <w:t>；</w:t>
      </w:r>
      <w:r>
        <w:rPr>
          <w:rFonts w:hint="eastAsia" w:ascii="宋体" w:hAnsi="Times New Roman" w:eastAsia="宋体" w:cs="宋体"/>
          <w:sz w:val="24"/>
          <w:szCs w:val="24"/>
          <w:highlight w:val="none"/>
        </w:rPr>
        <w:t>前期工作全部完成，经甲方检查合格后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内，根据所涉房屋实际建筑面积</w:t>
      </w:r>
      <w:r>
        <w:rPr>
          <w:rFonts w:hint="eastAsia" w:ascii="宋体" w:hAnsi="Times New Roman" w:eastAsia="宋体" w:cs="宋体"/>
          <w:sz w:val="24"/>
          <w:szCs w:val="24"/>
          <w:highlight w:val="none"/>
          <w:lang w:val="en-US" w:eastAsia="zh-CN"/>
        </w:rPr>
        <w:t>（棚、道坦与空地除外）</w:t>
      </w:r>
      <w:r>
        <w:rPr>
          <w:rFonts w:hint="eastAsia" w:ascii="宋体" w:hAnsi="Times New Roman" w:eastAsia="宋体" w:cs="宋体"/>
          <w:sz w:val="24"/>
          <w:szCs w:val="24"/>
          <w:highlight w:val="none"/>
        </w:rPr>
        <w:t>结清尾款。</w:t>
      </w:r>
    </w:p>
    <w:p w14:paraId="74A09A70">
      <w:pPr>
        <w:wordWrap w:val="0"/>
        <w:spacing w:line="460" w:lineRule="exact"/>
        <w:ind w:firstLine="480" w:firstLineChars="200"/>
        <w:rPr>
          <w:rFonts w:hint="eastAsia" w:ascii="宋体" w:hAnsi="Times New Roman" w:eastAsia="宋体" w:cs="宋体"/>
          <w:sz w:val="24"/>
          <w:szCs w:val="24"/>
          <w:highlight w:val="none"/>
        </w:rPr>
      </w:pPr>
      <w:r>
        <w:rPr>
          <w:rFonts w:hint="eastAsia" w:ascii="宋体" w:hAnsi="宋体" w:cs="宋体"/>
          <w:bCs/>
          <w:sz w:val="24"/>
          <w:szCs w:val="24"/>
          <w:highlight w:val="none"/>
          <w:lang w:val="en-US" w:eastAsia="zh-CN"/>
        </w:rPr>
        <w:t>中期协商签约权证注销阶段</w:t>
      </w:r>
      <w:r>
        <w:rPr>
          <w:rFonts w:hint="eastAsia" w:ascii="宋体" w:hAnsi="宋体" w:eastAsia="宋体" w:cs="宋体"/>
          <w:bCs/>
          <w:sz w:val="24"/>
          <w:szCs w:val="24"/>
          <w:highlight w:val="none"/>
          <w:lang w:val="en-US" w:eastAsia="zh-CN"/>
        </w:rPr>
        <w:t>：协议签约启动</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内，甲方按</w:t>
      </w:r>
      <w:r>
        <w:rPr>
          <w:rFonts w:hint="eastAsia" w:ascii="宋体" w:cs="宋体"/>
          <w:sz w:val="24"/>
          <w:szCs w:val="24"/>
          <w:highlight w:val="none"/>
          <w:lang w:val="en-US" w:eastAsia="zh-CN"/>
        </w:rPr>
        <w:t>暂定金额（</w:t>
      </w:r>
      <w:r>
        <w:rPr>
          <w:rFonts w:hint="eastAsia" w:ascii="宋体" w:cs="宋体"/>
          <w:sz w:val="24"/>
          <w:szCs w:val="24"/>
          <w:highlight w:val="none"/>
        </w:rPr>
        <w:t>暂定建筑面积</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cs="宋体"/>
          <w:sz w:val="24"/>
          <w:szCs w:val="24"/>
          <w:highlight w:val="none"/>
          <w:lang w:val="en-US" w:eastAsia="zh-CN"/>
        </w:rPr>
        <w:t>）</w:t>
      </w:r>
      <w:r>
        <w:rPr>
          <w:rFonts w:hint="eastAsia" w:ascii="宋体" w:hAnsi="宋体" w:eastAsia="宋体" w:cs="宋体"/>
          <w:bCs/>
          <w:sz w:val="24"/>
          <w:szCs w:val="24"/>
          <w:highlight w:val="none"/>
          <w:lang w:val="en-US" w:eastAsia="zh-CN"/>
        </w:rPr>
        <w:t>的20%支付该阶段第一期劳务费；签约期限届满同时完成权证注销，</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宋体" w:eastAsia="宋体" w:cs="宋体"/>
          <w:bCs/>
          <w:sz w:val="24"/>
          <w:szCs w:val="24"/>
          <w:highlight w:val="none"/>
          <w:lang w:val="en-US" w:eastAsia="zh-CN"/>
        </w:rPr>
        <w:t>，甲方按所涉房屋实际测量总建筑面积(棚、道坦与空地除外)</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hAnsi="宋体" w:eastAsia="宋体" w:cs="宋体"/>
          <w:bCs/>
          <w:sz w:val="24"/>
          <w:szCs w:val="24"/>
          <w:highlight w:val="none"/>
          <w:lang w:val="en-US" w:eastAsia="zh-CN"/>
        </w:rPr>
        <w:t>的50%支付该阶段的第二期劳务费；乙方按要求全部完成本项目的补偿协议签订，</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Times New Roman" w:eastAsia="宋体" w:cs="宋体"/>
          <w:sz w:val="24"/>
          <w:szCs w:val="24"/>
          <w:highlight w:val="none"/>
          <w:lang w:val="en-US" w:eastAsia="zh-CN"/>
        </w:rPr>
        <w:t>，根据所涉房屋实际建筑面积(棚、道坦与空地除外)结清尾款。</w:t>
      </w:r>
    </w:p>
    <w:p w14:paraId="5CBCE295">
      <w:pPr>
        <w:wordWrap w:val="0"/>
        <w:spacing w:line="460" w:lineRule="exact"/>
        <w:ind w:firstLine="480" w:firstLineChars="200"/>
        <w:rPr>
          <w:rFonts w:hint="eastAsia" w:ascii="宋体" w:hAnsi="Times New Roman" w:eastAsia="宋体" w:cs="宋体"/>
          <w:sz w:val="24"/>
          <w:szCs w:val="24"/>
          <w:highlight w:val="none"/>
        </w:rPr>
      </w:pPr>
      <w:r>
        <w:rPr>
          <w:rFonts w:hint="eastAsia" w:ascii="宋体" w:cs="宋体"/>
          <w:sz w:val="24"/>
          <w:szCs w:val="24"/>
          <w:highlight w:val="none"/>
          <w:lang w:eastAsia="zh-CN"/>
        </w:rPr>
        <w:t>后期档案整理结算阶段</w:t>
      </w:r>
      <w:r>
        <w:rPr>
          <w:rFonts w:hint="eastAsia" w:ascii="宋体" w:hAnsi="Times New Roman" w:eastAsia="宋体" w:cs="宋体"/>
          <w:sz w:val="24"/>
          <w:szCs w:val="24"/>
          <w:highlight w:val="none"/>
        </w:rPr>
        <w:t>：货币补偿的，</w:t>
      </w:r>
      <w:r>
        <w:rPr>
          <w:rFonts w:hint="eastAsia" w:ascii="宋体" w:hAnsi="Times New Roman" w:eastAsia="宋体" w:cs="宋体"/>
          <w:sz w:val="24"/>
          <w:szCs w:val="24"/>
          <w:highlight w:val="none"/>
          <w:lang w:val="en-US" w:eastAsia="zh-CN"/>
        </w:rPr>
        <w:t>完成货币安置对象货币补偿结算结清，</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内，根据</w:t>
      </w:r>
      <w:r>
        <w:rPr>
          <w:rFonts w:hint="eastAsia" w:ascii="宋体" w:hAnsi="Times New Roman" w:eastAsia="宋体" w:cs="宋体"/>
          <w:sz w:val="24"/>
          <w:szCs w:val="24"/>
          <w:highlight w:val="none"/>
          <w:lang w:val="en-US" w:eastAsia="zh-CN"/>
        </w:rPr>
        <w:t>所涉房屋总建筑面积（棚、道坦与空地除外）</w:t>
      </w:r>
      <w:r>
        <w:rPr>
          <w:rFonts w:hint="eastAsia" w:ascii="宋体" w:hAnsi="Times New Roman" w:eastAsia="宋体" w:cs="宋体"/>
          <w:sz w:val="24"/>
          <w:szCs w:val="24"/>
          <w:highlight w:val="none"/>
        </w:rPr>
        <w:t>支付货币补偿劳务费；功能置换或土地置换的，按功能置换或土地置换规定完成相关工作</w:t>
      </w:r>
      <w:r>
        <w:rPr>
          <w:rFonts w:hint="eastAsia" w:ascii="宋体" w:hAnsi="Times New Roman" w:eastAsia="宋体" w:cs="宋体"/>
          <w:sz w:val="24"/>
          <w:szCs w:val="24"/>
          <w:highlight w:val="none"/>
          <w:lang w:eastAsia="zh-CN"/>
        </w:rPr>
        <w:t>，</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Times New Roman" w:eastAsia="宋体" w:cs="宋体"/>
          <w:sz w:val="24"/>
          <w:szCs w:val="24"/>
          <w:highlight w:val="none"/>
          <w:lang w:eastAsia="zh-CN"/>
        </w:rPr>
        <w:t>，</w:t>
      </w:r>
      <w:r>
        <w:rPr>
          <w:rFonts w:hint="eastAsia" w:ascii="宋体" w:hAnsi="Times New Roman" w:eastAsia="宋体" w:cs="宋体"/>
          <w:sz w:val="24"/>
          <w:szCs w:val="24"/>
          <w:highlight w:val="none"/>
        </w:rPr>
        <w:t>根据</w:t>
      </w:r>
      <w:r>
        <w:rPr>
          <w:rFonts w:hint="eastAsia" w:ascii="宋体" w:hAnsi="Times New Roman" w:eastAsia="宋体" w:cs="宋体"/>
          <w:sz w:val="24"/>
          <w:szCs w:val="24"/>
          <w:highlight w:val="none"/>
          <w:lang w:val="en-US" w:eastAsia="zh-CN"/>
        </w:rPr>
        <w:t>所涉房屋总建筑面积（棚、道坦与空地除外）</w:t>
      </w:r>
      <w:r>
        <w:rPr>
          <w:rFonts w:hint="eastAsia" w:ascii="宋体" w:hAnsi="Times New Roman" w:eastAsia="宋体" w:cs="宋体"/>
          <w:sz w:val="24"/>
          <w:szCs w:val="24"/>
          <w:highlight w:val="none"/>
        </w:rPr>
        <w:t>付清劳务费。</w:t>
      </w:r>
    </w:p>
    <w:p w14:paraId="36A18011">
      <w:pPr>
        <w:wordWrap w:val="0"/>
        <w:spacing w:line="460" w:lineRule="exact"/>
        <w:ind w:firstLine="463" w:firstLineChars="193"/>
        <w:rPr>
          <w:rFonts w:hint="eastAsia" w:ascii="宋体" w:cs="宋体"/>
          <w:sz w:val="24"/>
          <w:szCs w:val="24"/>
          <w:highlight w:val="none"/>
        </w:rPr>
      </w:pPr>
      <w:r>
        <w:rPr>
          <w:rFonts w:hint="eastAsia" w:ascii="宋体" w:cs="宋体"/>
          <w:sz w:val="24"/>
          <w:szCs w:val="24"/>
          <w:highlight w:val="none"/>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61CFEBFE">
      <w:pPr>
        <w:wordWrap w:val="0"/>
        <w:spacing w:line="460" w:lineRule="exact"/>
        <w:ind w:firstLine="463" w:firstLineChars="193"/>
        <w:rPr>
          <w:rFonts w:hint="eastAsia" w:ascii="宋体" w:cs="宋体"/>
          <w:sz w:val="24"/>
          <w:szCs w:val="24"/>
          <w:highlight w:val="none"/>
        </w:rPr>
      </w:pPr>
      <w:r>
        <w:rPr>
          <w:rFonts w:hint="eastAsia" w:ascii="宋体" w:cs="宋体"/>
          <w:sz w:val="24"/>
          <w:szCs w:val="24"/>
          <w:highlight w:val="none"/>
        </w:rPr>
        <w:t>（2）对于满足合同支付约定条件的，甲方于收到乙方开具的正式税务发票后</w:t>
      </w:r>
      <w:r>
        <w:rPr>
          <w:rFonts w:hint="eastAsia" w:ascii="宋体" w:cs="宋体"/>
          <w:sz w:val="24"/>
          <w:szCs w:val="24"/>
          <w:highlight w:val="none"/>
          <w:lang w:val="en-US" w:eastAsia="zh-CN"/>
        </w:rPr>
        <w:t>7个工作</w:t>
      </w:r>
      <w:r>
        <w:rPr>
          <w:rFonts w:hint="eastAsia" w:ascii="宋体" w:cs="宋体"/>
          <w:sz w:val="24"/>
          <w:szCs w:val="24"/>
          <w:highlight w:val="none"/>
        </w:rPr>
        <w:t>日内予以支付相应合同价款。</w:t>
      </w:r>
    </w:p>
    <w:p w14:paraId="234BEE09">
      <w:pPr>
        <w:wordWrap w:val="0"/>
        <w:spacing w:line="460" w:lineRule="exact"/>
        <w:ind w:firstLine="463" w:firstLineChars="193"/>
        <w:rPr>
          <w:rFonts w:hint="eastAsia" w:ascii="宋体" w:cs="宋体"/>
          <w:sz w:val="24"/>
          <w:szCs w:val="24"/>
          <w:highlight w:val="none"/>
          <w:lang w:eastAsia="zh-CN"/>
        </w:rPr>
      </w:pPr>
      <w:r>
        <w:rPr>
          <w:rFonts w:hint="eastAsia" w:ascii="宋体" w:cs="宋体"/>
          <w:sz w:val="24"/>
          <w:szCs w:val="24"/>
          <w:highlight w:val="none"/>
        </w:rPr>
        <w:t>（3）本项目的经费由政府拨款，如因政策影响，拨款未能及时到位，乙方不得以此为由而不履行本项目规定的</w:t>
      </w:r>
      <w:r>
        <w:rPr>
          <w:rFonts w:hint="eastAsia" w:ascii="宋体" w:cs="宋体"/>
          <w:sz w:val="24"/>
          <w:szCs w:val="24"/>
          <w:highlight w:val="none"/>
          <w:lang w:eastAsia="zh-CN"/>
        </w:rPr>
        <w:t>义务。</w:t>
      </w:r>
    </w:p>
    <w:p w14:paraId="5EE62990">
      <w:pPr>
        <w:wordWrap w:val="0"/>
        <w:spacing w:line="460" w:lineRule="exact"/>
        <w:ind w:firstLine="463" w:firstLineChars="193"/>
        <w:rPr>
          <w:rFonts w:hint="eastAsia" w:ascii="宋体" w:cs="宋体"/>
          <w:sz w:val="24"/>
          <w:szCs w:val="24"/>
          <w:highlight w:val="none"/>
          <w:lang w:eastAsia="zh-CN"/>
        </w:rPr>
      </w:pPr>
      <w:r>
        <w:rPr>
          <w:rFonts w:hint="eastAsia" w:ascii="宋体" w:cs="宋体"/>
          <w:sz w:val="24"/>
          <w:szCs w:val="24"/>
          <w:highlight w:val="none"/>
          <w:lang w:eastAsia="zh-CN"/>
        </w:rPr>
        <w:t>（</w:t>
      </w:r>
      <w:r>
        <w:rPr>
          <w:rFonts w:hint="eastAsia" w:ascii="宋体" w:cs="宋体"/>
          <w:sz w:val="24"/>
          <w:szCs w:val="24"/>
          <w:highlight w:val="none"/>
          <w:lang w:val="en-US" w:eastAsia="zh-CN"/>
        </w:rPr>
        <w:t>4</w:t>
      </w:r>
      <w:r>
        <w:rPr>
          <w:rFonts w:hint="eastAsia" w:ascii="宋体" w:cs="宋体"/>
          <w:sz w:val="24"/>
          <w:szCs w:val="24"/>
          <w:highlight w:val="none"/>
          <w:lang w:eastAsia="zh-CN"/>
        </w:rPr>
        <w:t>）</w:t>
      </w:r>
      <w:r>
        <w:rPr>
          <w:rFonts w:hint="eastAsia" w:ascii="宋体" w:cs="宋体"/>
          <w:sz w:val="24"/>
          <w:szCs w:val="24"/>
          <w:highlight w:val="none"/>
        </w:rPr>
        <w:t>迟</w:t>
      </w:r>
      <w:r>
        <w:rPr>
          <w:rFonts w:hint="eastAsia" w:ascii="宋体" w:cs="宋体"/>
          <w:sz w:val="24"/>
          <w:szCs w:val="24"/>
          <w:highlight w:val="none"/>
        </w:rPr>
        <w:t>延支付款项的</w:t>
      </w:r>
      <w:r>
        <w:rPr>
          <w:rFonts w:hint="eastAsia" w:ascii="宋体" w:cs="宋体"/>
          <w:sz w:val="24"/>
          <w:szCs w:val="24"/>
          <w:highlight w:val="none"/>
          <w:lang w:eastAsia="zh-CN"/>
        </w:rPr>
        <w:t>，</w:t>
      </w:r>
      <w:r>
        <w:rPr>
          <w:rFonts w:hint="eastAsia" w:ascii="宋体" w:cs="宋体"/>
          <w:sz w:val="24"/>
          <w:szCs w:val="24"/>
          <w:highlight w:val="none"/>
          <w:lang w:eastAsia="zh-CN"/>
        </w:rPr>
        <w:t>需</w:t>
      </w:r>
      <w:r>
        <w:rPr>
          <w:rFonts w:hint="eastAsia" w:ascii="宋体" w:cs="宋体"/>
          <w:sz w:val="24"/>
          <w:szCs w:val="24"/>
          <w:highlight w:val="none"/>
        </w:rPr>
        <w:t>支付逾期利息</w:t>
      </w:r>
      <w:r>
        <w:rPr>
          <w:rFonts w:hint="eastAsia" w:ascii="宋体" w:cs="宋体"/>
          <w:sz w:val="24"/>
          <w:szCs w:val="24"/>
          <w:highlight w:val="none"/>
          <w:lang w:eastAsia="zh-CN"/>
        </w:rPr>
        <w:t>，</w:t>
      </w:r>
      <w:r>
        <w:rPr>
          <w:rFonts w:hint="eastAsia" w:ascii="宋体" w:cs="宋体"/>
          <w:sz w:val="24"/>
          <w:szCs w:val="24"/>
          <w:highlight w:val="none"/>
          <w:lang w:val="en-US" w:eastAsia="zh-CN"/>
        </w:rPr>
        <w:t>利率为</w:t>
      </w:r>
      <w:r>
        <w:rPr>
          <w:rFonts w:hint="eastAsia" w:ascii="宋体" w:cs="宋体"/>
          <w:sz w:val="24"/>
          <w:szCs w:val="24"/>
          <w:highlight w:val="none"/>
          <w:lang w:eastAsia="zh-CN"/>
        </w:rPr>
        <w:t>合同订立时1年期贷款市场报价利率。</w:t>
      </w:r>
    </w:p>
    <w:p w14:paraId="7A63CB22">
      <w:pPr>
        <w:numPr>
          <w:ilvl w:val="0"/>
          <w:numId w:val="41"/>
        </w:numPr>
        <w:wordWrap w:val="0"/>
        <w:spacing w:line="460" w:lineRule="exact"/>
        <w:ind w:firstLine="480" w:firstLineChars="200"/>
        <w:rPr>
          <w:rFonts w:ascii="宋体" w:cs="宋体"/>
          <w:sz w:val="24"/>
          <w:highlight w:val="none"/>
        </w:rPr>
      </w:pPr>
      <w:r>
        <w:rPr>
          <w:rFonts w:hint="eastAsia" w:ascii="宋体" w:cs="宋体"/>
          <w:sz w:val="24"/>
          <w:highlight w:val="none"/>
        </w:rPr>
        <w:t>履约保证金</w:t>
      </w:r>
    </w:p>
    <w:p w14:paraId="66650005">
      <w:pPr>
        <w:wordWrap w:val="0"/>
        <w:spacing w:line="460" w:lineRule="exact"/>
        <w:ind w:firstLine="463" w:firstLineChars="193"/>
        <w:rPr>
          <w:rFonts w:ascii="宋体" w:cs="宋体"/>
          <w:sz w:val="24"/>
          <w:szCs w:val="24"/>
          <w:highlight w:val="none"/>
        </w:rPr>
      </w:pPr>
      <w:r>
        <w:rPr>
          <w:rFonts w:hint="eastAsia" w:ascii="宋体" w:cs="宋体"/>
          <w:sz w:val="24"/>
          <w:szCs w:val="24"/>
          <w:highlight w:val="none"/>
        </w:rPr>
        <w:t>（一）乙方在合同签订前缴纳履约保证金，履约保证金金额为合同价的</w:t>
      </w:r>
      <w:r>
        <w:rPr>
          <w:rFonts w:hint="eastAsia" w:ascii="宋体" w:cs="宋体"/>
          <w:sz w:val="24"/>
          <w:szCs w:val="24"/>
          <w:highlight w:val="none"/>
          <w:lang w:val="en-US" w:eastAsia="zh-CN"/>
        </w:rPr>
        <w:t>1</w:t>
      </w:r>
      <w:r>
        <w:rPr>
          <w:rFonts w:hint="eastAsia" w:ascii="宋体" w:cs="宋体"/>
          <w:sz w:val="24"/>
          <w:szCs w:val="24"/>
          <w:highlight w:val="none"/>
        </w:rPr>
        <w:t>%，履约保证金交由甲方保管。</w:t>
      </w:r>
    </w:p>
    <w:p w14:paraId="571EB802">
      <w:pPr>
        <w:wordWrap w:val="0"/>
        <w:spacing w:line="460" w:lineRule="exact"/>
        <w:ind w:firstLine="463" w:firstLineChars="193"/>
        <w:rPr>
          <w:rFonts w:ascii="宋体" w:cs="宋体"/>
          <w:sz w:val="24"/>
          <w:szCs w:val="24"/>
          <w:highlight w:val="none"/>
        </w:rPr>
      </w:pPr>
      <w:r>
        <w:rPr>
          <w:rFonts w:hint="eastAsia" w:ascii="宋体" w:cs="宋体"/>
          <w:sz w:val="24"/>
          <w:szCs w:val="24"/>
          <w:highlight w:val="none"/>
        </w:rPr>
        <w:t>（二）乙方未按时缴纳</w:t>
      </w:r>
      <w:bookmarkStart w:id="220" w:name="OLE_LINK9"/>
      <w:r>
        <w:rPr>
          <w:rFonts w:hint="eastAsia" w:ascii="宋体" w:cs="宋体"/>
          <w:sz w:val="24"/>
          <w:szCs w:val="24"/>
          <w:highlight w:val="none"/>
        </w:rPr>
        <w:t>履约保证金</w:t>
      </w:r>
      <w:bookmarkEnd w:id="220"/>
      <w:r>
        <w:rPr>
          <w:rFonts w:hint="eastAsia" w:ascii="宋体" w:cs="宋体"/>
          <w:sz w:val="24"/>
          <w:szCs w:val="24"/>
          <w:highlight w:val="none"/>
        </w:rPr>
        <w:t>的，本合同自动解除，且乙方应按履约保证金总额赔偿甲方的经济损失。甲方根</w:t>
      </w:r>
      <w:bookmarkStart w:id="247" w:name="_GoBack"/>
      <w:bookmarkEnd w:id="247"/>
      <w:r>
        <w:rPr>
          <w:rFonts w:hint="eastAsia" w:ascii="宋体" w:cs="宋体"/>
          <w:sz w:val="24"/>
          <w:szCs w:val="24"/>
          <w:highlight w:val="none"/>
        </w:rPr>
        <w:t>据有关规定</w:t>
      </w:r>
      <w:bookmarkStart w:id="221" w:name="OLE_LINK7"/>
      <w:bookmarkStart w:id="222" w:name="OLE_LINK8"/>
      <w:r>
        <w:rPr>
          <w:rFonts w:hint="eastAsia" w:ascii="宋体" w:cs="宋体"/>
          <w:sz w:val="24"/>
          <w:szCs w:val="24"/>
          <w:highlight w:val="none"/>
        </w:rPr>
        <w:t>就本合同所涉项目房屋征收事务</w:t>
      </w:r>
      <w:bookmarkEnd w:id="221"/>
      <w:r>
        <w:rPr>
          <w:rFonts w:hint="eastAsia" w:ascii="宋体" w:cs="宋体"/>
          <w:sz w:val="24"/>
          <w:szCs w:val="24"/>
          <w:highlight w:val="none"/>
        </w:rPr>
        <w:t>重新选定代理机构</w:t>
      </w:r>
      <w:bookmarkEnd w:id="222"/>
      <w:r>
        <w:rPr>
          <w:rFonts w:hint="eastAsia" w:ascii="宋体" w:cs="宋体"/>
          <w:sz w:val="24"/>
          <w:szCs w:val="24"/>
          <w:highlight w:val="none"/>
        </w:rPr>
        <w:t>时，乙方不得再成为备选代理机构。</w:t>
      </w:r>
    </w:p>
    <w:p w14:paraId="08C9569E">
      <w:pPr>
        <w:wordWrap w:val="0"/>
        <w:spacing w:line="460" w:lineRule="exact"/>
        <w:ind w:firstLine="463" w:firstLineChars="193"/>
        <w:rPr>
          <w:rFonts w:ascii="宋体" w:cs="宋体"/>
          <w:sz w:val="24"/>
          <w:szCs w:val="24"/>
          <w:highlight w:val="none"/>
        </w:rPr>
      </w:pPr>
      <w:r>
        <w:rPr>
          <w:rFonts w:hint="eastAsia" w:ascii="宋体" w:cs="宋体"/>
          <w:sz w:val="24"/>
          <w:szCs w:val="24"/>
          <w:highlight w:val="none"/>
        </w:rPr>
        <w:t>（三）乙方不依法依规、未按照约定</w:t>
      </w:r>
      <w:bookmarkStart w:id="223" w:name="OLE_LINK10"/>
      <w:r>
        <w:rPr>
          <w:rFonts w:hint="eastAsia" w:ascii="宋体" w:cs="宋体"/>
          <w:sz w:val="24"/>
          <w:szCs w:val="24"/>
          <w:highlight w:val="none"/>
        </w:rPr>
        <w:t>履行本合同</w:t>
      </w:r>
      <w:bookmarkEnd w:id="223"/>
      <w:r>
        <w:rPr>
          <w:rFonts w:hint="eastAsia" w:ascii="宋体" w:cs="宋体"/>
          <w:sz w:val="24"/>
          <w:szCs w:val="24"/>
          <w:highlight w:val="none"/>
        </w:rPr>
        <w:t>，或者无故停止履行本合同的，甲方有权没收</w:t>
      </w:r>
      <w:bookmarkStart w:id="224" w:name="OLE_LINK11"/>
      <w:r>
        <w:rPr>
          <w:rFonts w:hint="eastAsia" w:ascii="宋体" w:cs="宋体"/>
          <w:sz w:val="24"/>
          <w:szCs w:val="24"/>
          <w:highlight w:val="none"/>
        </w:rPr>
        <w:t>履约保证金</w:t>
      </w:r>
      <w:bookmarkEnd w:id="224"/>
      <w:r>
        <w:rPr>
          <w:rFonts w:hint="eastAsia" w:ascii="宋体" w:cs="宋体"/>
          <w:sz w:val="24"/>
          <w:szCs w:val="24"/>
          <w:highlight w:val="none"/>
        </w:rPr>
        <w:t>。</w:t>
      </w:r>
    </w:p>
    <w:p w14:paraId="729F87C6">
      <w:pPr>
        <w:wordWrap w:val="0"/>
        <w:spacing w:line="460" w:lineRule="exact"/>
        <w:ind w:firstLine="463" w:firstLineChars="193"/>
        <w:rPr>
          <w:rFonts w:ascii="宋体" w:cs="宋体"/>
          <w:sz w:val="24"/>
          <w:szCs w:val="24"/>
          <w:highlight w:val="none"/>
        </w:rPr>
      </w:pPr>
      <w:r>
        <w:rPr>
          <w:rFonts w:hint="eastAsia" w:ascii="宋体" w:cs="宋体"/>
          <w:sz w:val="24"/>
          <w:szCs w:val="24"/>
          <w:highlight w:val="none"/>
        </w:rPr>
        <w:t>（四）</w:t>
      </w:r>
      <w:bookmarkStart w:id="225" w:name="OLE_LINK15"/>
      <w:r>
        <w:rPr>
          <w:rFonts w:hint="eastAsia" w:ascii="宋体" w:cs="宋体"/>
          <w:sz w:val="24"/>
          <w:szCs w:val="24"/>
          <w:highlight w:val="none"/>
        </w:rPr>
        <w:t>履约</w:t>
      </w:r>
      <w:bookmarkStart w:id="226" w:name="OLE_LINK12"/>
      <w:r>
        <w:rPr>
          <w:rFonts w:hint="eastAsia" w:ascii="宋体" w:cs="宋体"/>
          <w:sz w:val="24"/>
          <w:szCs w:val="24"/>
          <w:highlight w:val="none"/>
        </w:rPr>
        <w:t>保证金</w:t>
      </w:r>
      <w:bookmarkEnd w:id="225"/>
      <w:r>
        <w:rPr>
          <w:rFonts w:hint="eastAsia" w:ascii="宋体" w:cs="宋体"/>
          <w:sz w:val="24"/>
          <w:szCs w:val="24"/>
          <w:highlight w:val="none"/>
        </w:rPr>
        <w:t>在本</w:t>
      </w:r>
      <w:bookmarkEnd w:id="226"/>
      <w:r>
        <w:rPr>
          <w:rFonts w:hint="eastAsia" w:ascii="宋体" w:cs="宋体"/>
          <w:sz w:val="24"/>
          <w:szCs w:val="24"/>
          <w:highlight w:val="none"/>
        </w:rPr>
        <w:t>合同履行完毕（如有置换的，按功能置换或土地置换完毕）或经甲、乙双方协商一致提前终止本合同后，且乙方没有违规违约的情况下给予无息退还。</w:t>
      </w:r>
    </w:p>
    <w:p w14:paraId="5E9C1702">
      <w:pPr>
        <w:wordWrap w:val="0"/>
        <w:spacing w:line="460" w:lineRule="exact"/>
        <w:ind w:firstLine="481"/>
        <w:rPr>
          <w:rFonts w:ascii="宋体" w:cs="宋体"/>
          <w:sz w:val="24"/>
          <w:szCs w:val="24"/>
          <w:highlight w:val="none"/>
        </w:rPr>
      </w:pPr>
      <w:r>
        <w:rPr>
          <w:rFonts w:hint="eastAsia" w:ascii="宋体" w:cs="宋体"/>
          <w:sz w:val="24"/>
          <w:szCs w:val="24"/>
          <w:highlight w:val="none"/>
        </w:rPr>
        <w:t>（五）甲方指定保管履约保证金的帐户如下：</w:t>
      </w:r>
    </w:p>
    <w:p w14:paraId="31B2213A">
      <w:pPr>
        <w:wordWrap w:val="0"/>
        <w:spacing w:line="460" w:lineRule="exact"/>
        <w:ind w:firstLine="481"/>
        <w:rPr>
          <w:rFonts w:ascii="宋体" w:cs="宋体"/>
          <w:sz w:val="24"/>
          <w:szCs w:val="24"/>
          <w:highlight w:val="none"/>
          <w:u w:val="single"/>
        </w:rPr>
      </w:pPr>
      <w:r>
        <w:rPr>
          <w:rFonts w:hint="eastAsia" w:ascii="宋体" w:cs="宋体"/>
          <w:sz w:val="24"/>
          <w:szCs w:val="24"/>
          <w:highlight w:val="none"/>
        </w:rPr>
        <w:t xml:space="preserve">户  </w:t>
      </w:r>
      <w:r>
        <w:rPr>
          <w:rFonts w:hint="eastAsia" w:ascii="宋体" w:cs="宋体"/>
          <w:sz w:val="24"/>
          <w:szCs w:val="24"/>
          <w:highlight w:val="none"/>
          <w:lang w:val="en-US" w:eastAsia="zh-CN"/>
        </w:rPr>
        <w:t xml:space="preserve"> </w:t>
      </w:r>
      <w:r>
        <w:rPr>
          <w:rFonts w:hint="eastAsia" w:ascii="宋体" w:cs="宋体"/>
          <w:sz w:val="24"/>
          <w:szCs w:val="24"/>
          <w:highlight w:val="none"/>
        </w:rPr>
        <w:t xml:space="preserve"> 名：</w:t>
      </w:r>
      <w:r>
        <w:rPr>
          <w:rFonts w:hint="eastAsia" w:ascii="宋体" w:cs="宋体"/>
          <w:sz w:val="24"/>
          <w:szCs w:val="24"/>
          <w:highlight w:val="none"/>
          <w:u w:val="single"/>
        </w:rPr>
        <w:t xml:space="preserve">   </w:t>
      </w:r>
      <w:r>
        <w:rPr>
          <w:rFonts w:hint="eastAsia" w:ascii="宋体" w:cs="宋体"/>
          <w:sz w:val="24"/>
          <w:szCs w:val="24"/>
          <w:highlight w:val="none"/>
          <w:u w:val="single"/>
          <w:lang w:val="en-US" w:eastAsia="zh-CN"/>
        </w:rPr>
        <w:t xml:space="preserve">             </w:t>
      </w:r>
      <w:r>
        <w:rPr>
          <w:rFonts w:hint="eastAsia" w:ascii="宋体" w:cs="宋体"/>
          <w:sz w:val="24"/>
          <w:szCs w:val="24"/>
          <w:highlight w:val="none"/>
          <w:u w:val="single"/>
        </w:rPr>
        <w:t xml:space="preserve">      </w:t>
      </w:r>
    </w:p>
    <w:p w14:paraId="6EA2C5D1">
      <w:pPr>
        <w:wordWrap w:val="0"/>
        <w:spacing w:line="460" w:lineRule="exact"/>
        <w:ind w:firstLine="481"/>
        <w:rPr>
          <w:rFonts w:ascii="宋体" w:cs="宋体"/>
          <w:sz w:val="24"/>
          <w:szCs w:val="24"/>
          <w:highlight w:val="none"/>
          <w:u w:val="single"/>
        </w:rPr>
      </w:pPr>
      <w:r>
        <w:rPr>
          <w:rFonts w:hint="eastAsia" w:ascii="宋体" w:cs="宋体"/>
          <w:sz w:val="24"/>
          <w:szCs w:val="24"/>
          <w:highlight w:val="none"/>
        </w:rPr>
        <w:t xml:space="preserve">账  </w:t>
      </w:r>
      <w:r>
        <w:rPr>
          <w:rFonts w:hint="eastAsia" w:ascii="宋体" w:cs="宋体"/>
          <w:sz w:val="24"/>
          <w:szCs w:val="24"/>
          <w:highlight w:val="none"/>
          <w:lang w:val="en-US" w:eastAsia="zh-CN"/>
        </w:rPr>
        <w:t xml:space="preserve"> </w:t>
      </w:r>
      <w:r>
        <w:rPr>
          <w:rFonts w:hint="eastAsia" w:ascii="宋体" w:cs="宋体"/>
          <w:sz w:val="24"/>
          <w:szCs w:val="24"/>
          <w:highlight w:val="none"/>
        </w:rPr>
        <w:t xml:space="preserve"> 号：</w:t>
      </w:r>
      <w:r>
        <w:rPr>
          <w:rFonts w:hint="eastAsia" w:ascii="宋体" w:cs="宋体"/>
          <w:sz w:val="24"/>
          <w:szCs w:val="24"/>
          <w:highlight w:val="none"/>
          <w:u w:val="single"/>
        </w:rPr>
        <w:t xml:space="preserve">   </w:t>
      </w:r>
      <w:r>
        <w:rPr>
          <w:rFonts w:hint="eastAsia" w:ascii="宋体" w:cs="宋体"/>
          <w:sz w:val="24"/>
          <w:szCs w:val="24"/>
          <w:highlight w:val="none"/>
          <w:u w:val="single"/>
          <w:lang w:val="en-US" w:eastAsia="zh-CN"/>
        </w:rPr>
        <w:t xml:space="preserve">             </w:t>
      </w:r>
      <w:r>
        <w:rPr>
          <w:rFonts w:hint="eastAsia" w:ascii="宋体" w:cs="宋体"/>
          <w:sz w:val="24"/>
          <w:szCs w:val="24"/>
          <w:highlight w:val="none"/>
          <w:u w:val="single"/>
        </w:rPr>
        <w:t xml:space="preserve">      </w:t>
      </w:r>
    </w:p>
    <w:p w14:paraId="3D5DE4B8">
      <w:pPr>
        <w:wordWrap w:val="0"/>
        <w:spacing w:line="460" w:lineRule="exact"/>
        <w:ind w:firstLine="481"/>
        <w:rPr>
          <w:rFonts w:ascii="宋体" w:cs="宋体"/>
          <w:sz w:val="24"/>
          <w:szCs w:val="24"/>
          <w:highlight w:val="none"/>
          <w:u w:val="single"/>
        </w:rPr>
      </w:pPr>
      <w:r>
        <w:rPr>
          <w:rFonts w:hint="eastAsia" w:ascii="宋体" w:cs="宋体"/>
          <w:sz w:val="24"/>
          <w:szCs w:val="24"/>
          <w:highlight w:val="none"/>
        </w:rPr>
        <w:t>开 户 行：</w:t>
      </w:r>
      <w:r>
        <w:rPr>
          <w:rFonts w:hint="eastAsia" w:ascii="宋体" w:cs="宋体"/>
          <w:sz w:val="24"/>
          <w:szCs w:val="24"/>
          <w:highlight w:val="none"/>
          <w:u w:val="single"/>
        </w:rPr>
        <w:t xml:space="preserve">   </w:t>
      </w:r>
      <w:r>
        <w:rPr>
          <w:rFonts w:hint="eastAsia" w:ascii="宋体" w:cs="宋体"/>
          <w:sz w:val="24"/>
          <w:szCs w:val="24"/>
          <w:highlight w:val="none"/>
          <w:u w:val="single"/>
          <w:lang w:val="en-US" w:eastAsia="zh-CN"/>
        </w:rPr>
        <w:t xml:space="preserve">             </w:t>
      </w:r>
      <w:r>
        <w:rPr>
          <w:rFonts w:hint="eastAsia" w:ascii="宋体" w:cs="宋体"/>
          <w:sz w:val="24"/>
          <w:szCs w:val="24"/>
          <w:highlight w:val="none"/>
          <w:u w:val="single"/>
        </w:rPr>
        <w:t xml:space="preserve">      </w:t>
      </w:r>
    </w:p>
    <w:p w14:paraId="42C3BEFB">
      <w:pPr>
        <w:wordWrap w:val="0"/>
        <w:spacing w:line="460" w:lineRule="exact"/>
        <w:ind w:firstLine="480" w:firstLineChars="200"/>
        <w:rPr>
          <w:rFonts w:ascii="宋体" w:cs="宋体"/>
          <w:sz w:val="24"/>
          <w:highlight w:val="none"/>
        </w:rPr>
      </w:pPr>
      <w:r>
        <w:rPr>
          <w:rFonts w:hint="eastAsia" w:ascii="宋体" w:cs="宋体"/>
          <w:sz w:val="24"/>
          <w:highlight w:val="none"/>
        </w:rPr>
        <w:t>第七条  双方的权利义务</w:t>
      </w:r>
    </w:p>
    <w:p w14:paraId="51031A8D">
      <w:pPr>
        <w:wordWrap w:val="0"/>
        <w:spacing w:line="460" w:lineRule="exact"/>
        <w:ind w:firstLine="352" w:firstLineChars="147"/>
        <w:rPr>
          <w:rFonts w:ascii="宋体" w:cs="宋体"/>
          <w:sz w:val="24"/>
          <w:highlight w:val="none"/>
        </w:rPr>
      </w:pPr>
      <w:r>
        <w:rPr>
          <w:rFonts w:hint="eastAsia" w:ascii="宋体" w:cs="宋体"/>
          <w:bCs/>
          <w:sz w:val="24"/>
          <w:highlight w:val="none"/>
        </w:rPr>
        <w:t>（一）</w:t>
      </w:r>
      <w:r>
        <w:rPr>
          <w:rFonts w:hint="eastAsia" w:ascii="宋体" w:cs="宋体"/>
          <w:sz w:val="24"/>
          <w:highlight w:val="none"/>
        </w:rPr>
        <w:t>甲方的权利义务：</w:t>
      </w:r>
    </w:p>
    <w:p w14:paraId="6E53FD36">
      <w:pPr>
        <w:wordWrap w:val="0"/>
        <w:spacing w:line="460" w:lineRule="exact"/>
        <w:ind w:firstLine="480" w:firstLineChars="200"/>
        <w:rPr>
          <w:rFonts w:ascii="宋体" w:cs="宋体"/>
          <w:sz w:val="24"/>
          <w:highlight w:val="none"/>
        </w:rPr>
      </w:pPr>
      <w:r>
        <w:rPr>
          <w:rFonts w:hint="eastAsia" w:ascii="宋体" w:cs="宋体"/>
          <w:sz w:val="24"/>
          <w:highlight w:val="none"/>
        </w:rPr>
        <w:t>1.应提供有关补偿安置政策依据；</w:t>
      </w:r>
    </w:p>
    <w:p w14:paraId="5E9DA893">
      <w:pPr>
        <w:wordWrap w:val="0"/>
        <w:spacing w:line="460" w:lineRule="exact"/>
        <w:ind w:firstLine="480" w:firstLineChars="200"/>
        <w:rPr>
          <w:rFonts w:ascii="宋体" w:cs="宋体"/>
          <w:sz w:val="24"/>
          <w:highlight w:val="none"/>
        </w:rPr>
      </w:pPr>
      <w:r>
        <w:rPr>
          <w:rFonts w:hint="eastAsia" w:ascii="宋体" w:cs="宋体"/>
          <w:sz w:val="24"/>
          <w:highlight w:val="none"/>
        </w:rPr>
        <w:t>2.应办理征地房屋补偿和房屋征收等有关报批手续；</w:t>
      </w:r>
    </w:p>
    <w:p w14:paraId="1A38985B">
      <w:pPr>
        <w:wordWrap w:val="0"/>
        <w:spacing w:line="460" w:lineRule="exact"/>
        <w:ind w:firstLine="480" w:firstLineChars="200"/>
        <w:rPr>
          <w:rFonts w:ascii="宋体" w:cs="宋体"/>
          <w:sz w:val="24"/>
          <w:highlight w:val="none"/>
        </w:rPr>
      </w:pPr>
      <w:r>
        <w:rPr>
          <w:rFonts w:hint="eastAsia" w:ascii="宋体" w:cs="宋体"/>
          <w:sz w:val="24"/>
          <w:highlight w:val="none"/>
        </w:rPr>
        <w:t>3.应协调处理好与有关部门的关系，确保房屋征收（征地房屋补偿）工作顺利进行；</w:t>
      </w:r>
    </w:p>
    <w:p w14:paraId="37AB0298">
      <w:pPr>
        <w:wordWrap w:val="0"/>
        <w:spacing w:line="460" w:lineRule="exact"/>
        <w:ind w:firstLine="480" w:firstLineChars="200"/>
        <w:rPr>
          <w:rFonts w:ascii="宋体" w:cs="宋体"/>
          <w:sz w:val="24"/>
          <w:highlight w:val="none"/>
        </w:rPr>
      </w:pPr>
      <w:r>
        <w:rPr>
          <w:rFonts w:hint="eastAsia" w:ascii="宋体" w:cs="宋体"/>
          <w:sz w:val="24"/>
          <w:highlight w:val="none"/>
        </w:rPr>
        <w:t>4.应及时做好未经登记建筑的认定及手续查证工作；</w:t>
      </w:r>
    </w:p>
    <w:p w14:paraId="225B09CE">
      <w:pPr>
        <w:wordWrap w:val="0"/>
        <w:spacing w:line="460" w:lineRule="exact"/>
        <w:ind w:firstLine="480" w:firstLineChars="200"/>
        <w:rPr>
          <w:rFonts w:ascii="宋体" w:cs="宋体"/>
          <w:sz w:val="24"/>
          <w:highlight w:val="none"/>
        </w:rPr>
      </w:pPr>
      <w:r>
        <w:rPr>
          <w:rFonts w:hint="eastAsia" w:ascii="宋体" w:cs="宋体"/>
          <w:sz w:val="24"/>
          <w:highlight w:val="none"/>
        </w:rPr>
        <w:t>5.应及时做好协议的鉴证、各项数据的审定及抽检工作；</w:t>
      </w:r>
    </w:p>
    <w:p w14:paraId="1C801805">
      <w:pPr>
        <w:wordWrap w:val="0"/>
        <w:spacing w:line="460" w:lineRule="exact"/>
        <w:ind w:firstLine="480" w:firstLineChars="200"/>
        <w:rPr>
          <w:rFonts w:ascii="宋体" w:cs="宋体"/>
          <w:sz w:val="24"/>
          <w:highlight w:val="none"/>
        </w:rPr>
      </w:pPr>
      <w:r>
        <w:rPr>
          <w:rFonts w:hint="eastAsia" w:ascii="宋体" w:cs="宋体"/>
          <w:sz w:val="24"/>
          <w:highlight w:val="none"/>
        </w:rPr>
        <w:t>6.应派工作人员与乙方加强联系，并及时解决工作中的问题，促使房屋征收（征地房屋补偿）工作顺利进行；</w:t>
      </w:r>
    </w:p>
    <w:p w14:paraId="6D21D5DF">
      <w:pPr>
        <w:wordWrap w:val="0"/>
        <w:spacing w:line="460" w:lineRule="exact"/>
        <w:ind w:firstLine="480" w:firstLineChars="200"/>
        <w:rPr>
          <w:rFonts w:ascii="宋体" w:cs="宋体"/>
          <w:sz w:val="24"/>
          <w:highlight w:val="none"/>
        </w:rPr>
      </w:pPr>
      <w:r>
        <w:rPr>
          <w:rFonts w:hint="eastAsia" w:ascii="宋体" w:cs="宋体"/>
          <w:sz w:val="24"/>
          <w:highlight w:val="none"/>
        </w:rPr>
        <w:t>7.甲方为乙方无偿提供办公场所、认购安置会场等力所能及的支持；</w:t>
      </w:r>
    </w:p>
    <w:p w14:paraId="755ADB48">
      <w:pPr>
        <w:wordWrap w:val="0"/>
        <w:spacing w:line="460" w:lineRule="exact"/>
        <w:ind w:firstLine="480" w:firstLineChars="200"/>
        <w:rPr>
          <w:rFonts w:ascii="宋体" w:cs="宋体"/>
          <w:sz w:val="24"/>
          <w:highlight w:val="none"/>
        </w:rPr>
      </w:pPr>
      <w:r>
        <w:rPr>
          <w:rFonts w:hint="eastAsia" w:ascii="宋体" w:cs="宋体"/>
          <w:sz w:val="24"/>
          <w:highlight w:val="none"/>
        </w:rPr>
        <w:t>8.甲方应按时支付</w:t>
      </w:r>
      <w:bookmarkStart w:id="227" w:name="OLE_LINK2"/>
      <w:r>
        <w:rPr>
          <w:rFonts w:hint="eastAsia" w:ascii="宋体" w:cs="宋体"/>
          <w:sz w:val="24"/>
          <w:highlight w:val="none"/>
        </w:rPr>
        <w:t>劳务服务费</w:t>
      </w:r>
      <w:bookmarkEnd w:id="227"/>
      <w:r>
        <w:rPr>
          <w:rFonts w:hint="eastAsia" w:ascii="宋体" w:cs="宋体"/>
          <w:sz w:val="24"/>
          <w:highlight w:val="none"/>
        </w:rPr>
        <w:t>，如甲方原因拖延支付劳务服务费造成乙方损失的，</w:t>
      </w:r>
      <w:bookmarkStart w:id="228" w:name="OLE_LINK4"/>
      <w:r>
        <w:rPr>
          <w:rFonts w:hint="eastAsia" w:ascii="宋体" w:cs="宋体"/>
          <w:sz w:val="24"/>
          <w:highlight w:val="none"/>
        </w:rPr>
        <w:t>乙方有权</w:t>
      </w:r>
      <w:bookmarkEnd w:id="228"/>
      <w:r>
        <w:rPr>
          <w:rFonts w:hint="eastAsia" w:ascii="宋体" w:cs="宋体"/>
          <w:sz w:val="24"/>
          <w:highlight w:val="none"/>
        </w:rPr>
        <w:t>提出赔偿，经乙方书面催告后仍拖延支付的，乙方有权终止本合同；</w:t>
      </w:r>
    </w:p>
    <w:p w14:paraId="361D60DE">
      <w:pPr>
        <w:wordWrap w:val="0"/>
        <w:spacing w:line="460" w:lineRule="exact"/>
        <w:ind w:firstLine="480" w:firstLineChars="200"/>
        <w:rPr>
          <w:rFonts w:ascii="宋体" w:cs="宋体"/>
          <w:sz w:val="24"/>
          <w:highlight w:val="none"/>
        </w:rPr>
      </w:pPr>
      <w:r>
        <w:rPr>
          <w:rFonts w:hint="eastAsia" w:ascii="宋体" w:cs="宋体"/>
          <w:sz w:val="24"/>
          <w:highlight w:val="none"/>
        </w:rPr>
        <w:t>9.甲方及区房屋征收部门有权对乙方的从业人员在岗在位率、现场组织管理情况、服务态度、工作质量等情况进行抽查；</w:t>
      </w:r>
    </w:p>
    <w:p w14:paraId="1869F2BF">
      <w:pPr>
        <w:wordWrap w:val="0"/>
        <w:spacing w:line="460" w:lineRule="exact"/>
        <w:ind w:firstLine="480" w:firstLineChars="200"/>
        <w:rPr>
          <w:rFonts w:ascii="宋体" w:cs="宋体"/>
          <w:sz w:val="24"/>
          <w:highlight w:val="none"/>
        </w:rPr>
      </w:pPr>
      <w:r>
        <w:rPr>
          <w:rFonts w:hint="eastAsia" w:ascii="宋体" w:cs="宋体"/>
          <w:sz w:val="24"/>
          <w:highlight w:val="none"/>
        </w:rPr>
        <w:t>10.乙方从业人员不能胜任岗位工作或不服从甲方现场指挥与管理的，甲方可以要求更换从业人员。</w:t>
      </w:r>
    </w:p>
    <w:p w14:paraId="69F625DF">
      <w:pPr>
        <w:wordWrap w:val="0"/>
        <w:spacing w:line="460" w:lineRule="exact"/>
        <w:ind w:firstLine="470" w:firstLineChars="196"/>
        <w:rPr>
          <w:rFonts w:ascii="宋体" w:cs="宋体"/>
          <w:sz w:val="24"/>
          <w:highlight w:val="none"/>
        </w:rPr>
      </w:pPr>
      <w:r>
        <w:rPr>
          <w:rFonts w:hint="eastAsia" w:ascii="宋体" w:cs="宋体"/>
          <w:sz w:val="24"/>
          <w:highlight w:val="none"/>
        </w:rPr>
        <w:t>（二）乙方的权利义务：</w:t>
      </w:r>
    </w:p>
    <w:p w14:paraId="679CA25E">
      <w:pPr>
        <w:wordWrap w:val="0"/>
        <w:spacing w:line="460" w:lineRule="exact"/>
        <w:ind w:firstLine="480" w:firstLineChars="200"/>
        <w:rPr>
          <w:rFonts w:ascii="宋体" w:cs="宋体"/>
          <w:sz w:val="24"/>
          <w:highlight w:val="none"/>
        </w:rPr>
      </w:pPr>
      <w:r>
        <w:rPr>
          <w:rFonts w:hint="eastAsia" w:ascii="宋体" w:cs="宋体"/>
          <w:sz w:val="24"/>
          <w:highlight w:val="none"/>
        </w:rPr>
        <w:t>1.在本合同履行期间，乙方应当严格遵守有关法律法规，配备素质过硬的从业人员和管理人员，严明纪律、严格管理，做到规范化操作，不得以任何方式损害国家利益或房屋所有权人的利益；</w:t>
      </w:r>
    </w:p>
    <w:p w14:paraId="5A47A0D8">
      <w:pPr>
        <w:wordWrap w:val="0"/>
        <w:spacing w:line="460" w:lineRule="exact"/>
        <w:ind w:firstLine="480" w:firstLineChars="200"/>
        <w:rPr>
          <w:rFonts w:ascii="宋体" w:cs="宋体"/>
          <w:sz w:val="24"/>
          <w:highlight w:val="none"/>
        </w:rPr>
      </w:pPr>
      <w:r>
        <w:rPr>
          <w:rFonts w:hint="eastAsia" w:ascii="宋体" w:cs="宋体"/>
          <w:sz w:val="24"/>
          <w:highlight w:val="none"/>
        </w:rPr>
        <w:t>2.乙方须与甲方签订房屋征收廉政合同，乙方从业人员签署廉洁自律承诺书，承诺严格执行行业规范，做到廉洁自律；</w:t>
      </w:r>
    </w:p>
    <w:p w14:paraId="52C8E3F7">
      <w:pPr>
        <w:wordWrap w:val="0"/>
        <w:spacing w:line="460" w:lineRule="exact"/>
        <w:ind w:firstLine="480" w:firstLineChars="200"/>
        <w:rPr>
          <w:rFonts w:ascii="宋体" w:cs="宋体"/>
          <w:sz w:val="24"/>
          <w:highlight w:val="none"/>
        </w:rPr>
      </w:pPr>
      <w:r>
        <w:rPr>
          <w:rFonts w:hint="eastAsia" w:ascii="宋体" w:cs="宋体"/>
          <w:sz w:val="24"/>
          <w:highlight w:val="none"/>
        </w:rPr>
        <w:t>3.乙方现场负责人必须固定，如需变动，需提前向甲方提出申请，经甲方同意后方可变更；</w:t>
      </w:r>
    </w:p>
    <w:p w14:paraId="22566B58">
      <w:pPr>
        <w:wordWrap w:val="0"/>
        <w:spacing w:line="460" w:lineRule="exact"/>
        <w:ind w:firstLine="480" w:firstLineChars="200"/>
        <w:rPr>
          <w:rFonts w:ascii="宋体" w:cs="宋体"/>
          <w:sz w:val="24"/>
          <w:highlight w:val="none"/>
        </w:rPr>
      </w:pPr>
      <w:r>
        <w:rPr>
          <w:rFonts w:hint="eastAsia" w:ascii="宋体" w:cs="宋体"/>
          <w:sz w:val="24"/>
          <w:highlight w:val="none"/>
        </w:rPr>
        <w:t>4.乙方应按甲方工作计划安排，落实工作人员，保证甲方相关工作顺利开展；</w:t>
      </w:r>
    </w:p>
    <w:p w14:paraId="09E963F6">
      <w:pPr>
        <w:wordWrap w:val="0"/>
        <w:spacing w:line="460" w:lineRule="exact"/>
        <w:ind w:firstLine="480" w:firstLineChars="200"/>
        <w:rPr>
          <w:rFonts w:ascii="宋体" w:cs="宋体"/>
          <w:sz w:val="24"/>
          <w:highlight w:val="none"/>
        </w:rPr>
      </w:pPr>
      <w:r>
        <w:rPr>
          <w:rFonts w:hint="eastAsia" w:ascii="宋体" w:cs="宋体"/>
          <w:sz w:val="24"/>
          <w:highlight w:val="none"/>
        </w:rPr>
        <w:t>5.乙方的从业人员不得同时承接多个征收事务代理项目工作。乙方如需承接其他新项目，经甲方同意后，方可根据本项目完成情况抽调部分从业人员承接新项目，但剩余人数应保留一定比例；</w:t>
      </w:r>
    </w:p>
    <w:p w14:paraId="197D2CDB">
      <w:pPr>
        <w:wordWrap w:val="0"/>
        <w:spacing w:line="460" w:lineRule="exact"/>
        <w:ind w:firstLine="480" w:firstLineChars="200"/>
        <w:rPr>
          <w:rFonts w:ascii="宋体" w:cs="宋体"/>
          <w:sz w:val="24"/>
          <w:highlight w:val="none"/>
        </w:rPr>
      </w:pPr>
      <w:r>
        <w:rPr>
          <w:rFonts w:hint="eastAsia" w:ascii="宋体" w:cs="宋体"/>
          <w:sz w:val="24"/>
          <w:highlight w:val="none"/>
        </w:rPr>
        <w:t>6.在本合同履行期间，如遇少量疑难户确属无法化解的，乙方可与甲方协商提前终止合同。经甲方同意的，双方可对已履行完毕的内容结算劳务费用；</w:t>
      </w:r>
    </w:p>
    <w:p w14:paraId="6B809E02">
      <w:pPr>
        <w:wordWrap w:val="0"/>
        <w:spacing w:line="460" w:lineRule="exact"/>
        <w:ind w:firstLine="480" w:firstLineChars="200"/>
        <w:rPr>
          <w:rFonts w:ascii="宋体" w:cs="宋体"/>
          <w:sz w:val="24"/>
          <w:highlight w:val="none"/>
        </w:rPr>
      </w:pPr>
      <w:r>
        <w:rPr>
          <w:rFonts w:hint="eastAsia" w:ascii="宋体" w:cs="宋体"/>
          <w:sz w:val="24"/>
          <w:highlight w:val="none"/>
        </w:rPr>
        <w:t>7.负责做好房屋征收事务过程中相关的协调工作，重点做好拆除公司、资产评估公司、装潢装修公司、年限鉴定公司等的牵头工作与协调工作。</w:t>
      </w:r>
    </w:p>
    <w:p w14:paraId="7CBA8952">
      <w:pPr>
        <w:wordWrap w:val="0"/>
        <w:spacing w:line="460" w:lineRule="exact"/>
        <w:ind w:firstLine="480" w:firstLineChars="200"/>
        <w:rPr>
          <w:rFonts w:ascii="宋体" w:cs="宋体"/>
          <w:sz w:val="24"/>
          <w:highlight w:val="none"/>
        </w:rPr>
      </w:pPr>
      <w:r>
        <w:rPr>
          <w:rFonts w:hint="eastAsia" w:ascii="宋体" w:cs="宋体"/>
          <w:sz w:val="24"/>
          <w:highlight w:val="none"/>
        </w:rPr>
        <w:t>8.乙方应当自</w:t>
      </w:r>
      <w:r>
        <w:rPr>
          <w:rFonts w:hint="eastAsia" w:ascii="宋体" w:cs="宋体"/>
          <w:sz w:val="24"/>
          <w:highlight w:val="none"/>
          <w:u w:val="single"/>
        </w:rPr>
        <w:t xml:space="preserve"> </w:t>
      </w:r>
      <w:r>
        <w:rPr>
          <w:rFonts w:hint="eastAsia" w:ascii="宋体" w:cs="宋体"/>
          <w:bCs/>
          <w:sz w:val="24"/>
          <w:highlight w:val="none"/>
          <w:u w:val="single"/>
        </w:rPr>
        <w:t xml:space="preserve">本合同签订之日起10日内 </w:t>
      </w:r>
      <w:r>
        <w:rPr>
          <w:rFonts w:hint="eastAsia" w:ascii="宋体" w:cs="宋体"/>
          <w:sz w:val="24"/>
          <w:highlight w:val="none"/>
        </w:rPr>
        <w:t>将本合同副本报龙湾区房屋征收部门备案。</w:t>
      </w:r>
    </w:p>
    <w:p w14:paraId="49531ECA">
      <w:pPr>
        <w:wordWrap w:val="0"/>
        <w:spacing w:line="460" w:lineRule="exact"/>
        <w:ind w:firstLine="480" w:firstLineChars="200"/>
        <w:rPr>
          <w:rFonts w:hint="eastAsia" w:ascii="宋体" w:cs="宋体"/>
          <w:sz w:val="24"/>
          <w:highlight w:val="none"/>
        </w:rPr>
      </w:pPr>
      <w:r>
        <w:rPr>
          <w:rFonts w:hint="eastAsia" w:ascii="宋体" w:cs="宋体"/>
          <w:sz w:val="24"/>
          <w:highlight w:val="none"/>
        </w:rPr>
        <w:t>9、乙方在承接新项目前仍有在接项目未完成的，可根据项目完成情况抽调部分从业人员承接新项目，但剩余人数应保留一定比例。具体可抽调人数由甲方确定。</w:t>
      </w:r>
    </w:p>
    <w:p w14:paraId="10CEE83B">
      <w:pPr>
        <w:wordWrap w:val="0"/>
        <w:spacing w:line="460" w:lineRule="exact"/>
        <w:ind w:firstLine="480" w:firstLineChars="200"/>
        <w:rPr>
          <w:rFonts w:hint="eastAsia" w:ascii="宋体" w:cs="宋体"/>
          <w:sz w:val="24"/>
          <w:highlight w:val="none"/>
        </w:rPr>
      </w:pPr>
      <w:r>
        <w:rPr>
          <w:rFonts w:hint="eastAsia" w:ascii="宋体" w:cs="宋体"/>
          <w:sz w:val="24"/>
          <w:highlight w:val="none"/>
          <w:lang w:val="en-US" w:eastAsia="zh-CN"/>
        </w:rPr>
        <w:t>10、乙方</w:t>
      </w:r>
      <w:r>
        <w:rPr>
          <w:rFonts w:hint="eastAsia" w:ascii="宋体" w:cs="宋体"/>
          <w:sz w:val="24"/>
          <w:highlight w:val="none"/>
        </w:rPr>
        <w:t>从业人员向区房屋征收部门申领《温州市龙湾区房屋征收补偿上岗证》</w:t>
      </w:r>
      <w:r>
        <w:rPr>
          <w:rFonts w:hint="eastAsia" w:ascii="宋体" w:cs="宋体"/>
          <w:sz w:val="24"/>
          <w:highlight w:val="none"/>
          <w:lang w:eastAsia="zh-CN"/>
        </w:rPr>
        <w:t>。</w:t>
      </w:r>
    </w:p>
    <w:p w14:paraId="1EA32C43">
      <w:pPr>
        <w:wordWrap w:val="0"/>
        <w:spacing w:line="460" w:lineRule="exact"/>
        <w:ind w:firstLine="480" w:firstLineChars="200"/>
        <w:rPr>
          <w:rFonts w:hint="eastAsia" w:ascii="宋体" w:cs="宋体"/>
          <w:sz w:val="24"/>
          <w:highlight w:val="none"/>
        </w:rPr>
      </w:pPr>
      <w:r>
        <w:rPr>
          <w:rFonts w:hint="eastAsia" w:ascii="宋体" w:cs="宋体"/>
          <w:sz w:val="24"/>
          <w:highlight w:val="none"/>
        </w:rPr>
        <w:t>1</w:t>
      </w:r>
      <w:r>
        <w:rPr>
          <w:rFonts w:hint="eastAsia" w:ascii="宋体" w:cs="宋体"/>
          <w:sz w:val="24"/>
          <w:highlight w:val="none"/>
          <w:lang w:val="en-US" w:eastAsia="zh-CN"/>
        </w:rPr>
        <w:t>1</w:t>
      </w:r>
      <w:r>
        <w:rPr>
          <w:rFonts w:hint="eastAsia" w:ascii="宋体" w:cs="宋体"/>
          <w:sz w:val="24"/>
          <w:highlight w:val="none"/>
        </w:rPr>
        <w:t>、乙方从业人员每年至少参加一期由市或区房屋征收部门组织的培训课程。</w:t>
      </w:r>
    </w:p>
    <w:p w14:paraId="14E773C7">
      <w:pPr>
        <w:wordWrap w:val="0"/>
        <w:spacing w:line="460" w:lineRule="exact"/>
        <w:ind w:firstLine="480" w:firstLineChars="200"/>
        <w:rPr>
          <w:rFonts w:hint="eastAsia" w:ascii="宋体" w:hAnsi="Times New Roman" w:eastAsia="宋体" w:cs="宋体"/>
          <w:sz w:val="24"/>
          <w:highlight w:val="none"/>
          <w:lang w:val="en-US" w:eastAsia="zh-CN"/>
        </w:rPr>
      </w:pPr>
      <w:r>
        <w:rPr>
          <w:rFonts w:hint="eastAsia" w:ascii="宋体" w:cs="宋体"/>
          <w:sz w:val="24"/>
          <w:highlight w:val="none"/>
        </w:rPr>
        <w:t>1</w:t>
      </w:r>
      <w:r>
        <w:rPr>
          <w:rFonts w:hint="eastAsia" w:ascii="宋体" w:cs="宋体"/>
          <w:sz w:val="24"/>
          <w:highlight w:val="none"/>
          <w:lang w:val="en-US" w:eastAsia="zh-CN"/>
        </w:rPr>
        <w:t>2</w:t>
      </w:r>
      <w:r>
        <w:rPr>
          <w:rFonts w:hint="eastAsia" w:ascii="宋体" w:cs="宋体"/>
          <w:sz w:val="24"/>
          <w:highlight w:val="none"/>
        </w:rPr>
        <w:t>、乙方及其从业人员存在不认真履行义务、不规范执业等情况，影响征收工作进度或其他不良后果的，由区房屋征收部门会同甲方对乙方负责人进行约谈并限期整改。如乙方未及时整改或整</w:t>
      </w:r>
      <w:r>
        <w:rPr>
          <w:rFonts w:hint="eastAsia" w:ascii="宋体" w:hAnsi="Times New Roman" w:eastAsia="宋体" w:cs="宋体"/>
          <w:sz w:val="24"/>
          <w:highlight w:val="none"/>
          <w:lang w:val="en-US" w:eastAsia="zh-CN"/>
        </w:rPr>
        <w:t>改未达到要求或整改次数超过2次的，甲方可单方解除合同并报区财政局、区审管办备案，所造成的直接损失由乙方承担。</w:t>
      </w:r>
    </w:p>
    <w:p w14:paraId="10D03652">
      <w:pPr>
        <w:wordWrap w:val="0"/>
        <w:spacing w:line="460" w:lineRule="exact"/>
        <w:ind w:firstLine="480" w:firstLineChars="200"/>
        <w:rPr>
          <w:rFonts w:hint="eastAsia" w:ascii="宋体" w:hAnsi="Times New Roman" w:eastAsia="宋体" w:cs="宋体"/>
          <w:sz w:val="24"/>
          <w:highlight w:val="none"/>
          <w:lang w:val="en-US" w:eastAsia="zh-CN"/>
        </w:rPr>
      </w:pPr>
      <w:r>
        <w:rPr>
          <w:rFonts w:hint="eastAsia" w:ascii="宋体" w:hAnsi="Times New Roman" w:eastAsia="宋体" w:cs="宋体"/>
          <w:sz w:val="24"/>
          <w:highlight w:val="none"/>
          <w:lang w:val="en-US" w:eastAsia="zh-CN"/>
        </w:rPr>
        <w:t>13、</w:t>
      </w:r>
      <w:r>
        <w:rPr>
          <w:rFonts w:hint="eastAsia" w:ascii="宋体" w:cs="宋体"/>
          <w:sz w:val="24"/>
          <w:highlight w:val="none"/>
        </w:rPr>
        <w:t>乙</w:t>
      </w:r>
      <w:r>
        <w:rPr>
          <w:rFonts w:hint="eastAsia" w:ascii="宋体" w:hAnsi="Times New Roman" w:eastAsia="宋体" w:cs="宋体"/>
          <w:sz w:val="24"/>
          <w:highlight w:val="none"/>
          <w:lang w:val="en-US" w:eastAsia="zh-CN"/>
        </w:rPr>
        <w:t>方对征收签约服务相关的所有数据、资料等信息进行保密，如有泄露将承担相应的法律责任。</w:t>
      </w:r>
    </w:p>
    <w:p w14:paraId="3A68028C">
      <w:pPr>
        <w:wordWrap w:val="0"/>
        <w:spacing w:line="460" w:lineRule="exact"/>
        <w:ind w:firstLine="480" w:firstLineChars="200"/>
        <w:rPr>
          <w:rFonts w:hint="default" w:ascii="宋体" w:hAnsi="Times New Roman" w:eastAsia="宋体" w:cs="宋体"/>
          <w:sz w:val="24"/>
          <w:highlight w:val="none"/>
          <w:lang w:val="en-US" w:eastAsia="zh-CN"/>
        </w:rPr>
      </w:pPr>
      <w:r>
        <w:rPr>
          <w:rFonts w:hint="eastAsia" w:ascii="宋体" w:hAnsi="Times New Roman" w:eastAsia="宋体" w:cs="宋体"/>
          <w:sz w:val="24"/>
          <w:highlight w:val="none"/>
          <w:lang w:val="en-US" w:eastAsia="zh-CN"/>
        </w:rPr>
        <w:t>14、征收签约服务相关的所有数据、资料等工作成果归甲方所有，乙方未经甲方允许，不得挪用，如有将承担相应的法律责任。</w:t>
      </w:r>
    </w:p>
    <w:p w14:paraId="680897F7">
      <w:pPr>
        <w:wordWrap w:val="0"/>
        <w:spacing w:line="460" w:lineRule="exact"/>
        <w:ind w:firstLine="480" w:firstLineChars="200"/>
        <w:rPr>
          <w:rFonts w:ascii="宋体" w:cs="宋体"/>
          <w:sz w:val="24"/>
          <w:highlight w:val="none"/>
        </w:rPr>
      </w:pPr>
      <w:r>
        <w:rPr>
          <w:rFonts w:hint="eastAsia" w:ascii="宋体" w:cs="宋体"/>
          <w:sz w:val="24"/>
          <w:highlight w:val="none"/>
        </w:rPr>
        <w:t>第八条  违约责任</w:t>
      </w:r>
    </w:p>
    <w:p w14:paraId="63F87B3D">
      <w:pPr>
        <w:wordWrap w:val="0"/>
        <w:spacing w:line="460" w:lineRule="exact"/>
        <w:ind w:firstLine="480" w:firstLineChars="200"/>
        <w:rPr>
          <w:rFonts w:ascii="宋体" w:cs="宋体"/>
          <w:sz w:val="24"/>
          <w:highlight w:val="none"/>
        </w:rPr>
      </w:pPr>
      <w:r>
        <w:rPr>
          <w:rFonts w:hint="eastAsia" w:ascii="宋体" w:cs="宋体"/>
          <w:sz w:val="24"/>
          <w:highlight w:val="none"/>
        </w:rPr>
        <w:t>（一）房屋调查、协议签订、档案整理及安置结算等完成合格率须达97%及以上。经甲方第一次检查完成合格率未达标的，乙方应立即纠正。如经甲方再次检查后仍未达标的，甲方有权单方解除合同，并不再支付乙方任何</w:t>
      </w:r>
      <w:bookmarkStart w:id="229" w:name="OLE_LINK16"/>
      <w:r>
        <w:rPr>
          <w:rFonts w:hint="eastAsia" w:ascii="宋体" w:cs="宋体"/>
          <w:sz w:val="24"/>
          <w:highlight w:val="none"/>
        </w:rPr>
        <w:t>劳务服务</w:t>
      </w:r>
      <w:bookmarkEnd w:id="229"/>
      <w:r>
        <w:rPr>
          <w:rFonts w:hint="eastAsia" w:ascii="宋体" w:cs="宋体"/>
          <w:sz w:val="24"/>
          <w:highlight w:val="none"/>
        </w:rPr>
        <w:t>费，所造成的损失由乙方自行承担。</w:t>
      </w:r>
    </w:p>
    <w:p w14:paraId="7EB82562">
      <w:pPr>
        <w:wordWrap w:val="0"/>
        <w:spacing w:line="460" w:lineRule="exact"/>
        <w:ind w:firstLine="480" w:firstLineChars="200"/>
        <w:rPr>
          <w:rFonts w:ascii="宋体" w:cs="宋体"/>
          <w:sz w:val="24"/>
          <w:highlight w:val="none"/>
        </w:rPr>
      </w:pPr>
      <w:r>
        <w:rPr>
          <w:rFonts w:hint="eastAsia" w:ascii="宋体" w:cs="宋体"/>
          <w:sz w:val="24"/>
          <w:highlight w:val="none"/>
        </w:rPr>
        <w:t>（二）如乙方无故终止合同，或者因乙方原因合同被解除的，乙方无权要求甲方支付劳务服务费，且应赔偿甲方全部经济损失，甲方并有权没收履约保证金。</w:t>
      </w:r>
    </w:p>
    <w:p w14:paraId="582E8C28">
      <w:pPr>
        <w:wordWrap w:val="0"/>
        <w:spacing w:line="460" w:lineRule="exact"/>
        <w:ind w:firstLine="480" w:firstLineChars="200"/>
        <w:rPr>
          <w:rFonts w:hint="eastAsia" w:ascii="宋体" w:cs="宋体"/>
          <w:sz w:val="24"/>
          <w:highlight w:val="none"/>
        </w:rPr>
      </w:pPr>
      <w:r>
        <w:rPr>
          <w:rFonts w:hint="eastAsia" w:ascii="宋体" w:cs="宋体"/>
          <w:sz w:val="24"/>
          <w:highlight w:val="none"/>
        </w:rPr>
        <w:t>（三）由于乙方疏忽等原因造成的计算错误，需由乙方承担责任，由此造成的经济损失由乙方承担。</w:t>
      </w:r>
    </w:p>
    <w:p w14:paraId="4EE2E5B3">
      <w:pPr>
        <w:wordWrap w:val="0"/>
        <w:spacing w:line="460" w:lineRule="exact"/>
        <w:ind w:firstLine="480" w:firstLineChars="200"/>
        <w:rPr>
          <w:rFonts w:hint="eastAsia" w:ascii="宋体" w:cs="宋体"/>
          <w:sz w:val="24"/>
          <w:highlight w:val="none"/>
        </w:rPr>
      </w:pPr>
      <w:r>
        <w:rPr>
          <w:rFonts w:hint="eastAsia" w:ascii="宋体" w:cs="宋体"/>
          <w:sz w:val="24"/>
          <w:highlight w:val="none"/>
        </w:rPr>
        <w:t>（四）未经甲方同意更换项目负责人，甲方有权单方解除合同，并不再支付乙方任何劳务服务费，所造成的损失由乙方自行承担。</w:t>
      </w:r>
    </w:p>
    <w:p w14:paraId="57A93DDC">
      <w:pPr>
        <w:wordWrap w:val="0"/>
        <w:spacing w:line="460" w:lineRule="exact"/>
        <w:ind w:firstLine="480" w:firstLineChars="200"/>
        <w:rPr>
          <w:rFonts w:ascii="宋体" w:cs="仿宋_GB2312"/>
          <w:b/>
          <w:sz w:val="24"/>
          <w:highlight w:val="none"/>
        </w:rPr>
      </w:pPr>
      <w:r>
        <w:rPr>
          <w:rFonts w:hint="eastAsia" w:ascii="宋体" w:hAnsi="宋体" w:cs="仿宋_GB2312"/>
          <w:bCs/>
          <w:sz w:val="24"/>
          <w:highlight w:val="none"/>
        </w:rPr>
        <w:t>第九条</w:t>
      </w:r>
      <w:r>
        <w:rPr>
          <w:rFonts w:ascii="宋体" w:hAnsi="宋体" w:cs="仿宋_GB2312"/>
          <w:bCs/>
          <w:sz w:val="24"/>
          <w:highlight w:val="none"/>
        </w:rPr>
        <w:t xml:space="preserve">  </w:t>
      </w:r>
      <w:r>
        <w:rPr>
          <w:rFonts w:hint="eastAsia" w:ascii="宋体" w:hAnsi="宋体" w:cs="仿宋_GB2312"/>
          <w:bCs/>
          <w:sz w:val="24"/>
          <w:highlight w:val="none"/>
        </w:rPr>
        <w:t>其他约定</w:t>
      </w:r>
    </w:p>
    <w:p w14:paraId="215B96BA">
      <w:pPr>
        <w:wordWrap w:val="0"/>
        <w:spacing w:line="460" w:lineRule="exact"/>
        <w:ind w:firstLine="426" w:firstLineChars="177"/>
        <w:rPr>
          <w:rFonts w:hint="default" w:ascii="宋体" w:eastAsia="宋体" w:cs="仿宋_GB2312"/>
          <w:b/>
          <w:bCs/>
          <w:sz w:val="24"/>
          <w:highlight w:val="none"/>
          <w:u w:val="single"/>
          <w:shd w:val="clear" w:color="auto" w:fill="FFFFFF"/>
          <w:lang w:val="en-US" w:eastAsia="zh-CN"/>
        </w:rPr>
      </w:pPr>
      <w:r>
        <w:rPr>
          <w:rFonts w:hint="eastAsia" w:ascii="宋体" w:hAnsi="宋体" w:cs="仿宋_GB2312"/>
          <w:b/>
          <w:sz w:val="24"/>
          <w:highlight w:val="none"/>
          <w:u w:val="single"/>
          <w:shd w:val="clear" w:color="auto" w:fill="FFFFFF"/>
        </w:rPr>
        <w:t>若</w:t>
      </w:r>
      <w:r>
        <w:rPr>
          <w:rFonts w:hint="eastAsia" w:ascii="宋体" w:hAnsi="宋体" w:cs="仿宋_GB2312"/>
          <w:b/>
          <w:sz w:val="24"/>
          <w:highlight w:val="none"/>
          <w:u w:val="single"/>
          <w:shd w:val="clear" w:color="auto" w:fill="FFFFFF"/>
          <w:lang w:val="en-US" w:eastAsia="zh-CN"/>
        </w:rPr>
        <w:t>因政策变动导致</w:t>
      </w:r>
      <w:r>
        <w:rPr>
          <w:rFonts w:hint="eastAsia" w:ascii="宋体" w:hAnsi="宋体" w:cs="仿宋_GB2312"/>
          <w:b/>
          <w:sz w:val="24"/>
          <w:highlight w:val="none"/>
          <w:u w:val="single"/>
          <w:shd w:val="clear" w:color="auto" w:fill="FFFFFF"/>
        </w:rPr>
        <w:t>后续取消拆迁计划部分或全部，相关的拆迁事务代理合同将不执行，相关的费用将不予支付。</w:t>
      </w:r>
      <w:r>
        <w:rPr>
          <w:rFonts w:hint="eastAsia" w:ascii="宋体" w:hAnsi="宋体" w:cs="仿宋_GB2312"/>
          <w:b/>
          <w:sz w:val="24"/>
          <w:highlight w:val="none"/>
          <w:u w:val="single"/>
          <w:shd w:val="clear" w:color="auto" w:fill="FFFFFF"/>
          <w:lang w:val="en-US" w:eastAsia="zh-CN"/>
        </w:rPr>
        <w:t>由此造成的风险责任，乙方自行承担。</w:t>
      </w:r>
    </w:p>
    <w:p w14:paraId="7C869A9F">
      <w:pPr>
        <w:spacing w:line="460" w:lineRule="exact"/>
        <w:rPr>
          <w:rFonts w:ascii="宋体" w:cs="宋体"/>
          <w:bCs/>
          <w:sz w:val="24"/>
          <w:highlight w:val="none"/>
        </w:rPr>
      </w:pPr>
      <w:r>
        <w:rPr>
          <w:rFonts w:hint="eastAsia" w:ascii="宋体" w:cs="宋体"/>
          <w:bCs/>
          <w:sz w:val="24"/>
          <w:highlight w:val="none"/>
        </w:rPr>
        <w:t xml:space="preserve">    第十条  不可抗力</w:t>
      </w:r>
    </w:p>
    <w:p w14:paraId="75232AFD">
      <w:pPr>
        <w:spacing w:line="460" w:lineRule="exact"/>
        <w:ind w:firstLine="480" w:firstLineChars="200"/>
        <w:rPr>
          <w:rFonts w:ascii="宋体" w:cs="宋体"/>
          <w:sz w:val="24"/>
          <w:highlight w:val="none"/>
        </w:rPr>
      </w:pPr>
      <w:r>
        <w:rPr>
          <w:rFonts w:hint="eastAsia" w:ascii="宋体" w:cs="宋体"/>
          <w:sz w:val="24"/>
          <w:highlight w:val="none"/>
        </w:rPr>
        <w:t>由于国家政策因素和不可抗力或政府原因造成本项目不能实施或继续实施有困难的，甲、乙双方可协商解除合同，不作违约论处。</w:t>
      </w:r>
    </w:p>
    <w:p w14:paraId="3F10FF34">
      <w:pPr>
        <w:spacing w:line="460" w:lineRule="exact"/>
        <w:ind w:firstLine="480" w:firstLineChars="200"/>
        <w:rPr>
          <w:rFonts w:ascii="宋体" w:cs="宋体"/>
          <w:sz w:val="24"/>
          <w:highlight w:val="none"/>
          <w:shd w:val="clear" w:color="auto" w:fill="FFFFFF"/>
        </w:rPr>
      </w:pPr>
      <w:r>
        <w:rPr>
          <w:rFonts w:hint="eastAsia" w:ascii="宋体" w:cs="宋体"/>
          <w:bCs/>
          <w:sz w:val="24"/>
          <w:highlight w:val="none"/>
        </w:rPr>
        <w:t>第十一条  争议的解决</w:t>
      </w:r>
    </w:p>
    <w:p w14:paraId="25E4159A">
      <w:pPr>
        <w:spacing w:line="460" w:lineRule="exact"/>
        <w:ind w:firstLine="360" w:firstLineChars="150"/>
        <w:rPr>
          <w:rFonts w:ascii="宋体" w:cs="宋体"/>
          <w:sz w:val="24"/>
          <w:highlight w:val="none"/>
        </w:rPr>
      </w:pPr>
      <w:r>
        <w:rPr>
          <w:rFonts w:hint="eastAsia" w:ascii="宋体" w:cs="宋体"/>
          <w:sz w:val="24"/>
          <w:highlight w:val="none"/>
        </w:rPr>
        <w:t xml:space="preserve"> 甲、乙双方在本合同履行过程中发生争议，由双方当事人协商解决；协商不成，通过向甲方所在地人民法院提起诉讼解决。</w:t>
      </w:r>
    </w:p>
    <w:p w14:paraId="5614C67D">
      <w:pPr>
        <w:spacing w:line="460" w:lineRule="exact"/>
        <w:rPr>
          <w:rFonts w:ascii="宋体" w:cs="宋体"/>
          <w:sz w:val="24"/>
          <w:highlight w:val="none"/>
        </w:rPr>
      </w:pPr>
      <w:r>
        <w:rPr>
          <w:rFonts w:hint="eastAsia" w:ascii="宋体" w:cs="宋体"/>
          <w:sz w:val="24"/>
          <w:highlight w:val="none"/>
        </w:rPr>
        <w:t xml:space="preserve">    </w:t>
      </w:r>
      <w:r>
        <w:rPr>
          <w:rFonts w:hint="eastAsia" w:ascii="宋体" w:cs="宋体"/>
          <w:bCs/>
          <w:sz w:val="24"/>
          <w:highlight w:val="none"/>
        </w:rPr>
        <w:t>第十二条  其他</w:t>
      </w:r>
    </w:p>
    <w:p w14:paraId="497FF027">
      <w:pPr>
        <w:spacing w:line="460" w:lineRule="exact"/>
        <w:ind w:firstLine="360" w:firstLineChars="150"/>
        <w:rPr>
          <w:rFonts w:ascii="宋体" w:cs="宋体"/>
          <w:sz w:val="24"/>
          <w:highlight w:val="none"/>
        </w:rPr>
      </w:pPr>
      <w:r>
        <w:rPr>
          <w:rFonts w:hint="eastAsia" w:ascii="宋体" w:cs="宋体"/>
          <w:sz w:val="24"/>
          <w:highlight w:val="none"/>
        </w:rPr>
        <w:t xml:space="preserve"> （一）本合同未尽事宜，由</w:t>
      </w:r>
      <w:bookmarkStart w:id="230" w:name="OLE_LINK1"/>
      <w:r>
        <w:rPr>
          <w:rFonts w:hint="eastAsia" w:ascii="宋体" w:cs="宋体"/>
          <w:sz w:val="24"/>
          <w:highlight w:val="none"/>
        </w:rPr>
        <w:t>甲、乙双方</w:t>
      </w:r>
      <w:bookmarkEnd w:id="230"/>
      <w:r>
        <w:rPr>
          <w:rFonts w:hint="eastAsia" w:ascii="宋体" w:cs="宋体"/>
          <w:sz w:val="24"/>
          <w:highlight w:val="none"/>
        </w:rPr>
        <w:t>协商一致后另行签订补充合同，补充合同作为本合同的不可分割部分具有同等法律效力。</w:t>
      </w:r>
    </w:p>
    <w:p w14:paraId="5C170981">
      <w:pPr>
        <w:wordWrap w:val="0"/>
        <w:spacing w:line="460" w:lineRule="exact"/>
        <w:ind w:firstLine="352" w:firstLineChars="147"/>
        <w:rPr>
          <w:rFonts w:ascii="宋体" w:cs="宋体"/>
          <w:sz w:val="24"/>
          <w:highlight w:val="none"/>
        </w:rPr>
      </w:pPr>
      <w:r>
        <w:rPr>
          <w:rFonts w:hint="eastAsia" w:ascii="宋体" w:cs="宋体"/>
          <w:sz w:val="24"/>
          <w:highlight w:val="none"/>
        </w:rPr>
        <w:t xml:space="preserve"> （二）本合同自甲、乙双方签章后生效。一式</w:t>
      </w:r>
      <w:r>
        <w:rPr>
          <w:rFonts w:hint="eastAsia" w:ascii="宋体" w:cs="宋体"/>
          <w:sz w:val="24"/>
          <w:highlight w:val="none"/>
          <w:u w:val="single"/>
        </w:rPr>
        <w:t xml:space="preserve">    </w:t>
      </w:r>
      <w:r>
        <w:rPr>
          <w:rFonts w:hint="eastAsia" w:ascii="宋体" w:cs="宋体"/>
          <w:sz w:val="24"/>
          <w:highlight w:val="none"/>
        </w:rPr>
        <w:t>份，正本</w:t>
      </w:r>
      <w:r>
        <w:rPr>
          <w:rFonts w:hint="eastAsia" w:ascii="宋体" w:cs="宋体"/>
          <w:sz w:val="24"/>
          <w:highlight w:val="none"/>
          <w:u w:val="single"/>
        </w:rPr>
        <w:t xml:space="preserve"> 贰 </w:t>
      </w:r>
      <w:r>
        <w:rPr>
          <w:rFonts w:hint="eastAsia" w:ascii="宋体" w:cs="宋体"/>
          <w:sz w:val="24"/>
          <w:highlight w:val="none"/>
        </w:rPr>
        <w:t>份，副本</w:t>
      </w:r>
      <w:r>
        <w:rPr>
          <w:rFonts w:hint="eastAsia" w:ascii="宋体" w:cs="宋体"/>
          <w:sz w:val="24"/>
          <w:highlight w:val="none"/>
          <w:u w:val="single"/>
        </w:rPr>
        <w:t xml:space="preserve">    </w:t>
      </w:r>
      <w:r>
        <w:rPr>
          <w:rFonts w:hint="eastAsia" w:ascii="宋体" w:cs="宋体"/>
          <w:sz w:val="24"/>
          <w:highlight w:val="none"/>
        </w:rPr>
        <w:t>份。甲方持正本</w:t>
      </w:r>
      <w:r>
        <w:rPr>
          <w:rFonts w:hint="eastAsia" w:ascii="宋体" w:cs="宋体"/>
          <w:sz w:val="24"/>
          <w:highlight w:val="none"/>
          <w:u w:val="single"/>
        </w:rPr>
        <w:t xml:space="preserve"> 壹 </w:t>
      </w:r>
      <w:r>
        <w:rPr>
          <w:rFonts w:hint="eastAsia" w:ascii="宋体" w:cs="宋体"/>
          <w:sz w:val="24"/>
          <w:highlight w:val="none"/>
        </w:rPr>
        <w:t>份，副本</w:t>
      </w:r>
      <w:r>
        <w:rPr>
          <w:rFonts w:hint="eastAsia" w:ascii="宋体" w:cs="宋体"/>
          <w:sz w:val="24"/>
          <w:highlight w:val="none"/>
          <w:u w:val="single"/>
        </w:rPr>
        <w:t xml:space="preserve">    </w:t>
      </w:r>
      <w:r>
        <w:rPr>
          <w:rFonts w:hint="eastAsia" w:ascii="宋体" w:cs="宋体"/>
          <w:sz w:val="24"/>
          <w:highlight w:val="none"/>
        </w:rPr>
        <w:t>份；乙方持正本</w:t>
      </w:r>
      <w:r>
        <w:rPr>
          <w:rFonts w:hint="eastAsia" w:ascii="宋体" w:cs="宋体"/>
          <w:sz w:val="24"/>
          <w:highlight w:val="none"/>
          <w:u w:val="single"/>
        </w:rPr>
        <w:t xml:space="preserve"> 壹 </w:t>
      </w:r>
      <w:r>
        <w:rPr>
          <w:rFonts w:hint="eastAsia" w:ascii="宋体" w:cs="宋体"/>
          <w:sz w:val="24"/>
          <w:highlight w:val="none"/>
        </w:rPr>
        <w:t>份，副本</w:t>
      </w:r>
      <w:r>
        <w:rPr>
          <w:rFonts w:hint="eastAsia" w:ascii="宋体" w:cs="宋体"/>
          <w:sz w:val="24"/>
          <w:highlight w:val="none"/>
          <w:u w:val="single"/>
        </w:rPr>
        <w:t xml:space="preserve">    </w:t>
      </w:r>
      <w:r>
        <w:rPr>
          <w:rFonts w:hint="eastAsia" w:ascii="宋体" w:cs="宋体"/>
          <w:sz w:val="24"/>
          <w:highlight w:val="none"/>
        </w:rPr>
        <w:t>份；区房屋征收部门副本备案</w:t>
      </w:r>
      <w:r>
        <w:rPr>
          <w:rFonts w:hint="eastAsia" w:ascii="宋体" w:cs="宋体"/>
          <w:sz w:val="24"/>
          <w:highlight w:val="none"/>
          <w:u w:val="single"/>
        </w:rPr>
        <w:t xml:space="preserve"> 壹 </w:t>
      </w:r>
      <w:r>
        <w:rPr>
          <w:rFonts w:hint="eastAsia" w:ascii="宋体" w:cs="宋体"/>
          <w:sz w:val="24"/>
          <w:highlight w:val="none"/>
        </w:rPr>
        <w:t>份。正、副本具有同等法律效力，遇争议时以正本为准。</w:t>
      </w:r>
    </w:p>
    <w:p w14:paraId="44D9CEAA">
      <w:pPr>
        <w:spacing w:line="460" w:lineRule="exact"/>
        <w:ind w:firstLine="360" w:firstLineChars="150"/>
        <w:rPr>
          <w:rFonts w:hint="eastAsia" w:ascii="宋体" w:cs="宋体"/>
          <w:sz w:val="24"/>
          <w:highlight w:val="none"/>
        </w:rPr>
      </w:pPr>
    </w:p>
    <w:p w14:paraId="61E4977D">
      <w:pPr>
        <w:spacing w:line="460" w:lineRule="exact"/>
        <w:ind w:firstLine="360" w:firstLineChars="150"/>
        <w:rPr>
          <w:rFonts w:ascii="宋体" w:cs="宋体"/>
          <w:sz w:val="24"/>
          <w:highlight w:val="none"/>
        </w:rPr>
      </w:pPr>
      <w:r>
        <w:rPr>
          <w:rFonts w:hint="eastAsia" w:ascii="宋体" w:cs="宋体"/>
          <w:sz w:val="24"/>
          <w:highlight w:val="none"/>
        </w:rPr>
        <w:t xml:space="preserve">甲方（盖章）：                         </w:t>
      </w:r>
      <w:r>
        <w:rPr>
          <w:rFonts w:hint="eastAsia" w:ascii="宋体" w:cs="宋体"/>
          <w:sz w:val="24"/>
          <w:highlight w:val="none"/>
          <w:lang w:val="en-US" w:eastAsia="zh-CN"/>
        </w:rPr>
        <w:t xml:space="preserve"> </w:t>
      </w:r>
      <w:r>
        <w:rPr>
          <w:rFonts w:hint="eastAsia" w:ascii="宋体" w:cs="宋体"/>
          <w:sz w:val="24"/>
          <w:highlight w:val="none"/>
        </w:rPr>
        <w:t>乙方（盖章）：</w:t>
      </w:r>
    </w:p>
    <w:p w14:paraId="51AD4A30">
      <w:pPr>
        <w:spacing w:line="460" w:lineRule="exact"/>
        <w:ind w:firstLine="360" w:firstLineChars="150"/>
        <w:rPr>
          <w:rFonts w:ascii="宋体" w:cs="宋体"/>
          <w:sz w:val="24"/>
          <w:highlight w:val="none"/>
        </w:rPr>
      </w:pPr>
    </w:p>
    <w:p w14:paraId="4E01FA22">
      <w:pPr>
        <w:spacing w:line="460" w:lineRule="exact"/>
        <w:ind w:firstLine="360" w:firstLineChars="150"/>
        <w:rPr>
          <w:rFonts w:ascii="宋体" w:cs="宋体"/>
          <w:sz w:val="24"/>
          <w:highlight w:val="none"/>
        </w:rPr>
      </w:pPr>
      <w:r>
        <w:rPr>
          <w:rFonts w:hint="eastAsia" w:ascii="宋体" w:cs="宋体"/>
          <w:sz w:val="24"/>
          <w:highlight w:val="none"/>
        </w:rPr>
        <w:t xml:space="preserve">法定代表人（签字）：                   </w:t>
      </w:r>
      <w:r>
        <w:rPr>
          <w:rFonts w:hint="eastAsia" w:ascii="宋体" w:cs="宋体"/>
          <w:sz w:val="24"/>
          <w:highlight w:val="none"/>
          <w:lang w:val="en-US" w:eastAsia="zh-CN"/>
        </w:rPr>
        <w:t xml:space="preserve"> </w:t>
      </w:r>
      <w:r>
        <w:rPr>
          <w:rFonts w:hint="eastAsia" w:ascii="宋体" w:cs="宋体"/>
          <w:sz w:val="24"/>
          <w:highlight w:val="none"/>
        </w:rPr>
        <w:t xml:space="preserve">法定代表人（签字）：  </w:t>
      </w:r>
    </w:p>
    <w:p w14:paraId="5181F856">
      <w:pPr>
        <w:spacing w:line="460" w:lineRule="exact"/>
        <w:ind w:firstLine="360" w:firstLineChars="150"/>
        <w:rPr>
          <w:rFonts w:ascii="宋体" w:cs="宋体"/>
          <w:sz w:val="24"/>
          <w:highlight w:val="none"/>
        </w:rPr>
      </w:pPr>
    </w:p>
    <w:p w14:paraId="7BE237B2">
      <w:pPr>
        <w:spacing w:line="460" w:lineRule="exact"/>
        <w:ind w:firstLine="360" w:firstLineChars="150"/>
        <w:rPr>
          <w:rFonts w:hint="eastAsia" w:ascii="宋体" w:cs="宋体"/>
          <w:sz w:val="24"/>
          <w:highlight w:val="none"/>
        </w:rPr>
      </w:pPr>
      <w:r>
        <w:rPr>
          <w:rFonts w:hint="eastAsia" w:ascii="宋体" w:cs="宋体"/>
          <w:sz w:val="24"/>
          <w:highlight w:val="none"/>
        </w:rPr>
        <w:t xml:space="preserve">联系电话：                            </w:t>
      </w:r>
      <w:r>
        <w:rPr>
          <w:rFonts w:hint="eastAsia" w:ascii="宋体" w:cs="宋体"/>
          <w:sz w:val="24"/>
          <w:highlight w:val="none"/>
          <w:lang w:val="en-US" w:eastAsia="zh-CN"/>
        </w:rPr>
        <w:t xml:space="preserve">  </w:t>
      </w:r>
      <w:r>
        <w:rPr>
          <w:rFonts w:hint="eastAsia" w:ascii="宋体" w:cs="宋体"/>
          <w:sz w:val="24"/>
          <w:highlight w:val="none"/>
        </w:rPr>
        <w:t>委托代理人：</w:t>
      </w:r>
    </w:p>
    <w:p w14:paraId="5D4D3C75">
      <w:pPr>
        <w:spacing w:line="460" w:lineRule="exact"/>
        <w:ind w:firstLine="360" w:firstLineChars="150"/>
        <w:rPr>
          <w:rFonts w:hint="default" w:ascii="宋体" w:cs="宋体"/>
          <w:sz w:val="24"/>
          <w:highlight w:val="none"/>
          <w:lang w:val="en-US" w:eastAsia="zh-CN"/>
        </w:rPr>
      </w:pPr>
      <w:r>
        <w:rPr>
          <w:rFonts w:hint="eastAsia" w:ascii="宋体" w:cs="宋体"/>
          <w:sz w:val="24"/>
          <w:highlight w:val="none"/>
          <w:lang w:val="en-US" w:eastAsia="zh-CN"/>
        </w:rPr>
        <w:t>联系地址：                              联系地址：</w:t>
      </w:r>
    </w:p>
    <w:p w14:paraId="23855251">
      <w:pPr>
        <w:spacing w:line="460" w:lineRule="exact"/>
        <w:ind w:firstLine="360" w:firstLineChars="150"/>
        <w:rPr>
          <w:rFonts w:hint="default" w:ascii="宋体" w:cs="宋体"/>
          <w:sz w:val="24"/>
          <w:highlight w:val="none"/>
          <w:lang w:val="en-US" w:eastAsia="zh-CN"/>
        </w:rPr>
      </w:pPr>
      <w:r>
        <w:rPr>
          <w:rFonts w:hint="eastAsia" w:ascii="宋体" w:cs="宋体"/>
          <w:sz w:val="24"/>
          <w:highlight w:val="none"/>
          <w:lang w:val="en-US" w:eastAsia="zh-CN"/>
        </w:rPr>
        <w:t>邮编：                                  邮编：</w:t>
      </w:r>
    </w:p>
    <w:p w14:paraId="1044A430">
      <w:pPr>
        <w:spacing w:line="460" w:lineRule="exact"/>
        <w:ind w:firstLine="360" w:firstLineChars="150"/>
        <w:rPr>
          <w:rFonts w:hint="eastAsia" w:ascii="宋体" w:cs="宋体"/>
          <w:sz w:val="24"/>
          <w:highlight w:val="none"/>
        </w:rPr>
      </w:pPr>
      <w:r>
        <w:rPr>
          <w:rFonts w:hint="eastAsia" w:ascii="宋体" w:cs="宋体"/>
          <w:sz w:val="24"/>
          <w:highlight w:val="none"/>
        </w:rPr>
        <w:t xml:space="preserve">                                       </w:t>
      </w:r>
      <w:r>
        <w:rPr>
          <w:rFonts w:hint="eastAsia" w:ascii="宋体" w:cs="宋体"/>
          <w:sz w:val="24"/>
          <w:highlight w:val="none"/>
          <w:lang w:val="en-US" w:eastAsia="zh-CN"/>
        </w:rPr>
        <w:t xml:space="preserve"> </w:t>
      </w:r>
      <w:r>
        <w:rPr>
          <w:rFonts w:hint="eastAsia" w:ascii="宋体" w:cs="宋体"/>
          <w:sz w:val="24"/>
          <w:highlight w:val="none"/>
        </w:rPr>
        <w:t xml:space="preserve">联系电话：    </w:t>
      </w:r>
    </w:p>
    <w:p w14:paraId="70E1A7E3">
      <w:pPr>
        <w:spacing w:line="460" w:lineRule="exact"/>
        <w:ind w:firstLine="360" w:firstLineChars="150"/>
        <w:rPr>
          <w:rFonts w:hint="eastAsia" w:ascii="宋体" w:hAnsi="Times New Roman" w:cs="宋体"/>
          <w:sz w:val="24"/>
          <w:highlight w:val="none"/>
        </w:rPr>
      </w:pPr>
      <w:r>
        <w:rPr>
          <w:rFonts w:hint="eastAsia" w:ascii="宋体" w:cs="宋体"/>
          <w:sz w:val="24"/>
          <w:highlight w:val="none"/>
        </w:rPr>
        <w:t xml:space="preserve">                                       </w:t>
      </w:r>
      <w:r>
        <w:rPr>
          <w:rFonts w:hint="eastAsia" w:ascii="宋体" w:cs="宋体"/>
          <w:sz w:val="24"/>
          <w:highlight w:val="none"/>
          <w:lang w:val="en-US" w:eastAsia="zh-CN"/>
        </w:rPr>
        <w:t xml:space="preserve"> </w:t>
      </w:r>
      <w:r>
        <w:rPr>
          <w:rFonts w:hint="eastAsia" w:ascii="宋体" w:hAnsi="Times New Roman" w:cs="宋体"/>
          <w:sz w:val="24"/>
          <w:highlight w:val="none"/>
        </w:rPr>
        <w:t>开户银行：</w:t>
      </w:r>
    </w:p>
    <w:p w14:paraId="0F776872">
      <w:pPr>
        <w:spacing w:line="460" w:lineRule="exact"/>
        <w:ind w:firstLine="360" w:firstLineChars="150"/>
        <w:rPr>
          <w:rFonts w:ascii="宋体" w:cs="宋体"/>
          <w:sz w:val="24"/>
          <w:highlight w:val="none"/>
        </w:rPr>
      </w:pPr>
      <w:r>
        <w:rPr>
          <w:rFonts w:hint="eastAsia" w:ascii="宋体" w:cs="宋体"/>
          <w:sz w:val="24"/>
          <w:highlight w:val="none"/>
        </w:rPr>
        <w:t xml:space="preserve">                                       </w:t>
      </w:r>
      <w:r>
        <w:rPr>
          <w:rFonts w:hint="eastAsia" w:ascii="宋体" w:cs="宋体"/>
          <w:sz w:val="24"/>
          <w:highlight w:val="none"/>
          <w:lang w:val="en-US" w:eastAsia="zh-CN"/>
        </w:rPr>
        <w:t xml:space="preserve"> </w:t>
      </w:r>
      <w:r>
        <w:rPr>
          <w:rFonts w:hint="eastAsia" w:ascii="宋体" w:hAnsi="Times New Roman" w:cs="宋体"/>
          <w:sz w:val="24"/>
          <w:highlight w:val="none"/>
        </w:rPr>
        <w:t xml:space="preserve">银行帐号：    </w:t>
      </w:r>
      <w:r>
        <w:rPr>
          <w:rFonts w:hint="eastAsia" w:ascii="宋体" w:cs="宋体"/>
          <w:sz w:val="24"/>
          <w:highlight w:val="none"/>
        </w:rPr>
        <w:t xml:space="preserve">                                   </w:t>
      </w:r>
    </w:p>
    <w:p w14:paraId="4221E30E">
      <w:pPr>
        <w:spacing w:line="460" w:lineRule="exact"/>
        <w:ind w:firstLine="360" w:firstLineChars="150"/>
        <w:rPr>
          <w:rFonts w:ascii="宋体" w:cs="宋体"/>
          <w:sz w:val="24"/>
          <w:highlight w:val="none"/>
        </w:rPr>
      </w:pPr>
      <w:r>
        <w:rPr>
          <w:rFonts w:hint="eastAsia" w:ascii="宋体" w:cs="宋体"/>
          <w:sz w:val="24"/>
          <w:highlight w:val="none"/>
        </w:rPr>
        <w:t xml:space="preserve"> </w:t>
      </w:r>
    </w:p>
    <w:p w14:paraId="41FE20B4">
      <w:pPr>
        <w:spacing w:line="400" w:lineRule="exact"/>
        <w:rPr>
          <w:rFonts w:hint="eastAsia" w:ascii="仿宋_GB2312" w:hAnsi="宋体"/>
          <w:b/>
          <w:bCs/>
          <w:sz w:val="24"/>
          <w:highlight w:val="none"/>
          <w:u w:val="single"/>
        </w:rPr>
      </w:pPr>
      <w:r>
        <w:rPr>
          <w:rFonts w:hint="eastAsia" w:ascii="宋体" w:cs="宋体"/>
          <w:sz w:val="24"/>
          <w:highlight w:val="none"/>
        </w:rPr>
        <w:t xml:space="preserve">    签订日期：      年    月    日</w:t>
      </w:r>
    </w:p>
    <w:p w14:paraId="15933485">
      <w:pPr>
        <w:spacing w:line="440" w:lineRule="exact"/>
        <w:ind w:firstLine="440" w:firstLineChars="200"/>
        <w:rPr>
          <w:rFonts w:ascii="宋体" w:hAnsi="宋体" w:cs="Arial"/>
          <w:b/>
          <w:sz w:val="36"/>
          <w:szCs w:val="36"/>
          <w:highlight w:val="none"/>
        </w:rPr>
      </w:pPr>
      <w:r>
        <w:rPr>
          <w:rFonts w:ascii="宋体" w:hAnsi="宋体" w:cs="Arial"/>
          <w:sz w:val="22"/>
          <w:szCs w:val="22"/>
          <w:highlight w:val="none"/>
        </w:rPr>
        <w:br w:type="page"/>
      </w:r>
      <w:bookmarkStart w:id="231" w:name="_Toc239145361"/>
      <w:bookmarkStart w:id="232" w:name="_Toc222114886"/>
      <w:bookmarkStart w:id="233" w:name="_Toc245191321"/>
      <w:bookmarkStart w:id="234" w:name="_Toc249758722"/>
      <w:bookmarkStart w:id="235" w:name="_Toc246261272"/>
      <w:bookmarkStart w:id="236" w:name="_Toc249758872"/>
      <w:bookmarkStart w:id="237" w:name="_Toc245722288"/>
      <w:bookmarkStart w:id="238" w:name="_Toc262105511"/>
      <w:bookmarkStart w:id="239" w:name="_Toc223716005"/>
      <w:bookmarkStart w:id="240" w:name="_Toc262049426"/>
      <w:bookmarkStart w:id="241" w:name="_Toc221423626"/>
      <w:bookmarkStart w:id="242" w:name="_Toc241404209"/>
    </w:p>
    <w:p w14:paraId="4FA39EFE">
      <w:pPr>
        <w:pStyle w:val="4"/>
        <w:rPr>
          <w:rFonts w:ascii="宋体" w:hAnsi="宋体" w:eastAsia="宋体" w:cs="Arial"/>
          <w:sz w:val="36"/>
          <w:szCs w:val="36"/>
          <w:highlight w:val="none"/>
        </w:rPr>
      </w:pPr>
      <w:bookmarkStart w:id="243" w:name="_Toc31951"/>
      <w:r>
        <w:rPr>
          <w:rFonts w:hint="eastAsia" w:ascii="宋体" w:hAnsi="宋体" w:eastAsia="宋体" w:cs="Arial"/>
          <w:sz w:val="36"/>
          <w:szCs w:val="36"/>
          <w:highlight w:val="none"/>
        </w:rPr>
        <w:t xml:space="preserve">第五部分   </w:t>
      </w:r>
      <w:bookmarkEnd w:id="216"/>
      <w:bookmarkEnd w:id="217"/>
      <w:bookmarkEnd w:id="218"/>
      <w:bookmarkEnd w:id="231"/>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cs="Arial"/>
          <w:sz w:val="36"/>
          <w:szCs w:val="36"/>
          <w:highlight w:val="none"/>
        </w:rPr>
        <w:t>附件</w:t>
      </w:r>
      <w:bookmarkEnd w:id="243"/>
    </w:p>
    <w:p w14:paraId="03355984">
      <w:pPr>
        <w:rPr>
          <w:rFonts w:ascii="宋体" w:hAnsi="宋体"/>
          <w:highlight w:val="none"/>
        </w:rPr>
      </w:pPr>
    </w:p>
    <w:p w14:paraId="5F3A346D">
      <w:pPr>
        <w:spacing w:line="460" w:lineRule="exact"/>
        <w:rPr>
          <w:rFonts w:ascii="宋体" w:hAnsi="宋体"/>
          <w:b/>
          <w:bCs/>
          <w:sz w:val="22"/>
          <w:szCs w:val="22"/>
          <w:highlight w:val="none"/>
        </w:rPr>
      </w:pPr>
      <w:r>
        <w:rPr>
          <w:rFonts w:hint="eastAsia" w:ascii="宋体" w:hAnsi="宋体"/>
          <w:b/>
          <w:bCs/>
          <w:sz w:val="22"/>
          <w:szCs w:val="22"/>
          <w:highlight w:val="none"/>
        </w:rPr>
        <w:t>附件一</w:t>
      </w:r>
    </w:p>
    <w:p w14:paraId="124DE0A7">
      <w:pPr>
        <w:spacing w:line="460" w:lineRule="exact"/>
        <w:jc w:val="center"/>
        <w:rPr>
          <w:rFonts w:ascii="宋体" w:hAnsi="宋体" w:cs="仿宋"/>
          <w:b/>
          <w:bCs/>
          <w:sz w:val="28"/>
          <w:szCs w:val="28"/>
          <w:highlight w:val="none"/>
        </w:rPr>
      </w:pPr>
      <w:r>
        <w:rPr>
          <w:rFonts w:hint="eastAsia" w:ascii="宋体" w:hAnsi="宋体" w:cs="仿宋"/>
          <w:b/>
          <w:bCs/>
          <w:sz w:val="28"/>
          <w:szCs w:val="28"/>
          <w:highlight w:val="none"/>
        </w:rPr>
        <w:t>资格审查料</w:t>
      </w:r>
    </w:p>
    <w:p w14:paraId="28F087EF">
      <w:pPr>
        <w:spacing w:line="460" w:lineRule="exact"/>
        <w:jc w:val="center"/>
        <w:rPr>
          <w:rFonts w:ascii="宋体" w:hAnsi="宋体" w:cs="仿宋"/>
          <w:sz w:val="28"/>
          <w:szCs w:val="28"/>
          <w:highlight w:val="none"/>
        </w:rPr>
      </w:pPr>
    </w:p>
    <w:p w14:paraId="28D58DF6">
      <w:pPr>
        <w:spacing w:line="380" w:lineRule="exact"/>
        <w:jc w:val="center"/>
        <w:rPr>
          <w:rFonts w:ascii="宋体" w:hAnsi="宋体" w:cs="仿宋"/>
          <w:b/>
          <w:sz w:val="22"/>
          <w:szCs w:val="22"/>
          <w:highlight w:val="none"/>
        </w:rPr>
      </w:pPr>
      <w:r>
        <w:rPr>
          <w:rFonts w:hint="eastAsia" w:ascii="宋体" w:hAnsi="宋体" w:cs="仿宋"/>
          <w:b/>
          <w:sz w:val="22"/>
          <w:szCs w:val="22"/>
          <w:highlight w:val="none"/>
        </w:rPr>
        <w:t>（1-1）法定代表人声明书</w:t>
      </w:r>
    </w:p>
    <w:p w14:paraId="6925887B">
      <w:pPr>
        <w:spacing w:line="400" w:lineRule="exact"/>
        <w:rPr>
          <w:rFonts w:ascii="宋体" w:hAnsi="宋体"/>
          <w:highlight w:val="none"/>
        </w:rPr>
      </w:pPr>
    </w:p>
    <w:p w14:paraId="24627328">
      <w:pPr>
        <w:spacing w:line="420" w:lineRule="exact"/>
        <w:rPr>
          <w:rFonts w:ascii="宋体" w:hAnsi="宋体"/>
          <w:sz w:val="22"/>
          <w:szCs w:val="22"/>
          <w:highlight w:val="none"/>
        </w:rPr>
      </w:pPr>
      <w:r>
        <w:rPr>
          <w:rFonts w:hint="eastAsia" w:ascii="宋体" w:hAnsi="宋体"/>
          <w:bCs/>
          <w:sz w:val="22"/>
          <w:szCs w:val="22"/>
          <w:highlight w:val="none"/>
          <w:lang w:eastAsia="zh-CN"/>
        </w:rPr>
        <w:t>温州市龙湾区人民政府海滨街道办事处</w:t>
      </w:r>
      <w:r>
        <w:rPr>
          <w:rFonts w:hint="eastAsia" w:ascii="宋体" w:hAnsi="宋体"/>
          <w:sz w:val="22"/>
          <w:szCs w:val="22"/>
          <w:highlight w:val="none"/>
        </w:rPr>
        <w:t>：</w:t>
      </w:r>
    </w:p>
    <w:p w14:paraId="3952C393">
      <w:pPr>
        <w:spacing w:line="420" w:lineRule="exact"/>
        <w:rPr>
          <w:rFonts w:ascii="宋体" w:hAnsi="宋体"/>
          <w:sz w:val="22"/>
          <w:szCs w:val="22"/>
          <w:highlight w:val="none"/>
        </w:rPr>
      </w:pPr>
      <w:r>
        <w:rPr>
          <w:rFonts w:hint="eastAsia" w:ascii="宋体" w:hAnsi="宋体"/>
          <w:sz w:val="22"/>
          <w:szCs w:val="22"/>
          <w:highlight w:val="none"/>
        </w:rPr>
        <w:t>温州市滨海招标代理有限公司：</w:t>
      </w:r>
    </w:p>
    <w:p w14:paraId="7C618B9F">
      <w:pPr>
        <w:spacing w:line="460" w:lineRule="exact"/>
        <w:rPr>
          <w:rFonts w:ascii="宋体" w:hAnsi="宋体"/>
          <w:sz w:val="22"/>
          <w:szCs w:val="22"/>
          <w:highlight w:val="none"/>
          <w:u w:val="single"/>
        </w:rPr>
      </w:pPr>
    </w:p>
    <w:p w14:paraId="499B6F58">
      <w:pPr>
        <w:spacing w:line="460" w:lineRule="exact"/>
        <w:ind w:firstLine="220" w:firstLineChars="100"/>
        <w:rPr>
          <w:rFonts w:hint="eastAsia" w:ascii="宋体" w:hAnsi="宋体"/>
          <w:sz w:val="22"/>
          <w:szCs w:val="22"/>
          <w:highlight w:val="none"/>
        </w:rPr>
      </w:pPr>
      <w:r>
        <w:rPr>
          <w:rFonts w:hint="eastAsia" w:ascii="宋体" w:hAnsi="宋体"/>
          <w:sz w:val="22"/>
          <w:szCs w:val="22"/>
          <w:highlight w:val="none"/>
        </w:rPr>
        <w:t>本人</w:t>
      </w:r>
      <w:r>
        <w:rPr>
          <w:rFonts w:hint="eastAsia" w:ascii="宋体" w:hAnsi="宋体"/>
          <w:sz w:val="22"/>
          <w:szCs w:val="22"/>
          <w:highlight w:val="none"/>
          <w:u w:val="single"/>
        </w:rPr>
        <w:t>（法定代表人姓名）</w:t>
      </w:r>
      <w:r>
        <w:rPr>
          <w:rFonts w:hint="eastAsia" w:ascii="宋体" w:hAnsi="宋体"/>
          <w:sz w:val="22"/>
          <w:szCs w:val="22"/>
          <w:highlight w:val="none"/>
        </w:rPr>
        <w:t>为</w:t>
      </w:r>
      <w:r>
        <w:rPr>
          <w:rFonts w:hint="eastAsia" w:ascii="宋体" w:hAnsi="宋体"/>
          <w:sz w:val="22"/>
          <w:szCs w:val="22"/>
          <w:highlight w:val="none"/>
          <w:u w:val="single"/>
        </w:rPr>
        <w:t>（投标人全称）</w:t>
      </w:r>
      <w:r>
        <w:rPr>
          <w:rFonts w:hint="eastAsia" w:ascii="宋体" w:hAnsi="宋体"/>
          <w:sz w:val="22"/>
          <w:szCs w:val="22"/>
          <w:highlight w:val="none"/>
        </w:rPr>
        <w:t>的法定代表人。我公司参加贵处组织的</w:t>
      </w:r>
      <w:r>
        <w:rPr>
          <w:rFonts w:hint="eastAsia" w:ascii="宋体" w:hAnsi="宋体"/>
          <w:sz w:val="22"/>
          <w:szCs w:val="22"/>
          <w:highlight w:val="none"/>
          <w:u w:val="single"/>
        </w:rPr>
        <w:t>（</w:t>
      </w: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sz w:val="22"/>
          <w:szCs w:val="22"/>
          <w:highlight w:val="none"/>
          <w:u w:val="single"/>
        </w:rPr>
        <w:t>、WZBH-2025012401）</w:t>
      </w:r>
      <w:r>
        <w:rPr>
          <w:rFonts w:hint="eastAsia" w:ascii="宋体" w:hAnsi="宋体"/>
          <w:sz w:val="22"/>
          <w:szCs w:val="22"/>
          <w:highlight w:val="none"/>
        </w:rPr>
        <w:t>的招标活动，由我本人全权代表我方处理招标活动中的一切事宜。</w:t>
      </w:r>
    </w:p>
    <w:p w14:paraId="4E4F2DB3">
      <w:pPr>
        <w:spacing w:line="460" w:lineRule="exact"/>
        <w:ind w:firstLine="220" w:firstLineChars="100"/>
        <w:rPr>
          <w:rFonts w:ascii="宋体" w:hAnsi="宋体"/>
          <w:sz w:val="22"/>
          <w:szCs w:val="22"/>
          <w:highlight w:val="none"/>
        </w:rPr>
      </w:pPr>
      <w:r>
        <w:rPr>
          <w:rFonts w:hint="eastAsia" w:ascii="宋体" w:hAnsi="宋体"/>
          <w:sz w:val="22"/>
          <w:szCs w:val="22"/>
          <w:highlight w:val="none"/>
        </w:rPr>
        <w:t>联系方式如下：</w:t>
      </w:r>
      <w:r>
        <w:rPr>
          <w:rFonts w:hint="eastAsia" w:ascii="宋体" w:hAnsi="宋体"/>
          <w:sz w:val="22"/>
          <w:szCs w:val="22"/>
          <w:highlight w:val="none"/>
          <w:u w:val="single"/>
        </w:rPr>
        <w:t xml:space="preserve">手机号码：       联系邮箱:         详细通讯地址：             </w:t>
      </w:r>
      <w:r>
        <w:rPr>
          <w:rFonts w:hint="eastAsia" w:ascii="宋体" w:hAnsi="宋体"/>
          <w:sz w:val="22"/>
          <w:szCs w:val="22"/>
          <w:highlight w:val="none"/>
        </w:rPr>
        <w:t xml:space="preserve">。  </w:t>
      </w:r>
    </w:p>
    <w:p w14:paraId="5CC838E9">
      <w:pPr>
        <w:spacing w:line="400" w:lineRule="exact"/>
        <w:rPr>
          <w:rFonts w:ascii="宋体" w:hAnsi="宋体"/>
          <w:highlight w:val="none"/>
        </w:rPr>
      </w:pPr>
    </w:p>
    <w:p w14:paraId="085C1E04">
      <w:pPr>
        <w:spacing w:line="400" w:lineRule="exact"/>
        <w:rPr>
          <w:rFonts w:ascii="宋体" w:hAnsi="宋体"/>
          <w:highlight w:val="none"/>
        </w:rPr>
      </w:pPr>
    </w:p>
    <w:p w14:paraId="5D907FFD">
      <w:pPr>
        <w:spacing w:line="400" w:lineRule="exact"/>
        <w:rPr>
          <w:rFonts w:ascii="宋体" w:hAnsi="宋体"/>
          <w:highlight w:val="none"/>
        </w:rPr>
      </w:pPr>
    </w:p>
    <w:p w14:paraId="7805E759">
      <w:pPr>
        <w:spacing w:line="460" w:lineRule="exact"/>
        <w:ind w:firstLine="3971" w:firstLineChars="1805"/>
        <w:rPr>
          <w:rFonts w:ascii="宋体" w:hAnsi="宋体"/>
          <w:sz w:val="22"/>
          <w:szCs w:val="22"/>
          <w:highlight w:val="none"/>
        </w:rPr>
      </w:pPr>
    </w:p>
    <w:p w14:paraId="28883D5B">
      <w:pPr>
        <w:spacing w:line="460" w:lineRule="exact"/>
        <w:ind w:firstLine="2955"/>
        <w:rPr>
          <w:rFonts w:ascii="宋体" w:hAnsi="宋体"/>
          <w:sz w:val="22"/>
          <w:szCs w:val="22"/>
          <w:highlight w:val="none"/>
        </w:rPr>
      </w:pPr>
      <w:r>
        <w:rPr>
          <w:rFonts w:hint="eastAsia" w:ascii="宋体" w:hAnsi="宋体"/>
          <w:sz w:val="22"/>
          <w:szCs w:val="22"/>
          <w:highlight w:val="none"/>
        </w:rPr>
        <w:t xml:space="preserve">         投标人全称（公章）：</w:t>
      </w:r>
    </w:p>
    <w:p w14:paraId="36BD88E0">
      <w:pPr>
        <w:spacing w:line="460" w:lineRule="exact"/>
        <w:ind w:firstLine="2955"/>
        <w:rPr>
          <w:rFonts w:ascii="宋体" w:hAnsi="宋体"/>
          <w:sz w:val="22"/>
          <w:szCs w:val="22"/>
          <w:highlight w:val="none"/>
        </w:rPr>
      </w:pPr>
      <w:r>
        <w:rPr>
          <w:rFonts w:hint="eastAsia" w:ascii="宋体" w:hAnsi="宋体"/>
          <w:sz w:val="22"/>
          <w:szCs w:val="22"/>
          <w:highlight w:val="none"/>
        </w:rPr>
        <w:t xml:space="preserve">         日期：     年    月   日</w:t>
      </w:r>
    </w:p>
    <w:p w14:paraId="660E8142">
      <w:pPr>
        <w:spacing w:line="460" w:lineRule="exact"/>
        <w:rPr>
          <w:rFonts w:ascii="宋体" w:hAnsi="宋体"/>
          <w:sz w:val="22"/>
          <w:szCs w:val="22"/>
          <w:highlight w:val="none"/>
        </w:rPr>
      </w:pPr>
    </w:p>
    <w:p w14:paraId="506E016F">
      <w:pPr>
        <w:widowControl/>
        <w:jc w:val="left"/>
        <w:rPr>
          <w:rFonts w:ascii="Arial" w:hAnsi="Arial" w:cs="Arial"/>
          <w:szCs w:val="21"/>
          <w:highlight w:val="none"/>
        </w:rPr>
      </w:pPr>
    </w:p>
    <w:p w14:paraId="6E06E3C1">
      <w:pPr>
        <w:widowControl/>
        <w:jc w:val="left"/>
        <w:rPr>
          <w:rFonts w:ascii="Arial" w:hAnsi="Arial" w:cs="Arial"/>
          <w:szCs w:val="21"/>
          <w:highlight w:val="none"/>
        </w:rPr>
      </w:pPr>
    </w:p>
    <w:p w14:paraId="62ECCE77">
      <w:pPr>
        <w:widowControl/>
        <w:jc w:val="left"/>
        <w:rPr>
          <w:rFonts w:ascii="Arial" w:hAnsi="Arial" w:cs="Arial"/>
          <w:szCs w:val="21"/>
          <w:highlight w:val="none"/>
        </w:rPr>
      </w:pPr>
      <w:r>
        <w:rPr>
          <w:rFonts w:hint="eastAsia" w:ascii="宋体" w:hAnsi="宋体"/>
          <w:b/>
          <w:sz w:val="22"/>
          <w:szCs w:val="22"/>
          <w:highlight w:val="none"/>
        </w:rPr>
        <w:t>附：法定代表人</w:t>
      </w:r>
      <w:r>
        <w:rPr>
          <w:rFonts w:ascii="宋体" w:hAnsi="宋体"/>
          <w:b/>
          <w:sz w:val="22"/>
          <w:szCs w:val="22"/>
          <w:highlight w:val="none"/>
        </w:rPr>
        <w:t>身</w:t>
      </w:r>
      <w:r>
        <w:rPr>
          <w:rFonts w:ascii="宋体" w:hAnsi="宋体" w:cs="Courier New"/>
          <w:b/>
          <w:sz w:val="22"/>
          <w:szCs w:val="22"/>
          <w:highlight w:val="none"/>
        </w:rPr>
        <w:t>份证正反面复印件</w:t>
      </w:r>
      <w:r>
        <w:rPr>
          <w:rFonts w:ascii="Arial" w:hAnsi="Arial" w:cs="Arial"/>
          <w:szCs w:val="21"/>
          <w:highlight w:val="none"/>
        </w:rPr>
        <w:br w:type="page"/>
      </w:r>
    </w:p>
    <w:p w14:paraId="1CDEEB1D">
      <w:pPr>
        <w:spacing w:line="360" w:lineRule="exact"/>
        <w:rPr>
          <w:rFonts w:ascii="Arial" w:hAnsi="Arial" w:cs="Arial"/>
          <w:szCs w:val="21"/>
          <w:highlight w:val="none"/>
        </w:rPr>
      </w:pPr>
    </w:p>
    <w:p w14:paraId="3C447D4D">
      <w:pPr>
        <w:spacing w:line="380" w:lineRule="exact"/>
        <w:jc w:val="center"/>
        <w:rPr>
          <w:rFonts w:ascii="宋体" w:hAnsi="宋体" w:cs="仿宋"/>
          <w:b/>
          <w:sz w:val="22"/>
          <w:szCs w:val="22"/>
          <w:highlight w:val="none"/>
        </w:rPr>
      </w:pPr>
    </w:p>
    <w:p w14:paraId="367F785F">
      <w:pPr>
        <w:spacing w:line="380" w:lineRule="exact"/>
        <w:jc w:val="center"/>
        <w:rPr>
          <w:rFonts w:ascii="宋体" w:hAnsi="宋体" w:cs="仿宋"/>
          <w:b/>
          <w:sz w:val="22"/>
          <w:szCs w:val="22"/>
          <w:highlight w:val="none"/>
        </w:rPr>
      </w:pPr>
      <w:r>
        <w:rPr>
          <w:rFonts w:hint="eastAsia" w:ascii="宋体" w:hAnsi="宋体" w:cs="仿宋"/>
          <w:b/>
          <w:sz w:val="22"/>
          <w:szCs w:val="22"/>
          <w:highlight w:val="none"/>
        </w:rPr>
        <w:t>（1-2）法定代表人授权书</w:t>
      </w:r>
    </w:p>
    <w:p w14:paraId="19CEB99F">
      <w:pPr>
        <w:spacing w:line="400" w:lineRule="exact"/>
        <w:jc w:val="center"/>
        <w:rPr>
          <w:rFonts w:ascii="宋体" w:hAnsi="宋体"/>
          <w:b/>
          <w:bCs/>
          <w:sz w:val="28"/>
          <w:szCs w:val="28"/>
          <w:highlight w:val="none"/>
        </w:rPr>
      </w:pPr>
    </w:p>
    <w:p w14:paraId="296E4193">
      <w:pPr>
        <w:spacing w:line="420" w:lineRule="exact"/>
        <w:rPr>
          <w:rFonts w:ascii="宋体" w:hAnsi="宋体"/>
          <w:sz w:val="22"/>
          <w:szCs w:val="22"/>
          <w:highlight w:val="none"/>
        </w:rPr>
      </w:pPr>
      <w:r>
        <w:rPr>
          <w:rFonts w:hint="eastAsia" w:ascii="宋体" w:hAnsi="宋体"/>
          <w:bCs/>
          <w:sz w:val="22"/>
          <w:szCs w:val="22"/>
          <w:highlight w:val="none"/>
          <w:lang w:eastAsia="zh-CN"/>
        </w:rPr>
        <w:t>温州市龙湾区人民政府海滨街道办事处</w:t>
      </w:r>
      <w:r>
        <w:rPr>
          <w:rFonts w:hint="eastAsia" w:ascii="宋体" w:hAnsi="宋体"/>
          <w:sz w:val="22"/>
          <w:szCs w:val="22"/>
          <w:highlight w:val="none"/>
        </w:rPr>
        <w:t>：</w:t>
      </w:r>
    </w:p>
    <w:p w14:paraId="503B84AF">
      <w:pPr>
        <w:spacing w:line="420" w:lineRule="exact"/>
        <w:rPr>
          <w:rFonts w:ascii="宋体" w:hAnsi="宋体"/>
          <w:sz w:val="22"/>
          <w:szCs w:val="22"/>
          <w:highlight w:val="none"/>
        </w:rPr>
      </w:pPr>
      <w:r>
        <w:rPr>
          <w:rFonts w:hint="eastAsia" w:ascii="宋体" w:hAnsi="宋体"/>
          <w:sz w:val="22"/>
          <w:szCs w:val="22"/>
          <w:highlight w:val="none"/>
        </w:rPr>
        <w:t>温州市滨海招标代理有限公司：</w:t>
      </w:r>
    </w:p>
    <w:p w14:paraId="28BA019C">
      <w:pPr>
        <w:spacing w:line="460" w:lineRule="exact"/>
        <w:rPr>
          <w:rFonts w:ascii="宋体" w:hAnsi="宋体"/>
          <w:sz w:val="22"/>
          <w:szCs w:val="22"/>
          <w:highlight w:val="none"/>
          <w:u w:val="single"/>
        </w:rPr>
      </w:pPr>
    </w:p>
    <w:p w14:paraId="3A7512CC">
      <w:pPr>
        <w:spacing w:line="460" w:lineRule="exact"/>
        <w:ind w:firstLine="220" w:firstLineChars="100"/>
        <w:rPr>
          <w:rFonts w:hint="eastAsia" w:ascii="宋体" w:hAnsi="宋体"/>
          <w:sz w:val="22"/>
          <w:szCs w:val="22"/>
          <w:highlight w:val="none"/>
        </w:rPr>
      </w:pPr>
      <w:r>
        <w:rPr>
          <w:rFonts w:hint="eastAsia" w:ascii="宋体" w:hAnsi="宋体"/>
          <w:sz w:val="22"/>
          <w:szCs w:val="22"/>
          <w:highlight w:val="none"/>
          <w:u w:val="single"/>
        </w:rPr>
        <w:t>（投标人全称）</w:t>
      </w:r>
      <w:r>
        <w:rPr>
          <w:rFonts w:hint="eastAsia" w:ascii="宋体" w:hAnsi="宋体"/>
          <w:sz w:val="22"/>
          <w:szCs w:val="22"/>
          <w:highlight w:val="none"/>
        </w:rPr>
        <w:t xml:space="preserve">法定代表人 </w:t>
      </w:r>
      <w:r>
        <w:rPr>
          <w:rFonts w:hint="eastAsia" w:ascii="宋体" w:hAnsi="宋体"/>
          <w:sz w:val="22"/>
          <w:szCs w:val="22"/>
          <w:highlight w:val="none"/>
          <w:u w:val="single"/>
        </w:rPr>
        <w:t>（法定代表人姓名）</w:t>
      </w:r>
      <w:r>
        <w:rPr>
          <w:rFonts w:hint="eastAsia" w:ascii="宋体" w:hAnsi="宋体"/>
          <w:sz w:val="22"/>
          <w:szCs w:val="22"/>
          <w:highlight w:val="none"/>
        </w:rPr>
        <w:t xml:space="preserve"> 授权</w:t>
      </w:r>
      <w:r>
        <w:rPr>
          <w:rFonts w:hint="eastAsia" w:ascii="宋体" w:hAnsi="宋体"/>
          <w:sz w:val="22"/>
          <w:szCs w:val="22"/>
          <w:highlight w:val="none"/>
          <w:u w:val="single"/>
        </w:rPr>
        <w:t>（全权代表姓名）</w:t>
      </w:r>
      <w:r>
        <w:rPr>
          <w:rFonts w:hint="eastAsia" w:ascii="宋体" w:hAnsi="宋体"/>
          <w:sz w:val="22"/>
          <w:szCs w:val="22"/>
          <w:highlight w:val="none"/>
        </w:rPr>
        <w:t>为本项目全权代表，参加贵处组织的</w:t>
      </w:r>
      <w:r>
        <w:rPr>
          <w:rFonts w:hint="eastAsia" w:ascii="宋体" w:hAnsi="宋体"/>
          <w:sz w:val="22"/>
          <w:szCs w:val="22"/>
          <w:highlight w:val="none"/>
          <w:u w:val="single"/>
        </w:rPr>
        <w:t>（</w:t>
      </w: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sz w:val="22"/>
          <w:szCs w:val="22"/>
          <w:highlight w:val="none"/>
          <w:u w:val="single"/>
        </w:rPr>
        <w:t>、WZBH-2025012401）</w:t>
      </w:r>
      <w:r>
        <w:rPr>
          <w:rFonts w:hint="eastAsia" w:ascii="宋体" w:hAnsi="宋体"/>
          <w:sz w:val="22"/>
          <w:szCs w:val="22"/>
          <w:highlight w:val="none"/>
        </w:rPr>
        <w:t>的招标活动，全权代表我方处理招标活动中的一切事宜。</w:t>
      </w:r>
    </w:p>
    <w:p w14:paraId="675AC0C4">
      <w:pPr>
        <w:spacing w:line="460" w:lineRule="exact"/>
        <w:ind w:firstLine="220" w:firstLineChars="100"/>
        <w:rPr>
          <w:rFonts w:ascii="宋体" w:hAnsi="宋体"/>
          <w:sz w:val="22"/>
          <w:szCs w:val="22"/>
          <w:highlight w:val="none"/>
        </w:rPr>
      </w:pPr>
      <w:r>
        <w:rPr>
          <w:rFonts w:hint="eastAsia" w:ascii="宋体" w:hAnsi="宋体"/>
          <w:sz w:val="22"/>
          <w:szCs w:val="22"/>
          <w:highlight w:val="none"/>
        </w:rPr>
        <w:t>联系方式如下：</w:t>
      </w:r>
      <w:r>
        <w:rPr>
          <w:rFonts w:hint="eastAsia" w:ascii="宋体" w:hAnsi="宋体"/>
          <w:sz w:val="22"/>
          <w:szCs w:val="22"/>
          <w:highlight w:val="none"/>
          <w:u w:val="single"/>
        </w:rPr>
        <w:t xml:space="preserve">手机号码：       联系邮箱:         详细通讯地址：             </w:t>
      </w:r>
      <w:r>
        <w:rPr>
          <w:rFonts w:hint="eastAsia" w:ascii="宋体" w:hAnsi="宋体"/>
          <w:sz w:val="22"/>
          <w:szCs w:val="22"/>
          <w:highlight w:val="none"/>
        </w:rPr>
        <w:t xml:space="preserve">。  </w:t>
      </w:r>
    </w:p>
    <w:p w14:paraId="2A8F32AA">
      <w:pPr>
        <w:spacing w:line="460" w:lineRule="exact"/>
        <w:ind w:firstLine="220" w:firstLineChars="100"/>
        <w:rPr>
          <w:rFonts w:ascii="宋体" w:hAnsi="宋体"/>
          <w:sz w:val="22"/>
          <w:szCs w:val="22"/>
          <w:highlight w:val="none"/>
        </w:rPr>
      </w:pPr>
    </w:p>
    <w:p w14:paraId="4486661F">
      <w:pPr>
        <w:spacing w:line="460" w:lineRule="exact"/>
        <w:ind w:firstLine="550" w:firstLineChars="250"/>
        <w:rPr>
          <w:rFonts w:ascii="宋体" w:hAnsi="宋体"/>
          <w:sz w:val="22"/>
          <w:szCs w:val="22"/>
          <w:highlight w:val="none"/>
        </w:rPr>
      </w:pPr>
    </w:p>
    <w:p w14:paraId="4C78A7A3">
      <w:pPr>
        <w:spacing w:line="460" w:lineRule="exact"/>
        <w:ind w:firstLine="2955"/>
        <w:rPr>
          <w:rFonts w:ascii="宋体" w:hAnsi="宋体"/>
          <w:sz w:val="22"/>
          <w:szCs w:val="22"/>
          <w:highlight w:val="none"/>
        </w:rPr>
      </w:pPr>
    </w:p>
    <w:p w14:paraId="61567873">
      <w:pPr>
        <w:spacing w:line="460" w:lineRule="exact"/>
        <w:ind w:firstLine="3980"/>
        <w:rPr>
          <w:rFonts w:ascii="宋体" w:hAnsi="宋体"/>
          <w:sz w:val="22"/>
          <w:szCs w:val="22"/>
          <w:highlight w:val="none"/>
        </w:rPr>
      </w:pPr>
      <w:r>
        <w:rPr>
          <w:rFonts w:hint="eastAsia" w:ascii="宋体" w:hAnsi="宋体"/>
          <w:sz w:val="22"/>
          <w:szCs w:val="22"/>
          <w:highlight w:val="none"/>
        </w:rPr>
        <w:t>法定代表人 (签字或盖章)：</w:t>
      </w:r>
    </w:p>
    <w:p w14:paraId="134E4FC8">
      <w:pPr>
        <w:spacing w:line="460" w:lineRule="exact"/>
        <w:ind w:firstLine="2955"/>
        <w:rPr>
          <w:rFonts w:ascii="宋体" w:hAnsi="宋体"/>
          <w:sz w:val="22"/>
          <w:szCs w:val="22"/>
          <w:highlight w:val="none"/>
        </w:rPr>
      </w:pPr>
      <w:r>
        <w:rPr>
          <w:rFonts w:hint="eastAsia" w:ascii="宋体" w:hAnsi="宋体"/>
          <w:sz w:val="22"/>
          <w:szCs w:val="22"/>
          <w:highlight w:val="none"/>
        </w:rPr>
        <w:t xml:space="preserve">         投标人全称（公章）：</w:t>
      </w:r>
    </w:p>
    <w:p w14:paraId="062855E4">
      <w:pPr>
        <w:spacing w:line="460" w:lineRule="exact"/>
        <w:ind w:firstLine="2955"/>
        <w:rPr>
          <w:rFonts w:ascii="宋体" w:hAnsi="宋体"/>
          <w:sz w:val="22"/>
          <w:szCs w:val="22"/>
          <w:highlight w:val="none"/>
        </w:rPr>
      </w:pPr>
      <w:r>
        <w:rPr>
          <w:rFonts w:hint="eastAsia" w:ascii="宋体" w:hAnsi="宋体"/>
          <w:sz w:val="22"/>
          <w:szCs w:val="22"/>
          <w:highlight w:val="none"/>
        </w:rPr>
        <w:t xml:space="preserve">         日期：     年    月   日</w:t>
      </w:r>
    </w:p>
    <w:p w14:paraId="28D1295E">
      <w:pPr>
        <w:spacing w:line="460" w:lineRule="exact"/>
        <w:rPr>
          <w:rFonts w:ascii="宋体" w:hAnsi="宋体"/>
          <w:sz w:val="22"/>
          <w:szCs w:val="22"/>
          <w:highlight w:val="none"/>
        </w:rPr>
      </w:pPr>
    </w:p>
    <w:p w14:paraId="253C5C4B">
      <w:pPr>
        <w:spacing w:line="460" w:lineRule="exact"/>
        <w:rPr>
          <w:rFonts w:ascii="宋体" w:hAnsi="宋体"/>
          <w:sz w:val="22"/>
          <w:szCs w:val="22"/>
          <w:highlight w:val="none"/>
        </w:rPr>
      </w:pPr>
    </w:p>
    <w:p w14:paraId="1FEF5BB1">
      <w:pPr>
        <w:spacing w:line="460" w:lineRule="exact"/>
        <w:rPr>
          <w:rFonts w:ascii="宋体" w:hAnsi="宋体"/>
          <w:sz w:val="22"/>
          <w:szCs w:val="22"/>
          <w:highlight w:val="none"/>
        </w:rPr>
      </w:pPr>
      <w:r>
        <w:rPr>
          <w:rFonts w:hint="eastAsia" w:ascii="宋体" w:hAnsi="宋体"/>
          <w:b/>
          <w:sz w:val="22"/>
          <w:szCs w:val="22"/>
          <w:highlight w:val="none"/>
        </w:rPr>
        <w:t>附：法定代表人及授权代表的</w:t>
      </w:r>
      <w:r>
        <w:rPr>
          <w:rFonts w:ascii="宋体" w:hAnsi="宋体" w:cs="Courier New"/>
          <w:b/>
          <w:sz w:val="22"/>
          <w:szCs w:val="22"/>
          <w:highlight w:val="none"/>
        </w:rPr>
        <w:t>身份证</w:t>
      </w:r>
      <w:r>
        <w:rPr>
          <w:rFonts w:hint="eastAsia" w:ascii="宋体" w:hAnsi="宋体"/>
          <w:b/>
          <w:sz w:val="22"/>
          <w:szCs w:val="22"/>
          <w:highlight w:val="none"/>
        </w:rPr>
        <w:t>正反面复印件</w:t>
      </w:r>
    </w:p>
    <w:p w14:paraId="60672C13">
      <w:pPr>
        <w:widowControl/>
        <w:jc w:val="left"/>
        <w:rPr>
          <w:rFonts w:ascii="宋体" w:hAnsi="宋体"/>
          <w:b/>
          <w:bCs/>
          <w:highlight w:val="none"/>
        </w:rPr>
      </w:pPr>
    </w:p>
    <w:p w14:paraId="3DF8AEEC">
      <w:pPr>
        <w:widowControl/>
        <w:jc w:val="left"/>
        <w:rPr>
          <w:rFonts w:ascii="宋体" w:hAnsi="宋体"/>
          <w:b/>
          <w:bCs/>
          <w:highlight w:val="none"/>
        </w:rPr>
      </w:pPr>
    </w:p>
    <w:p w14:paraId="4BCD7361">
      <w:pPr>
        <w:widowControl/>
        <w:jc w:val="left"/>
        <w:rPr>
          <w:rFonts w:ascii="宋体" w:hAnsi="宋体"/>
          <w:b/>
          <w:bCs/>
          <w:highlight w:val="none"/>
        </w:rPr>
      </w:pPr>
    </w:p>
    <w:p w14:paraId="7819368D">
      <w:pPr>
        <w:widowControl/>
        <w:jc w:val="left"/>
        <w:rPr>
          <w:rFonts w:ascii="宋体" w:hAnsi="宋体"/>
          <w:b/>
          <w:bCs/>
          <w:highlight w:val="none"/>
        </w:rPr>
      </w:pPr>
    </w:p>
    <w:p w14:paraId="2FD1FC2E">
      <w:pPr>
        <w:widowControl/>
        <w:jc w:val="left"/>
        <w:rPr>
          <w:rFonts w:ascii="宋体" w:hAnsi="宋体"/>
          <w:b/>
          <w:bCs/>
          <w:highlight w:val="none"/>
        </w:rPr>
      </w:pPr>
    </w:p>
    <w:p w14:paraId="7FD0454F">
      <w:pPr>
        <w:widowControl/>
        <w:jc w:val="left"/>
        <w:rPr>
          <w:rFonts w:ascii="宋体" w:hAnsi="宋体"/>
          <w:b/>
          <w:bCs/>
          <w:highlight w:val="none"/>
        </w:rPr>
      </w:pPr>
    </w:p>
    <w:p w14:paraId="04353127">
      <w:pPr>
        <w:widowControl/>
        <w:jc w:val="left"/>
        <w:rPr>
          <w:rFonts w:ascii="宋体" w:hAnsi="宋体"/>
          <w:b/>
          <w:bCs/>
          <w:highlight w:val="none"/>
        </w:rPr>
      </w:pPr>
    </w:p>
    <w:p w14:paraId="0F70E359">
      <w:pPr>
        <w:widowControl/>
        <w:jc w:val="left"/>
        <w:rPr>
          <w:rFonts w:ascii="宋体" w:hAnsi="宋体"/>
          <w:b/>
          <w:bCs/>
          <w:highlight w:val="none"/>
        </w:rPr>
      </w:pPr>
    </w:p>
    <w:p w14:paraId="207200B7">
      <w:pPr>
        <w:spacing w:line="460" w:lineRule="exact"/>
        <w:rPr>
          <w:rFonts w:ascii="宋体" w:hAnsi="宋体"/>
          <w:sz w:val="22"/>
          <w:szCs w:val="22"/>
          <w:highlight w:val="none"/>
        </w:rPr>
      </w:pPr>
      <w:r>
        <w:rPr>
          <w:rFonts w:hint="eastAsia" w:ascii="宋体" w:hAnsi="宋体"/>
          <w:sz w:val="22"/>
          <w:szCs w:val="22"/>
          <w:highlight w:val="none"/>
        </w:rPr>
        <w:t>说明：</w:t>
      </w:r>
    </w:p>
    <w:p w14:paraId="6AC0DF36">
      <w:pPr>
        <w:spacing w:line="460" w:lineRule="exact"/>
        <w:rPr>
          <w:rFonts w:ascii="宋体" w:hAnsi="宋体"/>
          <w:sz w:val="22"/>
          <w:szCs w:val="22"/>
          <w:highlight w:val="none"/>
        </w:rPr>
      </w:pPr>
      <w:r>
        <w:rPr>
          <w:rFonts w:hint="eastAsia" w:ascii="宋体" w:hAnsi="宋体" w:cs="Courier New"/>
          <w:b/>
          <w:sz w:val="22"/>
          <w:szCs w:val="22"/>
          <w:highlight w:val="none"/>
        </w:rPr>
        <w:t>1、</w:t>
      </w:r>
      <w:r>
        <w:rPr>
          <w:rFonts w:ascii="宋体" w:hAnsi="宋体" w:cs="Courier New"/>
          <w:b/>
          <w:sz w:val="22"/>
          <w:szCs w:val="22"/>
          <w:highlight w:val="none"/>
        </w:rPr>
        <w:t>若投标人代表为</w:t>
      </w:r>
      <w:r>
        <w:rPr>
          <w:rFonts w:hint="eastAsia" w:ascii="宋体" w:hAnsi="宋体"/>
          <w:b/>
          <w:sz w:val="22"/>
          <w:szCs w:val="22"/>
          <w:highlight w:val="none"/>
        </w:rPr>
        <w:t>法定代表人</w:t>
      </w:r>
      <w:r>
        <w:rPr>
          <w:rFonts w:ascii="宋体" w:hAnsi="宋体" w:cs="Courier New"/>
          <w:b/>
          <w:sz w:val="22"/>
          <w:szCs w:val="22"/>
          <w:highlight w:val="none"/>
        </w:rPr>
        <w:t>，应提供</w:t>
      </w:r>
      <w:r>
        <w:rPr>
          <w:rFonts w:hint="eastAsia" w:ascii="宋体" w:hAnsi="宋体" w:cs="Courier New"/>
          <w:b/>
          <w:sz w:val="22"/>
          <w:szCs w:val="22"/>
          <w:highlight w:val="none"/>
        </w:rPr>
        <w:t>声明</w:t>
      </w:r>
      <w:r>
        <w:rPr>
          <w:rFonts w:ascii="宋体" w:hAnsi="宋体" w:cs="Courier New"/>
          <w:b/>
          <w:sz w:val="22"/>
          <w:szCs w:val="22"/>
          <w:highlight w:val="none"/>
        </w:rPr>
        <w:t>书（1-1）</w:t>
      </w:r>
      <w:r>
        <w:rPr>
          <w:rFonts w:hint="eastAsia" w:ascii="宋体" w:hAnsi="宋体" w:cs="Courier New"/>
          <w:b/>
          <w:sz w:val="22"/>
          <w:szCs w:val="22"/>
          <w:highlight w:val="none"/>
        </w:rPr>
        <w:t>并提</w:t>
      </w:r>
      <w:r>
        <w:rPr>
          <w:rFonts w:ascii="宋体" w:hAnsi="宋体" w:cs="Courier New"/>
          <w:b/>
          <w:sz w:val="22"/>
          <w:szCs w:val="22"/>
          <w:highlight w:val="none"/>
        </w:rPr>
        <w:t>交</w:t>
      </w:r>
      <w:r>
        <w:rPr>
          <w:rFonts w:hint="eastAsia" w:ascii="宋体" w:hAnsi="宋体"/>
          <w:b/>
          <w:sz w:val="22"/>
          <w:szCs w:val="22"/>
          <w:highlight w:val="none"/>
        </w:rPr>
        <w:t>法定代表人</w:t>
      </w:r>
      <w:r>
        <w:rPr>
          <w:rFonts w:ascii="宋体" w:hAnsi="宋体" w:cs="Courier New"/>
          <w:b/>
          <w:sz w:val="22"/>
          <w:szCs w:val="22"/>
          <w:highlight w:val="none"/>
        </w:rPr>
        <w:t>身份证正反面复印件</w:t>
      </w:r>
      <w:r>
        <w:rPr>
          <w:rFonts w:hint="eastAsia" w:ascii="宋体" w:hAnsi="宋体"/>
          <w:b/>
          <w:sz w:val="22"/>
          <w:szCs w:val="22"/>
          <w:highlight w:val="none"/>
        </w:rPr>
        <w:t>；</w:t>
      </w:r>
    </w:p>
    <w:p w14:paraId="3AA979F2">
      <w:pPr>
        <w:spacing w:line="460" w:lineRule="exact"/>
        <w:rPr>
          <w:rFonts w:ascii="宋体" w:hAnsi="宋体"/>
          <w:sz w:val="22"/>
          <w:szCs w:val="22"/>
          <w:highlight w:val="none"/>
        </w:rPr>
      </w:pPr>
      <w:r>
        <w:rPr>
          <w:rFonts w:ascii="宋体" w:hAnsi="宋体" w:cs="Courier New"/>
          <w:b/>
          <w:sz w:val="22"/>
          <w:szCs w:val="22"/>
          <w:highlight w:val="none"/>
        </w:rPr>
        <w:t>2</w:t>
      </w:r>
      <w:r>
        <w:rPr>
          <w:rFonts w:hint="eastAsia" w:ascii="宋体" w:hAnsi="宋体" w:cs="Courier New"/>
          <w:b/>
          <w:sz w:val="22"/>
          <w:szCs w:val="22"/>
          <w:highlight w:val="none"/>
        </w:rPr>
        <w:t>、</w:t>
      </w:r>
      <w:r>
        <w:rPr>
          <w:rFonts w:ascii="宋体" w:hAnsi="宋体" w:cs="Courier New"/>
          <w:b/>
          <w:sz w:val="22"/>
          <w:szCs w:val="22"/>
          <w:highlight w:val="none"/>
        </w:rPr>
        <w:t>若投标人代表为</w:t>
      </w:r>
      <w:r>
        <w:rPr>
          <w:rFonts w:hint="eastAsia" w:ascii="宋体" w:hAnsi="宋体"/>
          <w:b/>
          <w:sz w:val="22"/>
          <w:szCs w:val="22"/>
          <w:highlight w:val="none"/>
        </w:rPr>
        <w:t>法定代表人</w:t>
      </w:r>
      <w:r>
        <w:rPr>
          <w:rFonts w:ascii="宋体" w:hAnsi="宋体" w:cs="Courier New"/>
          <w:b/>
          <w:sz w:val="22"/>
          <w:szCs w:val="22"/>
          <w:highlight w:val="none"/>
        </w:rPr>
        <w:t>授权的委托代理人，应提供授权书（1-2）</w:t>
      </w:r>
      <w:r>
        <w:rPr>
          <w:rFonts w:hint="eastAsia" w:ascii="宋体" w:hAnsi="宋体" w:cs="Courier New"/>
          <w:b/>
          <w:sz w:val="22"/>
          <w:szCs w:val="22"/>
          <w:highlight w:val="none"/>
        </w:rPr>
        <w:t>，并附</w:t>
      </w:r>
      <w:r>
        <w:rPr>
          <w:rFonts w:hint="eastAsia" w:ascii="宋体" w:hAnsi="宋体"/>
          <w:b/>
          <w:sz w:val="22"/>
          <w:szCs w:val="22"/>
          <w:highlight w:val="none"/>
        </w:rPr>
        <w:t>法定代表人及授权代表的</w:t>
      </w:r>
      <w:r>
        <w:rPr>
          <w:rFonts w:ascii="宋体" w:hAnsi="宋体" w:cs="Courier New"/>
          <w:b/>
          <w:sz w:val="22"/>
          <w:szCs w:val="22"/>
          <w:highlight w:val="none"/>
        </w:rPr>
        <w:t>身份证</w:t>
      </w:r>
      <w:r>
        <w:rPr>
          <w:rFonts w:hint="eastAsia" w:ascii="宋体" w:hAnsi="宋体"/>
          <w:b/>
          <w:sz w:val="22"/>
          <w:szCs w:val="22"/>
          <w:highlight w:val="none"/>
        </w:rPr>
        <w:t>正反面复印件</w:t>
      </w:r>
      <w:r>
        <w:rPr>
          <w:rFonts w:hint="eastAsia" w:ascii="宋体" w:hAnsi="宋体" w:cs="Courier New"/>
          <w:b/>
          <w:sz w:val="22"/>
          <w:szCs w:val="22"/>
          <w:highlight w:val="none"/>
        </w:rPr>
        <w:t>。</w:t>
      </w:r>
    </w:p>
    <w:p w14:paraId="7F120655">
      <w:pPr>
        <w:spacing w:line="460" w:lineRule="exact"/>
        <w:rPr>
          <w:rFonts w:ascii="宋体" w:hAnsi="宋体"/>
          <w:sz w:val="22"/>
          <w:szCs w:val="22"/>
          <w:highlight w:val="none"/>
        </w:rPr>
      </w:pPr>
    </w:p>
    <w:p w14:paraId="412ABE72">
      <w:pPr>
        <w:spacing w:line="380" w:lineRule="exact"/>
        <w:jc w:val="center"/>
        <w:rPr>
          <w:rFonts w:ascii="宋体" w:hAnsi="宋体"/>
          <w:b/>
          <w:bCs/>
          <w:sz w:val="32"/>
          <w:highlight w:val="none"/>
        </w:rPr>
      </w:pPr>
      <w:r>
        <w:rPr>
          <w:rFonts w:hint="eastAsia" w:ascii="宋体" w:hAnsi="宋体"/>
          <w:b/>
          <w:bCs/>
          <w:sz w:val="32"/>
          <w:highlight w:val="none"/>
        </w:rPr>
        <w:br w:type="page"/>
      </w:r>
    </w:p>
    <w:p w14:paraId="2B6B6CB6">
      <w:pPr>
        <w:spacing w:line="380" w:lineRule="exact"/>
        <w:jc w:val="center"/>
        <w:rPr>
          <w:rFonts w:ascii="宋体" w:hAnsi="宋体"/>
          <w:b/>
          <w:bCs/>
          <w:sz w:val="32"/>
          <w:highlight w:val="none"/>
        </w:rPr>
      </w:pPr>
    </w:p>
    <w:p w14:paraId="32C71410">
      <w:pPr>
        <w:widowControl/>
        <w:adjustRightInd w:val="0"/>
        <w:snapToGrid w:val="0"/>
        <w:spacing w:line="360" w:lineRule="auto"/>
        <w:jc w:val="center"/>
        <w:rPr>
          <w:rFonts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2</w:t>
      </w:r>
      <w:r>
        <w:rPr>
          <w:rFonts w:hint="eastAsia" w:ascii="宋体" w:hAnsi="宋体"/>
          <w:b/>
          <w:sz w:val="22"/>
          <w:szCs w:val="22"/>
          <w:highlight w:val="none"/>
        </w:rPr>
        <w:t>）投标人参与政府采购活动投标资格声明函</w:t>
      </w:r>
    </w:p>
    <w:p w14:paraId="0069F251">
      <w:pPr>
        <w:widowControl/>
        <w:adjustRightInd w:val="0"/>
        <w:snapToGrid w:val="0"/>
        <w:spacing w:line="360" w:lineRule="auto"/>
        <w:jc w:val="left"/>
        <w:rPr>
          <w:rFonts w:ascii="宋体" w:hAnsi="宋体" w:cs="新宋体"/>
          <w:kern w:val="0"/>
          <w:sz w:val="22"/>
          <w:szCs w:val="22"/>
          <w:highlight w:val="none"/>
        </w:rPr>
      </w:pPr>
    </w:p>
    <w:p w14:paraId="34572374">
      <w:pPr>
        <w:widowControl/>
        <w:adjustRightInd w:val="0"/>
        <w:snapToGrid w:val="0"/>
        <w:spacing w:line="360" w:lineRule="auto"/>
        <w:jc w:val="left"/>
        <w:rPr>
          <w:rFonts w:ascii="宋体" w:hAnsi="宋体" w:cs="宋体"/>
          <w:kern w:val="0"/>
          <w:sz w:val="22"/>
          <w:szCs w:val="22"/>
          <w:highlight w:val="none"/>
        </w:rPr>
      </w:pPr>
      <w:r>
        <w:rPr>
          <w:rFonts w:hint="eastAsia" w:ascii="宋体" w:hAnsi="宋体"/>
          <w:sz w:val="22"/>
          <w:szCs w:val="22"/>
          <w:highlight w:val="none"/>
          <w:lang w:eastAsia="zh-CN"/>
        </w:rPr>
        <w:t>温州市龙湾区人民政府海滨街道办事处</w:t>
      </w:r>
      <w:r>
        <w:rPr>
          <w:rFonts w:hint="eastAsia" w:ascii="宋体" w:hAnsi="宋体" w:cs="宋体"/>
          <w:kern w:val="0"/>
          <w:sz w:val="22"/>
          <w:szCs w:val="22"/>
          <w:highlight w:val="none"/>
        </w:rPr>
        <w:t>：</w:t>
      </w:r>
    </w:p>
    <w:p w14:paraId="00910B86">
      <w:pPr>
        <w:widowControl/>
        <w:adjustRightInd w:val="0"/>
        <w:snapToGrid w:val="0"/>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温州市滨海招标代理有限公司：</w:t>
      </w:r>
    </w:p>
    <w:p w14:paraId="2FCA1CCA">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我单位参与</w:t>
      </w: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cs="宋体"/>
          <w:kern w:val="0"/>
          <w:sz w:val="22"/>
          <w:szCs w:val="22"/>
          <w:highlight w:val="none"/>
        </w:rPr>
        <w:t>的采购活动，现声明如下：</w:t>
      </w:r>
    </w:p>
    <w:p w14:paraId="00A80B3A">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1、我单位具有独立承担民事责任的能力。</w:t>
      </w:r>
    </w:p>
    <w:p w14:paraId="0BF54B33">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2、我单位具有良好的商业信誉和健全的财务会计制度。</w:t>
      </w:r>
    </w:p>
    <w:p w14:paraId="37065728">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3、我单位具有依法缴纳税收和社会保障资金的良好记录。</w:t>
      </w:r>
    </w:p>
    <w:p w14:paraId="3BC9B40E">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4、我单位具有履行本项目政府采购合同所必需的设备和专业技术能力。</w:t>
      </w:r>
    </w:p>
    <w:p w14:paraId="088B81C6">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24A1C04">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6、我单位未与单位负责人为同一人或者存在直接控股、管理关系的其他投标人，一起参加本项目的政府采购活动。</w:t>
      </w:r>
    </w:p>
    <w:p w14:paraId="544A59E6">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7、我单位符合本项目特定资格条件：</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的要求，并在响应文件中提供了相应的证明材料（采购文件没有要求特定资格条件的，本条款空格处可以空白）</w:t>
      </w:r>
    </w:p>
    <w:p w14:paraId="4D8684E3">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以上事项如有虚假，采购人可取消我方任何资格（投标/中标/签订合同），我方对此无任何异议。</w:t>
      </w:r>
    </w:p>
    <w:p w14:paraId="22C5ED2F">
      <w:pPr>
        <w:widowControl/>
        <w:adjustRightInd w:val="0"/>
        <w:snapToGrid w:val="0"/>
        <w:spacing w:line="360" w:lineRule="auto"/>
        <w:ind w:firstLine="440" w:firstLineChars="200"/>
        <w:jc w:val="left"/>
        <w:rPr>
          <w:rFonts w:ascii="宋体" w:hAnsi="宋体" w:cs="宋体"/>
          <w:kern w:val="0"/>
          <w:sz w:val="22"/>
          <w:szCs w:val="22"/>
          <w:highlight w:val="none"/>
        </w:rPr>
      </w:pPr>
    </w:p>
    <w:p w14:paraId="1CD278C5">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特此承诺！</w:t>
      </w:r>
    </w:p>
    <w:p w14:paraId="41A5E5AD">
      <w:pPr>
        <w:widowControl/>
        <w:adjustRightInd w:val="0"/>
        <w:snapToGrid w:val="0"/>
        <w:spacing w:line="360" w:lineRule="auto"/>
        <w:ind w:firstLine="440" w:firstLineChars="200"/>
        <w:jc w:val="left"/>
        <w:rPr>
          <w:rFonts w:ascii="宋体" w:hAnsi="宋体" w:cs="新宋体"/>
          <w:kern w:val="0"/>
          <w:sz w:val="22"/>
          <w:szCs w:val="22"/>
          <w:highlight w:val="none"/>
        </w:rPr>
      </w:pPr>
    </w:p>
    <w:p w14:paraId="108BAFD5">
      <w:pPr>
        <w:pStyle w:val="26"/>
        <w:rPr>
          <w:highlight w:val="none"/>
        </w:rPr>
      </w:pPr>
    </w:p>
    <w:p w14:paraId="79975567">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投标人名称（盖章）</w:t>
      </w:r>
      <w:r>
        <w:rPr>
          <w:rFonts w:ascii="宋体" w:hAnsi="宋体" w:cs="Arial"/>
          <w:kern w:val="0"/>
          <w:sz w:val="22"/>
          <w:szCs w:val="22"/>
          <w:highlight w:val="none"/>
        </w:rPr>
        <w:t xml:space="preserve"> </w:t>
      </w:r>
      <w:r>
        <w:rPr>
          <w:rFonts w:hint="eastAsia" w:ascii="宋体" w:hAnsi="宋体" w:cs="Arial"/>
          <w:kern w:val="0"/>
          <w:sz w:val="22"/>
          <w:szCs w:val="22"/>
          <w:highlight w:val="none"/>
        </w:rPr>
        <w:t>：</w:t>
      </w:r>
    </w:p>
    <w:p w14:paraId="58F299B4">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法定代表人（负责人）或其授权代表（签字或盖章）：</w:t>
      </w:r>
    </w:p>
    <w:p w14:paraId="3C6B6F80">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日期：</w:t>
      </w:r>
      <w:r>
        <w:rPr>
          <w:rFonts w:ascii="宋体" w:hAnsi="宋体" w:cs="Arial"/>
          <w:kern w:val="0"/>
          <w:sz w:val="22"/>
          <w:szCs w:val="22"/>
          <w:highlight w:val="none"/>
        </w:rPr>
        <w:t xml:space="preserve">     </w:t>
      </w:r>
      <w:r>
        <w:rPr>
          <w:rFonts w:hint="eastAsia" w:ascii="宋体" w:hAnsi="宋体" w:cs="Arial"/>
          <w:kern w:val="0"/>
          <w:sz w:val="22"/>
          <w:szCs w:val="22"/>
          <w:highlight w:val="none"/>
        </w:rPr>
        <w:t>年</w:t>
      </w:r>
      <w:r>
        <w:rPr>
          <w:rFonts w:ascii="宋体" w:hAnsi="宋体" w:cs="Arial"/>
          <w:kern w:val="0"/>
          <w:sz w:val="22"/>
          <w:szCs w:val="22"/>
          <w:highlight w:val="none"/>
        </w:rPr>
        <w:t xml:space="preserve">  </w:t>
      </w:r>
      <w:r>
        <w:rPr>
          <w:rFonts w:hint="eastAsia" w:ascii="宋体" w:hAnsi="宋体" w:cs="Arial"/>
          <w:kern w:val="0"/>
          <w:sz w:val="22"/>
          <w:szCs w:val="22"/>
          <w:highlight w:val="none"/>
        </w:rPr>
        <w:t>月</w:t>
      </w:r>
      <w:r>
        <w:rPr>
          <w:rFonts w:ascii="宋体" w:hAnsi="宋体" w:cs="Arial"/>
          <w:kern w:val="0"/>
          <w:sz w:val="22"/>
          <w:szCs w:val="22"/>
          <w:highlight w:val="none"/>
        </w:rPr>
        <w:t xml:space="preserve">  </w:t>
      </w:r>
      <w:r>
        <w:rPr>
          <w:rFonts w:hint="eastAsia" w:ascii="宋体" w:hAnsi="宋体" w:cs="Arial"/>
          <w:kern w:val="0"/>
          <w:sz w:val="22"/>
          <w:szCs w:val="22"/>
          <w:highlight w:val="none"/>
        </w:rPr>
        <w:t>日</w:t>
      </w:r>
    </w:p>
    <w:p w14:paraId="39B5C22A">
      <w:pPr>
        <w:pStyle w:val="26"/>
        <w:rPr>
          <w:highlight w:val="none"/>
        </w:rPr>
      </w:pPr>
    </w:p>
    <w:p w14:paraId="13B1142C">
      <w:pPr>
        <w:widowControl/>
        <w:adjustRightInd w:val="0"/>
        <w:snapToGrid w:val="0"/>
        <w:spacing w:line="360" w:lineRule="auto"/>
        <w:jc w:val="left"/>
        <w:rPr>
          <w:rFonts w:ascii="宋体" w:hAnsi="宋体"/>
          <w:sz w:val="22"/>
          <w:szCs w:val="22"/>
          <w:highlight w:val="none"/>
        </w:rPr>
      </w:pPr>
      <w:r>
        <w:rPr>
          <w:rFonts w:ascii="宋体" w:hAnsi="宋体" w:cs="新宋体"/>
          <w:kern w:val="0"/>
          <w:sz w:val="22"/>
          <w:szCs w:val="22"/>
          <w:highlight w:val="none"/>
        </w:rPr>
        <w:br w:type="page"/>
      </w:r>
    </w:p>
    <w:p w14:paraId="1ADC1BB9">
      <w:pPr>
        <w:pStyle w:val="35"/>
        <w:snapToGrid w:val="0"/>
        <w:spacing w:line="324" w:lineRule="auto"/>
        <w:jc w:val="center"/>
        <w:rPr>
          <w:rFonts w:hAnsi="宋体"/>
          <w:b/>
          <w:bCs/>
          <w:sz w:val="22"/>
          <w:szCs w:val="22"/>
          <w:highlight w:val="none"/>
        </w:rPr>
      </w:pPr>
      <w:r>
        <w:rPr>
          <w:rFonts w:hint="eastAsia" w:hAnsi="宋体"/>
          <w:b/>
          <w:bCs/>
          <w:sz w:val="22"/>
          <w:szCs w:val="22"/>
          <w:highlight w:val="none"/>
        </w:rPr>
        <w:t>（3）诚信投标承诺书</w:t>
      </w:r>
    </w:p>
    <w:p w14:paraId="6A65971C">
      <w:pPr>
        <w:ind w:right="-153" w:rightChars="-73"/>
        <w:jc w:val="center"/>
        <w:rPr>
          <w:rFonts w:ascii="宋体" w:hAnsi="宋体"/>
          <w:sz w:val="22"/>
          <w:szCs w:val="22"/>
          <w:highlight w:val="none"/>
        </w:rPr>
      </w:pPr>
    </w:p>
    <w:p w14:paraId="706AFB25">
      <w:pPr>
        <w:spacing w:line="520" w:lineRule="exact"/>
        <w:ind w:right="-153" w:rightChars="-73"/>
        <w:rPr>
          <w:rFonts w:ascii="宋体" w:hAnsi="宋体"/>
          <w:sz w:val="22"/>
          <w:szCs w:val="22"/>
          <w:highlight w:val="none"/>
        </w:rPr>
      </w:pPr>
      <w:r>
        <w:rPr>
          <w:rFonts w:hint="eastAsia" w:ascii="宋体" w:hAnsi="宋体"/>
          <w:sz w:val="22"/>
          <w:szCs w:val="22"/>
          <w:highlight w:val="none"/>
        </w:rPr>
        <w:t>本企业郑重承诺：</w:t>
      </w:r>
    </w:p>
    <w:p w14:paraId="68CC5DF5">
      <w:pPr>
        <w:spacing w:line="500" w:lineRule="exact"/>
        <w:ind w:firstLine="440" w:firstLineChars="200"/>
        <w:rPr>
          <w:rFonts w:ascii="宋体" w:hAnsi="宋体"/>
          <w:sz w:val="22"/>
          <w:szCs w:val="22"/>
          <w:highlight w:val="none"/>
        </w:rPr>
      </w:pPr>
      <w:r>
        <w:rPr>
          <w:rFonts w:hint="eastAsia" w:ascii="宋体" w:hAnsi="宋体"/>
          <w:sz w:val="22"/>
          <w:szCs w:val="22"/>
          <w:highlight w:val="none"/>
        </w:rPr>
        <w:t>为了积极配合贵公司组织的</w:t>
      </w: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sz w:val="22"/>
          <w:szCs w:val="22"/>
          <w:highlight w:val="none"/>
        </w:rPr>
        <w:t>招标工作，有效遏制不公平竞争和违规违纪问题的发生，确保招标工作的公平、公正、公开，我们保证认真贯彻</w:t>
      </w:r>
      <w:r>
        <w:rPr>
          <w:rFonts w:hint="eastAsia" w:ascii="宋体" w:hAnsi="宋体" w:cs="Century Gothic"/>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sz w:val="22"/>
          <w:szCs w:val="22"/>
          <w:highlight w:val="none"/>
        </w:rPr>
        <w:t>相关规定以及有关廉洁要求，特承诺如下事项：</w:t>
      </w:r>
    </w:p>
    <w:p w14:paraId="7576BE09">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自觉遵守国家法律法规及有关廉政建设制度。</w:t>
      </w:r>
    </w:p>
    <w:p w14:paraId="477C47EF">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主动了解采购人招投标纪律，积极配合采购人执行招投标廉政建设的有关规定。</w:t>
      </w:r>
    </w:p>
    <w:p w14:paraId="692647A0">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不使用不正当手段妨碍、排挤其它投标人或串通投标。</w:t>
      </w:r>
    </w:p>
    <w:p w14:paraId="43FC2D0E">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按照本招标文件规定的方式进行投标，不隐瞒本单位投标资质的真实情况，投标资质符合规定。</w:t>
      </w:r>
    </w:p>
    <w:p w14:paraId="591891BB">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7AE00BD9">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不向采购人及个人购置或提供通讯工具、交通工具和高档办公用品等。</w:t>
      </w:r>
    </w:p>
    <w:p w14:paraId="11997911">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不向采购人涉及招标的人员的配偶、子女分包此次招标项目。</w:t>
      </w:r>
    </w:p>
    <w:p w14:paraId="5EEB4DDC">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不向采购人及个人支付好处费、介绍费。</w:t>
      </w:r>
    </w:p>
    <w:p w14:paraId="46AB1609">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一旦发现相关人员在招标过程中的索要财物等不廉洁行为，坚决予以抵制，并及时向有关纪检监察部门举报。</w:t>
      </w:r>
    </w:p>
    <w:p w14:paraId="39438862">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我们若违反上述承诺，愿接受取消投标人资格及其他任何形式的处理。</w:t>
      </w:r>
    </w:p>
    <w:p w14:paraId="33D089B3">
      <w:pPr>
        <w:snapToGrid w:val="0"/>
        <w:spacing w:line="500" w:lineRule="exact"/>
        <w:ind w:firstLine="385" w:firstLineChars="175"/>
        <w:rPr>
          <w:rFonts w:ascii="宋体" w:hAnsi="宋体"/>
          <w:sz w:val="22"/>
          <w:szCs w:val="22"/>
          <w:highlight w:val="none"/>
        </w:rPr>
      </w:pPr>
    </w:p>
    <w:p w14:paraId="37842B03">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投标人名称（盖章）</w:t>
      </w:r>
      <w:r>
        <w:rPr>
          <w:rFonts w:ascii="宋体" w:hAnsi="宋体" w:cs="Arial"/>
          <w:kern w:val="0"/>
          <w:sz w:val="22"/>
          <w:szCs w:val="22"/>
          <w:highlight w:val="none"/>
        </w:rPr>
        <w:t xml:space="preserve"> </w:t>
      </w:r>
      <w:r>
        <w:rPr>
          <w:rFonts w:hint="eastAsia" w:ascii="宋体" w:hAnsi="宋体" w:cs="Arial"/>
          <w:kern w:val="0"/>
          <w:sz w:val="22"/>
          <w:szCs w:val="22"/>
          <w:highlight w:val="none"/>
        </w:rPr>
        <w:t>：</w:t>
      </w:r>
    </w:p>
    <w:p w14:paraId="2C3F6397">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法定代表人（负责人）或其授权代表（签字或盖章）：</w:t>
      </w:r>
    </w:p>
    <w:p w14:paraId="77C6916F">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日期：</w:t>
      </w:r>
      <w:r>
        <w:rPr>
          <w:rFonts w:ascii="宋体" w:hAnsi="宋体" w:cs="Arial"/>
          <w:kern w:val="0"/>
          <w:sz w:val="22"/>
          <w:szCs w:val="22"/>
          <w:highlight w:val="none"/>
        </w:rPr>
        <w:t xml:space="preserve">     </w:t>
      </w:r>
      <w:r>
        <w:rPr>
          <w:rFonts w:hint="eastAsia" w:ascii="宋体" w:hAnsi="宋体" w:cs="Arial"/>
          <w:kern w:val="0"/>
          <w:sz w:val="22"/>
          <w:szCs w:val="22"/>
          <w:highlight w:val="none"/>
        </w:rPr>
        <w:t>年</w:t>
      </w:r>
      <w:r>
        <w:rPr>
          <w:rFonts w:ascii="宋体" w:hAnsi="宋体" w:cs="Arial"/>
          <w:kern w:val="0"/>
          <w:sz w:val="22"/>
          <w:szCs w:val="22"/>
          <w:highlight w:val="none"/>
        </w:rPr>
        <w:t xml:space="preserve">  </w:t>
      </w:r>
      <w:r>
        <w:rPr>
          <w:rFonts w:hint="eastAsia" w:ascii="宋体" w:hAnsi="宋体" w:cs="Arial"/>
          <w:kern w:val="0"/>
          <w:sz w:val="22"/>
          <w:szCs w:val="22"/>
          <w:highlight w:val="none"/>
        </w:rPr>
        <w:t>月</w:t>
      </w:r>
      <w:r>
        <w:rPr>
          <w:rFonts w:ascii="宋体" w:hAnsi="宋体" w:cs="Arial"/>
          <w:kern w:val="0"/>
          <w:sz w:val="22"/>
          <w:szCs w:val="22"/>
          <w:highlight w:val="none"/>
        </w:rPr>
        <w:t xml:space="preserve">  </w:t>
      </w:r>
      <w:r>
        <w:rPr>
          <w:rFonts w:hint="eastAsia" w:ascii="宋体" w:hAnsi="宋体" w:cs="Arial"/>
          <w:kern w:val="0"/>
          <w:sz w:val="22"/>
          <w:szCs w:val="22"/>
          <w:highlight w:val="none"/>
        </w:rPr>
        <w:t>日</w:t>
      </w:r>
    </w:p>
    <w:p w14:paraId="3A129D00">
      <w:pPr>
        <w:rPr>
          <w:rFonts w:ascii="宋体"/>
          <w:b/>
          <w:bCs/>
          <w:sz w:val="22"/>
          <w:szCs w:val="22"/>
          <w:highlight w:val="none"/>
        </w:rPr>
      </w:pPr>
      <w:r>
        <w:rPr>
          <w:rFonts w:ascii="宋体"/>
          <w:b/>
          <w:bCs/>
          <w:sz w:val="22"/>
          <w:szCs w:val="22"/>
          <w:highlight w:val="none"/>
        </w:rPr>
        <w:br w:type="page"/>
      </w:r>
    </w:p>
    <w:p w14:paraId="206A94F7">
      <w:pPr>
        <w:spacing w:line="440" w:lineRule="atLeast"/>
        <w:jc w:val="center"/>
        <w:rPr>
          <w:rFonts w:ascii="宋体"/>
          <w:b/>
          <w:sz w:val="22"/>
          <w:szCs w:val="22"/>
          <w:highlight w:val="none"/>
        </w:rPr>
      </w:pPr>
      <w:r>
        <w:rPr>
          <w:rFonts w:hint="eastAsia" w:hAnsi="宋体"/>
          <w:b/>
          <w:bCs/>
          <w:sz w:val="22"/>
          <w:szCs w:val="22"/>
          <w:highlight w:val="none"/>
        </w:rPr>
        <w:t>（4）</w:t>
      </w:r>
      <w:r>
        <w:rPr>
          <w:rFonts w:hint="eastAsia" w:ascii="宋体" w:hAnsi="宋体"/>
          <w:b/>
          <w:sz w:val="22"/>
          <w:szCs w:val="22"/>
          <w:highlight w:val="none"/>
        </w:rPr>
        <w:t>中小企业声明函</w:t>
      </w:r>
    </w:p>
    <w:p w14:paraId="1DF9DB5F">
      <w:pPr>
        <w:spacing w:after="120" w:line="440" w:lineRule="exact"/>
        <w:jc w:val="center"/>
        <w:rPr>
          <w:rFonts w:ascii="宋体" w:hAnsi="宋体" w:cs="宋体"/>
          <w:b/>
          <w:bCs/>
          <w:sz w:val="22"/>
          <w:szCs w:val="22"/>
          <w:highlight w:val="none"/>
        </w:rPr>
      </w:pPr>
    </w:p>
    <w:p w14:paraId="7C9443F2">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本公司郑重声明，根据《政府采购促进中小企业发展管理办法》（财库﹝2020﹞46 号）的规定，本公司参加</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（单位名称） </w:t>
      </w:r>
      <w:r>
        <w:rPr>
          <w:rFonts w:hint="eastAsia" w:asciiTheme="minorEastAsia" w:hAnsiTheme="minorEastAsia" w:eastAsiaTheme="minorEastAsia" w:cstheme="minorEastAsia"/>
          <w:b w:val="0"/>
          <w:bCs w:val="0"/>
          <w:kern w:val="44"/>
          <w:sz w:val="22"/>
          <w:szCs w:val="22"/>
          <w:highlight w:val="none"/>
          <w:vertAlign w:val="baseline"/>
          <w:lang w:val="en-US" w:eastAsia="zh-CN"/>
        </w:rPr>
        <w:t>的</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温州至福州高速铁路（龙湾段）工程海滨街道北片区房屋征收事务代理项目</w:t>
      </w:r>
      <w:r>
        <w:rPr>
          <w:rFonts w:hint="eastAsia" w:asciiTheme="minorEastAsia" w:hAnsiTheme="minorEastAsia" w:eastAsiaTheme="minorEastAsia" w:cstheme="minorEastAsia"/>
          <w:b w:val="0"/>
          <w:bCs w:val="0"/>
          <w:kern w:val="44"/>
          <w:sz w:val="22"/>
          <w:szCs w:val="22"/>
          <w:highlight w:val="none"/>
          <w:vertAlign w:val="baseline"/>
          <w:lang w:val="en-US" w:eastAsia="zh-CN"/>
        </w:rPr>
        <w:t>采购活动，服务全部由符合政策要求的中小企业承接。相关企业的具体情况如下：</w:t>
      </w:r>
    </w:p>
    <w:p w14:paraId="6F3AFA3B">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 xml:space="preserve">1. </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（标的名称）</w:t>
      </w:r>
      <w:r>
        <w:rPr>
          <w:rFonts w:hint="eastAsia" w:asciiTheme="minorEastAsia" w:hAnsiTheme="minorEastAsia" w:eastAsiaTheme="minorEastAsia" w:cstheme="minorEastAsia"/>
          <w:b w:val="0"/>
          <w:bCs w:val="0"/>
          <w:kern w:val="44"/>
          <w:sz w:val="22"/>
          <w:szCs w:val="22"/>
          <w:highlight w:val="none"/>
          <w:vertAlign w:val="baseline"/>
          <w:lang w:val="en-US" w:eastAsia="zh-CN"/>
        </w:rPr>
        <w:t xml:space="preserve"> ，属于 </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（采购文件中明确的所属行业） </w:t>
      </w:r>
      <w:r>
        <w:rPr>
          <w:rFonts w:hint="eastAsia" w:asciiTheme="minorEastAsia" w:hAnsiTheme="minorEastAsia" w:eastAsiaTheme="minorEastAsia" w:cstheme="minorEastAsia"/>
          <w:b w:val="0"/>
          <w:bCs w:val="0"/>
          <w:kern w:val="44"/>
          <w:sz w:val="22"/>
          <w:szCs w:val="22"/>
          <w:highlight w:val="none"/>
          <w:vertAlign w:val="baseline"/>
          <w:lang w:val="en-US" w:eastAsia="zh-CN"/>
        </w:rPr>
        <w:t>；承接企业为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（企业名称）</w:t>
      </w:r>
      <w:r>
        <w:rPr>
          <w:rFonts w:hint="eastAsia" w:asciiTheme="minorEastAsia" w:hAnsiTheme="minorEastAsia" w:eastAsiaTheme="minorEastAsia" w:cstheme="minorEastAsia"/>
          <w:b w:val="0"/>
          <w:bCs w:val="0"/>
          <w:kern w:val="44"/>
          <w:sz w:val="22"/>
          <w:szCs w:val="22"/>
          <w:highlight w:val="none"/>
          <w:vertAlign w:val="baseline"/>
          <w:lang w:val="en-US" w:eastAsia="zh-CN"/>
        </w:rPr>
        <w:t xml:space="preserve"> ，从业人员</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人，营业收入为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万元，资产总额为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万元，属于</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（中型企业、小型企业、微型企业） </w:t>
      </w:r>
      <w:r>
        <w:rPr>
          <w:rFonts w:hint="eastAsia" w:asciiTheme="minorEastAsia" w:hAnsiTheme="minorEastAsia" w:eastAsiaTheme="minorEastAsia" w:cstheme="minorEastAsia"/>
          <w:b w:val="0"/>
          <w:bCs w:val="0"/>
          <w:kern w:val="44"/>
          <w:sz w:val="22"/>
          <w:szCs w:val="22"/>
          <w:highlight w:val="none"/>
          <w:vertAlign w:val="baseline"/>
          <w:lang w:val="en-US" w:eastAsia="zh-CN"/>
        </w:rPr>
        <w:t>；</w:t>
      </w:r>
    </w:p>
    <w:p w14:paraId="56C0AD67">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2.</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（标的名称）</w:t>
      </w:r>
      <w:r>
        <w:rPr>
          <w:rFonts w:hint="eastAsia" w:asciiTheme="minorEastAsia" w:hAnsiTheme="minorEastAsia" w:eastAsiaTheme="minorEastAsia" w:cstheme="minorEastAsia"/>
          <w:b w:val="0"/>
          <w:bCs w:val="0"/>
          <w:kern w:val="44"/>
          <w:sz w:val="22"/>
          <w:szCs w:val="22"/>
          <w:highlight w:val="none"/>
          <w:vertAlign w:val="baseline"/>
          <w:lang w:val="en-US" w:eastAsia="zh-CN"/>
        </w:rPr>
        <w:t xml:space="preserve"> ，属于 </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（采购文件中明确的所属行业） </w:t>
      </w:r>
      <w:r>
        <w:rPr>
          <w:rFonts w:hint="eastAsia" w:asciiTheme="minorEastAsia" w:hAnsiTheme="minorEastAsia" w:eastAsiaTheme="minorEastAsia" w:cstheme="minorEastAsia"/>
          <w:b w:val="0"/>
          <w:bCs w:val="0"/>
          <w:kern w:val="44"/>
          <w:sz w:val="22"/>
          <w:szCs w:val="22"/>
          <w:highlight w:val="none"/>
          <w:vertAlign w:val="baseline"/>
          <w:lang w:val="en-US" w:eastAsia="zh-CN"/>
        </w:rPr>
        <w:t>；承接企业为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（企业名称）</w:t>
      </w:r>
      <w:r>
        <w:rPr>
          <w:rFonts w:hint="eastAsia" w:asciiTheme="minorEastAsia" w:hAnsiTheme="minorEastAsia" w:eastAsiaTheme="minorEastAsia" w:cstheme="minorEastAsia"/>
          <w:b w:val="0"/>
          <w:bCs w:val="0"/>
          <w:kern w:val="44"/>
          <w:sz w:val="22"/>
          <w:szCs w:val="22"/>
          <w:highlight w:val="none"/>
          <w:vertAlign w:val="baseline"/>
          <w:lang w:val="en-US" w:eastAsia="zh-CN"/>
        </w:rPr>
        <w:t xml:space="preserve"> ，从业人员</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人，营业收入为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万元，资产总额为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万元，属于</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（中型企业、小型企业、微型企业） </w:t>
      </w:r>
      <w:r>
        <w:rPr>
          <w:rFonts w:hint="eastAsia" w:asciiTheme="minorEastAsia" w:hAnsiTheme="minorEastAsia" w:eastAsiaTheme="minorEastAsia" w:cstheme="minorEastAsia"/>
          <w:b w:val="0"/>
          <w:bCs w:val="0"/>
          <w:kern w:val="44"/>
          <w:sz w:val="22"/>
          <w:szCs w:val="22"/>
          <w:highlight w:val="none"/>
          <w:vertAlign w:val="baseline"/>
          <w:lang w:val="en-US" w:eastAsia="zh-CN"/>
        </w:rPr>
        <w:t>；</w:t>
      </w:r>
    </w:p>
    <w:p w14:paraId="62F43DCD">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w:t>
      </w:r>
    </w:p>
    <w:p w14:paraId="472DABB3">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以上企业，不属于大企业的分支机构，不存在控股股东为大企业的情形，也不存在与大企业的负责人为同一人的情形。</w:t>
      </w:r>
    </w:p>
    <w:p w14:paraId="1F65D42D">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本企业对上述声明内容的真实性负责。如有虚假，将依法承担相应责任。</w:t>
      </w:r>
    </w:p>
    <w:p w14:paraId="2738F491">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企业名称（盖章）：</w:t>
      </w:r>
    </w:p>
    <w:p w14:paraId="7450EEC0">
      <w:pPr>
        <w:spacing w:before="29" w:after="120" w:line="480" w:lineRule="exact"/>
        <w:ind w:right="2166"/>
        <w:jc w:val="lef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kern w:val="44"/>
          <w:sz w:val="22"/>
          <w:szCs w:val="22"/>
          <w:highlight w:val="none"/>
          <w:vertAlign w:val="baseline"/>
          <w:lang w:val="en-US" w:eastAsia="zh-CN"/>
        </w:rPr>
        <w:t>日 期：</w:t>
      </w:r>
    </w:p>
    <w:p w14:paraId="00653D99">
      <w:pPr>
        <w:pStyle w:val="76"/>
        <w:spacing w:before="60" w:after="60"/>
        <w:rPr>
          <w:rFonts w:hint="eastAsia" w:asciiTheme="minorEastAsia" w:hAnsiTheme="minorEastAsia" w:eastAsiaTheme="minorEastAsia" w:cstheme="minorEastAsia"/>
          <w:sz w:val="22"/>
          <w:szCs w:val="22"/>
          <w:highlight w:val="none"/>
        </w:rPr>
      </w:pPr>
    </w:p>
    <w:p w14:paraId="14543B2E">
      <w:pPr>
        <w:spacing w:line="440" w:lineRule="exact"/>
        <w:rPr>
          <w:rFonts w:hint="eastAsia"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rPr>
        <w:t>说明：</w:t>
      </w:r>
    </w:p>
    <w:p w14:paraId="159A48AE">
      <w:pPr>
        <w:numPr>
          <w:ilvl w:val="0"/>
          <w:numId w:val="43"/>
        </w:numPr>
        <w:tabs>
          <w:tab w:val="left" w:pos="420"/>
        </w:tabs>
        <w:spacing w:line="400" w:lineRule="exact"/>
        <w:rPr>
          <w:rFonts w:hint="eastAsia"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rPr>
        <w:t>本项目为对应的中小企业划分标准所属行业：</w:t>
      </w:r>
      <w:r>
        <w:rPr>
          <w:rFonts w:hint="eastAsia" w:asciiTheme="minorEastAsia" w:hAnsiTheme="minorEastAsia" w:eastAsiaTheme="minorEastAsia" w:cstheme="minorEastAsia"/>
          <w:b/>
          <w:sz w:val="22"/>
          <w:szCs w:val="22"/>
          <w:highlight w:val="none"/>
          <w:u w:val="single"/>
        </w:rPr>
        <w:t xml:space="preserve"> </w:t>
      </w:r>
      <w:r>
        <w:rPr>
          <w:rFonts w:hint="eastAsia" w:asciiTheme="minorEastAsia" w:hAnsiTheme="minorEastAsia" w:eastAsiaTheme="minorEastAsia" w:cstheme="minorEastAsia"/>
          <w:b/>
          <w:sz w:val="22"/>
          <w:szCs w:val="22"/>
          <w:highlight w:val="none"/>
          <w:u w:val="single"/>
          <w:lang w:eastAsia="zh-CN"/>
        </w:rPr>
        <w:t>其他未列明行业</w:t>
      </w:r>
      <w:r>
        <w:rPr>
          <w:rFonts w:hint="eastAsia" w:asciiTheme="minorEastAsia" w:hAnsiTheme="minorEastAsia" w:eastAsiaTheme="minorEastAsia" w:cstheme="minorEastAsia"/>
          <w:b/>
          <w:sz w:val="22"/>
          <w:szCs w:val="22"/>
          <w:highlight w:val="none"/>
        </w:rPr>
        <w:t>。</w:t>
      </w:r>
    </w:p>
    <w:p w14:paraId="28F66674">
      <w:pPr>
        <w:numPr>
          <w:ilvl w:val="0"/>
          <w:numId w:val="43"/>
        </w:numPr>
        <w:tabs>
          <w:tab w:val="left" w:pos="420"/>
        </w:tabs>
        <w:spacing w:line="400" w:lineRule="exact"/>
        <w:rPr>
          <w:rFonts w:ascii="宋体" w:hAnsi="宋体" w:cs="宋体"/>
          <w:b/>
          <w:sz w:val="22"/>
          <w:szCs w:val="22"/>
          <w:highlight w:val="none"/>
        </w:rPr>
      </w:pPr>
      <w:r>
        <w:rPr>
          <w:rFonts w:hint="eastAsia" w:asciiTheme="minorEastAsia" w:hAnsiTheme="minorEastAsia" w:eastAsiaTheme="minorEastAsia" w:cstheme="minorEastAsia"/>
          <w:b/>
          <w:sz w:val="22"/>
          <w:szCs w:val="22"/>
          <w:highlight w:val="none"/>
        </w:rPr>
        <w:t>从业人员、营业收入、资产总额填报上一年度数据，无上一年度数据的新成立企业可不填报。</w:t>
      </w:r>
    </w:p>
    <w:p w14:paraId="2B86F0CE">
      <w:pPr>
        <w:tabs>
          <w:tab w:val="left" w:pos="420"/>
        </w:tabs>
        <w:spacing w:line="400" w:lineRule="exact"/>
        <w:rPr>
          <w:rFonts w:ascii="宋体" w:hAnsi="宋体" w:cs="宋体"/>
          <w:b/>
          <w:sz w:val="22"/>
          <w:szCs w:val="22"/>
          <w:highlight w:val="none"/>
        </w:rPr>
      </w:pPr>
    </w:p>
    <w:p w14:paraId="7CF5BAC7">
      <w:pPr>
        <w:pStyle w:val="76"/>
        <w:spacing w:before="60" w:after="60"/>
        <w:rPr>
          <w:rFonts w:ascii="宋体" w:hAnsi="宋体" w:cs="宋体"/>
          <w:sz w:val="22"/>
          <w:szCs w:val="22"/>
          <w:highlight w:val="none"/>
        </w:rPr>
        <w:sectPr>
          <w:headerReference r:id="rId3" w:type="default"/>
          <w:footerReference r:id="rId4" w:type="default"/>
          <w:type w:val="nextColumn"/>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62A95C5">
      <w:pPr>
        <w:spacing w:line="440" w:lineRule="atLeast"/>
        <w:jc w:val="center"/>
        <w:rPr>
          <w:rFonts w:ascii="宋体"/>
          <w:spacing w:val="6"/>
          <w:sz w:val="22"/>
          <w:szCs w:val="22"/>
          <w:highlight w:val="none"/>
        </w:rPr>
      </w:pPr>
      <w:r>
        <w:rPr>
          <w:rFonts w:hint="eastAsia" w:ascii="宋体" w:hAnsi="宋体"/>
          <w:b/>
          <w:sz w:val="22"/>
          <w:szCs w:val="22"/>
          <w:highlight w:val="none"/>
        </w:rPr>
        <w:t>（5）</w:t>
      </w:r>
      <w:r>
        <w:rPr>
          <w:rFonts w:hint="eastAsia" w:ascii="宋体" w:hAnsi="宋体"/>
          <w:b/>
          <w:spacing w:val="6"/>
          <w:sz w:val="22"/>
          <w:szCs w:val="22"/>
          <w:highlight w:val="none"/>
        </w:rPr>
        <w:t>残疾人福利性单位声明函</w:t>
      </w:r>
    </w:p>
    <w:p w14:paraId="3978DD9C">
      <w:pPr>
        <w:widowControl/>
        <w:adjustRightInd w:val="0"/>
        <w:snapToGrid w:val="0"/>
        <w:spacing w:line="324" w:lineRule="auto"/>
        <w:ind w:firstLine="440" w:firstLineChars="200"/>
        <w:jc w:val="center"/>
        <w:rPr>
          <w:rFonts w:ascii="宋体" w:cs="Arial"/>
          <w:kern w:val="0"/>
          <w:sz w:val="22"/>
          <w:szCs w:val="22"/>
          <w:highlight w:val="none"/>
        </w:rPr>
      </w:pPr>
      <w:r>
        <w:rPr>
          <w:rFonts w:hint="eastAsia" w:ascii="宋体" w:hAnsi="宋体" w:cs="Arial"/>
          <w:kern w:val="0"/>
          <w:sz w:val="22"/>
          <w:szCs w:val="22"/>
          <w:highlight w:val="none"/>
        </w:rPr>
        <w:t>【不属于残疾人福利性单位的无需填写、递交】</w:t>
      </w:r>
    </w:p>
    <w:p w14:paraId="1BC3C9A5">
      <w:pPr>
        <w:snapToGrid w:val="0"/>
        <w:spacing w:line="300" w:lineRule="auto"/>
        <w:jc w:val="center"/>
        <w:rPr>
          <w:rFonts w:ascii="宋体" w:cs="Arial"/>
          <w:b/>
          <w:bCs/>
          <w:sz w:val="22"/>
          <w:szCs w:val="22"/>
          <w:highlight w:val="none"/>
        </w:rPr>
      </w:pPr>
    </w:p>
    <w:p w14:paraId="0BA84BA0">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本单位郑重声明，根据《财政部民政部中国残疾人联合会关于促进残疾人就业政府采购政策的通知》（财库</w:t>
      </w:r>
      <w:r>
        <w:rPr>
          <w:rFonts w:hint="eastAsia" w:ascii="宋体" w:hAnsi="宋体" w:cs="Arial"/>
          <w:sz w:val="22"/>
          <w:szCs w:val="22"/>
          <w:highlight w:val="none"/>
        </w:rPr>
        <w:t>〔</w:t>
      </w:r>
      <w:r>
        <w:rPr>
          <w:rFonts w:ascii="宋体" w:hAnsi="宋体" w:cs="Arial"/>
          <w:sz w:val="22"/>
          <w:szCs w:val="22"/>
          <w:highlight w:val="none"/>
        </w:rPr>
        <w:t>2017</w:t>
      </w:r>
      <w:r>
        <w:rPr>
          <w:rFonts w:hint="eastAsia" w:ascii="宋体" w:hAnsi="宋体" w:cs="Arial"/>
          <w:sz w:val="22"/>
          <w:szCs w:val="22"/>
          <w:highlight w:val="none"/>
        </w:rPr>
        <w:t>〕</w:t>
      </w:r>
      <w:r>
        <w:rPr>
          <w:rFonts w:ascii="宋体" w:hAnsi="宋体" w:cs="Arial"/>
          <w:sz w:val="22"/>
          <w:szCs w:val="22"/>
          <w:highlight w:val="none"/>
        </w:rPr>
        <w:t>141</w:t>
      </w:r>
      <w:r>
        <w:rPr>
          <w:rFonts w:hint="eastAsia" w:ascii="宋体" w:hAnsi="宋体" w:cs="Arial"/>
          <w:spacing w:val="6"/>
          <w:sz w:val="22"/>
          <w:szCs w:val="22"/>
          <w:highlight w:val="none"/>
        </w:rPr>
        <w:t>号）的规定，本单位为符合条件的残疾人福利性单位，且本单位参加</w:t>
      </w:r>
      <w:r>
        <w:rPr>
          <w:rFonts w:hint="eastAsia" w:ascii="宋体" w:hAnsi="宋体" w:cs="Arial"/>
          <w:spacing w:val="6"/>
          <w:sz w:val="22"/>
          <w:szCs w:val="22"/>
          <w:highlight w:val="none"/>
          <w:u w:val="single"/>
        </w:rPr>
        <w:t>（采购人名称）</w:t>
      </w:r>
      <w:r>
        <w:rPr>
          <w:rFonts w:hint="eastAsia" w:ascii="宋体" w:hAnsi="宋体" w:cs="Arial"/>
          <w:spacing w:val="6"/>
          <w:sz w:val="22"/>
          <w:szCs w:val="22"/>
          <w:highlight w:val="none"/>
        </w:rPr>
        <w:t>单位的</w:t>
      </w:r>
      <w:r>
        <w:rPr>
          <w:rFonts w:hint="eastAsia" w:ascii="宋体" w:hAnsi="宋体" w:cs="Arial"/>
          <w:spacing w:val="6"/>
          <w:sz w:val="22"/>
          <w:szCs w:val="22"/>
          <w:highlight w:val="none"/>
          <w:u w:val="single"/>
        </w:rPr>
        <w:t>（项目名称）</w:t>
      </w:r>
      <w:r>
        <w:rPr>
          <w:rFonts w:hint="eastAsia" w:ascii="宋体" w:hAnsi="宋体" w:cs="Arial"/>
          <w:spacing w:val="6"/>
          <w:sz w:val="22"/>
          <w:szCs w:val="22"/>
          <w:highlight w:val="none"/>
        </w:rPr>
        <w:t>项目采购活动提供本单位制造的货物（由本单位承担工程</w:t>
      </w:r>
      <w:r>
        <w:rPr>
          <w:rFonts w:ascii="宋体" w:hAnsi="宋体" w:cs="Arial"/>
          <w:spacing w:val="6"/>
          <w:sz w:val="22"/>
          <w:szCs w:val="22"/>
          <w:highlight w:val="none"/>
        </w:rPr>
        <w:t>/</w:t>
      </w:r>
      <w:r>
        <w:rPr>
          <w:rFonts w:hint="eastAsia" w:ascii="宋体" w:hAnsi="宋体" w:cs="Arial"/>
          <w:spacing w:val="6"/>
          <w:sz w:val="22"/>
          <w:szCs w:val="22"/>
          <w:highlight w:val="none"/>
        </w:rPr>
        <w:t>提供服务），或者提供其他残疾人福利性单位制造的货物（不包括使用非残疾人福利性单位注册商标的货物）。</w:t>
      </w:r>
    </w:p>
    <w:p w14:paraId="2F7F61FA">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本单位对上述声明的真实性负责。如有虚假，将依法承担相应责任。</w:t>
      </w:r>
    </w:p>
    <w:p w14:paraId="5458A0BE">
      <w:pPr>
        <w:snapToGrid w:val="0"/>
        <w:spacing w:line="300" w:lineRule="auto"/>
        <w:ind w:firstLine="464" w:firstLineChars="200"/>
        <w:rPr>
          <w:rFonts w:ascii="宋体" w:cs="Arial"/>
          <w:spacing w:val="6"/>
          <w:sz w:val="22"/>
          <w:szCs w:val="22"/>
          <w:highlight w:val="none"/>
        </w:rPr>
      </w:pPr>
    </w:p>
    <w:p w14:paraId="78FFB874">
      <w:pPr>
        <w:snapToGrid w:val="0"/>
        <w:spacing w:line="300" w:lineRule="auto"/>
        <w:ind w:firstLine="464" w:firstLineChars="200"/>
        <w:rPr>
          <w:rFonts w:ascii="宋体" w:cs="Arial"/>
          <w:spacing w:val="6"/>
          <w:sz w:val="22"/>
          <w:szCs w:val="22"/>
          <w:highlight w:val="none"/>
        </w:rPr>
      </w:pPr>
    </w:p>
    <w:p w14:paraId="756B97A6">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投标人名称（盖章）：</w:t>
      </w:r>
    </w:p>
    <w:p w14:paraId="667FF871">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日期：      年    月     日</w:t>
      </w:r>
    </w:p>
    <w:p w14:paraId="6C292139">
      <w:pPr>
        <w:adjustRightInd w:val="0"/>
        <w:snapToGrid w:val="0"/>
        <w:spacing w:line="300" w:lineRule="auto"/>
        <w:ind w:firstLine="440" w:firstLineChars="200"/>
        <w:rPr>
          <w:rFonts w:ascii="宋体" w:cs="Arial"/>
          <w:kern w:val="0"/>
          <w:sz w:val="22"/>
          <w:szCs w:val="22"/>
          <w:highlight w:val="none"/>
        </w:rPr>
      </w:pPr>
    </w:p>
    <w:p w14:paraId="0714110F">
      <w:pPr>
        <w:pStyle w:val="42"/>
        <w:rPr>
          <w:highlight w:val="none"/>
        </w:rPr>
      </w:pPr>
    </w:p>
    <w:p w14:paraId="58AF972E">
      <w:pPr>
        <w:adjustRightInd w:val="0"/>
        <w:snapToGrid w:val="0"/>
        <w:spacing w:line="300" w:lineRule="auto"/>
        <w:ind w:firstLine="440" w:firstLineChars="200"/>
        <w:rPr>
          <w:rFonts w:ascii="宋体" w:cs="Arial"/>
          <w:kern w:val="0"/>
          <w:sz w:val="22"/>
          <w:szCs w:val="22"/>
          <w:highlight w:val="none"/>
        </w:rPr>
      </w:pPr>
    </w:p>
    <w:p w14:paraId="436C1C49">
      <w:pPr>
        <w:spacing w:line="440" w:lineRule="atLeast"/>
        <w:rPr>
          <w:rFonts w:ascii="宋体"/>
          <w:sz w:val="22"/>
          <w:szCs w:val="22"/>
          <w:highlight w:val="none"/>
        </w:rPr>
      </w:pPr>
    </w:p>
    <w:p w14:paraId="74912090">
      <w:pPr>
        <w:adjustRightInd w:val="0"/>
        <w:snapToGrid w:val="0"/>
        <w:spacing w:line="300" w:lineRule="auto"/>
        <w:jc w:val="center"/>
        <w:rPr>
          <w:rFonts w:ascii="宋体" w:cs="Arial"/>
          <w:kern w:val="0"/>
          <w:sz w:val="22"/>
          <w:szCs w:val="22"/>
          <w:highlight w:val="none"/>
        </w:rPr>
      </w:pPr>
      <w:r>
        <w:rPr>
          <w:rFonts w:hint="eastAsia" w:ascii="宋体" w:hAnsi="宋体"/>
          <w:b/>
          <w:sz w:val="22"/>
          <w:szCs w:val="22"/>
          <w:highlight w:val="none"/>
        </w:rPr>
        <w:t>（6）</w:t>
      </w:r>
      <w:r>
        <w:rPr>
          <w:rFonts w:hint="eastAsia" w:ascii="宋体" w:hAnsi="宋体"/>
          <w:b/>
          <w:spacing w:val="6"/>
          <w:sz w:val="22"/>
          <w:szCs w:val="22"/>
          <w:highlight w:val="none"/>
        </w:rPr>
        <w:t>监狱企业声明函</w:t>
      </w:r>
    </w:p>
    <w:p w14:paraId="424605EE">
      <w:pPr>
        <w:snapToGrid w:val="0"/>
        <w:spacing w:line="300" w:lineRule="auto"/>
        <w:ind w:firstLine="464" w:firstLineChars="200"/>
        <w:jc w:val="center"/>
        <w:rPr>
          <w:rFonts w:ascii="宋体" w:cs="Arial"/>
          <w:spacing w:val="6"/>
          <w:sz w:val="22"/>
          <w:szCs w:val="22"/>
          <w:highlight w:val="none"/>
        </w:rPr>
      </w:pPr>
      <w:r>
        <w:rPr>
          <w:rFonts w:hint="eastAsia" w:ascii="宋体" w:hAnsi="宋体"/>
          <w:spacing w:val="6"/>
          <w:sz w:val="22"/>
          <w:szCs w:val="22"/>
          <w:highlight w:val="none"/>
        </w:rPr>
        <w:t>【</w:t>
      </w:r>
      <w:r>
        <w:rPr>
          <w:rFonts w:hint="eastAsia" w:ascii="宋体" w:hAnsi="宋体" w:cs="Arial"/>
          <w:spacing w:val="6"/>
          <w:sz w:val="22"/>
          <w:szCs w:val="22"/>
          <w:highlight w:val="none"/>
        </w:rPr>
        <w:t>非监狱企业不用提供】</w:t>
      </w:r>
    </w:p>
    <w:p w14:paraId="67DD8B82">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本企业郑重声明，根据《关于政府采购支持监狱企业发展有关问题的通知》（财库</w:t>
      </w:r>
      <w:r>
        <w:rPr>
          <w:rFonts w:ascii="宋体" w:hAnsi="宋体" w:cs="Arial"/>
          <w:spacing w:val="6"/>
          <w:sz w:val="22"/>
          <w:szCs w:val="22"/>
          <w:highlight w:val="none"/>
        </w:rPr>
        <w:t>[2014]68</w:t>
      </w:r>
      <w:r>
        <w:rPr>
          <w:rFonts w:hint="eastAsia" w:ascii="宋体" w:hAnsi="宋体" w:cs="Arial"/>
          <w:spacing w:val="6"/>
          <w:sz w:val="22"/>
          <w:szCs w:val="22"/>
          <w:highlight w:val="none"/>
        </w:rPr>
        <w:t>号）的规定，本企业为监狱企业。</w:t>
      </w:r>
      <w:r>
        <w:rPr>
          <w:rFonts w:ascii="宋体" w:hAnsi="宋体" w:cs="Arial"/>
          <w:spacing w:val="6"/>
          <w:sz w:val="22"/>
          <w:szCs w:val="22"/>
          <w:highlight w:val="none"/>
        </w:rPr>
        <w:t xml:space="preserve"> </w:t>
      </w:r>
    </w:p>
    <w:p w14:paraId="251D5454">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根据上述标准，我企业属于监狱企业的理由为：  。</w:t>
      </w:r>
      <w:r>
        <w:rPr>
          <w:rFonts w:ascii="宋体" w:hAnsi="宋体" w:cs="Arial"/>
          <w:spacing w:val="6"/>
          <w:sz w:val="22"/>
          <w:szCs w:val="22"/>
          <w:highlight w:val="none"/>
        </w:rPr>
        <w:t xml:space="preserve"> </w:t>
      </w:r>
    </w:p>
    <w:p w14:paraId="4CF50402">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本企业为参加（项目名称</w:t>
      </w:r>
      <w:r>
        <w:rPr>
          <w:rFonts w:hint="eastAsia" w:ascii="宋体" w:hAnsi="宋体" w:cs="Arial"/>
          <w:spacing w:val="6"/>
          <w:sz w:val="22"/>
          <w:szCs w:val="22"/>
          <w:highlight w:val="none"/>
          <w:u w:val="single"/>
        </w:rPr>
        <w:t>：</w:t>
      </w:r>
      <w:r>
        <w:rPr>
          <w:rFonts w:ascii="宋体" w:hAnsi="宋体" w:cs="Arial"/>
          <w:spacing w:val="6"/>
          <w:sz w:val="22"/>
          <w:szCs w:val="22"/>
          <w:highlight w:val="none"/>
          <w:u w:val="single"/>
        </w:rPr>
        <w:t xml:space="preserve">         </w:t>
      </w:r>
      <w:r>
        <w:rPr>
          <w:rFonts w:hint="eastAsia" w:ascii="宋体" w:hAnsi="宋体" w:cs="Arial"/>
          <w:spacing w:val="6"/>
          <w:sz w:val="22"/>
          <w:szCs w:val="22"/>
          <w:highlight w:val="none"/>
        </w:rPr>
        <w:t>）（项目编号</w:t>
      </w:r>
      <w:r>
        <w:rPr>
          <w:rFonts w:hint="eastAsia" w:ascii="宋体" w:hAnsi="宋体" w:cs="Arial"/>
          <w:spacing w:val="6"/>
          <w:sz w:val="22"/>
          <w:szCs w:val="22"/>
          <w:highlight w:val="none"/>
          <w:u w:val="single"/>
        </w:rPr>
        <w:t>：</w:t>
      </w:r>
      <w:r>
        <w:rPr>
          <w:rFonts w:ascii="宋体" w:hAnsi="宋体" w:cs="Arial"/>
          <w:spacing w:val="6"/>
          <w:sz w:val="22"/>
          <w:szCs w:val="22"/>
          <w:highlight w:val="none"/>
          <w:u w:val="single"/>
        </w:rPr>
        <w:t xml:space="preserve">         </w:t>
      </w:r>
      <w:r>
        <w:rPr>
          <w:rFonts w:hint="eastAsia" w:ascii="宋体" w:hAnsi="宋体" w:cs="Arial"/>
          <w:spacing w:val="6"/>
          <w:sz w:val="22"/>
          <w:szCs w:val="22"/>
          <w:highlight w:val="none"/>
        </w:rPr>
        <w:t>）采购活动并承担本工程。</w:t>
      </w:r>
      <w:r>
        <w:rPr>
          <w:rFonts w:ascii="宋体" w:hAnsi="宋体" w:cs="Arial"/>
          <w:spacing w:val="6"/>
          <w:sz w:val="22"/>
          <w:szCs w:val="22"/>
          <w:highlight w:val="none"/>
        </w:rPr>
        <w:t xml:space="preserve"> </w:t>
      </w:r>
    </w:p>
    <w:p w14:paraId="77614558">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本企业对上述声明的真实性负责。如有虚假，将依法承担相应责任。</w:t>
      </w:r>
      <w:r>
        <w:rPr>
          <w:rFonts w:ascii="宋体" w:hAnsi="宋体" w:cs="Arial"/>
          <w:spacing w:val="6"/>
          <w:sz w:val="22"/>
          <w:szCs w:val="22"/>
          <w:highlight w:val="none"/>
        </w:rPr>
        <w:t xml:space="preserve"> </w:t>
      </w:r>
    </w:p>
    <w:p w14:paraId="726D3EB3">
      <w:pPr>
        <w:tabs>
          <w:tab w:val="left" w:pos="4860"/>
        </w:tabs>
        <w:spacing w:line="588" w:lineRule="exact"/>
        <w:ind w:right="1560" w:firstLine="464" w:firstLineChars="200"/>
        <w:jc w:val="center"/>
        <w:rPr>
          <w:rFonts w:ascii="宋体"/>
          <w:spacing w:val="6"/>
          <w:sz w:val="22"/>
          <w:szCs w:val="22"/>
          <w:highlight w:val="none"/>
        </w:rPr>
      </w:pPr>
    </w:p>
    <w:p w14:paraId="0357991A">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投标人名称（盖章）：</w:t>
      </w:r>
    </w:p>
    <w:p w14:paraId="6723AF6A">
      <w:pPr>
        <w:widowControl/>
        <w:adjustRightInd w:val="0"/>
        <w:snapToGrid w:val="0"/>
        <w:spacing w:line="400" w:lineRule="exact"/>
        <w:ind w:firstLine="3300" w:firstLineChars="1500"/>
        <w:jc w:val="left"/>
        <w:rPr>
          <w:rFonts w:ascii="宋体" w:hAnsi="宋体"/>
          <w:sz w:val="22"/>
          <w:szCs w:val="22"/>
          <w:highlight w:val="none"/>
        </w:rPr>
      </w:pPr>
      <w:r>
        <w:rPr>
          <w:rFonts w:hint="eastAsia" w:ascii="宋体" w:hAnsi="宋体" w:cs="宋体"/>
          <w:sz w:val="22"/>
          <w:szCs w:val="22"/>
          <w:highlight w:val="none"/>
        </w:rPr>
        <w:t>日期：      年    月     日</w:t>
      </w:r>
    </w:p>
    <w:p w14:paraId="3C1241D4">
      <w:pPr>
        <w:pStyle w:val="8"/>
        <w:rPr>
          <w:sz w:val="22"/>
          <w:szCs w:val="22"/>
          <w:highlight w:val="none"/>
        </w:rPr>
      </w:pPr>
    </w:p>
    <w:p w14:paraId="6750ED19">
      <w:pPr>
        <w:rPr>
          <w:rFonts w:ascii="宋体"/>
          <w:b/>
          <w:bCs/>
          <w:sz w:val="22"/>
          <w:szCs w:val="22"/>
          <w:highlight w:val="none"/>
        </w:rPr>
      </w:pPr>
      <w:r>
        <w:rPr>
          <w:rFonts w:ascii="宋体"/>
          <w:b/>
          <w:bCs/>
          <w:sz w:val="22"/>
          <w:szCs w:val="22"/>
          <w:highlight w:val="none"/>
        </w:rPr>
        <w:br w:type="page"/>
      </w:r>
    </w:p>
    <w:p w14:paraId="398B2D84">
      <w:pPr>
        <w:pStyle w:val="2"/>
        <w:numPr>
          <w:ilvl w:val="0"/>
          <w:numId w:val="0"/>
        </w:numPr>
        <w:jc w:val="center"/>
        <w:rPr>
          <w:rFonts w:hint="eastAsia" w:ascii="宋体" w:hAnsi="宋体" w:eastAsia="宋体" w:cs="Times New Roman"/>
          <w:b/>
          <w:bCs w:val="0"/>
          <w:spacing w:val="6"/>
          <w:kern w:val="2"/>
          <w:sz w:val="22"/>
          <w:szCs w:val="22"/>
          <w:highlight w:val="none"/>
          <w:lang w:val="en-US" w:eastAsia="zh-CN" w:bidi="ar-SA"/>
        </w:rPr>
      </w:pPr>
      <w:r>
        <w:rPr>
          <w:rFonts w:hint="eastAsia" w:ascii="宋体" w:hAnsi="宋体" w:eastAsia="宋体" w:cs="Times New Roman"/>
          <w:b/>
          <w:bCs w:val="0"/>
          <w:spacing w:val="6"/>
          <w:kern w:val="2"/>
          <w:sz w:val="22"/>
          <w:szCs w:val="22"/>
          <w:highlight w:val="none"/>
          <w:lang w:val="en-US" w:eastAsia="zh-CN" w:bidi="ar-SA"/>
        </w:rPr>
        <w:t>（7）本项目的特定资格要求</w:t>
      </w:r>
    </w:p>
    <w:p w14:paraId="4147C46C">
      <w:pPr>
        <w:numPr>
          <w:ilvl w:val="0"/>
          <w:numId w:val="0"/>
        </w:numPr>
        <w:rPr>
          <w:highlight w:val="none"/>
        </w:rPr>
      </w:pPr>
      <w:r>
        <w:rPr>
          <w:rFonts w:hint="eastAsia" w:ascii="仿宋" w:hAnsi="仿宋" w:eastAsia="仿宋" w:cs="仿宋"/>
          <w:color w:val="auto"/>
          <w:sz w:val="24"/>
          <w:highlight w:val="none"/>
        </w:rPr>
        <w:t>（根据招标公告本项目的特定资格要求及评标办法前附表的要求提供相应的材料；未要求的，无需提供）</w:t>
      </w:r>
    </w:p>
    <w:p w14:paraId="4BF5ECF4">
      <w:pPr>
        <w:rPr>
          <w:rFonts w:ascii="宋体"/>
          <w:b/>
          <w:bCs/>
          <w:sz w:val="22"/>
          <w:szCs w:val="22"/>
          <w:highlight w:val="none"/>
        </w:rPr>
      </w:pPr>
      <w:r>
        <w:rPr>
          <w:rFonts w:ascii="宋体"/>
          <w:b/>
          <w:bCs/>
          <w:sz w:val="22"/>
          <w:szCs w:val="22"/>
          <w:highlight w:val="none"/>
        </w:rPr>
        <w:br w:type="page"/>
      </w:r>
    </w:p>
    <w:p w14:paraId="586D9DA2">
      <w:pPr>
        <w:spacing w:line="380" w:lineRule="exact"/>
        <w:rPr>
          <w:rFonts w:ascii="宋体" w:hAnsi="宋体"/>
          <w:b/>
          <w:bCs/>
          <w:sz w:val="22"/>
          <w:szCs w:val="22"/>
          <w:highlight w:val="none"/>
        </w:rPr>
      </w:pPr>
      <w:r>
        <w:rPr>
          <w:rFonts w:hint="eastAsia" w:ascii="宋体" w:hAnsi="宋体"/>
          <w:b/>
          <w:bCs/>
          <w:sz w:val="22"/>
          <w:szCs w:val="22"/>
          <w:highlight w:val="none"/>
        </w:rPr>
        <w:t xml:space="preserve">附件二 </w:t>
      </w:r>
    </w:p>
    <w:p w14:paraId="63DF0A41">
      <w:pPr>
        <w:spacing w:line="460" w:lineRule="exact"/>
        <w:jc w:val="center"/>
        <w:rPr>
          <w:rFonts w:hint="eastAsia" w:ascii="宋体" w:hAnsi="宋体" w:eastAsia="宋体"/>
          <w:b/>
          <w:bCs/>
          <w:sz w:val="28"/>
          <w:szCs w:val="28"/>
          <w:highlight w:val="none"/>
          <w:lang w:val="zh-CN" w:eastAsia="zh-CN"/>
        </w:rPr>
      </w:pPr>
      <w:r>
        <w:rPr>
          <w:rFonts w:hint="eastAsia" w:ascii="宋体" w:hAnsi="宋体"/>
          <w:b/>
          <w:bCs/>
          <w:sz w:val="28"/>
          <w:szCs w:val="28"/>
          <w:highlight w:val="none"/>
        </w:rPr>
        <w:t>（1）开标一览</w:t>
      </w:r>
      <w:r>
        <w:rPr>
          <w:rFonts w:hint="eastAsia" w:ascii="宋体" w:hAnsi="宋体" w:eastAsia="宋体"/>
          <w:b/>
          <w:bCs/>
          <w:sz w:val="28"/>
          <w:szCs w:val="28"/>
          <w:highlight w:val="none"/>
        </w:rPr>
        <w:t>表</w:t>
      </w:r>
      <w:r>
        <w:rPr>
          <w:rFonts w:hint="eastAsia" w:ascii="宋体" w:hAnsi="宋体"/>
          <w:b/>
          <w:bCs/>
          <w:sz w:val="28"/>
          <w:szCs w:val="28"/>
          <w:highlight w:val="none"/>
          <w:lang w:eastAsia="zh-CN"/>
        </w:rPr>
        <w:t>（</w:t>
      </w:r>
      <w:r>
        <w:rPr>
          <w:rFonts w:hint="eastAsia" w:ascii="宋体" w:hAnsi="宋体"/>
          <w:b/>
          <w:bCs/>
          <w:sz w:val="28"/>
          <w:szCs w:val="28"/>
          <w:highlight w:val="none"/>
          <w:lang w:val="en-US" w:eastAsia="zh-CN"/>
        </w:rPr>
        <w:t>标项</w:t>
      </w:r>
      <w:r>
        <w:rPr>
          <w:rFonts w:hint="eastAsia" w:ascii="宋体" w:hAnsi="宋体"/>
          <w:b/>
          <w:bCs/>
          <w:sz w:val="28"/>
          <w:szCs w:val="28"/>
          <w:highlight w:val="none"/>
          <w:u w:val="single"/>
          <w:lang w:val="en-US" w:eastAsia="zh-CN"/>
        </w:rPr>
        <w:t xml:space="preserve">    </w:t>
      </w:r>
      <w:r>
        <w:rPr>
          <w:rFonts w:hint="eastAsia" w:ascii="宋体" w:hAnsi="宋体"/>
          <w:b/>
          <w:bCs/>
          <w:sz w:val="28"/>
          <w:szCs w:val="28"/>
          <w:highlight w:val="none"/>
          <w:lang w:eastAsia="zh-CN"/>
        </w:rPr>
        <w:t>）</w:t>
      </w:r>
    </w:p>
    <w:p w14:paraId="04C3FEA5">
      <w:pPr>
        <w:pStyle w:val="4"/>
        <w:rPr>
          <w:highlight w:val="none"/>
        </w:rPr>
      </w:pPr>
    </w:p>
    <w:p w14:paraId="26A353F3">
      <w:pPr>
        <w:spacing w:line="380" w:lineRule="exact"/>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项目名称：</w:t>
      </w:r>
      <w:r>
        <w:rPr>
          <w:rFonts w:hint="eastAsia" w:asciiTheme="minorEastAsia" w:hAnsiTheme="minorEastAsia" w:eastAsiaTheme="minorEastAsia" w:cstheme="minorEastAsia"/>
          <w:bCs/>
          <w:color w:val="auto"/>
          <w:sz w:val="22"/>
          <w:szCs w:val="22"/>
          <w:highlight w:val="none"/>
          <w:lang w:eastAsia="zh-CN"/>
        </w:rPr>
        <w:t>温州至福州高速铁路（龙湾段）工程海滨街道北片区房屋征收事务代理项目</w:t>
      </w:r>
      <w:r>
        <w:rPr>
          <w:rFonts w:hint="eastAsia" w:asciiTheme="minorEastAsia" w:hAnsiTheme="minorEastAsia" w:eastAsiaTheme="minorEastAsia" w:cstheme="minorEastAsia"/>
          <w:bCs/>
          <w:color w:val="auto"/>
          <w:sz w:val="22"/>
          <w:szCs w:val="22"/>
          <w:highlight w:val="none"/>
        </w:rPr>
        <w:t xml:space="preserve">                                       项目编号：WZBH-2025012401</w:t>
      </w:r>
    </w:p>
    <w:p w14:paraId="57DACDC9">
      <w:pPr>
        <w:spacing w:line="38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价格单位：人民币（元）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2221"/>
        <w:gridCol w:w="1697"/>
        <w:gridCol w:w="1697"/>
      </w:tblGrid>
      <w:tr w14:paraId="4064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239" w:type="dxa"/>
            <w:vAlign w:val="center"/>
          </w:tcPr>
          <w:p w14:paraId="3195570E">
            <w:pPr>
              <w:pStyle w:val="35"/>
              <w:spacing w:line="400" w:lineRule="atLeast"/>
              <w:jc w:val="center"/>
              <w:rPr>
                <w:rFonts w:hAnsi="宋体" w:cs="宋体"/>
                <w:sz w:val="22"/>
                <w:szCs w:val="22"/>
                <w:highlight w:val="none"/>
              </w:rPr>
            </w:pPr>
            <w:r>
              <w:rPr>
                <w:rFonts w:hint="eastAsia" w:hAnsi="宋体" w:eastAsia="宋体" w:cs="宋体"/>
                <w:b w:val="0"/>
                <w:color w:val="auto"/>
                <w:kern w:val="2"/>
                <w:sz w:val="22"/>
                <w:szCs w:val="22"/>
                <w:highlight w:val="none"/>
                <w:lang w:val="en-US" w:eastAsia="zh-CN"/>
              </w:rPr>
              <w:t>标项名称</w:t>
            </w:r>
          </w:p>
        </w:tc>
        <w:tc>
          <w:tcPr>
            <w:tcW w:w="2221" w:type="dxa"/>
            <w:vAlign w:val="center"/>
          </w:tcPr>
          <w:p w14:paraId="447A96DE">
            <w:pPr>
              <w:pStyle w:val="35"/>
              <w:spacing w:line="400" w:lineRule="atLeast"/>
              <w:jc w:val="center"/>
              <w:rPr>
                <w:rFonts w:hAnsi="宋体" w:cs="宋体"/>
                <w:sz w:val="22"/>
                <w:szCs w:val="22"/>
                <w:highlight w:val="none"/>
              </w:rPr>
            </w:pPr>
            <w:r>
              <w:rPr>
                <w:rFonts w:hint="eastAsia" w:hAnsi="宋体" w:cs="宋体"/>
                <w:sz w:val="22"/>
                <w:szCs w:val="22"/>
                <w:highlight w:val="none"/>
              </w:rPr>
              <w:t>项目负责人</w:t>
            </w:r>
          </w:p>
        </w:tc>
        <w:tc>
          <w:tcPr>
            <w:tcW w:w="1697" w:type="dxa"/>
            <w:vAlign w:val="center"/>
          </w:tcPr>
          <w:p w14:paraId="41B6C52A">
            <w:pPr>
              <w:pStyle w:val="35"/>
              <w:spacing w:line="400" w:lineRule="atLeast"/>
              <w:jc w:val="center"/>
              <w:rPr>
                <w:rFonts w:hAnsi="宋体" w:cs="宋体"/>
                <w:sz w:val="22"/>
                <w:szCs w:val="22"/>
                <w:highlight w:val="none"/>
              </w:rPr>
            </w:pPr>
            <w:r>
              <w:rPr>
                <w:rFonts w:hint="eastAsia" w:hAnsi="宋体" w:cs="宋体"/>
                <w:sz w:val="22"/>
                <w:szCs w:val="22"/>
                <w:highlight w:val="none"/>
              </w:rPr>
              <w:t>服务期限</w:t>
            </w:r>
          </w:p>
        </w:tc>
        <w:tc>
          <w:tcPr>
            <w:tcW w:w="1697" w:type="dxa"/>
            <w:vAlign w:val="center"/>
          </w:tcPr>
          <w:p w14:paraId="659AD9AD">
            <w:pPr>
              <w:pStyle w:val="35"/>
              <w:spacing w:line="400" w:lineRule="atLeast"/>
              <w:jc w:val="center"/>
              <w:rPr>
                <w:rFonts w:hAnsi="宋体" w:cs="宋体"/>
                <w:sz w:val="22"/>
                <w:szCs w:val="22"/>
                <w:highlight w:val="none"/>
              </w:rPr>
            </w:pPr>
            <w:r>
              <w:rPr>
                <w:rFonts w:hint="eastAsia" w:hAnsi="宋体" w:cs="宋体"/>
                <w:sz w:val="22"/>
                <w:szCs w:val="22"/>
                <w:highlight w:val="none"/>
              </w:rPr>
              <w:t>备注</w:t>
            </w:r>
          </w:p>
        </w:tc>
      </w:tr>
      <w:tr w14:paraId="0B6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239" w:type="dxa"/>
            <w:vAlign w:val="center"/>
          </w:tcPr>
          <w:p w14:paraId="4B3CA97A">
            <w:pPr>
              <w:pStyle w:val="35"/>
              <w:spacing w:line="400" w:lineRule="atLeast"/>
              <w:jc w:val="center"/>
              <w:rPr>
                <w:rFonts w:hAnsi="宋体" w:cs="宋体"/>
                <w:b/>
                <w:sz w:val="22"/>
                <w:szCs w:val="22"/>
                <w:highlight w:val="none"/>
              </w:rPr>
            </w:pPr>
          </w:p>
        </w:tc>
        <w:tc>
          <w:tcPr>
            <w:tcW w:w="2221" w:type="dxa"/>
            <w:vAlign w:val="center"/>
          </w:tcPr>
          <w:p w14:paraId="493509F8">
            <w:pPr>
              <w:pStyle w:val="35"/>
              <w:spacing w:line="400" w:lineRule="atLeast"/>
              <w:ind w:firstLine="216" w:firstLineChars="98"/>
              <w:jc w:val="center"/>
              <w:rPr>
                <w:rFonts w:hAnsi="宋体" w:cs="宋体"/>
                <w:b/>
                <w:sz w:val="22"/>
                <w:szCs w:val="22"/>
                <w:highlight w:val="none"/>
                <w:u w:val="single"/>
              </w:rPr>
            </w:pPr>
          </w:p>
        </w:tc>
        <w:tc>
          <w:tcPr>
            <w:tcW w:w="1697" w:type="dxa"/>
            <w:vAlign w:val="center"/>
          </w:tcPr>
          <w:p w14:paraId="6C722BE6">
            <w:pPr>
              <w:pStyle w:val="35"/>
              <w:spacing w:line="400" w:lineRule="atLeast"/>
              <w:jc w:val="center"/>
              <w:rPr>
                <w:rFonts w:hAnsi="宋体" w:cs="宋体"/>
                <w:sz w:val="22"/>
                <w:szCs w:val="22"/>
                <w:highlight w:val="none"/>
              </w:rPr>
            </w:pPr>
            <w:r>
              <w:rPr>
                <w:rFonts w:hint="eastAsia" w:hAnsi="宋体" w:cs="宋体"/>
                <w:sz w:val="22"/>
                <w:szCs w:val="22"/>
                <w:highlight w:val="none"/>
              </w:rPr>
              <w:t>至完成招标要求内容止；</w:t>
            </w:r>
          </w:p>
        </w:tc>
        <w:tc>
          <w:tcPr>
            <w:tcW w:w="1697" w:type="dxa"/>
            <w:vAlign w:val="center"/>
          </w:tcPr>
          <w:p w14:paraId="2D7ED305">
            <w:pPr>
              <w:pStyle w:val="35"/>
              <w:spacing w:line="400" w:lineRule="atLeast"/>
              <w:jc w:val="center"/>
              <w:rPr>
                <w:rFonts w:hAnsi="宋体" w:cs="宋体"/>
                <w:sz w:val="22"/>
                <w:szCs w:val="22"/>
                <w:highlight w:val="none"/>
              </w:rPr>
            </w:pPr>
          </w:p>
        </w:tc>
      </w:tr>
      <w:tr w14:paraId="5B7F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9854" w:type="dxa"/>
            <w:gridSpan w:val="4"/>
            <w:vAlign w:val="center"/>
          </w:tcPr>
          <w:p w14:paraId="7EE8AE11">
            <w:pPr>
              <w:pStyle w:val="35"/>
              <w:spacing w:line="400" w:lineRule="atLeast"/>
              <w:ind w:firstLine="541" w:firstLineChars="245"/>
              <w:rPr>
                <w:rFonts w:hAnsi="宋体" w:cs="宋体"/>
                <w:b/>
                <w:bCs/>
                <w:sz w:val="22"/>
                <w:szCs w:val="22"/>
                <w:highlight w:val="none"/>
              </w:rPr>
            </w:pPr>
            <w:r>
              <w:rPr>
                <w:rFonts w:hint="eastAsia" w:hAnsi="宋体" w:cs="宋体"/>
                <w:b/>
                <w:bCs/>
                <w:sz w:val="22"/>
                <w:szCs w:val="22"/>
                <w:highlight w:val="none"/>
              </w:rPr>
              <w:t>投标报价（大写）人民币：</w:t>
            </w:r>
            <w:r>
              <w:rPr>
                <w:rFonts w:hint="eastAsia" w:hAnsi="宋体" w:cs="宋体"/>
                <w:b/>
                <w:bCs/>
                <w:sz w:val="22"/>
                <w:szCs w:val="22"/>
                <w:highlight w:val="none"/>
                <w:u w:val="single"/>
              </w:rPr>
              <w:t xml:space="preserve">             </w:t>
            </w:r>
            <w:r>
              <w:rPr>
                <w:rFonts w:hint="eastAsia" w:hAnsi="宋体" w:cs="宋体"/>
                <w:b/>
                <w:bCs/>
                <w:sz w:val="22"/>
                <w:szCs w:val="22"/>
                <w:highlight w:val="none"/>
              </w:rPr>
              <w:t>元</w:t>
            </w:r>
          </w:p>
          <w:p w14:paraId="52A30CB2">
            <w:pPr>
              <w:pStyle w:val="35"/>
              <w:spacing w:line="400" w:lineRule="atLeast"/>
              <w:ind w:firstLine="1407" w:firstLineChars="637"/>
              <w:rPr>
                <w:rFonts w:hAnsi="宋体" w:cs="宋体"/>
                <w:b/>
                <w:sz w:val="22"/>
                <w:szCs w:val="22"/>
                <w:highlight w:val="none"/>
              </w:rPr>
            </w:pPr>
            <w:r>
              <w:rPr>
                <w:rFonts w:hint="eastAsia" w:hAnsi="宋体" w:cs="宋体"/>
                <w:b/>
                <w:bCs/>
                <w:sz w:val="22"/>
                <w:szCs w:val="22"/>
                <w:highlight w:val="none"/>
              </w:rPr>
              <w:t>（小写）</w:t>
            </w:r>
            <w:r>
              <w:rPr>
                <w:rFonts w:hint="eastAsia" w:hAnsi="宋体" w:cs="宋体"/>
                <w:bCs/>
                <w:sz w:val="22"/>
                <w:szCs w:val="22"/>
                <w:highlight w:val="none"/>
              </w:rPr>
              <w:t>¥：</w:t>
            </w:r>
            <w:r>
              <w:rPr>
                <w:rFonts w:hint="eastAsia" w:hAnsi="宋体" w:cs="宋体"/>
                <w:bCs/>
                <w:sz w:val="22"/>
                <w:szCs w:val="22"/>
                <w:highlight w:val="none"/>
                <w:u w:val="single"/>
              </w:rPr>
              <w:t xml:space="preserve">                  </w:t>
            </w:r>
            <w:r>
              <w:rPr>
                <w:rFonts w:hint="eastAsia" w:hAnsi="宋体" w:cs="宋体"/>
                <w:b/>
                <w:bCs/>
                <w:sz w:val="22"/>
                <w:szCs w:val="22"/>
                <w:highlight w:val="none"/>
              </w:rPr>
              <w:t>元</w:t>
            </w:r>
          </w:p>
        </w:tc>
      </w:tr>
    </w:tbl>
    <w:p w14:paraId="3840BF0B">
      <w:pPr>
        <w:spacing w:line="380" w:lineRule="exact"/>
        <w:ind w:left="529" w:leftChars="-66" w:hanging="668" w:hangingChars="30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说明：</w:t>
      </w:r>
    </w:p>
    <w:p w14:paraId="6DDE6603">
      <w:pPr>
        <w:spacing w:line="380" w:lineRule="exact"/>
        <w:rPr>
          <w:rFonts w:hint="eastAsia" w:ascii="宋体" w:hAnsi="宋体" w:eastAsia="宋体" w:cs="宋体"/>
          <w:b/>
          <w:color w:val="000000"/>
          <w:sz w:val="22"/>
          <w:szCs w:val="22"/>
          <w:highlight w:val="none"/>
          <w:u w:val="single"/>
        </w:rPr>
      </w:pPr>
      <w:r>
        <w:rPr>
          <w:rFonts w:hint="eastAsia" w:ascii="宋体" w:hAnsi="宋体" w:cs="宋体"/>
          <w:b/>
          <w:color w:val="000000"/>
          <w:sz w:val="22"/>
          <w:szCs w:val="22"/>
          <w:highlight w:val="none"/>
          <w:u w:val="single"/>
        </w:rPr>
        <w:t>▲1.开标一览表中的投标报价为提供该服务的总费用：投标报价是指投标人的报价应为完成房屋征收事务代理服务可能发生的全部费用及投标人的利润和应交纳的税金等（包括人员工资、奖金、各种加班费、夜餐费、各种社会保险、餐饮与交通、需的一切本身和不可或缺的所有工作开支、建筑附属物调查测量、政策性文件规定及合同包含的所有风险、责任等、专用设备、消耗材料、服装、安全、管理费用、税费、利润、</w:t>
      </w:r>
      <w:r>
        <w:rPr>
          <w:rFonts w:hint="eastAsia" w:ascii="宋体" w:hAnsi="宋体" w:eastAsia="宋体" w:cs="宋体"/>
          <w:b/>
          <w:color w:val="000000"/>
          <w:sz w:val="22"/>
          <w:szCs w:val="22"/>
          <w:highlight w:val="none"/>
          <w:u w:val="single"/>
        </w:rPr>
        <w:t>招标代理服务费、完成合同所各项全部费用并承担一切风险责任）。实行固定单价包干，供应商应根据上述因素自行考虑含入投标报价。投标人对合同内容的费用、质量等实行全面承包。</w:t>
      </w:r>
    </w:p>
    <w:p w14:paraId="72D98218">
      <w:pPr>
        <w:spacing w:line="380" w:lineRule="exact"/>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u w:val="single"/>
        </w:rPr>
        <w:t>▲</w:t>
      </w:r>
      <w:r>
        <w:rPr>
          <w:rFonts w:hint="eastAsia" w:ascii="宋体" w:hAnsi="宋体" w:eastAsia="宋体" w:cs="宋体"/>
          <w:b/>
          <w:color w:val="000000"/>
          <w:sz w:val="22"/>
          <w:szCs w:val="22"/>
          <w:highlight w:val="none"/>
          <w:u w:val="single"/>
          <w:lang w:val="en-US" w:eastAsia="zh-CN"/>
        </w:rPr>
        <w:t>2.</w:t>
      </w:r>
      <w:r>
        <w:rPr>
          <w:rFonts w:hint="eastAsia" w:ascii="宋体" w:hAnsi="宋体" w:eastAsia="宋体" w:cs="宋体"/>
          <w:b/>
          <w:color w:val="000000"/>
          <w:sz w:val="22"/>
          <w:szCs w:val="22"/>
          <w:highlight w:val="none"/>
          <w:u w:val="single"/>
        </w:rPr>
        <w:t>此表中投标总价应与投标分项报价表总金额一致。</w:t>
      </w:r>
    </w:p>
    <w:p w14:paraId="21B5C1D2">
      <w:pPr>
        <w:spacing w:line="380" w:lineRule="exact"/>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u w:val="single"/>
        </w:rPr>
        <w:t>▲</w:t>
      </w:r>
      <w:r>
        <w:rPr>
          <w:rFonts w:hint="eastAsia" w:ascii="宋体" w:hAnsi="宋体" w:eastAsia="宋体" w:cs="宋体"/>
          <w:b/>
          <w:color w:val="000000"/>
          <w:sz w:val="22"/>
          <w:szCs w:val="22"/>
          <w:highlight w:val="none"/>
          <w:u w:val="single"/>
          <w:lang w:val="en-US" w:eastAsia="zh-CN"/>
        </w:rPr>
        <w:t>3.</w:t>
      </w:r>
      <w:r>
        <w:rPr>
          <w:rFonts w:hint="eastAsia" w:ascii="宋体" w:hAnsi="宋体" w:eastAsia="宋体" w:cs="宋体"/>
          <w:b/>
          <w:color w:val="000000"/>
          <w:sz w:val="22"/>
          <w:szCs w:val="22"/>
          <w:highlight w:val="none"/>
          <w:u w:val="single"/>
        </w:rPr>
        <w:t>不提供</w:t>
      </w:r>
      <w:r>
        <w:rPr>
          <w:rFonts w:hint="eastAsia" w:ascii="宋体" w:hAnsi="宋体" w:cs="宋体"/>
          <w:b/>
          <w:color w:val="000000"/>
          <w:sz w:val="22"/>
          <w:szCs w:val="22"/>
          <w:highlight w:val="none"/>
          <w:u w:val="single"/>
          <w:lang w:val="en-US" w:eastAsia="zh-CN"/>
        </w:rPr>
        <w:t>此</w:t>
      </w:r>
      <w:r>
        <w:rPr>
          <w:rFonts w:hint="eastAsia" w:ascii="宋体" w:hAnsi="宋体" w:eastAsia="宋体" w:cs="宋体"/>
          <w:b/>
          <w:color w:val="000000"/>
          <w:sz w:val="22"/>
          <w:szCs w:val="22"/>
          <w:highlight w:val="none"/>
          <w:u w:val="single"/>
        </w:rPr>
        <w:t>表的投标文件将被视为未实质性响应采购文件。</w:t>
      </w:r>
    </w:p>
    <w:p w14:paraId="04254BA1">
      <w:pPr>
        <w:spacing w:line="380" w:lineRule="exact"/>
        <w:ind w:firstLine="660" w:firstLineChars="300"/>
        <w:rPr>
          <w:rFonts w:ascii="宋体" w:hAnsi="宋体"/>
          <w:sz w:val="22"/>
          <w:szCs w:val="22"/>
          <w:highlight w:val="none"/>
        </w:rPr>
      </w:pPr>
    </w:p>
    <w:p w14:paraId="0E15A286">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投标人全称（盖章）：</w:t>
      </w:r>
    </w:p>
    <w:p w14:paraId="6CB242E7">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法定代表人或授权代表（签字或盖章）：</w:t>
      </w:r>
    </w:p>
    <w:p w14:paraId="7F5AC772">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日 期：  年  月  日</w:t>
      </w:r>
    </w:p>
    <w:p w14:paraId="42540A9A">
      <w:pPr>
        <w:rPr>
          <w:rFonts w:hint="eastAsia" w:ascii="宋体" w:hAnsi="宋体"/>
          <w:sz w:val="22"/>
          <w:szCs w:val="22"/>
          <w:highlight w:val="none"/>
        </w:rPr>
      </w:pPr>
      <w:r>
        <w:rPr>
          <w:rFonts w:hint="eastAsia" w:ascii="宋体" w:hAnsi="宋体"/>
          <w:sz w:val="22"/>
          <w:szCs w:val="22"/>
          <w:highlight w:val="none"/>
        </w:rPr>
        <w:br w:type="page"/>
      </w:r>
    </w:p>
    <w:p w14:paraId="4E96D303">
      <w:pPr>
        <w:spacing w:line="380" w:lineRule="exact"/>
        <w:jc w:val="center"/>
        <w:rPr>
          <w:rFonts w:hint="eastAsia" w:ascii="宋体" w:hAnsi="宋体" w:eastAsia="宋体" w:cs="新宋体"/>
          <w:b/>
          <w:bCs/>
          <w:sz w:val="28"/>
          <w:szCs w:val="28"/>
          <w:highlight w:val="none"/>
          <w:lang w:eastAsia="zh-CN"/>
        </w:rPr>
      </w:pPr>
      <w:r>
        <w:rPr>
          <w:rFonts w:hint="eastAsia" w:ascii="宋体" w:hAnsi="宋体" w:cs="新宋体"/>
          <w:b/>
          <w:bCs/>
          <w:sz w:val="28"/>
          <w:szCs w:val="28"/>
          <w:highlight w:val="none"/>
          <w:lang w:eastAsia="zh-CN"/>
        </w:rPr>
        <w:t>（</w:t>
      </w:r>
      <w:r>
        <w:rPr>
          <w:rFonts w:hint="eastAsia" w:ascii="宋体" w:hAnsi="宋体" w:cs="新宋体"/>
          <w:b/>
          <w:bCs/>
          <w:sz w:val="28"/>
          <w:szCs w:val="28"/>
          <w:highlight w:val="none"/>
          <w:lang w:val="en-US" w:eastAsia="zh-CN"/>
        </w:rPr>
        <w:t>2</w:t>
      </w:r>
      <w:r>
        <w:rPr>
          <w:rFonts w:hint="eastAsia" w:ascii="宋体" w:hAnsi="宋体" w:cs="新宋体"/>
          <w:b/>
          <w:bCs/>
          <w:sz w:val="28"/>
          <w:szCs w:val="28"/>
          <w:highlight w:val="none"/>
          <w:lang w:eastAsia="zh-CN"/>
        </w:rPr>
        <w:t>）</w:t>
      </w:r>
      <w:r>
        <w:rPr>
          <w:rFonts w:hint="eastAsia" w:ascii="宋体" w:hAnsi="宋体" w:cs="新宋体"/>
          <w:b/>
          <w:bCs/>
          <w:sz w:val="28"/>
          <w:szCs w:val="28"/>
          <w:highlight w:val="none"/>
        </w:rPr>
        <w:t>投标分项报价表</w:t>
      </w:r>
      <w:r>
        <w:rPr>
          <w:rFonts w:hint="eastAsia" w:ascii="宋体" w:hAnsi="宋体" w:cs="新宋体"/>
          <w:b/>
          <w:bCs/>
          <w:sz w:val="28"/>
          <w:szCs w:val="28"/>
          <w:highlight w:val="none"/>
          <w:lang w:eastAsia="zh-CN"/>
        </w:rPr>
        <w:t>（</w:t>
      </w:r>
      <w:r>
        <w:rPr>
          <w:rFonts w:hint="eastAsia" w:ascii="宋体" w:hAnsi="宋体" w:cs="新宋体"/>
          <w:b/>
          <w:bCs/>
          <w:sz w:val="28"/>
          <w:szCs w:val="28"/>
          <w:highlight w:val="none"/>
          <w:lang w:val="en-US" w:eastAsia="zh-CN"/>
        </w:rPr>
        <w:t>标项一</w:t>
      </w:r>
      <w:r>
        <w:rPr>
          <w:rFonts w:hint="eastAsia" w:ascii="宋体" w:hAnsi="宋体" w:cs="新宋体"/>
          <w:b/>
          <w:bCs/>
          <w:sz w:val="28"/>
          <w:szCs w:val="28"/>
          <w:highlight w:val="none"/>
          <w:lang w:eastAsia="zh-CN"/>
        </w:rPr>
        <w:t>）</w:t>
      </w:r>
    </w:p>
    <w:p w14:paraId="1C5F8FC0">
      <w:pPr>
        <w:spacing w:line="380" w:lineRule="exact"/>
        <w:jc w:val="left"/>
        <w:rPr>
          <w:rFonts w:ascii="宋体" w:hAnsi="宋体" w:cs="宋体"/>
          <w:b/>
          <w:sz w:val="24"/>
          <w:highlight w:val="none"/>
        </w:rPr>
      </w:pPr>
      <w:r>
        <w:rPr>
          <w:rFonts w:hint="eastAsia" w:ascii="宋体" w:hAnsi="宋体" w:cs="宋体"/>
          <w:b/>
          <w:sz w:val="24"/>
          <w:highlight w:val="none"/>
        </w:rPr>
        <w:t>项目名称：</w:t>
      </w:r>
      <w:r>
        <w:rPr>
          <w:rFonts w:hint="eastAsia" w:ascii="宋体" w:hAnsi="宋体" w:cs="宋体"/>
          <w:b/>
          <w:sz w:val="24"/>
          <w:highlight w:val="none"/>
          <w:lang w:eastAsia="zh-CN"/>
        </w:rPr>
        <w:t>温州至福州高速铁路（龙湾段）工程海滨街道北片区房屋征收事务代理项目</w:t>
      </w:r>
      <w:r>
        <w:rPr>
          <w:rFonts w:hint="eastAsia" w:ascii="宋体" w:hAnsi="宋体" w:cs="宋体"/>
          <w:b/>
          <w:sz w:val="24"/>
          <w:highlight w:val="none"/>
        </w:rPr>
        <w:t xml:space="preserve">                                        项目编号：WZBH-2025012401</w:t>
      </w:r>
    </w:p>
    <w:tbl>
      <w:tblPr>
        <w:tblStyle w:val="63"/>
        <w:tblW w:w="9736" w:type="dxa"/>
        <w:tblInd w:w="93" w:type="dxa"/>
        <w:tblLayout w:type="fixed"/>
        <w:tblCellMar>
          <w:top w:w="0" w:type="dxa"/>
          <w:left w:w="108" w:type="dxa"/>
          <w:bottom w:w="0" w:type="dxa"/>
          <w:right w:w="108" w:type="dxa"/>
        </w:tblCellMar>
      </w:tblPr>
      <w:tblGrid>
        <w:gridCol w:w="732"/>
        <w:gridCol w:w="1939"/>
        <w:gridCol w:w="1403"/>
        <w:gridCol w:w="1226"/>
        <w:gridCol w:w="1116"/>
        <w:gridCol w:w="1312"/>
        <w:gridCol w:w="2008"/>
      </w:tblGrid>
      <w:tr w14:paraId="62A7B45F">
        <w:tblPrEx>
          <w:tblCellMar>
            <w:top w:w="0" w:type="dxa"/>
            <w:left w:w="108" w:type="dxa"/>
            <w:bottom w:w="0" w:type="dxa"/>
            <w:right w:w="108" w:type="dxa"/>
          </w:tblCellMar>
        </w:tblPrEx>
        <w:trPr>
          <w:trHeight w:val="1007" w:hRule="atLeast"/>
        </w:trPr>
        <w:tc>
          <w:tcPr>
            <w:tcW w:w="732" w:type="dxa"/>
            <w:tcBorders>
              <w:top w:val="single" w:color="auto" w:sz="4" w:space="0"/>
              <w:left w:val="single" w:color="auto" w:sz="4" w:space="0"/>
              <w:bottom w:val="single" w:color="auto" w:sz="4" w:space="0"/>
              <w:right w:val="single" w:color="auto" w:sz="4" w:space="0"/>
            </w:tcBorders>
            <w:vAlign w:val="center"/>
          </w:tcPr>
          <w:p w14:paraId="77CA78E2">
            <w:pPr>
              <w:widowControl/>
              <w:jc w:val="center"/>
              <w:rPr>
                <w:rFonts w:ascii="宋体" w:cs="宋体"/>
                <w:sz w:val="22"/>
                <w:szCs w:val="22"/>
                <w:highlight w:val="none"/>
              </w:rPr>
            </w:pPr>
            <w:r>
              <w:rPr>
                <w:rFonts w:hint="eastAsia" w:ascii="宋体" w:cs="宋体"/>
                <w:sz w:val="22"/>
                <w:szCs w:val="22"/>
                <w:highlight w:val="none"/>
              </w:rPr>
              <w:t>序号</w:t>
            </w:r>
          </w:p>
        </w:tc>
        <w:tc>
          <w:tcPr>
            <w:tcW w:w="1939" w:type="dxa"/>
            <w:tcBorders>
              <w:top w:val="single" w:color="auto" w:sz="4" w:space="0"/>
              <w:left w:val="nil"/>
              <w:bottom w:val="single" w:color="auto" w:sz="4" w:space="0"/>
              <w:right w:val="single" w:color="auto" w:sz="4" w:space="0"/>
            </w:tcBorders>
            <w:vAlign w:val="center"/>
          </w:tcPr>
          <w:p w14:paraId="0714260E">
            <w:pPr>
              <w:widowControl/>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标项名称</w:t>
            </w:r>
          </w:p>
        </w:tc>
        <w:tc>
          <w:tcPr>
            <w:tcW w:w="1403" w:type="dxa"/>
            <w:tcBorders>
              <w:top w:val="single" w:color="auto" w:sz="4" w:space="0"/>
              <w:left w:val="nil"/>
              <w:bottom w:val="single" w:color="auto" w:sz="4" w:space="0"/>
              <w:right w:val="single" w:color="auto" w:sz="4" w:space="0"/>
            </w:tcBorders>
            <w:vAlign w:val="center"/>
          </w:tcPr>
          <w:p w14:paraId="7B776CE5">
            <w:pPr>
              <w:widowControl/>
              <w:jc w:val="center"/>
              <w:rPr>
                <w:rFonts w:ascii="宋体" w:cs="宋体"/>
                <w:sz w:val="22"/>
                <w:szCs w:val="22"/>
                <w:highlight w:val="none"/>
              </w:rPr>
            </w:pPr>
            <w:r>
              <w:rPr>
                <w:rFonts w:hint="eastAsia" w:ascii="宋体" w:cs="宋体"/>
                <w:sz w:val="22"/>
                <w:szCs w:val="22"/>
                <w:highlight w:val="none"/>
              </w:rPr>
              <w:t>采购类别</w:t>
            </w:r>
          </w:p>
        </w:tc>
        <w:tc>
          <w:tcPr>
            <w:tcW w:w="1226" w:type="dxa"/>
            <w:tcBorders>
              <w:top w:val="single" w:color="auto" w:sz="4" w:space="0"/>
              <w:left w:val="single" w:color="auto" w:sz="4" w:space="0"/>
              <w:bottom w:val="single" w:color="auto" w:sz="4" w:space="0"/>
              <w:right w:val="single" w:color="auto" w:sz="4" w:space="0"/>
            </w:tcBorders>
            <w:vAlign w:val="center"/>
          </w:tcPr>
          <w:p w14:paraId="5620E6C3">
            <w:pPr>
              <w:widowControl/>
              <w:jc w:val="center"/>
              <w:rPr>
                <w:rFonts w:ascii="宋体" w:cs="宋体"/>
                <w:sz w:val="22"/>
                <w:szCs w:val="22"/>
                <w:highlight w:val="none"/>
              </w:rPr>
            </w:pPr>
            <w:r>
              <w:rPr>
                <w:rFonts w:hint="eastAsia" w:ascii="宋体" w:cs="宋体"/>
                <w:sz w:val="22"/>
                <w:szCs w:val="22"/>
                <w:highlight w:val="none"/>
              </w:rPr>
              <w:t>预计建筑</w:t>
            </w:r>
            <w:r>
              <w:rPr>
                <w:rFonts w:hint="eastAsia" w:ascii="宋体" w:cs="宋体"/>
                <w:sz w:val="22"/>
                <w:szCs w:val="22"/>
                <w:highlight w:val="none"/>
              </w:rPr>
              <w:br w:type="textWrapping"/>
            </w:r>
            <w:r>
              <w:rPr>
                <w:rFonts w:hint="eastAsia" w:ascii="宋体" w:cs="宋体"/>
                <w:sz w:val="22"/>
                <w:szCs w:val="22"/>
                <w:highlight w:val="none"/>
              </w:rPr>
              <w:t>面积（㎡）</w:t>
            </w:r>
          </w:p>
        </w:tc>
        <w:tc>
          <w:tcPr>
            <w:tcW w:w="1116" w:type="dxa"/>
            <w:tcBorders>
              <w:top w:val="single" w:color="auto" w:sz="4" w:space="0"/>
              <w:left w:val="nil"/>
              <w:bottom w:val="single" w:color="auto" w:sz="4" w:space="0"/>
              <w:right w:val="single" w:color="auto" w:sz="4" w:space="0"/>
            </w:tcBorders>
            <w:vAlign w:val="center"/>
          </w:tcPr>
          <w:p w14:paraId="2CC57B28">
            <w:pPr>
              <w:widowControl/>
              <w:jc w:val="center"/>
              <w:rPr>
                <w:rFonts w:ascii="宋体" w:cs="宋体"/>
                <w:sz w:val="22"/>
                <w:szCs w:val="22"/>
                <w:highlight w:val="none"/>
              </w:rPr>
            </w:pPr>
            <w:r>
              <w:rPr>
                <w:rFonts w:hint="eastAsia" w:ascii="宋体" w:cs="宋体"/>
                <w:sz w:val="22"/>
                <w:szCs w:val="22"/>
                <w:highlight w:val="none"/>
              </w:rPr>
              <w:t>购买服务阶段</w:t>
            </w:r>
          </w:p>
        </w:tc>
        <w:tc>
          <w:tcPr>
            <w:tcW w:w="1312" w:type="dxa"/>
            <w:tcBorders>
              <w:top w:val="single" w:color="auto" w:sz="4" w:space="0"/>
              <w:left w:val="nil"/>
              <w:bottom w:val="single" w:color="auto" w:sz="4" w:space="0"/>
              <w:right w:val="single" w:color="auto" w:sz="4" w:space="0"/>
            </w:tcBorders>
            <w:vAlign w:val="center"/>
          </w:tcPr>
          <w:p w14:paraId="46228460">
            <w:pPr>
              <w:widowControl/>
              <w:jc w:val="center"/>
              <w:rPr>
                <w:rFonts w:ascii="宋体" w:cs="宋体"/>
                <w:sz w:val="22"/>
                <w:szCs w:val="22"/>
                <w:highlight w:val="none"/>
              </w:rPr>
            </w:pPr>
            <w:r>
              <w:rPr>
                <w:rFonts w:hint="eastAsia" w:ascii="宋体" w:cs="宋体"/>
                <w:sz w:val="22"/>
                <w:szCs w:val="22"/>
                <w:highlight w:val="none"/>
              </w:rPr>
              <w:t>投标单价（元/㎡）</w:t>
            </w:r>
          </w:p>
        </w:tc>
        <w:tc>
          <w:tcPr>
            <w:tcW w:w="2008" w:type="dxa"/>
            <w:tcBorders>
              <w:top w:val="single" w:color="auto" w:sz="4" w:space="0"/>
              <w:left w:val="nil"/>
              <w:bottom w:val="single" w:color="auto" w:sz="4" w:space="0"/>
              <w:right w:val="single" w:color="auto" w:sz="4" w:space="0"/>
            </w:tcBorders>
            <w:vAlign w:val="center"/>
          </w:tcPr>
          <w:p w14:paraId="2C1EBB2C">
            <w:pPr>
              <w:widowControl/>
              <w:jc w:val="center"/>
              <w:rPr>
                <w:rFonts w:ascii="宋体" w:cs="宋体"/>
                <w:sz w:val="22"/>
                <w:szCs w:val="22"/>
                <w:highlight w:val="none"/>
              </w:rPr>
            </w:pPr>
            <w:r>
              <w:rPr>
                <w:rFonts w:hint="eastAsia" w:ascii="宋体" w:cs="宋体"/>
                <w:sz w:val="22"/>
                <w:szCs w:val="22"/>
                <w:highlight w:val="none"/>
                <w:lang w:val="en-US" w:eastAsia="zh-CN"/>
              </w:rPr>
              <w:t>合计报价</w:t>
            </w:r>
            <w:r>
              <w:rPr>
                <w:rFonts w:hint="eastAsia" w:ascii="宋体" w:cs="宋体"/>
                <w:sz w:val="22"/>
                <w:szCs w:val="22"/>
                <w:highlight w:val="none"/>
              </w:rPr>
              <w:br w:type="textWrapping"/>
            </w:r>
            <w:r>
              <w:rPr>
                <w:rFonts w:hint="eastAsia" w:ascii="宋体" w:cs="宋体"/>
                <w:sz w:val="22"/>
                <w:szCs w:val="22"/>
                <w:highlight w:val="none"/>
              </w:rPr>
              <w:t>（元）</w:t>
            </w:r>
          </w:p>
        </w:tc>
      </w:tr>
      <w:tr w14:paraId="4F1DC9B7">
        <w:tblPrEx>
          <w:tblCellMar>
            <w:top w:w="0" w:type="dxa"/>
            <w:left w:w="108" w:type="dxa"/>
            <w:bottom w:w="0" w:type="dxa"/>
            <w:right w:w="108" w:type="dxa"/>
          </w:tblCellMar>
        </w:tblPrEx>
        <w:trPr>
          <w:trHeight w:val="390" w:hRule="atLeast"/>
        </w:trPr>
        <w:tc>
          <w:tcPr>
            <w:tcW w:w="732" w:type="dxa"/>
            <w:vMerge w:val="restart"/>
            <w:tcBorders>
              <w:top w:val="nil"/>
              <w:left w:val="single" w:color="auto" w:sz="4" w:space="0"/>
              <w:right w:val="single" w:color="auto" w:sz="4" w:space="0"/>
            </w:tcBorders>
            <w:vAlign w:val="center"/>
          </w:tcPr>
          <w:p w14:paraId="36234032">
            <w:pPr>
              <w:widowControl/>
              <w:jc w:val="center"/>
              <w:rPr>
                <w:rFonts w:ascii="宋体" w:cs="宋体"/>
                <w:sz w:val="22"/>
                <w:szCs w:val="22"/>
                <w:highlight w:val="none"/>
              </w:rPr>
            </w:pPr>
            <w:r>
              <w:rPr>
                <w:rFonts w:hint="eastAsia" w:ascii="宋体" w:cs="宋体"/>
                <w:sz w:val="22"/>
                <w:szCs w:val="22"/>
                <w:highlight w:val="none"/>
              </w:rPr>
              <w:t>1</w:t>
            </w:r>
          </w:p>
        </w:tc>
        <w:tc>
          <w:tcPr>
            <w:tcW w:w="1939" w:type="dxa"/>
            <w:vMerge w:val="restart"/>
            <w:tcBorders>
              <w:top w:val="nil"/>
              <w:left w:val="nil"/>
              <w:right w:val="single" w:color="auto" w:sz="4" w:space="0"/>
            </w:tcBorders>
            <w:vAlign w:val="center"/>
          </w:tcPr>
          <w:p w14:paraId="6E07FC0A">
            <w:pPr>
              <w:widowControl/>
              <w:jc w:val="center"/>
              <w:rPr>
                <w:rFonts w:hint="default" w:ascii="宋体" w:cs="宋体"/>
                <w:sz w:val="22"/>
                <w:szCs w:val="22"/>
                <w:highlight w:val="none"/>
                <w:lang w:val="en-US"/>
              </w:rPr>
            </w:pPr>
            <w:r>
              <w:rPr>
                <w:rFonts w:hint="eastAsia" w:ascii="宋体" w:cs="宋体"/>
                <w:sz w:val="22"/>
                <w:szCs w:val="22"/>
                <w:highlight w:val="none"/>
                <w:lang w:val="en-US" w:eastAsia="zh-CN"/>
              </w:rPr>
              <w:t>温州至福州高速铁路（龙湾段）工程海滨街道北片区房屋征收事务代理项目一标段</w:t>
            </w:r>
          </w:p>
        </w:tc>
        <w:tc>
          <w:tcPr>
            <w:tcW w:w="1403" w:type="dxa"/>
            <w:vMerge w:val="restart"/>
            <w:tcBorders>
              <w:top w:val="nil"/>
              <w:left w:val="nil"/>
              <w:right w:val="single" w:color="auto" w:sz="4" w:space="0"/>
            </w:tcBorders>
            <w:vAlign w:val="center"/>
          </w:tcPr>
          <w:p w14:paraId="45485C79">
            <w:pPr>
              <w:widowControl/>
              <w:jc w:val="center"/>
              <w:textAlignment w:val="center"/>
              <w:rPr>
                <w:rFonts w:ascii="宋体" w:cs="宋体"/>
                <w:sz w:val="22"/>
                <w:szCs w:val="22"/>
                <w:highlight w:val="none"/>
              </w:rPr>
            </w:pPr>
            <w:r>
              <w:rPr>
                <w:rFonts w:hint="eastAsia" w:ascii="宋体" w:hAnsi="宋体" w:eastAsia="宋体" w:cs="宋体"/>
                <w:bCs/>
                <w:kern w:val="0"/>
                <w:sz w:val="24"/>
                <w:szCs w:val="24"/>
                <w:highlight w:val="none"/>
                <w:lang w:eastAsia="zh-CN"/>
              </w:rPr>
              <w:t>住宅用房征收</w:t>
            </w:r>
          </w:p>
        </w:tc>
        <w:tc>
          <w:tcPr>
            <w:tcW w:w="1226" w:type="dxa"/>
            <w:vMerge w:val="restart"/>
            <w:tcBorders>
              <w:top w:val="nil"/>
              <w:left w:val="single" w:color="auto" w:sz="4" w:space="0"/>
              <w:right w:val="single" w:color="auto" w:sz="4" w:space="0"/>
            </w:tcBorders>
            <w:vAlign w:val="center"/>
          </w:tcPr>
          <w:p w14:paraId="41679B39">
            <w:pPr>
              <w:widowControl/>
              <w:jc w:val="center"/>
              <w:textAlignment w:val="center"/>
              <w:rPr>
                <w:rFonts w:ascii="宋体" w:cs="宋体"/>
                <w:sz w:val="22"/>
                <w:szCs w:val="22"/>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0000</w:t>
            </w:r>
          </w:p>
        </w:tc>
        <w:tc>
          <w:tcPr>
            <w:tcW w:w="1116" w:type="dxa"/>
            <w:tcBorders>
              <w:top w:val="nil"/>
              <w:left w:val="single" w:color="auto" w:sz="4" w:space="0"/>
              <w:bottom w:val="single" w:color="auto" w:sz="4" w:space="0"/>
              <w:right w:val="single" w:color="auto" w:sz="4" w:space="0"/>
            </w:tcBorders>
            <w:vAlign w:val="center"/>
          </w:tcPr>
          <w:p w14:paraId="2ED096CF">
            <w:pPr>
              <w:widowControl/>
              <w:jc w:val="center"/>
              <w:rPr>
                <w:rFonts w:ascii="宋体" w:cs="宋体"/>
                <w:sz w:val="22"/>
                <w:szCs w:val="22"/>
                <w:highlight w:val="none"/>
              </w:rPr>
            </w:pPr>
            <w:r>
              <w:rPr>
                <w:rFonts w:hint="eastAsia" w:ascii="宋体" w:cs="宋体"/>
                <w:sz w:val="22"/>
                <w:szCs w:val="22"/>
                <w:highlight w:val="none"/>
              </w:rPr>
              <w:t>前期</w:t>
            </w:r>
          </w:p>
        </w:tc>
        <w:tc>
          <w:tcPr>
            <w:tcW w:w="1312" w:type="dxa"/>
            <w:tcBorders>
              <w:top w:val="nil"/>
              <w:left w:val="nil"/>
              <w:bottom w:val="single" w:color="auto" w:sz="4" w:space="0"/>
              <w:right w:val="single" w:color="auto" w:sz="4" w:space="0"/>
            </w:tcBorders>
            <w:vAlign w:val="center"/>
          </w:tcPr>
          <w:p w14:paraId="666D6ABA">
            <w:pPr>
              <w:widowControl/>
              <w:jc w:val="center"/>
              <w:rPr>
                <w:rFonts w:ascii="宋体" w:cs="宋体"/>
                <w:sz w:val="22"/>
                <w:szCs w:val="22"/>
                <w:highlight w:val="none"/>
              </w:rPr>
            </w:pPr>
          </w:p>
        </w:tc>
        <w:tc>
          <w:tcPr>
            <w:tcW w:w="2008" w:type="dxa"/>
            <w:vMerge w:val="restart"/>
            <w:tcBorders>
              <w:top w:val="nil"/>
              <w:left w:val="nil"/>
              <w:right w:val="single" w:color="auto" w:sz="4" w:space="0"/>
            </w:tcBorders>
            <w:vAlign w:val="center"/>
          </w:tcPr>
          <w:p w14:paraId="2C13DF35">
            <w:pPr>
              <w:widowControl/>
              <w:jc w:val="center"/>
              <w:rPr>
                <w:rFonts w:ascii="宋体" w:cs="宋体"/>
                <w:sz w:val="22"/>
                <w:szCs w:val="22"/>
                <w:highlight w:val="none"/>
              </w:rPr>
            </w:pPr>
          </w:p>
        </w:tc>
      </w:tr>
      <w:tr w14:paraId="1F16CEA3">
        <w:tblPrEx>
          <w:tblCellMar>
            <w:top w:w="0" w:type="dxa"/>
            <w:left w:w="108" w:type="dxa"/>
            <w:bottom w:w="0" w:type="dxa"/>
            <w:right w:w="108" w:type="dxa"/>
          </w:tblCellMar>
        </w:tblPrEx>
        <w:trPr>
          <w:trHeight w:val="390" w:hRule="atLeast"/>
        </w:trPr>
        <w:tc>
          <w:tcPr>
            <w:tcW w:w="732" w:type="dxa"/>
            <w:vMerge w:val="continue"/>
            <w:tcBorders>
              <w:left w:val="single" w:color="auto" w:sz="4" w:space="0"/>
              <w:right w:val="single" w:color="auto" w:sz="4" w:space="0"/>
            </w:tcBorders>
            <w:vAlign w:val="center"/>
          </w:tcPr>
          <w:p w14:paraId="62C49A2C">
            <w:pPr>
              <w:widowControl/>
              <w:jc w:val="center"/>
              <w:rPr>
                <w:rFonts w:ascii="宋体" w:cs="宋体"/>
                <w:sz w:val="22"/>
                <w:szCs w:val="22"/>
                <w:highlight w:val="none"/>
              </w:rPr>
            </w:pPr>
          </w:p>
        </w:tc>
        <w:tc>
          <w:tcPr>
            <w:tcW w:w="1939" w:type="dxa"/>
            <w:vMerge w:val="continue"/>
            <w:tcBorders>
              <w:left w:val="nil"/>
              <w:right w:val="single" w:color="auto" w:sz="4" w:space="0"/>
            </w:tcBorders>
            <w:vAlign w:val="center"/>
          </w:tcPr>
          <w:p w14:paraId="4E964BE4">
            <w:pPr>
              <w:widowControl/>
              <w:jc w:val="center"/>
              <w:textAlignment w:val="center"/>
              <w:rPr>
                <w:rFonts w:ascii="宋体" w:cs="宋体"/>
                <w:sz w:val="22"/>
                <w:szCs w:val="22"/>
                <w:highlight w:val="none"/>
              </w:rPr>
            </w:pPr>
          </w:p>
        </w:tc>
        <w:tc>
          <w:tcPr>
            <w:tcW w:w="1403" w:type="dxa"/>
            <w:vMerge w:val="continue"/>
            <w:tcBorders>
              <w:left w:val="nil"/>
              <w:right w:val="single" w:color="auto" w:sz="4" w:space="0"/>
            </w:tcBorders>
            <w:vAlign w:val="center"/>
          </w:tcPr>
          <w:p w14:paraId="180EB94F">
            <w:pPr>
              <w:widowControl/>
              <w:jc w:val="center"/>
              <w:textAlignment w:val="center"/>
              <w:rPr>
                <w:rFonts w:ascii="宋体" w:cs="宋体"/>
                <w:sz w:val="22"/>
                <w:szCs w:val="22"/>
                <w:highlight w:val="none"/>
              </w:rPr>
            </w:pPr>
          </w:p>
        </w:tc>
        <w:tc>
          <w:tcPr>
            <w:tcW w:w="1226" w:type="dxa"/>
            <w:vMerge w:val="continue"/>
            <w:tcBorders>
              <w:left w:val="single" w:color="auto" w:sz="4" w:space="0"/>
              <w:right w:val="single" w:color="auto" w:sz="4" w:space="0"/>
            </w:tcBorders>
            <w:vAlign w:val="center"/>
          </w:tcPr>
          <w:p w14:paraId="15CAB5C0">
            <w:pPr>
              <w:widowControl/>
              <w:jc w:val="center"/>
              <w:textAlignment w:val="center"/>
              <w:rPr>
                <w:rFonts w:ascii="宋体" w:cs="宋体"/>
                <w:sz w:val="22"/>
                <w:szCs w:val="22"/>
                <w:highlight w:val="none"/>
              </w:rPr>
            </w:pPr>
          </w:p>
        </w:tc>
        <w:tc>
          <w:tcPr>
            <w:tcW w:w="1116" w:type="dxa"/>
            <w:tcBorders>
              <w:top w:val="nil"/>
              <w:left w:val="single" w:color="auto" w:sz="4" w:space="0"/>
              <w:bottom w:val="single" w:color="auto" w:sz="4" w:space="0"/>
              <w:right w:val="single" w:color="auto" w:sz="4" w:space="0"/>
            </w:tcBorders>
            <w:vAlign w:val="center"/>
          </w:tcPr>
          <w:p w14:paraId="60CA37AF">
            <w:pPr>
              <w:widowControl/>
              <w:jc w:val="center"/>
              <w:rPr>
                <w:rFonts w:ascii="宋体" w:cs="宋体"/>
                <w:sz w:val="22"/>
                <w:szCs w:val="22"/>
                <w:highlight w:val="none"/>
              </w:rPr>
            </w:pPr>
            <w:r>
              <w:rPr>
                <w:rFonts w:hint="eastAsia" w:ascii="宋体" w:cs="宋体"/>
                <w:sz w:val="22"/>
                <w:szCs w:val="22"/>
                <w:highlight w:val="none"/>
              </w:rPr>
              <w:t>中期</w:t>
            </w:r>
          </w:p>
        </w:tc>
        <w:tc>
          <w:tcPr>
            <w:tcW w:w="1312" w:type="dxa"/>
            <w:tcBorders>
              <w:top w:val="nil"/>
              <w:left w:val="nil"/>
              <w:bottom w:val="single" w:color="auto" w:sz="4" w:space="0"/>
              <w:right w:val="single" w:color="auto" w:sz="4" w:space="0"/>
            </w:tcBorders>
            <w:vAlign w:val="center"/>
          </w:tcPr>
          <w:p w14:paraId="5B0FB1E0">
            <w:pPr>
              <w:widowControl/>
              <w:jc w:val="center"/>
              <w:rPr>
                <w:rFonts w:ascii="宋体" w:cs="宋体"/>
                <w:sz w:val="22"/>
                <w:szCs w:val="22"/>
                <w:highlight w:val="none"/>
              </w:rPr>
            </w:pPr>
          </w:p>
        </w:tc>
        <w:tc>
          <w:tcPr>
            <w:tcW w:w="2008" w:type="dxa"/>
            <w:vMerge w:val="continue"/>
            <w:tcBorders>
              <w:left w:val="nil"/>
              <w:right w:val="single" w:color="auto" w:sz="4" w:space="0"/>
            </w:tcBorders>
            <w:vAlign w:val="center"/>
          </w:tcPr>
          <w:p w14:paraId="1484D30D">
            <w:pPr>
              <w:widowControl/>
              <w:jc w:val="center"/>
              <w:rPr>
                <w:rFonts w:ascii="宋体" w:cs="宋体"/>
                <w:sz w:val="22"/>
                <w:szCs w:val="22"/>
                <w:highlight w:val="none"/>
              </w:rPr>
            </w:pPr>
          </w:p>
        </w:tc>
      </w:tr>
      <w:tr w14:paraId="2DD61BD7">
        <w:tblPrEx>
          <w:tblCellMar>
            <w:top w:w="0" w:type="dxa"/>
            <w:left w:w="108" w:type="dxa"/>
            <w:bottom w:w="0" w:type="dxa"/>
            <w:right w:w="108" w:type="dxa"/>
          </w:tblCellMar>
        </w:tblPrEx>
        <w:trPr>
          <w:trHeight w:val="390" w:hRule="atLeast"/>
        </w:trPr>
        <w:tc>
          <w:tcPr>
            <w:tcW w:w="732" w:type="dxa"/>
            <w:vMerge w:val="continue"/>
            <w:tcBorders>
              <w:left w:val="single" w:color="auto" w:sz="4" w:space="0"/>
              <w:bottom w:val="single" w:color="auto" w:sz="4" w:space="0"/>
              <w:right w:val="single" w:color="auto" w:sz="4" w:space="0"/>
            </w:tcBorders>
            <w:vAlign w:val="center"/>
          </w:tcPr>
          <w:p w14:paraId="4F01D798">
            <w:pPr>
              <w:widowControl/>
              <w:jc w:val="center"/>
              <w:rPr>
                <w:rFonts w:ascii="宋体" w:cs="宋体"/>
                <w:sz w:val="22"/>
                <w:szCs w:val="22"/>
                <w:highlight w:val="none"/>
              </w:rPr>
            </w:pPr>
          </w:p>
        </w:tc>
        <w:tc>
          <w:tcPr>
            <w:tcW w:w="1939" w:type="dxa"/>
            <w:vMerge w:val="continue"/>
            <w:tcBorders>
              <w:left w:val="nil"/>
              <w:bottom w:val="single" w:color="auto" w:sz="4" w:space="0"/>
              <w:right w:val="single" w:color="auto" w:sz="4" w:space="0"/>
            </w:tcBorders>
            <w:vAlign w:val="center"/>
          </w:tcPr>
          <w:p w14:paraId="04F96178">
            <w:pPr>
              <w:widowControl/>
              <w:jc w:val="center"/>
              <w:textAlignment w:val="center"/>
              <w:rPr>
                <w:rFonts w:ascii="宋体" w:cs="宋体"/>
                <w:sz w:val="22"/>
                <w:szCs w:val="22"/>
                <w:highlight w:val="none"/>
              </w:rPr>
            </w:pPr>
          </w:p>
        </w:tc>
        <w:tc>
          <w:tcPr>
            <w:tcW w:w="1403" w:type="dxa"/>
            <w:vMerge w:val="continue"/>
            <w:tcBorders>
              <w:left w:val="nil"/>
              <w:bottom w:val="single" w:color="auto" w:sz="4" w:space="0"/>
              <w:right w:val="single" w:color="auto" w:sz="4" w:space="0"/>
            </w:tcBorders>
            <w:vAlign w:val="center"/>
          </w:tcPr>
          <w:p w14:paraId="1A7C8201">
            <w:pPr>
              <w:widowControl/>
              <w:jc w:val="center"/>
              <w:textAlignment w:val="center"/>
              <w:rPr>
                <w:rFonts w:ascii="宋体" w:cs="宋体"/>
                <w:sz w:val="22"/>
                <w:szCs w:val="22"/>
                <w:highlight w:val="none"/>
              </w:rPr>
            </w:pPr>
          </w:p>
        </w:tc>
        <w:tc>
          <w:tcPr>
            <w:tcW w:w="1226" w:type="dxa"/>
            <w:vMerge w:val="continue"/>
            <w:tcBorders>
              <w:left w:val="single" w:color="auto" w:sz="4" w:space="0"/>
              <w:bottom w:val="single" w:color="auto" w:sz="4" w:space="0"/>
              <w:right w:val="single" w:color="auto" w:sz="4" w:space="0"/>
            </w:tcBorders>
            <w:vAlign w:val="center"/>
          </w:tcPr>
          <w:p w14:paraId="5DAB5F44">
            <w:pPr>
              <w:widowControl/>
              <w:jc w:val="center"/>
              <w:textAlignment w:val="center"/>
              <w:rPr>
                <w:rFonts w:ascii="宋体" w:cs="宋体"/>
                <w:sz w:val="22"/>
                <w:szCs w:val="22"/>
                <w:highlight w:val="none"/>
              </w:rPr>
            </w:pPr>
          </w:p>
        </w:tc>
        <w:tc>
          <w:tcPr>
            <w:tcW w:w="1116" w:type="dxa"/>
            <w:tcBorders>
              <w:top w:val="nil"/>
              <w:left w:val="single" w:color="auto" w:sz="4" w:space="0"/>
              <w:bottom w:val="single" w:color="auto" w:sz="4" w:space="0"/>
              <w:right w:val="single" w:color="auto" w:sz="4" w:space="0"/>
            </w:tcBorders>
            <w:vAlign w:val="center"/>
          </w:tcPr>
          <w:p w14:paraId="20C64132">
            <w:pPr>
              <w:widowControl/>
              <w:jc w:val="center"/>
              <w:rPr>
                <w:rFonts w:ascii="宋体" w:cs="宋体"/>
                <w:sz w:val="22"/>
                <w:szCs w:val="22"/>
                <w:highlight w:val="none"/>
              </w:rPr>
            </w:pPr>
            <w:r>
              <w:rPr>
                <w:rFonts w:hint="eastAsia" w:ascii="宋体" w:cs="宋体"/>
                <w:sz w:val="22"/>
                <w:szCs w:val="22"/>
                <w:highlight w:val="none"/>
              </w:rPr>
              <w:t>后期</w:t>
            </w:r>
          </w:p>
        </w:tc>
        <w:tc>
          <w:tcPr>
            <w:tcW w:w="1312" w:type="dxa"/>
            <w:tcBorders>
              <w:top w:val="nil"/>
              <w:left w:val="nil"/>
              <w:bottom w:val="single" w:color="auto" w:sz="4" w:space="0"/>
              <w:right w:val="single" w:color="auto" w:sz="4" w:space="0"/>
            </w:tcBorders>
            <w:vAlign w:val="center"/>
          </w:tcPr>
          <w:p w14:paraId="1BE3FABB">
            <w:pPr>
              <w:widowControl/>
              <w:jc w:val="center"/>
              <w:rPr>
                <w:rFonts w:ascii="宋体" w:cs="宋体"/>
                <w:sz w:val="22"/>
                <w:szCs w:val="22"/>
                <w:highlight w:val="none"/>
              </w:rPr>
            </w:pPr>
          </w:p>
        </w:tc>
        <w:tc>
          <w:tcPr>
            <w:tcW w:w="2008" w:type="dxa"/>
            <w:vMerge w:val="continue"/>
            <w:tcBorders>
              <w:left w:val="single" w:color="auto" w:sz="4" w:space="0"/>
              <w:bottom w:val="single" w:color="auto" w:sz="4" w:space="0"/>
              <w:right w:val="single" w:color="auto" w:sz="4" w:space="0"/>
            </w:tcBorders>
            <w:vAlign w:val="center"/>
          </w:tcPr>
          <w:p w14:paraId="08764091">
            <w:pPr>
              <w:widowControl/>
              <w:jc w:val="center"/>
              <w:rPr>
                <w:rFonts w:ascii="宋体" w:cs="宋体"/>
                <w:sz w:val="22"/>
                <w:szCs w:val="22"/>
                <w:highlight w:val="none"/>
              </w:rPr>
            </w:pPr>
          </w:p>
        </w:tc>
      </w:tr>
      <w:tr w14:paraId="6670C565">
        <w:tblPrEx>
          <w:tblCellMar>
            <w:top w:w="0" w:type="dxa"/>
            <w:left w:w="108" w:type="dxa"/>
            <w:bottom w:w="0" w:type="dxa"/>
            <w:right w:w="108" w:type="dxa"/>
          </w:tblCellMar>
        </w:tblPrEx>
        <w:trPr>
          <w:trHeight w:val="390" w:hRule="atLeast"/>
        </w:trPr>
        <w:tc>
          <w:tcPr>
            <w:tcW w:w="2671" w:type="dxa"/>
            <w:gridSpan w:val="2"/>
            <w:tcBorders>
              <w:top w:val="single" w:color="auto" w:sz="4" w:space="0"/>
              <w:left w:val="single" w:color="auto" w:sz="4" w:space="0"/>
              <w:bottom w:val="single" w:color="auto" w:sz="4" w:space="0"/>
              <w:right w:val="single" w:color="auto" w:sz="4" w:space="0"/>
            </w:tcBorders>
            <w:vAlign w:val="center"/>
          </w:tcPr>
          <w:p w14:paraId="2B64342C">
            <w:pPr>
              <w:widowControl/>
              <w:jc w:val="center"/>
              <w:textAlignment w:val="center"/>
              <w:rPr>
                <w:rFonts w:ascii="宋体" w:cs="宋体"/>
                <w:sz w:val="22"/>
                <w:szCs w:val="22"/>
                <w:highlight w:val="none"/>
              </w:rPr>
            </w:pPr>
            <w:r>
              <w:rPr>
                <w:rFonts w:hint="eastAsia" w:ascii="宋体" w:cs="宋体"/>
                <w:color w:val="auto"/>
                <w:sz w:val="22"/>
                <w:szCs w:val="22"/>
                <w:highlight w:val="none"/>
              </w:rPr>
              <w:t>总金额（合计）</w:t>
            </w:r>
          </w:p>
        </w:tc>
        <w:tc>
          <w:tcPr>
            <w:tcW w:w="7065" w:type="dxa"/>
            <w:gridSpan w:val="5"/>
            <w:tcBorders>
              <w:top w:val="single" w:color="auto" w:sz="4" w:space="0"/>
              <w:left w:val="single" w:color="auto" w:sz="4" w:space="0"/>
              <w:bottom w:val="single" w:color="auto" w:sz="4" w:space="0"/>
              <w:right w:val="single" w:color="auto" w:sz="4" w:space="0"/>
            </w:tcBorders>
            <w:vAlign w:val="center"/>
          </w:tcPr>
          <w:p w14:paraId="1192A40F">
            <w:pPr>
              <w:widowControl/>
              <w:jc w:val="center"/>
              <w:rPr>
                <w:rFonts w:ascii="宋体" w:cs="宋体"/>
                <w:sz w:val="22"/>
                <w:szCs w:val="22"/>
                <w:highlight w:val="none"/>
              </w:rPr>
            </w:pPr>
            <w:r>
              <w:rPr>
                <w:rFonts w:hint="eastAsia" w:ascii="宋体" w:cs="宋体"/>
                <w:color w:val="auto"/>
                <w:sz w:val="22"/>
                <w:szCs w:val="22"/>
                <w:highlight w:val="none"/>
                <w:u w:val="single"/>
              </w:rPr>
              <w:t xml:space="preserve">                                                    元</w:t>
            </w:r>
          </w:p>
        </w:tc>
      </w:tr>
    </w:tbl>
    <w:p w14:paraId="6B45F148">
      <w:pPr>
        <w:spacing w:line="380" w:lineRule="exact"/>
        <w:rPr>
          <w:rFonts w:ascii="宋体" w:hAnsi="宋体" w:cs="仿宋"/>
          <w:sz w:val="22"/>
          <w:szCs w:val="22"/>
          <w:highlight w:val="none"/>
        </w:rPr>
      </w:pPr>
    </w:p>
    <w:p w14:paraId="29984337">
      <w:pPr>
        <w:spacing w:line="380" w:lineRule="exact"/>
        <w:jc w:val="both"/>
        <w:rPr>
          <w:rFonts w:hint="eastAsia" w:ascii="宋体" w:hAnsi="宋体" w:eastAsia="宋体" w:cs="仿宋"/>
          <w:color w:val="auto"/>
          <w:sz w:val="22"/>
          <w:szCs w:val="22"/>
          <w:highlight w:val="none"/>
        </w:rPr>
      </w:pPr>
      <w:r>
        <w:rPr>
          <w:rFonts w:hint="eastAsia" w:ascii="宋体" w:hAnsi="宋体" w:eastAsia="宋体" w:cs="仿宋"/>
          <w:color w:val="auto"/>
          <w:sz w:val="22"/>
          <w:szCs w:val="22"/>
          <w:highlight w:val="none"/>
        </w:rPr>
        <w:t>注：</w:t>
      </w:r>
      <w:r>
        <w:rPr>
          <w:rFonts w:hint="eastAsia" w:ascii="宋体" w:hAnsi="宋体" w:eastAsia="宋体" w:cs="仿宋"/>
          <w:color w:val="auto"/>
          <w:sz w:val="22"/>
          <w:szCs w:val="22"/>
          <w:highlight w:val="none"/>
          <w:u w:val="single"/>
        </w:rPr>
        <w:t>▲1、投标供应商的投标单价不得高于最高预算单价</w:t>
      </w:r>
      <w:r>
        <w:rPr>
          <w:rFonts w:hint="eastAsia" w:ascii="宋体" w:hAnsi="宋体" w:eastAsia="宋体" w:cs="仿宋"/>
          <w:color w:val="auto"/>
          <w:sz w:val="22"/>
          <w:szCs w:val="22"/>
          <w:highlight w:val="none"/>
          <w:u w:val="single"/>
          <w:lang w:eastAsia="zh-CN"/>
        </w:rPr>
        <w:t>（</w:t>
      </w:r>
      <w:r>
        <w:rPr>
          <w:rFonts w:hint="eastAsia" w:ascii="宋体" w:hAnsi="宋体" w:eastAsia="宋体" w:cs="仿宋"/>
          <w:color w:val="auto"/>
          <w:sz w:val="22"/>
          <w:szCs w:val="22"/>
          <w:highlight w:val="none"/>
          <w:u w:val="single"/>
          <w:lang w:val="en-US" w:eastAsia="zh-CN"/>
        </w:rPr>
        <w:t>最高预算单价见第二部分采购内容及需求</w:t>
      </w:r>
      <w:r>
        <w:rPr>
          <w:rFonts w:hint="eastAsia" w:ascii="宋体" w:hAnsi="宋体" w:eastAsia="宋体" w:cs="仿宋"/>
          <w:color w:val="auto"/>
          <w:sz w:val="22"/>
          <w:szCs w:val="22"/>
          <w:highlight w:val="none"/>
          <w:u w:val="single"/>
          <w:lang w:eastAsia="zh-CN"/>
        </w:rPr>
        <w:t>）</w:t>
      </w:r>
      <w:r>
        <w:rPr>
          <w:rFonts w:hint="eastAsia" w:ascii="宋体" w:hAnsi="宋体" w:eastAsia="宋体" w:cs="仿宋"/>
          <w:color w:val="auto"/>
          <w:sz w:val="22"/>
          <w:szCs w:val="22"/>
          <w:highlight w:val="none"/>
          <w:u w:val="single"/>
        </w:rPr>
        <w:t>，否则作无效标处理。</w:t>
      </w:r>
    </w:p>
    <w:p w14:paraId="44CA191F">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2</w:t>
      </w:r>
      <w:r>
        <w:rPr>
          <w:rFonts w:hint="eastAsia" w:ascii="宋体" w:hAnsi="宋体" w:eastAsia="宋体" w:cs="仿宋"/>
          <w:color w:val="auto"/>
          <w:sz w:val="22"/>
          <w:szCs w:val="22"/>
          <w:highlight w:val="none"/>
        </w:rPr>
        <w:t>、</w:t>
      </w:r>
      <w:r>
        <w:rPr>
          <w:rFonts w:hint="eastAsia" w:ascii="宋体" w:cs="宋体"/>
          <w:color w:val="auto"/>
          <w:sz w:val="22"/>
          <w:szCs w:val="22"/>
          <w:highlight w:val="none"/>
          <w:u w:val="single"/>
        </w:rPr>
        <w:t>▲</w:t>
      </w:r>
      <w:r>
        <w:rPr>
          <w:rFonts w:hint="eastAsia" w:ascii="宋体" w:hAnsi="宋体" w:cs="新宋体"/>
          <w:color w:val="auto"/>
          <w:sz w:val="22"/>
          <w:szCs w:val="22"/>
          <w:highlight w:val="none"/>
          <w:u w:val="single"/>
        </w:rPr>
        <w:t>不提供此表的报价，视为没有实质性响应采购文件要求</w:t>
      </w:r>
      <w:r>
        <w:rPr>
          <w:rFonts w:hint="eastAsia" w:ascii="宋体" w:hAnsi="宋体" w:eastAsia="宋体" w:cs="仿宋"/>
          <w:color w:val="auto"/>
          <w:sz w:val="22"/>
          <w:szCs w:val="22"/>
          <w:highlight w:val="none"/>
        </w:rPr>
        <w:t>。</w:t>
      </w:r>
    </w:p>
    <w:p w14:paraId="64F4DABF">
      <w:pPr>
        <w:spacing w:line="380" w:lineRule="exact"/>
        <w:jc w:val="both"/>
        <w:rPr>
          <w:rFonts w:hint="eastAsia" w:ascii="宋体" w:hAnsi="宋体" w:eastAsia="宋体" w:cs="仿宋"/>
          <w:color w:val="auto"/>
          <w:sz w:val="22"/>
          <w:szCs w:val="22"/>
          <w:highlight w:val="none"/>
          <w:lang w:val="en-US" w:eastAsia="zh-CN"/>
        </w:rPr>
      </w:pPr>
      <w:r>
        <w:rPr>
          <w:rFonts w:hint="eastAsia" w:ascii="宋体" w:hAnsi="宋体" w:cs="仿宋"/>
          <w:color w:val="auto"/>
          <w:sz w:val="22"/>
          <w:szCs w:val="22"/>
          <w:highlight w:val="none"/>
          <w:lang w:val="en-US" w:eastAsia="zh-CN"/>
        </w:rPr>
        <w:t>3</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合计报价</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预计建筑面积</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投标单价</w:t>
      </w:r>
      <w:r>
        <w:rPr>
          <w:rFonts w:hint="eastAsia" w:ascii="宋体" w:hAnsi="宋体" w:cs="仿宋"/>
          <w:color w:val="auto"/>
          <w:sz w:val="22"/>
          <w:szCs w:val="22"/>
          <w:highlight w:val="none"/>
          <w:lang w:eastAsia="zh-CN"/>
        </w:rPr>
        <w:t>。</w:t>
      </w:r>
    </w:p>
    <w:p w14:paraId="30B79C43">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4</w:t>
      </w:r>
      <w:r>
        <w:rPr>
          <w:rFonts w:hint="eastAsia" w:ascii="宋体" w:hAnsi="宋体" w:eastAsia="宋体" w:cs="仿宋"/>
          <w:color w:val="auto"/>
          <w:sz w:val="22"/>
          <w:szCs w:val="22"/>
          <w:highlight w:val="none"/>
        </w:rPr>
        <w:t>、此表的</w:t>
      </w:r>
      <w:r>
        <w:rPr>
          <w:rFonts w:hint="eastAsia" w:ascii="宋体" w:cs="宋体"/>
          <w:color w:val="auto"/>
          <w:sz w:val="22"/>
          <w:szCs w:val="22"/>
          <w:highlight w:val="none"/>
        </w:rPr>
        <w:t>总金额</w:t>
      </w:r>
      <w:r>
        <w:rPr>
          <w:rFonts w:hint="eastAsia" w:ascii="宋体" w:hAnsi="宋体" w:eastAsia="宋体" w:cs="仿宋"/>
          <w:color w:val="auto"/>
          <w:sz w:val="22"/>
          <w:szCs w:val="22"/>
          <w:highlight w:val="none"/>
        </w:rPr>
        <w:t>应与附件二“开标一览表”投标报价总价相一致。</w:t>
      </w:r>
    </w:p>
    <w:p w14:paraId="140BA5F3">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5</w:t>
      </w:r>
      <w:r>
        <w:rPr>
          <w:rFonts w:hint="eastAsia" w:ascii="宋体" w:hAnsi="宋体" w:eastAsia="宋体" w:cs="仿宋"/>
          <w:color w:val="auto"/>
          <w:sz w:val="22"/>
          <w:szCs w:val="22"/>
          <w:highlight w:val="none"/>
          <w:lang w:val="en-US" w:eastAsia="zh-CN"/>
        </w:rPr>
        <w:t>、本表可在不改变格式的情况下根据具体需要自行增减，表格可延续。</w:t>
      </w:r>
    </w:p>
    <w:p w14:paraId="1DEE1EF2">
      <w:pPr>
        <w:spacing w:line="380" w:lineRule="exact"/>
        <w:rPr>
          <w:rFonts w:ascii="宋体" w:hAnsi="宋体" w:cs="仿宋"/>
          <w:sz w:val="22"/>
          <w:szCs w:val="22"/>
          <w:highlight w:val="none"/>
        </w:rPr>
      </w:pPr>
    </w:p>
    <w:p w14:paraId="0AF97F55">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投标人全称（盖章）：</w:t>
      </w:r>
    </w:p>
    <w:p w14:paraId="5B860C45">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法定代表人或授权代表（签字或盖章）：</w:t>
      </w:r>
    </w:p>
    <w:p w14:paraId="6668BFEE">
      <w:pPr>
        <w:pStyle w:val="35"/>
        <w:spacing w:line="460" w:lineRule="atLeast"/>
        <w:rPr>
          <w:rFonts w:hint="eastAsia" w:ascii="宋体" w:hAnsi="宋体"/>
          <w:sz w:val="22"/>
          <w:szCs w:val="22"/>
          <w:highlight w:val="none"/>
        </w:rPr>
      </w:pPr>
      <w:r>
        <w:rPr>
          <w:rFonts w:hint="eastAsia" w:ascii="宋体" w:hAnsi="宋体" w:eastAsia="宋体" w:cs="宋体"/>
          <w:sz w:val="22"/>
          <w:szCs w:val="22"/>
          <w:highlight w:val="none"/>
        </w:rPr>
        <w:t>日 期：  年  月  日</w:t>
      </w:r>
      <w:r>
        <w:rPr>
          <w:rFonts w:hint="eastAsia" w:ascii="宋体" w:hAnsi="宋体"/>
          <w:sz w:val="22"/>
          <w:szCs w:val="22"/>
          <w:highlight w:val="none"/>
        </w:rPr>
        <w:br w:type="page"/>
      </w:r>
    </w:p>
    <w:p w14:paraId="70927F96">
      <w:pPr>
        <w:spacing w:line="380" w:lineRule="exact"/>
        <w:jc w:val="center"/>
        <w:rPr>
          <w:rFonts w:hint="eastAsia" w:ascii="宋体" w:hAnsi="宋体" w:eastAsia="宋体" w:cs="新宋体"/>
          <w:b/>
          <w:bCs/>
          <w:sz w:val="28"/>
          <w:szCs w:val="28"/>
          <w:highlight w:val="none"/>
          <w:lang w:eastAsia="zh-CN"/>
        </w:rPr>
      </w:pPr>
      <w:r>
        <w:rPr>
          <w:rFonts w:hint="eastAsia" w:ascii="宋体" w:hAnsi="宋体" w:cs="新宋体"/>
          <w:b/>
          <w:bCs/>
          <w:sz w:val="28"/>
          <w:szCs w:val="28"/>
          <w:highlight w:val="none"/>
          <w:lang w:eastAsia="zh-CN"/>
        </w:rPr>
        <w:t>（</w:t>
      </w:r>
      <w:r>
        <w:rPr>
          <w:rFonts w:hint="eastAsia" w:ascii="宋体" w:hAnsi="宋体" w:cs="新宋体"/>
          <w:b/>
          <w:bCs/>
          <w:sz w:val="28"/>
          <w:szCs w:val="28"/>
          <w:highlight w:val="none"/>
          <w:lang w:val="en-US" w:eastAsia="zh-CN"/>
        </w:rPr>
        <w:t>2</w:t>
      </w:r>
      <w:r>
        <w:rPr>
          <w:rFonts w:hint="eastAsia" w:ascii="宋体" w:hAnsi="宋体" w:cs="新宋体"/>
          <w:b/>
          <w:bCs/>
          <w:sz w:val="28"/>
          <w:szCs w:val="28"/>
          <w:highlight w:val="none"/>
          <w:lang w:eastAsia="zh-CN"/>
        </w:rPr>
        <w:t>）</w:t>
      </w:r>
      <w:r>
        <w:rPr>
          <w:rFonts w:hint="eastAsia" w:ascii="宋体" w:hAnsi="宋体" w:cs="新宋体"/>
          <w:b/>
          <w:bCs/>
          <w:sz w:val="28"/>
          <w:szCs w:val="28"/>
          <w:highlight w:val="none"/>
        </w:rPr>
        <w:t>投标分项报价表</w:t>
      </w:r>
      <w:r>
        <w:rPr>
          <w:rFonts w:hint="eastAsia" w:ascii="宋体" w:hAnsi="宋体" w:cs="新宋体"/>
          <w:b/>
          <w:bCs/>
          <w:sz w:val="28"/>
          <w:szCs w:val="28"/>
          <w:highlight w:val="none"/>
          <w:lang w:eastAsia="zh-CN"/>
        </w:rPr>
        <w:t>（</w:t>
      </w:r>
      <w:r>
        <w:rPr>
          <w:rFonts w:hint="eastAsia" w:ascii="宋体" w:hAnsi="宋体" w:cs="新宋体"/>
          <w:b/>
          <w:bCs/>
          <w:sz w:val="28"/>
          <w:szCs w:val="28"/>
          <w:highlight w:val="none"/>
          <w:lang w:val="en-US" w:eastAsia="zh-CN"/>
        </w:rPr>
        <w:t>标项二</w:t>
      </w:r>
      <w:r>
        <w:rPr>
          <w:rFonts w:hint="eastAsia" w:ascii="宋体" w:hAnsi="宋体" w:cs="新宋体"/>
          <w:b/>
          <w:bCs/>
          <w:sz w:val="28"/>
          <w:szCs w:val="28"/>
          <w:highlight w:val="none"/>
          <w:lang w:eastAsia="zh-CN"/>
        </w:rPr>
        <w:t>）</w:t>
      </w:r>
    </w:p>
    <w:p w14:paraId="4BCF7E6E">
      <w:pPr>
        <w:spacing w:line="380" w:lineRule="exact"/>
        <w:jc w:val="left"/>
        <w:rPr>
          <w:rFonts w:ascii="宋体" w:hAnsi="宋体" w:cs="宋体"/>
          <w:b/>
          <w:sz w:val="24"/>
          <w:highlight w:val="none"/>
        </w:rPr>
      </w:pPr>
      <w:r>
        <w:rPr>
          <w:rFonts w:hint="eastAsia" w:ascii="宋体" w:hAnsi="宋体" w:cs="宋体"/>
          <w:b/>
          <w:sz w:val="24"/>
          <w:highlight w:val="none"/>
        </w:rPr>
        <w:t>项目名称：</w:t>
      </w:r>
      <w:r>
        <w:rPr>
          <w:rFonts w:hint="eastAsia" w:ascii="宋体" w:hAnsi="宋体" w:cs="宋体"/>
          <w:b/>
          <w:sz w:val="24"/>
          <w:highlight w:val="none"/>
          <w:lang w:eastAsia="zh-CN"/>
        </w:rPr>
        <w:t>温州至福州高速铁路（龙湾段）工程海滨街道北片区房屋征收事务代理项目</w:t>
      </w:r>
      <w:r>
        <w:rPr>
          <w:rFonts w:hint="eastAsia" w:ascii="宋体" w:hAnsi="宋体" w:cs="宋体"/>
          <w:b/>
          <w:sz w:val="24"/>
          <w:highlight w:val="none"/>
        </w:rPr>
        <w:t xml:space="preserve">                                        项目编号：WZBH-2025012401</w:t>
      </w:r>
    </w:p>
    <w:tbl>
      <w:tblPr>
        <w:tblStyle w:val="63"/>
        <w:tblW w:w="9736" w:type="dxa"/>
        <w:tblInd w:w="93" w:type="dxa"/>
        <w:tblLayout w:type="fixed"/>
        <w:tblCellMar>
          <w:top w:w="0" w:type="dxa"/>
          <w:left w:w="108" w:type="dxa"/>
          <w:bottom w:w="0" w:type="dxa"/>
          <w:right w:w="108" w:type="dxa"/>
        </w:tblCellMar>
      </w:tblPr>
      <w:tblGrid>
        <w:gridCol w:w="732"/>
        <w:gridCol w:w="1939"/>
        <w:gridCol w:w="1403"/>
        <w:gridCol w:w="1226"/>
        <w:gridCol w:w="1116"/>
        <w:gridCol w:w="1312"/>
        <w:gridCol w:w="2008"/>
      </w:tblGrid>
      <w:tr w14:paraId="240BC95F">
        <w:tblPrEx>
          <w:tblCellMar>
            <w:top w:w="0" w:type="dxa"/>
            <w:left w:w="108" w:type="dxa"/>
            <w:bottom w:w="0" w:type="dxa"/>
            <w:right w:w="108" w:type="dxa"/>
          </w:tblCellMar>
        </w:tblPrEx>
        <w:trPr>
          <w:trHeight w:val="1007" w:hRule="atLeast"/>
        </w:trPr>
        <w:tc>
          <w:tcPr>
            <w:tcW w:w="732" w:type="dxa"/>
            <w:tcBorders>
              <w:top w:val="single" w:color="auto" w:sz="4" w:space="0"/>
              <w:left w:val="single" w:color="auto" w:sz="4" w:space="0"/>
              <w:bottom w:val="single" w:color="auto" w:sz="4" w:space="0"/>
              <w:right w:val="single" w:color="auto" w:sz="4" w:space="0"/>
            </w:tcBorders>
            <w:vAlign w:val="center"/>
          </w:tcPr>
          <w:p w14:paraId="4323F387">
            <w:pPr>
              <w:widowControl/>
              <w:jc w:val="center"/>
              <w:rPr>
                <w:rFonts w:ascii="宋体" w:cs="宋体"/>
                <w:sz w:val="22"/>
                <w:szCs w:val="22"/>
                <w:highlight w:val="none"/>
              </w:rPr>
            </w:pPr>
            <w:r>
              <w:rPr>
                <w:rFonts w:hint="eastAsia" w:ascii="宋体" w:cs="宋体"/>
                <w:sz w:val="22"/>
                <w:szCs w:val="22"/>
                <w:highlight w:val="none"/>
              </w:rPr>
              <w:t>序号</w:t>
            </w:r>
          </w:p>
        </w:tc>
        <w:tc>
          <w:tcPr>
            <w:tcW w:w="1939" w:type="dxa"/>
            <w:tcBorders>
              <w:top w:val="single" w:color="auto" w:sz="4" w:space="0"/>
              <w:left w:val="nil"/>
              <w:bottom w:val="single" w:color="auto" w:sz="4" w:space="0"/>
              <w:right w:val="single" w:color="auto" w:sz="4" w:space="0"/>
            </w:tcBorders>
            <w:vAlign w:val="center"/>
          </w:tcPr>
          <w:p w14:paraId="44AA4196">
            <w:pPr>
              <w:widowControl/>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标项名称</w:t>
            </w:r>
          </w:p>
        </w:tc>
        <w:tc>
          <w:tcPr>
            <w:tcW w:w="1403" w:type="dxa"/>
            <w:tcBorders>
              <w:top w:val="single" w:color="auto" w:sz="4" w:space="0"/>
              <w:left w:val="nil"/>
              <w:bottom w:val="single" w:color="auto" w:sz="4" w:space="0"/>
              <w:right w:val="single" w:color="auto" w:sz="4" w:space="0"/>
            </w:tcBorders>
            <w:vAlign w:val="center"/>
          </w:tcPr>
          <w:p w14:paraId="68CB4C31">
            <w:pPr>
              <w:widowControl/>
              <w:jc w:val="center"/>
              <w:rPr>
                <w:rFonts w:ascii="宋体" w:cs="宋体"/>
                <w:sz w:val="22"/>
                <w:szCs w:val="22"/>
                <w:highlight w:val="none"/>
              </w:rPr>
            </w:pPr>
            <w:r>
              <w:rPr>
                <w:rFonts w:hint="eastAsia" w:ascii="宋体" w:cs="宋体"/>
                <w:sz w:val="22"/>
                <w:szCs w:val="22"/>
                <w:highlight w:val="none"/>
              </w:rPr>
              <w:t>采购类别</w:t>
            </w:r>
          </w:p>
        </w:tc>
        <w:tc>
          <w:tcPr>
            <w:tcW w:w="1226" w:type="dxa"/>
            <w:tcBorders>
              <w:top w:val="single" w:color="auto" w:sz="4" w:space="0"/>
              <w:left w:val="single" w:color="auto" w:sz="4" w:space="0"/>
              <w:bottom w:val="single" w:color="auto" w:sz="4" w:space="0"/>
              <w:right w:val="single" w:color="auto" w:sz="4" w:space="0"/>
            </w:tcBorders>
            <w:vAlign w:val="center"/>
          </w:tcPr>
          <w:p w14:paraId="0148972C">
            <w:pPr>
              <w:widowControl/>
              <w:jc w:val="center"/>
              <w:rPr>
                <w:rFonts w:ascii="宋体" w:cs="宋体"/>
                <w:sz w:val="22"/>
                <w:szCs w:val="22"/>
                <w:highlight w:val="none"/>
              </w:rPr>
            </w:pPr>
            <w:r>
              <w:rPr>
                <w:rFonts w:hint="eastAsia" w:ascii="宋体" w:cs="宋体"/>
                <w:sz w:val="22"/>
                <w:szCs w:val="22"/>
                <w:highlight w:val="none"/>
              </w:rPr>
              <w:t>预计建筑</w:t>
            </w:r>
            <w:r>
              <w:rPr>
                <w:rFonts w:hint="eastAsia" w:ascii="宋体" w:cs="宋体"/>
                <w:sz w:val="22"/>
                <w:szCs w:val="22"/>
                <w:highlight w:val="none"/>
              </w:rPr>
              <w:br w:type="textWrapping"/>
            </w:r>
            <w:r>
              <w:rPr>
                <w:rFonts w:hint="eastAsia" w:ascii="宋体" w:cs="宋体"/>
                <w:sz w:val="22"/>
                <w:szCs w:val="22"/>
                <w:highlight w:val="none"/>
              </w:rPr>
              <w:t>面积（㎡）</w:t>
            </w:r>
          </w:p>
        </w:tc>
        <w:tc>
          <w:tcPr>
            <w:tcW w:w="1116" w:type="dxa"/>
            <w:tcBorders>
              <w:top w:val="single" w:color="auto" w:sz="4" w:space="0"/>
              <w:left w:val="nil"/>
              <w:bottom w:val="single" w:color="auto" w:sz="4" w:space="0"/>
              <w:right w:val="single" w:color="auto" w:sz="4" w:space="0"/>
            </w:tcBorders>
            <w:vAlign w:val="center"/>
          </w:tcPr>
          <w:p w14:paraId="35F2A615">
            <w:pPr>
              <w:widowControl/>
              <w:jc w:val="center"/>
              <w:rPr>
                <w:rFonts w:ascii="宋体" w:cs="宋体"/>
                <w:sz w:val="22"/>
                <w:szCs w:val="22"/>
                <w:highlight w:val="none"/>
              </w:rPr>
            </w:pPr>
            <w:r>
              <w:rPr>
                <w:rFonts w:hint="eastAsia" w:ascii="宋体" w:cs="宋体"/>
                <w:sz w:val="22"/>
                <w:szCs w:val="22"/>
                <w:highlight w:val="none"/>
              </w:rPr>
              <w:t>购买服务阶段</w:t>
            </w:r>
          </w:p>
        </w:tc>
        <w:tc>
          <w:tcPr>
            <w:tcW w:w="1312" w:type="dxa"/>
            <w:tcBorders>
              <w:top w:val="single" w:color="auto" w:sz="4" w:space="0"/>
              <w:left w:val="nil"/>
              <w:bottom w:val="single" w:color="auto" w:sz="4" w:space="0"/>
              <w:right w:val="single" w:color="auto" w:sz="4" w:space="0"/>
            </w:tcBorders>
            <w:vAlign w:val="center"/>
          </w:tcPr>
          <w:p w14:paraId="5E6BF51A">
            <w:pPr>
              <w:widowControl/>
              <w:jc w:val="center"/>
              <w:rPr>
                <w:rFonts w:ascii="宋体" w:cs="宋体"/>
                <w:sz w:val="22"/>
                <w:szCs w:val="22"/>
                <w:highlight w:val="none"/>
              </w:rPr>
            </w:pPr>
            <w:r>
              <w:rPr>
                <w:rFonts w:hint="eastAsia" w:ascii="宋体" w:cs="宋体"/>
                <w:sz w:val="22"/>
                <w:szCs w:val="22"/>
                <w:highlight w:val="none"/>
              </w:rPr>
              <w:t>投标单价（元/㎡）</w:t>
            </w:r>
          </w:p>
        </w:tc>
        <w:tc>
          <w:tcPr>
            <w:tcW w:w="2008" w:type="dxa"/>
            <w:tcBorders>
              <w:top w:val="single" w:color="auto" w:sz="4" w:space="0"/>
              <w:left w:val="nil"/>
              <w:bottom w:val="single" w:color="auto" w:sz="4" w:space="0"/>
              <w:right w:val="single" w:color="auto" w:sz="4" w:space="0"/>
            </w:tcBorders>
            <w:vAlign w:val="center"/>
          </w:tcPr>
          <w:p w14:paraId="3307CD64">
            <w:pPr>
              <w:widowControl/>
              <w:jc w:val="center"/>
              <w:rPr>
                <w:rFonts w:ascii="宋体" w:cs="宋体"/>
                <w:sz w:val="22"/>
                <w:szCs w:val="22"/>
                <w:highlight w:val="none"/>
              </w:rPr>
            </w:pPr>
            <w:r>
              <w:rPr>
                <w:rFonts w:hint="eastAsia" w:ascii="宋体" w:cs="宋体"/>
                <w:sz w:val="22"/>
                <w:szCs w:val="22"/>
                <w:highlight w:val="none"/>
                <w:lang w:val="en-US" w:eastAsia="zh-CN"/>
              </w:rPr>
              <w:t>合计报价</w:t>
            </w:r>
            <w:r>
              <w:rPr>
                <w:rFonts w:hint="eastAsia" w:ascii="宋体" w:cs="宋体"/>
                <w:sz w:val="22"/>
                <w:szCs w:val="22"/>
                <w:highlight w:val="none"/>
              </w:rPr>
              <w:br w:type="textWrapping"/>
            </w:r>
            <w:r>
              <w:rPr>
                <w:rFonts w:hint="eastAsia" w:ascii="宋体" w:cs="宋体"/>
                <w:sz w:val="22"/>
                <w:szCs w:val="22"/>
                <w:highlight w:val="none"/>
              </w:rPr>
              <w:t>（元）</w:t>
            </w:r>
          </w:p>
        </w:tc>
      </w:tr>
      <w:tr w14:paraId="0BD3923A">
        <w:tblPrEx>
          <w:tblCellMar>
            <w:top w:w="0" w:type="dxa"/>
            <w:left w:w="108" w:type="dxa"/>
            <w:bottom w:w="0" w:type="dxa"/>
            <w:right w:w="108" w:type="dxa"/>
          </w:tblCellMar>
        </w:tblPrEx>
        <w:trPr>
          <w:trHeight w:val="390" w:hRule="atLeast"/>
        </w:trPr>
        <w:tc>
          <w:tcPr>
            <w:tcW w:w="732" w:type="dxa"/>
            <w:vMerge w:val="restart"/>
            <w:tcBorders>
              <w:top w:val="nil"/>
              <w:left w:val="single" w:color="auto" w:sz="4" w:space="0"/>
              <w:right w:val="single" w:color="auto" w:sz="4" w:space="0"/>
            </w:tcBorders>
            <w:vAlign w:val="center"/>
          </w:tcPr>
          <w:p w14:paraId="40B4DA35">
            <w:pPr>
              <w:widowControl/>
              <w:jc w:val="center"/>
              <w:rPr>
                <w:rFonts w:ascii="宋体" w:cs="宋体"/>
                <w:sz w:val="22"/>
                <w:szCs w:val="22"/>
                <w:highlight w:val="none"/>
              </w:rPr>
            </w:pPr>
            <w:r>
              <w:rPr>
                <w:rFonts w:hint="eastAsia" w:ascii="宋体" w:cs="宋体"/>
                <w:sz w:val="22"/>
                <w:szCs w:val="22"/>
                <w:highlight w:val="none"/>
              </w:rPr>
              <w:t>1</w:t>
            </w:r>
          </w:p>
        </w:tc>
        <w:tc>
          <w:tcPr>
            <w:tcW w:w="1939" w:type="dxa"/>
            <w:vMerge w:val="restart"/>
            <w:tcBorders>
              <w:top w:val="nil"/>
              <w:left w:val="nil"/>
              <w:right w:val="single" w:color="auto" w:sz="4" w:space="0"/>
            </w:tcBorders>
            <w:vAlign w:val="center"/>
          </w:tcPr>
          <w:p w14:paraId="4AD6D991">
            <w:pPr>
              <w:widowControl/>
              <w:jc w:val="center"/>
              <w:textAlignment w:val="center"/>
              <w:rPr>
                <w:rFonts w:ascii="宋体" w:cs="宋体"/>
                <w:sz w:val="22"/>
                <w:szCs w:val="22"/>
                <w:highlight w:val="none"/>
              </w:rPr>
            </w:pPr>
            <w:r>
              <w:rPr>
                <w:rFonts w:hint="eastAsia" w:ascii="宋体" w:cs="宋体"/>
                <w:sz w:val="22"/>
                <w:szCs w:val="22"/>
                <w:highlight w:val="none"/>
                <w:lang w:val="en-US" w:eastAsia="zh-CN"/>
              </w:rPr>
              <w:t>温州至福州高速铁路（龙湾段）工程海滨街道北片区房屋征收事务代理项目二标段</w:t>
            </w:r>
          </w:p>
        </w:tc>
        <w:tc>
          <w:tcPr>
            <w:tcW w:w="1403" w:type="dxa"/>
            <w:vMerge w:val="restart"/>
            <w:tcBorders>
              <w:top w:val="nil"/>
              <w:left w:val="nil"/>
              <w:right w:val="single" w:color="auto" w:sz="4" w:space="0"/>
            </w:tcBorders>
            <w:vAlign w:val="center"/>
          </w:tcPr>
          <w:p w14:paraId="5D0BBF20">
            <w:pPr>
              <w:widowControl/>
              <w:jc w:val="center"/>
              <w:textAlignment w:val="center"/>
              <w:rPr>
                <w:rFonts w:ascii="宋体" w:cs="宋体"/>
                <w:sz w:val="22"/>
                <w:szCs w:val="22"/>
                <w:highlight w:val="none"/>
              </w:rPr>
            </w:pPr>
            <w:r>
              <w:rPr>
                <w:rFonts w:hint="eastAsia" w:ascii="宋体" w:hAnsi="宋体" w:eastAsia="宋体" w:cs="宋体"/>
                <w:bCs/>
                <w:kern w:val="0"/>
                <w:sz w:val="24"/>
                <w:szCs w:val="24"/>
                <w:highlight w:val="none"/>
                <w:lang w:eastAsia="zh-CN"/>
              </w:rPr>
              <w:t>住宅用房征收</w:t>
            </w:r>
          </w:p>
        </w:tc>
        <w:tc>
          <w:tcPr>
            <w:tcW w:w="1226" w:type="dxa"/>
            <w:vMerge w:val="restart"/>
            <w:tcBorders>
              <w:top w:val="nil"/>
              <w:left w:val="single" w:color="auto" w:sz="4" w:space="0"/>
              <w:right w:val="single" w:color="auto" w:sz="4" w:space="0"/>
            </w:tcBorders>
            <w:vAlign w:val="center"/>
          </w:tcPr>
          <w:p w14:paraId="710D6D59">
            <w:pPr>
              <w:widowControl/>
              <w:jc w:val="center"/>
              <w:textAlignment w:val="center"/>
              <w:rPr>
                <w:rFonts w:ascii="宋体" w:cs="宋体"/>
                <w:sz w:val="22"/>
                <w:szCs w:val="22"/>
                <w:highlight w:val="none"/>
              </w:rPr>
            </w:pPr>
            <w:r>
              <w:rPr>
                <w:rFonts w:hint="eastAsia" w:ascii="宋体" w:hAnsi="宋体" w:eastAsia="宋体" w:cs="宋体"/>
                <w:sz w:val="24"/>
                <w:szCs w:val="24"/>
                <w:highlight w:val="none"/>
                <w:lang w:val="en-US" w:eastAsia="zh-CN"/>
              </w:rPr>
              <w:t>70000</w:t>
            </w:r>
          </w:p>
        </w:tc>
        <w:tc>
          <w:tcPr>
            <w:tcW w:w="1116" w:type="dxa"/>
            <w:tcBorders>
              <w:top w:val="nil"/>
              <w:left w:val="single" w:color="auto" w:sz="4" w:space="0"/>
              <w:bottom w:val="single" w:color="auto" w:sz="4" w:space="0"/>
              <w:right w:val="single" w:color="auto" w:sz="4" w:space="0"/>
            </w:tcBorders>
            <w:vAlign w:val="center"/>
          </w:tcPr>
          <w:p w14:paraId="0F304922">
            <w:pPr>
              <w:widowControl/>
              <w:jc w:val="center"/>
              <w:rPr>
                <w:rFonts w:ascii="宋体" w:cs="宋体"/>
                <w:sz w:val="22"/>
                <w:szCs w:val="22"/>
                <w:highlight w:val="none"/>
              </w:rPr>
            </w:pPr>
            <w:r>
              <w:rPr>
                <w:rFonts w:hint="eastAsia" w:ascii="宋体" w:cs="宋体"/>
                <w:sz w:val="22"/>
                <w:szCs w:val="22"/>
                <w:highlight w:val="none"/>
              </w:rPr>
              <w:t>前期</w:t>
            </w:r>
          </w:p>
        </w:tc>
        <w:tc>
          <w:tcPr>
            <w:tcW w:w="1312" w:type="dxa"/>
            <w:tcBorders>
              <w:top w:val="nil"/>
              <w:left w:val="nil"/>
              <w:bottom w:val="single" w:color="auto" w:sz="4" w:space="0"/>
              <w:right w:val="single" w:color="auto" w:sz="4" w:space="0"/>
            </w:tcBorders>
            <w:vAlign w:val="center"/>
          </w:tcPr>
          <w:p w14:paraId="6618C5FE">
            <w:pPr>
              <w:widowControl/>
              <w:jc w:val="center"/>
              <w:rPr>
                <w:rFonts w:ascii="宋体" w:cs="宋体"/>
                <w:sz w:val="22"/>
                <w:szCs w:val="22"/>
                <w:highlight w:val="none"/>
              </w:rPr>
            </w:pPr>
          </w:p>
        </w:tc>
        <w:tc>
          <w:tcPr>
            <w:tcW w:w="2008" w:type="dxa"/>
            <w:vMerge w:val="restart"/>
            <w:tcBorders>
              <w:top w:val="nil"/>
              <w:left w:val="nil"/>
              <w:right w:val="single" w:color="auto" w:sz="4" w:space="0"/>
            </w:tcBorders>
            <w:vAlign w:val="center"/>
          </w:tcPr>
          <w:p w14:paraId="0782A4D4">
            <w:pPr>
              <w:widowControl/>
              <w:jc w:val="center"/>
              <w:rPr>
                <w:rFonts w:ascii="宋体" w:cs="宋体"/>
                <w:sz w:val="22"/>
                <w:szCs w:val="22"/>
                <w:highlight w:val="none"/>
              </w:rPr>
            </w:pPr>
          </w:p>
        </w:tc>
      </w:tr>
      <w:tr w14:paraId="51EE0111">
        <w:tblPrEx>
          <w:tblCellMar>
            <w:top w:w="0" w:type="dxa"/>
            <w:left w:w="108" w:type="dxa"/>
            <w:bottom w:w="0" w:type="dxa"/>
            <w:right w:w="108" w:type="dxa"/>
          </w:tblCellMar>
        </w:tblPrEx>
        <w:trPr>
          <w:trHeight w:val="390" w:hRule="atLeast"/>
        </w:trPr>
        <w:tc>
          <w:tcPr>
            <w:tcW w:w="732" w:type="dxa"/>
            <w:vMerge w:val="continue"/>
            <w:tcBorders>
              <w:left w:val="single" w:color="auto" w:sz="4" w:space="0"/>
              <w:right w:val="single" w:color="auto" w:sz="4" w:space="0"/>
            </w:tcBorders>
            <w:vAlign w:val="center"/>
          </w:tcPr>
          <w:p w14:paraId="570A9838">
            <w:pPr>
              <w:widowControl/>
              <w:jc w:val="center"/>
              <w:rPr>
                <w:rFonts w:ascii="宋体" w:cs="宋体"/>
                <w:sz w:val="22"/>
                <w:szCs w:val="22"/>
                <w:highlight w:val="none"/>
              </w:rPr>
            </w:pPr>
          </w:p>
        </w:tc>
        <w:tc>
          <w:tcPr>
            <w:tcW w:w="1939" w:type="dxa"/>
            <w:vMerge w:val="continue"/>
            <w:tcBorders>
              <w:left w:val="nil"/>
              <w:right w:val="single" w:color="auto" w:sz="4" w:space="0"/>
            </w:tcBorders>
            <w:vAlign w:val="center"/>
          </w:tcPr>
          <w:p w14:paraId="20EF27D0">
            <w:pPr>
              <w:widowControl/>
              <w:jc w:val="center"/>
              <w:textAlignment w:val="center"/>
              <w:rPr>
                <w:rFonts w:ascii="宋体" w:cs="宋体"/>
                <w:sz w:val="22"/>
                <w:szCs w:val="22"/>
                <w:highlight w:val="none"/>
              </w:rPr>
            </w:pPr>
          </w:p>
        </w:tc>
        <w:tc>
          <w:tcPr>
            <w:tcW w:w="1403" w:type="dxa"/>
            <w:vMerge w:val="continue"/>
            <w:tcBorders>
              <w:left w:val="nil"/>
              <w:right w:val="single" w:color="auto" w:sz="4" w:space="0"/>
            </w:tcBorders>
            <w:vAlign w:val="center"/>
          </w:tcPr>
          <w:p w14:paraId="3C7EFF2E">
            <w:pPr>
              <w:widowControl/>
              <w:jc w:val="center"/>
              <w:textAlignment w:val="center"/>
              <w:rPr>
                <w:rFonts w:ascii="宋体" w:cs="宋体"/>
                <w:sz w:val="22"/>
                <w:szCs w:val="22"/>
                <w:highlight w:val="none"/>
              </w:rPr>
            </w:pPr>
          </w:p>
        </w:tc>
        <w:tc>
          <w:tcPr>
            <w:tcW w:w="1226" w:type="dxa"/>
            <w:vMerge w:val="continue"/>
            <w:tcBorders>
              <w:left w:val="single" w:color="auto" w:sz="4" w:space="0"/>
              <w:right w:val="single" w:color="auto" w:sz="4" w:space="0"/>
            </w:tcBorders>
            <w:vAlign w:val="center"/>
          </w:tcPr>
          <w:p w14:paraId="17918B6F">
            <w:pPr>
              <w:widowControl/>
              <w:jc w:val="center"/>
              <w:textAlignment w:val="center"/>
              <w:rPr>
                <w:rFonts w:ascii="宋体" w:cs="宋体"/>
                <w:sz w:val="22"/>
                <w:szCs w:val="22"/>
                <w:highlight w:val="none"/>
              </w:rPr>
            </w:pPr>
          </w:p>
        </w:tc>
        <w:tc>
          <w:tcPr>
            <w:tcW w:w="1116" w:type="dxa"/>
            <w:tcBorders>
              <w:top w:val="nil"/>
              <w:left w:val="single" w:color="auto" w:sz="4" w:space="0"/>
              <w:bottom w:val="single" w:color="auto" w:sz="4" w:space="0"/>
              <w:right w:val="single" w:color="auto" w:sz="4" w:space="0"/>
            </w:tcBorders>
            <w:vAlign w:val="center"/>
          </w:tcPr>
          <w:p w14:paraId="0012C7C7">
            <w:pPr>
              <w:widowControl/>
              <w:jc w:val="center"/>
              <w:rPr>
                <w:rFonts w:ascii="宋体" w:cs="宋体"/>
                <w:sz w:val="22"/>
                <w:szCs w:val="22"/>
                <w:highlight w:val="none"/>
              </w:rPr>
            </w:pPr>
            <w:r>
              <w:rPr>
                <w:rFonts w:hint="eastAsia" w:ascii="宋体" w:cs="宋体"/>
                <w:sz w:val="22"/>
                <w:szCs w:val="22"/>
                <w:highlight w:val="none"/>
              </w:rPr>
              <w:t>中期</w:t>
            </w:r>
          </w:p>
        </w:tc>
        <w:tc>
          <w:tcPr>
            <w:tcW w:w="1312" w:type="dxa"/>
            <w:tcBorders>
              <w:top w:val="nil"/>
              <w:left w:val="nil"/>
              <w:bottom w:val="single" w:color="auto" w:sz="4" w:space="0"/>
              <w:right w:val="single" w:color="auto" w:sz="4" w:space="0"/>
            </w:tcBorders>
            <w:vAlign w:val="center"/>
          </w:tcPr>
          <w:p w14:paraId="631B260F">
            <w:pPr>
              <w:widowControl/>
              <w:jc w:val="center"/>
              <w:rPr>
                <w:rFonts w:ascii="宋体" w:cs="宋体"/>
                <w:sz w:val="22"/>
                <w:szCs w:val="22"/>
                <w:highlight w:val="none"/>
              </w:rPr>
            </w:pPr>
          </w:p>
        </w:tc>
        <w:tc>
          <w:tcPr>
            <w:tcW w:w="2008" w:type="dxa"/>
            <w:vMerge w:val="continue"/>
            <w:tcBorders>
              <w:left w:val="nil"/>
              <w:right w:val="single" w:color="auto" w:sz="4" w:space="0"/>
            </w:tcBorders>
            <w:vAlign w:val="center"/>
          </w:tcPr>
          <w:p w14:paraId="68F18715">
            <w:pPr>
              <w:widowControl/>
              <w:jc w:val="center"/>
              <w:rPr>
                <w:rFonts w:ascii="宋体" w:cs="宋体"/>
                <w:sz w:val="22"/>
                <w:szCs w:val="22"/>
                <w:highlight w:val="none"/>
              </w:rPr>
            </w:pPr>
          </w:p>
        </w:tc>
      </w:tr>
      <w:tr w14:paraId="38808A92">
        <w:tblPrEx>
          <w:tblCellMar>
            <w:top w:w="0" w:type="dxa"/>
            <w:left w:w="108" w:type="dxa"/>
            <w:bottom w:w="0" w:type="dxa"/>
            <w:right w:w="108" w:type="dxa"/>
          </w:tblCellMar>
        </w:tblPrEx>
        <w:trPr>
          <w:trHeight w:val="390" w:hRule="atLeast"/>
        </w:trPr>
        <w:tc>
          <w:tcPr>
            <w:tcW w:w="732" w:type="dxa"/>
            <w:vMerge w:val="continue"/>
            <w:tcBorders>
              <w:left w:val="single" w:color="auto" w:sz="4" w:space="0"/>
              <w:bottom w:val="single" w:color="auto" w:sz="4" w:space="0"/>
              <w:right w:val="single" w:color="auto" w:sz="4" w:space="0"/>
            </w:tcBorders>
            <w:vAlign w:val="center"/>
          </w:tcPr>
          <w:p w14:paraId="2AEFB3CD">
            <w:pPr>
              <w:widowControl/>
              <w:jc w:val="center"/>
              <w:rPr>
                <w:rFonts w:ascii="宋体" w:cs="宋体"/>
                <w:sz w:val="22"/>
                <w:szCs w:val="22"/>
                <w:highlight w:val="none"/>
              </w:rPr>
            </w:pPr>
          </w:p>
        </w:tc>
        <w:tc>
          <w:tcPr>
            <w:tcW w:w="1939" w:type="dxa"/>
            <w:vMerge w:val="continue"/>
            <w:tcBorders>
              <w:left w:val="nil"/>
              <w:right w:val="single" w:color="auto" w:sz="4" w:space="0"/>
            </w:tcBorders>
            <w:vAlign w:val="center"/>
          </w:tcPr>
          <w:p w14:paraId="38D6FB7E">
            <w:pPr>
              <w:widowControl/>
              <w:jc w:val="center"/>
              <w:textAlignment w:val="center"/>
              <w:rPr>
                <w:rFonts w:ascii="宋体" w:cs="宋体"/>
                <w:sz w:val="22"/>
                <w:szCs w:val="22"/>
                <w:highlight w:val="none"/>
              </w:rPr>
            </w:pPr>
          </w:p>
        </w:tc>
        <w:tc>
          <w:tcPr>
            <w:tcW w:w="1403" w:type="dxa"/>
            <w:vMerge w:val="continue"/>
            <w:tcBorders>
              <w:left w:val="nil"/>
              <w:bottom w:val="single" w:color="auto" w:sz="4" w:space="0"/>
              <w:right w:val="single" w:color="auto" w:sz="4" w:space="0"/>
            </w:tcBorders>
            <w:vAlign w:val="center"/>
          </w:tcPr>
          <w:p w14:paraId="04F97C72">
            <w:pPr>
              <w:widowControl/>
              <w:jc w:val="center"/>
              <w:textAlignment w:val="center"/>
              <w:rPr>
                <w:rFonts w:ascii="宋体" w:cs="宋体"/>
                <w:sz w:val="22"/>
                <w:szCs w:val="22"/>
                <w:highlight w:val="none"/>
              </w:rPr>
            </w:pPr>
          </w:p>
        </w:tc>
        <w:tc>
          <w:tcPr>
            <w:tcW w:w="1226" w:type="dxa"/>
            <w:vMerge w:val="continue"/>
            <w:tcBorders>
              <w:left w:val="single" w:color="auto" w:sz="4" w:space="0"/>
              <w:bottom w:val="single" w:color="auto" w:sz="4" w:space="0"/>
              <w:right w:val="single" w:color="auto" w:sz="4" w:space="0"/>
            </w:tcBorders>
            <w:vAlign w:val="center"/>
          </w:tcPr>
          <w:p w14:paraId="1EF9605E">
            <w:pPr>
              <w:widowControl/>
              <w:jc w:val="center"/>
              <w:textAlignment w:val="center"/>
              <w:rPr>
                <w:rFonts w:ascii="宋体" w:cs="宋体"/>
                <w:sz w:val="22"/>
                <w:szCs w:val="22"/>
                <w:highlight w:val="none"/>
              </w:rPr>
            </w:pPr>
          </w:p>
        </w:tc>
        <w:tc>
          <w:tcPr>
            <w:tcW w:w="1116" w:type="dxa"/>
            <w:tcBorders>
              <w:top w:val="nil"/>
              <w:left w:val="single" w:color="auto" w:sz="4" w:space="0"/>
              <w:bottom w:val="single" w:color="auto" w:sz="4" w:space="0"/>
              <w:right w:val="single" w:color="auto" w:sz="4" w:space="0"/>
            </w:tcBorders>
            <w:vAlign w:val="center"/>
          </w:tcPr>
          <w:p w14:paraId="6FDC9604">
            <w:pPr>
              <w:widowControl/>
              <w:jc w:val="center"/>
              <w:rPr>
                <w:rFonts w:ascii="宋体" w:cs="宋体"/>
                <w:sz w:val="22"/>
                <w:szCs w:val="22"/>
                <w:highlight w:val="none"/>
              </w:rPr>
            </w:pPr>
            <w:r>
              <w:rPr>
                <w:rFonts w:hint="eastAsia" w:ascii="宋体" w:cs="宋体"/>
                <w:sz w:val="22"/>
                <w:szCs w:val="22"/>
                <w:highlight w:val="none"/>
              </w:rPr>
              <w:t>后期</w:t>
            </w:r>
          </w:p>
        </w:tc>
        <w:tc>
          <w:tcPr>
            <w:tcW w:w="1312" w:type="dxa"/>
            <w:tcBorders>
              <w:top w:val="nil"/>
              <w:left w:val="nil"/>
              <w:bottom w:val="single" w:color="auto" w:sz="4" w:space="0"/>
              <w:right w:val="single" w:color="auto" w:sz="4" w:space="0"/>
            </w:tcBorders>
            <w:vAlign w:val="center"/>
          </w:tcPr>
          <w:p w14:paraId="52804412">
            <w:pPr>
              <w:widowControl/>
              <w:jc w:val="center"/>
              <w:rPr>
                <w:rFonts w:ascii="宋体" w:cs="宋体"/>
                <w:sz w:val="22"/>
                <w:szCs w:val="22"/>
                <w:highlight w:val="none"/>
              </w:rPr>
            </w:pPr>
          </w:p>
        </w:tc>
        <w:tc>
          <w:tcPr>
            <w:tcW w:w="2008" w:type="dxa"/>
            <w:vMerge w:val="continue"/>
            <w:tcBorders>
              <w:left w:val="single" w:color="auto" w:sz="4" w:space="0"/>
              <w:bottom w:val="single" w:color="auto" w:sz="4" w:space="0"/>
              <w:right w:val="single" w:color="auto" w:sz="4" w:space="0"/>
            </w:tcBorders>
            <w:vAlign w:val="center"/>
          </w:tcPr>
          <w:p w14:paraId="5E1AF35C">
            <w:pPr>
              <w:widowControl/>
              <w:jc w:val="center"/>
              <w:rPr>
                <w:rFonts w:ascii="宋体" w:cs="宋体"/>
                <w:sz w:val="22"/>
                <w:szCs w:val="22"/>
                <w:highlight w:val="none"/>
              </w:rPr>
            </w:pPr>
          </w:p>
        </w:tc>
      </w:tr>
      <w:tr w14:paraId="5A1497AE">
        <w:tblPrEx>
          <w:tblCellMar>
            <w:top w:w="0" w:type="dxa"/>
            <w:left w:w="108" w:type="dxa"/>
            <w:bottom w:w="0" w:type="dxa"/>
            <w:right w:w="108" w:type="dxa"/>
          </w:tblCellMar>
        </w:tblPrEx>
        <w:trPr>
          <w:trHeight w:val="390" w:hRule="atLeast"/>
        </w:trPr>
        <w:tc>
          <w:tcPr>
            <w:tcW w:w="732" w:type="dxa"/>
            <w:vMerge w:val="restart"/>
            <w:tcBorders>
              <w:top w:val="single" w:color="auto" w:sz="4" w:space="0"/>
              <w:left w:val="single" w:color="auto" w:sz="4" w:space="0"/>
              <w:right w:val="single" w:color="auto" w:sz="4" w:space="0"/>
            </w:tcBorders>
            <w:vAlign w:val="center"/>
          </w:tcPr>
          <w:p w14:paraId="6F30648F">
            <w:pPr>
              <w:widowControl/>
              <w:jc w:val="center"/>
              <w:rPr>
                <w:rFonts w:hint="eastAsia" w:ascii="宋体" w:eastAsia="宋体" w:cs="宋体"/>
                <w:sz w:val="22"/>
                <w:szCs w:val="22"/>
                <w:highlight w:val="none"/>
                <w:lang w:val="en-US" w:eastAsia="zh-CN"/>
              </w:rPr>
            </w:pPr>
            <w:r>
              <w:rPr>
                <w:rFonts w:hint="eastAsia" w:ascii="宋体" w:cs="宋体"/>
                <w:sz w:val="22"/>
                <w:szCs w:val="22"/>
                <w:highlight w:val="none"/>
                <w:lang w:val="en-US" w:eastAsia="zh-CN"/>
              </w:rPr>
              <w:t>2</w:t>
            </w:r>
          </w:p>
        </w:tc>
        <w:tc>
          <w:tcPr>
            <w:tcW w:w="1939" w:type="dxa"/>
            <w:vMerge w:val="continue"/>
            <w:tcBorders>
              <w:left w:val="nil"/>
              <w:right w:val="single" w:color="auto" w:sz="4" w:space="0"/>
            </w:tcBorders>
            <w:vAlign w:val="center"/>
          </w:tcPr>
          <w:p w14:paraId="7E8E2E5E">
            <w:pPr>
              <w:widowControl/>
              <w:jc w:val="center"/>
              <w:textAlignment w:val="center"/>
              <w:rPr>
                <w:rFonts w:ascii="宋体" w:cs="宋体"/>
                <w:sz w:val="22"/>
                <w:szCs w:val="22"/>
                <w:highlight w:val="none"/>
              </w:rPr>
            </w:pPr>
          </w:p>
        </w:tc>
        <w:tc>
          <w:tcPr>
            <w:tcW w:w="1403" w:type="dxa"/>
            <w:vMerge w:val="restart"/>
            <w:tcBorders>
              <w:top w:val="single" w:color="auto" w:sz="4" w:space="0"/>
              <w:left w:val="single" w:color="auto" w:sz="4" w:space="0"/>
              <w:right w:val="single" w:color="auto" w:sz="4" w:space="0"/>
            </w:tcBorders>
            <w:vAlign w:val="center"/>
          </w:tcPr>
          <w:p w14:paraId="7FB8BBB4">
            <w:pPr>
              <w:widowControl/>
              <w:jc w:val="center"/>
              <w:textAlignment w:val="center"/>
              <w:rPr>
                <w:rFonts w:ascii="宋体" w:cs="宋体"/>
                <w:sz w:val="22"/>
                <w:szCs w:val="22"/>
                <w:highlight w:val="none"/>
              </w:rPr>
            </w:pPr>
            <w:r>
              <w:rPr>
                <w:rFonts w:hint="eastAsia" w:ascii="宋体" w:hAnsi="宋体" w:cs="宋体"/>
                <w:bCs/>
                <w:kern w:val="0"/>
                <w:sz w:val="24"/>
                <w:szCs w:val="24"/>
                <w:highlight w:val="none"/>
                <w:lang w:eastAsia="zh-CN"/>
              </w:rPr>
              <w:t>工业用房</w:t>
            </w:r>
            <w:r>
              <w:rPr>
                <w:rFonts w:hint="eastAsia" w:ascii="宋体" w:hAnsi="宋体" w:eastAsia="宋体" w:cs="宋体"/>
                <w:bCs/>
                <w:kern w:val="0"/>
                <w:sz w:val="24"/>
                <w:szCs w:val="24"/>
                <w:highlight w:val="none"/>
                <w:lang w:eastAsia="zh-CN"/>
              </w:rPr>
              <w:t>征收</w:t>
            </w:r>
          </w:p>
        </w:tc>
        <w:tc>
          <w:tcPr>
            <w:tcW w:w="1226" w:type="dxa"/>
            <w:vMerge w:val="restart"/>
            <w:tcBorders>
              <w:top w:val="single" w:color="auto" w:sz="4" w:space="0"/>
              <w:left w:val="single" w:color="auto" w:sz="4" w:space="0"/>
              <w:right w:val="single" w:color="auto" w:sz="4" w:space="0"/>
            </w:tcBorders>
            <w:vAlign w:val="center"/>
          </w:tcPr>
          <w:p w14:paraId="5A10AC06">
            <w:pPr>
              <w:widowControl/>
              <w:jc w:val="center"/>
              <w:textAlignment w:val="center"/>
              <w:rPr>
                <w:rFonts w:ascii="宋体" w:cs="宋体"/>
                <w:sz w:val="22"/>
                <w:szCs w:val="22"/>
                <w:highlight w:val="none"/>
              </w:rPr>
            </w:pPr>
            <w:r>
              <w:rPr>
                <w:rFonts w:hint="eastAsia" w:ascii="宋体" w:hAnsi="宋体" w:cs="宋体"/>
                <w:sz w:val="24"/>
                <w:szCs w:val="24"/>
                <w:highlight w:val="none"/>
                <w:lang w:val="en-US" w:eastAsia="zh-CN"/>
              </w:rPr>
              <w:t>140000</w:t>
            </w:r>
          </w:p>
        </w:tc>
        <w:tc>
          <w:tcPr>
            <w:tcW w:w="1116" w:type="dxa"/>
            <w:tcBorders>
              <w:top w:val="single" w:color="auto" w:sz="4" w:space="0"/>
              <w:left w:val="single" w:color="auto" w:sz="4" w:space="0"/>
              <w:bottom w:val="single" w:color="auto" w:sz="4" w:space="0"/>
              <w:right w:val="single" w:color="auto" w:sz="4" w:space="0"/>
            </w:tcBorders>
            <w:vAlign w:val="center"/>
          </w:tcPr>
          <w:p w14:paraId="26254545">
            <w:pPr>
              <w:widowControl/>
              <w:jc w:val="center"/>
              <w:rPr>
                <w:rFonts w:hint="eastAsia" w:ascii="宋体" w:cs="宋体"/>
                <w:sz w:val="22"/>
                <w:szCs w:val="22"/>
                <w:highlight w:val="none"/>
              </w:rPr>
            </w:pPr>
            <w:r>
              <w:rPr>
                <w:rFonts w:hint="eastAsia" w:ascii="宋体" w:cs="宋体"/>
                <w:sz w:val="22"/>
                <w:szCs w:val="22"/>
                <w:highlight w:val="none"/>
              </w:rPr>
              <w:t>前期</w:t>
            </w:r>
          </w:p>
        </w:tc>
        <w:tc>
          <w:tcPr>
            <w:tcW w:w="1312" w:type="dxa"/>
            <w:tcBorders>
              <w:top w:val="single" w:color="auto" w:sz="4" w:space="0"/>
              <w:left w:val="single" w:color="auto" w:sz="4" w:space="0"/>
              <w:bottom w:val="single" w:color="auto" w:sz="4" w:space="0"/>
              <w:right w:val="single" w:color="auto" w:sz="4" w:space="0"/>
            </w:tcBorders>
            <w:vAlign w:val="center"/>
          </w:tcPr>
          <w:p w14:paraId="0D48BC5C">
            <w:pPr>
              <w:widowControl/>
              <w:jc w:val="center"/>
              <w:rPr>
                <w:rFonts w:ascii="宋体" w:cs="宋体"/>
                <w:sz w:val="22"/>
                <w:szCs w:val="22"/>
                <w:highlight w:val="none"/>
              </w:rPr>
            </w:pPr>
          </w:p>
        </w:tc>
        <w:tc>
          <w:tcPr>
            <w:tcW w:w="2008" w:type="dxa"/>
            <w:vMerge w:val="restart"/>
            <w:tcBorders>
              <w:top w:val="single" w:color="auto" w:sz="4" w:space="0"/>
              <w:left w:val="single" w:color="auto" w:sz="4" w:space="0"/>
              <w:right w:val="single" w:color="auto" w:sz="4" w:space="0"/>
            </w:tcBorders>
            <w:vAlign w:val="center"/>
          </w:tcPr>
          <w:p w14:paraId="273C9C6D">
            <w:pPr>
              <w:widowControl/>
              <w:jc w:val="center"/>
              <w:rPr>
                <w:rFonts w:ascii="宋体" w:cs="宋体"/>
                <w:sz w:val="22"/>
                <w:szCs w:val="22"/>
                <w:highlight w:val="none"/>
              </w:rPr>
            </w:pPr>
          </w:p>
        </w:tc>
      </w:tr>
      <w:tr w14:paraId="01E09572">
        <w:tblPrEx>
          <w:tblCellMar>
            <w:top w:w="0" w:type="dxa"/>
            <w:left w:w="108" w:type="dxa"/>
            <w:bottom w:w="0" w:type="dxa"/>
            <w:right w:w="108" w:type="dxa"/>
          </w:tblCellMar>
        </w:tblPrEx>
        <w:trPr>
          <w:trHeight w:val="390" w:hRule="atLeast"/>
        </w:trPr>
        <w:tc>
          <w:tcPr>
            <w:tcW w:w="732" w:type="dxa"/>
            <w:vMerge w:val="continue"/>
            <w:tcBorders>
              <w:left w:val="single" w:color="auto" w:sz="4" w:space="0"/>
              <w:right w:val="single" w:color="auto" w:sz="4" w:space="0"/>
            </w:tcBorders>
            <w:vAlign w:val="center"/>
          </w:tcPr>
          <w:p w14:paraId="11BB10CB">
            <w:pPr>
              <w:widowControl/>
              <w:jc w:val="center"/>
              <w:rPr>
                <w:rFonts w:ascii="宋体" w:cs="宋体"/>
                <w:sz w:val="22"/>
                <w:szCs w:val="22"/>
                <w:highlight w:val="none"/>
              </w:rPr>
            </w:pPr>
          </w:p>
        </w:tc>
        <w:tc>
          <w:tcPr>
            <w:tcW w:w="1939" w:type="dxa"/>
            <w:vMerge w:val="continue"/>
            <w:tcBorders>
              <w:left w:val="nil"/>
              <w:right w:val="single" w:color="auto" w:sz="4" w:space="0"/>
            </w:tcBorders>
            <w:vAlign w:val="center"/>
          </w:tcPr>
          <w:p w14:paraId="05F0BCA4">
            <w:pPr>
              <w:widowControl/>
              <w:jc w:val="center"/>
              <w:textAlignment w:val="center"/>
              <w:rPr>
                <w:rFonts w:ascii="宋体" w:cs="宋体"/>
                <w:sz w:val="22"/>
                <w:szCs w:val="22"/>
                <w:highlight w:val="none"/>
              </w:rPr>
            </w:pPr>
          </w:p>
        </w:tc>
        <w:tc>
          <w:tcPr>
            <w:tcW w:w="1403" w:type="dxa"/>
            <w:vMerge w:val="continue"/>
            <w:tcBorders>
              <w:left w:val="single" w:color="auto" w:sz="4" w:space="0"/>
              <w:right w:val="single" w:color="auto" w:sz="4" w:space="0"/>
            </w:tcBorders>
            <w:vAlign w:val="center"/>
          </w:tcPr>
          <w:p w14:paraId="6F5AA8C6">
            <w:pPr>
              <w:widowControl/>
              <w:jc w:val="center"/>
              <w:textAlignment w:val="center"/>
              <w:rPr>
                <w:rFonts w:ascii="宋体" w:cs="宋体"/>
                <w:sz w:val="22"/>
                <w:szCs w:val="22"/>
                <w:highlight w:val="none"/>
              </w:rPr>
            </w:pPr>
          </w:p>
        </w:tc>
        <w:tc>
          <w:tcPr>
            <w:tcW w:w="1226" w:type="dxa"/>
            <w:vMerge w:val="continue"/>
            <w:tcBorders>
              <w:left w:val="single" w:color="auto" w:sz="4" w:space="0"/>
              <w:right w:val="single" w:color="auto" w:sz="4" w:space="0"/>
            </w:tcBorders>
            <w:vAlign w:val="center"/>
          </w:tcPr>
          <w:p w14:paraId="22402351">
            <w:pPr>
              <w:widowControl/>
              <w:jc w:val="center"/>
              <w:textAlignment w:val="center"/>
              <w:rPr>
                <w:rFonts w:ascii="宋体" w:cs="宋体"/>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14:paraId="4433E28E">
            <w:pPr>
              <w:widowControl/>
              <w:jc w:val="center"/>
              <w:rPr>
                <w:rFonts w:hint="eastAsia" w:ascii="宋体" w:cs="宋体"/>
                <w:sz w:val="22"/>
                <w:szCs w:val="22"/>
                <w:highlight w:val="none"/>
              </w:rPr>
            </w:pPr>
            <w:r>
              <w:rPr>
                <w:rFonts w:hint="eastAsia" w:ascii="宋体" w:cs="宋体"/>
                <w:sz w:val="22"/>
                <w:szCs w:val="22"/>
                <w:highlight w:val="none"/>
              </w:rPr>
              <w:t>中期</w:t>
            </w:r>
          </w:p>
        </w:tc>
        <w:tc>
          <w:tcPr>
            <w:tcW w:w="1312" w:type="dxa"/>
            <w:tcBorders>
              <w:top w:val="single" w:color="auto" w:sz="4" w:space="0"/>
              <w:left w:val="single" w:color="auto" w:sz="4" w:space="0"/>
              <w:bottom w:val="single" w:color="auto" w:sz="4" w:space="0"/>
              <w:right w:val="single" w:color="auto" w:sz="4" w:space="0"/>
            </w:tcBorders>
            <w:vAlign w:val="center"/>
          </w:tcPr>
          <w:p w14:paraId="7ECB5BE1">
            <w:pPr>
              <w:widowControl/>
              <w:jc w:val="center"/>
              <w:rPr>
                <w:rFonts w:ascii="宋体" w:cs="宋体"/>
                <w:sz w:val="22"/>
                <w:szCs w:val="22"/>
                <w:highlight w:val="none"/>
              </w:rPr>
            </w:pPr>
          </w:p>
        </w:tc>
        <w:tc>
          <w:tcPr>
            <w:tcW w:w="2008" w:type="dxa"/>
            <w:vMerge w:val="continue"/>
            <w:tcBorders>
              <w:left w:val="single" w:color="auto" w:sz="4" w:space="0"/>
              <w:right w:val="single" w:color="auto" w:sz="4" w:space="0"/>
            </w:tcBorders>
            <w:vAlign w:val="center"/>
          </w:tcPr>
          <w:p w14:paraId="183D8EE1">
            <w:pPr>
              <w:widowControl/>
              <w:jc w:val="center"/>
              <w:rPr>
                <w:rFonts w:ascii="宋体" w:cs="宋体"/>
                <w:sz w:val="22"/>
                <w:szCs w:val="22"/>
                <w:highlight w:val="none"/>
              </w:rPr>
            </w:pPr>
          </w:p>
        </w:tc>
      </w:tr>
      <w:tr w14:paraId="56FEB7E4">
        <w:tblPrEx>
          <w:tblCellMar>
            <w:top w:w="0" w:type="dxa"/>
            <w:left w:w="108" w:type="dxa"/>
            <w:bottom w:w="0" w:type="dxa"/>
            <w:right w:w="108" w:type="dxa"/>
          </w:tblCellMar>
        </w:tblPrEx>
        <w:trPr>
          <w:trHeight w:val="390" w:hRule="atLeast"/>
        </w:trPr>
        <w:tc>
          <w:tcPr>
            <w:tcW w:w="732" w:type="dxa"/>
            <w:vMerge w:val="continue"/>
            <w:tcBorders>
              <w:left w:val="single" w:color="auto" w:sz="4" w:space="0"/>
              <w:bottom w:val="single" w:color="auto" w:sz="4" w:space="0"/>
              <w:right w:val="single" w:color="auto" w:sz="4" w:space="0"/>
            </w:tcBorders>
            <w:vAlign w:val="center"/>
          </w:tcPr>
          <w:p w14:paraId="35B5EE3E">
            <w:pPr>
              <w:widowControl/>
              <w:jc w:val="center"/>
              <w:rPr>
                <w:rFonts w:ascii="宋体" w:cs="宋体"/>
                <w:sz w:val="22"/>
                <w:szCs w:val="22"/>
                <w:highlight w:val="none"/>
              </w:rPr>
            </w:pPr>
          </w:p>
        </w:tc>
        <w:tc>
          <w:tcPr>
            <w:tcW w:w="1939" w:type="dxa"/>
            <w:vMerge w:val="continue"/>
            <w:tcBorders>
              <w:left w:val="nil"/>
              <w:bottom w:val="single" w:color="auto" w:sz="4" w:space="0"/>
              <w:right w:val="single" w:color="auto" w:sz="4" w:space="0"/>
            </w:tcBorders>
            <w:vAlign w:val="center"/>
          </w:tcPr>
          <w:p w14:paraId="2D552006">
            <w:pPr>
              <w:widowControl/>
              <w:jc w:val="center"/>
              <w:textAlignment w:val="center"/>
              <w:rPr>
                <w:rFonts w:ascii="宋体" w:cs="宋体"/>
                <w:sz w:val="22"/>
                <w:szCs w:val="22"/>
                <w:highlight w:val="none"/>
              </w:rPr>
            </w:pPr>
          </w:p>
        </w:tc>
        <w:tc>
          <w:tcPr>
            <w:tcW w:w="1403" w:type="dxa"/>
            <w:vMerge w:val="continue"/>
            <w:tcBorders>
              <w:left w:val="single" w:color="auto" w:sz="4" w:space="0"/>
              <w:bottom w:val="single" w:color="auto" w:sz="4" w:space="0"/>
              <w:right w:val="single" w:color="auto" w:sz="4" w:space="0"/>
            </w:tcBorders>
            <w:vAlign w:val="center"/>
          </w:tcPr>
          <w:p w14:paraId="26E1BC8A">
            <w:pPr>
              <w:widowControl/>
              <w:jc w:val="center"/>
              <w:textAlignment w:val="center"/>
              <w:rPr>
                <w:rFonts w:ascii="宋体" w:cs="宋体"/>
                <w:sz w:val="22"/>
                <w:szCs w:val="22"/>
                <w:highlight w:val="none"/>
              </w:rPr>
            </w:pPr>
          </w:p>
        </w:tc>
        <w:tc>
          <w:tcPr>
            <w:tcW w:w="1226" w:type="dxa"/>
            <w:vMerge w:val="continue"/>
            <w:tcBorders>
              <w:left w:val="single" w:color="auto" w:sz="4" w:space="0"/>
              <w:bottom w:val="single" w:color="auto" w:sz="4" w:space="0"/>
              <w:right w:val="single" w:color="auto" w:sz="4" w:space="0"/>
            </w:tcBorders>
            <w:vAlign w:val="center"/>
          </w:tcPr>
          <w:p w14:paraId="42A8205C">
            <w:pPr>
              <w:widowControl/>
              <w:jc w:val="center"/>
              <w:textAlignment w:val="center"/>
              <w:rPr>
                <w:rFonts w:ascii="宋体" w:cs="宋体"/>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14:paraId="3766CBE9">
            <w:pPr>
              <w:widowControl/>
              <w:jc w:val="center"/>
              <w:rPr>
                <w:rFonts w:hint="eastAsia" w:ascii="宋体" w:cs="宋体"/>
                <w:sz w:val="22"/>
                <w:szCs w:val="22"/>
                <w:highlight w:val="none"/>
              </w:rPr>
            </w:pPr>
            <w:r>
              <w:rPr>
                <w:rFonts w:hint="eastAsia" w:ascii="宋体" w:cs="宋体"/>
                <w:sz w:val="22"/>
                <w:szCs w:val="22"/>
                <w:highlight w:val="none"/>
              </w:rPr>
              <w:t>后期</w:t>
            </w:r>
          </w:p>
        </w:tc>
        <w:tc>
          <w:tcPr>
            <w:tcW w:w="1312" w:type="dxa"/>
            <w:tcBorders>
              <w:top w:val="single" w:color="auto" w:sz="4" w:space="0"/>
              <w:left w:val="single" w:color="auto" w:sz="4" w:space="0"/>
              <w:bottom w:val="single" w:color="auto" w:sz="4" w:space="0"/>
              <w:right w:val="single" w:color="auto" w:sz="4" w:space="0"/>
            </w:tcBorders>
            <w:vAlign w:val="center"/>
          </w:tcPr>
          <w:p w14:paraId="704D333C">
            <w:pPr>
              <w:widowControl/>
              <w:jc w:val="center"/>
              <w:rPr>
                <w:rFonts w:ascii="宋体" w:cs="宋体"/>
                <w:sz w:val="22"/>
                <w:szCs w:val="22"/>
                <w:highlight w:val="none"/>
              </w:rPr>
            </w:pPr>
          </w:p>
        </w:tc>
        <w:tc>
          <w:tcPr>
            <w:tcW w:w="2008" w:type="dxa"/>
            <w:vMerge w:val="continue"/>
            <w:tcBorders>
              <w:left w:val="single" w:color="auto" w:sz="4" w:space="0"/>
              <w:bottom w:val="single" w:color="auto" w:sz="4" w:space="0"/>
              <w:right w:val="single" w:color="auto" w:sz="4" w:space="0"/>
            </w:tcBorders>
            <w:vAlign w:val="center"/>
          </w:tcPr>
          <w:p w14:paraId="54B40961">
            <w:pPr>
              <w:widowControl/>
              <w:jc w:val="center"/>
              <w:rPr>
                <w:rFonts w:ascii="宋体" w:cs="宋体"/>
                <w:sz w:val="22"/>
                <w:szCs w:val="22"/>
                <w:highlight w:val="none"/>
              </w:rPr>
            </w:pPr>
          </w:p>
        </w:tc>
      </w:tr>
      <w:tr w14:paraId="4BC0002C">
        <w:tblPrEx>
          <w:tblCellMar>
            <w:top w:w="0" w:type="dxa"/>
            <w:left w:w="108" w:type="dxa"/>
            <w:bottom w:w="0" w:type="dxa"/>
            <w:right w:w="108" w:type="dxa"/>
          </w:tblCellMar>
        </w:tblPrEx>
        <w:trPr>
          <w:trHeight w:val="390" w:hRule="atLeast"/>
        </w:trPr>
        <w:tc>
          <w:tcPr>
            <w:tcW w:w="2671" w:type="dxa"/>
            <w:gridSpan w:val="2"/>
            <w:tcBorders>
              <w:top w:val="single" w:color="auto" w:sz="4" w:space="0"/>
              <w:left w:val="single" w:color="auto" w:sz="4" w:space="0"/>
              <w:bottom w:val="single" w:color="auto" w:sz="4" w:space="0"/>
              <w:right w:val="single" w:color="auto" w:sz="4" w:space="0"/>
            </w:tcBorders>
            <w:vAlign w:val="center"/>
          </w:tcPr>
          <w:p w14:paraId="20E10FFF">
            <w:pPr>
              <w:widowControl/>
              <w:jc w:val="center"/>
              <w:textAlignment w:val="center"/>
              <w:rPr>
                <w:rFonts w:ascii="宋体" w:cs="宋体"/>
                <w:sz w:val="22"/>
                <w:szCs w:val="22"/>
                <w:highlight w:val="none"/>
              </w:rPr>
            </w:pPr>
            <w:r>
              <w:rPr>
                <w:rFonts w:hint="eastAsia" w:ascii="宋体" w:cs="宋体"/>
                <w:color w:val="auto"/>
                <w:sz w:val="22"/>
                <w:szCs w:val="22"/>
                <w:highlight w:val="none"/>
              </w:rPr>
              <w:t>总金额（合计）</w:t>
            </w:r>
          </w:p>
        </w:tc>
        <w:tc>
          <w:tcPr>
            <w:tcW w:w="7065" w:type="dxa"/>
            <w:gridSpan w:val="5"/>
            <w:tcBorders>
              <w:top w:val="single" w:color="auto" w:sz="4" w:space="0"/>
              <w:left w:val="single" w:color="auto" w:sz="4" w:space="0"/>
              <w:bottom w:val="single" w:color="auto" w:sz="4" w:space="0"/>
              <w:right w:val="single" w:color="auto" w:sz="4" w:space="0"/>
            </w:tcBorders>
            <w:vAlign w:val="center"/>
          </w:tcPr>
          <w:p w14:paraId="02EC2725">
            <w:pPr>
              <w:widowControl/>
              <w:jc w:val="center"/>
              <w:rPr>
                <w:rFonts w:ascii="宋体" w:cs="宋体"/>
                <w:sz w:val="22"/>
                <w:szCs w:val="22"/>
                <w:highlight w:val="none"/>
              </w:rPr>
            </w:pPr>
            <w:r>
              <w:rPr>
                <w:rFonts w:hint="eastAsia" w:ascii="宋体" w:cs="宋体"/>
                <w:color w:val="auto"/>
                <w:sz w:val="22"/>
                <w:szCs w:val="22"/>
                <w:highlight w:val="none"/>
                <w:u w:val="single"/>
              </w:rPr>
              <w:t xml:space="preserve">                                                    元</w:t>
            </w:r>
          </w:p>
        </w:tc>
      </w:tr>
    </w:tbl>
    <w:p w14:paraId="39B4CB1B">
      <w:pPr>
        <w:spacing w:line="380" w:lineRule="exact"/>
        <w:rPr>
          <w:rFonts w:ascii="宋体" w:hAnsi="宋体" w:cs="仿宋"/>
          <w:sz w:val="22"/>
          <w:szCs w:val="22"/>
          <w:highlight w:val="none"/>
        </w:rPr>
      </w:pPr>
    </w:p>
    <w:p w14:paraId="6C0BA823">
      <w:pPr>
        <w:spacing w:line="380" w:lineRule="exact"/>
        <w:jc w:val="both"/>
        <w:rPr>
          <w:rFonts w:hint="eastAsia" w:ascii="宋体" w:hAnsi="宋体" w:eastAsia="宋体" w:cs="仿宋"/>
          <w:color w:val="auto"/>
          <w:sz w:val="22"/>
          <w:szCs w:val="22"/>
          <w:highlight w:val="none"/>
        </w:rPr>
      </w:pPr>
      <w:r>
        <w:rPr>
          <w:rFonts w:hint="eastAsia" w:ascii="宋体" w:hAnsi="宋体" w:eastAsia="宋体" w:cs="仿宋"/>
          <w:color w:val="auto"/>
          <w:sz w:val="22"/>
          <w:szCs w:val="22"/>
          <w:highlight w:val="none"/>
        </w:rPr>
        <w:t>注：</w:t>
      </w:r>
      <w:r>
        <w:rPr>
          <w:rFonts w:hint="eastAsia" w:ascii="宋体" w:hAnsi="宋体" w:eastAsia="宋体" w:cs="仿宋"/>
          <w:color w:val="auto"/>
          <w:sz w:val="22"/>
          <w:szCs w:val="22"/>
          <w:highlight w:val="none"/>
          <w:u w:val="single"/>
        </w:rPr>
        <w:t>▲1、投标供应商的投标单价不得高于最高预算单价</w:t>
      </w:r>
      <w:r>
        <w:rPr>
          <w:rFonts w:hint="eastAsia" w:ascii="宋体" w:hAnsi="宋体" w:eastAsia="宋体" w:cs="仿宋"/>
          <w:color w:val="auto"/>
          <w:sz w:val="22"/>
          <w:szCs w:val="22"/>
          <w:highlight w:val="none"/>
          <w:u w:val="single"/>
          <w:lang w:eastAsia="zh-CN"/>
        </w:rPr>
        <w:t>（</w:t>
      </w:r>
      <w:r>
        <w:rPr>
          <w:rFonts w:hint="eastAsia" w:ascii="宋体" w:hAnsi="宋体" w:eastAsia="宋体" w:cs="仿宋"/>
          <w:color w:val="auto"/>
          <w:sz w:val="22"/>
          <w:szCs w:val="22"/>
          <w:highlight w:val="none"/>
          <w:u w:val="single"/>
          <w:lang w:val="en-US" w:eastAsia="zh-CN"/>
        </w:rPr>
        <w:t>最高预算单价见第二部分采购内容及需求</w:t>
      </w:r>
      <w:r>
        <w:rPr>
          <w:rFonts w:hint="eastAsia" w:ascii="宋体" w:hAnsi="宋体" w:eastAsia="宋体" w:cs="仿宋"/>
          <w:color w:val="auto"/>
          <w:sz w:val="22"/>
          <w:szCs w:val="22"/>
          <w:highlight w:val="none"/>
          <w:u w:val="single"/>
          <w:lang w:eastAsia="zh-CN"/>
        </w:rPr>
        <w:t>）</w:t>
      </w:r>
      <w:r>
        <w:rPr>
          <w:rFonts w:hint="eastAsia" w:ascii="宋体" w:hAnsi="宋体" w:eastAsia="宋体" w:cs="仿宋"/>
          <w:color w:val="auto"/>
          <w:sz w:val="22"/>
          <w:szCs w:val="22"/>
          <w:highlight w:val="none"/>
          <w:u w:val="single"/>
        </w:rPr>
        <w:t>，否则作无效标处理。</w:t>
      </w:r>
    </w:p>
    <w:p w14:paraId="118651E1">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2</w:t>
      </w:r>
      <w:r>
        <w:rPr>
          <w:rFonts w:hint="eastAsia" w:ascii="宋体" w:hAnsi="宋体" w:eastAsia="宋体" w:cs="仿宋"/>
          <w:color w:val="auto"/>
          <w:sz w:val="22"/>
          <w:szCs w:val="22"/>
          <w:highlight w:val="none"/>
        </w:rPr>
        <w:t>、</w:t>
      </w:r>
      <w:r>
        <w:rPr>
          <w:rFonts w:hint="eastAsia" w:ascii="宋体" w:cs="宋体"/>
          <w:color w:val="auto"/>
          <w:sz w:val="22"/>
          <w:szCs w:val="22"/>
          <w:highlight w:val="none"/>
          <w:u w:val="single"/>
        </w:rPr>
        <w:t>▲</w:t>
      </w:r>
      <w:r>
        <w:rPr>
          <w:rFonts w:hint="eastAsia" w:ascii="宋体" w:hAnsi="宋体" w:cs="新宋体"/>
          <w:color w:val="auto"/>
          <w:sz w:val="22"/>
          <w:szCs w:val="22"/>
          <w:highlight w:val="none"/>
          <w:u w:val="single"/>
        </w:rPr>
        <w:t>不提供此表的报价，视为没有实质性响应采购文件要求</w:t>
      </w:r>
      <w:r>
        <w:rPr>
          <w:rFonts w:hint="eastAsia" w:ascii="宋体" w:hAnsi="宋体" w:eastAsia="宋体" w:cs="仿宋"/>
          <w:color w:val="auto"/>
          <w:sz w:val="22"/>
          <w:szCs w:val="22"/>
          <w:highlight w:val="none"/>
        </w:rPr>
        <w:t>。</w:t>
      </w:r>
    </w:p>
    <w:p w14:paraId="49009BE3">
      <w:pPr>
        <w:spacing w:line="380" w:lineRule="exact"/>
        <w:jc w:val="both"/>
        <w:rPr>
          <w:rFonts w:hint="eastAsia" w:ascii="宋体" w:hAnsi="宋体" w:eastAsia="宋体" w:cs="仿宋"/>
          <w:color w:val="auto"/>
          <w:sz w:val="22"/>
          <w:szCs w:val="22"/>
          <w:highlight w:val="none"/>
          <w:lang w:val="en-US" w:eastAsia="zh-CN"/>
        </w:rPr>
      </w:pPr>
      <w:r>
        <w:rPr>
          <w:rFonts w:hint="eastAsia" w:ascii="宋体" w:hAnsi="宋体" w:cs="仿宋"/>
          <w:color w:val="auto"/>
          <w:sz w:val="22"/>
          <w:szCs w:val="22"/>
          <w:highlight w:val="none"/>
          <w:lang w:val="en-US" w:eastAsia="zh-CN"/>
        </w:rPr>
        <w:t>3</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合计报价</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预计建筑面积</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投标单价</w:t>
      </w:r>
      <w:r>
        <w:rPr>
          <w:rFonts w:hint="eastAsia" w:ascii="宋体" w:hAnsi="宋体" w:cs="仿宋"/>
          <w:color w:val="auto"/>
          <w:sz w:val="22"/>
          <w:szCs w:val="22"/>
          <w:highlight w:val="none"/>
          <w:lang w:eastAsia="zh-CN"/>
        </w:rPr>
        <w:t>。</w:t>
      </w:r>
    </w:p>
    <w:p w14:paraId="1C5C6B19">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4</w:t>
      </w:r>
      <w:r>
        <w:rPr>
          <w:rFonts w:hint="eastAsia" w:ascii="宋体" w:hAnsi="宋体" w:eastAsia="宋体" w:cs="仿宋"/>
          <w:color w:val="auto"/>
          <w:sz w:val="22"/>
          <w:szCs w:val="22"/>
          <w:highlight w:val="none"/>
        </w:rPr>
        <w:t>、此表的</w:t>
      </w:r>
      <w:r>
        <w:rPr>
          <w:rFonts w:hint="eastAsia" w:ascii="宋体" w:cs="宋体"/>
          <w:color w:val="auto"/>
          <w:sz w:val="22"/>
          <w:szCs w:val="22"/>
          <w:highlight w:val="none"/>
        </w:rPr>
        <w:t>总金额</w:t>
      </w:r>
      <w:r>
        <w:rPr>
          <w:rFonts w:hint="eastAsia" w:ascii="宋体" w:hAnsi="宋体" w:eastAsia="宋体" w:cs="仿宋"/>
          <w:color w:val="auto"/>
          <w:sz w:val="22"/>
          <w:szCs w:val="22"/>
          <w:highlight w:val="none"/>
        </w:rPr>
        <w:t>应与附件二“开标一览表”投标报价总价相一致。</w:t>
      </w:r>
    </w:p>
    <w:p w14:paraId="123FFF03">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5</w:t>
      </w:r>
      <w:r>
        <w:rPr>
          <w:rFonts w:hint="eastAsia" w:ascii="宋体" w:hAnsi="宋体" w:eastAsia="宋体" w:cs="仿宋"/>
          <w:color w:val="auto"/>
          <w:sz w:val="22"/>
          <w:szCs w:val="22"/>
          <w:highlight w:val="none"/>
          <w:lang w:val="en-US" w:eastAsia="zh-CN"/>
        </w:rPr>
        <w:t>、本表可在不改变格式的情况下根据具体需要自行增减，表格可延续。</w:t>
      </w:r>
    </w:p>
    <w:p w14:paraId="6739279B">
      <w:pPr>
        <w:spacing w:line="380" w:lineRule="exact"/>
        <w:rPr>
          <w:rFonts w:ascii="宋体" w:hAnsi="宋体" w:cs="仿宋"/>
          <w:sz w:val="22"/>
          <w:szCs w:val="22"/>
          <w:highlight w:val="none"/>
        </w:rPr>
      </w:pPr>
    </w:p>
    <w:p w14:paraId="49C822A0">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投标人全称（盖章）：</w:t>
      </w:r>
    </w:p>
    <w:p w14:paraId="676B015A">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法定代表人或授权代表（签字或盖章）：</w:t>
      </w:r>
    </w:p>
    <w:p w14:paraId="76663F39">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日 期：  年  月  日</w:t>
      </w:r>
    </w:p>
    <w:p w14:paraId="58AE6CE5">
      <w:pPr>
        <w:rPr>
          <w:rFonts w:hint="eastAsia" w:ascii="宋体" w:hAnsi="宋体" w:cs="新宋体"/>
          <w:b/>
          <w:bCs/>
          <w:sz w:val="28"/>
          <w:szCs w:val="28"/>
          <w:highlight w:val="none"/>
          <w:lang w:eastAsia="zh-CN"/>
        </w:rPr>
      </w:pPr>
      <w:r>
        <w:rPr>
          <w:rFonts w:hint="eastAsia" w:ascii="宋体" w:hAnsi="宋体" w:cs="新宋体"/>
          <w:b/>
          <w:bCs/>
          <w:sz w:val="28"/>
          <w:szCs w:val="28"/>
          <w:highlight w:val="none"/>
          <w:lang w:eastAsia="zh-CN"/>
        </w:rPr>
        <w:br w:type="page"/>
      </w:r>
    </w:p>
    <w:p w14:paraId="58F888AB">
      <w:pPr>
        <w:spacing w:line="460" w:lineRule="exact"/>
        <w:rPr>
          <w:rFonts w:ascii="宋体" w:hAnsi="宋体"/>
          <w:b/>
          <w:bCs/>
          <w:sz w:val="22"/>
          <w:szCs w:val="22"/>
          <w:highlight w:val="none"/>
        </w:rPr>
      </w:pPr>
      <w:r>
        <w:rPr>
          <w:rFonts w:hint="eastAsia" w:ascii="宋体" w:hAnsi="宋体"/>
          <w:b/>
          <w:bCs/>
          <w:sz w:val="22"/>
          <w:szCs w:val="22"/>
          <w:highlight w:val="none"/>
        </w:rPr>
        <w:t>附件三</w:t>
      </w:r>
    </w:p>
    <w:p w14:paraId="14812B52">
      <w:pPr>
        <w:spacing w:line="460" w:lineRule="exact"/>
        <w:rPr>
          <w:rFonts w:ascii="宋体" w:hAnsi="宋体"/>
          <w:b/>
          <w:bCs/>
          <w:highlight w:val="none"/>
        </w:rPr>
      </w:pPr>
    </w:p>
    <w:p w14:paraId="0CDDD9CA">
      <w:pPr>
        <w:spacing w:line="460" w:lineRule="exact"/>
        <w:jc w:val="center"/>
        <w:rPr>
          <w:rFonts w:ascii="宋体" w:hAnsi="宋体"/>
          <w:b/>
          <w:bCs/>
          <w:sz w:val="28"/>
          <w:szCs w:val="28"/>
          <w:highlight w:val="none"/>
        </w:rPr>
      </w:pPr>
      <w:r>
        <w:rPr>
          <w:rFonts w:hint="eastAsia" w:ascii="宋体" w:hAnsi="宋体"/>
          <w:b/>
          <w:bCs/>
          <w:sz w:val="28"/>
          <w:szCs w:val="28"/>
          <w:highlight w:val="none"/>
        </w:rPr>
        <w:t>投 标 函</w:t>
      </w:r>
    </w:p>
    <w:p w14:paraId="4865C1EF">
      <w:pPr>
        <w:spacing w:line="420" w:lineRule="exact"/>
        <w:rPr>
          <w:rFonts w:ascii="宋体" w:hAnsi="宋体"/>
          <w:sz w:val="22"/>
          <w:szCs w:val="22"/>
          <w:highlight w:val="none"/>
        </w:rPr>
      </w:pPr>
      <w:r>
        <w:rPr>
          <w:rFonts w:hint="eastAsia" w:ascii="宋体" w:hAnsi="宋体"/>
          <w:bCs/>
          <w:sz w:val="22"/>
          <w:szCs w:val="22"/>
          <w:highlight w:val="none"/>
          <w:lang w:eastAsia="zh-CN"/>
        </w:rPr>
        <w:t>温州市龙湾区人民政府海滨街道办事处</w:t>
      </w:r>
      <w:r>
        <w:rPr>
          <w:rFonts w:hint="eastAsia" w:ascii="宋体" w:hAnsi="宋体"/>
          <w:sz w:val="22"/>
          <w:szCs w:val="22"/>
          <w:highlight w:val="none"/>
        </w:rPr>
        <w:t>：</w:t>
      </w:r>
    </w:p>
    <w:p w14:paraId="0EE3155B">
      <w:pPr>
        <w:spacing w:line="420" w:lineRule="exact"/>
        <w:rPr>
          <w:rFonts w:ascii="宋体" w:hAnsi="宋体"/>
          <w:sz w:val="22"/>
          <w:szCs w:val="22"/>
          <w:highlight w:val="none"/>
        </w:rPr>
      </w:pPr>
      <w:r>
        <w:rPr>
          <w:rFonts w:hint="eastAsia" w:ascii="宋体" w:hAnsi="宋体"/>
          <w:sz w:val="22"/>
          <w:szCs w:val="22"/>
          <w:highlight w:val="none"/>
        </w:rPr>
        <w:t>温州市滨海招标代理有限公司：</w:t>
      </w:r>
    </w:p>
    <w:p w14:paraId="5AEDB1BC">
      <w:pPr>
        <w:spacing w:line="420" w:lineRule="exact"/>
        <w:ind w:firstLine="440" w:firstLineChars="200"/>
        <w:rPr>
          <w:rFonts w:ascii="宋体" w:hAnsi="宋体"/>
          <w:sz w:val="22"/>
          <w:szCs w:val="22"/>
          <w:highlight w:val="none"/>
        </w:rPr>
      </w:pPr>
      <w:r>
        <w:rPr>
          <w:rFonts w:hint="eastAsia" w:ascii="宋体" w:hAnsi="宋体"/>
          <w:sz w:val="22"/>
          <w:szCs w:val="22"/>
          <w:highlight w:val="none"/>
        </w:rPr>
        <w:t>根据贵方为</w:t>
      </w: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sz w:val="22"/>
          <w:szCs w:val="22"/>
          <w:highlight w:val="none"/>
        </w:rPr>
        <w:t>（招标编号：</w:t>
      </w:r>
      <w:r>
        <w:rPr>
          <w:rFonts w:hint="eastAsia" w:ascii="宋体" w:hAnsi="宋体" w:eastAsia="宋体" w:cs="宋体"/>
          <w:spacing w:val="6"/>
          <w:sz w:val="22"/>
          <w:szCs w:val="22"/>
          <w:highlight w:val="none"/>
          <w:u w:val="single"/>
          <w:lang w:eastAsia="zh-CN"/>
        </w:rPr>
        <w:t>WZBH-2025012401</w:t>
      </w:r>
      <w:r>
        <w:rPr>
          <w:rFonts w:hint="eastAsia" w:ascii="宋体" w:hAnsi="宋体"/>
          <w:sz w:val="22"/>
          <w:szCs w:val="22"/>
          <w:highlight w:val="none"/>
        </w:rPr>
        <w:t>）的投标邀请，我方</w:t>
      </w:r>
      <w:r>
        <w:rPr>
          <w:rFonts w:hint="eastAsia" w:ascii="宋体" w:hAnsi="宋体"/>
          <w:sz w:val="22"/>
          <w:szCs w:val="22"/>
          <w:highlight w:val="none"/>
          <w:u w:val="single"/>
        </w:rPr>
        <w:t xml:space="preserve">           　　</w:t>
      </w:r>
      <w:r>
        <w:rPr>
          <w:rFonts w:hint="eastAsia" w:ascii="宋体" w:hAnsi="宋体"/>
          <w:sz w:val="22"/>
          <w:szCs w:val="22"/>
          <w:highlight w:val="none"/>
        </w:rPr>
        <w:t>（投标人名称）作为投标人正式授权</w:t>
      </w:r>
      <w:r>
        <w:rPr>
          <w:rFonts w:hint="eastAsia" w:ascii="宋体" w:hAnsi="宋体"/>
          <w:sz w:val="22"/>
          <w:szCs w:val="22"/>
          <w:highlight w:val="none"/>
          <w:u w:val="single"/>
        </w:rPr>
        <w:t xml:space="preserve">　           </w:t>
      </w:r>
      <w:r>
        <w:rPr>
          <w:rFonts w:hint="eastAsia" w:ascii="宋体" w:hAnsi="宋体"/>
          <w:sz w:val="22"/>
          <w:szCs w:val="22"/>
          <w:highlight w:val="none"/>
        </w:rPr>
        <w:t>（授权代表全名，职务）代表我方处理有关本投标的一切事宜。</w:t>
      </w:r>
    </w:p>
    <w:p w14:paraId="7975F15F">
      <w:pPr>
        <w:pStyle w:val="17"/>
        <w:spacing w:line="360" w:lineRule="exact"/>
        <w:ind w:firstLine="440" w:firstLineChars="200"/>
        <w:rPr>
          <w:rFonts w:ascii="宋体" w:hAnsi="宋体" w:cs="hakuyoxingshu7000"/>
          <w:sz w:val="22"/>
          <w:highlight w:val="none"/>
        </w:rPr>
      </w:pPr>
      <w:r>
        <w:rPr>
          <w:rFonts w:hint="eastAsia" w:ascii="宋体" w:hAnsi="宋体" w:cs="hakuyoxingshu7000"/>
          <w:sz w:val="22"/>
          <w:szCs w:val="22"/>
          <w:highlight w:val="none"/>
        </w:rPr>
        <w:t>在此提交的投标文件中，包括如下内</w:t>
      </w:r>
      <w:r>
        <w:rPr>
          <w:rFonts w:hint="eastAsia" w:ascii="宋体" w:hAnsi="宋体" w:cs="hakuyoxingshu7000"/>
          <w:sz w:val="22"/>
          <w:highlight w:val="none"/>
        </w:rPr>
        <w:t>容：</w:t>
      </w:r>
    </w:p>
    <w:p w14:paraId="248FDC32">
      <w:pPr>
        <w:spacing w:line="360" w:lineRule="exact"/>
        <w:ind w:firstLine="440" w:firstLineChars="200"/>
        <w:rPr>
          <w:rFonts w:ascii="宋体" w:hAnsi="宋体" w:cs="hakuyoxingshu7000"/>
          <w:sz w:val="22"/>
          <w:highlight w:val="none"/>
        </w:rPr>
      </w:pPr>
      <w:r>
        <w:rPr>
          <w:rFonts w:hint="eastAsia" w:ascii="宋体" w:hAnsi="宋体" w:cs="hakuyoxingshu7000"/>
          <w:sz w:val="22"/>
          <w:highlight w:val="none"/>
        </w:rPr>
        <w:t>1、</w:t>
      </w:r>
      <w:r>
        <w:rPr>
          <w:rFonts w:hint="eastAsia" w:ascii="宋体" w:hAnsi="宋体" w:cs="新宋体"/>
          <w:sz w:val="22"/>
          <w:highlight w:val="none"/>
        </w:rPr>
        <w:t>按“投标人须知”要求编制的投标文件资格文件；</w:t>
      </w:r>
    </w:p>
    <w:p w14:paraId="12D5901D">
      <w:pPr>
        <w:spacing w:line="360" w:lineRule="exact"/>
        <w:ind w:firstLine="440" w:firstLineChars="200"/>
        <w:rPr>
          <w:rFonts w:ascii="宋体" w:hAnsi="宋体" w:cs="hakuyoxingshu7000"/>
          <w:sz w:val="22"/>
          <w:highlight w:val="none"/>
        </w:rPr>
      </w:pPr>
      <w:r>
        <w:rPr>
          <w:rFonts w:hint="eastAsia" w:ascii="宋体" w:hAnsi="宋体" w:cs="hakuyoxingshu7000"/>
          <w:sz w:val="22"/>
          <w:highlight w:val="none"/>
        </w:rPr>
        <w:t>2、按“投标人须知”要求编制的投标文件商务技术文件；</w:t>
      </w:r>
    </w:p>
    <w:p w14:paraId="702E69BB">
      <w:pPr>
        <w:spacing w:line="360" w:lineRule="exact"/>
        <w:ind w:firstLine="440" w:firstLineChars="200"/>
        <w:rPr>
          <w:rFonts w:ascii="宋体" w:hAnsi="宋体" w:cs="hakuyoxingshu7000"/>
          <w:sz w:val="22"/>
          <w:highlight w:val="none"/>
        </w:rPr>
      </w:pPr>
      <w:r>
        <w:rPr>
          <w:rFonts w:hint="eastAsia" w:ascii="宋体" w:hAnsi="宋体" w:cs="hakuyoxingshu7000"/>
          <w:sz w:val="22"/>
          <w:highlight w:val="none"/>
        </w:rPr>
        <w:t>3、按“投标人须知”要求编制的投标文件报价文件；</w:t>
      </w:r>
    </w:p>
    <w:p w14:paraId="5B471563">
      <w:pPr>
        <w:spacing w:line="360" w:lineRule="exact"/>
        <w:ind w:firstLine="440" w:firstLineChars="200"/>
        <w:rPr>
          <w:rFonts w:ascii="宋体" w:hAnsi="宋体" w:cs="hakuyoxingshu7000"/>
          <w:sz w:val="22"/>
          <w:highlight w:val="none"/>
        </w:rPr>
      </w:pPr>
      <w:r>
        <w:rPr>
          <w:rFonts w:hint="eastAsia" w:ascii="宋体" w:hAnsi="宋体" w:cs="hakuyoxingshu7000"/>
          <w:sz w:val="22"/>
          <w:highlight w:val="none"/>
        </w:rPr>
        <w:t>我方己完全明白招标文件的所有条款要求，并重申以下几点：</w:t>
      </w:r>
    </w:p>
    <w:p w14:paraId="22D192D5">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(一)</w:t>
      </w:r>
      <w:r>
        <w:rPr>
          <w:rFonts w:hint="eastAsia" w:ascii="宋体" w:hAnsi="宋体" w:cs="hakuyoxingshu7000"/>
          <w:sz w:val="22"/>
          <w:highlight w:val="none"/>
        </w:rPr>
        <w:t>本投标文件的有效期自投标截止日起  90 天内有效，如中标，有效期将延至合同终止日为止；</w:t>
      </w:r>
    </w:p>
    <w:p w14:paraId="45526673">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(二)</w:t>
      </w:r>
      <w:r>
        <w:rPr>
          <w:rFonts w:hint="eastAsia" w:ascii="宋体" w:hAnsi="宋体" w:cs="hakuyoxingshu7000"/>
          <w:sz w:val="22"/>
          <w:highlight w:val="none"/>
        </w:rPr>
        <w:t>我方已详细研究了招标文件的所有内容包括修改书（如有）和所有已提供的参考资料以及有关附件，我方完全理解并同意放弃在此方面提出含糊意见或误解的一切权力；</w:t>
      </w:r>
    </w:p>
    <w:p w14:paraId="08EFF674">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(三)</w:t>
      </w:r>
      <w:r>
        <w:rPr>
          <w:rFonts w:hint="eastAsia" w:ascii="宋体" w:hAnsi="宋体" w:cs="hakuyoxingshu7000"/>
          <w:sz w:val="22"/>
          <w:highlight w:val="none"/>
        </w:rPr>
        <w:t>我方郑重承诺所提供的“信用中国网站”、“中国政府采购网”信用查询证明文件真实有效；</w:t>
      </w:r>
    </w:p>
    <w:p w14:paraId="69B4C73A">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(四)</w:t>
      </w:r>
      <w:r>
        <w:rPr>
          <w:rFonts w:hint="eastAsia" w:ascii="宋体" w:hAnsi="宋体" w:cs="hakuyoxingshu7000"/>
          <w:sz w:val="22"/>
          <w:highlight w:val="none"/>
        </w:rPr>
        <w:t>我方在参加本项目前三年内</w:t>
      </w:r>
      <w:r>
        <w:rPr>
          <w:rFonts w:hint="eastAsia" w:ascii="宋体" w:hAnsi="宋体" w:cs="hakuyoxingshu7000"/>
          <w:sz w:val="22"/>
          <w:highlight w:val="none"/>
          <w:u w:val="single"/>
        </w:rPr>
        <w:t>（被通报或者处罚的违法行为有：               ）</w:t>
      </w:r>
      <w:r>
        <w:rPr>
          <w:rFonts w:hint="eastAsia" w:ascii="宋体" w:hAnsi="宋体" w:cs="hakuyoxingshu7000"/>
          <w:sz w:val="22"/>
          <w:highlight w:val="none"/>
        </w:rPr>
        <w:t>或（</w:t>
      </w:r>
      <w:r>
        <w:rPr>
          <w:rFonts w:hint="eastAsia" w:ascii="宋体" w:hAnsi="宋体" w:cs="hakuyoxingshu7000"/>
          <w:sz w:val="22"/>
          <w:highlight w:val="none"/>
          <w:u w:val="single"/>
        </w:rPr>
        <w:t>没有因违法经营受到刑事处罚或者责令停产停业、吊销许可证或者执照、较大数额罚款等行政处罚或处罚）</w:t>
      </w:r>
      <w:r>
        <w:rPr>
          <w:rFonts w:hint="eastAsia" w:ascii="宋体" w:hAnsi="宋体" w:cs="hakuyoxingshu7000"/>
          <w:sz w:val="22"/>
          <w:highlight w:val="none"/>
        </w:rPr>
        <w:t>或</w:t>
      </w:r>
      <w:r>
        <w:rPr>
          <w:rFonts w:hint="eastAsia" w:ascii="宋体" w:hAnsi="宋体" w:cs="hakuyoxingshu7000"/>
          <w:sz w:val="22"/>
          <w:highlight w:val="none"/>
          <w:u w:val="single"/>
        </w:rPr>
        <w:t xml:space="preserve">（在 </w:t>
      </w:r>
      <w:r>
        <w:rPr>
          <w:rFonts w:hint="eastAsia" w:ascii="宋体" w:hAnsi="宋体" w:cs="hakuyoxingshu7000"/>
          <w:sz w:val="22"/>
          <w:highlight w:val="none"/>
          <w:u w:val="single"/>
          <w:lang w:val="en-US" w:eastAsia="zh-CN"/>
        </w:rPr>
        <w:t xml:space="preserve">   </w:t>
      </w:r>
      <w:r>
        <w:rPr>
          <w:rFonts w:hint="eastAsia" w:ascii="宋体" w:hAnsi="宋体" w:cs="hakuyoxingshu7000"/>
          <w:sz w:val="22"/>
          <w:highlight w:val="none"/>
          <w:u w:val="single"/>
        </w:rPr>
        <w:t xml:space="preserve"> 至 </w:t>
      </w:r>
      <w:r>
        <w:rPr>
          <w:rFonts w:hint="eastAsia" w:ascii="宋体" w:hAnsi="宋体" w:cs="hakuyoxingshu7000"/>
          <w:sz w:val="22"/>
          <w:highlight w:val="none"/>
          <w:u w:val="single"/>
          <w:lang w:val="en-US" w:eastAsia="zh-CN"/>
        </w:rPr>
        <w:t xml:space="preserve">  </w:t>
      </w:r>
      <w:r>
        <w:rPr>
          <w:rFonts w:hint="eastAsia" w:ascii="宋体" w:hAnsi="宋体" w:cs="hakuyoxingshu7000"/>
          <w:sz w:val="22"/>
          <w:highlight w:val="none"/>
          <w:u w:val="single"/>
        </w:rPr>
        <w:t xml:space="preserve"> 期间禁止参加政府采购活动但是期限届满，须附相关证明文件）</w:t>
      </w:r>
      <w:r>
        <w:rPr>
          <w:rFonts w:hint="eastAsia" w:ascii="宋体" w:hAnsi="宋体" w:cs="hakuyoxingshu7000"/>
          <w:sz w:val="22"/>
          <w:highlight w:val="none"/>
        </w:rPr>
        <w:t>；</w:t>
      </w:r>
    </w:p>
    <w:p w14:paraId="26ED2B11">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(五)</w:t>
      </w:r>
      <w:r>
        <w:rPr>
          <w:rFonts w:hint="eastAsia" w:ascii="宋体" w:hAnsi="宋体" w:cs="hakuyoxingshu7000"/>
          <w:sz w:val="22"/>
          <w:highlight w:val="none"/>
        </w:rPr>
        <w:t>我方同意提供按照贵方可能要求的与投标有关的一切数据或资料；</w:t>
      </w:r>
    </w:p>
    <w:p w14:paraId="30FDFEB1">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(六)</w:t>
      </w:r>
      <w:r>
        <w:rPr>
          <w:rFonts w:hint="eastAsia" w:ascii="宋体" w:hAnsi="宋体" w:cs="hakuyoxingshu7000"/>
          <w:sz w:val="22"/>
          <w:highlight w:val="none"/>
        </w:rPr>
        <w:t>我方理解贵方不一定接受最低报价。</w:t>
      </w:r>
      <w:r>
        <w:rPr>
          <w:rFonts w:ascii="宋体" w:hAnsi="宋体" w:cs="hakuyoxingshu7000"/>
          <w:sz w:val="22"/>
          <w:highlight w:val="none"/>
        </w:rPr>
        <w:tab/>
      </w:r>
    </w:p>
    <w:p w14:paraId="35735A6E">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(七)</w:t>
      </w:r>
      <w:r>
        <w:rPr>
          <w:rFonts w:hint="eastAsia" w:ascii="宋体" w:hAnsi="宋体" w:cs="hakuyoxingshu7000"/>
          <w:sz w:val="22"/>
          <w:highlight w:val="none"/>
        </w:rPr>
        <w:t>我方如果中标，将保证履行招标文件以及招标文件修改书（如有）中的全部责任和义务，按质、按量、按期完成《合同书》中的全部任务。</w:t>
      </w:r>
    </w:p>
    <w:p w14:paraId="476F99D7">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(八)</w:t>
      </w:r>
      <w:r>
        <w:rPr>
          <w:rFonts w:hint="eastAsia" w:ascii="宋体" w:hAnsi="宋体" w:cs="hakuyoxingshu7000"/>
          <w:sz w:val="22"/>
          <w:highlight w:val="none"/>
        </w:rPr>
        <w:t>所有与本投标有关的函件请发往下列地址：</w:t>
      </w:r>
    </w:p>
    <w:p w14:paraId="12B7BC69">
      <w:pPr>
        <w:spacing w:line="360" w:lineRule="exact"/>
        <w:ind w:firstLine="435"/>
        <w:rPr>
          <w:rFonts w:ascii="宋体" w:hAnsi="宋体" w:cs="hakuyoxingshu7000"/>
          <w:sz w:val="22"/>
          <w:szCs w:val="22"/>
          <w:highlight w:val="none"/>
        </w:rPr>
      </w:pPr>
      <w:r>
        <w:rPr>
          <w:rFonts w:hint="eastAsia" w:ascii="宋体" w:hAnsi="宋体" w:cs="hakuyoxingshu7000"/>
          <w:sz w:val="22"/>
          <w:szCs w:val="22"/>
          <w:highlight w:val="none"/>
        </w:rPr>
        <w:t xml:space="preserve">   地址</w:t>
      </w:r>
    </w:p>
    <w:p w14:paraId="2ACF1731">
      <w:pPr>
        <w:spacing w:line="360" w:lineRule="exact"/>
        <w:ind w:firstLine="435"/>
        <w:rPr>
          <w:rFonts w:ascii="宋体" w:hAnsi="宋体" w:cs="hakuyoxingshu7000"/>
          <w:sz w:val="22"/>
          <w:szCs w:val="22"/>
          <w:highlight w:val="none"/>
        </w:rPr>
      </w:pPr>
      <w:r>
        <w:rPr>
          <w:rFonts w:hint="eastAsia" w:ascii="宋体" w:hAnsi="宋体" w:cs="hakuyoxingshu7000"/>
          <w:sz w:val="22"/>
          <w:szCs w:val="22"/>
          <w:highlight w:val="none"/>
        </w:rPr>
        <w:t xml:space="preserve">   电话</w:t>
      </w:r>
    </w:p>
    <w:p w14:paraId="3FF9324C">
      <w:pPr>
        <w:spacing w:line="360" w:lineRule="exact"/>
        <w:ind w:firstLine="435"/>
        <w:rPr>
          <w:rFonts w:ascii="宋体" w:hAnsi="宋体" w:cs="hakuyoxingshu7000"/>
          <w:sz w:val="22"/>
          <w:szCs w:val="22"/>
          <w:highlight w:val="none"/>
          <w:u w:val="single"/>
        </w:rPr>
      </w:pPr>
      <w:r>
        <w:rPr>
          <w:rFonts w:hint="eastAsia" w:ascii="宋体" w:hAnsi="宋体" w:cs="hakuyoxingshu7000"/>
          <w:sz w:val="22"/>
          <w:szCs w:val="22"/>
          <w:highlight w:val="none"/>
        </w:rPr>
        <w:t xml:space="preserve">   传真</w:t>
      </w:r>
    </w:p>
    <w:p w14:paraId="32CDFE46">
      <w:pPr>
        <w:spacing w:line="360" w:lineRule="exact"/>
        <w:ind w:firstLine="770" w:firstLineChars="350"/>
        <w:rPr>
          <w:rFonts w:ascii="宋体" w:hAnsi="宋体" w:cs="hakuyoxingshu7000"/>
          <w:sz w:val="22"/>
          <w:szCs w:val="22"/>
          <w:highlight w:val="none"/>
          <w:u w:val="single"/>
        </w:rPr>
      </w:pPr>
      <w:r>
        <w:rPr>
          <w:rFonts w:hint="eastAsia" w:ascii="宋体" w:hAnsi="宋体" w:cs="hakuyoxingshu7000"/>
          <w:sz w:val="22"/>
          <w:szCs w:val="22"/>
          <w:highlight w:val="none"/>
        </w:rPr>
        <w:t>电子邮件</w:t>
      </w:r>
    </w:p>
    <w:p w14:paraId="6E2570A3">
      <w:pPr>
        <w:spacing w:line="420" w:lineRule="exact"/>
        <w:ind w:firstLine="435"/>
        <w:rPr>
          <w:rFonts w:ascii="宋体" w:hAnsi="宋体"/>
          <w:sz w:val="22"/>
          <w:szCs w:val="22"/>
          <w:highlight w:val="none"/>
        </w:rPr>
      </w:pPr>
    </w:p>
    <w:p w14:paraId="3D70B463">
      <w:pPr>
        <w:spacing w:line="420" w:lineRule="exact"/>
        <w:ind w:firstLine="435"/>
        <w:rPr>
          <w:rFonts w:ascii="宋体" w:hAnsi="宋体"/>
          <w:sz w:val="22"/>
          <w:szCs w:val="22"/>
          <w:highlight w:val="none"/>
        </w:rPr>
      </w:pPr>
      <w:r>
        <w:rPr>
          <w:rFonts w:hint="eastAsia" w:ascii="宋体" w:hAnsi="宋体"/>
          <w:sz w:val="22"/>
          <w:szCs w:val="22"/>
          <w:highlight w:val="none"/>
        </w:rPr>
        <w:t xml:space="preserve">                                   投标人名称（盖章）</w:t>
      </w:r>
    </w:p>
    <w:p w14:paraId="6EE169AB">
      <w:pPr>
        <w:spacing w:line="420" w:lineRule="exact"/>
        <w:ind w:firstLine="435"/>
        <w:rPr>
          <w:rFonts w:ascii="宋体" w:hAnsi="宋体"/>
          <w:sz w:val="22"/>
          <w:szCs w:val="22"/>
          <w:highlight w:val="none"/>
        </w:rPr>
      </w:pPr>
      <w:r>
        <w:rPr>
          <w:rFonts w:hint="eastAsia" w:ascii="宋体" w:hAnsi="宋体"/>
          <w:sz w:val="22"/>
          <w:szCs w:val="22"/>
          <w:highlight w:val="none"/>
        </w:rPr>
        <w:t xml:space="preserve">                                   投标人代表（签字或盖章）</w:t>
      </w:r>
    </w:p>
    <w:p w14:paraId="3B571131">
      <w:pPr>
        <w:spacing w:line="460" w:lineRule="exact"/>
        <w:ind w:firstLine="435"/>
        <w:rPr>
          <w:rFonts w:ascii="宋体" w:hAnsi="宋体"/>
          <w:sz w:val="22"/>
          <w:szCs w:val="22"/>
          <w:highlight w:val="none"/>
          <w:u w:val="single"/>
        </w:rPr>
        <w:sectPr>
          <w:footerReference r:id="rId8" w:type="first"/>
          <w:headerReference r:id="rId5" w:type="default"/>
          <w:footerReference r:id="rId6" w:type="default"/>
          <w:footerReference r:id="rId7" w:type="even"/>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sz w:val="22"/>
          <w:szCs w:val="22"/>
          <w:highlight w:val="none"/>
        </w:rPr>
        <w:t xml:space="preserve">                                   日    期</w:t>
      </w:r>
    </w:p>
    <w:p w14:paraId="657EED2D">
      <w:pPr>
        <w:spacing w:line="460" w:lineRule="exact"/>
        <w:rPr>
          <w:rFonts w:ascii="宋体" w:hAnsi="宋体"/>
          <w:highlight w:val="none"/>
        </w:rPr>
      </w:pPr>
      <w:r>
        <w:rPr>
          <w:rFonts w:hint="eastAsia" w:ascii="宋体" w:hAnsi="宋体"/>
          <w:b/>
          <w:bCs/>
          <w:sz w:val="22"/>
          <w:szCs w:val="22"/>
          <w:highlight w:val="none"/>
        </w:rPr>
        <w:t>附件四</w:t>
      </w:r>
    </w:p>
    <w:p w14:paraId="38A90F37">
      <w:pPr>
        <w:spacing w:line="460" w:lineRule="exact"/>
        <w:rPr>
          <w:rFonts w:ascii="宋体" w:hAnsi="宋体"/>
          <w:b/>
          <w:sz w:val="22"/>
          <w:szCs w:val="22"/>
          <w:highlight w:val="none"/>
        </w:rPr>
      </w:pPr>
    </w:p>
    <w:p w14:paraId="5E9601A4">
      <w:pPr>
        <w:spacing w:line="460" w:lineRule="exact"/>
        <w:ind w:firstLine="437"/>
        <w:jc w:val="center"/>
        <w:rPr>
          <w:rFonts w:ascii="宋体" w:hAnsi="宋体"/>
          <w:b/>
          <w:bCs/>
          <w:sz w:val="28"/>
          <w:szCs w:val="28"/>
          <w:highlight w:val="none"/>
        </w:rPr>
      </w:pPr>
      <w:r>
        <w:rPr>
          <w:rFonts w:hint="eastAsia" w:ascii="宋体" w:hAnsi="宋体"/>
          <w:b/>
          <w:bCs/>
          <w:sz w:val="28"/>
          <w:szCs w:val="28"/>
          <w:highlight w:val="none"/>
        </w:rPr>
        <w:t>技术规格、商务条款偏离表</w:t>
      </w:r>
    </w:p>
    <w:p w14:paraId="42626D6B">
      <w:pPr>
        <w:spacing w:line="380" w:lineRule="exact"/>
        <w:jc w:val="left"/>
        <w:rPr>
          <w:rFonts w:ascii="宋体" w:hAnsi="宋体"/>
          <w:b/>
          <w:bCs/>
          <w:sz w:val="22"/>
          <w:szCs w:val="22"/>
          <w:highlight w:val="none"/>
        </w:rPr>
      </w:pPr>
      <w:r>
        <w:rPr>
          <w:rFonts w:hint="eastAsia" w:ascii="宋体" w:hAnsi="宋体"/>
          <w:b/>
          <w:bCs/>
          <w:sz w:val="22"/>
          <w:szCs w:val="22"/>
          <w:highlight w:val="none"/>
          <w:lang w:val="en-US" w:eastAsia="zh-CN"/>
        </w:rPr>
        <w:t>项目</w:t>
      </w:r>
      <w:r>
        <w:rPr>
          <w:rFonts w:hint="eastAsia" w:ascii="宋体" w:hAnsi="宋体"/>
          <w:b/>
          <w:bCs/>
          <w:sz w:val="22"/>
          <w:szCs w:val="22"/>
          <w:highlight w:val="none"/>
        </w:rPr>
        <w:t>名称：</w:t>
      </w:r>
      <w:r>
        <w:rPr>
          <w:rFonts w:hint="eastAsia" w:hAnsi="宋体"/>
          <w:spacing w:val="6"/>
          <w:sz w:val="22"/>
          <w:szCs w:val="22"/>
          <w:highlight w:val="none"/>
          <w:u w:val="single"/>
          <w:lang w:eastAsia="zh-CN"/>
        </w:rPr>
        <w:t>温州至福州高速铁路（龙湾段）工程海滨街道北片区房屋征收事务代理项目</w:t>
      </w:r>
      <w:r>
        <w:rPr>
          <w:rFonts w:hint="eastAsia" w:ascii="宋体" w:hAnsi="宋体"/>
          <w:b/>
          <w:bCs/>
          <w:sz w:val="22"/>
          <w:szCs w:val="22"/>
          <w:highlight w:val="none"/>
        </w:rPr>
        <w:t xml:space="preserve">                                          招标编号：</w:t>
      </w:r>
      <w:r>
        <w:rPr>
          <w:rFonts w:hint="eastAsia" w:ascii="宋体" w:hAnsi="宋体" w:eastAsia="宋体" w:cs="宋体"/>
          <w:spacing w:val="6"/>
          <w:sz w:val="22"/>
          <w:szCs w:val="22"/>
          <w:highlight w:val="none"/>
          <w:u w:val="single"/>
          <w:lang w:eastAsia="zh-CN"/>
        </w:rPr>
        <w:t>WZBH-2025012401</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1881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07E17257">
            <w:pPr>
              <w:spacing w:line="380" w:lineRule="exact"/>
              <w:jc w:val="center"/>
              <w:rPr>
                <w:rFonts w:ascii="宋体" w:hAnsi="宋体"/>
                <w:sz w:val="22"/>
                <w:szCs w:val="22"/>
                <w:highlight w:val="none"/>
              </w:rPr>
            </w:pPr>
          </w:p>
        </w:tc>
        <w:tc>
          <w:tcPr>
            <w:tcW w:w="1364" w:type="dxa"/>
            <w:vAlign w:val="center"/>
          </w:tcPr>
          <w:p w14:paraId="6DD55674">
            <w:pPr>
              <w:spacing w:line="380" w:lineRule="exact"/>
              <w:jc w:val="center"/>
              <w:rPr>
                <w:rFonts w:ascii="宋体" w:hAnsi="宋体"/>
                <w:sz w:val="22"/>
                <w:szCs w:val="22"/>
                <w:highlight w:val="none"/>
              </w:rPr>
            </w:pPr>
            <w:r>
              <w:rPr>
                <w:rFonts w:hint="eastAsia" w:ascii="宋体" w:hAnsi="宋体"/>
                <w:sz w:val="22"/>
                <w:szCs w:val="22"/>
                <w:highlight w:val="none"/>
              </w:rPr>
              <w:t>序号</w:t>
            </w:r>
          </w:p>
        </w:tc>
        <w:tc>
          <w:tcPr>
            <w:tcW w:w="2097" w:type="dxa"/>
            <w:vAlign w:val="center"/>
          </w:tcPr>
          <w:p w14:paraId="52F30555">
            <w:pPr>
              <w:spacing w:line="380" w:lineRule="exact"/>
              <w:jc w:val="center"/>
              <w:rPr>
                <w:rFonts w:ascii="宋体" w:hAnsi="宋体"/>
                <w:sz w:val="22"/>
                <w:szCs w:val="22"/>
                <w:highlight w:val="none"/>
              </w:rPr>
            </w:pPr>
            <w:r>
              <w:rPr>
                <w:rFonts w:hint="eastAsia" w:ascii="宋体" w:hAnsi="宋体"/>
                <w:sz w:val="22"/>
                <w:szCs w:val="22"/>
                <w:highlight w:val="none"/>
              </w:rPr>
              <w:t>招标文件</w:t>
            </w:r>
          </w:p>
          <w:p w14:paraId="706A7832">
            <w:pPr>
              <w:spacing w:line="380" w:lineRule="exact"/>
              <w:jc w:val="center"/>
              <w:rPr>
                <w:rFonts w:ascii="宋体" w:hAnsi="宋体"/>
                <w:sz w:val="22"/>
                <w:szCs w:val="22"/>
                <w:highlight w:val="none"/>
              </w:rPr>
            </w:pPr>
            <w:r>
              <w:rPr>
                <w:rFonts w:hint="eastAsia" w:ascii="宋体" w:hAnsi="宋体"/>
                <w:sz w:val="22"/>
                <w:szCs w:val="22"/>
                <w:highlight w:val="none"/>
              </w:rPr>
              <w:t>条目号</w:t>
            </w:r>
          </w:p>
        </w:tc>
        <w:tc>
          <w:tcPr>
            <w:tcW w:w="1992" w:type="dxa"/>
            <w:vAlign w:val="center"/>
          </w:tcPr>
          <w:p w14:paraId="2B868A6F">
            <w:pPr>
              <w:spacing w:line="380" w:lineRule="exact"/>
              <w:jc w:val="center"/>
              <w:rPr>
                <w:rFonts w:ascii="宋体" w:hAnsi="宋体"/>
                <w:sz w:val="22"/>
                <w:szCs w:val="22"/>
                <w:highlight w:val="none"/>
              </w:rPr>
            </w:pPr>
            <w:r>
              <w:rPr>
                <w:rFonts w:hint="eastAsia" w:ascii="宋体" w:hAnsi="宋体"/>
                <w:sz w:val="22"/>
                <w:szCs w:val="22"/>
                <w:highlight w:val="none"/>
              </w:rPr>
              <w:t>招标文件</w:t>
            </w:r>
          </w:p>
          <w:p w14:paraId="284A5DEE">
            <w:pPr>
              <w:spacing w:line="380" w:lineRule="exact"/>
              <w:jc w:val="center"/>
              <w:rPr>
                <w:rFonts w:ascii="宋体" w:hAnsi="宋体"/>
                <w:sz w:val="22"/>
                <w:szCs w:val="22"/>
                <w:highlight w:val="none"/>
              </w:rPr>
            </w:pPr>
            <w:r>
              <w:rPr>
                <w:rFonts w:hint="eastAsia" w:ascii="宋体" w:hAnsi="宋体"/>
                <w:sz w:val="22"/>
                <w:szCs w:val="22"/>
                <w:highlight w:val="none"/>
              </w:rPr>
              <w:t>规范要求</w:t>
            </w:r>
          </w:p>
        </w:tc>
        <w:tc>
          <w:tcPr>
            <w:tcW w:w="1866" w:type="dxa"/>
            <w:vAlign w:val="center"/>
          </w:tcPr>
          <w:p w14:paraId="51B4931D">
            <w:pPr>
              <w:spacing w:line="380" w:lineRule="exact"/>
              <w:jc w:val="center"/>
              <w:rPr>
                <w:rFonts w:ascii="宋体" w:hAnsi="宋体"/>
                <w:sz w:val="22"/>
                <w:szCs w:val="22"/>
                <w:highlight w:val="none"/>
              </w:rPr>
            </w:pPr>
            <w:r>
              <w:rPr>
                <w:rFonts w:hint="eastAsia" w:ascii="宋体" w:hAnsi="宋体"/>
                <w:sz w:val="22"/>
                <w:szCs w:val="22"/>
                <w:highlight w:val="none"/>
              </w:rPr>
              <w:t>投标文件</w:t>
            </w:r>
          </w:p>
          <w:p w14:paraId="26AD12A3">
            <w:pPr>
              <w:spacing w:line="380" w:lineRule="exact"/>
              <w:jc w:val="center"/>
              <w:rPr>
                <w:rFonts w:ascii="宋体" w:hAnsi="宋体"/>
                <w:sz w:val="22"/>
                <w:szCs w:val="22"/>
                <w:highlight w:val="none"/>
              </w:rPr>
            </w:pPr>
            <w:r>
              <w:rPr>
                <w:rFonts w:hint="eastAsia" w:ascii="宋体" w:hAnsi="宋体"/>
                <w:sz w:val="22"/>
                <w:szCs w:val="22"/>
                <w:highlight w:val="none"/>
              </w:rPr>
              <w:t>对应规范</w:t>
            </w:r>
          </w:p>
        </w:tc>
        <w:tc>
          <w:tcPr>
            <w:tcW w:w="1592" w:type="dxa"/>
            <w:vAlign w:val="center"/>
          </w:tcPr>
          <w:p w14:paraId="7A4B696B">
            <w:pPr>
              <w:spacing w:line="380" w:lineRule="exact"/>
              <w:jc w:val="center"/>
              <w:rPr>
                <w:rFonts w:ascii="宋体" w:hAnsi="宋体"/>
                <w:sz w:val="22"/>
                <w:szCs w:val="22"/>
                <w:highlight w:val="none"/>
              </w:rPr>
            </w:pPr>
            <w:r>
              <w:rPr>
                <w:rFonts w:hint="eastAsia" w:ascii="宋体" w:hAnsi="宋体"/>
                <w:sz w:val="22"/>
                <w:szCs w:val="22"/>
                <w:highlight w:val="none"/>
              </w:rPr>
              <w:t>说明</w:t>
            </w:r>
          </w:p>
        </w:tc>
      </w:tr>
      <w:tr w14:paraId="58C0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70B1AE66">
            <w:pPr>
              <w:spacing w:line="380" w:lineRule="exact"/>
              <w:jc w:val="center"/>
              <w:rPr>
                <w:rFonts w:ascii="宋体" w:hAnsi="宋体"/>
                <w:sz w:val="22"/>
                <w:szCs w:val="22"/>
                <w:highlight w:val="none"/>
              </w:rPr>
            </w:pPr>
            <w:r>
              <w:rPr>
                <w:rFonts w:hint="eastAsia" w:ascii="宋体" w:hAnsi="宋体"/>
                <w:sz w:val="22"/>
                <w:szCs w:val="22"/>
                <w:highlight w:val="none"/>
              </w:rPr>
              <w:t>技</w:t>
            </w:r>
          </w:p>
          <w:p w14:paraId="67531639">
            <w:pPr>
              <w:spacing w:line="380" w:lineRule="exact"/>
              <w:jc w:val="center"/>
              <w:rPr>
                <w:rFonts w:ascii="宋体" w:hAnsi="宋体"/>
                <w:sz w:val="22"/>
                <w:szCs w:val="22"/>
                <w:highlight w:val="none"/>
              </w:rPr>
            </w:pPr>
            <w:r>
              <w:rPr>
                <w:rFonts w:hint="eastAsia" w:ascii="宋体" w:hAnsi="宋体"/>
                <w:sz w:val="22"/>
                <w:szCs w:val="22"/>
                <w:highlight w:val="none"/>
              </w:rPr>
              <w:t>术</w:t>
            </w:r>
          </w:p>
          <w:p w14:paraId="77D132C4">
            <w:pPr>
              <w:spacing w:line="380" w:lineRule="exact"/>
              <w:jc w:val="center"/>
              <w:rPr>
                <w:rFonts w:ascii="宋体" w:hAnsi="宋体"/>
                <w:sz w:val="22"/>
                <w:szCs w:val="22"/>
                <w:highlight w:val="none"/>
              </w:rPr>
            </w:pPr>
            <w:r>
              <w:rPr>
                <w:rFonts w:hint="eastAsia" w:ascii="宋体" w:hAnsi="宋体"/>
                <w:sz w:val="22"/>
                <w:szCs w:val="22"/>
                <w:highlight w:val="none"/>
              </w:rPr>
              <w:t>规</w:t>
            </w:r>
          </w:p>
          <w:p w14:paraId="76791A6D">
            <w:pPr>
              <w:spacing w:line="380" w:lineRule="exact"/>
              <w:jc w:val="center"/>
              <w:rPr>
                <w:rFonts w:ascii="宋体" w:hAnsi="宋体"/>
                <w:sz w:val="22"/>
                <w:szCs w:val="22"/>
                <w:highlight w:val="none"/>
              </w:rPr>
            </w:pPr>
            <w:r>
              <w:rPr>
                <w:rFonts w:hint="eastAsia" w:ascii="宋体" w:hAnsi="宋体"/>
                <w:sz w:val="22"/>
                <w:szCs w:val="22"/>
                <w:highlight w:val="none"/>
              </w:rPr>
              <w:t>格</w:t>
            </w:r>
          </w:p>
        </w:tc>
        <w:tc>
          <w:tcPr>
            <w:tcW w:w="1364" w:type="dxa"/>
            <w:vAlign w:val="center"/>
          </w:tcPr>
          <w:p w14:paraId="096D0DAD">
            <w:pPr>
              <w:spacing w:line="380" w:lineRule="exact"/>
              <w:jc w:val="center"/>
              <w:rPr>
                <w:rFonts w:ascii="宋体" w:hAnsi="宋体"/>
                <w:sz w:val="22"/>
                <w:szCs w:val="22"/>
                <w:highlight w:val="none"/>
              </w:rPr>
            </w:pPr>
          </w:p>
        </w:tc>
        <w:tc>
          <w:tcPr>
            <w:tcW w:w="2097" w:type="dxa"/>
            <w:vAlign w:val="center"/>
          </w:tcPr>
          <w:p w14:paraId="71595B84">
            <w:pPr>
              <w:spacing w:line="380" w:lineRule="exact"/>
              <w:jc w:val="center"/>
              <w:rPr>
                <w:rFonts w:ascii="宋体" w:hAnsi="宋体"/>
                <w:sz w:val="22"/>
                <w:szCs w:val="22"/>
                <w:highlight w:val="none"/>
              </w:rPr>
            </w:pPr>
          </w:p>
        </w:tc>
        <w:tc>
          <w:tcPr>
            <w:tcW w:w="1992" w:type="dxa"/>
            <w:vAlign w:val="center"/>
          </w:tcPr>
          <w:p w14:paraId="7DD2CF33">
            <w:pPr>
              <w:spacing w:line="380" w:lineRule="exact"/>
              <w:jc w:val="center"/>
              <w:rPr>
                <w:rFonts w:ascii="宋体" w:hAnsi="宋体"/>
                <w:sz w:val="22"/>
                <w:szCs w:val="22"/>
                <w:highlight w:val="none"/>
              </w:rPr>
            </w:pPr>
          </w:p>
        </w:tc>
        <w:tc>
          <w:tcPr>
            <w:tcW w:w="1866" w:type="dxa"/>
            <w:vAlign w:val="center"/>
          </w:tcPr>
          <w:p w14:paraId="0B361C53">
            <w:pPr>
              <w:spacing w:line="380" w:lineRule="exact"/>
              <w:jc w:val="center"/>
              <w:rPr>
                <w:rFonts w:ascii="宋体" w:hAnsi="宋体"/>
                <w:sz w:val="22"/>
                <w:szCs w:val="22"/>
                <w:highlight w:val="none"/>
              </w:rPr>
            </w:pPr>
          </w:p>
        </w:tc>
        <w:tc>
          <w:tcPr>
            <w:tcW w:w="1592" w:type="dxa"/>
            <w:vAlign w:val="center"/>
          </w:tcPr>
          <w:p w14:paraId="3F943D05">
            <w:pPr>
              <w:spacing w:line="380" w:lineRule="exact"/>
              <w:jc w:val="center"/>
              <w:rPr>
                <w:rFonts w:ascii="宋体" w:hAnsi="宋体"/>
                <w:sz w:val="22"/>
                <w:szCs w:val="22"/>
                <w:highlight w:val="none"/>
              </w:rPr>
            </w:pPr>
          </w:p>
        </w:tc>
      </w:tr>
      <w:tr w14:paraId="3613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DBCC66B">
            <w:pPr>
              <w:spacing w:line="380" w:lineRule="exact"/>
              <w:ind w:firstLine="220" w:firstLineChars="100"/>
              <w:rPr>
                <w:rFonts w:ascii="宋体" w:hAnsi="宋体"/>
                <w:sz w:val="22"/>
                <w:szCs w:val="22"/>
                <w:highlight w:val="none"/>
              </w:rPr>
            </w:pPr>
          </w:p>
        </w:tc>
        <w:tc>
          <w:tcPr>
            <w:tcW w:w="1364" w:type="dxa"/>
            <w:vAlign w:val="center"/>
          </w:tcPr>
          <w:p w14:paraId="0A607476">
            <w:pPr>
              <w:spacing w:line="380" w:lineRule="exact"/>
              <w:jc w:val="center"/>
              <w:rPr>
                <w:rFonts w:ascii="宋体" w:hAnsi="宋体"/>
                <w:sz w:val="22"/>
                <w:szCs w:val="22"/>
                <w:highlight w:val="none"/>
              </w:rPr>
            </w:pPr>
          </w:p>
        </w:tc>
        <w:tc>
          <w:tcPr>
            <w:tcW w:w="2097" w:type="dxa"/>
            <w:vAlign w:val="center"/>
          </w:tcPr>
          <w:p w14:paraId="41AEC921">
            <w:pPr>
              <w:spacing w:line="380" w:lineRule="exact"/>
              <w:jc w:val="center"/>
              <w:rPr>
                <w:rFonts w:ascii="宋体" w:hAnsi="宋体"/>
                <w:sz w:val="22"/>
                <w:szCs w:val="22"/>
                <w:highlight w:val="none"/>
              </w:rPr>
            </w:pPr>
          </w:p>
        </w:tc>
        <w:tc>
          <w:tcPr>
            <w:tcW w:w="1992" w:type="dxa"/>
            <w:vAlign w:val="center"/>
          </w:tcPr>
          <w:p w14:paraId="7D0F514A">
            <w:pPr>
              <w:spacing w:line="380" w:lineRule="exact"/>
              <w:jc w:val="center"/>
              <w:rPr>
                <w:rFonts w:ascii="宋体" w:hAnsi="宋体"/>
                <w:sz w:val="22"/>
                <w:szCs w:val="22"/>
                <w:highlight w:val="none"/>
              </w:rPr>
            </w:pPr>
          </w:p>
        </w:tc>
        <w:tc>
          <w:tcPr>
            <w:tcW w:w="1866" w:type="dxa"/>
            <w:vAlign w:val="center"/>
          </w:tcPr>
          <w:p w14:paraId="4DEAA17E">
            <w:pPr>
              <w:spacing w:line="380" w:lineRule="exact"/>
              <w:jc w:val="center"/>
              <w:rPr>
                <w:rFonts w:ascii="宋体" w:hAnsi="宋体"/>
                <w:sz w:val="22"/>
                <w:szCs w:val="22"/>
                <w:highlight w:val="none"/>
              </w:rPr>
            </w:pPr>
          </w:p>
        </w:tc>
        <w:tc>
          <w:tcPr>
            <w:tcW w:w="1592" w:type="dxa"/>
            <w:vAlign w:val="center"/>
          </w:tcPr>
          <w:p w14:paraId="02E95012">
            <w:pPr>
              <w:spacing w:line="380" w:lineRule="exact"/>
              <w:jc w:val="center"/>
              <w:rPr>
                <w:rFonts w:ascii="宋体" w:hAnsi="宋体"/>
                <w:sz w:val="22"/>
                <w:szCs w:val="22"/>
                <w:highlight w:val="none"/>
              </w:rPr>
            </w:pPr>
          </w:p>
        </w:tc>
      </w:tr>
      <w:tr w14:paraId="3E7E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140C642">
            <w:pPr>
              <w:spacing w:line="380" w:lineRule="exact"/>
              <w:jc w:val="center"/>
              <w:rPr>
                <w:rFonts w:ascii="宋体" w:hAnsi="宋体"/>
                <w:sz w:val="22"/>
                <w:szCs w:val="22"/>
                <w:highlight w:val="none"/>
              </w:rPr>
            </w:pPr>
          </w:p>
        </w:tc>
        <w:tc>
          <w:tcPr>
            <w:tcW w:w="1364" w:type="dxa"/>
            <w:vAlign w:val="center"/>
          </w:tcPr>
          <w:p w14:paraId="5DC7D216">
            <w:pPr>
              <w:spacing w:line="380" w:lineRule="exact"/>
              <w:jc w:val="center"/>
              <w:rPr>
                <w:rFonts w:ascii="宋体" w:hAnsi="宋体"/>
                <w:sz w:val="22"/>
                <w:szCs w:val="22"/>
                <w:highlight w:val="none"/>
              </w:rPr>
            </w:pPr>
          </w:p>
        </w:tc>
        <w:tc>
          <w:tcPr>
            <w:tcW w:w="2097" w:type="dxa"/>
            <w:vAlign w:val="center"/>
          </w:tcPr>
          <w:p w14:paraId="4CF4BCBF">
            <w:pPr>
              <w:spacing w:line="380" w:lineRule="exact"/>
              <w:jc w:val="center"/>
              <w:rPr>
                <w:rFonts w:ascii="宋体" w:hAnsi="宋体"/>
                <w:sz w:val="22"/>
                <w:szCs w:val="22"/>
                <w:highlight w:val="none"/>
              </w:rPr>
            </w:pPr>
          </w:p>
        </w:tc>
        <w:tc>
          <w:tcPr>
            <w:tcW w:w="1992" w:type="dxa"/>
            <w:vAlign w:val="center"/>
          </w:tcPr>
          <w:p w14:paraId="74E9CE3B">
            <w:pPr>
              <w:spacing w:line="380" w:lineRule="exact"/>
              <w:jc w:val="center"/>
              <w:rPr>
                <w:rFonts w:ascii="宋体" w:hAnsi="宋体"/>
                <w:sz w:val="22"/>
                <w:szCs w:val="22"/>
                <w:highlight w:val="none"/>
              </w:rPr>
            </w:pPr>
          </w:p>
        </w:tc>
        <w:tc>
          <w:tcPr>
            <w:tcW w:w="1866" w:type="dxa"/>
            <w:vAlign w:val="center"/>
          </w:tcPr>
          <w:p w14:paraId="35FEE1D8">
            <w:pPr>
              <w:spacing w:line="380" w:lineRule="exact"/>
              <w:jc w:val="center"/>
              <w:rPr>
                <w:rFonts w:ascii="宋体" w:hAnsi="宋体"/>
                <w:sz w:val="22"/>
                <w:szCs w:val="22"/>
                <w:highlight w:val="none"/>
              </w:rPr>
            </w:pPr>
          </w:p>
        </w:tc>
        <w:tc>
          <w:tcPr>
            <w:tcW w:w="1592" w:type="dxa"/>
            <w:vAlign w:val="center"/>
          </w:tcPr>
          <w:p w14:paraId="33378BD4">
            <w:pPr>
              <w:spacing w:line="380" w:lineRule="exact"/>
              <w:jc w:val="center"/>
              <w:rPr>
                <w:rFonts w:ascii="宋体" w:hAnsi="宋体"/>
                <w:sz w:val="22"/>
                <w:szCs w:val="22"/>
                <w:highlight w:val="none"/>
              </w:rPr>
            </w:pPr>
          </w:p>
        </w:tc>
      </w:tr>
      <w:tr w14:paraId="373E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DB8F671">
            <w:pPr>
              <w:spacing w:line="380" w:lineRule="exact"/>
              <w:jc w:val="center"/>
              <w:rPr>
                <w:rFonts w:ascii="宋体" w:hAnsi="宋体"/>
                <w:sz w:val="22"/>
                <w:szCs w:val="22"/>
                <w:highlight w:val="none"/>
              </w:rPr>
            </w:pPr>
          </w:p>
        </w:tc>
        <w:tc>
          <w:tcPr>
            <w:tcW w:w="1364" w:type="dxa"/>
            <w:vAlign w:val="center"/>
          </w:tcPr>
          <w:p w14:paraId="7D62E1F5">
            <w:pPr>
              <w:spacing w:line="380" w:lineRule="exact"/>
              <w:jc w:val="center"/>
              <w:rPr>
                <w:rFonts w:ascii="宋体" w:hAnsi="宋体"/>
                <w:sz w:val="22"/>
                <w:szCs w:val="22"/>
                <w:highlight w:val="none"/>
              </w:rPr>
            </w:pPr>
          </w:p>
        </w:tc>
        <w:tc>
          <w:tcPr>
            <w:tcW w:w="2097" w:type="dxa"/>
            <w:vAlign w:val="center"/>
          </w:tcPr>
          <w:p w14:paraId="0257F58A">
            <w:pPr>
              <w:spacing w:line="380" w:lineRule="exact"/>
              <w:jc w:val="center"/>
              <w:rPr>
                <w:rFonts w:ascii="宋体" w:hAnsi="宋体"/>
                <w:sz w:val="22"/>
                <w:szCs w:val="22"/>
                <w:highlight w:val="none"/>
              </w:rPr>
            </w:pPr>
          </w:p>
        </w:tc>
        <w:tc>
          <w:tcPr>
            <w:tcW w:w="1992" w:type="dxa"/>
            <w:vAlign w:val="center"/>
          </w:tcPr>
          <w:p w14:paraId="6FAC968E">
            <w:pPr>
              <w:spacing w:line="380" w:lineRule="exact"/>
              <w:jc w:val="center"/>
              <w:rPr>
                <w:rFonts w:ascii="宋体" w:hAnsi="宋体"/>
                <w:sz w:val="22"/>
                <w:szCs w:val="22"/>
                <w:highlight w:val="none"/>
              </w:rPr>
            </w:pPr>
          </w:p>
        </w:tc>
        <w:tc>
          <w:tcPr>
            <w:tcW w:w="1866" w:type="dxa"/>
            <w:vAlign w:val="center"/>
          </w:tcPr>
          <w:p w14:paraId="643EF82C">
            <w:pPr>
              <w:spacing w:line="380" w:lineRule="exact"/>
              <w:jc w:val="center"/>
              <w:rPr>
                <w:rFonts w:ascii="宋体" w:hAnsi="宋体"/>
                <w:sz w:val="22"/>
                <w:szCs w:val="22"/>
                <w:highlight w:val="none"/>
              </w:rPr>
            </w:pPr>
          </w:p>
        </w:tc>
        <w:tc>
          <w:tcPr>
            <w:tcW w:w="1592" w:type="dxa"/>
            <w:vAlign w:val="center"/>
          </w:tcPr>
          <w:p w14:paraId="70C8133D">
            <w:pPr>
              <w:spacing w:line="380" w:lineRule="exact"/>
              <w:jc w:val="center"/>
              <w:rPr>
                <w:rFonts w:ascii="宋体" w:hAnsi="宋体"/>
                <w:sz w:val="22"/>
                <w:szCs w:val="22"/>
                <w:highlight w:val="none"/>
              </w:rPr>
            </w:pPr>
          </w:p>
        </w:tc>
      </w:tr>
      <w:tr w14:paraId="7368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511C6B1">
            <w:pPr>
              <w:spacing w:line="380" w:lineRule="exact"/>
              <w:jc w:val="center"/>
              <w:rPr>
                <w:rFonts w:ascii="宋体" w:hAnsi="宋体"/>
                <w:sz w:val="22"/>
                <w:szCs w:val="22"/>
                <w:highlight w:val="none"/>
              </w:rPr>
            </w:pPr>
          </w:p>
        </w:tc>
        <w:tc>
          <w:tcPr>
            <w:tcW w:w="1364" w:type="dxa"/>
            <w:vAlign w:val="center"/>
          </w:tcPr>
          <w:p w14:paraId="1A10F71D">
            <w:pPr>
              <w:spacing w:line="380" w:lineRule="exact"/>
              <w:jc w:val="center"/>
              <w:rPr>
                <w:rFonts w:ascii="宋体" w:hAnsi="宋体"/>
                <w:sz w:val="22"/>
                <w:szCs w:val="22"/>
                <w:highlight w:val="none"/>
              </w:rPr>
            </w:pPr>
          </w:p>
        </w:tc>
        <w:tc>
          <w:tcPr>
            <w:tcW w:w="2097" w:type="dxa"/>
            <w:vAlign w:val="center"/>
          </w:tcPr>
          <w:p w14:paraId="12A2E3DE">
            <w:pPr>
              <w:spacing w:line="380" w:lineRule="exact"/>
              <w:jc w:val="center"/>
              <w:rPr>
                <w:rFonts w:ascii="宋体" w:hAnsi="宋体"/>
                <w:sz w:val="22"/>
                <w:szCs w:val="22"/>
                <w:highlight w:val="none"/>
              </w:rPr>
            </w:pPr>
          </w:p>
        </w:tc>
        <w:tc>
          <w:tcPr>
            <w:tcW w:w="1992" w:type="dxa"/>
            <w:vAlign w:val="center"/>
          </w:tcPr>
          <w:p w14:paraId="59DFF770">
            <w:pPr>
              <w:spacing w:line="380" w:lineRule="exact"/>
              <w:jc w:val="center"/>
              <w:rPr>
                <w:rFonts w:ascii="宋体" w:hAnsi="宋体"/>
                <w:sz w:val="22"/>
                <w:szCs w:val="22"/>
                <w:highlight w:val="none"/>
              </w:rPr>
            </w:pPr>
          </w:p>
        </w:tc>
        <w:tc>
          <w:tcPr>
            <w:tcW w:w="1866" w:type="dxa"/>
            <w:vAlign w:val="center"/>
          </w:tcPr>
          <w:p w14:paraId="1357D932">
            <w:pPr>
              <w:spacing w:line="380" w:lineRule="exact"/>
              <w:jc w:val="center"/>
              <w:rPr>
                <w:rFonts w:ascii="宋体" w:hAnsi="宋体"/>
                <w:sz w:val="22"/>
                <w:szCs w:val="22"/>
                <w:highlight w:val="none"/>
              </w:rPr>
            </w:pPr>
          </w:p>
        </w:tc>
        <w:tc>
          <w:tcPr>
            <w:tcW w:w="1592" w:type="dxa"/>
            <w:vAlign w:val="center"/>
          </w:tcPr>
          <w:p w14:paraId="65FC5299">
            <w:pPr>
              <w:spacing w:line="380" w:lineRule="exact"/>
              <w:jc w:val="center"/>
              <w:rPr>
                <w:rFonts w:ascii="宋体" w:hAnsi="宋体"/>
                <w:sz w:val="22"/>
                <w:szCs w:val="22"/>
                <w:highlight w:val="none"/>
              </w:rPr>
            </w:pPr>
          </w:p>
        </w:tc>
      </w:tr>
      <w:tr w14:paraId="6AE3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2C44CDC7">
            <w:pPr>
              <w:spacing w:line="380" w:lineRule="exact"/>
              <w:jc w:val="center"/>
              <w:rPr>
                <w:rFonts w:ascii="宋体" w:hAnsi="宋体"/>
                <w:sz w:val="22"/>
                <w:szCs w:val="22"/>
                <w:highlight w:val="none"/>
              </w:rPr>
            </w:pPr>
            <w:r>
              <w:rPr>
                <w:rFonts w:hint="eastAsia" w:ascii="宋体" w:hAnsi="宋体"/>
                <w:sz w:val="22"/>
                <w:szCs w:val="22"/>
                <w:highlight w:val="none"/>
              </w:rPr>
              <w:t>商</w:t>
            </w:r>
          </w:p>
          <w:p w14:paraId="4CCBA73C">
            <w:pPr>
              <w:spacing w:line="380" w:lineRule="exact"/>
              <w:jc w:val="center"/>
              <w:rPr>
                <w:rFonts w:ascii="宋体" w:hAnsi="宋体"/>
                <w:sz w:val="22"/>
                <w:szCs w:val="22"/>
                <w:highlight w:val="none"/>
              </w:rPr>
            </w:pPr>
            <w:r>
              <w:rPr>
                <w:rFonts w:hint="eastAsia" w:ascii="宋体" w:hAnsi="宋体"/>
                <w:sz w:val="22"/>
                <w:szCs w:val="22"/>
                <w:highlight w:val="none"/>
              </w:rPr>
              <w:t>务</w:t>
            </w:r>
          </w:p>
          <w:p w14:paraId="4C2920A7">
            <w:pPr>
              <w:spacing w:line="380" w:lineRule="exact"/>
              <w:jc w:val="center"/>
              <w:rPr>
                <w:rFonts w:ascii="宋体" w:hAnsi="宋体"/>
                <w:sz w:val="22"/>
                <w:szCs w:val="22"/>
                <w:highlight w:val="none"/>
              </w:rPr>
            </w:pPr>
            <w:r>
              <w:rPr>
                <w:rFonts w:hint="eastAsia" w:ascii="宋体" w:hAnsi="宋体"/>
                <w:sz w:val="22"/>
                <w:szCs w:val="22"/>
                <w:highlight w:val="none"/>
              </w:rPr>
              <w:t>条</w:t>
            </w:r>
          </w:p>
          <w:p w14:paraId="28F6F716">
            <w:pPr>
              <w:spacing w:line="380" w:lineRule="exact"/>
              <w:jc w:val="center"/>
              <w:rPr>
                <w:rFonts w:ascii="宋体" w:hAnsi="宋体"/>
                <w:sz w:val="22"/>
                <w:szCs w:val="22"/>
                <w:highlight w:val="none"/>
              </w:rPr>
            </w:pPr>
            <w:r>
              <w:rPr>
                <w:rFonts w:hint="eastAsia" w:ascii="宋体" w:hAnsi="宋体"/>
                <w:sz w:val="22"/>
                <w:szCs w:val="22"/>
                <w:highlight w:val="none"/>
              </w:rPr>
              <w:t>款</w:t>
            </w:r>
          </w:p>
        </w:tc>
        <w:tc>
          <w:tcPr>
            <w:tcW w:w="1364" w:type="dxa"/>
            <w:vAlign w:val="center"/>
          </w:tcPr>
          <w:p w14:paraId="544ADDB5">
            <w:pPr>
              <w:spacing w:line="380" w:lineRule="exact"/>
              <w:jc w:val="center"/>
              <w:rPr>
                <w:rFonts w:ascii="宋体" w:hAnsi="宋体"/>
                <w:sz w:val="22"/>
                <w:szCs w:val="22"/>
                <w:highlight w:val="none"/>
              </w:rPr>
            </w:pPr>
          </w:p>
        </w:tc>
        <w:tc>
          <w:tcPr>
            <w:tcW w:w="2097" w:type="dxa"/>
            <w:vAlign w:val="center"/>
          </w:tcPr>
          <w:p w14:paraId="486E6160">
            <w:pPr>
              <w:spacing w:line="380" w:lineRule="exact"/>
              <w:jc w:val="center"/>
              <w:rPr>
                <w:rFonts w:ascii="宋体" w:hAnsi="宋体"/>
                <w:sz w:val="22"/>
                <w:szCs w:val="22"/>
                <w:highlight w:val="none"/>
              </w:rPr>
            </w:pPr>
          </w:p>
        </w:tc>
        <w:tc>
          <w:tcPr>
            <w:tcW w:w="1992" w:type="dxa"/>
            <w:vAlign w:val="center"/>
          </w:tcPr>
          <w:p w14:paraId="2E3C0430">
            <w:pPr>
              <w:spacing w:line="380" w:lineRule="exact"/>
              <w:jc w:val="center"/>
              <w:rPr>
                <w:rFonts w:ascii="宋体" w:hAnsi="宋体"/>
                <w:sz w:val="22"/>
                <w:szCs w:val="22"/>
                <w:highlight w:val="none"/>
              </w:rPr>
            </w:pPr>
          </w:p>
        </w:tc>
        <w:tc>
          <w:tcPr>
            <w:tcW w:w="1866" w:type="dxa"/>
            <w:vAlign w:val="center"/>
          </w:tcPr>
          <w:p w14:paraId="2B2A2D44">
            <w:pPr>
              <w:spacing w:line="380" w:lineRule="exact"/>
              <w:jc w:val="center"/>
              <w:rPr>
                <w:rFonts w:ascii="宋体" w:hAnsi="宋体"/>
                <w:sz w:val="22"/>
                <w:szCs w:val="22"/>
                <w:highlight w:val="none"/>
              </w:rPr>
            </w:pPr>
          </w:p>
        </w:tc>
        <w:tc>
          <w:tcPr>
            <w:tcW w:w="1592" w:type="dxa"/>
            <w:vAlign w:val="center"/>
          </w:tcPr>
          <w:p w14:paraId="10A8CE2C">
            <w:pPr>
              <w:spacing w:line="380" w:lineRule="exact"/>
              <w:jc w:val="center"/>
              <w:rPr>
                <w:rFonts w:ascii="宋体" w:hAnsi="宋体"/>
                <w:sz w:val="22"/>
                <w:szCs w:val="22"/>
                <w:highlight w:val="none"/>
              </w:rPr>
            </w:pPr>
          </w:p>
        </w:tc>
      </w:tr>
      <w:tr w14:paraId="4396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29FD540">
            <w:pPr>
              <w:spacing w:line="380" w:lineRule="exact"/>
              <w:jc w:val="center"/>
              <w:rPr>
                <w:rFonts w:ascii="宋体" w:hAnsi="宋体"/>
                <w:sz w:val="22"/>
                <w:szCs w:val="22"/>
                <w:highlight w:val="none"/>
              </w:rPr>
            </w:pPr>
          </w:p>
        </w:tc>
        <w:tc>
          <w:tcPr>
            <w:tcW w:w="1364" w:type="dxa"/>
            <w:vAlign w:val="center"/>
          </w:tcPr>
          <w:p w14:paraId="324E4C94">
            <w:pPr>
              <w:spacing w:line="380" w:lineRule="exact"/>
              <w:jc w:val="center"/>
              <w:rPr>
                <w:rFonts w:ascii="宋体" w:hAnsi="宋体"/>
                <w:sz w:val="22"/>
                <w:szCs w:val="22"/>
                <w:highlight w:val="none"/>
              </w:rPr>
            </w:pPr>
          </w:p>
        </w:tc>
        <w:tc>
          <w:tcPr>
            <w:tcW w:w="2097" w:type="dxa"/>
            <w:vAlign w:val="center"/>
          </w:tcPr>
          <w:p w14:paraId="503C3D80">
            <w:pPr>
              <w:spacing w:line="380" w:lineRule="exact"/>
              <w:jc w:val="center"/>
              <w:rPr>
                <w:rFonts w:ascii="宋体" w:hAnsi="宋体"/>
                <w:sz w:val="22"/>
                <w:szCs w:val="22"/>
                <w:highlight w:val="none"/>
              </w:rPr>
            </w:pPr>
          </w:p>
        </w:tc>
        <w:tc>
          <w:tcPr>
            <w:tcW w:w="1992" w:type="dxa"/>
            <w:vAlign w:val="center"/>
          </w:tcPr>
          <w:p w14:paraId="3780F3F3">
            <w:pPr>
              <w:spacing w:line="380" w:lineRule="exact"/>
              <w:jc w:val="center"/>
              <w:rPr>
                <w:rFonts w:ascii="宋体" w:hAnsi="宋体"/>
                <w:sz w:val="22"/>
                <w:szCs w:val="22"/>
                <w:highlight w:val="none"/>
              </w:rPr>
            </w:pPr>
          </w:p>
        </w:tc>
        <w:tc>
          <w:tcPr>
            <w:tcW w:w="1866" w:type="dxa"/>
            <w:vAlign w:val="center"/>
          </w:tcPr>
          <w:p w14:paraId="7130171A">
            <w:pPr>
              <w:spacing w:line="380" w:lineRule="exact"/>
              <w:jc w:val="center"/>
              <w:rPr>
                <w:rFonts w:ascii="宋体" w:hAnsi="宋体"/>
                <w:sz w:val="22"/>
                <w:szCs w:val="22"/>
                <w:highlight w:val="none"/>
              </w:rPr>
            </w:pPr>
          </w:p>
        </w:tc>
        <w:tc>
          <w:tcPr>
            <w:tcW w:w="1592" w:type="dxa"/>
            <w:vAlign w:val="center"/>
          </w:tcPr>
          <w:p w14:paraId="566E29F9">
            <w:pPr>
              <w:spacing w:line="380" w:lineRule="exact"/>
              <w:jc w:val="center"/>
              <w:rPr>
                <w:rFonts w:ascii="宋体" w:hAnsi="宋体"/>
                <w:sz w:val="22"/>
                <w:szCs w:val="22"/>
                <w:highlight w:val="none"/>
              </w:rPr>
            </w:pPr>
          </w:p>
        </w:tc>
      </w:tr>
      <w:tr w14:paraId="5467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E462F44">
            <w:pPr>
              <w:spacing w:line="380" w:lineRule="exact"/>
              <w:jc w:val="center"/>
              <w:rPr>
                <w:rFonts w:ascii="宋体" w:hAnsi="宋体"/>
                <w:sz w:val="22"/>
                <w:szCs w:val="22"/>
                <w:highlight w:val="none"/>
              </w:rPr>
            </w:pPr>
          </w:p>
        </w:tc>
        <w:tc>
          <w:tcPr>
            <w:tcW w:w="1364" w:type="dxa"/>
            <w:vAlign w:val="center"/>
          </w:tcPr>
          <w:p w14:paraId="3A5D95D3">
            <w:pPr>
              <w:spacing w:line="380" w:lineRule="exact"/>
              <w:jc w:val="center"/>
              <w:rPr>
                <w:rFonts w:ascii="宋体" w:hAnsi="宋体"/>
                <w:sz w:val="22"/>
                <w:szCs w:val="22"/>
                <w:highlight w:val="none"/>
              </w:rPr>
            </w:pPr>
          </w:p>
        </w:tc>
        <w:tc>
          <w:tcPr>
            <w:tcW w:w="2097" w:type="dxa"/>
            <w:vAlign w:val="center"/>
          </w:tcPr>
          <w:p w14:paraId="4C93AB18">
            <w:pPr>
              <w:spacing w:line="380" w:lineRule="exact"/>
              <w:jc w:val="center"/>
              <w:rPr>
                <w:rFonts w:ascii="宋体" w:hAnsi="宋体"/>
                <w:sz w:val="22"/>
                <w:szCs w:val="22"/>
                <w:highlight w:val="none"/>
              </w:rPr>
            </w:pPr>
          </w:p>
        </w:tc>
        <w:tc>
          <w:tcPr>
            <w:tcW w:w="1992" w:type="dxa"/>
            <w:vAlign w:val="center"/>
          </w:tcPr>
          <w:p w14:paraId="4981D7B6">
            <w:pPr>
              <w:spacing w:line="380" w:lineRule="exact"/>
              <w:jc w:val="center"/>
              <w:rPr>
                <w:rFonts w:ascii="宋体" w:hAnsi="宋体"/>
                <w:sz w:val="22"/>
                <w:szCs w:val="22"/>
                <w:highlight w:val="none"/>
              </w:rPr>
            </w:pPr>
          </w:p>
        </w:tc>
        <w:tc>
          <w:tcPr>
            <w:tcW w:w="1866" w:type="dxa"/>
            <w:vAlign w:val="center"/>
          </w:tcPr>
          <w:p w14:paraId="60413629">
            <w:pPr>
              <w:spacing w:line="380" w:lineRule="exact"/>
              <w:jc w:val="center"/>
              <w:rPr>
                <w:rFonts w:ascii="宋体" w:hAnsi="宋体"/>
                <w:sz w:val="22"/>
                <w:szCs w:val="22"/>
                <w:highlight w:val="none"/>
              </w:rPr>
            </w:pPr>
          </w:p>
        </w:tc>
        <w:tc>
          <w:tcPr>
            <w:tcW w:w="1592" w:type="dxa"/>
            <w:vAlign w:val="center"/>
          </w:tcPr>
          <w:p w14:paraId="511230A5">
            <w:pPr>
              <w:spacing w:line="380" w:lineRule="exact"/>
              <w:jc w:val="center"/>
              <w:rPr>
                <w:rFonts w:ascii="宋体" w:hAnsi="宋体"/>
                <w:sz w:val="22"/>
                <w:szCs w:val="22"/>
                <w:highlight w:val="none"/>
              </w:rPr>
            </w:pPr>
          </w:p>
        </w:tc>
      </w:tr>
      <w:tr w14:paraId="7467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3602717">
            <w:pPr>
              <w:spacing w:line="380" w:lineRule="exact"/>
              <w:jc w:val="center"/>
              <w:rPr>
                <w:rFonts w:ascii="宋体" w:hAnsi="宋体"/>
                <w:sz w:val="22"/>
                <w:szCs w:val="22"/>
                <w:highlight w:val="none"/>
              </w:rPr>
            </w:pPr>
          </w:p>
        </w:tc>
        <w:tc>
          <w:tcPr>
            <w:tcW w:w="1364" w:type="dxa"/>
            <w:vAlign w:val="center"/>
          </w:tcPr>
          <w:p w14:paraId="5D1217A4">
            <w:pPr>
              <w:spacing w:line="380" w:lineRule="exact"/>
              <w:jc w:val="center"/>
              <w:rPr>
                <w:rFonts w:ascii="宋体" w:hAnsi="宋体"/>
                <w:sz w:val="22"/>
                <w:szCs w:val="22"/>
                <w:highlight w:val="none"/>
              </w:rPr>
            </w:pPr>
          </w:p>
        </w:tc>
        <w:tc>
          <w:tcPr>
            <w:tcW w:w="2097" w:type="dxa"/>
            <w:vAlign w:val="center"/>
          </w:tcPr>
          <w:p w14:paraId="514B8FC1">
            <w:pPr>
              <w:spacing w:line="380" w:lineRule="exact"/>
              <w:jc w:val="center"/>
              <w:rPr>
                <w:rFonts w:ascii="宋体" w:hAnsi="宋体"/>
                <w:sz w:val="22"/>
                <w:szCs w:val="22"/>
                <w:highlight w:val="none"/>
              </w:rPr>
            </w:pPr>
          </w:p>
        </w:tc>
        <w:tc>
          <w:tcPr>
            <w:tcW w:w="1992" w:type="dxa"/>
            <w:vAlign w:val="center"/>
          </w:tcPr>
          <w:p w14:paraId="67142ED2">
            <w:pPr>
              <w:spacing w:line="380" w:lineRule="exact"/>
              <w:jc w:val="center"/>
              <w:rPr>
                <w:rFonts w:ascii="宋体" w:hAnsi="宋体"/>
                <w:sz w:val="22"/>
                <w:szCs w:val="22"/>
                <w:highlight w:val="none"/>
              </w:rPr>
            </w:pPr>
          </w:p>
        </w:tc>
        <w:tc>
          <w:tcPr>
            <w:tcW w:w="1866" w:type="dxa"/>
            <w:vAlign w:val="center"/>
          </w:tcPr>
          <w:p w14:paraId="6928E6AE">
            <w:pPr>
              <w:spacing w:line="380" w:lineRule="exact"/>
              <w:jc w:val="center"/>
              <w:rPr>
                <w:rFonts w:ascii="宋体" w:hAnsi="宋体"/>
                <w:sz w:val="22"/>
                <w:szCs w:val="22"/>
                <w:highlight w:val="none"/>
              </w:rPr>
            </w:pPr>
          </w:p>
        </w:tc>
        <w:tc>
          <w:tcPr>
            <w:tcW w:w="1592" w:type="dxa"/>
            <w:vAlign w:val="center"/>
          </w:tcPr>
          <w:p w14:paraId="4E48315A">
            <w:pPr>
              <w:spacing w:line="380" w:lineRule="exact"/>
              <w:jc w:val="center"/>
              <w:rPr>
                <w:rFonts w:ascii="宋体" w:hAnsi="宋体"/>
                <w:sz w:val="22"/>
                <w:szCs w:val="22"/>
                <w:highlight w:val="none"/>
              </w:rPr>
            </w:pPr>
          </w:p>
        </w:tc>
      </w:tr>
      <w:tr w14:paraId="5E3F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9CC34E9">
            <w:pPr>
              <w:spacing w:line="380" w:lineRule="exact"/>
              <w:jc w:val="center"/>
              <w:rPr>
                <w:rFonts w:ascii="宋体" w:hAnsi="宋体"/>
                <w:sz w:val="22"/>
                <w:szCs w:val="22"/>
                <w:highlight w:val="none"/>
              </w:rPr>
            </w:pPr>
          </w:p>
        </w:tc>
        <w:tc>
          <w:tcPr>
            <w:tcW w:w="1364" w:type="dxa"/>
            <w:vAlign w:val="center"/>
          </w:tcPr>
          <w:p w14:paraId="7E68487D">
            <w:pPr>
              <w:spacing w:line="380" w:lineRule="exact"/>
              <w:jc w:val="center"/>
              <w:rPr>
                <w:rFonts w:ascii="宋体" w:hAnsi="宋体"/>
                <w:sz w:val="22"/>
                <w:szCs w:val="22"/>
                <w:highlight w:val="none"/>
              </w:rPr>
            </w:pPr>
          </w:p>
        </w:tc>
        <w:tc>
          <w:tcPr>
            <w:tcW w:w="2097" w:type="dxa"/>
            <w:vAlign w:val="center"/>
          </w:tcPr>
          <w:p w14:paraId="42F9DE45">
            <w:pPr>
              <w:spacing w:line="380" w:lineRule="exact"/>
              <w:jc w:val="center"/>
              <w:rPr>
                <w:rFonts w:ascii="宋体" w:hAnsi="宋体"/>
                <w:sz w:val="22"/>
                <w:szCs w:val="22"/>
                <w:highlight w:val="none"/>
              </w:rPr>
            </w:pPr>
          </w:p>
        </w:tc>
        <w:tc>
          <w:tcPr>
            <w:tcW w:w="1992" w:type="dxa"/>
            <w:vAlign w:val="center"/>
          </w:tcPr>
          <w:p w14:paraId="036330DC">
            <w:pPr>
              <w:spacing w:line="380" w:lineRule="exact"/>
              <w:jc w:val="center"/>
              <w:rPr>
                <w:rFonts w:ascii="宋体" w:hAnsi="宋体"/>
                <w:sz w:val="22"/>
                <w:szCs w:val="22"/>
                <w:highlight w:val="none"/>
              </w:rPr>
            </w:pPr>
          </w:p>
        </w:tc>
        <w:tc>
          <w:tcPr>
            <w:tcW w:w="1866" w:type="dxa"/>
            <w:vAlign w:val="center"/>
          </w:tcPr>
          <w:p w14:paraId="3CBDAF0B">
            <w:pPr>
              <w:spacing w:line="380" w:lineRule="exact"/>
              <w:jc w:val="center"/>
              <w:rPr>
                <w:rFonts w:ascii="宋体" w:hAnsi="宋体"/>
                <w:sz w:val="22"/>
                <w:szCs w:val="22"/>
                <w:highlight w:val="none"/>
              </w:rPr>
            </w:pPr>
          </w:p>
        </w:tc>
        <w:tc>
          <w:tcPr>
            <w:tcW w:w="1592" w:type="dxa"/>
            <w:vAlign w:val="center"/>
          </w:tcPr>
          <w:p w14:paraId="6A89395C">
            <w:pPr>
              <w:spacing w:line="380" w:lineRule="exact"/>
              <w:jc w:val="center"/>
              <w:rPr>
                <w:rFonts w:ascii="宋体" w:hAnsi="宋体"/>
                <w:sz w:val="22"/>
                <w:szCs w:val="22"/>
                <w:highlight w:val="none"/>
              </w:rPr>
            </w:pPr>
          </w:p>
        </w:tc>
      </w:tr>
    </w:tbl>
    <w:p w14:paraId="0E3BA4A9">
      <w:pPr>
        <w:spacing w:line="380" w:lineRule="exact"/>
        <w:rPr>
          <w:rFonts w:ascii="宋体" w:hAnsi="宋体"/>
          <w:b/>
          <w:sz w:val="22"/>
          <w:szCs w:val="22"/>
          <w:highlight w:val="none"/>
        </w:rPr>
      </w:pPr>
      <w:r>
        <w:rPr>
          <w:rFonts w:hint="eastAsia" w:ascii="宋体" w:hAnsi="宋体"/>
          <w:b/>
          <w:sz w:val="22"/>
          <w:szCs w:val="22"/>
          <w:highlight w:val="none"/>
        </w:rPr>
        <w:t>注：</w:t>
      </w:r>
      <w:r>
        <w:rPr>
          <w:rFonts w:hint="eastAsia" w:ascii="宋体" w:hAnsi="宋体"/>
          <w:b/>
          <w:highlight w:val="none"/>
        </w:rPr>
        <w:t>不填写此表视为完全响应招标文件内容。</w:t>
      </w:r>
    </w:p>
    <w:p w14:paraId="74EBF1BF">
      <w:pPr>
        <w:spacing w:line="380" w:lineRule="exact"/>
        <w:ind w:firstLine="4417" w:firstLineChars="2000"/>
        <w:rPr>
          <w:rFonts w:ascii="宋体" w:hAnsi="宋体"/>
          <w:b/>
          <w:sz w:val="22"/>
          <w:szCs w:val="22"/>
          <w:highlight w:val="none"/>
        </w:rPr>
      </w:pPr>
    </w:p>
    <w:p w14:paraId="3F232091">
      <w:pPr>
        <w:spacing w:line="380" w:lineRule="exact"/>
        <w:ind w:firstLine="4400" w:firstLineChars="2000"/>
        <w:rPr>
          <w:rFonts w:ascii="宋体" w:hAnsi="宋体"/>
          <w:sz w:val="22"/>
          <w:szCs w:val="22"/>
          <w:highlight w:val="none"/>
        </w:rPr>
      </w:pPr>
      <w:r>
        <w:rPr>
          <w:rFonts w:hint="eastAsia" w:ascii="宋体" w:hAnsi="宋体"/>
          <w:sz w:val="22"/>
          <w:szCs w:val="22"/>
          <w:highlight w:val="none"/>
        </w:rPr>
        <w:t>投标人全称（盖章）：</w:t>
      </w:r>
    </w:p>
    <w:p w14:paraId="458A587F">
      <w:pPr>
        <w:spacing w:line="380" w:lineRule="exact"/>
        <w:ind w:firstLine="4400" w:firstLineChars="2000"/>
        <w:rPr>
          <w:rFonts w:ascii="宋体" w:hAnsi="宋体"/>
          <w:sz w:val="22"/>
          <w:szCs w:val="22"/>
          <w:highlight w:val="none"/>
        </w:rPr>
      </w:pPr>
      <w:r>
        <w:rPr>
          <w:rFonts w:hint="eastAsia" w:ascii="宋体" w:hAnsi="宋体"/>
          <w:sz w:val="22"/>
          <w:szCs w:val="22"/>
          <w:highlight w:val="none"/>
        </w:rPr>
        <w:t>法定代表人或授权代表（签字或盖章）：</w:t>
      </w:r>
    </w:p>
    <w:p w14:paraId="4CE16742">
      <w:pPr>
        <w:spacing w:line="380" w:lineRule="exact"/>
        <w:ind w:firstLine="4400" w:firstLineChars="2000"/>
        <w:rPr>
          <w:rFonts w:ascii="宋体" w:hAnsi="宋体"/>
          <w:sz w:val="22"/>
          <w:szCs w:val="22"/>
          <w:highlight w:val="none"/>
        </w:rPr>
      </w:pPr>
      <w:r>
        <w:rPr>
          <w:rFonts w:hint="eastAsia" w:ascii="宋体" w:hAnsi="宋体"/>
          <w:sz w:val="22"/>
          <w:szCs w:val="22"/>
          <w:highlight w:val="none"/>
        </w:rPr>
        <w:t>日期：  年   月  日</w:t>
      </w:r>
    </w:p>
    <w:p w14:paraId="0156FC40">
      <w:pPr>
        <w:spacing w:line="400" w:lineRule="exact"/>
        <w:rPr>
          <w:rFonts w:ascii="宋体" w:hAnsi="宋体"/>
          <w:sz w:val="22"/>
          <w:szCs w:val="22"/>
          <w:highlight w:val="none"/>
        </w:rPr>
      </w:pPr>
    </w:p>
    <w:p w14:paraId="2BB65107">
      <w:pPr>
        <w:spacing w:line="460" w:lineRule="exact"/>
        <w:rPr>
          <w:rFonts w:ascii="宋体" w:hAnsi="宋体"/>
          <w:b/>
          <w:sz w:val="22"/>
          <w:szCs w:val="22"/>
          <w:highlight w:val="none"/>
        </w:rPr>
      </w:pPr>
      <w:r>
        <w:rPr>
          <w:rFonts w:hint="eastAsia" w:ascii="宋体" w:hAnsi="宋体"/>
          <w:highlight w:val="none"/>
        </w:rPr>
        <w:br w:type="page"/>
      </w:r>
    </w:p>
    <w:p w14:paraId="02561127">
      <w:pPr>
        <w:spacing w:line="460" w:lineRule="exact"/>
        <w:rPr>
          <w:rFonts w:hAnsi="宋体"/>
          <w:b/>
          <w:bCs/>
          <w:highlight w:val="none"/>
        </w:rPr>
      </w:pPr>
      <w:r>
        <w:rPr>
          <w:rFonts w:hint="eastAsia" w:ascii="宋体" w:hAnsi="宋体"/>
          <w:b/>
          <w:sz w:val="22"/>
          <w:szCs w:val="22"/>
          <w:highlight w:val="none"/>
        </w:rPr>
        <w:t>附件五</w:t>
      </w:r>
    </w:p>
    <w:p w14:paraId="681653F0">
      <w:pPr>
        <w:widowControl/>
        <w:jc w:val="left"/>
        <w:rPr>
          <w:rFonts w:ascii="宋体" w:hAnsi="宋体" w:cs="Arial"/>
          <w:b/>
          <w:bCs/>
          <w:sz w:val="24"/>
          <w:highlight w:val="none"/>
        </w:rPr>
      </w:pPr>
    </w:p>
    <w:p w14:paraId="4B968E8C">
      <w:pPr>
        <w:jc w:val="center"/>
        <w:rPr>
          <w:rFonts w:ascii="宋体" w:hAnsi="宋体"/>
          <w:b/>
          <w:spacing w:val="6"/>
          <w:sz w:val="22"/>
          <w:szCs w:val="22"/>
          <w:highlight w:val="none"/>
        </w:rPr>
      </w:pPr>
      <w:r>
        <w:rPr>
          <w:rFonts w:hint="eastAsia" w:ascii="宋体" w:hAnsi="宋体"/>
          <w:b/>
          <w:spacing w:val="6"/>
          <w:sz w:val="22"/>
          <w:szCs w:val="22"/>
          <w:highlight w:val="none"/>
        </w:rPr>
        <w:t>政府采购活动现场确认声明书</w:t>
      </w:r>
    </w:p>
    <w:p w14:paraId="196157BA">
      <w:pPr>
        <w:tabs>
          <w:tab w:val="left" w:pos="795"/>
          <w:tab w:val="center" w:pos="4873"/>
        </w:tabs>
        <w:overflowPunct w:val="0"/>
        <w:spacing w:line="460" w:lineRule="exact"/>
        <w:ind w:firstLine="118" w:firstLineChars="49"/>
        <w:jc w:val="left"/>
        <w:rPr>
          <w:rFonts w:ascii="宋体" w:hAnsi="宋体" w:cs="Arial"/>
          <w:b/>
          <w:bCs/>
          <w:sz w:val="24"/>
          <w:highlight w:val="none"/>
        </w:rPr>
      </w:pPr>
    </w:p>
    <w:p w14:paraId="610A78F5">
      <w:pPr>
        <w:pStyle w:val="811"/>
        <w:widowControl w:val="0"/>
        <w:snapToGrid w:val="0"/>
        <w:spacing w:line="440" w:lineRule="exact"/>
        <w:jc w:val="both"/>
        <w:rPr>
          <w:rFonts w:hint="default" w:hAnsi="宋体"/>
          <w:b/>
          <w:spacing w:val="6"/>
          <w:sz w:val="22"/>
          <w:szCs w:val="22"/>
          <w:highlight w:val="none"/>
          <w:u w:val="single"/>
        </w:rPr>
      </w:pPr>
      <w:r>
        <w:rPr>
          <w:rFonts w:hint="eastAsia" w:hAnsi="宋体"/>
          <w:b/>
          <w:bCs/>
          <w:spacing w:val="6"/>
          <w:sz w:val="22"/>
          <w:szCs w:val="22"/>
          <w:highlight w:val="none"/>
          <w:u w:val="single"/>
          <w:lang w:eastAsia="zh-CN"/>
        </w:rPr>
        <w:t>温州市龙湾区人民政府海滨街道办事处</w:t>
      </w:r>
      <w:r>
        <w:rPr>
          <w:rFonts w:hAnsi="宋体"/>
          <w:b/>
          <w:spacing w:val="6"/>
          <w:sz w:val="22"/>
          <w:szCs w:val="22"/>
          <w:highlight w:val="none"/>
        </w:rPr>
        <w:t>：</w:t>
      </w:r>
    </w:p>
    <w:p w14:paraId="137F0AB5">
      <w:pPr>
        <w:pStyle w:val="811"/>
        <w:widowControl w:val="0"/>
        <w:snapToGrid w:val="0"/>
        <w:spacing w:line="440" w:lineRule="exact"/>
        <w:jc w:val="both"/>
        <w:rPr>
          <w:rFonts w:hint="default" w:hAnsi="宋体"/>
          <w:b/>
          <w:spacing w:val="6"/>
          <w:sz w:val="22"/>
          <w:szCs w:val="22"/>
          <w:highlight w:val="none"/>
          <w:u w:val="single"/>
        </w:rPr>
      </w:pPr>
      <w:r>
        <w:rPr>
          <w:rFonts w:hAnsi="宋体"/>
          <w:b/>
          <w:spacing w:val="6"/>
          <w:sz w:val="22"/>
          <w:szCs w:val="22"/>
          <w:highlight w:val="none"/>
          <w:u w:val="single"/>
        </w:rPr>
        <w:t>温州市滨海招标代理有限公司</w:t>
      </w:r>
      <w:r>
        <w:rPr>
          <w:rFonts w:hAnsi="宋体"/>
          <w:b/>
          <w:kern w:val="0"/>
          <w:sz w:val="22"/>
          <w:szCs w:val="22"/>
          <w:highlight w:val="none"/>
        </w:rPr>
        <w:t>：</w:t>
      </w:r>
    </w:p>
    <w:p w14:paraId="18C3D789">
      <w:pPr>
        <w:pStyle w:val="811"/>
        <w:widowControl w:val="0"/>
        <w:snapToGrid w:val="0"/>
        <w:spacing w:line="440" w:lineRule="exact"/>
        <w:ind w:firstLine="464" w:firstLineChars="200"/>
        <w:jc w:val="both"/>
        <w:rPr>
          <w:rFonts w:hint="default" w:hAnsi="宋体"/>
          <w:spacing w:val="6"/>
          <w:sz w:val="22"/>
          <w:szCs w:val="22"/>
          <w:highlight w:val="none"/>
        </w:rPr>
      </w:pPr>
      <w:r>
        <w:rPr>
          <w:rFonts w:hAnsi="宋体"/>
          <w:spacing w:val="6"/>
          <w:sz w:val="22"/>
          <w:szCs w:val="22"/>
          <w:highlight w:val="none"/>
        </w:rPr>
        <w:t>本人经由</w:t>
      </w:r>
      <w:r>
        <w:rPr>
          <w:rFonts w:hAnsi="宋体"/>
          <w:spacing w:val="6"/>
          <w:sz w:val="22"/>
          <w:szCs w:val="22"/>
          <w:highlight w:val="none"/>
          <w:u w:val="single"/>
        </w:rPr>
        <w:t xml:space="preserve">                       （单位）</w:t>
      </w:r>
      <w:r>
        <w:rPr>
          <w:rFonts w:hAnsi="宋体"/>
          <w:spacing w:val="6"/>
          <w:sz w:val="22"/>
          <w:szCs w:val="22"/>
          <w:highlight w:val="none"/>
        </w:rPr>
        <w:t>负责人</w:t>
      </w:r>
      <w:r>
        <w:rPr>
          <w:rFonts w:hAnsi="宋体"/>
          <w:spacing w:val="6"/>
          <w:sz w:val="22"/>
          <w:szCs w:val="22"/>
          <w:highlight w:val="none"/>
          <w:u w:val="single"/>
        </w:rPr>
        <w:t xml:space="preserve">          （姓名）</w:t>
      </w:r>
      <w:r>
        <w:rPr>
          <w:rFonts w:hAnsi="宋体"/>
          <w:spacing w:val="6"/>
          <w:sz w:val="22"/>
          <w:szCs w:val="22"/>
          <w:highlight w:val="none"/>
        </w:rPr>
        <w:t>合法授权</w:t>
      </w:r>
      <w:r>
        <w:rPr>
          <w:rFonts w:hint="eastAsia" w:hAnsi="宋体"/>
          <w:spacing w:val="6"/>
          <w:sz w:val="22"/>
          <w:szCs w:val="22"/>
          <w:highlight w:val="none"/>
          <w:u w:val="single"/>
          <w:lang w:eastAsia="zh-CN"/>
        </w:rPr>
        <w:t>温州至福州高速铁路（龙湾段）工程海滨街道北片区房屋征收事务代理项目</w:t>
      </w:r>
      <w:r>
        <w:rPr>
          <w:rFonts w:hAnsi="宋体"/>
          <w:spacing w:val="6"/>
          <w:sz w:val="22"/>
          <w:szCs w:val="22"/>
          <w:highlight w:val="none"/>
        </w:rPr>
        <w:t>（编号：</w:t>
      </w:r>
      <w:r>
        <w:rPr>
          <w:rFonts w:hint="eastAsia" w:hAnsi="宋体"/>
          <w:spacing w:val="6"/>
          <w:sz w:val="22"/>
          <w:szCs w:val="22"/>
          <w:highlight w:val="none"/>
          <w:u w:val="single"/>
          <w:lang w:eastAsia="zh-CN"/>
        </w:rPr>
        <w:t>WZBH-2025012401</w:t>
      </w:r>
      <w:r>
        <w:rPr>
          <w:rFonts w:hAnsi="宋体"/>
          <w:spacing w:val="6"/>
          <w:sz w:val="22"/>
          <w:szCs w:val="22"/>
          <w:highlight w:val="none"/>
        </w:rPr>
        <w:t xml:space="preserve">）政府采购活动，经与本单位法人代表（负责人）联系确认，现就有关公平竞争事项郑重声明如下： </w:t>
      </w:r>
    </w:p>
    <w:p w14:paraId="25E6F218">
      <w:pPr>
        <w:pStyle w:val="810"/>
        <w:widowControl/>
        <w:numPr>
          <w:ilvl w:val="0"/>
          <w:numId w:val="44"/>
        </w:numPr>
        <w:snapToGrid w:val="0"/>
        <w:spacing w:line="440" w:lineRule="exact"/>
        <w:ind w:firstLine="415" w:firstLineChars="189"/>
        <w:rPr>
          <w:rFonts w:hint="default" w:ascii="宋体" w:hAnsi="宋体"/>
          <w:kern w:val="0"/>
          <w:sz w:val="22"/>
          <w:szCs w:val="22"/>
          <w:highlight w:val="none"/>
        </w:rPr>
      </w:pPr>
      <w:r>
        <w:rPr>
          <w:rFonts w:ascii="宋体" w:hAnsi="宋体"/>
          <w:kern w:val="0"/>
          <w:sz w:val="22"/>
          <w:szCs w:val="22"/>
          <w:highlight w:val="none"/>
        </w:rPr>
        <w:t xml:space="preserve">本单位与采购人之间 </w:t>
      </w:r>
      <w:r>
        <w:rPr>
          <w:rFonts w:ascii="宋体" w:hAnsi="宋体" w:cs="宋体"/>
          <w:kern w:val="0"/>
          <w:sz w:val="22"/>
          <w:szCs w:val="22"/>
          <w:highlight w:val="none"/>
        </w:rPr>
        <w:t>□</w:t>
      </w:r>
      <w:r>
        <w:rPr>
          <w:rFonts w:ascii="宋体" w:hAnsi="宋体"/>
          <w:kern w:val="0"/>
          <w:sz w:val="22"/>
          <w:szCs w:val="22"/>
          <w:highlight w:val="none"/>
        </w:rPr>
        <w:t xml:space="preserve">不存在利害关系 </w:t>
      </w:r>
      <w:r>
        <w:rPr>
          <w:rFonts w:ascii="宋体" w:hAnsi="宋体" w:cs="宋体"/>
          <w:kern w:val="0"/>
          <w:sz w:val="22"/>
          <w:szCs w:val="22"/>
          <w:highlight w:val="none"/>
        </w:rPr>
        <w:t>□</w:t>
      </w:r>
      <w:r>
        <w:rPr>
          <w:rFonts w:ascii="宋体" w:hAnsi="宋体"/>
          <w:kern w:val="0"/>
          <w:sz w:val="22"/>
          <w:szCs w:val="22"/>
          <w:highlight w:val="none"/>
        </w:rPr>
        <w:t>存在下列利害关系：</w:t>
      </w:r>
    </w:p>
    <w:p w14:paraId="2933352D">
      <w:pPr>
        <w:pStyle w:val="810"/>
        <w:widowControl/>
        <w:snapToGrid w:val="0"/>
        <w:spacing w:line="440" w:lineRule="exact"/>
        <w:rPr>
          <w:rFonts w:hint="default" w:ascii="宋体" w:hAnsi="宋体"/>
          <w:kern w:val="0"/>
          <w:sz w:val="22"/>
          <w:szCs w:val="22"/>
          <w:highlight w:val="none"/>
        </w:rPr>
      </w:pPr>
      <w:r>
        <w:rPr>
          <w:rFonts w:ascii="宋体" w:hAnsi="宋体"/>
          <w:kern w:val="0"/>
          <w:sz w:val="22"/>
          <w:szCs w:val="22"/>
          <w:highlight w:val="none"/>
        </w:rPr>
        <w:t xml:space="preserve">  A.投资关系    B.行政隶属关系    C.业务指导关系</w:t>
      </w:r>
    </w:p>
    <w:p w14:paraId="3CDAE234">
      <w:pPr>
        <w:pStyle w:val="810"/>
        <w:widowControl/>
        <w:snapToGrid w:val="0"/>
        <w:spacing w:line="440" w:lineRule="exact"/>
        <w:rPr>
          <w:rFonts w:hint="default" w:ascii="宋体" w:hAnsi="宋体"/>
          <w:kern w:val="0"/>
          <w:sz w:val="22"/>
          <w:szCs w:val="22"/>
          <w:highlight w:val="none"/>
        </w:rPr>
      </w:pPr>
      <w:r>
        <w:rPr>
          <w:rFonts w:ascii="宋体" w:hAnsi="宋体"/>
          <w:kern w:val="0"/>
          <w:sz w:val="22"/>
          <w:szCs w:val="22"/>
          <w:highlight w:val="none"/>
        </w:rPr>
        <w:t xml:space="preserve">  D.其他可能</w:t>
      </w:r>
      <w:r>
        <w:rPr>
          <w:rFonts w:ascii="宋体" w:hAnsi="宋体"/>
          <w:sz w:val="22"/>
          <w:szCs w:val="22"/>
          <w:highlight w:val="none"/>
        </w:rPr>
        <w:t>影响采购公正的</w:t>
      </w:r>
      <w:r>
        <w:rPr>
          <w:rFonts w:ascii="宋体" w:hAnsi="宋体"/>
          <w:kern w:val="0"/>
          <w:sz w:val="22"/>
          <w:szCs w:val="22"/>
          <w:highlight w:val="none"/>
        </w:rPr>
        <w:t>利害关系</w:t>
      </w:r>
      <w:r>
        <w:rPr>
          <w:rFonts w:ascii="宋体" w:hAnsi="宋体"/>
          <w:kern w:val="0"/>
          <w:sz w:val="22"/>
          <w:szCs w:val="22"/>
          <w:highlight w:val="none"/>
          <w:u w:val="single"/>
        </w:rPr>
        <w:t xml:space="preserve">（如有，请如实说明）                 </w:t>
      </w:r>
      <w:r>
        <w:rPr>
          <w:rFonts w:ascii="宋体" w:hAnsi="宋体"/>
          <w:kern w:val="0"/>
          <w:sz w:val="22"/>
          <w:szCs w:val="22"/>
          <w:highlight w:val="none"/>
        </w:rPr>
        <w:t>。</w:t>
      </w:r>
    </w:p>
    <w:p w14:paraId="0F55EAD3">
      <w:pPr>
        <w:pStyle w:val="810"/>
        <w:widowControl/>
        <w:snapToGrid w:val="0"/>
        <w:spacing w:line="440" w:lineRule="exact"/>
        <w:rPr>
          <w:rFonts w:hint="default" w:ascii="宋体" w:hAnsi="宋体"/>
          <w:kern w:val="0"/>
          <w:sz w:val="22"/>
          <w:szCs w:val="22"/>
          <w:highlight w:val="none"/>
        </w:rPr>
      </w:pPr>
      <w:r>
        <w:rPr>
          <w:rFonts w:ascii="宋体" w:hAnsi="宋体"/>
          <w:spacing w:val="6"/>
          <w:sz w:val="22"/>
          <w:szCs w:val="22"/>
          <w:highlight w:val="none"/>
        </w:rPr>
        <w:t xml:space="preserve">  二、</w:t>
      </w:r>
      <w:r>
        <w:rPr>
          <w:rFonts w:ascii="宋体" w:hAnsi="宋体"/>
          <w:kern w:val="0"/>
          <w:sz w:val="22"/>
          <w:szCs w:val="22"/>
          <w:highlight w:val="none"/>
        </w:rPr>
        <w:t xml:space="preserve">现已清楚知道参加本项目采购活动的其他所有投标人名称，本单位 </w:t>
      </w:r>
      <w:r>
        <w:rPr>
          <w:rFonts w:ascii="宋体" w:hAnsi="宋体" w:cs="宋体"/>
          <w:kern w:val="0"/>
          <w:sz w:val="22"/>
          <w:szCs w:val="22"/>
          <w:highlight w:val="none"/>
        </w:rPr>
        <w:t>□与其他所有投标人之间均</w:t>
      </w:r>
      <w:r>
        <w:rPr>
          <w:rFonts w:ascii="宋体" w:hAnsi="宋体"/>
          <w:kern w:val="0"/>
          <w:sz w:val="22"/>
          <w:szCs w:val="22"/>
          <w:highlight w:val="none"/>
        </w:rPr>
        <w:t xml:space="preserve">不存在利害关系 </w:t>
      </w:r>
      <w:r>
        <w:rPr>
          <w:rFonts w:ascii="宋体" w:hAnsi="宋体" w:cs="宋体"/>
          <w:kern w:val="0"/>
          <w:sz w:val="22"/>
          <w:szCs w:val="22"/>
          <w:highlight w:val="none"/>
        </w:rPr>
        <w:t>□与</w:t>
      </w:r>
      <w:r>
        <w:rPr>
          <w:rFonts w:ascii="宋体" w:hAnsi="宋体" w:cs="宋体"/>
          <w:kern w:val="0"/>
          <w:sz w:val="22"/>
          <w:szCs w:val="22"/>
          <w:highlight w:val="none"/>
          <w:u w:val="single"/>
        </w:rPr>
        <w:t xml:space="preserve">           （投标人名称）</w:t>
      </w:r>
      <w:r>
        <w:rPr>
          <w:rFonts w:ascii="宋体" w:hAnsi="宋体" w:cs="宋体"/>
          <w:kern w:val="0"/>
          <w:sz w:val="22"/>
          <w:szCs w:val="22"/>
          <w:highlight w:val="none"/>
        </w:rPr>
        <w:t>之间</w:t>
      </w:r>
      <w:r>
        <w:rPr>
          <w:rFonts w:ascii="宋体" w:hAnsi="宋体"/>
          <w:kern w:val="0"/>
          <w:sz w:val="22"/>
          <w:szCs w:val="22"/>
          <w:highlight w:val="none"/>
        </w:rPr>
        <w:t>存在下列利害关系：</w:t>
      </w:r>
    </w:p>
    <w:p w14:paraId="29F595D3">
      <w:pPr>
        <w:pStyle w:val="811"/>
        <w:widowControl w:val="0"/>
        <w:snapToGrid w:val="0"/>
        <w:spacing w:line="440" w:lineRule="exact"/>
        <w:jc w:val="both"/>
        <w:rPr>
          <w:rFonts w:hint="default" w:hAnsi="宋体"/>
          <w:kern w:val="0"/>
          <w:sz w:val="22"/>
          <w:szCs w:val="22"/>
          <w:highlight w:val="none"/>
        </w:rPr>
      </w:pPr>
      <w:r>
        <w:rPr>
          <w:rFonts w:hAnsi="宋体"/>
          <w:kern w:val="0"/>
          <w:sz w:val="22"/>
          <w:szCs w:val="22"/>
          <w:highlight w:val="none"/>
        </w:rPr>
        <w:t xml:space="preserve">  A.法定代表人或负责人或实际控制人是同一人</w:t>
      </w:r>
    </w:p>
    <w:p w14:paraId="252D2410">
      <w:pPr>
        <w:pStyle w:val="811"/>
        <w:widowControl w:val="0"/>
        <w:snapToGrid w:val="0"/>
        <w:spacing w:line="440" w:lineRule="exact"/>
        <w:jc w:val="both"/>
        <w:rPr>
          <w:rFonts w:hint="default" w:hAnsi="宋体"/>
          <w:spacing w:val="6"/>
          <w:sz w:val="22"/>
          <w:szCs w:val="22"/>
          <w:highlight w:val="none"/>
        </w:rPr>
      </w:pPr>
      <w:r>
        <w:rPr>
          <w:rFonts w:hAnsi="宋体"/>
          <w:kern w:val="0"/>
          <w:sz w:val="22"/>
          <w:szCs w:val="22"/>
          <w:highlight w:val="none"/>
        </w:rPr>
        <w:t xml:space="preserve">  B.法定代表人或负责人或实际控制人是夫妻关系</w:t>
      </w:r>
    </w:p>
    <w:p w14:paraId="6D6A8019">
      <w:pPr>
        <w:pStyle w:val="811"/>
        <w:widowControl w:val="0"/>
        <w:snapToGrid w:val="0"/>
        <w:spacing w:line="440" w:lineRule="exact"/>
        <w:jc w:val="both"/>
        <w:rPr>
          <w:rFonts w:hint="default" w:hAnsi="宋体"/>
          <w:spacing w:val="6"/>
          <w:sz w:val="22"/>
          <w:szCs w:val="22"/>
          <w:highlight w:val="none"/>
        </w:rPr>
      </w:pPr>
      <w:r>
        <w:rPr>
          <w:rFonts w:hAnsi="宋体"/>
          <w:kern w:val="0"/>
          <w:sz w:val="22"/>
          <w:szCs w:val="22"/>
          <w:highlight w:val="none"/>
        </w:rPr>
        <w:t xml:space="preserve">  C.法定代表人或负责人或实际控制人是直系血亲关系</w:t>
      </w:r>
    </w:p>
    <w:p w14:paraId="6DBA6A87">
      <w:pPr>
        <w:pStyle w:val="811"/>
        <w:widowControl w:val="0"/>
        <w:snapToGrid w:val="0"/>
        <w:spacing w:line="440" w:lineRule="exact"/>
        <w:jc w:val="both"/>
        <w:rPr>
          <w:rFonts w:hint="default" w:hAnsi="宋体"/>
          <w:spacing w:val="6"/>
          <w:sz w:val="22"/>
          <w:szCs w:val="22"/>
          <w:highlight w:val="none"/>
        </w:rPr>
      </w:pPr>
      <w:r>
        <w:rPr>
          <w:rFonts w:hAnsi="宋体"/>
          <w:kern w:val="0"/>
          <w:sz w:val="22"/>
          <w:szCs w:val="22"/>
          <w:highlight w:val="none"/>
        </w:rPr>
        <w:t xml:space="preserve">  D.法定代表人或负责人或实际控制人存在三代以内旁系血亲关系</w:t>
      </w:r>
    </w:p>
    <w:p w14:paraId="7DD97405">
      <w:pPr>
        <w:pStyle w:val="811"/>
        <w:widowControl w:val="0"/>
        <w:snapToGrid w:val="0"/>
        <w:spacing w:line="440" w:lineRule="exact"/>
        <w:jc w:val="both"/>
        <w:rPr>
          <w:rFonts w:hint="default" w:hAnsi="宋体"/>
          <w:kern w:val="0"/>
          <w:sz w:val="22"/>
          <w:szCs w:val="22"/>
          <w:highlight w:val="none"/>
        </w:rPr>
      </w:pPr>
      <w:r>
        <w:rPr>
          <w:rFonts w:hAnsi="宋体"/>
          <w:kern w:val="0"/>
          <w:sz w:val="22"/>
          <w:szCs w:val="22"/>
          <w:highlight w:val="none"/>
        </w:rPr>
        <w:t xml:space="preserve">  E.法定代表人或负责人或实际控制人存在近姻亲关系</w:t>
      </w:r>
    </w:p>
    <w:p w14:paraId="16511361">
      <w:pPr>
        <w:pStyle w:val="811"/>
        <w:widowControl w:val="0"/>
        <w:snapToGrid w:val="0"/>
        <w:spacing w:line="440" w:lineRule="exact"/>
        <w:jc w:val="both"/>
        <w:rPr>
          <w:rFonts w:hint="default" w:hAnsi="宋体"/>
          <w:kern w:val="0"/>
          <w:sz w:val="22"/>
          <w:szCs w:val="22"/>
          <w:highlight w:val="none"/>
        </w:rPr>
      </w:pPr>
      <w:r>
        <w:rPr>
          <w:rFonts w:hAnsi="宋体"/>
          <w:kern w:val="0"/>
          <w:sz w:val="22"/>
          <w:szCs w:val="22"/>
          <w:highlight w:val="none"/>
        </w:rPr>
        <w:t xml:space="preserve">  F.法定代表人或负责人或实际控制人存在股份控制或实际控制关系</w:t>
      </w:r>
    </w:p>
    <w:p w14:paraId="3EBDFF1A">
      <w:pPr>
        <w:pStyle w:val="811"/>
        <w:widowControl w:val="0"/>
        <w:snapToGrid w:val="0"/>
        <w:spacing w:line="440" w:lineRule="exact"/>
        <w:jc w:val="both"/>
        <w:outlineLvl w:val="0"/>
        <w:rPr>
          <w:rFonts w:hint="default" w:hAnsi="宋体"/>
          <w:kern w:val="0"/>
          <w:sz w:val="22"/>
          <w:szCs w:val="22"/>
          <w:highlight w:val="none"/>
        </w:rPr>
      </w:pPr>
      <w:r>
        <w:rPr>
          <w:rFonts w:hAnsi="宋体"/>
          <w:kern w:val="0"/>
          <w:sz w:val="22"/>
          <w:szCs w:val="22"/>
          <w:highlight w:val="none"/>
        </w:rPr>
        <w:t xml:space="preserve">  </w:t>
      </w:r>
      <w:bookmarkStart w:id="244" w:name="_Toc22986"/>
      <w:bookmarkStart w:id="245" w:name="_Toc26171"/>
      <w:bookmarkStart w:id="246" w:name="_Toc19550"/>
      <w:r>
        <w:rPr>
          <w:rFonts w:hAnsi="宋体"/>
          <w:kern w:val="0"/>
          <w:sz w:val="22"/>
          <w:szCs w:val="22"/>
          <w:highlight w:val="none"/>
        </w:rPr>
        <w:t>G.存在共同直接或间接投资设立子公司、联营企业和合营企业情况</w:t>
      </w:r>
      <w:bookmarkEnd w:id="244"/>
      <w:bookmarkEnd w:id="245"/>
      <w:bookmarkEnd w:id="246"/>
    </w:p>
    <w:p w14:paraId="4B9F6B1F">
      <w:pPr>
        <w:pStyle w:val="811"/>
        <w:widowControl w:val="0"/>
        <w:snapToGrid w:val="0"/>
        <w:spacing w:line="440" w:lineRule="exact"/>
        <w:jc w:val="both"/>
        <w:rPr>
          <w:rFonts w:hint="default" w:hAnsi="宋体"/>
          <w:sz w:val="22"/>
          <w:szCs w:val="22"/>
          <w:highlight w:val="none"/>
        </w:rPr>
      </w:pPr>
      <w:r>
        <w:rPr>
          <w:rFonts w:hAnsi="宋体"/>
          <w:kern w:val="0"/>
          <w:sz w:val="22"/>
          <w:szCs w:val="22"/>
          <w:highlight w:val="none"/>
        </w:rPr>
        <w:t xml:space="preserve">  H.存在分级代理或代销关系、同一生产制造商关系、</w:t>
      </w:r>
      <w:r>
        <w:rPr>
          <w:rFonts w:hAnsi="宋体"/>
          <w:sz w:val="22"/>
          <w:szCs w:val="22"/>
          <w:highlight w:val="none"/>
        </w:rPr>
        <w:t>管理关系、重要业务（占主营业务收入50%以上）或重要财务往来关系（如融资）等其他实质性控制关系</w:t>
      </w:r>
    </w:p>
    <w:p w14:paraId="27EEF9FE">
      <w:pPr>
        <w:pStyle w:val="811"/>
        <w:widowControl w:val="0"/>
        <w:snapToGrid w:val="0"/>
        <w:spacing w:line="440" w:lineRule="exact"/>
        <w:jc w:val="both"/>
        <w:rPr>
          <w:rFonts w:hint="default" w:hAnsi="宋体"/>
          <w:spacing w:val="6"/>
          <w:sz w:val="22"/>
          <w:szCs w:val="22"/>
          <w:highlight w:val="none"/>
        </w:rPr>
      </w:pPr>
      <w:r>
        <w:rPr>
          <w:rFonts w:hAnsi="宋体"/>
          <w:sz w:val="22"/>
          <w:szCs w:val="22"/>
          <w:highlight w:val="none"/>
        </w:rPr>
        <w:t xml:space="preserve">  I</w:t>
      </w:r>
      <w:r>
        <w:rPr>
          <w:rFonts w:hAnsi="宋体"/>
          <w:kern w:val="0"/>
          <w:sz w:val="22"/>
          <w:szCs w:val="22"/>
          <w:highlight w:val="none"/>
        </w:rPr>
        <w:t>.</w:t>
      </w:r>
      <w:r>
        <w:rPr>
          <w:rFonts w:hAnsi="宋体"/>
          <w:sz w:val="22"/>
          <w:szCs w:val="22"/>
          <w:highlight w:val="none"/>
        </w:rPr>
        <w:t>其他利害关系情况</w:t>
      </w:r>
      <w:r>
        <w:rPr>
          <w:rFonts w:hAnsi="宋体"/>
          <w:kern w:val="0"/>
          <w:sz w:val="22"/>
          <w:szCs w:val="22"/>
          <w:highlight w:val="none"/>
        </w:rPr>
        <w:t>。</w:t>
      </w:r>
    </w:p>
    <w:p w14:paraId="34E21C46">
      <w:pPr>
        <w:pStyle w:val="810"/>
        <w:widowControl/>
        <w:numPr>
          <w:ilvl w:val="0"/>
          <w:numId w:val="45"/>
        </w:numPr>
        <w:snapToGrid w:val="0"/>
        <w:spacing w:line="440" w:lineRule="exact"/>
        <w:ind w:firstLine="415" w:firstLineChars="189"/>
        <w:rPr>
          <w:rFonts w:hint="default" w:ascii="宋体" w:hAnsi="宋体"/>
          <w:kern w:val="0"/>
          <w:sz w:val="22"/>
          <w:szCs w:val="22"/>
          <w:highlight w:val="none"/>
        </w:rPr>
      </w:pPr>
      <w:r>
        <w:rPr>
          <w:rFonts w:ascii="宋体" w:hAnsi="宋体"/>
          <w:sz w:val="22"/>
          <w:szCs w:val="22"/>
          <w:highlight w:val="none"/>
        </w:rPr>
        <w:t>现已清楚知道并</w:t>
      </w:r>
      <w:r>
        <w:rPr>
          <w:rFonts w:ascii="宋体" w:hAnsi="宋体"/>
          <w:kern w:val="0"/>
          <w:sz w:val="22"/>
          <w:szCs w:val="22"/>
          <w:highlight w:val="none"/>
        </w:rPr>
        <w:t>严格遵守政府采购法律法规和现场纪律。</w:t>
      </w:r>
    </w:p>
    <w:p w14:paraId="63ACAE17">
      <w:pPr>
        <w:pStyle w:val="810"/>
        <w:widowControl/>
        <w:numPr>
          <w:ilvl w:val="0"/>
          <w:numId w:val="45"/>
        </w:numPr>
        <w:snapToGrid w:val="0"/>
        <w:spacing w:line="440" w:lineRule="exact"/>
        <w:ind w:firstLine="415" w:firstLineChars="189"/>
        <w:rPr>
          <w:rFonts w:hint="default" w:ascii="宋体" w:hAnsi="宋体"/>
          <w:kern w:val="0"/>
          <w:sz w:val="22"/>
          <w:szCs w:val="22"/>
          <w:highlight w:val="none"/>
        </w:rPr>
      </w:pPr>
      <w:r>
        <w:rPr>
          <w:rFonts w:ascii="宋体" w:hAnsi="宋体"/>
          <w:kern w:val="0"/>
          <w:sz w:val="22"/>
          <w:szCs w:val="22"/>
          <w:highlight w:val="none"/>
        </w:rPr>
        <w:t>我发现投标人之间存在或可能存在上述第二条第项利害关系。</w:t>
      </w:r>
    </w:p>
    <w:p w14:paraId="3CF4C3AC">
      <w:pPr>
        <w:pStyle w:val="811"/>
        <w:widowControl w:val="0"/>
        <w:snapToGrid w:val="0"/>
        <w:spacing w:line="440" w:lineRule="exact"/>
        <w:ind w:firstLine="440" w:firstLineChars="200"/>
        <w:jc w:val="both"/>
        <w:rPr>
          <w:rFonts w:hint="default" w:hAnsi="宋体"/>
          <w:sz w:val="22"/>
          <w:szCs w:val="22"/>
          <w:highlight w:val="none"/>
        </w:rPr>
      </w:pPr>
    </w:p>
    <w:p w14:paraId="044E3AA9">
      <w:pPr>
        <w:pStyle w:val="811"/>
        <w:widowControl w:val="0"/>
        <w:snapToGrid w:val="0"/>
        <w:spacing w:line="440" w:lineRule="exact"/>
        <w:ind w:firstLine="440" w:firstLineChars="200"/>
        <w:jc w:val="both"/>
        <w:rPr>
          <w:rFonts w:hint="default" w:hAnsi="宋体"/>
          <w:sz w:val="22"/>
          <w:szCs w:val="22"/>
          <w:highlight w:val="none"/>
        </w:rPr>
      </w:pPr>
      <w:r>
        <w:rPr>
          <w:rFonts w:hAnsi="宋体"/>
          <w:sz w:val="22"/>
          <w:szCs w:val="22"/>
          <w:highlight w:val="none"/>
        </w:rPr>
        <w:t xml:space="preserve">                                投标人代表签名：</w:t>
      </w:r>
    </w:p>
    <w:p w14:paraId="4AEAE0DA">
      <w:pPr>
        <w:pStyle w:val="811"/>
        <w:widowControl w:val="0"/>
        <w:snapToGrid w:val="0"/>
        <w:spacing w:line="440" w:lineRule="exact"/>
        <w:ind w:firstLine="440" w:firstLineChars="200"/>
        <w:jc w:val="both"/>
        <w:rPr>
          <w:rFonts w:hint="default" w:hAnsi="宋体"/>
          <w:sz w:val="22"/>
          <w:szCs w:val="22"/>
          <w:highlight w:val="none"/>
        </w:rPr>
      </w:pPr>
      <w:r>
        <w:rPr>
          <w:rFonts w:hAnsi="宋体"/>
          <w:sz w:val="22"/>
          <w:szCs w:val="22"/>
          <w:highlight w:val="none"/>
        </w:rPr>
        <w:t xml:space="preserve">                                    年   月   日</w:t>
      </w:r>
    </w:p>
    <w:p w14:paraId="56E9A07D">
      <w:pPr>
        <w:tabs>
          <w:tab w:val="left" w:pos="795"/>
          <w:tab w:val="center" w:pos="4873"/>
        </w:tabs>
        <w:overflowPunct w:val="0"/>
        <w:spacing w:line="460" w:lineRule="exact"/>
        <w:ind w:firstLine="118" w:firstLineChars="49"/>
        <w:jc w:val="left"/>
        <w:rPr>
          <w:rFonts w:ascii="宋体" w:hAnsi="宋体" w:cs="Arial"/>
          <w:b/>
          <w:bCs/>
          <w:sz w:val="24"/>
          <w:highlight w:val="none"/>
        </w:rPr>
      </w:pPr>
    </w:p>
    <w:p w14:paraId="77AA872F">
      <w:pPr>
        <w:pStyle w:val="4"/>
        <w:rPr>
          <w:highlight w:val="none"/>
        </w:rPr>
      </w:pPr>
    </w:p>
    <w:p w14:paraId="048B5738">
      <w:pPr>
        <w:spacing w:line="400" w:lineRule="exact"/>
        <w:ind w:left="0" w:leftChars="0" w:firstLine="0" w:firstLineChars="0"/>
        <w:rPr>
          <w:rFonts w:ascii="宋体" w:hAnsi="宋体" w:cs="Arial"/>
          <w:sz w:val="22"/>
          <w:szCs w:val="22"/>
          <w:highlight w:val="none"/>
        </w:rPr>
      </w:pPr>
      <w:r>
        <w:rPr>
          <w:rFonts w:hint="eastAsia" w:ascii="宋体" w:hAnsi="宋体"/>
          <w:b/>
          <w:sz w:val="22"/>
          <w:szCs w:val="22"/>
          <w:highlight w:val="none"/>
          <w:u w:val="single"/>
          <w:lang w:val="en-US" w:eastAsia="zh-CN"/>
        </w:rPr>
        <w:t>注：</w:t>
      </w:r>
      <w:r>
        <w:rPr>
          <w:rFonts w:hint="eastAsia" w:ascii="宋体" w:hAnsi="宋体"/>
          <w:b/>
          <w:sz w:val="22"/>
          <w:szCs w:val="22"/>
          <w:highlight w:val="none"/>
          <w:u w:val="single"/>
        </w:rPr>
        <w:t>电子响应文件解密结束后，各投标人签署《政府采购活动现场确认声明书》后将扫描件发送至采购代理机构邮箱305606728@qq.com。</w:t>
      </w:r>
    </w:p>
    <w:sectPr>
      <w:footerReference r:id="rId11" w:type="first"/>
      <w:headerReference r:id="rId9" w:type="default"/>
      <w:footerReference r:id="rId10"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hakuyoxingshu7000">
    <w:altName w:val="宋体"/>
    <w:panose1 w:val="00000000000000000000"/>
    <w:charset w:val="86"/>
    <w:family w:val="auto"/>
    <w:pitch w:val="default"/>
    <w:sig w:usb0="00000000" w:usb1="00000000" w:usb2="0000003F" w:usb3="00000000" w:csb0="003F00F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5199">
    <w:pPr>
      <w:pStyle w:val="42"/>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ACB69">
                          <w:pPr>
                            <w:pStyle w:val="4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1FACB69">
                    <w:pPr>
                      <w:pStyle w:val="4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3C0C8">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EF965">
                          <w:pPr>
                            <w:pStyle w:val="4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B1EF965">
                    <w:pPr>
                      <w:pStyle w:val="4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880E">
    <w:pPr>
      <w:pStyle w:val="42"/>
      <w:framePr w:wrap="around" w:vAnchor="text" w:hAnchor="margin" w:xAlign="center" w:y="1"/>
      <w:pBdr>
        <w:bottom w:val="single" w:color="auto" w:sz="6" w:space="3"/>
      </w:pBdr>
      <w:rPr>
        <w:rStyle w:val="69"/>
      </w:rPr>
    </w:pPr>
    <w:r>
      <w:fldChar w:fldCharType="begin"/>
    </w:r>
    <w:r>
      <w:rPr>
        <w:rStyle w:val="69"/>
      </w:rPr>
      <w:instrText xml:space="preserve">PAGE  </w:instrText>
    </w:r>
    <w:r>
      <w:fldChar w:fldCharType="end"/>
    </w:r>
  </w:p>
  <w:p w14:paraId="19ED7F7E">
    <w:pPr>
      <w:pStyle w:val="42"/>
      <w:pBdr>
        <w:bottom w:val="single" w:color="auto" w:sz="6" w:space="3"/>
      </w:pBd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1D16">
    <w:pPr>
      <w:pStyle w:val="42"/>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FDBAF">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E1CFE">
                          <w:pPr>
                            <w:jc w:val="center"/>
                          </w:pPr>
                          <w:r>
                            <w:fldChar w:fldCharType="begin"/>
                          </w:r>
                          <w:r>
                            <w:instrText xml:space="preserve"> PAGE   \* MERGEFORMAT </w:instrText>
                          </w:r>
                          <w:r>
                            <w:fldChar w:fldCharType="separate"/>
                          </w:r>
                          <w:r>
                            <w:rPr>
                              <w:lang w:val="zh-CN"/>
                            </w:rPr>
                            <w:t>43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41E1CFE">
                    <w:pPr>
                      <w:jc w:val="center"/>
                    </w:pPr>
                    <w:r>
                      <w:fldChar w:fldCharType="begin"/>
                    </w:r>
                    <w:r>
                      <w:instrText xml:space="preserve"> PAGE   \* MERGEFORMAT </w:instrText>
                    </w:r>
                    <w:r>
                      <w:fldChar w:fldCharType="separate"/>
                    </w:r>
                    <w:r>
                      <w:rPr>
                        <w:lang w:val="zh-CN"/>
                      </w:rPr>
                      <w:t>43</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F158">
    <w:pPr>
      <w:pStyle w:val="4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96BA9">
                          <w:pPr>
                            <w:pStyle w:val="4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296BA9">
                    <w:pPr>
                      <w:pStyle w:val="4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A927">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40905">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BE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C9DA"/>
    <w:multiLevelType w:val="multilevel"/>
    <w:tmpl w:val="8159C9DA"/>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851DD5D3"/>
    <w:multiLevelType w:val="multilevel"/>
    <w:tmpl w:val="851DD5D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85570643"/>
    <w:multiLevelType w:val="multilevel"/>
    <w:tmpl w:val="8557064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8E6810CA"/>
    <w:multiLevelType w:val="multilevel"/>
    <w:tmpl w:val="8E6810C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B0C8D056"/>
    <w:multiLevelType w:val="multilevel"/>
    <w:tmpl w:val="B0C8D0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
    <w:nsid w:val="B101DE90"/>
    <w:multiLevelType w:val="singleLevel"/>
    <w:tmpl w:val="B101DE9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B41003A9"/>
    <w:multiLevelType w:val="multilevel"/>
    <w:tmpl w:val="B41003A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B98F8BE0"/>
    <w:multiLevelType w:val="multilevel"/>
    <w:tmpl w:val="B98F8BE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BE864F71"/>
    <w:multiLevelType w:val="singleLevel"/>
    <w:tmpl w:val="BE864F71"/>
    <w:lvl w:ilvl="0" w:tentative="0">
      <w:start w:val="1"/>
      <w:numFmt w:val="decimal"/>
      <w:lvlText w:val="%1."/>
      <w:lvlJc w:val="left"/>
      <w:pPr>
        <w:ind w:left="425" w:hanging="425"/>
      </w:pPr>
      <w:rPr>
        <w:rFonts w:hint="default"/>
      </w:rPr>
    </w:lvl>
  </w:abstractNum>
  <w:abstractNum w:abstractNumId="9">
    <w:nsid w:val="C7F702AA"/>
    <w:multiLevelType w:val="multilevel"/>
    <w:tmpl w:val="C7F702AA"/>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D1B5A987"/>
    <w:multiLevelType w:val="multilevel"/>
    <w:tmpl w:val="D1B5A987"/>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DC08EC6E"/>
    <w:multiLevelType w:val="multilevel"/>
    <w:tmpl w:val="DC08EC6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EC545A32"/>
    <w:multiLevelType w:val="multilevel"/>
    <w:tmpl w:val="EC545A3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7F1F61"/>
    <w:multiLevelType w:val="multilevel"/>
    <w:tmpl w:val="007F1F6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7">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1808B767"/>
    <w:multiLevelType w:val="multilevel"/>
    <w:tmpl w:val="1808B76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18C1EDA2"/>
    <w:multiLevelType w:val="multilevel"/>
    <w:tmpl w:val="18C1EDA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1C337121"/>
    <w:multiLevelType w:val="multilevel"/>
    <w:tmpl w:val="1C337121"/>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1DE6CA46"/>
    <w:multiLevelType w:val="multilevel"/>
    <w:tmpl w:val="1DE6CA4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1E507798"/>
    <w:multiLevelType w:val="multilevel"/>
    <w:tmpl w:val="1E507798"/>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5">
    <w:nsid w:val="1FBAA356"/>
    <w:multiLevelType w:val="multilevel"/>
    <w:tmpl w:val="1FBAA35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7">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D639A9"/>
    <w:multiLevelType w:val="multilevel"/>
    <w:tmpl w:val="27D639A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283A0536"/>
    <w:multiLevelType w:val="multilevel"/>
    <w:tmpl w:val="283A053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1">
    <w:nsid w:val="2CFDCB7F"/>
    <w:multiLevelType w:val="multilevel"/>
    <w:tmpl w:val="2CFDCB7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2">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4">
    <w:nsid w:val="3DDE87C6"/>
    <w:multiLevelType w:val="multilevel"/>
    <w:tmpl w:val="3DDE87C6"/>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5">
    <w:nsid w:val="422FDF99"/>
    <w:multiLevelType w:val="singleLevel"/>
    <w:tmpl w:val="422FDF99"/>
    <w:lvl w:ilvl="0" w:tentative="0">
      <w:start w:val="1"/>
      <w:numFmt w:val="decimalEnclosedCircleChinese"/>
      <w:suff w:val="nothing"/>
      <w:lvlText w:val="%1　"/>
      <w:lvlJc w:val="left"/>
      <w:pPr>
        <w:ind w:firstLine="400"/>
      </w:pPr>
      <w:rPr>
        <w:rFonts w:hint="eastAsia" w:cs="Times New Roman"/>
      </w:rPr>
    </w:lvl>
  </w:abstractNum>
  <w:abstractNum w:abstractNumId="36">
    <w:nsid w:val="44A246E4"/>
    <w:multiLevelType w:val="multilevel"/>
    <w:tmpl w:val="44A246E4"/>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8">
    <w:nsid w:val="549DB4B5"/>
    <w:multiLevelType w:val="multilevel"/>
    <w:tmpl w:val="549DB4B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9">
    <w:nsid w:val="54F403B5"/>
    <w:multiLevelType w:val="singleLevel"/>
    <w:tmpl w:val="54F403B5"/>
    <w:lvl w:ilvl="0" w:tentative="0">
      <w:start w:val="1"/>
      <w:numFmt w:val="chineseCounting"/>
      <w:suff w:val="nothing"/>
      <w:lvlText w:val="%1、"/>
      <w:lvlJc w:val="left"/>
      <w:pPr>
        <w:ind w:left="0" w:firstLine="0"/>
      </w:pPr>
    </w:lvl>
  </w:abstractNum>
  <w:abstractNum w:abstractNumId="40">
    <w:nsid w:val="557FD3DA"/>
    <w:multiLevelType w:val="singleLevel"/>
    <w:tmpl w:val="557FD3DA"/>
    <w:lvl w:ilvl="0" w:tentative="0">
      <w:start w:val="3"/>
      <w:numFmt w:val="chineseCounting"/>
      <w:suff w:val="nothing"/>
      <w:lvlText w:val="%1、"/>
      <w:lvlJc w:val="left"/>
      <w:pPr>
        <w:ind w:left="0" w:firstLine="0"/>
      </w:pPr>
    </w:lvl>
  </w:abstractNum>
  <w:abstractNum w:abstractNumId="41">
    <w:nsid w:val="572A8CE4"/>
    <w:multiLevelType w:val="multilevel"/>
    <w:tmpl w:val="572A8CE4"/>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2">
    <w:nsid w:val="57B56D15"/>
    <w:multiLevelType w:val="singleLevel"/>
    <w:tmpl w:val="57B56D15"/>
    <w:lvl w:ilvl="0" w:tentative="0">
      <w:start w:val="6"/>
      <w:numFmt w:val="chineseCounting"/>
      <w:suff w:val="space"/>
      <w:lvlText w:val="第%1条"/>
      <w:lvlJc w:val="left"/>
      <w:rPr>
        <w:rFonts w:cs="Times New Roman"/>
      </w:rPr>
    </w:lvl>
  </w:abstractNum>
  <w:abstractNum w:abstractNumId="43">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4">
    <w:nsid w:val="674716E4"/>
    <w:multiLevelType w:val="singleLevel"/>
    <w:tmpl w:val="674716E4"/>
    <w:lvl w:ilvl="0" w:tentative="0">
      <w:start w:val="1"/>
      <w:numFmt w:val="decimalEnclosedCircleChinese"/>
      <w:suff w:val="nothing"/>
      <w:lvlText w:val="%1　"/>
      <w:lvlJc w:val="left"/>
      <w:pPr>
        <w:ind w:firstLine="400"/>
      </w:pPr>
      <w:rPr>
        <w:rFonts w:hint="eastAsia" w:cs="Times New Roman"/>
      </w:rPr>
    </w:lvl>
  </w:abstractNum>
  <w:num w:numId="1">
    <w:abstractNumId w:val="5"/>
  </w:num>
  <w:num w:numId="2">
    <w:abstractNumId w:val="26"/>
  </w:num>
  <w:num w:numId="3">
    <w:abstractNumId w:val="22"/>
  </w:num>
  <w:num w:numId="4">
    <w:abstractNumId w:val="24"/>
  </w:num>
  <w:num w:numId="5">
    <w:abstractNumId w:val="25"/>
  </w:num>
  <w:num w:numId="6">
    <w:abstractNumId w:val="1"/>
  </w:num>
  <w:num w:numId="7">
    <w:abstractNumId w:val="18"/>
  </w:num>
  <w:num w:numId="8">
    <w:abstractNumId w:val="32"/>
  </w:num>
  <w:num w:numId="9">
    <w:abstractNumId w:val="15"/>
  </w:num>
  <w:num w:numId="10">
    <w:abstractNumId w:val="3"/>
  </w:num>
  <w:num w:numId="11">
    <w:abstractNumId w:val="11"/>
  </w:num>
  <w:num w:numId="12">
    <w:abstractNumId w:val="9"/>
  </w:num>
  <w:num w:numId="13">
    <w:abstractNumId w:val="14"/>
  </w:num>
  <w:num w:numId="14">
    <w:abstractNumId w:val="41"/>
  </w:num>
  <w:num w:numId="15">
    <w:abstractNumId w:val="33"/>
  </w:num>
  <w:num w:numId="16">
    <w:abstractNumId w:val="19"/>
  </w:num>
  <w:num w:numId="17">
    <w:abstractNumId w:val="44"/>
  </w:num>
  <w:num w:numId="18">
    <w:abstractNumId w:val="35"/>
  </w:num>
  <w:num w:numId="19">
    <w:abstractNumId w:val="36"/>
  </w:num>
  <w:num w:numId="20">
    <w:abstractNumId w:val="10"/>
  </w:num>
  <w:num w:numId="21">
    <w:abstractNumId w:val="23"/>
  </w:num>
  <w:num w:numId="22">
    <w:abstractNumId w:val="4"/>
  </w:num>
  <w:num w:numId="23">
    <w:abstractNumId w:val="7"/>
  </w:num>
  <w:num w:numId="24">
    <w:abstractNumId w:val="28"/>
  </w:num>
  <w:num w:numId="25">
    <w:abstractNumId w:val="43"/>
  </w:num>
  <w:num w:numId="26">
    <w:abstractNumId w:val="31"/>
  </w:num>
  <w:num w:numId="27">
    <w:abstractNumId w:val="38"/>
  </w:num>
  <w:num w:numId="28">
    <w:abstractNumId w:val="27"/>
  </w:num>
  <w:num w:numId="29">
    <w:abstractNumId w:val="20"/>
  </w:num>
  <w:num w:numId="30">
    <w:abstractNumId w:val="13"/>
  </w:num>
  <w:num w:numId="31">
    <w:abstractNumId w:val="30"/>
  </w:num>
  <w:num w:numId="32">
    <w:abstractNumId w:val="6"/>
  </w:num>
  <w:num w:numId="33">
    <w:abstractNumId w:val="29"/>
  </w:num>
  <w:num w:numId="34">
    <w:abstractNumId w:val="2"/>
  </w:num>
  <w:num w:numId="35">
    <w:abstractNumId w:val="0"/>
  </w:num>
  <w:num w:numId="36">
    <w:abstractNumId w:val="17"/>
  </w:num>
  <w:num w:numId="37">
    <w:abstractNumId w:val="12"/>
  </w:num>
  <w:num w:numId="38">
    <w:abstractNumId w:val="34"/>
  </w:num>
  <w:num w:numId="39">
    <w:abstractNumId w:val="21"/>
  </w:num>
  <w:num w:numId="40">
    <w:abstractNumId w:val="16"/>
  </w:num>
  <w:num w:numId="41">
    <w:abstractNumId w:val="42"/>
  </w:num>
  <w:num w:numId="42">
    <w:abstractNumId w:val="37"/>
  </w:num>
  <w:num w:numId="43">
    <w:abstractNumId w:val="8"/>
  </w:num>
  <w:num w:numId="44">
    <w:abstractNumId w:val="3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GIwMzQ5NzgxOTJmOGU2MGJjNDc2YmJhMDY4MWM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144D"/>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5C3B"/>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131A"/>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995"/>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07C7"/>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A73E3"/>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382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637"/>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172B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A0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5AB0"/>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3853"/>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0754"/>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279DB"/>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391B"/>
    <w:rsid w:val="00DD4837"/>
    <w:rsid w:val="00DD785C"/>
    <w:rsid w:val="00DD7BC3"/>
    <w:rsid w:val="00DD7D4D"/>
    <w:rsid w:val="00DE009F"/>
    <w:rsid w:val="00DE042E"/>
    <w:rsid w:val="00DE0739"/>
    <w:rsid w:val="00DE0E94"/>
    <w:rsid w:val="00DE12D7"/>
    <w:rsid w:val="00DE2E53"/>
    <w:rsid w:val="00DE2EE9"/>
    <w:rsid w:val="00DE2EF3"/>
    <w:rsid w:val="00DE379F"/>
    <w:rsid w:val="00DE4930"/>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770"/>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270C1"/>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15A"/>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D7966"/>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D9E"/>
    <w:rsid w:val="00F16B52"/>
    <w:rsid w:val="00F17C0E"/>
    <w:rsid w:val="00F210AC"/>
    <w:rsid w:val="00F21403"/>
    <w:rsid w:val="00F249C2"/>
    <w:rsid w:val="00F253C7"/>
    <w:rsid w:val="00F279A4"/>
    <w:rsid w:val="00F30C0A"/>
    <w:rsid w:val="00F3232F"/>
    <w:rsid w:val="00F33BB7"/>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0253"/>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2FB1"/>
    <w:rsid w:val="00FF36D3"/>
    <w:rsid w:val="00FF3D8E"/>
    <w:rsid w:val="00FF4C69"/>
    <w:rsid w:val="00FF4F18"/>
    <w:rsid w:val="00FF5FCF"/>
    <w:rsid w:val="00FF6953"/>
    <w:rsid w:val="010054C7"/>
    <w:rsid w:val="016237C6"/>
    <w:rsid w:val="01992A24"/>
    <w:rsid w:val="01AF349F"/>
    <w:rsid w:val="01C165E5"/>
    <w:rsid w:val="01F46FC8"/>
    <w:rsid w:val="02E27F7D"/>
    <w:rsid w:val="03DC76D3"/>
    <w:rsid w:val="03EA448B"/>
    <w:rsid w:val="040C2A52"/>
    <w:rsid w:val="042943E8"/>
    <w:rsid w:val="04587148"/>
    <w:rsid w:val="04710602"/>
    <w:rsid w:val="04C95300"/>
    <w:rsid w:val="04F04B91"/>
    <w:rsid w:val="04F550AA"/>
    <w:rsid w:val="05310009"/>
    <w:rsid w:val="05656433"/>
    <w:rsid w:val="059E3E15"/>
    <w:rsid w:val="067503DC"/>
    <w:rsid w:val="068309DE"/>
    <w:rsid w:val="068F09D1"/>
    <w:rsid w:val="06A765D7"/>
    <w:rsid w:val="06E346D0"/>
    <w:rsid w:val="0777244E"/>
    <w:rsid w:val="083749CC"/>
    <w:rsid w:val="083E086E"/>
    <w:rsid w:val="087B3683"/>
    <w:rsid w:val="08A16ACD"/>
    <w:rsid w:val="094B5940"/>
    <w:rsid w:val="09694A92"/>
    <w:rsid w:val="09866C5A"/>
    <w:rsid w:val="098929AC"/>
    <w:rsid w:val="09DC47EA"/>
    <w:rsid w:val="0A063254"/>
    <w:rsid w:val="0A0774C0"/>
    <w:rsid w:val="0A344230"/>
    <w:rsid w:val="0B233C83"/>
    <w:rsid w:val="0B464E8A"/>
    <w:rsid w:val="0B801FF1"/>
    <w:rsid w:val="0B886F7D"/>
    <w:rsid w:val="0BA36C6F"/>
    <w:rsid w:val="0BB270E0"/>
    <w:rsid w:val="0BC861B4"/>
    <w:rsid w:val="0BE352AF"/>
    <w:rsid w:val="0C3D7481"/>
    <w:rsid w:val="0C6A1136"/>
    <w:rsid w:val="0C6B5152"/>
    <w:rsid w:val="0C9E787B"/>
    <w:rsid w:val="0CFE0424"/>
    <w:rsid w:val="0D316E18"/>
    <w:rsid w:val="0D317B38"/>
    <w:rsid w:val="0D455C4D"/>
    <w:rsid w:val="0D9B20C6"/>
    <w:rsid w:val="0DC0175A"/>
    <w:rsid w:val="0E135398"/>
    <w:rsid w:val="0E6265C1"/>
    <w:rsid w:val="0ECC5CD4"/>
    <w:rsid w:val="0F3375A2"/>
    <w:rsid w:val="0F5B3F2A"/>
    <w:rsid w:val="0FB32491"/>
    <w:rsid w:val="0FD95503"/>
    <w:rsid w:val="0FEA3A6E"/>
    <w:rsid w:val="10154BB5"/>
    <w:rsid w:val="10163BDD"/>
    <w:rsid w:val="107F4C49"/>
    <w:rsid w:val="112516E0"/>
    <w:rsid w:val="113E1AA4"/>
    <w:rsid w:val="11D97C5C"/>
    <w:rsid w:val="12982B2B"/>
    <w:rsid w:val="12C42B13"/>
    <w:rsid w:val="12D23AC6"/>
    <w:rsid w:val="13232472"/>
    <w:rsid w:val="1337515B"/>
    <w:rsid w:val="135377C0"/>
    <w:rsid w:val="140161AA"/>
    <w:rsid w:val="142573E4"/>
    <w:rsid w:val="142E4789"/>
    <w:rsid w:val="14F27F9B"/>
    <w:rsid w:val="154523D9"/>
    <w:rsid w:val="159F4550"/>
    <w:rsid w:val="16014137"/>
    <w:rsid w:val="161D67F0"/>
    <w:rsid w:val="162C6234"/>
    <w:rsid w:val="16307361"/>
    <w:rsid w:val="16790225"/>
    <w:rsid w:val="16866209"/>
    <w:rsid w:val="169F5708"/>
    <w:rsid w:val="16CA6D1D"/>
    <w:rsid w:val="16E62715"/>
    <w:rsid w:val="170830C2"/>
    <w:rsid w:val="17537D40"/>
    <w:rsid w:val="17692A92"/>
    <w:rsid w:val="177B641D"/>
    <w:rsid w:val="17864C3B"/>
    <w:rsid w:val="17F14DDF"/>
    <w:rsid w:val="18003862"/>
    <w:rsid w:val="18070DF2"/>
    <w:rsid w:val="18105FC4"/>
    <w:rsid w:val="181F6CC2"/>
    <w:rsid w:val="1858672E"/>
    <w:rsid w:val="18702DFB"/>
    <w:rsid w:val="187130F8"/>
    <w:rsid w:val="1927589A"/>
    <w:rsid w:val="192F4A36"/>
    <w:rsid w:val="1A0E36A3"/>
    <w:rsid w:val="1A0F55DD"/>
    <w:rsid w:val="1A9B5FFB"/>
    <w:rsid w:val="1B114511"/>
    <w:rsid w:val="1BD03214"/>
    <w:rsid w:val="1C3D120A"/>
    <w:rsid w:val="1C4736AF"/>
    <w:rsid w:val="1CF3514C"/>
    <w:rsid w:val="1D1041AE"/>
    <w:rsid w:val="1E02711C"/>
    <w:rsid w:val="1E1640C2"/>
    <w:rsid w:val="1E297B6C"/>
    <w:rsid w:val="1E442D8D"/>
    <w:rsid w:val="1EC822F6"/>
    <w:rsid w:val="1ECF36EA"/>
    <w:rsid w:val="1F5B2831"/>
    <w:rsid w:val="1FBF409D"/>
    <w:rsid w:val="1FC56164"/>
    <w:rsid w:val="1FCD4F0C"/>
    <w:rsid w:val="20571784"/>
    <w:rsid w:val="20600532"/>
    <w:rsid w:val="2065630F"/>
    <w:rsid w:val="207812B9"/>
    <w:rsid w:val="207821FF"/>
    <w:rsid w:val="209D0E6E"/>
    <w:rsid w:val="20A62576"/>
    <w:rsid w:val="20E74EB1"/>
    <w:rsid w:val="21095CAE"/>
    <w:rsid w:val="21220D00"/>
    <w:rsid w:val="21227776"/>
    <w:rsid w:val="216D128E"/>
    <w:rsid w:val="21AE3327"/>
    <w:rsid w:val="221E2698"/>
    <w:rsid w:val="22352338"/>
    <w:rsid w:val="231C1478"/>
    <w:rsid w:val="23846AEF"/>
    <w:rsid w:val="23E638DF"/>
    <w:rsid w:val="23E65DA1"/>
    <w:rsid w:val="242C4855"/>
    <w:rsid w:val="243472A5"/>
    <w:rsid w:val="24A30D7B"/>
    <w:rsid w:val="25190A97"/>
    <w:rsid w:val="25427252"/>
    <w:rsid w:val="2549001C"/>
    <w:rsid w:val="254D5319"/>
    <w:rsid w:val="266F1408"/>
    <w:rsid w:val="268564DD"/>
    <w:rsid w:val="26A66DA9"/>
    <w:rsid w:val="26E103CA"/>
    <w:rsid w:val="26FA5FF6"/>
    <w:rsid w:val="2722441E"/>
    <w:rsid w:val="273962A3"/>
    <w:rsid w:val="277208E4"/>
    <w:rsid w:val="278E2F9A"/>
    <w:rsid w:val="278E34D5"/>
    <w:rsid w:val="27AC15FA"/>
    <w:rsid w:val="27CC2C14"/>
    <w:rsid w:val="28073230"/>
    <w:rsid w:val="281D7018"/>
    <w:rsid w:val="283E15C5"/>
    <w:rsid w:val="28447A46"/>
    <w:rsid w:val="28AA4377"/>
    <w:rsid w:val="2956041F"/>
    <w:rsid w:val="295B7F3F"/>
    <w:rsid w:val="297053DF"/>
    <w:rsid w:val="29C830FC"/>
    <w:rsid w:val="29F94C05"/>
    <w:rsid w:val="2A477066"/>
    <w:rsid w:val="2A8E1129"/>
    <w:rsid w:val="2ABE1FBE"/>
    <w:rsid w:val="2AC77529"/>
    <w:rsid w:val="2AF5733A"/>
    <w:rsid w:val="2B6A0D2B"/>
    <w:rsid w:val="2B985009"/>
    <w:rsid w:val="2BC563F1"/>
    <w:rsid w:val="2BFC4F9F"/>
    <w:rsid w:val="2C0D4C61"/>
    <w:rsid w:val="2C2F2E5B"/>
    <w:rsid w:val="2CAD45A1"/>
    <w:rsid w:val="2CED3CD9"/>
    <w:rsid w:val="2CF73565"/>
    <w:rsid w:val="2D7B7F41"/>
    <w:rsid w:val="2DBA168B"/>
    <w:rsid w:val="2DC07DFB"/>
    <w:rsid w:val="2DC2617B"/>
    <w:rsid w:val="2E020C0D"/>
    <w:rsid w:val="2E080B83"/>
    <w:rsid w:val="2E1C3845"/>
    <w:rsid w:val="2E4343FF"/>
    <w:rsid w:val="2ED2428A"/>
    <w:rsid w:val="2EEF6D59"/>
    <w:rsid w:val="2F215265"/>
    <w:rsid w:val="2F550CE3"/>
    <w:rsid w:val="2F9C6C2E"/>
    <w:rsid w:val="2FB5399F"/>
    <w:rsid w:val="2FCD4A51"/>
    <w:rsid w:val="2FE70FAB"/>
    <w:rsid w:val="2FFC4053"/>
    <w:rsid w:val="30A752A2"/>
    <w:rsid w:val="30D83F02"/>
    <w:rsid w:val="30E73375"/>
    <w:rsid w:val="310D77FB"/>
    <w:rsid w:val="316A69FC"/>
    <w:rsid w:val="319607FA"/>
    <w:rsid w:val="3229683B"/>
    <w:rsid w:val="323974D4"/>
    <w:rsid w:val="32B41B34"/>
    <w:rsid w:val="32C30AF4"/>
    <w:rsid w:val="330F7C45"/>
    <w:rsid w:val="332F4D41"/>
    <w:rsid w:val="338102BC"/>
    <w:rsid w:val="33B439DA"/>
    <w:rsid w:val="34466D62"/>
    <w:rsid w:val="344D4C9E"/>
    <w:rsid w:val="344F6CFD"/>
    <w:rsid w:val="34987352"/>
    <w:rsid w:val="34BE73F7"/>
    <w:rsid w:val="34C76929"/>
    <w:rsid w:val="3571764E"/>
    <w:rsid w:val="358A6A01"/>
    <w:rsid w:val="35B5220F"/>
    <w:rsid w:val="35C73CD9"/>
    <w:rsid w:val="35E715A0"/>
    <w:rsid w:val="362E2246"/>
    <w:rsid w:val="36841C62"/>
    <w:rsid w:val="368F439F"/>
    <w:rsid w:val="36CD3D00"/>
    <w:rsid w:val="372A1C92"/>
    <w:rsid w:val="37682310"/>
    <w:rsid w:val="376C6650"/>
    <w:rsid w:val="37CF02BB"/>
    <w:rsid w:val="38147F64"/>
    <w:rsid w:val="39142D93"/>
    <w:rsid w:val="39221B61"/>
    <w:rsid w:val="394A20DC"/>
    <w:rsid w:val="39D44D17"/>
    <w:rsid w:val="3A2B12A7"/>
    <w:rsid w:val="3A332466"/>
    <w:rsid w:val="3A3A384D"/>
    <w:rsid w:val="3A452D5C"/>
    <w:rsid w:val="3B0D67CE"/>
    <w:rsid w:val="3B351F98"/>
    <w:rsid w:val="3BE0465F"/>
    <w:rsid w:val="3C035D77"/>
    <w:rsid w:val="3C265C15"/>
    <w:rsid w:val="3CAC748F"/>
    <w:rsid w:val="3CF235BF"/>
    <w:rsid w:val="3D9A41CA"/>
    <w:rsid w:val="3D9B2183"/>
    <w:rsid w:val="3DAE5006"/>
    <w:rsid w:val="3DB73447"/>
    <w:rsid w:val="3DED0897"/>
    <w:rsid w:val="3E1F3308"/>
    <w:rsid w:val="3E3D221E"/>
    <w:rsid w:val="3EDD6B2E"/>
    <w:rsid w:val="3F2F3033"/>
    <w:rsid w:val="3F41064F"/>
    <w:rsid w:val="3F51591E"/>
    <w:rsid w:val="3FAF14E4"/>
    <w:rsid w:val="3FD072AA"/>
    <w:rsid w:val="405C2C66"/>
    <w:rsid w:val="40B44E19"/>
    <w:rsid w:val="41700164"/>
    <w:rsid w:val="421373D0"/>
    <w:rsid w:val="421C3C8F"/>
    <w:rsid w:val="42506E85"/>
    <w:rsid w:val="426C6A15"/>
    <w:rsid w:val="427F57B3"/>
    <w:rsid w:val="42937435"/>
    <w:rsid w:val="43731F9A"/>
    <w:rsid w:val="43AD2CD4"/>
    <w:rsid w:val="43EA6C45"/>
    <w:rsid w:val="43FF22DA"/>
    <w:rsid w:val="444C4116"/>
    <w:rsid w:val="44907C3B"/>
    <w:rsid w:val="44A2094E"/>
    <w:rsid w:val="44C8157F"/>
    <w:rsid w:val="45166C29"/>
    <w:rsid w:val="45241161"/>
    <w:rsid w:val="459C7DF3"/>
    <w:rsid w:val="45C967F5"/>
    <w:rsid w:val="45DA72C1"/>
    <w:rsid w:val="45F12AFF"/>
    <w:rsid w:val="461D5993"/>
    <w:rsid w:val="46376CB1"/>
    <w:rsid w:val="471415BF"/>
    <w:rsid w:val="47545C66"/>
    <w:rsid w:val="47BB0620"/>
    <w:rsid w:val="47E86B69"/>
    <w:rsid w:val="483A7ED0"/>
    <w:rsid w:val="48453F68"/>
    <w:rsid w:val="48762F1E"/>
    <w:rsid w:val="48934632"/>
    <w:rsid w:val="48C65FA1"/>
    <w:rsid w:val="48F459CA"/>
    <w:rsid w:val="49787C1F"/>
    <w:rsid w:val="4989458D"/>
    <w:rsid w:val="498B78A4"/>
    <w:rsid w:val="49A205F2"/>
    <w:rsid w:val="4A0B01F8"/>
    <w:rsid w:val="4A4E2219"/>
    <w:rsid w:val="4A8061AA"/>
    <w:rsid w:val="4AB77C70"/>
    <w:rsid w:val="4B2332A6"/>
    <w:rsid w:val="4BA76BC0"/>
    <w:rsid w:val="4C03562B"/>
    <w:rsid w:val="4C7153F5"/>
    <w:rsid w:val="4C81727E"/>
    <w:rsid w:val="4CF431C6"/>
    <w:rsid w:val="4CFF501F"/>
    <w:rsid w:val="4D026B14"/>
    <w:rsid w:val="4D316B0F"/>
    <w:rsid w:val="4D5E6BDA"/>
    <w:rsid w:val="4D957BCC"/>
    <w:rsid w:val="4DAF0802"/>
    <w:rsid w:val="4DD103E4"/>
    <w:rsid w:val="4DF94D09"/>
    <w:rsid w:val="4E6A444B"/>
    <w:rsid w:val="4E90011B"/>
    <w:rsid w:val="4EE96245"/>
    <w:rsid w:val="4EF902B0"/>
    <w:rsid w:val="4F477F24"/>
    <w:rsid w:val="4F494FBD"/>
    <w:rsid w:val="4F752B2E"/>
    <w:rsid w:val="4F84767D"/>
    <w:rsid w:val="4F912F4E"/>
    <w:rsid w:val="50123689"/>
    <w:rsid w:val="501B78C0"/>
    <w:rsid w:val="502F40AF"/>
    <w:rsid w:val="508154D0"/>
    <w:rsid w:val="509E7570"/>
    <w:rsid w:val="50CC0F39"/>
    <w:rsid w:val="510B46EA"/>
    <w:rsid w:val="511F4FD0"/>
    <w:rsid w:val="51F63312"/>
    <w:rsid w:val="520B4D6D"/>
    <w:rsid w:val="521A206B"/>
    <w:rsid w:val="52A84595"/>
    <w:rsid w:val="52CF4BD6"/>
    <w:rsid w:val="533D97EE"/>
    <w:rsid w:val="5374782F"/>
    <w:rsid w:val="53773A83"/>
    <w:rsid w:val="53F777EA"/>
    <w:rsid w:val="54414145"/>
    <w:rsid w:val="54667460"/>
    <w:rsid w:val="549A3F25"/>
    <w:rsid w:val="55023CA7"/>
    <w:rsid w:val="55216B22"/>
    <w:rsid w:val="55713FB5"/>
    <w:rsid w:val="55BE0247"/>
    <w:rsid w:val="55BF3DD6"/>
    <w:rsid w:val="55C43FFE"/>
    <w:rsid w:val="560570C8"/>
    <w:rsid w:val="565674A4"/>
    <w:rsid w:val="5678673B"/>
    <w:rsid w:val="571A7E3F"/>
    <w:rsid w:val="576135B0"/>
    <w:rsid w:val="576E0986"/>
    <w:rsid w:val="578C2807"/>
    <w:rsid w:val="578D67C1"/>
    <w:rsid w:val="5794595B"/>
    <w:rsid w:val="57A44166"/>
    <w:rsid w:val="582F78FB"/>
    <w:rsid w:val="58AA4908"/>
    <w:rsid w:val="58C074BE"/>
    <w:rsid w:val="58DD0C62"/>
    <w:rsid w:val="594919CB"/>
    <w:rsid w:val="59545B5C"/>
    <w:rsid w:val="59782656"/>
    <w:rsid w:val="59902B1C"/>
    <w:rsid w:val="59CB51D7"/>
    <w:rsid w:val="59D0541F"/>
    <w:rsid w:val="59DF2136"/>
    <w:rsid w:val="5A2450EA"/>
    <w:rsid w:val="5A517CF1"/>
    <w:rsid w:val="5A8816F5"/>
    <w:rsid w:val="5A893B7C"/>
    <w:rsid w:val="5A930A90"/>
    <w:rsid w:val="5AA63D51"/>
    <w:rsid w:val="5ABA73FD"/>
    <w:rsid w:val="5B1D06C1"/>
    <w:rsid w:val="5B533D47"/>
    <w:rsid w:val="5BD07911"/>
    <w:rsid w:val="5C852922"/>
    <w:rsid w:val="5CB52C9E"/>
    <w:rsid w:val="5CEC7310"/>
    <w:rsid w:val="5D0A1A28"/>
    <w:rsid w:val="5D1F428F"/>
    <w:rsid w:val="5D206234"/>
    <w:rsid w:val="5D9B7B77"/>
    <w:rsid w:val="5E214A3B"/>
    <w:rsid w:val="5EC56345"/>
    <w:rsid w:val="5EC941AB"/>
    <w:rsid w:val="5EF3675A"/>
    <w:rsid w:val="5F2200D1"/>
    <w:rsid w:val="5F552AA8"/>
    <w:rsid w:val="5F9F509B"/>
    <w:rsid w:val="5FAB6B76"/>
    <w:rsid w:val="5FD845E7"/>
    <w:rsid w:val="5FEF7C89"/>
    <w:rsid w:val="606C2FCC"/>
    <w:rsid w:val="607E7999"/>
    <w:rsid w:val="609C3789"/>
    <w:rsid w:val="61585C2F"/>
    <w:rsid w:val="61EA6250"/>
    <w:rsid w:val="61EE4554"/>
    <w:rsid w:val="62354DE3"/>
    <w:rsid w:val="624B36C6"/>
    <w:rsid w:val="629447EB"/>
    <w:rsid w:val="638A7BED"/>
    <w:rsid w:val="63A131C2"/>
    <w:rsid w:val="64141726"/>
    <w:rsid w:val="643A20ED"/>
    <w:rsid w:val="647937F6"/>
    <w:rsid w:val="64E1453D"/>
    <w:rsid w:val="65375EA0"/>
    <w:rsid w:val="65A7591F"/>
    <w:rsid w:val="65D31A15"/>
    <w:rsid w:val="66A350CA"/>
    <w:rsid w:val="66D31F1B"/>
    <w:rsid w:val="66DF78CE"/>
    <w:rsid w:val="6709382E"/>
    <w:rsid w:val="67165838"/>
    <w:rsid w:val="67191A6E"/>
    <w:rsid w:val="67386679"/>
    <w:rsid w:val="673B72A4"/>
    <w:rsid w:val="67553F18"/>
    <w:rsid w:val="67575E5D"/>
    <w:rsid w:val="67597011"/>
    <w:rsid w:val="67681D38"/>
    <w:rsid w:val="6786327F"/>
    <w:rsid w:val="67AB1D56"/>
    <w:rsid w:val="67C116AC"/>
    <w:rsid w:val="67FB415E"/>
    <w:rsid w:val="680F4FAA"/>
    <w:rsid w:val="681F5BC0"/>
    <w:rsid w:val="687F152B"/>
    <w:rsid w:val="68972415"/>
    <w:rsid w:val="689F2659"/>
    <w:rsid w:val="68A304BB"/>
    <w:rsid w:val="68EA7295"/>
    <w:rsid w:val="692F0F07"/>
    <w:rsid w:val="6961142C"/>
    <w:rsid w:val="69C24894"/>
    <w:rsid w:val="69E3208E"/>
    <w:rsid w:val="6A0025D2"/>
    <w:rsid w:val="6A031098"/>
    <w:rsid w:val="6A2E4F46"/>
    <w:rsid w:val="6A3E6297"/>
    <w:rsid w:val="6A5029DE"/>
    <w:rsid w:val="6AD66BF7"/>
    <w:rsid w:val="6AFC29DF"/>
    <w:rsid w:val="6B0D5727"/>
    <w:rsid w:val="6B5B8058"/>
    <w:rsid w:val="6B711853"/>
    <w:rsid w:val="6BEC3688"/>
    <w:rsid w:val="6C0B09FE"/>
    <w:rsid w:val="6C483927"/>
    <w:rsid w:val="6C4C4BAA"/>
    <w:rsid w:val="6DBA0A25"/>
    <w:rsid w:val="6DFB20F9"/>
    <w:rsid w:val="6E374FFD"/>
    <w:rsid w:val="6E582569"/>
    <w:rsid w:val="6E7F0016"/>
    <w:rsid w:val="6EA24DBA"/>
    <w:rsid w:val="6EC647D7"/>
    <w:rsid w:val="6F470298"/>
    <w:rsid w:val="6F6821B0"/>
    <w:rsid w:val="6F7E10DA"/>
    <w:rsid w:val="6F82691D"/>
    <w:rsid w:val="6FBF4F46"/>
    <w:rsid w:val="6FEF189F"/>
    <w:rsid w:val="6FFE228A"/>
    <w:rsid w:val="70230C37"/>
    <w:rsid w:val="709E6CED"/>
    <w:rsid w:val="7169623E"/>
    <w:rsid w:val="71E53C05"/>
    <w:rsid w:val="72A74FF1"/>
    <w:rsid w:val="73267C07"/>
    <w:rsid w:val="736036C2"/>
    <w:rsid w:val="73D032AF"/>
    <w:rsid w:val="741B7106"/>
    <w:rsid w:val="74625FF4"/>
    <w:rsid w:val="74962C31"/>
    <w:rsid w:val="74D91522"/>
    <w:rsid w:val="750033AF"/>
    <w:rsid w:val="75442FE7"/>
    <w:rsid w:val="75527EEC"/>
    <w:rsid w:val="75660C8D"/>
    <w:rsid w:val="75C6A22D"/>
    <w:rsid w:val="75FC6AC3"/>
    <w:rsid w:val="763E7F5C"/>
    <w:rsid w:val="76790185"/>
    <w:rsid w:val="77627D63"/>
    <w:rsid w:val="7783054F"/>
    <w:rsid w:val="78332F27"/>
    <w:rsid w:val="78B718CC"/>
    <w:rsid w:val="78E42C87"/>
    <w:rsid w:val="79432E03"/>
    <w:rsid w:val="796E5F2A"/>
    <w:rsid w:val="79825E6D"/>
    <w:rsid w:val="79942854"/>
    <w:rsid w:val="79C835E8"/>
    <w:rsid w:val="79FB1D40"/>
    <w:rsid w:val="7A147F78"/>
    <w:rsid w:val="7A6260B8"/>
    <w:rsid w:val="7ADB6F81"/>
    <w:rsid w:val="7AE224C4"/>
    <w:rsid w:val="7AF41043"/>
    <w:rsid w:val="7AF7379A"/>
    <w:rsid w:val="7B026B15"/>
    <w:rsid w:val="7B6F3A41"/>
    <w:rsid w:val="7BE84464"/>
    <w:rsid w:val="7C2E56A5"/>
    <w:rsid w:val="7C6575D1"/>
    <w:rsid w:val="7C6E7692"/>
    <w:rsid w:val="7C8A6910"/>
    <w:rsid w:val="7CA1342A"/>
    <w:rsid w:val="7CB02451"/>
    <w:rsid w:val="7CD32A90"/>
    <w:rsid w:val="7D0A66C6"/>
    <w:rsid w:val="7D1110A6"/>
    <w:rsid w:val="7D4A5387"/>
    <w:rsid w:val="7D4D02B4"/>
    <w:rsid w:val="7DA261A2"/>
    <w:rsid w:val="7DB93162"/>
    <w:rsid w:val="7DDD261A"/>
    <w:rsid w:val="7E215568"/>
    <w:rsid w:val="7EA85F21"/>
    <w:rsid w:val="7F71201A"/>
    <w:rsid w:val="7FA866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
    <w:qFormat/>
    <w:uiPriority w:val="9"/>
    <w:pPr>
      <w:keepNext/>
      <w:jc w:val="center"/>
      <w:outlineLvl w:val="0"/>
    </w:pPr>
    <w:rPr>
      <w:rFonts w:ascii="楷体_GB2312" w:eastAsia="楷体_GB2312"/>
      <w:b/>
      <w:bCs/>
    </w:rPr>
  </w:style>
  <w:style w:type="paragraph" w:styleId="5">
    <w:name w:val="heading 2"/>
    <w:basedOn w:val="1"/>
    <w:next w:val="1"/>
    <w:link w:val="79"/>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5"/>
    <w:next w:val="1"/>
    <w:link w:val="80"/>
    <w:qFormat/>
    <w:uiPriority w:val="9"/>
    <w:pPr>
      <w:outlineLvl w:val="2"/>
    </w:pPr>
  </w:style>
  <w:style w:type="paragraph" w:styleId="7">
    <w:name w:val="heading 4"/>
    <w:basedOn w:val="1"/>
    <w:next w:val="1"/>
    <w:link w:val="8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82"/>
    <w:qFormat/>
    <w:uiPriority w:val="9"/>
    <w:pPr>
      <w:keepNext/>
      <w:keepLines/>
      <w:spacing w:before="280" w:after="290" w:line="376" w:lineRule="auto"/>
      <w:outlineLvl w:val="4"/>
    </w:pPr>
    <w:rPr>
      <w:b/>
      <w:bCs/>
      <w:sz w:val="28"/>
      <w:szCs w:val="28"/>
    </w:rPr>
  </w:style>
  <w:style w:type="paragraph" w:styleId="9">
    <w:name w:val="heading 6"/>
    <w:basedOn w:val="1"/>
    <w:next w:val="1"/>
    <w:link w:val="83"/>
    <w:qFormat/>
    <w:uiPriority w:val="9"/>
    <w:pPr>
      <w:keepNext/>
      <w:keepLines/>
      <w:spacing w:before="240" w:after="64" w:line="320" w:lineRule="auto"/>
      <w:outlineLvl w:val="5"/>
    </w:pPr>
    <w:rPr>
      <w:rFonts w:ascii="Cambria" w:hAnsi="Cambria"/>
      <w:b/>
      <w:bCs/>
      <w:sz w:val="24"/>
    </w:rPr>
  </w:style>
  <w:style w:type="paragraph" w:styleId="10">
    <w:name w:val="heading 7"/>
    <w:basedOn w:val="1"/>
    <w:next w:val="1"/>
    <w:link w:val="166"/>
    <w:qFormat/>
    <w:uiPriority w:val="9"/>
    <w:pPr>
      <w:keepNext/>
      <w:keepLines/>
      <w:adjustRightInd w:val="0"/>
      <w:spacing w:before="240" w:after="64" w:line="320" w:lineRule="atLeast"/>
      <w:textAlignment w:val="baseline"/>
      <w:outlineLvl w:val="6"/>
    </w:pPr>
    <w:rPr>
      <w:rFonts w:eastAsia="等线"/>
      <w:b/>
      <w:sz w:val="24"/>
    </w:rPr>
  </w:style>
  <w:style w:type="paragraph" w:styleId="11">
    <w:name w:val="heading 8"/>
    <w:basedOn w:val="1"/>
    <w:next w:val="1"/>
    <w:link w:val="167"/>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2">
    <w:name w:val="heading 9"/>
    <w:basedOn w:val="1"/>
    <w:next w:val="1"/>
    <w:link w:val="168"/>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3">
    <w:name w:val="macro"/>
    <w:link w:val="42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3">
    <w:name w:val="toc 7"/>
    <w:basedOn w:val="1"/>
    <w:next w:val="1"/>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4">
    <w:name w:val="Note Heading"/>
    <w:basedOn w:val="1"/>
    <w:next w:val="1"/>
    <w:link w:val="420"/>
    <w:qFormat/>
    <w:uiPriority w:val="0"/>
    <w:pPr>
      <w:spacing w:line="360" w:lineRule="auto"/>
      <w:ind w:firstLine="200" w:firstLineChars="200"/>
      <w:jc w:val="center"/>
    </w:pPr>
    <w:rPr>
      <w:rFonts w:ascii="DFKai-SB" w:hAnsi="DFKai-SB" w:eastAsia="DFKai-SB" w:cs="等线"/>
      <w:sz w:val="20"/>
      <w:szCs w:val="20"/>
      <w:lang w:eastAsia="zh-TW"/>
    </w:rPr>
  </w:style>
  <w:style w:type="paragraph" w:styleId="15">
    <w:name w:val="List Bullet 4"/>
    <w:basedOn w:val="1"/>
    <w:qFormat/>
    <w:uiPriority w:val="0"/>
    <w:pPr>
      <w:numPr>
        <w:ilvl w:val="0"/>
        <w:numId w:val="1"/>
      </w:numPr>
    </w:pPr>
  </w:style>
  <w:style w:type="paragraph" w:styleId="16">
    <w:name w:val="List Number"/>
    <w:basedOn w:val="1"/>
    <w:qFormat/>
    <w:uiPriority w:val="0"/>
    <w:pPr>
      <w:tabs>
        <w:tab w:val="left" w:pos="360"/>
      </w:tabs>
      <w:ind w:left="360" w:hanging="360" w:hangingChars="200"/>
    </w:pPr>
    <w:rPr>
      <w:rFonts w:ascii="等线" w:hAnsi="等线" w:eastAsia="等线" w:cs="等线"/>
    </w:rPr>
  </w:style>
  <w:style w:type="paragraph" w:styleId="17">
    <w:name w:val="Normal Indent"/>
    <w:basedOn w:val="1"/>
    <w:link w:val="102"/>
    <w:qFormat/>
    <w:uiPriority w:val="0"/>
    <w:pPr>
      <w:adjustRightInd w:val="0"/>
      <w:spacing w:line="312" w:lineRule="atLeast"/>
      <w:ind w:firstLine="420"/>
      <w:textAlignment w:val="baseline"/>
    </w:pPr>
    <w:rPr>
      <w:kern w:val="0"/>
      <w:szCs w:val="20"/>
    </w:rPr>
  </w:style>
  <w:style w:type="paragraph" w:styleId="18">
    <w:name w:val="caption"/>
    <w:basedOn w:val="1"/>
    <w:next w:val="1"/>
    <w:qFormat/>
    <w:uiPriority w:val="0"/>
    <w:rPr>
      <w:rFonts w:ascii="Cambria" w:hAnsi="Cambria" w:eastAsia="黑体"/>
      <w:sz w:val="20"/>
      <w:szCs w:val="20"/>
    </w:rPr>
  </w:style>
  <w:style w:type="paragraph" w:styleId="19">
    <w:name w:val="List Bullet"/>
    <w:basedOn w:val="1"/>
    <w:qFormat/>
    <w:uiPriority w:val="0"/>
    <w:pPr>
      <w:tabs>
        <w:tab w:val="left" w:pos="360"/>
      </w:tabs>
      <w:ind w:left="360" w:hanging="360"/>
    </w:pPr>
    <w:rPr>
      <w:rFonts w:ascii="Century Gothic" w:hAnsi="Century Gothic" w:eastAsia="等线" w:cs="等线"/>
      <w:szCs w:val="22"/>
    </w:rPr>
  </w:style>
  <w:style w:type="paragraph" w:styleId="20">
    <w:name w:val="Document Map"/>
    <w:basedOn w:val="1"/>
    <w:link w:val="205"/>
    <w:qFormat/>
    <w:uiPriority w:val="0"/>
    <w:pPr>
      <w:shd w:val="clear" w:color="auto" w:fill="000080"/>
    </w:pPr>
  </w:style>
  <w:style w:type="paragraph" w:styleId="21">
    <w:name w:val="toa heading"/>
    <w:basedOn w:val="1"/>
    <w:next w:val="1"/>
    <w:qFormat/>
    <w:uiPriority w:val="0"/>
    <w:pPr>
      <w:spacing w:before="120" w:line="560" w:lineRule="exact"/>
      <w:ind w:firstLine="200" w:firstLineChars="200"/>
    </w:pPr>
    <w:rPr>
      <w:rFonts w:ascii="Arial" w:hAnsi="Arial" w:cs="Arial"/>
      <w:sz w:val="24"/>
    </w:rPr>
  </w:style>
  <w:style w:type="paragraph" w:styleId="22">
    <w:name w:val="annotation text"/>
    <w:basedOn w:val="1"/>
    <w:link w:val="113"/>
    <w:qFormat/>
    <w:uiPriority w:val="1"/>
    <w:pPr>
      <w:jc w:val="left"/>
    </w:pPr>
  </w:style>
  <w:style w:type="paragraph" w:styleId="23">
    <w:name w:val="Salutation"/>
    <w:basedOn w:val="1"/>
    <w:next w:val="1"/>
    <w:link w:val="408"/>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4">
    <w:name w:val="Body Text 3"/>
    <w:basedOn w:val="1"/>
    <w:link w:val="423"/>
    <w:qFormat/>
    <w:uiPriority w:val="0"/>
    <w:pPr>
      <w:autoSpaceDE w:val="0"/>
      <w:autoSpaceDN w:val="0"/>
      <w:adjustRightInd w:val="0"/>
      <w:jc w:val="center"/>
    </w:pPr>
    <w:rPr>
      <w:rFonts w:ascii="等线" w:hAnsi="等线" w:eastAsia="等线" w:cs="等线"/>
      <w:kern w:val="0"/>
      <w:sz w:val="20"/>
      <w:szCs w:val="20"/>
    </w:rPr>
  </w:style>
  <w:style w:type="paragraph" w:styleId="25">
    <w:name w:val="List Bullet 3"/>
    <w:basedOn w:val="1"/>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6">
    <w:name w:val="Body Text"/>
    <w:basedOn w:val="1"/>
    <w:next w:val="27"/>
    <w:link w:val="89"/>
    <w:qFormat/>
    <w:uiPriority w:val="99"/>
    <w:pPr>
      <w:spacing w:after="120"/>
    </w:pPr>
  </w:style>
  <w:style w:type="paragraph" w:styleId="27">
    <w:name w:val="Body Text First Indent"/>
    <w:basedOn w:val="26"/>
    <w:link w:val="101"/>
    <w:qFormat/>
    <w:uiPriority w:val="0"/>
    <w:pPr>
      <w:ind w:firstLine="420" w:firstLineChars="100"/>
    </w:pPr>
  </w:style>
  <w:style w:type="paragraph" w:styleId="28">
    <w:name w:val="Body Text Indent"/>
    <w:basedOn w:val="1"/>
    <w:next w:val="17"/>
    <w:link w:val="90"/>
    <w:qFormat/>
    <w:uiPriority w:val="0"/>
    <w:pPr>
      <w:ind w:left="480" w:hanging="480" w:hangingChars="200"/>
    </w:pPr>
    <w:rPr>
      <w:sz w:val="24"/>
    </w:rPr>
  </w:style>
  <w:style w:type="paragraph" w:styleId="29">
    <w:name w:val="List Number 3"/>
    <w:basedOn w:val="1"/>
    <w:qFormat/>
    <w:uiPriority w:val="0"/>
    <w:pPr>
      <w:tabs>
        <w:tab w:val="left" w:pos="1200"/>
      </w:tabs>
      <w:ind w:left="1200" w:leftChars="400" w:hanging="360" w:hangingChars="200"/>
    </w:pPr>
    <w:rPr>
      <w:rFonts w:ascii="等线" w:hAnsi="等线" w:eastAsia="等线" w:cs="等线"/>
    </w:rPr>
  </w:style>
  <w:style w:type="paragraph" w:styleId="30">
    <w:name w:val="List 2"/>
    <w:basedOn w:val="1"/>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1">
    <w:name w:val="Block Text"/>
    <w:basedOn w:val="1"/>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2">
    <w:name w:val="List Bullet 2"/>
    <w:basedOn w:val="1"/>
    <w:qFormat/>
    <w:uiPriority w:val="0"/>
    <w:pPr>
      <w:tabs>
        <w:tab w:val="left" w:pos="780"/>
      </w:tabs>
      <w:spacing w:line="360" w:lineRule="auto"/>
      <w:ind w:left="780" w:leftChars="200" w:hanging="360" w:hangingChars="200"/>
    </w:pPr>
    <w:rPr>
      <w:rFonts w:ascii="等线" w:hAnsi="等线" w:eastAsia="等线" w:cs="等线"/>
    </w:rPr>
  </w:style>
  <w:style w:type="paragraph" w:styleId="33">
    <w:name w:val="toc 5"/>
    <w:basedOn w:val="1"/>
    <w:next w:val="1"/>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4">
    <w:name w:val="toc 3"/>
    <w:basedOn w:val="1"/>
    <w:next w:val="1"/>
    <w:qFormat/>
    <w:uiPriority w:val="39"/>
    <w:pPr>
      <w:ind w:left="840" w:leftChars="400"/>
    </w:pPr>
  </w:style>
  <w:style w:type="paragraph" w:styleId="35">
    <w:name w:val="Plain Text"/>
    <w:basedOn w:val="1"/>
    <w:next w:val="1"/>
    <w:link w:val="9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6">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7">
    <w:name w:val="toc 8"/>
    <w:basedOn w:val="1"/>
    <w:next w:val="1"/>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8">
    <w:name w:val="Date"/>
    <w:basedOn w:val="1"/>
    <w:next w:val="1"/>
    <w:link w:val="84"/>
    <w:qFormat/>
    <w:uiPriority w:val="0"/>
    <w:pPr>
      <w:ind w:left="100" w:leftChars="2500"/>
    </w:pPr>
  </w:style>
  <w:style w:type="paragraph" w:styleId="39">
    <w:name w:val="Body Text Indent 2"/>
    <w:basedOn w:val="1"/>
    <w:link w:val="305"/>
    <w:qFormat/>
    <w:uiPriority w:val="0"/>
    <w:pPr>
      <w:spacing w:line="500" w:lineRule="exact"/>
      <w:ind w:firstLine="511" w:firstLineChars="213"/>
    </w:pPr>
    <w:rPr>
      <w:sz w:val="24"/>
    </w:rPr>
  </w:style>
  <w:style w:type="paragraph" w:styleId="40">
    <w:name w:val="endnote text"/>
    <w:basedOn w:val="1"/>
    <w:link w:val="757"/>
    <w:unhideWhenUsed/>
    <w:qFormat/>
    <w:uiPriority w:val="1"/>
    <w:pPr>
      <w:snapToGrid w:val="0"/>
      <w:spacing w:line="360" w:lineRule="auto"/>
      <w:ind w:firstLine="200" w:firstLineChars="200"/>
      <w:jc w:val="left"/>
    </w:pPr>
    <w:rPr>
      <w:sz w:val="28"/>
    </w:rPr>
  </w:style>
  <w:style w:type="paragraph" w:styleId="41">
    <w:name w:val="Balloon Text"/>
    <w:basedOn w:val="1"/>
    <w:link w:val="268"/>
    <w:qFormat/>
    <w:uiPriority w:val="0"/>
    <w:rPr>
      <w:sz w:val="18"/>
      <w:szCs w:val="18"/>
    </w:rPr>
  </w:style>
  <w:style w:type="paragraph" w:styleId="42">
    <w:name w:val="footer"/>
    <w:basedOn w:val="1"/>
    <w:link w:val="88"/>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44">
    <w:name w:val="header"/>
    <w:basedOn w:val="1"/>
    <w:link w:val="37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440"/>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6">
    <w:name w:val="toc 4"/>
    <w:basedOn w:val="1"/>
    <w:next w:val="1"/>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7">
    <w:name w:val="Subtitle"/>
    <w:basedOn w:val="1"/>
    <w:next w:val="1"/>
    <w:link w:val="436"/>
    <w:qFormat/>
    <w:uiPriority w:val="0"/>
    <w:pPr>
      <w:spacing w:before="240" w:after="60" w:line="312" w:lineRule="auto"/>
      <w:jc w:val="center"/>
      <w:outlineLvl w:val="1"/>
    </w:pPr>
    <w:rPr>
      <w:rFonts w:ascii="Verdana" w:hAnsi="Verdana" w:eastAsia="仿宋_GB2312"/>
      <w:b/>
      <w:bCs/>
      <w:kern w:val="28"/>
      <w:sz w:val="32"/>
      <w:szCs w:val="32"/>
    </w:rPr>
  </w:style>
  <w:style w:type="paragraph" w:styleId="48">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9">
    <w:name w:val="footnote text"/>
    <w:basedOn w:val="1"/>
    <w:link w:val="435"/>
    <w:qFormat/>
    <w:uiPriority w:val="0"/>
    <w:pPr>
      <w:snapToGrid w:val="0"/>
      <w:spacing w:line="360" w:lineRule="auto"/>
      <w:ind w:firstLine="200" w:firstLineChars="200"/>
      <w:jc w:val="left"/>
    </w:pPr>
    <w:rPr>
      <w:rFonts w:ascii="等线" w:hAnsi="等线" w:eastAsia="等线" w:cs="等线"/>
      <w:sz w:val="18"/>
      <w:szCs w:val="18"/>
    </w:rPr>
  </w:style>
  <w:style w:type="paragraph" w:styleId="50">
    <w:name w:val="toc 6"/>
    <w:basedOn w:val="1"/>
    <w:next w:val="1"/>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1">
    <w:name w:val="Body Text Indent 3"/>
    <w:basedOn w:val="1"/>
    <w:link w:val="202"/>
    <w:qFormat/>
    <w:uiPriority w:val="0"/>
    <w:pPr>
      <w:spacing w:line="500" w:lineRule="exact"/>
      <w:ind w:left="511" w:hanging="511" w:hangingChars="213"/>
    </w:pPr>
    <w:rPr>
      <w:sz w:val="24"/>
    </w:rPr>
  </w:style>
  <w:style w:type="paragraph" w:styleId="52">
    <w:name w:val="table of figures"/>
    <w:basedOn w:val="1"/>
    <w:next w:val="1"/>
    <w:qFormat/>
    <w:uiPriority w:val="0"/>
    <w:pPr>
      <w:spacing w:line="360" w:lineRule="auto"/>
      <w:ind w:left="840" w:leftChars="200" w:hanging="420" w:hangingChars="200"/>
    </w:pPr>
    <w:rPr>
      <w:rFonts w:ascii="等线" w:hAnsi="等线" w:eastAsia="等线" w:cs="等线"/>
      <w:szCs w:val="20"/>
    </w:rPr>
  </w:style>
  <w:style w:type="paragraph" w:styleId="53">
    <w:name w:val="toc 2"/>
    <w:basedOn w:val="1"/>
    <w:next w:val="1"/>
    <w:qFormat/>
    <w:uiPriority w:val="39"/>
    <w:pPr>
      <w:ind w:left="420" w:leftChars="200"/>
    </w:pPr>
  </w:style>
  <w:style w:type="paragraph" w:styleId="54">
    <w:name w:val="toc 9"/>
    <w:basedOn w:val="1"/>
    <w:next w:val="1"/>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5">
    <w:name w:val="Body Text 2"/>
    <w:basedOn w:val="1"/>
    <w:link w:val="434"/>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6">
    <w:name w:val="Message Header"/>
    <w:basedOn w:val="1"/>
    <w:link w:val="437"/>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7">
    <w:name w:val="HTML Preformatted"/>
    <w:basedOn w:val="1"/>
    <w:link w:val="4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8">
    <w:name w:val="Normal (Web)"/>
    <w:basedOn w:val="1"/>
    <w:link w:val="165"/>
    <w:qFormat/>
    <w:uiPriority w:val="1"/>
    <w:pPr>
      <w:widowControl/>
      <w:spacing w:before="100" w:beforeAutospacing="1" w:after="100" w:afterAutospacing="1"/>
      <w:jc w:val="left"/>
    </w:pPr>
    <w:rPr>
      <w:rFonts w:ascii="宋体" w:hAnsi="宋体"/>
      <w:kern w:val="0"/>
      <w:sz w:val="24"/>
    </w:rPr>
  </w:style>
  <w:style w:type="paragraph" w:styleId="59">
    <w:name w:val="index 1"/>
    <w:basedOn w:val="1"/>
    <w:next w:val="1"/>
    <w:qFormat/>
    <w:uiPriority w:val="0"/>
    <w:pPr>
      <w:spacing w:line="360" w:lineRule="auto"/>
      <w:ind w:firstLine="200" w:firstLineChars="200"/>
    </w:pPr>
    <w:rPr>
      <w:rFonts w:ascii="等线" w:hAnsi="等线" w:eastAsia="等线" w:cs="等线"/>
      <w:szCs w:val="20"/>
    </w:rPr>
  </w:style>
  <w:style w:type="paragraph" w:styleId="60">
    <w:name w:val="Title"/>
    <w:basedOn w:val="1"/>
    <w:link w:val="156"/>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1">
    <w:name w:val="annotation subject"/>
    <w:basedOn w:val="22"/>
    <w:next w:val="22"/>
    <w:link w:val="169"/>
    <w:qFormat/>
    <w:uiPriority w:val="1"/>
    <w:rPr>
      <w:b/>
      <w:bCs/>
    </w:rPr>
  </w:style>
  <w:style w:type="paragraph" w:styleId="62">
    <w:name w:val="Body Text First Indent 2"/>
    <w:basedOn w:val="28"/>
    <w:link w:val="438"/>
    <w:unhideWhenUsed/>
    <w:qFormat/>
    <w:uiPriority w:val="0"/>
    <w:pPr>
      <w:spacing w:after="120"/>
      <w:ind w:left="420" w:leftChars="200" w:firstLine="420" w:firstLineChars="20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3"/>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7">
    <w:name w:val="Strong"/>
    <w:qFormat/>
    <w:uiPriority w:val="0"/>
    <w:rPr>
      <w:b/>
      <w:bCs/>
    </w:rPr>
  </w:style>
  <w:style w:type="character" w:styleId="68">
    <w:name w:val="endnote reference"/>
    <w:unhideWhenUsed/>
    <w:qFormat/>
    <w:uiPriority w:val="1"/>
    <w:rPr>
      <w:vertAlign w:val="superscript"/>
    </w:rPr>
  </w:style>
  <w:style w:type="character" w:styleId="69">
    <w:name w:val="page number"/>
    <w:basedOn w:val="66"/>
    <w:qFormat/>
    <w:uiPriority w:val="0"/>
  </w:style>
  <w:style w:type="character" w:styleId="70">
    <w:name w:val="FollowedHyperlink"/>
    <w:qFormat/>
    <w:uiPriority w:val="0"/>
    <w:rPr>
      <w:color w:val="800080"/>
      <w:u w:val="single"/>
    </w:rPr>
  </w:style>
  <w:style w:type="character" w:styleId="71">
    <w:name w:val="Emphasis"/>
    <w:qFormat/>
    <w:uiPriority w:val="1"/>
    <w:rPr>
      <w:i/>
      <w:iCs/>
    </w:rPr>
  </w:style>
  <w:style w:type="character" w:styleId="72">
    <w:name w:val="line number"/>
    <w:basedOn w:val="66"/>
    <w:qFormat/>
    <w:uiPriority w:val="0"/>
  </w:style>
  <w:style w:type="character" w:styleId="73">
    <w:name w:val="Hyperlink"/>
    <w:qFormat/>
    <w:uiPriority w:val="99"/>
    <w:rPr>
      <w:color w:val="000000"/>
      <w:sz w:val="20"/>
      <w:szCs w:val="20"/>
      <w:u w:val="none"/>
    </w:rPr>
  </w:style>
  <w:style w:type="character" w:styleId="74">
    <w:name w:val="annotation reference"/>
    <w:qFormat/>
    <w:uiPriority w:val="1"/>
    <w:rPr>
      <w:sz w:val="21"/>
      <w:szCs w:val="21"/>
    </w:rPr>
  </w:style>
  <w:style w:type="character" w:styleId="75">
    <w:name w:val="HTML Cite"/>
    <w:qFormat/>
    <w:uiPriority w:val="0"/>
    <w:rPr>
      <w:color w:val="008000"/>
    </w:rPr>
  </w:style>
  <w:style w:type="paragraph" w:customStyle="1" w:styleId="76">
    <w:name w:val="表格文字"/>
    <w:basedOn w:val="35"/>
    <w:next w:val="26"/>
    <w:link w:val="748"/>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paragraph" w:customStyle="1" w:styleId="77">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78">
    <w:name w:val="标题 1 Char"/>
    <w:link w:val="4"/>
    <w:qFormat/>
    <w:uiPriority w:val="9"/>
    <w:rPr>
      <w:rFonts w:ascii="楷体_GB2312" w:eastAsia="楷体_GB2312"/>
      <w:b/>
      <w:bCs/>
      <w:kern w:val="2"/>
      <w:sz w:val="21"/>
      <w:szCs w:val="24"/>
    </w:rPr>
  </w:style>
  <w:style w:type="character" w:customStyle="1" w:styleId="79">
    <w:name w:val="标题 2 Char"/>
    <w:link w:val="5"/>
    <w:qFormat/>
    <w:uiPriority w:val="9"/>
    <w:rPr>
      <w:rFonts w:ascii="Cambria" w:hAnsi="Cambria" w:eastAsia="宋体" w:cs="Times New Roman"/>
      <w:b/>
      <w:bCs/>
      <w:kern w:val="2"/>
      <w:sz w:val="32"/>
      <w:szCs w:val="32"/>
    </w:rPr>
  </w:style>
  <w:style w:type="character" w:customStyle="1" w:styleId="80">
    <w:name w:val="标题 3 Char"/>
    <w:link w:val="6"/>
    <w:qFormat/>
    <w:uiPriority w:val="9"/>
    <w:rPr>
      <w:b/>
      <w:bCs/>
      <w:kern w:val="2"/>
      <w:sz w:val="32"/>
      <w:szCs w:val="32"/>
      <w:lang w:bidi="ar-SA"/>
    </w:rPr>
  </w:style>
  <w:style w:type="character" w:customStyle="1" w:styleId="81">
    <w:name w:val="标题 4 Char"/>
    <w:link w:val="7"/>
    <w:qFormat/>
    <w:uiPriority w:val="0"/>
    <w:rPr>
      <w:rFonts w:ascii="Cambria" w:hAnsi="Cambria" w:eastAsia="宋体"/>
      <w:b/>
      <w:bCs/>
      <w:kern w:val="2"/>
      <w:sz w:val="28"/>
      <w:szCs w:val="28"/>
      <w:lang w:bidi="ar-SA"/>
    </w:rPr>
  </w:style>
  <w:style w:type="character" w:customStyle="1" w:styleId="82">
    <w:name w:val="标题 5 Char"/>
    <w:link w:val="8"/>
    <w:qFormat/>
    <w:uiPriority w:val="9"/>
    <w:rPr>
      <w:b/>
      <w:bCs/>
      <w:kern w:val="2"/>
      <w:sz w:val="28"/>
      <w:szCs w:val="28"/>
    </w:rPr>
  </w:style>
  <w:style w:type="character" w:customStyle="1" w:styleId="83">
    <w:name w:val="标题 6 Char"/>
    <w:link w:val="9"/>
    <w:qFormat/>
    <w:uiPriority w:val="9"/>
    <w:rPr>
      <w:rFonts w:ascii="Cambria" w:hAnsi="Cambria" w:eastAsia="宋体" w:cs="Times New Roman"/>
      <w:b/>
      <w:bCs/>
      <w:kern w:val="2"/>
      <w:sz w:val="24"/>
      <w:szCs w:val="24"/>
    </w:rPr>
  </w:style>
  <w:style w:type="character" w:customStyle="1" w:styleId="84">
    <w:name w:val="日期 Char"/>
    <w:link w:val="38"/>
    <w:qFormat/>
    <w:uiPriority w:val="0"/>
    <w:rPr>
      <w:kern w:val="2"/>
      <w:sz w:val="21"/>
      <w:szCs w:val="24"/>
    </w:rPr>
  </w:style>
  <w:style w:type="character" w:customStyle="1" w:styleId="85">
    <w:name w:val="样式6 列表并列 Char"/>
    <w:link w:val="86"/>
    <w:qFormat/>
    <w:uiPriority w:val="0"/>
    <w:rPr>
      <w:rFonts w:ascii="Arial" w:hAnsi="Arial" w:cs="Arial"/>
      <w:kern w:val="21"/>
      <w:sz w:val="21"/>
      <w:szCs w:val="24"/>
    </w:rPr>
  </w:style>
  <w:style w:type="paragraph" w:customStyle="1" w:styleId="86">
    <w:name w:val="样式6 列表并列"/>
    <w:link w:val="85"/>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7">
    <w:name w:val="Texte Char Char"/>
    <w:qFormat/>
    <w:uiPriority w:val="0"/>
    <w:rPr>
      <w:rFonts w:ascii="宋体" w:hAnsi="Courier New" w:eastAsia="宋体"/>
      <w:sz w:val="21"/>
      <w:szCs w:val="21"/>
      <w:lang w:val="en-US" w:eastAsia="zh-CN" w:bidi="ar-SA"/>
    </w:rPr>
  </w:style>
  <w:style w:type="character" w:customStyle="1" w:styleId="88">
    <w:name w:val="页脚 Char"/>
    <w:link w:val="42"/>
    <w:qFormat/>
    <w:uiPriority w:val="99"/>
    <w:rPr>
      <w:kern w:val="2"/>
      <w:sz w:val="18"/>
      <w:szCs w:val="18"/>
    </w:rPr>
  </w:style>
  <w:style w:type="character" w:customStyle="1" w:styleId="89">
    <w:name w:val="正文文本 Char"/>
    <w:link w:val="26"/>
    <w:qFormat/>
    <w:uiPriority w:val="99"/>
    <w:rPr>
      <w:kern w:val="2"/>
      <w:sz w:val="21"/>
      <w:szCs w:val="24"/>
    </w:rPr>
  </w:style>
  <w:style w:type="character" w:customStyle="1" w:styleId="90">
    <w:name w:val="正文文本缩进 Char"/>
    <w:link w:val="28"/>
    <w:qFormat/>
    <w:uiPriority w:val="0"/>
    <w:rPr>
      <w:kern w:val="2"/>
      <w:sz w:val="24"/>
      <w:szCs w:val="24"/>
    </w:rPr>
  </w:style>
  <w:style w:type="character" w:customStyle="1" w:styleId="91">
    <w:name w:val="纯文本 Char"/>
    <w:link w:val="35"/>
    <w:qFormat/>
    <w:uiPriority w:val="0"/>
    <w:rPr>
      <w:rFonts w:ascii="宋体" w:hAnsi="Courier New" w:eastAsia="宋体"/>
      <w:sz w:val="21"/>
      <w:szCs w:val="21"/>
      <w:lang w:val="en-US" w:eastAsia="zh-CN" w:bidi="ar-SA"/>
    </w:rPr>
  </w:style>
  <w:style w:type="character" w:customStyle="1" w:styleId="92">
    <w:name w:val="font31"/>
    <w:qFormat/>
    <w:uiPriority w:val="0"/>
    <w:rPr>
      <w:rFonts w:hint="eastAsia" w:ascii="新宋体" w:hAnsi="新宋体" w:eastAsia="新宋体" w:cs="新宋体"/>
      <w:color w:val="000000"/>
      <w:sz w:val="22"/>
      <w:szCs w:val="22"/>
      <w:u w:val="none"/>
    </w:rPr>
  </w:style>
  <w:style w:type="character" w:customStyle="1" w:styleId="93">
    <w:name w:val="style21"/>
    <w:qFormat/>
    <w:uiPriority w:val="0"/>
    <w:rPr>
      <w:sz w:val="15"/>
      <w:szCs w:val="15"/>
    </w:rPr>
  </w:style>
  <w:style w:type="character" w:customStyle="1" w:styleId="94">
    <w:name w:val="BZ_正文 Char"/>
    <w:link w:val="95"/>
    <w:qFormat/>
    <w:uiPriority w:val="0"/>
    <w:rPr>
      <w:rFonts w:ascii="宋体" w:hAnsi="宋体" w:eastAsia="宋体"/>
      <w:kern w:val="2"/>
      <w:sz w:val="24"/>
      <w:szCs w:val="24"/>
    </w:rPr>
  </w:style>
  <w:style w:type="paragraph" w:customStyle="1" w:styleId="95">
    <w:name w:val="BZ_正文"/>
    <w:basedOn w:val="1"/>
    <w:link w:val="94"/>
    <w:qFormat/>
    <w:uiPriority w:val="0"/>
    <w:pPr>
      <w:widowControl/>
      <w:spacing w:line="360" w:lineRule="auto"/>
      <w:ind w:firstLine="480" w:firstLineChars="200"/>
    </w:pPr>
    <w:rPr>
      <w:rFonts w:ascii="宋体" w:hAnsi="宋体"/>
      <w:sz w:val="24"/>
      <w:shd w:val="clear" w:color="auto" w:fill="FFFFFF"/>
    </w:rPr>
  </w:style>
  <w:style w:type="character" w:customStyle="1" w:styleId="96">
    <w:name w:val="Char Char Char"/>
    <w:qFormat/>
    <w:uiPriority w:val="0"/>
    <w:rPr>
      <w:rFonts w:ascii="宋体" w:hAnsi="Courier New" w:eastAsia="宋体"/>
      <w:sz w:val="21"/>
      <w:szCs w:val="21"/>
      <w:lang w:val="en-US" w:eastAsia="zh-CN" w:bidi="ar-SA"/>
    </w:rPr>
  </w:style>
  <w:style w:type="character" w:customStyle="1" w:styleId="97">
    <w:name w:val="font21"/>
    <w:qFormat/>
    <w:uiPriority w:val="0"/>
    <w:rPr>
      <w:rFonts w:hint="eastAsia" w:ascii="宋体" w:hAnsi="宋体" w:eastAsia="宋体" w:cs="宋体"/>
      <w:b/>
      <w:color w:val="000000"/>
      <w:sz w:val="21"/>
      <w:szCs w:val="21"/>
      <w:u w:val="none"/>
    </w:rPr>
  </w:style>
  <w:style w:type="character" w:customStyle="1" w:styleId="98">
    <w:name w:val="font11"/>
    <w:qFormat/>
    <w:uiPriority w:val="0"/>
    <w:rPr>
      <w:rFonts w:hint="default" w:ascii="Times New Roman" w:hAnsi="Times New Roman" w:eastAsia="仿宋_GB2312" w:cs="Times New Roman"/>
      <w:b/>
      <w:color w:val="000000"/>
      <w:sz w:val="21"/>
      <w:szCs w:val="21"/>
      <w:u w:val="none"/>
    </w:rPr>
  </w:style>
  <w:style w:type="character" w:customStyle="1" w:styleId="99">
    <w:name w:val="正文1 Char"/>
    <w:link w:val="100"/>
    <w:qFormat/>
    <w:uiPriority w:val="0"/>
    <w:rPr>
      <w:sz w:val="24"/>
      <w:lang w:val="en-US" w:eastAsia="zh-CN" w:bidi="ar-SA"/>
    </w:rPr>
  </w:style>
  <w:style w:type="paragraph" w:customStyle="1" w:styleId="100">
    <w:name w:val="正文1"/>
    <w:link w:val="99"/>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01">
    <w:name w:val="正文首行缩进 Char"/>
    <w:basedOn w:val="89"/>
    <w:link w:val="27"/>
    <w:qFormat/>
    <w:uiPriority w:val="0"/>
    <w:rPr>
      <w:kern w:val="2"/>
      <w:sz w:val="21"/>
      <w:szCs w:val="24"/>
    </w:rPr>
  </w:style>
  <w:style w:type="character" w:customStyle="1" w:styleId="102">
    <w:name w:val="正文缩进 Char"/>
    <w:link w:val="17"/>
    <w:qFormat/>
    <w:uiPriority w:val="0"/>
    <w:rPr>
      <w:rFonts w:eastAsia="宋体"/>
      <w:sz w:val="21"/>
      <w:lang w:val="en-US" w:eastAsia="zh-CN" w:bidi="ar-SA"/>
    </w:rPr>
  </w:style>
  <w:style w:type="character" w:customStyle="1" w:styleId="103">
    <w:name w:val="BZ_题注_图 Char"/>
    <w:link w:val="104"/>
    <w:qFormat/>
    <w:uiPriority w:val="0"/>
    <w:rPr>
      <w:rFonts w:eastAsia="黑体"/>
      <w:kern w:val="2"/>
      <w:sz w:val="21"/>
      <w:szCs w:val="21"/>
    </w:rPr>
  </w:style>
  <w:style w:type="paragraph" w:customStyle="1" w:styleId="104">
    <w:name w:val="BZ_题注_图"/>
    <w:basedOn w:val="18"/>
    <w:next w:val="1"/>
    <w:link w:val="103"/>
    <w:qFormat/>
    <w:uiPriority w:val="0"/>
    <w:pPr>
      <w:widowControl/>
      <w:spacing w:beforeLines="50" w:afterLines="50"/>
      <w:jc w:val="center"/>
    </w:pPr>
    <w:rPr>
      <w:rFonts w:ascii="Times New Roman" w:hAnsi="Times New Roman"/>
      <w:sz w:val="21"/>
      <w:szCs w:val="21"/>
    </w:rPr>
  </w:style>
  <w:style w:type="character" w:customStyle="1" w:styleId="105">
    <w:name w:val="文档正文 Char"/>
    <w:link w:val="106"/>
    <w:qFormat/>
    <w:uiPriority w:val="0"/>
    <w:rPr>
      <w:rFonts w:ascii="Tahoma" w:hAnsi="Tahoma" w:eastAsia="仿宋_GB2312"/>
      <w:sz w:val="28"/>
      <w:lang w:val="en-US" w:eastAsia="zh-CN" w:bidi="ar-SA"/>
    </w:rPr>
  </w:style>
  <w:style w:type="paragraph" w:customStyle="1" w:styleId="106">
    <w:name w:val="文档正文"/>
    <w:basedOn w:val="1"/>
    <w:link w:val="105"/>
    <w:qFormat/>
    <w:uiPriority w:val="0"/>
    <w:pPr>
      <w:spacing w:line="360" w:lineRule="auto"/>
      <w:ind w:firstLine="480" w:firstLineChars="200"/>
    </w:pPr>
    <w:rPr>
      <w:rFonts w:ascii="Tahoma" w:hAnsi="Tahoma" w:eastAsia="仿宋_GB2312"/>
      <w:kern w:val="0"/>
      <w:sz w:val="28"/>
      <w:szCs w:val="20"/>
    </w:rPr>
  </w:style>
  <w:style w:type="character" w:customStyle="1" w:styleId="107">
    <w:name w:val="unnamed51"/>
    <w:qFormat/>
    <w:uiPriority w:val="0"/>
    <w:rPr>
      <w:sz w:val="22"/>
      <w:szCs w:val="22"/>
    </w:rPr>
  </w:style>
  <w:style w:type="character" w:customStyle="1" w:styleId="108">
    <w:name w:val="Char Char2"/>
    <w:qFormat/>
    <w:uiPriority w:val="0"/>
    <w:rPr>
      <w:rFonts w:ascii="宋体" w:hAnsi="Courier New" w:eastAsia="宋体"/>
      <w:kern w:val="2"/>
      <w:sz w:val="21"/>
      <w:lang w:val="en-US" w:eastAsia="zh-CN"/>
    </w:rPr>
  </w:style>
  <w:style w:type="character" w:customStyle="1" w:styleId="109">
    <w:name w:val="BZ_三级标题 Char"/>
    <w:link w:val="110"/>
    <w:qFormat/>
    <w:uiPriority w:val="0"/>
    <w:rPr>
      <w:rFonts w:eastAsia="黑体"/>
      <w:b/>
      <w:bCs/>
      <w:kern w:val="2"/>
      <w:sz w:val="28"/>
      <w:szCs w:val="28"/>
    </w:rPr>
  </w:style>
  <w:style w:type="paragraph" w:customStyle="1" w:styleId="110">
    <w:name w:val="BZ_三级标题"/>
    <w:basedOn w:val="6"/>
    <w:next w:val="95"/>
    <w:link w:val="109"/>
    <w:qFormat/>
    <w:uiPriority w:val="0"/>
    <w:pPr>
      <w:spacing w:line="240" w:lineRule="auto"/>
      <w:ind w:left="720" w:hanging="720"/>
    </w:pPr>
    <w:rPr>
      <w:rFonts w:eastAsia="黑体"/>
      <w:sz w:val="28"/>
      <w:szCs w:val="28"/>
    </w:rPr>
  </w:style>
  <w:style w:type="character" w:customStyle="1" w:styleId="111">
    <w:name w:val="哈哈正文 Char"/>
    <w:link w:val="112"/>
    <w:qFormat/>
    <w:uiPriority w:val="0"/>
    <w:rPr>
      <w:rFonts w:ascii="宋体" w:hAnsi="宋体" w:eastAsia="宋体" w:cs="宋体"/>
      <w:kern w:val="2"/>
      <w:sz w:val="24"/>
      <w:lang w:val="en-US" w:eastAsia="zh-CN" w:bidi="ar-SA"/>
    </w:rPr>
  </w:style>
  <w:style w:type="paragraph" w:customStyle="1" w:styleId="112">
    <w:name w:val="哈哈正文"/>
    <w:basedOn w:val="1"/>
    <w:link w:val="111"/>
    <w:qFormat/>
    <w:uiPriority w:val="0"/>
    <w:pPr>
      <w:spacing w:line="360" w:lineRule="auto"/>
      <w:ind w:firstLine="200" w:firstLineChars="200"/>
    </w:pPr>
    <w:rPr>
      <w:rFonts w:ascii="宋体" w:hAnsi="宋体" w:cs="宋体"/>
      <w:sz w:val="24"/>
      <w:szCs w:val="20"/>
    </w:rPr>
  </w:style>
  <w:style w:type="character" w:customStyle="1" w:styleId="113">
    <w:name w:val="批注文字 Char"/>
    <w:link w:val="22"/>
    <w:qFormat/>
    <w:uiPriority w:val="1"/>
    <w:rPr>
      <w:kern w:val="2"/>
      <w:sz w:val="21"/>
      <w:szCs w:val="24"/>
    </w:rPr>
  </w:style>
  <w:style w:type="character" w:customStyle="1" w:styleId="114">
    <w:name w:val="fontstyle01"/>
    <w:qFormat/>
    <w:uiPriority w:val="0"/>
    <w:rPr>
      <w:rFonts w:hint="eastAsia" w:ascii="楷体" w:hAnsi="楷体" w:eastAsia="楷体"/>
      <w:color w:val="000000"/>
      <w:sz w:val="24"/>
      <w:szCs w:val="24"/>
    </w:rPr>
  </w:style>
  <w:style w:type="character" w:customStyle="1" w:styleId="115">
    <w:name w:val="List Paragraph Char"/>
    <w:link w:val="116"/>
    <w:qFormat/>
    <w:uiPriority w:val="0"/>
    <w:rPr>
      <w:rFonts w:ascii="Calibri" w:hAnsi="Calibri" w:eastAsia="宋体"/>
      <w:kern w:val="2"/>
      <w:sz w:val="21"/>
      <w:szCs w:val="22"/>
      <w:lang w:val="en-US" w:eastAsia="zh-CN" w:bidi="ar-SA"/>
    </w:rPr>
  </w:style>
  <w:style w:type="paragraph" w:customStyle="1" w:styleId="116">
    <w:name w:val="列出段落1"/>
    <w:basedOn w:val="1"/>
    <w:link w:val="115"/>
    <w:qFormat/>
    <w:uiPriority w:val="0"/>
    <w:pPr>
      <w:ind w:firstLine="420" w:firstLineChars="200"/>
    </w:pPr>
    <w:rPr>
      <w:rFonts w:ascii="Calibri" w:hAnsi="Calibri"/>
      <w:szCs w:val="22"/>
    </w:rPr>
  </w:style>
  <w:style w:type="paragraph" w:customStyle="1" w:styleId="117">
    <w:name w:val="正文2"/>
    <w:basedOn w:val="1"/>
    <w:qFormat/>
    <w:uiPriority w:val="0"/>
    <w:pPr>
      <w:spacing w:before="156" w:line="360" w:lineRule="auto"/>
      <w:ind w:firstLine="510" w:firstLineChars="200"/>
    </w:pPr>
    <w:rPr>
      <w:sz w:val="24"/>
      <w:szCs w:val="20"/>
    </w:rPr>
  </w:style>
  <w:style w:type="paragraph" w:customStyle="1" w:styleId="118">
    <w:name w:val="Char Char Char Char"/>
    <w:basedOn w:val="20"/>
    <w:qFormat/>
    <w:uiPriority w:val="0"/>
    <w:rPr>
      <w:rFonts w:ascii="Tahoma" w:hAnsi="Tahoma"/>
      <w:sz w:val="24"/>
    </w:rPr>
  </w:style>
  <w:style w:type="paragraph" w:customStyle="1" w:styleId="119">
    <w:name w:val="Char1 Char Char Char"/>
    <w:basedOn w:val="1"/>
    <w:qFormat/>
    <w:uiPriority w:val="0"/>
    <w:rPr>
      <w:rFonts w:ascii="Tahoma" w:hAnsi="Tahoma"/>
      <w:sz w:val="24"/>
      <w:szCs w:val="20"/>
    </w:rPr>
  </w:style>
  <w:style w:type="paragraph" w:customStyle="1" w:styleId="120">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2">
    <w:name w:val="Char Char Char Char Char Char Char Char Char Char Char Char Char1"/>
    <w:basedOn w:val="1"/>
    <w:autoRedefine/>
    <w:qFormat/>
    <w:uiPriority w:val="0"/>
    <w:rPr>
      <w:rFonts w:ascii="Tahoma" w:hAnsi="Tahoma"/>
      <w:sz w:val="24"/>
      <w:szCs w:val="20"/>
    </w:rPr>
  </w:style>
  <w:style w:type="paragraph" w:styleId="123">
    <w:name w:val="List Paragraph"/>
    <w:basedOn w:val="1"/>
    <w:qFormat/>
    <w:uiPriority w:val="0"/>
    <w:pPr>
      <w:ind w:firstLine="420" w:firstLineChars="200"/>
    </w:pPr>
  </w:style>
  <w:style w:type="paragraph" w:customStyle="1" w:styleId="124">
    <w:name w:val="BZ_六级标题"/>
    <w:basedOn w:val="9"/>
    <w:next w:val="95"/>
    <w:qFormat/>
    <w:uiPriority w:val="0"/>
    <w:pPr>
      <w:widowControl/>
      <w:tabs>
        <w:tab w:val="left" w:pos="360"/>
      </w:tabs>
      <w:spacing w:beforeLines="50" w:afterLines="50" w:line="240" w:lineRule="auto"/>
    </w:pPr>
    <w:rPr>
      <w:rFonts w:eastAsia="黑体"/>
    </w:rPr>
  </w:style>
  <w:style w:type="paragraph" w:customStyle="1" w:styleId="125">
    <w:name w:val="正文－恩普"/>
    <w:basedOn w:val="17"/>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6">
    <w:name w:val="Char Char Char Char2"/>
    <w:basedOn w:val="20"/>
    <w:qFormat/>
    <w:uiPriority w:val="0"/>
  </w:style>
  <w:style w:type="paragraph" w:customStyle="1" w:styleId="127">
    <w:name w:val="默认段落字体 Para Char"/>
    <w:basedOn w:val="1"/>
    <w:qFormat/>
    <w:uiPriority w:val="0"/>
    <w:pPr>
      <w:tabs>
        <w:tab w:val="left" w:pos="360"/>
      </w:tabs>
      <w:adjustRightInd w:val="0"/>
      <w:textAlignment w:val="baseline"/>
    </w:pPr>
    <w:rPr>
      <w:kern w:val="0"/>
      <w:sz w:val="24"/>
      <w:szCs w:val="20"/>
    </w:rPr>
  </w:style>
  <w:style w:type="paragraph" w:customStyle="1" w:styleId="128">
    <w:name w:val="Char Char Char Char Char Char Char1"/>
    <w:basedOn w:val="1"/>
    <w:qFormat/>
    <w:uiPriority w:val="0"/>
    <w:rPr>
      <w:rFonts w:ascii="仿宋_GB2312" w:eastAsia="仿宋_GB2312"/>
      <w:b/>
      <w:sz w:val="32"/>
      <w:szCs w:val="32"/>
    </w:rPr>
  </w:style>
  <w:style w:type="paragraph" w:customStyle="1" w:styleId="129">
    <w:name w:val="简单回函地址"/>
    <w:basedOn w:val="1"/>
    <w:qFormat/>
    <w:uiPriority w:val="0"/>
  </w:style>
  <w:style w:type="paragraph" w:customStyle="1" w:styleId="130">
    <w:name w:val="Char Char7 Char"/>
    <w:basedOn w:val="1"/>
    <w:qFormat/>
    <w:uiPriority w:val="0"/>
    <w:pPr>
      <w:tabs>
        <w:tab w:val="left" w:pos="425"/>
      </w:tabs>
      <w:ind w:left="420" w:leftChars="200" w:firstLine="270" w:firstLineChars="150"/>
    </w:pPr>
  </w:style>
  <w:style w:type="paragraph" w:customStyle="1" w:styleId="131">
    <w:name w:val="BZ_一级标题"/>
    <w:basedOn w:val="4"/>
    <w:next w:val="95"/>
    <w:link w:val="175"/>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2">
    <w:name w:val="保留正文"/>
    <w:basedOn w:val="26"/>
    <w:qFormat/>
    <w:uiPriority w:val="0"/>
    <w:pPr>
      <w:keepNext/>
      <w:spacing w:after="160"/>
    </w:pPr>
  </w:style>
  <w:style w:type="paragraph" w:customStyle="1" w:styleId="133">
    <w:name w:val="Char Char Char Char Char Char Char"/>
    <w:basedOn w:val="1"/>
    <w:qFormat/>
    <w:uiPriority w:val="0"/>
    <w:rPr>
      <w:rFonts w:ascii="仿宋_GB2312" w:eastAsia="仿宋_GB2312"/>
      <w:b/>
      <w:sz w:val="32"/>
      <w:szCs w:val="32"/>
    </w:rPr>
  </w:style>
  <w:style w:type="paragraph" w:customStyle="1" w:styleId="134">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5">
    <w:name w:val="Char Char"/>
    <w:basedOn w:val="1"/>
    <w:qFormat/>
    <w:uiPriority w:val="0"/>
    <w:rPr>
      <w:rFonts w:ascii="仿宋_GB2312" w:eastAsia="仿宋_GB2312"/>
      <w:b/>
      <w:sz w:val="32"/>
      <w:szCs w:val="32"/>
    </w:rPr>
  </w:style>
  <w:style w:type="paragraph" w:customStyle="1" w:styleId="136">
    <w:name w:val="CM106"/>
    <w:basedOn w:val="137"/>
    <w:next w:val="137"/>
    <w:qFormat/>
    <w:uiPriority w:val="0"/>
    <w:rPr>
      <w:rFonts w:ascii="宋体" w:cs="Times New Roman"/>
      <w:color w:val="auto"/>
    </w:rPr>
  </w:style>
  <w:style w:type="paragraph" w:customStyle="1" w:styleId="137">
    <w:name w:val="Default"/>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8">
    <w:name w:val="Char Char Char Char1"/>
    <w:basedOn w:val="1"/>
    <w:qFormat/>
    <w:uiPriority w:val="0"/>
    <w:rPr>
      <w:rFonts w:ascii="Tahoma" w:hAnsi="Tahoma"/>
      <w:sz w:val="24"/>
      <w:szCs w:val="20"/>
    </w:rPr>
  </w:style>
  <w:style w:type="paragraph" w:customStyle="1" w:styleId="139">
    <w:name w:val="Char Char Char Char Char Char Char Char Char Char Char Char Char"/>
    <w:basedOn w:val="1"/>
    <w:qFormat/>
    <w:uiPriority w:val="0"/>
    <w:rPr>
      <w:rFonts w:ascii="Tahoma" w:hAnsi="Tahoma"/>
      <w:sz w:val="24"/>
      <w:szCs w:val="20"/>
    </w:rPr>
  </w:style>
  <w:style w:type="paragraph" w:customStyle="1" w:styleId="140">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141">
    <w:name w:val="BZ_五级标题"/>
    <w:basedOn w:val="8"/>
    <w:next w:val="95"/>
    <w:qFormat/>
    <w:uiPriority w:val="0"/>
    <w:pPr>
      <w:widowControl/>
      <w:spacing w:beforeLines="50" w:afterLines="50" w:line="240" w:lineRule="auto"/>
    </w:pPr>
    <w:rPr>
      <w:rFonts w:eastAsia="黑体"/>
      <w:b w:val="0"/>
      <w:sz w:val="24"/>
      <w:szCs w:val="24"/>
    </w:rPr>
  </w:style>
  <w:style w:type="paragraph" w:customStyle="1" w:styleId="142">
    <w:name w:val="Char Char Char Char Char Char Char Char Char Char Char Char Char2"/>
    <w:basedOn w:val="1"/>
    <w:qFormat/>
    <w:uiPriority w:val="0"/>
    <w:rPr>
      <w:rFonts w:ascii="Tahoma" w:hAnsi="Tahoma"/>
      <w:sz w:val="24"/>
      <w:szCs w:val="20"/>
    </w:rPr>
  </w:style>
  <w:style w:type="paragraph" w:customStyle="1" w:styleId="143">
    <w:name w:val="Char Char Char Char Char Char Char2"/>
    <w:basedOn w:val="1"/>
    <w:qFormat/>
    <w:uiPriority w:val="0"/>
    <w:rPr>
      <w:rFonts w:ascii="仿宋_GB2312" w:eastAsia="仿宋_GB2312"/>
      <w:b/>
      <w:sz w:val="32"/>
      <w:szCs w:val="32"/>
    </w:rPr>
  </w:style>
  <w:style w:type="paragraph" w:customStyle="1" w:styleId="144">
    <w:name w:val="1"/>
    <w:basedOn w:val="17"/>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5">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46">
    <w:name w:val="修订1"/>
    <w:qFormat/>
    <w:uiPriority w:val="99"/>
    <w:rPr>
      <w:rFonts w:ascii="Times New Roman" w:hAnsi="Times New Roman" w:eastAsia="宋体" w:cs="Times New Roman"/>
      <w:kern w:val="2"/>
      <w:sz w:val="21"/>
      <w:szCs w:val="24"/>
      <w:lang w:val="en-US" w:eastAsia="zh-CN" w:bidi="ar-SA"/>
    </w:rPr>
  </w:style>
  <w:style w:type="paragraph" w:customStyle="1" w:styleId="14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8">
    <w:name w:val="BZ_二级标题"/>
    <w:basedOn w:val="5"/>
    <w:next w:val="133"/>
    <w:qFormat/>
    <w:uiPriority w:val="0"/>
    <w:pPr>
      <w:widowControl/>
      <w:spacing w:beforeLines="50" w:afterLines="50" w:line="240" w:lineRule="auto"/>
      <w:ind w:left="576" w:hanging="576"/>
    </w:pPr>
    <w:rPr>
      <w:rFonts w:ascii="Times New Roman" w:hAnsi="Times New Roman" w:eastAsia="楷体"/>
    </w:rPr>
  </w:style>
  <w:style w:type="paragraph" w:customStyle="1" w:styleId="149">
    <w:name w:val="Char1 Char Char Char1"/>
    <w:basedOn w:val="1"/>
    <w:qFormat/>
    <w:uiPriority w:val="0"/>
    <w:rPr>
      <w:rFonts w:ascii="仿宋_GB2312" w:eastAsia="仿宋_GB2312"/>
      <w:b/>
      <w:sz w:val="32"/>
      <w:szCs w:val="32"/>
    </w:rPr>
  </w:style>
  <w:style w:type="character" w:customStyle="1" w:styleId="150">
    <w:name w:val="纯文本 Char1"/>
    <w:qFormat/>
    <w:uiPriority w:val="0"/>
    <w:rPr>
      <w:rFonts w:ascii="宋体" w:hAnsi="Courier New"/>
      <w:kern w:val="2"/>
      <w:sz w:val="21"/>
      <w:szCs w:val="24"/>
    </w:rPr>
  </w:style>
  <w:style w:type="paragraph" w:customStyle="1" w:styleId="151">
    <w:name w:val="样式6"/>
    <w:basedOn w:val="1"/>
    <w:qFormat/>
    <w:uiPriority w:val="0"/>
    <w:pPr>
      <w:spacing w:line="360" w:lineRule="auto"/>
      <w:ind w:firstLine="200" w:firstLineChars="200"/>
      <w:jc w:val="left"/>
    </w:pPr>
    <w:rPr>
      <w:sz w:val="24"/>
    </w:rPr>
  </w:style>
  <w:style w:type="paragraph" w:customStyle="1" w:styleId="152">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3">
    <w:name w:val="正文首行缩进2字符 Char"/>
    <w:link w:val="154"/>
    <w:qFormat/>
    <w:uiPriority w:val="0"/>
    <w:rPr>
      <w:rFonts w:eastAsia="仿宋"/>
      <w:sz w:val="28"/>
    </w:rPr>
  </w:style>
  <w:style w:type="paragraph" w:customStyle="1" w:styleId="154">
    <w:name w:val="正文首行缩进2字符"/>
    <w:basedOn w:val="1"/>
    <w:link w:val="153"/>
    <w:qFormat/>
    <w:uiPriority w:val="0"/>
    <w:pPr>
      <w:spacing w:line="360" w:lineRule="auto"/>
      <w:ind w:firstLine="200" w:firstLineChars="200"/>
    </w:pPr>
    <w:rPr>
      <w:rFonts w:eastAsia="仿宋"/>
      <w:kern w:val="0"/>
      <w:sz w:val="28"/>
      <w:szCs w:val="20"/>
    </w:rPr>
  </w:style>
  <w:style w:type="character" w:customStyle="1" w:styleId="155">
    <w:name w:val="generalinfo-address-text"/>
    <w:basedOn w:val="66"/>
    <w:qFormat/>
    <w:uiPriority w:val="0"/>
  </w:style>
  <w:style w:type="character" w:customStyle="1" w:styleId="156">
    <w:name w:val="标题 Char"/>
    <w:link w:val="60"/>
    <w:qFormat/>
    <w:uiPriority w:val="0"/>
    <w:rPr>
      <w:rFonts w:ascii="Verdana" w:hAnsi="Verdana" w:eastAsia="仿宋_GB2312"/>
      <w:b/>
      <w:bCs/>
      <w:sz w:val="32"/>
      <w:szCs w:val="32"/>
    </w:rPr>
  </w:style>
  <w:style w:type="paragraph" w:customStyle="1" w:styleId="157">
    <w:name w:val="方案正文"/>
    <w:basedOn w:val="1"/>
    <w:link w:val="158"/>
    <w:qFormat/>
    <w:uiPriority w:val="0"/>
    <w:pPr>
      <w:spacing w:line="360" w:lineRule="auto"/>
      <w:ind w:firstLine="200" w:firstLineChars="200"/>
    </w:pPr>
    <w:rPr>
      <w:rFonts w:ascii="Century Gothic" w:hAnsi="Century Gothic"/>
      <w:szCs w:val="28"/>
    </w:rPr>
  </w:style>
  <w:style w:type="character" w:customStyle="1" w:styleId="158">
    <w:name w:val="方案正文 字符"/>
    <w:link w:val="157"/>
    <w:qFormat/>
    <w:uiPriority w:val="0"/>
    <w:rPr>
      <w:rFonts w:ascii="Century Gothic" w:hAnsi="Century Gothic" w:cs="Times New Roman"/>
      <w:kern w:val="2"/>
      <w:sz w:val="21"/>
      <w:szCs w:val="28"/>
    </w:rPr>
  </w:style>
  <w:style w:type="paragraph" w:customStyle="1" w:styleId="159">
    <w:name w:val="正文缩进1"/>
    <w:basedOn w:val="1"/>
    <w:qFormat/>
    <w:uiPriority w:val="0"/>
    <w:pPr>
      <w:spacing w:line="360" w:lineRule="auto"/>
      <w:ind w:firstLine="454"/>
      <w:jc w:val="left"/>
    </w:pPr>
    <w:rPr>
      <w:sz w:val="24"/>
    </w:rPr>
  </w:style>
  <w:style w:type="character" w:customStyle="1" w:styleId="160">
    <w:name w:val="ant-form-item-children"/>
    <w:basedOn w:val="66"/>
    <w:qFormat/>
    <w:uiPriority w:val="0"/>
  </w:style>
  <w:style w:type="paragraph" w:customStyle="1" w:styleId="161">
    <w:name w:val="BZ_四级标题"/>
    <w:basedOn w:val="7"/>
    <w:next w:val="1"/>
    <w:link w:val="309"/>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2">
    <w:name w:val="_Style 10"/>
    <w:basedOn w:val="1"/>
    <w:qFormat/>
    <w:uiPriority w:val="0"/>
    <w:pPr>
      <w:spacing w:beforeLines="50" w:afterLines="50"/>
    </w:pPr>
    <w:rPr>
      <w:rFonts w:ascii="Calibri" w:hAnsi="Calibri"/>
      <w:szCs w:val="20"/>
    </w:rPr>
  </w:style>
  <w:style w:type="paragraph" w:customStyle="1" w:styleId="163">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5">
    <w:name w:val="普通(网站) Char"/>
    <w:link w:val="58"/>
    <w:qFormat/>
    <w:uiPriority w:val="0"/>
    <w:rPr>
      <w:rFonts w:ascii="宋体" w:hAnsi="宋体" w:cs="宋体"/>
      <w:sz w:val="24"/>
      <w:szCs w:val="24"/>
    </w:rPr>
  </w:style>
  <w:style w:type="character" w:customStyle="1" w:styleId="166">
    <w:name w:val="标题 7 Char"/>
    <w:basedOn w:val="66"/>
    <w:link w:val="10"/>
    <w:qFormat/>
    <w:uiPriority w:val="9"/>
    <w:rPr>
      <w:rFonts w:eastAsia="等线"/>
      <w:b/>
      <w:kern w:val="2"/>
      <w:sz w:val="24"/>
      <w:szCs w:val="24"/>
    </w:rPr>
  </w:style>
  <w:style w:type="character" w:customStyle="1" w:styleId="167">
    <w:name w:val="标题 8 Char"/>
    <w:basedOn w:val="66"/>
    <w:link w:val="11"/>
    <w:qFormat/>
    <w:uiPriority w:val="9"/>
    <w:rPr>
      <w:rFonts w:ascii="Arial" w:hAnsi="Arial" w:eastAsia="黑体"/>
      <w:kern w:val="2"/>
      <w:sz w:val="24"/>
      <w:szCs w:val="24"/>
    </w:rPr>
  </w:style>
  <w:style w:type="character" w:customStyle="1" w:styleId="168">
    <w:name w:val="标题 9 Char"/>
    <w:basedOn w:val="66"/>
    <w:link w:val="12"/>
    <w:qFormat/>
    <w:uiPriority w:val="9"/>
    <w:rPr>
      <w:rFonts w:ascii="Arial" w:hAnsi="Arial" w:eastAsia="黑体"/>
      <w:kern w:val="2"/>
      <w:sz w:val="24"/>
      <w:szCs w:val="24"/>
    </w:rPr>
  </w:style>
  <w:style w:type="character" w:customStyle="1" w:styleId="169">
    <w:name w:val="批注主题 Char"/>
    <w:link w:val="61"/>
    <w:qFormat/>
    <w:uiPriority w:val="1"/>
    <w:rPr>
      <w:b/>
      <w:bCs/>
      <w:kern w:val="2"/>
      <w:sz w:val="21"/>
      <w:szCs w:val="24"/>
    </w:rPr>
  </w:style>
  <w:style w:type="character" w:customStyle="1" w:styleId="170">
    <w:name w:val="Char Char112"/>
    <w:qFormat/>
    <w:uiPriority w:val="0"/>
    <w:rPr>
      <w:rFonts w:eastAsia="仿宋_GB2312"/>
      <w:kern w:val="2"/>
      <w:sz w:val="21"/>
      <w:szCs w:val="24"/>
      <w:lang w:val="en-US" w:eastAsia="zh-CN" w:bidi="ar-SA"/>
    </w:rPr>
  </w:style>
  <w:style w:type="character" w:customStyle="1" w:styleId="171">
    <w:name w:val="No Spacing Char"/>
    <w:link w:val="172"/>
    <w:qFormat/>
    <w:uiPriority w:val="0"/>
    <w:rPr>
      <w:rFonts w:ascii="Calibri" w:hAnsi="Calibri" w:eastAsia="仿宋_GB2312"/>
      <w:sz w:val="28"/>
      <w:szCs w:val="22"/>
    </w:rPr>
  </w:style>
  <w:style w:type="paragraph" w:customStyle="1" w:styleId="172">
    <w:name w:val="无间隔1"/>
    <w:link w:val="171"/>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3">
    <w:name w:val="Char Char14"/>
    <w:qFormat/>
    <w:uiPriority w:val="0"/>
    <w:rPr>
      <w:rFonts w:eastAsia="仿宋_GB2312"/>
      <w:kern w:val="2"/>
      <w:sz w:val="21"/>
      <w:szCs w:val="24"/>
      <w:lang w:val="en-US" w:eastAsia="zh-CN" w:bidi="ar-SA"/>
    </w:rPr>
  </w:style>
  <w:style w:type="character" w:customStyle="1" w:styleId="174">
    <w:name w:val="明显强调1"/>
    <w:qFormat/>
    <w:uiPriority w:val="0"/>
    <w:rPr>
      <w:rFonts w:eastAsia="宋体"/>
      <w:b/>
      <w:bCs/>
      <w:iCs/>
      <w:color w:val="auto"/>
      <w:sz w:val="24"/>
    </w:rPr>
  </w:style>
  <w:style w:type="character" w:customStyle="1" w:styleId="175">
    <w:name w:val="BZ_一级标题 Char"/>
    <w:link w:val="131"/>
    <w:qFormat/>
    <w:uiPriority w:val="0"/>
    <w:rPr>
      <w:rFonts w:eastAsia="华文中宋"/>
      <w:b/>
      <w:bCs/>
      <w:kern w:val="44"/>
      <w:sz w:val="36"/>
      <w:szCs w:val="36"/>
    </w:rPr>
  </w:style>
  <w:style w:type="character" w:customStyle="1" w:styleId="176">
    <w:name w:val="样式 宋体 小四 行距: 1.5 倍行距 Char"/>
    <w:link w:val="177"/>
    <w:qFormat/>
    <w:uiPriority w:val="0"/>
    <w:rPr>
      <w:rFonts w:ascii="宋体" w:hAnsi="宋体" w:cs="宋体"/>
      <w:kern w:val="2"/>
      <w:sz w:val="24"/>
    </w:rPr>
  </w:style>
  <w:style w:type="paragraph" w:customStyle="1" w:styleId="177">
    <w:name w:val="样式 宋体 小四 行距: 1.5 倍行距"/>
    <w:basedOn w:val="1"/>
    <w:link w:val="176"/>
    <w:qFormat/>
    <w:uiPriority w:val="0"/>
    <w:pPr>
      <w:spacing w:line="360" w:lineRule="auto"/>
      <w:ind w:firstLine="540" w:firstLineChars="225"/>
    </w:pPr>
    <w:rPr>
      <w:rFonts w:ascii="宋体" w:hAnsi="宋体" w:cs="宋体"/>
      <w:sz w:val="24"/>
      <w:szCs w:val="20"/>
    </w:rPr>
  </w:style>
  <w:style w:type="character" w:customStyle="1" w:styleId="178">
    <w:name w:val="正文1 Char Char"/>
    <w:qFormat/>
    <w:uiPriority w:val="0"/>
    <w:rPr>
      <w:rFonts w:ascii="仿宋_GB2312" w:hAnsi="仿宋_GB2312" w:eastAsia="仿宋_GB2312" w:cs="仿宋_GB2312"/>
      <w:sz w:val="21"/>
      <w:lang w:val="en-US" w:eastAsia="zh-CN" w:bidi="ar-SA"/>
    </w:rPr>
  </w:style>
  <w:style w:type="character" w:customStyle="1" w:styleId="179">
    <w:name w:val="编号正文缩进 Char Char"/>
    <w:link w:val="180"/>
    <w:qFormat/>
    <w:uiPriority w:val="0"/>
    <w:rPr>
      <w:kern w:val="2"/>
      <w:sz w:val="24"/>
      <w:szCs w:val="24"/>
    </w:rPr>
  </w:style>
  <w:style w:type="paragraph" w:customStyle="1" w:styleId="180">
    <w:name w:val="编号正文缩进"/>
    <w:basedOn w:val="17"/>
    <w:link w:val="179"/>
    <w:qFormat/>
    <w:uiPriority w:val="0"/>
    <w:pPr>
      <w:tabs>
        <w:tab w:val="left" w:pos="1497"/>
      </w:tabs>
      <w:spacing w:line="400" w:lineRule="atLeast"/>
      <w:ind w:left="567" w:firstLine="510"/>
    </w:pPr>
    <w:rPr>
      <w:kern w:val="2"/>
      <w:sz w:val="24"/>
      <w:szCs w:val="24"/>
    </w:rPr>
  </w:style>
  <w:style w:type="character" w:customStyle="1" w:styleId="181">
    <w:name w:val="Char Char18"/>
    <w:qFormat/>
    <w:uiPriority w:val="0"/>
    <w:rPr>
      <w:b/>
      <w:bCs/>
      <w:kern w:val="2"/>
      <w:sz w:val="32"/>
      <w:szCs w:val="32"/>
    </w:rPr>
  </w:style>
  <w:style w:type="character" w:customStyle="1" w:styleId="182">
    <w:name w:val="样式1 Char"/>
    <w:link w:val="183"/>
    <w:qFormat/>
    <w:uiPriority w:val="0"/>
    <w:rPr>
      <w:rFonts w:ascii="楷体_GB2312" w:hAnsi="Calibri" w:eastAsia="楷体_GB2312"/>
      <w:kern w:val="2"/>
      <w:sz w:val="24"/>
      <w:szCs w:val="24"/>
    </w:rPr>
  </w:style>
  <w:style w:type="paragraph" w:customStyle="1" w:styleId="183">
    <w:name w:val="样式1"/>
    <w:basedOn w:val="184"/>
    <w:link w:val="182"/>
    <w:qFormat/>
    <w:uiPriority w:val="0"/>
    <w:pPr>
      <w:spacing w:line="360" w:lineRule="auto"/>
      <w:ind w:firstLine="480"/>
    </w:pPr>
    <w:rPr>
      <w:rFonts w:ascii="楷体_GB2312" w:eastAsia="楷体_GB2312" w:cs="Times New Roman"/>
      <w:sz w:val="24"/>
      <w:szCs w:val="24"/>
    </w:rPr>
  </w:style>
  <w:style w:type="paragraph" w:customStyle="1" w:styleId="184">
    <w:name w:val="列出段落11"/>
    <w:basedOn w:val="1"/>
    <w:qFormat/>
    <w:uiPriority w:val="34"/>
    <w:pPr>
      <w:ind w:firstLine="420" w:firstLineChars="200"/>
    </w:pPr>
    <w:rPr>
      <w:rFonts w:ascii="Calibri" w:hAnsi="Calibri" w:eastAsia="等线" w:cs="黑体"/>
      <w:szCs w:val="22"/>
    </w:rPr>
  </w:style>
  <w:style w:type="character" w:customStyle="1" w:styleId="185">
    <w:name w:val="Style3"/>
    <w:qFormat/>
    <w:uiPriority w:val="0"/>
    <w:rPr>
      <w:rFonts w:ascii="Century Gothic" w:hAnsi="仿宋_GB2312" w:eastAsia="仿宋_GB2312" w:cs="新宋体"/>
      <w:szCs w:val="22"/>
      <w:lang w:eastAsia="zh-CN"/>
    </w:rPr>
  </w:style>
  <w:style w:type="character" w:customStyle="1" w:styleId="186">
    <w:name w:val="副标题 Char1"/>
    <w:qFormat/>
    <w:uiPriority w:val="11"/>
    <w:rPr>
      <w:rFonts w:ascii="Cambria" w:hAnsi="Cambria" w:cs="Times New Roman"/>
      <w:b/>
      <w:bCs/>
      <w:kern w:val="28"/>
      <w:sz w:val="32"/>
      <w:szCs w:val="32"/>
    </w:rPr>
  </w:style>
  <w:style w:type="character" w:customStyle="1" w:styleId="187">
    <w:name w:val="Style4"/>
    <w:qFormat/>
    <w:uiPriority w:val="0"/>
    <w:rPr>
      <w:rFonts w:ascii="Century Gothic" w:hAnsi="仿宋_GB2312" w:eastAsia="仿宋_GB2312" w:cs="新宋体"/>
      <w:szCs w:val="22"/>
      <w:lang w:eastAsia="zh-CN"/>
    </w:rPr>
  </w:style>
  <w:style w:type="character" w:customStyle="1" w:styleId="188">
    <w:name w:val="页眉注释 Char Char"/>
    <w:link w:val="189"/>
    <w:qFormat/>
    <w:uiPriority w:val="0"/>
    <w:rPr>
      <w:rFonts w:ascii="华文细黑" w:hAnsi="华文细黑" w:eastAsia="华文细黑"/>
      <w:b/>
      <w:color w:val="FFFFFF"/>
      <w:kern w:val="2"/>
      <w:sz w:val="18"/>
      <w:szCs w:val="18"/>
    </w:rPr>
  </w:style>
  <w:style w:type="paragraph" w:customStyle="1" w:styleId="189">
    <w:name w:val="页眉注释"/>
    <w:basedOn w:val="1"/>
    <w:link w:val="188"/>
    <w:qFormat/>
    <w:uiPriority w:val="0"/>
    <w:pPr>
      <w:spacing w:line="0" w:lineRule="atLeast"/>
      <w:jc w:val="center"/>
    </w:pPr>
    <w:rPr>
      <w:rFonts w:ascii="华文细黑" w:hAnsi="华文细黑" w:eastAsia="华文细黑"/>
      <w:b/>
      <w:color w:val="FFFFFF"/>
      <w:sz w:val="18"/>
      <w:szCs w:val="18"/>
    </w:rPr>
  </w:style>
  <w:style w:type="character" w:customStyle="1" w:styleId="190">
    <w:name w:val="heading 2 Char1"/>
    <w:qFormat/>
    <w:uiPriority w:val="0"/>
    <w:rPr>
      <w:rFonts w:ascii="Verdana" w:hAnsi="Verdana" w:eastAsia="仿宋_GB2312"/>
      <w:b/>
      <w:bCs/>
      <w:kern w:val="2"/>
      <w:sz w:val="32"/>
      <w:szCs w:val="32"/>
      <w:lang w:val="en-US" w:eastAsia="zh-CN" w:bidi="ar-SA"/>
    </w:rPr>
  </w:style>
  <w:style w:type="character" w:customStyle="1" w:styleId="191">
    <w:name w:val="heading 4 Char"/>
    <w:qFormat/>
    <w:uiPriority w:val="0"/>
    <w:rPr>
      <w:rFonts w:ascii="Tahoma" w:hAnsi="Tahoma" w:eastAsia="Helvetica" w:cs="新宋体"/>
      <w:sz w:val="21"/>
      <w:szCs w:val="21"/>
    </w:rPr>
  </w:style>
  <w:style w:type="character" w:customStyle="1" w:styleId="192">
    <w:name w:val="Char Char16"/>
    <w:qFormat/>
    <w:uiPriority w:val="0"/>
    <w:rPr>
      <w:b/>
      <w:bCs/>
      <w:kern w:val="2"/>
      <w:sz w:val="28"/>
      <w:szCs w:val="28"/>
    </w:rPr>
  </w:style>
  <w:style w:type="character" w:customStyle="1" w:styleId="193">
    <w:name w:val="Char Char23"/>
    <w:qFormat/>
    <w:uiPriority w:val="0"/>
    <w:rPr>
      <w:rFonts w:eastAsia="仿宋_GB2312"/>
      <w:b/>
      <w:bCs/>
      <w:kern w:val="2"/>
      <w:sz w:val="32"/>
      <w:szCs w:val="32"/>
      <w:lang w:val="en-US" w:eastAsia="zh-CN" w:bidi="ar-SA"/>
    </w:rPr>
  </w:style>
  <w:style w:type="character" w:customStyle="1" w:styleId="194">
    <w:name w:val="apple-converted-space"/>
    <w:qFormat/>
    <w:uiPriority w:val="0"/>
  </w:style>
  <w:style w:type="character" w:customStyle="1" w:styleId="195">
    <w:name w:val="Char Char25"/>
    <w:qFormat/>
    <w:uiPriority w:val="0"/>
    <w:rPr>
      <w:rFonts w:ascii="Arial Unicode MS" w:eastAsia="Arial Unicode MS"/>
      <w:b/>
      <w:bCs/>
      <w:kern w:val="2"/>
      <w:sz w:val="21"/>
      <w:szCs w:val="24"/>
      <w:lang w:val="en-US" w:eastAsia="zh-CN" w:bidi="ar-SA"/>
    </w:rPr>
  </w:style>
  <w:style w:type="character" w:customStyle="1" w:styleId="196">
    <w:name w:val="heading 3 Char1"/>
    <w:qFormat/>
    <w:uiPriority w:val="0"/>
    <w:rPr>
      <w:rFonts w:eastAsia="仿宋_GB2312"/>
      <w:b/>
      <w:bCs/>
      <w:kern w:val="2"/>
      <w:sz w:val="32"/>
      <w:szCs w:val="32"/>
      <w:lang w:val="en-US" w:eastAsia="zh-CN" w:bidi="ar-SA"/>
    </w:rPr>
  </w:style>
  <w:style w:type="character" w:customStyle="1" w:styleId="197">
    <w:name w:val="不明显强调1"/>
    <w:autoRedefine/>
    <w:qFormat/>
    <w:uiPriority w:val="0"/>
    <w:rPr>
      <w:i/>
      <w:iCs/>
      <w:color w:val="808080"/>
    </w:rPr>
  </w:style>
  <w:style w:type="character" w:customStyle="1" w:styleId="198">
    <w:name w:val="pt141"/>
    <w:qFormat/>
    <w:uiPriority w:val="0"/>
    <w:rPr>
      <w:color w:val="330066"/>
      <w:spacing w:val="450"/>
      <w:sz w:val="22"/>
      <w:szCs w:val="22"/>
    </w:rPr>
  </w:style>
  <w:style w:type="character" w:customStyle="1" w:styleId="199">
    <w:name w:val="无间隔 Char"/>
    <w:link w:val="200"/>
    <w:autoRedefine/>
    <w:qFormat/>
    <w:uiPriority w:val="1"/>
    <w:rPr>
      <w:rFonts w:ascii="Century Gothic" w:hAnsi="Century Gothic" w:eastAsia="Times New Roman"/>
      <w:sz w:val="22"/>
      <w:szCs w:val="22"/>
    </w:rPr>
  </w:style>
  <w:style w:type="paragraph" w:styleId="200">
    <w:name w:val="No Spacing"/>
    <w:link w:val="199"/>
    <w:autoRedefine/>
    <w:qFormat/>
    <w:uiPriority w:val="1"/>
    <w:rPr>
      <w:rFonts w:ascii="Century Gothic" w:hAnsi="Century Gothic" w:eastAsia="Times New Roman" w:cs="Times New Roman"/>
      <w:sz w:val="22"/>
      <w:szCs w:val="22"/>
      <w:lang w:val="en-US" w:eastAsia="zh-CN" w:bidi="ar-SA"/>
    </w:rPr>
  </w:style>
  <w:style w:type="character" w:customStyle="1" w:styleId="201">
    <w:name w:val="明显参考1"/>
    <w:autoRedefine/>
    <w:qFormat/>
    <w:uiPriority w:val="0"/>
    <w:rPr>
      <w:b/>
      <w:bCs/>
      <w:smallCaps/>
      <w:color w:val="C0504D"/>
      <w:spacing w:val="5"/>
      <w:u w:val="single"/>
    </w:rPr>
  </w:style>
  <w:style w:type="character" w:customStyle="1" w:styleId="202">
    <w:name w:val="正文文本缩进 3 Char"/>
    <w:link w:val="51"/>
    <w:autoRedefine/>
    <w:qFormat/>
    <w:uiPriority w:val="0"/>
    <w:rPr>
      <w:kern w:val="2"/>
      <w:sz w:val="24"/>
      <w:szCs w:val="24"/>
    </w:rPr>
  </w:style>
  <w:style w:type="character" w:customStyle="1" w:styleId="203">
    <w:name w:val="样式2 Char"/>
    <w:link w:val="204"/>
    <w:autoRedefine/>
    <w:qFormat/>
    <w:uiPriority w:val="0"/>
    <w:rPr>
      <w:rFonts w:ascii="仿宋_GB2312" w:hAnsi="仿宋_GB2312" w:eastAsia="仿宋_GB2312"/>
      <w:bCs/>
      <w:kern w:val="2"/>
      <w:sz w:val="28"/>
      <w:szCs w:val="28"/>
    </w:rPr>
  </w:style>
  <w:style w:type="paragraph" w:customStyle="1" w:styleId="204">
    <w:name w:val="样式2"/>
    <w:basedOn w:val="5"/>
    <w:link w:val="203"/>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5">
    <w:name w:val="文档结构图 Char"/>
    <w:link w:val="20"/>
    <w:qFormat/>
    <w:uiPriority w:val="0"/>
    <w:rPr>
      <w:kern w:val="2"/>
      <w:sz w:val="21"/>
      <w:szCs w:val="24"/>
      <w:shd w:val="clear" w:color="auto" w:fill="000080"/>
    </w:rPr>
  </w:style>
  <w:style w:type="character" w:customStyle="1" w:styleId="206">
    <w:name w:val="1233 Char"/>
    <w:link w:val="207"/>
    <w:qFormat/>
    <w:uiPriority w:val="0"/>
    <w:rPr>
      <w:rFonts w:ascii="仿宋" w:hAnsi="仿宋" w:eastAsia="仿宋"/>
      <w:b/>
      <w:bCs/>
      <w:kern w:val="44"/>
      <w:sz w:val="24"/>
      <w:szCs w:val="24"/>
    </w:rPr>
  </w:style>
  <w:style w:type="paragraph" w:customStyle="1" w:styleId="207">
    <w:name w:val="1233"/>
    <w:basedOn w:val="4"/>
    <w:link w:val="206"/>
    <w:qFormat/>
    <w:uiPriority w:val="0"/>
    <w:pPr>
      <w:keepLines/>
      <w:spacing w:line="360" w:lineRule="auto"/>
      <w:ind w:firstLine="200" w:firstLineChars="200"/>
      <w:jc w:val="both"/>
    </w:pPr>
    <w:rPr>
      <w:rFonts w:ascii="仿宋" w:hAnsi="仿宋" w:eastAsia="仿宋"/>
      <w:kern w:val="44"/>
      <w:sz w:val="24"/>
    </w:rPr>
  </w:style>
  <w:style w:type="character" w:customStyle="1" w:styleId="208">
    <w:name w:val="heading 2 Char"/>
    <w:qFormat/>
    <w:uiPriority w:val="0"/>
    <w:rPr>
      <w:rFonts w:ascii="Tahoma" w:hAnsi="Tahoma" w:eastAsia="Helvetica" w:cs="新宋体"/>
      <w:sz w:val="30"/>
      <w:szCs w:val="24"/>
    </w:rPr>
  </w:style>
  <w:style w:type="character" w:customStyle="1" w:styleId="209">
    <w:name w:val="Intense Emphasis1"/>
    <w:qFormat/>
    <w:uiPriority w:val="0"/>
    <w:rPr>
      <w:b/>
      <w:bCs/>
      <w:i/>
      <w:iCs/>
      <w:color w:val="4F81BD"/>
    </w:rPr>
  </w:style>
  <w:style w:type="character" w:customStyle="1" w:styleId="210">
    <w:name w:val="emailstyle16"/>
    <w:qFormat/>
    <w:uiPriority w:val="0"/>
    <w:rPr>
      <w:rFonts w:ascii="Arial" w:hAnsi="Arial" w:eastAsia="宋体" w:cs="Arial"/>
      <w:color w:val="auto"/>
      <w:kern w:val="2"/>
      <w:sz w:val="20"/>
      <w:szCs w:val="24"/>
      <w:lang w:val="en-US" w:eastAsia="zh-CN" w:bidi="ar-SA"/>
    </w:rPr>
  </w:style>
  <w:style w:type="character" w:customStyle="1" w:styleId="211">
    <w:name w:val="正文靠右 Char Char"/>
    <w:link w:val="212"/>
    <w:qFormat/>
    <w:uiPriority w:val="0"/>
    <w:rPr>
      <w:kern w:val="2"/>
      <w:sz w:val="21"/>
      <w:szCs w:val="24"/>
    </w:rPr>
  </w:style>
  <w:style w:type="paragraph" w:customStyle="1" w:styleId="212">
    <w:name w:val="正文靠右"/>
    <w:basedOn w:val="1"/>
    <w:link w:val="211"/>
    <w:qFormat/>
    <w:uiPriority w:val="0"/>
    <w:pPr>
      <w:jc w:val="right"/>
    </w:pPr>
  </w:style>
  <w:style w:type="character" w:customStyle="1" w:styleId="213">
    <w:name w:val="Char Char111"/>
    <w:qFormat/>
    <w:uiPriority w:val="0"/>
    <w:rPr>
      <w:rFonts w:ascii="新宋体" w:hAnsi="新宋体" w:eastAsia="仿宋_GB2312" w:cs="新宋体"/>
      <w:sz w:val="18"/>
      <w:szCs w:val="18"/>
    </w:rPr>
  </w:style>
  <w:style w:type="character" w:customStyle="1" w:styleId="214">
    <w:name w:val="HTML 预设格式 Char1"/>
    <w:qFormat/>
    <w:uiPriority w:val="0"/>
    <w:rPr>
      <w:rFonts w:ascii="宋体" w:hAnsi="宋体" w:cs="宋体"/>
      <w:sz w:val="24"/>
      <w:szCs w:val="24"/>
    </w:rPr>
  </w:style>
  <w:style w:type="character" w:customStyle="1" w:styleId="215">
    <w:name w:val="正文缩进 字符"/>
    <w:qFormat/>
    <w:uiPriority w:val="0"/>
    <w:rPr>
      <w:sz w:val="28"/>
    </w:rPr>
  </w:style>
  <w:style w:type="character" w:customStyle="1" w:styleId="216">
    <w:name w:val="Style1"/>
    <w:qFormat/>
    <w:uiPriority w:val="0"/>
    <w:rPr>
      <w:rFonts w:ascii="Century Gothic" w:hAnsi="仿宋_GB2312" w:eastAsia="仿宋_GB2312" w:cs="新宋体"/>
      <w:sz w:val="22"/>
      <w:szCs w:val="22"/>
      <w:lang w:eastAsia="zh-CN"/>
    </w:rPr>
  </w:style>
  <w:style w:type="character" w:customStyle="1" w:styleId="217">
    <w:name w:val="BZ_封面_名称 Char"/>
    <w:link w:val="218"/>
    <w:qFormat/>
    <w:uiPriority w:val="0"/>
    <w:rPr>
      <w:rFonts w:eastAsia="黑体"/>
      <w:kern w:val="2"/>
      <w:sz w:val="44"/>
      <w:szCs w:val="44"/>
    </w:rPr>
  </w:style>
  <w:style w:type="paragraph" w:customStyle="1" w:styleId="218">
    <w:name w:val="BZ_封面_名称"/>
    <w:basedOn w:val="1"/>
    <w:link w:val="217"/>
    <w:qFormat/>
    <w:uiPriority w:val="0"/>
    <w:pPr>
      <w:widowControl/>
      <w:jc w:val="center"/>
    </w:pPr>
    <w:rPr>
      <w:rFonts w:eastAsia="黑体"/>
      <w:sz w:val="44"/>
      <w:szCs w:val="44"/>
    </w:rPr>
  </w:style>
  <w:style w:type="character" w:customStyle="1" w:styleId="219">
    <w:name w:val="个人答复风格"/>
    <w:qFormat/>
    <w:uiPriority w:val="0"/>
    <w:rPr>
      <w:rFonts w:ascii="Arial" w:hAnsi="Arial" w:eastAsia="宋体" w:cs="Arial"/>
      <w:color w:val="auto"/>
      <w:kern w:val="2"/>
      <w:sz w:val="20"/>
      <w:szCs w:val="24"/>
      <w:lang w:val="en-US" w:eastAsia="zh-CN" w:bidi="ar-SA"/>
    </w:rPr>
  </w:style>
  <w:style w:type="character" w:customStyle="1" w:styleId="220">
    <w:name w:val="kpk:3级 Char"/>
    <w:link w:val="221"/>
    <w:qFormat/>
    <w:uiPriority w:val="0"/>
    <w:rPr>
      <w:rFonts w:ascii="黑体" w:eastAsia="黑体"/>
      <w:b/>
      <w:bCs/>
      <w:kern w:val="2"/>
      <w:sz w:val="24"/>
      <w:szCs w:val="24"/>
    </w:rPr>
  </w:style>
  <w:style w:type="paragraph" w:customStyle="1" w:styleId="221">
    <w:name w:val="kpk:3级"/>
    <w:basedOn w:val="6"/>
    <w:link w:val="220"/>
    <w:qFormat/>
    <w:uiPriority w:val="0"/>
    <w:pPr>
      <w:tabs>
        <w:tab w:val="left" w:pos="420"/>
      </w:tabs>
      <w:spacing w:before="0" w:after="0" w:line="360" w:lineRule="auto"/>
      <w:ind w:left="420" w:hanging="420"/>
    </w:pPr>
    <w:rPr>
      <w:rFonts w:ascii="黑体" w:eastAsia="黑体"/>
      <w:sz w:val="24"/>
      <w:szCs w:val="24"/>
    </w:rPr>
  </w:style>
  <w:style w:type="character" w:customStyle="1" w:styleId="222">
    <w:name w:val="Char Char19"/>
    <w:qFormat/>
    <w:uiPriority w:val="0"/>
    <w:rPr>
      <w:rFonts w:ascii="Tahoma" w:hAnsi="Tahoma" w:eastAsia="Helvetica"/>
      <w:sz w:val="21"/>
      <w:szCs w:val="21"/>
      <w:lang w:val="en-US" w:eastAsia="zh-CN" w:bidi="ar-SA"/>
    </w:rPr>
  </w:style>
  <w:style w:type="character" w:customStyle="1" w:styleId="223">
    <w:name w:val="Table Text Char Char"/>
    <w:qFormat/>
    <w:uiPriority w:val="0"/>
    <w:rPr>
      <w:rFonts w:eastAsia="仿宋_GB2312"/>
      <w:sz w:val="24"/>
      <w:lang w:bidi="ar-SA"/>
    </w:rPr>
  </w:style>
  <w:style w:type="character" w:customStyle="1" w:styleId="224">
    <w:name w:val="heading 4 Char1"/>
    <w:qFormat/>
    <w:uiPriority w:val="0"/>
    <w:rPr>
      <w:rFonts w:ascii="Verdana" w:hAnsi="Verdana" w:eastAsia="仿宋_GB2312"/>
      <w:b/>
      <w:bCs/>
      <w:kern w:val="2"/>
      <w:sz w:val="28"/>
      <w:szCs w:val="28"/>
      <w:lang w:val="en-US" w:eastAsia="zh-CN" w:bidi="ar-SA"/>
    </w:rPr>
  </w:style>
  <w:style w:type="character" w:customStyle="1" w:styleId="225">
    <w:name w:val="a61"/>
    <w:qFormat/>
    <w:uiPriority w:val="0"/>
    <w:rPr>
      <w:rFonts w:hint="eastAsia" w:ascii="宋体" w:hAnsi="宋体" w:eastAsia="宋体"/>
      <w:kern w:val="2"/>
      <w:sz w:val="23"/>
      <w:szCs w:val="23"/>
      <w:lang w:val="en-US" w:eastAsia="zh-CN" w:bidi="ar-SA"/>
    </w:rPr>
  </w:style>
  <w:style w:type="character" w:customStyle="1" w:styleId="226">
    <w:name w:val="kpk:4级 Char1"/>
    <w:link w:val="227"/>
    <w:qFormat/>
    <w:uiPriority w:val="0"/>
    <w:rPr>
      <w:rFonts w:ascii="Arial" w:hAnsi="Arial" w:eastAsia="黑体"/>
      <w:bCs/>
      <w:sz w:val="24"/>
      <w:szCs w:val="28"/>
    </w:rPr>
  </w:style>
  <w:style w:type="paragraph" w:customStyle="1" w:styleId="227">
    <w:name w:val="kpk:4级"/>
    <w:basedOn w:val="7"/>
    <w:link w:val="226"/>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8">
    <w:name w:val="heading 3 Char"/>
    <w:qFormat/>
    <w:uiPriority w:val="0"/>
    <w:rPr>
      <w:rFonts w:ascii="Tahoma" w:hAnsi="Tahoma" w:eastAsia="Helvetica"/>
      <w:sz w:val="28"/>
      <w:szCs w:val="24"/>
    </w:rPr>
  </w:style>
  <w:style w:type="character" w:customStyle="1" w:styleId="229">
    <w:name w:val="heading 4 Char2"/>
    <w:qFormat/>
    <w:uiPriority w:val="0"/>
    <w:rPr>
      <w:rFonts w:ascii="Verdana" w:hAnsi="Verdana"/>
      <w:b/>
      <w:bCs/>
      <w:kern w:val="2"/>
      <w:sz w:val="28"/>
      <w:szCs w:val="28"/>
    </w:rPr>
  </w:style>
  <w:style w:type="character" w:customStyle="1" w:styleId="230">
    <w:name w:val="样式 标题 3 + 黑体 小四 Char Char"/>
    <w:qFormat/>
    <w:uiPriority w:val="0"/>
    <w:rPr>
      <w:rFonts w:ascii="Helvetica" w:hAnsi="Tahoma" w:eastAsia="Helvetica"/>
      <w:bCs/>
      <w:sz w:val="24"/>
      <w:szCs w:val="24"/>
      <w:lang w:bidi="ar-SA"/>
    </w:rPr>
  </w:style>
  <w:style w:type="character" w:customStyle="1" w:styleId="231">
    <w:name w:val="四级标题 Char"/>
    <w:link w:val="232"/>
    <w:qFormat/>
    <w:uiPriority w:val="0"/>
    <w:rPr>
      <w:rFonts w:eastAsia="黑体"/>
      <w:b/>
      <w:kern w:val="2"/>
      <w:sz w:val="28"/>
      <w:szCs w:val="22"/>
    </w:rPr>
  </w:style>
  <w:style w:type="paragraph" w:customStyle="1" w:styleId="232">
    <w:name w:val="四级标题"/>
    <w:basedOn w:val="1"/>
    <w:link w:val="231"/>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3">
    <w:name w:val="标题 4 字符"/>
    <w:qFormat/>
    <w:uiPriority w:val="0"/>
    <w:rPr>
      <w:rFonts w:eastAsia="楷体_GB2312"/>
      <w:b/>
      <w:snapToGrid/>
      <w:sz w:val="28"/>
    </w:rPr>
  </w:style>
  <w:style w:type="character" w:customStyle="1" w:styleId="234">
    <w:name w:val="heading 5 Char2"/>
    <w:qFormat/>
    <w:uiPriority w:val="0"/>
    <w:rPr>
      <w:b/>
      <w:bCs/>
      <w:kern w:val="2"/>
      <w:sz w:val="28"/>
      <w:szCs w:val="28"/>
    </w:rPr>
  </w:style>
  <w:style w:type="character" w:customStyle="1" w:styleId="235">
    <w:name w:val="书籍标题1"/>
    <w:qFormat/>
    <w:uiPriority w:val="0"/>
    <w:rPr>
      <w:b/>
      <w:bCs/>
      <w:smallCaps/>
      <w:spacing w:val="5"/>
    </w:rPr>
  </w:style>
  <w:style w:type="character" w:customStyle="1" w:styleId="236">
    <w:name w:val="Ò³Ã¼ Char Char2"/>
    <w:qFormat/>
    <w:uiPriority w:val="0"/>
    <w:rPr>
      <w:kern w:val="2"/>
      <w:sz w:val="18"/>
      <w:szCs w:val="18"/>
    </w:rPr>
  </w:style>
  <w:style w:type="character" w:customStyle="1" w:styleId="237">
    <w:name w:val="不明显参考1"/>
    <w:qFormat/>
    <w:uiPriority w:val="0"/>
    <w:rPr>
      <w:smallCaps/>
      <w:color w:val="C0504D"/>
      <w:u w:val="single"/>
    </w:rPr>
  </w:style>
  <w:style w:type="character" w:customStyle="1" w:styleId="238">
    <w:name w:val="标题 6 字符"/>
    <w:qFormat/>
    <w:uiPriority w:val="0"/>
    <w:rPr>
      <w:rFonts w:ascii="Arial" w:hAnsi="Arial" w:eastAsia="黑体"/>
      <w:spacing w:val="20"/>
      <w:kern w:val="2"/>
      <w:sz w:val="28"/>
    </w:rPr>
  </w:style>
  <w:style w:type="character" w:customStyle="1" w:styleId="239">
    <w:name w:val="A3 Char Char"/>
    <w:qFormat/>
    <w:uiPriority w:val="0"/>
    <w:rPr>
      <w:rFonts w:eastAsia="宋体"/>
      <w:b/>
      <w:bCs/>
      <w:sz w:val="32"/>
      <w:szCs w:val="32"/>
      <w:lang w:bidi="ar-SA"/>
    </w:rPr>
  </w:style>
  <w:style w:type="character" w:customStyle="1" w:styleId="240">
    <w:name w:val="Footer-Even Char"/>
    <w:qFormat/>
    <w:uiPriority w:val="0"/>
    <w:rPr>
      <w:sz w:val="18"/>
      <w:szCs w:val="18"/>
    </w:rPr>
  </w:style>
  <w:style w:type="character" w:customStyle="1" w:styleId="241">
    <w:name w:val="标题 8 字符"/>
    <w:qFormat/>
    <w:uiPriority w:val="0"/>
    <w:rPr>
      <w:rFonts w:ascii="Arial" w:hAnsi="Arial" w:eastAsia="黑体"/>
      <w:kern w:val="2"/>
      <w:sz w:val="24"/>
      <w:vertAlign w:val="superscript"/>
    </w:rPr>
  </w:style>
  <w:style w:type="character" w:customStyle="1" w:styleId="242">
    <w:name w:val="标题 1 字符"/>
    <w:qFormat/>
    <w:uiPriority w:val="0"/>
    <w:rPr>
      <w:rFonts w:eastAsia="黑体"/>
      <w:snapToGrid/>
      <w:sz w:val="44"/>
    </w:rPr>
  </w:style>
  <w:style w:type="character" w:customStyle="1" w:styleId="243">
    <w:name w:val="content_title1"/>
    <w:qFormat/>
    <w:uiPriority w:val="0"/>
    <w:rPr>
      <w:rFonts w:eastAsia="宋体"/>
      <w:color w:val="9A1601"/>
      <w:kern w:val="2"/>
      <w:sz w:val="21"/>
      <w:szCs w:val="21"/>
      <w:lang w:val="en-US" w:eastAsia="zh-CN" w:bidi="ar-SA"/>
    </w:rPr>
  </w:style>
  <w:style w:type="character" w:customStyle="1" w:styleId="244">
    <w:name w:val="正文文本 2 Char"/>
    <w:qFormat/>
    <w:uiPriority w:val="0"/>
    <w:rPr>
      <w:rFonts w:ascii="等线" w:hAnsi="等线" w:eastAsia="等线" w:cs="等线"/>
    </w:rPr>
  </w:style>
  <w:style w:type="character" w:customStyle="1" w:styleId="245">
    <w:name w:val="标题 7 字符"/>
    <w:qFormat/>
    <w:uiPriority w:val="0"/>
    <w:rPr>
      <w:b/>
      <w:kern w:val="2"/>
      <w:sz w:val="24"/>
      <w:vertAlign w:val="superscript"/>
    </w:rPr>
  </w:style>
  <w:style w:type="character" w:customStyle="1" w:styleId="246">
    <w:name w:val="Char Char6"/>
    <w:qFormat/>
    <w:uiPriority w:val="0"/>
    <w:rPr>
      <w:rFonts w:ascii="新宋体" w:hAnsi="新宋体" w:eastAsia="仿宋_GB2312" w:cs="新宋体"/>
      <w:szCs w:val="24"/>
    </w:rPr>
  </w:style>
  <w:style w:type="character" w:customStyle="1" w:styleId="247">
    <w:name w:val="标题 5 字符"/>
    <w:qFormat/>
    <w:uiPriority w:val="0"/>
    <w:rPr>
      <w:kern w:val="2"/>
      <w:sz w:val="28"/>
    </w:rPr>
  </w:style>
  <w:style w:type="character" w:customStyle="1" w:styleId="248">
    <w:name w:val="smalltxt1"/>
    <w:qFormat/>
    <w:uiPriority w:val="0"/>
    <w:rPr>
      <w:rFonts w:hint="default" w:ascii="宋体,Verdana,Arial" w:hAnsi="宋体,Verdana,Arial"/>
      <w:sz w:val="24"/>
      <w:szCs w:val="24"/>
    </w:rPr>
  </w:style>
  <w:style w:type="character" w:customStyle="1" w:styleId="249">
    <w:name w:val="正文居中 Char Char"/>
    <w:link w:val="250"/>
    <w:qFormat/>
    <w:uiPriority w:val="0"/>
    <w:rPr>
      <w:kern w:val="2"/>
      <w:sz w:val="21"/>
      <w:szCs w:val="24"/>
    </w:rPr>
  </w:style>
  <w:style w:type="paragraph" w:customStyle="1" w:styleId="250">
    <w:name w:val="正文居中"/>
    <w:basedOn w:val="1"/>
    <w:link w:val="249"/>
    <w:qFormat/>
    <w:uiPriority w:val="0"/>
    <w:pPr>
      <w:jc w:val="center"/>
    </w:pPr>
  </w:style>
  <w:style w:type="character" w:customStyle="1" w:styleId="251">
    <w:name w:val="样式2 Char Char"/>
    <w:qFormat/>
    <w:uiPriority w:val="0"/>
    <w:rPr>
      <w:rFonts w:ascii="仿宋_GB2312" w:hAnsi="仿宋_GB2312" w:eastAsia="仿宋_GB2312"/>
      <w:bCs/>
      <w:kern w:val="2"/>
      <w:sz w:val="28"/>
      <w:szCs w:val="28"/>
      <w:lang w:val="en-US" w:eastAsia="zh-CN" w:bidi="ar-SA"/>
    </w:rPr>
  </w:style>
  <w:style w:type="character" w:customStyle="1" w:styleId="252">
    <w:name w:val="heading 6 Char1"/>
    <w:qFormat/>
    <w:uiPriority w:val="0"/>
    <w:rPr>
      <w:rFonts w:ascii="Tahoma" w:hAnsi="Tahoma" w:eastAsia="Helvetica"/>
      <w:kern w:val="2"/>
      <w:sz w:val="24"/>
      <w:szCs w:val="24"/>
      <w:lang w:val="en-US" w:eastAsia="zh-CN" w:bidi="ar-SA"/>
    </w:rPr>
  </w:style>
  <w:style w:type="character" w:customStyle="1" w:styleId="253">
    <w:name w:val="正文文本缩进 2 字符"/>
    <w:qFormat/>
    <w:uiPriority w:val="0"/>
    <w:rPr>
      <w:sz w:val="28"/>
    </w:rPr>
  </w:style>
  <w:style w:type="character" w:customStyle="1" w:styleId="254">
    <w:name w:val="正文文本缩进 字符"/>
    <w:qFormat/>
    <w:uiPriority w:val="0"/>
    <w:rPr>
      <w:sz w:val="28"/>
    </w:rPr>
  </w:style>
  <w:style w:type="character" w:customStyle="1" w:styleId="255">
    <w:name w:val="t11"/>
    <w:qFormat/>
    <w:uiPriority w:val="0"/>
    <w:rPr>
      <w:rFonts w:eastAsia="宋体"/>
      <w:color w:val="333333"/>
      <w:kern w:val="2"/>
      <w:sz w:val="18"/>
      <w:szCs w:val="18"/>
      <w:lang w:val="en-US" w:eastAsia="zh-CN" w:bidi="ar-SA"/>
    </w:rPr>
  </w:style>
  <w:style w:type="character" w:customStyle="1" w:styleId="256">
    <w:name w:val="正文文本 Char Char"/>
    <w:qFormat/>
    <w:uiPriority w:val="0"/>
    <w:rPr>
      <w:rFonts w:ascii="Times New Roman" w:hAnsi="Times New Roman"/>
      <w:kern w:val="2"/>
      <w:sz w:val="21"/>
      <w:szCs w:val="24"/>
    </w:rPr>
  </w:style>
  <w:style w:type="character" w:customStyle="1" w:styleId="257">
    <w:name w:val="引用 Char"/>
    <w:qFormat/>
    <w:uiPriority w:val="0"/>
    <w:rPr>
      <w:rFonts w:ascii="Century Gothic" w:hAnsi="Century Gothic" w:eastAsia="仿宋_GB2312"/>
      <w:i/>
      <w:iCs/>
      <w:color w:val="000000"/>
    </w:rPr>
  </w:style>
  <w:style w:type="paragraph" w:styleId="258">
    <w:name w:val="Quote"/>
    <w:basedOn w:val="1"/>
    <w:next w:val="1"/>
    <w:link w:val="459"/>
    <w:qFormat/>
    <w:uiPriority w:val="0"/>
    <w:rPr>
      <w:rFonts w:ascii="Century Gothic" w:hAnsi="Century Gothic" w:eastAsia="仿宋_GB2312"/>
      <w:i/>
      <w:iCs/>
      <w:color w:val="000000"/>
      <w:kern w:val="0"/>
      <w:sz w:val="20"/>
      <w:szCs w:val="20"/>
    </w:rPr>
  </w:style>
  <w:style w:type="character" w:customStyle="1" w:styleId="259">
    <w:name w:val="Plain Text Char"/>
    <w:qFormat/>
    <w:uiPriority w:val="0"/>
    <w:rPr>
      <w:rFonts w:ascii="仿宋_GB2312" w:hAnsi="Wingdings" w:eastAsia="仿宋_GB2312" w:cs="新宋体"/>
      <w:sz w:val="21"/>
      <w:szCs w:val="21"/>
    </w:rPr>
  </w:style>
  <w:style w:type="character" w:customStyle="1" w:styleId="260">
    <w:name w:val="A4 Char Char"/>
    <w:qFormat/>
    <w:uiPriority w:val="0"/>
    <w:rPr>
      <w:rFonts w:ascii="Cambria" w:hAnsi="Cambria" w:eastAsia="宋体"/>
      <w:b/>
      <w:bCs/>
      <w:sz w:val="28"/>
      <w:szCs w:val="28"/>
    </w:rPr>
  </w:style>
  <w:style w:type="character" w:customStyle="1" w:styleId="261">
    <w:name w:val="正文4 Char"/>
    <w:qFormat/>
    <w:uiPriority w:val="0"/>
    <w:rPr>
      <w:rFonts w:ascii="新宋体" w:hAnsi="新宋体" w:eastAsia="宋体" w:cs="新宋体"/>
      <w:kern w:val="2"/>
      <w:sz w:val="24"/>
      <w:szCs w:val="24"/>
      <w:lang w:val="en-US" w:eastAsia="zh-CN" w:bidi="ar-SA"/>
    </w:rPr>
  </w:style>
  <w:style w:type="character" w:customStyle="1" w:styleId="262">
    <w:name w:val="heading 5 Char1"/>
    <w:qFormat/>
    <w:uiPriority w:val="0"/>
    <w:rPr>
      <w:rFonts w:eastAsia="仿宋_GB2312"/>
      <w:b/>
      <w:bCs/>
      <w:kern w:val="2"/>
      <w:sz w:val="28"/>
      <w:szCs w:val="28"/>
      <w:lang w:val="en-US" w:eastAsia="zh-CN" w:bidi="ar-SA"/>
    </w:rPr>
  </w:style>
  <w:style w:type="character" w:customStyle="1" w:styleId="263">
    <w:name w:val="Char Char22"/>
    <w:qFormat/>
    <w:uiPriority w:val="0"/>
    <w:rPr>
      <w:rFonts w:ascii="Tahoma" w:hAnsi="Tahoma" w:eastAsia="Helvetica"/>
      <w:b/>
      <w:bCs/>
      <w:kern w:val="44"/>
      <w:sz w:val="30"/>
      <w:szCs w:val="44"/>
      <w:lang w:val="en-US" w:eastAsia="zh-CN" w:bidi="ar-SA"/>
    </w:rPr>
  </w:style>
  <w:style w:type="character" w:customStyle="1" w:styleId="264">
    <w:name w:val="表格 Char Char"/>
    <w:link w:val="265"/>
    <w:qFormat/>
    <w:uiPriority w:val="0"/>
    <w:rPr>
      <w:rFonts w:ascii="仿宋_GB2312" w:hAnsi="仿宋_GB2312" w:eastAsia="仿宋_GB2312"/>
    </w:rPr>
  </w:style>
  <w:style w:type="paragraph" w:customStyle="1" w:styleId="265">
    <w:name w:val="表格"/>
    <w:basedOn w:val="1"/>
    <w:link w:val="264"/>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6">
    <w:name w:val="一级标题 Char"/>
    <w:link w:val="267"/>
    <w:qFormat/>
    <w:uiPriority w:val="0"/>
    <w:rPr>
      <w:rFonts w:ascii="黑体" w:eastAsia="华文中宋"/>
      <w:b/>
      <w:kern w:val="44"/>
      <w:sz w:val="36"/>
      <w:szCs w:val="44"/>
    </w:rPr>
  </w:style>
  <w:style w:type="paragraph" w:customStyle="1" w:styleId="267">
    <w:name w:val="一级标题"/>
    <w:basedOn w:val="4"/>
    <w:link w:val="266"/>
    <w:qFormat/>
    <w:uiPriority w:val="0"/>
    <w:pPr>
      <w:keepLines/>
      <w:pageBreakBefore/>
      <w:spacing w:line="578" w:lineRule="auto"/>
      <w:ind w:left="432" w:hanging="432"/>
    </w:pPr>
    <w:rPr>
      <w:rFonts w:ascii="黑体" w:eastAsia="华文中宋"/>
      <w:bCs w:val="0"/>
      <w:kern w:val="44"/>
      <w:sz w:val="36"/>
      <w:szCs w:val="44"/>
    </w:rPr>
  </w:style>
  <w:style w:type="character" w:customStyle="1" w:styleId="268">
    <w:name w:val="批注框文本 Char"/>
    <w:link w:val="41"/>
    <w:qFormat/>
    <w:uiPriority w:val="0"/>
    <w:rPr>
      <w:kern w:val="2"/>
      <w:sz w:val="18"/>
      <w:szCs w:val="18"/>
    </w:rPr>
  </w:style>
  <w:style w:type="character" w:customStyle="1" w:styleId="269">
    <w:name w:val="正文（小四+1.25倍行距） Char"/>
    <w:link w:val="270"/>
    <w:qFormat/>
    <w:uiPriority w:val="0"/>
    <w:rPr>
      <w:sz w:val="24"/>
      <w:szCs w:val="24"/>
    </w:rPr>
  </w:style>
  <w:style w:type="paragraph" w:customStyle="1" w:styleId="270">
    <w:name w:val="正文（小四+1.25倍行距）"/>
    <w:basedOn w:val="1"/>
    <w:link w:val="269"/>
    <w:qFormat/>
    <w:uiPriority w:val="0"/>
    <w:pPr>
      <w:spacing w:afterLines="50" w:line="300" w:lineRule="auto"/>
      <w:ind w:firstLine="420"/>
    </w:pPr>
    <w:rPr>
      <w:kern w:val="0"/>
      <w:sz w:val="24"/>
    </w:rPr>
  </w:style>
  <w:style w:type="character" w:customStyle="1" w:styleId="271">
    <w:name w:val="Ò³Ã¼ Char Char1"/>
    <w:qFormat/>
    <w:uiPriority w:val="0"/>
    <w:rPr>
      <w:rFonts w:eastAsia="仿宋_GB2312"/>
      <w:kern w:val="2"/>
      <w:sz w:val="18"/>
      <w:szCs w:val="18"/>
      <w:lang w:val="en-US" w:eastAsia="zh-CN" w:bidi="ar-SA"/>
    </w:rPr>
  </w:style>
  <w:style w:type="character" w:customStyle="1" w:styleId="272">
    <w:name w:val="正文首行缩进 字符"/>
    <w:basedOn w:val="273"/>
    <w:qFormat/>
    <w:uiPriority w:val="0"/>
    <w:rPr>
      <w:rFonts w:ascii="宋体"/>
      <w:sz w:val="21"/>
    </w:rPr>
  </w:style>
  <w:style w:type="character" w:customStyle="1" w:styleId="273">
    <w:name w:val="正文文本 字符"/>
    <w:qFormat/>
    <w:uiPriority w:val="0"/>
    <w:rPr>
      <w:rFonts w:ascii="宋体"/>
      <w:sz w:val="21"/>
    </w:rPr>
  </w:style>
  <w:style w:type="character" w:customStyle="1" w:styleId="274">
    <w:name w:val="信息标题 Char"/>
    <w:qFormat/>
    <w:uiPriority w:val="0"/>
    <w:rPr>
      <w:rFonts w:eastAsia="仿宋_GB2312"/>
      <w:kern w:val="2"/>
      <w:sz w:val="21"/>
      <w:szCs w:val="24"/>
      <w:shd w:val="pct20" w:color="auto" w:fill="auto"/>
    </w:rPr>
  </w:style>
  <w:style w:type="character" w:customStyle="1" w:styleId="275">
    <w:name w:val="A4 Char"/>
    <w:link w:val="276"/>
    <w:qFormat/>
    <w:uiPriority w:val="0"/>
    <w:rPr>
      <w:rFonts w:ascii="Cambria" w:hAnsi="Cambria" w:cs="新宋体"/>
      <w:b/>
      <w:bCs/>
      <w:sz w:val="28"/>
      <w:szCs w:val="28"/>
    </w:rPr>
  </w:style>
  <w:style w:type="paragraph" w:customStyle="1" w:styleId="276">
    <w:name w:val="A4"/>
    <w:basedOn w:val="7"/>
    <w:link w:val="275"/>
    <w:qFormat/>
    <w:uiPriority w:val="0"/>
    <w:pPr>
      <w:spacing w:line="377" w:lineRule="auto"/>
      <w:jc w:val="left"/>
    </w:pPr>
    <w:rPr>
      <w:rFonts w:cs="新宋体"/>
      <w:kern w:val="0"/>
    </w:rPr>
  </w:style>
  <w:style w:type="character" w:customStyle="1" w:styleId="277">
    <w:name w:val="Char Char61"/>
    <w:qFormat/>
    <w:uiPriority w:val="0"/>
    <w:rPr>
      <w:rFonts w:ascii="新宋体" w:hAnsi="新宋体" w:eastAsia="仿宋_GB2312" w:cs="新宋体"/>
      <w:szCs w:val="24"/>
    </w:rPr>
  </w:style>
  <w:style w:type="character" w:customStyle="1" w:styleId="278">
    <w:name w:val="符号正文缩进 Char Char"/>
    <w:link w:val="279"/>
    <w:qFormat/>
    <w:uiPriority w:val="0"/>
    <w:rPr>
      <w:kern w:val="2"/>
      <w:sz w:val="24"/>
      <w:szCs w:val="24"/>
    </w:rPr>
  </w:style>
  <w:style w:type="paragraph" w:customStyle="1" w:styleId="279">
    <w:name w:val="符号正文缩进"/>
    <w:basedOn w:val="17"/>
    <w:link w:val="278"/>
    <w:qFormat/>
    <w:uiPriority w:val="0"/>
    <w:pPr>
      <w:tabs>
        <w:tab w:val="left" w:pos="1497"/>
      </w:tabs>
      <w:spacing w:line="400" w:lineRule="atLeast"/>
      <w:ind w:left="567" w:firstLine="510"/>
    </w:pPr>
    <w:rPr>
      <w:kern w:val="2"/>
      <w:sz w:val="24"/>
      <w:szCs w:val="24"/>
    </w:rPr>
  </w:style>
  <w:style w:type="character" w:customStyle="1" w:styleId="280">
    <w:name w:val="Char Char11"/>
    <w:qFormat/>
    <w:uiPriority w:val="0"/>
    <w:rPr>
      <w:rFonts w:ascii="新宋体" w:hAnsi="新宋体" w:eastAsia="仿宋_GB2312" w:cs="新宋体"/>
      <w:sz w:val="18"/>
      <w:szCs w:val="18"/>
    </w:rPr>
  </w:style>
  <w:style w:type="character" w:customStyle="1" w:styleId="281">
    <w:name w:val="heading 1 Char2"/>
    <w:qFormat/>
    <w:uiPriority w:val="0"/>
    <w:rPr>
      <w:b/>
      <w:bCs/>
      <w:kern w:val="44"/>
      <w:sz w:val="44"/>
      <w:szCs w:val="44"/>
    </w:rPr>
  </w:style>
  <w:style w:type="character" w:customStyle="1" w:styleId="282">
    <w:name w:val="Char Char13"/>
    <w:basedOn w:val="66"/>
    <w:qFormat/>
    <w:uiPriority w:val="0"/>
    <w:rPr>
      <w:rFonts w:ascii="Times New Roman" w:hAnsi="Times New Roman" w:eastAsia="宋体" w:cs="Times New Roman"/>
      <w:b/>
      <w:bCs/>
      <w:color w:val="auto"/>
      <w:kern w:val="2"/>
      <w:szCs w:val="20"/>
    </w:rPr>
  </w:style>
  <w:style w:type="character" w:customStyle="1" w:styleId="283">
    <w:name w:val="heading 7 Char1"/>
    <w:qFormat/>
    <w:uiPriority w:val="0"/>
    <w:rPr>
      <w:rFonts w:ascii="Tahoma" w:hAnsi="Tahoma" w:eastAsia="Helvetica"/>
      <w:sz w:val="21"/>
      <w:szCs w:val="21"/>
      <w:lang w:val="en-US" w:eastAsia="zh-CN" w:bidi="ar-SA"/>
    </w:rPr>
  </w:style>
  <w:style w:type="character" w:customStyle="1" w:styleId="284">
    <w:name w:val="Style2"/>
    <w:qFormat/>
    <w:uiPriority w:val="0"/>
    <w:rPr>
      <w:rFonts w:ascii="Century Gothic" w:hAnsi="仿宋_GB2312" w:eastAsia="仿宋_GB2312" w:cs="新宋体"/>
      <w:sz w:val="22"/>
      <w:szCs w:val="22"/>
      <w:lang w:eastAsia="zh-CN"/>
    </w:rPr>
  </w:style>
  <w:style w:type="character" w:customStyle="1" w:styleId="285">
    <w:name w:val="blue1"/>
    <w:basedOn w:val="66"/>
    <w:qFormat/>
    <w:uiPriority w:val="0"/>
  </w:style>
  <w:style w:type="character" w:customStyle="1" w:styleId="286">
    <w:name w:val="style111"/>
    <w:qFormat/>
    <w:uiPriority w:val="0"/>
    <w:rPr>
      <w:sz w:val="27"/>
      <w:szCs w:val="27"/>
    </w:rPr>
  </w:style>
  <w:style w:type="character" w:customStyle="1" w:styleId="287">
    <w:name w:val="emailstyle15"/>
    <w:qFormat/>
    <w:uiPriority w:val="0"/>
    <w:rPr>
      <w:rFonts w:ascii="Arial" w:hAnsi="Arial" w:eastAsia="宋体" w:cs="Arial"/>
      <w:color w:val="auto"/>
      <w:kern w:val="2"/>
      <w:sz w:val="20"/>
      <w:szCs w:val="24"/>
      <w:lang w:val="en-US" w:eastAsia="zh-CN" w:bidi="ar-SA"/>
    </w:rPr>
  </w:style>
  <w:style w:type="character" w:customStyle="1" w:styleId="288">
    <w:name w:val="个人撰写风格"/>
    <w:qFormat/>
    <w:uiPriority w:val="0"/>
    <w:rPr>
      <w:rFonts w:ascii="Arial" w:hAnsi="Arial" w:eastAsia="宋体" w:cs="Arial"/>
      <w:color w:val="auto"/>
      <w:kern w:val="2"/>
      <w:sz w:val="20"/>
      <w:szCs w:val="24"/>
      <w:lang w:val="en-US" w:eastAsia="zh-CN" w:bidi="ar-SA"/>
    </w:rPr>
  </w:style>
  <w:style w:type="character" w:customStyle="1" w:styleId="289">
    <w:name w:val="font01"/>
    <w:qFormat/>
    <w:uiPriority w:val="0"/>
    <w:rPr>
      <w:rFonts w:hint="eastAsia" w:ascii="宋体" w:hAnsi="宋体" w:eastAsia="宋体" w:cs="宋体"/>
      <w:color w:val="000000"/>
      <w:sz w:val="18"/>
      <w:szCs w:val="18"/>
      <w:u w:val="none"/>
      <w:vertAlign w:val="superscript"/>
    </w:rPr>
  </w:style>
  <w:style w:type="character" w:customStyle="1" w:styleId="290">
    <w:name w:val="Char Char21"/>
    <w:qFormat/>
    <w:uiPriority w:val="0"/>
    <w:rPr>
      <w:rFonts w:ascii="新宋体" w:hAnsi="新宋体" w:eastAsia="仿宋_GB2312" w:cs="新宋体"/>
      <w:b/>
      <w:bCs/>
      <w:kern w:val="44"/>
      <w:sz w:val="44"/>
      <w:szCs w:val="44"/>
    </w:rPr>
  </w:style>
  <w:style w:type="character" w:customStyle="1" w:styleId="291">
    <w:name w:val="Char Char24"/>
    <w:qFormat/>
    <w:uiPriority w:val="0"/>
    <w:rPr>
      <w:rFonts w:ascii="Verdana" w:hAnsi="Verdana" w:eastAsia="仿宋_GB2312"/>
      <w:b/>
      <w:bCs/>
      <w:kern w:val="2"/>
      <w:sz w:val="32"/>
      <w:szCs w:val="32"/>
      <w:lang w:val="en-US" w:eastAsia="zh-CN" w:bidi="ar-SA"/>
    </w:rPr>
  </w:style>
  <w:style w:type="character" w:customStyle="1" w:styleId="292">
    <w:name w:val="Char Char181"/>
    <w:qFormat/>
    <w:uiPriority w:val="0"/>
    <w:rPr>
      <w:rFonts w:ascii="Tahoma" w:hAnsi="Tahoma" w:eastAsia="Helvetica"/>
      <w:sz w:val="24"/>
      <w:lang w:val="en-US" w:eastAsia="zh-CN" w:bidi="ar-SA"/>
    </w:rPr>
  </w:style>
  <w:style w:type="character" w:customStyle="1" w:styleId="293">
    <w:name w:val="heading 5 Char"/>
    <w:qFormat/>
    <w:uiPriority w:val="0"/>
    <w:rPr>
      <w:rFonts w:ascii="Tahoma" w:hAnsi="Tahoma" w:eastAsia="Helvetica"/>
      <w:sz w:val="21"/>
      <w:szCs w:val="21"/>
    </w:rPr>
  </w:style>
  <w:style w:type="character" w:customStyle="1" w:styleId="294">
    <w:name w:val="heading 3 Char2"/>
    <w:qFormat/>
    <w:uiPriority w:val="0"/>
    <w:rPr>
      <w:b/>
      <w:bCs/>
      <w:kern w:val="2"/>
      <w:sz w:val="32"/>
      <w:szCs w:val="32"/>
    </w:rPr>
  </w:style>
  <w:style w:type="character" w:customStyle="1" w:styleId="295">
    <w:name w:val="列出段落 Char1"/>
    <w:qFormat/>
    <w:uiPriority w:val="0"/>
    <w:rPr>
      <w:kern w:val="2"/>
      <w:sz w:val="21"/>
      <w:szCs w:val="24"/>
    </w:rPr>
  </w:style>
  <w:style w:type="character" w:customStyle="1" w:styleId="296">
    <w:name w:val="Footer-Even Char2"/>
    <w:qFormat/>
    <w:uiPriority w:val="0"/>
    <w:rPr>
      <w:kern w:val="2"/>
      <w:sz w:val="18"/>
      <w:szCs w:val="18"/>
    </w:rPr>
  </w:style>
  <w:style w:type="character" w:customStyle="1" w:styleId="297">
    <w:name w:val="heading 1 Char1"/>
    <w:qFormat/>
    <w:uiPriority w:val="0"/>
    <w:rPr>
      <w:rFonts w:eastAsia="仿宋_GB2312"/>
      <w:b/>
      <w:bCs/>
      <w:kern w:val="44"/>
      <w:sz w:val="44"/>
      <w:szCs w:val="44"/>
      <w:lang w:val="en-US" w:eastAsia="zh-CN" w:bidi="ar-SA"/>
    </w:rPr>
  </w:style>
  <w:style w:type="character" w:customStyle="1" w:styleId="298">
    <w:name w:val="kpk:正文 Char"/>
    <w:link w:val="299"/>
    <w:qFormat/>
    <w:uiPriority w:val="0"/>
    <w:rPr>
      <w:rFonts w:ascii="宋体" w:hAnsi="宋体"/>
      <w:kern w:val="2"/>
      <w:sz w:val="24"/>
      <w:szCs w:val="24"/>
      <w:lang w:val="en-GB"/>
    </w:rPr>
  </w:style>
  <w:style w:type="paragraph" w:customStyle="1" w:styleId="299">
    <w:name w:val="kpk:正文"/>
    <w:basedOn w:val="1"/>
    <w:link w:val="298"/>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300">
    <w:name w:val="彩色列表 - 强调文字颜色 1 Char"/>
    <w:link w:val="301"/>
    <w:qFormat/>
    <w:uiPriority w:val="0"/>
    <w:rPr>
      <w:kern w:val="2"/>
      <w:sz w:val="21"/>
      <w:szCs w:val="22"/>
    </w:rPr>
  </w:style>
  <w:style w:type="paragraph" w:customStyle="1" w:styleId="301">
    <w:name w:val="彩色列表 - 强调文字颜色 11"/>
    <w:basedOn w:val="1"/>
    <w:link w:val="300"/>
    <w:qFormat/>
    <w:uiPriority w:val="0"/>
    <w:pPr>
      <w:ind w:firstLine="420" w:firstLineChars="200"/>
    </w:pPr>
    <w:rPr>
      <w:szCs w:val="22"/>
    </w:rPr>
  </w:style>
  <w:style w:type="character" w:customStyle="1" w:styleId="302">
    <w:name w:val="A3 Char"/>
    <w:link w:val="303"/>
    <w:qFormat/>
    <w:uiPriority w:val="0"/>
    <w:rPr>
      <w:b/>
      <w:bCs/>
      <w:sz w:val="32"/>
      <w:szCs w:val="32"/>
    </w:rPr>
  </w:style>
  <w:style w:type="paragraph" w:customStyle="1" w:styleId="303">
    <w:name w:val="A3"/>
    <w:basedOn w:val="6"/>
    <w:link w:val="302"/>
    <w:qFormat/>
    <w:uiPriority w:val="0"/>
    <w:pPr>
      <w:spacing w:before="0" w:after="0" w:line="415" w:lineRule="auto"/>
      <w:ind w:left="720" w:hanging="720"/>
      <w:jc w:val="left"/>
    </w:pPr>
    <w:rPr>
      <w:kern w:val="0"/>
    </w:rPr>
  </w:style>
  <w:style w:type="character" w:customStyle="1" w:styleId="304">
    <w:name w:val="批注框文本 字符"/>
    <w:semiHidden/>
    <w:qFormat/>
    <w:uiPriority w:val="0"/>
    <w:rPr>
      <w:sz w:val="18"/>
      <w:szCs w:val="18"/>
    </w:rPr>
  </w:style>
  <w:style w:type="character" w:customStyle="1" w:styleId="305">
    <w:name w:val="正文文本缩进 2 Char"/>
    <w:link w:val="39"/>
    <w:qFormat/>
    <w:uiPriority w:val="0"/>
    <w:rPr>
      <w:kern w:val="2"/>
      <w:sz w:val="24"/>
      <w:szCs w:val="24"/>
    </w:rPr>
  </w:style>
  <w:style w:type="character" w:customStyle="1" w:styleId="306">
    <w:name w:val="Table Text Char"/>
    <w:link w:val="307"/>
    <w:qFormat/>
    <w:uiPriority w:val="0"/>
    <w:rPr>
      <w:rFonts w:eastAsia="仿宋_GB2312"/>
      <w:sz w:val="24"/>
    </w:rPr>
  </w:style>
  <w:style w:type="paragraph" w:customStyle="1" w:styleId="307">
    <w:name w:val="Table Text"/>
    <w:basedOn w:val="1"/>
    <w:link w:val="306"/>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8">
    <w:name w:val="!我的正文 Ctr+Q Char Char"/>
    <w:qFormat/>
    <w:uiPriority w:val="0"/>
    <w:rPr>
      <w:rFonts w:ascii="Arial" w:hAnsi="Arial"/>
      <w:kern w:val="2"/>
      <w:sz w:val="24"/>
      <w:szCs w:val="21"/>
      <w:lang w:bidi="ar-SA"/>
    </w:rPr>
  </w:style>
  <w:style w:type="character" w:customStyle="1" w:styleId="309">
    <w:name w:val="BZ_四级标题 Char"/>
    <w:link w:val="161"/>
    <w:qFormat/>
    <w:uiPriority w:val="0"/>
    <w:rPr>
      <w:rFonts w:eastAsia="黑体"/>
      <w:bCs/>
      <w:kern w:val="2"/>
      <w:sz w:val="24"/>
      <w:szCs w:val="28"/>
    </w:rPr>
  </w:style>
  <w:style w:type="character" w:customStyle="1" w:styleId="310">
    <w:name w:val="Char Char17"/>
    <w:qFormat/>
    <w:uiPriority w:val="0"/>
    <w:rPr>
      <w:rFonts w:ascii="Tahoma" w:hAnsi="Tahoma" w:eastAsia="Helvetica"/>
      <w:sz w:val="21"/>
      <w:lang w:val="en-US" w:eastAsia="zh-CN" w:bidi="ar-SA"/>
    </w:rPr>
  </w:style>
  <w:style w:type="character" w:customStyle="1" w:styleId="311">
    <w:name w:val="heading 2 Char2"/>
    <w:qFormat/>
    <w:uiPriority w:val="0"/>
    <w:rPr>
      <w:rFonts w:ascii="Verdana" w:hAnsi="Verdana"/>
      <w:b/>
      <w:bCs/>
      <w:kern w:val="2"/>
      <w:sz w:val="32"/>
      <w:szCs w:val="32"/>
    </w:rPr>
  </w:style>
  <w:style w:type="character" w:customStyle="1" w:styleId="312">
    <w:name w:val="正文缩进字符"/>
    <w:link w:val="313"/>
    <w:qFormat/>
    <w:uiPriority w:val="0"/>
    <w:rPr>
      <w:rFonts w:ascii="宋体"/>
      <w:sz w:val="24"/>
    </w:rPr>
  </w:style>
  <w:style w:type="paragraph" w:customStyle="1" w:styleId="313">
    <w:name w:val="正文缩进2"/>
    <w:basedOn w:val="1"/>
    <w:link w:val="312"/>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4">
    <w:name w:val="1Text Char"/>
    <w:link w:val="315"/>
    <w:qFormat/>
    <w:uiPriority w:val="0"/>
    <w:rPr>
      <w:rFonts w:ascii="Calibri" w:hAnsi="Calibri"/>
      <w:sz w:val="24"/>
      <w:szCs w:val="24"/>
    </w:rPr>
  </w:style>
  <w:style w:type="paragraph" w:customStyle="1" w:styleId="315">
    <w:name w:val="1Text"/>
    <w:basedOn w:val="1"/>
    <w:link w:val="314"/>
    <w:qFormat/>
    <w:uiPriority w:val="0"/>
    <w:pPr>
      <w:spacing w:beforeLines="50" w:afterLines="50" w:line="360" w:lineRule="auto"/>
      <w:ind w:firstLine="480" w:firstLineChars="200"/>
      <w:jc w:val="left"/>
    </w:pPr>
    <w:rPr>
      <w:rFonts w:ascii="Calibri" w:hAnsi="Calibri"/>
      <w:kern w:val="0"/>
      <w:sz w:val="24"/>
    </w:rPr>
  </w:style>
  <w:style w:type="character" w:customStyle="1" w:styleId="316">
    <w:name w:val="文档结构图 字符"/>
    <w:semiHidden/>
    <w:qFormat/>
    <w:uiPriority w:val="99"/>
    <w:rPr>
      <w:rFonts w:ascii="宋体"/>
      <w:sz w:val="18"/>
      <w:szCs w:val="18"/>
    </w:rPr>
  </w:style>
  <w:style w:type="character" w:customStyle="1" w:styleId="317">
    <w:name w:val="heading 8 Char1"/>
    <w:qFormat/>
    <w:uiPriority w:val="0"/>
    <w:rPr>
      <w:rFonts w:ascii="Tahoma" w:hAnsi="Tahoma" w:eastAsia="Helvetica"/>
      <w:sz w:val="24"/>
      <w:lang w:val="en-US" w:eastAsia="zh-CN" w:bidi="ar-SA"/>
    </w:rPr>
  </w:style>
  <w:style w:type="character" w:customStyle="1" w:styleId="318">
    <w:name w:val="Char Char171"/>
    <w:qFormat/>
    <w:uiPriority w:val="0"/>
    <w:rPr>
      <w:rFonts w:ascii="Verdana" w:hAnsi="Verdana"/>
      <w:b/>
      <w:bCs/>
      <w:kern w:val="2"/>
      <w:sz w:val="28"/>
      <w:szCs w:val="28"/>
    </w:rPr>
  </w:style>
  <w:style w:type="character" w:customStyle="1" w:styleId="319">
    <w:name w:val="副标题 Char"/>
    <w:qFormat/>
    <w:uiPriority w:val="0"/>
    <w:rPr>
      <w:rFonts w:ascii="Verdana" w:hAnsi="Verdana" w:eastAsia="仿宋_GB2312"/>
      <w:b/>
      <w:bCs/>
      <w:kern w:val="28"/>
      <w:sz w:val="32"/>
      <w:szCs w:val="32"/>
    </w:rPr>
  </w:style>
  <w:style w:type="character" w:customStyle="1" w:styleId="320">
    <w:name w:val="内容文本 Char"/>
    <w:link w:val="321"/>
    <w:qFormat/>
    <w:uiPriority w:val="0"/>
    <w:rPr>
      <w:rFonts w:ascii="宋体" w:hAnsi="宋体"/>
      <w:sz w:val="24"/>
      <w:szCs w:val="24"/>
      <w:lang w:eastAsia="en-US" w:bidi="en-US"/>
    </w:rPr>
  </w:style>
  <w:style w:type="paragraph" w:customStyle="1" w:styleId="321">
    <w:name w:val="内容文本"/>
    <w:basedOn w:val="301"/>
    <w:link w:val="320"/>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2">
    <w:name w:val="明显引用 Char"/>
    <w:qFormat/>
    <w:uiPriority w:val="0"/>
    <w:rPr>
      <w:rFonts w:ascii="Century Gothic" w:hAnsi="Century Gothic" w:eastAsia="仿宋_GB2312"/>
      <w:b/>
      <w:bCs/>
      <w:i/>
      <w:iCs/>
      <w:color w:val="4F81BD"/>
    </w:rPr>
  </w:style>
  <w:style w:type="paragraph" w:styleId="323">
    <w:name w:val="Intense Quote"/>
    <w:basedOn w:val="1"/>
    <w:next w:val="1"/>
    <w:link w:val="594"/>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4">
    <w:name w:val="Style5"/>
    <w:qFormat/>
    <w:uiPriority w:val="0"/>
    <w:rPr>
      <w:rFonts w:ascii="Century Gothic" w:hAnsi="仿宋_GB2312" w:eastAsia="仿宋_GB2312" w:cs="新宋体"/>
      <w:sz w:val="22"/>
      <w:szCs w:val="22"/>
      <w:lang w:eastAsia="zh-CN"/>
    </w:rPr>
  </w:style>
  <w:style w:type="character" w:customStyle="1" w:styleId="325">
    <w:name w:val="HTML 预设格式 Char"/>
    <w:qFormat/>
    <w:uiPriority w:val="0"/>
    <w:rPr>
      <w:rFonts w:ascii="黑体" w:hAnsi="Courier New" w:eastAsia="黑体"/>
    </w:rPr>
  </w:style>
  <w:style w:type="character" w:customStyle="1" w:styleId="326">
    <w:name w:val="BZ_图 Char"/>
    <w:link w:val="327"/>
    <w:qFormat/>
    <w:uiPriority w:val="0"/>
    <w:rPr>
      <w:kern w:val="2"/>
      <w:sz w:val="21"/>
      <w:szCs w:val="24"/>
    </w:rPr>
  </w:style>
  <w:style w:type="paragraph" w:customStyle="1" w:styleId="327">
    <w:name w:val="BZ_图"/>
    <w:basedOn w:val="1"/>
    <w:next w:val="1"/>
    <w:link w:val="326"/>
    <w:qFormat/>
    <w:uiPriority w:val="0"/>
    <w:pPr>
      <w:keepNext/>
      <w:widowControl/>
      <w:spacing w:beforeLines="50" w:afterLines="50"/>
      <w:jc w:val="center"/>
    </w:pPr>
  </w:style>
  <w:style w:type="character" w:customStyle="1" w:styleId="328">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329">
    <w:name w:val="标题 3 字符"/>
    <w:qFormat/>
    <w:uiPriority w:val="0"/>
    <w:rPr>
      <w:rFonts w:eastAsia="黑体"/>
      <w:b/>
      <w:sz w:val="28"/>
    </w:rPr>
  </w:style>
  <w:style w:type="character" w:customStyle="1" w:styleId="330">
    <w:name w:val="dandyren_title1"/>
    <w:qFormat/>
    <w:uiPriority w:val="0"/>
    <w:rPr>
      <w:b/>
      <w:bCs/>
      <w:color w:val="FF6633"/>
      <w:sz w:val="18"/>
      <w:szCs w:val="18"/>
    </w:rPr>
  </w:style>
  <w:style w:type="character" w:customStyle="1" w:styleId="331">
    <w:name w:val="样式 正文缩进首行缩进两字正文（首行缩进两字） Char正文（首行缩进两字） Char Char Char正文（首行缩进... Char"/>
    <w:link w:val="332"/>
    <w:qFormat/>
    <w:uiPriority w:val="0"/>
    <w:rPr>
      <w:rFonts w:cs="宋体"/>
      <w:szCs w:val="28"/>
    </w:rPr>
  </w:style>
  <w:style w:type="paragraph" w:customStyle="1" w:styleId="332">
    <w:name w:val="样式 正文缩进首行缩进两字正文（首行缩进两字） Char正文（首行缩进两字） Char Char Char正文（首行缩进..."/>
    <w:basedOn w:val="17"/>
    <w:link w:val="331"/>
    <w:qFormat/>
    <w:uiPriority w:val="0"/>
    <w:pPr>
      <w:autoSpaceDE w:val="0"/>
      <w:autoSpaceDN w:val="0"/>
      <w:spacing w:line="240" w:lineRule="auto"/>
      <w:ind w:firstLine="567"/>
    </w:pPr>
    <w:rPr>
      <w:rFonts w:cs="宋体"/>
      <w:sz w:val="20"/>
      <w:szCs w:val="28"/>
    </w:rPr>
  </w:style>
  <w:style w:type="character" w:customStyle="1" w:styleId="333">
    <w:name w:val="1Text Char Char"/>
    <w:qFormat/>
    <w:uiPriority w:val="0"/>
    <w:rPr>
      <w:rFonts w:ascii="Calibri" w:hAnsi="Calibri" w:eastAsia="宋体"/>
      <w:sz w:val="24"/>
      <w:szCs w:val="24"/>
      <w:lang w:bidi="ar-SA"/>
    </w:rPr>
  </w:style>
  <w:style w:type="character" w:customStyle="1" w:styleId="334">
    <w:name w:val="Char Char211"/>
    <w:qFormat/>
    <w:uiPriority w:val="0"/>
    <w:rPr>
      <w:rFonts w:ascii="新宋体" w:hAnsi="新宋体" w:eastAsia="仿宋_GB2312" w:cs="新宋体"/>
      <w:b/>
      <w:bCs/>
      <w:kern w:val="44"/>
      <w:sz w:val="44"/>
      <w:szCs w:val="44"/>
    </w:rPr>
  </w:style>
  <w:style w:type="character" w:customStyle="1" w:styleId="335">
    <w:name w:val="强调划线"/>
    <w:qFormat/>
    <w:uiPriority w:val="0"/>
    <w:rPr>
      <w:u w:val="single"/>
    </w:rPr>
  </w:style>
  <w:style w:type="character" w:customStyle="1" w:styleId="336">
    <w:name w:val="backtitle1"/>
    <w:qFormat/>
    <w:uiPriority w:val="0"/>
    <w:rPr>
      <w:rFonts w:eastAsia="宋体"/>
      <w:b/>
      <w:bCs/>
      <w:color w:val="000000"/>
      <w:kern w:val="2"/>
      <w:sz w:val="18"/>
      <w:szCs w:val="18"/>
      <w:lang w:val="en-US" w:eastAsia="zh-CN" w:bidi="ar-SA"/>
    </w:rPr>
  </w:style>
  <w:style w:type="character" w:customStyle="1" w:styleId="337">
    <w:name w:val="哈哈正文 Char Char"/>
    <w:qFormat/>
    <w:uiPriority w:val="0"/>
    <w:rPr>
      <w:rFonts w:ascii="宋体" w:hAnsi="宋体"/>
      <w:kern w:val="2"/>
      <w:sz w:val="24"/>
      <w:lang w:bidi="ar-SA"/>
    </w:rPr>
  </w:style>
  <w:style w:type="character" w:customStyle="1" w:styleId="338">
    <w:name w:val="正文首行缩进 2 Char"/>
    <w:qFormat/>
    <w:uiPriority w:val="0"/>
    <w:rPr>
      <w:kern w:val="2"/>
      <w:sz w:val="21"/>
      <w:szCs w:val="24"/>
    </w:rPr>
  </w:style>
  <w:style w:type="character" w:customStyle="1" w:styleId="339">
    <w:name w:val="注释题目"/>
    <w:qFormat/>
    <w:uiPriority w:val="0"/>
    <w:rPr>
      <w:rFonts w:eastAsia="黑体"/>
      <w:sz w:val="28"/>
      <w:u w:val="none"/>
    </w:rPr>
  </w:style>
  <w:style w:type="character" w:customStyle="1" w:styleId="340">
    <w:name w:val="三级标题 Char"/>
    <w:link w:val="341"/>
    <w:qFormat/>
    <w:uiPriority w:val="0"/>
    <w:rPr>
      <w:rFonts w:eastAsia="黑体"/>
      <w:b/>
      <w:kern w:val="2"/>
      <w:sz w:val="28"/>
      <w:szCs w:val="22"/>
    </w:rPr>
  </w:style>
  <w:style w:type="paragraph" w:customStyle="1" w:styleId="341">
    <w:name w:val="三级标题"/>
    <w:basedOn w:val="1"/>
    <w:link w:val="340"/>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2">
    <w:name w:val="样式 宋体"/>
    <w:qFormat/>
    <w:uiPriority w:val="0"/>
    <w:rPr>
      <w:rFonts w:ascii="仿宋_GB2312" w:hAnsi="仿宋_GB2312" w:eastAsia="仿宋_GB2312"/>
      <w:sz w:val="24"/>
      <w:szCs w:val="24"/>
    </w:rPr>
  </w:style>
  <w:style w:type="character" w:customStyle="1" w:styleId="343">
    <w:name w:val="heading 1 Char"/>
    <w:qFormat/>
    <w:uiPriority w:val="0"/>
    <w:rPr>
      <w:rFonts w:ascii="Tahoma" w:hAnsi="Tahoma" w:eastAsia="Helvetica"/>
      <w:b/>
      <w:sz w:val="36"/>
      <w:szCs w:val="36"/>
    </w:rPr>
  </w:style>
  <w:style w:type="character" w:customStyle="1" w:styleId="344">
    <w:name w:val="栏目标题 Char Char"/>
    <w:link w:val="345"/>
    <w:qFormat/>
    <w:uiPriority w:val="0"/>
    <w:rPr>
      <w:rFonts w:ascii="黑体" w:hAnsi="黑体" w:eastAsia="黑体"/>
      <w:b/>
      <w:kern w:val="2"/>
      <w:sz w:val="21"/>
      <w:szCs w:val="24"/>
    </w:rPr>
  </w:style>
  <w:style w:type="paragraph" w:customStyle="1" w:styleId="345">
    <w:name w:val="栏目标题"/>
    <w:basedOn w:val="1"/>
    <w:link w:val="344"/>
    <w:qFormat/>
    <w:uiPriority w:val="0"/>
    <w:pPr>
      <w:jc w:val="center"/>
    </w:pPr>
    <w:rPr>
      <w:rFonts w:ascii="黑体" w:hAnsi="黑体" w:eastAsia="黑体"/>
      <w:b/>
    </w:rPr>
  </w:style>
  <w:style w:type="character" w:customStyle="1" w:styleId="346">
    <w:name w:val="纯文本 字符"/>
    <w:qFormat/>
    <w:uiPriority w:val="0"/>
    <w:rPr>
      <w:rFonts w:ascii="宋体" w:hAnsi="Courier New"/>
      <w:kern w:val="2"/>
      <w:sz w:val="21"/>
    </w:rPr>
  </w:style>
  <w:style w:type="character" w:customStyle="1" w:styleId="347">
    <w:name w:val="!我的正文 Ctr+Q Char"/>
    <w:link w:val="348"/>
    <w:qFormat/>
    <w:uiPriority w:val="0"/>
    <w:rPr>
      <w:rFonts w:ascii="Arial" w:hAnsi="Arial"/>
      <w:kern w:val="2"/>
      <w:sz w:val="24"/>
      <w:szCs w:val="21"/>
    </w:rPr>
  </w:style>
  <w:style w:type="paragraph" w:customStyle="1" w:styleId="348">
    <w:name w:val="!我的正文 Ctr+Q"/>
    <w:basedOn w:val="1"/>
    <w:link w:val="347"/>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9">
    <w:name w:val="标题 9 字符"/>
    <w:qFormat/>
    <w:uiPriority w:val="0"/>
    <w:rPr>
      <w:rFonts w:ascii="Arial" w:hAnsi="Arial" w:eastAsia="黑体"/>
      <w:kern w:val="2"/>
      <w:sz w:val="21"/>
      <w:vertAlign w:val="superscript"/>
    </w:rPr>
  </w:style>
  <w:style w:type="character" w:customStyle="1" w:styleId="350">
    <w:name w:val="Char Char12"/>
    <w:qFormat/>
    <w:uiPriority w:val="0"/>
    <w:rPr>
      <w:rFonts w:ascii="仿宋_GB2312" w:hAnsi="Wingdings" w:eastAsia="仿宋_GB2312"/>
      <w:sz w:val="21"/>
      <w:szCs w:val="21"/>
      <w:lang w:val="en-US" w:eastAsia="zh-CN" w:bidi="ar-SA"/>
    </w:rPr>
  </w:style>
  <w:style w:type="character" w:customStyle="1" w:styleId="351">
    <w:name w:val="Char Char221"/>
    <w:qFormat/>
    <w:uiPriority w:val="0"/>
    <w:rPr>
      <w:rFonts w:ascii="Verdana" w:hAnsi="Verdana" w:eastAsia="仿宋_GB2312"/>
      <w:b/>
      <w:bCs/>
      <w:kern w:val="2"/>
      <w:sz w:val="28"/>
      <w:szCs w:val="28"/>
      <w:lang w:val="en-US" w:eastAsia="zh-CN" w:bidi="ar-SA"/>
    </w:rPr>
  </w:style>
  <w:style w:type="character" w:customStyle="1" w:styleId="352">
    <w:name w:val="Footer-Even Char1"/>
    <w:qFormat/>
    <w:uiPriority w:val="0"/>
    <w:rPr>
      <w:rFonts w:eastAsia="仿宋_GB2312"/>
      <w:kern w:val="2"/>
      <w:sz w:val="18"/>
      <w:szCs w:val="18"/>
      <w:lang w:val="en-US" w:eastAsia="zh-CN" w:bidi="ar-SA"/>
    </w:rPr>
  </w:style>
  <w:style w:type="character" w:customStyle="1" w:styleId="353">
    <w:name w:val="xl77 Char"/>
    <w:link w:val="354"/>
    <w:qFormat/>
    <w:uiPriority w:val="0"/>
    <w:rPr>
      <w:b/>
      <w:bCs/>
      <w:sz w:val="28"/>
      <w:szCs w:val="28"/>
    </w:rPr>
  </w:style>
  <w:style w:type="paragraph" w:customStyle="1" w:styleId="354">
    <w:name w:val="xl77"/>
    <w:basedOn w:val="1"/>
    <w:link w:val="353"/>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5">
    <w:name w:val="正文文本缩进 3 字符"/>
    <w:qFormat/>
    <w:uiPriority w:val="0"/>
    <w:rPr>
      <w:kern w:val="2"/>
      <w:sz w:val="16"/>
      <w:szCs w:val="16"/>
    </w:rPr>
  </w:style>
  <w:style w:type="character" w:customStyle="1" w:styleId="356">
    <w:name w:val="Subtle Emphasis1"/>
    <w:qFormat/>
    <w:uiPriority w:val="0"/>
    <w:rPr>
      <w:i/>
      <w:iCs/>
      <w:color w:val="808080"/>
    </w:rPr>
  </w:style>
  <w:style w:type="character" w:customStyle="1" w:styleId="357">
    <w:name w:val="Book Title1"/>
    <w:qFormat/>
    <w:uiPriority w:val="0"/>
    <w:rPr>
      <w:b/>
      <w:bCs/>
      <w:smallCaps/>
      <w:spacing w:val="5"/>
    </w:rPr>
  </w:style>
  <w:style w:type="character" w:customStyle="1" w:styleId="358">
    <w:name w:val="目录标题 Char Char"/>
    <w:link w:val="359"/>
    <w:qFormat/>
    <w:uiPriority w:val="0"/>
    <w:rPr>
      <w:rFonts w:eastAsia="黑体"/>
      <w:b/>
      <w:bCs/>
      <w:kern w:val="2"/>
      <w:sz w:val="44"/>
      <w:szCs w:val="44"/>
    </w:rPr>
  </w:style>
  <w:style w:type="paragraph" w:customStyle="1" w:styleId="359">
    <w:name w:val="目录标题"/>
    <w:basedOn w:val="1"/>
    <w:link w:val="358"/>
    <w:qFormat/>
    <w:uiPriority w:val="0"/>
    <w:pPr>
      <w:jc w:val="center"/>
    </w:pPr>
    <w:rPr>
      <w:rFonts w:eastAsia="黑体"/>
      <w:b/>
      <w:bCs/>
      <w:sz w:val="44"/>
      <w:szCs w:val="44"/>
    </w:rPr>
  </w:style>
  <w:style w:type="character" w:customStyle="1" w:styleId="360">
    <w:name w:val="4 Char"/>
    <w:link w:val="361"/>
    <w:qFormat/>
    <w:uiPriority w:val="0"/>
    <w:rPr>
      <w:rFonts w:ascii="仿宋" w:hAnsi="仿宋" w:eastAsia="仿宋"/>
      <w:b/>
      <w:bCs/>
      <w:kern w:val="2"/>
      <w:sz w:val="24"/>
      <w:szCs w:val="24"/>
    </w:rPr>
  </w:style>
  <w:style w:type="paragraph" w:customStyle="1" w:styleId="361">
    <w:name w:val="4"/>
    <w:basedOn w:val="7"/>
    <w:link w:val="360"/>
    <w:qFormat/>
    <w:uiPriority w:val="0"/>
    <w:pPr>
      <w:spacing w:before="0" w:after="0" w:line="360" w:lineRule="auto"/>
      <w:ind w:firstLine="200" w:firstLineChars="200"/>
    </w:pPr>
    <w:rPr>
      <w:rFonts w:ascii="仿宋" w:hAnsi="仿宋" w:eastAsia="仿宋"/>
      <w:sz w:val="24"/>
      <w:szCs w:val="24"/>
    </w:rPr>
  </w:style>
  <w:style w:type="character" w:customStyle="1" w:styleId="362">
    <w:name w:val="文本正文 Char"/>
    <w:link w:val="363"/>
    <w:qFormat/>
    <w:uiPriority w:val="0"/>
    <w:rPr>
      <w:rFonts w:ascii="Calibri" w:hAnsi="Calibri" w:eastAsia="仿宋"/>
      <w:kern w:val="2"/>
      <w:sz w:val="24"/>
      <w:szCs w:val="22"/>
    </w:rPr>
  </w:style>
  <w:style w:type="paragraph" w:customStyle="1" w:styleId="363">
    <w:name w:val="文本正文"/>
    <w:basedOn w:val="1"/>
    <w:link w:val="362"/>
    <w:qFormat/>
    <w:uiPriority w:val="0"/>
    <w:pPr>
      <w:spacing w:beforeLines="50" w:afterLines="50" w:line="360" w:lineRule="auto"/>
      <w:ind w:firstLine="200" w:firstLineChars="200"/>
    </w:pPr>
    <w:rPr>
      <w:rFonts w:ascii="Calibri" w:hAnsi="Calibri" w:eastAsia="仿宋"/>
      <w:sz w:val="24"/>
      <w:szCs w:val="22"/>
    </w:rPr>
  </w:style>
  <w:style w:type="character" w:customStyle="1" w:styleId="364">
    <w:name w:val="ll"/>
    <w:qFormat/>
    <w:uiPriority w:val="0"/>
    <w:rPr>
      <w:rFonts w:eastAsia="宋体"/>
      <w:kern w:val="2"/>
      <w:sz w:val="21"/>
      <w:szCs w:val="24"/>
      <w:lang w:val="en-US" w:eastAsia="zh-CN" w:bidi="ar-SA"/>
    </w:rPr>
  </w:style>
  <w:style w:type="character" w:customStyle="1" w:styleId="365">
    <w:name w:val="五级标题 Char"/>
    <w:link w:val="366"/>
    <w:qFormat/>
    <w:uiPriority w:val="0"/>
    <w:rPr>
      <w:rFonts w:eastAsia="黑体"/>
      <w:b/>
      <w:kern w:val="2"/>
      <w:sz w:val="28"/>
      <w:szCs w:val="22"/>
    </w:rPr>
  </w:style>
  <w:style w:type="paragraph" w:customStyle="1" w:styleId="366">
    <w:name w:val="五级标题"/>
    <w:basedOn w:val="1"/>
    <w:link w:val="365"/>
    <w:qFormat/>
    <w:uiPriority w:val="0"/>
    <w:pPr>
      <w:spacing w:line="360" w:lineRule="auto"/>
      <w:ind w:left="420" w:firstLine="200" w:firstLineChars="200"/>
      <w:outlineLvl w:val="4"/>
    </w:pPr>
    <w:rPr>
      <w:rFonts w:eastAsia="黑体"/>
      <w:b/>
      <w:sz w:val="28"/>
      <w:szCs w:val="22"/>
    </w:rPr>
  </w:style>
  <w:style w:type="character" w:customStyle="1" w:styleId="367">
    <w:name w:val="正文首行缩进 Char1"/>
    <w:qFormat/>
    <w:uiPriority w:val="0"/>
    <w:rPr>
      <w:rFonts w:eastAsia="仿宋_GB2312"/>
      <w:lang w:val="en-US" w:eastAsia="zh-CN" w:bidi="ar-SA"/>
    </w:rPr>
  </w:style>
  <w:style w:type="character" w:customStyle="1" w:styleId="368">
    <w:name w:val="Char Char212"/>
    <w:qFormat/>
    <w:uiPriority w:val="0"/>
    <w:rPr>
      <w:rFonts w:eastAsia="仿宋_GB2312"/>
      <w:b/>
      <w:bCs/>
      <w:kern w:val="2"/>
      <w:sz w:val="28"/>
      <w:szCs w:val="28"/>
      <w:lang w:val="en-US" w:eastAsia="zh-CN" w:bidi="ar-SA"/>
    </w:rPr>
  </w:style>
  <w:style w:type="character" w:customStyle="1" w:styleId="369">
    <w:name w:val="PI Char"/>
    <w:qFormat/>
    <w:uiPriority w:val="0"/>
    <w:rPr>
      <w:rFonts w:ascii="仿宋_GB2312" w:hAnsi="仿宋_GB2312"/>
      <w:sz w:val="24"/>
    </w:rPr>
  </w:style>
  <w:style w:type="character" w:customStyle="1" w:styleId="370">
    <w:name w:val="表正文 Char2"/>
    <w:qFormat/>
    <w:uiPriority w:val="0"/>
    <w:rPr>
      <w:rFonts w:ascii="新宋体" w:hAnsi="新宋体" w:eastAsia="仿宋_GB2312" w:cs="新宋体"/>
      <w:szCs w:val="24"/>
    </w:rPr>
  </w:style>
  <w:style w:type="character" w:customStyle="1" w:styleId="371">
    <w:name w:val="页眉 Char"/>
    <w:link w:val="44"/>
    <w:qFormat/>
    <w:uiPriority w:val="99"/>
    <w:rPr>
      <w:kern w:val="2"/>
      <w:sz w:val="18"/>
      <w:szCs w:val="18"/>
    </w:rPr>
  </w:style>
  <w:style w:type="character" w:customStyle="1" w:styleId="372">
    <w:name w:val="大标题 Char"/>
    <w:qFormat/>
    <w:uiPriority w:val="0"/>
    <w:rPr>
      <w:rFonts w:ascii="黑体" w:hAnsi="黑体" w:eastAsia="黑体"/>
      <w:b/>
      <w:bCs/>
      <w:kern w:val="2"/>
      <w:sz w:val="72"/>
      <w:szCs w:val="72"/>
    </w:rPr>
  </w:style>
  <w:style w:type="character" w:customStyle="1" w:styleId="373">
    <w:name w:val="Char Char Char1"/>
    <w:qFormat/>
    <w:uiPriority w:val="0"/>
    <w:rPr>
      <w:rFonts w:ascii="仿宋_GB2312" w:hAnsi="Wingdings"/>
      <w:sz w:val="21"/>
      <w:szCs w:val="21"/>
    </w:rPr>
  </w:style>
  <w:style w:type="character" w:customStyle="1" w:styleId="374">
    <w:name w:val="Char Char15"/>
    <w:qFormat/>
    <w:uiPriority w:val="0"/>
    <w:rPr>
      <w:rFonts w:ascii="Tahoma" w:hAnsi="Tahoma" w:eastAsia="Helvetica"/>
      <w:sz w:val="24"/>
      <w:szCs w:val="24"/>
    </w:rPr>
  </w:style>
  <w:style w:type="character" w:customStyle="1" w:styleId="375">
    <w:name w:val="表格标题 Char Char"/>
    <w:link w:val="376"/>
    <w:qFormat/>
    <w:uiPriority w:val="0"/>
    <w:rPr>
      <w:rFonts w:ascii="黑体" w:hAnsi="黑体" w:eastAsia="黑体"/>
      <w:b/>
      <w:color w:val="FFFFFF"/>
      <w:kern w:val="2"/>
      <w:sz w:val="21"/>
      <w:szCs w:val="24"/>
    </w:rPr>
  </w:style>
  <w:style w:type="paragraph" w:customStyle="1" w:styleId="376">
    <w:name w:val="表格标题"/>
    <w:basedOn w:val="1"/>
    <w:link w:val="375"/>
    <w:qFormat/>
    <w:uiPriority w:val="0"/>
    <w:rPr>
      <w:rFonts w:ascii="黑体" w:hAnsi="黑体" w:eastAsia="黑体"/>
      <w:b/>
      <w:color w:val="FFFFFF"/>
    </w:rPr>
  </w:style>
  <w:style w:type="character" w:customStyle="1" w:styleId="377">
    <w:name w:val="Intense Reference1"/>
    <w:qFormat/>
    <w:uiPriority w:val="32"/>
    <w:rPr>
      <w:b/>
      <w:bCs/>
      <w:smallCaps/>
      <w:color w:val="C0504D"/>
      <w:spacing w:val="5"/>
      <w:u w:val="single"/>
    </w:rPr>
  </w:style>
  <w:style w:type="character" w:customStyle="1" w:styleId="378">
    <w:name w:val="gray6"/>
    <w:basedOn w:val="66"/>
    <w:qFormat/>
    <w:uiPriority w:val="0"/>
  </w:style>
  <w:style w:type="character" w:customStyle="1" w:styleId="379">
    <w:name w:val="Char Char202"/>
    <w:qFormat/>
    <w:uiPriority w:val="0"/>
    <w:rPr>
      <w:b/>
      <w:bCs/>
      <w:kern w:val="44"/>
      <w:sz w:val="44"/>
      <w:szCs w:val="44"/>
    </w:rPr>
  </w:style>
  <w:style w:type="character" w:customStyle="1" w:styleId="380">
    <w:name w:val="ändrad Char"/>
    <w:qFormat/>
    <w:uiPriority w:val="0"/>
    <w:rPr>
      <w:rFonts w:eastAsia="仿宋_GB2312"/>
      <w:kern w:val="2"/>
      <w:sz w:val="21"/>
      <w:szCs w:val="24"/>
      <w:lang w:val="en-US" w:eastAsia="zh-CN" w:bidi="ar-SA"/>
    </w:rPr>
  </w:style>
  <w:style w:type="character" w:customStyle="1" w:styleId="381">
    <w:name w:val="大标题 Char Char"/>
    <w:link w:val="382"/>
    <w:qFormat/>
    <w:uiPriority w:val="0"/>
    <w:rPr>
      <w:rFonts w:ascii="黑体" w:hAnsi="黑体" w:eastAsia="黑体"/>
      <w:b/>
      <w:bCs/>
      <w:kern w:val="2"/>
      <w:sz w:val="72"/>
      <w:szCs w:val="72"/>
    </w:rPr>
  </w:style>
  <w:style w:type="paragraph" w:customStyle="1" w:styleId="382">
    <w:name w:val="大标题"/>
    <w:basedOn w:val="1"/>
    <w:link w:val="381"/>
    <w:qFormat/>
    <w:uiPriority w:val="0"/>
    <w:pPr>
      <w:spacing w:line="40" w:lineRule="atLeast"/>
    </w:pPr>
    <w:rPr>
      <w:rFonts w:ascii="黑体" w:hAnsi="黑体" w:eastAsia="黑体"/>
      <w:b/>
      <w:bCs/>
      <w:sz w:val="72"/>
      <w:szCs w:val="72"/>
    </w:rPr>
  </w:style>
  <w:style w:type="character" w:customStyle="1" w:styleId="383">
    <w:name w:val="Ò³Ã¼ Char Char"/>
    <w:qFormat/>
    <w:uiPriority w:val="0"/>
    <w:rPr>
      <w:sz w:val="18"/>
      <w:szCs w:val="18"/>
    </w:rPr>
  </w:style>
  <w:style w:type="character" w:customStyle="1" w:styleId="384">
    <w:name w:val="Char Char161"/>
    <w:qFormat/>
    <w:uiPriority w:val="0"/>
    <w:rPr>
      <w:rFonts w:eastAsia="仿宋_GB2312"/>
      <w:sz w:val="21"/>
      <w:lang w:val="en-US" w:eastAsia="zh-CN" w:bidi="ar-SA"/>
    </w:rPr>
  </w:style>
  <w:style w:type="character" w:customStyle="1" w:styleId="385">
    <w:name w:val="style41"/>
    <w:qFormat/>
    <w:uiPriority w:val="0"/>
    <w:rPr>
      <w:color w:val="auto"/>
    </w:rPr>
  </w:style>
  <w:style w:type="character" w:customStyle="1" w:styleId="386">
    <w:name w:val="正文4 Char Char"/>
    <w:link w:val="387"/>
    <w:qFormat/>
    <w:uiPriority w:val="0"/>
    <w:rPr>
      <w:kern w:val="2"/>
      <w:sz w:val="24"/>
      <w:szCs w:val="24"/>
    </w:rPr>
  </w:style>
  <w:style w:type="paragraph" w:customStyle="1" w:styleId="387">
    <w:name w:val="正文4"/>
    <w:basedOn w:val="1"/>
    <w:link w:val="386"/>
    <w:qFormat/>
    <w:uiPriority w:val="0"/>
    <w:pPr>
      <w:tabs>
        <w:tab w:val="left" w:pos="520"/>
      </w:tabs>
      <w:spacing w:before="60" w:after="60" w:line="360" w:lineRule="auto"/>
    </w:pPr>
    <w:rPr>
      <w:sz w:val="24"/>
    </w:rPr>
  </w:style>
  <w:style w:type="character" w:customStyle="1" w:styleId="388">
    <w:name w:val="Char Char201"/>
    <w:qFormat/>
    <w:uiPriority w:val="0"/>
    <w:rPr>
      <w:rFonts w:ascii="Verdana" w:hAnsi="Verdana" w:eastAsia="仿宋_GB2312" w:cs="新宋体"/>
      <w:b/>
      <w:bCs/>
      <w:sz w:val="32"/>
      <w:szCs w:val="32"/>
    </w:rPr>
  </w:style>
  <w:style w:type="character" w:customStyle="1" w:styleId="389">
    <w:name w:val="Char Char20"/>
    <w:qFormat/>
    <w:uiPriority w:val="0"/>
    <w:rPr>
      <w:rFonts w:ascii="Tahoma" w:hAnsi="Tahoma" w:eastAsia="Helvetica"/>
      <w:sz w:val="21"/>
      <w:szCs w:val="21"/>
      <w:lang w:val="en-US" w:eastAsia="zh-CN" w:bidi="ar-SA"/>
    </w:rPr>
  </w:style>
  <w:style w:type="character" w:customStyle="1" w:styleId="390">
    <w:name w:val="Char Char10"/>
    <w:qFormat/>
    <w:uiPriority w:val="0"/>
    <w:rPr>
      <w:rFonts w:eastAsia="仿宋_GB2312"/>
      <w:b/>
      <w:bCs/>
      <w:kern w:val="2"/>
      <w:sz w:val="21"/>
      <w:szCs w:val="24"/>
      <w:lang w:val="en-US" w:eastAsia="zh-CN" w:bidi="ar-SA"/>
    </w:rPr>
  </w:style>
  <w:style w:type="character" w:customStyle="1" w:styleId="391">
    <w:name w:val="heading 9 Char1"/>
    <w:qFormat/>
    <w:uiPriority w:val="0"/>
    <w:rPr>
      <w:rFonts w:ascii="Tahoma" w:hAnsi="Tahoma" w:eastAsia="Helvetica"/>
      <w:sz w:val="21"/>
      <w:lang w:val="en-US" w:eastAsia="zh-CN" w:bidi="ar-SA"/>
    </w:rPr>
  </w:style>
  <w:style w:type="character" w:customStyle="1" w:styleId="392">
    <w:name w:val="PI Char1"/>
    <w:qFormat/>
    <w:uiPriority w:val="0"/>
    <w:rPr>
      <w:rFonts w:eastAsia="仿宋_GB2312"/>
      <w:kern w:val="2"/>
      <w:sz w:val="24"/>
      <w:szCs w:val="24"/>
      <w:lang w:val="en-US" w:eastAsia="zh-CN" w:bidi="ar-SA"/>
    </w:rPr>
  </w:style>
  <w:style w:type="character" w:customStyle="1" w:styleId="393">
    <w:name w:val="注释正文"/>
    <w:qFormat/>
    <w:uiPriority w:val="0"/>
    <w:rPr>
      <w:rFonts w:eastAsia="宋体"/>
      <w:sz w:val="28"/>
      <w:u w:val="single"/>
    </w:rPr>
  </w:style>
  <w:style w:type="character" w:customStyle="1" w:styleId="394">
    <w:name w:val="金保标题2 Char"/>
    <w:link w:val="395"/>
    <w:qFormat/>
    <w:uiPriority w:val="0"/>
    <w:rPr>
      <w:rFonts w:ascii="新宋体" w:hAnsi="新宋体" w:eastAsia="新宋体"/>
      <w:b/>
      <w:bCs/>
      <w:color w:val="000000"/>
      <w:kern w:val="2"/>
      <w:sz w:val="22"/>
      <w:szCs w:val="22"/>
      <w:lang w:val="zh-CN"/>
    </w:rPr>
  </w:style>
  <w:style w:type="paragraph" w:customStyle="1" w:styleId="395">
    <w:name w:val="金保标题2"/>
    <w:basedOn w:val="5"/>
    <w:next w:val="1"/>
    <w:link w:val="394"/>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6">
    <w:name w:val="样式 标题 3 + 黑体 小四 Char"/>
    <w:link w:val="397"/>
    <w:qFormat/>
    <w:uiPriority w:val="0"/>
    <w:rPr>
      <w:rFonts w:ascii="Helvetica" w:hAnsi="Tahoma" w:eastAsia="Helvetica"/>
      <w:bCs/>
      <w:sz w:val="24"/>
      <w:szCs w:val="24"/>
    </w:rPr>
  </w:style>
  <w:style w:type="paragraph" w:customStyle="1" w:styleId="397">
    <w:name w:val="样式 标题 3 + 黑体 小四"/>
    <w:basedOn w:val="6"/>
    <w:link w:val="396"/>
    <w:qFormat/>
    <w:uiPriority w:val="0"/>
    <w:pPr>
      <w:spacing w:before="0" w:after="0" w:line="415" w:lineRule="auto"/>
    </w:pPr>
    <w:rPr>
      <w:rFonts w:ascii="Helvetica" w:hAnsi="Tahoma" w:eastAsia="Helvetica"/>
      <w:b w:val="0"/>
      <w:kern w:val="0"/>
      <w:sz w:val="24"/>
      <w:szCs w:val="24"/>
    </w:rPr>
  </w:style>
  <w:style w:type="character" w:customStyle="1" w:styleId="398">
    <w:name w:val="宏文本 Char"/>
    <w:qFormat/>
    <w:uiPriority w:val="0"/>
    <w:rPr>
      <w:rFonts w:ascii="Wingdings" w:hAnsi="Wingdings" w:eastAsia="Times New Roman"/>
      <w:kern w:val="2"/>
      <w:sz w:val="24"/>
      <w:szCs w:val="24"/>
    </w:rPr>
  </w:style>
  <w:style w:type="character" w:customStyle="1" w:styleId="399">
    <w:name w:val="Subtle Reference1"/>
    <w:qFormat/>
    <w:uiPriority w:val="0"/>
    <w:rPr>
      <w:smallCaps/>
      <w:color w:val="C0504D"/>
      <w:u w:val="single"/>
    </w:rPr>
  </w:style>
  <w:style w:type="character" w:customStyle="1" w:styleId="400">
    <w:name w:val="Char Char191"/>
    <w:qFormat/>
    <w:uiPriority w:val="0"/>
    <w:rPr>
      <w:rFonts w:ascii="Verdana" w:hAnsi="Verdana"/>
      <w:b/>
      <w:bCs/>
      <w:kern w:val="2"/>
      <w:sz w:val="32"/>
      <w:szCs w:val="32"/>
    </w:rPr>
  </w:style>
  <w:style w:type="character" w:customStyle="1" w:styleId="401">
    <w:name w:val="Char Char Char2"/>
    <w:qFormat/>
    <w:uiPriority w:val="0"/>
    <w:rPr>
      <w:rFonts w:ascii="仿宋_GB2312" w:hAnsi="Wingdings" w:eastAsia="仿宋_GB2312"/>
      <w:sz w:val="21"/>
      <w:szCs w:val="21"/>
      <w:lang w:val="en-US" w:eastAsia="zh-CN" w:bidi="ar-SA"/>
    </w:rPr>
  </w:style>
  <w:style w:type="character" w:customStyle="1" w:styleId="402">
    <w:name w:val="PI Char2"/>
    <w:qFormat/>
    <w:uiPriority w:val="0"/>
    <w:rPr>
      <w:kern w:val="2"/>
      <w:sz w:val="24"/>
      <w:szCs w:val="24"/>
    </w:rPr>
  </w:style>
  <w:style w:type="character" w:customStyle="1" w:styleId="403">
    <w:name w:val="小标题 Char Char"/>
    <w:link w:val="404"/>
    <w:qFormat/>
    <w:uiPriority w:val="0"/>
    <w:rPr>
      <w:rFonts w:ascii="黑体" w:hAnsi="黑体" w:eastAsia="黑体"/>
      <w:b/>
      <w:bCs/>
      <w:kern w:val="2"/>
      <w:sz w:val="48"/>
      <w:szCs w:val="48"/>
    </w:rPr>
  </w:style>
  <w:style w:type="paragraph" w:customStyle="1" w:styleId="404">
    <w:name w:val="小标题"/>
    <w:basedOn w:val="1"/>
    <w:link w:val="403"/>
    <w:qFormat/>
    <w:uiPriority w:val="0"/>
    <w:pPr>
      <w:spacing w:line="40" w:lineRule="atLeast"/>
    </w:pPr>
    <w:rPr>
      <w:rFonts w:ascii="黑体" w:hAnsi="黑体" w:eastAsia="黑体"/>
      <w:b/>
      <w:bCs/>
      <w:sz w:val="48"/>
      <w:szCs w:val="48"/>
    </w:rPr>
  </w:style>
  <w:style w:type="paragraph" w:customStyle="1" w:styleId="405">
    <w:name w:val="標題10.3-1"/>
    <w:basedOn w:val="406"/>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6">
    <w:name w:val="標題 (1)"/>
    <w:basedOn w:val="1"/>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7">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8">
    <w:name w:val="称呼 Char"/>
    <w:basedOn w:val="66"/>
    <w:link w:val="23"/>
    <w:qFormat/>
    <w:uiPriority w:val="0"/>
    <w:rPr>
      <w:rFonts w:ascii="等线" w:hAnsi="等线" w:eastAsia="等线" w:cs="等线"/>
      <w:sz w:val="24"/>
    </w:rPr>
  </w:style>
  <w:style w:type="paragraph" w:customStyle="1" w:styleId="409">
    <w:name w:val="Char1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10">
    <w:name w:val="kpk:1级"/>
    <w:basedOn w:val="4"/>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1">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2">
    <w:name w:val="Char Char Char Char Char Char Char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13">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4">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5">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6">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7">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20">
    <w:name w:val="注释标题 Char"/>
    <w:basedOn w:val="66"/>
    <w:link w:val="14"/>
    <w:qFormat/>
    <w:uiPriority w:val="0"/>
    <w:rPr>
      <w:rFonts w:ascii="DFKai-SB" w:hAnsi="DFKai-SB" w:eastAsia="DFKai-SB" w:cs="等线"/>
      <w:kern w:val="2"/>
      <w:lang w:eastAsia="zh-TW"/>
    </w:rPr>
  </w:style>
  <w:style w:type="paragraph" w:customStyle="1" w:styleId="42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2">
    <w:name w:val="二级标题"/>
    <w:basedOn w:val="5"/>
    <w:qFormat/>
    <w:uiPriority w:val="0"/>
    <w:pPr>
      <w:ind w:left="576" w:hanging="576"/>
    </w:pPr>
    <w:rPr>
      <w:rFonts w:ascii="华文中宋" w:eastAsia="华文中宋"/>
      <w:kern w:val="0"/>
    </w:rPr>
  </w:style>
  <w:style w:type="character" w:customStyle="1" w:styleId="423">
    <w:name w:val="正文文本 3 Char"/>
    <w:basedOn w:val="66"/>
    <w:link w:val="24"/>
    <w:qFormat/>
    <w:uiPriority w:val="0"/>
    <w:rPr>
      <w:rFonts w:ascii="等线" w:hAnsi="等线" w:eastAsia="等线" w:cs="等线"/>
    </w:rPr>
  </w:style>
  <w:style w:type="paragraph" w:customStyle="1" w:styleId="424">
    <w:name w:val="数字级连标题2"/>
    <w:basedOn w:val="5"/>
    <w:next w:val="1"/>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5">
    <w:name w:val="四级条标题"/>
    <w:basedOn w:val="426"/>
    <w:next w:val="1"/>
    <w:qFormat/>
    <w:uiPriority w:val="0"/>
    <w:pPr>
      <w:outlineLvl w:val="5"/>
    </w:pPr>
  </w:style>
  <w:style w:type="paragraph" w:customStyle="1" w:styleId="426">
    <w:name w:val="三级条标题"/>
    <w:basedOn w:val="427"/>
    <w:next w:val="1"/>
    <w:qFormat/>
    <w:uiPriority w:val="0"/>
    <w:pPr>
      <w:outlineLvl w:val="4"/>
    </w:pPr>
  </w:style>
  <w:style w:type="paragraph" w:customStyle="1" w:styleId="427">
    <w:name w:val="二级条标题"/>
    <w:basedOn w:val="428"/>
    <w:next w:val="1"/>
    <w:qFormat/>
    <w:uiPriority w:val="0"/>
    <w:pPr>
      <w:outlineLvl w:val="3"/>
    </w:pPr>
  </w:style>
  <w:style w:type="paragraph" w:customStyle="1" w:styleId="428">
    <w:name w:val="一级条标题"/>
    <w:next w:val="1"/>
    <w:qFormat/>
    <w:uiPriority w:val="0"/>
    <w:pPr>
      <w:outlineLvl w:val="2"/>
    </w:pPr>
    <w:rPr>
      <w:rFonts w:ascii="等线" w:hAnsi="等线" w:eastAsia="Helvetica" w:cs="等线"/>
      <w:sz w:val="21"/>
      <w:lang w:val="en-US" w:eastAsia="zh-CN" w:bidi="ar-SA"/>
    </w:rPr>
  </w:style>
  <w:style w:type="character" w:customStyle="1" w:styleId="429">
    <w:name w:val="宏文本 Char1"/>
    <w:basedOn w:val="66"/>
    <w:link w:val="3"/>
    <w:qFormat/>
    <w:uiPriority w:val="0"/>
    <w:rPr>
      <w:rFonts w:ascii="Courier New" w:hAnsi="Courier New" w:cs="Courier New"/>
      <w:kern w:val="2"/>
      <w:sz w:val="24"/>
      <w:szCs w:val="24"/>
    </w:rPr>
  </w:style>
  <w:style w:type="paragraph" w:customStyle="1" w:styleId="430">
    <w:name w:val="样式 标题 3 + 黑色 段前: 5 磅 段后: 5 磅 行距: 1.5 倍行距"/>
    <w:basedOn w:val="1"/>
    <w:qFormat/>
    <w:uiPriority w:val="0"/>
    <w:pPr>
      <w:ind w:left="855" w:hanging="855"/>
    </w:pPr>
    <w:rPr>
      <w:rFonts w:ascii="等线" w:hAnsi="等线" w:eastAsia="等线" w:cs="等线"/>
      <w:sz w:val="24"/>
      <w:szCs w:val="20"/>
    </w:rPr>
  </w:style>
  <w:style w:type="paragraph" w:customStyle="1" w:styleId="431">
    <w:name w:val="正文首行缩进1"/>
    <w:basedOn w:val="26"/>
    <w:qFormat/>
    <w:uiPriority w:val="0"/>
    <w:pPr>
      <w:suppressAutoHyphens/>
      <w:ind w:firstLine="420"/>
      <w:jc w:val="left"/>
    </w:pPr>
    <w:rPr>
      <w:rFonts w:ascii="等线" w:hAnsi="等线" w:cs="等线"/>
      <w:kern w:val="1"/>
      <w:sz w:val="28"/>
      <w:lang w:eastAsia="ar-SA"/>
    </w:rPr>
  </w:style>
  <w:style w:type="paragraph" w:customStyle="1" w:styleId="432">
    <w:name w:val="样式 首行缩进:  1 厘米"/>
    <w:basedOn w:val="1"/>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3">
    <w:name w:val="font0"/>
    <w:basedOn w:val="1"/>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4">
    <w:name w:val="正文文本 2 Char1"/>
    <w:basedOn w:val="66"/>
    <w:link w:val="55"/>
    <w:qFormat/>
    <w:uiPriority w:val="0"/>
    <w:rPr>
      <w:kern w:val="2"/>
      <w:sz w:val="21"/>
      <w:szCs w:val="24"/>
    </w:rPr>
  </w:style>
  <w:style w:type="character" w:customStyle="1" w:styleId="435">
    <w:name w:val="脚注文本 Char"/>
    <w:basedOn w:val="66"/>
    <w:link w:val="49"/>
    <w:qFormat/>
    <w:uiPriority w:val="0"/>
    <w:rPr>
      <w:rFonts w:ascii="等线" w:hAnsi="等线" w:eastAsia="等线" w:cs="等线"/>
      <w:kern w:val="2"/>
      <w:sz w:val="18"/>
      <w:szCs w:val="18"/>
    </w:rPr>
  </w:style>
  <w:style w:type="character" w:customStyle="1" w:styleId="436">
    <w:name w:val="副标题 Char2"/>
    <w:basedOn w:val="66"/>
    <w:link w:val="47"/>
    <w:qFormat/>
    <w:uiPriority w:val="0"/>
    <w:rPr>
      <w:rFonts w:asciiTheme="majorHAnsi" w:hAnsiTheme="majorHAnsi" w:cstheme="majorBidi"/>
      <w:b/>
      <w:bCs/>
      <w:kern w:val="28"/>
      <w:sz w:val="32"/>
      <w:szCs w:val="32"/>
    </w:rPr>
  </w:style>
  <w:style w:type="character" w:customStyle="1" w:styleId="437">
    <w:name w:val="信息标题 Char1"/>
    <w:basedOn w:val="66"/>
    <w:link w:val="56"/>
    <w:qFormat/>
    <w:uiPriority w:val="0"/>
    <w:rPr>
      <w:rFonts w:asciiTheme="majorHAnsi" w:hAnsiTheme="majorHAnsi" w:eastAsiaTheme="majorEastAsia" w:cstheme="majorBidi"/>
      <w:kern w:val="2"/>
      <w:sz w:val="24"/>
      <w:szCs w:val="24"/>
      <w:shd w:val="pct20" w:color="auto" w:fill="auto"/>
    </w:rPr>
  </w:style>
  <w:style w:type="character" w:customStyle="1" w:styleId="438">
    <w:name w:val="正文首行缩进 2 Char1"/>
    <w:basedOn w:val="90"/>
    <w:link w:val="62"/>
    <w:qFormat/>
    <w:uiPriority w:val="0"/>
    <w:rPr>
      <w:kern w:val="2"/>
      <w:sz w:val="21"/>
      <w:szCs w:val="24"/>
    </w:rPr>
  </w:style>
  <w:style w:type="character" w:customStyle="1" w:styleId="439">
    <w:name w:val="HTML 预设格式 Char2"/>
    <w:basedOn w:val="66"/>
    <w:link w:val="57"/>
    <w:qFormat/>
    <w:uiPriority w:val="0"/>
    <w:rPr>
      <w:rFonts w:ascii="Courier New" w:hAnsi="Courier New" w:cs="Courier New"/>
      <w:kern w:val="2"/>
    </w:rPr>
  </w:style>
  <w:style w:type="character" w:customStyle="1" w:styleId="440">
    <w:name w:val="签名 Char"/>
    <w:basedOn w:val="66"/>
    <w:link w:val="45"/>
    <w:qFormat/>
    <w:uiPriority w:val="0"/>
    <w:rPr>
      <w:rFonts w:ascii="等线" w:hAnsi="等线" w:eastAsia="黑体" w:cs="等线"/>
      <w:sz w:val="24"/>
    </w:rPr>
  </w:style>
  <w:style w:type="paragraph" w:customStyle="1" w:styleId="441">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2">
    <w:name w:val="1 Char"/>
    <w:basedOn w:val="17"/>
    <w:qFormat/>
    <w:uiPriority w:val="0"/>
    <w:pPr>
      <w:adjustRightInd/>
      <w:spacing w:line="360" w:lineRule="auto"/>
      <w:ind w:firstLine="200" w:firstLineChars="200"/>
      <w:textAlignment w:val="auto"/>
    </w:pPr>
    <w:rPr>
      <w:rFonts w:eastAsia="仿宋_GB2312"/>
      <w:kern w:val="2"/>
    </w:rPr>
  </w:style>
  <w:style w:type="paragraph" w:customStyle="1" w:styleId="443">
    <w:name w:val="Char1 Char Char Char Char"/>
    <w:basedOn w:val="20"/>
    <w:qFormat/>
    <w:uiPriority w:val="0"/>
    <w:rPr>
      <w:rFonts w:ascii="Tahoma" w:hAnsi="Tahoma" w:eastAsia="等线" w:cs="Tahoma"/>
      <w:kern w:val="0"/>
      <w:sz w:val="18"/>
    </w:rPr>
  </w:style>
  <w:style w:type="paragraph" w:customStyle="1" w:styleId="444">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6">
    <w:name w:val="Intense Quote1"/>
    <w:basedOn w:val="1"/>
    <w:next w:val="1"/>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7">
    <w:name w:val="样式 正文缩进正文（首行缩进两字）表正文正文非缩进特点段1正文不缩进标题4水上软件ALT+Z四号正文文字3..."/>
    <w:basedOn w:val="17"/>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8">
    <w:name w:val="标书正文格式"/>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9">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50">
    <w:name w:val="无间距1"/>
    <w:basedOn w:val="1"/>
    <w:qFormat/>
    <w:uiPriority w:val="0"/>
    <w:pPr>
      <w:spacing w:line="360" w:lineRule="auto"/>
      <w:ind w:firstLine="200" w:firstLineChars="200"/>
      <w:jc w:val="center"/>
    </w:pPr>
    <w:rPr>
      <w:rFonts w:ascii="等线" w:hAnsi="等线" w:eastAsia="楷体" w:cs="黑体"/>
      <w:sz w:val="24"/>
    </w:rPr>
  </w:style>
  <w:style w:type="paragraph" w:customStyle="1" w:styleId="45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2">
    <w:name w:val="注："/>
    <w:next w:val="453"/>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3">
    <w:name w:val="段"/>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4">
    <w:name w:val="Char Char Char Char11"/>
    <w:basedOn w:val="1"/>
    <w:qFormat/>
    <w:uiPriority w:val="0"/>
    <w:pPr>
      <w:autoSpaceDE w:val="0"/>
      <w:autoSpaceDN w:val="0"/>
      <w:adjustRightInd w:val="0"/>
      <w:jc w:val="left"/>
    </w:pPr>
    <w:rPr>
      <w:rFonts w:ascii="Cambria" w:hAnsi="Cambria" w:eastAsia="等线" w:cs="等线"/>
      <w:kern w:val="0"/>
      <w:sz w:val="24"/>
      <w:szCs w:val="20"/>
    </w:rPr>
  </w:style>
  <w:style w:type="paragraph" w:customStyle="1" w:styleId="455">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6">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7">
    <w:name w:val="Char2"/>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58">
    <w:name w:val="Para"/>
    <w:qFormat/>
    <w:uiPriority w:val="0"/>
    <w:pPr>
      <w:spacing w:before="120"/>
    </w:pPr>
    <w:rPr>
      <w:rFonts w:ascii="等线" w:hAnsi="等线" w:eastAsia="等线" w:cs="等线"/>
      <w:sz w:val="18"/>
      <w:lang w:val="en-US" w:eastAsia="zh-CN" w:bidi="ar-SA"/>
    </w:rPr>
  </w:style>
  <w:style w:type="character" w:customStyle="1" w:styleId="459">
    <w:name w:val="引用 Char1"/>
    <w:basedOn w:val="66"/>
    <w:link w:val="258"/>
    <w:semiHidden/>
    <w:qFormat/>
    <w:uiPriority w:val="99"/>
    <w:rPr>
      <w:i/>
      <w:iCs/>
      <w:color w:val="000000" w:themeColor="text1"/>
      <w:kern w:val="2"/>
      <w:sz w:val="21"/>
      <w:szCs w:val="24"/>
      <w14:textFill>
        <w14:solidFill>
          <w14:schemeClr w14:val="tx1"/>
        </w14:solidFill>
      </w14:textFill>
    </w:rPr>
  </w:style>
  <w:style w:type="paragraph" w:customStyle="1" w:styleId="460">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1">
    <w:name w:val="Char Char1"/>
    <w:basedOn w:val="1"/>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2">
    <w:name w:val="rm"/>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3">
    <w:name w:val="技术方案正文样式"/>
    <w:basedOn w:val="1"/>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4">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6">
    <w:name w:val="NICMAN Body Text"/>
    <w:basedOn w:val="1"/>
    <w:next w:val="26"/>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7">
    <w:name w:val="第一個訊息標題"/>
    <w:basedOn w:val="56"/>
    <w:next w:val="56"/>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8">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69">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70">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1">
    <w:name w:val="font10"/>
    <w:basedOn w:val="1"/>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2">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3">
    <w:name w:val="正文3"/>
    <w:qFormat/>
    <w:uiPriority w:val="0"/>
    <w:pPr>
      <w:jc w:val="both"/>
    </w:pPr>
    <w:rPr>
      <w:rFonts w:ascii="等线" w:hAnsi="等线" w:eastAsia="等线" w:cs="等线"/>
      <w:kern w:val="2"/>
      <w:sz w:val="21"/>
      <w:szCs w:val="21"/>
      <w:lang w:val="en-US" w:eastAsia="zh-CN" w:bidi="ar-SA"/>
    </w:rPr>
  </w:style>
  <w:style w:type="paragraph" w:customStyle="1" w:styleId="474">
    <w:name w:val="Char2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6">
    <w:name w:val="af17cgridlangnp1033langf"/>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7">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8">
    <w:name w:val="xl89"/>
    <w:basedOn w:val="1"/>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9">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8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1">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2">
    <w:name w:val="样式7"/>
    <w:basedOn w:val="7"/>
    <w:qFormat/>
    <w:uiPriority w:val="0"/>
  </w:style>
  <w:style w:type="paragraph" w:customStyle="1" w:styleId="483">
    <w:name w:val="正文缩进3"/>
    <w:basedOn w:val="1"/>
    <w:qFormat/>
    <w:uiPriority w:val="0"/>
    <w:pPr>
      <w:spacing w:line="360" w:lineRule="auto"/>
      <w:ind w:firstLine="420" w:firstLineChars="200"/>
    </w:pPr>
    <w:rPr>
      <w:rFonts w:ascii="等线" w:hAnsi="等线" w:eastAsia="等线" w:cs="等线"/>
      <w:szCs w:val="20"/>
    </w:rPr>
  </w:style>
  <w:style w:type="paragraph" w:customStyle="1" w:styleId="484">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5">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7">
    <w:name w:val="Char1"/>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88">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9">
    <w:name w:val="样式 标题 3 + 黑体 小四 非加粗"/>
    <w:basedOn w:val="6"/>
    <w:qFormat/>
    <w:uiPriority w:val="0"/>
    <w:pPr>
      <w:spacing w:before="0" w:after="0" w:line="415" w:lineRule="auto"/>
    </w:pPr>
    <w:rPr>
      <w:rFonts w:ascii="Helvetica" w:hAnsi="Helvetica" w:eastAsia="Helvetica"/>
      <w:b w:val="0"/>
      <w:bCs w:val="0"/>
      <w:kern w:val="0"/>
      <w:sz w:val="24"/>
    </w:rPr>
  </w:style>
  <w:style w:type="paragraph" w:customStyle="1" w:styleId="490">
    <w:name w:val="工可正文"/>
    <w:basedOn w:val="35"/>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1">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2">
    <w:name w:val="Table Contents"/>
    <w:basedOn w:val="1"/>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3">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4">
    <w:name w:val="信息标题2"/>
    <w:basedOn w:val="18"/>
    <w:next w:val="18"/>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5">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7">
    <w:name w:val="样式 标题 1"/>
    <w:basedOn w:val="4"/>
    <w:next w:val="1"/>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8">
    <w:name w:val="样式 四号 首行缩进:  1 厘米"/>
    <w:basedOn w:val="1"/>
    <w:qFormat/>
    <w:uiPriority w:val="0"/>
    <w:pPr>
      <w:spacing w:line="440" w:lineRule="exact"/>
      <w:ind w:firstLine="567"/>
    </w:pPr>
    <w:rPr>
      <w:rFonts w:ascii="等线" w:hAnsi="等线" w:eastAsia="等线" w:cs="宋体"/>
      <w:sz w:val="28"/>
      <w:szCs w:val="20"/>
    </w:rPr>
  </w:style>
  <w:style w:type="paragraph" w:customStyle="1" w:styleId="499">
    <w:name w:val="xl76"/>
    <w:basedOn w:val="1"/>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0">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1">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2">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5">
    <w:name w:val="_Style 113"/>
    <w:basedOn w:val="1"/>
    <w:qFormat/>
    <w:uiPriority w:val="0"/>
    <w:pPr>
      <w:spacing w:line="360" w:lineRule="auto"/>
      <w:ind w:firstLine="420" w:firstLineChars="200"/>
    </w:pPr>
    <w:rPr>
      <w:rFonts w:ascii="等线" w:hAnsi="等线" w:eastAsia="等线" w:cs="等线"/>
      <w:szCs w:val="20"/>
    </w:rPr>
  </w:style>
  <w:style w:type="paragraph" w:customStyle="1" w:styleId="506">
    <w:name w:val="正文段落 Char"/>
    <w:basedOn w:val="1"/>
    <w:qFormat/>
    <w:uiPriority w:val="0"/>
    <w:pPr>
      <w:spacing w:line="360" w:lineRule="auto"/>
      <w:ind w:firstLine="480" w:firstLineChars="200"/>
    </w:pPr>
    <w:rPr>
      <w:rFonts w:ascii="等线" w:hAnsi="等线" w:eastAsia="等线" w:cs="等线"/>
      <w:kern w:val="0"/>
      <w:sz w:val="24"/>
      <w:szCs w:val="20"/>
    </w:rPr>
  </w:style>
  <w:style w:type="paragraph" w:customStyle="1" w:styleId="507">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8">
    <w:name w:val="五级条标题"/>
    <w:basedOn w:val="425"/>
    <w:next w:val="1"/>
    <w:qFormat/>
    <w:uiPriority w:val="0"/>
    <w:pPr>
      <w:outlineLvl w:val="6"/>
    </w:pPr>
  </w:style>
  <w:style w:type="paragraph" w:customStyle="1" w:styleId="509">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10">
    <w:name w:val="数字级连标题1"/>
    <w:basedOn w:val="4"/>
    <w:next w:val="1"/>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1">
    <w:name w:val="款1"/>
    <w:basedOn w:val="509"/>
    <w:qFormat/>
    <w:uiPriority w:val="0"/>
    <w:pPr>
      <w:ind w:left="1146"/>
    </w:pPr>
  </w:style>
  <w:style w:type="paragraph" w:customStyle="1" w:styleId="512">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3">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4">
    <w:name w:val="密级编号"/>
    <w:basedOn w:val="1"/>
    <w:qFormat/>
    <w:uiPriority w:val="0"/>
    <w:pPr>
      <w:adjustRightInd w:val="0"/>
      <w:jc w:val="center"/>
      <w:textAlignment w:val="baseline"/>
    </w:pPr>
    <w:rPr>
      <w:rFonts w:ascii="仿宋_GB2312" w:hAnsi="等线" w:eastAsia="仿宋_GB2312" w:cs="等线"/>
      <w:kern w:val="0"/>
      <w:sz w:val="24"/>
      <w:szCs w:val="20"/>
    </w:rPr>
  </w:style>
  <w:style w:type="paragraph" w:customStyle="1" w:styleId="5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7">
    <w:name w:val="標題 (一)"/>
    <w:basedOn w:val="5"/>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8">
    <w:name w:val="List Paragraph11"/>
    <w:basedOn w:val="1"/>
    <w:qFormat/>
    <w:uiPriority w:val="0"/>
    <w:pPr>
      <w:ind w:firstLine="420" w:firstLineChars="200"/>
    </w:pPr>
    <w:rPr>
      <w:rFonts w:ascii="Century Gothic" w:hAnsi="Century Gothic" w:eastAsia="仿宋_GB2312" w:cs="新宋体"/>
      <w:szCs w:val="22"/>
    </w:rPr>
  </w:style>
  <w:style w:type="paragraph" w:customStyle="1" w:styleId="519">
    <w:name w:val="正文文字 5"/>
    <w:basedOn w:val="28"/>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2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2">
    <w:name w:val="xl10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3">
    <w:name w:val="七级标题"/>
    <w:basedOn w:val="10"/>
    <w:qFormat/>
    <w:uiPriority w:val="0"/>
    <w:pPr>
      <w:adjustRightInd/>
      <w:spacing w:line="320" w:lineRule="auto"/>
      <w:ind w:left="1276" w:hanging="1276"/>
      <w:textAlignment w:val="auto"/>
    </w:pPr>
    <w:rPr>
      <w:rFonts w:ascii="黑体" w:hAnsi="黑体" w:eastAsia="黑体"/>
      <w:bCs/>
      <w:kern w:val="0"/>
    </w:rPr>
  </w:style>
  <w:style w:type="paragraph" w:customStyle="1" w:styleId="524">
    <w:name w:val="样式 标题 1Level 1Level 11h1II+IHeading1H1-Heading 1Header 1..."/>
    <w:basedOn w:val="4"/>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5">
    <w:name w:val="button"/>
    <w:basedOn w:val="1"/>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7">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8">
    <w:name w:val="普通(Web)"/>
    <w:basedOn w:val="1"/>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9">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30">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1">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2">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szCs w:val="20"/>
    </w:rPr>
  </w:style>
  <w:style w:type="paragraph" w:customStyle="1" w:styleId="533">
    <w:name w:val="xl4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4">
    <w:name w:val="表格栏头"/>
    <w:basedOn w:val="535"/>
    <w:next w:val="535"/>
    <w:qFormat/>
    <w:uiPriority w:val="0"/>
    <w:rPr>
      <w:b/>
    </w:rPr>
  </w:style>
  <w:style w:type="paragraph" w:customStyle="1" w:styleId="535">
    <w:name w:val="表格正文"/>
    <w:basedOn w:val="1"/>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6">
    <w:name w:val="Char Char Char Char Char Char Char Char Char Char Char Char Char Char Char Char Char Char Char"/>
    <w:basedOn w:val="1"/>
    <w:qFormat/>
    <w:uiPriority w:val="0"/>
    <w:rPr>
      <w:rFonts w:ascii="黑体" w:hAnsi="等线" w:eastAsia="黑体" w:cs="等线"/>
      <w:b/>
      <w:sz w:val="32"/>
      <w:szCs w:val="32"/>
    </w:rPr>
  </w:style>
  <w:style w:type="paragraph" w:customStyle="1" w:styleId="53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9">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0">
    <w:name w:val="修订2"/>
    <w:qFormat/>
    <w:uiPriority w:val="99"/>
    <w:rPr>
      <w:rFonts w:ascii="等线" w:hAnsi="等线" w:eastAsia="等线" w:cs="等线"/>
      <w:kern w:val="2"/>
      <w:sz w:val="21"/>
      <w:szCs w:val="24"/>
      <w:lang w:val="en-US" w:eastAsia="zh-CN" w:bidi="ar-SA"/>
    </w:rPr>
  </w:style>
  <w:style w:type="paragraph" w:customStyle="1" w:styleId="541">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2">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3">
    <w:name w:val="Copyright"/>
    <w:basedOn w:val="26"/>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5">
    <w:name w:val="标准段落"/>
    <w:basedOn w:val="1"/>
    <w:qFormat/>
    <w:uiPriority w:val="0"/>
    <w:pPr>
      <w:spacing w:after="120" w:line="360" w:lineRule="auto"/>
      <w:ind w:firstLine="420"/>
    </w:pPr>
    <w:rPr>
      <w:rFonts w:ascii="Helvetica" w:hAnsi="仿宋_GB2312" w:eastAsia="Helvetica" w:cs="等线"/>
      <w:b/>
      <w:spacing w:val="6"/>
      <w:szCs w:val="22"/>
    </w:rPr>
  </w:style>
  <w:style w:type="paragraph" w:customStyle="1" w:styleId="546">
    <w:name w:val="features1"/>
    <w:basedOn w:val="1"/>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7">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8">
    <w:name w:val="kpk:2级"/>
    <w:basedOn w:val="5"/>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9">
    <w:name w:val="Plain Text1"/>
    <w:basedOn w:val="1"/>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5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1">
    <w:name w:val="标题1"/>
    <w:basedOn w:val="60"/>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2">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3">
    <w:name w:val="1."/>
    <w:basedOn w:val="6"/>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4">
    <w:name w:val="文字"/>
    <w:basedOn w:val="1"/>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5">
    <w:name w:val="版权"/>
    <w:basedOn w:val="1"/>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6">
    <w:name w:val="greytypebeni"/>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8">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9">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60">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1">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2">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563">
    <w:name w:val="六级标题"/>
    <w:basedOn w:val="9"/>
    <w:qFormat/>
    <w:uiPriority w:val="0"/>
    <w:pPr>
      <w:ind w:left="1134" w:hanging="1134"/>
    </w:pPr>
    <w:rPr>
      <w:rFonts w:ascii="黑体" w:hAnsi="黑体" w:eastAsia="黑体"/>
      <w:kern w:val="0"/>
    </w:rPr>
  </w:style>
  <w:style w:type="paragraph" w:customStyle="1" w:styleId="564">
    <w:name w:val="Normal0"/>
    <w:qFormat/>
    <w:uiPriority w:val="0"/>
    <w:rPr>
      <w:rFonts w:ascii="等线" w:hAnsi="等线" w:eastAsia="等线" w:cs="等线"/>
      <w:lang w:val="en-US" w:eastAsia="en-US" w:bidi="ar-SA"/>
    </w:rPr>
  </w:style>
  <w:style w:type="paragraph" w:customStyle="1" w:styleId="565">
    <w:name w:val="xl22"/>
    <w:basedOn w:val="1"/>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6">
    <w:name w:val="Quote1"/>
    <w:basedOn w:val="1"/>
    <w:next w:val="1"/>
    <w:qFormat/>
    <w:uiPriority w:val="0"/>
    <w:rPr>
      <w:rFonts w:ascii="Century Gothic" w:hAnsi="Century Gothic" w:eastAsia="仿宋_GB2312" w:cs="新宋体"/>
      <w:i/>
      <w:iCs/>
      <w:color w:val="000000"/>
      <w:kern w:val="0"/>
      <w:sz w:val="20"/>
      <w:szCs w:val="20"/>
    </w:rPr>
  </w:style>
  <w:style w:type="paragraph" w:customStyle="1" w:styleId="567">
    <w:name w:val="Char Char Char Char Char Char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8">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9">
    <w:name w:val="正文 New"/>
    <w:qFormat/>
    <w:uiPriority w:val="0"/>
    <w:pPr>
      <w:widowControl w:val="0"/>
      <w:jc w:val="both"/>
    </w:pPr>
    <w:rPr>
      <w:rFonts w:ascii="等线" w:hAnsi="等线" w:eastAsia="等线" w:cs="等线"/>
      <w:kern w:val="2"/>
      <w:sz w:val="21"/>
      <w:szCs w:val="24"/>
      <w:lang w:val="en-US" w:eastAsia="zh-CN" w:bidi="ar-SA"/>
    </w:rPr>
  </w:style>
  <w:style w:type="paragraph" w:customStyle="1" w:styleId="570">
    <w:name w:val="标-1"/>
    <w:basedOn w:val="4"/>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1">
    <w:name w:val="標題 1."/>
    <w:basedOn w:val="6"/>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2">
    <w:name w:val="此正文"/>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3">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4">
    <w:name w:val="Char Char2 字元 字元"/>
    <w:basedOn w:val="1"/>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5">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6">
    <w:name w:val="font7"/>
    <w:basedOn w:val="1"/>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7">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9">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80">
    <w:name w:val="Default Text"/>
    <w:basedOn w:val="1"/>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1">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2">
    <w:name w:val="默认段落字体 Para Char Char Char Char Char Char Char"/>
    <w:basedOn w:val="1"/>
    <w:qFormat/>
    <w:uiPriority w:val="0"/>
    <w:rPr>
      <w:rFonts w:ascii="等线" w:hAnsi="等线" w:eastAsia="黑体" w:cs="等线"/>
      <w:sz w:val="28"/>
    </w:rPr>
  </w:style>
  <w:style w:type="paragraph" w:customStyle="1" w:styleId="58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4">
    <w:name w:val="(1)"/>
    <w:basedOn w:val="1"/>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5">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6">
    <w:name w:val="2"/>
    <w:basedOn w:val="1"/>
    <w:next w:val="28"/>
    <w:qFormat/>
    <w:uiPriority w:val="0"/>
    <w:pPr>
      <w:spacing w:line="440" w:lineRule="exact"/>
      <w:ind w:firstLine="420" w:firstLineChars="200"/>
    </w:pPr>
    <w:rPr>
      <w:rFonts w:ascii="等线" w:hAnsi="等线" w:eastAsia="等线" w:cs="等线"/>
      <w:sz w:val="28"/>
      <w:szCs w:val="20"/>
    </w:rPr>
  </w:style>
  <w:style w:type="paragraph" w:customStyle="1" w:styleId="587">
    <w:name w:val="Char Char Char Char Char Char Char Char Char Char Char Char Char Char Char Char Char Char Char1"/>
    <w:basedOn w:val="1"/>
    <w:qFormat/>
    <w:uiPriority w:val="0"/>
    <w:rPr>
      <w:rFonts w:ascii="黑体" w:hAnsi="等线" w:eastAsia="黑体" w:cs="等线"/>
      <w:b/>
      <w:sz w:val="32"/>
      <w:szCs w:val="32"/>
    </w:rPr>
  </w:style>
  <w:style w:type="paragraph" w:customStyle="1" w:styleId="58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9">
    <w:name w:val="规范正文"/>
    <w:basedOn w:val="1"/>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9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1">
    <w:name w:val="网格表 31"/>
    <w:basedOn w:val="4"/>
    <w:next w:val="1"/>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2">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3">
    <w:name w:val="中等深浅网格 1 - 着色 21"/>
    <w:basedOn w:val="1"/>
    <w:qFormat/>
    <w:uiPriority w:val="0"/>
    <w:pPr>
      <w:spacing w:line="360" w:lineRule="auto"/>
      <w:ind w:firstLine="200" w:firstLineChars="200"/>
    </w:pPr>
    <w:rPr>
      <w:rFonts w:ascii="Verdana" w:hAnsi="Verdana" w:eastAsia="等线" w:cs="等线"/>
      <w:sz w:val="24"/>
      <w:szCs w:val="20"/>
    </w:rPr>
  </w:style>
  <w:style w:type="character" w:customStyle="1" w:styleId="594">
    <w:name w:val="明显引用 Char1"/>
    <w:basedOn w:val="66"/>
    <w:link w:val="323"/>
    <w:semiHidden/>
    <w:qFormat/>
    <w:uiPriority w:val="99"/>
    <w:rPr>
      <w:b/>
      <w:bCs/>
      <w:i/>
      <w:iCs/>
      <w:color w:val="4F81BD" w:themeColor="accent1"/>
      <w:kern w:val="2"/>
      <w:sz w:val="21"/>
      <w:szCs w:val="24"/>
      <w14:textFill>
        <w14:solidFill>
          <w14:schemeClr w14:val="accent1"/>
        </w14:solidFill>
      </w14:textFill>
    </w:rPr>
  </w:style>
  <w:style w:type="paragraph" w:customStyle="1" w:styleId="595">
    <w:name w:val="Char Char Char Char Char Char1 Char Char Char Char"/>
    <w:basedOn w:val="20"/>
    <w:qFormat/>
    <w:uiPriority w:val="0"/>
    <w:pPr>
      <w:spacing w:line="360" w:lineRule="auto"/>
      <w:ind w:firstLine="200" w:firstLineChars="200"/>
    </w:pPr>
    <w:rPr>
      <w:rFonts w:ascii="Tahoma" w:hAnsi="Tahoma" w:eastAsia="等线"/>
      <w:sz w:val="24"/>
      <w:szCs w:val="20"/>
    </w:rPr>
  </w:style>
  <w:style w:type="paragraph" w:customStyle="1" w:styleId="59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7">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8">
    <w:name w:val="xl29"/>
    <w:basedOn w:val="1"/>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9">
    <w:name w:val="正文Y"/>
    <w:basedOn w:val="1"/>
    <w:qFormat/>
    <w:uiPriority w:val="0"/>
    <w:pPr>
      <w:spacing w:line="360" w:lineRule="auto"/>
      <w:ind w:firstLine="420" w:firstLineChars="200"/>
    </w:pPr>
    <w:rPr>
      <w:rFonts w:ascii="等线" w:hAnsi="等线" w:eastAsia="等线" w:cs="等线"/>
      <w:sz w:val="24"/>
    </w:rPr>
  </w:style>
  <w:style w:type="paragraph" w:customStyle="1" w:styleId="600">
    <w:name w:val="_Style 54"/>
    <w:basedOn w:val="1"/>
    <w:qFormat/>
    <w:uiPriority w:val="0"/>
    <w:rPr>
      <w:rFonts w:ascii="等线" w:hAnsi="等线" w:eastAsia="等线" w:cs="等线"/>
    </w:rPr>
  </w:style>
  <w:style w:type="paragraph" w:customStyle="1" w:styleId="601">
    <w:name w:val="标3"/>
    <w:basedOn w:val="6"/>
    <w:next w:val="7"/>
    <w:qFormat/>
    <w:uiPriority w:val="0"/>
    <w:pPr>
      <w:spacing w:before="240" w:after="180" w:line="360" w:lineRule="auto"/>
      <w:ind w:firstLine="576" w:firstLineChars="205"/>
    </w:pPr>
    <w:rPr>
      <w:rFonts w:ascii="等线" w:hAnsi="等线" w:eastAsia="等线"/>
      <w:bCs w:val="0"/>
      <w:sz w:val="28"/>
    </w:rPr>
  </w:style>
  <w:style w:type="paragraph" w:customStyle="1" w:styleId="602">
    <w:name w:val="纯文本1"/>
    <w:basedOn w:val="1"/>
    <w:qFormat/>
    <w:uiPriority w:val="0"/>
    <w:pPr>
      <w:adjustRightInd w:val="0"/>
      <w:jc w:val="left"/>
      <w:textAlignment w:val="baseline"/>
    </w:pPr>
    <w:rPr>
      <w:rFonts w:ascii="宋体" w:hAnsi="Courier New" w:eastAsia="等线" w:cs="等线"/>
      <w:szCs w:val="20"/>
    </w:rPr>
  </w:style>
  <w:style w:type="paragraph" w:customStyle="1" w:styleId="603">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5">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6">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7">
    <w:name w:val="Char Char 字元 字元 字元 Char Char Char Char"/>
    <w:basedOn w:val="1"/>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8">
    <w:name w:val="中等深浅底纹 1 - 着色 11"/>
    <w:qFormat/>
    <w:uiPriority w:val="0"/>
    <w:rPr>
      <w:rFonts w:ascii="等线" w:hAnsi="等线" w:eastAsia="等线" w:cs="等线"/>
      <w:sz w:val="22"/>
      <w:szCs w:val="22"/>
      <w:lang w:val="en-US" w:eastAsia="zh-CN" w:bidi="ar-SA"/>
    </w:rPr>
  </w:style>
  <w:style w:type="paragraph" w:customStyle="1" w:styleId="609">
    <w:name w:val="完成日期"/>
    <w:basedOn w:val="1"/>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1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1">
    <w:name w:val="样式5"/>
    <w:basedOn w:val="17"/>
    <w:qFormat/>
    <w:uiPriority w:val="0"/>
    <w:pPr>
      <w:adjustRightInd/>
      <w:spacing w:line="360" w:lineRule="auto"/>
      <w:ind w:firstLine="200" w:firstLineChars="200"/>
      <w:textAlignment w:val="auto"/>
    </w:pPr>
    <w:rPr>
      <w:rFonts w:eastAsia="仿宋_GB2312"/>
      <w:kern w:val="2"/>
      <w:sz w:val="28"/>
      <w:szCs w:val="21"/>
    </w:rPr>
  </w:style>
  <w:style w:type="paragraph" w:customStyle="1" w:styleId="612">
    <w:name w:val="正文 New New New New"/>
    <w:qFormat/>
    <w:uiPriority w:val="2"/>
    <w:pPr>
      <w:widowControl w:val="0"/>
      <w:jc w:val="both"/>
    </w:pPr>
    <w:rPr>
      <w:rFonts w:ascii="Calibri" w:hAnsi="Calibri" w:eastAsia="等线" w:cs="等线"/>
      <w:color w:val="000000"/>
      <w:szCs w:val="24"/>
      <w:lang w:val="en-US" w:eastAsia="zh-CN" w:bidi="ar-SA"/>
    </w:rPr>
  </w:style>
  <w:style w:type="paragraph" w:customStyle="1" w:styleId="613">
    <w:name w:val="p0"/>
    <w:basedOn w:val="1"/>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4">
    <w:name w:val="正文（首行缩进）"/>
    <w:basedOn w:val="28"/>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5">
    <w:name w:val="Char Char Char Char Char Char Char Char Char1 Char"/>
    <w:basedOn w:val="1"/>
    <w:qFormat/>
    <w:uiPriority w:val="0"/>
    <w:rPr>
      <w:rFonts w:ascii="等线" w:hAnsi="等线" w:eastAsia="等线" w:cs="等线"/>
    </w:rPr>
  </w:style>
  <w:style w:type="paragraph" w:customStyle="1" w:styleId="616">
    <w:name w:val="其他标准标志"/>
    <w:basedOn w:val="496"/>
    <w:qFormat/>
    <w:uiPriority w:val="0"/>
    <w:pPr>
      <w:framePr w:w="6101" w:wrap="around" w:vAnchor="page" w:hAnchor="page" w:x="4673" w:y="942"/>
    </w:pPr>
    <w:rPr>
      <w:w w:val="130"/>
    </w:rPr>
  </w:style>
  <w:style w:type="paragraph" w:customStyle="1" w:styleId="61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8">
    <w:name w:val="2级"/>
    <w:basedOn w:val="5"/>
    <w:next w:val="62"/>
    <w:qFormat/>
    <w:uiPriority w:val="0"/>
    <w:pPr>
      <w:spacing w:line="415" w:lineRule="auto"/>
      <w:ind w:left="420"/>
    </w:pPr>
    <w:rPr>
      <w:rFonts w:eastAsia="黑体"/>
      <w:kern w:val="0"/>
      <w:sz w:val="30"/>
    </w:rPr>
  </w:style>
  <w:style w:type="paragraph" w:customStyle="1" w:styleId="619">
    <w:name w:val="表格文字（大）"/>
    <w:basedOn w:val="1"/>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20">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1">
    <w:name w:val="默认段落字体 Para Char Char Char Char"/>
    <w:basedOn w:val="1"/>
    <w:qFormat/>
    <w:uiPriority w:val="0"/>
    <w:rPr>
      <w:rFonts w:ascii="等线" w:hAnsi="等线" w:eastAsia="等线" w:cs="等线"/>
    </w:rPr>
  </w:style>
  <w:style w:type="paragraph" w:customStyle="1" w:styleId="62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3">
    <w:name w:val="A正文"/>
    <w:basedOn w:val="95"/>
    <w:qFormat/>
    <w:uiPriority w:val="0"/>
    <w:pPr>
      <w:jc w:val="left"/>
    </w:pPr>
    <w:rPr>
      <w:rFonts w:ascii="等线" w:hAnsi="等线" w:eastAsia="等线"/>
      <w:shd w:val="clear" w:color="auto" w:fill="auto"/>
    </w:rPr>
  </w:style>
  <w:style w:type="paragraph" w:customStyle="1" w:styleId="624">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5">
    <w:name w:val="14"/>
    <w:basedOn w:val="1"/>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6">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7">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8">
    <w:name w:val="Char Char1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629">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30">
    <w:name w:val="Char13"/>
    <w:basedOn w:val="1"/>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1">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2">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3">
    <w:name w:val="xl83"/>
    <w:basedOn w:val="1"/>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4">
    <w:name w:val="font12"/>
    <w:basedOn w:val="1"/>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5">
    <w:name w:val="数字级连标题3"/>
    <w:basedOn w:val="6"/>
    <w:next w:val="1"/>
    <w:qFormat/>
    <w:uiPriority w:val="0"/>
    <w:pPr>
      <w:suppressAutoHyphens/>
      <w:spacing w:before="0" w:after="0" w:line="360" w:lineRule="auto"/>
    </w:pPr>
    <w:rPr>
      <w:rFonts w:ascii="等线" w:hAnsi="等线" w:eastAsia="等线"/>
      <w:bCs w:val="0"/>
      <w:sz w:val="28"/>
      <w:szCs w:val="20"/>
      <w:lang w:eastAsia="ar-SA"/>
    </w:rPr>
  </w:style>
  <w:style w:type="paragraph" w:customStyle="1" w:styleId="636">
    <w:name w:val="Item List"/>
    <w:qFormat/>
    <w:uiPriority w:val="0"/>
    <w:pPr>
      <w:spacing w:line="300" w:lineRule="auto"/>
      <w:ind w:left="1701"/>
      <w:jc w:val="both"/>
    </w:pPr>
    <w:rPr>
      <w:rFonts w:ascii="Arial" w:hAnsi="Arial" w:eastAsia="等线" w:cs="等线"/>
      <w:sz w:val="21"/>
      <w:lang w:val="en-US" w:eastAsia="zh-CN" w:bidi="ar-SA"/>
    </w:rPr>
  </w:style>
  <w:style w:type="paragraph" w:customStyle="1" w:styleId="637">
    <w:name w:val="font5"/>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8">
    <w:name w:val="样式3"/>
    <w:basedOn w:val="4"/>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40">
    <w:name w:val="Char"/>
    <w:basedOn w:val="1"/>
    <w:qFormat/>
    <w:uiPriority w:val="0"/>
    <w:pPr>
      <w:widowControl/>
      <w:spacing w:line="400" w:lineRule="exact"/>
      <w:jc w:val="center"/>
    </w:pPr>
    <w:rPr>
      <w:rFonts w:ascii="Courier New" w:hAnsi="Courier New" w:eastAsia="等线" w:cs="等线"/>
      <w:kern w:val="0"/>
      <w:szCs w:val="20"/>
      <w:lang w:eastAsia="en-US"/>
    </w:rPr>
  </w:style>
  <w:style w:type="paragraph" w:customStyle="1" w:styleId="641">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2">
    <w:name w:val="默认段落字体 Para Char Char Char Char Char Char Char Char Char Char"/>
    <w:basedOn w:val="1"/>
    <w:qFormat/>
    <w:uiPriority w:val="0"/>
    <w:pPr>
      <w:widowControl/>
      <w:spacing w:after="200"/>
      <w:jc w:val="left"/>
    </w:pPr>
    <w:rPr>
      <w:rFonts w:ascii="Tahoma" w:hAnsi="Tahoma" w:eastAsia="等线" w:cs="等线"/>
      <w:kern w:val="0"/>
      <w:sz w:val="22"/>
      <w:szCs w:val="20"/>
      <w:lang w:eastAsia="en-US" w:bidi="en-US"/>
    </w:rPr>
  </w:style>
  <w:style w:type="paragraph" w:customStyle="1" w:styleId="643">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4">
    <w:name w:val="样式 首行缩进:  2 字符"/>
    <w:basedOn w:val="1"/>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5">
    <w:name w:val="标题小四"/>
    <w:basedOn w:val="5"/>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6">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647">
    <w:name w:val="_Style 3"/>
    <w:qFormat/>
    <w:uiPriority w:val="0"/>
    <w:rPr>
      <w:rFonts w:ascii="Calibri" w:hAnsi="Calibri" w:eastAsia="等线" w:cs="等线"/>
      <w:sz w:val="22"/>
      <w:szCs w:val="22"/>
      <w:lang w:val="en-US" w:eastAsia="zh-CN" w:bidi="ar-SA"/>
    </w:rPr>
  </w:style>
  <w:style w:type="paragraph" w:customStyle="1" w:styleId="648">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9">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0">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3">
    <w:name w:val="font15"/>
    <w:basedOn w:val="1"/>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4">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5">
    <w:name w:val="样式 标题 5 + 段前: 5 磅 段后: 5 磅 行距: 单倍行距"/>
    <w:basedOn w:val="8"/>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6">
    <w:name w:val="列出段落3"/>
    <w:basedOn w:val="1"/>
    <w:qFormat/>
    <w:uiPriority w:val="0"/>
    <w:pPr>
      <w:ind w:firstLine="420" w:firstLineChars="200"/>
    </w:pPr>
    <w:rPr>
      <w:rFonts w:ascii="Calibri" w:hAnsi="Calibri" w:eastAsia="等线" w:cs="等线"/>
      <w:szCs w:val="22"/>
    </w:rPr>
  </w:style>
  <w:style w:type="paragraph" w:customStyle="1" w:styleId="657">
    <w:name w:val="标准小四"/>
    <w:basedOn w:val="1"/>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8">
    <w:name w:val="排列"/>
    <w:basedOn w:val="1"/>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60">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661">
    <w:name w:val="TOC 标题1"/>
    <w:basedOn w:val="4"/>
    <w:next w:val="1"/>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2">
    <w:name w:val="正文 首行缩进:  2 字符 Char"/>
    <w:basedOn w:val="1"/>
    <w:qFormat/>
    <w:uiPriority w:val="0"/>
    <w:pPr>
      <w:spacing w:line="360" w:lineRule="auto"/>
      <w:ind w:firstLine="480"/>
    </w:pPr>
    <w:rPr>
      <w:rFonts w:ascii="等线" w:hAnsi="等线" w:eastAsia="等线" w:cs="仿宋_GB2312"/>
      <w:sz w:val="24"/>
      <w:szCs w:val="20"/>
    </w:rPr>
  </w:style>
  <w:style w:type="paragraph" w:customStyle="1" w:styleId="663">
    <w:name w:val="font6"/>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4">
    <w:name w:val="列表内容"/>
    <w:basedOn w:val="1"/>
    <w:next w:val="1"/>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5">
    <w:name w:val="附录表标题"/>
    <w:basedOn w:val="1"/>
    <w:next w:val="453"/>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7">
    <w:name w:val="WW-正文文字缩进 2"/>
    <w:basedOn w:val="1"/>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8">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9">
    <w:name w:val="xl10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70">
    <w:name w:val="PP Line"/>
    <w:basedOn w:val="45"/>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1">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2">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3">
    <w:name w:val="_Style 125"/>
    <w:basedOn w:val="1"/>
    <w:qFormat/>
    <w:uiPriority w:val="0"/>
    <w:rPr>
      <w:rFonts w:ascii="等线" w:hAnsi="等线" w:eastAsia="等线" w:cs="等线"/>
    </w:rPr>
  </w:style>
  <w:style w:type="paragraph" w:customStyle="1" w:styleId="674">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5">
    <w:name w:val="彩色列表 - 着色 11"/>
    <w:basedOn w:val="1"/>
    <w:qFormat/>
    <w:uiPriority w:val="0"/>
    <w:pPr>
      <w:spacing w:line="360" w:lineRule="auto"/>
      <w:ind w:firstLine="420" w:firstLineChars="200"/>
    </w:pPr>
    <w:rPr>
      <w:rFonts w:ascii="Calibri" w:hAnsi="Calibri" w:eastAsia="等线" w:cs="等线"/>
      <w:szCs w:val="20"/>
    </w:rPr>
  </w:style>
  <w:style w:type="paragraph" w:customStyle="1" w:styleId="676">
    <w:name w:val="my正文"/>
    <w:basedOn w:val="1"/>
    <w:qFormat/>
    <w:uiPriority w:val="0"/>
    <w:pPr>
      <w:spacing w:line="360" w:lineRule="auto"/>
      <w:ind w:firstLine="480" w:firstLineChars="200"/>
    </w:pPr>
    <w:rPr>
      <w:rFonts w:ascii="Tahoma" w:hAnsi="Tahoma" w:eastAsia="等线" w:cs="等线"/>
      <w:sz w:val="24"/>
    </w:rPr>
  </w:style>
  <w:style w:type="paragraph" w:customStyle="1" w:styleId="677">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8">
    <w:name w:val="context-item"/>
    <w:basedOn w:val="679"/>
    <w:qFormat/>
    <w:uiPriority w:val="0"/>
    <w:pPr>
      <w:ind w:left="1418" w:hanging="284"/>
    </w:pPr>
  </w:style>
  <w:style w:type="paragraph" w:customStyle="1" w:styleId="679">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80">
    <w:name w:val="_Style 5"/>
    <w:basedOn w:val="20"/>
    <w:qFormat/>
    <w:uiPriority w:val="0"/>
    <w:rPr>
      <w:rFonts w:eastAsia="等线"/>
    </w:rPr>
  </w:style>
  <w:style w:type="paragraph" w:customStyle="1" w:styleId="681">
    <w:name w:val="xl24"/>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2">
    <w:name w:val="表头"/>
    <w:basedOn w:val="1"/>
    <w:qFormat/>
    <w:uiPriority w:val="0"/>
    <w:pPr>
      <w:spacing w:before="120" w:after="120" w:line="480" w:lineRule="exact"/>
      <w:jc w:val="center"/>
    </w:pPr>
    <w:rPr>
      <w:rFonts w:ascii="黑体" w:hAnsi="等线" w:eastAsia="黑体" w:cs="等线"/>
      <w:sz w:val="24"/>
      <w:szCs w:val="20"/>
    </w:rPr>
  </w:style>
  <w:style w:type="paragraph" w:customStyle="1" w:styleId="683">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4">
    <w:name w:val="List Paragraph1"/>
    <w:basedOn w:val="1"/>
    <w:qFormat/>
    <w:uiPriority w:val="0"/>
    <w:pPr>
      <w:spacing w:line="360" w:lineRule="auto"/>
      <w:ind w:firstLine="420" w:firstLineChars="200"/>
    </w:pPr>
    <w:rPr>
      <w:rFonts w:ascii="等线" w:hAnsi="等线" w:eastAsia="等线" w:cs="等线"/>
      <w:szCs w:val="20"/>
    </w:rPr>
  </w:style>
  <w:style w:type="paragraph" w:customStyle="1" w:styleId="685">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6">
    <w:name w:val="Test2"/>
    <w:basedOn w:val="5"/>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7">
    <w:name w:val="No Spacing1"/>
    <w:qFormat/>
    <w:uiPriority w:val="0"/>
    <w:rPr>
      <w:rFonts w:ascii="Century Gothic" w:hAnsi="Century Gothic" w:eastAsia="仿宋_GB2312" w:cs="新宋体"/>
      <w:sz w:val="22"/>
      <w:szCs w:val="22"/>
      <w:lang w:val="en-US" w:eastAsia="zh-CN" w:bidi="ar-SA"/>
    </w:rPr>
  </w:style>
  <w:style w:type="paragraph" w:customStyle="1" w:styleId="688">
    <w:name w:val="正文字缩2字"/>
    <w:basedOn w:val="1"/>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9">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0">
    <w:name w:val="题目副题"/>
    <w:basedOn w:val="47"/>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1">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4">
    <w:name w:val="Char Char Char2 Char"/>
    <w:basedOn w:val="1"/>
    <w:qFormat/>
    <w:uiPriority w:val="0"/>
    <w:pPr>
      <w:tabs>
        <w:tab w:val="left" w:pos="360"/>
        <w:tab w:val="left" w:pos="420"/>
      </w:tabs>
      <w:ind w:left="360" w:hanging="360"/>
    </w:pPr>
    <w:rPr>
      <w:rFonts w:ascii="等线" w:hAnsi="等线" w:eastAsia="等线" w:cs="等线"/>
    </w:rPr>
  </w:style>
  <w:style w:type="paragraph" w:customStyle="1" w:styleId="695">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696">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8">
    <w:name w:val="font9"/>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9">
    <w:name w:val="Char Char Char Char Char Char"/>
    <w:basedOn w:val="1"/>
    <w:qFormat/>
    <w:uiPriority w:val="0"/>
    <w:rPr>
      <w:rFonts w:ascii="Tahoma" w:hAnsi="Tahoma" w:eastAsia="等线" w:cs="等线"/>
      <w:sz w:val="24"/>
      <w:szCs w:val="20"/>
    </w:rPr>
  </w:style>
  <w:style w:type="paragraph" w:customStyle="1" w:styleId="700">
    <w:name w:val="font1"/>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1">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2">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4">
    <w:name w:val="style1"/>
    <w:basedOn w:val="1"/>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6">
    <w:name w:val="TOC Heading1"/>
    <w:basedOn w:val="4"/>
    <w:next w:val="1"/>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7">
    <w:name w:val="正文文字表格居中"/>
    <w:basedOn w:val="1"/>
    <w:next w:val="55"/>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8">
    <w:name w:val="普通 (Web)"/>
    <w:basedOn w:val="1"/>
    <w:qFormat/>
    <w:uiPriority w:val="0"/>
    <w:pPr>
      <w:widowControl/>
      <w:spacing w:before="100" w:after="100"/>
      <w:jc w:val="left"/>
    </w:pPr>
    <w:rPr>
      <w:rFonts w:ascii="宋体" w:hAnsi="宋体" w:eastAsia="等线" w:cs="等线"/>
      <w:kern w:val="0"/>
      <w:sz w:val="24"/>
      <w:szCs w:val="20"/>
    </w:rPr>
  </w:style>
  <w:style w:type="paragraph" w:customStyle="1" w:styleId="70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10">
    <w:name w:val="列出段落2"/>
    <w:basedOn w:val="1"/>
    <w:qFormat/>
    <w:uiPriority w:val="0"/>
    <w:pPr>
      <w:spacing w:line="360" w:lineRule="auto"/>
      <w:ind w:firstLine="420" w:firstLineChars="200"/>
    </w:pPr>
    <w:rPr>
      <w:rFonts w:ascii="等线" w:hAnsi="等线" w:eastAsia="等线" w:cs="等线"/>
      <w:szCs w:val="20"/>
    </w:rPr>
  </w:style>
  <w:style w:type="paragraph" w:customStyle="1" w:styleId="711">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2">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3">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5">
    <w:name w:val="1、"/>
    <w:basedOn w:val="1"/>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8">
    <w:name w:val="正文缩进HS-正文1"/>
    <w:basedOn w:val="1"/>
    <w:qFormat/>
    <w:uiPriority w:val="0"/>
    <w:pPr>
      <w:jc w:val="center"/>
    </w:pPr>
    <w:rPr>
      <w:rFonts w:ascii="宋体" w:hAnsi="宋体" w:eastAsia="等线" w:cs="等线"/>
      <w:color w:val="000000"/>
      <w:szCs w:val="21"/>
    </w:rPr>
  </w:style>
  <w:style w:type="paragraph" w:customStyle="1" w:styleId="719">
    <w:name w:val="列项——（一级）"/>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20">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2">
    <w:name w:val="6"/>
    <w:basedOn w:val="1"/>
    <w:qFormat/>
    <w:uiPriority w:val="0"/>
    <w:pPr>
      <w:tabs>
        <w:tab w:val="left" w:pos="360"/>
      </w:tabs>
    </w:pPr>
    <w:rPr>
      <w:rFonts w:ascii="等线" w:hAnsi="等线" w:eastAsia="等线" w:cs="等线"/>
      <w:szCs w:val="20"/>
    </w:rPr>
  </w:style>
  <w:style w:type="paragraph" w:customStyle="1" w:styleId="7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4">
    <w:name w:val="Char Char Char Char Char Char Char Char Char"/>
    <w:basedOn w:val="1"/>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5">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6">
    <w:name w:val="Char Char Char Char Char Char Char Char Char Char1"/>
    <w:basedOn w:val="1"/>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9">
    <w:name w:val="font14"/>
    <w:basedOn w:val="1"/>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30">
    <w:name w:val="正文列表"/>
    <w:basedOn w:val="1"/>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1">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2">
    <w:name w:val="p16"/>
    <w:basedOn w:val="1"/>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3">
    <w:name w:val="Char Char Char1 Char Char Char Char"/>
    <w:basedOn w:val="1"/>
    <w:qFormat/>
    <w:uiPriority w:val="0"/>
    <w:pPr>
      <w:spacing w:line="360" w:lineRule="auto"/>
      <w:ind w:firstLine="200" w:firstLineChars="200"/>
    </w:pPr>
    <w:rPr>
      <w:rFonts w:ascii="Tahoma" w:hAnsi="Tahoma" w:eastAsia="等线" w:cs="等线"/>
      <w:sz w:val="24"/>
      <w:szCs w:val="20"/>
    </w:rPr>
  </w:style>
  <w:style w:type="paragraph" w:customStyle="1" w:styleId="734">
    <w:name w:val="text1"/>
    <w:qFormat/>
    <w:uiPriority w:val="0"/>
    <w:rPr>
      <w:rFonts w:ascii="等线" w:hAnsi="等线" w:eastAsia="DFKai-SB" w:cs="等线"/>
      <w:sz w:val="28"/>
      <w:lang w:val="en-US" w:eastAsia="zh-TW" w:bidi="ar-SA"/>
    </w:rPr>
  </w:style>
  <w:style w:type="table" w:customStyle="1" w:styleId="735">
    <w:name w:val="网格表 1 浅色 - 着色 41"/>
    <w:basedOn w:val="63"/>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CellMar>
        <w:top w:w="0" w:type="dxa"/>
        <w:left w:w="108" w:type="dxa"/>
        <w:bottom w:w="0" w:type="dxa"/>
        <w:right w:w="108" w:type="dxa"/>
      </w:tblCellMar>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6">
    <w:name w:val="网格表 5 深色 - 着色 11"/>
    <w:basedOn w:val="63"/>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7">
    <w:name w:val="网格型浅色1"/>
    <w:basedOn w:val="63"/>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38">
    <w:name w:val="网格表 1 浅色 - 着色 31"/>
    <w:basedOn w:val="63"/>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9">
    <w:name w:val="表格 Char"/>
    <w:qFormat/>
    <w:uiPriority w:val="99"/>
    <w:rPr>
      <w:kern w:val="2"/>
      <w:sz w:val="24"/>
    </w:rPr>
  </w:style>
  <w:style w:type="character" w:customStyle="1" w:styleId="740">
    <w:name w:val="font51"/>
    <w:qFormat/>
    <w:uiPriority w:val="0"/>
    <w:rPr>
      <w:rFonts w:hint="eastAsia" w:ascii="宋体" w:hAnsi="宋体" w:eastAsia="宋体" w:cs="宋体"/>
      <w:color w:val="000000"/>
      <w:sz w:val="24"/>
      <w:szCs w:val="24"/>
      <w:u w:val="none"/>
    </w:rPr>
  </w:style>
  <w:style w:type="character" w:customStyle="1" w:styleId="741">
    <w:name w:val="fontstyle31"/>
    <w:qFormat/>
    <w:uiPriority w:val="0"/>
    <w:rPr>
      <w:rFonts w:ascii="TimesNewRomanPSMT" w:hAnsi="TimesNewRomanPSMT" w:eastAsia="TimesNewRomanPSMT" w:cs="TimesNewRomanPSMT"/>
      <w:color w:val="000000"/>
      <w:sz w:val="22"/>
      <w:szCs w:val="22"/>
    </w:rPr>
  </w:style>
  <w:style w:type="character" w:customStyle="1" w:styleId="742">
    <w:name w:val="尾注文本 Char"/>
    <w:qFormat/>
    <w:uiPriority w:val="1"/>
    <w:rPr>
      <w:kern w:val="2"/>
      <w:sz w:val="28"/>
      <w:szCs w:val="24"/>
    </w:rPr>
  </w:style>
  <w:style w:type="character" w:customStyle="1" w:styleId="743">
    <w:name w:val="font81"/>
    <w:qFormat/>
    <w:uiPriority w:val="0"/>
    <w:rPr>
      <w:rFonts w:hint="eastAsia" w:ascii="宋体" w:hAnsi="宋体" w:eastAsia="宋体" w:cs="宋体"/>
      <w:color w:val="000000"/>
      <w:sz w:val="20"/>
      <w:szCs w:val="20"/>
      <w:u w:val="none"/>
    </w:rPr>
  </w:style>
  <w:style w:type="character" w:customStyle="1" w:styleId="744">
    <w:name w:val="font101"/>
    <w:qFormat/>
    <w:uiPriority w:val="0"/>
    <w:rPr>
      <w:rFonts w:hint="eastAsia" w:ascii="宋体" w:hAnsi="宋体" w:eastAsia="宋体" w:cs="宋体"/>
      <w:b/>
      <w:color w:val="000000"/>
      <w:sz w:val="24"/>
      <w:szCs w:val="24"/>
      <w:u w:val="none"/>
    </w:rPr>
  </w:style>
  <w:style w:type="character" w:customStyle="1" w:styleId="745">
    <w:name w:val="表头编号 Char"/>
    <w:link w:val="746"/>
    <w:qFormat/>
    <w:uiPriority w:val="0"/>
    <w:rPr>
      <w:rFonts w:eastAsia="黑体"/>
      <w:sz w:val="24"/>
      <w:szCs w:val="24"/>
    </w:rPr>
  </w:style>
  <w:style w:type="paragraph" w:customStyle="1" w:styleId="746">
    <w:name w:val="表头编号"/>
    <w:basedOn w:val="1"/>
    <w:next w:val="747"/>
    <w:link w:val="745"/>
    <w:qFormat/>
    <w:uiPriority w:val="0"/>
    <w:pPr>
      <w:adjustRightInd w:val="0"/>
      <w:snapToGrid w:val="0"/>
      <w:spacing w:line="360" w:lineRule="auto"/>
      <w:jc w:val="left"/>
    </w:pPr>
    <w:rPr>
      <w:rFonts w:eastAsia="黑体"/>
      <w:kern w:val="0"/>
      <w:sz w:val="24"/>
    </w:rPr>
  </w:style>
  <w:style w:type="paragraph" w:customStyle="1" w:styleId="747">
    <w:name w:val="表格文本"/>
    <w:basedOn w:val="1"/>
    <w:next w:val="1"/>
    <w:link w:val="808"/>
    <w:qFormat/>
    <w:uiPriority w:val="0"/>
    <w:pPr>
      <w:adjustRightInd w:val="0"/>
      <w:snapToGrid w:val="0"/>
      <w:jc w:val="center"/>
    </w:pPr>
    <w:rPr>
      <w:color w:val="000000"/>
      <w:kern w:val="0"/>
      <w:sz w:val="24"/>
      <w:szCs w:val="21"/>
    </w:rPr>
  </w:style>
  <w:style w:type="character" w:customStyle="1" w:styleId="748">
    <w:name w:val="表格文字 Char"/>
    <w:link w:val="76"/>
    <w:qFormat/>
    <w:uiPriority w:val="0"/>
    <w:rPr>
      <w:kern w:val="2"/>
      <w:sz w:val="21"/>
      <w:szCs w:val="21"/>
    </w:rPr>
  </w:style>
  <w:style w:type="character" w:customStyle="1" w:styleId="749">
    <w:name w:val="font71"/>
    <w:qFormat/>
    <w:uiPriority w:val="0"/>
    <w:rPr>
      <w:rFonts w:hint="eastAsia" w:ascii="宋体" w:hAnsi="宋体" w:eastAsia="宋体" w:cs="宋体"/>
      <w:color w:val="000000"/>
      <w:sz w:val="24"/>
      <w:szCs w:val="24"/>
      <w:u w:val="none"/>
    </w:rPr>
  </w:style>
  <w:style w:type="character" w:customStyle="1" w:styleId="750">
    <w:name w:val="表格标题/图片标题/日期格式/图片居中 Char"/>
    <w:link w:val="751"/>
    <w:qFormat/>
    <w:uiPriority w:val="0"/>
    <w:rPr>
      <w:b/>
      <w:kern w:val="2"/>
      <w:sz w:val="28"/>
      <w:szCs w:val="24"/>
    </w:rPr>
  </w:style>
  <w:style w:type="paragraph" w:customStyle="1" w:styleId="751">
    <w:name w:val="表格标题/图片标题/日期格式/图片居中"/>
    <w:link w:val="750"/>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2">
    <w:name w:val="font61"/>
    <w:qFormat/>
    <w:uiPriority w:val="0"/>
    <w:rPr>
      <w:rFonts w:hint="eastAsia" w:ascii="宋体" w:hAnsi="宋体" w:eastAsia="宋体" w:cs="宋体"/>
      <w:b/>
      <w:color w:val="000000"/>
      <w:sz w:val="24"/>
      <w:szCs w:val="24"/>
      <w:u w:val="none"/>
    </w:rPr>
  </w:style>
  <w:style w:type="character" w:customStyle="1" w:styleId="753">
    <w:name w:val="font41"/>
    <w:qFormat/>
    <w:uiPriority w:val="0"/>
    <w:rPr>
      <w:rFonts w:hint="default" w:ascii="Times New Roman" w:hAnsi="Times New Roman" w:cs="Times New Roman"/>
      <w:color w:val="000000"/>
      <w:sz w:val="20"/>
      <w:szCs w:val="20"/>
      <w:u w:val="none"/>
    </w:rPr>
  </w:style>
  <w:style w:type="character" w:customStyle="1" w:styleId="754">
    <w:name w:val="fontstyle21"/>
    <w:qFormat/>
    <w:uiPriority w:val="0"/>
    <w:rPr>
      <w:rFonts w:ascii="宋体" w:hAnsi="宋体" w:eastAsia="宋体" w:cs="宋体"/>
      <w:color w:val="000000"/>
      <w:sz w:val="22"/>
      <w:szCs w:val="22"/>
    </w:rPr>
  </w:style>
  <w:style w:type="character" w:customStyle="1" w:styleId="755">
    <w:name w:val="font201"/>
    <w:qFormat/>
    <w:uiPriority w:val="0"/>
    <w:rPr>
      <w:rFonts w:hint="eastAsia" w:ascii="宋体" w:hAnsi="宋体" w:eastAsia="宋体" w:cs="宋体"/>
      <w:b/>
      <w:color w:val="000000"/>
      <w:sz w:val="24"/>
      <w:szCs w:val="24"/>
      <w:u w:val="none"/>
    </w:rPr>
  </w:style>
  <w:style w:type="character" w:customStyle="1" w:styleId="756">
    <w:name w:val="font221"/>
    <w:qFormat/>
    <w:uiPriority w:val="0"/>
    <w:rPr>
      <w:rFonts w:hint="eastAsia" w:ascii="宋体" w:hAnsi="宋体" w:eastAsia="宋体" w:cs="宋体"/>
      <w:color w:val="000000"/>
      <w:sz w:val="24"/>
      <w:szCs w:val="24"/>
      <w:u w:val="none"/>
    </w:rPr>
  </w:style>
  <w:style w:type="character" w:customStyle="1" w:styleId="757">
    <w:name w:val="尾注文本 Char1"/>
    <w:basedOn w:val="66"/>
    <w:link w:val="40"/>
    <w:qFormat/>
    <w:uiPriority w:val="99"/>
    <w:rPr>
      <w:kern w:val="2"/>
      <w:sz w:val="21"/>
      <w:szCs w:val="24"/>
    </w:rPr>
  </w:style>
  <w:style w:type="paragraph" w:customStyle="1" w:styleId="758">
    <w:name w:val="[Normal]"/>
    <w:qFormat/>
    <w:uiPriority w:val="0"/>
    <w:rPr>
      <w:rFonts w:ascii="宋体" w:hAnsi="宋体" w:eastAsia="宋体" w:cs="Times New Roman"/>
      <w:sz w:val="24"/>
      <w:szCs w:val="22"/>
      <w:lang w:val="zh-CN" w:eastAsia="zh-CN" w:bidi="ar-SA"/>
    </w:rPr>
  </w:style>
  <w:style w:type="paragraph" w:customStyle="1" w:styleId="759">
    <w:name w:val="表格文字（居中）"/>
    <w:basedOn w:val="1"/>
    <w:qFormat/>
    <w:uiPriority w:val="0"/>
    <w:pPr>
      <w:spacing w:line="360" w:lineRule="auto"/>
      <w:ind w:firstLine="200" w:firstLineChars="200"/>
      <w:jc w:val="center"/>
    </w:pPr>
    <w:rPr>
      <w:sz w:val="28"/>
    </w:rPr>
  </w:style>
  <w:style w:type="paragraph" w:customStyle="1" w:styleId="760">
    <w:name w:val="文章正文"/>
    <w:basedOn w:val="1"/>
    <w:qFormat/>
    <w:uiPriority w:val="0"/>
    <w:pPr>
      <w:spacing w:line="360" w:lineRule="auto"/>
      <w:ind w:firstLine="200" w:firstLineChars="200"/>
    </w:pPr>
    <w:rPr>
      <w:kern w:val="0"/>
      <w:sz w:val="28"/>
      <w:szCs w:val="22"/>
    </w:rPr>
  </w:style>
  <w:style w:type="paragraph" w:customStyle="1" w:styleId="761">
    <w:name w:val="表格内容"/>
    <w:basedOn w:val="1"/>
    <w:qFormat/>
    <w:uiPriority w:val="0"/>
    <w:pPr>
      <w:jc w:val="center"/>
    </w:pPr>
    <w:rPr>
      <w:sz w:val="24"/>
      <w:szCs w:val="21"/>
    </w:rPr>
  </w:style>
  <w:style w:type="paragraph" w:customStyle="1" w:styleId="762">
    <w:name w:val="图名"/>
    <w:basedOn w:val="1"/>
    <w:next w:val="1"/>
    <w:qFormat/>
    <w:uiPriority w:val="1"/>
    <w:pPr>
      <w:spacing w:line="360" w:lineRule="auto"/>
      <w:jc w:val="center"/>
    </w:pPr>
    <w:rPr>
      <w:rFonts w:eastAsia="Times New Roman"/>
      <w:b/>
      <w:color w:val="000000"/>
      <w:sz w:val="28"/>
    </w:rPr>
  </w:style>
  <w:style w:type="paragraph" w:customStyle="1" w:styleId="763">
    <w:name w:val="08-123456789"/>
    <w:basedOn w:val="1"/>
    <w:qFormat/>
    <w:uiPriority w:val="0"/>
    <w:pPr>
      <w:ind w:firstLine="553" w:firstLineChars="200"/>
    </w:pPr>
    <w:rPr>
      <w:rFonts w:cs="宋体"/>
      <w:sz w:val="26"/>
      <w:szCs w:val="26"/>
    </w:rPr>
  </w:style>
  <w:style w:type="paragraph" w:customStyle="1" w:styleId="764">
    <w:name w:val="封面文字"/>
    <w:basedOn w:val="1"/>
    <w:qFormat/>
    <w:uiPriority w:val="0"/>
    <w:pPr>
      <w:spacing w:line="360" w:lineRule="auto"/>
      <w:jc w:val="center"/>
    </w:pPr>
    <w:rPr>
      <w:rFonts w:hAnsi="宋体" w:eastAsia="黑体"/>
      <w:sz w:val="48"/>
    </w:rPr>
  </w:style>
  <w:style w:type="paragraph" w:customStyle="1" w:styleId="765">
    <w:name w:val="表头、图名"/>
    <w:basedOn w:val="1"/>
    <w:link w:val="807"/>
    <w:qFormat/>
    <w:uiPriority w:val="0"/>
    <w:pPr>
      <w:spacing w:line="360" w:lineRule="auto"/>
      <w:ind w:firstLine="200" w:firstLineChars="200"/>
      <w:jc w:val="center"/>
    </w:pPr>
    <w:rPr>
      <w:b/>
      <w:sz w:val="28"/>
      <w:szCs w:val="20"/>
    </w:rPr>
  </w:style>
  <w:style w:type="paragraph" w:customStyle="1" w:styleId="766">
    <w:name w:val="表头2"/>
    <w:basedOn w:val="376"/>
    <w:qFormat/>
    <w:uiPriority w:val="0"/>
    <w:pPr>
      <w:spacing w:line="520" w:lineRule="exact"/>
      <w:jc w:val="left"/>
    </w:pPr>
    <w:rPr>
      <w:rFonts w:ascii="Calibri" w:hAnsi="Calibri" w:eastAsia="宋体"/>
      <w:color w:val="auto"/>
      <w:szCs w:val="28"/>
    </w:rPr>
  </w:style>
  <w:style w:type="paragraph" w:customStyle="1" w:styleId="767">
    <w:name w:val="WPSOffice手动目录 1"/>
    <w:qFormat/>
    <w:uiPriority w:val="0"/>
    <w:rPr>
      <w:rFonts w:ascii="Times New Roman" w:hAnsi="Times New Roman" w:eastAsia="宋体" w:cs="Times New Roman"/>
      <w:lang w:val="en-US" w:eastAsia="zh-CN" w:bidi="ar-SA"/>
    </w:rPr>
  </w:style>
  <w:style w:type="paragraph" w:customStyle="1" w:styleId="768">
    <w:name w:val="表格备注"/>
    <w:basedOn w:val="1"/>
    <w:next w:val="1"/>
    <w:qFormat/>
    <w:uiPriority w:val="2"/>
    <w:pPr>
      <w:spacing w:afterLines="50"/>
    </w:pPr>
  </w:style>
  <w:style w:type="paragraph" w:customStyle="1" w:styleId="769">
    <w:name w:val="目  录"/>
    <w:basedOn w:val="1"/>
    <w:qFormat/>
    <w:uiPriority w:val="0"/>
    <w:pPr>
      <w:spacing w:line="360" w:lineRule="auto"/>
      <w:jc w:val="center"/>
    </w:pPr>
    <w:rPr>
      <w:rFonts w:hAnsi="宋体" w:eastAsia="黑体"/>
      <w:sz w:val="44"/>
    </w:rPr>
  </w:style>
  <w:style w:type="paragraph" w:customStyle="1" w:styleId="770">
    <w:name w:val="表格样式"/>
    <w:basedOn w:val="1"/>
    <w:qFormat/>
    <w:uiPriority w:val="0"/>
    <w:pPr>
      <w:widowControl/>
      <w:jc w:val="center"/>
    </w:pPr>
    <w:rPr>
      <w:bCs/>
      <w:kern w:val="0"/>
      <w:sz w:val="24"/>
    </w:rPr>
  </w:style>
  <w:style w:type="paragraph" w:customStyle="1" w:styleId="771">
    <w:name w:val="正文 1.5 倍行距"/>
    <w:basedOn w:val="1"/>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qFormat/>
    <w:uiPriority w:val="0"/>
    <w:pPr>
      <w:spacing w:line="360" w:lineRule="auto"/>
      <w:ind w:firstLine="200" w:firstLineChars="200"/>
      <w:jc w:val="center"/>
    </w:pPr>
    <w:rPr>
      <w:sz w:val="24"/>
      <w:szCs w:val="21"/>
    </w:rPr>
  </w:style>
  <w:style w:type="paragraph" w:customStyle="1" w:styleId="77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qFormat/>
    <w:uiPriority w:val="0"/>
    <w:pPr>
      <w:jc w:val="center"/>
    </w:pPr>
    <w:rPr>
      <w:sz w:val="28"/>
    </w:rPr>
  </w:style>
  <w:style w:type="character" w:customStyle="1" w:styleId="776">
    <w:name w:val="招标正文 字符"/>
    <w:link w:val="777"/>
    <w:qFormat/>
    <w:uiPriority w:val="0"/>
    <w:rPr>
      <w:rFonts w:ascii="宋体" w:hAnsi="宋体"/>
      <w:color w:val="000000"/>
      <w:sz w:val="24"/>
      <w:szCs w:val="21"/>
    </w:rPr>
  </w:style>
  <w:style w:type="paragraph" w:customStyle="1" w:styleId="777">
    <w:name w:val="招标正文"/>
    <w:basedOn w:val="1"/>
    <w:link w:val="776"/>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qFormat/>
    <w:uiPriority w:val="0"/>
    <w:rPr>
      <w:rFonts w:ascii="宋体" w:hAnsi="宋体"/>
      <w:b/>
      <w:bCs/>
      <w:sz w:val="28"/>
      <w:szCs w:val="21"/>
    </w:rPr>
  </w:style>
  <w:style w:type="paragraph" w:customStyle="1" w:styleId="779">
    <w:name w:val="招标-标题1"/>
    <w:basedOn w:val="1"/>
    <w:link w:val="778"/>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qFormat/>
    <w:uiPriority w:val="0"/>
    <w:rPr>
      <w:rFonts w:ascii="宋体" w:hAnsi="宋体"/>
      <w:b/>
      <w:sz w:val="32"/>
    </w:rPr>
  </w:style>
  <w:style w:type="paragraph" w:customStyle="1" w:styleId="781">
    <w:name w:val="招标-主标题"/>
    <w:basedOn w:val="1"/>
    <w:link w:val="780"/>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6"/>
    <w:qFormat/>
    <w:uiPriority w:val="10"/>
    <w:rPr>
      <w:rFonts w:eastAsia="宋体" w:asciiTheme="majorHAnsi" w:hAnsiTheme="majorHAnsi" w:cstheme="majorBidi"/>
      <w:b/>
      <w:bCs/>
      <w:sz w:val="32"/>
      <w:szCs w:val="32"/>
    </w:rPr>
  </w:style>
  <w:style w:type="paragraph" w:customStyle="1" w:styleId="783">
    <w:name w:val="Char Char Char Char Char Char1"/>
    <w:basedOn w:val="1"/>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semiHidden/>
    <w:qFormat/>
    <w:uiPriority w:val="0"/>
    <w:pPr>
      <w:adjustRightInd w:val="0"/>
      <w:spacing w:line="360" w:lineRule="atLeast"/>
      <w:ind w:firstLine="200" w:firstLineChars="200"/>
    </w:pPr>
    <w:rPr>
      <w:szCs w:val="28"/>
    </w:rPr>
  </w:style>
  <w:style w:type="paragraph" w:customStyle="1" w:styleId="786">
    <w:name w:val="样式 仿宋_GB2312 小三 黑色"/>
    <w:basedOn w:val="1"/>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qFormat/>
    <w:uiPriority w:val="0"/>
    <w:rPr>
      <w:rFonts w:ascii="仿宋_GB2312" w:eastAsia="仿宋_GB2312" w:cs="仿宋_GB2312"/>
      <w:kern w:val="2"/>
      <w:sz w:val="30"/>
      <w:szCs w:val="30"/>
      <w:lang w:val="zh-CN" w:eastAsia="zh-CN" w:bidi="ar-SA"/>
    </w:rPr>
  </w:style>
  <w:style w:type="paragraph" w:customStyle="1" w:styleId="790">
    <w:name w:val="样式4"/>
    <w:basedOn w:val="1"/>
    <w:qFormat/>
    <w:uiPriority w:val="0"/>
    <w:pPr>
      <w:spacing w:line="360" w:lineRule="auto"/>
      <w:ind w:firstLine="200" w:firstLineChars="200"/>
    </w:pPr>
    <w:rPr>
      <w:sz w:val="28"/>
      <w:szCs w:val="21"/>
    </w:rPr>
  </w:style>
  <w:style w:type="paragraph" w:customStyle="1" w:styleId="791">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qFormat/>
    <w:uiPriority w:val="0"/>
    <w:rPr>
      <w:rFonts w:ascii="仿宋_GB2312" w:eastAsia="仿宋_GB2312"/>
      <w:kern w:val="2"/>
      <w:sz w:val="32"/>
      <w:szCs w:val="32"/>
      <w:lang w:val="zh-CN"/>
    </w:rPr>
  </w:style>
  <w:style w:type="paragraph" w:customStyle="1" w:styleId="796">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4"/>
    <w:next w:val="4"/>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5"/>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6"/>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qFormat/>
    <w:uiPriority w:val="0"/>
    <w:pPr>
      <w:spacing w:beforeLines="100"/>
    </w:pPr>
    <w:rPr>
      <w:rFonts w:cs="宋体"/>
      <w:bCs w:val="0"/>
      <w:szCs w:val="20"/>
    </w:rPr>
  </w:style>
  <w:style w:type="paragraph" w:customStyle="1" w:styleId="801">
    <w:name w:val="样式 Times New Roman 加粗 首行缩进:  2 字符 行距: 1.5 倍行距"/>
    <w:basedOn w:val="1"/>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qFormat/>
    <w:uiPriority w:val="0"/>
    <w:pPr>
      <w:widowControl/>
      <w:spacing w:line="360" w:lineRule="auto"/>
      <w:ind w:firstLine="200" w:firstLineChars="200"/>
    </w:pPr>
    <w:rPr>
      <w:color w:val="000000"/>
      <w:sz w:val="28"/>
      <w:szCs w:val="28"/>
    </w:rPr>
  </w:style>
  <w:style w:type="paragraph" w:customStyle="1" w:styleId="803">
    <w:name w:val="附图表"/>
    <w:basedOn w:val="1"/>
    <w:link w:val="804"/>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qFormat/>
    <w:uiPriority w:val="0"/>
    <w:rPr>
      <w:rFonts w:ascii="黑体" w:hAnsi="黑体" w:eastAsia="黑体"/>
      <w:color w:val="000000"/>
      <w:sz w:val="28"/>
      <w:szCs w:val="30"/>
      <w:lang w:val="zh-CN"/>
    </w:rPr>
  </w:style>
  <w:style w:type="character" w:customStyle="1" w:styleId="805">
    <w:name w:val="Char Char7"/>
    <w:qFormat/>
    <w:uiPriority w:val="0"/>
    <w:rPr>
      <w:rFonts w:hAnsi="宋体" w:eastAsia="宋体"/>
      <w:kern w:val="2"/>
      <w:sz w:val="18"/>
      <w:szCs w:val="18"/>
      <w:lang w:val="zh-CN" w:eastAsia="zh-CN" w:bidi="ar-SA"/>
    </w:rPr>
  </w:style>
  <w:style w:type="character" w:customStyle="1" w:styleId="806">
    <w:name w:val="content1"/>
    <w:qFormat/>
    <w:uiPriority w:val="0"/>
    <w:rPr>
      <w:sz w:val="22"/>
      <w:szCs w:val="22"/>
    </w:rPr>
  </w:style>
  <w:style w:type="character" w:customStyle="1" w:styleId="807">
    <w:name w:val="表头 Char"/>
    <w:link w:val="765"/>
    <w:qFormat/>
    <w:uiPriority w:val="0"/>
    <w:rPr>
      <w:b/>
      <w:kern w:val="2"/>
      <w:sz w:val="28"/>
    </w:rPr>
  </w:style>
  <w:style w:type="character" w:customStyle="1" w:styleId="808">
    <w:name w:val="表格文本 Char"/>
    <w:link w:val="747"/>
    <w:qFormat/>
    <w:uiPriority w:val="0"/>
    <w:rPr>
      <w:color w:val="000000"/>
      <w:sz w:val="24"/>
      <w:szCs w:val="21"/>
    </w:rPr>
  </w:style>
  <w:style w:type="character" w:customStyle="1" w:styleId="809">
    <w:name w:val="批注主题 Char1"/>
    <w:basedOn w:val="113"/>
    <w:semiHidden/>
    <w:qFormat/>
    <w:uiPriority w:val="99"/>
    <w:rPr>
      <w:rFonts w:ascii="Calibri" w:hAnsi="Calibri" w:eastAsia="仿宋" w:cs="Times New Roman"/>
      <w:b/>
      <w:bCs/>
      <w:kern w:val="2"/>
      <w:sz w:val="28"/>
      <w:szCs w:val="22"/>
    </w:rPr>
  </w:style>
  <w:style w:type="paragraph" w:customStyle="1" w:styleId="810">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qFormat/>
    <w:uiPriority w:val="0"/>
    <w:pPr>
      <w:widowControl/>
      <w:jc w:val="left"/>
    </w:pPr>
    <w:rPr>
      <w:rFonts w:ascii="宋体" w:hAnsi="Courier New"/>
    </w:rPr>
  </w:style>
  <w:style w:type="paragraph" w:customStyle="1" w:styleId="812">
    <w:name w:val="二级无"/>
    <w:basedOn w:val="427"/>
    <w:qFormat/>
    <w:uiPriority w:val="0"/>
    <w:pPr>
      <w:ind w:left="735"/>
    </w:pPr>
    <w:rPr>
      <w:rFonts w:ascii="宋体" w:hAnsi="Calibri" w:eastAsia="宋体" w:cs="Times New Roman"/>
      <w:szCs w:val="21"/>
    </w:rPr>
  </w:style>
  <w:style w:type="paragraph" w:customStyle="1" w:styleId="81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qFormat/>
    <w:uiPriority w:val="0"/>
    <w:rPr>
      <w:rFonts w:ascii="宋体" w:hAnsi="宋体"/>
      <w:sz w:val="24"/>
    </w:rPr>
  </w:style>
  <w:style w:type="table" w:customStyle="1" w:styleId="815">
    <w:name w:val="Table Normal"/>
    <w:semiHidden/>
    <w:unhideWhenUsed/>
    <w:qFormat/>
    <w:uiPriority w:val="0"/>
    <w:tblPr>
      <w:tblCellMar>
        <w:top w:w="0" w:type="dxa"/>
        <w:left w:w="0" w:type="dxa"/>
        <w:bottom w:w="0" w:type="dxa"/>
        <w:right w:w="0" w:type="dxa"/>
      </w:tblCellMar>
    </w:tblPr>
  </w:style>
  <w:style w:type="paragraph" w:customStyle="1" w:styleId="816">
    <w:name w:val="列表段落1"/>
    <w:basedOn w:val="1"/>
    <w:qFormat/>
    <w:uiPriority w:val="0"/>
    <w:pPr>
      <w:ind w:firstLine="420" w:firstLineChars="200"/>
    </w:pPr>
    <w:rPr>
      <w:szCs w:val="21"/>
    </w:rPr>
  </w:style>
  <w:style w:type="paragraph" w:customStyle="1" w:styleId="817">
    <w:name w:val="列表段落2"/>
    <w:basedOn w:val="1"/>
    <w:qFormat/>
    <w:uiPriority w:val="0"/>
    <w:pPr>
      <w:ind w:firstLine="420" w:firstLineChars="200"/>
    </w:pPr>
    <w:rPr>
      <w:szCs w:val="21"/>
    </w:rPr>
  </w:style>
  <w:style w:type="paragraph" w:customStyle="1" w:styleId="818">
    <w:name w:val="可研正文"/>
    <w:basedOn w:val="1"/>
    <w:qFormat/>
    <w:uiPriority w:val="0"/>
    <w:pPr>
      <w:ind w:firstLine="200"/>
    </w:pPr>
    <w:rPr>
      <w:rFonts w:ascii="仿宋" w:hAnsi="仿宋" w:eastAsia="仿宋_GB2312"/>
      <w:kern w:val="0"/>
      <w:szCs w:val="28"/>
    </w:rPr>
  </w:style>
  <w:style w:type="paragraph" w:customStyle="1" w:styleId="819">
    <w:name w:val="A正文小四"/>
    <w:basedOn w:val="1"/>
    <w:qFormat/>
    <w:uiPriority w:val="0"/>
    <w:pPr>
      <w:ind w:firstLine="200"/>
    </w:pPr>
    <w:rPr>
      <w:sz w:val="24"/>
    </w:rPr>
  </w:style>
  <w:style w:type="paragraph" w:customStyle="1" w:styleId="820">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821">
    <w:name w:val="Body Text First Indent1"/>
    <w:basedOn w:val="26"/>
    <w:qFormat/>
    <w:uiPriority w:val="0"/>
    <w:pPr>
      <w:spacing w:after="0" w:line="500" w:lineRule="exact"/>
      <w:ind w:firstLine="420"/>
    </w:pPr>
    <w:rPr>
      <w:rFonts w:ascii="仿宋_GB2312" w:hAnsi="Times New Roman" w:eastAsia="仿宋_GB2312" w:cs="Times New Roman"/>
      <w:sz w:val="28"/>
    </w:rPr>
  </w:style>
  <w:style w:type="paragraph" w:customStyle="1" w:styleId="822">
    <w:name w:val="列出段落31"/>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52</Pages>
  <Words>2683</Words>
  <Characters>3110</Characters>
  <Lines>243</Lines>
  <Paragraphs>68</Paragraphs>
  <TotalTime>7</TotalTime>
  <ScaleCrop>false</ScaleCrop>
  <LinksUpToDate>false</LinksUpToDate>
  <CharactersWithSpaces>3212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2023-12-12T07:48:00Z</dcterms:created>
  <dc:creator>LCMZX</dc:creator>
  <cp:lastModifiedBy>Administrator</cp:lastModifiedBy>
  <cp:lastPrinted>2025-03-06T06:46:00Z</cp:lastPrinted>
  <dcterms:modified xsi:type="dcterms:W3CDTF">2025-07-04T01:11:55Z</dcterms:modified>
  <dc:title>温州市政府采购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2A3DEAFAE2724C6695796A61DCCD0BD4_13</vt:lpwstr>
  </property>
  <property fmtid="{D5CDD505-2E9C-101B-9397-08002B2CF9AE}" pid="4" name="commondata">
    <vt:lpwstr>eyJoZGlkIjoiZDRhNzcwYWMxNDc0YjRjN2UxZDk1NTg4ZWEwNTIzZDUifQ==</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eyJoZGlkIjoiNWI1NDIyYmU3MjA1NGNmYTA4YWE4MDgyMzNkN2NiNTkifQ==</vt:lpwstr>
  </property>
</Properties>
</file>