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02" w:leftChars="1" w:hanging="800" w:hangingChars="249"/>
        <w:jc w:val="center"/>
        <w:rPr>
          <w:rFonts w:hint="eastAsia" w:ascii="新宋体" w:hAnsi="新宋体" w:eastAsia="新宋体"/>
          <w:b/>
          <w:snapToGrid w:val="0"/>
          <w:sz w:val="32"/>
          <w:szCs w:val="32"/>
        </w:rPr>
      </w:pPr>
      <w:r>
        <w:rPr>
          <w:rFonts w:hint="eastAsia" w:ascii="新宋体" w:hAnsi="新宋体" w:eastAsia="新宋体"/>
          <w:b/>
          <w:snapToGrid w:val="0"/>
          <w:sz w:val="32"/>
          <w:szCs w:val="32"/>
        </w:rPr>
        <w:t>采购需求</w:t>
      </w:r>
    </w:p>
    <w:p>
      <w:pPr>
        <w:spacing w:line="460" w:lineRule="exact"/>
        <w:ind w:left="331" w:hanging="331" w:hangingChars="150"/>
        <w:rPr>
          <w:rFonts w:hint="eastAsia" w:ascii="宋体" w:hAnsi="宋体" w:cs="宋体"/>
          <w:b/>
          <w:sz w:val="22"/>
          <w:szCs w:val="22"/>
        </w:rPr>
      </w:pPr>
      <w:r>
        <w:rPr>
          <w:rFonts w:hint="eastAsia" w:ascii="宋体" w:hAnsi="宋体" w:cs="宋体"/>
          <w:b/>
          <w:sz w:val="22"/>
          <w:szCs w:val="22"/>
        </w:rPr>
        <w:t>一、项目说明</w:t>
      </w:r>
    </w:p>
    <w:p>
      <w:pPr>
        <w:spacing w:line="460" w:lineRule="exact"/>
        <w:ind w:left="330" w:hanging="330" w:hangingChars="150"/>
        <w:rPr>
          <w:rFonts w:hint="eastAsia" w:ascii="宋体" w:hAnsi="宋体" w:cs="宋体"/>
          <w:bCs/>
          <w:sz w:val="22"/>
          <w:szCs w:val="22"/>
        </w:rPr>
      </w:pPr>
      <w:r>
        <w:rPr>
          <w:rFonts w:hint="eastAsia" w:ascii="宋体" w:hAnsi="宋体" w:cs="宋体"/>
          <w:sz w:val="22"/>
          <w:szCs w:val="22"/>
        </w:rPr>
        <w:t>1、本</w:t>
      </w:r>
      <w:r>
        <w:rPr>
          <w:rFonts w:hint="eastAsia" w:ascii="宋体" w:hAnsi="宋体" w:cs="宋体"/>
          <w:bCs/>
          <w:sz w:val="22"/>
          <w:szCs w:val="22"/>
        </w:rPr>
        <w:t>项目分为1个标段，供应商根据自己的技术和商务优势可对其全部内容进行投标。</w:t>
      </w:r>
    </w:p>
    <w:p>
      <w:pPr>
        <w:spacing w:line="440" w:lineRule="exact"/>
        <w:ind w:left="418" w:hanging="418" w:hangingChars="190"/>
        <w:rPr>
          <w:rFonts w:hint="eastAsia" w:ascii="宋体" w:hAnsi="宋体" w:cs="宋体"/>
          <w:sz w:val="22"/>
          <w:szCs w:val="22"/>
        </w:rPr>
      </w:pPr>
      <w:r>
        <w:rPr>
          <w:rFonts w:hint="eastAsia" w:ascii="宋体" w:hAnsi="宋体" w:cs="宋体"/>
          <w:sz w:val="22"/>
        </w:rPr>
        <w:t>2、</w:t>
      </w:r>
      <w:r>
        <w:rPr>
          <w:rFonts w:hint="eastAsia" w:ascii="宋体" w:hAnsi="宋体" w:cs="宋体"/>
          <w:sz w:val="22"/>
          <w:szCs w:val="22"/>
        </w:rPr>
        <w:t>投标供应商应提供所投所有</w:t>
      </w:r>
      <w:r>
        <w:rPr>
          <w:rFonts w:hint="eastAsia" w:ascii="宋体" w:hAnsi="宋体" w:cs="宋体"/>
          <w:sz w:val="22"/>
        </w:rPr>
        <w:t>设备</w:t>
      </w:r>
      <w:r>
        <w:rPr>
          <w:rFonts w:hint="eastAsia" w:ascii="宋体" w:hAnsi="宋体" w:cs="宋体"/>
          <w:sz w:val="22"/>
          <w:szCs w:val="22"/>
        </w:rPr>
        <w:t>及其附件的设计、采购、制造、检测、试验、至最终目的地的运输和保险、现场仓储以及安装、验收、技术服务及培训、相关文件的提交、质保期维护、运维及后期数据分析处理等服务，在投标文件相应的部分明确。</w:t>
      </w:r>
    </w:p>
    <w:p>
      <w:pPr>
        <w:spacing w:line="440" w:lineRule="exact"/>
        <w:ind w:left="418" w:hanging="418" w:hangingChars="190"/>
        <w:rPr>
          <w:rFonts w:hint="eastAsia" w:ascii="宋体" w:hAnsi="宋体" w:cs="宋体"/>
          <w:sz w:val="22"/>
          <w:szCs w:val="22"/>
        </w:rPr>
      </w:pPr>
      <w:r>
        <w:rPr>
          <w:rFonts w:hint="eastAsia" w:ascii="宋体" w:hAnsi="宋体" w:cs="宋体"/>
          <w:sz w:val="22"/>
          <w:szCs w:val="22"/>
        </w:rPr>
        <w:t>3、投标供应商所投</w:t>
      </w:r>
      <w:r>
        <w:rPr>
          <w:rFonts w:hint="eastAsia" w:ascii="宋体" w:hAnsi="宋体" w:cs="宋体"/>
          <w:sz w:val="22"/>
        </w:rPr>
        <w:t>设备</w:t>
      </w:r>
      <w:r>
        <w:rPr>
          <w:rFonts w:hint="eastAsia" w:ascii="宋体" w:hAnsi="宋体" w:cs="宋体"/>
          <w:sz w:val="22"/>
          <w:szCs w:val="22"/>
        </w:rPr>
        <w:t>及主要部件的名称、品牌、型号、技术参数、性能、数量、单价、合价厂商、产地、质保期等应在投标文件中明确，对招标文件的技术条款及要求应予以实质性响应，应在偏离表中注明。</w:t>
      </w:r>
    </w:p>
    <w:p>
      <w:pPr>
        <w:spacing w:line="440" w:lineRule="exact"/>
        <w:ind w:left="418" w:hanging="418" w:hangingChars="190"/>
        <w:rPr>
          <w:rFonts w:hint="eastAsia" w:ascii="宋体" w:hAnsi="宋体" w:cs="宋体"/>
          <w:sz w:val="22"/>
          <w:szCs w:val="22"/>
        </w:rPr>
      </w:pPr>
      <w:r>
        <w:rPr>
          <w:rFonts w:hint="eastAsia" w:ascii="宋体" w:hAnsi="宋体" w:cs="宋体"/>
          <w:sz w:val="22"/>
          <w:szCs w:val="22"/>
        </w:rPr>
        <w:t xml:space="preserve">4、 </w:t>
      </w:r>
      <w:r>
        <w:rPr>
          <w:rFonts w:hint="eastAsia" w:ascii="宋体" w:hAnsi="宋体" w:cs="宋体"/>
          <w:b/>
          <w:bCs/>
          <w:sz w:val="22"/>
          <w:szCs w:val="22"/>
        </w:rPr>
        <w:t>本项目采购的片式元器件制造设备经财政主管部门批准，为进口论证产品，可以采购进口产品。</w:t>
      </w:r>
    </w:p>
    <w:p>
      <w:pPr>
        <w:spacing w:line="440" w:lineRule="exact"/>
        <w:ind w:left="440" w:hanging="440" w:hangingChars="200"/>
        <w:rPr>
          <w:rFonts w:hint="eastAsia" w:ascii="宋体" w:hAnsi="宋体" w:cs="宋体"/>
          <w:b/>
          <w:bCs/>
          <w:sz w:val="22"/>
          <w:szCs w:val="22"/>
          <w:u w:val="single"/>
        </w:rPr>
      </w:pPr>
      <w:r>
        <w:rPr>
          <w:rFonts w:hint="eastAsia" w:ascii="宋体" w:hAnsi="宋体" w:cs="宋体"/>
          <w:sz w:val="22"/>
          <w:szCs w:val="22"/>
        </w:rPr>
        <w:t>5、</w:t>
      </w:r>
      <w:r>
        <w:rPr>
          <w:rFonts w:hint="eastAsia" w:ascii="宋体" w:hAnsi="宋体" w:cs="宋体"/>
          <w:sz w:val="22"/>
          <w:szCs w:val="22"/>
          <w:u w:val="single"/>
        </w:rPr>
        <w:t>▲</w:t>
      </w:r>
      <w:r>
        <w:rPr>
          <w:rFonts w:hint="eastAsia" w:ascii="宋体" w:hAnsi="宋体" w:cs="宋体"/>
          <w:b/>
          <w:bCs/>
          <w:sz w:val="22"/>
          <w:szCs w:val="22"/>
          <w:u w:val="single"/>
        </w:rPr>
        <w:t>本项目采购预算为：人民币980万元整。</w:t>
      </w:r>
      <w:r>
        <w:rPr>
          <w:rFonts w:hint="eastAsia" w:ascii="宋体" w:hAnsi="宋体" w:cs="宋体"/>
          <w:b/>
          <w:sz w:val="22"/>
          <w:szCs w:val="22"/>
          <w:u w:val="single"/>
        </w:rPr>
        <w:t>如投标供应商报价超过采购预算的，其投标文件作无效标处理。</w:t>
      </w:r>
    </w:p>
    <w:p>
      <w:pPr>
        <w:spacing w:line="460" w:lineRule="exact"/>
        <w:ind w:left="331" w:hanging="331" w:hangingChars="150"/>
        <w:rPr>
          <w:rFonts w:hint="eastAsia" w:ascii="宋体" w:hAnsi="宋体" w:cs="宋体"/>
          <w:b/>
          <w:bCs/>
          <w:sz w:val="22"/>
          <w:szCs w:val="22"/>
        </w:rPr>
      </w:pPr>
      <w:r>
        <w:rPr>
          <w:rFonts w:hint="eastAsia" w:ascii="宋体" w:hAnsi="宋体" w:cs="宋体"/>
          <w:b/>
          <w:bCs/>
          <w:sz w:val="22"/>
          <w:szCs w:val="22"/>
        </w:rPr>
        <w:t>二、采购设备</w:t>
      </w:r>
    </w:p>
    <w:tbl>
      <w:tblPr>
        <w:tblStyle w:val="9"/>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329"/>
        <w:gridCol w:w="3150"/>
        <w:gridCol w:w="124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99" w:type="dxa"/>
            <w:noWrap w:val="0"/>
            <w:vAlign w:val="center"/>
          </w:tcPr>
          <w:p>
            <w:pPr>
              <w:spacing w:line="440" w:lineRule="exact"/>
              <w:ind w:left="421" w:leftChars="-9" w:hanging="440" w:hangingChars="200"/>
              <w:jc w:val="center"/>
              <w:rPr>
                <w:rFonts w:hint="eastAsia" w:ascii="宋体" w:hAnsi="宋体" w:cs="宋体"/>
                <w:sz w:val="22"/>
                <w:szCs w:val="22"/>
              </w:rPr>
            </w:pPr>
            <w:r>
              <w:rPr>
                <w:rFonts w:hint="eastAsia" w:ascii="宋体" w:hAnsi="宋体" w:cs="宋体"/>
                <w:sz w:val="22"/>
                <w:szCs w:val="22"/>
              </w:rPr>
              <w:t>序号</w:t>
            </w:r>
          </w:p>
        </w:tc>
        <w:tc>
          <w:tcPr>
            <w:tcW w:w="2329" w:type="dxa"/>
            <w:noWrap w:val="0"/>
            <w:vAlign w:val="center"/>
          </w:tcPr>
          <w:p>
            <w:pPr>
              <w:spacing w:line="440" w:lineRule="exact"/>
              <w:ind w:left="421" w:leftChars="-9" w:hanging="440" w:hangingChars="200"/>
              <w:jc w:val="center"/>
              <w:rPr>
                <w:rFonts w:hint="eastAsia" w:ascii="宋体" w:hAnsi="宋体" w:cs="宋体"/>
                <w:sz w:val="22"/>
                <w:szCs w:val="22"/>
              </w:rPr>
            </w:pPr>
            <w:r>
              <w:rPr>
                <w:rFonts w:hint="eastAsia" w:ascii="宋体" w:hAnsi="宋体" w:cs="宋体"/>
                <w:sz w:val="22"/>
                <w:szCs w:val="22"/>
              </w:rPr>
              <w:t>设备名称</w:t>
            </w:r>
          </w:p>
        </w:tc>
        <w:tc>
          <w:tcPr>
            <w:tcW w:w="3150" w:type="dxa"/>
            <w:noWrap w:val="0"/>
            <w:vAlign w:val="center"/>
          </w:tcPr>
          <w:p>
            <w:pPr>
              <w:spacing w:line="440" w:lineRule="exact"/>
              <w:ind w:left="421" w:leftChars="-9" w:hanging="440" w:hangingChars="200"/>
              <w:jc w:val="center"/>
              <w:rPr>
                <w:rFonts w:ascii="宋体" w:hAnsi="宋体" w:cs="宋体"/>
                <w:sz w:val="22"/>
                <w:szCs w:val="22"/>
              </w:rPr>
            </w:pPr>
            <w:r>
              <w:rPr>
                <w:rFonts w:hint="eastAsia" w:ascii="宋体" w:hAnsi="宋体" w:cs="宋体"/>
                <w:sz w:val="22"/>
                <w:szCs w:val="22"/>
              </w:rPr>
              <w:t>设备组成系统</w:t>
            </w:r>
          </w:p>
        </w:tc>
        <w:tc>
          <w:tcPr>
            <w:tcW w:w="1245" w:type="dxa"/>
            <w:noWrap w:val="0"/>
            <w:vAlign w:val="center"/>
          </w:tcPr>
          <w:p>
            <w:pPr>
              <w:spacing w:line="440" w:lineRule="exact"/>
              <w:ind w:left="421" w:leftChars="-9" w:hanging="440" w:hangingChars="200"/>
              <w:jc w:val="center"/>
              <w:rPr>
                <w:rFonts w:hint="eastAsia" w:ascii="宋体" w:hAnsi="宋体" w:cs="宋体"/>
                <w:sz w:val="22"/>
                <w:szCs w:val="22"/>
              </w:rPr>
            </w:pPr>
            <w:r>
              <w:rPr>
                <w:rFonts w:hint="eastAsia" w:ascii="宋体" w:hAnsi="宋体" w:cs="宋体"/>
                <w:sz w:val="22"/>
                <w:szCs w:val="22"/>
              </w:rPr>
              <w:t>数量</w:t>
            </w:r>
          </w:p>
        </w:tc>
        <w:tc>
          <w:tcPr>
            <w:tcW w:w="1587" w:type="dxa"/>
            <w:noWrap w:val="0"/>
            <w:vAlign w:val="center"/>
          </w:tcPr>
          <w:p>
            <w:pPr>
              <w:spacing w:line="440" w:lineRule="exact"/>
              <w:ind w:left="421" w:leftChars="-9" w:hanging="440" w:hangingChars="200"/>
              <w:jc w:val="center"/>
              <w:rPr>
                <w:rFonts w:hint="eastAsia"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restart"/>
            <w:noWrap w:val="0"/>
            <w:vAlign w:val="center"/>
          </w:tcPr>
          <w:p>
            <w:pPr>
              <w:spacing w:line="440" w:lineRule="exact"/>
              <w:jc w:val="center"/>
              <w:rPr>
                <w:rFonts w:ascii="宋体" w:hAnsi="宋体" w:cs="宋体"/>
                <w:sz w:val="22"/>
                <w:szCs w:val="22"/>
              </w:rPr>
            </w:pPr>
            <w:r>
              <w:rPr>
                <w:rFonts w:hint="eastAsia" w:ascii="宋体" w:hAnsi="宋体" w:cs="宋体"/>
                <w:sz w:val="22"/>
                <w:szCs w:val="22"/>
              </w:rPr>
              <w:t>1</w:t>
            </w:r>
          </w:p>
        </w:tc>
        <w:tc>
          <w:tcPr>
            <w:tcW w:w="2329" w:type="dxa"/>
            <w:vMerge w:val="restart"/>
            <w:noWrap w:val="0"/>
            <w:vAlign w:val="center"/>
          </w:tcPr>
          <w:p>
            <w:pPr>
              <w:spacing w:line="440" w:lineRule="exact"/>
              <w:jc w:val="center"/>
              <w:rPr>
                <w:rFonts w:hint="eastAsia" w:ascii="宋体" w:hAnsi="宋体" w:cs="宋体"/>
                <w:sz w:val="22"/>
                <w:szCs w:val="22"/>
              </w:rPr>
            </w:pPr>
            <w:r>
              <w:rPr>
                <w:rFonts w:hint="eastAsia" w:ascii="宋体" w:hAnsi="宋体" w:cs="宋体"/>
                <w:sz w:val="22"/>
                <w:szCs w:val="22"/>
              </w:rPr>
              <w:t>片式元器件制造设备</w:t>
            </w: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流延机系统</w:t>
            </w:r>
          </w:p>
        </w:tc>
        <w:tc>
          <w:tcPr>
            <w:tcW w:w="1245" w:type="dxa"/>
            <w:vMerge w:val="restart"/>
            <w:noWrap w:val="0"/>
            <w:vAlign w:val="center"/>
          </w:tcPr>
          <w:p>
            <w:pPr>
              <w:spacing w:line="440" w:lineRule="exact"/>
              <w:jc w:val="center"/>
              <w:rPr>
                <w:rFonts w:ascii="宋体" w:hAnsi="宋体" w:cs="宋体"/>
                <w:sz w:val="22"/>
                <w:szCs w:val="22"/>
              </w:rPr>
            </w:pPr>
            <w:r>
              <w:rPr>
                <w:rFonts w:hint="eastAsia" w:ascii="宋体" w:hAnsi="宋体" w:cs="宋体"/>
                <w:sz w:val="22"/>
                <w:szCs w:val="22"/>
              </w:rPr>
              <w:t>共1套</w:t>
            </w:r>
          </w:p>
        </w:tc>
        <w:tc>
          <w:tcPr>
            <w:tcW w:w="1587" w:type="dxa"/>
            <w:vMerge w:val="restart"/>
            <w:noWrap w:val="0"/>
            <w:vAlign w:val="center"/>
          </w:tcPr>
          <w:p>
            <w:pPr>
              <w:spacing w:line="440" w:lineRule="exact"/>
              <w:jc w:val="center"/>
              <w:rPr>
                <w:rFonts w:hint="eastAsia" w:ascii="宋体" w:hAnsi="宋体" w:cs="宋体"/>
                <w:sz w:val="22"/>
                <w:szCs w:val="22"/>
              </w:rPr>
            </w:pPr>
            <w:r>
              <w:rPr>
                <w:rFonts w:hint="eastAsia" w:ascii="宋体" w:hAnsi="宋体" w:cs="宋体"/>
                <w:sz w:val="22"/>
                <w:szCs w:val="22"/>
              </w:rPr>
              <w:t>进口论证产品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continue"/>
            <w:noWrap w:val="0"/>
            <w:vAlign w:val="center"/>
          </w:tcPr>
          <w:p>
            <w:pPr>
              <w:spacing w:line="440" w:lineRule="exact"/>
              <w:jc w:val="center"/>
            </w:pPr>
          </w:p>
        </w:tc>
        <w:tc>
          <w:tcPr>
            <w:tcW w:w="2329" w:type="dxa"/>
            <w:vMerge w:val="continue"/>
            <w:noWrap w:val="0"/>
            <w:vAlign w:val="center"/>
          </w:tcPr>
          <w:p>
            <w:pPr>
              <w:spacing w:line="440" w:lineRule="exact"/>
              <w:jc w:val="center"/>
            </w:pP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裁片机系统</w:t>
            </w:r>
          </w:p>
        </w:tc>
        <w:tc>
          <w:tcPr>
            <w:tcW w:w="1245" w:type="dxa"/>
            <w:vMerge w:val="continue"/>
            <w:noWrap w:val="0"/>
            <w:vAlign w:val="center"/>
          </w:tcPr>
          <w:p>
            <w:pPr>
              <w:spacing w:line="440" w:lineRule="exact"/>
              <w:jc w:val="center"/>
              <w:rPr>
                <w:rFonts w:hint="eastAsia" w:ascii="宋体" w:hAnsi="宋体" w:cs="宋体"/>
                <w:sz w:val="22"/>
                <w:szCs w:val="22"/>
              </w:rPr>
            </w:pPr>
          </w:p>
        </w:tc>
        <w:tc>
          <w:tcPr>
            <w:tcW w:w="1587" w:type="dxa"/>
            <w:vMerge w:val="continue"/>
            <w:noWrap w:val="0"/>
            <w:vAlign w:val="center"/>
          </w:tcPr>
          <w:p>
            <w:pPr>
              <w:spacing w:line="440" w:lineRule="exact"/>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continue"/>
            <w:noWrap w:val="0"/>
            <w:vAlign w:val="center"/>
          </w:tcPr>
          <w:p>
            <w:pPr>
              <w:spacing w:line="440" w:lineRule="exact"/>
              <w:jc w:val="center"/>
              <w:rPr>
                <w:rFonts w:hint="eastAsia" w:ascii="宋体" w:hAnsi="宋体" w:cs="宋体"/>
                <w:sz w:val="22"/>
                <w:szCs w:val="22"/>
              </w:rPr>
            </w:pPr>
          </w:p>
        </w:tc>
        <w:tc>
          <w:tcPr>
            <w:tcW w:w="2329" w:type="dxa"/>
            <w:vMerge w:val="continue"/>
            <w:noWrap w:val="0"/>
            <w:vAlign w:val="center"/>
          </w:tcPr>
          <w:p>
            <w:pPr>
              <w:spacing w:line="440" w:lineRule="exact"/>
              <w:jc w:val="center"/>
              <w:rPr>
                <w:rFonts w:hint="eastAsia" w:ascii="宋体" w:hAnsi="宋体" w:cs="宋体"/>
                <w:sz w:val="22"/>
                <w:szCs w:val="22"/>
              </w:rPr>
            </w:pP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打孔机系统</w:t>
            </w:r>
          </w:p>
        </w:tc>
        <w:tc>
          <w:tcPr>
            <w:tcW w:w="1245" w:type="dxa"/>
            <w:vMerge w:val="continue"/>
            <w:noWrap w:val="0"/>
            <w:vAlign w:val="center"/>
          </w:tcPr>
          <w:p>
            <w:pPr>
              <w:spacing w:line="440" w:lineRule="exact"/>
              <w:jc w:val="center"/>
              <w:rPr>
                <w:rFonts w:hint="eastAsia" w:ascii="宋体" w:hAnsi="宋体" w:cs="宋体"/>
                <w:sz w:val="22"/>
                <w:szCs w:val="22"/>
              </w:rPr>
            </w:pPr>
          </w:p>
        </w:tc>
        <w:tc>
          <w:tcPr>
            <w:tcW w:w="1587" w:type="dxa"/>
            <w:vMerge w:val="continue"/>
            <w:noWrap w:val="0"/>
            <w:vAlign w:val="center"/>
          </w:tcPr>
          <w:p>
            <w:pPr>
              <w:spacing w:line="440" w:lineRule="exact"/>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continue"/>
            <w:noWrap w:val="0"/>
            <w:vAlign w:val="center"/>
          </w:tcPr>
          <w:p>
            <w:pPr>
              <w:spacing w:line="440" w:lineRule="exact"/>
              <w:jc w:val="center"/>
              <w:rPr>
                <w:rFonts w:hint="eastAsia" w:ascii="宋体" w:hAnsi="宋体" w:cs="宋体"/>
                <w:sz w:val="22"/>
                <w:szCs w:val="22"/>
              </w:rPr>
            </w:pPr>
          </w:p>
        </w:tc>
        <w:tc>
          <w:tcPr>
            <w:tcW w:w="2329" w:type="dxa"/>
            <w:vMerge w:val="continue"/>
            <w:noWrap w:val="0"/>
            <w:vAlign w:val="center"/>
          </w:tcPr>
          <w:p>
            <w:pPr>
              <w:spacing w:line="440" w:lineRule="exact"/>
              <w:jc w:val="center"/>
              <w:rPr>
                <w:rFonts w:hint="eastAsia" w:ascii="宋体" w:hAnsi="宋体" w:cs="宋体"/>
                <w:sz w:val="22"/>
                <w:szCs w:val="22"/>
              </w:rPr>
            </w:pP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印刷填孔机系统</w:t>
            </w:r>
          </w:p>
        </w:tc>
        <w:tc>
          <w:tcPr>
            <w:tcW w:w="1245" w:type="dxa"/>
            <w:vMerge w:val="continue"/>
            <w:noWrap w:val="0"/>
            <w:vAlign w:val="center"/>
          </w:tcPr>
          <w:p>
            <w:pPr>
              <w:spacing w:line="440" w:lineRule="exact"/>
              <w:jc w:val="center"/>
              <w:rPr>
                <w:rFonts w:hint="eastAsia" w:ascii="宋体" w:hAnsi="宋体" w:cs="宋体"/>
                <w:sz w:val="22"/>
                <w:szCs w:val="22"/>
              </w:rPr>
            </w:pPr>
          </w:p>
        </w:tc>
        <w:tc>
          <w:tcPr>
            <w:tcW w:w="1587" w:type="dxa"/>
            <w:vMerge w:val="continue"/>
            <w:noWrap w:val="0"/>
            <w:vAlign w:val="center"/>
          </w:tcPr>
          <w:p>
            <w:pPr>
              <w:spacing w:line="440" w:lineRule="exact"/>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continue"/>
            <w:noWrap w:val="0"/>
            <w:vAlign w:val="center"/>
          </w:tcPr>
          <w:p>
            <w:pPr>
              <w:spacing w:line="440" w:lineRule="exact"/>
              <w:jc w:val="center"/>
              <w:rPr>
                <w:rFonts w:hint="eastAsia" w:ascii="宋体" w:hAnsi="宋体" w:cs="宋体"/>
                <w:sz w:val="22"/>
                <w:szCs w:val="22"/>
              </w:rPr>
            </w:pPr>
          </w:p>
        </w:tc>
        <w:tc>
          <w:tcPr>
            <w:tcW w:w="2329" w:type="dxa"/>
            <w:vMerge w:val="continue"/>
            <w:noWrap w:val="0"/>
            <w:vAlign w:val="center"/>
          </w:tcPr>
          <w:p>
            <w:pPr>
              <w:spacing w:line="440" w:lineRule="exact"/>
              <w:jc w:val="center"/>
              <w:rPr>
                <w:rFonts w:hint="eastAsia" w:ascii="宋体" w:hAnsi="宋体" w:cs="宋体"/>
                <w:sz w:val="22"/>
                <w:szCs w:val="22"/>
              </w:rPr>
            </w:pP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叠层机系统</w:t>
            </w:r>
          </w:p>
        </w:tc>
        <w:tc>
          <w:tcPr>
            <w:tcW w:w="1245" w:type="dxa"/>
            <w:vMerge w:val="continue"/>
            <w:noWrap w:val="0"/>
            <w:vAlign w:val="center"/>
          </w:tcPr>
          <w:p>
            <w:pPr>
              <w:spacing w:line="440" w:lineRule="exact"/>
              <w:jc w:val="center"/>
              <w:rPr>
                <w:rFonts w:hint="eastAsia" w:ascii="宋体" w:hAnsi="宋体" w:cs="宋体"/>
                <w:sz w:val="22"/>
                <w:szCs w:val="22"/>
              </w:rPr>
            </w:pPr>
          </w:p>
        </w:tc>
        <w:tc>
          <w:tcPr>
            <w:tcW w:w="1587" w:type="dxa"/>
            <w:vMerge w:val="continue"/>
            <w:noWrap w:val="0"/>
            <w:vAlign w:val="center"/>
          </w:tcPr>
          <w:p>
            <w:pPr>
              <w:spacing w:line="440" w:lineRule="exact"/>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continue"/>
            <w:noWrap w:val="0"/>
            <w:vAlign w:val="center"/>
          </w:tcPr>
          <w:p>
            <w:pPr>
              <w:spacing w:line="440" w:lineRule="exact"/>
              <w:jc w:val="center"/>
              <w:rPr>
                <w:rFonts w:hint="eastAsia" w:ascii="宋体" w:hAnsi="宋体" w:cs="宋体"/>
                <w:sz w:val="22"/>
                <w:szCs w:val="22"/>
              </w:rPr>
            </w:pPr>
          </w:p>
        </w:tc>
        <w:tc>
          <w:tcPr>
            <w:tcW w:w="2329" w:type="dxa"/>
            <w:vMerge w:val="continue"/>
            <w:noWrap w:val="0"/>
            <w:vAlign w:val="center"/>
          </w:tcPr>
          <w:p>
            <w:pPr>
              <w:spacing w:line="440" w:lineRule="exact"/>
              <w:jc w:val="center"/>
              <w:rPr>
                <w:rFonts w:hint="eastAsia" w:ascii="宋体" w:hAnsi="宋体" w:cs="宋体"/>
                <w:sz w:val="22"/>
                <w:szCs w:val="22"/>
              </w:rPr>
            </w:pP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温水等静压机系统</w:t>
            </w:r>
          </w:p>
        </w:tc>
        <w:tc>
          <w:tcPr>
            <w:tcW w:w="1245" w:type="dxa"/>
            <w:vMerge w:val="continue"/>
            <w:noWrap w:val="0"/>
            <w:vAlign w:val="center"/>
          </w:tcPr>
          <w:p>
            <w:pPr>
              <w:spacing w:line="440" w:lineRule="exact"/>
              <w:jc w:val="center"/>
              <w:rPr>
                <w:rFonts w:hint="eastAsia" w:ascii="宋体" w:hAnsi="宋体" w:cs="宋体"/>
                <w:sz w:val="22"/>
                <w:szCs w:val="22"/>
              </w:rPr>
            </w:pPr>
          </w:p>
        </w:tc>
        <w:tc>
          <w:tcPr>
            <w:tcW w:w="1587" w:type="dxa"/>
            <w:vMerge w:val="continue"/>
            <w:noWrap w:val="0"/>
            <w:vAlign w:val="center"/>
          </w:tcPr>
          <w:p>
            <w:pPr>
              <w:spacing w:line="440" w:lineRule="exact"/>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9" w:type="dxa"/>
            <w:vMerge w:val="continue"/>
            <w:noWrap w:val="0"/>
            <w:vAlign w:val="center"/>
          </w:tcPr>
          <w:p>
            <w:pPr>
              <w:spacing w:line="440" w:lineRule="exact"/>
              <w:jc w:val="center"/>
              <w:rPr>
                <w:rFonts w:hint="eastAsia" w:ascii="宋体" w:hAnsi="宋体" w:cs="宋体"/>
                <w:sz w:val="22"/>
                <w:szCs w:val="22"/>
              </w:rPr>
            </w:pPr>
          </w:p>
        </w:tc>
        <w:tc>
          <w:tcPr>
            <w:tcW w:w="2329" w:type="dxa"/>
            <w:vMerge w:val="continue"/>
            <w:noWrap w:val="0"/>
            <w:vAlign w:val="center"/>
          </w:tcPr>
          <w:p>
            <w:pPr>
              <w:spacing w:line="440" w:lineRule="exact"/>
              <w:jc w:val="center"/>
              <w:rPr>
                <w:rFonts w:hint="eastAsia" w:ascii="宋体" w:hAnsi="宋体" w:cs="宋体"/>
                <w:sz w:val="22"/>
                <w:szCs w:val="22"/>
              </w:rPr>
            </w:pPr>
          </w:p>
        </w:tc>
        <w:tc>
          <w:tcPr>
            <w:tcW w:w="3150" w:type="dxa"/>
            <w:noWrap w:val="0"/>
            <w:vAlign w:val="center"/>
          </w:tcPr>
          <w:p>
            <w:pPr>
              <w:spacing w:line="440" w:lineRule="exact"/>
              <w:jc w:val="left"/>
              <w:rPr>
                <w:rFonts w:hint="eastAsia" w:ascii="宋体" w:hAnsi="宋体" w:cs="宋体"/>
                <w:sz w:val="22"/>
                <w:szCs w:val="22"/>
              </w:rPr>
            </w:pPr>
            <w:r>
              <w:rPr>
                <w:rFonts w:hint="eastAsia" w:ascii="宋体" w:hAnsi="宋体" w:cs="宋体"/>
                <w:sz w:val="22"/>
                <w:szCs w:val="22"/>
              </w:rPr>
              <w:t>切割机系统</w:t>
            </w:r>
          </w:p>
        </w:tc>
        <w:tc>
          <w:tcPr>
            <w:tcW w:w="1245" w:type="dxa"/>
            <w:vMerge w:val="continue"/>
            <w:noWrap w:val="0"/>
            <w:vAlign w:val="center"/>
          </w:tcPr>
          <w:p>
            <w:pPr>
              <w:spacing w:line="440" w:lineRule="exact"/>
              <w:jc w:val="center"/>
              <w:rPr>
                <w:rFonts w:hint="eastAsia" w:ascii="宋体" w:hAnsi="宋体" w:cs="宋体"/>
                <w:sz w:val="22"/>
                <w:szCs w:val="22"/>
              </w:rPr>
            </w:pPr>
          </w:p>
        </w:tc>
        <w:tc>
          <w:tcPr>
            <w:tcW w:w="1587" w:type="dxa"/>
            <w:vMerge w:val="continue"/>
            <w:noWrap w:val="0"/>
            <w:vAlign w:val="center"/>
          </w:tcPr>
          <w:p>
            <w:pPr>
              <w:spacing w:line="440" w:lineRule="exact"/>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310" w:type="dxa"/>
            <w:gridSpan w:val="5"/>
            <w:noWrap w:val="0"/>
            <w:vAlign w:val="center"/>
          </w:tcPr>
          <w:p>
            <w:pPr>
              <w:spacing w:line="440" w:lineRule="exact"/>
              <w:jc w:val="left"/>
              <w:rPr>
                <w:rFonts w:ascii="宋体" w:hAnsi="宋体" w:eastAsia="新宋体" w:cs="宋体"/>
                <w:sz w:val="22"/>
                <w:szCs w:val="22"/>
              </w:rPr>
            </w:pPr>
            <w:r>
              <w:rPr>
                <w:rFonts w:hint="eastAsia" w:ascii="宋体" w:hAnsi="宋体" w:cs="宋体"/>
                <w:sz w:val="22"/>
                <w:szCs w:val="22"/>
              </w:rPr>
              <w:t>备注：</w:t>
            </w:r>
            <w:r>
              <w:rPr>
                <w:rFonts w:hint="eastAsia" w:ascii="新宋体" w:hAnsi="新宋体" w:eastAsia="新宋体"/>
                <w:color w:val="000000"/>
                <w:sz w:val="22"/>
                <w:szCs w:val="22"/>
              </w:rPr>
              <w:t>▲</w:t>
            </w:r>
            <w:r>
              <w:rPr>
                <w:rFonts w:hint="eastAsia" w:ascii="新宋体" w:hAnsi="新宋体" w:eastAsia="新宋体"/>
                <w:b/>
                <w:bCs/>
                <w:sz w:val="22"/>
                <w:szCs w:val="22"/>
                <w:u w:val="single"/>
              </w:rPr>
              <w:t>为保证设备及系统的兼容性以及实际生产所需，以上所投设备（七套系统）必须为同一生产厂家同一品牌产品，否则按无效标处理。供应商应在投标文件中明确产品的名称、品牌、规格型号、制造商、产地、质保期。</w:t>
            </w:r>
          </w:p>
        </w:tc>
      </w:tr>
    </w:tbl>
    <w:p>
      <w:pPr>
        <w:numPr>
          <w:ilvl w:val="0"/>
          <w:numId w:val="1"/>
        </w:numPr>
        <w:spacing w:line="400" w:lineRule="exact"/>
        <w:rPr>
          <w:rFonts w:hint="eastAsia" w:ascii="宋体" w:hAnsi="宋体" w:cs="宋体"/>
          <w:b/>
          <w:bCs/>
          <w:sz w:val="22"/>
          <w:szCs w:val="22"/>
        </w:rPr>
      </w:pPr>
      <w:r>
        <w:rPr>
          <w:rFonts w:hint="eastAsia" w:ascii="宋体" w:hAnsi="宋体" w:cs="宋体"/>
          <w:b/>
          <w:bCs/>
          <w:sz w:val="22"/>
          <w:szCs w:val="22"/>
        </w:rPr>
        <w:t>技术参数及相关要求</w:t>
      </w:r>
    </w:p>
    <w:p>
      <w:pPr>
        <w:spacing w:line="400" w:lineRule="exact"/>
        <w:rPr>
          <w:rFonts w:hint="eastAsia" w:ascii="宋体" w:hAnsi="宋体" w:cs="宋体"/>
          <w:b/>
          <w:bCs/>
          <w:sz w:val="22"/>
          <w:szCs w:val="22"/>
        </w:rPr>
      </w:pPr>
      <w:bookmarkStart w:id="0" w:name="_Toc29502765"/>
      <w:r>
        <w:rPr>
          <w:rFonts w:hint="eastAsia" w:ascii="宋体" w:hAnsi="宋体" w:cs="宋体"/>
          <w:b/>
          <w:bCs/>
          <w:sz w:val="22"/>
          <w:szCs w:val="22"/>
        </w:rPr>
        <w:t>（一）、流延机</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1、流延刀高度由高精度步进电机控制，并可自动调整。</w:t>
      </w:r>
    </w:p>
    <w:p>
      <w:pPr>
        <w:spacing w:line="440" w:lineRule="exact"/>
        <w:ind w:left="631" w:leftChars="104" w:hanging="413" w:hangingChars="188"/>
        <w:rPr>
          <w:rFonts w:hint="eastAsia" w:ascii="宋体" w:hAnsi="宋体" w:cs="宋体"/>
          <w:sz w:val="22"/>
          <w:szCs w:val="22"/>
        </w:rPr>
      </w:pPr>
      <w:r>
        <w:rPr>
          <w:rFonts w:hint="eastAsia" w:ascii="宋体" w:hAnsi="宋体" w:cs="宋体"/>
          <w:sz w:val="22"/>
          <w:szCs w:val="22"/>
        </w:rPr>
        <w:t>2、配置自动供浆系统和浆料过滤装置，并带浆料液面控制系统，可实时监控流延盒中浆料的液面高度。</w:t>
      </w:r>
    </w:p>
    <w:p>
      <w:pPr>
        <w:spacing w:line="440" w:lineRule="exact"/>
        <w:ind w:left="631" w:leftChars="104" w:hanging="413" w:hangingChars="188"/>
        <w:rPr>
          <w:rFonts w:hint="eastAsia" w:ascii="宋体" w:hAnsi="宋体" w:cs="宋体"/>
          <w:sz w:val="22"/>
          <w:szCs w:val="22"/>
        </w:rPr>
      </w:pPr>
      <w:r>
        <w:rPr>
          <w:rFonts w:hint="eastAsia" w:ascii="宋体" w:hAnsi="宋体" w:cs="宋体"/>
          <w:sz w:val="22"/>
          <w:szCs w:val="22"/>
        </w:rPr>
        <w:t>3、带有膜带位置跟踪系统，可保证缠绕膜带边缘的整齐性，实时控制膜带位置并能在触摸屏中实时显示位置参数。</w:t>
      </w:r>
    </w:p>
    <w:p>
      <w:pPr>
        <w:spacing w:line="440" w:lineRule="exact"/>
        <w:ind w:left="631" w:leftChars="104" w:hanging="413" w:hangingChars="188"/>
        <w:rPr>
          <w:rFonts w:hint="eastAsia" w:ascii="宋体" w:hAnsi="宋体" w:eastAsia="宋体" w:cs="宋体"/>
          <w:sz w:val="22"/>
          <w:szCs w:val="22"/>
          <w:lang w:eastAsia="zh-CN"/>
        </w:rPr>
      </w:pPr>
      <w:r>
        <w:rPr>
          <w:rFonts w:hint="eastAsia" w:ascii="宋体" w:hAnsi="宋体" w:cs="宋体"/>
          <w:sz w:val="22"/>
          <w:szCs w:val="22"/>
        </w:rPr>
        <w:t>4、膜带干燥由顶部热风和底部发热板同时进行，顶部热风温区不少于5个，发热板数量不少于18块</w:t>
      </w:r>
      <w:r>
        <w:rPr>
          <w:rFonts w:hint="eastAsia" w:ascii="宋体" w:hAnsi="宋体" w:cs="宋体"/>
          <w:sz w:val="22"/>
          <w:szCs w:val="22"/>
          <w:lang w:eastAsia="zh-CN"/>
        </w:rPr>
        <w:t>。</w:t>
      </w:r>
    </w:p>
    <w:p>
      <w:pPr>
        <w:spacing w:line="440" w:lineRule="exact"/>
        <w:ind w:left="638" w:hanging="638" w:hangingChars="290"/>
        <w:rPr>
          <w:rFonts w:hint="eastAsia" w:ascii="宋体" w:hAnsi="宋体" w:cs="宋体"/>
          <w:sz w:val="22"/>
          <w:szCs w:val="22"/>
        </w:rPr>
      </w:pPr>
      <w:r>
        <w:rPr>
          <w:rFonts w:hint="eastAsia" w:ascii="宋体" w:hAnsi="宋体" w:cs="宋体"/>
          <w:sz w:val="22"/>
          <w:szCs w:val="22"/>
        </w:rPr>
        <w:t>★5、每个热风温区需配置负压检测及抽风系统，防止工业有害或刺激性气体的溢出，其中抽风流量可以实时显示及调节，以保证负压的稳定性。</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6、在膜带进干燥炉前和每个热风温区需配置相应的膜带观测装置，可观测膜带干燥状况</w:t>
      </w:r>
      <w:r>
        <w:rPr>
          <w:rFonts w:hint="eastAsia" w:ascii="宋体" w:hAnsi="宋体" w:cs="宋体"/>
          <w:sz w:val="22"/>
          <w:szCs w:val="22"/>
          <w:lang w:eastAsia="zh-CN"/>
        </w:rPr>
        <w:t>。</w:t>
      </w:r>
      <w:r>
        <w:rPr>
          <w:rFonts w:hint="eastAsia" w:ascii="宋体" w:hAnsi="宋体" w:cs="宋体"/>
          <w:sz w:val="22"/>
          <w:szCs w:val="22"/>
        </w:rPr>
        <w:t xml:space="preserve"> </w:t>
      </w:r>
    </w:p>
    <w:p>
      <w:pPr>
        <w:spacing w:line="440" w:lineRule="exact"/>
        <w:ind w:left="631" w:leftChars="104" w:hanging="413" w:hangingChars="188"/>
        <w:rPr>
          <w:rFonts w:hint="eastAsia" w:ascii="宋体" w:hAnsi="宋体" w:cs="宋体"/>
          <w:sz w:val="22"/>
          <w:szCs w:val="22"/>
        </w:rPr>
      </w:pPr>
      <w:r>
        <w:rPr>
          <w:rFonts w:hint="eastAsia" w:ascii="宋体" w:hAnsi="宋体" w:cs="宋体"/>
          <w:sz w:val="22"/>
          <w:szCs w:val="22"/>
        </w:rPr>
        <w:t>7、在退绕轴与回卷轴都需安装除静电装置，并且需有清洁装置以清洁载带。从而尽可能的降低载带对流延质量带来的影响。</w:t>
      </w:r>
    </w:p>
    <w:p>
      <w:pPr>
        <w:spacing w:line="440" w:lineRule="exact"/>
        <w:ind w:left="631" w:leftChars="104" w:hanging="413" w:hangingChars="188"/>
        <w:rPr>
          <w:rFonts w:hint="eastAsia" w:ascii="宋体" w:hAnsi="宋体" w:cs="宋体"/>
          <w:sz w:val="22"/>
          <w:szCs w:val="22"/>
        </w:rPr>
      </w:pPr>
      <w:r>
        <w:rPr>
          <w:rFonts w:hint="eastAsia" w:ascii="宋体" w:hAnsi="宋体" w:cs="宋体"/>
          <w:sz w:val="22"/>
          <w:szCs w:val="22"/>
        </w:rPr>
        <w:t>8、 需带有触摸屏自动控制系统，采用PLC控制，实时显示及输入工艺所需参数，以达到控制功能。</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9、配置膜片修边装置，可直接切断膜带与PET,使膜带宽度为工艺要求宽度</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★10、流延干燥后的厚度范围：10至900微米(具体看浆料特性)，精度范围：±(1um+2%膜厚），流延刀升降精度：±1um，浆料液面控制范围：±2毫米。</w:t>
      </w:r>
    </w:p>
    <w:p>
      <w:pPr>
        <w:spacing w:line="440" w:lineRule="exact"/>
        <w:rPr>
          <w:rFonts w:hint="eastAsia" w:ascii="宋体" w:hAnsi="宋体" w:cs="宋体"/>
          <w:sz w:val="22"/>
          <w:szCs w:val="22"/>
        </w:rPr>
      </w:pPr>
      <w:r>
        <w:rPr>
          <w:rFonts w:hint="eastAsia" w:ascii="宋体" w:hAnsi="宋体" w:cs="宋体"/>
          <w:sz w:val="22"/>
          <w:szCs w:val="22"/>
        </w:rPr>
        <w:t>★11、流延宽度：最大 325mm，流延速度：0.1-6米/分钟，载带宽度：最大350毫米</w:t>
      </w:r>
    </w:p>
    <w:p>
      <w:pPr>
        <w:spacing w:line="440" w:lineRule="exact"/>
        <w:rPr>
          <w:rFonts w:hint="eastAsia" w:ascii="宋体" w:hAnsi="宋体" w:cs="宋体"/>
          <w:sz w:val="22"/>
          <w:szCs w:val="22"/>
        </w:rPr>
      </w:pPr>
      <w:r>
        <w:rPr>
          <w:rFonts w:hint="eastAsia" w:ascii="宋体" w:hAnsi="宋体" w:cs="宋体"/>
          <w:sz w:val="22"/>
          <w:szCs w:val="22"/>
        </w:rPr>
        <w:t>★12、温度范围：室温到100℃，发热板控温精度：±1摄氏度</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13、排风系统：内置排风风机</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14、设备外接排风口：1个</w:t>
      </w:r>
    </w:p>
    <w:p>
      <w:pPr>
        <w:spacing w:line="440" w:lineRule="exact"/>
        <w:ind w:left="418" w:hanging="418" w:hangingChars="190"/>
        <w:rPr>
          <w:rFonts w:hint="eastAsia" w:ascii="宋体" w:hAnsi="宋体" w:cs="宋体"/>
          <w:sz w:val="22"/>
          <w:szCs w:val="22"/>
        </w:rPr>
      </w:pPr>
      <w:r>
        <w:rPr>
          <w:rFonts w:hint="eastAsia" w:ascii="宋体" w:hAnsi="宋体" w:cs="宋体"/>
          <w:sz w:val="22"/>
          <w:szCs w:val="22"/>
        </w:rPr>
        <w:t>★15、膜带缠绕位置精度：±0.5mm</w:t>
      </w:r>
    </w:p>
    <w:p>
      <w:pPr>
        <w:rPr>
          <w:rFonts w:hint="eastAsia"/>
        </w:rPr>
      </w:pPr>
    </w:p>
    <w:p>
      <w:pPr>
        <w:spacing w:line="400" w:lineRule="exact"/>
        <w:rPr>
          <w:rFonts w:hint="eastAsia" w:ascii="宋体" w:hAnsi="宋体" w:cs="宋体"/>
          <w:b/>
          <w:bCs/>
          <w:sz w:val="22"/>
          <w:szCs w:val="22"/>
        </w:rPr>
      </w:pPr>
      <w:r>
        <w:rPr>
          <w:rFonts w:hint="eastAsia" w:ascii="宋体" w:hAnsi="宋体" w:cs="宋体"/>
          <w:b/>
          <w:bCs/>
          <w:sz w:val="22"/>
          <w:szCs w:val="22"/>
        </w:rPr>
        <w:t>（二）、裁片机</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1、进料系统由步进电机驱动，实现每次进料的距离与实际所需切割的尺寸一致。</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2、切片数,进料间距, HMI 可调。</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3、进料驱动：步进电机</w:t>
      </w:r>
    </w:p>
    <w:p>
      <w:pPr>
        <w:spacing w:line="440" w:lineRule="exact"/>
        <w:rPr>
          <w:rFonts w:hint="eastAsia" w:ascii="宋体" w:hAnsi="宋体" w:cs="宋体"/>
          <w:sz w:val="22"/>
          <w:szCs w:val="22"/>
        </w:rPr>
      </w:pPr>
      <w:r>
        <w:rPr>
          <w:rFonts w:hint="eastAsia" w:ascii="宋体" w:hAnsi="宋体" w:cs="宋体"/>
          <w:sz w:val="22"/>
          <w:szCs w:val="22"/>
        </w:rPr>
        <w:t>★4、进料距离：203mm，进料控制精度正负0.5mm</w:t>
      </w:r>
    </w:p>
    <w:p>
      <w:pPr>
        <w:spacing w:line="440" w:lineRule="exact"/>
        <w:rPr>
          <w:rFonts w:hint="eastAsia" w:ascii="宋体" w:hAnsi="宋体" w:cs="宋体"/>
          <w:sz w:val="22"/>
          <w:szCs w:val="22"/>
        </w:rPr>
      </w:pPr>
      <w:r>
        <w:rPr>
          <w:rFonts w:hint="eastAsia" w:ascii="宋体" w:hAnsi="宋体" w:cs="宋体"/>
          <w:sz w:val="22"/>
          <w:szCs w:val="22"/>
        </w:rPr>
        <w:t>★5、膜片宽度：最宽 350mm，巻绕直径：最大350mm</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6、装生瓷片固定轴：气胀轴</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7、气胀轴型式：3英寸</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8、切割装置驱动方式：步进电机</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9、HMI人机界面：显示与控制所有的裁片参数</w:t>
      </w:r>
    </w:p>
    <w:p>
      <w:pPr>
        <w:spacing w:line="400" w:lineRule="exact"/>
        <w:rPr>
          <w:rFonts w:hint="eastAsia" w:ascii="宋体" w:hAnsi="宋体" w:cs="宋体"/>
          <w:b/>
          <w:bCs/>
          <w:sz w:val="22"/>
          <w:szCs w:val="22"/>
        </w:rPr>
      </w:pPr>
      <w:r>
        <w:rPr>
          <w:rFonts w:hint="eastAsia" w:ascii="宋体" w:hAnsi="宋体" w:cs="宋体"/>
          <w:b/>
          <w:bCs/>
          <w:sz w:val="22"/>
          <w:szCs w:val="22"/>
        </w:rPr>
        <w:t>（三）、打孔机</w:t>
      </w:r>
    </w:p>
    <w:p>
      <w:pPr>
        <w:spacing w:line="440" w:lineRule="exact"/>
        <w:ind w:left="660" w:hanging="660" w:hangingChars="300"/>
        <w:rPr>
          <w:rFonts w:hint="eastAsia" w:ascii="宋体" w:hAnsi="宋体" w:cs="宋体"/>
          <w:strike/>
          <w:sz w:val="22"/>
          <w:szCs w:val="22"/>
        </w:rPr>
      </w:pPr>
      <w:r>
        <w:rPr>
          <w:rFonts w:hint="eastAsia" w:ascii="宋体" w:hAnsi="宋体" w:cs="宋体"/>
          <w:sz w:val="22"/>
          <w:szCs w:val="22"/>
        </w:rPr>
        <w:t>★1、带有真空机械手自动上下料系统，机械真空手自动从装载料盒上装载膜片到预打孔位，把打好孔的膜片卸载到卸载料盒中。带有CCD视像较对系统，打孔机的摄像头用于位置精度校正及二次打孔对位。带有真空处理冲孔屑系统，保证打孔位置的清洁。</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2、除静电装置，在装载膜片以及卸载膜片的工位上都配有除静电装置。</w:t>
      </w:r>
    </w:p>
    <w:p>
      <w:pPr>
        <w:spacing w:line="440" w:lineRule="exact"/>
        <w:rPr>
          <w:rFonts w:hint="eastAsia" w:ascii="宋体" w:hAnsi="宋体" w:cs="宋体"/>
          <w:sz w:val="22"/>
          <w:szCs w:val="22"/>
        </w:rPr>
      </w:pPr>
      <w:r>
        <w:rPr>
          <w:rFonts w:hint="eastAsia" w:ascii="宋体" w:hAnsi="宋体" w:cs="宋体"/>
          <w:sz w:val="22"/>
          <w:szCs w:val="22"/>
        </w:rPr>
        <w:t>★3、瓷片尺寸：203 x 203mm，膜片移动最小步距：1µm</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4、X，Y轴驱动：高精度伺服电机</w:t>
      </w:r>
    </w:p>
    <w:p>
      <w:pPr>
        <w:spacing w:line="440" w:lineRule="exact"/>
        <w:rPr>
          <w:rFonts w:hint="eastAsia" w:ascii="宋体" w:hAnsi="宋体" w:cs="宋体"/>
          <w:sz w:val="22"/>
          <w:szCs w:val="22"/>
        </w:rPr>
      </w:pPr>
      <w:r>
        <w:rPr>
          <w:rFonts w:hint="eastAsia" w:ascii="宋体" w:hAnsi="宋体" w:cs="宋体"/>
          <w:sz w:val="22"/>
          <w:szCs w:val="22"/>
        </w:rPr>
        <w:t>★5、冲孔位置精度：±10µm；冲孔重复精度：±10µm</w:t>
      </w:r>
    </w:p>
    <w:p>
      <w:pPr>
        <w:spacing w:line="440" w:lineRule="exact"/>
        <w:rPr>
          <w:rFonts w:hint="eastAsia" w:ascii="宋体" w:hAnsi="宋体" w:cs="宋体"/>
          <w:sz w:val="22"/>
          <w:szCs w:val="22"/>
        </w:rPr>
      </w:pPr>
      <w:r>
        <w:rPr>
          <w:rFonts w:hint="eastAsia" w:ascii="宋体" w:hAnsi="宋体" w:cs="宋体"/>
          <w:sz w:val="22"/>
          <w:szCs w:val="22"/>
        </w:rPr>
        <w:t>★6、随机激光打孔单元：1个，最大冲孔速度：600孔/秒</w:t>
      </w:r>
    </w:p>
    <w:p>
      <w:pPr>
        <w:spacing w:line="440" w:lineRule="exact"/>
        <w:rPr>
          <w:rFonts w:hint="eastAsia" w:ascii="宋体" w:hAnsi="宋体" w:cs="宋体"/>
          <w:sz w:val="22"/>
          <w:szCs w:val="22"/>
        </w:rPr>
      </w:pPr>
      <w:r>
        <w:rPr>
          <w:rFonts w:hint="eastAsia" w:ascii="宋体" w:hAnsi="宋体" w:cs="宋体"/>
          <w:sz w:val="22"/>
          <w:szCs w:val="22"/>
        </w:rPr>
        <w:t>★7、适用最大膜片厚度：254um，总处理面积：最大达250*250mm，通过移动膜片</w:t>
      </w:r>
    </w:p>
    <w:p>
      <w:pPr>
        <w:spacing w:line="440" w:lineRule="exact"/>
        <w:rPr>
          <w:rFonts w:hint="eastAsia" w:ascii="宋体" w:hAnsi="宋体" w:cs="宋体"/>
          <w:sz w:val="22"/>
          <w:szCs w:val="22"/>
        </w:rPr>
      </w:pPr>
      <w:r>
        <w:rPr>
          <w:rFonts w:hint="eastAsia" w:ascii="宋体" w:hAnsi="宋体" w:cs="宋体"/>
          <w:sz w:val="22"/>
          <w:szCs w:val="22"/>
        </w:rPr>
        <w:t>★8、CCD分辨率：30万像素</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9、PC控制系统及17吋液晶显示器</w:t>
      </w:r>
    </w:p>
    <w:p>
      <w:pPr>
        <w:spacing w:line="440" w:lineRule="exact"/>
        <w:ind w:left="413" w:leftChars="104" w:hanging="195" w:hangingChars="89"/>
        <w:rPr>
          <w:rFonts w:hint="eastAsia" w:ascii="宋体" w:hAnsi="宋体" w:cs="宋体"/>
          <w:sz w:val="22"/>
          <w:szCs w:val="22"/>
        </w:rPr>
      </w:pPr>
      <w:r>
        <w:rPr>
          <w:rFonts w:hint="eastAsia" w:ascii="宋体" w:hAnsi="宋体" w:cs="宋体"/>
          <w:sz w:val="22"/>
          <w:szCs w:val="22"/>
        </w:rPr>
        <w:t>10、打孔程序：NC或AutoCAD .dxf文档输入</w:t>
      </w:r>
    </w:p>
    <w:p>
      <w:pPr>
        <w:spacing w:line="440" w:lineRule="exact"/>
        <w:rPr>
          <w:rFonts w:hint="eastAsia" w:ascii="宋体" w:hAnsi="宋体" w:cs="宋体"/>
          <w:sz w:val="22"/>
          <w:szCs w:val="22"/>
        </w:rPr>
      </w:pPr>
      <w:r>
        <w:rPr>
          <w:rFonts w:hint="eastAsia" w:ascii="宋体" w:hAnsi="宋体" w:cs="宋体"/>
          <w:sz w:val="22"/>
          <w:szCs w:val="22"/>
        </w:rPr>
        <w:t>★11、具有自动对准重新打孔功能</w:t>
      </w:r>
    </w:p>
    <w:p/>
    <w:p>
      <w:pPr>
        <w:spacing w:line="400" w:lineRule="exact"/>
        <w:rPr>
          <w:rFonts w:hint="eastAsia" w:ascii="宋体" w:hAnsi="宋体" w:cs="宋体"/>
          <w:b/>
          <w:bCs/>
          <w:sz w:val="22"/>
          <w:szCs w:val="22"/>
        </w:rPr>
      </w:pPr>
      <w:r>
        <w:rPr>
          <w:rFonts w:hint="eastAsia" w:ascii="宋体" w:hAnsi="宋体" w:cs="宋体"/>
          <w:b/>
          <w:bCs/>
          <w:sz w:val="22"/>
          <w:szCs w:val="22"/>
        </w:rPr>
        <w:t>（四）、印刷填孔机</w:t>
      </w:r>
    </w:p>
    <w:p>
      <w:pPr>
        <w:spacing w:line="440" w:lineRule="exact"/>
        <w:ind w:left="658" w:leftChars="104" w:hanging="440" w:hangingChars="200"/>
        <w:rPr>
          <w:rFonts w:ascii="宋体" w:hAnsi="宋体" w:cs="宋体"/>
          <w:sz w:val="22"/>
          <w:szCs w:val="22"/>
        </w:rPr>
      </w:pPr>
      <w:r>
        <w:rPr>
          <w:rFonts w:hint="eastAsia" w:ascii="宋体" w:hAnsi="宋体" w:cs="宋体"/>
          <w:sz w:val="22"/>
          <w:szCs w:val="22"/>
        </w:rPr>
        <w:t>1、可多模式印刷，分别有印刷－刮油，刮油－印刷，双次印刷，以及多次循环。用户可以根据工艺要求自动设定。</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2、带自动CCD对位系统，膜片手动放置在工作台上，然后根据膜片上的对位标志点，通过双摄像头进行工作台的视频对位，最终确认膜片的对位位置。</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3、带填孔装置，工作台包括两路真空，外围真空一直保持,用于将膜片固定在工作台上，中间真空可以按填孔的要求进行调节。工作台两侧安装有清洁纸卷用于填孔，清洁纸的行程可调。</w:t>
      </w:r>
    </w:p>
    <w:p>
      <w:pPr>
        <w:spacing w:line="440" w:lineRule="exact"/>
        <w:rPr>
          <w:rFonts w:hint="eastAsia" w:ascii="宋体" w:hAnsi="宋体" w:cs="宋体"/>
          <w:color w:val="auto"/>
          <w:sz w:val="22"/>
          <w:szCs w:val="22"/>
        </w:rPr>
      </w:pPr>
      <w:r>
        <w:rPr>
          <w:rFonts w:hint="eastAsia" w:ascii="宋体" w:hAnsi="宋体" w:cs="宋体"/>
          <w:sz w:val="22"/>
          <w:szCs w:val="22"/>
        </w:rPr>
        <w:t>★4、膜片尺寸：20</w:t>
      </w:r>
      <w:r>
        <w:rPr>
          <w:rFonts w:hint="eastAsia" w:ascii="宋体" w:hAnsi="宋体" w:cs="宋体"/>
          <w:color w:val="auto"/>
          <w:sz w:val="22"/>
          <w:szCs w:val="22"/>
        </w:rPr>
        <w:t>3 x 203mm，真空吸附面积：190mm×190mm。</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★5、工作台尺寸：长×宽250mm×250mm，工作台平面度：0.01mm，工作台对位范围：X,Y方向：±10mm Θ：±1.5°，对位工作台定位精度：±0.001mm。</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6、工作台的x,y角度驱动：步进电机。</w:t>
      </w:r>
    </w:p>
    <w:p>
      <w:pPr>
        <w:spacing w:line="440" w:lineRule="exact"/>
        <w:rPr>
          <w:rFonts w:hint="eastAsia" w:ascii="宋体" w:hAnsi="宋体" w:cs="宋体"/>
          <w:sz w:val="22"/>
          <w:szCs w:val="22"/>
        </w:rPr>
      </w:pPr>
      <w:r>
        <w:rPr>
          <w:rFonts w:hint="eastAsia" w:ascii="宋体" w:hAnsi="宋体" w:cs="宋体"/>
          <w:sz w:val="22"/>
          <w:szCs w:val="22"/>
        </w:rPr>
        <w:t>★7、印刷速度：10—99秒/周期，可调节。</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★8、刮刀速度：1—300mm/秒，可调节,调节精度1mm/s，刮刀行程：380mm可调节，刮刀角度：60～85 度可调节。</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9、印刷头驱动方式：电机+气缸。</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10、刮刀的上下位置由伺服电机控制，可自检对应调节丝印高度。</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11、刮刀高度：伺服电机控制。</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12、刮刀左右平衡：气动固定，可自平衡。</w:t>
      </w:r>
    </w:p>
    <w:p>
      <w:pPr>
        <w:spacing w:line="440" w:lineRule="exact"/>
        <w:rPr>
          <w:rFonts w:hint="eastAsia" w:ascii="宋体" w:hAnsi="宋体" w:cs="宋体"/>
          <w:sz w:val="22"/>
          <w:szCs w:val="22"/>
        </w:rPr>
      </w:pPr>
      <w:r>
        <w:rPr>
          <w:rFonts w:hint="eastAsia" w:ascii="宋体" w:hAnsi="宋体" w:cs="宋体"/>
          <w:sz w:val="22"/>
          <w:szCs w:val="22"/>
        </w:rPr>
        <w:t>★13、印刷尺寸：长×宽203 x 203mm。</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★14、网框尺寸：长×宽≥450mm×450mm，网框与工作台间隙：0～10mm可调 ，显示精度0.001mm；印刷重复精度：±5um。</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15、软件功能：可编写，保存，加载，删除。</w:t>
      </w:r>
    </w:p>
    <w:p>
      <w:pPr>
        <w:spacing w:line="400" w:lineRule="exact"/>
        <w:rPr>
          <w:rFonts w:hint="eastAsia" w:ascii="宋体" w:hAnsi="宋体" w:cs="宋体"/>
          <w:b/>
          <w:bCs/>
          <w:sz w:val="22"/>
          <w:szCs w:val="22"/>
        </w:rPr>
      </w:pPr>
      <w:r>
        <w:rPr>
          <w:rFonts w:hint="eastAsia" w:ascii="宋体" w:hAnsi="宋体" w:cs="宋体"/>
          <w:b/>
          <w:bCs/>
          <w:sz w:val="22"/>
          <w:szCs w:val="22"/>
        </w:rPr>
        <w:t>（五）、叠层机</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1、带自动CCD对位系统，膜片手动放置在工作台上，然后根据膜片上的对位标志点，通过双摄像头进行工作台的视觉对位，最终确认膜片的对位位置。</w:t>
      </w:r>
    </w:p>
    <w:p>
      <w:pPr>
        <w:spacing w:line="440" w:lineRule="exact"/>
        <w:rPr>
          <w:rFonts w:hint="eastAsia" w:ascii="宋体" w:hAnsi="宋体" w:cs="宋体"/>
          <w:sz w:val="22"/>
          <w:szCs w:val="22"/>
        </w:rPr>
      </w:pPr>
      <w:r>
        <w:rPr>
          <w:rFonts w:hint="eastAsia" w:ascii="宋体" w:hAnsi="宋体" w:cs="宋体"/>
          <w:sz w:val="22"/>
          <w:szCs w:val="22"/>
        </w:rPr>
        <w:t>★2、带2套PET脱膜系统，由步进电机控制，既可以从表面分离PET，也可以从底部分离PET。</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3、带伺服液压系统 由大功率伺服电机精确控制压台下降的高度，实现软压与重压双重功效，且每层可以设置不同的压力值及曲线。</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4、带上下压台加热系统，上下压台可以独立控制温度, 可调。</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5、叠层层数, 叠压时间, 叠压温度, HMI 可调。</w:t>
      </w:r>
    </w:p>
    <w:p>
      <w:pPr>
        <w:spacing w:line="440" w:lineRule="exact"/>
        <w:rPr>
          <w:rFonts w:hint="eastAsia" w:ascii="宋体" w:hAnsi="宋体" w:cs="宋体"/>
          <w:sz w:val="22"/>
          <w:szCs w:val="22"/>
        </w:rPr>
      </w:pPr>
      <w:r>
        <w:rPr>
          <w:rFonts w:hint="eastAsia" w:ascii="宋体" w:hAnsi="宋体" w:cs="宋体"/>
          <w:sz w:val="22"/>
          <w:szCs w:val="22"/>
        </w:rPr>
        <w:t>★6、膜片尺寸：203mm x 203mm。</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7、PET脱除系统脱除方式：机械抓手脱膜器。</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8、视觉对位方式：双相机+视频对位控制软件+步进电机驱动工作台(x/y/θ)移动。</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9、定位标记： 打孔或印刷图形，或多个对位标记。</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10、进料器驱动方式：伺服电机。</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11、叠加方式：将膜叠放在进料器上，用真空固定。</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12、叠压方式：伺服液压。</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13、叠压时间：1至99s, 可调，单片生瓷片行走时间：20s以内（不计加压时间）。</w:t>
      </w:r>
    </w:p>
    <w:p>
      <w:pPr>
        <w:spacing w:line="440" w:lineRule="exact"/>
        <w:rPr>
          <w:rFonts w:hint="eastAsia" w:ascii="宋体" w:hAnsi="宋体" w:cs="宋体"/>
          <w:sz w:val="22"/>
          <w:szCs w:val="22"/>
        </w:rPr>
      </w:pPr>
      <w:r>
        <w:rPr>
          <w:rFonts w:hint="eastAsia" w:ascii="宋体" w:hAnsi="宋体" w:cs="宋体"/>
          <w:sz w:val="22"/>
          <w:szCs w:val="22"/>
        </w:rPr>
        <w:t>★14、对位移动精度： ±1um，压力大小：最大422kN, 可调；压力重复精度：±2%。</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★15、叠压面积：203 x 203mm，叠层精度：极差25μm（同张网版，60μm厚度生瓷片50层），定位精度：分辨率1μm。</w:t>
      </w:r>
    </w:p>
    <w:p>
      <w:pPr>
        <w:spacing w:line="440" w:lineRule="exact"/>
        <w:ind w:left="880" w:hanging="880" w:hangingChars="400"/>
        <w:rPr>
          <w:rFonts w:hint="eastAsia" w:ascii="宋体" w:hAnsi="宋体" w:cs="宋体"/>
          <w:b/>
          <w:bCs/>
          <w:sz w:val="22"/>
          <w:szCs w:val="22"/>
        </w:rPr>
      </w:pPr>
      <w:r>
        <w:rPr>
          <w:rFonts w:hint="eastAsia" w:ascii="宋体" w:hAnsi="宋体" w:cs="宋体"/>
          <w:sz w:val="22"/>
          <w:szCs w:val="22"/>
        </w:rPr>
        <w:t>★16、上下压台以及加压板的平行度：±0.01mm（200mm以內），上下压台温度：最高100摄氏度, 可调。</w:t>
      </w:r>
    </w:p>
    <w:p>
      <w:pPr>
        <w:spacing w:line="400" w:lineRule="exact"/>
        <w:rPr>
          <w:rFonts w:hint="eastAsia" w:ascii="宋体" w:hAnsi="宋体" w:cs="宋体"/>
          <w:b/>
          <w:bCs/>
          <w:sz w:val="22"/>
          <w:szCs w:val="22"/>
        </w:rPr>
      </w:pPr>
      <w:r>
        <w:rPr>
          <w:rFonts w:hint="eastAsia" w:ascii="宋体" w:hAnsi="宋体" w:cs="宋体"/>
          <w:b/>
          <w:bCs/>
          <w:sz w:val="22"/>
          <w:szCs w:val="22"/>
        </w:rPr>
        <w:t>（六）、温水等静压机</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1、带有稳定的加压系统，采用气液泵，加压，卸压稳定且速度快。</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2、采用多步加压和泄压，最多可分24步。每个加压模式都可以进行保存，加载以及删除。</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3、带有温度控制系统，巴块在等静压的温度可以对于不同的工艺参数进行不同温度的设定。</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4、带有水位检测系统。当主压力腔体中的水位不足时，可以从储水罐中自动加水到主压力腔中。</w:t>
      </w:r>
    </w:p>
    <w:p>
      <w:pPr>
        <w:spacing w:line="440" w:lineRule="exact"/>
        <w:rPr>
          <w:rFonts w:hint="eastAsia" w:ascii="宋体" w:hAnsi="宋体" w:cs="宋体"/>
          <w:sz w:val="22"/>
          <w:szCs w:val="22"/>
        </w:rPr>
      </w:pPr>
      <w:r>
        <w:rPr>
          <w:rFonts w:hint="eastAsia" w:ascii="宋体" w:hAnsi="宋体" w:cs="宋体"/>
          <w:sz w:val="22"/>
          <w:szCs w:val="22"/>
        </w:rPr>
        <w:t>★5、压力腔尺寸：150x350x310mm，加热温度：最高 85℃可调；温度控制精度：±2℃。</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★6、最大压力：70MPa；压力控制精度：±1MPa，压力控制范围：5至70MPa，可调；施压时间：0至99min，可调。</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7、等静压程序可编辑、存档及调用。</w:t>
      </w:r>
    </w:p>
    <w:p/>
    <w:p>
      <w:pPr>
        <w:spacing w:line="400" w:lineRule="exact"/>
        <w:rPr>
          <w:rFonts w:hint="eastAsia" w:ascii="宋体" w:hAnsi="宋体" w:cs="宋体"/>
          <w:b/>
          <w:bCs/>
          <w:sz w:val="22"/>
          <w:szCs w:val="22"/>
        </w:rPr>
      </w:pPr>
      <w:r>
        <w:rPr>
          <w:rFonts w:hint="eastAsia" w:ascii="宋体" w:hAnsi="宋体" w:cs="宋体"/>
          <w:b/>
          <w:bCs/>
          <w:sz w:val="22"/>
          <w:szCs w:val="22"/>
        </w:rPr>
        <w:t>（七）、切割机</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1、带有彩色CCD对位系统：可自动和手动调节CCD的位置，从而实现即可以表面，又可以从侧面实现切割线的观测，同时，可以自由调节光线的强度，从而实现不同颜色切割线的识别。</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2、工作台移动系统需采用高精度伺服电机驱动，可实现高精度切割。同时，可以根据不同要求，工作台能实现快速进退，慢速进退，以及按规定的步进距进退。</w:t>
      </w:r>
    </w:p>
    <w:p>
      <w:pPr>
        <w:spacing w:line="440" w:lineRule="exact"/>
        <w:ind w:left="658" w:leftChars="104" w:hanging="440" w:hangingChars="200"/>
        <w:rPr>
          <w:rFonts w:hint="eastAsia" w:ascii="宋体" w:hAnsi="宋体" w:cs="宋体"/>
          <w:sz w:val="22"/>
          <w:szCs w:val="22"/>
        </w:rPr>
      </w:pPr>
      <w:r>
        <w:rPr>
          <w:rFonts w:hint="eastAsia" w:ascii="宋体" w:hAnsi="宋体" w:cs="宋体"/>
          <w:sz w:val="22"/>
          <w:szCs w:val="22"/>
        </w:rPr>
        <w:t>3、配置刀架, 工作台及预热台的发热系统，预热工作台主要用于切割前的预热，以使待切割的巴块软化，有利于切割。同时工作台和刀架也需要加热，从而保证整个切割过程中巴块都处于一个热工作环境中，以避免切割毛刺的出现。</w:t>
      </w:r>
    </w:p>
    <w:p>
      <w:pPr>
        <w:spacing w:line="440" w:lineRule="exact"/>
        <w:rPr>
          <w:rFonts w:hint="eastAsia" w:ascii="宋体" w:hAnsi="宋体" w:cs="宋体"/>
          <w:sz w:val="22"/>
          <w:szCs w:val="22"/>
        </w:rPr>
      </w:pPr>
      <w:r>
        <w:rPr>
          <w:rFonts w:hint="eastAsia" w:ascii="宋体" w:hAnsi="宋体" w:cs="宋体"/>
          <w:sz w:val="22"/>
          <w:szCs w:val="22"/>
        </w:rPr>
        <w:t>★4、适用巴块尺寸：203mm x 203mm。</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5、巴块固定方式：带真空吸附孔的工作台。</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★6、适用巴块尺寸：203mm x 203mm，工作台，刀架温度：Max 100℃ 可调，工作台移动最小步距：1µm；工作台平面度：10um，两个平面的平行度：±10微米；对位精度：±5µm。</w:t>
      </w:r>
    </w:p>
    <w:p>
      <w:pPr>
        <w:spacing w:line="440" w:lineRule="exact"/>
        <w:ind w:left="660" w:hanging="660" w:hangingChars="300"/>
        <w:rPr>
          <w:rFonts w:hint="eastAsia" w:ascii="宋体" w:hAnsi="宋体" w:cs="宋体"/>
          <w:sz w:val="22"/>
          <w:szCs w:val="22"/>
        </w:rPr>
      </w:pPr>
      <w:r>
        <w:rPr>
          <w:rFonts w:hint="eastAsia" w:ascii="宋体" w:hAnsi="宋体" w:cs="宋体"/>
          <w:sz w:val="22"/>
          <w:szCs w:val="22"/>
        </w:rPr>
        <w:t>★7、切割厚度：最厚6mm，可调，切割速度：无画像处理时7刀/s（盲切状态，即不视频对位，设定好对应的步进距与刀数，进行切割），切割机需带有一个预热台。</w:t>
      </w:r>
    </w:p>
    <w:p>
      <w:pPr>
        <w:spacing w:line="440" w:lineRule="exact"/>
        <w:ind w:firstLine="220" w:firstLineChars="100"/>
        <w:rPr>
          <w:rFonts w:hint="eastAsia" w:ascii="宋体" w:hAnsi="宋体" w:cs="宋体"/>
          <w:sz w:val="22"/>
          <w:szCs w:val="22"/>
        </w:rPr>
      </w:pPr>
      <w:r>
        <w:rPr>
          <w:rFonts w:hint="eastAsia" w:ascii="宋体" w:hAnsi="宋体" w:cs="宋体"/>
          <w:sz w:val="22"/>
          <w:szCs w:val="22"/>
        </w:rPr>
        <w:t>8、切割程序可编辑、存档及调用。</w:t>
      </w:r>
    </w:p>
    <w:p>
      <w:pPr>
        <w:spacing w:line="440" w:lineRule="exact"/>
        <w:ind w:firstLine="220" w:firstLineChars="100"/>
        <w:rPr>
          <w:rFonts w:hint="eastAsia" w:ascii="宋体" w:hAnsi="宋体" w:cs="宋体"/>
          <w:color w:val="FF0000"/>
          <w:sz w:val="22"/>
          <w:szCs w:val="22"/>
        </w:rPr>
      </w:pPr>
      <w:r>
        <w:rPr>
          <w:rFonts w:hint="eastAsia" w:ascii="宋体" w:hAnsi="宋体" w:cs="宋体"/>
          <w:sz w:val="22"/>
          <w:szCs w:val="22"/>
        </w:rPr>
        <w:t>9、操作模式包含 手动操作切割、自动摄像对位切、盲切模式、中分切割模式。</w:t>
      </w:r>
    </w:p>
    <w:p>
      <w:pPr>
        <w:spacing w:line="440" w:lineRule="exact"/>
        <w:ind w:left="420" w:hanging="420" w:hangingChars="190"/>
        <w:rPr>
          <w:rFonts w:hint="eastAsia" w:ascii="宋体" w:hAnsi="宋体" w:cs="宋体"/>
          <w:b/>
          <w:sz w:val="22"/>
          <w:szCs w:val="22"/>
          <w:lang w:val="zh-CN"/>
        </w:rPr>
      </w:pPr>
      <w:r>
        <w:rPr>
          <w:rFonts w:hint="eastAsia" w:ascii="宋体" w:hAnsi="宋体" w:cs="宋体"/>
          <w:b/>
          <w:sz w:val="22"/>
          <w:szCs w:val="22"/>
        </w:rPr>
        <w:t>四</w:t>
      </w:r>
      <w:r>
        <w:rPr>
          <w:rFonts w:hint="eastAsia" w:ascii="宋体" w:hAnsi="宋体" w:cs="宋体"/>
          <w:b/>
          <w:sz w:val="22"/>
          <w:szCs w:val="22"/>
          <w:lang w:val="zh-CN"/>
        </w:rPr>
        <w:t>、其他要求</w:t>
      </w:r>
      <w:bookmarkEnd w:id="0"/>
    </w:p>
    <w:p>
      <w:pPr>
        <w:spacing w:line="440" w:lineRule="exact"/>
        <w:ind w:left="411" w:leftChars="1" w:hanging="409" w:hangingChars="186"/>
        <w:rPr>
          <w:rFonts w:hint="eastAsia" w:ascii="宋体" w:hAnsi="宋体" w:cs="宋体"/>
          <w:sz w:val="22"/>
          <w:szCs w:val="22"/>
        </w:rPr>
      </w:pPr>
      <w:r>
        <w:rPr>
          <w:rFonts w:hint="eastAsia" w:ascii="宋体" w:hAnsi="宋体" w:cs="宋体"/>
          <w:sz w:val="22"/>
          <w:szCs w:val="22"/>
        </w:rPr>
        <w:t>1.  所提供产品的技术规格和标准应符合中华人民共和国有关部门最新颁布的标准及规范或国际标准规范。</w:t>
      </w:r>
    </w:p>
    <w:p>
      <w:pPr>
        <w:spacing w:line="440" w:lineRule="exact"/>
        <w:ind w:left="421" w:leftChars="-9" w:hanging="440" w:hangingChars="200"/>
        <w:rPr>
          <w:rFonts w:hint="eastAsia" w:ascii="宋体" w:hAnsi="宋体" w:cs="宋体"/>
          <w:b/>
          <w:sz w:val="22"/>
          <w:szCs w:val="22"/>
        </w:rPr>
      </w:pPr>
      <w:r>
        <w:rPr>
          <w:rFonts w:hint="eastAsia" w:ascii="宋体" w:hAnsi="宋体" w:cs="宋体"/>
          <w:sz w:val="22"/>
          <w:szCs w:val="22"/>
        </w:rPr>
        <w:t xml:space="preserve">2.  </w:t>
      </w:r>
      <w:r>
        <w:rPr>
          <w:rFonts w:hint="eastAsia" w:ascii="新宋体" w:hAnsi="新宋体" w:eastAsia="新宋体"/>
          <w:b/>
          <w:color w:val="000000"/>
          <w:sz w:val="22"/>
          <w:szCs w:val="22"/>
        </w:rPr>
        <w:t>本标书所列的设备技术配置及技术性能要求中，除带▲且加下划线的技术要求必须满足外，其他技术要求只作投标技术性能参考，供应商可根据该参考选用投标产品，但所选投标产品的技术配置及技术性能应相当于或高于招标文件要求，并满足采购需求，否则将可能作出对供应商不利的评定</w:t>
      </w:r>
      <w:r>
        <w:rPr>
          <w:rFonts w:ascii="新宋体" w:hAnsi="新宋体" w:eastAsia="新宋体"/>
          <w:b/>
          <w:color w:val="000000"/>
          <w:sz w:val="22"/>
          <w:szCs w:val="22"/>
        </w:rPr>
        <w:t>。</w:t>
      </w:r>
      <w:r>
        <w:rPr>
          <w:rFonts w:hint="eastAsia" w:ascii="新宋体" w:hAnsi="新宋体" w:eastAsia="新宋体"/>
          <w:b/>
          <w:color w:val="000000"/>
          <w:sz w:val="22"/>
          <w:szCs w:val="22"/>
          <w:u w:val="single"/>
        </w:rPr>
        <w:t>▲如投标响应被评委会认定严重偏离采购需求的，投标文件将作无效标处理。</w:t>
      </w:r>
    </w:p>
    <w:p>
      <w:pPr>
        <w:spacing w:line="440" w:lineRule="exact"/>
        <w:ind w:left="440" w:hanging="440" w:hangingChars="200"/>
        <w:rPr>
          <w:rFonts w:hint="eastAsia" w:ascii="宋体" w:hAnsi="宋体" w:cs="宋体"/>
          <w:sz w:val="22"/>
          <w:szCs w:val="22"/>
        </w:rPr>
      </w:pPr>
      <w:r>
        <w:rPr>
          <w:rFonts w:hint="eastAsia" w:ascii="宋体" w:hAnsi="宋体" w:cs="宋体"/>
          <w:sz w:val="22"/>
          <w:szCs w:val="22"/>
        </w:rPr>
        <w:t xml:space="preserve">3.  </w:t>
      </w:r>
      <w:r>
        <w:rPr>
          <w:rFonts w:hint="eastAsia" w:ascii="宋体" w:hAnsi="宋体" w:cs="宋体"/>
          <w:sz w:val="22"/>
          <w:szCs w:val="22"/>
          <w:u w:val="single"/>
        </w:rPr>
        <w:t>供应商的投标响应必须满足本招标文件提出的采购需求，任何被评标小组认定为明显不能满足采购需求将导致影响项目质量和使用要求的负偏离响应，均将被视为重大负偏离。对重大负偏离的认定由评标小组作出，重大负偏离将被认定为是对招标文件实质上的不响应，其投标将被视为无效投标。</w:t>
      </w:r>
    </w:p>
    <w:p>
      <w:pPr>
        <w:spacing w:line="440" w:lineRule="exact"/>
        <w:ind w:left="421" w:leftChars="-9" w:hanging="440" w:hangingChars="200"/>
        <w:rPr>
          <w:rFonts w:hint="eastAsia" w:ascii="宋体" w:hAnsi="宋体" w:cs="宋体"/>
          <w:sz w:val="22"/>
          <w:szCs w:val="22"/>
        </w:rPr>
      </w:pPr>
      <w:r>
        <w:rPr>
          <w:rFonts w:hint="eastAsia" w:ascii="宋体" w:hAnsi="宋体" w:cs="宋体"/>
          <w:sz w:val="22"/>
          <w:szCs w:val="22"/>
        </w:rPr>
        <w:t>4.  本标书中的技术要求不得被认为是详尽无遗的，无论规定与否，供应商应提供所有招标文件没有规定但供应商认为完成本项目必要或必须的设备和材料、辅件，并应在投标报价表中一一列明。</w:t>
      </w:r>
    </w:p>
    <w:p>
      <w:pPr>
        <w:spacing w:line="440" w:lineRule="exact"/>
        <w:ind w:left="440" w:hanging="440" w:hangingChars="200"/>
        <w:rPr>
          <w:rFonts w:hint="eastAsia" w:ascii="新宋体" w:hAnsi="新宋体" w:eastAsia="新宋体"/>
          <w:bCs/>
          <w:color w:val="000000"/>
          <w:sz w:val="22"/>
          <w:szCs w:val="22"/>
          <w:shd w:val="pct10" w:color="auto" w:fill="FFFFFF"/>
        </w:rPr>
      </w:pPr>
      <w:r>
        <w:rPr>
          <w:rFonts w:hint="eastAsia" w:ascii="宋体" w:hAnsi="宋体" w:cs="宋体"/>
          <w:sz w:val="22"/>
          <w:szCs w:val="22"/>
        </w:rPr>
        <w:t xml:space="preserve">5.  </w:t>
      </w:r>
      <w:r>
        <w:rPr>
          <w:rFonts w:hint="eastAsia" w:ascii="新宋体" w:hAnsi="新宋体" w:eastAsia="新宋体"/>
          <w:color w:val="000000"/>
          <w:sz w:val="22"/>
          <w:szCs w:val="22"/>
          <w:shd w:val="pct10" w:color="auto" w:fill="FFFFFF"/>
        </w:rPr>
        <w:t>为保证投标响应的真实性，</w:t>
      </w:r>
      <w:r>
        <w:rPr>
          <w:rFonts w:hint="eastAsia" w:ascii="新宋体" w:hAnsi="新宋体" w:eastAsia="新宋体"/>
          <w:bCs/>
          <w:color w:val="000000"/>
          <w:sz w:val="22"/>
          <w:szCs w:val="22"/>
          <w:shd w:val="pct10" w:color="auto" w:fill="FFFFFF"/>
        </w:rPr>
        <w:t>所投产品的技术性能参数应在投标文件技术偏离表中进行对应表述和真实响应，不得虚假响应，并且附上相关权威检测机构的检验报告（如有）、厂家官方公开的产品技术证明资料进行佐证</w:t>
      </w:r>
      <w:r>
        <w:rPr>
          <w:rFonts w:ascii="新宋体" w:hAnsi="新宋体" w:eastAsia="新宋体"/>
          <w:color w:val="000000"/>
          <w:sz w:val="22"/>
          <w:szCs w:val="22"/>
        </w:rPr>
        <w:t>。</w:t>
      </w:r>
    </w:p>
    <w:p>
      <w:pPr>
        <w:spacing w:line="440" w:lineRule="exact"/>
        <w:ind w:left="420" w:leftChars="200"/>
        <w:rPr>
          <w:rFonts w:hint="eastAsia" w:ascii="宋体" w:hAnsi="宋体" w:cs="宋体"/>
          <w:b/>
          <w:sz w:val="22"/>
          <w:szCs w:val="22"/>
        </w:rPr>
      </w:pPr>
      <w:r>
        <w:rPr>
          <w:rFonts w:hint="eastAsia" w:ascii="新宋体" w:hAnsi="新宋体" w:eastAsia="新宋体"/>
          <w:color w:val="000000"/>
          <w:sz w:val="22"/>
          <w:szCs w:val="22"/>
          <w:u w:val="single"/>
        </w:rPr>
        <w:t>▲</w:t>
      </w:r>
      <w:r>
        <w:rPr>
          <w:rFonts w:hint="eastAsia" w:ascii="新宋体" w:hAnsi="新宋体" w:eastAsia="新宋体"/>
          <w:b/>
          <w:bCs/>
          <w:color w:val="000000"/>
          <w:sz w:val="22"/>
          <w:szCs w:val="22"/>
          <w:u w:val="single"/>
        </w:rPr>
        <w:t>不按上述要求进行技术响应并提供技术证明资料的均</w:t>
      </w:r>
      <w:r>
        <w:rPr>
          <w:rFonts w:hint="eastAsia" w:ascii="新宋体" w:hAnsi="新宋体" w:eastAsia="新宋体"/>
          <w:b/>
          <w:color w:val="000000"/>
          <w:sz w:val="22"/>
          <w:szCs w:val="22"/>
          <w:u w:val="single"/>
        </w:rPr>
        <w:t>将导致评委会作出对供应商技术评分不利的评定，如因此原因导致评委会无法确定其技术响应的真实性时，可以否决其投标</w:t>
      </w:r>
      <w:r>
        <w:rPr>
          <w:rFonts w:ascii="新宋体" w:hAnsi="新宋体" w:eastAsia="新宋体"/>
          <w:b/>
          <w:color w:val="000000"/>
          <w:sz w:val="22"/>
          <w:szCs w:val="22"/>
          <w:u w:val="single"/>
        </w:rPr>
        <w:t>。</w:t>
      </w:r>
    </w:p>
    <w:p>
      <w:pPr>
        <w:spacing w:line="440" w:lineRule="exact"/>
        <w:ind w:left="421" w:leftChars="-9" w:hanging="440" w:hangingChars="200"/>
        <w:rPr>
          <w:rFonts w:hint="eastAsia" w:ascii="宋体" w:hAnsi="宋体" w:cs="宋体"/>
          <w:sz w:val="22"/>
          <w:szCs w:val="22"/>
        </w:rPr>
      </w:pPr>
      <w:r>
        <w:rPr>
          <w:rFonts w:hint="eastAsia" w:ascii="宋体" w:hAnsi="宋体" w:cs="宋体"/>
          <w:sz w:val="22"/>
          <w:szCs w:val="22"/>
        </w:rPr>
        <w:t>6.  所有货物必须为原厂原配产品（包括在标配基础上增加的配置也必须为原厂原配）。对于低于原厂方对外公布的基本（标准）配置进行报价的设备，无论招标文件对此有无明确规定，供应商都必须在投标文件中作出明确说明。</w:t>
      </w:r>
    </w:p>
    <w:p>
      <w:pPr>
        <w:pStyle w:val="19"/>
        <w:spacing w:line="440" w:lineRule="exact"/>
        <w:ind w:left="440" w:hanging="440" w:hangingChars="200"/>
        <w:rPr>
          <w:rFonts w:hint="eastAsia" w:ascii="宋体" w:hAnsi="宋体" w:cs="宋体"/>
          <w:bCs/>
          <w:sz w:val="22"/>
          <w:u w:val="single"/>
        </w:rPr>
      </w:pPr>
      <w:r>
        <w:rPr>
          <w:rFonts w:hint="eastAsia" w:ascii="宋体" w:hAnsi="宋体" w:cs="宋体"/>
          <w:sz w:val="22"/>
        </w:rPr>
        <w:t xml:space="preserve">7.  </w:t>
      </w:r>
      <w:r>
        <w:rPr>
          <w:rFonts w:hint="eastAsia" w:ascii="宋体" w:hAnsi="宋体" w:cs="宋体"/>
          <w:bCs/>
          <w:sz w:val="22"/>
          <w:u w:val="single"/>
        </w:rPr>
        <w:t>本项目供货或验收时，采购人将对供应商提供的产品相关功能和技术指标、性能进行逐一测验，不符合采购技术要求及投标响应的，视为成交供应商违约或虚假响应，采购人有权单方终止合同，没收全部履约保证金，并将其列入不诚信供应商名单。违约情形严重的将另行追加成交供应商合同总价20%-30%的违约赔偿金，并追究其法律责任。</w:t>
      </w:r>
    </w:p>
    <w:p>
      <w:pPr>
        <w:spacing w:line="440" w:lineRule="exact"/>
        <w:ind w:left="421" w:leftChars="-9" w:hanging="440" w:hangingChars="200"/>
        <w:rPr>
          <w:rFonts w:hint="eastAsia" w:ascii="宋体" w:hAnsi="宋体" w:cs="宋体"/>
          <w:sz w:val="22"/>
          <w:szCs w:val="22"/>
        </w:rPr>
      </w:pPr>
      <w:r>
        <w:rPr>
          <w:rFonts w:hint="eastAsia" w:ascii="宋体" w:hAnsi="宋体" w:cs="宋体"/>
          <w:sz w:val="22"/>
          <w:szCs w:val="22"/>
        </w:rPr>
        <w:t>8.  保证所供货物、服务或其任何一部分不受第三方提出侵犯其专利权、商标权、版权和工业设计权的指控。任何涉及的知识产权纠纷，均由供应商承担全部经济、法律等责任。</w:t>
      </w:r>
    </w:p>
    <w:p>
      <w:pPr>
        <w:spacing w:line="440" w:lineRule="exact"/>
        <w:ind w:left="423" w:leftChars="-9" w:hanging="442" w:hangingChars="200"/>
        <w:rPr>
          <w:rFonts w:hint="eastAsia" w:ascii="宋体" w:hAnsi="宋体" w:cs="宋体"/>
          <w:b/>
          <w:bCs/>
          <w:sz w:val="22"/>
          <w:szCs w:val="22"/>
        </w:rPr>
      </w:pPr>
      <w:r>
        <w:rPr>
          <w:rFonts w:hint="eastAsia" w:ascii="宋体" w:hAnsi="宋体" w:cs="宋体"/>
          <w:b/>
          <w:bCs/>
          <w:sz w:val="22"/>
          <w:szCs w:val="22"/>
        </w:rPr>
        <w:t>9.  本项目成交供应商如为代理商，应在中标通知书发出后7个工作日内向招标单位提供所投产品制造商（如为进口产品也可以是制造商驻中国办事机构或进口产品制造商授权的中国境内最高级别代理商）针对本次项目的专项授权书原件（格式见附件七-6），否则其中标资格可能被取消。（由境内最高级别代理商授权的，应提供该最高级别代理商的代理证书复印件并加盖其公章；供应商如为境内最高级别代理商的应提供代理证书复印件，加盖企业法人公章，携带原件备查）。</w:t>
      </w:r>
    </w:p>
    <w:p>
      <w:pPr>
        <w:spacing w:line="440" w:lineRule="exact"/>
        <w:ind w:left="423" w:leftChars="-9" w:hanging="442" w:hangingChars="200"/>
        <w:rPr>
          <w:rFonts w:hint="eastAsia" w:ascii="宋体" w:hAnsi="宋体" w:cs="宋体"/>
          <w:b/>
          <w:bCs/>
          <w:sz w:val="22"/>
          <w:szCs w:val="22"/>
        </w:rPr>
      </w:pPr>
      <w:r>
        <w:rPr>
          <w:rFonts w:hint="eastAsia" w:ascii="宋体" w:hAnsi="宋体" w:cs="宋体"/>
          <w:b/>
          <w:bCs/>
          <w:sz w:val="22"/>
          <w:szCs w:val="22"/>
        </w:rPr>
        <w:t>10. 所投进口产品在国内应有固定的维修服务中心，能提供长期的售后维修服务。供应商需保证在设备售出后的10年内使采购能够买到设备相应的备品备件和易耗品。</w:t>
      </w:r>
    </w:p>
    <w:p>
      <w:pPr>
        <w:spacing w:line="440" w:lineRule="exact"/>
        <w:ind w:left="421" w:leftChars="-9" w:hanging="440" w:hangingChars="200"/>
        <w:rPr>
          <w:rFonts w:hint="eastAsia" w:ascii="宋体" w:hAnsi="宋体" w:cs="宋体"/>
          <w:sz w:val="22"/>
          <w:szCs w:val="22"/>
        </w:rPr>
      </w:pPr>
      <w:r>
        <w:rPr>
          <w:rFonts w:hint="eastAsia" w:ascii="宋体" w:hAnsi="宋体" w:cs="宋体"/>
          <w:sz w:val="22"/>
          <w:szCs w:val="22"/>
        </w:rPr>
        <w:t>11. 本招标文件里“评分内容”中要求提供的各种证书、证件、证明资料须原件备查，即供应商在投标时不需要提供原件，如采购人、招标代理机构或评标小组在后续环节中需要对相关资料原件进行真实性核查时，则供应商必须按要求提交相关原件及其他要求提供的辅助证明材料，如供应商不能按要求提供相关原件及其他要求提供的辅助证明材料以证明其资料真实性的，采购人及采购代理机构将做出对其不利的认定（包括取消其投标或中标资格），后果由供应商负责。</w:t>
      </w:r>
      <w:r>
        <w:rPr>
          <w:rFonts w:hint="eastAsia" w:ascii="宋体" w:hAnsi="宋体" w:cs="宋体"/>
          <w:b/>
          <w:bCs/>
          <w:sz w:val="22"/>
          <w:szCs w:val="22"/>
        </w:rPr>
        <w:t>如评审中出现无证明资料或无法凭所提供资料判断是否得分的情况，一律作不得分处理。</w:t>
      </w:r>
    </w:p>
    <w:p>
      <w:pPr>
        <w:spacing w:line="440" w:lineRule="exact"/>
        <w:ind w:left="420" w:hanging="420" w:hangingChars="190"/>
        <w:rPr>
          <w:rFonts w:hint="eastAsia" w:ascii="宋体" w:hAnsi="宋体" w:cs="宋体"/>
          <w:b/>
          <w:bCs/>
          <w:sz w:val="22"/>
          <w:szCs w:val="22"/>
          <w:lang w:val="zh-CN"/>
        </w:rPr>
      </w:pPr>
      <w:bookmarkStart w:id="1" w:name="_Toc29502766"/>
      <w:r>
        <w:rPr>
          <w:rFonts w:hint="eastAsia" w:ascii="宋体" w:hAnsi="宋体" w:cs="宋体"/>
          <w:b/>
          <w:bCs/>
          <w:sz w:val="22"/>
          <w:szCs w:val="22"/>
        </w:rPr>
        <w:t>五</w:t>
      </w:r>
      <w:r>
        <w:rPr>
          <w:rFonts w:hint="eastAsia" w:ascii="宋体" w:hAnsi="宋体" w:cs="宋体"/>
          <w:b/>
          <w:bCs/>
          <w:sz w:val="22"/>
          <w:szCs w:val="22"/>
          <w:lang w:val="zh-CN"/>
        </w:rPr>
        <w:t>、▲</w:t>
      </w:r>
      <w:r>
        <w:rPr>
          <w:rFonts w:hint="eastAsia" w:ascii="宋体" w:hAnsi="宋体" w:cs="宋体"/>
          <w:b/>
          <w:bCs/>
          <w:sz w:val="22"/>
          <w:szCs w:val="22"/>
          <w:u w:val="single"/>
          <w:lang w:val="zh-CN"/>
        </w:rPr>
        <w:t>交货地点</w:t>
      </w:r>
      <w:bookmarkEnd w:id="1"/>
    </w:p>
    <w:p>
      <w:pPr>
        <w:spacing w:line="440" w:lineRule="exact"/>
        <w:ind w:firstLine="220" w:firstLineChars="100"/>
        <w:rPr>
          <w:rFonts w:hint="eastAsia" w:ascii="宋体" w:hAnsi="宋体" w:cs="宋体"/>
          <w:bCs/>
          <w:kern w:val="0"/>
          <w:sz w:val="22"/>
          <w:szCs w:val="22"/>
        </w:rPr>
      </w:pPr>
      <w:r>
        <w:rPr>
          <w:rFonts w:hint="eastAsia" w:ascii="宋体" w:hAnsi="宋体" w:cs="宋体"/>
          <w:bCs/>
          <w:kern w:val="0"/>
          <w:sz w:val="22"/>
          <w:szCs w:val="22"/>
        </w:rPr>
        <w:t>1． 交货安装地点：</w:t>
      </w:r>
      <w:r>
        <w:rPr>
          <w:rFonts w:hint="eastAsia" w:ascii="宋体" w:hAnsi="宋体" w:cs="宋体"/>
          <w:bCs/>
          <w:sz w:val="22"/>
          <w:szCs w:val="22"/>
          <w:u w:val="single"/>
        </w:rPr>
        <w:t>采购单位指定地点。</w:t>
      </w:r>
    </w:p>
    <w:p>
      <w:pPr>
        <w:spacing w:line="440" w:lineRule="exact"/>
        <w:ind w:left="1516" w:leftChars="104" w:hanging="1298" w:hangingChars="590"/>
        <w:rPr>
          <w:rFonts w:hint="eastAsia" w:ascii="宋体" w:hAnsi="宋体" w:cs="宋体"/>
          <w:bCs/>
          <w:kern w:val="0"/>
          <w:sz w:val="22"/>
          <w:szCs w:val="22"/>
          <w:u w:val="single"/>
        </w:rPr>
      </w:pPr>
      <w:r>
        <w:rPr>
          <w:rFonts w:hint="eastAsia" w:ascii="宋体" w:hAnsi="宋体" w:cs="宋体"/>
          <w:bCs/>
          <w:kern w:val="0"/>
          <w:sz w:val="22"/>
          <w:szCs w:val="22"/>
        </w:rPr>
        <w:t>2． 交货时间：</w:t>
      </w:r>
      <w:r>
        <w:rPr>
          <w:rFonts w:hint="eastAsia" w:ascii="宋体" w:hAnsi="宋体" w:cs="宋体"/>
          <w:bCs/>
          <w:color w:val="FF0000"/>
          <w:kern w:val="0"/>
          <w:sz w:val="22"/>
          <w:szCs w:val="22"/>
          <w:u w:val="single"/>
        </w:rPr>
        <w:t>在合同签订之日起10个月内完成设备的供货、安装、调试。</w:t>
      </w:r>
    </w:p>
    <w:p>
      <w:pPr>
        <w:spacing w:line="440" w:lineRule="exact"/>
        <w:ind w:left="420" w:hanging="420" w:hangingChars="190"/>
        <w:rPr>
          <w:rFonts w:hint="eastAsia" w:ascii="宋体" w:hAnsi="宋体" w:cs="宋体"/>
          <w:b/>
          <w:bCs/>
          <w:sz w:val="22"/>
          <w:szCs w:val="22"/>
          <w:lang w:val="zh-CN"/>
        </w:rPr>
      </w:pPr>
      <w:bookmarkStart w:id="2" w:name="_Toc29502767"/>
      <w:r>
        <w:rPr>
          <w:rFonts w:hint="eastAsia" w:ascii="宋体" w:hAnsi="宋体" w:cs="宋体"/>
          <w:b/>
          <w:bCs/>
          <w:sz w:val="22"/>
          <w:szCs w:val="22"/>
        </w:rPr>
        <w:t>六</w:t>
      </w:r>
      <w:r>
        <w:rPr>
          <w:rFonts w:hint="eastAsia" w:ascii="宋体" w:hAnsi="宋体" w:cs="宋体"/>
          <w:b/>
          <w:bCs/>
          <w:sz w:val="22"/>
          <w:szCs w:val="22"/>
          <w:lang w:val="zh-CN"/>
        </w:rPr>
        <w:t>、产品的到货、施工、安装、调试和验收</w:t>
      </w:r>
      <w:bookmarkEnd w:id="2"/>
    </w:p>
    <w:p>
      <w:pPr>
        <w:tabs>
          <w:tab w:val="left" w:pos="420"/>
        </w:tabs>
        <w:spacing w:line="440" w:lineRule="exact"/>
        <w:rPr>
          <w:rFonts w:hint="eastAsia" w:ascii="宋体" w:hAnsi="宋体" w:cs="宋体"/>
          <w:b/>
          <w:spacing w:val="20"/>
          <w:sz w:val="22"/>
          <w:szCs w:val="22"/>
        </w:rPr>
      </w:pPr>
      <w:r>
        <w:rPr>
          <w:rFonts w:hint="eastAsia" w:ascii="宋体" w:hAnsi="宋体" w:cs="宋体"/>
          <w:b/>
          <w:sz w:val="22"/>
          <w:szCs w:val="22"/>
        </w:rPr>
        <w:t>1． 到货</w:t>
      </w:r>
      <w:r>
        <w:rPr>
          <w:rFonts w:hint="eastAsia" w:ascii="宋体" w:hAnsi="宋体" w:cs="宋体"/>
          <w:b/>
          <w:spacing w:val="20"/>
          <w:sz w:val="22"/>
          <w:szCs w:val="22"/>
        </w:rPr>
        <w:t xml:space="preserve"> </w:t>
      </w:r>
    </w:p>
    <w:p>
      <w:pPr>
        <w:spacing w:line="440" w:lineRule="exact"/>
        <w:ind w:left="548" w:leftChars="261"/>
        <w:rPr>
          <w:rFonts w:hint="eastAsia" w:ascii="宋体" w:hAnsi="宋体" w:cs="宋体"/>
          <w:sz w:val="22"/>
          <w:szCs w:val="22"/>
        </w:rPr>
      </w:pPr>
      <w:r>
        <w:rPr>
          <w:rFonts w:hint="eastAsia" w:ascii="宋体" w:hAnsi="宋体" w:cs="宋体"/>
          <w:sz w:val="22"/>
          <w:szCs w:val="22"/>
        </w:rPr>
        <w:t>卖方必须在合同规定时间内完成产品（包括软硬件，下同）的供货、施工、安装及验收。产品到达现场后，卖方必须派员工到现场与买方一起检验,按供货清单验收,若有缺少或损坏，卖方应立即补足或更换全新同规格产品，并承担相关费用直至使买方满意为止。</w:t>
      </w:r>
    </w:p>
    <w:p>
      <w:pPr>
        <w:spacing w:line="440" w:lineRule="exact"/>
        <w:ind w:left="325" w:hanging="325" w:hangingChars="147"/>
        <w:rPr>
          <w:rFonts w:hint="eastAsia" w:ascii="宋体" w:hAnsi="宋体" w:cs="宋体"/>
          <w:b/>
          <w:sz w:val="22"/>
          <w:szCs w:val="22"/>
        </w:rPr>
      </w:pPr>
      <w:r>
        <w:rPr>
          <w:rFonts w:hint="eastAsia" w:ascii="宋体" w:hAnsi="宋体" w:cs="宋体"/>
          <w:b/>
          <w:sz w:val="22"/>
          <w:szCs w:val="22"/>
        </w:rPr>
        <w:t>2． 施工安装</w:t>
      </w:r>
    </w:p>
    <w:p>
      <w:pPr>
        <w:spacing w:line="440" w:lineRule="exact"/>
        <w:ind w:left="539" w:hanging="539" w:hangingChars="245"/>
        <w:rPr>
          <w:rFonts w:hint="eastAsia" w:ascii="宋体" w:hAnsi="宋体" w:cs="宋体"/>
          <w:b/>
          <w:sz w:val="22"/>
          <w:szCs w:val="22"/>
        </w:rPr>
      </w:pPr>
      <w:r>
        <w:rPr>
          <w:rFonts w:hint="eastAsia" w:ascii="宋体" w:hAnsi="宋体" w:cs="宋体"/>
          <w:bCs/>
          <w:kern w:val="0"/>
          <w:sz w:val="22"/>
          <w:szCs w:val="22"/>
        </w:rPr>
        <w:t>2.1  为确保施工、安装、调试工作安全有序的进行，要求卖方向买方提供一份详细的施工、安装、调试验收计划和所采用的标准及方法，现场负责人和参与安装人员的名单，此计划和采用的标准一旦被买方确认就不得随意更改，否则卖方应承担相应责任。</w:t>
      </w:r>
    </w:p>
    <w:p>
      <w:pPr>
        <w:spacing w:line="440" w:lineRule="exact"/>
        <w:rPr>
          <w:rFonts w:hint="eastAsia" w:ascii="宋体" w:hAnsi="宋体" w:cs="宋体"/>
          <w:sz w:val="22"/>
          <w:szCs w:val="22"/>
        </w:rPr>
      </w:pPr>
      <w:r>
        <w:rPr>
          <w:rFonts w:hint="eastAsia" w:ascii="宋体" w:hAnsi="宋体" w:cs="宋体"/>
          <w:bCs/>
          <w:kern w:val="0"/>
          <w:sz w:val="22"/>
          <w:szCs w:val="22"/>
        </w:rPr>
        <w:t xml:space="preserve">2.2  </w:t>
      </w:r>
      <w:r>
        <w:rPr>
          <w:rFonts w:hint="eastAsia" w:ascii="宋体" w:hAnsi="宋体" w:cs="宋体"/>
          <w:sz w:val="22"/>
          <w:szCs w:val="22"/>
        </w:rPr>
        <w:t>产品的安装必须符合有关标准和规范。安装过程中买方将对产品的安装质量进行监督。</w:t>
      </w:r>
    </w:p>
    <w:p>
      <w:pPr>
        <w:spacing w:line="440" w:lineRule="exact"/>
        <w:rPr>
          <w:rFonts w:hint="eastAsia" w:ascii="宋体" w:hAnsi="宋体" w:cs="宋体"/>
          <w:bCs/>
          <w:kern w:val="0"/>
          <w:sz w:val="22"/>
          <w:szCs w:val="22"/>
        </w:rPr>
      </w:pPr>
      <w:r>
        <w:rPr>
          <w:rFonts w:hint="eastAsia" w:ascii="宋体" w:hAnsi="宋体" w:cs="宋体"/>
          <w:b/>
          <w:sz w:val="22"/>
          <w:szCs w:val="22"/>
        </w:rPr>
        <w:t>3． 调试</w:t>
      </w:r>
    </w:p>
    <w:p>
      <w:pPr>
        <w:spacing w:line="440" w:lineRule="exact"/>
        <w:ind w:left="548" w:leftChars="261"/>
        <w:rPr>
          <w:rFonts w:hint="eastAsia" w:ascii="宋体" w:hAnsi="宋体" w:cs="宋体"/>
          <w:sz w:val="22"/>
          <w:szCs w:val="22"/>
        </w:rPr>
      </w:pPr>
      <w:r>
        <w:rPr>
          <w:rFonts w:hint="eastAsia" w:ascii="宋体" w:hAnsi="宋体" w:cs="宋体"/>
          <w:bCs/>
          <w:kern w:val="0"/>
          <w:sz w:val="22"/>
          <w:szCs w:val="22"/>
        </w:rPr>
        <w:t>设备安装就位、校准后，卖方应按事先被买方认可的调试验收计划对设备进行调试，并对设备所标注的各项技术指标进行测试，测试报告将在设备验收完毕后提交给买方，但卖方应对测试的各种数据的真实性负责。</w:t>
      </w:r>
      <w:r>
        <w:rPr>
          <w:rFonts w:hint="eastAsia" w:ascii="宋体" w:hAnsi="宋体" w:cs="宋体"/>
          <w:sz w:val="22"/>
          <w:szCs w:val="22"/>
        </w:rPr>
        <w:t>买方也可以要求具有检测资质的第三方用专用仪器进行功能 、性能测试，卖方负责测试和调试所需的一切费用，并填写测试报告交由买方存档。</w:t>
      </w:r>
    </w:p>
    <w:p>
      <w:pPr>
        <w:spacing w:line="440" w:lineRule="exact"/>
        <w:rPr>
          <w:rFonts w:hint="eastAsia" w:ascii="宋体" w:hAnsi="宋体" w:cs="宋体"/>
          <w:sz w:val="22"/>
          <w:szCs w:val="22"/>
        </w:rPr>
      </w:pPr>
      <w:r>
        <w:rPr>
          <w:rFonts w:hint="eastAsia" w:ascii="宋体" w:hAnsi="宋体" w:cs="宋体"/>
          <w:b/>
          <w:sz w:val="22"/>
          <w:szCs w:val="22"/>
        </w:rPr>
        <w:t>4．  验收</w:t>
      </w:r>
      <w:r>
        <w:rPr>
          <w:rFonts w:hint="eastAsia" w:ascii="宋体" w:hAnsi="宋体" w:cs="宋体"/>
          <w:sz w:val="22"/>
          <w:szCs w:val="22"/>
        </w:rPr>
        <w:t xml:space="preserve"> </w:t>
      </w:r>
    </w:p>
    <w:p>
      <w:pPr>
        <w:spacing w:line="440" w:lineRule="exact"/>
        <w:ind w:left="550" w:hanging="550" w:hangingChars="250"/>
        <w:rPr>
          <w:rFonts w:hint="eastAsia" w:ascii="宋体" w:hAnsi="宋体" w:cs="宋体"/>
          <w:sz w:val="22"/>
          <w:szCs w:val="22"/>
        </w:rPr>
      </w:pPr>
      <w:r>
        <w:rPr>
          <w:rFonts w:hint="eastAsia" w:ascii="宋体" w:hAnsi="宋体" w:cs="宋体"/>
          <w:sz w:val="22"/>
          <w:szCs w:val="22"/>
        </w:rPr>
        <w:t>4.1  验收标准依次序对照适用标准为：①符合中华人民共和国国家安全质量标准、环保标准或行业技术规范标准等；②符合招标文件和响应承诺采购人认可的合理最佳配置、参数及各项要求；③货物来源国官方标准。上述标准必须是有关官方机构发布的最新版本的标准。</w:t>
      </w:r>
    </w:p>
    <w:p>
      <w:pPr>
        <w:spacing w:line="440" w:lineRule="exact"/>
        <w:ind w:left="550" w:hanging="550" w:hangingChars="250"/>
        <w:rPr>
          <w:rFonts w:hint="eastAsia" w:ascii="宋体" w:hAnsi="宋体" w:cs="宋体"/>
          <w:sz w:val="22"/>
          <w:szCs w:val="22"/>
        </w:rPr>
      </w:pPr>
      <w:r>
        <w:rPr>
          <w:rFonts w:hint="eastAsia" w:ascii="宋体" w:hAnsi="宋体" w:cs="宋体"/>
          <w:sz w:val="22"/>
          <w:szCs w:val="22"/>
        </w:rPr>
        <w:t>4.2  产品经过试运行考核无故障（或存在的故障和隐患均已全部排除或解决），所有的技术资料和图纸已向买方提交并被接受，验收视为合格，买卖双方签署验收合格证书。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spacing w:line="440" w:lineRule="exact"/>
        <w:ind w:left="541" w:hanging="541" w:hangingChars="245"/>
        <w:rPr>
          <w:rFonts w:hint="eastAsia" w:ascii="宋体" w:hAnsi="宋体" w:cs="宋体"/>
          <w:sz w:val="22"/>
          <w:szCs w:val="22"/>
        </w:rPr>
      </w:pPr>
      <w:r>
        <w:rPr>
          <w:rFonts w:hint="eastAsia" w:ascii="宋体" w:hAnsi="宋体" w:cs="宋体"/>
          <w:b/>
          <w:sz w:val="22"/>
          <w:szCs w:val="22"/>
        </w:rPr>
        <w:t xml:space="preserve">5．  </w:t>
      </w:r>
      <w:r>
        <w:rPr>
          <w:rFonts w:hint="eastAsia" w:ascii="宋体" w:hAnsi="宋体" w:cs="宋体"/>
          <w:sz w:val="22"/>
          <w:szCs w:val="22"/>
        </w:rPr>
        <w:t>若因卖方产品质量或安装技术问题导致设备超过二次不能验收合格，买方有权选择退货，并保留向卖方索赔的权利。</w:t>
      </w:r>
    </w:p>
    <w:p>
      <w:pPr>
        <w:spacing w:line="440" w:lineRule="exact"/>
        <w:ind w:left="574" w:hanging="574" w:hangingChars="260"/>
        <w:rPr>
          <w:rFonts w:hint="eastAsia" w:ascii="宋体" w:hAnsi="宋体" w:cs="宋体"/>
          <w:bCs/>
          <w:kern w:val="0"/>
          <w:sz w:val="22"/>
          <w:szCs w:val="22"/>
        </w:rPr>
      </w:pPr>
      <w:r>
        <w:rPr>
          <w:rFonts w:hint="eastAsia" w:ascii="宋体" w:hAnsi="宋体" w:cs="宋体"/>
          <w:b/>
          <w:sz w:val="22"/>
          <w:szCs w:val="22"/>
        </w:rPr>
        <w:t xml:space="preserve">6．  </w:t>
      </w:r>
      <w:r>
        <w:rPr>
          <w:rFonts w:hint="eastAsia" w:ascii="宋体" w:hAnsi="宋体" w:cs="宋体"/>
          <w:bCs/>
          <w:kern w:val="0"/>
          <w:sz w:val="22"/>
          <w:szCs w:val="22"/>
        </w:rPr>
        <w:t>卖方在产品到货、安装、调试和验收期间应接受买方的协调和管理，卖方应采取严格的安全措施，承担由于自身原因所造成的事故责任及其发生的一切费用。</w:t>
      </w:r>
    </w:p>
    <w:p>
      <w:pPr>
        <w:spacing w:line="440" w:lineRule="exact"/>
        <w:ind w:left="572" w:hanging="572" w:hangingChars="260"/>
        <w:rPr>
          <w:rFonts w:hint="eastAsia" w:ascii="宋体" w:hAnsi="宋体" w:cs="宋体"/>
          <w:bCs/>
          <w:kern w:val="0"/>
          <w:sz w:val="22"/>
          <w:szCs w:val="22"/>
        </w:rPr>
      </w:pPr>
      <w:r>
        <w:rPr>
          <w:rFonts w:hint="eastAsia" w:ascii="宋体" w:hAnsi="宋体" w:cs="宋体"/>
          <w:bCs/>
          <w:kern w:val="0"/>
          <w:sz w:val="22"/>
          <w:szCs w:val="22"/>
        </w:rPr>
        <w:t xml:space="preserve">7.   </w:t>
      </w:r>
      <w:r>
        <w:rPr>
          <w:rFonts w:hint="eastAsia" w:ascii="宋体" w:hAnsi="宋体" w:cs="宋体"/>
          <w:b/>
          <w:kern w:val="0"/>
          <w:sz w:val="22"/>
          <w:szCs w:val="22"/>
        </w:rPr>
        <w:t>设备验收时产生的所有验收费用由中标供应商承担。</w:t>
      </w:r>
    </w:p>
    <w:p>
      <w:pPr>
        <w:spacing w:line="440" w:lineRule="exact"/>
        <w:ind w:left="420" w:hanging="420" w:hangingChars="190"/>
        <w:rPr>
          <w:rFonts w:hint="eastAsia" w:ascii="宋体" w:hAnsi="宋体" w:cs="宋体"/>
          <w:b/>
          <w:bCs/>
          <w:sz w:val="22"/>
          <w:szCs w:val="22"/>
          <w:lang w:val="zh-CN"/>
        </w:rPr>
      </w:pPr>
      <w:bookmarkStart w:id="3" w:name="_Toc29502768"/>
      <w:r>
        <w:rPr>
          <w:rFonts w:hint="eastAsia" w:ascii="宋体" w:hAnsi="宋体" w:cs="宋体"/>
          <w:b/>
          <w:bCs/>
          <w:sz w:val="22"/>
          <w:szCs w:val="22"/>
        </w:rPr>
        <w:t>七</w:t>
      </w:r>
      <w:r>
        <w:rPr>
          <w:rFonts w:hint="eastAsia" w:ascii="宋体" w:hAnsi="宋体" w:cs="宋体"/>
          <w:b/>
          <w:bCs/>
          <w:sz w:val="22"/>
          <w:szCs w:val="22"/>
          <w:lang w:val="zh-CN"/>
        </w:rPr>
        <w:t>、设备质量保证和标准</w:t>
      </w:r>
      <w:bookmarkEnd w:id="3"/>
    </w:p>
    <w:p>
      <w:pPr>
        <w:spacing w:line="440" w:lineRule="exact"/>
        <w:ind w:left="541" w:hanging="541" w:hangingChars="245"/>
        <w:rPr>
          <w:rFonts w:hint="eastAsia" w:ascii="宋体" w:hAnsi="宋体" w:cs="宋体"/>
          <w:b/>
          <w:sz w:val="22"/>
        </w:rPr>
      </w:pPr>
      <w:r>
        <w:rPr>
          <w:rFonts w:hint="eastAsia" w:ascii="宋体" w:hAnsi="宋体" w:cs="宋体"/>
          <w:b/>
          <w:sz w:val="22"/>
          <w:szCs w:val="22"/>
        </w:rPr>
        <w:t>1.</w:t>
      </w:r>
      <w:r>
        <w:rPr>
          <w:rFonts w:hint="eastAsia" w:ascii="宋体" w:hAnsi="宋体" w:cs="宋体"/>
          <w:b/>
          <w:sz w:val="22"/>
        </w:rPr>
        <w:t xml:space="preserve">   </w:t>
      </w:r>
      <w:r>
        <w:rPr>
          <w:rFonts w:hint="eastAsia" w:ascii="宋体" w:hAnsi="宋体" w:cs="宋体"/>
          <w:b/>
          <w:sz w:val="22"/>
          <w:u w:val="single"/>
          <w:shd w:val="clear" w:color="FFFFFF" w:fill="D9D9D9"/>
        </w:rPr>
        <w:t>▲本项目设备及配套附件的质量保修期自验收合格并交付使用之日起开始计算,应提供不少于一年的免费原厂质保，</w:t>
      </w:r>
      <w:r>
        <w:rPr>
          <w:rFonts w:hint="eastAsia" w:ascii="宋体" w:hAnsi="宋体" w:cs="宋体"/>
          <w:b/>
          <w:sz w:val="22"/>
        </w:rPr>
        <w:t>如厂商本身承诺的产品质保期高于标书要求的则按照厂商承诺执行。质量保修期内免费上门服务（免费是指免零部件、材料费、易耗品、人工费、交通住宿费等与上门保修服务有关的一切费用），</w:t>
      </w:r>
      <w:r>
        <w:rPr>
          <w:rFonts w:hint="eastAsia" w:ascii="宋体" w:hAnsi="宋体" w:cs="宋体"/>
          <w:b/>
          <w:kern w:val="0"/>
          <w:sz w:val="22"/>
          <w:szCs w:val="22"/>
        </w:rPr>
        <w:t>终身维修。</w:t>
      </w:r>
      <w:r>
        <w:rPr>
          <w:rFonts w:hint="eastAsia" w:ascii="宋体" w:hAnsi="宋体" w:cs="宋体"/>
          <w:b/>
          <w:sz w:val="22"/>
        </w:rPr>
        <w:t>供应商在质保期内还应包括对成套产品的常规检查、调试等维护工作，</w:t>
      </w:r>
      <w:r>
        <w:rPr>
          <w:rFonts w:hint="eastAsia" w:ascii="宋体" w:hAnsi="宋体" w:cs="宋体"/>
          <w:b/>
          <w:sz w:val="22"/>
          <w:szCs w:val="22"/>
        </w:rPr>
        <w:t>保证设备的正常使用</w:t>
      </w:r>
      <w:r>
        <w:rPr>
          <w:rFonts w:hint="eastAsia" w:ascii="宋体" w:hAnsi="宋体" w:cs="宋体"/>
          <w:b/>
          <w:sz w:val="22"/>
        </w:rPr>
        <w:t>。具体的操作程序和内容须在投标文件中说明。</w:t>
      </w:r>
    </w:p>
    <w:p>
      <w:pPr>
        <w:spacing w:line="440" w:lineRule="exact"/>
        <w:ind w:left="549" w:leftChars="52" w:hanging="440" w:hangingChars="200"/>
        <w:rPr>
          <w:rFonts w:hint="eastAsia" w:ascii="宋体" w:hAnsi="宋体" w:cs="宋体"/>
          <w:b/>
          <w:sz w:val="22"/>
        </w:rPr>
      </w:pPr>
      <w:r>
        <w:rPr>
          <w:rFonts w:hint="eastAsia" w:ascii="宋体" w:hAnsi="宋体" w:cs="宋体"/>
          <w:bCs/>
          <w:kern w:val="0"/>
          <w:sz w:val="22"/>
          <w:szCs w:val="22"/>
        </w:rPr>
        <w:t>2． 产品的设计及制造质量均应符合国家（或国际）最新颁布的有关标准/规范要求。技术标准按国家最新颁布的标准及买方认可的国际标准。凡需国家强制性认证或认可的产品、需提供相应的证书和认可的标志。</w:t>
      </w:r>
    </w:p>
    <w:p>
      <w:pPr>
        <w:spacing w:line="440" w:lineRule="exact"/>
        <w:ind w:left="549" w:leftChars="52" w:hanging="440" w:hangingChars="200"/>
        <w:jc w:val="left"/>
        <w:rPr>
          <w:rFonts w:hint="eastAsia" w:ascii="宋体" w:hAnsi="宋体" w:cs="宋体"/>
          <w:sz w:val="22"/>
          <w:szCs w:val="22"/>
        </w:rPr>
      </w:pPr>
      <w:r>
        <w:rPr>
          <w:rFonts w:hint="eastAsia" w:ascii="宋体" w:hAnsi="宋体" w:cs="宋体"/>
          <w:sz w:val="22"/>
          <w:szCs w:val="22"/>
        </w:rPr>
        <w:t>3.  中标供应商所供货物必须是全新的，表面无划伤，无碰撞，其技术规格、标准必须符合采购人需求书要求和国家计量检测标准。质保期内，由成交供应商联同厂家共同负责相关售后服务工作。</w:t>
      </w:r>
    </w:p>
    <w:p>
      <w:pPr>
        <w:spacing w:line="440" w:lineRule="exact"/>
        <w:ind w:left="549" w:leftChars="52" w:hanging="440" w:hangingChars="200"/>
        <w:jc w:val="left"/>
        <w:rPr>
          <w:rFonts w:hint="eastAsia" w:ascii="宋体" w:hAnsi="宋体" w:cs="宋体"/>
          <w:b/>
          <w:sz w:val="22"/>
          <w:szCs w:val="22"/>
        </w:rPr>
      </w:pPr>
      <w:r>
        <w:rPr>
          <w:rFonts w:hint="eastAsia" w:ascii="宋体" w:hAnsi="宋体" w:cs="宋体"/>
          <w:sz w:val="22"/>
          <w:szCs w:val="22"/>
        </w:rPr>
        <w:t>4.  中标供应商应保证其提供的设备中所有预装和为本项目安装的软件为最新的具有合法版权或使用权的正版软件且无质量瑕疵。</w:t>
      </w:r>
    </w:p>
    <w:p>
      <w:pPr>
        <w:spacing w:line="440" w:lineRule="exact"/>
        <w:ind w:left="420" w:hanging="420" w:hangingChars="190"/>
        <w:rPr>
          <w:rFonts w:hint="eastAsia" w:ascii="宋体" w:hAnsi="宋体" w:cs="宋体"/>
          <w:b/>
          <w:bCs/>
          <w:sz w:val="22"/>
          <w:szCs w:val="22"/>
          <w:lang w:val="zh-CN"/>
        </w:rPr>
      </w:pPr>
      <w:bookmarkStart w:id="4" w:name="_Toc29502769"/>
      <w:r>
        <w:rPr>
          <w:rFonts w:hint="eastAsia" w:ascii="宋体" w:hAnsi="宋体" w:cs="宋体"/>
          <w:b/>
          <w:bCs/>
          <w:sz w:val="22"/>
          <w:szCs w:val="22"/>
        </w:rPr>
        <w:t>八</w:t>
      </w:r>
      <w:r>
        <w:rPr>
          <w:rFonts w:hint="eastAsia" w:ascii="宋体" w:hAnsi="宋体" w:cs="宋体"/>
          <w:b/>
          <w:bCs/>
          <w:sz w:val="22"/>
          <w:szCs w:val="22"/>
          <w:lang w:val="zh-CN"/>
        </w:rPr>
        <w:t>、技术文件资料的交付</w:t>
      </w:r>
      <w:bookmarkEnd w:id="4"/>
    </w:p>
    <w:p>
      <w:pPr>
        <w:spacing w:line="440" w:lineRule="exact"/>
        <w:rPr>
          <w:rFonts w:hint="eastAsia" w:ascii="宋体" w:hAnsi="宋体" w:cs="宋体"/>
          <w:bCs/>
          <w:kern w:val="0"/>
          <w:sz w:val="22"/>
          <w:szCs w:val="22"/>
        </w:rPr>
      </w:pPr>
      <w:r>
        <w:rPr>
          <w:rFonts w:hint="eastAsia" w:ascii="宋体" w:hAnsi="宋体" w:cs="宋体"/>
          <w:bCs/>
          <w:kern w:val="0"/>
          <w:sz w:val="22"/>
          <w:szCs w:val="22"/>
        </w:rPr>
        <w:t>1．  设备交货同时提供下列资料：</w:t>
      </w:r>
    </w:p>
    <w:p>
      <w:pPr>
        <w:spacing w:line="440" w:lineRule="exact"/>
        <w:ind w:left="330" w:hanging="330" w:hangingChars="150"/>
        <w:rPr>
          <w:rFonts w:hint="eastAsia" w:ascii="宋体" w:hAnsi="宋体" w:cs="宋体"/>
          <w:bCs/>
          <w:kern w:val="0"/>
          <w:sz w:val="22"/>
          <w:szCs w:val="22"/>
        </w:rPr>
      </w:pPr>
      <w:r>
        <w:rPr>
          <w:rFonts w:hint="eastAsia" w:ascii="宋体" w:hAnsi="宋体" w:cs="宋体"/>
          <w:bCs/>
          <w:kern w:val="0"/>
          <w:sz w:val="22"/>
          <w:szCs w:val="22"/>
        </w:rPr>
        <w:t>1.1  随机的易损件、备品备件及特殊专用工具清单。</w:t>
      </w:r>
    </w:p>
    <w:p>
      <w:pPr>
        <w:spacing w:line="440" w:lineRule="exact"/>
        <w:ind w:left="550" w:hanging="550" w:hangingChars="250"/>
        <w:rPr>
          <w:rFonts w:hint="eastAsia" w:ascii="宋体" w:hAnsi="宋体" w:cs="宋体"/>
          <w:bCs/>
          <w:kern w:val="0"/>
          <w:sz w:val="22"/>
          <w:szCs w:val="22"/>
        </w:rPr>
      </w:pPr>
      <w:r>
        <w:rPr>
          <w:rFonts w:hint="eastAsia" w:ascii="宋体" w:hAnsi="宋体" w:cs="宋体"/>
          <w:bCs/>
          <w:kern w:val="0"/>
          <w:sz w:val="22"/>
          <w:szCs w:val="22"/>
        </w:rPr>
        <w:t>1.2  设备生产厂家的产品检测证书、出厂检验报告、合格证书、产品说明书、中文技术资料、中英文操作手册和相关图纸等。</w:t>
      </w:r>
    </w:p>
    <w:p>
      <w:pPr>
        <w:spacing w:line="440" w:lineRule="exact"/>
        <w:ind w:left="330" w:hanging="330" w:hangingChars="150"/>
        <w:rPr>
          <w:rFonts w:hint="eastAsia" w:ascii="宋体" w:hAnsi="宋体" w:cs="宋体"/>
          <w:bCs/>
          <w:kern w:val="0"/>
          <w:sz w:val="22"/>
          <w:szCs w:val="22"/>
        </w:rPr>
      </w:pPr>
      <w:r>
        <w:rPr>
          <w:rFonts w:hint="eastAsia" w:ascii="宋体" w:hAnsi="宋体" w:cs="宋体"/>
          <w:bCs/>
          <w:kern w:val="0"/>
          <w:sz w:val="22"/>
          <w:szCs w:val="22"/>
        </w:rPr>
        <w:t>1.3  设备随机提供的装箱清单（每箱一单）。</w:t>
      </w:r>
    </w:p>
    <w:p>
      <w:pPr>
        <w:spacing w:line="440" w:lineRule="exact"/>
        <w:ind w:left="330" w:hanging="330" w:hangingChars="150"/>
        <w:rPr>
          <w:rFonts w:hint="eastAsia" w:ascii="宋体" w:hAnsi="宋体" w:cs="宋体"/>
          <w:bCs/>
          <w:kern w:val="0"/>
          <w:sz w:val="22"/>
          <w:szCs w:val="22"/>
        </w:rPr>
      </w:pPr>
      <w:r>
        <w:rPr>
          <w:rFonts w:hint="eastAsia" w:ascii="宋体" w:hAnsi="宋体" w:cs="宋体"/>
          <w:bCs/>
          <w:kern w:val="0"/>
          <w:sz w:val="22"/>
          <w:szCs w:val="22"/>
        </w:rPr>
        <w:t>1.4  进口产品相关证明：原产地、海关商检证明等。</w:t>
      </w:r>
    </w:p>
    <w:p>
      <w:pPr>
        <w:spacing w:line="440" w:lineRule="exact"/>
        <w:ind w:left="420" w:hanging="420" w:hangingChars="190"/>
        <w:rPr>
          <w:rFonts w:hint="eastAsia" w:ascii="宋体" w:hAnsi="宋体" w:cs="宋体"/>
          <w:b/>
          <w:bCs/>
          <w:sz w:val="22"/>
          <w:szCs w:val="22"/>
          <w:lang w:val="zh-CN"/>
        </w:rPr>
      </w:pPr>
      <w:bookmarkStart w:id="5" w:name="_Toc29502770"/>
      <w:r>
        <w:rPr>
          <w:rFonts w:hint="eastAsia" w:ascii="宋体" w:hAnsi="宋体" w:cs="宋体"/>
          <w:b/>
          <w:bCs/>
          <w:sz w:val="22"/>
          <w:szCs w:val="22"/>
        </w:rPr>
        <w:t>九</w:t>
      </w:r>
      <w:r>
        <w:rPr>
          <w:rFonts w:hint="eastAsia" w:ascii="宋体" w:hAnsi="宋体" w:cs="宋体"/>
          <w:b/>
          <w:bCs/>
          <w:sz w:val="22"/>
          <w:szCs w:val="22"/>
          <w:lang w:val="zh-CN"/>
        </w:rPr>
        <w:t>、售后服务和人员培训</w:t>
      </w:r>
      <w:bookmarkEnd w:id="5"/>
    </w:p>
    <w:p>
      <w:pPr>
        <w:spacing w:line="440" w:lineRule="exact"/>
        <w:ind w:left="549" w:leftChars="52" w:hanging="440" w:hangingChars="200"/>
        <w:jc w:val="left"/>
        <w:rPr>
          <w:rFonts w:hint="eastAsia" w:ascii="宋体" w:hAnsi="宋体" w:cs="宋体"/>
          <w:sz w:val="22"/>
          <w:szCs w:val="22"/>
        </w:rPr>
      </w:pPr>
      <w:r>
        <w:rPr>
          <w:rFonts w:hint="eastAsia" w:ascii="宋体" w:hAnsi="宋体" w:cs="宋体"/>
          <w:sz w:val="22"/>
          <w:szCs w:val="22"/>
        </w:rPr>
        <w:t>1.  卖方在附近地区应有完整的售后服务网点。服务网点需提供足够的备件以适应维修需求。供应商须在投标文件中说明服务网点地址，联系方式、人员配置（含负责人）、故障修复时间、方式及保障措施。</w:t>
      </w:r>
    </w:p>
    <w:p>
      <w:pPr>
        <w:spacing w:line="440" w:lineRule="exact"/>
        <w:ind w:left="549" w:leftChars="52" w:hanging="440" w:hangingChars="200"/>
        <w:jc w:val="left"/>
        <w:rPr>
          <w:rFonts w:hint="eastAsia" w:ascii="宋体" w:hAnsi="宋体" w:cs="宋体"/>
          <w:sz w:val="22"/>
          <w:szCs w:val="22"/>
        </w:rPr>
      </w:pPr>
      <w:r>
        <w:rPr>
          <w:rFonts w:hint="eastAsia" w:ascii="宋体" w:hAnsi="宋体" w:cs="宋体"/>
          <w:sz w:val="22"/>
          <w:szCs w:val="22"/>
        </w:rPr>
        <w:t>2． 卖方负责合同执行过程中和质量保修期内的技术服务和支持，提供每个法定工作日随时的下述服务，以解决采购人在使用中遇到的所有问题：电话热线支持、邮寄方式服务、用户间的交流。</w:t>
      </w:r>
    </w:p>
    <w:p>
      <w:pPr>
        <w:spacing w:line="440" w:lineRule="exact"/>
        <w:ind w:left="543" w:leftChars="49" w:hanging="440" w:hangingChars="200"/>
        <w:jc w:val="left"/>
        <w:rPr>
          <w:rFonts w:hint="eastAsia" w:ascii="宋体" w:hAnsi="宋体" w:cs="宋体"/>
          <w:sz w:val="22"/>
          <w:szCs w:val="22"/>
        </w:rPr>
      </w:pPr>
      <w:r>
        <w:rPr>
          <w:rFonts w:hint="eastAsia" w:ascii="宋体" w:hAnsi="宋体" w:cs="宋体"/>
          <w:sz w:val="22"/>
          <w:szCs w:val="22"/>
        </w:rPr>
        <w:t>3.  卖方接到买方故障信息后在2小时内予以响应，24小时内提供具解决措施，在48小时内到达买方现场，排除故障，免费更换损坏零件和技术服务。必要情况下三天内到现场解决。如因其他特殊情况需要先从国外采购部件，则2个星期内到达买方现场解决问题，提供终身维护。</w:t>
      </w:r>
    </w:p>
    <w:p>
      <w:pPr>
        <w:spacing w:line="440" w:lineRule="exact"/>
        <w:ind w:left="549" w:leftChars="52" w:hanging="440" w:hangingChars="200"/>
        <w:jc w:val="left"/>
        <w:rPr>
          <w:rFonts w:hint="eastAsia" w:ascii="宋体" w:hAnsi="宋体" w:cs="宋体"/>
          <w:sz w:val="22"/>
          <w:szCs w:val="22"/>
        </w:rPr>
      </w:pPr>
      <w:r>
        <w:rPr>
          <w:rFonts w:hint="eastAsia" w:ascii="宋体" w:hAnsi="宋体" w:cs="宋体"/>
          <w:sz w:val="22"/>
          <w:szCs w:val="22"/>
        </w:rPr>
        <w:t>4.  维保点的检测人员不能排除故障时，卖方应按照买方的书面通知，负责生产厂家派技术人员到现场解决故障问题，由此发生的费用由卖方承担。（如采购内容中有特殊要求，则按照特殊要求执行）</w:t>
      </w:r>
    </w:p>
    <w:p>
      <w:pPr>
        <w:spacing w:line="440" w:lineRule="exact"/>
        <w:ind w:left="549" w:leftChars="52" w:hanging="440" w:hangingChars="200"/>
        <w:rPr>
          <w:rFonts w:hint="eastAsia" w:ascii="宋体" w:hAnsi="宋体" w:cs="宋体"/>
          <w:sz w:val="22"/>
          <w:szCs w:val="22"/>
        </w:rPr>
      </w:pPr>
      <w:r>
        <w:rPr>
          <w:rFonts w:hint="eastAsia" w:ascii="宋体" w:hAnsi="宋体" w:cs="宋体"/>
          <w:sz w:val="22"/>
          <w:szCs w:val="22"/>
        </w:rPr>
        <w:t>5． 在质保期结束时，须由专业工作人员对系统及设备进行再一次测试，出现的任何故障须由卖方自费解决并需取得买方的认可。故障消除后，卖方需提供报告给买方，内容包括故障原因，解决措施，完成修理所费时间及恢复正常运行日期等，建立设备维修档案。</w:t>
      </w:r>
    </w:p>
    <w:p>
      <w:pPr>
        <w:spacing w:line="440" w:lineRule="exact"/>
        <w:ind w:left="549" w:leftChars="52" w:hanging="440" w:hangingChars="200"/>
        <w:rPr>
          <w:rFonts w:hint="eastAsia" w:ascii="宋体" w:hAnsi="宋体" w:cs="宋体"/>
          <w:sz w:val="22"/>
          <w:szCs w:val="22"/>
        </w:rPr>
      </w:pPr>
      <w:r>
        <w:rPr>
          <w:rFonts w:hint="eastAsia" w:ascii="宋体" w:hAnsi="宋体" w:cs="宋体"/>
          <w:sz w:val="22"/>
          <w:szCs w:val="22"/>
        </w:rPr>
        <w:t>6． 人员培训：</w:t>
      </w:r>
    </w:p>
    <w:p>
      <w:pPr>
        <w:spacing w:line="440" w:lineRule="exact"/>
        <w:ind w:left="529" w:leftChars="252"/>
        <w:rPr>
          <w:rFonts w:hint="eastAsia" w:ascii="宋体" w:hAnsi="宋体" w:cs="宋体"/>
          <w:sz w:val="22"/>
          <w:szCs w:val="22"/>
        </w:rPr>
      </w:pPr>
      <w:r>
        <w:rPr>
          <w:rFonts w:hint="eastAsia" w:ascii="宋体" w:hAnsi="宋体" w:cs="宋体"/>
          <w:sz w:val="22"/>
          <w:szCs w:val="22"/>
        </w:rPr>
        <w:t>卖方应委派具有丰富经验的技术人员对买方人员进行现场培训（培训的内容包括主要设备的安装、使用、设置、以及硬件基本维护知识），具体时间以采购人要求。</w:t>
      </w:r>
    </w:p>
    <w:p>
      <w:pPr>
        <w:numPr>
          <w:numId w:val="0"/>
        </w:numPr>
        <w:spacing w:line="440" w:lineRule="exact"/>
        <w:ind w:leftChars="-190" w:firstLine="843" w:firstLineChars="300"/>
        <w:rPr>
          <w:rFonts w:hint="eastAsia" w:ascii="新宋体" w:hAnsi="新宋体" w:eastAsia="新宋体"/>
          <w:b/>
          <w:bCs/>
          <w:sz w:val="28"/>
          <w:szCs w:val="28"/>
          <w:u w:val="single"/>
        </w:rPr>
      </w:pPr>
    </w:p>
    <w:p>
      <w:pPr>
        <w:numPr>
          <w:numId w:val="0"/>
        </w:numPr>
        <w:spacing w:line="440" w:lineRule="exact"/>
        <w:ind w:leftChars="-190" w:firstLine="1968" w:firstLineChars="700"/>
        <w:rPr>
          <w:rFonts w:ascii="新宋体" w:hAnsi="新宋体" w:eastAsia="新宋体"/>
          <w:b/>
          <w:bCs/>
          <w:sz w:val="28"/>
          <w:szCs w:val="28"/>
          <w:u w:val="none"/>
        </w:rPr>
      </w:pPr>
      <w:bookmarkStart w:id="6" w:name="_GoBack"/>
      <w:bookmarkEnd w:id="6"/>
      <w:r>
        <w:rPr>
          <w:rFonts w:hint="eastAsia" w:ascii="新宋体" w:hAnsi="新宋体" w:eastAsia="新宋体"/>
          <w:b/>
          <w:bCs/>
          <w:sz w:val="28"/>
          <w:szCs w:val="28"/>
          <w:u w:val="none"/>
        </w:rPr>
        <w:t>注：具体内容以招标文件为准。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B10C8"/>
    <w:multiLevelType w:val="multilevel"/>
    <w:tmpl w:val="535B10C8"/>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70A"/>
    <w:rsid w:val="00081600"/>
    <w:rsid w:val="000B1567"/>
    <w:rsid w:val="000F384D"/>
    <w:rsid w:val="000F7AA5"/>
    <w:rsid w:val="00185AD6"/>
    <w:rsid w:val="001872AF"/>
    <w:rsid w:val="001D3EA9"/>
    <w:rsid w:val="0022403C"/>
    <w:rsid w:val="00280BF4"/>
    <w:rsid w:val="00295AB3"/>
    <w:rsid w:val="002C7026"/>
    <w:rsid w:val="002F7CCD"/>
    <w:rsid w:val="0031370A"/>
    <w:rsid w:val="0034782B"/>
    <w:rsid w:val="003B1760"/>
    <w:rsid w:val="0040712E"/>
    <w:rsid w:val="004C66F1"/>
    <w:rsid w:val="00531D55"/>
    <w:rsid w:val="00537681"/>
    <w:rsid w:val="00553DCA"/>
    <w:rsid w:val="00581E64"/>
    <w:rsid w:val="0059428A"/>
    <w:rsid w:val="00596317"/>
    <w:rsid w:val="005B22B6"/>
    <w:rsid w:val="00667EAF"/>
    <w:rsid w:val="006C41DE"/>
    <w:rsid w:val="00801560"/>
    <w:rsid w:val="009916D9"/>
    <w:rsid w:val="00A47E06"/>
    <w:rsid w:val="00B368C8"/>
    <w:rsid w:val="00BC4C89"/>
    <w:rsid w:val="00BD7E18"/>
    <w:rsid w:val="00C423CE"/>
    <w:rsid w:val="00CA5C26"/>
    <w:rsid w:val="00CB5C24"/>
    <w:rsid w:val="00DA6D7D"/>
    <w:rsid w:val="00DD6DBC"/>
    <w:rsid w:val="00DF0CC5"/>
    <w:rsid w:val="00E1239F"/>
    <w:rsid w:val="00EC4411"/>
    <w:rsid w:val="00F44047"/>
    <w:rsid w:val="00F74ADE"/>
    <w:rsid w:val="00F90517"/>
    <w:rsid w:val="00FF5F7D"/>
    <w:rsid w:val="065618B5"/>
    <w:rsid w:val="0BA90B02"/>
    <w:rsid w:val="535F41D6"/>
    <w:rsid w:val="6F336640"/>
    <w:rsid w:val="75475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pPr>
      <w:spacing w:after="120"/>
    </w:pPr>
    <w:rPr>
      <w:rFonts w:asciiTheme="minorHAnsi" w:hAnsiTheme="minorHAnsi" w:eastAsiaTheme="minorEastAsia" w:cstheme="minorBidi"/>
    </w:rPr>
  </w:style>
  <w:style w:type="paragraph" w:styleId="3">
    <w:name w:val="Body Text First Indent"/>
    <w:basedOn w:val="2"/>
    <w:next w:val="1"/>
    <w:link w:val="20"/>
    <w:semiHidden/>
    <w:unhideWhenUsed/>
    <w:qFormat/>
    <w:uiPriority w:val="99"/>
    <w:pPr>
      <w:ind w:firstLine="420" w:firstLineChars="100"/>
    </w:pPr>
    <w:rPr>
      <w:rFonts w:ascii="Times New Roman" w:hAnsi="Times New Roman" w:eastAsia="宋体" w:cs="Times New Roman"/>
    </w:rPr>
  </w:style>
  <w:style w:type="paragraph" w:styleId="5">
    <w:name w:val="Block Text"/>
    <w:basedOn w:val="1"/>
    <w:qFormat/>
    <w:uiPriority w:val="0"/>
    <w:pPr>
      <w:adjustRightInd w:val="0"/>
      <w:spacing w:line="300" w:lineRule="auto"/>
      <w:ind w:left="958" w:right="-120" w:rightChars="-120"/>
      <w:jc w:val="left"/>
    </w:pPr>
    <w:rPr>
      <w:rFonts w:ascii="宋体" w:hAnsi="宋体"/>
      <w:sz w:val="2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正文文本 Char1"/>
    <w:link w:val="2"/>
    <w:qFormat/>
    <w:uiPriority w:val="0"/>
    <w:rPr>
      <w:szCs w:val="24"/>
    </w:rPr>
  </w:style>
  <w:style w:type="character" w:customStyle="1" w:styleId="15">
    <w:name w:val="正文文本 Char"/>
    <w:basedOn w:val="11"/>
    <w:link w:val="2"/>
    <w:semiHidden/>
    <w:qFormat/>
    <w:uiPriority w:val="99"/>
    <w:rPr>
      <w:rFonts w:ascii="Times New Roman" w:hAnsi="Times New Roman" w:eastAsia="宋体" w:cs="Times New Roman"/>
      <w:szCs w:val="24"/>
    </w:rPr>
  </w:style>
  <w:style w:type="character" w:customStyle="1" w:styleId="16">
    <w:name w:val="标题 2 Char"/>
    <w:basedOn w:val="11"/>
    <w:link w:val="4"/>
    <w:qFormat/>
    <w:uiPriority w:val="0"/>
    <w:rPr>
      <w:rFonts w:ascii="Arial" w:hAnsi="Arial" w:eastAsia="黑体" w:cs="Times New Roman"/>
      <w:b/>
      <w:bCs/>
      <w:sz w:val="32"/>
      <w:szCs w:val="32"/>
    </w:rPr>
  </w:style>
  <w:style w:type="paragraph" w:customStyle="1" w:styleId="17">
    <w:name w:val="彩色列表 - 强调文字颜色 11"/>
    <w:basedOn w:val="1"/>
    <w:qFormat/>
    <w:uiPriority w:val="99"/>
    <w:pPr>
      <w:spacing w:line="360" w:lineRule="auto"/>
      <w:jc w:val="left"/>
    </w:pPr>
    <w:rPr>
      <w:rFonts w:ascii="Calibri" w:hAnsi="Calibri"/>
      <w:sz w:val="24"/>
    </w:rPr>
  </w:style>
  <w:style w:type="paragraph" w:customStyle="1" w:styleId="18">
    <w:name w:val="投标正文"/>
    <w:basedOn w:val="1"/>
    <w:qFormat/>
    <w:uiPriority w:val="0"/>
    <w:pPr>
      <w:spacing w:line="360" w:lineRule="auto"/>
      <w:ind w:left="100" w:firstLine="480" w:firstLineChars="200"/>
    </w:pPr>
    <w:rPr>
      <w:rFonts w:ascii="等线" w:hAnsi="等线" w:eastAsia="等线"/>
      <w:sz w:val="28"/>
    </w:rPr>
  </w:style>
  <w:style w:type="paragraph" w:customStyle="1" w:styleId="19">
    <w:name w:val="列出段落3"/>
    <w:basedOn w:val="1"/>
    <w:qFormat/>
    <w:uiPriority w:val="0"/>
    <w:pPr>
      <w:spacing w:line="360" w:lineRule="auto"/>
      <w:ind w:firstLine="420" w:firstLineChars="200"/>
    </w:pPr>
    <w:rPr>
      <w:rFonts w:ascii="Calibri" w:hAnsi="Calibri"/>
      <w:sz w:val="24"/>
      <w:szCs w:val="22"/>
    </w:rPr>
  </w:style>
  <w:style w:type="character" w:customStyle="1" w:styleId="20">
    <w:name w:val="正文首行缩进 Char"/>
    <w:basedOn w:val="14"/>
    <w:link w:val="3"/>
    <w:semiHidden/>
    <w:qFormat/>
    <w:uiPriority w:val="99"/>
    <w:rPr>
      <w:rFonts w:ascii="Times New Roman" w:hAnsi="Times New Roman" w:eastAsia="宋体" w:cs="Times New Roman"/>
    </w:rPr>
  </w:style>
  <w:style w:type="paragraph" w:styleId="21">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35217-DC81-436E-89F6-7A231F21E3C0}">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Pages>
  <Words>992</Words>
  <Characters>5659</Characters>
  <Lines>47</Lines>
  <Paragraphs>13</Paragraphs>
  <TotalTime>1</TotalTime>
  <ScaleCrop>false</ScaleCrop>
  <LinksUpToDate>false</LinksUpToDate>
  <CharactersWithSpaces>6638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2018-09-06T09:46:00Z</dcterms:created>
  <dc:creator>SkyUser</dc:creator>
  <cp:lastModifiedBy>美美</cp:lastModifiedBy>
  <dcterms:modified xsi:type="dcterms:W3CDTF">2022-03-02T00:45:29Z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383ACBC7C3A14D14A03C8ED3D2F8E390</vt:lpwstr>
  </property>
</Properties>
</file>