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line="400" w:lineRule="exact"/>
        <w:ind w:left="425" w:hanging="425"/>
        <w:jc w:val="center"/>
        <w:rPr>
          <w:rFonts w:hint="eastAsia" w:ascii="新宋体" w:hAnsi="新宋体" w:eastAsia="新宋体"/>
          <w:sz w:val="48"/>
          <w:szCs w:val="48"/>
          <w:lang w:eastAsia="zh-CN"/>
        </w:rPr>
      </w:pPr>
      <w:bookmarkStart w:id="0" w:name="_Toc529282802"/>
      <w:bookmarkStart w:id="1" w:name="_Toc24712812"/>
      <w:r>
        <w:rPr>
          <w:rFonts w:hint="eastAsia" w:ascii="新宋体" w:hAnsi="新宋体" w:eastAsia="新宋体"/>
          <w:sz w:val="48"/>
          <w:szCs w:val="48"/>
          <w:lang w:val="en-US" w:eastAsia="zh-CN"/>
        </w:rPr>
        <w:t xml:space="preserve">                                            </w:t>
      </w:r>
      <w:r>
        <w:rPr>
          <w:rFonts w:hint="eastAsia" w:ascii="新宋体" w:hAnsi="新宋体" w:eastAsia="新宋体"/>
          <w:sz w:val="36"/>
          <w:szCs w:val="36"/>
          <w:lang w:eastAsia="zh-CN"/>
        </w:rPr>
        <w:t>采购需求</w:t>
      </w:r>
    </w:p>
    <w:bookmarkEnd w:id="0"/>
    <w:bookmarkEnd w:id="1"/>
    <w:p>
      <w:pPr>
        <w:spacing w:line="440" w:lineRule="exact"/>
        <w:ind w:left="420" w:hanging="420" w:hangingChars="190"/>
        <w:rPr>
          <w:rFonts w:hint="eastAsia" w:ascii="新宋体" w:hAnsi="新宋体" w:eastAsia="新宋体"/>
          <w:b/>
          <w:bCs/>
          <w:color w:val="000000"/>
          <w:sz w:val="22"/>
          <w:szCs w:val="22"/>
          <w:lang w:val="zh-CN"/>
        </w:rPr>
      </w:pPr>
      <w:r>
        <w:rPr>
          <w:rFonts w:hint="eastAsia" w:ascii="新宋体" w:hAnsi="新宋体" w:eastAsia="新宋体"/>
          <w:b/>
          <w:bCs/>
          <w:color w:val="000000"/>
          <w:sz w:val="22"/>
          <w:szCs w:val="22"/>
          <w:lang w:val="zh-CN"/>
        </w:rPr>
        <w:t>一、总体要求</w:t>
      </w:r>
    </w:p>
    <w:p>
      <w:pPr>
        <w:spacing w:line="440" w:lineRule="exact"/>
        <w:ind w:left="418" w:hanging="418" w:hangingChars="190"/>
        <w:rPr>
          <w:rFonts w:hint="eastAsia" w:ascii="新宋体" w:hAnsi="新宋体" w:eastAsia="新宋体"/>
          <w:color w:val="000000"/>
          <w:sz w:val="22"/>
        </w:rPr>
      </w:pPr>
      <w:r>
        <w:rPr>
          <w:rFonts w:hint="eastAsia" w:ascii="新宋体" w:hAnsi="新宋体" w:eastAsia="新宋体"/>
          <w:color w:val="000000"/>
          <w:sz w:val="22"/>
        </w:rPr>
        <w:t>1．</w:t>
      </w:r>
      <w:r>
        <w:rPr>
          <w:rFonts w:hint="eastAsia" w:ascii="新宋体" w:hAnsi="新宋体" w:eastAsia="新宋体"/>
          <w:b/>
          <w:color w:val="000000"/>
          <w:sz w:val="22"/>
          <w:u w:val="single"/>
        </w:rPr>
        <w:t>本次项目为1个标段，</w:t>
      </w:r>
      <w:r>
        <w:rPr>
          <w:rFonts w:hint="eastAsia" w:ascii="新宋体" w:hAnsi="新宋体" w:eastAsia="新宋体"/>
          <w:b/>
          <w:color w:val="000000"/>
          <w:sz w:val="22"/>
          <w:szCs w:val="22"/>
          <w:u w:val="single"/>
        </w:rPr>
        <w:t>供应商应对标段内的所有采购内容进行投标，但</w:t>
      </w:r>
      <w:r>
        <w:rPr>
          <w:rFonts w:hint="eastAsia" w:ascii="新宋体" w:hAnsi="新宋体" w:eastAsia="新宋体"/>
          <w:b/>
          <w:color w:val="000000"/>
          <w:sz w:val="22"/>
          <w:u w:val="single"/>
        </w:rPr>
        <w:t>不得将标段进行拆分投标或只对其中的部分内容进行投标，否则其响应文件将不予接受</w:t>
      </w:r>
      <w:r>
        <w:rPr>
          <w:rFonts w:hint="eastAsia" w:ascii="新宋体" w:hAnsi="新宋体" w:eastAsia="新宋体"/>
          <w:color w:val="000000"/>
          <w:sz w:val="22"/>
          <w:u w:val="single"/>
        </w:rPr>
        <w:t>。</w:t>
      </w:r>
    </w:p>
    <w:p>
      <w:pPr>
        <w:spacing w:line="440" w:lineRule="exact"/>
        <w:ind w:left="418" w:hanging="418" w:hangingChars="190"/>
        <w:rPr>
          <w:rFonts w:hint="eastAsia" w:ascii="新宋体" w:hAnsi="新宋体" w:eastAsia="新宋体"/>
          <w:color w:val="000000"/>
          <w:sz w:val="22"/>
          <w:szCs w:val="22"/>
        </w:rPr>
      </w:pPr>
      <w:r>
        <w:rPr>
          <w:rFonts w:hint="eastAsia" w:ascii="新宋体" w:hAnsi="新宋体" w:eastAsia="新宋体"/>
          <w:color w:val="000000"/>
          <w:sz w:val="22"/>
        </w:rPr>
        <w:t xml:space="preserve">2． </w:t>
      </w:r>
      <w:r>
        <w:rPr>
          <w:rFonts w:hint="eastAsia" w:ascii="新宋体" w:hAnsi="新宋体" w:eastAsia="新宋体"/>
          <w:color w:val="000000"/>
          <w:sz w:val="22"/>
          <w:szCs w:val="22"/>
        </w:rPr>
        <w:t>供应商应提供所投所有</w:t>
      </w:r>
      <w:r>
        <w:rPr>
          <w:rFonts w:hint="eastAsia" w:ascii="新宋体" w:hAnsi="新宋体" w:eastAsia="新宋体"/>
          <w:color w:val="000000"/>
          <w:sz w:val="22"/>
        </w:rPr>
        <w:t>设备</w:t>
      </w:r>
      <w:r>
        <w:rPr>
          <w:rFonts w:hint="eastAsia" w:ascii="新宋体" w:hAnsi="新宋体" w:eastAsia="新宋体"/>
          <w:color w:val="000000"/>
          <w:sz w:val="22"/>
          <w:szCs w:val="22"/>
        </w:rPr>
        <w:t>及其附件的设计、采购、制造、检测、试验、至最终目的地的运输和保险、现场仓储以及安装、验收、技术服务及培训、相关文件的提交、质保期维护等服务，在响应文件相应的部分明确。</w:t>
      </w:r>
    </w:p>
    <w:p>
      <w:pPr>
        <w:spacing w:line="440" w:lineRule="exact"/>
        <w:ind w:left="421" w:leftChars="-9" w:hanging="440" w:hangingChars="200"/>
        <w:rPr>
          <w:rFonts w:hint="eastAsia" w:ascii="新宋体" w:hAnsi="新宋体" w:eastAsia="新宋体"/>
          <w:color w:val="000000"/>
          <w:sz w:val="22"/>
          <w:szCs w:val="22"/>
        </w:rPr>
      </w:pPr>
      <w:r>
        <w:rPr>
          <w:rFonts w:hint="eastAsia" w:ascii="新宋体" w:hAnsi="新宋体" w:eastAsia="新宋体"/>
          <w:color w:val="000000"/>
          <w:sz w:val="22"/>
          <w:szCs w:val="22"/>
        </w:rPr>
        <w:t>3． 供应商所投</w:t>
      </w:r>
      <w:r>
        <w:rPr>
          <w:rFonts w:hint="eastAsia" w:ascii="新宋体" w:hAnsi="新宋体" w:eastAsia="新宋体"/>
          <w:color w:val="000000"/>
          <w:sz w:val="22"/>
        </w:rPr>
        <w:t>设备</w:t>
      </w:r>
      <w:r>
        <w:rPr>
          <w:rFonts w:hint="eastAsia" w:ascii="新宋体" w:hAnsi="新宋体" w:eastAsia="新宋体"/>
          <w:color w:val="000000"/>
          <w:sz w:val="22"/>
          <w:szCs w:val="22"/>
        </w:rPr>
        <w:t>及主要部件的名称、品牌、型号、技术参数、性能、数量、单价、合价厂商、产地、质保期等应在响应文件中明确，对磋商文件的技术条款及要求应予以实质性响应，如有偏离应在偏离表中注明。</w:t>
      </w:r>
    </w:p>
    <w:p>
      <w:pPr>
        <w:spacing w:line="440" w:lineRule="exact"/>
        <w:ind w:left="421" w:leftChars="-9" w:hanging="440" w:hangingChars="200"/>
        <w:rPr>
          <w:rFonts w:hint="eastAsia" w:ascii="新宋体" w:hAnsi="新宋体" w:eastAsia="新宋体"/>
          <w:b/>
          <w:color w:val="000000"/>
          <w:sz w:val="22"/>
          <w:szCs w:val="22"/>
          <w:u w:val="single"/>
        </w:rPr>
      </w:pPr>
      <w:r>
        <w:rPr>
          <w:rFonts w:hint="eastAsia" w:ascii="新宋体" w:hAnsi="新宋体" w:eastAsia="新宋体"/>
          <w:color w:val="000000"/>
          <w:sz w:val="22"/>
          <w:szCs w:val="22"/>
        </w:rPr>
        <w:t xml:space="preserve">4、 </w:t>
      </w:r>
      <w:r>
        <w:rPr>
          <w:rFonts w:hint="eastAsia" w:ascii="新宋体" w:hAnsi="新宋体" w:eastAsia="新宋体"/>
          <w:b/>
          <w:color w:val="000000"/>
          <w:sz w:val="22"/>
          <w:szCs w:val="22"/>
          <w:u w:val="single"/>
        </w:rPr>
        <w:t>本项目采购的多功能酶标仪</w:t>
      </w:r>
      <w:r>
        <w:rPr>
          <w:rFonts w:hint="eastAsia" w:ascii="新宋体" w:hAnsi="新宋体" w:eastAsia="新宋体"/>
          <w:b/>
          <w:color w:val="000000"/>
          <w:sz w:val="22"/>
          <w:szCs w:val="22"/>
          <w:u w:val="single"/>
          <w:lang w:eastAsia="zh-CN"/>
        </w:rPr>
        <w:t>、纳米粒度</w:t>
      </w:r>
      <w:r>
        <w:rPr>
          <w:rFonts w:hint="eastAsia" w:ascii="新宋体" w:hAnsi="新宋体" w:eastAsia="新宋体"/>
          <w:b/>
          <w:color w:val="000000"/>
          <w:sz w:val="22"/>
          <w:szCs w:val="22"/>
          <w:u w:val="single"/>
          <w:lang w:val="en-US" w:eastAsia="zh-CN"/>
        </w:rPr>
        <w:t>及</w:t>
      </w:r>
      <w:r>
        <w:rPr>
          <w:rFonts w:hint="eastAsia" w:ascii="新宋体" w:hAnsi="新宋体" w:eastAsia="新宋体"/>
          <w:b/>
          <w:color w:val="000000"/>
          <w:sz w:val="22"/>
          <w:szCs w:val="22"/>
          <w:u w:val="single"/>
          <w:lang w:eastAsia="zh-CN"/>
        </w:rPr>
        <w:t>Zeta电位分析仪</w:t>
      </w:r>
      <w:r>
        <w:rPr>
          <w:rFonts w:hint="eastAsia" w:ascii="新宋体" w:hAnsi="新宋体" w:eastAsia="新宋体"/>
          <w:b/>
          <w:color w:val="000000"/>
          <w:sz w:val="22"/>
          <w:szCs w:val="22"/>
          <w:u w:val="single"/>
        </w:rPr>
        <w:t>采购经财政主管部门批准，为进口论证产品，可以采购进口产品。</w:t>
      </w:r>
    </w:p>
    <w:p>
      <w:pPr>
        <w:spacing w:line="440" w:lineRule="exact"/>
        <w:ind w:left="421" w:leftChars="-9" w:hanging="440" w:hangingChars="200"/>
        <w:rPr>
          <w:rFonts w:hint="eastAsia" w:ascii="新宋体" w:hAnsi="新宋体" w:eastAsia="新宋体"/>
          <w:b/>
          <w:color w:val="000000"/>
          <w:sz w:val="22"/>
          <w:szCs w:val="22"/>
        </w:rPr>
      </w:pPr>
      <w:r>
        <w:rPr>
          <w:rFonts w:hint="eastAsia" w:ascii="新宋体" w:hAnsi="新宋体" w:eastAsia="新宋体"/>
          <w:color w:val="000000"/>
          <w:sz w:val="22"/>
          <w:szCs w:val="22"/>
        </w:rPr>
        <w:t>5、</w:t>
      </w:r>
      <w:r>
        <w:rPr>
          <w:rFonts w:hint="eastAsia" w:ascii="新宋体" w:hAnsi="新宋体" w:eastAsia="新宋体"/>
          <w:b/>
          <w:color w:val="000000"/>
          <w:sz w:val="22"/>
          <w:szCs w:val="22"/>
          <w:u w:val="single"/>
        </w:rPr>
        <w:t>▲本项目采</w:t>
      </w:r>
      <w:r>
        <w:rPr>
          <w:rFonts w:hint="eastAsia" w:ascii="新宋体" w:hAnsi="新宋体" w:eastAsia="新宋体"/>
          <w:b/>
          <w:color w:val="auto"/>
          <w:sz w:val="22"/>
          <w:szCs w:val="22"/>
          <w:u w:val="single"/>
        </w:rPr>
        <w:t>购预算105万元,</w:t>
      </w:r>
      <w:r>
        <w:rPr>
          <w:rFonts w:hint="eastAsia" w:ascii="新宋体" w:hAnsi="新宋体" w:eastAsia="新宋体"/>
          <w:b/>
          <w:color w:val="auto"/>
          <w:sz w:val="22"/>
          <w:u w:val="single"/>
        </w:rPr>
        <w:t>供应商的投</w:t>
      </w:r>
      <w:r>
        <w:rPr>
          <w:rFonts w:hint="eastAsia" w:ascii="新宋体" w:hAnsi="新宋体" w:eastAsia="新宋体"/>
          <w:b/>
          <w:color w:val="000000"/>
          <w:sz w:val="22"/>
          <w:u w:val="single"/>
        </w:rPr>
        <w:t>标报价超过采购预算的，其响应文件按无效标处理。</w:t>
      </w:r>
    </w:p>
    <w:p>
      <w:pPr>
        <w:spacing w:line="440" w:lineRule="exact"/>
        <w:ind w:left="420" w:hanging="420" w:hangingChars="190"/>
        <w:rPr>
          <w:rFonts w:hint="eastAsia" w:ascii="新宋体" w:hAnsi="新宋体" w:eastAsia="新宋体"/>
          <w:b/>
          <w:bCs/>
          <w:color w:val="000000"/>
          <w:sz w:val="22"/>
          <w:szCs w:val="22"/>
          <w:lang w:val="zh-CN"/>
        </w:rPr>
      </w:pPr>
      <w:bookmarkStart w:id="2" w:name="_Toc184635505"/>
      <w:r>
        <w:rPr>
          <w:rFonts w:hint="eastAsia" w:ascii="新宋体" w:hAnsi="新宋体" w:eastAsia="新宋体"/>
          <w:b/>
          <w:bCs/>
          <w:color w:val="000000"/>
          <w:sz w:val="22"/>
          <w:szCs w:val="22"/>
          <w:lang w:val="zh-CN"/>
        </w:rPr>
        <w:t>▲二</w:t>
      </w:r>
      <w:bookmarkEnd w:id="2"/>
      <w:r>
        <w:rPr>
          <w:rFonts w:hint="eastAsia" w:ascii="新宋体" w:hAnsi="新宋体" w:eastAsia="新宋体"/>
          <w:b/>
          <w:bCs/>
          <w:color w:val="000000"/>
          <w:sz w:val="22"/>
          <w:szCs w:val="22"/>
          <w:lang w:val="zh-CN"/>
        </w:rPr>
        <w:t>、</w:t>
      </w:r>
      <w:r>
        <w:rPr>
          <w:rFonts w:hint="eastAsia" w:ascii="新宋体" w:hAnsi="新宋体" w:eastAsia="新宋体"/>
          <w:b/>
          <w:bCs/>
          <w:color w:val="000000"/>
          <w:sz w:val="22"/>
          <w:szCs w:val="22"/>
          <w:u w:val="single"/>
          <w:lang w:val="zh-CN"/>
        </w:rPr>
        <w:t>采购内容清单</w:t>
      </w:r>
    </w:p>
    <w:tbl>
      <w:tblPr>
        <w:tblStyle w:val="12"/>
        <w:tblW w:w="96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4022"/>
        <w:gridCol w:w="1417"/>
        <w:gridCol w:w="2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4" w:hRule="atLeast"/>
        </w:trPr>
        <w:tc>
          <w:tcPr>
            <w:tcW w:w="1365"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jc w:val="center"/>
              <w:rPr>
                <w:rFonts w:hint="eastAsia" w:ascii="新宋体" w:hAnsi="新宋体" w:eastAsia="新宋体"/>
                <w:b/>
                <w:color w:val="000000"/>
                <w:sz w:val="22"/>
                <w:szCs w:val="22"/>
                <w:lang w:val="en-US" w:eastAsia="zh-CN"/>
              </w:rPr>
            </w:pPr>
            <w:r>
              <w:rPr>
                <w:rFonts w:hint="eastAsia" w:ascii="新宋体" w:hAnsi="新宋体" w:eastAsia="新宋体"/>
                <w:b/>
                <w:color w:val="000000"/>
                <w:sz w:val="22"/>
                <w:szCs w:val="22"/>
                <w:lang w:val="en-US" w:eastAsia="zh-CN"/>
              </w:rPr>
              <w:t>序号</w:t>
            </w:r>
          </w:p>
        </w:tc>
        <w:tc>
          <w:tcPr>
            <w:tcW w:w="4022"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jc w:val="center"/>
              <w:rPr>
                <w:rFonts w:hint="eastAsia" w:ascii="新宋体" w:hAnsi="新宋体" w:eastAsia="新宋体"/>
                <w:b/>
                <w:color w:val="000000"/>
                <w:sz w:val="22"/>
                <w:szCs w:val="22"/>
                <w:lang w:val="en-US" w:eastAsia="zh-CN"/>
              </w:rPr>
            </w:pPr>
            <w:r>
              <w:rPr>
                <w:rFonts w:hint="eastAsia" w:ascii="新宋体" w:hAnsi="新宋体" w:eastAsia="新宋体"/>
                <w:b/>
                <w:color w:val="000000"/>
                <w:sz w:val="22"/>
                <w:szCs w:val="22"/>
                <w:lang w:val="en-US" w:eastAsia="zh-CN"/>
              </w:rPr>
              <w:t xml:space="preserve">采购内容 </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jc w:val="center"/>
              <w:rPr>
                <w:rFonts w:hint="eastAsia" w:ascii="新宋体" w:hAnsi="新宋体" w:eastAsia="新宋体"/>
                <w:b/>
                <w:color w:val="000000"/>
                <w:sz w:val="22"/>
                <w:szCs w:val="22"/>
                <w:lang w:val="en-US" w:eastAsia="zh-CN"/>
              </w:rPr>
            </w:pPr>
            <w:r>
              <w:rPr>
                <w:rFonts w:hint="eastAsia" w:ascii="新宋体" w:hAnsi="新宋体" w:eastAsia="新宋体"/>
                <w:b/>
                <w:color w:val="000000"/>
                <w:sz w:val="22"/>
                <w:szCs w:val="22"/>
                <w:lang w:val="en-US" w:eastAsia="zh-CN"/>
              </w:rPr>
              <w:t>数量</w:t>
            </w:r>
          </w:p>
        </w:tc>
        <w:tc>
          <w:tcPr>
            <w:tcW w:w="2856"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jc w:val="center"/>
              <w:rPr>
                <w:rFonts w:hint="eastAsia" w:ascii="新宋体" w:hAnsi="新宋体" w:eastAsia="新宋体"/>
                <w:b/>
                <w:color w:val="000000"/>
                <w:sz w:val="22"/>
                <w:szCs w:val="22"/>
                <w:lang w:val="en-US" w:eastAsia="zh-CN"/>
              </w:rPr>
            </w:pPr>
            <w:r>
              <w:rPr>
                <w:rFonts w:hint="eastAsia" w:ascii="新宋体" w:hAnsi="新宋体" w:eastAsia="新宋体"/>
                <w:b/>
                <w:color w:val="000000"/>
                <w:sz w:val="22"/>
                <w:szCs w:val="22"/>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365"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jc w:val="center"/>
              <w:rPr>
                <w:rFonts w:hint="eastAsia" w:ascii="新宋体" w:hAnsi="新宋体" w:eastAsia="新宋体"/>
                <w:b/>
                <w:color w:val="000000"/>
                <w:sz w:val="22"/>
                <w:szCs w:val="22"/>
                <w:lang w:val="en-US" w:eastAsia="zh-CN"/>
              </w:rPr>
            </w:pPr>
            <w:r>
              <w:rPr>
                <w:rFonts w:hint="eastAsia" w:ascii="新宋体" w:hAnsi="新宋体" w:eastAsia="新宋体"/>
                <w:b/>
                <w:color w:val="000000"/>
                <w:sz w:val="22"/>
                <w:szCs w:val="22"/>
                <w:lang w:val="en-US" w:eastAsia="zh-CN"/>
              </w:rPr>
              <w:t>1</w:t>
            </w:r>
          </w:p>
        </w:tc>
        <w:tc>
          <w:tcPr>
            <w:tcW w:w="402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left="421" w:leftChars="-9" w:hanging="440" w:hangingChars="200"/>
              <w:jc w:val="center"/>
              <w:rPr>
                <w:rFonts w:ascii="新宋体" w:hAnsi="新宋体" w:eastAsia="新宋体"/>
                <w:color w:val="000000"/>
                <w:sz w:val="22"/>
                <w:szCs w:val="22"/>
              </w:rPr>
            </w:pPr>
            <w:r>
              <w:rPr>
                <w:rFonts w:hint="eastAsia" w:ascii="新宋体" w:hAnsi="新宋体" w:eastAsia="新宋体"/>
                <w:color w:val="000000"/>
                <w:sz w:val="22"/>
                <w:szCs w:val="22"/>
              </w:rPr>
              <w:t>多功能酶标仪</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pStyle w:val="9"/>
              <w:spacing w:line="440" w:lineRule="exact"/>
              <w:ind w:left="421" w:leftChars="-9" w:hanging="440" w:hangingChars="200"/>
              <w:jc w:val="center"/>
              <w:rPr>
                <w:rFonts w:hint="eastAsia" w:ascii="新宋体" w:hAnsi="新宋体" w:eastAsia="新宋体"/>
                <w:color w:val="000000"/>
                <w:sz w:val="22"/>
                <w:szCs w:val="22"/>
                <w:lang w:val="en-US" w:eastAsia="zh-CN"/>
              </w:rPr>
            </w:pPr>
            <w:r>
              <w:rPr>
                <w:rFonts w:hint="eastAsia" w:ascii="新宋体" w:hAnsi="新宋体" w:eastAsia="新宋体"/>
                <w:color w:val="000000"/>
                <w:sz w:val="22"/>
                <w:szCs w:val="22"/>
                <w:lang w:val="en-US" w:eastAsia="zh-CN"/>
              </w:rPr>
              <w:t>1套</w:t>
            </w:r>
          </w:p>
        </w:tc>
        <w:tc>
          <w:tcPr>
            <w:tcW w:w="2856" w:type="dxa"/>
            <w:tcBorders>
              <w:top w:val="single" w:color="auto" w:sz="4" w:space="0"/>
              <w:left w:val="single" w:color="auto" w:sz="4" w:space="0"/>
              <w:bottom w:val="single" w:color="auto" w:sz="4" w:space="0"/>
              <w:right w:val="single" w:color="auto" w:sz="4" w:space="0"/>
            </w:tcBorders>
            <w:noWrap w:val="0"/>
            <w:vAlign w:val="center"/>
          </w:tcPr>
          <w:p>
            <w:pPr>
              <w:pStyle w:val="9"/>
              <w:spacing w:line="440" w:lineRule="exact"/>
              <w:ind w:left="421" w:leftChars="-9" w:hanging="440" w:hangingChars="200"/>
              <w:jc w:val="center"/>
              <w:rPr>
                <w:rFonts w:hint="eastAsia" w:ascii="新宋体" w:hAnsi="新宋体" w:eastAsia="新宋体"/>
                <w:color w:val="000000"/>
                <w:sz w:val="22"/>
                <w:szCs w:val="22"/>
                <w:lang w:val="en-US" w:eastAsia="zh-CN"/>
              </w:rPr>
            </w:pPr>
            <w:r>
              <w:rPr>
                <w:rFonts w:hint="eastAsia" w:ascii="新宋体" w:hAnsi="新宋体" w:eastAsia="新宋体"/>
                <w:color w:val="000000"/>
                <w:sz w:val="22"/>
                <w:szCs w:val="22"/>
                <w:lang w:val="en-US" w:eastAsia="zh-CN"/>
              </w:rPr>
              <w:t>省统一进口论证产品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365"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jc w:val="center"/>
              <w:rPr>
                <w:rFonts w:hint="eastAsia" w:ascii="新宋体" w:hAnsi="新宋体" w:eastAsia="新宋体"/>
                <w:b/>
                <w:color w:val="000000"/>
                <w:sz w:val="22"/>
                <w:szCs w:val="22"/>
                <w:lang w:val="en-US" w:eastAsia="zh-CN"/>
              </w:rPr>
            </w:pPr>
            <w:r>
              <w:rPr>
                <w:rFonts w:hint="eastAsia" w:ascii="新宋体" w:hAnsi="新宋体" w:eastAsia="新宋体"/>
                <w:b/>
                <w:color w:val="000000"/>
                <w:sz w:val="22"/>
                <w:szCs w:val="22"/>
                <w:lang w:val="en-US" w:eastAsia="zh-CN"/>
              </w:rPr>
              <w:t>2</w:t>
            </w:r>
          </w:p>
        </w:tc>
        <w:tc>
          <w:tcPr>
            <w:tcW w:w="402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left="421" w:leftChars="-9" w:hanging="440" w:hangingChars="200"/>
              <w:jc w:val="center"/>
              <w:rPr>
                <w:rFonts w:hint="eastAsia" w:ascii="新宋体" w:hAnsi="新宋体" w:eastAsia="新宋体"/>
                <w:color w:val="000000"/>
                <w:sz w:val="22"/>
                <w:szCs w:val="22"/>
              </w:rPr>
            </w:pPr>
            <w:r>
              <w:rPr>
                <w:rFonts w:hint="eastAsia" w:ascii="新宋体" w:hAnsi="新宋体" w:eastAsia="新宋体"/>
                <w:color w:val="000000"/>
                <w:sz w:val="22"/>
                <w:szCs w:val="22"/>
              </w:rPr>
              <w:t>纳米粒度</w:t>
            </w:r>
            <w:r>
              <w:rPr>
                <w:rFonts w:hint="eastAsia" w:ascii="新宋体" w:hAnsi="新宋体" w:eastAsia="新宋体"/>
                <w:color w:val="000000"/>
                <w:sz w:val="22"/>
                <w:szCs w:val="22"/>
                <w:lang w:val="en-US" w:eastAsia="zh-CN"/>
              </w:rPr>
              <w:t>及</w:t>
            </w:r>
            <w:r>
              <w:rPr>
                <w:rFonts w:hint="eastAsia" w:ascii="新宋体" w:hAnsi="新宋体" w:eastAsia="新宋体"/>
                <w:color w:val="000000"/>
                <w:sz w:val="22"/>
                <w:szCs w:val="22"/>
              </w:rPr>
              <w:t>Zeta电位分析仪</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pStyle w:val="9"/>
              <w:spacing w:line="440" w:lineRule="exact"/>
              <w:ind w:left="421" w:leftChars="-9" w:hanging="440" w:hangingChars="200"/>
              <w:jc w:val="center"/>
              <w:rPr>
                <w:rFonts w:hint="eastAsia" w:ascii="新宋体" w:hAnsi="新宋体" w:eastAsia="新宋体"/>
                <w:color w:val="000000"/>
                <w:sz w:val="22"/>
                <w:szCs w:val="22"/>
                <w:lang w:val="en-US" w:eastAsia="zh-CN"/>
              </w:rPr>
            </w:pPr>
            <w:r>
              <w:rPr>
                <w:rFonts w:hint="eastAsia" w:ascii="新宋体" w:hAnsi="新宋体" w:eastAsia="新宋体"/>
                <w:color w:val="000000"/>
                <w:sz w:val="22"/>
                <w:szCs w:val="22"/>
                <w:lang w:val="en-US" w:eastAsia="zh-CN"/>
              </w:rPr>
              <w:t>1套</w:t>
            </w:r>
          </w:p>
        </w:tc>
        <w:tc>
          <w:tcPr>
            <w:tcW w:w="2856" w:type="dxa"/>
            <w:tcBorders>
              <w:top w:val="single" w:color="auto" w:sz="4" w:space="0"/>
              <w:left w:val="single" w:color="auto" w:sz="4" w:space="0"/>
              <w:bottom w:val="single" w:color="auto" w:sz="4" w:space="0"/>
              <w:right w:val="single" w:color="auto" w:sz="4" w:space="0"/>
            </w:tcBorders>
            <w:noWrap w:val="0"/>
            <w:vAlign w:val="center"/>
          </w:tcPr>
          <w:p>
            <w:pPr>
              <w:pStyle w:val="9"/>
              <w:spacing w:line="440" w:lineRule="exact"/>
              <w:ind w:left="421" w:leftChars="-9" w:hanging="440" w:hangingChars="200"/>
              <w:jc w:val="center"/>
              <w:rPr>
                <w:rFonts w:hint="eastAsia" w:ascii="新宋体" w:hAnsi="新宋体" w:eastAsia="新宋体"/>
                <w:color w:val="000000"/>
                <w:sz w:val="22"/>
                <w:szCs w:val="22"/>
                <w:lang w:val="en-US" w:eastAsia="zh-CN"/>
              </w:rPr>
            </w:pPr>
            <w:r>
              <w:rPr>
                <w:rFonts w:hint="eastAsia" w:ascii="新宋体" w:hAnsi="新宋体" w:eastAsia="新宋体"/>
                <w:color w:val="000000"/>
                <w:sz w:val="22"/>
                <w:szCs w:val="22"/>
                <w:lang w:val="en-US" w:eastAsia="zh-CN"/>
              </w:rPr>
              <w:t>省统一进口论证产品</w:t>
            </w:r>
          </w:p>
        </w:tc>
      </w:tr>
    </w:tbl>
    <w:p>
      <w:pPr>
        <w:spacing w:line="440" w:lineRule="exact"/>
        <w:ind w:left="420" w:hanging="420" w:hangingChars="190"/>
        <w:rPr>
          <w:rFonts w:hint="eastAsia" w:ascii="新宋体" w:hAnsi="新宋体" w:eastAsia="新宋体"/>
          <w:b/>
          <w:bCs/>
          <w:color w:val="000000"/>
          <w:sz w:val="22"/>
          <w:szCs w:val="22"/>
          <w:lang w:val="zh-CN"/>
        </w:rPr>
      </w:pPr>
      <w:r>
        <w:rPr>
          <w:rFonts w:hint="eastAsia" w:ascii="新宋体" w:hAnsi="新宋体" w:eastAsia="新宋体"/>
          <w:b/>
          <w:bCs/>
          <w:color w:val="000000"/>
          <w:sz w:val="22"/>
          <w:szCs w:val="22"/>
          <w:lang w:val="zh-CN"/>
        </w:rPr>
        <w:t>三、具体技术需求</w:t>
      </w:r>
    </w:p>
    <w:tbl>
      <w:tblPr>
        <w:tblStyle w:val="12"/>
        <w:tblW w:w="97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181"/>
        <w:gridCol w:w="7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trPr>
        <w:tc>
          <w:tcPr>
            <w:tcW w:w="735" w:type="dxa"/>
            <w:noWrap w:val="0"/>
            <w:vAlign w:val="center"/>
          </w:tcPr>
          <w:p>
            <w:pPr>
              <w:widowControl/>
              <w:spacing w:line="300" w:lineRule="exact"/>
              <w:jc w:val="center"/>
              <w:rPr>
                <w:rFonts w:ascii="新宋体" w:hAnsi="新宋体" w:eastAsia="新宋体" w:cs="宋体"/>
                <w:b/>
                <w:color w:val="000000"/>
                <w:kern w:val="0"/>
                <w:szCs w:val="21"/>
              </w:rPr>
            </w:pPr>
            <w:r>
              <w:rPr>
                <w:rFonts w:hint="eastAsia" w:ascii="新宋体" w:hAnsi="新宋体" w:eastAsia="新宋体" w:cs="宋体"/>
                <w:b/>
                <w:color w:val="000000"/>
                <w:kern w:val="0"/>
                <w:szCs w:val="21"/>
              </w:rPr>
              <w:t>序号</w:t>
            </w:r>
          </w:p>
        </w:tc>
        <w:tc>
          <w:tcPr>
            <w:tcW w:w="1181" w:type="dxa"/>
            <w:noWrap w:val="0"/>
            <w:vAlign w:val="center"/>
          </w:tcPr>
          <w:p>
            <w:pPr>
              <w:widowControl/>
              <w:spacing w:line="300" w:lineRule="exact"/>
              <w:jc w:val="center"/>
              <w:rPr>
                <w:rFonts w:ascii="新宋体" w:hAnsi="新宋体" w:eastAsia="新宋体" w:cs="宋体"/>
                <w:b/>
                <w:color w:val="000000"/>
                <w:kern w:val="0"/>
                <w:szCs w:val="21"/>
              </w:rPr>
            </w:pPr>
            <w:r>
              <w:rPr>
                <w:rFonts w:hint="eastAsia" w:ascii="新宋体" w:hAnsi="新宋体" w:eastAsia="新宋体" w:cs="宋体"/>
                <w:b/>
                <w:color w:val="000000"/>
                <w:kern w:val="0"/>
                <w:szCs w:val="21"/>
              </w:rPr>
              <w:t>设备名称</w:t>
            </w:r>
          </w:p>
        </w:tc>
        <w:tc>
          <w:tcPr>
            <w:tcW w:w="7849" w:type="dxa"/>
            <w:noWrap w:val="0"/>
            <w:vAlign w:val="center"/>
          </w:tcPr>
          <w:p>
            <w:pPr>
              <w:widowControl/>
              <w:spacing w:line="300" w:lineRule="exact"/>
              <w:jc w:val="center"/>
              <w:rPr>
                <w:rFonts w:ascii="新宋体" w:hAnsi="新宋体" w:eastAsia="新宋体" w:cs="宋体"/>
                <w:b/>
                <w:color w:val="000000"/>
                <w:kern w:val="0"/>
                <w:szCs w:val="21"/>
              </w:rPr>
            </w:pPr>
            <w:r>
              <w:rPr>
                <w:rFonts w:hint="eastAsia" w:ascii="新宋体" w:hAnsi="新宋体" w:eastAsia="新宋体" w:cs="宋体"/>
                <w:b/>
                <w:color w:val="000000"/>
                <w:kern w:val="0"/>
                <w:szCs w:val="21"/>
              </w:rPr>
              <w:t>技术性能参数及要求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735" w:type="dxa"/>
            <w:noWrap w:val="0"/>
            <w:vAlign w:val="center"/>
          </w:tcPr>
          <w:p>
            <w:pPr>
              <w:widowControl/>
              <w:spacing w:line="300" w:lineRule="exact"/>
              <w:jc w:val="center"/>
              <w:rPr>
                <w:rFonts w:hint="eastAsia" w:ascii="新宋体" w:hAnsi="新宋体" w:eastAsia="新宋体" w:cs="宋体"/>
                <w:color w:val="000000"/>
                <w:kern w:val="0"/>
                <w:sz w:val="22"/>
                <w:szCs w:val="22"/>
              </w:rPr>
            </w:pPr>
            <w:r>
              <w:rPr>
                <w:rFonts w:hint="eastAsia" w:ascii="新宋体" w:hAnsi="新宋体" w:eastAsia="新宋体" w:cs="宋体"/>
                <w:color w:val="000000"/>
                <w:kern w:val="0"/>
                <w:sz w:val="22"/>
                <w:szCs w:val="22"/>
              </w:rPr>
              <w:t>1</w:t>
            </w:r>
          </w:p>
        </w:tc>
        <w:tc>
          <w:tcPr>
            <w:tcW w:w="1181" w:type="dxa"/>
            <w:noWrap w:val="0"/>
            <w:vAlign w:val="center"/>
          </w:tcPr>
          <w:p>
            <w:pPr>
              <w:widowControl/>
              <w:spacing w:line="300" w:lineRule="exact"/>
              <w:jc w:val="center"/>
              <w:rPr>
                <w:rFonts w:hint="eastAsia" w:ascii="新宋体" w:hAnsi="新宋体" w:eastAsia="新宋体"/>
                <w:color w:val="000000"/>
                <w:sz w:val="22"/>
                <w:szCs w:val="22"/>
              </w:rPr>
            </w:pPr>
            <w:r>
              <w:rPr>
                <w:rFonts w:hint="eastAsia" w:ascii="新宋体" w:hAnsi="新宋体" w:eastAsia="新宋体" w:cs="宋体"/>
                <w:sz w:val="22"/>
                <w:szCs w:val="22"/>
              </w:rPr>
              <w:t>多功能酶标仪</w:t>
            </w:r>
          </w:p>
        </w:tc>
        <w:tc>
          <w:tcPr>
            <w:tcW w:w="7849" w:type="dxa"/>
            <w:noWrap w:val="0"/>
            <w:vAlign w:val="top"/>
          </w:tcPr>
          <w:p>
            <w:pPr>
              <w:spacing w:line="360" w:lineRule="auto"/>
              <w:rPr>
                <w:rFonts w:hint="eastAsia" w:ascii="新宋体" w:hAnsi="新宋体" w:eastAsia="新宋体"/>
                <w:sz w:val="22"/>
                <w:szCs w:val="22"/>
              </w:rPr>
            </w:pPr>
            <w:r>
              <w:rPr>
                <w:rFonts w:hint="eastAsia" w:ascii="新宋体" w:hAnsi="新宋体" w:eastAsia="新宋体"/>
                <w:sz w:val="22"/>
                <w:szCs w:val="22"/>
              </w:rPr>
              <w:t>一、主机</w:t>
            </w:r>
          </w:p>
          <w:p>
            <w:pPr>
              <w:numPr>
                <w:ilvl w:val="0"/>
                <w:numId w:val="2"/>
              </w:numPr>
              <w:spacing w:line="360" w:lineRule="auto"/>
              <w:rPr>
                <w:rFonts w:hint="eastAsia" w:ascii="宋体" w:hAnsi="宋体" w:eastAsia="宋体" w:cs="宋体"/>
                <w:sz w:val="22"/>
                <w:szCs w:val="22"/>
              </w:rPr>
            </w:pPr>
            <w:r>
              <w:rPr>
                <w:rFonts w:hint="eastAsia" w:ascii="宋体" w:hAnsi="宋体" w:eastAsia="宋体" w:cs="宋体"/>
                <w:sz w:val="22"/>
                <w:szCs w:val="22"/>
              </w:rPr>
              <w:t>检测模式：光吸收、荧光顶部底部、时间分辨荧光（TRF）、连续发光、瞬时发光、双色发光(BRET2 ,ChromaGlo、NanoBRET)、光吸收和荧光波长扫描</w:t>
            </w:r>
          </w:p>
          <w:p>
            <w:pPr>
              <w:numPr>
                <w:ilvl w:val="0"/>
                <w:numId w:val="2"/>
              </w:numPr>
              <w:spacing w:line="360" w:lineRule="auto"/>
              <w:rPr>
                <w:rFonts w:hint="eastAsia" w:ascii="宋体" w:hAnsi="宋体" w:eastAsia="宋体" w:cs="宋体"/>
                <w:sz w:val="22"/>
                <w:szCs w:val="22"/>
              </w:rPr>
            </w:pPr>
            <w:r>
              <w:rPr>
                <w:rFonts w:hint="eastAsia" w:ascii="宋体" w:hAnsi="宋体" w:eastAsia="宋体" w:cs="宋体"/>
                <w:sz w:val="22"/>
                <w:szCs w:val="22"/>
              </w:rPr>
              <w:t>光源：高能闪烁氙灯，使用寿命&gt;10</w:t>
            </w:r>
            <w:r>
              <w:rPr>
                <w:rFonts w:hint="eastAsia" w:ascii="宋体" w:hAnsi="宋体" w:eastAsia="宋体" w:cs="宋体"/>
                <w:sz w:val="22"/>
                <w:szCs w:val="22"/>
                <w:vertAlign w:val="superscript"/>
              </w:rPr>
              <w:t>8</w:t>
            </w:r>
            <w:r>
              <w:rPr>
                <w:rFonts w:hint="eastAsia" w:ascii="宋体" w:hAnsi="宋体" w:eastAsia="宋体" w:cs="宋体"/>
                <w:sz w:val="22"/>
                <w:szCs w:val="22"/>
              </w:rPr>
              <w:t>次闪烁；</w:t>
            </w:r>
          </w:p>
          <w:p>
            <w:pPr>
              <w:numPr>
                <w:ilvl w:val="0"/>
                <w:numId w:val="2"/>
              </w:numPr>
              <w:spacing w:line="360" w:lineRule="auto"/>
              <w:rPr>
                <w:rFonts w:hint="eastAsia" w:ascii="宋体" w:hAnsi="宋体" w:eastAsia="宋体" w:cs="宋体"/>
                <w:b/>
                <w:sz w:val="22"/>
                <w:szCs w:val="22"/>
              </w:rPr>
            </w:pPr>
            <w:r>
              <w:rPr>
                <w:rFonts w:hint="eastAsia" w:ascii="宋体" w:hAnsi="宋体" w:eastAsia="宋体" w:cs="宋体"/>
                <w:b/>
                <w:sz w:val="22"/>
                <w:szCs w:val="22"/>
              </w:rPr>
              <w:t>★波长选择：激发双光栅，发射双光栅，杂光率&lt;0.001%；</w:t>
            </w:r>
          </w:p>
          <w:p>
            <w:pPr>
              <w:numPr>
                <w:ilvl w:val="0"/>
                <w:numId w:val="2"/>
              </w:numPr>
              <w:spacing w:line="360" w:lineRule="auto"/>
              <w:rPr>
                <w:rFonts w:hint="eastAsia" w:ascii="宋体" w:hAnsi="宋体" w:eastAsia="宋体" w:cs="宋体"/>
                <w:sz w:val="22"/>
                <w:szCs w:val="22"/>
              </w:rPr>
            </w:pPr>
            <w:r>
              <w:rPr>
                <w:rFonts w:hint="eastAsia" w:ascii="宋体" w:hAnsi="宋体" w:eastAsia="宋体" w:cs="宋体"/>
                <w:sz w:val="22"/>
                <w:szCs w:val="22"/>
              </w:rPr>
              <w:t>适用板型：6-384孔板、PCR板、4位卧式比色杯、高通量微量检测板（2ul×16）和其他自定义板型；</w:t>
            </w:r>
          </w:p>
          <w:p>
            <w:pPr>
              <w:numPr>
                <w:ilvl w:val="0"/>
                <w:numId w:val="2"/>
              </w:numPr>
              <w:spacing w:line="360" w:lineRule="auto"/>
              <w:rPr>
                <w:rFonts w:hint="eastAsia" w:ascii="宋体" w:hAnsi="宋体" w:eastAsia="宋体" w:cs="宋体"/>
                <w:sz w:val="22"/>
                <w:szCs w:val="22"/>
              </w:rPr>
            </w:pPr>
            <w:r>
              <w:rPr>
                <w:rFonts w:hint="eastAsia" w:ascii="宋体" w:hAnsi="宋体" w:eastAsia="宋体" w:cs="宋体"/>
                <w:sz w:val="22"/>
                <w:szCs w:val="22"/>
              </w:rPr>
              <w:t>可选配独立的立式比色杯光路，可使用常规的比色杯进行检测；</w:t>
            </w:r>
          </w:p>
          <w:p>
            <w:pPr>
              <w:numPr>
                <w:ilvl w:val="0"/>
                <w:numId w:val="2"/>
              </w:numPr>
              <w:spacing w:line="360" w:lineRule="auto"/>
              <w:rPr>
                <w:rFonts w:hint="eastAsia" w:ascii="宋体" w:hAnsi="宋体" w:eastAsia="宋体" w:cs="宋体"/>
                <w:sz w:val="22"/>
                <w:szCs w:val="22"/>
              </w:rPr>
            </w:pPr>
            <w:r>
              <w:rPr>
                <w:rFonts w:hint="eastAsia" w:ascii="宋体" w:hAnsi="宋体" w:eastAsia="宋体" w:cs="宋体"/>
                <w:sz w:val="22"/>
                <w:szCs w:val="22"/>
              </w:rPr>
              <w:t>多点测量：每孔多至225点信号均一化处理；</w:t>
            </w:r>
          </w:p>
          <w:p>
            <w:pPr>
              <w:numPr>
                <w:ilvl w:val="0"/>
                <w:numId w:val="2"/>
              </w:numPr>
              <w:spacing w:line="360" w:lineRule="auto"/>
              <w:rPr>
                <w:rFonts w:hint="eastAsia" w:ascii="宋体" w:hAnsi="宋体" w:eastAsia="宋体" w:cs="宋体"/>
                <w:b/>
                <w:sz w:val="22"/>
                <w:szCs w:val="22"/>
              </w:rPr>
            </w:pPr>
            <w:r>
              <w:rPr>
                <w:rFonts w:hint="eastAsia" w:ascii="宋体" w:hAnsi="宋体" w:eastAsia="宋体" w:cs="宋体"/>
                <w:b/>
                <w:sz w:val="22"/>
                <w:szCs w:val="22"/>
              </w:rPr>
              <w:t>★检测器：配备三个独立检测器，紫外光电二极管PDT（光吸收）、红外敏感PMT（荧光）、单光子计数PCT（化学发光）</w:t>
            </w:r>
          </w:p>
          <w:p>
            <w:pPr>
              <w:numPr>
                <w:ilvl w:val="0"/>
                <w:numId w:val="2"/>
              </w:numPr>
              <w:spacing w:line="360" w:lineRule="auto"/>
              <w:rPr>
                <w:rFonts w:hint="eastAsia" w:ascii="宋体" w:hAnsi="宋体" w:eastAsia="宋体" w:cs="宋体"/>
                <w:sz w:val="22"/>
                <w:szCs w:val="22"/>
              </w:rPr>
            </w:pPr>
            <w:r>
              <w:rPr>
                <w:rFonts w:hint="eastAsia" w:ascii="宋体" w:hAnsi="宋体" w:eastAsia="宋体" w:cs="宋体"/>
                <w:sz w:val="22"/>
                <w:szCs w:val="22"/>
              </w:rPr>
              <w:t>多标记检测：单次检测同一孔检测多达10种不同波长标记物；</w:t>
            </w:r>
          </w:p>
          <w:p>
            <w:pPr>
              <w:numPr>
                <w:ilvl w:val="0"/>
                <w:numId w:val="2"/>
              </w:numPr>
              <w:spacing w:line="360" w:lineRule="auto"/>
              <w:rPr>
                <w:rFonts w:hint="eastAsia" w:ascii="宋体" w:hAnsi="宋体" w:eastAsia="宋体" w:cs="宋体"/>
                <w:sz w:val="22"/>
                <w:szCs w:val="22"/>
              </w:rPr>
            </w:pPr>
            <w:r>
              <w:rPr>
                <w:rFonts w:hint="eastAsia" w:ascii="宋体" w:hAnsi="宋体" w:eastAsia="宋体" w:cs="宋体"/>
                <w:b w:val="0"/>
                <w:bCs/>
                <w:sz w:val="22"/>
                <w:szCs w:val="22"/>
              </w:rPr>
              <w:t>荧光具有Z轴自动优化功能：</w:t>
            </w:r>
            <w:r>
              <w:rPr>
                <w:rFonts w:hint="eastAsia" w:ascii="宋体" w:hAnsi="宋体" w:eastAsia="宋体" w:cs="宋体"/>
                <w:sz w:val="22"/>
                <w:szCs w:val="22"/>
              </w:rPr>
              <w:t>可根据使用板材自动进行调整，有效减少信号干扰；也可根据孔内不同液面高度进行调整，高准确性、高精确度、高灵敏度完成不同体积检测体系的检测需要，可有效降低反应体系体积、节约检测试剂用量；</w:t>
            </w:r>
          </w:p>
          <w:p>
            <w:pPr>
              <w:numPr>
                <w:ilvl w:val="0"/>
                <w:numId w:val="2"/>
              </w:numPr>
              <w:spacing w:line="360" w:lineRule="auto"/>
              <w:rPr>
                <w:rFonts w:hint="eastAsia" w:ascii="宋体" w:hAnsi="宋体" w:eastAsia="宋体" w:cs="宋体"/>
                <w:sz w:val="22"/>
                <w:szCs w:val="22"/>
              </w:rPr>
            </w:pPr>
            <w:r>
              <w:rPr>
                <w:rFonts w:hint="eastAsia" w:ascii="宋体" w:hAnsi="宋体" w:eastAsia="宋体" w:cs="宋体"/>
                <w:sz w:val="22"/>
                <w:szCs w:val="22"/>
              </w:rPr>
              <w:t>振板功能：线形和环形轨道模式可选，1-6mm振幅可选，0.5mm步进，不同振荡速度可调；</w:t>
            </w:r>
          </w:p>
          <w:p>
            <w:pPr>
              <w:numPr>
                <w:ilvl w:val="0"/>
                <w:numId w:val="2"/>
              </w:numPr>
              <w:spacing w:line="360" w:lineRule="auto"/>
              <w:rPr>
                <w:rFonts w:hint="eastAsia" w:ascii="宋体" w:hAnsi="宋体" w:eastAsia="宋体" w:cs="宋体"/>
                <w:kern w:val="0"/>
                <w:sz w:val="22"/>
                <w:szCs w:val="22"/>
              </w:rPr>
            </w:pPr>
            <w:r>
              <w:rPr>
                <w:rFonts w:hint="eastAsia" w:ascii="宋体" w:hAnsi="宋体" w:eastAsia="宋体" w:cs="宋体"/>
                <w:sz w:val="22"/>
                <w:szCs w:val="22"/>
              </w:rPr>
              <w:t>温度控制：室温+5℃～42℃；</w:t>
            </w:r>
          </w:p>
          <w:p>
            <w:pPr>
              <w:numPr>
                <w:ilvl w:val="0"/>
                <w:numId w:val="2"/>
              </w:numPr>
              <w:spacing w:line="360" w:lineRule="auto"/>
              <w:rPr>
                <w:rFonts w:hint="eastAsia" w:ascii="宋体" w:hAnsi="宋体" w:eastAsia="宋体" w:cs="宋体"/>
                <w:sz w:val="22"/>
                <w:szCs w:val="22"/>
              </w:rPr>
            </w:pPr>
            <w:r>
              <w:rPr>
                <w:rFonts w:hint="eastAsia" w:ascii="宋体" w:hAnsi="宋体" w:eastAsia="宋体" w:cs="宋体"/>
                <w:sz w:val="22"/>
                <w:szCs w:val="22"/>
                <w:highlight w:val="none"/>
              </w:rPr>
              <w:t>配置超微量检测板模块，光程固定0.5mm, 2ul上样量，同时支持16个样品检测，DNA检测限1ng/ul, 终生无需校准。</w:t>
            </w:r>
          </w:p>
          <w:p>
            <w:pPr>
              <w:spacing w:line="360" w:lineRule="auto"/>
              <w:rPr>
                <w:rFonts w:hint="eastAsia" w:ascii="宋体" w:hAnsi="宋体" w:eastAsia="宋体" w:cs="宋体"/>
                <w:b/>
                <w:bCs/>
                <w:sz w:val="22"/>
                <w:szCs w:val="22"/>
              </w:rPr>
            </w:pPr>
            <w:r>
              <w:rPr>
                <w:rFonts w:hint="eastAsia" w:ascii="宋体" w:hAnsi="宋体" w:eastAsia="宋体" w:cs="宋体"/>
                <w:b/>
                <w:bCs/>
                <w:sz w:val="22"/>
                <w:szCs w:val="22"/>
              </w:rPr>
              <w:t>二、光吸收模块</w:t>
            </w:r>
          </w:p>
          <w:p>
            <w:pPr>
              <w:numPr>
                <w:ilvl w:val="0"/>
                <w:numId w:val="3"/>
              </w:numPr>
              <w:spacing w:line="360" w:lineRule="auto"/>
              <w:ind w:left="425" w:leftChars="0" w:hanging="425" w:firstLineChars="0"/>
              <w:rPr>
                <w:rFonts w:hint="eastAsia" w:ascii="宋体" w:hAnsi="宋体" w:eastAsia="宋体" w:cs="宋体"/>
                <w:sz w:val="22"/>
                <w:szCs w:val="22"/>
              </w:rPr>
            </w:pPr>
            <w:r>
              <w:rPr>
                <w:rFonts w:hint="eastAsia" w:ascii="宋体" w:hAnsi="宋体" w:eastAsia="宋体" w:cs="宋体"/>
                <w:sz w:val="22"/>
                <w:szCs w:val="22"/>
              </w:rPr>
              <w:t>光吸收检测器：紫外硅光电二极管；</w:t>
            </w:r>
          </w:p>
          <w:p>
            <w:pPr>
              <w:numPr>
                <w:ilvl w:val="0"/>
                <w:numId w:val="3"/>
              </w:numPr>
              <w:spacing w:line="360" w:lineRule="auto"/>
              <w:ind w:left="425" w:leftChars="0" w:hanging="425" w:firstLineChars="0"/>
              <w:rPr>
                <w:rFonts w:hint="eastAsia" w:ascii="宋体" w:hAnsi="宋体" w:eastAsia="宋体" w:cs="宋体"/>
                <w:sz w:val="22"/>
                <w:szCs w:val="22"/>
              </w:rPr>
            </w:pPr>
            <w:r>
              <w:rPr>
                <w:rFonts w:hint="eastAsia" w:ascii="宋体" w:hAnsi="宋体" w:eastAsia="宋体" w:cs="宋体"/>
                <w:sz w:val="22"/>
                <w:szCs w:val="22"/>
              </w:rPr>
              <w:t>光吸收波长检测和扫描范围：230-1000nm，1nm递增；</w:t>
            </w:r>
          </w:p>
          <w:p>
            <w:pPr>
              <w:numPr>
                <w:ilvl w:val="0"/>
                <w:numId w:val="3"/>
              </w:numPr>
              <w:spacing w:line="360" w:lineRule="auto"/>
              <w:ind w:left="425" w:leftChars="0" w:hanging="425" w:firstLineChars="0"/>
              <w:rPr>
                <w:rFonts w:hint="eastAsia" w:ascii="宋体" w:hAnsi="宋体" w:eastAsia="宋体" w:cs="宋体"/>
                <w:sz w:val="22"/>
                <w:szCs w:val="22"/>
              </w:rPr>
            </w:pPr>
            <w:r>
              <w:rPr>
                <w:rFonts w:hint="eastAsia" w:ascii="宋体" w:hAnsi="宋体" w:eastAsia="宋体" w:cs="宋体"/>
                <w:b/>
                <w:sz w:val="22"/>
                <w:szCs w:val="22"/>
              </w:rPr>
              <w:t>★光栅波长准确性：</w:t>
            </w:r>
            <w:r>
              <w:rPr>
                <w:rFonts w:hint="eastAsia" w:ascii="宋体" w:hAnsi="宋体" w:eastAsia="宋体" w:cs="宋体"/>
                <w:b/>
                <w:kern w:val="0"/>
                <w:sz w:val="22"/>
                <w:szCs w:val="22"/>
              </w:rPr>
              <w:t>&lt;±0.5nm</w:t>
            </w:r>
            <w:r>
              <w:rPr>
                <w:rFonts w:hint="eastAsia" w:ascii="宋体" w:hAnsi="宋体" w:eastAsia="宋体" w:cs="宋体"/>
                <w:kern w:val="0"/>
                <w:sz w:val="22"/>
                <w:szCs w:val="22"/>
              </w:rPr>
              <w:t>；</w:t>
            </w:r>
          </w:p>
          <w:p>
            <w:pPr>
              <w:numPr>
                <w:ilvl w:val="0"/>
                <w:numId w:val="3"/>
              </w:numPr>
              <w:spacing w:line="360" w:lineRule="auto"/>
              <w:ind w:left="425" w:leftChars="0" w:hanging="425" w:firstLineChars="0"/>
              <w:rPr>
                <w:rFonts w:hint="eastAsia" w:ascii="宋体" w:hAnsi="宋体" w:eastAsia="宋体" w:cs="宋体"/>
                <w:sz w:val="22"/>
                <w:szCs w:val="22"/>
              </w:rPr>
            </w:pPr>
            <w:r>
              <w:rPr>
                <w:rFonts w:hint="eastAsia" w:ascii="宋体" w:hAnsi="宋体" w:eastAsia="宋体" w:cs="宋体"/>
                <w:sz w:val="22"/>
                <w:szCs w:val="22"/>
              </w:rPr>
              <w:t>光栅波长重复性：</w:t>
            </w:r>
            <w:r>
              <w:rPr>
                <w:rFonts w:hint="eastAsia" w:ascii="宋体" w:hAnsi="宋体" w:eastAsia="宋体" w:cs="宋体"/>
                <w:kern w:val="0"/>
                <w:sz w:val="22"/>
                <w:szCs w:val="22"/>
              </w:rPr>
              <w:t>&lt;±0.5nm；</w:t>
            </w:r>
          </w:p>
          <w:p>
            <w:pPr>
              <w:numPr>
                <w:ilvl w:val="0"/>
                <w:numId w:val="3"/>
              </w:numPr>
              <w:spacing w:line="360" w:lineRule="auto"/>
              <w:ind w:left="425" w:leftChars="0" w:hanging="425" w:firstLineChars="0"/>
              <w:rPr>
                <w:rFonts w:hint="eastAsia" w:ascii="宋体" w:hAnsi="宋体" w:eastAsia="宋体" w:cs="宋体"/>
                <w:b w:val="0"/>
                <w:bCs/>
                <w:sz w:val="22"/>
                <w:szCs w:val="22"/>
              </w:rPr>
            </w:pPr>
            <w:r>
              <w:rPr>
                <w:rFonts w:hint="eastAsia" w:ascii="宋体" w:hAnsi="宋体" w:eastAsia="宋体" w:cs="宋体"/>
                <w:b w:val="0"/>
                <w:bCs/>
                <w:kern w:val="0"/>
                <w:sz w:val="22"/>
                <w:szCs w:val="22"/>
              </w:rPr>
              <w:t>光吸收检测分辨率：0.0001 OD；</w:t>
            </w:r>
          </w:p>
          <w:p>
            <w:pPr>
              <w:numPr>
                <w:ilvl w:val="0"/>
                <w:numId w:val="3"/>
              </w:numPr>
              <w:spacing w:line="360" w:lineRule="auto"/>
              <w:ind w:left="425" w:leftChars="0" w:hanging="425" w:firstLineChars="0"/>
              <w:rPr>
                <w:rFonts w:hint="eastAsia" w:ascii="宋体" w:hAnsi="宋体" w:eastAsia="宋体" w:cs="宋体"/>
                <w:sz w:val="22"/>
                <w:szCs w:val="22"/>
              </w:rPr>
            </w:pPr>
            <w:r>
              <w:rPr>
                <w:rFonts w:hint="eastAsia" w:ascii="宋体" w:hAnsi="宋体" w:eastAsia="宋体" w:cs="宋体"/>
                <w:sz w:val="22"/>
                <w:szCs w:val="22"/>
              </w:rPr>
              <w:t>光吸收测量范围：0-4 OD；</w:t>
            </w:r>
          </w:p>
          <w:p>
            <w:pPr>
              <w:numPr>
                <w:ilvl w:val="0"/>
                <w:numId w:val="3"/>
              </w:numPr>
              <w:spacing w:line="360" w:lineRule="auto"/>
              <w:ind w:left="425" w:leftChars="0" w:hanging="425" w:firstLineChars="0"/>
              <w:rPr>
                <w:rFonts w:hint="eastAsia" w:ascii="宋体" w:hAnsi="宋体" w:eastAsia="宋体" w:cs="宋体"/>
                <w:sz w:val="22"/>
                <w:szCs w:val="22"/>
              </w:rPr>
            </w:pPr>
            <w:r>
              <w:rPr>
                <w:rFonts w:hint="eastAsia" w:ascii="宋体" w:hAnsi="宋体" w:eastAsia="宋体" w:cs="宋体"/>
                <w:sz w:val="22"/>
                <w:szCs w:val="22"/>
              </w:rPr>
              <w:t>光程校正：</w:t>
            </w:r>
            <w:r>
              <w:rPr>
                <w:rFonts w:hint="eastAsia" w:ascii="宋体" w:hAnsi="宋体" w:eastAsia="宋体" w:cs="宋体"/>
                <w:color w:val="000000"/>
                <w:kern w:val="0"/>
                <w:sz w:val="22"/>
                <w:szCs w:val="22"/>
              </w:rPr>
              <w:t>内置光程校准功能，可将微孔板光路径长度转化为标准的1cm光径，校正液面高度误差。</w:t>
            </w:r>
          </w:p>
          <w:p>
            <w:pPr>
              <w:numPr>
                <w:ilvl w:val="0"/>
                <w:numId w:val="3"/>
              </w:numPr>
              <w:spacing w:line="360" w:lineRule="auto"/>
              <w:ind w:left="425" w:leftChars="0" w:hanging="425" w:firstLineChars="0"/>
              <w:rPr>
                <w:rFonts w:hint="eastAsia" w:ascii="宋体" w:hAnsi="宋体" w:eastAsia="宋体" w:cs="宋体"/>
                <w:b/>
                <w:sz w:val="22"/>
                <w:szCs w:val="22"/>
              </w:rPr>
            </w:pPr>
            <w:r>
              <w:rPr>
                <w:rFonts w:hint="eastAsia" w:ascii="宋体" w:hAnsi="宋体" w:eastAsia="宋体" w:cs="宋体"/>
                <w:b/>
                <w:sz w:val="22"/>
                <w:szCs w:val="22"/>
              </w:rPr>
              <w:t>★测量准确性：</w:t>
            </w:r>
            <w:r>
              <w:rPr>
                <w:rFonts w:hint="eastAsia" w:ascii="宋体" w:hAnsi="宋体" w:eastAsia="宋体" w:cs="宋体"/>
                <w:b/>
                <w:kern w:val="0"/>
                <w:sz w:val="22"/>
                <w:szCs w:val="22"/>
              </w:rPr>
              <w:t>&lt; 0.5%（在易干扰紫外波段260nm下测定）；</w:t>
            </w:r>
          </w:p>
          <w:p>
            <w:pPr>
              <w:numPr>
                <w:ilvl w:val="0"/>
                <w:numId w:val="3"/>
              </w:numPr>
              <w:spacing w:line="360" w:lineRule="auto"/>
              <w:ind w:left="425" w:leftChars="0" w:hanging="425" w:firstLineChars="0"/>
              <w:rPr>
                <w:rFonts w:hint="eastAsia" w:ascii="宋体" w:hAnsi="宋体" w:eastAsia="宋体" w:cs="宋体"/>
                <w:b w:val="0"/>
                <w:bCs/>
                <w:sz w:val="22"/>
                <w:szCs w:val="22"/>
              </w:rPr>
            </w:pPr>
            <w:r>
              <w:rPr>
                <w:rFonts w:hint="eastAsia" w:ascii="宋体" w:hAnsi="宋体" w:eastAsia="宋体" w:cs="宋体"/>
                <w:b w:val="0"/>
                <w:bCs/>
                <w:sz w:val="22"/>
                <w:szCs w:val="22"/>
              </w:rPr>
              <w:t>测量精确性：</w:t>
            </w:r>
            <w:r>
              <w:rPr>
                <w:rFonts w:hint="eastAsia" w:ascii="宋体" w:hAnsi="宋体" w:eastAsia="宋体" w:cs="宋体"/>
                <w:b w:val="0"/>
                <w:bCs/>
                <w:kern w:val="0"/>
                <w:sz w:val="22"/>
                <w:szCs w:val="22"/>
              </w:rPr>
              <w:t>&lt; 0.2%（在易干扰紫外波段260nm下测定）；</w:t>
            </w:r>
          </w:p>
          <w:p>
            <w:pPr>
              <w:spacing w:line="360" w:lineRule="auto"/>
              <w:rPr>
                <w:rFonts w:hint="eastAsia" w:ascii="宋体" w:hAnsi="宋体" w:eastAsia="宋体" w:cs="宋体"/>
                <w:b/>
                <w:bCs/>
                <w:sz w:val="22"/>
                <w:szCs w:val="22"/>
              </w:rPr>
            </w:pPr>
            <w:r>
              <w:rPr>
                <w:rFonts w:hint="eastAsia" w:ascii="宋体" w:hAnsi="宋体" w:eastAsia="宋体" w:cs="宋体"/>
                <w:b/>
                <w:bCs/>
                <w:sz w:val="22"/>
                <w:szCs w:val="22"/>
              </w:rPr>
              <w:t>三、荧光模块</w:t>
            </w:r>
          </w:p>
          <w:p>
            <w:pPr>
              <w:numPr>
                <w:ilvl w:val="0"/>
                <w:numId w:val="4"/>
              </w:numPr>
              <w:spacing w:line="360" w:lineRule="auto"/>
              <w:ind w:left="425" w:leftChars="0" w:hanging="425" w:firstLineChars="0"/>
              <w:rPr>
                <w:rFonts w:hint="eastAsia" w:ascii="宋体" w:hAnsi="宋体" w:eastAsia="宋体" w:cs="宋体"/>
                <w:sz w:val="22"/>
                <w:szCs w:val="22"/>
              </w:rPr>
            </w:pPr>
            <w:r>
              <w:rPr>
                <w:rFonts w:hint="eastAsia" w:ascii="宋体" w:hAnsi="宋体" w:eastAsia="宋体" w:cs="宋体"/>
                <w:sz w:val="22"/>
                <w:szCs w:val="22"/>
              </w:rPr>
              <w:t>荧光检测器：红外敏感低暗电流PMT；增益（Gain值）可自动适应或手工调整，满足不同样品检测需要，扩展检测范围；</w:t>
            </w:r>
          </w:p>
          <w:p>
            <w:pPr>
              <w:numPr>
                <w:ilvl w:val="0"/>
                <w:numId w:val="4"/>
              </w:numPr>
              <w:spacing w:line="360" w:lineRule="auto"/>
              <w:ind w:left="425" w:leftChars="0" w:hanging="425" w:firstLineChars="0"/>
              <w:rPr>
                <w:rFonts w:hint="eastAsia" w:ascii="宋体" w:hAnsi="宋体" w:eastAsia="宋体" w:cs="宋体"/>
                <w:sz w:val="22"/>
                <w:szCs w:val="22"/>
              </w:rPr>
            </w:pPr>
            <w:r>
              <w:rPr>
                <w:rFonts w:hint="eastAsia" w:ascii="宋体" w:hAnsi="宋体" w:eastAsia="宋体" w:cs="宋体"/>
                <w:sz w:val="22"/>
                <w:szCs w:val="22"/>
              </w:rPr>
              <w:t>检测模式：荧光强度（FI）、</w:t>
            </w:r>
            <w:r>
              <w:rPr>
                <w:rFonts w:hint="eastAsia" w:ascii="宋体" w:hAnsi="宋体" w:eastAsia="宋体" w:cs="宋体"/>
                <w:b/>
                <w:sz w:val="22"/>
                <w:szCs w:val="22"/>
              </w:rPr>
              <w:t>时间分辨荧光（TRF）</w:t>
            </w:r>
            <w:r>
              <w:rPr>
                <w:rFonts w:hint="eastAsia" w:ascii="宋体" w:hAnsi="宋体" w:eastAsia="宋体" w:cs="宋体"/>
                <w:sz w:val="22"/>
                <w:szCs w:val="22"/>
              </w:rPr>
              <w:t>、荧光共振能量传递（FRET）、荧光扫描等；</w:t>
            </w:r>
          </w:p>
          <w:p>
            <w:pPr>
              <w:numPr>
                <w:ilvl w:val="0"/>
                <w:numId w:val="4"/>
              </w:numPr>
              <w:spacing w:line="360" w:lineRule="auto"/>
              <w:ind w:left="425" w:leftChars="0" w:hanging="425" w:firstLineChars="0"/>
              <w:rPr>
                <w:rFonts w:hint="eastAsia" w:ascii="宋体" w:hAnsi="宋体" w:eastAsia="宋体" w:cs="宋体"/>
                <w:sz w:val="22"/>
                <w:szCs w:val="22"/>
              </w:rPr>
            </w:pPr>
            <w:r>
              <w:rPr>
                <w:rFonts w:hint="eastAsia" w:ascii="宋体" w:hAnsi="宋体" w:eastAsia="宋体" w:cs="宋体"/>
                <w:sz w:val="22"/>
                <w:szCs w:val="22"/>
              </w:rPr>
              <w:t>激发波长检测和扫描范围：230-850nm，1nm递增；</w:t>
            </w:r>
          </w:p>
          <w:p>
            <w:pPr>
              <w:numPr>
                <w:ilvl w:val="0"/>
                <w:numId w:val="4"/>
              </w:numPr>
              <w:spacing w:line="360" w:lineRule="auto"/>
              <w:ind w:left="425" w:leftChars="0" w:hanging="425" w:firstLineChars="0"/>
              <w:rPr>
                <w:rFonts w:hint="eastAsia" w:ascii="宋体" w:hAnsi="宋体" w:eastAsia="宋体" w:cs="宋体"/>
                <w:sz w:val="22"/>
                <w:szCs w:val="22"/>
              </w:rPr>
            </w:pPr>
            <w:r>
              <w:rPr>
                <w:rFonts w:hint="eastAsia" w:ascii="宋体" w:hAnsi="宋体" w:eastAsia="宋体" w:cs="宋体"/>
                <w:sz w:val="22"/>
                <w:szCs w:val="22"/>
              </w:rPr>
              <w:t>发射波长检测和扫描范围：280-850nm，1nm递增；</w:t>
            </w:r>
          </w:p>
          <w:p>
            <w:pPr>
              <w:numPr>
                <w:ilvl w:val="0"/>
                <w:numId w:val="4"/>
              </w:numPr>
              <w:spacing w:line="360" w:lineRule="auto"/>
              <w:ind w:left="425" w:leftChars="0" w:hanging="425" w:firstLineChars="0"/>
              <w:rPr>
                <w:rFonts w:hint="eastAsia" w:ascii="宋体" w:hAnsi="宋体" w:eastAsia="宋体" w:cs="宋体"/>
                <w:sz w:val="22"/>
                <w:szCs w:val="22"/>
              </w:rPr>
            </w:pPr>
            <w:r>
              <w:rPr>
                <w:rFonts w:hint="eastAsia" w:ascii="宋体" w:hAnsi="宋体" w:eastAsia="宋体" w:cs="宋体"/>
                <w:sz w:val="22"/>
                <w:szCs w:val="22"/>
              </w:rPr>
              <w:t>光栅波长准确性：</w:t>
            </w:r>
            <w:r>
              <w:rPr>
                <w:rFonts w:hint="eastAsia" w:ascii="宋体" w:hAnsi="宋体" w:eastAsia="宋体" w:cs="宋体"/>
                <w:kern w:val="0"/>
                <w:sz w:val="22"/>
                <w:szCs w:val="22"/>
              </w:rPr>
              <w:t>&lt;±2nm；</w:t>
            </w:r>
          </w:p>
          <w:p>
            <w:pPr>
              <w:numPr>
                <w:ilvl w:val="0"/>
                <w:numId w:val="4"/>
              </w:numPr>
              <w:spacing w:line="360" w:lineRule="auto"/>
              <w:ind w:left="425" w:leftChars="0" w:hanging="425" w:firstLineChars="0"/>
              <w:rPr>
                <w:rFonts w:hint="eastAsia" w:ascii="宋体" w:hAnsi="宋体" w:eastAsia="宋体" w:cs="宋体"/>
                <w:sz w:val="22"/>
                <w:szCs w:val="22"/>
              </w:rPr>
            </w:pPr>
            <w:r>
              <w:rPr>
                <w:rFonts w:hint="eastAsia" w:ascii="宋体" w:hAnsi="宋体" w:eastAsia="宋体" w:cs="宋体"/>
                <w:sz w:val="22"/>
                <w:szCs w:val="22"/>
              </w:rPr>
              <w:t>光栅波长重复性：</w:t>
            </w:r>
            <w:r>
              <w:rPr>
                <w:rFonts w:hint="eastAsia" w:ascii="宋体" w:hAnsi="宋体" w:eastAsia="宋体" w:cs="宋体"/>
                <w:kern w:val="0"/>
                <w:sz w:val="22"/>
                <w:szCs w:val="22"/>
              </w:rPr>
              <w:t>&lt;±1nm；</w:t>
            </w:r>
          </w:p>
          <w:p>
            <w:pPr>
              <w:numPr>
                <w:ilvl w:val="0"/>
                <w:numId w:val="4"/>
              </w:numPr>
              <w:spacing w:line="360" w:lineRule="auto"/>
              <w:ind w:left="425" w:leftChars="0" w:hanging="425" w:firstLineChars="0"/>
              <w:rPr>
                <w:rFonts w:hint="eastAsia" w:ascii="宋体" w:hAnsi="宋体" w:eastAsia="宋体" w:cs="宋体"/>
                <w:sz w:val="22"/>
                <w:szCs w:val="22"/>
              </w:rPr>
            </w:pPr>
            <w:r>
              <w:rPr>
                <w:rFonts w:hint="eastAsia" w:ascii="宋体" w:hAnsi="宋体" w:eastAsia="宋体" w:cs="宋体"/>
                <w:sz w:val="22"/>
                <w:szCs w:val="22"/>
              </w:rPr>
              <w:t>带宽：激发&lt;5nm（230-315nm）/ &lt;9nm（316-850nm），发射&lt;20nm；</w:t>
            </w:r>
          </w:p>
          <w:p>
            <w:pPr>
              <w:numPr>
                <w:ilvl w:val="0"/>
                <w:numId w:val="4"/>
              </w:numPr>
              <w:spacing w:line="360" w:lineRule="auto"/>
              <w:ind w:left="425" w:leftChars="0" w:hanging="425" w:firstLineChars="0"/>
              <w:rPr>
                <w:rFonts w:hint="eastAsia" w:ascii="宋体" w:hAnsi="宋体" w:eastAsia="宋体" w:cs="宋体"/>
                <w:sz w:val="22"/>
                <w:szCs w:val="22"/>
              </w:rPr>
            </w:pPr>
            <w:r>
              <w:rPr>
                <w:rFonts w:hint="eastAsia" w:ascii="宋体" w:hAnsi="宋体" w:eastAsia="宋体" w:cs="宋体"/>
                <w:b/>
                <w:sz w:val="22"/>
                <w:szCs w:val="22"/>
              </w:rPr>
              <w:t>★荧光顶部检测灵敏度：200 amol 荧光素/孔</w:t>
            </w:r>
            <w:r>
              <w:rPr>
                <w:rFonts w:hint="eastAsia" w:ascii="宋体" w:hAnsi="宋体" w:eastAsia="宋体" w:cs="宋体"/>
                <w:sz w:val="22"/>
                <w:szCs w:val="22"/>
              </w:rPr>
              <w:t>；</w:t>
            </w:r>
          </w:p>
          <w:p>
            <w:pPr>
              <w:numPr>
                <w:ilvl w:val="0"/>
                <w:numId w:val="4"/>
              </w:numPr>
              <w:spacing w:line="360" w:lineRule="auto"/>
              <w:ind w:left="425" w:leftChars="0" w:hanging="425" w:firstLineChars="0"/>
              <w:rPr>
                <w:rFonts w:hint="eastAsia" w:ascii="宋体" w:hAnsi="宋体" w:eastAsia="宋体" w:cs="宋体"/>
                <w:sz w:val="22"/>
                <w:szCs w:val="22"/>
              </w:rPr>
            </w:pPr>
            <w:r>
              <w:rPr>
                <w:rFonts w:hint="eastAsia" w:ascii="宋体" w:hAnsi="宋体" w:eastAsia="宋体" w:cs="宋体"/>
                <w:sz w:val="22"/>
                <w:szCs w:val="22"/>
              </w:rPr>
              <w:t>配置荧光底部检测光路，可进行贴壁细胞相关分析；</w:t>
            </w:r>
          </w:p>
          <w:p>
            <w:pPr>
              <w:numPr>
                <w:ilvl w:val="0"/>
                <w:numId w:val="4"/>
              </w:numPr>
              <w:spacing w:line="360" w:lineRule="auto"/>
              <w:ind w:left="425" w:leftChars="0" w:hanging="425" w:firstLineChars="0"/>
              <w:rPr>
                <w:rFonts w:hint="eastAsia" w:ascii="宋体" w:hAnsi="宋体" w:eastAsia="宋体" w:cs="宋体"/>
                <w:sz w:val="22"/>
                <w:szCs w:val="22"/>
              </w:rPr>
            </w:pPr>
            <w:r>
              <w:rPr>
                <w:rFonts w:hint="eastAsia" w:ascii="宋体" w:hAnsi="宋体" w:eastAsia="宋体" w:cs="宋体"/>
                <w:sz w:val="22"/>
                <w:szCs w:val="22"/>
              </w:rPr>
              <w:t>荧光底部检测灵敏度：20 fmol 荧光素/孔（96孔板，200ul体系）；</w:t>
            </w:r>
          </w:p>
          <w:p>
            <w:pPr>
              <w:numPr>
                <w:ilvl w:val="0"/>
                <w:numId w:val="4"/>
              </w:numPr>
              <w:spacing w:line="360" w:lineRule="auto"/>
              <w:ind w:left="425" w:leftChars="0" w:hanging="425" w:firstLineChars="0"/>
              <w:rPr>
                <w:rFonts w:hint="eastAsia" w:ascii="宋体" w:hAnsi="宋体" w:eastAsia="宋体" w:cs="宋体"/>
                <w:sz w:val="22"/>
                <w:szCs w:val="22"/>
              </w:rPr>
            </w:pPr>
            <w:r>
              <w:rPr>
                <w:rFonts w:hint="eastAsia" w:ascii="宋体" w:hAnsi="宋体" w:eastAsia="宋体" w:cs="宋体"/>
                <w:sz w:val="22"/>
                <w:szCs w:val="22"/>
              </w:rPr>
              <w:t>时间分辨荧光灵敏度：100 amol 铕/孔（1 pM，384孔板，100ul体系）；</w:t>
            </w:r>
          </w:p>
          <w:p>
            <w:pPr>
              <w:numPr>
                <w:ilvl w:val="0"/>
                <w:numId w:val="4"/>
              </w:numPr>
              <w:spacing w:line="360" w:lineRule="auto"/>
              <w:ind w:left="425" w:leftChars="0" w:hanging="425" w:firstLineChars="0"/>
              <w:rPr>
                <w:rFonts w:hint="eastAsia" w:ascii="宋体" w:hAnsi="宋体" w:eastAsia="宋体" w:cs="宋体"/>
                <w:sz w:val="22"/>
                <w:szCs w:val="22"/>
              </w:rPr>
            </w:pPr>
            <w:r>
              <w:rPr>
                <w:rFonts w:hint="eastAsia" w:ascii="宋体" w:hAnsi="宋体" w:eastAsia="宋体" w:cs="宋体"/>
                <w:sz w:val="22"/>
                <w:szCs w:val="22"/>
              </w:rPr>
              <w:t>荧光检测线性范围： 7个数量级；</w:t>
            </w:r>
          </w:p>
          <w:p>
            <w:pPr>
              <w:numPr>
                <w:ilvl w:val="0"/>
                <w:numId w:val="4"/>
              </w:numPr>
              <w:spacing w:line="360" w:lineRule="auto"/>
              <w:ind w:left="425" w:leftChars="0" w:hanging="425" w:firstLineChars="0"/>
              <w:rPr>
                <w:rFonts w:hint="eastAsia" w:ascii="宋体" w:hAnsi="宋体" w:eastAsia="宋体" w:cs="宋体"/>
                <w:sz w:val="22"/>
                <w:szCs w:val="22"/>
              </w:rPr>
            </w:pPr>
            <w:r>
              <w:rPr>
                <w:rFonts w:hint="eastAsia" w:ascii="宋体" w:hAnsi="宋体" w:eastAsia="宋体" w:cs="宋体"/>
                <w:sz w:val="22"/>
                <w:szCs w:val="22"/>
              </w:rPr>
              <w:t>读板速度（含进出板）：96孔板20s，384孔板30s，全光谱扫描150s（450-550nm，5nm增幅，96孔板）；</w:t>
            </w:r>
          </w:p>
          <w:p>
            <w:pPr>
              <w:spacing w:line="360" w:lineRule="auto"/>
              <w:rPr>
                <w:rFonts w:hint="eastAsia" w:ascii="宋体" w:hAnsi="宋体" w:eastAsia="宋体" w:cs="宋体"/>
                <w:b/>
                <w:bCs/>
                <w:sz w:val="22"/>
                <w:szCs w:val="22"/>
              </w:rPr>
            </w:pPr>
            <w:r>
              <w:rPr>
                <w:rFonts w:hint="eastAsia" w:ascii="宋体" w:hAnsi="宋体" w:eastAsia="宋体" w:cs="宋体"/>
                <w:b/>
                <w:bCs/>
                <w:sz w:val="22"/>
                <w:szCs w:val="22"/>
              </w:rPr>
              <w:t>四、发光模块</w:t>
            </w:r>
          </w:p>
          <w:p>
            <w:pPr>
              <w:numPr>
                <w:ilvl w:val="0"/>
                <w:numId w:val="5"/>
              </w:numPr>
              <w:spacing w:line="360" w:lineRule="auto"/>
              <w:ind w:left="425" w:leftChars="0" w:hanging="425" w:firstLineChars="0"/>
              <w:rPr>
                <w:rFonts w:hint="eastAsia" w:ascii="宋体" w:hAnsi="宋体" w:eastAsia="宋体" w:cs="宋体"/>
                <w:b w:val="0"/>
                <w:bCs/>
                <w:sz w:val="22"/>
                <w:szCs w:val="22"/>
              </w:rPr>
            </w:pPr>
            <w:r>
              <w:rPr>
                <w:rFonts w:hint="eastAsia" w:ascii="宋体" w:hAnsi="宋体" w:eastAsia="宋体" w:cs="宋体"/>
                <w:b w:val="0"/>
                <w:bCs/>
                <w:sz w:val="22"/>
                <w:szCs w:val="22"/>
              </w:rPr>
              <w:t>发光检测器：发光波段专用单光子计数PCT；</w:t>
            </w:r>
          </w:p>
          <w:p>
            <w:pPr>
              <w:numPr>
                <w:ilvl w:val="0"/>
                <w:numId w:val="5"/>
              </w:numPr>
              <w:spacing w:line="360" w:lineRule="auto"/>
              <w:ind w:left="425" w:leftChars="0" w:hanging="425" w:firstLineChars="0"/>
              <w:rPr>
                <w:rFonts w:hint="eastAsia" w:ascii="宋体" w:hAnsi="宋体" w:eastAsia="宋体" w:cs="宋体"/>
                <w:sz w:val="22"/>
                <w:szCs w:val="22"/>
              </w:rPr>
            </w:pPr>
            <w:r>
              <w:rPr>
                <w:rFonts w:hint="eastAsia" w:ascii="宋体" w:hAnsi="宋体" w:eastAsia="宋体" w:cs="宋体"/>
                <w:sz w:val="22"/>
                <w:szCs w:val="22"/>
              </w:rPr>
              <w:t>波长检测范围：380-600nm</w:t>
            </w:r>
          </w:p>
          <w:p>
            <w:pPr>
              <w:numPr>
                <w:ilvl w:val="0"/>
                <w:numId w:val="5"/>
              </w:numPr>
              <w:spacing w:line="360" w:lineRule="auto"/>
              <w:ind w:left="425" w:leftChars="0" w:hanging="425" w:firstLineChars="0"/>
              <w:rPr>
                <w:rFonts w:hint="eastAsia" w:ascii="宋体" w:hAnsi="宋体" w:eastAsia="宋体" w:cs="宋体"/>
                <w:sz w:val="22"/>
                <w:szCs w:val="22"/>
              </w:rPr>
            </w:pPr>
            <w:r>
              <w:rPr>
                <w:rFonts w:hint="eastAsia" w:ascii="宋体" w:hAnsi="宋体" w:eastAsia="宋体" w:cs="宋体"/>
                <w:sz w:val="22"/>
                <w:szCs w:val="22"/>
              </w:rPr>
              <w:t>检测模式：连续发光（Glow Lumi）、瞬时发光（Flash Lumi）、双色发光、生物发光共振能量传递（BRET）等；</w:t>
            </w:r>
          </w:p>
          <w:p>
            <w:pPr>
              <w:numPr>
                <w:ilvl w:val="0"/>
                <w:numId w:val="5"/>
              </w:numPr>
              <w:spacing w:line="360" w:lineRule="auto"/>
              <w:ind w:left="425" w:leftChars="0" w:hanging="425" w:firstLineChars="0"/>
              <w:rPr>
                <w:rFonts w:hint="eastAsia" w:ascii="宋体" w:hAnsi="宋体" w:eastAsia="宋体" w:cs="宋体"/>
                <w:b/>
                <w:sz w:val="22"/>
                <w:szCs w:val="22"/>
              </w:rPr>
            </w:pPr>
            <w:r>
              <w:rPr>
                <w:rFonts w:hint="eastAsia" w:ascii="宋体" w:hAnsi="宋体" w:eastAsia="宋体" w:cs="宋体"/>
                <w:sz w:val="22"/>
                <w:szCs w:val="22"/>
              </w:rPr>
              <w:t>灵敏度：</w:t>
            </w:r>
            <w:r>
              <w:rPr>
                <w:rFonts w:hint="eastAsia" w:ascii="宋体" w:hAnsi="宋体" w:eastAsia="宋体" w:cs="宋体"/>
                <w:b w:val="0"/>
                <w:bCs w:val="0"/>
                <w:sz w:val="22"/>
                <w:szCs w:val="22"/>
              </w:rPr>
              <w:t>20 amol ATP/孔；</w:t>
            </w:r>
            <w:r>
              <w:rPr>
                <w:rStyle w:val="29"/>
                <w:rFonts w:hint="eastAsia" w:ascii="宋体" w:hAnsi="宋体" w:eastAsia="宋体" w:cs="宋体"/>
                <w:b w:val="0"/>
                <w:bCs w:val="0"/>
                <w:sz w:val="22"/>
                <w:szCs w:val="22"/>
              </w:rPr>
              <w:t>（使用ENLITEN® 试剂盒检测）。</w:t>
            </w:r>
          </w:p>
          <w:p>
            <w:pPr>
              <w:numPr>
                <w:ilvl w:val="0"/>
                <w:numId w:val="5"/>
              </w:numPr>
              <w:spacing w:line="360" w:lineRule="auto"/>
              <w:ind w:left="425" w:leftChars="0" w:hanging="425" w:firstLineChars="0"/>
              <w:rPr>
                <w:rFonts w:hint="eastAsia" w:ascii="宋体" w:hAnsi="宋体" w:eastAsia="宋体" w:cs="宋体"/>
                <w:sz w:val="22"/>
                <w:szCs w:val="22"/>
              </w:rPr>
            </w:pPr>
            <w:r>
              <w:rPr>
                <w:rFonts w:hint="eastAsia" w:ascii="宋体" w:hAnsi="宋体" w:eastAsia="宋体" w:cs="宋体"/>
                <w:b/>
                <w:sz w:val="22"/>
                <w:szCs w:val="22"/>
              </w:rPr>
              <w:t>★</w:t>
            </w:r>
            <w:r>
              <w:rPr>
                <w:rFonts w:hint="eastAsia" w:ascii="宋体" w:hAnsi="宋体" w:eastAsia="宋体" w:cs="宋体"/>
                <w:sz w:val="22"/>
                <w:szCs w:val="22"/>
              </w:rPr>
              <w:t>发光检测线性范围： 8个数量级；</w:t>
            </w:r>
          </w:p>
          <w:p>
            <w:pPr>
              <w:numPr>
                <w:ilvl w:val="0"/>
                <w:numId w:val="5"/>
              </w:numPr>
              <w:spacing w:line="360" w:lineRule="auto"/>
              <w:ind w:left="425" w:leftChars="0" w:hanging="425" w:firstLineChars="0"/>
              <w:rPr>
                <w:rFonts w:hint="eastAsia" w:ascii="宋体" w:hAnsi="宋体" w:eastAsia="宋体" w:cs="宋体"/>
                <w:b/>
                <w:sz w:val="22"/>
                <w:szCs w:val="22"/>
              </w:rPr>
            </w:pPr>
            <w:r>
              <w:rPr>
                <w:rFonts w:hint="eastAsia" w:ascii="宋体" w:hAnsi="宋体" w:eastAsia="宋体" w:cs="宋体"/>
                <w:b/>
                <w:sz w:val="22"/>
                <w:szCs w:val="22"/>
              </w:rPr>
              <w:t>★配备BRET2/Chroma-Glo和NanoBRET专用滤片组，可进行BRET2、Chroma-Glo和NanoBRET等双色发光检测</w:t>
            </w:r>
          </w:p>
          <w:p>
            <w:pPr>
              <w:numPr>
                <w:ilvl w:val="0"/>
                <w:numId w:val="5"/>
              </w:numPr>
              <w:spacing w:line="360" w:lineRule="auto"/>
              <w:ind w:left="425" w:leftChars="0" w:hanging="425" w:firstLineChars="0"/>
              <w:rPr>
                <w:rFonts w:hint="eastAsia" w:ascii="宋体" w:hAnsi="宋体" w:eastAsia="宋体" w:cs="宋体"/>
                <w:kern w:val="0"/>
                <w:sz w:val="22"/>
                <w:szCs w:val="22"/>
              </w:rPr>
            </w:pPr>
            <w:r>
              <w:rPr>
                <w:rFonts w:hint="eastAsia" w:ascii="宋体" w:hAnsi="宋体" w:eastAsia="宋体" w:cs="宋体"/>
                <w:sz w:val="22"/>
                <w:szCs w:val="22"/>
              </w:rPr>
              <w:t>发光性能通过Promega  DLReady第三方认证；</w:t>
            </w:r>
          </w:p>
          <w:p>
            <w:pPr>
              <w:spacing w:line="360" w:lineRule="auto"/>
              <w:rPr>
                <w:rFonts w:hint="eastAsia" w:ascii="宋体" w:hAnsi="宋体" w:eastAsia="宋体" w:cs="宋体"/>
                <w:b/>
                <w:bCs/>
                <w:sz w:val="22"/>
                <w:szCs w:val="22"/>
              </w:rPr>
            </w:pPr>
            <w:r>
              <w:rPr>
                <w:rFonts w:hint="eastAsia" w:ascii="宋体" w:hAnsi="宋体" w:eastAsia="宋体" w:cs="宋体"/>
                <w:b/>
                <w:bCs/>
                <w:sz w:val="22"/>
                <w:szCs w:val="22"/>
                <w:lang w:val="en-US" w:eastAsia="zh-CN"/>
              </w:rPr>
              <w:t>五、</w:t>
            </w:r>
            <w:r>
              <w:rPr>
                <w:rFonts w:hint="eastAsia" w:ascii="宋体" w:hAnsi="宋体" w:eastAsia="宋体" w:cs="宋体"/>
                <w:b/>
                <w:bCs/>
                <w:sz w:val="22"/>
                <w:szCs w:val="22"/>
              </w:rPr>
              <w:t>配置要求：</w:t>
            </w:r>
          </w:p>
          <w:p>
            <w:pPr>
              <w:numPr>
                <w:ilvl w:val="0"/>
                <w:numId w:val="6"/>
              </w:numPr>
              <w:spacing w:line="360" w:lineRule="auto"/>
              <w:rPr>
                <w:rFonts w:hint="eastAsia" w:ascii="宋体" w:hAnsi="宋体" w:eastAsia="宋体" w:cs="宋体"/>
                <w:sz w:val="22"/>
                <w:szCs w:val="22"/>
              </w:rPr>
            </w:pPr>
            <w:r>
              <w:rPr>
                <w:rFonts w:hint="eastAsia" w:ascii="宋体" w:hAnsi="宋体" w:eastAsia="宋体" w:cs="宋体"/>
                <w:sz w:val="22"/>
                <w:szCs w:val="22"/>
              </w:rPr>
              <w:t>主机（含温控及振荡功能）1台</w:t>
            </w:r>
          </w:p>
          <w:p>
            <w:pPr>
              <w:numPr>
                <w:ilvl w:val="0"/>
                <w:numId w:val="6"/>
              </w:numPr>
              <w:spacing w:line="360" w:lineRule="auto"/>
              <w:rPr>
                <w:rFonts w:hint="eastAsia" w:ascii="宋体" w:hAnsi="宋体" w:eastAsia="宋体" w:cs="宋体"/>
                <w:sz w:val="22"/>
                <w:szCs w:val="22"/>
              </w:rPr>
            </w:pPr>
            <w:r>
              <w:rPr>
                <w:rFonts w:hint="eastAsia" w:ascii="宋体" w:hAnsi="宋体" w:eastAsia="宋体" w:cs="宋体"/>
                <w:sz w:val="22"/>
                <w:szCs w:val="22"/>
              </w:rPr>
              <w:t>连续波长光吸收模块1个</w:t>
            </w:r>
          </w:p>
          <w:p>
            <w:pPr>
              <w:numPr>
                <w:ilvl w:val="0"/>
                <w:numId w:val="6"/>
              </w:numPr>
              <w:spacing w:line="360" w:lineRule="auto"/>
              <w:rPr>
                <w:rFonts w:hint="eastAsia" w:ascii="宋体" w:hAnsi="宋体" w:eastAsia="宋体" w:cs="宋体"/>
                <w:sz w:val="22"/>
                <w:szCs w:val="22"/>
              </w:rPr>
            </w:pPr>
            <w:r>
              <w:rPr>
                <w:rFonts w:hint="eastAsia" w:ascii="宋体" w:hAnsi="宋体" w:eastAsia="宋体" w:cs="宋体"/>
                <w:sz w:val="22"/>
                <w:szCs w:val="22"/>
              </w:rPr>
              <w:t>连续波长荧光模块（顶读/底读/时间分辨）1个</w:t>
            </w:r>
          </w:p>
          <w:p>
            <w:pPr>
              <w:numPr>
                <w:ilvl w:val="0"/>
                <w:numId w:val="6"/>
              </w:numPr>
              <w:spacing w:line="360" w:lineRule="auto"/>
              <w:rPr>
                <w:rFonts w:hint="eastAsia" w:ascii="宋体" w:hAnsi="宋体" w:eastAsia="宋体" w:cs="宋体"/>
                <w:sz w:val="22"/>
                <w:szCs w:val="22"/>
              </w:rPr>
            </w:pPr>
            <w:r>
              <w:rPr>
                <w:rFonts w:hint="eastAsia" w:ascii="宋体" w:hAnsi="宋体" w:eastAsia="宋体" w:cs="宋体"/>
                <w:sz w:val="22"/>
                <w:szCs w:val="22"/>
              </w:rPr>
              <w:t>时间分辨功能 1个</w:t>
            </w:r>
          </w:p>
          <w:p>
            <w:pPr>
              <w:numPr>
                <w:ilvl w:val="0"/>
                <w:numId w:val="6"/>
              </w:numPr>
              <w:spacing w:line="360" w:lineRule="auto"/>
              <w:rPr>
                <w:rFonts w:hint="eastAsia" w:ascii="宋体" w:hAnsi="宋体" w:eastAsia="宋体" w:cs="宋体"/>
                <w:sz w:val="22"/>
                <w:szCs w:val="22"/>
              </w:rPr>
            </w:pPr>
            <w:r>
              <w:rPr>
                <w:rFonts w:hint="eastAsia" w:ascii="宋体" w:hAnsi="宋体" w:eastAsia="宋体" w:cs="宋体"/>
                <w:sz w:val="22"/>
                <w:szCs w:val="22"/>
              </w:rPr>
              <w:t>四光栅光路 1套</w:t>
            </w:r>
          </w:p>
          <w:p>
            <w:pPr>
              <w:numPr>
                <w:ilvl w:val="0"/>
                <w:numId w:val="6"/>
              </w:numPr>
              <w:spacing w:line="360" w:lineRule="auto"/>
              <w:rPr>
                <w:rFonts w:hint="eastAsia" w:ascii="宋体" w:hAnsi="宋体" w:eastAsia="宋体" w:cs="宋体"/>
                <w:sz w:val="22"/>
                <w:szCs w:val="22"/>
              </w:rPr>
            </w:pPr>
            <w:r>
              <w:rPr>
                <w:rFonts w:hint="eastAsia" w:ascii="宋体" w:hAnsi="宋体" w:eastAsia="宋体" w:cs="宋体"/>
                <w:sz w:val="22"/>
                <w:szCs w:val="22"/>
              </w:rPr>
              <w:t>高灵敏度化学发光模块 1个</w:t>
            </w:r>
          </w:p>
          <w:p>
            <w:pPr>
              <w:numPr>
                <w:ilvl w:val="0"/>
                <w:numId w:val="6"/>
              </w:numPr>
              <w:spacing w:line="360" w:lineRule="auto"/>
              <w:rPr>
                <w:rFonts w:hint="eastAsia" w:ascii="宋体" w:hAnsi="宋体" w:eastAsia="宋体" w:cs="宋体"/>
                <w:sz w:val="22"/>
                <w:szCs w:val="22"/>
              </w:rPr>
            </w:pPr>
            <w:r>
              <w:rPr>
                <w:rFonts w:hint="eastAsia" w:ascii="宋体" w:hAnsi="宋体" w:eastAsia="宋体" w:cs="宋体"/>
                <w:sz w:val="22"/>
                <w:szCs w:val="22"/>
              </w:rPr>
              <w:t>NanoBRET 模块1个</w:t>
            </w:r>
          </w:p>
          <w:p>
            <w:pPr>
              <w:numPr>
                <w:ilvl w:val="0"/>
                <w:numId w:val="6"/>
              </w:numPr>
              <w:spacing w:line="360" w:lineRule="auto"/>
              <w:rPr>
                <w:rFonts w:hint="eastAsia" w:ascii="新宋体" w:hAnsi="新宋体" w:eastAsia="新宋体"/>
                <w:sz w:val="22"/>
                <w:szCs w:val="22"/>
              </w:rPr>
            </w:pPr>
            <w:r>
              <w:rPr>
                <w:rFonts w:hint="eastAsia" w:ascii="宋体" w:hAnsi="宋体" w:eastAsia="宋体" w:cs="宋体"/>
                <w:sz w:val="22"/>
                <w:szCs w:val="22"/>
                <w:lang w:val="en-US"/>
              </w:rPr>
              <w:t>2ul超微量核酸检测板 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1" w:hRule="atLeast"/>
        </w:trPr>
        <w:tc>
          <w:tcPr>
            <w:tcW w:w="735" w:type="dxa"/>
            <w:noWrap w:val="0"/>
            <w:vAlign w:val="center"/>
          </w:tcPr>
          <w:p>
            <w:pPr>
              <w:widowControl/>
              <w:spacing w:line="300" w:lineRule="exact"/>
              <w:jc w:val="center"/>
              <w:rPr>
                <w:rFonts w:hint="eastAsia" w:ascii="新宋体" w:hAnsi="新宋体" w:eastAsia="新宋体" w:cs="宋体"/>
                <w:color w:val="000000"/>
                <w:kern w:val="0"/>
                <w:sz w:val="22"/>
                <w:szCs w:val="22"/>
              </w:rPr>
            </w:pPr>
            <w:r>
              <w:rPr>
                <w:rFonts w:hint="eastAsia" w:ascii="新宋体" w:hAnsi="新宋体" w:eastAsia="新宋体" w:cs="宋体"/>
                <w:color w:val="000000"/>
                <w:kern w:val="0"/>
                <w:sz w:val="22"/>
                <w:szCs w:val="22"/>
              </w:rPr>
              <w:t>2</w:t>
            </w:r>
          </w:p>
        </w:tc>
        <w:tc>
          <w:tcPr>
            <w:tcW w:w="1181" w:type="dxa"/>
            <w:noWrap w:val="0"/>
            <w:vAlign w:val="center"/>
          </w:tcPr>
          <w:p>
            <w:pPr>
              <w:widowControl/>
              <w:spacing w:line="300" w:lineRule="exact"/>
              <w:jc w:val="center"/>
              <w:rPr>
                <w:rFonts w:hint="eastAsia" w:ascii="新宋体" w:hAnsi="新宋体" w:eastAsia="新宋体" w:cs="宋体"/>
                <w:sz w:val="22"/>
                <w:szCs w:val="22"/>
              </w:rPr>
            </w:pPr>
            <w:r>
              <w:rPr>
                <w:rFonts w:hint="eastAsia" w:ascii="新宋体" w:hAnsi="新宋体" w:eastAsia="新宋体" w:cs="宋体"/>
                <w:b/>
                <w:sz w:val="22"/>
                <w:szCs w:val="22"/>
              </w:rPr>
              <w:t>纳米粒度</w:t>
            </w:r>
            <w:r>
              <w:rPr>
                <w:rFonts w:hint="eastAsia" w:ascii="新宋体" w:hAnsi="新宋体" w:eastAsia="新宋体" w:cs="宋体"/>
                <w:b/>
                <w:sz w:val="22"/>
                <w:szCs w:val="22"/>
                <w:lang w:val="en-US" w:eastAsia="zh-CN"/>
              </w:rPr>
              <w:t>及</w:t>
            </w:r>
            <w:r>
              <w:rPr>
                <w:rFonts w:hint="eastAsia" w:ascii="新宋体" w:hAnsi="新宋体" w:eastAsia="新宋体" w:cs="宋体"/>
                <w:b/>
                <w:sz w:val="22"/>
                <w:szCs w:val="22"/>
              </w:rPr>
              <w:t>Zeta电位分析仪</w:t>
            </w:r>
          </w:p>
        </w:tc>
        <w:tc>
          <w:tcPr>
            <w:tcW w:w="7849" w:type="dxa"/>
            <w:noWrap w:val="0"/>
            <w:vAlign w:val="top"/>
          </w:tcPr>
          <w:p>
            <w:pPr>
              <w:numPr>
                <w:ilvl w:val="0"/>
                <w:numId w:val="7"/>
              </w:numPr>
              <w:spacing w:line="280" w:lineRule="atLeast"/>
              <w:rPr>
                <w:rFonts w:ascii="新宋体" w:hAnsi="新宋体" w:eastAsia="新宋体" w:cs="宋体"/>
                <w:b/>
                <w:sz w:val="22"/>
                <w:szCs w:val="22"/>
              </w:rPr>
            </w:pPr>
            <w:r>
              <w:rPr>
                <w:rFonts w:hint="eastAsia" w:ascii="新宋体" w:hAnsi="新宋体" w:eastAsia="新宋体"/>
                <w:b/>
                <w:sz w:val="22"/>
                <w:szCs w:val="22"/>
              </w:rPr>
              <w:t>技术性能总体要求</w:t>
            </w:r>
          </w:p>
          <w:p>
            <w:pPr>
              <w:widowControl/>
              <w:spacing w:before="159" w:beforeLines="50" w:after="159" w:afterLines="50"/>
              <w:jc w:val="left"/>
              <w:rPr>
                <w:rFonts w:hint="eastAsia" w:ascii="新宋体" w:hAnsi="新宋体" w:eastAsia="新宋体" w:cs="Times New Roman"/>
                <w:sz w:val="22"/>
                <w:szCs w:val="22"/>
              </w:rPr>
            </w:pPr>
            <w:r>
              <w:rPr>
                <w:rFonts w:hint="eastAsia" w:ascii="新宋体" w:hAnsi="新宋体" w:eastAsia="新宋体" w:cs="Times New Roman"/>
                <w:sz w:val="22"/>
                <w:szCs w:val="22"/>
              </w:rPr>
              <w:t>1、多个不同角度下粒度以及分布表征</w:t>
            </w:r>
          </w:p>
          <w:p>
            <w:pPr>
              <w:widowControl/>
              <w:spacing w:before="159" w:beforeLines="50" w:after="159" w:afterLines="50"/>
              <w:jc w:val="left"/>
              <w:rPr>
                <w:rFonts w:hint="eastAsia" w:ascii="新宋体" w:hAnsi="新宋体" w:eastAsia="新宋体" w:cs="Times New Roman"/>
                <w:sz w:val="22"/>
                <w:szCs w:val="22"/>
              </w:rPr>
            </w:pPr>
            <w:r>
              <w:rPr>
                <w:rFonts w:hint="eastAsia" w:ascii="新宋体" w:hAnsi="新宋体" w:eastAsia="新宋体" w:cs="Times New Roman"/>
                <w:sz w:val="22"/>
                <w:szCs w:val="22"/>
              </w:rPr>
              <w:t>2. 体系分散聚集行为研究</w:t>
            </w:r>
          </w:p>
          <w:p>
            <w:pPr>
              <w:widowControl/>
              <w:spacing w:before="159" w:beforeLines="50" w:after="159" w:afterLines="50"/>
              <w:jc w:val="left"/>
              <w:rPr>
                <w:rFonts w:hint="eastAsia" w:ascii="新宋体" w:hAnsi="新宋体" w:eastAsia="新宋体" w:cs="Times New Roman"/>
                <w:sz w:val="22"/>
                <w:szCs w:val="22"/>
              </w:rPr>
            </w:pPr>
            <w:r>
              <w:rPr>
                <w:rFonts w:hint="eastAsia" w:ascii="新宋体" w:hAnsi="新宋体" w:eastAsia="新宋体" w:cs="Times New Roman"/>
                <w:sz w:val="22"/>
                <w:szCs w:val="22"/>
              </w:rPr>
              <w:t>3. 测量各种体系的Zeta电位及等电点，谱图和数据可输出</w:t>
            </w:r>
          </w:p>
          <w:p>
            <w:pPr>
              <w:widowControl/>
              <w:spacing w:before="159" w:beforeLines="50" w:after="159" w:afterLines="50"/>
              <w:jc w:val="left"/>
              <w:rPr>
                <w:rFonts w:hint="eastAsia" w:ascii="新宋体" w:hAnsi="新宋体" w:eastAsia="新宋体" w:cs="Times New Roman"/>
                <w:sz w:val="22"/>
                <w:szCs w:val="22"/>
              </w:rPr>
            </w:pPr>
            <w:r>
              <w:rPr>
                <w:rFonts w:hint="eastAsia" w:ascii="新宋体" w:hAnsi="新宋体" w:eastAsia="新宋体" w:cs="Times New Roman"/>
                <w:sz w:val="22"/>
                <w:szCs w:val="22"/>
              </w:rPr>
              <w:t>4. 采用相位分析光散射技术（PALS），能对有机溶剂为分散介质的体系、高盐浓度的体系、油体系、在等电点附近极难检测的体系的Zeta电位进行测量</w:t>
            </w:r>
          </w:p>
          <w:p>
            <w:pPr>
              <w:widowControl/>
              <w:spacing w:before="159" w:beforeLines="50" w:after="159" w:afterLines="50"/>
              <w:jc w:val="left"/>
              <w:rPr>
                <w:rFonts w:hint="eastAsia" w:ascii="新宋体" w:hAnsi="新宋体" w:eastAsia="新宋体" w:cs="Times New Roman"/>
                <w:sz w:val="22"/>
                <w:szCs w:val="22"/>
              </w:rPr>
            </w:pPr>
            <w:r>
              <w:rPr>
                <w:rFonts w:hint="eastAsia" w:ascii="新宋体" w:hAnsi="新宋体" w:eastAsia="新宋体" w:cs="Times New Roman"/>
                <w:sz w:val="22"/>
                <w:szCs w:val="22"/>
              </w:rPr>
              <w:t>5. 可测量膜表面电位</w:t>
            </w:r>
          </w:p>
          <w:p>
            <w:pPr>
              <w:widowControl/>
              <w:spacing w:before="159" w:beforeLines="50" w:after="159" w:afterLines="50"/>
              <w:jc w:val="left"/>
              <w:rPr>
                <w:rFonts w:hint="eastAsia" w:ascii="新宋体" w:hAnsi="新宋体" w:eastAsia="新宋体" w:cs="Times New Roman"/>
                <w:sz w:val="22"/>
                <w:szCs w:val="22"/>
              </w:rPr>
            </w:pPr>
            <w:r>
              <w:rPr>
                <w:rFonts w:hint="eastAsia" w:ascii="新宋体" w:hAnsi="新宋体" w:eastAsia="新宋体" w:cs="Times New Roman"/>
                <w:sz w:val="22"/>
                <w:szCs w:val="22"/>
              </w:rPr>
              <w:t>6. 检测弱结构溶液的粘弹性信息</w:t>
            </w:r>
          </w:p>
          <w:p>
            <w:pPr>
              <w:pStyle w:val="2"/>
              <w:rPr>
                <w:rFonts w:hint="eastAsia" w:ascii="新宋体" w:hAnsi="新宋体" w:eastAsia="新宋体"/>
                <w:b/>
                <w:sz w:val="22"/>
                <w:szCs w:val="22"/>
                <w:lang w:val="en-US" w:eastAsia="zh-CN"/>
              </w:rPr>
            </w:pPr>
            <w:r>
              <w:rPr>
                <w:rFonts w:hint="eastAsia" w:ascii="新宋体" w:hAnsi="新宋体" w:eastAsia="新宋体"/>
                <w:b/>
                <w:sz w:val="22"/>
                <w:szCs w:val="22"/>
                <w:lang w:val="en-US" w:eastAsia="zh-CN"/>
              </w:rPr>
              <w:t>二、技术指标</w:t>
            </w:r>
          </w:p>
          <w:p>
            <w:pPr>
              <w:outlineLvl w:val="0"/>
              <w:rPr>
                <w:rFonts w:ascii="新宋体" w:hAnsi="新宋体" w:eastAsia="新宋体"/>
                <w:sz w:val="22"/>
                <w:szCs w:val="22"/>
              </w:rPr>
            </w:pPr>
            <w:r>
              <w:rPr>
                <w:rFonts w:hint="eastAsia" w:ascii="新宋体" w:hAnsi="新宋体" w:eastAsia="新宋体"/>
                <w:sz w:val="22"/>
                <w:szCs w:val="22"/>
                <w:lang w:val="en-US" w:eastAsia="zh-CN"/>
              </w:rPr>
              <w:t xml:space="preserve">1. </w:t>
            </w:r>
            <w:r>
              <w:rPr>
                <w:rFonts w:hint="eastAsia" w:ascii="新宋体" w:hAnsi="新宋体" w:eastAsia="新宋体"/>
                <w:sz w:val="22"/>
                <w:szCs w:val="22"/>
              </w:rPr>
              <w:t>主机部分</w:t>
            </w:r>
          </w:p>
          <w:p>
            <w:pPr>
              <w:ind w:firstLine="220" w:firstLineChars="100"/>
              <w:rPr>
                <w:rFonts w:ascii="新宋体" w:hAnsi="新宋体" w:eastAsia="新宋体"/>
                <w:sz w:val="22"/>
                <w:szCs w:val="22"/>
              </w:rPr>
            </w:pPr>
            <w:r>
              <w:rPr>
                <w:rFonts w:hint="eastAsia" w:ascii="新宋体" w:hAnsi="新宋体" w:eastAsia="新宋体" w:cs="新宋体"/>
                <w:sz w:val="22"/>
                <w:szCs w:val="22"/>
              </w:rPr>
              <w:t>★</w:t>
            </w:r>
            <w:r>
              <w:rPr>
                <w:rFonts w:ascii="新宋体" w:hAnsi="新宋体" w:eastAsia="新宋体"/>
                <w:sz w:val="22"/>
                <w:szCs w:val="22"/>
              </w:rPr>
              <w:t>1.1激光器：</w:t>
            </w:r>
            <w:r>
              <w:rPr>
                <w:rFonts w:hint="eastAsia" w:ascii="新宋体" w:hAnsi="新宋体" w:eastAsia="新宋体"/>
                <w:sz w:val="22"/>
                <w:szCs w:val="22"/>
              </w:rPr>
              <w:t>半导体红光</w:t>
            </w:r>
            <w:r>
              <w:rPr>
                <w:rFonts w:ascii="新宋体" w:hAnsi="新宋体" w:eastAsia="新宋体"/>
                <w:sz w:val="22"/>
                <w:szCs w:val="22"/>
              </w:rPr>
              <w:t>激光器</w:t>
            </w:r>
            <w:r>
              <w:rPr>
                <w:rFonts w:hint="eastAsia" w:ascii="新宋体" w:hAnsi="新宋体" w:eastAsia="新宋体"/>
                <w:sz w:val="22"/>
                <w:szCs w:val="22"/>
              </w:rPr>
              <w:t>，功率大于等于40mW</w:t>
            </w:r>
          </w:p>
          <w:p>
            <w:pPr>
              <w:ind w:firstLine="465"/>
              <w:rPr>
                <w:rFonts w:ascii="新宋体" w:hAnsi="新宋体" w:eastAsia="新宋体"/>
                <w:sz w:val="22"/>
                <w:szCs w:val="22"/>
              </w:rPr>
            </w:pPr>
            <w:r>
              <w:rPr>
                <w:rFonts w:hint="eastAsia" w:ascii="新宋体" w:hAnsi="新宋体" w:eastAsia="新宋体"/>
                <w:sz w:val="22"/>
                <w:szCs w:val="22"/>
              </w:rPr>
              <w:t>1.2检测器：高灵敏度雪崩型二极管（APD）</w:t>
            </w:r>
          </w:p>
          <w:p>
            <w:pPr>
              <w:ind w:firstLine="220" w:firstLineChars="100"/>
              <w:rPr>
                <w:rFonts w:ascii="新宋体" w:hAnsi="新宋体" w:eastAsia="新宋体"/>
                <w:sz w:val="22"/>
                <w:szCs w:val="22"/>
              </w:rPr>
            </w:pPr>
            <w:r>
              <w:rPr>
                <w:rFonts w:hint="eastAsia" w:ascii="新宋体" w:hAnsi="新宋体" w:eastAsia="新宋体" w:cs="新宋体"/>
                <w:sz w:val="22"/>
                <w:szCs w:val="22"/>
              </w:rPr>
              <w:t>★</w:t>
            </w:r>
            <w:r>
              <w:rPr>
                <w:rFonts w:hint="eastAsia" w:ascii="新宋体" w:hAnsi="新宋体" w:eastAsia="新宋体"/>
                <w:sz w:val="22"/>
                <w:szCs w:val="22"/>
              </w:rPr>
              <w:t>1.3温控：-5</w:t>
            </w:r>
            <w:r>
              <w:rPr>
                <w:rFonts w:ascii="新宋体" w:hAnsi="新宋体" w:eastAsia="新宋体"/>
                <w:sz w:val="22"/>
                <w:szCs w:val="22"/>
              </w:rPr>
              <w:t>-1</w:t>
            </w:r>
            <w:r>
              <w:rPr>
                <w:rFonts w:hint="eastAsia" w:ascii="新宋体" w:hAnsi="新宋体" w:eastAsia="新宋体"/>
                <w:sz w:val="22"/>
                <w:szCs w:val="22"/>
              </w:rPr>
              <w:t>1</w:t>
            </w:r>
            <w:r>
              <w:rPr>
                <w:rFonts w:ascii="新宋体" w:hAnsi="新宋体" w:eastAsia="新宋体"/>
                <w:sz w:val="22"/>
                <w:szCs w:val="22"/>
              </w:rPr>
              <w:t>0℃</w:t>
            </w:r>
            <w:r>
              <w:rPr>
                <w:rFonts w:hint="eastAsia" w:ascii="新宋体" w:hAnsi="新宋体" w:eastAsia="新宋体"/>
                <w:sz w:val="22"/>
                <w:szCs w:val="22"/>
              </w:rPr>
              <w:t>，</w:t>
            </w:r>
            <w:r>
              <w:rPr>
                <w:rFonts w:ascii="新宋体" w:hAnsi="新宋体" w:eastAsia="新宋体"/>
                <w:sz w:val="22"/>
                <w:szCs w:val="22"/>
              </w:rPr>
              <w:t>±0.1℃</w:t>
            </w:r>
          </w:p>
          <w:p>
            <w:pPr>
              <w:spacing w:line="300" w:lineRule="auto"/>
              <w:ind w:firstLine="465"/>
              <w:rPr>
                <w:rFonts w:hint="eastAsia" w:ascii="新宋体" w:hAnsi="新宋体" w:eastAsia="新宋体"/>
                <w:sz w:val="22"/>
                <w:szCs w:val="22"/>
              </w:rPr>
            </w:pPr>
            <w:r>
              <w:rPr>
                <w:rFonts w:hint="eastAsia" w:ascii="新宋体" w:hAnsi="新宋体" w:eastAsia="新宋体"/>
                <w:sz w:val="22"/>
                <w:szCs w:val="22"/>
              </w:rPr>
              <w:t>1.4光路：全光纤结构设计</w:t>
            </w:r>
          </w:p>
          <w:p>
            <w:pPr>
              <w:spacing w:line="300" w:lineRule="auto"/>
              <w:ind w:firstLine="220" w:firstLineChars="100"/>
              <w:rPr>
                <w:rFonts w:hint="eastAsia" w:ascii="新宋体" w:hAnsi="新宋体" w:eastAsia="新宋体"/>
                <w:sz w:val="22"/>
                <w:szCs w:val="22"/>
              </w:rPr>
            </w:pPr>
            <w:r>
              <w:rPr>
                <w:rFonts w:hint="eastAsia" w:ascii="新宋体" w:hAnsi="新宋体" w:eastAsia="新宋体" w:cs="新宋体"/>
                <w:sz w:val="22"/>
                <w:szCs w:val="22"/>
              </w:rPr>
              <w:t>★</w:t>
            </w:r>
            <w:r>
              <w:rPr>
                <w:rFonts w:hint="eastAsia" w:ascii="新宋体" w:hAnsi="新宋体" w:eastAsia="新宋体"/>
                <w:sz w:val="22"/>
                <w:szCs w:val="22"/>
              </w:rPr>
              <w:t>1.5 在线测试功能：包含在线实时测试和实验室离线测试两种测量模式</w:t>
            </w:r>
          </w:p>
          <w:p>
            <w:pPr>
              <w:outlineLvl w:val="0"/>
              <w:rPr>
                <w:rFonts w:ascii="新宋体" w:hAnsi="新宋体" w:eastAsia="新宋体"/>
                <w:sz w:val="22"/>
                <w:szCs w:val="22"/>
              </w:rPr>
            </w:pPr>
            <w:r>
              <w:rPr>
                <w:rFonts w:hint="eastAsia" w:ascii="新宋体" w:hAnsi="新宋体" w:eastAsia="新宋体"/>
                <w:sz w:val="22"/>
                <w:szCs w:val="22"/>
                <w:lang w:val="en-US" w:eastAsia="zh-CN"/>
              </w:rPr>
              <w:t>2.</w:t>
            </w:r>
            <w:r>
              <w:rPr>
                <w:rFonts w:ascii="新宋体" w:hAnsi="新宋体" w:eastAsia="新宋体"/>
                <w:sz w:val="22"/>
                <w:szCs w:val="22"/>
              </w:rPr>
              <w:t>Zeta电位测量部分：</w:t>
            </w:r>
          </w:p>
          <w:p>
            <w:pPr>
              <w:ind w:left="338" w:leftChars="161" w:firstLine="110" w:firstLineChars="50"/>
              <w:rPr>
                <w:rFonts w:ascii="新宋体" w:hAnsi="新宋体" w:eastAsia="新宋体"/>
                <w:sz w:val="22"/>
                <w:szCs w:val="22"/>
              </w:rPr>
            </w:pPr>
            <w:r>
              <w:rPr>
                <w:rFonts w:ascii="新宋体" w:hAnsi="新宋体" w:eastAsia="新宋体"/>
                <w:sz w:val="22"/>
                <w:szCs w:val="22"/>
              </w:rPr>
              <w:t>2.1测量方法：</w:t>
            </w:r>
            <w:r>
              <w:rPr>
                <w:rFonts w:hint="eastAsia" w:ascii="新宋体" w:hAnsi="新宋体" w:eastAsia="新宋体"/>
                <w:sz w:val="22"/>
                <w:szCs w:val="22"/>
              </w:rPr>
              <w:t>使用硬件</w:t>
            </w:r>
            <w:r>
              <w:rPr>
                <w:rFonts w:ascii="新宋体" w:hAnsi="新宋体" w:eastAsia="新宋体"/>
                <w:sz w:val="22"/>
                <w:szCs w:val="22"/>
              </w:rPr>
              <w:t>PALS</w:t>
            </w:r>
            <w:r>
              <w:rPr>
                <w:rFonts w:hint="eastAsia" w:ascii="新宋体" w:hAnsi="新宋体" w:eastAsia="新宋体"/>
                <w:sz w:val="22"/>
                <w:szCs w:val="22"/>
              </w:rPr>
              <w:t>相位分析光散射</w:t>
            </w:r>
            <w:r>
              <w:rPr>
                <w:rFonts w:ascii="新宋体" w:hAnsi="新宋体" w:eastAsia="新宋体"/>
                <w:sz w:val="22"/>
                <w:szCs w:val="22"/>
              </w:rPr>
              <w:t>技术</w:t>
            </w:r>
            <w:r>
              <w:rPr>
                <w:rFonts w:hint="eastAsia" w:ascii="新宋体" w:hAnsi="新宋体" w:eastAsia="新宋体"/>
                <w:sz w:val="22"/>
                <w:szCs w:val="22"/>
              </w:rPr>
              <w:t>进行测量，提供原始相位谱图；</w:t>
            </w:r>
          </w:p>
          <w:p>
            <w:pPr>
              <w:ind w:firstLine="220" w:firstLineChars="100"/>
              <w:rPr>
                <w:rFonts w:ascii="新宋体" w:hAnsi="新宋体" w:eastAsia="新宋体"/>
                <w:sz w:val="22"/>
                <w:szCs w:val="22"/>
              </w:rPr>
            </w:pPr>
            <w:r>
              <w:rPr>
                <w:rFonts w:hint="eastAsia" w:ascii="新宋体" w:hAnsi="新宋体" w:eastAsia="新宋体" w:cs="新宋体"/>
                <w:sz w:val="22"/>
                <w:szCs w:val="22"/>
              </w:rPr>
              <w:t>★</w:t>
            </w:r>
            <w:r>
              <w:rPr>
                <w:rFonts w:ascii="新宋体" w:hAnsi="新宋体" w:eastAsia="新宋体"/>
                <w:sz w:val="22"/>
                <w:szCs w:val="22"/>
              </w:rPr>
              <w:t>2.2电泳测量适用粒度范围：0.00</w:t>
            </w:r>
            <w:r>
              <w:rPr>
                <w:rFonts w:hint="eastAsia" w:ascii="新宋体" w:hAnsi="新宋体" w:eastAsia="新宋体"/>
                <w:sz w:val="22"/>
                <w:szCs w:val="22"/>
              </w:rPr>
              <w:t>1</w:t>
            </w:r>
            <w:r>
              <w:rPr>
                <w:rFonts w:ascii="新宋体" w:hAnsi="新宋体" w:eastAsia="新宋体"/>
                <w:sz w:val="22"/>
                <w:szCs w:val="22"/>
              </w:rPr>
              <w:t>-</w:t>
            </w:r>
            <w:r>
              <w:rPr>
                <w:rFonts w:hint="eastAsia" w:ascii="新宋体" w:hAnsi="新宋体" w:eastAsia="新宋体"/>
                <w:sz w:val="22"/>
                <w:szCs w:val="22"/>
              </w:rPr>
              <w:t>10</w:t>
            </w:r>
            <w:r>
              <w:rPr>
                <w:rFonts w:ascii="新宋体" w:hAnsi="新宋体" w:eastAsia="新宋体"/>
                <w:sz w:val="22"/>
                <w:szCs w:val="22"/>
              </w:rPr>
              <w:t>0</w:t>
            </w:r>
            <w:r>
              <w:rPr>
                <w:rFonts w:hint="eastAsia" w:ascii="新宋体" w:hAnsi="新宋体" w:eastAsia="新宋体"/>
                <w:sz w:val="22"/>
                <w:szCs w:val="22"/>
              </w:rPr>
              <w:t xml:space="preserve"> </w:t>
            </w:r>
            <w:r>
              <w:rPr>
                <w:rFonts w:ascii="新宋体" w:hAnsi="新宋体" w:eastAsia="新宋体"/>
                <w:sz w:val="22"/>
                <w:szCs w:val="22"/>
              </w:rPr>
              <w:t>μm</w:t>
            </w:r>
          </w:p>
          <w:p>
            <w:pPr>
              <w:ind w:firstLine="440" w:firstLineChars="200"/>
              <w:rPr>
                <w:rFonts w:ascii="新宋体" w:hAnsi="新宋体" w:eastAsia="新宋体"/>
                <w:sz w:val="22"/>
                <w:szCs w:val="22"/>
              </w:rPr>
            </w:pPr>
            <w:r>
              <w:rPr>
                <w:rFonts w:ascii="新宋体" w:hAnsi="新宋体" w:eastAsia="新宋体"/>
                <w:sz w:val="22"/>
                <w:szCs w:val="22"/>
              </w:rPr>
              <w:t>2.3电导率范围：0-</w:t>
            </w:r>
            <w:r>
              <w:rPr>
                <w:rFonts w:hint="eastAsia" w:ascii="新宋体" w:hAnsi="新宋体" w:eastAsia="新宋体"/>
                <w:sz w:val="22"/>
                <w:szCs w:val="22"/>
              </w:rPr>
              <w:t xml:space="preserve">30 </w:t>
            </w:r>
            <w:r>
              <w:rPr>
                <w:rFonts w:ascii="新宋体" w:hAnsi="新宋体" w:eastAsia="新宋体"/>
                <w:sz w:val="22"/>
                <w:szCs w:val="22"/>
              </w:rPr>
              <w:t>S/m</w:t>
            </w:r>
          </w:p>
          <w:p>
            <w:pPr>
              <w:ind w:firstLine="440" w:firstLineChars="200"/>
              <w:rPr>
                <w:rFonts w:ascii="新宋体" w:hAnsi="新宋体" w:eastAsia="新宋体"/>
                <w:sz w:val="22"/>
                <w:szCs w:val="22"/>
              </w:rPr>
            </w:pPr>
            <w:r>
              <w:rPr>
                <w:rFonts w:hint="eastAsia" w:ascii="新宋体" w:hAnsi="新宋体" w:eastAsia="新宋体"/>
                <w:sz w:val="22"/>
                <w:szCs w:val="22"/>
              </w:rPr>
              <w:t>2.4电场强度：0-60kV/m；</w:t>
            </w:r>
          </w:p>
          <w:p>
            <w:pPr>
              <w:ind w:firstLine="440" w:firstLineChars="200"/>
              <w:rPr>
                <w:rFonts w:ascii="新宋体" w:hAnsi="新宋体" w:eastAsia="新宋体"/>
                <w:sz w:val="22"/>
                <w:szCs w:val="22"/>
              </w:rPr>
            </w:pPr>
            <w:r>
              <w:rPr>
                <w:rFonts w:ascii="新宋体" w:hAnsi="新宋体" w:eastAsia="新宋体"/>
                <w:sz w:val="22"/>
                <w:szCs w:val="22"/>
              </w:rPr>
              <w:t>2.</w:t>
            </w:r>
            <w:r>
              <w:rPr>
                <w:rFonts w:hint="eastAsia" w:ascii="新宋体" w:hAnsi="新宋体" w:eastAsia="新宋体"/>
                <w:sz w:val="22"/>
                <w:szCs w:val="22"/>
              </w:rPr>
              <w:t>5</w:t>
            </w:r>
            <w:r>
              <w:rPr>
                <w:rFonts w:ascii="新宋体" w:hAnsi="新宋体" w:eastAsia="新宋体"/>
                <w:sz w:val="22"/>
                <w:szCs w:val="22"/>
              </w:rPr>
              <w:t xml:space="preserve">电泳迁移率范围：10 </w:t>
            </w:r>
            <w:r>
              <w:rPr>
                <w:rFonts w:ascii="新宋体" w:hAnsi="新宋体" w:eastAsia="新宋体"/>
                <w:sz w:val="22"/>
                <w:szCs w:val="22"/>
                <w:vertAlign w:val="superscript"/>
              </w:rPr>
              <w:t>-11</w:t>
            </w:r>
            <w:r>
              <w:rPr>
                <w:rFonts w:hint="eastAsia" w:ascii="新宋体" w:hAnsi="新宋体" w:eastAsia="新宋体"/>
                <w:sz w:val="22"/>
                <w:szCs w:val="22"/>
              </w:rPr>
              <w:t>-</w:t>
            </w:r>
            <w:r>
              <w:rPr>
                <w:rFonts w:ascii="新宋体" w:hAnsi="新宋体" w:eastAsia="新宋体"/>
                <w:sz w:val="22"/>
                <w:szCs w:val="22"/>
              </w:rPr>
              <w:t xml:space="preserve">10 </w:t>
            </w:r>
            <w:r>
              <w:rPr>
                <w:rFonts w:ascii="新宋体" w:hAnsi="新宋体" w:eastAsia="新宋体"/>
                <w:sz w:val="22"/>
                <w:szCs w:val="22"/>
                <w:vertAlign w:val="superscript"/>
              </w:rPr>
              <w:t>-7</w:t>
            </w:r>
            <w:r>
              <w:rPr>
                <w:rFonts w:ascii="新宋体" w:hAnsi="新宋体" w:eastAsia="新宋体"/>
                <w:sz w:val="22"/>
                <w:szCs w:val="22"/>
              </w:rPr>
              <w:t xml:space="preserve"> m</w:t>
            </w:r>
            <w:r>
              <w:rPr>
                <w:rFonts w:ascii="新宋体" w:hAnsi="新宋体" w:eastAsia="新宋体"/>
                <w:sz w:val="22"/>
                <w:szCs w:val="22"/>
                <w:vertAlign w:val="superscript"/>
              </w:rPr>
              <w:t>2</w:t>
            </w:r>
            <w:r>
              <w:rPr>
                <w:rFonts w:ascii="新宋体" w:hAnsi="新宋体" w:eastAsia="新宋体"/>
                <w:sz w:val="22"/>
                <w:szCs w:val="22"/>
              </w:rPr>
              <w:t xml:space="preserve"> /V.s</w:t>
            </w:r>
          </w:p>
          <w:p>
            <w:pPr>
              <w:ind w:firstLine="440" w:firstLineChars="200"/>
              <w:rPr>
                <w:rFonts w:ascii="新宋体" w:hAnsi="新宋体" w:eastAsia="新宋体"/>
                <w:sz w:val="22"/>
                <w:szCs w:val="22"/>
              </w:rPr>
            </w:pPr>
            <w:r>
              <w:rPr>
                <w:rFonts w:ascii="新宋体" w:hAnsi="新宋体" w:eastAsia="新宋体"/>
                <w:sz w:val="22"/>
                <w:szCs w:val="22"/>
              </w:rPr>
              <w:t>2.</w:t>
            </w:r>
            <w:r>
              <w:rPr>
                <w:rFonts w:hint="eastAsia" w:ascii="新宋体" w:hAnsi="新宋体" w:eastAsia="新宋体"/>
                <w:sz w:val="22"/>
                <w:szCs w:val="22"/>
              </w:rPr>
              <w:t xml:space="preserve">6 </w:t>
            </w:r>
            <w:r>
              <w:rPr>
                <w:rFonts w:ascii="新宋体" w:hAnsi="新宋体" w:eastAsia="新宋体"/>
                <w:sz w:val="22"/>
                <w:szCs w:val="22"/>
              </w:rPr>
              <w:t>pH值测量范围：</w:t>
            </w:r>
            <w:r>
              <w:rPr>
                <w:rFonts w:hint="eastAsia" w:ascii="新宋体" w:hAnsi="新宋体" w:eastAsia="新宋体"/>
                <w:sz w:val="22"/>
                <w:szCs w:val="22"/>
              </w:rPr>
              <w:t>1-</w:t>
            </w:r>
            <w:r>
              <w:rPr>
                <w:rFonts w:ascii="新宋体" w:hAnsi="新宋体" w:eastAsia="新宋体"/>
                <w:sz w:val="22"/>
                <w:szCs w:val="22"/>
              </w:rPr>
              <w:t>1</w:t>
            </w:r>
            <w:r>
              <w:rPr>
                <w:rFonts w:hint="eastAsia" w:ascii="新宋体" w:hAnsi="新宋体" w:eastAsia="新宋体"/>
                <w:sz w:val="22"/>
                <w:szCs w:val="22"/>
              </w:rPr>
              <w:t>4</w:t>
            </w:r>
          </w:p>
          <w:p>
            <w:pPr>
              <w:spacing w:line="300" w:lineRule="auto"/>
              <w:ind w:left="439" w:leftChars="209"/>
              <w:rPr>
                <w:rFonts w:hint="eastAsia" w:ascii="新宋体" w:hAnsi="新宋体" w:eastAsia="新宋体"/>
                <w:sz w:val="22"/>
                <w:szCs w:val="22"/>
              </w:rPr>
            </w:pPr>
            <w:r>
              <w:rPr>
                <w:rFonts w:ascii="新宋体" w:hAnsi="新宋体" w:eastAsia="新宋体"/>
                <w:sz w:val="22"/>
                <w:szCs w:val="22"/>
              </w:rPr>
              <w:t>2.</w:t>
            </w:r>
            <w:r>
              <w:rPr>
                <w:rFonts w:hint="eastAsia" w:ascii="新宋体" w:hAnsi="新宋体" w:eastAsia="新宋体"/>
                <w:sz w:val="22"/>
                <w:szCs w:val="22"/>
              </w:rPr>
              <w:t>7钯</w:t>
            </w:r>
            <w:r>
              <w:rPr>
                <w:rFonts w:ascii="新宋体" w:hAnsi="新宋体" w:eastAsia="新宋体"/>
                <w:sz w:val="22"/>
                <w:szCs w:val="22"/>
              </w:rPr>
              <w:t>电极：</w:t>
            </w:r>
            <w:r>
              <w:rPr>
                <w:rFonts w:hint="eastAsia" w:ascii="新宋体" w:hAnsi="新宋体" w:eastAsia="新宋体"/>
                <w:sz w:val="22"/>
                <w:szCs w:val="22"/>
              </w:rPr>
              <w:t>耐腐蚀电极，非耗材。可同时适用于水相及有机相体系，避免电渗运动的影响，易于彻底清洗，避免交叉污染</w:t>
            </w:r>
          </w:p>
          <w:p>
            <w:pPr>
              <w:ind w:firstLine="220" w:firstLineChars="100"/>
              <w:rPr>
                <w:rFonts w:hint="eastAsia" w:ascii="新宋体" w:hAnsi="新宋体" w:eastAsia="新宋体"/>
                <w:sz w:val="22"/>
                <w:szCs w:val="22"/>
              </w:rPr>
            </w:pPr>
            <w:r>
              <w:rPr>
                <w:rFonts w:hint="eastAsia" w:ascii="新宋体" w:hAnsi="新宋体" w:eastAsia="新宋体" w:cs="新宋体"/>
                <w:sz w:val="22"/>
                <w:szCs w:val="22"/>
              </w:rPr>
              <w:t>★</w:t>
            </w:r>
            <w:r>
              <w:rPr>
                <w:rFonts w:hint="eastAsia" w:ascii="新宋体" w:hAnsi="新宋体" w:eastAsia="新宋体"/>
                <w:sz w:val="22"/>
                <w:szCs w:val="22"/>
              </w:rPr>
              <w:t>2.8具有膜表面电位测量功能，配备膜电极，用于测量薄膜表面电位</w:t>
            </w:r>
          </w:p>
          <w:p>
            <w:pPr>
              <w:ind w:firstLine="440" w:firstLineChars="200"/>
              <w:rPr>
                <w:rFonts w:hint="eastAsia" w:ascii="新宋体" w:hAnsi="新宋体" w:eastAsia="新宋体"/>
                <w:sz w:val="22"/>
                <w:szCs w:val="22"/>
              </w:rPr>
            </w:pPr>
            <w:r>
              <w:rPr>
                <w:rFonts w:hint="eastAsia" w:ascii="新宋体" w:hAnsi="新宋体" w:eastAsia="新宋体"/>
                <w:sz w:val="22"/>
                <w:szCs w:val="22"/>
              </w:rPr>
              <w:t>2.9软件：同时提供Zeta电位ELS分析软件、PALS 方法分析软件</w:t>
            </w:r>
          </w:p>
          <w:p>
            <w:pPr>
              <w:numPr>
                <w:ilvl w:val="0"/>
                <w:numId w:val="0"/>
              </w:numPr>
              <w:rPr>
                <w:rFonts w:ascii="新宋体" w:hAnsi="新宋体" w:eastAsia="新宋体"/>
                <w:sz w:val="22"/>
                <w:szCs w:val="22"/>
              </w:rPr>
            </w:pPr>
            <w:r>
              <w:rPr>
                <w:rFonts w:hint="eastAsia" w:ascii="新宋体" w:hAnsi="新宋体" w:eastAsia="新宋体"/>
                <w:sz w:val="22"/>
                <w:szCs w:val="22"/>
                <w:lang w:val="en-US" w:eastAsia="zh-CN"/>
              </w:rPr>
              <w:t>3.</w:t>
            </w:r>
            <w:r>
              <w:rPr>
                <w:rFonts w:ascii="新宋体" w:hAnsi="新宋体" w:eastAsia="新宋体"/>
                <w:sz w:val="22"/>
                <w:szCs w:val="22"/>
              </w:rPr>
              <w:t>粒度测量部分：</w:t>
            </w:r>
          </w:p>
          <w:p>
            <w:pPr>
              <w:numPr>
                <w:ilvl w:val="0"/>
                <w:numId w:val="0"/>
              </w:numPr>
              <w:ind w:leftChars="200"/>
              <w:outlineLvl w:val="0"/>
              <w:rPr>
                <w:rFonts w:hint="eastAsia" w:ascii="新宋体" w:hAnsi="新宋体" w:eastAsia="新宋体"/>
                <w:sz w:val="22"/>
                <w:szCs w:val="22"/>
              </w:rPr>
            </w:pPr>
            <w:r>
              <w:rPr>
                <w:rFonts w:hint="eastAsia" w:ascii="新宋体" w:hAnsi="新宋体" w:eastAsia="新宋体"/>
                <w:sz w:val="22"/>
                <w:szCs w:val="22"/>
              </w:rPr>
              <w:t>3.1原理：经典动态光散射及背向光散射技术</w:t>
            </w:r>
          </w:p>
          <w:p>
            <w:pPr>
              <w:numPr>
                <w:ilvl w:val="0"/>
                <w:numId w:val="0"/>
              </w:numPr>
              <w:ind w:leftChars="200"/>
              <w:outlineLvl w:val="0"/>
              <w:rPr>
                <w:rFonts w:ascii="新宋体" w:hAnsi="新宋体" w:eastAsia="新宋体"/>
                <w:sz w:val="22"/>
                <w:szCs w:val="22"/>
              </w:rPr>
            </w:pPr>
            <w:r>
              <w:rPr>
                <w:rFonts w:hint="eastAsia" w:ascii="新宋体" w:hAnsi="新宋体" w:eastAsia="新宋体"/>
                <w:sz w:val="22"/>
                <w:szCs w:val="22"/>
              </w:rPr>
              <w:t>3.2粒度测量范围：0.3nm-10</w:t>
            </w:r>
            <w:r>
              <w:rPr>
                <w:rFonts w:ascii="新宋体" w:hAnsi="新宋体" w:eastAsia="新宋体"/>
                <w:sz w:val="22"/>
                <w:szCs w:val="22"/>
              </w:rPr>
              <w:t>μ</w:t>
            </w:r>
            <w:r>
              <w:rPr>
                <w:rFonts w:hint="eastAsia" w:ascii="新宋体" w:hAnsi="新宋体" w:eastAsia="新宋体"/>
                <w:sz w:val="22"/>
                <w:szCs w:val="22"/>
              </w:rPr>
              <w:t>m</w:t>
            </w:r>
          </w:p>
          <w:p>
            <w:pPr>
              <w:ind w:firstLine="220" w:firstLineChars="100"/>
              <w:rPr>
                <w:rFonts w:hint="eastAsia" w:ascii="新宋体" w:hAnsi="新宋体" w:eastAsia="新宋体"/>
                <w:sz w:val="22"/>
                <w:szCs w:val="22"/>
              </w:rPr>
            </w:pPr>
            <w:r>
              <w:rPr>
                <w:rFonts w:hint="eastAsia" w:ascii="新宋体" w:hAnsi="新宋体" w:eastAsia="新宋体" w:cs="新宋体"/>
                <w:sz w:val="22"/>
                <w:szCs w:val="22"/>
              </w:rPr>
              <w:t>★</w:t>
            </w:r>
            <w:r>
              <w:rPr>
                <w:rFonts w:hint="eastAsia" w:ascii="新宋体" w:hAnsi="新宋体" w:eastAsia="新宋体"/>
                <w:sz w:val="22"/>
                <w:szCs w:val="22"/>
              </w:rPr>
              <w:t>3.3散射角：15°、90°及173°</w:t>
            </w:r>
          </w:p>
          <w:p>
            <w:pPr>
              <w:ind w:firstLine="440" w:firstLineChars="200"/>
              <w:rPr>
                <w:rFonts w:hint="eastAsia" w:ascii="新宋体" w:hAnsi="新宋体" w:eastAsia="新宋体"/>
                <w:sz w:val="22"/>
                <w:szCs w:val="22"/>
              </w:rPr>
            </w:pPr>
            <w:r>
              <w:rPr>
                <w:rFonts w:hint="eastAsia" w:ascii="新宋体" w:hAnsi="新宋体" w:eastAsia="新宋体"/>
                <w:sz w:val="22"/>
                <w:szCs w:val="22"/>
              </w:rPr>
              <w:t>3.4典型精度：1％；</w:t>
            </w:r>
          </w:p>
          <w:p>
            <w:pPr>
              <w:ind w:firstLine="440" w:firstLineChars="200"/>
              <w:rPr>
                <w:rFonts w:hint="eastAsia" w:ascii="新宋体" w:hAnsi="新宋体" w:eastAsia="新宋体"/>
                <w:sz w:val="22"/>
                <w:szCs w:val="22"/>
              </w:rPr>
            </w:pPr>
            <w:r>
              <w:rPr>
                <w:rFonts w:hint="eastAsia" w:ascii="新宋体" w:hAnsi="新宋体" w:eastAsia="新宋体"/>
                <w:sz w:val="22"/>
                <w:szCs w:val="22"/>
              </w:rPr>
              <w:t>3.5 灵敏度：＞300Kcps（甲苯）</w:t>
            </w:r>
          </w:p>
          <w:p>
            <w:pPr>
              <w:ind w:firstLine="440" w:firstLineChars="200"/>
              <w:rPr>
                <w:rFonts w:hint="eastAsia" w:ascii="新宋体" w:hAnsi="新宋体" w:eastAsia="新宋体"/>
                <w:sz w:val="22"/>
                <w:szCs w:val="22"/>
              </w:rPr>
            </w:pPr>
            <w:r>
              <w:rPr>
                <w:rFonts w:hint="eastAsia" w:ascii="新宋体" w:hAnsi="新宋体" w:eastAsia="新宋体"/>
                <w:sz w:val="22"/>
                <w:szCs w:val="22"/>
              </w:rPr>
              <w:t>3.6  浓度范围：0.1ppm~40%w/v</w:t>
            </w:r>
          </w:p>
          <w:p>
            <w:pPr>
              <w:ind w:firstLine="330" w:firstLineChars="150"/>
              <w:rPr>
                <w:rFonts w:hint="eastAsia" w:ascii="新宋体" w:hAnsi="新宋体" w:eastAsia="新宋体"/>
                <w:sz w:val="22"/>
                <w:szCs w:val="22"/>
              </w:rPr>
            </w:pPr>
            <w:r>
              <w:rPr>
                <w:rFonts w:hint="eastAsia" w:ascii="新宋体" w:hAnsi="新宋体" w:eastAsia="新宋体"/>
                <w:sz w:val="22"/>
                <w:szCs w:val="22"/>
              </w:rPr>
              <w:t>3.7  分子量范围：500~2</w:t>
            </w:r>
            <w:r>
              <w:rPr>
                <w:rFonts w:ascii="新宋体" w:hAnsi="新宋体" w:eastAsia="新宋体" w:cs="Arial"/>
                <w:sz w:val="22"/>
                <w:szCs w:val="22"/>
              </w:rPr>
              <w:t>×</w:t>
            </w:r>
            <w:r>
              <w:rPr>
                <w:rFonts w:hint="eastAsia" w:ascii="新宋体" w:hAnsi="新宋体" w:eastAsia="新宋体"/>
                <w:sz w:val="22"/>
                <w:szCs w:val="22"/>
              </w:rPr>
              <w:t>10</w:t>
            </w:r>
            <w:r>
              <w:rPr>
                <w:rFonts w:hint="eastAsia" w:ascii="新宋体" w:hAnsi="新宋体" w:eastAsia="新宋体"/>
                <w:sz w:val="22"/>
                <w:szCs w:val="22"/>
                <w:vertAlign w:val="superscript"/>
              </w:rPr>
              <w:t>7</w:t>
            </w:r>
            <w:r>
              <w:rPr>
                <w:rFonts w:hint="eastAsia" w:ascii="新宋体" w:hAnsi="新宋体" w:eastAsia="新宋体"/>
                <w:sz w:val="22"/>
                <w:szCs w:val="22"/>
              </w:rPr>
              <w:t>Dalton</w:t>
            </w:r>
          </w:p>
          <w:p>
            <w:pPr>
              <w:ind w:firstLine="330" w:firstLineChars="150"/>
              <w:rPr>
                <w:rFonts w:ascii="新宋体" w:hAnsi="新宋体" w:eastAsia="新宋体"/>
                <w:sz w:val="22"/>
                <w:szCs w:val="22"/>
              </w:rPr>
            </w:pPr>
            <w:r>
              <w:rPr>
                <w:rFonts w:hint="eastAsia" w:ascii="新宋体" w:hAnsi="新宋体" w:eastAsia="新宋体"/>
                <w:sz w:val="22"/>
                <w:szCs w:val="22"/>
              </w:rPr>
              <w:t>3.8  样品体积：50ul~3ml</w:t>
            </w:r>
          </w:p>
          <w:p>
            <w:pPr>
              <w:ind w:left="360"/>
              <w:rPr>
                <w:rFonts w:ascii="新宋体" w:hAnsi="新宋体" w:eastAsia="新宋体"/>
                <w:sz w:val="22"/>
                <w:szCs w:val="22"/>
              </w:rPr>
            </w:pPr>
            <w:r>
              <w:rPr>
                <w:rFonts w:hint="eastAsia" w:ascii="新宋体" w:hAnsi="新宋体" w:eastAsia="新宋体"/>
                <w:sz w:val="22"/>
                <w:szCs w:val="22"/>
              </w:rPr>
              <w:t>3.9相关器： 4*10</w:t>
            </w:r>
            <w:r>
              <w:rPr>
                <w:rFonts w:hint="eastAsia" w:ascii="新宋体" w:hAnsi="新宋体" w:eastAsia="新宋体"/>
                <w:sz w:val="22"/>
                <w:szCs w:val="22"/>
                <w:vertAlign w:val="superscript"/>
              </w:rPr>
              <w:t>11</w:t>
            </w:r>
            <w:r>
              <w:rPr>
                <w:rFonts w:hint="eastAsia" w:ascii="新宋体" w:hAnsi="新宋体" w:eastAsia="新宋体"/>
                <w:sz w:val="22"/>
                <w:szCs w:val="22"/>
              </w:rPr>
              <w:t>线性通道，支持互相关测量，支持4路信号输入。</w:t>
            </w:r>
          </w:p>
          <w:p>
            <w:pPr>
              <w:ind w:left="360"/>
              <w:rPr>
                <w:rFonts w:hint="eastAsia" w:ascii="新宋体" w:hAnsi="新宋体" w:eastAsia="新宋体"/>
                <w:sz w:val="22"/>
                <w:szCs w:val="22"/>
              </w:rPr>
            </w:pPr>
            <w:r>
              <w:rPr>
                <w:rFonts w:hint="eastAsia" w:ascii="新宋体" w:hAnsi="新宋体" w:eastAsia="新宋体"/>
                <w:sz w:val="22"/>
                <w:szCs w:val="22"/>
              </w:rPr>
              <w:t>3.10软件：软件提供测试过程光强实时变化图，并提供灰尘过滤（dust filter)功能；软件为开放式软件，可在任意其它电脑上安装，原始数据可导出到其它电脑上进行后续分析处理，提供NNLS、CONTIN、Lognomal蛋白质与聚合物分析模型。</w:t>
            </w:r>
          </w:p>
          <w:p>
            <w:pPr>
              <w:spacing w:line="300" w:lineRule="auto"/>
              <w:rPr>
                <w:rFonts w:hint="eastAsia" w:ascii="新宋体" w:hAnsi="新宋体" w:eastAsia="新宋体"/>
                <w:sz w:val="22"/>
                <w:szCs w:val="22"/>
              </w:rPr>
            </w:pPr>
            <w:r>
              <w:rPr>
                <w:rFonts w:hint="eastAsia" w:ascii="新宋体" w:hAnsi="新宋体" w:eastAsia="新宋体"/>
                <w:sz w:val="22"/>
                <w:szCs w:val="22"/>
              </w:rPr>
              <w:t>4．微流变部分：</w:t>
            </w:r>
          </w:p>
          <w:p>
            <w:pPr>
              <w:spacing w:line="300" w:lineRule="auto"/>
              <w:ind w:left="420"/>
              <w:rPr>
                <w:rFonts w:hint="eastAsia" w:ascii="新宋体" w:hAnsi="新宋体" w:eastAsia="新宋体"/>
                <w:sz w:val="22"/>
                <w:szCs w:val="22"/>
              </w:rPr>
            </w:pPr>
            <w:r>
              <w:rPr>
                <w:rFonts w:hint="eastAsia" w:ascii="新宋体" w:hAnsi="新宋体" w:eastAsia="新宋体" w:cs="新宋体"/>
                <w:sz w:val="22"/>
                <w:szCs w:val="22"/>
              </w:rPr>
              <w:t>★</w:t>
            </w:r>
            <w:r>
              <w:rPr>
                <w:rFonts w:hint="eastAsia" w:ascii="新宋体" w:hAnsi="新宋体" w:eastAsia="新宋体"/>
                <w:sz w:val="22"/>
                <w:szCs w:val="22"/>
              </w:rPr>
              <w:t>4.1 通过对探测颗粒均方位移（</w:t>
            </w:r>
            <w:r>
              <w:rPr>
                <w:rFonts w:ascii="新宋体" w:hAnsi="新宋体" w:eastAsia="新宋体"/>
                <w:sz w:val="22"/>
                <w:szCs w:val="22"/>
              </w:rPr>
              <w:t>MSD</w:t>
            </w:r>
            <w:r>
              <w:rPr>
                <w:rFonts w:hint="eastAsia" w:ascii="新宋体" w:hAnsi="新宋体" w:eastAsia="新宋体"/>
                <w:sz w:val="22"/>
                <w:szCs w:val="22"/>
              </w:rPr>
              <w:t>）的分析，可确定复杂流体的流变学特性：粘度、弹性模量</w:t>
            </w:r>
            <w:r>
              <w:rPr>
                <w:rFonts w:ascii="新宋体" w:hAnsi="新宋体" w:eastAsia="新宋体"/>
                <w:sz w:val="22"/>
                <w:szCs w:val="22"/>
              </w:rPr>
              <w:t>G'</w:t>
            </w:r>
            <w:r>
              <w:rPr>
                <w:rFonts w:hint="eastAsia" w:ascii="新宋体" w:hAnsi="新宋体" w:eastAsia="新宋体"/>
                <w:sz w:val="22"/>
                <w:szCs w:val="22"/>
              </w:rPr>
              <w:t>以及粘性模量</w:t>
            </w:r>
            <w:r>
              <w:rPr>
                <w:rFonts w:ascii="新宋体" w:hAnsi="新宋体" w:eastAsia="新宋体"/>
                <w:sz w:val="22"/>
                <w:szCs w:val="22"/>
              </w:rPr>
              <w:t>G''</w:t>
            </w:r>
            <w:r>
              <w:rPr>
                <w:rFonts w:hint="eastAsia" w:ascii="新宋体" w:hAnsi="新宋体" w:eastAsia="新宋体"/>
                <w:sz w:val="22"/>
                <w:szCs w:val="22"/>
              </w:rPr>
              <w:t>，进行低粘性、弱结构及高应变敏感样品的粘弹性表征</w:t>
            </w:r>
          </w:p>
          <w:p>
            <w:pPr>
              <w:widowControl/>
              <w:numPr>
                <w:ilvl w:val="0"/>
                <w:numId w:val="0"/>
              </w:numPr>
              <w:spacing w:line="300" w:lineRule="auto"/>
              <w:jc w:val="left"/>
              <w:rPr>
                <w:rFonts w:ascii="新宋体" w:hAnsi="新宋体" w:eastAsia="新宋体"/>
                <w:sz w:val="22"/>
                <w:szCs w:val="22"/>
              </w:rPr>
            </w:pPr>
            <w:r>
              <w:rPr>
                <w:rFonts w:hint="eastAsia" w:ascii="新宋体" w:hAnsi="新宋体" w:eastAsia="新宋体"/>
                <w:sz w:val="22"/>
                <w:szCs w:val="22"/>
                <w:lang w:val="en-US" w:eastAsia="zh-CN"/>
              </w:rPr>
              <w:t>5.</w:t>
            </w:r>
            <w:r>
              <w:rPr>
                <w:rFonts w:hint="eastAsia" w:ascii="新宋体" w:hAnsi="新宋体" w:eastAsia="新宋体"/>
                <w:sz w:val="22"/>
                <w:szCs w:val="22"/>
              </w:rPr>
              <w:t xml:space="preserve"> 计算机：</w:t>
            </w:r>
          </w:p>
          <w:p>
            <w:pPr>
              <w:widowControl/>
              <w:spacing w:line="300" w:lineRule="auto"/>
              <w:ind w:firstLine="440" w:firstLineChars="200"/>
              <w:jc w:val="left"/>
              <w:rPr>
                <w:rFonts w:hint="eastAsia" w:ascii="新宋体" w:hAnsi="新宋体" w:eastAsia="新宋体"/>
                <w:sz w:val="22"/>
                <w:szCs w:val="22"/>
              </w:rPr>
            </w:pPr>
            <w:r>
              <w:rPr>
                <w:rFonts w:hint="eastAsia" w:ascii="新宋体" w:hAnsi="新宋体" w:eastAsia="新宋体"/>
                <w:sz w:val="22"/>
                <w:szCs w:val="22"/>
              </w:rPr>
              <w:t xml:space="preserve">5.1 I5及以上CPU， 8G及以上内存，固态硬盘，21寸及以上显示器，Win10 64位系统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765" w:type="dxa"/>
            <w:gridSpan w:val="3"/>
            <w:noWrap w:val="0"/>
            <w:vAlign w:val="center"/>
          </w:tcPr>
          <w:p>
            <w:pPr>
              <w:spacing w:line="400" w:lineRule="exact"/>
              <w:ind w:left="1767" w:hanging="1767" w:hangingChars="800"/>
              <w:rPr>
                <w:rFonts w:hint="eastAsia" w:ascii="新宋体" w:hAnsi="新宋体" w:eastAsia="新宋体" w:cs="宋体"/>
                <w:color w:val="000000"/>
                <w:sz w:val="22"/>
                <w:szCs w:val="22"/>
              </w:rPr>
            </w:pPr>
            <w:r>
              <w:rPr>
                <w:rFonts w:hint="eastAsia" w:ascii="新宋体" w:hAnsi="新宋体" w:eastAsia="新宋体" w:cs="宋体"/>
                <w:b/>
                <w:bCs/>
                <w:color w:val="000000"/>
                <w:sz w:val="22"/>
                <w:szCs w:val="22"/>
              </w:rPr>
              <w:t>备注：1、</w:t>
            </w:r>
            <w:r>
              <w:rPr>
                <w:rFonts w:hint="eastAsia" w:ascii="新宋体" w:hAnsi="新宋体" w:eastAsia="新宋体"/>
                <w:b/>
                <w:bCs/>
                <w:color w:val="000000"/>
                <w:sz w:val="22"/>
                <w:szCs w:val="22"/>
              </w:rPr>
              <w:t>上述技术</w:t>
            </w:r>
            <w:r>
              <w:rPr>
                <w:rFonts w:hint="eastAsia" w:ascii="新宋体" w:hAnsi="新宋体" w:eastAsia="新宋体"/>
                <w:b/>
                <w:bCs/>
                <w:color w:val="000000"/>
                <w:sz w:val="22"/>
                <w:szCs w:val="22"/>
                <w:lang w:val="en-US" w:eastAsia="zh-CN"/>
              </w:rPr>
              <w:t>性能</w:t>
            </w:r>
            <w:r>
              <w:rPr>
                <w:rFonts w:hint="eastAsia" w:ascii="新宋体" w:hAnsi="新宋体" w:eastAsia="新宋体"/>
                <w:b/>
                <w:bCs/>
                <w:color w:val="000000"/>
                <w:sz w:val="22"/>
                <w:szCs w:val="22"/>
              </w:rPr>
              <w:t>参数及要求中带“★”号条款为重要条款。投标供应商应在技术偏离表说明中须逐条逐项进行实质响应。</w:t>
            </w:r>
          </w:p>
        </w:tc>
      </w:tr>
    </w:tbl>
    <w:p>
      <w:pPr>
        <w:spacing w:line="440" w:lineRule="exact"/>
        <w:ind w:left="420" w:hanging="420" w:hangingChars="190"/>
        <w:rPr>
          <w:rFonts w:hint="eastAsia" w:ascii="新宋体" w:hAnsi="新宋体" w:eastAsia="新宋体"/>
          <w:b/>
          <w:bCs/>
          <w:color w:val="000000"/>
          <w:sz w:val="22"/>
          <w:szCs w:val="22"/>
          <w:lang w:val="zh-CN"/>
        </w:rPr>
      </w:pPr>
      <w:bookmarkStart w:id="3" w:name="_Toc29502765"/>
      <w:r>
        <w:rPr>
          <w:rFonts w:hint="eastAsia" w:ascii="新宋体" w:hAnsi="新宋体" w:eastAsia="新宋体"/>
          <w:b/>
          <w:bCs/>
          <w:color w:val="000000"/>
          <w:sz w:val="22"/>
          <w:szCs w:val="22"/>
          <w:lang w:val="zh-CN"/>
        </w:rPr>
        <w:t>四、其他要求</w:t>
      </w:r>
      <w:bookmarkEnd w:id="3"/>
    </w:p>
    <w:p>
      <w:pPr>
        <w:spacing w:line="440" w:lineRule="exact"/>
        <w:ind w:left="411" w:leftChars="1" w:hanging="409" w:hangingChars="186"/>
        <w:rPr>
          <w:rFonts w:hint="eastAsia" w:ascii="新宋体" w:hAnsi="新宋体" w:eastAsia="新宋体"/>
          <w:color w:val="000000"/>
          <w:sz w:val="22"/>
          <w:szCs w:val="22"/>
        </w:rPr>
      </w:pPr>
      <w:r>
        <w:rPr>
          <w:rFonts w:hint="eastAsia" w:ascii="新宋体" w:hAnsi="新宋体" w:eastAsia="新宋体"/>
          <w:color w:val="000000"/>
          <w:sz w:val="22"/>
          <w:szCs w:val="22"/>
        </w:rPr>
        <w:t>1.  所提供产品的技术规格和标准应符合中华人民共和国有关部门最新颁布的标准及规范或国际标准规范。</w:t>
      </w:r>
    </w:p>
    <w:p>
      <w:pPr>
        <w:spacing w:line="440" w:lineRule="exact"/>
        <w:ind w:left="421" w:leftChars="-9" w:hanging="440" w:hangingChars="200"/>
        <w:rPr>
          <w:rFonts w:hint="eastAsia" w:ascii="新宋体" w:hAnsi="新宋体" w:eastAsia="新宋体"/>
          <w:b/>
          <w:color w:val="000000"/>
          <w:sz w:val="22"/>
          <w:szCs w:val="22"/>
        </w:rPr>
      </w:pPr>
      <w:r>
        <w:rPr>
          <w:rFonts w:hint="eastAsia" w:ascii="新宋体" w:hAnsi="新宋体" w:eastAsia="新宋体"/>
          <w:color w:val="000000"/>
          <w:sz w:val="22"/>
          <w:szCs w:val="22"/>
        </w:rPr>
        <w:t xml:space="preserve">2.  </w:t>
      </w:r>
      <w:r>
        <w:rPr>
          <w:rFonts w:hint="eastAsia" w:ascii="新宋体" w:hAnsi="新宋体" w:eastAsia="新宋体"/>
          <w:color w:val="000000"/>
          <w:sz w:val="22"/>
          <w:szCs w:val="22"/>
          <w:u w:val="single"/>
        </w:rPr>
        <w:t>本标书所列产品技术配置及技术性能为基本要求，供应商可根据所列技术配置及性能要求选用投标产品，但所选投标产品的技术配置及技术性能应相当于或高于磋商文件要求，并满足采购需求，否则将可能作出对供应商不利的评定</w:t>
      </w:r>
      <w:r>
        <w:rPr>
          <w:rFonts w:ascii="新宋体" w:hAnsi="新宋体" w:eastAsia="新宋体"/>
          <w:color w:val="000000"/>
          <w:sz w:val="22"/>
          <w:szCs w:val="22"/>
          <w:u w:val="single"/>
        </w:rPr>
        <w:t>。</w:t>
      </w:r>
    </w:p>
    <w:p>
      <w:pPr>
        <w:spacing w:line="440" w:lineRule="exact"/>
        <w:ind w:left="440" w:hanging="440" w:hangingChars="200"/>
        <w:rPr>
          <w:rFonts w:hint="eastAsia" w:ascii="新宋体" w:hAnsi="新宋体" w:eastAsia="新宋体"/>
          <w:color w:val="000000"/>
          <w:sz w:val="22"/>
          <w:szCs w:val="22"/>
        </w:rPr>
      </w:pPr>
      <w:r>
        <w:rPr>
          <w:rFonts w:hint="eastAsia" w:ascii="新宋体" w:hAnsi="新宋体" w:eastAsia="新宋体"/>
          <w:color w:val="000000"/>
          <w:sz w:val="22"/>
          <w:szCs w:val="22"/>
        </w:rPr>
        <w:t xml:space="preserve">3.  </w:t>
      </w:r>
      <w:r>
        <w:rPr>
          <w:rFonts w:hint="eastAsia" w:ascii="新宋体" w:hAnsi="新宋体" w:eastAsia="新宋体"/>
          <w:color w:val="000000"/>
          <w:sz w:val="22"/>
          <w:szCs w:val="22"/>
          <w:u w:val="single"/>
        </w:rPr>
        <w:t>供应商的投标响应必须满足本磋商文件提出的采购需求，任何被磋商小组认定为明显不能满足采购需求将导致影响项目建设质量和使用要求的负偏离响应，均将被视为重大负偏离。对重大负偏离的认定由磋商小组作出，重大负偏离将被认定为是对磋商文件实质上的不响应，其投标将被视为无效投标。</w:t>
      </w:r>
    </w:p>
    <w:p>
      <w:pPr>
        <w:spacing w:line="440" w:lineRule="exact"/>
        <w:ind w:left="421" w:leftChars="-9" w:hanging="440" w:hangingChars="200"/>
        <w:rPr>
          <w:rFonts w:hint="eastAsia" w:ascii="新宋体" w:hAnsi="新宋体" w:eastAsia="新宋体"/>
          <w:color w:val="000000"/>
          <w:sz w:val="22"/>
          <w:szCs w:val="22"/>
        </w:rPr>
      </w:pPr>
      <w:r>
        <w:rPr>
          <w:rFonts w:hint="eastAsia" w:ascii="新宋体" w:hAnsi="新宋体" w:eastAsia="新宋体"/>
          <w:color w:val="000000"/>
          <w:sz w:val="22"/>
          <w:szCs w:val="22"/>
        </w:rPr>
        <w:t xml:space="preserve">4.  </w:t>
      </w:r>
      <w:r>
        <w:rPr>
          <w:rFonts w:ascii="新宋体" w:hAnsi="新宋体" w:eastAsia="新宋体"/>
          <w:color w:val="000000"/>
          <w:sz w:val="22"/>
          <w:szCs w:val="22"/>
        </w:rPr>
        <w:t>本标书中的技术要求不得被认为是详尽无遗的，无论规定与否，供应商应提供所有</w:t>
      </w:r>
      <w:r>
        <w:rPr>
          <w:rFonts w:hint="eastAsia" w:ascii="新宋体" w:hAnsi="新宋体" w:eastAsia="新宋体"/>
          <w:color w:val="000000"/>
          <w:sz w:val="22"/>
          <w:szCs w:val="22"/>
        </w:rPr>
        <w:t>磋商文件</w:t>
      </w:r>
      <w:r>
        <w:rPr>
          <w:rFonts w:ascii="新宋体" w:hAnsi="新宋体" w:eastAsia="新宋体"/>
          <w:color w:val="000000"/>
          <w:sz w:val="22"/>
          <w:szCs w:val="22"/>
        </w:rPr>
        <w:t>没有规定但供应商认为完成本项目必要或必须的</w:t>
      </w:r>
      <w:r>
        <w:rPr>
          <w:rFonts w:hint="eastAsia" w:ascii="新宋体" w:hAnsi="新宋体" w:eastAsia="新宋体"/>
          <w:color w:val="000000"/>
          <w:sz w:val="22"/>
          <w:szCs w:val="22"/>
        </w:rPr>
        <w:t>设备</w:t>
      </w:r>
      <w:r>
        <w:rPr>
          <w:rFonts w:ascii="新宋体" w:hAnsi="新宋体" w:eastAsia="新宋体"/>
          <w:color w:val="000000"/>
          <w:sz w:val="22"/>
          <w:szCs w:val="22"/>
        </w:rPr>
        <w:t>和材料</w:t>
      </w:r>
      <w:r>
        <w:rPr>
          <w:rFonts w:hint="eastAsia" w:ascii="新宋体" w:hAnsi="新宋体" w:eastAsia="新宋体"/>
          <w:color w:val="000000"/>
          <w:sz w:val="22"/>
          <w:szCs w:val="22"/>
        </w:rPr>
        <w:t>、辅件</w:t>
      </w:r>
      <w:r>
        <w:rPr>
          <w:rFonts w:ascii="新宋体" w:hAnsi="新宋体" w:eastAsia="新宋体"/>
          <w:color w:val="000000"/>
          <w:sz w:val="22"/>
          <w:szCs w:val="22"/>
        </w:rPr>
        <w:t>，并应在投标报价表中一一列明。</w:t>
      </w:r>
    </w:p>
    <w:p>
      <w:pPr>
        <w:spacing w:line="440" w:lineRule="exact"/>
        <w:ind w:left="440" w:hanging="440" w:hangingChars="200"/>
        <w:rPr>
          <w:rFonts w:hint="eastAsia" w:ascii="新宋体" w:hAnsi="新宋体" w:eastAsia="新宋体"/>
          <w:b/>
          <w:color w:val="000000"/>
          <w:sz w:val="22"/>
          <w:szCs w:val="22"/>
        </w:rPr>
      </w:pPr>
      <w:r>
        <w:rPr>
          <w:rFonts w:hint="eastAsia" w:ascii="新宋体" w:hAnsi="新宋体" w:eastAsia="新宋体"/>
          <w:color w:val="000000"/>
          <w:sz w:val="22"/>
          <w:szCs w:val="22"/>
        </w:rPr>
        <w:t>5.  供应商所投</w:t>
      </w:r>
      <w:r>
        <w:rPr>
          <w:rFonts w:hint="eastAsia" w:ascii="新宋体" w:hAnsi="新宋体" w:eastAsia="新宋体"/>
          <w:color w:val="000000"/>
          <w:sz w:val="22"/>
        </w:rPr>
        <w:t>设备</w:t>
      </w:r>
      <w:r>
        <w:rPr>
          <w:rFonts w:hint="eastAsia" w:ascii="新宋体" w:hAnsi="新宋体" w:eastAsia="新宋体"/>
          <w:color w:val="000000"/>
          <w:sz w:val="22"/>
          <w:szCs w:val="22"/>
        </w:rPr>
        <w:t>的名称、品牌、型号、技术参数、性能、数量、单价、合价厂商、产地、质保期及随机软件的技术性能、功能等均应在</w:t>
      </w:r>
      <w:r>
        <w:rPr>
          <w:rFonts w:hint="eastAsia" w:ascii="新宋体" w:hAnsi="新宋体" w:eastAsia="新宋体"/>
          <w:color w:val="000000"/>
          <w:sz w:val="22"/>
        </w:rPr>
        <w:t>响应文件</w:t>
      </w:r>
      <w:r>
        <w:rPr>
          <w:rFonts w:hint="eastAsia" w:ascii="新宋体" w:hAnsi="新宋体" w:eastAsia="新宋体"/>
          <w:color w:val="000000"/>
          <w:sz w:val="22"/>
          <w:szCs w:val="22"/>
        </w:rPr>
        <w:t>中明确，对</w:t>
      </w:r>
      <w:r>
        <w:rPr>
          <w:rFonts w:hint="eastAsia" w:ascii="新宋体" w:hAnsi="新宋体" w:eastAsia="新宋体"/>
          <w:color w:val="000000"/>
          <w:sz w:val="22"/>
        </w:rPr>
        <w:t>磋商文件</w:t>
      </w:r>
      <w:r>
        <w:rPr>
          <w:rFonts w:hint="eastAsia" w:ascii="新宋体" w:hAnsi="新宋体" w:eastAsia="新宋体"/>
          <w:color w:val="000000"/>
          <w:sz w:val="22"/>
          <w:szCs w:val="22"/>
        </w:rPr>
        <w:t>的技术条款及要求应予以实质性响应，如有偏离应在偏离表中注明。为保证投标响应的真实性，</w:t>
      </w:r>
      <w:r>
        <w:rPr>
          <w:rFonts w:hint="eastAsia" w:ascii="新宋体" w:hAnsi="新宋体" w:eastAsia="新宋体"/>
          <w:bCs/>
          <w:color w:val="000000"/>
          <w:sz w:val="22"/>
          <w:szCs w:val="22"/>
        </w:rPr>
        <w:t>所投产品的技术性能指标应在响应文件技术偏离表中进行对应表述和真实响应，不得简单复制磋商文件的技术性能参数描述，不得虚假响应，并附上产品厂家官方公开的产品技术证明资料、第三方检测机构的检测报告等资料进行佐证。供应商在响应文件中应说明本次投标产品的技术参数是否与厂家官方公开的产品技术参数一致，如不一致，明确哪些参数不一致，不一致的原因以及使用何种技术可以达到投标产品参数，并在技术偏离表“备注栏”中作出相应的说明。</w:t>
      </w:r>
    </w:p>
    <w:p>
      <w:pPr>
        <w:spacing w:line="440" w:lineRule="exact"/>
        <w:ind w:left="420"/>
        <w:rPr>
          <w:rFonts w:hint="eastAsia" w:ascii="新宋体" w:hAnsi="新宋体" w:eastAsia="新宋体"/>
          <w:b/>
          <w:color w:val="000000"/>
          <w:sz w:val="22"/>
          <w:szCs w:val="22"/>
        </w:rPr>
      </w:pPr>
      <w:r>
        <w:rPr>
          <w:rFonts w:hint="eastAsia" w:ascii="新宋体" w:hAnsi="新宋体" w:eastAsia="新宋体"/>
          <w:b/>
          <w:bCs/>
          <w:color w:val="000000"/>
          <w:sz w:val="22"/>
          <w:szCs w:val="22"/>
        </w:rPr>
        <w:t>不按上述要求进行技术响应并提供技术证明资料的均</w:t>
      </w:r>
      <w:r>
        <w:rPr>
          <w:rFonts w:hint="eastAsia" w:ascii="新宋体" w:hAnsi="新宋体" w:eastAsia="新宋体"/>
          <w:b/>
          <w:color w:val="000000"/>
          <w:sz w:val="22"/>
          <w:szCs w:val="22"/>
        </w:rPr>
        <w:t>将导致评委作出对其技术评分不利的评定，</w:t>
      </w:r>
      <w:r>
        <w:rPr>
          <w:rFonts w:hint="eastAsia" w:ascii="新宋体" w:hAnsi="新宋体" w:eastAsia="新宋体"/>
          <w:b/>
          <w:bCs/>
          <w:color w:val="000000"/>
          <w:sz w:val="22"/>
          <w:szCs w:val="22"/>
          <w:u w:val="single"/>
        </w:rPr>
        <w:t>▲</w:t>
      </w:r>
      <w:r>
        <w:rPr>
          <w:rFonts w:hint="eastAsia" w:ascii="新宋体" w:hAnsi="新宋体" w:eastAsia="新宋体"/>
          <w:b/>
          <w:color w:val="000000"/>
          <w:sz w:val="22"/>
          <w:szCs w:val="22"/>
          <w:u w:val="single"/>
        </w:rPr>
        <w:t>如因此原因导致评委无法确定其技术响应的真实性时，可以否决其投标。</w:t>
      </w:r>
    </w:p>
    <w:p>
      <w:pPr>
        <w:spacing w:line="440" w:lineRule="exact"/>
        <w:ind w:left="421" w:leftChars="-9" w:hanging="440" w:hangingChars="200"/>
        <w:rPr>
          <w:rFonts w:hint="eastAsia" w:ascii="新宋体" w:hAnsi="新宋体" w:eastAsia="新宋体"/>
          <w:color w:val="000000"/>
          <w:sz w:val="22"/>
          <w:szCs w:val="22"/>
        </w:rPr>
      </w:pPr>
      <w:r>
        <w:rPr>
          <w:rFonts w:hint="eastAsia" w:ascii="新宋体" w:hAnsi="新宋体" w:eastAsia="新宋体"/>
          <w:color w:val="000000"/>
          <w:sz w:val="22"/>
          <w:szCs w:val="22"/>
        </w:rPr>
        <w:t>6.  所有货物必须为原厂原配产品（包括在标配基础上增加的配置也必须为原厂原配）。对于低于原厂方对外公布的基本（标准）配置进行报价的设备，无论磋商文件对此有无明确规定，供应商都必须在响应文件中作出明确说明。</w:t>
      </w:r>
    </w:p>
    <w:p>
      <w:pPr>
        <w:spacing w:line="440" w:lineRule="exact"/>
        <w:ind w:left="442" w:hanging="442" w:hangingChars="200"/>
        <w:rPr>
          <w:rFonts w:hint="eastAsia" w:ascii="新宋体" w:hAnsi="新宋体" w:eastAsia="新宋体"/>
          <w:b/>
          <w:color w:val="000000"/>
          <w:sz w:val="22"/>
          <w:szCs w:val="22"/>
          <w:u w:val="single"/>
        </w:rPr>
      </w:pPr>
      <w:r>
        <w:rPr>
          <w:rFonts w:hint="eastAsia" w:ascii="新宋体" w:hAnsi="新宋体" w:eastAsia="新宋体"/>
          <w:b/>
          <w:color w:val="000000"/>
          <w:sz w:val="22"/>
          <w:szCs w:val="22"/>
        </w:rPr>
        <w:t xml:space="preserve">7. </w:t>
      </w:r>
      <w:r>
        <w:rPr>
          <w:rFonts w:hint="eastAsia" w:ascii="新宋体" w:hAnsi="新宋体" w:eastAsia="新宋体"/>
          <w:color w:val="000000"/>
          <w:sz w:val="22"/>
          <w:szCs w:val="22"/>
          <w:u w:val="single"/>
        </w:rPr>
        <w:t>▲</w:t>
      </w:r>
      <w:r>
        <w:rPr>
          <w:rFonts w:hint="eastAsia" w:ascii="新宋体" w:hAnsi="新宋体" w:eastAsia="新宋体"/>
          <w:b/>
          <w:color w:val="000000"/>
          <w:sz w:val="22"/>
          <w:szCs w:val="22"/>
          <w:u w:val="single"/>
        </w:rPr>
        <w:t>本项目成交供应商如为代理商，应在成交通知书发出后7个日历日内向采购人提供所投产品制造商</w:t>
      </w:r>
      <w:r>
        <w:rPr>
          <w:rFonts w:ascii="新宋体" w:hAnsi="新宋体" w:eastAsia="新宋体"/>
          <w:b/>
          <w:color w:val="000000"/>
          <w:sz w:val="22"/>
          <w:szCs w:val="22"/>
          <w:u w:val="single"/>
        </w:rPr>
        <w:t>（</w:t>
      </w:r>
      <w:r>
        <w:rPr>
          <w:rFonts w:hint="eastAsia" w:ascii="新宋体" w:hAnsi="新宋体" w:eastAsia="新宋体"/>
          <w:b/>
          <w:color w:val="000000"/>
          <w:sz w:val="22"/>
          <w:szCs w:val="22"/>
          <w:u w:val="single"/>
        </w:rPr>
        <w:t>进口产品也可以是制造商</w:t>
      </w:r>
      <w:r>
        <w:rPr>
          <w:rFonts w:ascii="新宋体" w:hAnsi="新宋体" w:eastAsia="新宋体"/>
          <w:b/>
          <w:color w:val="000000"/>
          <w:sz w:val="22"/>
          <w:szCs w:val="22"/>
          <w:u w:val="single"/>
        </w:rPr>
        <w:t>驻中国办事机构或</w:t>
      </w:r>
      <w:r>
        <w:rPr>
          <w:rFonts w:hint="eastAsia" w:ascii="新宋体" w:hAnsi="新宋体" w:eastAsia="新宋体"/>
          <w:b/>
          <w:color w:val="000000"/>
          <w:sz w:val="22"/>
          <w:szCs w:val="22"/>
          <w:u w:val="single"/>
        </w:rPr>
        <w:t>进口产品制造商</w:t>
      </w:r>
      <w:r>
        <w:rPr>
          <w:rFonts w:ascii="新宋体" w:hAnsi="新宋体" w:eastAsia="新宋体"/>
          <w:b/>
          <w:color w:val="000000"/>
          <w:sz w:val="22"/>
          <w:szCs w:val="22"/>
          <w:u w:val="single"/>
        </w:rPr>
        <w:t>授权的中国境内最高级别代理</w:t>
      </w:r>
      <w:r>
        <w:rPr>
          <w:rFonts w:hint="eastAsia" w:ascii="新宋体" w:hAnsi="新宋体" w:eastAsia="新宋体"/>
          <w:b/>
          <w:color w:val="000000"/>
          <w:sz w:val="22"/>
          <w:szCs w:val="22"/>
          <w:u w:val="single"/>
        </w:rPr>
        <w:t>商</w:t>
      </w:r>
      <w:r>
        <w:rPr>
          <w:rFonts w:ascii="新宋体" w:hAnsi="新宋体" w:eastAsia="新宋体"/>
          <w:b/>
          <w:color w:val="000000"/>
          <w:sz w:val="22"/>
          <w:szCs w:val="22"/>
          <w:u w:val="single"/>
        </w:rPr>
        <w:t>）</w:t>
      </w:r>
      <w:r>
        <w:rPr>
          <w:rFonts w:hint="eastAsia" w:ascii="新宋体" w:hAnsi="新宋体" w:eastAsia="新宋体"/>
          <w:b/>
          <w:color w:val="000000"/>
          <w:sz w:val="22"/>
          <w:szCs w:val="22"/>
          <w:u w:val="single"/>
        </w:rPr>
        <w:t>针对本次项目的</w:t>
      </w:r>
      <w:r>
        <w:rPr>
          <w:rFonts w:ascii="新宋体" w:hAnsi="新宋体" w:eastAsia="新宋体"/>
          <w:b/>
          <w:color w:val="000000"/>
          <w:sz w:val="22"/>
          <w:szCs w:val="22"/>
          <w:u w:val="single"/>
        </w:rPr>
        <w:t>专项授权书</w:t>
      </w:r>
      <w:r>
        <w:rPr>
          <w:rFonts w:hint="eastAsia" w:ascii="新宋体" w:hAnsi="新宋体" w:eastAsia="新宋体"/>
          <w:b/>
          <w:color w:val="000000"/>
          <w:sz w:val="22"/>
          <w:szCs w:val="22"/>
          <w:u w:val="single"/>
        </w:rPr>
        <w:t>原件（格式见附件七-6），否则其中标（成交）资格可能被取消。（由</w:t>
      </w:r>
      <w:r>
        <w:rPr>
          <w:rFonts w:ascii="新宋体" w:hAnsi="新宋体" w:eastAsia="新宋体"/>
          <w:b/>
          <w:color w:val="000000"/>
          <w:sz w:val="22"/>
          <w:szCs w:val="22"/>
          <w:u w:val="single"/>
        </w:rPr>
        <w:t>境内最高级别代理</w:t>
      </w:r>
      <w:r>
        <w:rPr>
          <w:rFonts w:hint="eastAsia" w:ascii="新宋体" w:hAnsi="新宋体" w:eastAsia="新宋体"/>
          <w:b/>
          <w:color w:val="000000"/>
          <w:sz w:val="22"/>
          <w:szCs w:val="22"/>
          <w:u w:val="single"/>
        </w:rPr>
        <w:t>商授权的，应提供该</w:t>
      </w:r>
      <w:r>
        <w:rPr>
          <w:rFonts w:ascii="新宋体" w:hAnsi="新宋体" w:eastAsia="新宋体"/>
          <w:b/>
          <w:color w:val="000000"/>
          <w:sz w:val="22"/>
          <w:szCs w:val="22"/>
          <w:u w:val="single"/>
        </w:rPr>
        <w:t>最高级别代理</w:t>
      </w:r>
      <w:r>
        <w:rPr>
          <w:rFonts w:hint="eastAsia" w:ascii="新宋体" w:hAnsi="新宋体" w:eastAsia="新宋体"/>
          <w:b/>
          <w:color w:val="000000"/>
          <w:sz w:val="22"/>
          <w:szCs w:val="22"/>
          <w:u w:val="single"/>
        </w:rPr>
        <w:t>商的代理证书复印件并加盖其公章；供应商如为</w:t>
      </w:r>
      <w:r>
        <w:rPr>
          <w:rFonts w:ascii="新宋体" w:hAnsi="新宋体" w:eastAsia="新宋体"/>
          <w:b/>
          <w:color w:val="000000"/>
          <w:sz w:val="22"/>
          <w:szCs w:val="22"/>
          <w:u w:val="single"/>
        </w:rPr>
        <w:t>境内最高级别代理</w:t>
      </w:r>
      <w:r>
        <w:rPr>
          <w:rFonts w:hint="eastAsia" w:ascii="新宋体" w:hAnsi="新宋体" w:eastAsia="新宋体"/>
          <w:b/>
          <w:color w:val="000000"/>
          <w:sz w:val="22"/>
          <w:szCs w:val="22"/>
          <w:u w:val="single"/>
        </w:rPr>
        <w:t>商的应提供代理证书复印件，加盖企业法人公章，携带原件备查）。</w:t>
      </w:r>
    </w:p>
    <w:p>
      <w:pPr>
        <w:pStyle w:val="23"/>
        <w:spacing w:line="440" w:lineRule="exact"/>
        <w:ind w:left="440" w:hanging="440" w:hangingChars="200"/>
        <w:rPr>
          <w:rFonts w:hint="eastAsia" w:ascii="宋体" w:hAnsi="宋体"/>
          <w:bCs/>
          <w:color w:val="000000"/>
          <w:sz w:val="22"/>
          <w:u w:val="single"/>
        </w:rPr>
      </w:pPr>
      <w:r>
        <w:rPr>
          <w:rFonts w:hint="eastAsia" w:ascii="新宋体" w:hAnsi="新宋体" w:eastAsia="新宋体"/>
          <w:color w:val="000000"/>
          <w:sz w:val="22"/>
        </w:rPr>
        <w:t xml:space="preserve">8. </w:t>
      </w:r>
      <w:r>
        <w:rPr>
          <w:rFonts w:hint="eastAsia" w:ascii="宋体" w:hAnsi="宋体"/>
          <w:bCs/>
          <w:color w:val="000000"/>
          <w:sz w:val="22"/>
          <w:u w:val="single"/>
        </w:rPr>
        <w:t>本项目供货或验收时，采购人将组织相应的验收专家小组对供应商提供的产品相关功能和技术指标、性能进行逐一测验，不符合采购技术要求及投标响应的，视为成交供应商违约或虚假响应，采购人有权单方终止合同，没收全部履约保证金，并将其列入不诚信供应商名单。违约情形严重的将另行追加成交供应商合同总价20%-30%的违约赔偿金，并追究其法律责任。</w:t>
      </w:r>
    </w:p>
    <w:p>
      <w:pPr>
        <w:pStyle w:val="23"/>
        <w:spacing w:line="440" w:lineRule="exact"/>
        <w:ind w:left="440" w:hanging="440" w:hangingChars="200"/>
        <w:rPr>
          <w:rFonts w:hint="eastAsia" w:ascii="宋体" w:hAnsi="宋体"/>
          <w:bCs/>
          <w:color w:val="000000"/>
          <w:sz w:val="22"/>
          <w:u w:val="single"/>
        </w:rPr>
      </w:pPr>
      <w:r>
        <w:rPr>
          <w:rFonts w:hint="eastAsia" w:ascii="新宋体" w:hAnsi="新宋体" w:eastAsia="新宋体"/>
          <w:bCs/>
          <w:color w:val="000000"/>
          <w:sz w:val="22"/>
        </w:rPr>
        <w:t xml:space="preserve">9. </w:t>
      </w:r>
      <w:r>
        <w:rPr>
          <w:rFonts w:ascii="新宋体" w:hAnsi="新宋体" w:eastAsia="新宋体"/>
          <w:bCs/>
          <w:color w:val="000000"/>
          <w:sz w:val="22"/>
          <w:u w:val="single"/>
        </w:rPr>
        <w:t>多家有效</w:t>
      </w:r>
      <w:r>
        <w:rPr>
          <w:rFonts w:hint="eastAsia" w:ascii="新宋体" w:hAnsi="新宋体" w:eastAsia="新宋体"/>
          <w:bCs/>
          <w:color w:val="000000"/>
          <w:sz w:val="22"/>
          <w:u w:val="single"/>
        </w:rPr>
        <w:t>供应商</w:t>
      </w:r>
      <w:r>
        <w:rPr>
          <w:rFonts w:ascii="新宋体" w:hAnsi="新宋体" w:eastAsia="新宋体"/>
          <w:bCs/>
          <w:color w:val="000000"/>
          <w:sz w:val="22"/>
          <w:u w:val="single"/>
        </w:rPr>
        <w:t>所投产品</w:t>
      </w:r>
      <w:r>
        <w:rPr>
          <w:rFonts w:hint="eastAsia" w:ascii="新宋体" w:hAnsi="新宋体" w:eastAsia="新宋体"/>
          <w:bCs/>
          <w:color w:val="000000"/>
          <w:sz w:val="22"/>
          <w:u w:val="single"/>
        </w:rPr>
        <w:t>均</w:t>
      </w:r>
      <w:r>
        <w:rPr>
          <w:rFonts w:ascii="新宋体" w:hAnsi="新宋体" w:eastAsia="新宋体"/>
          <w:bCs/>
          <w:color w:val="000000"/>
          <w:sz w:val="22"/>
          <w:u w:val="single"/>
        </w:rPr>
        <w:t>相同的按一家</w:t>
      </w:r>
      <w:r>
        <w:rPr>
          <w:rFonts w:hint="eastAsia" w:ascii="新宋体" w:hAnsi="新宋体" w:eastAsia="新宋体"/>
          <w:bCs/>
          <w:color w:val="000000"/>
          <w:sz w:val="22"/>
          <w:u w:val="single"/>
        </w:rPr>
        <w:t>供应商</w:t>
      </w:r>
      <w:r>
        <w:rPr>
          <w:rFonts w:ascii="新宋体" w:hAnsi="新宋体" w:eastAsia="新宋体"/>
          <w:bCs/>
          <w:color w:val="000000"/>
          <w:sz w:val="22"/>
          <w:u w:val="single"/>
        </w:rPr>
        <w:t>计算，评审后综合得分最高的同品牌</w:t>
      </w:r>
      <w:r>
        <w:rPr>
          <w:rFonts w:hint="eastAsia" w:ascii="新宋体" w:hAnsi="新宋体" w:eastAsia="新宋体"/>
          <w:bCs/>
          <w:color w:val="000000"/>
          <w:sz w:val="22"/>
          <w:u w:val="single"/>
        </w:rPr>
        <w:t>供应商</w:t>
      </w:r>
      <w:r>
        <w:rPr>
          <w:rFonts w:ascii="新宋体" w:hAnsi="新宋体" w:eastAsia="新宋体"/>
          <w:bCs/>
          <w:color w:val="000000"/>
          <w:sz w:val="22"/>
          <w:u w:val="single"/>
        </w:rPr>
        <w:t>获得</w:t>
      </w:r>
      <w:r>
        <w:rPr>
          <w:rFonts w:hint="eastAsia" w:ascii="新宋体" w:hAnsi="新宋体" w:eastAsia="新宋体"/>
          <w:bCs/>
          <w:color w:val="000000"/>
          <w:sz w:val="22"/>
          <w:u w:val="single"/>
        </w:rPr>
        <w:t>成交</w:t>
      </w:r>
      <w:r>
        <w:rPr>
          <w:rFonts w:ascii="新宋体" w:hAnsi="新宋体" w:eastAsia="新宋体"/>
          <w:bCs/>
          <w:color w:val="000000"/>
          <w:sz w:val="22"/>
          <w:u w:val="single"/>
        </w:rPr>
        <w:t>候选人推荐资格；</w:t>
      </w:r>
      <w:r>
        <w:rPr>
          <w:rFonts w:hint="eastAsia" w:ascii="新宋体" w:hAnsi="新宋体" w:eastAsia="新宋体"/>
          <w:bCs/>
          <w:color w:val="000000"/>
          <w:sz w:val="22"/>
          <w:u w:val="single"/>
        </w:rPr>
        <w:t>综合</w:t>
      </w:r>
      <w:r>
        <w:rPr>
          <w:rFonts w:ascii="新宋体" w:hAnsi="新宋体" w:eastAsia="新宋体"/>
          <w:bCs/>
          <w:color w:val="000000"/>
          <w:sz w:val="22"/>
          <w:u w:val="single"/>
        </w:rPr>
        <w:t>得分相同的，</w:t>
      </w:r>
      <w:r>
        <w:rPr>
          <w:rFonts w:hint="eastAsia" w:ascii="新宋体" w:hAnsi="新宋体" w:eastAsia="新宋体"/>
          <w:color w:val="000000"/>
          <w:sz w:val="22"/>
          <w:u w:val="single"/>
        </w:rPr>
        <w:t>技术部分得分高的</w:t>
      </w:r>
      <w:r>
        <w:rPr>
          <w:rFonts w:ascii="新宋体" w:hAnsi="新宋体" w:eastAsia="新宋体"/>
          <w:bCs/>
          <w:color w:val="000000"/>
          <w:sz w:val="22"/>
          <w:u w:val="single"/>
        </w:rPr>
        <w:t>获得成交候选人推荐资格，</w:t>
      </w:r>
      <w:r>
        <w:rPr>
          <w:rFonts w:hint="eastAsia" w:ascii="新宋体" w:hAnsi="新宋体" w:eastAsia="新宋体"/>
          <w:color w:val="000000"/>
          <w:sz w:val="22"/>
          <w:u w:val="single"/>
        </w:rPr>
        <w:t>技术部分得分相同的，</w:t>
      </w:r>
      <w:r>
        <w:rPr>
          <w:rFonts w:ascii="新宋体" w:hAnsi="新宋体" w:eastAsia="新宋体"/>
          <w:bCs/>
          <w:color w:val="000000"/>
          <w:sz w:val="22"/>
          <w:u w:val="single"/>
        </w:rPr>
        <w:t>采取随机抽取方式确定，其他同品牌</w:t>
      </w:r>
      <w:r>
        <w:rPr>
          <w:rFonts w:hint="eastAsia" w:ascii="新宋体" w:hAnsi="新宋体" w:eastAsia="新宋体"/>
          <w:bCs/>
          <w:color w:val="000000"/>
          <w:sz w:val="22"/>
          <w:u w:val="single"/>
        </w:rPr>
        <w:t>供应商</w:t>
      </w:r>
      <w:r>
        <w:rPr>
          <w:rFonts w:ascii="新宋体" w:hAnsi="新宋体" w:eastAsia="新宋体"/>
          <w:bCs/>
          <w:color w:val="000000"/>
          <w:sz w:val="22"/>
          <w:u w:val="single"/>
        </w:rPr>
        <w:t>不作为</w:t>
      </w:r>
      <w:r>
        <w:rPr>
          <w:rFonts w:hint="eastAsia" w:ascii="新宋体" w:hAnsi="新宋体" w:eastAsia="新宋体"/>
          <w:bCs/>
          <w:color w:val="000000"/>
          <w:sz w:val="22"/>
          <w:u w:val="single"/>
        </w:rPr>
        <w:t>成交</w:t>
      </w:r>
      <w:r>
        <w:rPr>
          <w:rFonts w:ascii="新宋体" w:hAnsi="新宋体" w:eastAsia="新宋体"/>
          <w:bCs/>
          <w:color w:val="000000"/>
          <w:sz w:val="22"/>
          <w:u w:val="single"/>
        </w:rPr>
        <w:t>候选人。</w:t>
      </w:r>
    </w:p>
    <w:p>
      <w:pPr>
        <w:spacing w:line="440" w:lineRule="exact"/>
        <w:ind w:left="418" w:hanging="418" w:hangingChars="190"/>
        <w:rPr>
          <w:rFonts w:hint="eastAsia" w:ascii="新宋体" w:hAnsi="新宋体" w:eastAsia="新宋体"/>
          <w:b/>
          <w:color w:val="000000"/>
          <w:sz w:val="22"/>
          <w:szCs w:val="22"/>
          <w:u w:val="single"/>
        </w:rPr>
      </w:pPr>
      <w:r>
        <w:rPr>
          <w:rFonts w:hint="eastAsia" w:ascii="新宋体" w:hAnsi="新宋体" w:eastAsia="新宋体"/>
          <w:bCs/>
          <w:color w:val="000000"/>
          <w:sz w:val="22"/>
          <w:szCs w:val="22"/>
        </w:rPr>
        <w:t>10. 所投产品在国内应有固定的维修服务中心，能提供长期的售后维修服务。</w:t>
      </w:r>
      <w:r>
        <w:rPr>
          <w:rFonts w:hint="eastAsia" w:ascii="新宋体" w:hAnsi="新宋体" w:eastAsia="新宋体"/>
          <w:color w:val="000000"/>
          <w:sz w:val="22"/>
          <w:szCs w:val="22"/>
        </w:rPr>
        <w:t>供应商需保证在设备售出后的10年内使采购能够买到设备相应的备品备件和易耗品。</w:t>
      </w:r>
    </w:p>
    <w:p>
      <w:pPr>
        <w:spacing w:line="440" w:lineRule="exact"/>
        <w:ind w:left="421" w:leftChars="-9" w:hanging="440" w:hangingChars="200"/>
        <w:rPr>
          <w:rFonts w:hint="eastAsia" w:ascii="新宋体" w:hAnsi="新宋体" w:eastAsia="新宋体"/>
          <w:color w:val="000000"/>
          <w:sz w:val="22"/>
          <w:szCs w:val="22"/>
        </w:rPr>
      </w:pPr>
      <w:r>
        <w:rPr>
          <w:rFonts w:hint="eastAsia" w:ascii="新宋体" w:hAnsi="新宋体" w:eastAsia="新宋体"/>
          <w:color w:val="000000"/>
          <w:sz w:val="22"/>
          <w:szCs w:val="22"/>
        </w:rPr>
        <w:t>11. 保证所供货物、服务或其任何一部分不受第三方提出侵犯其专利权、商标权、版权和工业设计权的指控。任何涉及的知识产权纠纷，均由供应商承担全部经济、法律等责任。</w:t>
      </w:r>
    </w:p>
    <w:p>
      <w:pPr>
        <w:spacing w:line="440" w:lineRule="exact"/>
        <w:ind w:left="421" w:leftChars="-9" w:hanging="440" w:hangingChars="200"/>
        <w:rPr>
          <w:rFonts w:hint="eastAsia" w:ascii="新宋体" w:hAnsi="新宋体" w:eastAsia="新宋体"/>
          <w:color w:val="000000"/>
          <w:sz w:val="22"/>
          <w:szCs w:val="22"/>
        </w:rPr>
      </w:pPr>
      <w:r>
        <w:rPr>
          <w:rFonts w:hint="eastAsia" w:ascii="新宋体" w:hAnsi="新宋体" w:eastAsia="新宋体"/>
          <w:color w:val="000000"/>
          <w:sz w:val="22"/>
          <w:szCs w:val="22"/>
        </w:rPr>
        <w:t>12.</w:t>
      </w:r>
      <w:r>
        <w:rPr>
          <w:rFonts w:hint="eastAsia" w:ascii="新宋体" w:hAnsi="新宋体" w:eastAsia="新宋体" w:cs="Arial"/>
          <w:color w:val="000000"/>
          <w:kern w:val="0"/>
          <w:sz w:val="22"/>
          <w:szCs w:val="22"/>
        </w:rPr>
        <w:t xml:space="preserve"> 本磋商文件里“评分内容”中要求各种证书、证件、证明资料“原件备查”，供应商不需要在投标时提供原件，如采购人、采购代理机构或磋商小组在后续环节中需要对相关资料原件进行真实性核查时，则供应商必须提交，否则可能做出对其不利的认定，</w:t>
      </w:r>
      <w:r>
        <w:rPr>
          <w:rFonts w:ascii="新宋体" w:hAnsi="新宋体" w:eastAsia="新宋体"/>
          <w:color w:val="000000"/>
          <w:sz w:val="22"/>
          <w:szCs w:val="22"/>
        </w:rPr>
        <w:t>后果由供应商负责。</w:t>
      </w:r>
    </w:p>
    <w:p>
      <w:pPr>
        <w:spacing w:line="440" w:lineRule="exact"/>
        <w:ind w:left="420" w:hanging="420" w:hangingChars="190"/>
        <w:rPr>
          <w:rFonts w:hint="eastAsia" w:ascii="新宋体" w:hAnsi="新宋体" w:eastAsia="新宋体"/>
          <w:b/>
          <w:bCs/>
          <w:color w:val="000000"/>
          <w:sz w:val="22"/>
          <w:szCs w:val="22"/>
          <w:lang w:val="zh-CN"/>
        </w:rPr>
      </w:pPr>
      <w:bookmarkStart w:id="4" w:name="_Toc29502766"/>
      <w:r>
        <w:rPr>
          <w:rFonts w:hint="eastAsia" w:ascii="新宋体" w:hAnsi="新宋体" w:eastAsia="新宋体"/>
          <w:b/>
          <w:bCs/>
          <w:color w:val="000000"/>
          <w:sz w:val="22"/>
          <w:szCs w:val="22"/>
          <w:lang w:val="zh-CN"/>
        </w:rPr>
        <w:t>五、▲</w:t>
      </w:r>
      <w:r>
        <w:rPr>
          <w:rFonts w:hint="eastAsia" w:ascii="新宋体" w:hAnsi="新宋体" w:eastAsia="新宋体"/>
          <w:b/>
          <w:bCs/>
          <w:color w:val="000000"/>
          <w:sz w:val="22"/>
          <w:szCs w:val="22"/>
          <w:u w:val="single"/>
          <w:lang w:val="zh-CN"/>
        </w:rPr>
        <w:t>交货地点及工期</w:t>
      </w:r>
      <w:bookmarkEnd w:id="4"/>
    </w:p>
    <w:p>
      <w:pPr>
        <w:spacing w:line="440" w:lineRule="exact"/>
        <w:rPr>
          <w:rFonts w:hint="eastAsia" w:ascii="新宋体" w:hAnsi="新宋体" w:eastAsia="新宋体"/>
          <w:bCs/>
          <w:color w:val="000000"/>
          <w:kern w:val="0"/>
          <w:sz w:val="22"/>
          <w:szCs w:val="22"/>
        </w:rPr>
      </w:pPr>
      <w:r>
        <w:rPr>
          <w:rFonts w:hint="eastAsia" w:ascii="新宋体" w:hAnsi="新宋体" w:eastAsia="新宋体"/>
          <w:bCs/>
          <w:color w:val="000000"/>
          <w:kern w:val="0"/>
          <w:sz w:val="22"/>
          <w:szCs w:val="22"/>
        </w:rPr>
        <w:t>1． 交货地点：</w:t>
      </w:r>
      <w:r>
        <w:rPr>
          <w:rFonts w:hint="eastAsia" w:ascii="新宋体" w:hAnsi="新宋体" w:eastAsia="新宋体"/>
          <w:bCs/>
          <w:color w:val="000000"/>
          <w:sz w:val="22"/>
          <w:szCs w:val="22"/>
          <w:u w:val="single"/>
        </w:rPr>
        <w:t>采购单位指定现场。</w:t>
      </w:r>
    </w:p>
    <w:p>
      <w:pPr>
        <w:spacing w:line="440" w:lineRule="exact"/>
        <w:ind w:left="418" w:hanging="418" w:hangingChars="190"/>
        <w:rPr>
          <w:rFonts w:hint="eastAsia" w:ascii="新宋体" w:hAnsi="新宋体" w:eastAsia="新宋体"/>
          <w:bCs/>
          <w:color w:val="000000"/>
          <w:kern w:val="0"/>
          <w:sz w:val="22"/>
          <w:szCs w:val="22"/>
          <w:u w:val="single"/>
        </w:rPr>
      </w:pPr>
      <w:r>
        <w:rPr>
          <w:rFonts w:hint="eastAsia" w:ascii="新宋体" w:hAnsi="新宋体" w:eastAsia="新宋体"/>
          <w:bCs/>
          <w:color w:val="000000"/>
          <w:kern w:val="0"/>
          <w:sz w:val="22"/>
          <w:szCs w:val="22"/>
        </w:rPr>
        <w:t>2． 交货时间：</w:t>
      </w:r>
      <w:r>
        <w:rPr>
          <w:rFonts w:hint="eastAsia" w:ascii="新宋体" w:hAnsi="新宋体" w:eastAsia="新宋体"/>
          <w:bCs/>
          <w:color w:val="000000"/>
          <w:kern w:val="0"/>
          <w:sz w:val="22"/>
          <w:szCs w:val="22"/>
          <w:u w:val="single"/>
        </w:rPr>
        <w:t>在合同签订之日</w:t>
      </w:r>
      <w:r>
        <w:rPr>
          <w:rFonts w:hint="eastAsia" w:ascii="新宋体" w:hAnsi="新宋体" w:eastAsia="新宋体"/>
          <w:bCs/>
          <w:color w:val="auto"/>
          <w:kern w:val="0"/>
          <w:sz w:val="22"/>
          <w:szCs w:val="22"/>
          <w:u w:val="single"/>
        </w:rPr>
        <w:t>起60天内完</w:t>
      </w:r>
      <w:r>
        <w:rPr>
          <w:rFonts w:hint="eastAsia" w:ascii="新宋体" w:hAnsi="新宋体" w:eastAsia="新宋体"/>
          <w:bCs/>
          <w:color w:val="000000"/>
          <w:kern w:val="0"/>
          <w:sz w:val="22"/>
          <w:szCs w:val="22"/>
          <w:u w:val="single"/>
        </w:rPr>
        <w:t>成设备的供货、安装、调试</w:t>
      </w:r>
      <w:r>
        <w:rPr>
          <w:rFonts w:hint="eastAsia" w:ascii="新宋体" w:hAnsi="新宋体" w:eastAsia="新宋体"/>
          <w:color w:val="000000"/>
          <w:sz w:val="22"/>
          <w:szCs w:val="22"/>
          <w:u w:val="single"/>
        </w:rPr>
        <w:t>及验收</w:t>
      </w:r>
      <w:r>
        <w:rPr>
          <w:rFonts w:hint="eastAsia" w:ascii="新宋体" w:hAnsi="新宋体" w:eastAsia="新宋体"/>
          <w:bCs/>
          <w:color w:val="000000"/>
          <w:kern w:val="0"/>
          <w:sz w:val="22"/>
          <w:szCs w:val="22"/>
          <w:u w:val="single"/>
        </w:rPr>
        <w:t>。</w:t>
      </w:r>
    </w:p>
    <w:p>
      <w:pPr>
        <w:spacing w:line="440" w:lineRule="exact"/>
        <w:ind w:left="420" w:hanging="420" w:hangingChars="190"/>
        <w:rPr>
          <w:rFonts w:hint="eastAsia" w:ascii="新宋体" w:hAnsi="新宋体" w:eastAsia="新宋体"/>
          <w:b/>
          <w:bCs/>
          <w:color w:val="000000"/>
          <w:sz w:val="22"/>
          <w:szCs w:val="22"/>
          <w:lang w:val="zh-CN"/>
        </w:rPr>
      </w:pPr>
      <w:bookmarkStart w:id="5" w:name="_Toc29502767"/>
      <w:r>
        <w:rPr>
          <w:rFonts w:hint="eastAsia" w:ascii="新宋体" w:hAnsi="新宋体" w:eastAsia="新宋体"/>
          <w:b/>
          <w:bCs/>
          <w:color w:val="000000"/>
          <w:sz w:val="22"/>
          <w:szCs w:val="22"/>
          <w:lang w:val="zh-CN"/>
        </w:rPr>
        <w:t>六、产品的到货、施工、安装、调试和验收</w:t>
      </w:r>
      <w:bookmarkEnd w:id="5"/>
    </w:p>
    <w:p>
      <w:pPr>
        <w:tabs>
          <w:tab w:val="left" w:pos="420"/>
        </w:tabs>
        <w:spacing w:line="440" w:lineRule="exact"/>
        <w:rPr>
          <w:rFonts w:hint="eastAsia" w:ascii="新宋体" w:hAnsi="新宋体" w:eastAsia="新宋体"/>
          <w:b/>
          <w:color w:val="000000"/>
          <w:spacing w:val="20"/>
          <w:sz w:val="22"/>
          <w:szCs w:val="22"/>
        </w:rPr>
      </w:pPr>
      <w:r>
        <w:rPr>
          <w:rFonts w:hint="eastAsia" w:ascii="新宋体" w:hAnsi="新宋体" w:eastAsia="新宋体"/>
          <w:b/>
          <w:color w:val="000000"/>
          <w:sz w:val="22"/>
          <w:szCs w:val="22"/>
        </w:rPr>
        <w:t>1． 到货</w:t>
      </w:r>
      <w:r>
        <w:rPr>
          <w:rFonts w:hint="eastAsia" w:ascii="新宋体" w:hAnsi="新宋体" w:eastAsia="新宋体"/>
          <w:b/>
          <w:color w:val="000000"/>
          <w:spacing w:val="20"/>
          <w:sz w:val="22"/>
          <w:szCs w:val="22"/>
        </w:rPr>
        <w:t xml:space="preserve"> </w:t>
      </w:r>
    </w:p>
    <w:p>
      <w:pPr>
        <w:spacing w:line="440" w:lineRule="exact"/>
        <w:ind w:left="548" w:leftChars="261"/>
        <w:rPr>
          <w:rFonts w:hint="eastAsia" w:ascii="新宋体" w:hAnsi="新宋体" w:eastAsia="新宋体"/>
          <w:color w:val="000000"/>
          <w:sz w:val="22"/>
          <w:szCs w:val="22"/>
        </w:rPr>
      </w:pPr>
      <w:r>
        <w:rPr>
          <w:rFonts w:hint="eastAsia" w:ascii="新宋体" w:hAnsi="新宋体" w:eastAsia="新宋体"/>
          <w:color w:val="000000"/>
          <w:sz w:val="22"/>
          <w:szCs w:val="22"/>
        </w:rPr>
        <w:t>卖方必须在合同规定时间内完成产品（包括软硬件，下同）的供货、施工、安装及验收。产品到达现场后，卖方必须派员工到现场与买方一起检验,按供货清单验收,若有缺少或损坏，卖方应立即补足或更换全新同规格产品，并承担相关费用直至使买方满意为止。</w:t>
      </w:r>
    </w:p>
    <w:p>
      <w:pPr>
        <w:spacing w:line="440" w:lineRule="exact"/>
        <w:ind w:left="325" w:hanging="325" w:hangingChars="147"/>
        <w:rPr>
          <w:rFonts w:hint="eastAsia" w:ascii="新宋体" w:hAnsi="新宋体" w:eastAsia="新宋体"/>
          <w:b/>
          <w:color w:val="000000"/>
          <w:sz w:val="22"/>
          <w:szCs w:val="22"/>
        </w:rPr>
      </w:pPr>
      <w:r>
        <w:rPr>
          <w:rFonts w:hint="eastAsia" w:ascii="新宋体" w:hAnsi="新宋体" w:eastAsia="新宋体"/>
          <w:b/>
          <w:color w:val="000000"/>
          <w:sz w:val="22"/>
          <w:szCs w:val="22"/>
        </w:rPr>
        <w:t>2．  施工安装</w:t>
      </w:r>
    </w:p>
    <w:p>
      <w:pPr>
        <w:spacing w:line="440" w:lineRule="exact"/>
        <w:ind w:left="539" w:hanging="539" w:hangingChars="245"/>
        <w:rPr>
          <w:rFonts w:hint="eastAsia" w:ascii="新宋体" w:hAnsi="新宋体" w:eastAsia="新宋体"/>
          <w:b/>
          <w:color w:val="000000"/>
          <w:sz w:val="22"/>
          <w:szCs w:val="22"/>
        </w:rPr>
      </w:pPr>
      <w:r>
        <w:rPr>
          <w:rFonts w:hint="eastAsia" w:ascii="新宋体" w:hAnsi="新宋体" w:eastAsia="新宋体"/>
          <w:bCs/>
          <w:color w:val="000000"/>
          <w:kern w:val="0"/>
          <w:sz w:val="22"/>
          <w:szCs w:val="22"/>
        </w:rPr>
        <w:t>2.1  为确保施工、安装、调试工作安全有序的进行，要求卖方向买方提供一份详细的施工、安装、调试验收计划和所采用的标准及方法，现场负责人、工程师和参与安装人员的名单，此计划和采用的标准一旦被买方确认就不得随意更改，否则卖方应承担相应责任。</w:t>
      </w:r>
    </w:p>
    <w:p>
      <w:pPr>
        <w:spacing w:line="440" w:lineRule="exact"/>
        <w:rPr>
          <w:rFonts w:hint="eastAsia" w:ascii="新宋体" w:hAnsi="新宋体" w:eastAsia="新宋体"/>
          <w:color w:val="000000"/>
          <w:sz w:val="22"/>
          <w:szCs w:val="22"/>
        </w:rPr>
      </w:pPr>
      <w:r>
        <w:rPr>
          <w:rFonts w:hint="eastAsia" w:ascii="新宋体" w:hAnsi="新宋体" w:eastAsia="新宋体"/>
          <w:bCs/>
          <w:color w:val="000000"/>
          <w:kern w:val="0"/>
          <w:sz w:val="22"/>
          <w:szCs w:val="22"/>
        </w:rPr>
        <w:t xml:space="preserve">2.2  </w:t>
      </w:r>
      <w:r>
        <w:rPr>
          <w:rFonts w:hint="eastAsia" w:ascii="新宋体" w:hAnsi="新宋体" w:eastAsia="新宋体"/>
          <w:color w:val="000000"/>
          <w:sz w:val="22"/>
          <w:szCs w:val="22"/>
        </w:rPr>
        <w:t>产品的安装必须符合有关标准和规范。安装过程中买方将对产品的安装质量进行监督。</w:t>
      </w:r>
    </w:p>
    <w:p>
      <w:pPr>
        <w:spacing w:line="440" w:lineRule="exact"/>
        <w:rPr>
          <w:rFonts w:hint="eastAsia" w:ascii="新宋体" w:hAnsi="新宋体" w:eastAsia="新宋体"/>
          <w:bCs/>
          <w:color w:val="000000"/>
          <w:kern w:val="0"/>
          <w:sz w:val="22"/>
          <w:szCs w:val="22"/>
        </w:rPr>
      </w:pPr>
      <w:r>
        <w:rPr>
          <w:rFonts w:hint="eastAsia" w:ascii="新宋体" w:hAnsi="新宋体" w:eastAsia="新宋体"/>
          <w:b/>
          <w:color w:val="000000"/>
          <w:sz w:val="22"/>
          <w:szCs w:val="22"/>
        </w:rPr>
        <w:t>3．  调试</w:t>
      </w:r>
    </w:p>
    <w:p>
      <w:pPr>
        <w:spacing w:line="440" w:lineRule="exact"/>
        <w:ind w:left="548" w:leftChars="261"/>
        <w:rPr>
          <w:rFonts w:hint="eastAsia" w:ascii="新宋体" w:hAnsi="新宋体" w:eastAsia="新宋体"/>
          <w:color w:val="000000"/>
          <w:sz w:val="22"/>
          <w:szCs w:val="22"/>
        </w:rPr>
      </w:pPr>
      <w:r>
        <w:rPr>
          <w:rFonts w:hint="eastAsia" w:ascii="新宋体" w:hAnsi="新宋体" w:eastAsia="新宋体"/>
          <w:bCs/>
          <w:color w:val="000000"/>
          <w:kern w:val="0"/>
          <w:sz w:val="22"/>
          <w:szCs w:val="22"/>
        </w:rPr>
        <w:t>设备安装就位、校准后，卖方应按事先被买方认可的调试验收计划对设备进行调试，并对设备所标注的各项技术指标进行测试，测试报告将在设备验收完毕后提交给买方，但卖方应对测试的各种数据的真实性负责。</w:t>
      </w:r>
      <w:r>
        <w:rPr>
          <w:rFonts w:hint="eastAsia" w:ascii="新宋体" w:hAnsi="新宋体" w:eastAsia="新宋体"/>
          <w:color w:val="000000"/>
          <w:sz w:val="22"/>
          <w:szCs w:val="22"/>
        </w:rPr>
        <w:t>买方也可以要求具有检测资质的第三方用专用仪器进行功能 、性能测试，卖方负责测试和调试所需的一切费用，并填写测试报告交由买方存档。</w:t>
      </w:r>
    </w:p>
    <w:p>
      <w:pPr>
        <w:spacing w:line="440" w:lineRule="exact"/>
        <w:rPr>
          <w:rFonts w:hint="eastAsia" w:ascii="新宋体" w:hAnsi="新宋体" w:eastAsia="新宋体"/>
          <w:color w:val="000000"/>
          <w:sz w:val="22"/>
          <w:szCs w:val="22"/>
        </w:rPr>
      </w:pPr>
      <w:r>
        <w:rPr>
          <w:rFonts w:hint="eastAsia" w:ascii="新宋体" w:hAnsi="新宋体" w:eastAsia="新宋体"/>
          <w:b/>
          <w:color w:val="000000"/>
          <w:sz w:val="22"/>
          <w:szCs w:val="22"/>
        </w:rPr>
        <w:t>4．  验收</w:t>
      </w:r>
      <w:r>
        <w:rPr>
          <w:rFonts w:hint="eastAsia" w:ascii="新宋体" w:hAnsi="新宋体" w:eastAsia="新宋体"/>
          <w:color w:val="000000"/>
          <w:sz w:val="22"/>
          <w:szCs w:val="22"/>
        </w:rPr>
        <w:t xml:space="preserve"> </w:t>
      </w:r>
    </w:p>
    <w:p>
      <w:pPr>
        <w:spacing w:line="440" w:lineRule="exact"/>
        <w:ind w:left="550" w:hanging="550" w:hangingChars="250"/>
        <w:rPr>
          <w:rFonts w:hint="eastAsia" w:ascii="宋体" w:hAnsi="宋体"/>
          <w:color w:val="000000"/>
          <w:sz w:val="22"/>
          <w:szCs w:val="22"/>
        </w:rPr>
      </w:pPr>
      <w:r>
        <w:rPr>
          <w:rFonts w:hint="eastAsia" w:ascii="宋体" w:hAnsi="宋体"/>
          <w:color w:val="000000"/>
          <w:sz w:val="22"/>
          <w:szCs w:val="22"/>
        </w:rPr>
        <w:t>4.1  验收标准依次序对照适用标准为：①符合中华人民共和国国家安全质量标准、环保标准或行业技术规范标准等；②符合磋商文件和响应承诺采购人认可的合理最佳配置、参数及各项要求；③货物来源国官方标准。上述标准必须是有关官方机构发布的最新版本的标准。</w:t>
      </w:r>
    </w:p>
    <w:p>
      <w:pPr>
        <w:spacing w:line="440" w:lineRule="exact"/>
        <w:ind w:left="550" w:hanging="550" w:hangingChars="250"/>
        <w:rPr>
          <w:rFonts w:hint="eastAsia" w:ascii="新宋体" w:hAnsi="新宋体" w:eastAsia="新宋体"/>
          <w:color w:val="000000"/>
          <w:sz w:val="22"/>
          <w:szCs w:val="22"/>
        </w:rPr>
      </w:pPr>
      <w:r>
        <w:rPr>
          <w:rFonts w:hint="eastAsia" w:ascii="新宋体" w:hAnsi="新宋体" w:eastAsia="新宋体"/>
          <w:color w:val="000000"/>
          <w:sz w:val="22"/>
          <w:szCs w:val="22"/>
        </w:rPr>
        <w:t>4.2  产品经过试运行考核无故障（或存在的故障和隐患均已全部排除或解决），所有的技术资料和图纸已向买方提交并被接受，验收视为合格，买卖双方签署验收合格证书。 若因卖方产品质量或安装技术问题导致验收不合格，卖方应及时予以处理，直至验收合格，期间发生的一切相关费用由卖方承担，买方保留向卖方索赔的权利。</w:t>
      </w:r>
    </w:p>
    <w:p>
      <w:pPr>
        <w:spacing w:line="440" w:lineRule="exact"/>
        <w:ind w:left="541" w:hanging="541" w:hangingChars="245"/>
        <w:rPr>
          <w:rFonts w:hint="eastAsia" w:ascii="新宋体" w:hAnsi="新宋体" w:eastAsia="新宋体"/>
          <w:color w:val="000000"/>
          <w:sz w:val="22"/>
          <w:szCs w:val="22"/>
        </w:rPr>
      </w:pPr>
      <w:r>
        <w:rPr>
          <w:rFonts w:hint="eastAsia" w:ascii="新宋体" w:hAnsi="新宋体" w:eastAsia="新宋体"/>
          <w:b/>
          <w:color w:val="000000"/>
          <w:sz w:val="22"/>
          <w:szCs w:val="22"/>
        </w:rPr>
        <w:t xml:space="preserve">5．  </w:t>
      </w:r>
      <w:r>
        <w:rPr>
          <w:rFonts w:hint="eastAsia" w:ascii="新宋体" w:hAnsi="新宋体" w:eastAsia="新宋体"/>
          <w:color w:val="000000"/>
          <w:sz w:val="22"/>
          <w:szCs w:val="22"/>
        </w:rPr>
        <w:t>若因卖方产品质量或安装技术问题导致设备超过二次不能验收合格，买方有权选择退货，并保留向卖方索赔的权利。</w:t>
      </w:r>
    </w:p>
    <w:p>
      <w:pPr>
        <w:spacing w:line="440" w:lineRule="exact"/>
        <w:ind w:left="574" w:hanging="574" w:hangingChars="260"/>
        <w:rPr>
          <w:rFonts w:hint="eastAsia" w:ascii="新宋体" w:hAnsi="新宋体" w:eastAsia="新宋体"/>
          <w:bCs/>
          <w:color w:val="000000"/>
          <w:kern w:val="0"/>
          <w:sz w:val="22"/>
          <w:szCs w:val="22"/>
        </w:rPr>
      </w:pPr>
      <w:r>
        <w:rPr>
          <w:rFonts w:hint="eastAsia" w:ascii="新宋体" w:hAnsi="新宋体" w:eastAsia="新宋体"/>
          <w:b/>
          <w:color w:val="000000"/>
          <w:sz w:val="22"/>
          <w:szCs w:val="22"/>
        </w:rPr>
        <w:t xml:space="preserve">6．  </w:t>
      </w:r>
      <w:r>
        <w:rPr>
          <w:rFonts w:hint="eastAsia" w:ascii="新宋体" w:hAnsi="新宋体" w:eastAsia="新宋体"/>
          <w:bCs/>
          <w:color w:val="000000"/>
          <w:kern w:val="0"/>
          <w:sz w:val="22"/>
          <w:szCs w:val="22"/>
        </w:rPr>
        <w:t>卖方在产品到货、安装、调试和验收期间应接受买方的协调和管理，卖方应采取严格的安全措施，承担由于自身原因所造成的事故责任及其发生的一切费用。</w:t>
      </w:r>
    </w:p>
    <w:p>
      <w:pPr>
        <w:spacing w:line="440" w:lineRule="exact"/>
        <w:ind w:left="574" w:hanging="574" w:hangingChars="260"/>
        <w:rPr>
          <w:rFonts w:hint="eastAsia"/>
        </w:rPr>
      </w:pPr>
      <w:r>
        <w:rPr>
          <w:rFonts w:hint="eastAsia" w:ascii="宋体" w:hAnsi="宋体" w:cs="宋体"/>
          <w:b/>
          <w:color w:val="000000"/>
          <w:kern w:val="0"/>
          <w:sz w:val="22"/>
          <w:szCs w:val="22"/>
        </w:rPr>
        <w:t>7、  项目验收时由采购单位邀请专家组成验收小组对项目进行验收。验收过程中产生的</w:t>
      </w:r>
      <w:r>
        <w:rPr>
          <w:rFonts w:hint="eastAsia" w:ascii="宋体" w:hAnsi="宋体" w:cs="宋体"/>
          <w:b/>
          <w:color w:val="000000"/>
          <w:sz w:val="22"/>
          <w:szCs w:val="22"/>
        </w:rPr>
        <w:t>一切相关费用由供应商承担。</w:t>
      </w:r>
    </w:p>
    <w:p>
      <w:pPr>
        <w:spacing w:line="440" w:lineRule="exact"/>
        <w:ind w:left="420" w:hanging="420" w:hangingChars="190"/>
        <w:rPr>
          <w:rFonts w:hint="eastAsia" w:ascii="新宋体" w:hAnsi="新宋体" w:eastAsia="新宋体"/>
          <w:b/>
          <w:bCs/>
          <w:color w:val="000000"/>
          <w:sz w:val="22"/>
          <w:szCs w:val="22"/>
          <w:lang w:val="zh-CN"/>
        </w:rPr>
      </w:pPr>
      <w:bookmarkStart w:id="6" w:name="_Toc29502768"/>
      <w:r>
        <w:rPr>
          <w:rFonts w:hint="eastAsia" w:ascii="新宋体" w:hAnsi="新宋体" w:eastAsia="新宋体"/>
          <w:b/>
          <w:bCs/>
          <w:color w:val="000000"/>
          <w:sz w:val="22"/>
          <w:szCs w:val="22"/>
          <w:lang w:val="zh-CN"/>
        </w:rPr>
        <w:t>七、设备质量保证和标准</w:t>
      </w:r>
      <w:bookmarkEnd w:id="6"/>
    </w:p>
    <w:p>
      <w:pPr>
        <w:spacing w:line="440" w:lineRule="exact"/>
        <w:ind w:left="541" w:hanging="541" w:hangingChars="245"/>
        <w:rPr>
          <w:rFonts w:hint="eastAsia" w:ascii="新宋体" w:hAnsi="新宋体" w:eastAsia="新宋体"/>
          <w:b/>
          <w:color w:val="000000"/>
          <w:sz w:val="22"/>
        </w:rPr>
      </w:pPr>
      <w:r>
        <w:rPr>
          <w:rFonts w:hint="eastAsia" w:ascii="新宋体" w:hAnsi="新宋体" w:eastAsia="新宋体"/>
          <w:b/>
          <w:color w:val="000000"/>
          <w:sz w:val="22"/>
          <w:szCs w:val="22"/>
        </w:rPr>
        <w:t>1.</w:t>
      </w:r>
      <w:r>
        <w:rPr>
          <w:rFonts w:hint="eastAsia" w:ascii="新宋体" w:hAnsi="新宋体" w:eastAsia="新宋体"/>
          <w:b/>
          <w:color w:val="000000"/>
          <w:sz w:val="22"/>
        </w:rPr>
        <w:t xml:space="preserve">   </w:t>
      </w:r>
      <w:r>
        <w:rPr>
          <w:rFonts w:hint="eastAsia" w:ascii="新宋体" w:hAnsi="新宋体" w:eastAsia="新宋体"/>
          <w:b/>
          <w:color w:val="000000"/>
          <w:sz w:val="22"/>
          <w:highlight w:val="lightGray"/>
          <w:u w:val="single"/>
        </w:rPr>
        <w:t>▲本项目所有设备及配套附件的</w:t>
      </w:r>
      <w:r>
        <w:rPr>
          <w:rFonts w:ascii="新宋体" w:hAnsi="新宋体" w:eastAsia="新宋体"/>
          <w:b/>
          <w:color w:val="000000"/>
          <w:sz w:val="22"/>
          <w:highlight w:val="lightGray"/>
          <w:u w:val="single"/>
        </w:rPr>
        <w:t>质</w:t>
      </w:r>
      <w:r>
        <w:rPr>
          <w:rFonts w:hint="eastAsia" w:ascii="新宋体" w:hAnsi="新宋体" w:eastAsia="新宋体"/>
          <w:b/>
          <w:color w:val="000000"/>
          <w:sz w:val="22"/>
          <w:highlight w:val="lightGray"/>
          <w:u w:val="single"/>
        </w:rPr>
        <w:t>量保修期自验收合格并交付使用之日起开始计算,应提供不少于1年（12个月)的免费原厂质保</w:t>
      </w:r>
      <w:r>
        <w:rPr>
          <w:rFonts w:hint="eastAsia" w:ascii="新宋体" w:hAnsi="新宋体" w:eastAsia="新宋体"/>
          <w:b/>
          <w:color w:val="000000"/>
          <w:sz w:val="22"/>
          <w:u w:val="single"/>
        </w:rPr>
        <w:t>。</w:t>
      </w:r>
      <w:r>
        <w:rPr>
          <w:rFonts w:hint="eastAsia" w:ascii="新宋体" w:hAnsi="新宋体" w:eastAsia="新宋体"/>
          <w:b/>
          <w:color w:val="000000"/>
          <w:sz w:val="22"/>
        </w:rPr>
        <w:t>如厂商本身承诺的产品质保期高于标书要求的则按照厂商承诺执行。</w:t>
      </w:r>
      <w:r>
        <w:rPr>
          <w:rFonts w:ascii="新宋体" w:hAnsi="新宋体" w:eastAsia="新宋体"/>
          <w:b/>
          <w:color w:val="000000"/>
          <w:sz w:val="22"/>
        </w:rPr>
        <w:t>质</w:t>
      </w:r>
      <w:r>
        <w:rPr>
          <w:rFonts w:hint="eastAsia" w:ascii="新宋体" w:hAnsi="新宋体" w:eastAsia="新宋体"/>
          <w:b/>
          <w:color w:val="000000"/>
          <w:sz w:val="22"/>
        </w:rPr>
        <w:t>量保修期内免费上门服务（免费是指免零部件、材料费、易耗品、人工费、交通住宿费等与上门保修服务有关的一切费用），</w:t>
      </w:r>
      <w:r>
        <w:rPr>
          <w:rFonts w:hint="eastAsia" w:ascii="新宋体" w:hAnsi="新宋体" w:eastAsia="新宋体" w:cs="宋体"/>
          <w:b/>
          <w:color w:val="000000"/>
          <w:kern w:val="0"/>
          <w:sz w:val="22"/>
          <w:szCs w:val="22"/>
        </w:rPr>
        <w:t>终身维修。</w:t>
      </w:r>
      <w:r>
        <w:rPr>
          <w:rFonts w:hint="eastAsia" w:ascii="新宋体" w:hAnsi="新宋体" w:eastAsia="新宋体"/>
          <w:b/>
          <w:color w:val="000000"/>
          <w:sz w:val="22"/>
        </w:rPr>
        <w:t>供应商在质保期内还应包括对成套产品的常规检查、调试等维护工作，</w:t>
      </w:r>
      <w:r>
        <w:rPr>
          <w:rFonts w:hint="eastAsia" w:ascii="新宋体" w:hAnsi="新宋体" w:eastAsia="新宋体"/>
          <w:b/>
          <w:color w:val="000000"/>
          <w:sz w:val="22"/>
          <w:szCs w:val="22"/>
        </w:rPr>
        <w:t>保证设备的正常使用</w:t>
      </w:r>
      <w:r>
        <w:rPr>
          <w:rFonts w:hint="eastAsia" w:ascii="新宋体" w:hAnsi="新宋体" w:eastAsia="新宋体"/>
          <w:b/>
          <w:color w:val="000000"/>
          <w:sz w:val="22"/>
        </w:rPr>
        <w:t>。具体的操作程序和内容须在响应文件中说明。</w:t>
      </w:r>
    </w:p>
    <w:p>
      <w:pPr>
        <w:spacing w:line="440" w:lineRule="exact"/>
        <w:ind w:left="549" w:leftChars="52" w:hanging="440" w:hangingChars="200"/>
        <w:rPr>
          <w:rFonts w:hint="eastAsia" w:ascii="新宋体" w:hAnsi="新宋体" w:eastAsia="新宋体"/>
          <w:b/>
          <w:color w:val="000000"/>
          <w:sz w:val="22"/>
        </w:rPr>
      </w:pPr>
      <w:r>
        <w:rPr>
          <w:rFonts w:hint="eastAsia" w:ascii="新宋体" w:hAnsi="新宋体" w:eastAsia="新宋体"/>
          <w:bCs/>
          <w:color w:val="000000"/>
          <w:kern w:val="0"/>
          <w:sz w:val="22"/>
          <w:szCs w:val="22"/>
        </w:rPr>
        <w:t>2． 产品的设计及制造质量均应符合国家（或国际）最新颁布的有关标准/规范要求。技术标准按国家最新颁布的标准及买方认可的国际标准。凡需国家强制性认证或认可的产品、需提供相应的证书和认可的标志。</w:t>
      </w:r>
    </w:p>
    <w:p>
      <w:pPr>
        <w:spacing w:line="440" w:lineRule="exact"/>
        <w:ind w:left="549" w:leftChars="52" w:hanging="440" w:hangingChars="200"/>
        <w:jc w:val="left"/>
        <w:rPr>
          <w:rFonts w:hint="eastAsia" w:ascii="新宋体" w:hAnsi="新宋体" w:eastAsia="新宋体"/>
          <w:color w:val="000000"/>
          <w:sz w:val="22"/>
          <w:szCs w:val="22"/>
        </w:rPr>
      </w:pPr>
      <w:r>
        <w:rPr>
          <w:rFonts w:hint="eastAsia" w:ascii="新宋体" w:hAnsi="新宋体" w:eastAsia="新宋体"/>
          <w:color w:val="000000"/>
          <w:sz w:val="22"/>
          <w:szCs w:val="22"/>
        </w:rPr>
        <w:t>3.  成交供应商所供货物必须是全新的，表面无划伤，无碰撞，其技术规格、标准必须符合采购人需求书要求和国家计量检测标准。质保期内，由成交供应商联同厂家共同负责相关售后服务工作。</w:t>
      </w:r>
    </w:p>
    <w:p>
      <w:pPr>
        <w:spacing w:line="440" w:lineRule="exact"/>
        <w:ind w:left="549" w:leftChars="52" w:hanging="440" w:hangingChars="200"/>
        <w:jc w:val="left"/>
        <w:rPr>
          <w:rFonts w:hint="eastAsia" w:ascii="新宋体" w:hAnsi="新宋体" w:eastAsia="新宋体"/>
          <w:b/>
          <w:color w:val="000000"/>
          <w:sz w:val="22"/>
          <w:szCs w:val="22"/>
        </w:rPr>
      </w:pPr>
      <w:r>
        <w:rPr>
          <w:rFonts w:hint="eastAsia" w:ascii="新宋体" w:hAnsi="新宋体" w:eastAsia="新宋体"/>
          <w:color w:val="000000"/>
          <w:sz w:val="22"/>
          <w:szCs w:val="22"/>
        </w:rPr>
        <w:t>4.  成交供应商应保证其提供的设备中所有预装和为本项目安装的软件为最新的具有合法版权或使用权的正版软件且无质量瑕疵。</w:t>
      </w:r>
    </w:p>
    <w:p>
      <w:pPr>
        <w:spacing w:line="440" w:lineRule="exact"/>
        <w:ind w:left="420" w:hanging="420" w:hangingChars="190"/>
        <w:rPr>
          <w:rFonts w:hint="eastAsia" w:ascii="新宋体" w:hAnsi="新宋体" w:eastAsia="新宋体"/>
          <w:b/>
          <w:bCs/>
          <w:color w:val="000000"/>
          <w:sz w:val="22"/>
          <w:szCs w:val="22"/>
          <w:lang w:val="zh-CN"/>
        </w:rPr>
      </w:pPr>
      <w:bookmarkStart w:id="7" w:name="_Toc29502769"/>
      <w:r>
        <w:rPr>
          <w:rFonts w:hint="eastAsia" w:ascii="新宋体" w:hAnsi="新宋体" w:eastAsia="新宋体"/>
          <w:b/>
          <w:bCs/>
          <w:color w:val="000000"/>
          <w:sz w:val="22"/>
          <w:szCs w:val="22"/>
          <w:lang w:val="zh-CN"/>
        </w:rPr>
        <w:t>八、技术文件资料的交付</w:t>
      </w:r>
      <w:bookmarkEnd w:id="7"/>
    </w:p>
    <w:p>
      <w:pPr>
        <w:spacing w:line="440" w:lineRule="exact"/>
        <w:rPr>
          <w:rFonts w:hint="eastAsia" w:ascii="新宋体" w:hAnsi="新宋体" w:eastAsia="新宋体"/>
          <w:bCs/>
          <w:color w:val="000000"/>
          <w:kern w:val="0"/>
          <w:sz w:val="22"/>
          <w:szCs w:val="22"/>
        </w:rPr>
      </w:pPr>
      <w:r>
        <w:rPr>
          <w:rFonts w:hint="eastAsia" w:ascii="新宋体" w:hAnsi="新宋体" w:eastAsia="新宋体"/>
          <w:bCs/>
          <w:color w:val="000000"/>
          <w:kern w:val="0"/>
          <w:sz w:val="22"/>
          <w:szCs w:val="22"/>
        </w:rPr>
        <w:t>1．  设备交货同时提供下列资料：</w:t>
      </w:r>
    </w:p>
    <w:p>
      <w:pPr>
        <w:spacing w:line="440" w:lineRule="exact"/>
        <w:ind w:left="330" w:hanging="330" w:hangingChars="150"/>
        <w:rPr>
          <w:rFonts w:hint="eastAsia" w:ascii="新宋体" w:hAnsi="新宋体" w:eastAsia="新宋体"/>
          <w:bCs/>
          <w:color w:val="000000"/>
          <w:kern w:val="0"/>
          <w:sz w:val="22"/>
          <w:szCs w:val="22"/>
        </w:rPr>
      </w:pPr>
      <w:r>
        <w:rPr>
          <w:rFonts w:hint="eastAsia" w:ascii="新宋体" w:hAnsi="新宋体" w:eastAsia="新宋体"/>
          <w:bCs/>
          <w:color w:val="000000"/>
          <w:kern w:val="0"/>
          <w:sz w:val="22"/>
          <w:szCs w:val="22"/>
        </w:rPr>
        <w:t>1.1  随机的易损件、备品备件及特殊专用工具清单。</w:t>
      </w:r>
    </w:p>
    <w:p>
      <w:pPr>
        <w:spacing w:line="440" w:lineRule="exact"/>
        <w:ind w:left="550" w:hanging="550" w:hangingChars="250"/>
        <w:rPr>
          <w:rFonts w:hint="eastAsia" w:ascii="新宋体" w:hAnsi="新宋体" w:eastAsia="新宋体"/>
          <w:bCs/>
          <w:color w:val="000000"/>
          <w:kern w:val="0"/>
          <w:sz w:val="22"/>
          <w:szCs w:val="22"/>
        </w:rPr>
      </w:pPr>
      <w:r>
        <w:rPr>
          <w:rFonts w:hint="eastAsia" w:ascii="新宋体" w:hAnsi="新宋体" w:eastAsia="新宋体"/>
          <w:bCs/>
          <w:color w:val="000000"/>
          <w:kern w:val="0"/>
          <w:sz w:val="22"/>
          <w:szCs w:val="22"/>
        </w:rPr>
        <w:t>1.2  设备生产厂家的产品检测证书、出厂检验报告、合格证书、产品说明书、中文技术资料、中英文操作手册和相关图纸等。</w:t>
      </w:r>
    </w:p>
    <w:p>
      <w:pPr>
        <w:spacing w:line="440" w:lineRule="exact"/>
        <w:ind w:left="330" w:hanging="330" w:hangingChars="150"/>
        <w:rPr>
          <w:rFonts w:hint="eastAsia" w:ascii="新宋体" w:hAnsi="新宋体" w:eastAsia="新宋体"/>
          <w:bCs/>
          <w:color w:val="000000"/>
          <w:kern w:val="0"/>
          <w:sz w:val="22"/>
          <w:szCs w:val="22"/>
        </w:rPr>
      </w:pPr>
      <w:r>
        <w:rPr>
          <w:rFonts w:hint="eastAsia" w:ascii="新宋体" w:hAnsi="新宋体" w:eastAsia="新宋体"/>
          <w:bCs/>
          <w:color w:val="000000"/>
          <w:kern w:val="0"/>
          <w:sz w:val="22"/>
          <w:szCs w:val="22"/>
        </w:rPr>
        <w:t>1.3  设备随机提供的装箱清单（每箱一单）。</w:t>
      </w:r>
    </w:p>
    <w:p>
      <w:pPr>
        <w:spacing w:line="440" w:lineRule="exact"/>
        <w:ind w:left="330" w:hanging="330" w:hangingChars="150"/>
        <w:rPr>
          <w:rFonts w:hint="eastAsia" w:ascii="新宋体" w:hAnsi="新宋体" w:eastAsia="新宋体"/>
          <w:bCs/>
          <w:color w:val="000000"/>
          <w:kern w:val="0"/>
          <w:sz w:val="22"/>
          <w:szCs w:val="22"/>
        </w:rPr>
      </w:pPr>
      <w:r>
        <w:rPr>
          <w:rFonts w:hint="eastAsia" w:ascii="新宋体" w:hAnsi="新宋体" w:eastAsia="新宋体"/>
          <w:bCs/>
          <w:color w:val="000000"/>
          <w:kern w:val="0"/>
          <w:sz w:val="22"/>
          <w:szCs w:val="22"/>
        </w:rPr>
        <w:t>1.4  进口产品相关证明：原产地、海关商检证明等。</w:t>
      </w:r>
    </w:p>
    <w:p>
      <w:pPr>
        <w:spacing w:line="440" w:lineRule="exact"/>
        <w:ind w:left="420" w:hanging="420" w:hangingChars="190"/>
        <w:rPr>
          <w:rFonts w:hint="eastAsia" w:ascii="新宋体" w:hAnsi="新宋体" w:eastAsia="新宋体"/>
          <w:b/>
          <w:bCs/>
          <w:color w:val="000000"/>
          <w:sz w:val="22"/>
          <w:szCs w:val="22"/>
          <w:lang w:val="zh-CN"/>
        </w:rPr>
      </w:pPr>
      <w:bookmarkStart w:id="8" w:name="_Toc29502770"/>
      <w:r>
        <w:rPr>
          <w:rFonts w:hint="eastAsia" w:ascii="新宋体" w:hAnsi="新宋体" w:eastAsia="新宋体"/>
          <w:b/>
          <w:bCs/>
          <w:color w:val="000000"/>
          <w:sz w:val="22"/>
          <w:szCs w:val="22"/>
          <w:lang w:val="zh-CN"/>
        </w:rPr>
        <w:t>九、技术服务和人员培训</w:t>
      </w:r>
      <w:bookmarkEnd w:id="8"/>
    </w:p>
    <w:p>
      <w:pPr>
        <w:spacing w:line="440" w:lineRule="exact"/>
        <w:ind w:left="549" w:leftChars="52" w:hanging="440" w:hangingChars="200"/>
        <w:jc w:val="left"/>
        <w:rPr>
          <w:rFonts w:hint="eastAsia" w:ascii="新宋体" w:hAnsi="新宋体" w:eastAsia="新宋体"/>
          <w:color w:val="000000"/>
          <w:sz w:val="22"/>
          <w:szCs w:val="22"/>
        </w:rPr>
      </w:pPr>
      <w:r>
        <w:rPr>
          <w:rFonts w:hint="eastAsia" w:ascii="新宋体" w:hAnsi="新宋体" w:eastAsia="新宋体"/>
          <w:color w:val="000000"/>
          <w:sz w:val="22"/>
          <w:szCs w:val="22"/>
        </w:rPr>
        <w:t>1.  卖方在附近地区应有完整的售后服务网点。服务网点需提供足够的备件以适应维修需求。供应商须在响应文件中说明服务网点地址，联系方式、人员配置（含负责人）、故障修复时间、方式及保障措施。</w:t>
      </w:r>
    </w:p>
    <w:p>
      <w:pPr>
        <w:spacing w:line="440" w:lineRule="exact"/>
        <w:ind w:left="549" w:leftChars="52" w:hanging="440" w:hangingChars="200"/>
        <w:jc w:val="left"/>
        <w:rPr>
          <w:rFonts w:hint="eastAsia" w:ascii="新宋体" w:hAnsi="新宋体" w:eastAsia="新宋体"/>
          <w:color w:val="000000"/>
          <w:sz w:val="22"/>
          <w:szCs w:val="22"/>
        </w:rPr>
      </w:pPr>
      <w:r>
        <w:rPr>
          <w:rFonts w:hint="eastAsia" w:ascii="新宋体" w:hAnsi="新宋体" w:eastAsia="新宋体"/>
          <w:color w:val="000000"/>
          <w:sz w:val="22"/>
          <w:szCs w:val="22"/>
        </w:rPr>
        <w:t>2． 卖方负责合同执行过程中和质量保修期内的技术服务和支持，提供每个法定工作日随时的下述服务，以解决采购人在使用中遇到的所有问题：电话热线支持、邮寄方式服务、用户间的交流。</w:t>
      </w:r>
    </w:p>
    <w:p>
      <w:pPr>
        <w:spacing w:line="440" w:lineRule="exact"/>
        <w:ind w:left="543" w:leftChars="49" w:hanging="440" w:hangingChars="200"/>
        <w:jc w:val="left"/>
        <w:rPr>
          <w:rFonts w:hint="eastAsia" w:ascii="新宋体" w:hAnsi="新宋体" w:eastAsia="新宋体"/>
          <w:color w:val="000000"/>
          <w:sz w:val="22"/>
          <w:szCs w:val="22"/>
        </w:rPr>
      </w:pPr>
      <w:r>
        <w:rPr>
          <w:rFonts w:hint="eastAsia" w:ascii="新宋体" w:hAnsi="新宋体" w:eastAsia="新宋体"/>
          <w:color w:val="000000"/>
          <w:sz w:val="22"/>
          <w:szCs w:val="22"/>
        </w:rPr>
        <w:t>3.  在质量保修期内设备一旦发生故障，而买方无法自行排除的，在接到买方通知后，卖方应迅速作出反应，温州及附近地区12小时内、其它地区24小时内派人到达现场处理问题，使设备恢复正常运行。如在24小时内现场不能解决问题而影响使用时，</w:t>
      </w:r>
      <w:r>
        <w:rPr>
          <w:rFonts w:ascii="新宋体" w:hAnsi="新宋体" w:eastAsia="新宋体"/>
          <w:color w:val="000000"/>
          <w:sz w:val="22"/>
          <w:szCs w:val="22"/>
        </w:rPr>
        <w:t>应立即免费提供</w:t>
      </w:r>
      <w:r>
        <w:rPr>
          <w:rFonts w:hint="eastAsia" w:ascii="新宋体" w:hAnsi="新宋体" w:eastAsia="新宋体"/>
          <w:color w:val="000000"/>
          <w:sz w:val="22"/>
          <w:szCs w:val="22"/>
        </w:rPr>
        <w:t>备机或备品备件予以更换</w:t>
      </w:r>
      <w:r>
        <w:rPr>
          <w:rFonts w:ascii="新宋体" w:hAnsi="新宋体" w:eastAsia="新宋体"/>
          <w:color w:val="000000"/>
          <w:sz w:val="22"/>
          <w:szCs w:val="22"/>
        </w:rPr>
        <w:t>，</w:t>
      </w:r>
      <w:r>
        <w:rPr>
          <w:rFonts w:hint="eastAsia" w:ascii="新宋体" w:hAnsi="新宋体" w:eastAsia="新宋体"/>
          <w:color w:val="000000"/>
          <w:sz w:val="22"/>
          <w:szCs w:val="22"/>
        </w:rPr>
        <w:t>保障设备的正常运作；维修使用的备品备件及易损件应为原厂配件，未经采购人同意不得使用非原厂配件，常用的、容易损坏的备品备件及易损件的价格清单须在响应文件中列出；更换配件的质量保修期从更换之日起相应顺延。</w:t>
      </w:r>
    </w:p>
    <w:p>
      <w:pPr>
        <w:spacing w:line="440" w:lineRule="exact"/>
        <w:ind w:left="549" w:leftChars="52" w:hanging="440" w:hangingChars="200"/>
        <w:jc w:val="left"/>
        <w:rPr>
          <w:rFonts w:hint="eastAsia" w:ascii="新宋体" w:hAnsi="新宋体" w:eastAsia="新宋体"/>
          <w:color w:val="000000"/>
          <w:sz w:val="22"/>
          <w:szCs w:val="22"/>
        </w:rPr>
      </w:pPr>
      <w:r>
        <w:rPr>
          <w:rFonts w:hint="eastAsia" w:ascii="新宋体" w:hAnsi="新宋体" w:eastAsia="新宋体"/>
          <w:color w:val="000000"/>
          <w:sz w:val="22"/>
          <w:szCs w:val="22"/>
        </w:rPr>
        <w:t xml:space="preserve">4.  </w:t>
      </w:r>
      <w:r>
        <w:rPr>
          <w:rFonts w:ascii="新宋体" w:hAnsi="新宋体" w:eastAsia="新宋体"/>
          <w:color w:val="000000"/>
          <w:sz w:val="22"/>
          <w:szCs w:val="22"/>
        </w:rPr>
        <w:t>维保点的检测人员不能排除故障时，</w:t>
      </w:r>
      <w:r>
        <w:rPr>
          <w:rFonts w:hint="eastAsia" w:ascii="新宋体" w:hAnsi="新宋体" w:eastAsia="新宋体"/>
          <w:color w:val="000000"/>
          <w:sz w:val="22"/>
          <w:szCs w:val="22"/>
        </w:rPr>
        <w:t>卖方</w:t>
      </w:r>
      <w:r>
        <w:rPr>
          <w:rFonts w:ascii="新宋体" w:hAnsi="新宋体" w:eastAsia="新宋体"/>
          <w:color w:val="000000"/>
          <w:sz w:val="22"/>
          <w:szCs w:val="22"/>
        </w:rPr>
        <w:t>应按照</w:t>
      </w:r>
      <w:r>
        <w:rPr>
          <w:rFonts w:hint="eastAsia" w:ascii="新宋体" w:hAnsi="新宋体" w:eastAsia="新宋体"/>
          <w:color w:val="000000"/>
          <w:sz w:val="22"/>
          <w:szCs w:val="22"/>
        </w:rPr>
        <w:t>买方</w:t>
      </w:r>
      <w:r>
        <w:rPr>
          <w:rFonts w:ascii="新宋体" w:hAnsi="新宋体" w:eastAsia="新宋体"/>
          <w:color w:val="000000"/>
          <w:sz w:val="22"/>
          <w:szCs w:val="22"/>
        </w:rPr>
        <w:t>的书面通知，负责生产厂家派技术人员到现场解决故障问题，由此发生的费用由</w:t>
      </w:r>
      <w:r>
        <w:rPr>
          <w:rFonts w:hint="eastAsia" w:ascii="新宋体" w:hAnsi="新宋体" w:eastAsia="新宋体"/>
          <w:color w:val="000000"/>
          <w:sz w:val="22"/>
          <w:szCs w:val="22"/>
        </w:rPr>
        <w:t>卖方</w:t>
      </w:r>
      <w:r>
        <w:rPr>
          <w:rFonts w:ascii="新宋体" w:hAnsi="新宋体" w:eastAsia="新宋体"/>
          <w:color w:val="000000"/>
          <w:sz w:val="22"/>
          <w:szCs w:val="22"/>
        </w:rPr>
        <w:t>承担</w:t>
      </w:r>
      <w:r>
        <w:rPr>
          <w:rFonts w:hint="eastAsia" w:ascii="新宋体" w:hAnsi="新宋体" w:eastAsia="新宋体"/>
          <w:color w:val="000000"/>
          <w:sz w:val="22"/>
          <w:szCs w:val="22"/>
        </w:rPr>
        <w:t>。（如采购内容中有特殊要求，则按照特殊要求执行）</w:t>
      </w:r>
    </w:p>
    <w:p>
      <w:pPr>
        <w:spacing w:line="440" w:lineRule="exact"/>
        <w:ind w:left="549" w:leftChars="52" w:hanging="440" w:hangingChars="200"/>
        <w:rPr>
          <w:rFonts w:hint="eastAsia" w:ascii="新宋体" w:hAnsi="新宋体" w:eastAsia="新宋体"/>
          <w:color w:val="000000"/>
          <w:sz w:val="22"/>
          <w:szCs w:val="22"/>
        </w:rPr>
      </w:pPr>
      <w:r>
        <w:rPr>
          <w:rFonts w:hint="eastAsia" w:ascii="新宋体" w:hAnsi="新宋体" w:eastAsia="新宋体"/>
          <w:color w:val="000000"/>
          <w:sz w:val="22"/>
          <w:szCs w:val="22"/>
        </w:rPr>
        <w:t>5． 在质保期结束时，须由专业工程师对系统及设备进行再一次测试，出现的任何故障须由卖方自费解决并需取得买方的认可。故障消除后，卖方需提供报告给买方，内容包括故障原因，解决措施，完成修理所费时间及恢复正常运行日期等，建立设备维修档案。</w:t>
      </w:r>
    </w:p>
    <w:p>
      <w:pPr>
        <w:spacing w:line="440" w:lineRule="exact"/>
        <w:ind w:left="549" w:leftChars="52" w:hanging="440" w:hangingChars="200"/>
        <w:rPr>
          <w:rFonts w:hint="eastAsia" w:ascii="新宋体" w:hAnsi="新宋体" w:eastAsia="新宋体"/>
          <w:color w:val="000000"/>
          <w:sz w:val="22"/>
          <w:szCs w:val="22"/>
        </w:rPr>
      </w:pPr>
      <w:r>
        <w:rPr>
          <w:rFonts w:hint="eastAsia" w:ascii="新宋体" w:hAnsi="新宋体" w:eastAsia="新宋体"/>
          <w:color w:val="000000"/>
          <w:sz w:val="22"/>
          <w:szCs w:val="22"/>
        </w:rPr>
        <w:t>6． 人员培训：</w:t>
      </w:r>
    </w:p>
    <w:p>
      <w:pPr>
        <w:spacing w:line="440" w:lineRule="exact"/>
        <w:ind w:left="529" w:leftChars="252"/>
        <w:rPr>
          <w:rFonts w:hint="eastAsia" w:ascii="新宋体" w:hAnsi="新宋体" w:eastAsia="新宋体"/>
          <w:color w:val="000000"/>
          <w:sz w:val="22"/>
          <w:szCs w:val="22"/>
        </w:rPr>
      </w:pPr>
      <w:r>
        <w:rPr>
          <w:rFonts w:hint="eastAsia" w:ascii="新宋体" w:hAnsi="新宋体" w:eastAsia="新宋体"/>
          <w:color w:val="000000"/>
          <w:sz w:val="22"/>
          <w:szCs w:val="22"/>
        </w:rPr>
        <w:t>卖方应委派具有丰富经验的技术人员对买方人员进行现场培训（培训的内容包括主要设备的安装、使用、设置、以及硬件基本维护知识）。卖方在响应文件中应提出具体的培训计划（如：培训师资、教材、课程、人数、地点、日程、授课人的业务背景等）并报价，计入投标总价中，如果免费培训请在响应文件中注明</w:t>
      </w:r>
    </w:p>
    <w:p>
      <w:pPr>
        <w:numPr>
          <w:ilvl w:val="0"/>
          <w:numId w:val="8"/>
        </w:numPr>
        <w:spacing w:line="440" w:lineRule="exact"/>
        <w:ind w:left="663" w:hanging="663" w:hangingChars="300"/>
        <w:rPr>
          <w:rFonts w:hint="eastAsia" w:ascii="新宋体" w:hAnsi="新宋体" w:eastAsia="新宋体"/>
          <w:b/>
          <w:bCs/>
          <w:color w:val="000000"/>
          <w:sz w:val="22"/>
          <w:szCs w:val="22"/>
          <w:u w:val="single"/>
        </w:rPr>
      </w:pPr>
      <w:r>
        <w:rPr>
          <w:rFonts w:hint="eastAsia" w:ascii="宋体" w:hAnsi="宋体"/>
          <w:b/>
          <w:color w:val="000000"/>
          <w:sz w:val="22"/>
          <w:szCs w:val="22"/>
        </w:rPr>
        <w:t xml:space="preserve"> 本磋商文件里要求提供的各种证书、证件、证明资料须原件备查，即供应商在投标时不需要提供原件，如采购人、招标代理机构或评标小组在后续环节中需要对相关资料原件进行真实性核查时，则供应商必须按要求提交相关原件及其他要求提供的辅助证明材料，如供应商不能按要求提供相关原件及其他要求提供的辅助证明材料以证明其资料真实性的，采购人将做出对其不利的认定（包括取消其投标或中标资格），后果由供应商负责。如评审中出现无证明资料或无法凭所提供资料判断是否得分的情况，一律作不得分处理。</w:t>
      </w:r>
    </w:p>
    <w:p>
      <w:pPr>
        <w:pStyle w:val="23"/>
        <w:spacing w:line="440" w:lineRule="exact"/>
        <w:ind w:firstLine="0" w:firstLineChars="0"/>
        <w:jc w:val="left"/>
        <w:rPr>
          <w:rFonts w:ascii="宋体" w:hAnsi="宋体"/>
          <w:b/>
          <w:color w:val="000000"/>
          <w:sz w:val="22"/>
        </w:rPr>
      </w:pPr>
      <w:bookmarkStart w:id="9" w:name="_GoBack"/>
      <w:bookmarkEnd w:id="9"/>
    </w:p>
    <w:p>
      <w:pPr>
        <w:ind w:firstLine="1245" w:firstLineChars="443"/>
        <w:rPr>
          <w:rFonts w:ascii="新宋体" w:hAnsi="新宋体" w:eastAsia="新宋体"/>
          <w:b/>
          <w:bCs/>
          <w:color w:val="000000"/>
          <w:sz w:val="28"/>
          <w:szCs w:val="28"/>
          <w:u w:val="single"/>
        </w:rPr>
      </w:pPr>
      <w:r>
        <w:rPr>
          <w:rFonts w:hint="eastAsia" w:ascii="新宋体" w:hAnsi="新宋体" w:eastAsia="新宋体"/>
          <w:b/>
          <w:bCs/>
          <w:color w:val="000000"/>
          <w:sz w:val="28"/>
          <w:szCs w:val="28"/>
          <w:u w:val="single"/>
        </w:rPr>
        <w:t>注：具体内容以</w:t>
      </w:r>
      <w:r>
        <w:rPr>
          <w:rFonts w:hint="eastAsia" w:ascii="新宋体" w:hAnsi="新宋体" w:eastAsia="新宋体"/>
          <w:b/>
          <w:bCs/>
          <w:color w:val="000000"/>
          <w:sz w:val="28"/>
          <w:szCs w:val="28"/>
          <w:u w:val="single"/>
          <w:lang w:eastAsia="zh-CN"/>
        </w:rPr>
        <w:t>磋商</w:t>
      </w:r>
      <w:r>
        <w:rPr>
          <w:rFonts w:hint="eastAsia" w:ascii="新宋体" w:hAnsi="新宋体" w:eastAsia="新宋体"/>
          <w:b/>
          <w:bCs/>
          <w:color w:val="000000"/>
          <w:sz w:val="28"/>
          <w:szCs w:val="28"/>
          <w:u w:val="single"/>
        </w:rPr>
        <w:t>文件为准。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
    <w:altName w:val="宋体"/>
    <w:panose1 w:val="00000000000000000000"/>
    <w:charset w:val="86"/>
    <w:family w:val="swiss"/>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3C850C"/>
    <w:multiLevelType w:val="singleLevel"/>
    <w:tmpl w:val="AB3C850C"/>
    <w:lvl w:ilvl="0" w:tentative="0">
      <w:start w:val="1"/>
      <w:numFmt w:val="bullet"/>
      <w:pStyle w:val="28"/>
      <w:lvlText w:val=""/>
      <w:lvlJc w:val="left"/>
      <w:pPr>
        <w:ind w:left="420" w:hanging="420"/>
      </w:pPr>
      <w:rPr>
        <w:rFonts w:hint="default" w:ascii="Wingdings" w:hAnsi="Wingdings"/>
      </w:rPr>
    </w:lvl>
  </w:abstractNum>
  <w:abstractNum w:abstractNumId="1">
    <w:nsid w:val="E1AED385"/>
    <w:multiLevelType w:val="singleLevel"/>
    <w:tmpl w:val="E1AED385"/>
    <w:lvl w:ilvl="0" w:tentative="0">
      <w:start w:val="10"/>
      <w:numFmt w:val="chineseCounting"/>
      <w:suff w:val="space"/>
      <w:lvlText w:val="%1、"/>
      <w:lvlJc w:val="left"/>
      <w:rPr>
        <w:rFonts w:hint="eastAsia"/>
      </w:rPr>
    </w:lvl>
  </w:abstractNum>
  <w:abstractNum w:abstractNumId="2">
    <w:nsid w:val="00000008"/>
    <w:multiLevelType w:val="multilevel"/>
    <w:tmpl w:val="00000008"/>
    <w:lvl w:ilvl="0" w:tentative="0">
      <w:start w:val="1"/>
      <w:numFmt w:val="decimal"/>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2A51E86"/>
    <w:multiLevelType w:val="multilevel"/>
    <w:tmpl w:val="02A51E86"/>
    <w:lvl w:ilvl="0" w:tentative="0">
      <w:start w:val="1"/>
      <w:numFmt w:val="japaneseCounting"/>
      <w:lvlText w:val="%1、"/>
      <w:lvlJc w:val="left"/>
      <w:pPr>
        <w:ind w:left="450" w:hanging="450"/>
      </w:pPr>
      <w:rPr>
        <w:rFonts w:hint="default" w:cs="Times New Roman"/>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3AAD6EF"/>
    <w:multiLevelType w:val="singleLevel"/>
    <w:tmpl w:val="13AAD6EF"/>
    <w:lvl w:ilvl="0" w:tentative="0">
      <w:start w:val="1"/>
      <w:numFmt w:val="decimal"/>
      <w:lvlText w:val="%1."/>
      <w:lvlJc w:val="left"/>
      <w:pPr>
        <w:ind w:left="425" w:hanging="425"/>
      </w:pPr>
      <w:rPr>
        <w:rFonts w:hint="default"/>
      </w:rPr>
    </w:lvl>
  </w:abstractNum>
  <w:abstractNum w:abstractNumId="5">
    <w:nsid w:val="1BCCAD06"/>
    <w:multiLevelType w:val="singleLevel"/>
    <w:tmpl w:val="1BCCAD06"/>
    <w:lvl w:ilvl="0" w:tentative="0">
      <w:start w:val="1"/>
      <w:numFmt w:val="decimal"/>
      <w:lvlText w:val="%1."/>
      <w:lvlJc w:val="left"/>
      <w:pPr>
        <w:ind w:left="425" w:hanging="425"/>
      </w:pPr>
      <w:rPr>
        <w:rFonts w:hint="default"/>
      </w:rPr>
    </w:lvl>
  </w:abstractNum>
  <w:abstractNum w:abstractNumId="6">
    <w:nsid w:val="3788B460"/>
    <w:multiLevelType w:val="singleLevel"/>
    <w:tmpl w:val="3788B460"/>
    <w:lvl w:ilvl="0" w:tentative="0">
      <w:start w:val="1"/>
      <w:numFmt w:val="decimal"/>
      <w:lvlText w:val="%1."/>
      <w:lvlJc w:val="left"/>
      <w:pPr>
        <w:ind w:left="425" w:hanging="425"/>
      </w:pPr>
      <w:rPr>
        <w:rFonts w:hint="default"/>
      </w:rPr>
    </w:lvl>
  </w:abstractNum>
  <w:abstractNum w:abstractNumId="7">
    <w:nsid w:val="5E523A2C"/>
    <w:multiLevelType w:val="multilevel"/>
    <w:tmpl w:val="5E523A2C"/>
    <w:lvl w:ilvl="0" w:tentative="0">
      <w:start w:val="1"/>
      <w:numFmt w:val="decimal"/>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
  </w:num>
  <w:num w:numId="3">
    <w:abstractNumId w:val="6"/>
  </w:num>
  <w:num w:numId="4">
    <w:abstractNumId w:val="4"/>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1370A"/>
    <w:rsid w:val="000F7AA5"/>
    <w:rsid w:val="001872AF"/>
    <w:rsid w:val="001D3EA9"/>
    <w:rsid w:val="001D471B"/>
    <w:rsid w:val="00280BF4"/>
    <w:rsid w:val="002C7026"/>
    <w:rsid w:val="0031370A"/>
    <w:rsid w:val="0040712E"/>
    <w:rsid w:val="00531D55"/>
    <w:rsid w:val="00553DCA"/>
    <w:rsid w:val="0059428A"/>
    <w:rsid w:val="00667EAF"/>
    <w:rsid w:val="006C41DE"/>
    <w:rsid w:val="00801560"/>
    <w:rsid w:val="008D7F10"/>
    <w:rsid w:val="009B1597"/>
    <w:rsid w:val="00A47E06"/>
    <w:rsid w:val="00B368C8"/>
    <w:rsid w:val="00BC4C89"/>
    <w:rsid w:val="00C423CE"/>
    <w:rsid w:val="00C5734C"/>
    <w:rsid w:val="00CA5C26"/>
    <w:rsid w:val="00CB5C24"/>
    <w:rsid w:val="00CD28F7"/>
    <w:rsid w:val="00D623B0"/>
    <w:rsid w:val="00DD6DBC"/>
    <w:rsid w:val="00DF0CC5"/>
    <w:rsid w:val="00E1239F"/>
    <w:rsid w:val="00EC4411"/>
    <w:rsid w:val="00F74ADE"/>
    <w:rsid w:val="00F90517"/>
    <w:rsid w:val="0AC12FDC"/>
    <w:rsid w:val="52E643B0"/>
    <w:rsid w:val="56BB542A"/>
    <w:rsid w:val="78775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20"/>
    <w:qFormat/>
    <w:uiPriority w:val="0"/>
    <w:pPr>
      <w:keepNext/>
      <w:keepLines/>
      <w:spacing w:before="260" w:after="260" w:line="416" w:lineRule="auto"/>
      <w:outlineLvl w:val="1"/>
    </w:pPr>
    <w:rPr>
      <w:rFonts w:ascii="Arial" w:hAnsi="Arial" w:eastAsia="黑体"/>
      <w:b/>
      <w:bCs/>
      <w:sz w:val="32"/>
      <w:szCs w:val="32"/>
    </w:rPr>
  </w:style>
  <w:style w:type="paragraph" w:styleId="6">
    <w:name w:val="heading 4"/>
    <w:basedOn w:val="1"/>
    <w:next w:val="1"/>
    <w:link w:val="2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26"/>
    <w:semiHidden/>
    <w:unhideWhenUsed/>
    <w:qFormat/>
    <w:uiPriority w:val="9"/>
    <w:pPr>
      <w:keepNext/>
      <w:keepLines/>
      <w:spacing w:before="280" w:after="290" w:line="376" w:lineRule="auto"/>
      <w:outlineLvl w:val="4"/>
    </w:pPr>
    <w:rPr>
      <w:b/>
      <w:bCs/>
      <w:sz w:val="28"/>
      <w:szCs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9"/>
    <w:qFormat/>
    <w:uiPriority w:val="0"/>
    <w:pPr>
      <w:spacing w:after="120"/>
    </w:pPr>
    <w:rPr>
      <w:rFonts w:asciiTheme="minorHAnsi" w:hAnsiTheme="minorHAnsi" w:eastAsiaTheme="minorEastAsia" w:cstheme="minorBidi"/>
    </w:rPr>
  </w:style>
  <w:style w:type="paragraph" w:styleId="3">
    <w:name w:val="Body Text First Indent"/>
    <w:basedOn w:val="2"/>
    <w:link w:val="24"/>
    <w:unhideWhenUsed/>
    <w:qFormat/>
    <w:uiPriority w:val="99"/>
    <w:pPr>
      <w:ind w:firstLine="420" w:firstLineChars="100"/>
    </w:pPr>
    <w:rPr>
      <w:rFonts w:ascii="Times New Roman" w:hAnsi="Times New Roman" w:eastAsia="宋体" w:cs="Times New Roman"/>
    </w:rPr>
  </w:style>
  <w:style w:type="paragraph" w:styleId="8">
    <w:name w:val="Block Text"/>
    <w:basedOn w:val="1"/>
    <w:qFormat/>
    <w:uiPriority w:val="0"/>
    <w:pPr>
      <w:adjustRightInd w:val="0"/>
      <w:spacing w:line="300" w:lineRule="auto"/>
      <w:ind w:left="958" w:right="-120" w:rightChars="-120"/>
      <w:jc w:val="left"/>
    </w:pPr>
    <w:rPr>
      <w:rFonts w:ascii="宋体" w:hAnsi="宋体"/>
      <w:sz w:val="28"/>
    </w:rPr>
  </w:style>
  <w:style w:type="paragraph" w:styleId="9">
    <w:name w:val="footer"/>
    <w:basedOn w:val="1"/>
    <w:link w:val="17"/>
    <w:semiHidden/>
    <w:unhideWhenUsed/>
    <w:qFormat/>
    <w:uiPriority w:val="99"/>
    <w:pPr>
      <w:tabs>
        <w:tab w:val="center" w:pos="4153"/>
        <w:tab w:val="right" w:pos="8306"/>
      </w:tabs>
      <w:snapToGrid w:val="0"/>
      <w:jc w:val="left"/>
    </w:pPr>
    <w:rPr>
      <w:sz w:val="18"/>
      <w:szCs w:val="18"/>
    </w:rPr>
  </w:style>
  <w:style w:type="paragraph" w:styleId="10">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4">
    <w:name w:val="Hyperlink"/>
    <w:uiPriority w:val="99"/>
    <w:rPr>
      <w:color w:val="0000FF"/>
      <w:u w:val="single"/>
    </w:rPr>
  </w:style>
  <w:style w:type="character" w:styleId="15">
    <w:name w:val="annotation reference"/>
    <w:qFormat/>
    <w:uiPriority w:val="0"/>
    <w:rPr>
      <w:sz w:val="21"/>
      <w:szCs w:val="21"/>
    </w:rPr>
  </w:style>
  <w:style w:type="character" w:customStyle="1" w:styleId="16">
    <w:name w:val="页眉 Char"/>
    <w:basedOn w:val="13"/>
    <w:link w:val="10"/>
    <w:semiHidden/>
    <w:uiPriority w:val="99"/>
    <w:rPr>
      <w:sz w:val="18"/>
      <w:szCs w:val="18"/>
    </w:rPr>
  </w:style>
  <w:style w:type="character" w:customStyle="1" w:styleId="17">
    <w:name w:val="页脚 Char"/>
    <w:basedOn w:val="13"/>
    <w:link w:val="9"/>
    <w:semiHidden/>
    <w:uiPriority w:val="99"/>
    <w:rPr>
      <w:sz w:val="18"/>
      <w:szCs w:val="18"/>
    </w:rPr>
  </w:style>
  <w:style w:type="character" w:customStyle="1" w:styleId="18">
    <w:name w:val="正文文本 Char1"/>
    <w:link w:val="2"/>
    <w:qFormat/>
    <w:uiPriority w:val="0"/>
    <w:rPr>
      <w:szCs w:val="24"/>
    </w:rPr>
  </w:style>
  <w:style w:type="character" w:customStyle="1" w:styleId="19">
    <w:name w:val="正文文本 Char"/>
    <w:basedOn w:val="13"/>
    <w:link w:val="2"/>
    <w:semiHidden/>
    <w:qFormat/>
    <w:uiPriority w:val="99"/>
    <w:rPr>
      <w:rFonts w:ascii="Times New Roman" w:hAnsi="Times New Roman" w:eastAsia="宋体" w:cs="Times New Roman"/>
      <w:szCs w:val="24"/>
    </w:rPr>
  </w:style>
  <w:style w:type="character" w:customStyle="1" w:styleId="20">
    <w:name w:val="标题 2 Char"/>
    <w:basedOn w:val="13"/>
    <w:link w:val="5"/>
    <w:qFormat/>
    <w:uiPriority w:val="0"/>
    <w:rPr>
      <w:rFonts w:ascii="Arial" w:hAnsi="Arial" w:eastAsia="黑体" w:cs="Times New Roman"/>
      <w:b/>
      <w:bCs/>
      <w:sz w:val="32"/>
      <w:szCs w:val="32"/>
    </w:rPr>
  </w:style>
  <w:style w:type="paragraph" w:customStyle="1" w:styleId="21">
    <w:name w:val="彩色列表 - 强调文字颜色 11"/>
    <w:basedOn w:val="1"/>
    <w:qFormat/>
    <w:uiPriority w:val="99"/>
    <w:pPr>
      <w:spacing w:line="360" w:lineRule="auto"/>
      <w:jc w:val="left"/>
    </w:pPr>
    <w:rPr>
      <w:rFonts w:ascii="Calibri" w:hAnsi="Calibri"/>
      <w:sz w:val="24"/>
    </w:rPr>
  </w:style>
  <w:style w:type="paragraph" w:customStyle="1" w:styleId="22">
    <w:name w:val="投标正文"/>
    <w:basedOn w:val="1"/>
    <w:qFormat/>
    <w:uiPriority w:val="0"/>
    <w:pPr>
      <w:spacing w:line="360" w:lineRule="auto"/>
      <w:ind w:left="100" w:firstLine="480" w:firstLineChars="200"/>
    </w:pPr>
    <w:rPr>
      <w:rFonts w:ascii="等线" w:hAnsi="等线" w:eastAsia="等线"/>
      <w:sz w:val="28"/>
    </w:rPr>
  </w:style>
  <w:style w:type="paragraph" w:customStyle="1" w:styleId="23">
    <w:name w:val="列出段落3"/>
    <w:basedOn w:val="1"/>
    <w:qFormat/>
    <w:uiPriority w:val="0"/>
    <w:pPr>
      <w:spacing w:line="360" w:lineRule="auto"/>
      <w:ind w:firstLine="420" w:firstLineChars="200"/>
    </w:pPr>
    <w:rPr>
      <w:rFonts w:ascii="Calibri" w:hAnsi="Calibri"/>
      <w:sz w:val="24"/>
      <w:szCs w:val="22"/>
    </w:rPr>
  </w:style>
  <w:style w:type="character" w:customStyle="1" w:styleId="24">
    <w:name w:val="正文首行缩进 Char"/>
    <w:basedOn w:val="18"/>
    <w:link w:val="3"/>
    <w:semiHidden/>
    <w:qFormat/>
    <w:uiPriority w:val="99"/>
    <w:rPr>
      <w:rFonts w:ascii="Times New Roman" w:hAnsi="Times New Roman" w:eastAsia="宋体" w:cs="Times New Roman"/>
    </w:rPr>
  </w:style>
  <w:style w:type="character" w:customStyle="1" w:styleId="25">
    <w:name w:val="标题 4 Char"/>
    <w:basedOn w:val="13"/>
    <w:link w:val="6"/>
    <w:semiHidden/>
    <w:qFormat/>
    <w:uiPriority w:val="9"/>
    <w:rPr>
      <w:rFonts w:asciiTheme="majorHAnsi" w:hAnsiTheme="majorHAnsi" w:eastAsiaTheme="majorEastAsia" w:cstheme="majorBidi"/>
      <w:b/>
      <w:bCs/>
      <w:sz w:val="28"/>
      <w:szCs w:val="28"/>
    </w:rPr>
  </w:style>
  <w:style w:type="character" w:customStyle="1" w:styleId="26">
    <w:name w:val="标题 5 Char"/>
    <w:basedOn w:val="13"/>
    <w:link w:val="7"/>
    <w:semiHidden/>
    <w:qFormat/>
    <w:uiPriority w:val="9"/>
    <w:rPr>
      <w:rFonts w:ascii="Times New Roman" w:hAnsi="Times New Roman" w:eastAsia="宋体" w:cs="Times New Roman"/>
      <w:b/>
      <w:bCs/>
      <w:sz w:val="28"/>
      <w:szCs w:val="28"/>
    </w:rPr>
  </w:style>
  <w:style w:type="character" w:customStyle="1" w:styleId="27">
    <w:name w:val="金保标题2 Char Char"/>
    <w:link w:val="28"/>
    <w:qFormat/>
    <w:uiPriority w:val="0"/>
    <w:rPr>
      <w:rFonts w:ascii="新宋体" w:hAnsi="新宋体" w:eastAsia="新宋体"/>
      <w:b/>
      <w:bCs/>
      <w:color w:val="000000"/>
      <w:sz w:val="22"/>
      <w:lang w:val="zh-CN"/>
    </w:rPr>
  </w:style>
  <w:style w:type="paragraph" w:customStyle="1" w:styleId="28">
    <w:name w:val="金保标题2"/>
    <w:basedOn w:val="5"/>
    <w:next w:val="1"/>
    <w:link w:val="27"/>
    <w:qFormat/>
    <w:uiPriority w:val="0"/>
    <w:pPr>
      <w:widowControl/>
      <w:numPr>
        <w:ilvl w:val="0"/>
        <w:numId w:val="1"/>
      </w:numPr>
      <w:tabs>
        <w:tab w:val="left" w:pos="540"/>
        <w:tab w:val="left" w:pos="1413"/>
      </w:tabs>
      <w:spacing w:before="0" w:after="0" w:line="360" w:lineRule="exact"/>
      <w:ind w:right="84" w:rightChars="40"/>
      <w:jc w:val="left"/>
    </w:pPr>
    <w:rPr>
      <w:rFonts w:ascii="新宋体" w:hAnsi="新宋体" w:eastAsia="新宋体" w:cstheme="minorBidi"/>
      <w:color w:val="000000"/>
      <w:sz w:val="22"/>
      <w:szCs w:val="22"/>
      <w:lang w:val="zh-CN"/>
    </w:rPr>
  </w:style>
  <w:style w:type="character" w:customStyle="1" w:styleId="29">
    <w:name w:val="A13"/>
    <w:qFormat/>
    <w:uiPriority w:val="0"/>
    <w:rPr>
      <w:rFonts w:ascii="Times New Roman" w:hAnsi="Times New Roman" w:eastAsia="宋体" w:cs="......."/>
      <w:color w:val="000000"/>
      <w:sz w:val="11"/>
      <w:szCs w:val="1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835217-DC81-436E-89F6-7A231F21E3C0}">
  <ds:schemaRefs/>
</ds:datastoreItem>
</file>

<file path=docProps/app.xml><?xml version="1.0" encoding="utf-8"?>
<Properties xmlns="http://schemas.openxmlformats.org/officeDocument/2006/extended-properties" xmlns:vt="http://schemas.openxmlformats.org/officeDocument/2006/docPropsVTypes">
  <Template>Normal</Template>
  <Company>ITSK.com</Company>
  <Pages>12</Pages>
  <Words>1394</Words>
  <Characters>7947</Characters>
  <Lines>66</Lines>
  <Paragraphs>18</Paragraphs>
  <TotalTime>0</TotalTime>
  <ScaleCrop>false</ScaleCrop>
  <LinksUpToDate>false</LinksUpToDate>
  <CharactersWithSpaces>9323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2018-09-06T09:46:00Z</dcterms:created>
  <dc:creator>SkyUser</dc:creator>
  <cp:lastModifiedBy>美美</cp:lastModifiedBy>
  <dcterms:modified xsi:type="dcterms:W3CDTF">2021-10-11T08:23:22Z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BB206A99F6204DF695F2945091F89965</vt:lpwstr>
  </property>
</Properties>
</file>