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480" w:lineRule="auto"/>
        <w:ind w:right="361"/>
        <w:jc w:val="center"/>
        <w:rPr>
          <w:rFonts w:hint="eastAsia" w:ascii="宋体" w:hAnsi="宋体" w:eastAsia="宋体" w:cs="宋体"/>
          <w:b w:val="0"/>
          <w:bCs w:val="0"/>
          <w:color w:val="auto"/>
          <w:sz w:val="96"/>
          <w:szCs w:val="96"/>
          <w:highlight w:val="none"/>
        </w:rPr>
      </w:pPr>
      <w:r>
        <w:rPr>
          <w:rFonts w:hint="eastAsia" w:ascii="宋体" w:hAnsi="宋体" w:eastAsia="宋体" w:cs="宋体"/>
          <w:b w:val="0"/>
          <w:bCs w:val="0"/>
          <w:color w:val="auto"/>
          <w:sz w:val="96"/>
          <w:szCs w:val="96"/>
          <w:highlight w:val="none"/>
        </w:rPr>
        <w:t>招 标 文 件</w:t>
      </w:r>
    </w:p>
    <w:p>
      <w:pPr>
        <w:pStyle w:val="5"/>
        <w:rPr>
          <w:rFonts w:hint="eastAsia" w:ascii="宋体" w:hAnsi="宋体" w:eastAsia="宋体" w:cs="宋体"/>
          <w:b w:val="0"/>
          <w:bCs w:val="0"/>
          <w:color w:val="auto"/>
          <w:sz w:val="96"/>
          <w:szCs w:val="96"/>
          <w:highlight w:val="none"/>
        </w:rPr>
      </w:pPr>
    </w:p>
    <w:p>
      <w:pPr>
        <w:rPr>
          <w:rFonts w:hint="eastAsia" w:ascii="宋体" w:hAnsi="宋体" w:eastAsia="宋体" w:cs="宋体"/>
          <w:b w:val="0"/>
          <w:bCs w:val="0"/>
          <w:color w:val="auto"/>
          <w:sz w:val="96"/>
          <w:szCs w:val="96"/>
          <w:highlight w:val="none"/>
        </w:rPr>
      </w:pPr>
    </w:p>
    <w:p>
      <w:pPr>
        <w:pStyle w:val="5"/>
        <w:rPr>
          <w:rFonts w:hint="eastAsia"/>
          <w:color w:val="auto"/>
          <w:highlight w:val="none"/>
        </w:rPr>
      </w:pPr>
    </w:p>
    <w:tbl>
      <w:tblPr>
        <w:tblStyle w:val="54"/>
        <w:tblW w:w="0" w:type="auto"/>
        <w:tblInd w:w="3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3"/>
        <w:gridCol w:w="5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3"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编 号</w:t>
            </w:r>
            <w:r>
              <w:rPr>
                <w:rFonts w:hint="eastAsia" w:ascii="宋体" w:hAnsi="宋体" w:eastAsia="宋体" w:cs="宋体"/>
                <w:b w:val="0"/>
                <w:bCs w:val="0"/>
                <w:color w:val="auto"/>
                <w:spacing w:val="40"/>
                <w:sz w:val="28"/>
                <w:highlight w:val="none"/>
              </w:rPr>
              <w:t>：</w:t>
            </w:r>
          </w:p>
        </w:tc>
        <w:tc>
          <w:tcPr>
            <w:tcW w:w="5712" w:type="dxa"/>
            <w:vAlign w:val="center"/>
          </w:tcPr>
          <w:p>
            <w:pPr>
              <w:spacing w:line="700" w:lineRule="exact"/>
              <w:jc w:val="center"/>
              <w:rPr>
                <w:rFonts w:hint="eastAsia" w:ascii="宋体" w:hAnsi="宋体" w:cs="宋体"/>
                <w:b w:val="0"/>
                <w:bCs w:val="0"/>
                <w:color w:val="auto"/>
                <w:sz w:val="30"/>
                <w:szCs w:val="30"/>
                <w:highlight w:val="none"/>
                <w:lang w:eastAsia="zh-CN"/>
              </w:rPr>
            </w:pPr>
            <w:r>
              <w:rPr>
                <w:rFonts w:hint="eastAsia" w:ascii="宋体" w:hAnsi="宋体" w:cs="宋体"/>
                <w:b w:val="0"/>
                <w:bCs w:val="0"/>
                <w:color w:val="auto"/>
                <w:sz w:val="30"/>
                <w:szCs w:val="30"/>
                <w:highlight w:val="none"/>
                <w:lang w:eastAsia="zh-CN"/>
              </w:rPr>
              <w:t>ZJDO20230105001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3"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名 称：</w:t>
            </w:r>
          </w:p>
        </w:tc>
        <w:tc>
          <w:tcPr>
            <w:tcW w:w="5712" w:type="dxa"/>
            <w:vAlign w:val="center"/>
          </w:tcPr>
          <w:p>
            <w:pPr>
              <w:spacing w:line="700" w:lineRule="exact"/>
              <w:jc w:val="center"/>
              <w:rPr>
                <w:rFonts w:hint="eastAsia" w:ascii="宋体" w:hAnsi="宋体" w:cs="宋体"/>
                <w:b w:val="0"/>
                <w:bCs w:val="0"/>
                <w:color w:val="auto"/>
                <w:sz w:val="30"/>
                <w:szCs w:val="30"/>
                <w:highlight w:val="none"/>
                <w:lang w:eastAsia="zh-CN"/>
              </w:rPr>
            </w:pPr>
            <w:r>
              <w:rPr>
                <w:rFonts w:hint="eastAsia" w:ascii="宋体" w:hAnsi="宋体" w:cs="宋体"/>
                <w:b w:val="0"/>
                <w:bCs w:val="0"/>
                <w:color w:val="auto"/>
                <w:sz w:val="30"/>
                <w:szCs w:val="30"/>
                <w:highlight w:val="none"/>
                <w:lang w:eastAsia="zh-CN"/>
              </w:rPr>
              <w:t>2023-2025年度山福镇绿化养护服务项目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3"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采 购 方 式：</w:t>
            </w:r>
          </w:p>
        </w:tc>
        <w:tc>
          <w:tcPr>
            <w:tcW w:w="5712"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3"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评 审 方 式：</w:t>
            </w:r>
          </w:p>
        </w:tc>
        <w:tc>
          <w:tcPr>
            <w:tcW w:w="5712"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线上电子招投标</w:t>
            </w:r>
          </w:p>
        </w:tc>
      </w:tr>
    </w:tbl>
    <w:p>
      <w:pPr>
        <w:spacing w:line="700" w:lineRule="exact"/>
        <w:ind w:firstLine="723" w:firstLineChars="300"/>
        <w:jc w:val="left"/>
        <w:rPr>
          <w:rFonts w:hint="eastAsia" w:ascii="宋体" w:hAnsi="宋体" w:eastAsia="宋体" w:cs="宋体"/>
          <w:b/>
          <w:bCs/>
          <w:color w:val="auto"/>
          <w:sz w:val="24"/>
          <w:highlight w:val="none"/>
        </w:rPr>
      </w:pPr>
    </w:p>
    <w:p>
      <w:pPr>
        <w:spacing w:line="700" w:lineRule="exact"/>
        <w:ind w:firstLine="904" w:firstLineChars="300"/>
        <w:jc w:val="left"/>
        <w:rPr>
          <w:rFonts w:hint="eastAsia" w:ascii="宋体" w:hAnsi="宋体" w:eastAsia="宋体" w:cs="宋体"/>
          <w:b/>
          <w:color w:val="auto"/>
          <w:spacing w:val="40"/>
          <w:sz w:val="30"/>
          <w:szCs w:val="30"/>
          <w:highlight w:val="none"/>
        </w:rPr>
      </w:pPr>
      <w:r>
        <w:rPr>
          <w:rFonts w:hint="eastAsia" w:ascii="宋体" w:hAnsi="宋体" w:eastAsia="宋体" w:cs="宋体"/>
          <w:b/>
          <w:bCs/>
          <w:color w:val="auto"/>
          <w:sz w:val="30"/>
          <w:szCs w:val="30"/>
          <w:highlight w:val="none"/>
          <w:lang w:eastAsia="zh-CN"/>
        </w:rPr>
        <w:t xml:space="preserve">   </w:t>
      </w:r>
      <w:r>
        <w:rPr>
          <w:rFonts w:hint="eastAsia" w:ascii="宋体" w:hAnsi="宋体" w:eastAsia="宋体" w:cs="宋体"/>
          <w:b/>
          <w:bCs/>
          <w:color w:val="auto"/>
          <w:sz w:val="30"/>
          <w:szCs w:val="30"/>
          <w:highlight w:val="none"/>
        </w:rPr>
        <w:t xml:space="preserve">  </w:t>
      </w:r>
    </w:p>
    <w:p>
      <w:pPr>
        <w:spacing w:line="700" w:lineRule="exact"/>
        <w:ind w:left="3802" w:leftChars="540" w:hanging="2668" w:hangingChars="700"/>
        <w:rPr>
          <w:rFonts w:hint="eastAsia" w:ascii="宋体" w:hAnsi="宋体" w:eastAsia="宋体" w:cs="宋体"/>
          <w:b/>
          <w:color w:val="auto"/>
          <w:spacing w:val="40"/>
          <w:sz w:val="30"/>
          <w:szCs w:val="30"/>
          <w:highlight w:val="none"/>
        </w:rPr>
      </w:pPr>
    </w:p>
    <w:p>
      <w:pPr>
        <w:keepNext/>
        <w:spacing w:line="700" w:lineRule="exact"/>
        <w:rPr>
          <w:rFonts w:hint="eastAsia" w:ascii="宋体" w:hAnsi="宋体" w:eastAsia="宋体" w:cs="宋体"/>
          <w:b/>
          <w:color w:val="auto"/>
          <w:spacing w:val="40"/>
          <w:sz w:val="30"/>
          <w:szCs w:val="30"/>
          <w:highlight w:val="none"/>
        </w:rPr>
      </w:pPr>
      <w:r>
        <w:rPr>
          <w:rFonts w:hint="eastAsia" w:ascii="宋体" w:hAnsi="宋体" w:eastAsia="宋体" w:cs="宋体"/>
          <w:b/>
          <w:color w:val="auto"/>
          <w:spacing w:val="40"/>
          <w:sz w:val="30"/>
          <w:szCs w:val="30"/>
          <w:highlight w:val="none"/>
        </w:rPr>
        <w:t xml:space="preserve">    </w:t>
      </w:r>
    </w:p>
    <w:p>
      <w:pPr>
        <w:pStyle w:val="11"/>
        <w:rPr>
          <w:rFonts w:hint="eastAsia" w:ascii="宋体" w:hAnsi="宋体" w:eastAsia="宋体" w:cs="宋体"/>
          <w:b/>
          <w:color w:val="auto"/>
          <w:spacing w:val="40"/>
          <w:sz w:val="30"/>
          <w:szCs w:val="30"/>
          <w:highlight w:val="none"/>
        </w:rPr>
      </w:pPr>
    </w:p>
    <w:p>
      <w:pPr>
        <w:rPr>
          <w:rFonts w:hint="eastAsia"/>
          <w:color w:val="auto"/>
          <w:highlight w:val="none"/>
        </w:rPr>
      </w:pPr>
    </w:p>
    <w:p>
      <w:pPr>
        <w:spacing w:line="600" w:lineRule="exact"/>
        <w:ind w:firstLine="720" w:firstLineChars="200"/>
        <w:jc w:val="both"/>
        <w:rPr>
          <w:rFonts w:hint="eastAsia" w:ascii="宋体" w:hAnsi="宋体" w:eastAsia="宋体" w:cs="宋体"/>
          <w:color w:val="auto"/>
          <w:spacing w:val="30"/>
          <w:sz w:val="30"/>
          <w:highlight w:val="none"/>
          <w:lang w:eastAsia="zh-CN"/>
        </w:rPr>
      </w:pPr>
      <w:r>
        <w:rPr>
          <w:rFonts w:hint="eastAsia" w:ascii="宋体" w:hAnsi="宋体" w:eastAsia="宋体" w:cs="宋体"/>
          <w:color w:val="auto"/>
          <w:spacing w:val="30"/>
          <w:sz w:val="30"/>
          <w:highlight w:val="none"/>
        </w:rPr>
        <w:t>招 标 人:</w:t>
      </w:r>
      <w:r>
        <w:rPr>
          <w:rFonts w:hint="eastAsia" w:ascii="宋体" w:hAnsi="宋体" w:cs="宋体"/>
          <w:color w:val="auto"/>
          <w:spacing w:val="30"/>
          <w:sz w:val="30"/>
          <w:highlight w:val="none"/>
          <w:lang w:eastAsia="zh-CN"/>
        </w:rPr>
        <w:t>温州市鹿城区山福镇人民政府</w:t>
      </w:r>
    </w:p>
    <w:p>
      <w:pPr>
        <w:spacing w:line="600" w:lineRule="exact"/>
        <w:ind w:firstLine="720" w:firstLineChars="200"/>
        <w:jc w:val="both"/>
        <w:rPr>
          <w:rFonts w:hint="eastAsia" w:ascii="宋体" w:hAnsi="宋体" w:eastAsia="宋体" w:cs="宋体"/>
          <w:color w:val="auto"/>
          <w:spacing w:val="30"/>
          <w:sz w:val="30"/>
          <w:highlight w:val="none"/>
          <w:lang w:eastAsia="zh-CN"/>
        </w:rPr>
      </w:pPr>
      <w:r>
        <w:rPr>
          <w:rFonts w:hint="eastAsia" w:ascii="宋体" w:hAnsi="宋体" w:eastAsia="宋体" w:cs="宋体"/>
          <w:color w:val="auto"/>
          <w:spacing w:val="30"/>
          <w:sz w:val="30"/>
          <w:highlight w:val="none"/>
        </w:rPr>
        <w:t>招标代理机构：</w:t>
      </w:r>
      <w:r>
        <w:rPr>
          <w:rFonts w:hint="eastAsia" w:ascii="宋体" w:hAnsi="宋体" w:cs="宋体"/>
          <w:color w:val="auto"/>
          <w:spacing w:val="30"/>
          <w:sz w:val="30"/>
          <w:highlight w:val="none"/>
          <w:lang w:eastAsia="zh-CN"/>
        </w:rPr>
        <w:t>浙江东瓯工程造价咨询有限公司</w:t>
      </w:r>
    </w:p>
    <w:p>
      <w:pPr>
        <w:spacing w:line="600" w:lineRule="exact"/>
        <w:jc w:val="center"/>
        <w:rPr>
          <w:rFonts w:hint="eastAsia" w:ascii="宋体" w:hAnsi="宋体" w:eastAsia="宋体" w:cs="宋体"/>
          <w:color w:val="auto"/>
          <w:spacing w:val="30"/>
          <w:sz w:val="30"/>
          <w:highlight w:val="none"/>
        </w:rPr>
      </w:pPr>
      <w:r>
        <w:rPr>
          <w:rFonts w:hint="eastAsia" w:ascii="宋体" w:hAnsi="宋体" w:eastAsia="宋体" w:cs="宋体"/>
          <w:color w:val="auto"/>
          <w:spacing w:val="30"/>
          <w:sz w:val="30"/>
          <w:highlight w:val="none"/>
        </w:rPr>
        <w:t>二0二</w:t>
      </w:r>
      <w:r>
        <w:rPr>
          <w:rFonts w:hint="eastAsia" w:ascii="宋体" w:hAnsi="宋体" w:cs="宋体"/>
          <w:color w:val="auto"/>
          <w:spacing w:val="30"/>
          <w:sz w:val="30"/>
          <w:highlight w:val="none"/>
          <w:lang w:val="en-US" w:eastAsia="zh-CN"/>
        </w:rPr>
        <w:t>三</w:t>
      </w:r>
      <w:r>
        <w:rPr>
          <w:rFonts w:hint="eastAsia" w:ascii="宋体" w:hAnsi="宋体" w:eastAsia="宋体" w:cs="宋体"/>
          <w:color w:val="auto"/>
          <w:spacing w:val="30"/>
          <w:sz w:val="30"/>
          <w:highlight w:val="none"/>
        </w:rPr>
        <w:t>年</w:t>
      </w:r>
      <w:r>
        <w:rPr>
          <w:rFonts w:hint="eastAsia" w:ascii="宋体" w:hAnsi="宋体" w:cs="宋体"/>
          <w:color w:val="auto"/>
          <w:spacing w:val="30"/>
          <w:sz w:val="30"/>
          <w:highlight w:val="none"/>
          <w:lang w:val="en-US" w:eastAsia="zh-CN"/>
        </w:rPr>
        <w:t>一</w:t>
      </w:r>
      <w:r>
        <w:rPr>
          <w:rFonts w:hint="eastAsia" w:ascii="宋体" w:hAnsi="宋体" w:eastAsia="宋体" w:cs="宋体"/>
          <w:color w:val="auto"/>
          <w:spacing w:val="30"/>
          <w:sz w:val="30"/>
          <w:highlight w:val="none"/>
        </w:rPr>
        <w:t>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kern w:val="2"/>
          <w:sz w:val="21"/>
          <w:szCs w:val="24"/>
          <w:highlight w:val="none"/>
          <w:lang w:val="en-US" w:eastAsia="zh-CN" w:bidi="ar-SA"/>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sdt>
      <w:sdtPr>
        <w:rPr>
          <w:rFonts w:hint="eastAsia" w:ascii="宋体" w:hAnsi="宋体" w:eastAsia="宋体" w:cs="宋体"/>
          <w:color w:val="auto"/>
          <w:kern w:val="2"/>
          <w:sz w:val="21"/>
          <w:szCs w:val="24"/>
          <w:highlight w:val="none"/>
          <w:lang w:val="en-US" w:eastAsia="zh-CN" w:bidi="ar-SA"/>
        </w:rPr>
        <w:id w:val="147459729"/>
        <w15:color w:val="DBDBDB"/>
        <w:docPartObj>
          <w:docPartGallery w:val="Table of Contents"/>
          <w:docPartUnique/>
        </w:docPartObj>
      </w:sdtPr>
      <w:sdtEndPr>
        <w:rPr>
          <w:rFonts w:hint="eastAsia" w:ascii="宋体" w:hAnsi="宋体" w:eastAsia="宋体" w:cs="宋体"/>
          <w:color w:val="auto"/>
          <w:kern w:val="2"/>
          <w:sz w:val="21"/>
          <w:szCs w:val="36"/>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highlight w:val="none"/>
            </w:rPr>
          </w:pPr>
        </w:p>
        <w:p>
          <w:pPr>
            <w:pStyle w:val="38"/>
            <w:tabs>
              <w:tab w:val="right" w:leader="dot" w:pos="9638"/>
            </w:tabs>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目  录</w:t>
          </w:r>
        </w:p>
        <w:p>
          <w:pPr>
            <w:pStyle w:val="38"/>
            <w:tabs>
              <w:tab w:val="right" w:leader="dot" w:pos="9638"/>
            </w:tabs>
            <w:spacing w:line="360" w:lineRule="auto"/>
            <w:rPr>
              <w:color w:val="auto"/>
              <w:sz w:val="22"/>
              <w:szCs w:val="28"/>
              <w:highlight w:val="none"/>
            </w:rPr>
          </w:pPr>
          <w:r>
            <w:rPr>
              <w:rFonts w:hint="eastAsia" w:ascii="宋体" w:hAnsi="宋体" w:eastAsia="宋体" w:cs="宋体"/>
              <w:b/>
              <w:color w:val="auto"/>
              <w:sz w:val="40"/>
              <w:szCs w:val="40"/>
              <w:highlight w:val="none"/>
            </w:rPr>
            <w:fldChar w:fldCharType="begin"/>
          </w:r>
          <w:r>
            <w:rPr>
              <w:rFonts w:hint="eastAsia" w:ascii="宋体" w:hAnsi="宋体" w:eastAsia="宋体" w:cs="宋体"/>
              <w:b/>
              <w:color w:val="auto"/>
              <w:sz w:val="40"/>
              <w:szCs w:val="40"/>
              <w:highlight w:val="none"/>
            </w:rPr>
            <w:instrText xml:space="preserve">TOC \o "1-3" \h \u </w:instrText>
          </w:r>
          <w:r>
            <w:rPr>
              <w:rFonts w:hint="eastAsia" w:ascii="宋体" w:hAnsi="宋体" w:eastAsia="宋体" w:cs="宋体"/>
              <w:b/>
              <w:color w:val="auto"/>
              <w:sz w:val="40"/>
              <w:szCs w:val="40"/>
              <w:highlight w:val="none"/>
            </w:rPr>
            <w:fldChar w:fldCharType="separate"/>
          </w: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_Toc6599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招</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标</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公</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告</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_Toc6599 \h </w:instrText>
          </w:r>
          <w:r>
            <w:rPr>
              <w:color w:val="auto"/>
              <w:sz w:val="22"/>
              <w:szCs w:val="28"/>
              <w:highlight w:val="none"/>
            </w:rPr>
            <w:fldChar w:fldCharType="separate"/>
          </w:r>
          <w:r>
            <w:rPr>
              <w:color w:val="auto"/>
              <w:sz w:val="22"/>
              <w:szCs w:val="28"/>
              <w:highlight w:val="none"/>
            </w:rPr>
            <w:t>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_Toc10401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第一部分    投标人须知</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_Toc10401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_Toc6224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前 附 表</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_Toc6224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_Toc19070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一、 说   明</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_Toc19070 \h </w:instrText>
          </w:r>
          <w:r>
            <w:rPr>
              <w:color w:val="auto"/>
              <w:sz w:val="22"/>
              <w:szCs w:val="28"/>
              <w:highlight w:val="none"/>
            </w:rPr>
            <w:fldChar w:fldCharType="separate"/>
          </w:r>
          <w:r>
            <w:rPr>
              <w:color w:val="auto"/>
              <w:sz w:val="22"/>
              <w:szCs w:val="28"/>
              <w:highlight w:val="none"/>
            </w:rPr>
            <w:t>10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_Toc28278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二、 招标文件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_Toc28278 \h </w:instrText>
          </w:r>
          <w:r>
            <w:rPr>
              <w:color w:val="auto"/>
              <w:sz w:val="22"/>
              <w:szCs w:val="28"/>
              <w:highlight w:val="none"/>
            </w:rPr>
            <w:fldChar w:fldCharType="separate"/>
          </w:r>
          <w:r>
            <w:rPr>
              <w:color w:val="auto"/>
              <w:sz w:val="22"/>
              <w:szCs w:val="28"/>
              <w:highlight w:val="none"/>
            </w:rPr>
            <w:t>10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_Toc22646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三、 投标文件的编制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_Toc22646 \h </w:instrText>
          </w:r>
          <w:r>
            <w:rPr>
              <w:color w:val="auto"/>
              <w:sz w:val="22"/>
              <w:szCs w:val="28"/>
              <w:highlight w:val="none"/>
            </w:rPr>
            <w:fldChar w:fldCharType="separate"/>
          </w:r>
          <w:r>
            <w:rPr>
              <w:color w:val="auto"/>
              <w:sz w:val="22"/>
              <w:szCs w:val="28"/>
              <w:highlight w:val="none"/>
            </w:rPr>
            <w:t>11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_Toc18542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四、 投标文件的递交</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_Toc18542 \h </w:instrText>
          </w:r>
          <w:r>
            <w:rPr>
              <w:color w:val="auto"/>
              <w:sz w:val="22"/>
              <w:szCs w:val="28"/>
              <w:highlight w:val="none"/>
            </w:rPr>
            <w:fldChar w:fldCharType="separate"/>
          </w:r>
          <w:r>
            <w:rPr>
              <w:color w:val="auto"/>
              <w:sz w:val="22"/>
              <w:szCs w:val="28"/>
              <w:highlight w:val="none"/>
            </w:rPr>
            <w:t>15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_Toc8079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五、 开标和评标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_Toc8079 \h </w:instrText>
          </w:r>
          <w:r>
            <w:rPr>
              <w:color w:val="auto"/>
              <w:sz w:val="22"/>
              <w:szCs w:val="28"/>
              <w:highlight w:val="none"/>
            </w:rPr>
            <w:fldChar w:fldCharType="separate"/>
          </w:r>
          <w:r>
            <w:rPr>
              <w:color w:val="auto"/>
              <w:sz w:val="22"/>
              <w:szCs w:val="28"/>
              <w:highlight w:val="none"/>
            </w:rPr>
            <w:t>15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_Toc21056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六、 授予合同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_Toc21056 \h </w:instrText>
          </w:r>
          <w:r>
            <w:rPr>
              <w:color w:val="auto"/>
              <w:sz w:val="22"/>
              <w:szCs w:val="28"/>
              <w:highlight w:val="none"/>
            </w:rPr>
            <w:fldChar w:fldCharType="separate"/>
          </w:r>
          <w:r>
            <w:rPr>
              <w:color w:val="auto"/>
              <w:sz w:val="22"/>
              <w:szCs w:val="28"/>
              <w:highlight w:val="none"/>
            </w:rPr>
            <w:t>19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_Toc19043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第二部分    合同主要条款</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_Toc19043 \h </w:instrText>
          </w:r>
          <w:r>
            <w:rPr>
              <w:color w:val="auto"/>
              <w:sz w:val="22"/>
              <w:szCs w:val="28"/>
              <w:highlight w:val="none"/>
            </w:rPr>
            <w:fldChar w:fldCharType="separate"/>
          </w:r>
          <w:r>
            <w:rPr>
              <w:color w:val="auto"/>
              <w:sz w:val="22"/>
              <w:szCs w:val="28"/>
              <w:highlight w:val="none"/>
            </w:rPr>
            <w:t>21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_Toc18439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第三部分    附件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_Toc18439 \h </w:instrText>
          </w:r>
          <w:r>
            <w:rPr>
              <w:color w:val="auto"/>
              <w:sz w:val="22"/>
              <w:szCs w:val="28"/>
              <w:highlight w:val="none"/>
            </w:rPr>
            <w:fldChar w:fldCharType="separate"/>
          </w:r>
          <w:r>
            <w:rPr>
              <w:color w:val="auto"/>
              <w:sz w:val="22"/>
              <w:szCs w:val="28"/>
              <w:highlight w:val="none"/>
            </w:rPr>
            <w:t>27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_Toc6368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附件一</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_Toc6368 \h </w:instrText>
          </w:r>
          <w:r>
            <w:rPr>
              <w:color w:val="auto"/>
              <w:sz w:val="22"/>
              <w:szCs w:val="28"/>
              <w:highlight w:val="none"/>
            </w:rPr>
            <w:fldChar w:fldCharType="separate"/>
          </w:r>
          <w:r>
            <w:rPr>
              <w:color w:val="auto"/>
              <w:sz w:val="22"/>
              <w:szCs w:val="28"/>
              <w:highlight w:val="none"/>
            </w:rPr>
            <w:t>27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_Toc5430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报价文件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_Toc5430 \h </w:instrText>
          </w:r>
          <w:r>
            <w:rPr>
              <w:color w:val="auto"/>
              <w:sz w:val="22"/>
              <w:szCs w:val="28"/>
              <w:highlight w:val="none"/>
            </w:rPr>
            <w:fldChar w:fldCharType="separate"/>
          </w:r>
          <w:r>
            <w:rPr>
              <w:color w:val="auto"/>
              <w:sz w:val="22"/>
              <w:szCs w:val="28"/>
              <w:highlight w:val="none"/>
            </w:rPr>
            <w:t>27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_Toc12035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附件二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_Toc12035 \h </w:instrText>
          </w:r>
          <w:r>
            <w:rPr>
              <w:color w:val="auto"/>
              <w:sz w:val="22"/>
              <w:szCs w:val="28"/>
              <w:highlight w:val="none"/>
            </w:rPr>
            <w:fldChar w:fldCharType="separate"/>
          </w:r>
          <w:r>
            <w:rPr>
              <w:color w:val="auto"/>
              <w:sz w:val="22"/>
              <w:szCs w:val="28"/>
              <w:highlight w:val="none"/>
            </w:rPr>
            <w:t>32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_Toc25309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资格证明文件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_Toc25309 \h </w:instrText>
          </w:r>
          <w:r>
            <w:rPr>
              <w:color w:val="auto"/>
              <w:sz w:val="22"/>
              <w:szCs w:val="28"/>
              <w:highlight w:val="none"/>
            </w:rPr>
            <w:fldChar w:fldCharType="separate"/>
          </w:r>
          <w:r>
            <w:rPr>
              <w:color w:val="auto"/>
              <w:sz w:val="22"/>
              <w:szCs w:val="28"/>
              <w:highlight w:val="none"/>
            </w:rPr>
            <w:t>32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_Toc31356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附件三</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_Toc31356 \h </w:instrText>
          </w:r>
          <w:r>
            <w:rPr>
              <w:color w:val="auto"/>
              <w:sz w:val="22"/>
              <w:szCs w:val="28"/>
              <w:highlight w:val="none"/>
            </w:rPr>
            <w:fldChar w:fldCharType="separate"/>
          </w:r>
          <w:r>
            <w:rPr>
              <w:color w:val="auto"/>
              <w:sz w:val="22"/>
              <w:szCs w:val="28"/>
              <w:highlight w:val="none"/>
            </w:rPr>
            <w:t>36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_Toc13639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lang w:val="zh-CN"/>
            </w:rPr>
            <w:t>商务技术文件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_Toc13639 \h </w:instrText>
          </w:r>
          <w:r>
            <w:rPr>
              <w:color w:val="auto"/>
              <w:sz w:val="22"/>
              <w:szCs w:val="28"/>
              <w:highlight w:val="none"/>
            </w:rPr>
            <w:fldChar w:fldCharType="separate"/>
          </w:r>
          <w:r>
            <w:rPr>
              <w:color w:val="auto"/>
              <w:sz w:val="22"/>
              <w:szCs w:val="28"/>
              <w:highlight w:val="none"/>
            </w:rPr>
            <w:t>37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_Toc3381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第四部分 项目技术规范和服务要求</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_Toc3381 \h </w:instrText>
          </w:r>
          <w:r>
            <w:rPr>
              <w:color w:val="auto"/>
              <w:sz w:val="22"/>
              <w:szCs w:val="28"/>
              <w:highlight w:val="none"/>
            </w:rPr>
            <w:fldChar w:fldCharType="separate"/>
          </w:r>
          <w:r>
            <w:rPr>
              <w:color w:val="auto"/>
              <w:sz w:val="22"/>
              <w:szCs w:val="28"/>
              <w:highlight w:val="none"/>
            </w:rPr>
            <w:t>52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8"/>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_Toc18194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第五部分   评标原则及方法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_Toc18194 \h </w:instrText>
          </w:r>
          <w:r>
            <w:rPr>
              <w:color w:val="auto"/>
              <w:sz w:val="22"/>
              <w:szCs w:val="28"/>
              <w:highlight w:val="none"/>
            </w:rPr>
            <w:fldChar w:fldCharType="separate"/>
          </w:r>
          <w:r>
            <w:rPr>
              <w:color w:val="auto"/>
              <w:sz w:val="22"/>
              <w:szCs w:val="28"/>
              <w:highlight w:val="none"/>
            </w:rPr>
            <w:t>69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_Toc15713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一、总 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_Toc15713 \h </w:instrText>
          </w:r>
          <w:r>
            <w:rPr>
              <w:color w:val="auto"/>
              <w:sz w:val="22"/>
              <w:szCs w:val="28"/>
              <w:highlight w:val="none"/>
            </w:rPr>
            <w:fldChar w:fldCharType="separate"/>
          </w:r>
          <w:r>
            <w:rPr>
              <w:color w:val="auto"/>
              <w:sz w:val="22"/>
              <w:szCs w:val="28"/>
              <w:highlight w:val="none"/>
            </w:rPr>
            <w:t>69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_Toc23152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二、评标组织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_Toc23152 \h </w:instrText>
          </w:r>
          <w:r>
            <w:rPr>
              <w:color w:val="auto"/>
              <w:sz w:val="22"/>
              <w:szCs w:val="28"/>
              <w:highlight w:val="none"/>
            </w:rPr>
            <w:fldChar w:fldCharType="separate"/>
          </w:r>
          <w:r>
            <w:rPr>
              <w:color w:val="auto"/>
              <w:sz w:val="22"/>
              <w:szCs w:val="28"/>
              <w:highlight w:val="none"/>
            </w:rPr>
            <w:t>69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_Toc67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三、评标程序</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_Toc67 \h </w:instrText>
          </w:r>
          <w:r>
            <w:rPr>
              <w:color w:val="auto"/>
              <w:sz w:val="22"/>
              <w:szCs w:val="28"/>
              <w:highlight w:val="none"/>
            </w:rPr>
            <w:fldChar w:fldCharType="separate"/>
          </w:r>
          <w:r>
            <w:rPr>
              <w:color w:val="auto"/>
              <w:sz w:val="22"/>
              <w:szCs w:val="28"/>
              <w:highlight w:val="none"/>
            </w:rPr>
            <w:t>69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_Toc24825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四、评标办法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_Toc24825 \h </w:instrText>
          </w:r>
          <w:r>
            <w:rPr>
              <w:color w:val="auto"/>
              <w:sz w:val="22"/>
              <w:szCs w:val="28"/>
              <w:highlight w:val="none"/>
            </w:rPr>
            <w:fldChar w:fldCharType="separate"/>
          </w:r>
          <w:r>
            <w:rPr>
              <w:color w:val="auto"/>
              <w:sz w:val="22"/>
              <w:szCs w:val="28"/>
              <w:highlight w:val="none"/>
            </w:rPr>
            <w:t>69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_Toc11450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五、 评分细则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_Toc11450 \h </w:instrText>
          </w:r>
          <w:r>
            <w:rPr>
              <w:color w:val="auto"/>
              <w:sz w:val="22"/>
              <w:szCs w:val="28"/>
              <w:highlight w:val="none"/>
            </w:rPr>
            <w:fldChar w:fldCharType="separate"/>
          </w:r>
          <w:r>
            <w:rPr>
              <w:color w:val="auto"/>
              <w:sz w:val="22"/>
              <w:szCs w:val="28"/>
              <w:highlight w:val="none"/>
            </w:rPr>
            <w:t>69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_Toc4727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六、定标办法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_Toc4727 \h </w:instrText>
          </w:r>
          <w:r>
            <w:rPr>
              <w:color w:val="auto"/>
              <w:sz w:val="22"/>
              <w:szCs w:val="28"/>
              <w:highlight w:val="none"/>
            </w:rPr>
            <w:fldChar w:fldCharType="separate"/>
          </w:r>
          <w:r>
            <w:rPr>
              <w:color w:val="auto"/>
              <w:sz w:val="22"/>
              <w:szCs w:val="28"/>
              <w:highlight w:val="none"/>
            </w:rPr>
            <w:t>72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_Toc3629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七、投标人义务</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_Toc3629 \h </w:instrText>
          </w:r>
          <w:r>
            <w:rPr>
              <w:color w:val="auto"/>
              <w:sz w:val="22"/>
              <w:szCs w:val="28"/>
              <w:highlight w:val="none"/>
            </w:rPr>
            <w:fldChar w:fldCharType="separate"/>
          </w:r>
          <w:r>
            <w:rPr>
              <w:color w:val="auto"/>
              <w:sz w:val="22"/>
              <w:szCs w:val="28"/>
              <w:highlight w:val="none"/>
            </w:rPr>
            <w:t>72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spacing w:line="360" w:lineRule="auto"/>
            <w:ind w:firstLine="1870" w:firstLineChars="850"/>
            <w:rPr>
              <w:rFonts w:hint="eastAsia" w:ascii="宋体" w:hAnsi="宋体" w:eastAsia="宋体" w:cs="宋体"/>
              <w:b/>
              <w:color w:val="auto"/>
              <w:sz w:val="22"/>
              <w:szCs w:val="22"/>
              <w:highlight w:val="none"/>
            </w:rPr>
          </w:pPr>
          <w:r>
            <w:rPr>
              <w:rFonts w:hint="eastAsia" w:ascii="宋体" w:hAnsi="宋体" w:eastAsia="宋体" w:cs="宋体"/>
              <w:color w:val="auto"/>
              <w:sz w:val="22"/>
              <w:szCs w:val="40"/>
              <w:highlight w:val="none"/>
            </w:rPr>
            <w:fldChar w:fldCharType="end"/>
          </w:r>
        </w:p>
      </w:sdtContent>
    </w:sdt>
    <w:p>
      <w:pPr>
        <w:pStyle w:val="5"/>
        <w:bidi w:val="0"/>
        <w:rPr>
          <w:rFonts w:hint="eastAsia" w:ascii="宋体" w:hAnsi="宋体" w:eastAsia="宋体" w:cs="宋体"/>
          <w:b/>
          <w:color w:val="auto"/>
          <w:highlight w:val="none"/>
        </w:rPr>
      </w:pPr>
      <w:bookmarkStart w:id="0" w:name="_Toc32649"/>
      <w:bookmarkStart w:id="1" w:name="_Toc6599"/>
      <w:r>
        <w:rPr>
          <w:rFonts w:hint="eastAsia" w:ascii="宋体" w:hAnsi="宋体" w:eastAsia="宋体" w:cs="宋体"/>
          <w:color w:val="auto"/>
          <w:highlight w:val="none"/>
        </w:rPr>
        <w:t>招</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标</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公</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告</w:t>
      </w:r>
      <w:bookmarkEnd w:id="0"/>
      <w:bookmarkEnd w:id="1"/>
    </w:p>
    <w:p>
      <w:pPr>
        <w:tabs>
          <w:tab w:val="left" w:pos="360"/>
        </w:tabs>
        <w:spacing w:line="460" w:lineRule="exact"/>
        <w:ind w:firstLine="552" w:firstLineChars="250"/>
        <w:rPr>
          <w:rFonts w:hint="eastAsia" w:ascii="宋体" w:hAnsi="宋体" w:eastAsia="宋体" w:cs="宋体"/>
          <w:b/>
          <w:bCs/>
          <w:color w:val="auto"/>
          <w:sz w:val="22"/>
          <w:highlight w:val="none"/>
        </w:rPr>
      </w:pPr>
      <w:r>
        <w:rPr>
          <w:b/>
          <w:bCs/>
          <w:color w:val="auto"/>
          <w:sz w:val="22"/>
          <w:highlight w:val="none"/>
        </w:rPr>
        <mc:AlternateContent>
          <mc:Choice Requires="wps">
            <w:drawing>
              <wp:anchor distT="0" distB="0" distL="114300" distR="114300" simplePos="0" relativeHeight="251662336" behindDoc="0" locked="0" layoutInCell="1" allowOverlap="1">
                <wp:simplePos x="0" y="0"/>
                <wp:positionH relativeFrom="column">
                  <wp:posOffset>-196850</wp:posOffset>
                </wp:positionH>
                <wp:positionV relativeFrom="paragraph">
                  <wp:posOffset>3810</wp:posOffset>
                </wp:positionV>
                <wp:extent cx="6499225" cy="953135"/>
                <wp:effectExtent l="6350" t="6350" r="9525" b="12065"/>
                <wp:wrapNone/>
                <wp:docPr id="1"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15.5pt;margin-top:0.3pt;height:75.05pt;width:511.75pt;z-index:251662336;v-text-anchor:middle;mso-width-relative:page;mso-height-relative:page;" filled="f" stroked="t" coordsize="21600,21600" o:gfxdata="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666Q2AAAAAgBAAAPAAAAAAAAAAEAIAAAACIAAABkcnMv&#10;ZG93bnJldi54bWxQSwECFAAUAAAACACHTuJA2yveaAMCAAARBAAADgAAAAAAAAABACAAAAAnAQAA&#10;ZHJzL2Uyb0RvYy54bWxQSwUGAAAAAAYABgBZAQAAnAUAAAAA&#10;">
                <v:fill on="f" focussize="0,0"/>
                <v:stroke weight="1pt" color="#000000" joinstyle="round"/>
                <v:imagedata o:title=""/>
                <o:lock v:ext="edit" aspectratio="f"/>
              </v:rect>
            </w:pict>
          </mc:Fallback>
        </mc:AlternateContent>
      </w:r>
      <w:r>
        <w:rPr>
          <w:rFonts w:hint="eastAsia" w:ascii="宋体" w:hAnsi="宋体" w:eastAsia="宋体" w:cs="宋体"/>
          <w:b/>
          <w:bCs/>
          <w:color w:val="auto"/>
          <w:sz w:val="22"/>
          <w:highlight w:val="none"/>
        </w:rPr>
        <w:t>项目概况</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cs="宋体"/>
          <w:color w:val="auto"/>
          <w:sz w:val="22"/>
          <w:highlight w:val="none"/>
          <w:lang w:eastAsia="zh-CN"/>
        </w:rPr>
        <w:t>2023-2025年度山福镇绿化养护服务项目</w:t>
      </w:r>
      <w:r>
        <w:rPr>
          <w:rFonts w:hint="eastAsia" w:ascii="宋体" w:hAnsi="宋体" w:eastAsia="宋体" w:cs="宋体"/>
          <w:color w:val="auto"/>
          <w:sz w:val="22"/>
          <w:highlight w:val="none"/>
        </w:rPr>
        <w:t>招标项目的潜在投标人应在浙江政府采购网获取（下载）招标文件，并于</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02</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10</w:t>
      </w:r>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09点30分</w:t>
      </w:r>
      <w:r>
        <w:rPr>
          <w:rFonts w:hint="eastAsia" w:ascii="宋体" w:hAnsi="宋体" w:eastAsia="宋体" w:cs="宋体"/>
          <w:color w:val="auto"/>
          <w:sz w:val="22"/>
          <w:highlight w:val="none"/>
        </w:rPr>
        <w:t> （北京时间）前递交（上传）投标文件。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rPr>
        <w:t>一、项目基本情况</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项目编号：</w:t>
      </w:r>
      <w:r>
        <w:rPr>
          <w:rFonts w:hint="eastAsia"/>
          <w:color w:val="auto"/>
          <w:sz w:val="22"/>
          <w:szCs w:val="22"/>
          <w:highlight w:val="none"/>
          <w:u w:val="none"/>
          <w:lang w:eastAsia="zh-CN"/>
        </w:rPr>
        <w:t>ZJDO20230105001</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项目名称：</w:t>
      </w:r>
      <w:r>
        <w:rPr>
          <w:rFonts w:hint="eastAsia"/>
          <w:color w:val="auto"/>
          <w:sz w:val="22"/>
          <w:szCs w:val="22"/>
          <w:highlight w:val="none"/>
          <w:u w:val="none"/>
          <w:lang w:eastAsia="zh-CN"/>
        </w:rPr>
        <w:t>2023-2025年度山福镇绿化养护服务项目</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w:t>
      </w:r>
      <w:r>
        <w:rPr>
          <w:rFonts w:hint="eastAsia" w:ascii="新宋体" w:hAnsi="新宋体" w:eastAsia="新宋体" w:cs="新宋体"/>
          <w:color w:val="auto"/>
          <w:sz w:val="22"/>
          <w:szCs w:val="22"/>
          <w:highlight w:val="none"/>
          <w:lang w:val="en-US" w:eastAsia="zh-CN"/>
        </w:rPr>
        <w:t>2400000</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最高限价（元）：</w:t>
      </w:r>
      <w:r>
        <w:rPr>
          <w:rFonts w:hint="eastAsia" w:ascii="新宋体" w:hAnsi="新宋体" w:eastAsia="新宋体" w:cs="新宋体"/>
          <w:color w:val="auto"/>
          <w:sz w:val="22"/>
          <w:szCs w:val="22"/>
          <w:highlight w:val="none"/>
          <w:lang w:val="en-US" w:eastAsia="zh-CN"/>
        </w:rPr>
        <w:t>2200000</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采购需求：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标项名称:</w:t>
      </w:r>
      <w:r>
        <w:rPr>
          <w:rFonts w:hint="eastAsia"/>
          <w:color w:val="auto"/>
          <w:sz w:val="22"/>
          <w:szCs w:val="22"/>
          <w:highlight w:val="none"/>
          <w:u w:val="none"/>
          <w:lang w:eastAsia="zh-CN"/>
        </w:rPr>
        <w:t>2023-2025年度山福镇绿化养护服务项目</w:t>
      </w:r>
      <w:r>
        <w:rPr>
          <w:rFonts w:hint="eastAsia"/>
          <w:color w:val="auto"/>
          <w:sz w:val="22"/>
          <w:szCs w:val="22"/>
          <w:highlight w:val="none"/>
          <w:u w:val="none"/>
          <w:lang w:val="en-US" w:eastAsia="zh-CN"/>
        </w:rPr>
        <w:t>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数量:1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预算金额（元）:</w:t>
      </w:r>
      <w:r>
        <w:rPr>
          <w:rFonts w:hint="eastAsia" w:ascii="新宋体" w:hAnsi="新宋体" w:eastAsia="新宋体" w:cs="新宋体"/>
          <w:color w:val="auto"/>
          <w:sz w:val="22"/>
          <w:szCs w:val="22"/>
          <w:highlight w:val="none"/>
          <w:lang w:val="en-US" w:eastAsia="zh-CN"/>
        </w:rPr>
        <w:t>2400000</w:t>
      </w:r>
      <w:r>
        <w:rPr>
          <w:rFonts w:hint="eastAsia"/>
          <w:color w:val="auto"/>
          <w:sz w:val="22"/>
          <w:szCs w:val="22"/>
          <w:highlight w:val="none"/>
          <w:u w:val="none"/>
          <w:lang w:val="en-US" w:eastAsia="zh-CN"/>
        </w:rPr>
        <w:t>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简要规格描述或项目基本概况介绍、用途：具体详见招标文件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备注：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 合同履约期限：标项 1，具体详见招标文件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lang w:val="en-US" w:eastAsia="zh-CN"/>
        </w:rPr>
        <w:t> 本项目（否）接受联合体投标。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lang w:val="en-US" w:eastAsia="zh-CN"/>
        </w:rPr>
        <w:t>二、申请人的资格要求：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2.落实政府采购政策需满足的资格要求：标项1：供应商为中小企业/小微企业。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3.本项目的特定资格要求：无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三、获取招标文件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时间：</w:t>
      </w:r>
      <w:r>
        <w:rPr>
          <w:rFonts w:hint="eastAsia"/>
          <w:color w:val="auto"/>
          <w:sz w:val="22"/>
          <w:szCs w:val="22"/>
          <w:highlight w:val="none"/>
          <w:u w:val="none"/>
          <w:lang w:val="en-US" w:eastAsia="zh-CN"/>
        </w:rPr>
        <w:t>公告发出之日起</w:t>
      </w:r>
      <w:r>
        <w:rPr>
          <w:rFonts w:hint="eastAsia"/>
          <w:color w:val="auto"/>
          <w:sz w:val="22"/>
          <w:szCs w:val="22"/>
          <w:highlight w:val="none"/>
          <w:u w:val="none"/>
        </w:rPr>
        <w:t>至</w:t>
      </w:r>
      <w:r>
        <w:rPr>
          <w:rFonts w:hint="eastAsia"/>
          <w:color w:val="auto"/>
          <w:sz w:val="22"/>
          <w:szCs w:val="22"/>
          <w:highlight w:val="none"/>
          <w:u w:val="none"/>
          <w:lang w:val="en-US" w:eastAsia="zh-CN"/>
        </w:rPr>
        <w:t>投标截止时间前</w:t>
      </w:r>
      <w:r>
        <w:rPr>
          <w:rFonts w:hint="eastAsia"/>
          <w:color w:val="auto"/>
          <w:sz w:val="22"/>
          <w:szCs w:val="22"/>
          <w:highlight w:val="none"/>
          <w:u w:val="none"/>
        </w:rPr>
        <w:t>，每天上午00:00至12:00，下午12:00至23:59（北京时间，线上获取法定节假日均可，线下获取文件法定节假日除外）</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地点（网址）：浙江政府采购网（https://zfcg.czt.zj.gov.cn/）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方式：供应商登录政采云平台https://www.zcygov.cn/在线申请获取采购文件（进入“项目采购”应用，在获取采购文件菜单中选择项目，申请获取采购文件）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售价（元）：0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四、提交投标文件截止时间、开标时间和地点</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提交投标文件截止时间：</w:t>
      </w:r>
      <w:r>
        <w:rPr>
          <w:rFonts w:hint="eastAsia"/>
          <w:color w:val="auto"/>
          <w:sz w:val="22"/>
          <w:szCs w:val="22"/>
          <w:highlight w:val="none"/>
          <w:u w:val="none"/>
          <w:lang w:eastAsia="zh-CN"/>
        </w:rPr>
        <w:t>202</w:t>
      </w:r>
      <w:r>
        <w:rPr>
          <w:rFonts w:hint="eastAsia"/>
          <w:color w:val="auto"/>
          <w:sz w:val="22"/>
          <w:szCs w:val="22"/>
          <w:highlight w:val="none"/>
          <w:u w:val="none"/>
          <w:lang w:val="en-US" w:eastAsia="zh-CN"/>
        </w:rPr>
        <w:t>3</w:t>
      </w:r>
      <w:r>
        <w:rPr>
          <w:rFonts w:hint="eastAsia"/>
          <w:color w:val="auto"/>
          <w:sz w:val="22"/>
          <w:szCs w:val="22"/>
          <w:highlight w:val="none"/>
          <w:u w:val="none"/>
          <w:lang w:eastAsia="zh-CN"/>
        </w:rPr>
        <w:t>年</w:t>
      </w:r>
      <w:r>
        <w:rPr>
          <w:rFonts w:hint="eastAsia"/>
          <w:color w:val="auto"/>
          <w:sz w:val="22"/>
          <w:szCs w:val="22"/>
          <w:highlight w:val="none"/>
          <w:u w:val="none"/>
          <w:lang w:val="en-US" w:eastAsia="zh-CN"/>
        </w:rPr>
        <w:t>02</w:t>
      </w:r>
      <w:r>
        <w:rPr>
          <w:rFonts w:hint="eastAsia"/>
          <w:color w:val="auto"/>
          <w:sz w:val="22"/>
          <w:szCs w:val="22"/>
          <w:highlight w:val="none"/>
          <w:u w:val="none"/>
        </w:rPr>
        <w:t>月</w:t>
      </w:r>
      <w:r>
        <w:rPr>
          <w:rFonts w:hint="eastAsia"/>
          <w:color w:val="auto"/>
          <w:sz w:val="22"/>
          <w:szCs w:val="22"/>
          <w:highlight w:val="none"/>
          <w:u w:val="none"/>
          <w:lang w:val="en-US" w:eastAsia="zh-CN"/>
        </w:rPr>
        <w:t>10</w:t>
      </w:r>
      <w:r>
        <w:rPr>
          <w:rFonts w:hint="eastAsia"/>
          <w:color w:val="auto"/>
          <w:sz w:val="22"/>
          <w:szCs w:val="22"/>
          <w:highlight w:val="none"/>
          <w:u w:val="none"/>
        </w:rPr>
        <w:t>日</w:t>
      </w:r>
      <w:r>
        <w:rPr>
          <w:rFonts w:hint="eastAsia"/>
          <w:color w:val="auto"/>
          <w:sz w:val="22"/>
          <w:szCs w:val="22"/>
          <w:highlight w:val="none"/>
          <w:u w:val="none"/>
          <w:lang w:val="en-US" w:eastAsia="zh-CN"/>
        </w:rPr>
        <w:t>09</w:t>
      </w:r>
      <w:r>
        <w:rPr>
          <w:rFonts w:hint="eastAsia"/>
          <w:color w:val="auto"/>
          <w:sz w:val="22"/>
          <w:szCs w:val="22"/>
          <w:highlight w:val="none"/>
          <w:u w:val="none"/>
        </w:rPr>
        <w:t>点</w:t>
      </w:r>
      <w:r>
        <w:rPr>
          <w:rFonts w:hint="eastAsia"/>
          <w:color w:val="auto"/>
          <w:sz w:val="22"/>
          <w:szCs w:val="22"/>
          <w:highlight w:val="none"/>
          <w:u w:val="none"/>
          <w:lang w:val="en-US" w:eastAsia="zh-CN"/>
        </w:rPr>
        <w:t>30</w:t>
      </w:r>
      <w:r>
        <w:rPr>
          <w:rFonts w:hint="eastAsia"/>
          <w:color w:val="auto"/>
          <w:sz w:val="22"/>
          <w:szCs w:val="22"/>
          <w:highlight w:val="none"/>
          <w:u w:val="none"/>
        </w:rPr>
        <w:t>分（北京时间）</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投标地点（网址）：</w:t>
      </w:r>
      <w:r>
        <w:rPr>
          <w:rFonts w:hint="eastAsia" w:ascii="宋体" w:hAnsi="宋体" w:eastAsia="宋体" w:cs="宋体"/>
          <w:color w:val="auto"/>
          <w:sz w:val="22"/>
          <w:highlight w:val="none"/>
          <w:lang w:val="en-US" w:eastAsia="zh-CN"/>
        </w:rPr>
        <w:t>政采云平台：http://zfcg.czt.zj.gov.cn</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开标时间：</w:t>
      </w:r>
      <w:r>
        <w:rPr>
          <w:rFonts w:hint="eastAsia"/>
          <w:color w:val="auto"/>
          <w:sz w:val="22"/>
          <w:szCs w:val="22"/>
          <w:highlight w:val="none"/>
          <w:u w:val="none"/>
          <w:lang w:eastAsia="zh-CN"/>
        </w:rPr>
        <w:t>202</w:t>
      </w:r>
      <w:r>
        <w:rPr>
          <w:rFonts w:hint="eastAsia"/>
          <w:color w:val="auto"/>
          <w:sz w:val="22"/>
          <w:szCs w:val="22"/>
          <w:highlight w:val="none"/>
          <w:u w:val="none"/>
          <w:lang w:val="en-US" w:eastAsia="zh-CN"/>
        </w:rPr>
        <w:t>3</w:t>
      </w:r>
      <w:r>
        <w:rPr>
          <w:rFonts w:hint="eastAsia"/>
          <w:color w:val="auto"/>
          <w:sz w:val="22"/>
          <w:szCs w:val="22"/>
          <w:highlight w:val="none"/>
          <w:u w:val="none"/>
          <w:lang w:eastAsia="zh-CN"/>
        </w:rPr>
        <w:t>年</w:t>
      </w:r>
      <w:r>
        <w:rPr>
          <w:rFonts w:hint="eastAsia"/>
          <w:color w:val="auto"/>
          <w:sz w:val="22"/>
          <w:szCs w:val="22"/>
          <w:highlight w:val="none"/>
          <w:u w:val="none"/>
          <w:lang w:val="en-US" w:eastAsia="zh-CN"/>
        </w:rPr>
        <w:t>02</w:t>
      </w:r>
      <w:r>
        <w:rPr>
          <w:rFonts w:hint="eastAsia"/>
          <w:color w:val="auto"/>
          <w:sz w:val="22"/>
          <w:szCs w:val="22"/>
          <w:highlight w:val="none"/>
          <w:u w:val="none"/>
        </w:rPr>
        <w:t>月</w:t>
      </w:r>
      <w:r>
        <w:rPr>
          <w:rFonts w:hint="eastAsia"/>
          <w:color w:val="auto"/>
          <w:sz w:val="22"/>
          <w:szCs w:val="22"/>
          <w:highlight w:val="none"/>
          <w:u w:val="none"/>
          <w:lang w:val="en-US" w:eastAsia="zh-CN"/>
        </w:rPr>
        <w:t>10</w:t>
      </w:r>
      <w:r>
        <w:rPr>
          <w:rFonts w:hint="eastAsia"/>
          <w:color w:val="auto"/>
          <w:sz w:val="22"/>
          <w:szCs w:val="22"/>
          <w:highlight w:val="none"/>
          <w:u w:val="none"/>
        </w:rPr>
        <w:t>日</w:t>
      </w:r>
      <w:r>
        <w:rPr>
          <w:rFonts w:hint="eastAsia"/>
          <w:color w:val="auto"/>
          <w:sz w:val="22"/>
          <w:szCs w:val="22"/>
          <w:highlight w:val="none"/>
          <w:u w:val="none"/>
          <w:lang w:val="en-US" w:eastAsia="zh-CN"/>
        </w:rPr>
        <w:t>09</w:t>
      </w:r>
      <w:r>
        <w:rPr>
          <w:rFonts w:hint="eastAsia"/>
          <w:color w:val="auto"/>
          <w:sz w:val="22"/>
          <w:szCs w:val="22"/>
          <w:highlight w:val="none"/>
          <w:u w:val="none"/>
        </w:rPr>
        <w:t>点</w:t>
      </w:r>
      <w:r>
        <w:rPr>
          <w:rFonts w:hint="eastAsia"/>
          <w:color w:val="auto"/>
          <w:sz w:val="22"/>
          <w:szCs w:val="22"/>
          <w:highlight w:val="none"/>
          <w:u w:val="none"/>
          <w:lang w:val="en-US" w:eastAsia="zh-CN"/>
        </w:rPr>
        <w:t>30</w:t>
      </w:r>
      <w:r>
        <w:rPr>
          <w:rFonts w:hint="eastAsia"/>
          <w:color w:val="auto"/>
          <w:sz w:val="22"/>
          <w:szCs w:val="22"/>
          <w:highlight w:val="none"/>
          <w:u w:val="none"/>
        </w:rPr>
        <w:t>分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开标地点（网址）：</w:t>
      </w:r>
      <w:r>
        <w:rPr>
          <w:rFonts w:hint="eastAsia" w:cs="宋体"/>
          <w:color w:val="auto"/>
          <w:sz w:val="22"/>
          <w:highlight w:val="none"/>
          <w:lang w:val="en-US" w:eastAsia="zh-CN"/>
        </w:rPr>
        <w:t>浙江东瓯工程造价咨询有限公司（温州市鹿城区隔岸路68号3楼）</w:t>
      </w:r>
      <w:r>
        <w:rPr>
          <w:rFonts w:hint="eastAsia" w:ascii="宋体" w:hAnsi="宋体" w:eastAsia="宋体" w:cs="宋体"/>
          <w:color w:val="auto"/>
          <w:sz w:val="22"/>
          <w:highlight w:val="none"/>
          <w:lang w:val="en-US" w:eastAsia="zh-CN"/>
        </w:rPr>
        <w:t>（政采云平台：http://zfcg.czt.zj.gov.cn）</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b/>
          <w:bCs/>
          <w:color w:val="auto"/>
          <w:sz w:val="22"/>
          <w:szCs w:val="22"/>
          <w:highlight w:val="none"/>
          <w:u w:val="none"/>
        </w:rPr>
        <w:t>五、公告期限</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自本公告发布之日起5个工作日。</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六、其他补充事宜</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color w:val="auto"/>
          <w:sz w:val="22"/>
          <w:szCs w:val="22"/>
          <w:highlight w:val="none"/>
          <w:u w:val="none"/>
          <w:lang w:val="en-US" w:eastAsia="zh-CN"/>
        </w:rPr>
      </w:pPr>
      <w:r>
        <w:rPr>
          <w:rFonts w:hint="eastAsia"/>
          <w:color w:val="auto"/>
          <w:sz w:val="22"/>
          <w:szCs w:val="22"/>
          <w:highlight w:val="none"/>
          <w:u w:val="none"/>
          <w:lang w:val="en-US" w:eastAsia="zh-CN"/>
        </w:rPr>
        <w:t>3、</w:t>
      </w:r>
      <w:r>
        <w:rPr>
          <w:rFonts w:hint="eastAsia" w:ascii="宋体" w:hAnsi="宋体" w:eastAsia="宋体" w:cs="宋体"/>
          <w:color w:val="auto"/>
          <w:sz w:val="22"/>
          <w:highlight w:val="none"/>
          <w:lang w:val="en-US" w:eastAsia="zh-CN"/>
        </w:rPr>
        <w:t>其他事项：</w:t>
      </w:r>
      <w:r>
        <w:rPr>
          <w:rFonts w:hint="eastAsia" w:cs="宋体"/>
          <w:color w:val="auto"/>
          <w:sz w:val="22"/>
          <w:highlight w:val="none"/>
          <w:lang w:val="en-US" w:eastAsia="zh-CN"/>
        </w:rPr>
        <w:t>①</w:t>
      </w:r>
      <w:r>
        <w:rPr>
          <w:rFonts w:hint="eastAsia" w:ascii="宋体" w:hAnsi="宋体" w:eastAsia="宋体" w:cs="宋体"/>
          <w:color w:val="auto"/>
          <w:sz w:val="22"/>
          <w:highlight w:val="none"/>
          <w:lang w:val="en-US" w:eastAsia="zh-CN"/>
        </w:rPr>
        <w:t>本项目通过“政府采购云平台（www.zcygov.cn）”实行在线投标响应（电子投标），供应商应先安装“政采云电子交易客户端”，并按照本</w:t>
      </w:r>
      <w:r>
        <w:rPr>
          <w:rFonts w:hint="eastAsia" w:cs="宋体"/>
          <w:color w:val="auto"/>
          <w:sz w:val="22"/>
          <w:highlight w:val="none"/>
          <w:lang w:val="en-US" w:eastAsia="zh-CN"/>
        </w:rPr>
        <w:t>招标文件</w:t>
      </w:r>
      <w:r>
        <w:rPr>
          <w:rFonts w:hint="eastAsia" w:ascii="宋体" w:hAnsi="宋体" w:eastAsia="宋体" w:cs="宋体"/>
          <w:color w:val="auto"/>
          <w:sz w:val="22"/>
          <w:highlight w:val="none"/>
          <w:lang w:val="en-US" w:eastAsia="zh-CN"/>
        </w:rPr>
        <w:t>和“政府采购云平台”的要求，通过“政采云电子交易客户端”编制并加密</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。供应商未按规定加密的</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 xml:space="preserve">，“政府采购云平台”将予以拒收。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w:t>
      </w:r>
      <w:r>
        <w:rPr>
          <w:rFonts w:hint="eastAsia" w:cs="宋体"/>
          <w:color w:val="auto"/>
          <w:sz w:val="22"/>
          <w:highlight w:val="none"/>
          <w:lang w:val="en-US" w:eastAsia="zh-CN"/>
        </w:rPr>
        <w:t>②</w:t>
      </w:r>
      <w:r>
        <w:rPr>
          <w:rFonts w:hint="eastAsia" w:ascii="宋体" w:hAnsi="宋体" w:eastAsia="宋体" w:cs="宋体"/>
          <w:color w:val="auto"/>
          <w:sz w:val="22"/>
          <w:highlight w:val="none"/>
          <w:lang w:val="en-US" w:eastAsia="zh-CN"/>
        </w:rPr>
        <w:t xml:space="preserve">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 </w:t>
      </w:r>
      <w:r>
        <w:rPr>
          <w:rFonts w:hint="eastAsia" w:cs="宋体"/>
          <w:color w:val="auto"/>
          <w:sz w:val="22"/>
          <w:highlight w:val="none"/>
          <w:lang w:val="en-US" w:eastAsia="zh-CN"/>
        </w:rPr>
        <w:t>③</w:t>
      </w:r>
      <w:r>
        <w:rPr>
          <w:rFonts w:hint="eastAsia" w:ascii="宋体" w:hAnsi="宋体" w:eastAsia="宋体" w:cs="宋体"/>
          <w:color w:val="auto"/>
          <w:sz w:val="22"/>
          <w:highlight w:val="none"/>
          <w:lang w:val="en-US" w:eastAsia="zh-CN"/>
        </w:rPr>
        <w:t>投标人应当在投标截止时间前，将生成的“电子加密</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”上传递交至“政府采购云平台”。投标截止时间以后上传递交的</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 xml:space="preserve">将被“政府采购云平台”拒收。 </w:t>
      </w:r>
      <w:r>
        <w:rPr>
          <w:rFonts w:hint="eastAsia" w:cs="宋体"/>
          <w:color w:val="auto"/>
          <w:sz w:val="22"/>
          <w:highlight w:val="none"/>
          <w:lang w:val="en-US" w:eastAsia="zh-CN"/>
        </w:rPr>
        <w:t>④</w:t>
      </w:r>
      <w:r>
        <w:rPr>
          <w:rFonts w:hint="eastAsia" w:ascii="宋体" w:hAnsi="宋体" w:eastAsia="宋体" w:cs="宋体"/>
          <w:color w:val="auto"/>
          <w:sz w:val="22"/>
          <w:highlight w:val="none"/>
          <w:lang w:val="en-US" w:eastAsia="zh-CN"/>
        </w:rPr>
        <w:t>投标人在“政府采购云平台”完成“电子加密</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”的上传递交后，还可以在投标截止时间前递交以介质（U盘）存储的数据电文形式的“备份</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”，“备份</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 xml:space="preserve">”应当密封包装并在包装上标注投标项目名称、投标人名称并加盖公章。（可以（邮寄形式，建议顺丰）在投标截止时间前递交，并需采购代理机构确认是否收到） </w:t>
      </w:r>
      <w:r>
        <w:rPr>
          <w:rFonts w:hint="eastAsia" w:cs="宋体"/>
          <w:color w:val="auto"/>
          <w:sz w:val="22"/>
          <w:highlight w:val="none"/>
          <w:lang w:val="en-US" w:eastAsia="zh-CN"/>
        </w:rPr>
        <w:t>⑤</w:t>
      </w:r>
      <w:r>
        <w:rPr>
          <w:rFonts w:hint="eastAsia" w:ascii="宋体" w:hAnsi="宋体" w:eastAsia="宋体" w:cs="宋体"/>
          <w:color w:val="auto"/>
          <w:sz w:val="22"/>
          <w:highlight w:val="none"/>
          <w:lang w:val="en-US" w:eastAsia="zh-CN"/>
        </w:rPr>
        <w:t>通过“政府采购云平台”上传递交的“电子加密</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”无法按时解密，投标人递交了备份</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的，以备份</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为依据，否则视为</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撤回。通过“政府采购云平台”上传递交的“电子加密</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”已按时解密的，“备份</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”自动失效。投标人仅递交备份</w:t>
      </w:r>
      <w:r>
        <w:rPr>
          <w:rFonts w:hint="eastAsia" w:ascii="宋体" w:hAnsi="宋体" w:cs="宋体"/>
          <w:color w:val="auto"/>
          <w:sz w:val="22"/>
          <w:highlight w:val="none"/>
          <w:lang w:val="en-US" w:eastAsia="zh-CN"/>
        </w:rPr>
        <w:t>投标文件</w:t>
      </w:r>
      <w:r>
        <w:rPr>
          <w:rFonts w:hint="eastAsia" w:ascii="宋体" w:hAnsi="宋体" w:eastAsia="宋体" w:cs="宋体"/>
          <w:color w:val="auto"/>
          <w:sz w:val="22"/>
          <w:highlight w:val="none"/>
          <w:lang w:val="en-US" w:eastAsia="zh-CN"/>
        </w:rPr>
        <w:t>的，投标无效。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七、对本次招标提出询问，请按以下方式联系</w:t>
      </w:r>
      <w:r>
        <w:rPr>
          <w:rFonts w:hint="eastAsia" w:ascii="宋体" w:hAnsi="宋体" w:eastAsia="宋体" w:cs="宋体"/>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采购人：</w:t>
      </w:r>
      <w:r>
        <w:rPr>
          <w:rFonts w:hint="eastAsia" w:cs="宋体"/>
          <w:color w:val="auto"/>
          <w:sz w:val="22"/>
          <w:highlight w:val="none"/>
          <w:lang w:val="en-US" w:eastAsia="zh-CN"/>
        </w:rPr>
        <w:t>温州市鹿城区山福镇人民政府</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联系人：</w:t>
      </w:r>
      <w:r>
        <w:rPr>
          <w:rFonts w:hint="eastAsia" w:cs="宋体"/>
          <w:color w:val="auto"/>
          <w:sz w:val="22"/>
          <w:highlight w:val="none"/>
          <w:lang w:val="en-US" w:eastAsia="zh-CN"/>
        </w:rPr>
        <w:t>严先生</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联系方式：</w:t>
      </w:r>
      <w:r>
        <w:rPr>
          <w:rFonts w:hint="eastAsia" w:cs="宋体"/>
          <w:color w:val="auto"/>
          <w:sz w:val="22"/>
          <w:highlight w:val="none"/>
          <w:lang w:val="en-US" w:eastAsia="zh-CN"/>
        </w:rPr>
        <w:t>0577-56562368</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采购代理机构：浙江东瓯工程造价咨询有限公司</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地点：温州市鹿城区隔岸路68号2楼</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联系人：</w:t>
      </w:r>
      <w:r>
        <w:rPr>
          <w:rFonts w:hint="eastAsia" w:cs="宋体"/>
          <w:color w:val="auto"/>
          <w:sz w:val="22"/>
          <w:highlight w:val="none"/>
          <w:lang w:val="en-US" w:eastAsia="zh-CN"/>
        </w:rPr>
        <w:t>潘女士</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联系电话：0577-88521066、</w:t>
      </w:r>
      <w:r>
        <w:rPr>
          <w:rFonts w:hint="eastAsia" w:cs="宋体"/>
          <w:color w:val="auto"/>
          <w:sz w:val="22"/>
          <w:highlight w:val="none"/>
          <w:lang w:val="en-US" w:eastAsia="zh-CN"/>
        </w:rPr>
        <w:t>13336928818</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 xml:space="preserve">同级政府采购监管管理部门:温州市鹿城区财政局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联系电话：0577-88359173</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　</w:t>
      </w:r>
    </w:p>
    <w:p>
      <w:pPr>
        <w:rPr>
          <w:rFonts w:hint="eastAsia" w:ascii="宋体" w:hAnsi="宋体" w:eastAsia="宋体" w:cs="宋体"/>
          <w:color w:val="auto"/>
          <w:highlight w:val="none"/>
        </w:rPr>
      </w:pPr>
      <w:bookmarkStart w:id="2" w:name="_Toc5772"/>
      <w:bookmarkStart w:id="3" w:name="_Toc10401"/>
      <w:r>
        <w:rPr>
          <w:rFonts w:hint="eastAsia" w:ascii="宋体" w:hAnsi="宋体" w:eastAsia="宋体" w:cs="宋体"/>
          <w:color w:val="auto"/>
          <w:highlight w:val="none"/>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hint="eastAsia" w:ascii="宋体" w:hAnsi="宋体" w:eastAsia="宋体" w:cs="宋体"/>
          <w:b/>
          <w:bCs/>
          <w:color w:val="auto"/>
          <w:sz w:val="24"/>
          <w:highlight w:val="none"/>
        </w:rPr>
      </w:pPr>
      <w:bookmarkStart w:id="4" w:name="_Toc1839"/>
      <w:bookmarkStart w:id="5" w:name="_Toc233618971"/>
      <w:bookmarkStart w:id="6" w:name="_Toc6224"/>
      <w:bookmarkStart w:id="7" w:name="_Toc33194387"/>
      <w:bookmarkStart w:id="8" w:name="_Toc354996695"/>
      <w:r>
        <w:rPr>
          <w:rFonts w:hint="eastAsia" w:ascii="宋体" w:hAnsi="宋体" w:eastAsia="宋体" w:cs="宋体"/>
          <w:b/>
          <w:bCs/>
          <w:color w:val="auto"/>
          <w:sz w:val="24"/>
          <w:highlight w:val="none"/>
        </w:rPr>
        <w:t>前 附 表</w:t>
      </w:r>
      <w:bookmarkEnd w:id="4"/>
      <w:bookmarkEnd w:id="5"/>
      <w:bookmarkEnd w:id="6"/>
      <w:bookmarkEnd w:id="7"/>
      <w:bookmarkEnd w:id="8"/>
    </w:p>
    <w:tbl>
      <w:tblPr>
        <w:tblStyle w:val="53"/>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b/>
                <w:bCs/>
                <w:color w:val="auto"/>
                <w:sz w:val="22"/>
                <w:szCs w:val="22"/>
                <w:highlight w:val="none"/>
              </w:rPr>
              <w:t>一、项目名称</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2023-2025年度山福镇绿化养护服务项目</w:t>
            </w:r>
          </w:p>
          <w:p>
            <w:pPr>
              <w:spacing w:line="460" w:lineRule="exact"/>
              <w:rPr>
                <w:rFonts w:hint="eastAsia" w:ascii="宋体" w:hAnsi="宋体" w:eastAsia="宋体" w:cs="宋体"/>
                <w:b/>
                <w:bCs/>
                <w:color w:val="auto"/>
                <w:sz w:val="22"/>
                <w:szCs w:val="22"/>
                <w:highlight w:val="none"/>
              </w:rPr>
            </w:pPr>
            <w:bookmarkStart w:id="9" w:name="_Hlt75139851"/>
            <w:bookmarkEnd w:id="9"/>
            <w:r>
              <w:rPr>
                <w:rFonts w:hint="eastAsia" w:ascii="宋体" w:hAnsi="宋体" w:eastAsia="宋体" w:cs="宋体"/>
                <w:b/>
                <w:bCs/>
                <w:color w:val="auto"/>
                <w:sz w:val="22"/>
                <w:szCs w:val="22"/>
                <w:highlight w:val="none"/>
              </w:rPr>
              <w:t>二、采购内容：</w:t>
            </w:r>
          </w:p>
          <w:tbl>
            <w:tblPr>
              <w:tblStyle w:val="53"/>
              <w:tblW w:w="90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
              <w:gridCol w:w="2493"/>
              <w:gridCol w:w="730"/>
              <w:gridCol w:w="2217"/>
              <w:gridCol w:w="2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b/>
                      <w:bCs/>
                      <w:color w:val="auto"/>
                      <w:sz w:val="22"/>
                      <w:szCs w:val="22"/>
                      <w:highlight w:val="none"/>
                      <w:shd w:val="clear" w:color="auto" w:fill="FFFFFF"/>
                    </w:rPr>
                  </w:pPr>
                  <w:r>
                    <w:rPr>
                      <w:rFonts w:hint="eastAsia" w:ascii="宋体" w:hAnsi="宋体" w:eastAsia="宋体" w:cs="宋体"/>
                      <w:b/>
                      <w:bCs/>
                      <w:color w:val="auto"/>
                      <w:sz w:val="22"/>
                      <w:szCs w:val="22"/>
                      <w:highlight w:val="none"/>
                    </w:rPr>
                    <w:t>序号</w:t>
                  </w:r>
                </w:p>
              </w:tc>
              <w:tc>
                <w:tcPr>
                  <w:tcW w:w="2493"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项目名称</w:t>
                  </w:r>
                </w:p>
              </w:tc>
              <w:tc>
                <w:tcPr>
                  <w:tcW w:w="73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b/>
                      <w:bCs/>
                      <w:color w:val="auto"/>
                      <w:sz w:val="22"/>
                      <w:szCs w:val="22"/>
                      <w:highlight w:val="none"/>
                      <w:shd w:val="clear" w:color="auto" w:fill="FFFFFF"/>
                    </w:rPr>
                  </w:pPr>
                  <w:r>
                    <w:rPr>
                      <w:rFonts w:hint="eastAsia" w:ascii="宋体" w:hAnsi="宋体" w:eastAsia="宋体" w:cs="宋体"/>
                      <w:b/>
                      <w:bCs/>
                      <w:color w:val="auto"/>
                      <w:sz w:val="22"/>
                      <w:szCs w:val="22"/>
                      <w:highlight w:val="none"/>
                    </w:rPr>
                    <w:t>单位</w:t>
                  </w:r>
                </w:p>
              </w:tc>
              <w:tc>
                <w:tcPr>
                  <w:tcW w:w="2217"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highlight w:val="none"/>
                    </w:rPr>
                    <w:t>预算金额</w:t>
                  </w:r>
                  <w:r>
                    <w:rPr>
                      <w:rFonts w:hint="eastAsia" w:ascii="宋体" w:hAnsi="宋体" w:eastAsia="宋体" w:cs="宋体"/>
                      <w:b/>
                      <w:bCs/>
                      <w:color w:val="auto"/>
                      <w:sz w:val="22"/>
                      <w:highlight w:val="none"/>
                      <w:lang w:eastAsia="zh-CN"/>
                    </w:rPr>
                    <w:t>（</w:t>
                  </w:r>
                  <w:r>
                    <w:rPr>
                      <w:rFonts w:hint="eastAsia" w:ascii="宋体" w:hAnsi="宋体" w:eastAsia="宋体" w:cs="宋体"/>
                      <w:b/>
                      <w:bCs/>
                      <w:color w:val="auto"/>
                      <w:sz w:val="22"/>
                      <w:highlight w:val="none"/>
                      <w:lang w:val="en-US" w:eastAsia="zh-CN"/>
                    </w:rPr>
                    <w:t>元</w:t>
                  </w:r>
                  <w:r>
                    <w:rPr>
                      <w:rFonts w:hint="eastAsia" w:ascii="宋体" w:hAnsi="宋体" w:eastAsia="宋体" w:cs="宋体"/>
                      <w:b/>
                      <w:bCs/>
                      <w:color w:val="auto"/>
                      <w:sz w:val="22"/>
                      <w:highlight w:val="none"/>
                      <w:lang w:eastAsia="zh-CN"/>
                    </w:rPr>
                    <w:t>）</w:t>
                  </w:r>
                </w:p>
              </w:tc>
              <w:tc>
                <w:tcPr>
                  <w:tcW w:w="28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730"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2493" w:type="dxa"/>
                  <w:tcBorders>
                    <w:top w:val="single" w:color="auto" w:sz="4" w:space="0"/>
                    <w:left w:val="single" w:color="auto" w:sz="4" w:space="0"/>
                    <w:right w:val="single" w:color="auto" w:sz="4" w:space="0"/>
                  </w:tcBorders>
                  <w:vAlign w:val="center"/>
                </w:tcPr>
                <w:p>
                  <w:pPr>
                    <w:spacing w:line="460" w:lineRule="exact"/>
                    <w:jc w:val="center"/>
                    <w:rPr>
                      <w:rFonts w:hint="eastAsia" w:ascii="宋体" w:hAnsi="宋体" w:eastAsia="宋体" w:cs="宋体"/>
                      <w:color w:val="auto"/>
                      <w:sz w:val="22"/>
                      <w:highlight w:val="none"/>
                    </w:rPr>
                  </w:pPr>
                  <w:r>
                    <w:rPr>
                      <w:rFonts w:hint="eastAsia" w:ascii="宋体" w:hAnsi="宋体" w:cs="宋体"/>
                      <w:color w:val="auto"/>
                      <w:sz w:val="22"/>
                      <w:highlight w:val="none"/>
                      <w:lang w:eastAsia="zh-CN"/>
                    </w:rPr>
                    <w:t>2023-2025年度山福镇绿化养护服务项目</w:t>
                  </w:r>
                </w:p>
              </w:tc>
              <w:tc>
                <w:tcPr>
                  <w:tcW w:w="73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lang w:val="en-US" w:eastAsia="zh-CN"/>
                    </w:rPr>
                  </w:pPr>
                  <w:r>
                    <w:rPr>
                      <w:rFonts w:hint="eastAsia" w:ascii="宋体" w:hAnsi="宋体" w:eastAsia="宋体" w:cs="宋体"/>
                      <w:color w:val="auto"/>
                      <w:sz w:val="22"/>
                      <w:szCs w:val="22"/>
                      <w:highlight w:val="none"/>
                      <w:shd w:val="clear" w:color="auto" w:fill="FFFFFF"/>
                      <w:lang w:val="en-US" w:eastAsia="zh-CN"/>
                    </w:rPr>
                    <w:t>1项</w:t>
                  </w:r>
                </w:p>
              </w:tc>
              <w:tc>
                <w:tcPr>
                  <w:tcW w:w="2217"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hint="default" w:ascii="宋体" w:hAnsi="宋体" w:eastAsia="宋体" w:cs="宋体"/>
                      <w:color w:val="auto"/>
                      <w:sz w:val="22"/>
                      <w:szCs w:val="22"/>
                      <w:highlight w:val="none"/>
                      <w:shd w:val="clear" w:color="auto" w:fill="FFFFFF"/>
                      <w:lang w:val="en-US" w:eastAsia="zh-CN"/>
                    </w:rPr>
                  </w:pPr>
                  <w:r>
                    <w:rPr>
                      <w:rFonts w:hint="eastAsia" w:ascii="宋体" w:hAnsi="宋体" w:cs="宋体"/>
                      <w:color w:val="auto"/>
                      <w:sz w:val="22"/>
                      <w:szCs w:val="22"/>
                      <w:highlight w:val="none"/>
                      <w:shd w:val="clear" w:color="auto" w:fill="FFFFFF"/>
                      <w:lang w:val="en-US" w:eastAsia="zh-CN"/>
                    </w:rPr>
                    <w:t>2400000</w:t>
                  </w:r>
                </w:p>
              </w:tc>
              <w:tc>
                <w:tcPr>
                  <w:tcW w:w="2873" w:type="dxa"/>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详见招标文件第</w:t>
                  </w:r>
                  <w:r>
                    <w:rPr>
                      <w:rFonts w:hint="eastAsia" w:ascii="宋体" w:hAnsi="宋体" w:eastAsia="宋体" w:cs="宋体"/>
                      <w:color w:val="auto"/>
                      <w:sz w:val="22"/>
                      <w:szCs w:val="22"/>
                      <w:highlight w:val="none"/>
                      <w:lang w:val="en-US" w:eastAsia="zh-CN"/>
                    </w:rPr>
                    <w:t>四</w:t>
                  </w:r>
                  <w:r>
                    <w:rPr>
                      <w:rFonts w:hint="eastAsia" w:ascii="宋体" w:hAnsi="宋体" w:eastAsia="宋体" w:cs="宋体"/>
                      <w:color w:val="auto"/>
                      <w:sz w:val="22"/>
                      <w:szCs w:val="22"/>
                      <w:highlight w:val="none"/>
                    </w:rPr>
                    <w:t>部分“项目技术规范和服务要求”</w:t>
                  </w:r>
                </w:p>
              </w:tc>
            </w:tr>
          </w:tbl>
          <w:p>
            <w:pPr>
              <w:tabs>
                <w:tab w:val="left" w:pos="360"/>
              </w:tabs>
              <w:spacing w:line="460" w:lineRule="exact"/>
              <w:ind w:firstLine="552" w:firstLineChars="250"/>
              <w:rPr>
                <w:rFonts w:hint="eastAsia" w:ascii="宋体" w:hAnsi="宋体" w:eastAsia="宋体" w:cs="宋体"/>
                <w:color w:val="auto"/>
                <w:highlight w:val="none"/>
              </w:rPr>
            </w:pPr>
            <w:r>
              <w:rPr>
                <w:rFonts w:hint="eastAsia" w:ascii="宋体" w:hAnsi="宋体" w:eastAsia="宋体" w:cs="宋体"/>
                <w:b/>
                <w:color w:val="auto"/>
                <w:sz w:val="22"/>
                <w:szCs w:val="22"/>
                <w:highlight w:val="none"/>
              </w:rPr>
              <w:t>如投标人报价超过预算金额按无效标处理。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投标</w:t>
            </w:r>
            <w:r>
              <w:rPr>
                <w:rFonts w:hint="eastAsia" w:ascii="宋体" w:hAnsi="宋体" w:eastAsia="宋体" w:cs="宋体"/>
                <w:b/>
                <w:bCs/>
                <w:color w:val="auto"/>
                <w:sz w:val="22"/>
                <w:szCs w:val="22"/>
                <w:highlight w:val="none"/>
              </w:rPr>
              <w:t>有效期：</w:t>
            </w:r>
            <w:r>
              <w:rPr>
                <w:rFonts w:hint="eastAsia" w:ascii="宋体" w:hAnsi="宋体" w:eastAsia="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投标保证金数额：无</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highlight w:val="none"/>
              </w:rPr>
            </w:pPr>
            <w:r>
              <w:rPr>
                <w:rFonts w:hint="eastAsia" w:ascii="宋体" w:hAnsi="宋体" w:eastAsia="宋体" w:cs="宋体"/>
                <w:b/>
                <w:bCs/>
                <w:color w:val="auto"/>
                <w:sz w:val="22"/>
                <w:szCs w:val="22"/>
                <w:highlight w:val="none"/>
              </w:rPr>
              <w:t>招标服务费：</w:t>
            </w:r>
            <w:r>
              <w:rPr>
                <w:rFonts w:hint="eastAsia" w:ascii="宋体" w:hAnsi="宋体" w:cs="宋体"/>
                <w:b w:val="0"/>
                <w:bCs w:val="0"/>
                <w:color w:val="auto"/>
                <w:sz w:val="22"/>
                <w:szCs w:val="22"/>
                <w:highlight w:val="none"/>
                <w:lang w:val="en-US" w:eastAsia="zh-CN"/>
              </w:rPr>
              <w:t>按国家计委计价格[2002]1980号规定的服务类标准收费计取（税前）</w:t>
            </w:r>
            <w:r>
              <w:rPr>
                <w:rFonts w:hint="eastAsia" w:ascii="宋体" w:hAnsi="宋体" w:eastAsia="宋体" w:cs="宋体"/>
                <w:b w:val="0"/>
                <w:bCs w:val="0"/>
                <w:color w:val="auto"/>
                <w:sz w:val="22"/>
                <w:szCs w:val="22"/>
                <w:highlight w:val="none"/>
              </w:rPr>
              <w:t>,由中标人在领取中标通知书时支付。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投标文件的组成：</w:t>
            </w:r>
            <w:r>
              <w:rPr>
                <w:rFonts w:hint="eastAsia" w:ascii="宋体" w:hAnsi="宋体" w:eastAsia="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投标文件的编制：</w:t>
            </w:r>
            <w:r>
              <w:rPr>
                <w:rFonts w:hint="eastAsia" w:ascii="宋体" w:hAnsi="宋体" w:eastAsia="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投标文件的签章：</w:t>
            </w:r>
            <w:r>
              <w:rPr>
                <w:rFonts w:hint="eastAsia" w:ascii="宋体" w:hAnsi="宋体" w:eastAsia="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投标文件的形式：</w:t>
            </w:r>
            <w:r>
              <w:rPr>
                <w:rFonts w:hint="eastAsia" w:ascii="宋体" w:hAnsi="宋体" w:eastAsia="宋体" w:cs="宋体"/>
                <w:color w:val="auto"/>
                <w:sz w:val="22"/>
                <w:szCs w:val="22"/>
                <w:highlight w:val="none"/>
              </w:rPr>
              <w:t>☑电子投标文件（包括“电子加密投标文件”和“备份投标文件”，在投标文件编制完成后同时生成）；</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color w:val="auto"/>
                <w:sz w:val="22"/>
                <w:szCs w:val="28"/>
                <w:highlight w:val="none"/>
              </w:rPr>
            </w:pPr>
            <w:r>
              <w:rPr>
                <w:rFonts w:hint="eastAsia"/>
                <w:color w:val="auto"/>
                <w:sz w:val="22"/>
                <w:szCs w:val="28"/>
                <w:highlight w:val="none"/>
              </w:rPr>
              <w:t>投标文件份数：</w:t>
            </w:r>
          </w:p>
          <w:p>
            <w:pPr>
              <w:numPr>
                <w:ilvl w:val="0"/>
                <w:numId w:val="1"/>
              </w:numPr>
              <w:spacing w:line="460" w:lineRule="exact"/>
              <w:rPr>
                <w:rFonts w:hint="eastAsia"/>
                <w:color w:val="auto"/>
                <w:sz w:val="22"/>
                <w:szCs w:val="28"/>
                <w:highlight w:val="none"/>
              </w:rPr>
            </w:pPr>
            <w:r>
              <w:rPr>
                <w:rFonts w:hint="eastAsia"/>
                <w:color w:val="auto"/>
                <w:sz w:val="22"/>
                <w:szCs w:val="28"/>
                <w:highlight w:val="none"/>
              </w:rPr>
              <w:t>“电子加密投标文件”：在线上传递交、一份。</w:t>
            </w:r>
          </w:p>
          <w:p>
            <w:pPr>
              <w:numPr>
                <w:ilvl w:val="0"/>
                <w:numId w:val="1"/>
              </w:numPr>
              <w:spacing w:line="460" w:lineRule="exact"/>
              <w:rPr>
                <w:rFonts w:hint="eastAsia"/>
                <w:color w:val="auto"/>
                <w:sz w:val="22"/>
                <w:szCs w:val="28"/>
                <w:highlight w:val="none"/>
              </w:rPr>
            </w:pPr>
            <w:r>
              <w:rPr>
                <w:rFonts w:hint="eastAsia"/>
                <w:color w:val="auto"/>
                <w:sz w:val="22"/>
                <w:szCs w:val="28"/>
                <w:highlight w:val="none"/>
              </w:rPr>
              <w:t>“备份投标文件”：密封包装后投标截止时间前递交、一份</w:t>
            </w:r>
          </w:p>
          <w:p>
            <w:pPr>
              <w:spacing w:line="460" w:lineRule="exact"/>
              <w:rPr>
                <w:rFonts w:hint="eastAsia"/>
                <w:color w:val="auto"/>
                <w:sz w:val="22"/>
                <w:szCs w:val="28"/>
                <w:highlight w:val="none"/>
              </w:rPr>
            </w:pPr>
            <w:r>
              <w:rPr>
                <w:rFonts w:hint="eastAsia"/>
                <w:color w:val="auto"/>
                <w:sz w:val="22"/>
                <w:szCs w:val="28"/>
                <w:highlight w:val="none"/>
              </w:rPr>
              <w:t>（若不提供备份投标文件，开标当天电子加密投标文件解密失败，投标人自行负责。）</w:t>
            </w:r>
          </w:p>
          <w:p>
            <w:pPr>
              <w:tabs>
                <w:tab w:val="left" w:pos="360"/>
              </w:tabs>
              <w:spacing w:line="460" w:lineRule="exact"/>
              <w:rPr>
                <w:rFonts w:hint="eastAsia"/>
                <w:color w:val="auto"/>
                <w:sz w:val="22"/>
                <w:szCs w:val="28"/>
                <w:highlight w:val="none"/>
              </w:rPr>
            </w:pPr>
            <w:r>
              <w:rPr>
                <w:rFonts w:hint="eastAsia"/>
                <w:color w:val="auto"/>
                <w:sz w:val="22"/>
                <w:szCs w:val="28"/>
                <w:highlight w:val="none"/>
              </w:rPr>
              <w:t>可以（邮寄形式，建议顺丰）在投标截止时间前递交，并需采购代理机构确认是否收到，</w:t>
            </w:r>
          </w:p>
          <w:p>
            <w:pPr>
              <w:spacing w:line="460" w:lineRule="exact"/>
              <w:rPr>
                <w:rFonts w:hint="eastAsia"/>
                <w:color w:val="auto"/>
                <w:sz w:val="22"/>
                <w:szCs w:val="28"/>
                <w:highlight w:val="none"/>
                <w:lang w:eastAsia="zh-CN"/>
              </w:rPr>
            </w:pPr>
            <w:r>
              <w:rPr>
                <w:rFonts w:hint="eastAsia"/>
                <w:color w:val="auto"/>
                <w:sz w:val="22"/>
                <w:szCs w:val="28"/>
                <w:highlight w:val="none"/>
              </w:rPr>
              <w:t>邮寄地址：</w:t>
            </w:r>
            <w:r>
              <w:rPr>
                <w:rFonts w:hint="eastAsia"/>
                <w:color w:val="auto"/>
                <w:sz w:val="22"/>
                <w:szCs w:val="28"/>
                <w:highlight w:val="none"/>
                <w:lang w:eastAsia="zh-CN"/>
              </w:rPr>
              <w:t>浙江东瓯工程造价咨询有限公司（温州市鹿城区隔岸路68号2楼）</w:t>
            </w:r>
          </w:p>
          <w:p>
            <w:pPr>
              <w:spacing w:line="460" w:lineRule="exact"/>
              <w:rPr>
                <w:rFonts w:hint="default" w:eastAsia="宋体"/>
                <w:color w:val="auto"/>
                <w:highlight w:val="none"/>
                <w:lang w:val="en-US" w:eastAsia="zh-CN"/>
              </w:rPr>
            </w:pPr>
            <w:r>
              <w:rPr>
                <w:rFonts w:hint="eastAsia"/>
                <w:color w:val="auto"/>
                <w:sz w:val="22"/>
                <w:szCs w:val="28"/>
                <w:highlight w:val="none"/>
                <w:lang w:val="en-US" w:eastAsia="zh-CN"/>
              </w:rPr>
              <w:t>联系人：潘女士    联系电话</w:t>
            </w:r>
            <w:r>
              <w:rPr>
                <w:rFonts w:hint="eastAsia"/>
                <w:b w:val="0"/>
                <w:bCs w:val="0"/>
                <w:color w:val="auto"/>
                <w:sz w:val="22"/>
                <w:szCs w:val="28"/>
                <w:highlight w:val="none"/>
                <w:lang w:val="en-US" w:eastAsia="zh-CN"/>
              </w:rPr>
              <w:t>：</w:t>
            </w:r>
            <w:r>
              <w:rPr>
                <w:rFonts w:hint="eastAsia"/>
                <w:color w:val="auto"/>
                <w:sz w:val="22"/>
                <w:szCs w:val="28"/>
                <w:highlight w:val="none"/>
                <w:lang w:val="en-US" w:eastAsia="zh-CN"/>
              </w:rPr>
              <w:t>13336928818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投标文件的上传和递交：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（1）“电子加密投标文件”的上传、递交：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a.投标人应在投标截止时间前将“电子加密投标文件”成功上传递交至“政府采购云平台”，否则投标无效。</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b.“电子加密投标文件”成功上传递交后，供应商可自行打印投标文件接收回执。</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（2）“备份投标文件”的密封包装、递交：</w:t>
            </w:r>
          </w:p>
          <w:p>
            <w:pPr>
              <w:tabs>
                <w:tab w:val="left" w:pos="360"/>
              </w:tabs>
              <w:spacing w:line="460" w:lineRule="exact"/>
              <w:ind w:firstLine="550" w:firstLineChars="25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a.投标人在“政府采购云平台”完成“电子加密投标文件”的上传递交后，</w:t>
            </w:r>
            <w:r>
              <w:rPr>
                <w:rFonts w:hint="eastAsia" w:ascii="宋体" w:hAnsi="宋体" w:eastAsia="宋体" w:cs="宋体"/>
                <w:b/>
                <w:bCs/>
                <w:color w:val="auto"/>
                <w:sz w:val="22"/>
                <w:szCs w:val="22"/>
                <w:highlight w:val="none"/>
              </w:rPr>
              <w:t>还可以在投标截止时间前递交以介质（U盘）存储的数据电文形式的“备份投标文件”，（可以</w:t>
            </w:r>
            <w:r>
              <w:rPr>
                <w:rFonts w:hint="eastAsia" w:ascii="宋体" w:hAnsi="宋体" w:eastAsia="宋体" w:cs="宋体"/>
                <w:b/>
                <w:color w:val="auto"/>
                <w:sz w:val="22"/>
                <w:szCs w:val="22"/>
                <w:highlight w:val="none"/>
                <w:u w:val="single"/>
              </w:rPr>
              <w:t>（邮寄形式，建议顺丰）在投标截止时间前递交，并需采购代理机构确认是否收到</w:t>
            </w:r>
            <w:r>
              <w:rPr>
                <w:rFonts w:hint="eastAsia" w:ascii="宋体" w:hAnsi="宋体" w:eastAsia="宋体" w:cs="宋体"/>
                <w:b/>
                <w:bCs/>
                <w:color w:val="auto"/>
                <w:sz w:val="22"/>
                <w:szCs w:val="22"/>
                <w:highlight w:val="none"/>
              </w:rPr>
              <w:t>）</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电子加密投标文件的解密和异常情况处理：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提交投标文件截止时间：202</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02</w:t>
            </w:r>
            <w:r>
              <w:rPr>
                <w:rFonts w:hint="eastAsia" w:ascii="宋体" w:hAnsi="宋体" w:eastAsia="宋体" w:cs="宋体"/>
                <w:color w:val="auto"/>
                <w:sz w:val="22"/>
                <w:szCs w:val="22"/>
                <w:highlight w:val="none"/>
              </w:rPr>
              <w:t>月</w:t>
            </w:r>
            <w:r>
              <w:rPr>
                <w:rFonts w:hint="eastAsia" w:ascii="宋体" w:hAnsi="宋体" w:cs="宋体"/>
                <w:color w:val="auto"/>
                <w:sz w:val="22"/>
                <w:szCs w:val="22"/>
                <w:highlight w:val="none"/>
                <w:lang w:val="en-US" w:eastAsia="zh-CN"/>
              </w:rPr>
              <w:t>10</w:t>
            </w:r>
            <w:r>
              <w:rPr>
                <w:rFonts w:hint="eastAsia" w:ascii="宋体" w:hAnsi="宋体" w:eastAsia="宋体" w:cs="宋体"/>
                <w:color w:val="auto"/>
                <w:sz w:val="22"/>
                <w:szCs w:val="22"/>
                <w:highlight w:val="none"/>
              </w:rPr>
              <w:t>日09点30分  </w:t>
            </w:r>
          </w:p>
          <w:p>
            <w:pPr>
              <w:widowControl/>
              <w:snapToGrid w:val="0"/>
              <w:spacing w:line="460" w:lineRule="exact"/>
              <w:jc w:val="left"/>
              <w:rPr>
                <w:rFonts w:hint="eastAsia"/>
                <w:color w:val="auto"/>
                <w:highlight w:val="none"/>
              </w:rPr>
            </w:pPr>
            <w:r>
              <w:rPr>
                <w:rFonts w:hint="eastAsia" w:ascii="宋体" w:hAnsi="宋体" w:eastAsia="宋体" w:cs="宋体"/>
                <w:color w:val="auto"/>
                <w:sz w:val="22"/>
                <w:szCs w:val="22"/>
                <w:highlight w:val="none"/>
              </w:rPr>
              <w:t>投标地点（网址）：</w:t>
            </w:r>
            <w:r>
              <w:rPr>
                <w:rFonts w:hint="eastAsia" w:ascii="宋体" w:hAnsi="宋体" w:eastAsia="宋体" w:cs="宋体"/>
                <w:color w:val="auto"/>
                <w:sz w:val="22"/>
                <w:szCs w:val="22"/>
                <w:highlight w:val="none"/>
                <w:lang w:val="en-US" w:eastAsia="zh-CN"/>
              </w:rPr>
              <w:t>政采云</w:t>
            </w:r>
            <w:r>
              <w:rPr>
                <w:rFonts w:hint="eastAsia" w:ascii="宋体" w:hAnsi="宋体" w:eastAsia="宋体" w:cs="宋体"/>
                <w:color w:val="auto"/>
                <w:sz w:val="21"/>
                <w:szCs w:val="21"/>
                <w:highlight w:val="none"/>
              </w:rPr>
              <w:t>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开标时间</w:t>
            </w:r>
            <w:r>
              <w:rPr>
                <w:rFonts w:hint="eastAsia" w:ascii="宋体" w:hAnsi="宋体" w:eastAsia="宋体" w:cs="宋体"/>
                <w:b w:val="0"/>
                <w:bCs w:val="0"/>
                <w:color w:val="auto"/>
                <w:sz w:val="22"/>
                <w:szCs w:val="22"/>
                <w:highlight w:val="none"/>
                <w:lang w:eastAsia="zh-CN"/>
              </w:rPr>
              <w:t>：202</w:t>
            </w:r>
            <w:r>
              <w:rPr>
                <w:rFonts w:hint="eastAsia" w:ascii="宋体" w:hAnsi="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lang w:eastAsia="zh-CN"/>
              </w:rPr>
              <w:t>年</w:t>
            </w:r>
            <w:r>
              <w:rPr>
                <w:rFonts w:hint="eastAsia" w:ascii="宋体" w:hAnsi="宋体" w:cs="宋体"/>
                <w:b w:val="0"/>
                <w:bCs w:val="0"/>
                <w:color w:val="auto"/>
                <w:sz w:val="22"/>
                <w:szCs w:val="22"/>
                <w:highlight w:val="none"/>
                <w:lang w:val="en-US" w:eastAsia="zh-CN"/>
              </w:rPr>
              <w:t>02</w:t>
            </w:r>
            <w:r>
              <w:rPr>
                <w:rFonts w:hint="eastAsia" w:ascii="宋体" w:hAnsi="宋体" w:eastAsia="宋体" w:cs="宋体"/>
                <w:b w:val="0"/>
                <w:bCs w:val="0"/>
                <w:color w:val="auto"/>
                <w:sz w:val="22"/>
                <w:szCs w:val="22"/>
                <w:highlight w:val="none"/>
                <w:lang w:eastAsia="zh-CN"/>
              </w:rPr>
              <w:t>月</w:t>
            </w:r>
            <w:r>
              <w:rPr>
                <w:rFonts w:hint="eastAsia" w:ascii="宋体" w:hAnsi="宋体" w:cs="宋体"/>
                <w:b w:val="0"/>
                <w:bCs w:val="0"/>
                <w:color w:val="auto"/>
                <w:sz w:val="22"/>
                <w:szCs w:val="22"/>
                <w:highlight w:val="none"/>
                <w:lang w:val="en-US" w:eastAsia="zh-CN"/>
              </w:rPr>
              <w:t>10</w:t>
            </w:r>
            <w:r>
              <w:rPr>
                <w:rFonts w:hint="eastAsia" w:ascii="宋体" w:hAnsi="宋体" w:eastAsia="宋体" w:cs="宋体"/>
                <w:b w:val="0"/>
                <w:bCs w:val="0"/>
                <w:color w:val="auto"/>
                <w:sz w:val="22"/>
                <w:szCs w:val="22"/>
                <w:highlight w:val="none"/>
                <w:lang w:eastAsia="zh-CN"/>
              </w:rPr>
              <w:t>日09点30分</w:t>
            </w:r>
          </w:p>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lang w:val="en-US" w:eastAsia="zh-CN"/>
              </w:rPr>
              <w:t>开标地点（网址）：</w:t>
            </w:r>
            <w:r>
              <w:rPr>
                <w:rFonts w:hint="eastAsia" w:ascii="宋体" w:hAnsi="宋体" w:cs="宋体"/>
                <w:color w:val="auto"/>
                <w:sz w:val="22"/>
                <w:highlight w:val="none"/>
                <w:lang w:eastAsia="zh-CN"/>
              </w:rPr>
              <w:t>浙江东瓯工程造价咨询有限公司（温州市鹿城区隔岸路68号3楼）</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政采云</w:t>
            </w:r>
            <w:r>
              <w:rPr>
                <w:rFonts w:hint="eastAsia" w:ascii="宋体" w:hAnsi="宋体" w:eastAsia="宋体" w:cs="宋体"/>
                <w:color w:val="auto"/>
                <w:sz w:val="21"/>
                <w:szCs w:val="22"/>
                <w:highlight w:val="none"/>
              </w:rPr>
              <w:t>http://zfcg.czt.zj.gov.cn</w:t>
            </w:r>
            <w:r>
              <w:rPr>
                <w:rFonts w:hint="eastAsia" w:ascii="宋体" w:hAnsi="宋体" w:eastAsia="宋体" w:cs="宋体"/>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lang w:eastAsia="zh-CN"/>
              </w:rPr>
            </w:pPr>
            <w:bookmarkStart w:id="63" w:name="_GoBack"/>
            <w:bookmarkEnd w:id="63"/>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hd w:val="clear"/>
              <w:adjustRightInd w:val="0"/>
              <w:snapToGrid w:val="0"/>
              <w:spacing w:line="460" w:lineRule="exact"/>
              <w:ind w:firstLine="442" w:firstLineChars="200"/>
              <w:rPr>
                <w:rFonts w:hint="eastAsia" w:ascii="新宋体" w:hAnsi="新宋体" w:eastAsia="新宋体" w:cs="新宋体"/>
                <w:b/>
                <w:bCs/>
                <w:color w:val="auto"/>
                <w:sz w:val="22"/>
                <w:szCs w:val="28"/>
                <w:highlight w:val="none"/>
              </w:rPr>
            </w:pPr>
            <w:r>
              <w:rPr>
                <w:rFonts w:hint="eastAsia" w:ascii="新宋体" w:hAnsi="新宋体" w:eastAsia="新宋体" w:cs="新宋体"/>
                <w:b/>
                <w:bCs/>
                <w:color w:val="auto"/>
                <w:sz w:val="22"/>
                <w:szCs w:val="28"/>
                <w:highlight w:val="none"/>
              </w:rPr>
              <w:t>1、扶持中小企业（监狱企业、残疾人福利性单位）：</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1</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项目预算：</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 xml:space="preserve"> 2400000 </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元</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2</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项目属性：</w:t>
            </w:r>
            <w:r>
              <w:rPr>
                <w:rFonts w:hint="eastAsia" w:ascii="新宋体" w:hAnsi="新宋体" w:eastAsia="新宋体" w:cs="新宋体"/>
                <w:color w:val="auto"/>
                <w:sz w:val="22"/>
                <w:szCs w:val="28"/>
                <w:highlight w:val="none"/>
                <w:u w:val="single"/>
              </w:rPr>
              <w:t xml:space="preserve">   ②   </w:t>
            </w:r>
            <w:r>
              <w:rPr>
                <w:rFonts w:hint="eastAsia" w:ascii="新宋体" w:hAnsi="新宋体" w:eastAsia="新宋体" w:cs="新宋体"/>
                <w:color w:val="auto"/>
                <w:sz w:val="22"/>
                <w:szCs w:val="28"/>
                <w:highlight w:val="none"/>
              </w:rPr>
              <w:t xml:space="preserve"> （①货物类/②服务类/③工程类）</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3</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项目对应的中小企业划分标准所属行业：</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 xml:space="preserve"> 其他未列明行业 </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（具体根据《中小企业划型标准规定》执行）</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4</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本项目</w:t>
            </w:r>
            <w:r>
              <w:rPr>
                <w:rFonts w:hint="eastAsia" w:ascii="新宋体" w:hAnsi="新宋体" w:eastAsia="新宋体" w:cs="新宋体"/>
                <w:color w:val="auto"/>
                <w:sz w:val="22"/>
                <w:szCs w:val="28"/>
                <w:highlight w:val="none"/>
                <w:u w:val="single"/>
                <w:lang w:val="en-US" w:eastAsia="zh-CN"/>
              </w:rPr>
              <w:t xml:space="preserve"> </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u w:val="single"/>
                <w:lang w:val="en-US" w:eastAsia="zh-CN"/>
              </w:rPr>
              <w:t>是</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u w:val="single"/>
                <w:lang w:val="en-US" w:eastAsia="zh-CN"/>
              </w:rPr>
              <w:t xml:space="preserve"> </w:t>
            </w:r>
            <w:r>
              <w:rPr>
                <w:rFonts w:hint="eastAsia" w:ascii="新宋体" w:hAnsi="新宋体" w:eastAsia="新宋体" w:cs="新宋体"/>
                <w:color w:val="auto"/>
                <w:sz w:val="22"/>
                <w:szCs w:val="28"/>
                <w:highlight w:val="none"/>
              </w:rPr>
              <w:t>属于预留份额专门面向中小企业采购的项目。</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5</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上述第4项中确定为“是”的采购项目，预留份额通过（①）措施进行：</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①将采购项目整体或者设置采购包专门面向中小企业采购；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②要求供应商以联合体形式参加采购活动，且联合体中中小企业承担的部分达到</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 xml:space="preserve"> (比例)；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③要求获得采购合同的供应商将采购项目中的 </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(比例)分包给一家或者多家中小企业。</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6</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对于经主管预算单位统筹后未预留份额专门面向中小企业采购的采购项目，以及预留份额项目中的非预留部分采购包，请贵单位明确对符合本办法规定的小微企业报价给予</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 xml:space="preserve">（6%—10%）（工程项目为 3%—5%）的扣除，用扣除后的价格参加评审。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（2%-3%）（工程项目为 1%—2%）的扣除，用扣除后的价格参加评审。</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专门面向中小企业采购的项目或者标项，不再执行价格评审优惠的扶持政策。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、节能产品、环境标志产品的强制采购政策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、节能产品、环境标志产品的优先采购政策</w:t>
            </w:r>
          </w:p>
          <w:p>
            <w:pPr>
              <w:widowControl/>
              <w:snapToGrid w:val="0"/>
              <w:spacing w:line="460" w:lineRule="exact"/>
              <w:ind w:firstLine="440" w:firstLineChars="200"/>
              <w:jc w:val="lef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2）截止时点：提交投标文件（响应文件）截止时间前3年内；</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5）联合体成员任意一方存在不良信用记录的，视同联合体存在不良信用记录。</w:t>
            </w:r>
          </w:p>
        </w:tc>
      </w:tr>
    </w:tbl>
    <w:p>
      <w:pP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br w:type="page"/>
      </w:r>
    </w:p>
    <w:p>
      <w:pPr>
        <w:spacing w:before="100" w:beforeAutospacing="1" w:after="100" w:afterAutospacing="1" w:line="460" w:lineRule="exact"/>
        <w:jc w:val="center"/>
        <w:outlineLvl w:val="1"/>
        <w:rPr>
          <w:rFonts w:hint="eastAsia" w:ascii="宋体" w:hAnsi="宋体" w:eastAsia="宋体" w:cs="宋体"/>
          <w:b/>
          <w:bCs/>
          <w:color w:val="auto"/>
          <w:sz w:val="32"/>
          <w:szCs w:val="32"/>
          <w:highlight w:val="none"/>
        </w:rPr>
      </w:pPr>
      <w:bookmarkStart w:id="10" w:name="_Toc19070"/>
      <w:bookmarkStart w:id="11" w:name="_Toc20846"/>
      <w:r>
        <w:rPr>
          <w:rFonts w:hint="eastAsia" w:ascii="宋体" w:hAnsi="宋体" w:eastAsia="宋体" w:cs="宋体"/>
          <w:b/>
          <w:bCs/>
          <w:color w:val="auto"/>
          <w:sz w:val="26"/>
          <w:szCs w:val="26"/>
          <w:highlight w:val="none"/>
        </w:rPr>
        <w:t>一、 说   明</w:t>
      </w:r>
      <w:bookmarkEnd w:id="10"/>
      <w:bookmarkEnd w:id="11"/>
    </w:p>
    <w:p>
      <w:pPr>
        <w:tabs>
          <w:tab w:val="left" w:pos="360"/>
        </w:tabs>
        <w:spacing w:line="460" w:lineRule="exact"/>
        <w:ind w:firstLine="550" w:firstLineChars="25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2、定义</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投标人：是指参加本政府采购项目投标的供应商；</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甲方：是指合同签订的一方，一般与招标人、用户相同；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乙方：是指合同签订的另一方，与中标人相同；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制造商：是指拥有投标产品自主知识产权的单位；</w:t>
      </w:r>
    </w:p>
    <w:p>
      <w:pPr>
        <w:tabs>
          <w:tab w:val="left" w:pos="360"/>
        </w:tabs>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3、投标人代表</w:t>
      </w:r>
    </w:p>
    <w:p>
      <w:pPr>
        <w:tabs>
          <w:tab w:val="left" w:pos="360"/>
        </w:tabs>
        <w:spacing w:line="46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szCs w:val="22"/>
          <w:highlight w:val="none"/>
        </w:rPr>
        <w:t>3.1</w:t>
      </w:r>
      <w:r>
        <w:rPr>
          <w:rFonts w:hint="eastAsia" w:ascii="宋体" w:hAnsi="宋体" w:eastAsia="宋体" w:cs="宋体"/>
          <w:b/>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eastAsia="宋体" w:cs="宋体"/>
          <w:b/>
          <w:color w:val="auto"/>
          <w:sz w:val="22"/>
          <w:szCs w:val="22"/>
          <w:highlight w:val="none"/>
        </w:rPr>
        <w:t>。</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4、投标费用</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4.1</w:t>
      </w:r>
      <w:r>
        <w:rPr>
          <w:rFonts w:hint="eastAsia" w:ascii="宋体" w:hAnsi="宋体" w:eastAsia="宋体" w:cs="宋体"/>
          <w:color w:val="auto"/>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2" w:name="_Toc9899"/>
      <w:bookmarkStart w:id="13" w:name="_Toc28278"/>
      <w:r>
        <w:rPr>
          <w:rFonts w:hint="eastAsia" w:ascii="宋体" w:hAnsi="宋体" w:eastAsia="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2、招标文件的澄清</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3、招标文件的修改</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eastAsia="宋体" w:cs="宋体"/>
          <w:color w:val="auto"/>
          <w:sz w:val="22"/>
          <w:szCs w:val="22"/>
          <w:highlight w:val="none"/>
        </w:rPr>
        <w:t>。</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4" w:name="_Toc22646"/>
      <w:bookmarkStart w:id="15" w:name="_Toc12726"/>
      <w:r>
        <w:rPr>
          <w:rFonts w:hint="eastAsia" w:ascii="宋体" w:hAnsi="宋体" w:eastAsia="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1、投标人应认真阅读招标文件中所有事项、格式、条款和技术规范等。</w:t>
      </w:r>
      <w:r>
        <w:rPr>
          <w:rFonts w:hint="eastAsia" w:ascii="宋体" w:hAnsi="宋体" w:eastAsia="宋体" w:cs="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eastAsia="宋体" w:cs="宋体"/>
          <w:b/>
          <w:bCs/>
          <w:color w:val="auto"/>
          <w:sz w:val="22"/>
          <w:szCs w:val="22"/>
          <w:highlight w:val="none"/>
        </w:rPr>
        <w:t>投标文件的构成：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投标</w:t>
      </w:r>
      <w:r>
        <w:rPr>
          <w:rFonts w:hint="eastAsia" w:ascii="宋体" w:hAnsi="宋体" w:eastAsia="宋体" w:cs="宋体"/>
          <w:b/>
          <w:bCs/>
          <w:color w:val="auto"/>
          <w:kern w:val="0"/>
          <w:sz w:val="22"/>
          <w:szCs w:val="22"/>
          <w:highlight w:val="none"/>
          <w:lang w:val="zh-CN"/>
        </w:rPr>
        <w:t>文件应当包括以下主要内容：资格文件、报价文件、商务技术文件。</w:t>
      </w:r>
    </w:p>
    <w:p>
      <w:pPr>
        <w:spacing w:line="460" w:lineRule="exact"/>
        <w:ind w:firstLine="541" w:firstLineChars="245"/>
        <w:rPr>
          <w:rFonts w:hint="eastAsia" w:ascii="宋体" w:hAnsi="宋体" w:eastAsia="宋体" w:cs="宋体"/>
          <w:b/>
          <w:bCs/>
          <w:color w:val="auto"/>
          <w:kern w:val="0"/>
          <w:sz w:val="22"/>
          <w:szCs w:val="22"/>
          <w:highlight w:val="none"/>
          <w:u w:val="none"/>
          <w:lang w:val="zh-CN"/>
        </w:rPr>
      </w:pPr>
      <w:r>
        <w:rPr>
          <w:rFonts w:hint="eastAsia" w:ascii="宋体" w:hAnsi="宋体" w:eastAsia="宋体" w:cs="宋体"/>
          <w:b/>
          <w:bCs/>
          <w:color w:val="auto"/>
          <w:kern w:val="0"/>
          <w:sz w:val="22"/>
          <w:szCs w:val="22"/>
          <w:highlight w:val="none"/>
          <w:u w:val="none"/>
        </w:rPr>
        <w:t>3.1</w:t>
      </w:r>
      <w:r>
        <w:rPr>
          <w:rFonts w:hint="eastAsia" w:ascii="宋体" w:hAnsi="宋体" w:eastAsia="宋体" w:cs="宋体"/>
          <w:b/>
          <w:bCs/>
          <w:color w:val="auto"/>
          <w:kern w:val="0"/>
          <w:sz w:val="22"/>
          <w:szCs w:val="22"/>
          <w:highlight w:val="none"/>
          <w:u w:val="none"/>
          <w:lang w:val="zh-CN"/>
        </w:rPr>
        <w:t xml:space="preserve">投标人的资格文件至少应包括以下内容：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lang w:val="zh-CN"/>
        </w:rPr>
      </w:pPr>
      <w:r>
        <w:rPr>
          <w:rFonts w:hint="eastAsia" w:ascii="宋体" w:hAnsi="宋体" w:eastAsia="宋体" w:cs="宋体"/>
          <w:color w:val="auto"/>
          <w:sz w:val="22"/>
          <w:szCs w:val="22"/>
          <w:highlight w:val="none"/>
          <w:u w:val="none"/>
          <w:lang w:val="en-US" w:eastAsia="zh-CN"/>
        </w:rPr>
        <w:t>（1）</w:t>
      </w:r>
      <w:r>
        <w:rPr>
          <w:rFonts w:hint="eastAsia" w:ascii="宋体" w:hAnsi="宋体" w:eastAsia="宋体" w:cs="宋体"/>
          <w:color w:val="auto"/>
          <w:sz w:val="22"/>
          <w:szCs w:val="22"/>
          <w:highlight w:val="none"/>
          <w:u w:val="none"/>
          <w:lang w:val="zh-CN"/>
        </w:rPr>
        <w:t>有效的法人或者其他组织的营业执照等证明文件（复印件），自然人的身份证明；</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lang w:val="zh-CN"/>
        </w:rPr>
      </w:pPr>
      <w:r>
        <w:rPr>
          <w:rFonts w:hint="eastAsia" w:ascii="宋体" w:hAnsi="宋体" w:eastAsia="宋体" w:cs="宋体"/>
          <w:color w:val="auto"/>
          <w:sz w:val="22"/>
          <w:szCs w:val="22"/>
          <w:highlight w:val="none"/>
          <w:u w:val="none"/>
          <w:lang w:val="en-US" w:eastAsia="zh-CN"/>
        </w:rPr>
        <w:t>（2）</w:t>
      </w:r>
      <w:r>
        <w:rPr>
          <w:rFonts w:hint="eastAsia" w:ascii="宋体" w:hAnsi="宋体" w:eastAsia="宋体" w:cs="宋体"/>
          <w:color w:val="auto"/>
          <w:sz w:val="22"/>
          <w:szCs w:val="22"/>
          <w:highlight w:val="none"/>
          <w:u w:val="none"/>
          <w:lang w:val="zh-CN"/>
        </w:rPr>
        <w:t>关于符合《中华人民共和国政府采购法》第二十二条规定的承诺函；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lang w:val="zh-CN"/>
        </w:rPr>
      </w:pPr>
      <w:r>
        <w:rPr>
          <w:rFonts w:hint="eastAsia" w:ascii="宋体" w:hAnsi="宋体" w:eastAsia="宋体" w:cs="宋体"/>
          <w:color w:val="auto"/>
          <w:sz w:val="22"/>
          <w:szCs w:val="22"/>
          <w:highlight w:val="none"/>
          <w:u w:val="none"/>
          <w:lang w:val="en-US" w:eastAsia="zh-CN"/>
        </w:rPr>
        <w:t>（3）</w:t>
      </w:r>
      <w:r>
        <w:rPr>
          <w:rFonts w:hint="eastAsia" w:ascii="宋体" w:hAnsi="宋体" w:eastAsia="宋体" w:cs="宋体"/>
          <w:color w:val="auto"/>
          <w:sz w:val="22"/>
          <w:szCs w:val="22"/>
          <w:highlight w:val="none"/>
          <w:u w:val="none"/>
          <w:lang w:val="zh-CN"/>
        </w:rPr>
        <w:t>中小企业声明函或残疾人福利性单位声明函或监狱企业的证明文件；</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上述资格条件审查材料有一项不提供的，视为资格审查不通过。</w:t>
      </w:r>
    </w:p>
    <w:p>
      <w:pPr>
        <w:snapToGrid w:val="0"/>
        <w:spacing w:line="460" w:lineRule="exact"/>
        <w:ind w:left="105" w:leftChars="50" w:firstLine="442" w:firstLineChars="200"/>
        <w:rPr>
          <w:rFonts w:hint="eastAsia" w:ascii="宋体" w:hAnsi="宋体" w:eastAsia="宋体" w:cs="宋体"/>
          <w:color w:val="auto"/>
          <w:sz w:val="22"/>
          <w:szCs w:val="22"/>
          <w:highlight w:val="none"/>
          <w:u w:val="single"/>
          <w:lang w:val="zh-CN"/>
        </w:rPr>
      </w:pPr>
      <w:r>
        <w:rPr>
          <w:rFonts w:hint="eastAsia" w:ascii="宋体" w:hAnsi="宋体" w:eastAsia="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（1）投标函；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（2）投标报价一览表；</w:t>
      </w:r>
    </w:p>
    <w:p>
      <w:pPr>
        <w:snapToGrid w:val="0"/>
        <w:spacing w:line="460" w:lineRule="exact"/>
        <w:ind w:left="105" w:leftChars="50"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u w:val="none"/>
        </w:rPr>
        <w:t>（3）投标分项报价表</w:t>
      </w:r>
      <w:r>
        <w:rPr>
          <w:rFonts w:hint="eastAsia" w:ascii="宋体" w:hAnsi="宋体" w:cs="宋体"/>
          <w:color w:val="auto"/>
          <w:sz w:val="22"/>
          <w:szCs w:val="22"/>
          <w:highlight w:val="none"/>
          <w:u w:val="none"/>
          <w:lang w:eastAsia="zh-CN"/>
        </w:rPr>
        <w:t>。</w:t>
      </w:r>
    </w:p>
    <w:p>
      <w:pPr>
        <w:snapToGrid w:val="0"/>
        <w:spacing w:line="460" w:lineRule="exact"/>
        <w:ind w:firstLine="440" w:firstLineChars="20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rPr>
        <w:t>3.3</w:t>
      </w:r>
      <w:r>
        <w:rPr>
          <w:rFonts w:hint="eastAsia" w:ascii="宋体" w:hAnsi="宋体" w:eastAsia="宋体" w:cs="宋体"/>
          <w:color w:val="auto"/>
          <w:kern w:val="0"/>
          <w:sz w:val="22"/>
          <w:szCs w:val="22"/>
          <w:highlight w:val="none"/>
          <w:lang w:val="zh-CN"/>
        </w:rPr>
        <w:t>投标人的</w:t>
      </w:r>
      <w:r>
        <w:rPr>
          <w:rFonts w:hint="eastAsia" w:ascii="宋体" w:hAnsi="宋体" w:eastAsia="宋体" w:cs="宋体"/>
          <w:b/>
          <w:bCs/>
          <w:color w:val="auto"/>
          <w:kern w:val="0"/>
          <w:sz w:val="22"/>
          <w:szCs w:val="22"/>
          <w:highlight w:val="none"/>
          <w:lang w:val="zh-CN"/>
        </w:rPr>
        <w:t>商务技术文件</w:t>
      </w:r>
      <w:r>
        <w:rPr>
          <w:rFonts w:hint="eastAsia" w:ascii="宋体" w:hAnsi="宋体" w:eastAsia="宋体" w:cs="宋体"/>
          <w:color w:val="auto"/>
          <w:kern w:val="0"/>
          <w:sz w:val="22"/>
          <w:szCs w:val="22"/>
          <w:highlight w:val="none"/>
          <w:lang w:val="zh-CN"/>
        </w:rPr>
        <w:t xml:space="preserve">应包括以下内容： </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（2）投标人情况表</w:t>
      </w:r>
    </w:p>
    <w:p>
      <w:pPr>
        <w:snapToGrid w:val="0"/>
        <w:spacing w:line="46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偏离表（</w:t>
      </w:r>
      <w:r>
        <w:rPr>
          <w:rFonts w:hint="eastAsia" w:ascii="宋体" w:hAnsi="宋体" w:eastAsia="宋体" w:cs="宋体"/>
          <w:color w:val="auto"/>
          <w:sz w:val="22"/>
          <w:szCs w:val="22"/>
          <w:highlight w:val="none"/>
        </w:rPr>
        <w:t>商务、技术偏离</w:t>
      </w:r>
      <w:r>
        <w:rPr>
          <w:rFonts w:hint="eastAsia" w:ascii="宋体" w:hAnsi="宋体" w:eastAsia="宋体" w:cs="宋体"/>
          <w:color w:val="auto"/>
          <w:sz w:val="22"/>
          <w:szCs w:val="22"/>
          <w:highlight w:val="none"/>
          <w:lang w:val="zh-CN"/>
        </w:rPr>
        <w:t>）</w:t>
      </w:r>
    </w:p>
    <w:p>
      <w:pPr>
        <w:snapToGrid w:val="0"/>
        <w:spacing w:line="460" w:lineRule="exact"/>
        <w:ind w:firstLine="440" w:firstLineChars="200"/>
        <w:rPr>
          <w:rFonts w:hint="eastAsia" w:ascii="宋体" w:hAnsi="宋体" w:eastAsia="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val="zh-CN"/>
        </w:rPr>
        <w:t>）根据本项目采购内容及要求以及商务技术评分项目，需要提供的文件和资料</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投标人</w:t>
      </w:r>
      <w:r>
        <w:rPr>
          <w:rFonts w:hint="eastAsia" w:ascii="宋体" w:hAnsi="宋体" w:eastAsia="宋体" w:cs="宋体"/>
          <w:color w:val="auto"/>
          <w:sz w:val="22"/>
          <w:szCs w:val="22"/>
          <w:highlight w:val="none"/>
        </w:rPr>
        <w:t>需要说明的其他文件和说明。</w:t>
      </w:r>
    </w:p>
    <w:p>
      <w:pPr>
        <w:spacing w:line="460" w:lineRule="exact"/>
        <w:ind w:firstLine="442" w:firstLineChars="200"/>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投标文件中所需的各种证书、证件、证明资料如是复印件，须在复印件上加盖有效公章。</w:t>
      </w:r>
    </w:p>
    <w:p>
      <w:pPr>
        <w:pStyle w:val="29"/>
        <w:snapToGrid w:val="0"/>
        <w:spacing w:line="460" w:lineRule="exact"/>
        <w:ind w:firstLine="442" w:firstLineChars="20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lang w:val="zh-CN"/>
        </w:rPr>
        <w:t>投标人的</w:t>
      </w:r>
      <w:r>
        <w:rPr>
          <w:rFonts w:hint="eastAsia" w:ascii="宋体" w:hAnsi="宋体" w:eastAsia="宋体" w:cs="宋体"/>
          <w:color w:val="auto"/>
          <w:sz w:val="22"/>
          <w:szCs w:val="22"/>
          <w:highlight w:val="none"/>
        </w:rPr>
        <w:t>投标文件必须按照招标文件要求制作</w:t>
      </w:r>
      <w:r>
        <w:rPr>
          <w:rFonts w:hint="eastAsia" w:ascii="宋体" w:hAnsi="宋体" w:eastAsia="宋体" w:cs="宋体"/>
          <w:bCs/>
          <w:color w:val="auto"/>
          <w:sz w:val="22"/>
          <w:szCs w:val="22"/>
          <w:highlight w:val="none"/>
        </w:rPr>
        <w:t>。</w:t>
      </w:r>
    </w:p>
    <w:p>
      <w:pPr>
        <w:pStyle w:val="29"/>
        <w:snapToGrid w:val="0"/>
        <w:spacing w:line="460" w:lineRule="exact"/>
        <w:ind w:firstLine="442" w:firstLineChars="20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投标人可在招标文件中对招标的技术规格和要求选用替代标准，但这些替代标准必须相当于或优于招标文件中提出的相应要求，并使招标人满意，同时在技术偏离表中作出详细说明。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4、投标报价</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4.1投标人应根据国家的有关规定和招标文件要求并结合企业的实际情况进行投标报价。</w:t>
      </w:r>
      <w:r>
        <w:rPr>
          <w:rFonts w:hint="eastAsia" w:ascii="宋体" w:hAnsi="宋体" w:cs="宋体"/>
          <w:b w:val="0"/>
          <w:bCs/>
          <w:color w:val="auto"/>
          <w:sz w:val="22"/>
          <w:highlight w:val="none"/>
          <w:lang w:val="en-US" w:eastAsia="zh-CN"/>
        </w:rPr>
        <w:t>投标报价应包括完成服务所需的一切费用，</w:t>
      </w:r>
      <w:r>
        <w:rPr>
          <w:rFonts w:hint="eastAsia" w:ascii="宋体" w:hAnsi="宋体" w:eastAsia="宋体" w:cs="宋体"/>
          <w:b w:val="0"/>
          <w:bCs/>
          <w:color w:val="auto"/>
          <w:sz w:val="22"/>
          <w:highlight w:val="none"/>
        </w:rPr>
        <w:t>招标人不再</w:t>
      </w:r>
      <w:r>
        <w:rPr>
          <w:rFonts w:hint="eastAsia" w:ascii="宋体" w:hAnsi="宋体" w:cs="宋体"/>
          <w:b w:val="0"/>
          <w:bCs/>
          <w:color w:val="auto"/>
          <w:sz w:val="22"/>
          <w:highlight w:val="none"/>
          <w:lang w:val="en-US" w:eastAsia="zh-CN"/>
        </w:rPr>
        <w:t>另行</w:t>
      </w:r>
      <w:r>
        <w:rPr>
          <w:rFonts w:hint="eastAsia" w:ascii="宋体" w:hAnsi="宋体" w:eastAsia="宋体" w:cs="宋体"/>
          <w:b w:val="0"/>
          <w:bCs/>
          <w:color w:val="auto"/>
          <w:sz w:val="22"/>
          <w:highlight w:val="none"/>
        </w:rPr>
        <w:t>支付任何费用</w:t>
      </w: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rPr>
        <w:t>在合同服务期间内不得违反国家相关政策规定。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4.3</w:t>
      </w:r>
      <w:r>
        <w:rPr>
          <w:rFonts w:hint="eastAsia" w:ascii="宋体" w:hAnsi="宋体" w:eastAsia="宋体" w:cs="宋体"/>
          <w:b/>
          <w:color w:val="auto"/>
          <w:sz w:val="22"/>
          <w:highlight w:val="none"/>
        </w:rPr>
        <w:t>投标货币以人民币进行投标</w:t>
      </w:r>
      <w:r>
        <w:rPr>
          <w:rFonts w:hint="eastAsia" w:ascii="宋体" w:hAnsi="宋体" w:eastAsia="宋体" w:cs="宋体"/>
          <w:b/>
          <w:color w:val="auto"/>
          <w:sz w:val="22"/>
          <w:szCs w:val="22"/>
          <w:highlight w:val="none"/>
        </w:rPr>
        <w:t>。</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4.4</w:t>
      </w:r>
      <w:r>
        <w:rPr>
          <w:rFonts w:hint="eastAsia" w:ascii="宋体" w:hAnsi="宋体" w:eastAsia="宋体" w:cs="宋体"/>
          <w:b/>
          <w:color w:val="auto"/>
          <w:sz w:val="22"/>
          <w:highlight w:val="none"/>
        </w:rPr>
        <w:t>招标人和招标代理机构不接受任何选择投标，对任何服务只允许一个价格。</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4.5招标人和</w:t>
      </w:r>
      <w:r>
        <w:rPr>
          <w:rFonts w:hint="eastAsia" w:ascii="宋体" w:hAnsi="宋体" w:eastAsia="宋体" w:cs="宋体"/>
          <w:color w:val="auto"/>
          <w:sz w:val="22"/>
          <w:highlight w:val="none"/>
        </w:rPr>
        <w:t>招标代理机构</w:t>
      </w:r>
      <w:r>
        <w:rPr>
          <w:rFonts w:hint="eastAsia" w:ascii="宋体" w:hAnsi="宋体" w:eastAsia="宋体" w:cs="宋体"/>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4.7最低报价不能作为中标的保证。</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5、投标有效期</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5.1自开标之日起</w:t>
      </w:r>
      <w:r>
        <w:rPr>
          <w:rFonts w:hint="eastAsia" w:ascii="宋体" w:hAnsi="宋体" w:eastAsia="宋体" w:cs="宋体"/>
          <w:b/>
          <w:bCs/>
          <w:color w:val="auto"/>
          <w:sz w:val="22"/>
          <w:szCs w:val="22"/>
          <w:highlight w:val="none"/>
        </w:rPr>
        <w:t xml:space="preserve"> 120 </w:t>
      </w:r>
      <w:r>
        <w:rPr>
          <w:rFonts w:hint="eastAsia" w:ascii="宋体" w:hAnsi="宋体" w:eastAsia="宋体" w:cs="宋体"/>
          <w:b/>
          <w:color w:val="auto"/>
          <w:sz w:val="22"/>
          <w:szCs w:val="22"/>
          <w:highlight w:val="none"/>
        </w:rPr>
        <w:t>天内投标应保持有效。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6、投标保证金</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7、投标文件编制</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7.4《投标文件》内容不完整、编排混乱导致《投标文件》被误读、漏读或者查找不到相关内容的，投标人自行负责。</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7.5《投标文件》因字迹潦草或表达不清所引起的后果由投标人负责。</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8、投标文件的签章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8.1《投标文件》的签章：见《前附表》；</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8.2《投标文件》应由投标人法定代表人或其授权代表签字（或盖章），并时加盖投标人公章。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8.3电子签章操作指南详见采购公告附件《供应商项目采购-电子招投标操作指南》。</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9、投标文件的形式</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9.1投标文件的形式：见《前附表》；</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10、投标文件的份数</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10.1投标文件的份数：见《前附表》。</w:t>
      </w:r>
    </w:p>
    <w:p>
      <w:pPr>
        <w:spacing w:before="100" w:beforeAutospacing="1" w:after="100" w:afterAutospacing="1" w:line="440" w:lineRule="exact"/>
        <w:jc w:val="center"/>
        <w:outlineLvl w:val="1"/>
        <w:rPr>
          <w:rFonts w:hint="eastAsia" w:ascii="宋体" w:hAnsi="宋体" w:eastAsia="宋体" w:cs="宋体"/>
          <w:b/>
          <w:bCs/>
          <w:color w:val="auto"/>
          <w:sz w:val="22"/>
          <w:szCs w:val="22"/>
          <w:highlight w:val="none"/>
        </w:rPr>
      </w:pPr>
      <w:bookmarkStart w:id="16" w:name="_Toc15422"/>
      <w:bookmarkStart w:id="17" w:name="_Toc18542"/>
      <w:r>
        <w:rPr>
          <w:rFonts w:hint="eastAsia" w:ascii="宋体" w:hAnsi="宋体" w:eastAsia="宋体" w:cs="宋体"/>
          <w:b/>
          <w:bCs/>
          <w:color w:val="auto"/>
          <w:sz w:val="22"/>
          <w:szCs w:val="22"/>
          <w:highlight w:val="none"/>
        </w:rPr>
        <w:t>四、 投标文件的递交</w:t>
      </w:r>
      <w:bookmarkEnd w:id="16"/>
      <w:bookmarkEnd w:id="17"/>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1、投标文件的上传和递交</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1.1“投标文件”的上传、递交：见《前附表》。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2、“电子加密投标文件”解密和异常情况处理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2.1“电子加密投标文件”解密：见《前附表》。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3、投标文件的补充、修改或撤回</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r>
        <w:rPr>
          <w:rFonts w:hint="eastAsia" w:ascii="宋体" w:hAnsi="宋体" w:cs="宋体"/>
          <w:color w:val="auto"/>
          <w:sz w:val="22"/>
          <w:szCs w:val="22"/>
          <w:highlight w:val="none"/>
          <w:lang w:eastAsia="zh-CN"/>
        </w:rPr>
        <w:t>投标人</w:t>
      </w:r>
      <w:r>
        <w:rPr>
          <w:rFonts w:hint="eastAsia" w:ascii="宋体" w:hAnsi="宋体" w:eastAsia="宋体" w:cs="宋体"/>
          <w:color w:val="auto"/>
          <w:sz w:val="22"/>
          <w:szCs w:val="22"/>
          <w:highlight w:val="none"/>
        </w:rPr>
        <w:t>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3.2投标截止时间后，投标人不得撤回、修改《投标文件》。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4、投标文件的备选方案</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宋体" w:hAnsi="宋体" w:eastAsia="宋体" w:cs="宋体"/>
          <w:b/>
          <w:bCs/>
          <w:color w:val="auto"/>
          <w:sz w:val="22"/>
          <w:szCs w:val="22"/>
          <w:highlight w:val="none"/>
        </w:rPr>
      </w:pPr>
      <w:bookmarkStart w:id="18" w:name="_Toc30172"/>
      <w:bookmarkStart w:id="19" w:name="_Toc8079"/>
      <w:r>
        <w:rPr>
          <w:rFonts w:hint="eastAsia" w:ascii="宋体" w:hAnsi="宋体" w:eastAsia="宋体" w:cs="宋体"/>
          <w:b/>
          <w:bCs/>
          <w:color w:val="auto"/>
          <w:sz w:val="22"/>
          <w:szCs w:val="22"/>
          <w:highlight w:val="none"/>
        </w:rPr>
        <w:t>五、 开标和评标</w:t>
      </w:r>
      <w:bookmarkEnd w:id="18"/>
      <w:bookmarkEnd w:id="1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1、评标委员会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2、评标过程的保密性</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3、开标形式</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采购组织机构将按照招标文件规定的时间通过“政府采购云平台”组织开标、开启投标文件，所有</w:t>
      </w:r>
      <w:r>
        <w:rPr>
          <w:rFonts w:hint="eastAsia" w:ascii="宋体" w:hAnsi="宋体" w:cs="宋体"/>
          <w:b/>
          <w:color w:val="auto"/>
          <w:sz w:val="22"/>
          <w:szCs w:val="22"/>
          <w:highlight w:val="none"/>
          <w:lang w:eastAsia="zh-CN"/>
        </w:rPr>
        <w:t>投标人</w:t>
      </w:r>
      <w:r>
        <w:rPr>
          <w:rFonts w:hint="eastAsia" w:ascii="宋体" w:hAnsi="宋体" w:eastAsia="宋体" w:cs="宋体"/>
          <w:b/>
          <w:color w:val="auto"/>
          <w:sz w:val="22"/>
          <w:szCs w:val="22"/>
          <w:highlight w:val="none"/>
        </w:rPr>
        <w:t>均应当准时(在线)参加。</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4、开标准备</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4.1开标的准备工作由采购组织机构负责落实；</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4.2</w:t>
      </w:r>
      <w:r>
        <w:rPr>
          <w:rFonts w:hint="eastAsia" w:ascii="宋体" w:hAnsi="宋体" w:eastAsia="宋体" w:cs="宋体"/>
          <w:b/>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eastAsia="宋体" w:cs="宋体"/>
          <w:b/>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5、开标流程</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5.1开标、评标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投标人不足3家的，不得开标。</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（3）开启《投标文件》，进入资格审查；</w:t>
      </w:r>
      <w:r>
        <w:rPr>
          <w:rFonts w:hint="eastAsia" w:ascii="宋体" w:hAnsi="宋体" w:eastAsia="宋体" w:cs="宋体"/>
          <w:bCs/>
          <w:color w:val="auto"/>
          <w:sz w:val="22"/>
          <w:szCs w:val="22"/>
          <w:highlight w:val="none"/>
        </w:rPr>
        <w:t>合格投标人不足3家的，不得评标。</w:t>
      </w:r>
    </w:p>
    <w:p>
      <w:pPr>
        <w:spacing w:line="460" w:lineRule="exact"/>
        <w:ind w:firstLine="541" w:firstLineChars="245"/>
        <w:rPr>
          <w:rFonts w:hint="eastAsia" w:ascii="宋体" w:hAnsi="宋体" w:eastAsia="宋体" w:cs="宋体"/>
          <w:color w:val="auto"/>
          <w:kern w:val="0"/>
          <w:sz w:val="22"/>
          <w:szCs w:val="22"/>
          <w:highlight w:val="none"/>
        </w:rPr>
      </w:pPr>
      <w:r>
        <w:rPr>
          <w:rFonts w:hint="eastAsia" w:ascii="宋体" w:hAnsi="宋体" w:eastAsia="宋体" w:cs="宋体"/>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color w:val="auto"/>
          <w:kern w:val="0"/>
          <w:sz w:val="22"/>
          <w:szCs w:val="22"/>
          <w:highlight w:val="none"/>
        </w:rPr>
        <w:t>（4）开启资格审查通过的投标人的商务技术文件进入符合性审查，</w:t>
      </w:r>
      <w:r>
        <w:rPr>
          <w:rFonts w:hint="eastAsia" w:ascii="宋体" w:hAnsi="宋体" w:eastAsia="宋体" w:cs="宋体"/>
          <w:bCs/>
          <w:color w:val="auto"/>
          <w:sz w:val="22"/>
          <w:szCs w:val="22"/>
          <w:highlight w:val="none"/>
        </w:rPr>
        <w:t>以确定其是否满足招标文件的实质性要求，合格投标人不足3家的，不得评标。</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（5）对通过资格审查、符合性审查的合格供应商进行商务技术部分的评审。</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（6）评标委员会对报价的合理性、准确性等进行审查核实。</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宋体" w:hAnsi="宋体" w:eastAsia="宋体" w:cs="宋体"/>
          <w:color w:val="auto"/>
          <w:sz w:val="22"/>
          <w:szCs w:val="22"/>
          <w:highlight w:val="none"/>
        </w:rPr>
      </w:pPr>
      <w:bookmarkStart w:id="20" w:name="_Toc33194393"/>
      <w:bookmarkStart w:id="21" w:name="_Toc24550037"/>
      <w:r>
        <w:rPr>
          <w:rFonts w:hint="eastAsia" w:ascii="宋体" w:hAnsi="宋体" w:eastAsia="宋体" w:cs="宋体"/>
          <w:color w:val="auto"/>
          <w:sz w:val="22"/>
          <w:szCs w:val="22"/>
          <w:highlight w:val="none"/>
        </w:rPr>
        <w:t>6、投标人资格审查</w:t>
      </w:r>
      <w:bookmarkEnd w:id="20"/>
      <w:bookmarkEnd w:id="21"/>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6.1开标大会结束后，招标人或采购代理机构首先依法对各投标人的资格进行审查，审查各投标人的资格是否满足招标文件的要求。</w:t>
      </w:r>
      <w:r>
        <w:rPr>
          <w:rFonts w:hint="eastAsia" w:ascii="宋体" w:hAnsi="宋体" w:eastAsia="宋体" w:cs="宋体"/>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sz w:val="22"/>
          <w:szCs w:val="22"/>
          <w:highlight w:val="none"/>
        </w:rPr>
        <w:t>6.2投标人提交的资格证明材料无法证明其符合招标文件规定的“投标人资格要求”的，招标人或采购代理机构</w:t>
      </w:r>
      <w:r>
        <w:rPr>
          <w:rFonts w:hint="eastAsia" w:ascii="宋体" w:hAnsi="宋体" w:eastAsia="宋体" w:cs="宋体"/>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6</w:t>
      </w:r>
      <w:r>
        <w:rPr>
          <w:rFonts w:hint="eastAsia" w:ascii="宋体" w:hAnsi="宋体" w:eastAsia="宋体" w:cs="宋体"/>
          <w:b/>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8、投标人存在下列情况之一的，投标无效：</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（1）投标文件未按招标文件要求签署、盖章的；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（2）不具备招标文件中规定的资格要求的； </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（3）明显不符合招标文件中主要技术规格、技术标准的；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（4）投标文件内容不全或关键字迹模糊无法辨认的；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（5）报价超过招标文件中规定的预算金额的；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（6）投标人代表没有法定代表人合法、有效委托的；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（7）投标文件存在一个或一个以上备选（替代）投标方案的；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（8）仅提交“备份投标文件”的；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（9）投标文件含有招标人不能接受的附加条件的；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（10）法律、法规和招标文件规定的其他无效情形。</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9、有下列情形之一的，视为投标人串通投标，其投标无效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（1）不同投标人的投标文件由同一单位或者个人编制；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（2）不同投标人委托同一单位或者个人办理投标事宜；</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（3）不同投标人的投标文件载明的项目管理成员或者联系人员为同一人；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（4）不同投标人的投标文件异常一致或者投标报价呈规律性差异；</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（5）不同投标人的投标文件相互混装。</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10、投标文件报价出现前后不一致的，按照下列规定修正：</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（2）大写金额和小写金额不一致的，以大写金额为准；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（4）总价金额与按单价汇总金额不一致的，以单价金额计算结果为准。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12、投标文件的澄清</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12.2</w:t>
      </w:r>
      <w:r>
        <w:rPr>
          <w:rFonts w:hint="eastAsia" w:ascii="宋体" w:hAnsi="宋体" w:eastAsia="宋体" w:cs="宋体"/>
          <w:b/>
          <w:color w:val="auto"/>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13、评审结果的修改</w:t>
      </w:r>
    </w:p>
    <w:p>
      <w:pPr>
        <w:spacing w:line="460" w:lineRule="exact"/>
        <w:ind w:firstLine="762" w:firstLineChars="3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13.1评标结果汇总完成后，除下列情形外，任何人不得修改评标结果：</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（1）分值汇总计算错误的；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（2）分项评分超出评分标准范围的；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（3）评标委员会成员对客观评审因素评分不一致的；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（4）经评标委员会认定评分畸高、畸低的。</w:t>
      </w:r>
    </w:p>
    <w:p>
      <w:pPr>
        <w:spacing w:line="460" w:lineRule="exact"/>
        <w:ind w:firstLine="759" w:firstLineChars="3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13.2书面评标报告签署前，经复核发现存在以上情形之一的，评标委员会将当场修改评标结果，并在</w:t>
      </w:r>
      <w:r>
        <w:rPr>
          <w:rFonts w:hint="eastAsia" w:ascii="宋体" w:hAnsi="宋体" w:eastAsia="宋体" w:cs="宋体"/>
          <w:b/>
          <w:color w:val="auto"/>
          <w:sz w:val="22"/>
          <w:szCs w:val="22"/>
          <w:highlight w:val="none"/>
        </w:rPr>
        <w:t>评标报告中记载。</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14</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14.1由评标委员会确定中标候选人。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hint="eastAsia" w:ascii="宋体" w:hAnsi="宋体" w:eastAsia="宋体" w:cs="宋体"/>
          <w:bCs/>
          <w:color w:val="auto"/>
          <w:sz w:val="22"/>
          <w:szCs w:val="22"/>
          <w:highlight w:val="none"/>
        </w:rPr>
      </w:pPr>
      <w:r>
        <w:rPr>
          <w:rFonts w:hint="eastAsia" w:ascii="宋体" w:hAnsi="宋体" w:eastAsia="宋体" w:cs="宋体"/>
          <w:b/>
          <w:bCs/>
          <w:color w:val="auto"/>
          <w:sz w:val="22"/>
          <w:szCs w:val="22"/>
          <w:highlight w:val="none"/>
        </w:rPr>
        <w:t>15、确定中标人</w:t>
      </w:r>
    </w:p>
    <w:p>
      <w:pPr>
        <w:spacing w:line="460" w:lineRule="exact"/>
        <w:ind w:firstLine="762" w:firstLineChars="34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15</w:t>
      </w:r>
      <w:r>
        <w:rPr>
          <w:rFonts w:hint="eastAsia" w:ascii="宋体" w:hAnsi="宋体" w:eastAsia="宋体" w:cs="宋体"/>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16、起草、签署评审报告</w:t>
      </w:r>
    </w:p>
    <w:p>
      <w:pPr>
        <w:spacing w:line="460" w:lineRule="exact"/>
        <w:ind w:firstLine="759" w:firstLineChars="3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18、</w:t>
      </w:r>
      <w:r>
        <w:rPr>
          <w:rFonts w:hint="eastAsia" w:ascii="宋体" w:hAnsi="宋体" w:eastAsia="宋体" w:cs="宋体"/>
          <w:b/>
          <w:color w:val="auto"/>
          <w:sz w:val="22"/>
          <w:szCs w:val="22"/>
          <w:highlight w:val="none"/>
        </w:rPr>
        <w:t>招标人对决标结果不做任何解释，也不保证最低价中标。</w:t>
      </w:r>
    </w:p>
    <w:p>
      <w:pPr>
        <w:spacing w:line="460" w:lineRule="exact"/>
        <w:ind w:firstLine="762" w:firstLineChars="3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19、评标细则详见“评标原则及方法”。</w:t>
      </w:r>
    </w:p>
    <w:p>
      <w:pPr>
        <w:spacing w:before="100" w:beforeAutospacing="1" w:after="100" w:afterAutospacing="1" w:line="440" w:lineRule="exact"/>
        <w:jc w:val="center"/>
        <w:outlineLvl w:val="1"/>
        <w:rPr>
          <w:rFonts w:hint="eastAsia" w:ascii="宋体" w:hAnsi="宋体" w:eastAsia="宋体" w:cs="宋体"/>
          <w:b/>
          <w:bCs/>
          <w:color w:val="auto"/>
          <w:sz w:val="26"/>
          <w:szCs w:val="26"/>
          <w:highlight w:val="none"/>
        </w:rPr>
      </w:pPr>
      <w:bookmarkStart w:id="22" w:name="_Toc21056"/>
      <w:bookmarkStart w:id="23" w:name="_Toc26836"/>
      <w:r>
        <w:rPr>
          <w:rFonts w:hint="eastAsia" w:ascii="宋体" w:hAnsi="宋体" w:eastAsia="宋体" w:cs="宋体"/>
          <w:b/>
          <w:bCs/>
          <w:color w:val="auto"/>
          <w:sz w:val="26"/>
          <w:szCs w:val="26"/>
          <w:highlight w:val="none"/>
        </w:rPr>
        <w:t>六、 授予合同</w:t>
      </w:r>
      <w:bookmarkEnd w:id="22"/>
      <w:bookmarkEnd w:id="23"/>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1、中标通知书</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1.1</w:t>
      </w:r>
      <w:r>
        <w:rPr>
          <w:rFonts w:hint="eastAsia" w:ascii="宋体" w:hAnsi="宋体" w:eastAsia="宋体" w:cs="宋体"/>
          <w:color w:val="auto"/>
          <w:sz w:val="22"/>
          <w:szCs w:val="22"/>
          <w:highlight w:val="none"/>
        </w:rPr>
        <w:t xml:space="preserve">中标人确定后，招标人将向中标人发出中标通知书。 </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1.2</w:t>
      </w:r>
      <w:r>
        <w:rPr>
          <w:rFonts w:hint="eastAsia" w:ascii="宋体" w:hAnsi="宋体" w:eastAsia="宋体" w:cs="宋体"/>
          <w:color w:val="auto"/>
          <w:sz w:val="22"/>
          <w:szCs w:val="22"/>
          <w:highlight w:val="none"/>
        </w:rPr>
        <w:t>中标通知书是合同的一个组成部分,对招标人和中标人均具有同等法律效力。</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2、授标时更改采购货物数量的权力</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3、签订合同</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3.1中标人应按中标通知书规定的时间、地点与招标人签订合同。</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3.2</w:t>
      </w:r>
      <w:r>
        <w:rPr>
          <w:rFonts w:hint="eastAsia" w:ascii="宋体" w:hAnsi="宋体" w:eastAsia="宋体" w:cs="宋体"/>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3.4拒签合同的违约责任</w:t>
      </w:r>
    </w:p>
    <w:p>
      <w:pPr>
        <w:spacing w:line="460" w:lineRule="exact"/>
        <w:ind w:firstLine="571" w:firstLineChars="245"/>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4、履约保证金</w:t>
      </w:r>
    </w:p>
    <w:p>
      <w:pPr>
        <w:spacing w:line="460" w:lineRule="exact"/>
        <w:ind w:firstLine="539" w:firstLineChars="245"/>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履约保证金用于补偿招标人因中标人不能履行其合同义务而蒙受的损失。</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5、质疑与投诉</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hint="eastAsia" w:ascii="宋体" w:hAnsi="宋体" w:eastAsia="宋体" w:cs="宋体"/>
          <w:color w:val="auto"/>
          <w:sz w:val="22"/>
          <w:highlight w:val="none"/>
        </w:rPr>
      </w:pPr>
      <w:r>
        <w:rPr>
          <w:rFonts w:hint="eastAsia" w:ascii="宋体" w:hAnsi="宋体" w:eastAsia="宋体" w:cs="宋体"/>
          <w:color w:val="auto"/>
          <w:sz w:val="22"/>
          <w:highlight w:val="none"/>
        </w:rPr>
        <w:t>5.3投诉人投诉时，应提交投诉书，投诉书应当由本人并由法定代表人签字盖公章，投诉书应说明具体的投诉事项及事实依据。投诉人对投诉书的真实性负责，恶意投诉将承当相应的法律和民事责任。</w:t>
      </w:r>
    </w:p>
    <w:p>
      <w:pPr>
        <w:rPr>
          <w:rFonts w:hint="eastAsia" w:ascii="宋体" w:hAnsi="宋体" w:eastAsia="宋体" w:cs="宋体"/>
          <w:color w:val="auto"/>
          <w:highlight w:val="none"/>
        </w:rPr>
      </w:pPr>
      <w:bookmarkStart w:id="24" w:name="_Toc28194"/>
      <w:bookmarkStart w:id="25" w:name="_Toc19043"/>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第二部分    合同主要条款</w:t>
      </w:r>
      <w:bookmarkEnd w:id="24"/>
      <w:bookmarkEnd w:id="25"/>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注：如甲、乙双方同意，合同格式也可以按照其他形式, 具体条款以甲方为主协商确定。但合同条款的基本内容应与以下要求的内容相一致。</w:t>
      </w:r>
    </w:p>
    <w:p>
      <w:pPr>
        <w:spacing w:line="360" w:lineRule="atLeast"/>
        <w:rPr>
          <w:rFonts w:ascii="宋体" w:cs="宋体"/>
          <w:color w:val="auto"/>
          <w:sz w:val="22"/>
          <w:szCs w:val="22"/>
          <w:highlight w:val="none"/>
          <w:u w:val="single"/>
        </w:rPr>
      </w:pPr>
      <w:r>
        <w:rPr>
          <w:rFonts w:hint="eastAsia" w:ascii="宋体" w:cs="宋体"/>
          <w:color w:val="auto"/>
          <w:sz w:val="22"/>
          <w:szCs w:val="22"/>
          <w:highlight w:val="none"/>
        </w:rPr>
        <w:t>发包方：</w:t>
      </w:r>
      <w:r>
        <w:rPr>
          <w:rFonts w:hint="eastAsia" w:ascii="宋体" w:cs="宋体"/>
          <w:color w:val="auto"/>
          <w:sz w:val="22"/>
          <w:szCs w:val="22"/>
          <w:highlight w:val="none"/>
          <w:u w:val="single"/>
        </w:rPr>
        <w:t xml:space="preserve">                       （以下简称甲方）</w:t>
      </w:r>
    </w:p>
    <w:p>
      <w:pPr>
        <w:spacing w:line="360" w:lineRule="atLeast"/>
        <w:rPr>
          <w:rFonts w:ascii="宋体" w:cs="宋体"/>
          <w:color w:val="auto"/>
          <w:sz w:val="22"/>
          <w:szCs w:val="22"/>
          <w:highlight w:val="none"/>
          <w:u w:val="single"/>
        </w:rPr>
      </w:pPr>
      <w:r>
        <w:rPr>
          <w:rFonts w:hint="eastAsia" w:ascii="宋体" w:cs="宋体"/>
          <w:color w:val="auto"/>
          <w:sz w:val="22"/>
          <w:szCs w:val="22"/>
          <w:highlight w:val="none"/>
        </w:rPr>
        <w:t>承包方：</w:t>
      </w:r>
      <w:r>
        <w:rPr>
          <w:rFonts w:hint="eastAsia" w:ascii="宋体" w:cs="宋体"/>
          <w:color w:val="auto"/>
          <w:sz w:val="22"/>
          <w:szCs w:val="22"/>
          <w:highlight w:val="none"/>
          <w:u w:val="single"/>
        </w:rPr>
        <w:t xml:space="preserve">                       （以下简称乙方）</w:t>
      </w:r>
    </w:p>
    <w:p>
      <w:pPr>
        <w:snapToGrid w:val="0"/>
        <w:spacing w:line="440" w:lineRule="atLeast"/>
        <w:ind w:firstLine="482"/>
        <w:rPr>
          <w:rFonts w:ascii="宋体" w:cs="宋体"/>
          <w:bCs/>
          <w:color w:val="auto"/>
          <w:sz w:val="22"/>
          <w:szCs w:val="22"/>
          <w:highlight w:val="none"/>
        </w:rPr>
      </w:pPr>
      <w:r>
        <w:rPr>
          <w:rFonts w:hint="eastAsia"/>
          <w:color w:val="auto"/>
          <w:sz w:val="22"/>
          <w:highlight w:val="none"/>
        </w:rPr>
        <w:t>根据《</w:t>
      </w:r>
      <w:r>
        <w:rPr>
          <w:rFonts w:hint="eastAsia"/>
          <w:color w:val="auto"/>
          <w:sz w:val="22"/>
          <w:szCs w:val="22"/>
          <w:highlight w:val="none"/>
          <w:lang w:eastAsia="zh-CN"/>
        </w:rPr>
        <w:t>2023-2025年度山福镇绿化养护服务项目</w:t>
      </w:r>
      <w:r>
        <w:rPr>
          <w:rFonts w:hint="eastAsia"/>
          <w:color w:val="auto"/>
          <w:sz w:val="22"/>
          <w:highlight w:val="none"/>
        </w:rPr>
        <w:t>》中标通知书，甲方将</w:t>
      </w:r>
      <w:r>
        <w:rPr>
          <w:rFonts w:hint="eastAsia"/>
          <w:color w:val="auto"/>
          <w:sz w:val="22"/>
          <w:highlight w:val="none"/>
          <w:u w:val="single"/>
        </w:rPr>
        <w:t xml:space="preserve">          </w:t>
      </w:r>
      <w:r>
        <w:rPr>
          <w:rFonts w:hint="eastAsia"/>
          <w:color w:val="auto"/>
          <w:sz w:val="22"/>
          <w:highlight w:val="none"/>
        </w:rPr>
        <w:t>承包给乙方，为了明确甲、乙双方的权利和义务，履行各自的职责，高效优质地完成工作任务，按照《中华人民共和国</w:t>
      </w:r>
      <w:r>
        <w:rPr>
          <w:rFonts w:hint="eastAsia"/>
          <w:color w:val="auto"/>
          <w:sz w:val="22"/>
          <w:highlight w:val="none"/>
          <w:lang w:val="en-US" w:eastAsia="zh-CN"/>
        </w:rPr>
        <w:t>民法典</w:t>
      </w:r>
      <w:r>
        <w:rPr>
          <w:rFonts w:hint="eastAsia"/>
          <w:color w:val="auto"/>
          <w:sz w:val="22"/>
          <w:highlight w:val="none"/>
        </w:rPr>
        <w:t>》的有关规定，经甲乙双方在平等、自愿的基础上共同协商一致，现签订承包合同。</w:t>
      </w:r>
    </w:p>
    <w:p>
      <w:pPr>
        <w:snapToGrid w:val="0"/>
        <w:spacing w:line="440" w:lineRule="atLeast"/>
        <w:ind w:firstLine="331" w:firstLineChars="150"/>
        <w:rPr>
          <w:rFonts w:ascii="宋体" w:cs="宋体"/>
          <w:b/>
          <w:color w:val="auto"/>
          <w:sz w:val="22"/>
          <w:szCs w:val="22"/>
          <w:highlight w:val="none"/>
        </w:rPr>
      </w:pPr>
      <w:r>
        <w:rPr>
          <w:rFonts w:hint="eastAsia" w:ascii="宋体" w:cs="宋体"/>
          <w:b/>
          <w:color w:val="auto"/>
          <w:sz w:val="22"/>
          <w:szCs w:val="22"/>
          <w:highlight w:val="none"/>
        </w:rPr>
        <w:t>第一条  项目名称</w:t>
      </w:r>
    </w:p>
    <w:p>
      <w:pPr>
        <w:snapToGrid w:val="0"/>
        <w:spacing w:line="440" w:lineRule="atLeast"/>
        <w:ind w:firstLine="330" w:firstLineChars="150"/>
        <w:rPr>
          <w:rFonts w:ascii="宋体" w:cs="宋体"/>
          <w:bCs/>
          <w:color w:val="auto"/>
          <w:sz w:val="22"/>
          <w:szCs w:val="22"/>
          <w:highlight w:val="none"/>
        </w:rPr>
      </w:pPr>
      <w:r>
        <w:rPr>
          <w:rFonts w:hint="eastAsia" w:ascii="宋体" w:cs="宋体"/>
          <w:bCs/>
          <w:color w:val="auto"/>
          <w:sz w:val="22"/>
          <w:szCs w:val="22"/>
          <w:highlight w:val="none"/>
          <w:lang w:eastAsia="zh-CN"/>
        </w:rPr>
        <w:t>2023-2025年度山福镇绿化养护服务项目</w:t>
      </w:r>
    </w:p>
    <w:p>
      <w:pPr>
        <w:snapToGrid w:val="0"/>
        <w:spacing w:line="440" w:lineRule="atLeast"/>
        <w:ind w:firstLine="331" w:firstLineChars="150"/>
        <w:rPr>
          <w:rFonts w:ascii="宋体" w:cs="宋体"/>
          <w:b/>
          <w:color w:val="auto"/>
          <w:sz w:val="22"/>
          <w:szCs w:val="22"/>
          <w:highlight w:val="none"/>
        </w:rPr>
      </w:pPr>
      <w:r>
        <w:rPr>
          <w:rFonts w:hint="eastAsia" w:ascii="宋体" w:cs="宋体"/>
          <w:b/>
          <w:color w:val="auto"/>
          <w:sz w:val="22"/>
          <w:szCs w:val="22"/>
          <w:highlight w:val="none"/>
        </w:rPr>
        <w:t>第二条  服务范围及承包内容</w:t>
      </w:r>
    </w:p>
    <w:p>
      <w:pPr>
        <w:widowControl/>
        <w:autoSpaceDE w:val="0"/>
        <w:autoSpaceDN w:val="0"/>
        <w:adjustRightInd w:val="0"/>
        <w:spacing w:line="460" w:lineRule="atLeast"/>
        <w:ind w:firstLine="330" w:firstLineChars="150"/>
        <w:textAlignment w:val="bottom"/>
        <w:rPr>
          <w:rFonts w:ascii="宋体" w:cs="宋体"/>
          <w:color w:val="auto"/>
          <w:sz w:val="22"/>
          <w:szCs w:val="22"/>
          <w:highlight w:val="none"/>
        </w:rPr>
      </w:pPr>
      <w:r>
        <w:rPr>
          <w:rFonts w:hint="eastAsia" w:ascii="宋体" w:cs="宋体"/>
          <w:color w:val="auto"/>
          <w:sz w:val="22"/>
          <w:szCs w:val="22"/>
          <w:highlight w:val="none"/>
        </w:rPr>
        <w:t>1、绿化养护服务范围</w:t>
      </w:r>
    </w:p>
    <w:tbl>
      <w:tblPr>
        <w:tblStyle w:val="5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1"/>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1" w:type="dxa"/>
            <w:noWrap w:val="0"/>
            <w:vAlign w:val="center"/>
          </w:tcPr>
          <w:p>
            <w:pPr>
              <w:widowControl/>
              <w:autoSpaceDE w:val="0"/>
              <w:autoSpaceDN w:val="0"/>
              <w:adjustRightInd w:val="0"/>
              <w:spacing w:line="460" w:lineRule="atLeast"/>
              <w:jc w:val="center"/>
              <w:textAlignment w:val="bottom"/>
              <w:rPr>
                <w:rFonts w:ascii="宋体" w:cs="宋体"/>
                <w:bCs/>
                <w:color w:val="auto"/>
                <w:sz w:val="22"/>
                <w:szCs w:val="22"/>
                <w:highlight w:val="none"/>
              </w:rPr>
            </w:pPr>
            <w:r>
              <w:rPr>
                <w:rFonts w:hint="eastAsia" w:ascii="宋体" w:cs="宋体"/>
                <w:bCs/>
                <w:color w:val="auto"/>
                <w:sz w:val="22"/>
                <w:szCs w:val="22"/>
                <w:highlight w:val="none"/>
              </w:rPr>
              <w:t>项目内容</w:t>
            </w:r>
          </w:p>
        </w:tc>
        <w:tc>
          <w:tcPr>
            <w:tcW w:w="4962" w:type="dxa"/>
            <w:noWrap w:val="0"/>
            <w:vAlign w:val="center"/>
          </w:tcPr>
          <w:p>
            <w:pPr>
              <w:widowControl/>
              <w:autoSpaceDE w:val="0"/>
              <w:autoSpaceDN w:val="0"/>
              <w:adjustRightInd w:val="0"/>
              <w:spacing w:line="460" w:lineRule="atLeast"/>
              <w:jc w:val="center"/>
              <w:textAlignment w:val="bottom"/>
              <w:rPr>
                <w:rFonts w:ascii="宋体" w:cs="宋体"/>
                <w:bCs/>
                <w:color w:val="auto"/>
                <w:sz w:val="22"/>
                <w:szCs w:val="22"/>
                <w:highlight w:val="none"/>
              </w:rPr>
            </w:pPr>
            <w:r>
              <w:rPr>
                <w:rFonts w:hint="eastAsia" w:ascii="宋体" w:cs="宋体"/>
                <w:bCs/>
                <w:color w:val="auto"/>
                <w:sz w:val="22"/>
                <w:szCs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961" w:type="dxa"/>
            <w:noWrap w:val="0"/>
            <w:vAlign w:val="center"/>
          </w:tcPr>
          <w:p>
            <w:pPr>
              <w:autoSpaceDE w:val="0"/>
              <w:autoSpaceDN w:val="0"/>
              <w:adjustRightInd w:val="0"/>
              <w:jc w:val="center"/>
              <w:textAlignment w:val="bottom"/>
              <w:rPr>
                <w:rFonts w:ascii="宋体" w:cs="宋体"/>
                <w:bCs/>
                <w:color w:val="auto"/>
                <w:sz w:val="22"/>
                <w:szCs w:val="22"/>
                <w:highlight w:val="none"/>
              </w:rPr>
            </w:pPr>
            <w:r>
              <w:rPr>
                <w:rFonts w:hint="eastAsia" w:ascii="新宋体" w:hAnsi="新宋体" w:eastAsia="新宋体" w:cs="新宋体"/>
                <w:bCs/>
                <w:color w:val="auto"/>
                <w:sz w:val="22"/>
                <w:szCs w:val="22"/>
                <w:highlight w:val="none"/>
              </w:rPr>
              <w:t>绿地养护面积</w:t>
            </w:r>
          </w:p>
        </w:tc>
        <w:tc>
          <w:tcPr>
            <w:tcW w:w="4962" w:type="dxa"/>
            <w:noWrap w:val="0"/>
            <w:vAlign w:val="center"/>
          </w:tcPr>
          <w:p>
            <w:pPr>
              <w:widowControl/>
              <w:autoSpaceDE w:val="0"/>
              <w:autoSpaceDN w:val="0"/>
              <w:adjustRightInd w:val="0"/>
              <w:ind w:firstLine="220" w:firstLineChars="100"/>
              <w:jc w:val="center"/>
              <w:textAlignment w:val="bottom"/>
              <w:rPr>
                <w:rFonts w:ascii="宋体" w:cs="宋体"/>
                <w:bCs/>
                <w:color w:val="auto"/>
                <w:sz w:val="22"/>
                <w:szCs w:val="22"/>
                <w:highlight w:val="none"/>
              </w:rPr>
            </w:pPr>
            <w:r>
              <w:rPr>
                <w:rFonts w:hint="eastAsia" w:ascii="新宋体" w:hAnsi="新宋体" w:eastAsia="新宋体" w:cs="新宋体"/>
                <w:bCs/>
                <w:color w:val="auto"/>
                <w:sz w:val="22"/>
                <w:szCs w:val="22"/>
                <w:highlight w:val="none"/>
                <w:lang w:eastAsia="zh-CN"/>
              </w:rPr>
              <w:t>136799</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61" w:type="dxa"/>
            <w:noWrap w:val="0"/>
            <w:vAlign w:val="center"/>
          </w:tcPr>
          <w:p>
            <w:pPr>
              <w:autoSpaceDE w:val="0"/>
              <w:autoSpaceDN w:val="0"/>
              <w:adjustRightInd w:val="0"/>
              <w:jc w:val="center"/>
              <w:textAlignment w:val="bottom"/>
              <w:rPr>
                <w:rFonts w:ascii="宋体" w:cs="宋体"/>
                <w:bCs/>
                <w:color w:val="auto"/>
                <w:sz w:val="22"/>
                <w:szCs w:val="22"/>
                <w:highlight w:val="none"/>
              </w:rPr>
            </w:pPr>
            <w:r>
              <w:rPr>
                <w:rFonts w:hint="eastAsia" w:ascii="新宋体" w:hAnsi="新宋体" w:eastAsia="新宋体" w:cs="新宋体"/>
                <w:bCs/>
                <w:color w:val="auto"/>
                <w:sz w:val="22"/>
                <w:szCs w:val="22"/>
                <w:highlight w:val="none"/>
              </w:rPr>
              <w:t>行道树</w:t>
            </w:r>
          </w:p>
        </w:tc>
        <w:tc>
          <w:tcPr>
            <w:tcW w:w="4962" w:type="dxa"/>
            <w:noWrap w:val="0"/>
            <w:vAlign w:val="center"/>
          </w:tcPr>
          <w:p>
            <w:pPr>
              <w:widowControl/>
              <w:autoSpaceDE w:val="0"/>
              <w:autoSpaceDN w:val="0"/>
              <w:adjustRightInd w:val="0"/>
              <w:ind w:firstLine="220" w:firstLineChars="100"/>
              <w:jc w:val="center"/>
              <w:textAlignment w:val="bottom"/>
              <w:rPr>
                <w:rFonts w:ascii="宋体" w:cs="宋体"/>
                <w:bCs/>
                <w:color w:val="auto"/>
                <w:sz w:val="22"/>
                <w:szCs w:val="22"/>
                <w:highlight w:val="none"/>
              </w:rPr>
            </w:pPr>
            <w:r>
              <w:rPr>
                <w:rFonts w:hint="eastAsia" w:ascii="新宋体" w:hAnsi="新宋体" w:eastAsia="新宋体" w:cs="新宋体"/>
                <w:bCs/>
                <w:color w:val="auto"/>
                <w:sz w:val="22"/>
                <w:szCs w:val="22"/>
                <w:highlight w:val="none"/>
                <w:lang w:eastAsia="zh-CN"/>
              </w:rPr>
              <w:t>2099</w:t>
            </w:r>
            <w:r>
              <w:rPr>
                <w:rFonts w:hint="eastAsia" w:ascii="新宋体" w:hAnsi="新宋体" w:eastAsia="新宋体" w:cs="新宋体"/>
                <w:bCs/>
                <w:color w:val="auto"/>
                <w:sz w:val="22"/>
                <w:szCs w:val="22"/>
                <w:highlight w:val="none"/>
              </w:rPr>
              <w:t>株</w:t>
            </w:r>
          </w:p>
        </w:tc>
      </w:tr>
    </w:tbl>
    <w:p>
      <w:pPr>
        <w:widowControl/>
        <w:autoSpaceDE w:val="0"/>
        <w:autoSpaceDN w:val="0"/>
        <w:adjustRightInd w:val="0"/>
        <w:spacing w:line="460" w:lineRule="atLeast"/>
        <w:ind w:firstLine="330" w:firstLineChars="150"/>
        <w:textAlignment w:val="bottom"/>
        <w:rPr>
          <w:rFonts w:hint="eastAsia" w:ascii="宋体" w:cs="宋体"/>
          <w:color w:val="auto"/>
          <w:sz w:val="22"/>
          <w:szCs w:val="22"/>
          <w:highlight w:val="none"/>
        </w:rPr>
      </w:pPr>
      <w:r>
        <w:rPr>
          <w:rFonts w:hint="eastAsia" w:ascii="宋体" w:cs="宋体"/>
          <w:color w:val="auto"/>
          <w:sz w:val="22"/>
          <w:szCs w:val="22"/>
          <w:highlight w:val="none"/>
        </w:rPr>
        <w:t>2、绿化养护道路清单：详见采购内容</w:t>
      </w:r>
    </w:p>
    <w:p>
      <w:pPr>
        <w:widowControl/>
        <w:autoSpaceDE w:val="0"/>
        <w:autoSpaceDN w:val="0"/>
        <w:adjustRightInd w:val="0"/>
        <w:spacing w:line="420" w:lineRule="atLeast"/>
        <w:ind w:firstLine="330" w:firstLineChars="150"/>
        <w:textAlignment w:val="bottom"/>
        <w:rPr>
          <w:rFonts w:hint="eastAsia" w:ascii="宋体" w:cs="宋体"/>
          <w:bCs/>
          <w:color w:val="auto"/>
          <w:sz w:val="22"/>
          <w:szCs w:val="22"/>
          <w:highlight w:val="none"/>
        </w:rPr>
      </w:pPr>
      <w:r>
        <w:rPr>
          <w:rFonts w:hint="eastAsia" w:ascii="宋体" w:cs="宋体"/>
          <w:color w:val="auto"/>
          <w:sz w:val="22"/>
          <w:szCs w:val="22"/>
          <w:highlight w:val="none"/>
          <w:lang w:val="zh-CN" w:bidi="zh-CN"/>
        </w:rPr>
        <w:t>注明：</w:t>
      </w:r>
      <w:r>
        <w:rPr>
          <w:rFonts w:hint="eastAsia" w:ascii="宋体" w:cs="宋体"/>
          <w:color w:val="auto"/>
          <w:sz w:val="22"/>
          <w:szCs w:val="22"/>
          <w:highlight w:val="none"/>
          <w:lang w:bidi="zh-CN"/>
        </w:rPr>
        <w:t>以上养护面积为参考面积，供应商报价前应自行前往项目进行勘察，以获取更准确的现场情况及数据，供应商自行承担报价风险。</w:t>
      </w:r>
    </w:p>
    <w:p>
      <w:pPr>
        <w:widowControl/>
        <w:autoSpaceDE w:val="0"/>
        <w:autoSpaceDN w:val="0"/>
        <w:adjustRightInd w:val="0"/>
        <w:spacing w:line="420" w:lineRule="atLeast"/>
        <w:ind w:firstLine="330" w:firstLineChars="150"/>
        <w:textAlignment w:val="bottom"/>
        <w:rPr>
          <w:rFonts w:ascii="宋体" w:cs="宋体"/>
          <w:bCs/>
          <w:color w:val="auto"/>
          <w:sz w:val="22"/>
          <w:szCs w:val="22"/>
          <w:highlight w:val="none"/>
        </w:rPr>
      </w:pPr>
      <w:r>
        <w:rPr>
          <w:rFonts w:hint="eastAsia" w:ascii="宋体" w:cs="宋体"/>
          <w:bCs/>
          <w:color w:val="auto"/>
          <w:sz w:val="22"/>
          <w:szCs w:val="22"/>
          <w:highlight w:val="none"/>
        </w:rPr>
        <w:t>3、承包</w:t>
      </w:r>
      <w:r>
        <w:rPr>
          <w:rFonts w:ascii="宋体" w:cs="宋体"/>
          <w:bCs/>
          <w:color w:val="auto"/>
          <w:sz w:val="22"/>
          <w:szCs w:val="22"/>
          <w:highlight w:val="none"/>
        </w:rPr>
        <w:t>内容</w:t>
      </w:r>
      <w:r>
        <w:rPr>
          <w:rFonts w:hint="eastAsia" w:ascii="宋体" w:cs="宋体"/>
          <w:bCs/>
          <w:color w:val="auto"/>
          <w:sz w:val="22"/>
          <w:szCs w:val="22"/>
          <w:highlight w:val="none"/>
        </w:rPr>
        <w:t>：包括行道树及绿地等养护，主要包括松土除草、修剪、抹芽、浇水、中耕施肥、病虫害防治、抗旱防洪、缺株补植（原有苗木）、清除枯枝残花落叶及绿化垃圾、树木绑扎、树木刷白、草坪切边、加土扶正、立架加固、抗灾抢险、意外事件处理、安全保护措施、沉积废土清理等绿地养护以及附属设施日常保养维护、数字城管件处理任务等一切养管工作，另外还须做好绿化养护台帐并建立技术档案。</w:t>
      </w:r>
    </w:p>
    <w:p>
      <w:pPr>
        <w:snapToGrid w:val="0"/>
        <w:spacing w:line="420" w:lineRule="atLeast"/>
        <w:ind w:firstLine="330" w:firstLineChars="150"/>
        <w:rPr>
          <w:rFonts w:ascii="宋体" w:cs="宋体"/>
          <w:bCs/>
          <w:color w:val="auto"/>
          <w:sz w:val="22"/>
          <w:szCs w:val="22"/>
          <w:highlight w:val="none"/>
        </w:rPr>
      </w:pPr>
      <w:r>
        <w:rPr>
          <w:rFonts w:hint="eastAsia" w:ascii="宋体" w:cs="宋体"/>
          <w:bCs/>
          <w:color w:val="auto"/>
          <w:sz w:val="22"/>
          <w:szCs w:val="22"/>
          <w:highlight w:val="none"/>
        </w:rPr>
        <w:t>4、在合同期内因市政建设需要征用、临时占用需要调整乙方养护面积时，乙方须无条件服从。</w:t>
      </w:r>
    </w:p>
    <w:p>
      <w:pPr>
        <w:snapToGrid w:val="0"/>
        <w:spacing w:line="420" w:lineRule="atLeast"/>
        <w:ind w:firstLine="442" w:firstLineChars="200"/>
        <w:rPr>
          <w:rFonts w:ascii="宋体" w:cs="宋体"/>
          <w:b/>
          <w:color w:val="auto"/>
          <w:sz w:val="22"/>
          <w:szCs w:val="22"/>
          <w:highlight w:val="none"/>
        </w:rPr>
      </w:pPr>
      <w:r>
        <w:rPr>
          <w:rFonts w:hint="eastAsia" w:ascii="宋体" w:cs="宋体"/>
          <w:b/>
          <w:color w:val="auto"/>
          <w:sz w:val="22"/>
          <w:szCs w:val="22"/>
          <w:highlight w:val="none"/>
        </w:rPr>
        <w:t>第三条  承包期限</w:t>
      </w:r>
    </w:p>
    <w:p>
      <w:pPr>
        <w:snapToGrid w:val="0"/>
        <w:spacing w:line="420" w:lineRule="atLeast"/>
        <w:ind w:firstLine="482"/>
        <w:rPr>
          <w:rFonts w:hint="eastAsia" w:ascii="宋体" w:cs="宋体"/>
          <w:bCs/>
          <w:color w:val="auto"/>
          <w:sz w:val="22"/>
          <w:szCs w:val="22"/>
          <w:highlight w:val="none"/>
          <w:lang w:eastAsia="zh-CN"/>
        </w:rPr>
      </w:pPr>
      <w:r>
        <w:rPr>
          <w:rFonts w:hint="eastAsia" w:ascii="宋体" w:cs="宋体"/>
          <w:bCs/>
          <w:color w:val="auto"/>
          <w:sz w:val="22"/>
          <w:szCs w:val="22"/>
          <w:highlight w:val="none"/>
        </w:rPr>
        <w:t>1、</w:t>
      </w:r>
      <w:r>
        <w:rPr>
          <w:rFonts w:hint="eastAsia" w:ascii="宋体" w:cs="宋体"/>
          <w:bCs/>
          <w:color w:val="auto"/>
          <w:sz w:val="22"/>
          <w:szCs w:val="22"/>
          <w:highlight w:val="none"/>
          <w:lang w:val="en-US" w:eastAsia="zh-CN"/>
        </w:rPr>
        <w:t>二年</w:t>
      </w:r>
      <w:r>
        <w:rPr>
          <w:rFonts w:hint="eastAsia" w:ascii="宋体" w:cs="宋体"/>
          <w:bCs/>
          <w:color w:val="auto"/>
          <w:sz w:val="22"/>
          <w:szCs w:val="22"/>
          <w:highlight w:val="none"/>
        </w:rPr>
        <w:t>，自</w:t>
      </w:r>
      <w:r>
        <w:rPr>
          <w:rFonts w:hint="eastAsia" w:ascii="宋体" w:cs="宋体"/>
          <w:bCs/>
          <w:color w:val="auto"/>
          <w:sz w:val="22"/>
          <w:szCs w:val="22"/>
          <w:highlight w:val="none"/>
          <w:lang w:val="en-US" w:eastAsia="zh-CN"/>
        </w:rPr>
        <w:t xml:space="preserve">   </w:t>
      </w:r>
      <w:r>
        <w:rPr>
          <w:rFonts w:hint="eastAsia" w:ascii="宋体" w:cs="宋体"/>
          <w:bCs/>
          <w:color w:val="auto"/>
          <w:sz w:val="22"/>
          <w:szCs w:val="22"/>
          <w:highlight w:val="none"/>
        </w:rPr>
        <w:t>年</w:t>
      </w:r>
      <w:r>
        <w:rPr>
          <w:rFonts w:hint="eastAsia" w:ascii="宋体" w:cs="宋体"/>
          <w:bCs/>
          <w:color w:val="auto"/>
          <w:sz w:val="22"/>
          <w:szCs w:val="22"/>
          <w:highlight w:val="none"/>
          <w:lang w:val="en-US" w:eastAsia="zh-CN"/>
        </w:rPr>
        <w:t xml:space="preserve">   </w:t>
      </w:r>
      <w:r>
        <w:rPr>
          <w:rFonts w:hint="eastAsia" w:ascii="宋体" w:cs="宋体"/>
          <w:bCs/>
          <w:color w:val="auto"/>
          <w:sz w:val="22"/>
          <w:szCs w:val="22"/>
          <w:highlight w:val="none"/>
        </w:rPr>
        <w:t>月</w:t>
      </w:r>
      <w:r>
        <w:rPr>
          <w:rFonts w:hint="eastAsia" w:ascii="宋体" w:cs="宋体"/>
          <w:bCs/>
          <w:color w:val="auto"/>
          <w:sz w:val="22"/>
          <w:szCs w:val="22"/>
          <w:highlight w:val="none"/>
          <w:lang w:val="en-US" w:eastAsia="zh-CN"/>
        </w:rPr>
        <w:t xml:space="preserve">   </w:t>
      </w:r>
      <w:r>
        <w:rPr>
          <w:rFonts w:hint="eastAsia" w:ascii="宋体" w:cs="宋体"/>
          <w:bCs/>
          <w:color w:val="auto"/>
          <w:sz w:val="22"/>
          <w:szCs w:val="22"/>
          <w:highlight w:val="none"/>
        </w:rPr>
        <w:t>日至</w:t>
      </w:r>
      <w:r>
        <w:rPr>
          <w:rFonts w:hint="eastAsia" w:ascii="宋体" w:cs="宋体"/>
          <w:bCs/>
          <w:color w:val="auto"/>
          <w:sz w:val="22"/>
          <w:szCs w:val="22"/>
          <w:highlight w:val="none"/>
          <w:lang w:val="en-US" w:eastAsia="zh-CN"/>
        </w:rPr>
        <w:t xml:space="preserve">   </w:t>
      </w:r>
      <w:r>
        <w:rPr>
          <w:rFonts w:hint="eastAsia" w:ascii="宋体" w:cs="宋体"/>
          <w:bCs/>
          <w:color w:val="auto"/>
          <w:sz w:val="22"/>
          <w:szCs w:val="22"/>
          <w:highlight w:val="none"/>
        </w:rPr>
        <w:t>年</w:t>
      </w:r>
      <w:r>
        <w:rPr>
          <w:rFonts w:hint="eastAsia" w:ascii="宋体" w:cs="宋体"/>
          <w:bCs/>
          <w:color w:val="auto"/>
          <w:sz w:val="22"/>
          <w:szCs w:val="22"/>
          <w:highlight w:val="none"/>
          <w:lang w:val="en-US" w:eastAsia="zh-CN"/>
        </w:rPr>
        <w:t xml:space="preserve">   </w:t>
      </w:r>
      <w:r>
        <w:rPr>
          <w:rFonts w:hint="eastAsia" w:ascii="宋体" w:cs="宋体"/>
          <w:bCs/>
          <w:color w:val="auto"/>
          <w:sz w:val="22"/>
          <w:szCs w:val="22"/>
          <w:highlight w:val="none"/>
        </w:rPr>
        <w:t>月</w:t>
      </w:r>
      <w:r>
        <w:rPr>
          <w:rFonts w:hint="eastAsia" w:ascii="宋体" w:cs="宋体"/>
          <w:bCs/>
          <w:color w:val="auto"/>
          <w:sz w:val="22"/>
          <w:szCs w:val="22"/>
          <w:highlight w:val="none"/>
          <w:lang w:val="en-US" w:eastAsia="zh-CN"/>
        </w:rPr>
        <w:t xml:space="preserve">   </w:t>
      </w:r>
      <w:r>
        <w:rPr>
          <w:rFonts w:hint="eastAsia" w:ascii="宋体" w:cs="宋体"/>
          <w:bCs/>
          <w:color w:val="auto"/>
          <w:sz w:val="22"/>
          <w:szCs w:val="22"/>
          <w:highlight w:val="none"/>
        </w:rPr>
        <w:t>日</w:t>
      </w:r>
      <w:r>
        <w:rPr>
          <w:rFonts w:hint="eastAsia" w:ascii="宋体" w:cs="宋体"/>
          <w:bCs/>
          <w:color w:val="auto"/>
          <w:sz w:val="22"/>
          <w:szCs w:val="22"/>
          <w:highlight w:val="none"/>
          <w:lang w:eastAsia="zh-CN"/>
        </w:rPr>
        <w:t>。</w:t>
      </w:r>
    </w:p>
    <w:p>
      <w:pPr>
        <w:snapToGrid w:val="0"/>
        <w:spacing w:line="420" w:lineRule="atLeast"/>
        <w:ind w:firstLine="482"/>
        <w:rPr>
          <w:rFonts w:ascii="宋体" w:cs="宋体"/>
          <w:bCs/>
          <w:color w:val="auto"/>
          <w:sz w:val="22"/>
          <w:szCs w:val="22"/>
          <w:highlight w:val="none"/>
        </w:rPr>
      </w:pPr>
      <w:r>
        <w:rPr>
          <w:rFonts w:hint="eastAsia" w:ascii="宋体" w:cs="宋体"/>
          <w:bCs/>
          <w:color w:val="auto"/>
          <w:sz w:val="22"/>
          <w:szCs w:val="22"/>
          <w:highlight w:val="none"/>
          <w:lang w:val="en-US" w:eastAsia="zh-CN"/>
        </w:rPr>
        <w:t>2、在承包期内，经甲方考核，乙方无法</w:t>
      </w:r>
      <w:r>
        <w:rPr>
          <w:rFonts w:hint="eastAsia" w:ascii="宋体" w:cs="宋体"/>
          <w:bCs/>
          <w:color w:val="auto"/>
          <w:sz w:val="22"/>
          <w:szCs w:val="22"/>
          <w:highlight w:val="none"/>
        </w:rPr>
        <w:t>保质保量完成绿化养护业务</w:t>
      </w:r>
      <w:r>
        <w:rPr>
          <w:rFonts w:hint="eastAsia" w:ascii="宋体" w:cs="宋体"/>
          <w:bCs/>
          <w:color w:val="auto"/>
          <w:sz w:val="22"/>
          <w:szCs w:val="22"/>
          <w:highlight w:val="none"/>
          <w:lang w:val="en-US" w:eastAsia="zh-CN"/>
        </w:rPr>
        <w:t>或无法继续履行合同的，甲方有权单方终止本合同</w:t>
      </w:r>
      <w:r>
        <w:rPr>
          <w:rFonts w:hint="eastAsia" w:ascii="宋体" w:cs="宋体"/>
          <w:bCs/>
          <w:color w:val="auto"/>
          <w:sz w:val="22"/>
          <w:szCs w:val="22"/>
          <w:highlight w:val="none"/>
        </w:rPr>
        <w:t>。</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第四条  承包经费</w:t>
      </w:r>
    </w:p>
    <w:p>
      <w:pPr>
        <w:snapToGrid w:val="0"/>
        <w:spacing w:line="42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（一）承包经费：</w:t>
      </w:r>
      <w:r>
        <w:rPr>
          <w:rFonts w:hint="eastAsia" w:ascii="宋体" w:cs="宋体"/>
          <w:bCs/>
          <w:color w:val="auto"/>
          <w:sz w:val="22"/>
          <w:szCs w:val="22"/>
          <w:highlight w:val="none"/>
          <w:u w:val="single"/>
        </w:rPr>
        <w:t xml:space="preserve">     </w:t>
      </w:r>
      <w:r>
        <w:rPr>
          <w:rFonts w:hint="eastAsia" w:ascii="宋体" w:cs="宋体"/>
          <w:bCs/>
          <w:color w:val="auto"/>
          <w:sz w:val="22"/>
          <w:szCs w:val="22"/>
          <w:highlight w:val="none"/>
        </w:rPr>
        <w:t>元（人民币大写：</w:t>
      </w:r>
      <w:r>
        <w:rPr>
          <w:rFonts w:hint="eastAsia" w:ascii="宋体" w:cs="宋体"/>
          <w:bCs/>
          <w:color w:val="auto"/>
          <w:sz w:val="22"/>
          <w:szCs w:val="22"/>
          <w:highlight w:val="none"/>
          <w:u w:val="single"/>
        </w:rPr>
        <w:t xml:space="preserve">            </w:t>
      </w:r>
      <w:r>
        <w:rPr>
          <w:rFonts w:hint="eastAsia" w:ascii="宋体" w:cs="宋体"/>
          <w:bCs/>
          <w:color w:val="auto"/>
          <w:sz w:val="22"/>
          <w:szCs w:val="22"/>
          <w:highlight w:val="none"/>
        </w:rPr>
        <w:t>元整）。</w:t>
      </w:r>
    </w:p>
    <w:p>
      <w:pPr>
        <w:snapToGrid w:val="0"/>
        <w:spacing w:line="42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二）承包经费由人工费（包括工人工资、奖金、房补、劳保福利、社保基金、工伤费、教育培训费、暂住费及处理一切伤亡事故等费用）、机械台班费、水电费、工具材料费、垃圾清运费、安全文明生产装备费（包括工人冬、夏装工作服、反光衣等）、环卫作业GPS管理平台软件硬件建设及维护费用、重大活动及应急任务费用、浇水费、清枯</w:t>
      </w:r>
      <w:r>
        <w:rPr>
          <w:rFonts w:hint="eastAsia" w:ascii="宋体" w:cs="宋体"/>
          <w:bCs/>
          <w:color w:val="auto"/>
          <w:sz w:val="22"/>
          <w:szCs w:val="22"/>
          <w:highlight w:val="none"/>
          <w:lang w:val="zh-CN"/>
        </w:rPr>
        <w:t>枝残花落叶及绿化垃圾费、意外事件处理费、补植及其他费、修剪费用、施肥费用、松土除草费、病虫害防治费及</w:t>
      </w:r>
      <w:r>
        <w:rPr>
          <w:rFonts w:hint="eastAsia" w:ascii="宋体" w:cs="宋体"/>
          <w:bCs/>
          <w:color w:val="auto"/>
          <w:sz w:val="22"/>
          <w:szCs w:val="22"/>
          <w:highlight w:val="none"/>
        </w:rPr>
        <w:t>企业应缴税金和应得利润、应急、预备金等完成合同所需的一切本身和不可或缺的所有工作开支、政策性文件规定计合同包含的所有风险、责任等各项全部费用组成。</w:t>
      </w:r>
    </w:p>
    <w:p>
      <w:pPr>
        <w:snapToGrid w:val="0"/>
        <w:spacing w:line="42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（三）承包经费按项目进度、检查验收结果和资金到账情况分次月核拨，由乙方按甲方业务要求支配使用。</w:t>
      </w:r>
    </w:p>
    <w:p>
      <w:pPr>
        <w:snapToGrid w:val="0"/>
        <w:spacing w:line="42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（四）承包经费最终结算价依据中标通知书、招投标文件、验收考核等要求计算。</w:t>
      </w:r>
    </w:p>
    <w:p>
      <w:pPr>
        <w:snapToGrid w:val="0"/>
        <w:spacing w:line="42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（五）付款方式</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在合同生效以及具备实施条件后15日内（同时中标供应商提供合同金额</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的预付款担保函），采购人向中标供应商支付合同金额扣除预备金和奖励金后</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的预付款。</w:t>
      </w:r>
    </w:p>
    <w:p>
      <w:pPr>
        <w:widowControl/>
        <w:autoSpaceDE w:val="0"/>
        <w:autoSpaceDN w:val="0"/>
        <w:adjustRightInd w:val="0"/>
        <w:spacing w:line="460" w:lineRule="atLeast"/>
        <w:ind w:firstLine="330" w:firstLineChars="150"/>
        <w:textAlignment w:val="bottom"/>
        <w:rPr>
          <w:rFonts w:ascii="宋体" w:cs="宋体"/>
          <w:bCs/>
          <w:color w:val="auto"/>
          <w:sz w:val="22"/>
          <w:szCs w:val="22"/>
          <w:highlight w:val="none"/>
        </w:rPr>
      </w:pPr>
      <w:r>
        <w:rPr>
          <w:rFonts w:hint="eastAsia" w:ascii="新宋体" w:hAnsi="新宋体" w:eastAsia="新宋体" w:cs="新宋体"/>
          <w:color w:val="auto"/>
          <w:sz w:val="22"/>
          <w:szCs w:val="22"/>
          <w:highlight w:val="none"/>
        </w:rPr>
        <w:t>每月支付金额=（中标金额-预付款）/12-当月考核扣罚金额，按月支付给供应商承包服务费(根据考核结果及合同，扣除该月扣罚金额)。采购人于下月15日前凭中标供应商开具的税务发票（遇节假日顺延，税金由中标供应商承担）、工人工资册（内容包括工人姓名、工资、身份证、考勤记录、社保证明等信息）、机械化车辆运行记录和人员作业记录支付本月服务费，若发现有未交社保的，采购人将在支付时扣除该部分人员企业承担的社保费用，承包到期后根据考核结果支付剩余应付款项。</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第五条  承包方式</w:t>
      </w:r>
    </w:p>
    <w:p>
      <w:pPr>
        <w:snapToGrid w:val="0"/>
        <w:spacing w:line="420" w:lineRule="atLeast"/>
        <w:ind w:firstLine="482"/>
        <w:rPr>
          <w:rFonts w:ascii="宋体" w:cs="宋体"/>
          <w:bCs/>
          <w:color w:val="auto"/>
          <w:sz w:val="22"/>
          <w:szCs w:val="22"/>
          <w:highlight w:val="none"/>
        </w:rPr>
      </w:pPr>
      <w:r>
        <w:rPr>
          <w:rFonts w:hint="eastAsia" w:ascii="宋体" w:cs="宋体"/>
          <w:color w:val="auto"/>
          <w:sz w:val="22"/>
          <w:szCs w:val="22"/>
          <w:highlight w:val="none"/>
        </w:rPr>
        <w:t>本项目总价包干</w:t>
      </w:r>
      <w:r>
        <w:rPr>
          <w:rFonts w:hint="eastAsia" w:ascii="宋体" w:cs="宋体"/>
          <w:bCs/>
          <w:color w:val="auto"/>
          <w:sz w:val="22"/>
          <w:szCs w:val="22"/>
          <w:highlight w:val="none"/>
        </w:rPr>
        <w:t>，即业务包干、经费包干方式。甲方将绿化养护业务及相应的经费交给乙方，乙方按甲方的管理要求和标准组织绿化养护工作，并接受甲方的指导、监督和检查验收。</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第六条  工作要求和质量标准</w:t>
      </w:r>
    </w:p>
    <w:p>
      <w:pPr>
        <w:snapToGrid w:val="0"/>
        <w:spacing w:line="440" w:lineRule="atLeast"/>
        <w:ind w:firstLine="482"/>
        <w:rPr>
          <w:rFonts w:ascii="宋体" w:cs="宋体"/>
          <w:color w:val="auto"/>
          <w:sz w:val="22"/>
          <w:szCs w:val="22"/>
          <w:highlight w:val="none"/>
        </w:rPr>
      </w:pPr>
      <w:r>
        <w:rPr>
          <w:rFonts w:hint="eastAsia" w:ascii="宋体" w:cs="宋体"/>
          <w:color w:val="auto"/>
          <w:sz w:val="22"/>
          <w:szCs w:val="22"/>
          <w:highlight w:val="none"/>
        </w:rPr>
        <w:t>各项具体工作的质量标准和作业规范按甲方具体要求</w:t>
      </w:r>
      <w:r>
        <w:rPr>
          <w:rFonts w:ascii="宋体" w:cs="宋体"/>
          <w:color w:val="auto"/>
          <w:sz w:val="22"/>
          <w:szCs w:val="22"/>
          <w:highlight w:val="none"/>
          <w:lang w:val="zh-CN" w:bidi="zh-CN"/>
        </w:rPr>
        <w:t>《温州市城市绿化条例》、</w:t>
      </w:r>
      <w:r>
        <w:rPr>
          <w:rFonts w:hint="eastAsia" w:ascii="宋体" w:cs="宋体"/>
          <w:color w:val="auto"/>
          <w:sz w:val="22"/>
          <w:szCs w:val="22"/>
          <w:highlight w:val="none"/>
        </w:rPr>
        <w:t>《温州市园林植物养护技术规程》及《招标文件》中所规定的执行。</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第七条  检查考评办法</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具体的检查验收方法、内容、程序等按甲方具体要求及《招标文件》执行。</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第八条  履约保证金</w:t>
      </w:r>
    </w:p>
    <w:p>
      <w:pPr>
        <w:snapToGrid w:val="0"/>
        <w:spacing w:line="440" w:lineRule="atLeast"/>
        <w:ind w:firstLine="220" w:firstLineChars="100"/>
        <w:rPr>
          <w:rFonts w:hint="eastAsia" w:ascii="宋体" w:cs="宋体"/>
          <w:bCs/>
          <w:color w:val="auto"/>
          <w:sz w:val="22"/>
          <w:szCs w:val="22"/>
          <w:highlight w:val="none"/>
        </w:rPr>
      </w:pPr>
      <w:r>
        <w:rPr>
          <w:rFonts w:hint="eastAsia" w:ascii="宋体" w:cs="宋体"/>
          <w:bCs/>
          <w:color w:val="auto"/>
          <w:sz w:val="22"/>
          <w:szCs w:val="22"/>
          <w:highlight w:val="none"/>
        </w:rPr>
        <w:t>（一）中标供应商在收到中标通知书后5个工作日内，需向甲方提供合同总价1％的履约保证金。</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第九条  考评办法</w:t>
      </w:r>
    </w:p>
    <w:p>
      <w:pPr>
        <w:snapToGrid w:val="0"/>
        <w:spacing w:line="44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（一）乙方应严格按照甲方具体要求及《招标文件》的规定，对承包的面积范围的市场化道路进行绿化养护。同时，还要接受甲方按招标</w:t>
      </w:r>
      <w:r>
        <w:rPr>
          <w:rFonts w:ascii="宋体" w:cs="宋体"/>
          <w:bCs/>
          <w:color w:val="auto"/>
          <w:sz w:val="22"/>
          <w:szCs w:val="22"/>
          <w:highlight w:val="none"/>
        </w:rPr>
        <w:t>文件</w:t>
      </w:r>
      <w:r>
        <w:rPr>
          <w:rFonts w:hint="eastAsia" w:ascii="宋体" w:cs="宋体"/>
          <w:bCs/>
          <w:color w:val="auto"/>
          <w:sz w:val="22"/>
          <w:szCs w:val="22"/>
          <w:highlight w:val="none"/>
        </w:rPr>
        <w:t>规定进行质量检查考评。</w:t>
      </w:r>
    </w:p>
    <w:p>
      <w:pPr>
        <w:snapToGrid w:val="0"/>
        <w:spacing w:line="44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（二）</w:t>
      </w:r>
      <w:r>
        <w:rPr>
          <w:rFonts w:ascii="宋体" w:cs="宋体"/>
          <w:bCs/>
          <w:color w:val="auto"/>
          <w:sz w:val="22"/>
          <w:szCs w:val="22"/>
          <w:highlight w:val="none"/>
        </w:rPr>
        <w:t>考核及支付违约金的条款</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第十条  权利和义务</w:t>
      </w:r>
    </w:p>
    <w:p>
      <w:pPr>
        <w:snapToGrid w:val="0"/>
        <w:spacing w:line="44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（一）甲方权利与义务</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1、甲方对乙方的绿化养护业务进行全面的技术指导、检查、管理和监督，对检查中发现的环境卫生质量问题及时向乙方提出书面或口头改进意见。</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2、甲方对乙方违反《绿化养护考核标准》中规定的行为</w:t>
      </w:r>
      <w:r>
        <w:rPr>
          <w:rFonts w:ascii="宋体" w:cs="宋体"/>
          <w:color w:val="auto"/>
          <w:sz w:val="22"/>
          <w:szCs w:val="22"/>
          <w:highlight w:val="none"/>
          <w:lang w:val="zh-CN" w:bidi="zh-CN"/>
        </w:rPr>
        <w:t>可以要求乙方支付相应的违约金</w:t>
      </w:r>
      <w:r>
        <w:rPr>
          <w:rFonts w:hint="eastAsia" w:ascii="宋体" w:cs="宋体"/>
          <w:bCs/>
          <w:color w:val="auto"/>
          <w:sz w:val="22"/>
          <w:szCs w:val="22"/>
          <w:highlight w:val="none"/>
        </w:rPr>
        <w:t>。</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3、甲方监督检查乙方落实安全生产措施（包括防台、防火）。</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4、甲方监督检查乙方对员工进行培训的情况，以提高绿化养护服务的技术水平。</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5、甲方应按绿化养护质量和检查验收结果计算经费，扣除乙方因检查不合格应扣款后，将经费按期支付给乙方。</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6、甲方可要求乙方调整不合格员工。</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7、甲方可根据政策的变动并结合实际情况对本项目合同进行修改和补充。</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8、甲方应按时支付款项。本合同的经费由政府拨款，如因政策影响，拨款未能及时到位，乙方不得以此为由而不履行本合同规定的义务，</w:t>
      </w:r>
      <w:r>
        <w:rPr>
          <w:rFonts w:ascii="宋体" w:cs="宋体"/>
          <w:color w:val="auto"/>
          <w:spacing w:val="-4"/>
          <w:sz w:val="22"/>
          <w:szCs w:val="22"/>
          <w:highlight w:val="none"/>
          <w:lang w:val="zh-CN" w:bidi="zh-CN"/>
        </w:rPr>
        <w:t>否则甲方按规定要求支付违约金。</w:t>
      </w:r>
    </w:p>
    <w:p>
      <w:pPr>
        <w:snapToGrid w:val="0"/>
        <w:spacing w:line="440" w:lineRule="atLeast"/>
        <w:ind w:firstLine="220" w:firstLineChars="100"/>
        <w:rPr>
          <w:rFonts w:ascii="宋体" w:cs="宋体"/>
          <w:bCs/>
          <w:color w:val="auto"/>
          <w:sz w:val="22"/>
          <w:szCs w:val="22"/>
          <w:highlight w:val="none"/>
        </w:rPr>
      </w:pPr>
      <w:r>
        <w:rPr>
          <w:rFonts w:hint="eastAsia" w:ascii="宋体" w:cs="宋体"/>
          <w:bCs/>
          <w:color w:val="auto"/>
          <w:sz w:val="22"/>
          <w:szCs w:val="22"/>
          <w:highlight w:val="none"/>
        </w:rPr>
        <w:t>（二）乙方权利和义务</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1、乙方有权根据承包合同按期领取承包结算经费。</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2、乙方有权对管理工作提出建议。</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3、乙方履行承诺的义务，并参加由甲方组织的检查和综合考评。</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4、乙方应接受甲方的检查监督及指导。</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5、按甲方的要求开展工作，如有改变，乙方应提出书面申请，并征得甲方的书面同意。</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 xml:space="preserve">6、特殊情况下（台风、暴雨和冰雪等），乙方除应做好管辖地段保护工作外，还应服从甲方的统一指挥和调动，参加抢险救灾工作。 </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7、乙方根据本合同所承担的服务内容，按实际上岗人数自行到有关部门申办相关手续。员工最低工资不得低于</w:t>
      </w:r>
      <w:r>
        <w:rPr>
          <w:rFonts w:ascii="宋体" w:cs="宋体"/>
          <w:bCs/>
          <w:color w:val="auto"/>
          <w:sz w:val="22"/>
          <w:szCs w:val="22"/>
          <w:highlight w:val="none"/>
        </w:rPr>
        <w:t>温州市</w:t>
      </w:r>
      <w:r>
        <w:rPr>
          <w:rFonts w:hint="eastAsia" w:ascii="宋体" w:cs="宋体"/>
          <w:bCs/>
          <w:color w:val="auto"/>
          <w:sz w:val="22"/>
          <w:szCs w:val="22"/>
          <w:highlight w:val="none"/>
        </w:rPr>
        <w:t>本年度最低工资标准的110%，并按相关规定办理社保。安排好属下人员的住宿和教育管理工作，如发生违纪事件，由乙方承担一切经济责任和法律责任。</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8、乙方应按甲方要求，为上岗工人购买统一的工作服及反光背心。</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9、负责提供本项目所需的全部工具、设备和材料。</w:t>
      </w:r>
    </w:p>
    <w:p>
      <w:pPr>
        <w:snapToGrid w:val="0"/>
        <w:spacing w:line="440" w:lineRule="atLeast"/>
        <w:ind w:firstLine="482"/>
        <w:rPr>
          <w:rFonts w:hint="eastAsia" w:ascii="宋体" w:cs="宋体"/>
          <w:bCs/>
          <w:color w:val="auto"/>
          <w:sz w:val="22"/>
          <w:szCs w:val="22"/>
          <w:highlight w:val="none"/>
        </w:rPr>
      </w:pPr>
      <w:r>
        <w:rPr>
          <w:rFonts w:hint="eastAsia" w:ascii="宋体" w:cs="宋体"/>
          <w:bCs/>
          <w:color w:val="auto"/>
          <w:sz w:val="22"/>
          <w:szCs w:val="22"/>
          <w:highlight w:val="none"/>
        </w:rPr>
        <w:t>10、乙方负责安排骨干参加业务技术的培训学习。</w:t>
      </w:r>
    </w:p>
    <w:p>
      <w:pPr>
        <w:snapToGrid w:val="0"/>
        <w:spacing w:line="440" w:lineRule="atLeast"/>
        <w:ind w:firstLine="482"/>
        <w:rPr>
          <w:rFonts w:ascii="宋体" w:cs="宋体"/>
          <w:bCs/>
          <w:color w:val="auto"/>
          <w:sz w:val="22"/>
          <w:szCs w:val="22"/>
          <w:highlight w:val="none"/>
        </w:rPr>
      </w:pPr>
      <w:r>
        <w:rPr>
          <w:rFonts w:hint="eastAsia" w:ascii="宋体"/>
          <w:color w:val="auto"/>
          <w:sz w:val="22"/>
          <w:szCs w:val="22"/>
          <w:highlight w:val="none"/>
        </w:rPr>
        <w:t>11、合同承包期内，乙方的工作人员、车辆、工具出现安全事故导致人员伤亡、器械损毁的情况，均由乙方自负责任。</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12、乙方负责作业过程中的事故处理和一切费用，并承担事故的所有责任。</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13、乙方应严格遵守国家法律、法规的规定，做好社会治安综合治理和计划生育等工作，不得违反国家法律、法规和温州市的有关规定。</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14、在合同期内，因国家建设需要调整乙方管理任务和管理级别时，乙方要服从大局，相应增减承包面积及经费。由此造成的经济损失，甲方不负赔偿责任。</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15、乙方应遵守法律、法规和政策的规定，因以上原因使合同性质发生改变，甲方不负赔偿责任。</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第十一条  合同组成</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承包合同组成：《招标文件》、《投标文件》、《中标通知书》、</w:t>
      </w:r>
      <w:r>
        <w:rPr>
          <w:rFonts w:ascii="宋体" w:cs="宋体"/>
          <w:bCs/>
          <w:color w:val="auto"/>
          <w:sz w:val="22"/>
          <w:szCs w:val="22"/>
          <w:highlight w:val="none"/>
        </w:rPr>
        <w:t>《</w:t>
      </w:r>
      <w:r>
        <w:rPr>
          <w:rFonts w:hint="eastAsia" w:ascii="宋体" w:cs="宋体"/>
          <w:bCs/>
          <w:color w:val="auto"/>
          <w:sz w:val="22"/>
          <w:szCs w:val="22"/>
          <w:highlight w:val="none"/>
        </w:rPr>
        <w:t>考核方法</w:t>
      </w:r>
      <w:r>
        <w:rPr>
          <w:rFonts w:ascii="宋体" w:cs="宋体"/>
          <w:bCs/>
          <w:color w:val="auto"/>
          <w:sz w:val="22"/>
          <w:szCs w:val="22"/>
          <w:highlight w:val="none"/>
        </w:rPr>
        <w:t>》</w:t>
      </w:r>
      <w:r>
        <w:rPr>
          <w:rFonts w:hint="eastAsia" w:ascii="宋体" w:cs="宋体"/>
          <w:bCs/>
          <w:color w:val="auto"/>
          <w:sz w:val="22"/>
          <w:szCs w:val="22"/>
          <w:highlight w:val="none"/>
        </w:rPr>
        <w:t>及询标纪要和承诺书为本合同的有效组成部分。</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第十二条  违约责任</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的服务费考核扣除。</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（二）乙方因机械、工具或技术、劳动等跟不上管理需要影响工作，未达到质量标准，按照《招标文件》的规定，甲方有权单方终止本合同，并按考核处罚。</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第十三条  验收移交</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（一）在合同终止前十个工作日内，由乙方书面向甲方提出移交验收申请。</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（二）合同期满，乙方必须将全部绿化养护业务及时移交甲方。未经甲方许可，合同期满，乙方不及时移交管理工程给甲方，每超过一天扣除合同金额的1%</w:t>
      </w:r>
      <w:r>
        <w:rPr>
          <w:rFonts w:ascii="宋体" w:cs="宋体"/>
          <w:color w:val="auto"/>
          <w:sz w:val="22"/>
          <w:szCs w:val="22"/>
          <w:highlight w:val="none"/>
          <w:lang w:val="zh-CN" w:bidi="zh-CN"/>
        </w:rPr>
        <w:t>作为违约金。</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第十四条  争议的解决</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合同未尽事宜，应双方友好协调解决。协商不一致，任何一方均可提起仲裁或诉讼，仲裁或诉讼按合同履行地原则。</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第十五条  合同生效及终止</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（一）本合同在双方法定代表人或授权代表签署加盖印章后生效。</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（二）合同终止：本合同出现以下情况时终止。</w:t>
      </w:r>
    </w:p>
    <w:p>
      <w:pPr>
        <w:snapToGrid w:val="0"/>
        <w:spacing w:line="440" w:lineRule="atLeast"/>
        <w:ind w:firstLine="701" w:firstLineChars="319"/>
        <w:rPr>
          <w:rFonts w:ascii="宋体" w:cs="宋体"/>
          <w:bCs/>
          <w:color w:val="auto"/>
          <w:sz w:val="22"/>
          <w:szCs w:val="22"/>
          <w:highlight w:val="none"/>
        </w:rPr>
      </w:pPr>
      <w:r>
        <w:rPr>
          <w:rFonts w:hint="eastAsia" w:ascii="宋体" w:cs="宋体"/>
          <w:bCs/>
          <w:color w:val="auto"/>
          <w:sz w:val="22"/>
          <w:szCs w:val="22"/>
          <w:highlight w:val="none"/>
        </w:rPr>
        <w:t>1、期限届满时自行终止。</w:t>
      </w:r>
    </w:p>
    <w:p>
      <w:pPr>
        <w:snapToGrid w:val="0"/>
        <w:spacing w:line="440" w:lineRule="atLeast"/>
        <w:ind w:firstLine="701" w:firstLineChars="319"/>
        <w:rPr>
          <w:rFonts w:ascii="宋体" w:cs="宋体"/>
          <w:bCs/>
          <w:color w:val="auto"/>
          <w:sz w:val="22"/>
          <w:szCs w:val="22"/>
          <w:highlight w:val="none"/>
        </w:rPr>
      </w:pPr>
      <w:r>
        <w:rPr>
          <w:rFonts w:hint="eastAsia" w:ascii="宋体" w:cs="宋体"/>
          <w:bCs/>
          <w:color w:val="auto"/>
          <w:sz w:val="22"/>
          <w:szCs w:val="22"/>
          <w:highlight w:val="none"/>
        </w:rPr>
        <w:t>2、根据招标文件 “考核方法”进行检查考评，不符合相关规定需终止合同的。</w:t>
      </w:r>
    </w:p>
    <w:p>
      <w:pPr>
        <w:snapToGrid w:val="0"/>
        <w:spacing w:line="440" w:lineRule="atLeast"/>
        <w:ind w:firstLine="701" w:firstLineChars="319"/>
        <w:rPr>
          <w:rFonts w:ascii="宋体" w:cs="宋体"/>
          <w:bCs/>
          <w:color w:val="auto"/>
          <w:sz w:val="22"/>
          <w:szCs w:val="22"/>
          <w:highlight w:val="none"/>
        </w:rPr>
      </w:pPr>
      <w:r>
        <w:rPr>
          <w:rFonts w:hint="eastAsia" w:ascii="宋体" w:cs="宋体"/>
          <w:bCs/>
          <w:color w:val="auto"/>
          <w:sz w:val="22"/>
          <w:szCs w:val="22"/>
          <w:highlight w:val="none"/>
        </w:rPr>
        <w:t>3、有以下行为之一的：</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（1）违反管理规定，造成重大伤亡或重大损失。</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（2）因管理不善造成恶劣影响。</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（3）擅自将合同转包给第三者。</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（4）违反劳动法或其他相关法律法规，造成恶劣影响。</w:t>
      </w:r>
    </w:p>
    <w:p>
      <w:pPr>
        <w:snapToGrid w:val="0"/>
        <w:spacing w:line="440" w:lineRule="atLeast"/>
        <w:ind w:firstLine="482"/>
        <w:rPr>
          <w:rFonts w:hint="eastAsia" w:ascii="宋体" w:cs="宋体"/>
          <w:bCs/>
          <w:color w:val="auto"/>
          <w:sz w:val="22"/>
          <w:szCs w:val="22"/>
          <w:highlight w:val="none"/>
        </w:rPr>
      </w:pPr>
      <w:r>
        <w:rPr>
          <w:rFonts w:hint="eastAsia" w:ascii="宋体" w:cs="宋体"/>
          <w:bCs/>
          <w:color w:val="auto"/>
          <w:sz w:val="22"/>
          <w:szCs w:val="22"/>
          <w:highlight w:val="none"/>
        </w:rPr>
        <w:t>（5）弄虚作假及其他不正当行为。</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（6）在实施任务中，未认真履行职责的，采购人有权对合同进行终止处理，对供应商带来的损失，均由供应商自行处理。</w:t>
      </w:r>
    </w:p>
    <w:p>
      <w:pPr>
        <w:snapToGrid w:val="0"/>
        <w:spacing w:line="440" w:lineRule="atLeast"/>
        <w:ind w:firstLine="701" w:firstLineChars="319"/>
        <w:rPr>
          <w:rFonts w:ascii="宋体" w:cs="宋体"/>
          <w:bCs/>
          <w:color w:val="auto"/>
          <w:sz w:val="22"/>
          <w:szCs w:val="22"/>
          <w:highlight w:val="none"/>
        </w:rPr>
      </w:pPr>
      <w:r>
        <w:rPr>
          <w:rFonts w:hint="eastAsia" w:ascii="宋体" w:cs="宋体"/>
          <w:bCs/>
          <w:color w:val="auto"/>
          <w:sz w:val="22"/>
          <w:szCs w:val="22"/>
          <w:highlight w:val="none"/>
        </w:rPr>
        <w:t>4、法律规定的终止事由。</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（三）本合同一式伍份，双方各贰份，招标代理有限公司执壹份。</w:t>
      </w:r>
    </w:p>
    <w:p>
      <w:pPr>
        <w:snapToGrid w:val="0"/>
        <w:spacing w:line="420" w:lineRule="atLeast"/>
        <w:ind w:firstLine="442" w:firstLineChars="200"/>
        <w:rPr>
          <w:rFonts w:hint="eastAsia" w:ascii="宋体" w:cs="宋体"/>
          <w:b/>
          <w:color w:val="auto"/>
          <w:sz w:val="22"/>
          <w:szCs w:val="22"/>
          <w:highlight w:val="none"/>
        </w:rPr>
      </w:pPr>
      <w:r>
        <w:rPr>
          <w:rFonts w:hint="eastAsia" w:ascii="宋体" w:cs="宋体"/>
          <w:b/>
          <w:color w:val="auto"/>
          <w:sz w:val="22"/>
          <w:szCs w:val="22"/>
          <w:highlight w:val="none"/>
        </w:rPr>
        <w:t>第十六条  合同的解释</w:t>
      </w:r>
    </w:p>
    <w:p>
      <w:pPr>
        <w:snapToGrid w:val="0"/>
        <w:spacing w:line="440" w:lineRule="atLeast"/>
        <w:ind w:firstLine="482"/>
        <w:rPr>
          <w:rFonts w:ascii="宋体" w:cs="宋体"/>
          <w:bCs/>
          <w:color w:val="auto"/>
          <w:sz w:val="22"/>
          <w:szCs w:val="22"/>
          <w:highlight w:val="none"/>
        </w:rPr>
      </w:pPr>
      <w:r>
        <w:rPr>
          <w:rFonts w:hint="eastAsia" w:ascii="宋体" w:cs="宋体"/>
          <w:bCs/>
          <w:color w:val="auto"/>
          <w:sz w:val="22"/>
          <w:szCs w:val="22"/>
          <w:highlight w:val="none"/>
        </w:rPr>
        <w:t>本合同的解释权在温州市鹿城区山福镇人民政府。</w:t>
      </w:r>
    </w:p>
    <w:p>
      <w:pPr>
        <w:snapToGrid w:val="0"/>
        <w:spacing w:line="400" w:lineRule="atLeast"/>
        <w:ind w:firstLine="482"/>
        <w:rPr>
          <w:rFonts w:ascii="宋体" w:cs="宋体"/>
          <w:bCs/>
          <w:color w:val="auto"/>
          <w:sz w:val="22"/>
          <w:szCs w:val="22"/>
          <w:highlight w:val="none"/>
        </w:rPr>
      </w:pP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甲    方：（印章）                    乙    方：（印章）</w:t>
      </w: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全权代表：（签字）                    全权代表：（签字）</w:t>
      </w: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地    址：                            地    址：</w:t>
      </w: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邮政编码：                            邮政编码：</w:t>
      </w: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电    话：                            电    话：</w:t>
      </w: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传    真：                            传    真：</w:t>
      </w: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开户银行：                            开户银行：</w:t>
      </w:r>
    </w:p>
    <w:p>
      <w:pPr>
        <w:snapToGrid w:val="0"/>
        <w:spacing w:line="400" w:lineRule="atLeast"/>
        <w:ind w:firstLine="482"/>
        <w:rPr>
          <w:rFonts w:ascii="宋体" w:cs="宋体"/>
          <w:bCs/>
          <w:color w:val="auto"/>
          <w:sz w:val="22"/>
          <w:szCs w:val="22"/>
          <w:highlight w:val="none"/>
        </w:rPr>
      </w:pPr>
      <w:r>
        <w:rPr>
          <w:rFonts w:hint="eastAsia" w:ascii="宋体" w:cs="宋体"/>
          <w:bCs/>
          <w:color w:val="auto"/>
          <w:sz w:val="22"/>
          <w:szCs w:val="22"/>
          <w:highlight w:val="none"/>
        </w:rPr>
        <w:t>帐    号：                            帐    号：</w:t>
      </w:r>
    </w:p>
    <w:p>
      <w:pPr>
        <w:snapToGrid w:val="0"/>
        <w:spacing w:line="400" w:lineRule="atLeast"/>
        <w:ind w:firstLine="482"/>
        <w:rPr>
          <w:rFonts w:hint="eastAsia" w:ascii="宋体" w:cs="宋体"/>
          <w:bCs/>
          <w:color w:val="auto"/>
          <w:sz w:val="22"/>
          <w:szCs w:val="22"/>
          <w:highlight w:val="none"/>
        </w:rPr>
      </w:pPr>
      <w:r>
        <w:rPr>
          <w:rFonts w:hint="eastAsia" w:ascii="宋体" w:cs="宋体"/>
          <w:bCs/>
          <w:color w:val="auto"/>
          <w:sz w:val="22"/>
          <w:szCs w:val="22"/>
          <w:highlight w:val="none"/>
        </w:rPr>
        <w:t>时    间：                            时    间：</w:t>
      </w:r>
    </w:p>
    <w:p>
      <w:pPr>
        <w:spacing w:line="460" w:lineRule="exact"/>
        <w:ind w:firstLine="539" w:firstLineChars="245"/>
        <w:rPr>
          <w:rFonts w:hint="eastAsia" w:ascii="宋体" w:hAnsi="宋体" w:eastAsia="宋体" w:cs="宋体"/>
          <w:color w:val="auto"/>
          <w:sz w:val="22"/>
          <w:szCs w:val="22"/>
          <w:highlight w:val="none"/>
        </w:rPr>
      </w:pPr>
    </w:p>
    <w:p>
      <w:pPr>
        <w:rPr>
          <w:rFonts w:hint="eastAsia" w:ascii="宋体" w:hAnsi="宋体" w:eastAsia="宋体" w:cs="宋体"/>
          <w:color w:val="auto"/>
          <w:highlight w:val="none"/>
        </w:rPr>
      </w:pPr>
      <w:bookmarkStart w:id="26" w:name="_Toc18439"/>
      <w:bookmarkStart w:id="27" w:name="_Toc19081"/>
      <w:r>
        <w:rPr>
          <w:rFonts w:hint="eastAsia" w:ascii="宋体" w:hAnsi="宋体" w:eastAsia="宋体" w:cs="宋体"/>
          <w:color w:val="auto"/>
          <w:highlight w:val="none"/>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第三部分    附件</w:t>
      </w:r>
      <w:bookmarkEnd w:id="26"/>
      <w:bookmarkEnd w:id="27"/>
    </w:p>
    <w:p>
      <w:pPr>
        <w:spacing w:line="400" w:lineRule="exact"/>
        <w:jc w:val="both"/>
        <w:outlineLvl w:val="2"/>
        <w:rPr>
          <w:rFonts w:hint="eastAsia" w:ascii="宋体" w:hAnsi="宋体" w:eastAsia="宋体" w:cs="宋体"/>
          <w:b/>
          <w:bCs/>
          <w:color w:val="auto"/>
          <w:sz w:val="28"/>
          <w:szCs w:val="28"/>
          <w:highlight w:val="none"/>
          <w:lang w:val="en-US" w:eastAsia="zh-CN"/>
        </w:rPr>
      </w:pPr>
      <w:bookmarkStart w:id="28" w:name="_Toc5430"/>
      <w:bookmarkStart w:id="29" w:name="_Toc13365"/>
    </w:p>
    <w:p>
      <w:pPr>
        <w:spacing w:line="400" w:lineRule="exact"/>
        <w:jc w:val="center"/>
        <w:outlineLvl w:val="2"/>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附件一：</w:t>
      </w:r>
      <w:r>
        <w:rPr>
          <w:rFonts w:hint="eastAsia" w:ascii="宋体" w:hAnsi="宋体" w:eastAsia="宋体" w:cs="宋体"/>
          <w:b/>
          <w:bCs/>
          <w:color w:val="auto"/>
          <w:sz w:val="28"/>
          <w:szCs w:val="28"/>
          <w:highlight w:val="none"/>
          <w:lang w:val="en-US" w:eastAsia="zh-CN"/>
        </w:rPr>
        <w:t>资格文件</w:t>
      </w:r>
    </w:p>
    <w:p>
      <w:pPr>
        <w:spacing w:line="460" w:lineRule="exact"/>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（1）有效的法人或者其他组织的营业执照等证明文件（复印件），自然人的身份证明</w:t>
      </w:r>
    </w:p>
    <w:p>
      <w:pPr>
        <w:spacing w:line="360" w:lineRule="auto"/>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说明：</w:t>
      </w:r>
    </w:p>
    <w:p>
      <w:pPr>
        <w:pStyle w:val="42"/>
        <w:spacing w:line="360" w:lineRule="auto"/>
        <w:ind w:left="418" w:hanging="418"/>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1.如供应商是企业(包括合伙企业),提供在工商部门注册的有效“企业法人营业执照”或“营业执照”；</w:t>
      </w:r>
    </w:p>
    <w:p>
      <w:pPr>
        <w:pStyle w:val="42"/>
        <w:spacing w:line="360" w:lineRule="auto"/>
        <w:ind w:left="418" w:hanging="418"/>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2.如供应商是事业单位，提供有效的“事业单位法人证书”；</w:t>
      </w:r>
    </w:p>
    <w:p>
      <w:pPr>
        <w:pStyle w:val="42"/>
        <w:spacing w:line="360" w:lineRule="auto"/>
        <w:ind w:left="418" w:hanging="418"/>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3.如供应商是非企业专业服务机构的，提供执业许可证等证明文件；</w:t>
      </w:r>
    </w:p>
    <w:p>
      <w:pPr>
        <w:pStyle w:val="42"/>
        <w:spacing w:line="360" w:lineRule="auto"/>
        <w:ind w:left="418" w:hanging="418"/>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4.如供应商是个体工商户，提供有效的“个体工商户营业执照”；</w:t>
      </w:r>
    </w:p>
    <w:p>
      <w:pPr>
        <w:pStyle w:val="42"/>
        <w:spacing w:line="360" w:lineRule="auto"/>
        <w:ind w:left="418" w:hanging="418"/>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5.如供应商是自然人，提供有效的自然人身份证明。</w:t>
      </w:r>
    </w:p>
    <w:p>
      <w:pPr>
        <w:jc w:val="center"/>
        <w:rPr>
          <w:rFonts w:hint="eastAsia" w:ascii="宋体" w:hAnsi="宋体" w:cs="宋体"/>
          <w:color w:val="auto"/>
          <w:sz w:val="36"/>
          <w:highlight w:val="none"/>
        </w:rPr>
      </w:pPr>
    </w:p>
    <w:p>
      <w:pPr>
        <w:pStyle w:val="9"/>
        <w:rPr>
          <w:rFonts w:hint="eastAsia" w:ascii="宋体" w:hAnsi="宋体" w:cs="宋体"/>
          <w:color w:val="auto"/>
          <w:sz w:val="36"/>
          <w:highlight w:val="none"/>
        </w:rPr>
      </w:pPr>
    </w:p>
    <w:p>
      <w:pPr>
        <w:rPr>
          <w:rFonts w:hint="eastAsia" w:ascii="宋体" w:hAnsi="宋体" w:cs="宋体"/>
          <w:color w:val="auto"/>
          <w:sz w:val="36"/>
          <w:highlight w:val="none"/>
        </w:rPr>
      </w:pPr>
    </w:p>
    <w:p>
      <w:pPr>
        <w:pStyle w:val="9"/>
        <w:jc w:val="both"/>
        <w:rPr>
          <w:rFonts w:hint="eastAsia" w:ascii="宋体" w:hAnsi="宋体" w:cs="宋体"/>
          <w:color w:val="auto"/>
          <w:sz w:val="28"/>
          <w:szCs w:val="28"/>
          <w:highlight w:val="none"/>
          <w:lang w:eastAsia="zh-CN"/>
        </w:rPr>
      </w:pPr>
    </w:p>
    <w:p>
      <w:pPr>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br w:type="page"/>
      </w:r>
    </w:p>
    <w:p>
      <w:pPr>
        <w:pStyle w:val="9"/>
        <w:jc w:val="center"/>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关于符合《中华人民共和国政府采购法》第二十二条规定的承诺函</w:t>
      </w:r>
    </w:p>
    <w:p>
      <w:pPr>
        <w:spacing w:before="240" w:beforeLines="100" w:after="240" w:afterLines="100" w:line="360" w:lineRule="auto"/>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rPr>
        <w:t>致：</w:t>
      </w:r>
      <w:r>
        <w:rPr>
          <w:rFonts w:hint="eastAsia" w:ascii="宋体" w:hAnsi="宋体" w:cs="宋体"/>
          <w:color w:val="auto"/>
          <w:spacing w:val="-6"/>
          <w:sz w:val="22"/>
          <w:szCs w:val="22"/>
          <w:highlight w:val="none"/>
          <w:lang w:eastAsia="zh-CN"/>
        </w:rPr>
        <w:t>温州市鹿城区山福镇人民政府</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浙江东瓯工程造价咨询有限公司</w:t>
      </w:r>
      <w:r>
        <w:rPr>
          <w:rFonts w:hint="eastAsia" w:ascii="宋体" w:hAnsi="宋体" w:cs="宋体"/>
          <w:color w:val="auto"/>
          <w:spacing w:val="-6"/>
          <w:sz w:val="22"/>
          <w:szCs w:val="22"/>
          <w:highlight w:val="none"/>
        </w:rPr>
        <w:t>：</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我单位就</w:t>
      </w:r>
      <w:r>
        <w:rPr>
          <w:rFonts w:hint="eastAsia" w:ascii="宋体" w:hAnsi="宋体" w:cs="宋体"/>
          <w:color w:val="auto"/>
          <w:sz w:val="22"/>
          <w:szCs w:val="22"/>
          <w:highlight w:val="none"/>
          <w:u w:val="single"/>
        </w:rPr>
        <w:t xml:space="preserve">            （项目名称）           （项目编号）</w:t>
      </w:r>
      <w:r>
        <w:rPr>
          <w:rFonts w:hint="eastAsia" w:ascii="宋体" w:hAnsi="宋体" w:cs="宋体"/>
          <w:color w:val="auto"/>
          <w:sz w:val="22"/>
          <w:szCs w:val="22"/>
          <w:highlight w:val="none"/>
        </w:rPr>
        <w:t>项目承诺具备下列条件：</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（一）具有独立承担民事责任的能力；</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（二）具有良好的商业信誉和健全的财务会计制度；</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（三）具有履行合同所必需的设备和专业技术能力；</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（四）有依法缴纳税收和社会保障资金的良好记录；</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pStyle w:val="49"/>
        <w:spacing w:before="0" w:beforeAutospacing="0" w:after="0" w:afterAutospacing="0" w:line="360" w:lineRule="auto"/>
        <w:ind w:firstLine="442" w:firstLineChars="200"/>
        <w:rPr>
          <w:b/>
          <w:color w:val="auto"/>
          <w:sz w:val="22"/>
          <w:szCs w:val="22"/>
          <w:highlight w:val="none"/>
        </w:rPr>
      </w:pPr>
      <w:r>
        <w:rPr>
          <w:b/>
          <w:color w:val="auto"/>
          <w:kern w:val="2"/>
          <w:sz w:val="22"/>
          <w:szCs w:val="22"/>
          <w:highlight w:val="none"/>
        </w:rPr>
        <w:t>如有虚假，采购人可取消我单位任何资格（投标/中标/签订合同</w:t>
      </w:r>
      <w:r>
        <w:rPr>
          <w:b/>
          <w:color w:val="auto"/>
          <w:sz w:val="22"/>
          <w:szCs w:val="22"/>
          <w:highlight w:val="none"/>
        </w:rPr>
        <w:t>），我单位对此无任何异议。</w:t>
      </w:r>
    </w:p>
    <w:p>
      <w:pPr>
        <w:snapToGrid w:val="0"/>
        <w:spacing w:line="360" w:lineRule="auto"/>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特此承诺！</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注：（1）参加政府采购活动的时间是指供应商参加本项目的政府采购活动时间为准（具体以响应文件提交截止时间为准）。</w:t>
      </w:r>
    </w:p>
    <w:p>
      <w:pPr>
        <w:pStyle w:val="49"/>
        <w:spacing w:before="0" w:beforeAutospacing="0" w:after="0" w:afterAutospacing="0" w:line="360" w:lineRule="auto"/>
        <w:ind w:firstLine="440" w:firstLineChars="200"/>
        <w:rPr>
          <w:bCs/>
          <w:color w:val="auto"/>
          <w:kern w:val="2"/>
          <w:sz w:val="22"/>
          <w:szCs w:val="22"/>
          <w:highlight w:val="none"/>
        </w:rPr>
      </w:pPr>
      <w:r>
        <w:rPr>
          <w:bCs/>
          <w:color w:val="auto"/>
          <w:kern w:val="2"/>
          <w:sz w:val="22"/>
          <w:szCs w:val="22"/>
          <w:highlight w:val="none"/>
        </w:rPr>
        <w:t>（2）本承诺函必须提供。</w:t>
      </w:r>
    </w:p>
    <w:p>
      <w:pPr>
        <w:spacing w:line="360" w:lineRule="auto"/>
        <w:ind w:left="4620" w:leftChars="2200"/>
        <w:rPr>
          <w:rFonts w:hint="eastAsia" w:ascii="宋体" w:hAnsi="宋体" w:cs="宋体"/>
          <w:color w:val="auto"/>
          <w:sz w:val="22"/>
          <w:szCs w:val="22"/>
          <w:highlight w:val="none"/>
        </w:rPr>
      </w:pPr>
    </w:p>
    <w:p>
      <w:pPr>
        <w:spacing w:line="360" w:lineRule="auto"/>
        <w:rPr>
          <w:rFonts w:hint="eastAsia" w:ascii="宋体" w:hAnsi="宋体" w:cs="宋体"/>
          <w:color w:val="auto"/>
          <w:sz w:val="22"/>
          <w:szCs w:val="22"/>
          <w:highlight w:val="none"/>
          <w:lang w:val="zh-CN"/>
        </w:rPr>
      </w:pPr>
      <w:r>
        <w:rPr>
          <w:rFonts w:hint="eastAsia" w:ascii="宋体" w:hAnsi="宋体" w:cs="宋体"/>
          <w:color w:val="auto"/>
          <w:sz w:val="22"/>
          <w:szCs w:val="22"/>
          <w:highlight w:val="none"/>
          <w:lang w:val="zh-CN"/>
        </w:rPr>
        <w:t>投标单位全称（盖章）：</w:t>
      </w:r>
    </w:p>
    <w:p>
      <w:pPr>
        <w:spacing w:line="360" w:lineRule="auto"/>
        <w:rPr>
          <w:rFonts w:hint="eastAsia" w:ascii="宋体" w:hAnsi="宋体" w:cs="宋体"/>
          <w:color w:val="auto"/>
          <w:sz w:val="22"/>
          <w:szCs w:val="22"/>
          <w:highlight w:val="none"/>
          <w:lang w:val="zh-CN"/>
        </w:rPr>
      </w:pPr>
      <w:r>
        <w:rPr>
          <w:rFonts w:hint="eastAsia" w:ascii="宋体" w:hAnsi="宋体" w:cs="宋体"/>
          <w:color w:val="auto"/>
          <w:sz w:val="22"/>
          <w:szCs w:val="22"/>
          <w:highlight w:val="none"/>
          <w:lang w:val="zh-CN"/>
        </w:rPr>
        <w:t>法定代表人或授权代表（签字或盖章）：</w:t>
      </w:r>
    </w:p>
    <w:p>
      <w:pPr>
        <w:spacing w:line="360" w:lineRule="auto"/>
        <w:rPr>
          <w:rFonts w:hint="eastAsia" w:ascii="宋体" w:hAnsi="宋体" w:cs="宋体"/>
          <w:color w:val="auto"/>
          <w:sz w:val="22"/>
          <w:szCs w:val="22"/>
          <w:highlight w:val="none"/>
        </w:rPr>
      </w:pPr>
      <w:r>
        <w:rPr>
          <w:rFonts w:hint="eastAsia" w:ascii="宋体" w:hAnsi="宋体" w:cs="宋体"/>
          <w:color w:val="auto"/>
          <w:sz w:val="22"/>
          <w:szCs w:val="22"/>
          <w:highlight w:val="none"/>
          <w:lang w:val="zh-CN"/>
        </w:rPr>
        <w:t>日 期：  年  月  日</w:t>
      </w:r>
    </w:p>
    <w:p>
      <w:pPr>
        <w:pStyle w:val="9"/>
        <w:rPr>
          <w:rFonts w:hint="eastAsia" w:ascii="宋体" w:hAnsi="宋体" w:cs="宋体"/>
          <w:color w:val="auto"/>
          <w:sz w:val="36"/>
          <w:highlight w:val="none"/>
        </w:rPr>
      </w:pPr>
    </w:p>
    <w:p>
      <w:pPr>
        <w:pStyle w:val="9"/>
        <w:rPr>
          <w:rFonts w:hint="eastAsia"/>
          <w:color w:val="auto"/>
          <w:highlight w:val="none"/>
        </w:rPr>
      </w:pPr>
    </w:p>
    <w:p>
      <w:pPr>
        <w:rPr>
          <w:rFonts w:hint="eastAsia" w:hAnsi="宋体" w:cs="宋体"/>
          <w:b/>
          <w:bCs/>
          <w:color w:val="auto"/>
          <w:sz w:val="28"/>
          <w:szCs w:val="28"/>
          <w:highlight w:val="none"/>
        </w:rPr>
      </w:pPr>
      <w:r>
        <w:rPr>
          <w:rFonts w:hint="eastAsia" w:hAnsi="宋体" w:cs="宋体"/>
          <w:b/>
          <w:bCs/>
          <w:color w:val="auto"/>
          <w:sz w:val="28"/>
          <w:szCs w:val="28"/>
          <w:highlight w:val="none"/>
        </w:rPr>
        <w:br w:type="page"/>
      </w:r>
    </w:p>
    <w:p>
      <w:pPr>
        <w:pStyle w:val="29"/>
        <w:spacing w:line="460" w:lineRule="atLeast"/>
        <w:ind w:firstLine="703" w:firstLineChars="250"/>
        <w:jc w:val="center"/>
        <w:rPr>
          <w:rFonts w:hint="eastAsia" w:hAnsi="宋体" w:cs="宋体"/>
          <w:b/>
          <w:bCs/>
          <w:color w:val="auto"/>
          <w:sz w:val="28"/>
          <w:szCs w:val="28"/>
          <w:highlight w:val="none"/>
        </w:rPr>
      </w:pPr>
      <w:r>
        <w:rPr>
          <w:rFonts w:hint="eastAsia" w:hAnsi="宋体" w:cs="宋体"/>
          <w:b/>
          <w:bCs/>
          <w:color w:val="auto"/>
          <w:sz w:val="28"/>
          <w:szCs w:val="28"/>
          <w:highlight w:val="none"/>
        </w:rPr>
        <w:t>（</w:t>
      </w:r>
      <w:r>
        <w:rPr>
          <w:rFonts w:hint="eastAsia" w:hAnsi="宋体" w:cs="宋体"/>
          <w:b/>
          <w:bCs/>
          <w:color w:val="auto"/>
          <w:sz w:val="28"/>
          <w:szCs w:val="28"/>
          <w:highlight w:val="none"/>
          <w:lang w:val="en-US" w:eastAsia="zh-CN"/>
        </w:rPr>
        <w:t>3</w:t>
      </w:r>
      <w:r>
        <w:rPr>
          <w:rFonts w:hint="eastAsia" w:hAnsi="宋体" w:cs="宋体"/>
          <w:b/>
          <w:bCs/>
          <w:color w:val="auto"/>
          <w:sz w:val="28"/>
          <w:szCs w:val="28"/>
          <w:highlight w:val="none"/>
        </w:rPr>
        <w:t>）政府采购政策功能相关说明</w:t>
      </w:r>
    </w:p>
    <w:p>
      <w:pPr>
        <w:spacing w:line="400" w:lineRule="exact"/>
        <w:jc w:val="left"/>
        <w:rPr>
          <w:rFonts w:hint="eastAsia" w:ascii="宋体" w:hAnsi="宋体" w:cs="宋体"/>
          <w:b/>
          <w:bCs/>
          <w:color w:val="auto"/>
          <w:sz w:val="22"/>
          <w:highlight w:val="none"/>
        </w:rPr>
      </w:pPr>
    </w:p>
    <w:p>
      <w:pPr>
        <w:spacing w:line="360" w:lineRule="auto"/>
        <w:jc w:val="left"/>
        <w:outlineLvl w:val="1"/>
        <w:rPr>
          <w:rFonts w:hint="eastAsia" w:ascii="宋体" w:hAnsi="宋体" w:cs="宋体"/>
          <w:b/>
          <w:bCs/>
          <w:color w:val="auto"/>
          <w:sz w:val="22"/>
          <w:highlight w:val="none"/>
        </w:rPr>
      </w:pPr>
      <w:bookmarkStart w:id="30" w:name="_Toc8916"/>
      <w:r>
        <w:rPr>
          <w:rFonts w:hint="eastAsia" w:ascii="宋体" w:hAnsi="宋体" w:cs="宋体"/>
          <w:b/>
          <w:bCs/>
          <w:color w:val="auto"/>
          <w:sz w:val="22"/>
          <w:highlight w:val="none"/>
        </w:rPr>
        <w:t>一、小、微企业（含监狱企业、残疾人福利性单位）扶持政策说明</w:t>
      </w:r>
      <w:bookmarkEnd w:id="30"/>
    </w:p>
    <w:p>
      <w:pPr>
        <w:spacing w:line="360" w:lineRule="auto"/>
        <w:jc w:val="left"/>
        <w:rPr>
          <w:rFonts w:hint="eastAsia" w:ascii="宋体" w:hAnsi="宋体" w:cs="宋体"/>
          <w:b/>
          <w:bCs/>
          <w:color w:val="auto"/>
          <w:sz w:val="22"/>
          <w:highlight w:val="none"/>
        </w:rPr>
      </w:pPr>
      <w:r>
        <w:rPr>
          <w:rFonts w:hint="eastAsia" w:ascii="宋体" w:hAnsi="宋体" w:cs="宋体"/>
          <w:b/>
          <w:bCs/>
          <w:color w:val="auto"/>
          <w:sz w:val="22"/>
          <w:highlight w:val="none"/>
        </w:rPr>
        <w:t>1、文件依据</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（1）关于《政府采购促进中小企业发展管理办法》（财库﹝2020﹞46 号）</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（2）《浙江省财政厅关于进一步发挥政府采购政策功能全力推动经济稳进提质的通知》（浙财采监[2022]3号）</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（3）浙江省省财政厅《关于开展政府采购供应商网上注册登记和诚信管理工作的通知》（浙财采监〔2010〕8号)</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（4）《工业和信息化部、国家统计局、国家发展和改革委员会、财政部关于印发中小企业划型标准规定的通知》（工信部联企业[2011]300号）</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（5）财政部、司法部《关于政府采购支持监狱企业发展有关问题的通知》（财库〔2014〕68号）</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（6）《财政部 民政部 中国残疾人联合会关于促进残疾人就业政府采购政策的通知》（财库〔2017〕 141号）</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（7）《浙江省财政厅  浙江省经济和信息化委员会关于简化中小企业类别确认流程有关事项的通知》（浙财采监〔2018〕2号)</w:t>
      </w:r>
    </w:p>
    <w:p>
      <w:pPr>
        <w:spacing w:line="360" w:lineRule="auto"/>
        <w:jc w:val="left"/>
        <w:rPr>
          <w:rFonts w:hint="eastAsia" w:ascii="宋体" w:hAnsi="宋体" w:cs="宋体"/>
          <w:b/>
          <w:bCs/>
          <w:color w:val="auto"/>
          <w:sz w:val="22"/>
          <w:highlight w:val="none"/>
        </w:rPr>
      </w:pPr>
      <w:r>
        <w:rPr>
          <w:rFonts w:hint="eastAsia" w:ascii="宋体" w:hAnsi="宋体" w:cs="宋体"/>
          <w:b/>
          <w:bCs/>
          <w:color w:val="auto"/>
          <w:sz w:val="22"/>
          <w:highlight w:val="none"/>
        </w:rPr>
        <w:t>2、在政府采购活动中，供应商提供的货物、工程或者服务符合下列情形的，享受中小企业扶持政策：</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 xml:space="preserve">（1）在货物采购项目中，货物由中小企业制造，即货物由中小企业生产且使用该中小企业商号或者注册商标； </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 xml:space="preserve">（2）在工程采购项目中，工程由中小企业承建，即工程施工单位为中小企业； </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 xml:space="preserve">（3）在服务采购项目中，服务由中小企业承接，即提供服务的人员为中小企业依照《中华人民共和国劳动合同法》订立劳动合同的从业人员。 </w:t>
      </w:r>
    </w:p>
    <w:p>
      <w:pPr>
        <w:spacing w:line="360" w:lineRule="auto"/>
        <w:ind w:firstLine="442" w:firstLineChars="200"/>
        <w:jc w:val="left"/>
        <w:rPr>
          <w:rFonts w:hint="eastAsia" w:ascii="宋体" w:hAnsi="宋体" w:cs="宋体"/>
          <w:b/>
          <w:bCs/>
          <w:color w:val="auto"/>
          <w:sz w:val="22"/>
          <w:highlight w:val="none"/>
        </w:rPr>
      </w:pPr>
      <w:r>
        <w:rPr>
          <w:rFonts w:hint="eastAsia" w:ascii="宋体" w:hAnsi="宋体" w:cs="宋体"/>
          <w:b/>
          <w:bCs/>
          <w:color w:val="auto"/>
          <w:sz w:val="22"/>
          <w:highlight w:val="none"/>
        </w:rPr>
        <w:t>在货物采购项目中，供应商提供的货物既有中小企业制造货物，也有大型企业制造货物的，不享受规定的中小企业扶持政策。</w:t>
      </w:r>
    </w:p>
    <w:p>
      <w:pPr>
        <w:spacing w:line="360" w:lineRule="auto"/>
        <w:ind w:firstLine="442" w:firstLineChars="200"/>
        <w:jc w:val="left"/>
        <w:rPr>
          <w:rFonts w:hint="eastAsia" w:ascii="宋体" w:hAnsi="宋体" w:cs="宋体"/>
          <w:b/>
          <w:bCs/>
          <w:color w:val="auto"/>
          <w:sz w:val="22"/>
          <w:highlight w:val="none"/>
        </w:rPr>
      </w:pPr>
      <w:r>
        <w:rPr>
          <w:rFonts w:hint="eastAsia" w:ascii="宋体" w:hAnsi="宋体" w:cs="宋体"/>
          <w:b/>
          <w:bCs/>
          <w:color w:val="auto"/>
          <w:sz w:val="22"/>
          <w:highlight w:val="none"/>
        </w:rPr>
        <w:t>以联合体形式参加政府采购活动，联合体各方均为中小业的，联合体视为中小企业。其中，联合体各方均为小微企业的，联合体视同小微企业。</w:t>
      </w:r>
    </w:p>
    <w:p>
      <w:pPr>
        <w:spacing w:line="360" w:lineRule="auto"/>
        <w:ind w:firstLine="442" w:firstLineChars="200"/>
        <w:jc w:val="left"/>
        <w:rPr>
          <w:rFonts w:hint="eastAsia" w:ascii="宋体" w:hAnsi="宋体" w:cs="宋体"/>
          <w:b/>
          <w:bCs/>
          <w:color w:val="auto"/>
          <w:sz w:val="22"/>
          <w:highlight w:val="none"/>
        </w:rPr>
      </w:pPr>
      <w:r>
        <w:rPr>
          <w:rFonts w:hint="eastAsia" w:ascii="宋体" w:hAnsi="宋体" w:cs="宋体"/>
          <w:b/>
          <w:bCs/>
          <w:color w:val="auto"/>
          <w:sz w:val="22"/>
          <w:highlight w:val="none"/>
        </w:rPr>
        <w:t>中小企业的认定：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42" w:firstLineChars="200"/>
        <w:jc w:val="left"/>
        <w:rPr>
          <w:rFonts w:hint="eastAsia" w:ascii="宋体" w:hAnsi="宋体" w:cs="宋体"/>
          <w:b/>
          <w:bCs/>
          <w:color w:val="auto"/>
          <w:sz w:val="22"/>
          <w:highlight w:val="none"/>
        </w:rPr>
      </w:pPr>
      <w:r>
        <w:rPr>
          <w:rFonts w:hint="eastAsia" w:ascii="宋体" w:hAnsi="宋体" w:cs="宋体"/>
          <w:b/>
          <w:bCs/>
          <w:color w:val="auto"/>
          <w:sz w:val="22"/>
          <w:highlight w:val="none"/>
        </w:rPr>
        <w:t>符合中小企业划分标准的个体工商户，在政府采购活动中视同中小企业。</w:t>
      </w:r>
    </w:p>
    <w:p>
      <w:pPr>
        <w:spacing w:line="360" w:lineRule="auto"/>
        <w:ind w:firstLine="420" w:firstLineChars="200"/>
        <w:jc w:val="left"/>
        <w:rPr>
          <w:rFonts w:hint="eastAsia" w:ascii="宋体" w:hAnsi="宋体" w:cs="宋体"/>
          <w:b/>
          <w:bCs/>
          <w:color w:val="auto"/>
          <w:sz w:val="22"/>
          <w:highlight w:val="none"/>
        </w:rPr>
      </w:pPr>
      <w:r>
        <w:rPr>
          <w:rFonts w:hint="eastAsia" w:ascii="宋体" w:hAnsi="宋体" w:cs="宋体"/>
          <w:color w:val="auto"/>
          <w:highlight w:val="none"/>
        </w:rPr>
        <w:t>中小企业划分标准：</w:t>
      </w:r>
      <w:r>
        <w:rPr>
          <w:rFonts w:hint="eastAsia" w:ascii="宋体" w:hAnsi="宋体" w:cs="宋体"/>
          <w:bCs/>
          <w:color w:val="auto"/>
          <w:sz w:val="22"/>
          <w:highlight w:val="none"/>
        </w:rPr>
        <w:t>是指国务院有关部门根据企业从业人员、营业收入、资产总额等指标制定的中小企业划型标准，按《工业和信息化部、国家统计局、国家发展和改革委员会、财政部关于印发中小企业划型标准规定的通知》（工信部联企业[2011]300号）规定划分。</w:t>
      </w:r>
    </w:p>
    <w:p>
      <w:pPr>
        <w:spacing w:line="360" w:lineRule="auto"/>
        <w:jc w:val="left"/>
        <w:rPr>
          <w:rFonts w:hint="eastAsia" w:ascii="宋体" w:hAnsi="宋体" w:cs="宋体"/>
          <w:b/>
          <w:bCs/>
          <w:color w:val="auto"/>
          <w:sz w:val="22"/>
          <w:highlight w:val="none"/>
        </w:rPr>
      </w:pPr>
      <w:r>
        <w:rPr>
          <w:rFonts w:hint="eastAsia" w:ascii="宋体" w:hAnsi="宋体" w:cs="宋体"/>
          <w:b/>
          <w:bCs/>
          <w:color w:val="auto"/>
          <w:sz w:val="22"/>
          <w:highlight w:val="none"/>
        </w:rPr>
        <w:t>3、享受小微企业（含监狱企业、残疾人福利性单位）价格折扣比例</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1）在货物或服务项目采购中，对未预留份额专门面向中小企业采购的采购项目，及预留份额项目中的非预留部分采购包，小微企业报价按最高优惠幅度（货物和服务10%、工程5%）给予扣除，用扣除后的价格参加评审。</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（2）接受大中型企业与小微企业组成联合体或者允许大中型企业向一家或者多家小微企业分包的采购项目，对于联合协议或者分包意向协议约定小微企业的合同份额占到合同总金额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按最高优惠幅度(货物和服务3%、工程2%)给予扣除，用扣除后的价格参加评审。组成联合体或者接受分包的小微企业与联合体内其他企业、分包企业之间存在直接控股、管理关系的，不享受价格扣除优惠政策。</w:t>
      </w:r>
    </w:p>
    <w:p>
      <w:pPr>
        <w:spacing w:line="360" w:lineRule="auto"/>
        <w:jc w:val="left"/>
        <w:rPr>
          <w:rFonts w:hint="eastAsia" w:ascii="宋体" w:hAnsi="宋体" w:cs="宋体"/>
          <w:bCs/>
          <w:color w:val="auto"/>
          <w:sz w:val="22"/>
          <w:highlight w:val="none"/>
        </w:rPr>
      </w:pPr>
      <w:r>
        <w:rPr>
          <w:rFonts w:hint="eastAsia" w:ascii="宋体" w:hAnsi="宋体" w:cs="宋体"/>
          <w:b/>
          <w:bCs/>
          <w:color w:val="auto"/>
          <w:sz w:val="22"/>
          <w:highlight w:val="none"/>
          <w:u w:val="single"/>
        </w:rPr>
        <w:t>4、享受小微企业价格折扣应提供以下证明材料（电子响应文件中，不提供的不享受价格扣除）</w:t>
      </w:r>
      <w:r>
        <w:rPr>
          <w:rFonts w:hint="eastAsia" w:ascii="宋体" w:hAnsi="宋体" w:cs="宋体"/>
          <w:b/>
          <w:bCs/>
          <w:color w:val="auto"/>
          <w:sz w:val="22"/>
          <w:highlight w:val="none"/>
        </w:rPr>
        <w:t>：</w:t>
      </w:r>
    </w:p>
    <w:p>
      <w:pPr>
        <w:spacing w:line="360" w:lineRule="auto"/>
        <w:jc w:val="left"/>
        <w:rPr>
          <w:rFonts w:hint="eastAsia" w:ascii="宋体" w:hAnsi="宋体" w:cs="宋体"/>
          <w:b/>
          <w:bCs/>
          <w:color w:val="auto"/>
          <w:sz w:val="22"/>
          <w:szCs w:val="22"/>
          <w:highlight w:val="none"/>
        </w:rPr>
      </w:pPr>
      <w:r>
        <w:rPr>
          <w:rFonts w:hint="eastAsia" w:ascii="宋体" w:hAnsi="宋体" w:cs="宋体"/>
          <w:b/>
          <w:bCs/>
          <w:color w:val="auto"/>
          <w:sz w:val="22"/>
          <w:highlight w:val="none"/>
        </w:rPr>
        <w:t>（1）《中小企业</w:t>
      </w:r>
      <w:r>
        <w:rPr>
          <w:rFonts w:hint="eastAsia" w:ascii="宋体" w:hAnsi="宋体" w:cs="宋体"/>
          <w:b/>
          <w:bCs/>
          <w:color w:val="auto"/>
          <w:sz w:val="22"/>
          <w:szCs w:val="22"/>
          <w:highlight w:val="none"/>
        </w:rPr>
        <w:t>声明函》（原件上传后进行CA电子签章，格式见附件①）</w:t>
      </w:r>
    </w:p>
    <w:p>
      <w:pPr>
        <w:spacing w:line="360" w:lineRule="auto"/>
        <w:jc w:val="left"/>
        <w:rPr>
          <w:rFonts w:hint="eastAsia" w:ascii="宋体" w:hAnsi="宋体" w:cs="宋体"/>
          <w:b/>
          <w:bCs/>
          <w:color w:val="auto"/>
          <w:sz w:val="22"/>
          <w:highlight w:val="none"/>
          <w:u w:val="single"/>
        </w:rPr>
      </w:pPr>
      <w:r>
        <w:rPr>
          <w:rFonts w:hint="eastAsia" w:ascii="宋体" w:hAnsi="宋体" w:cs="宋体"/>
          <w:b/>
          <w:bCs/>
          <w:color w:val="auto"/>
          <w:sz w:val="22"/>
          <w:highlight w:val="none"/>
          <w:u w:val="single"/>
        </w:rPr>
        <w:t>5、享受监狱企业价格折扣应提供以下证明材料（电子响应文件中,不提供的不享受价格折扣）：</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1）监狱企业参加政府采购活动时，应当提供由省级以上监狱管理局、戒毒管理局(含新疆生产建设兵团)出具的属于监狱企业的证明文件（原件或复印件上传后进行CA电子签章）。在政府采购活动中，监狱企业视同小型、微型企业，享受评审中价格扣除政策。</w:t>
      </w:r>
    </w:p>
    <w:p>
      <w:pPr>
        <w:adjustRightInd w:val="0"/>
        <w:snapToGrid w:val="0"/>
        <w:spacing w:line="360" w:lineRule="auto"/>
        <w:ind w:firstLine="348" w:firstLineChars="150"/>
        <w:rPr>
          <w:rFonts w:hint="eastAsia" w:ascii="宋体" w:hAnsi="宋体" w:cs="宋体"/>
          <w:bCs/>
          <w:color w:val="auto"/>
          <w:sz w:val="22"/>
          <w:highlight w:val="none"/>
        </w:rPr>
      </w:pPr>
      <w:r>
        <w:rPr>
          <w:rFonts w:hint="eastAsia" w:ascii="宋体" w:hAnsi="宋体" w:cs="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jc w:val="left"/>
        <w:rPr>
          <w:rFonts w:hint="eastAsia" w:ascii="宋体" w:hAnsi="宋体" w:cs="宋体"/>
          <w:bCs/>
          <w:color w:val="auto"/>
          <w:sz w:val="22"/>
          <w:highlight w:val="none"/>
        </w:rPr>
      </w:pPr>
      <w:r>
        <w:rPr>
          <w:rFonts w:hint="eastAsia" w:ascii="宋体" w:hAnsi="宋体" w:cs="宋体"/>
          <w:b/>
          <w:bCs/>
          <w:color w:val="auto"/>
          <w:sz w:val="22"/>
          <w:highlight w:val="none"/>
          <w:u w:val="single"/>
        </w:rPr>
        <w:t>6、享受残疾人福利性单位格折扣应提供以下证明材料（电子响应文件中，不提供的不享受价格折扣）</w:t>
      </w:r>
      <w:r>
        <w:rPr>
          <w:rFonts w:hint="eastAsia" w:ascii="宋体" w:hAnsi="宋体" w:cs="宋体"/>
          <w:bCs/>
          <w:color w:val="auto"/>
          <w:sz w:val="22"/>
          <w:highlight w:val="none"/>
        </w:rPr>
        <w:t>：</w:t>
      </w:r>
    </w:p>
    <w:p>
      <w:pPr>
        <w:spacing w:line="360" w:lineRule="auto"/>
        <w:jc w:val="left"/>
        <w:rPr>
          <w:rFonts w:hint="eastAsia" w:ascii="宋体" w:hAnsi="宋体" w:cs="宋体"/>
          <w:b/>
          <w:bCs/>
          <w:color w:val="auto"/>
          <w:sz w:val="22"/>
          <w:highlight w:val="none"/>
        </w:rPr>
      </w:pPr>
      <w:r>
        <w:rPr>
          <w:rFonts w:hint="eastAsia" w:ascii="宋体" w:hAnsi="宋体" w:cs="宋体"/>
          <w:b/>
          <w:bCs/>
          <w:color w:val="auto"/>
          <w:sz w:val="22"/>
          <w:highlight w:val="none"/>
        </w:rPr>
        <w:t>（1）残疾人福利性单位声明函（上传后进行CA电子签章，格式见附件③）；在政府采购活动中，残疾人福利性单位视同小型、微型企业，享受评审中价格扣除政策。</w:t>
      </w:r>
    </w:p>
    <w:p>
      <w:pPr>
        <w:spacing w:line="360" w:lineRule="auto"/>
        <w:jc w:val="left"/>
        <w:rPr>
          <w:rFonts w:hint="eastAsia" w:ascii="宋体" w:hAnsi="宋体" w:cs="宋体"/>
          <w:bCs/>
          <w:color w:val="auto"/>
          <w:sz w:val="22"/>
          <w:highlight w:val="none"/>
        </w:rPr>
      </w:pPr>
      <w:r>
        <w:rPr>
          <w:rFonts w:hint="eastAsia" w:ascii="宋体" w:hAnsi="宋体" w:cs="宋体"/>
          <w:bCs/>
          <w:color w:val="auto"/>
          <w:sz w:val="22"/>
          <w:highlight w:val="none"/>
        </w:rPr>
        <w:t>7、非单一产品采购，无法核实（按磋商响应文件资料）全部货物均为小微企业（含监狱企业、残疾人福利性单位）制造；或小微企业（含监狱企业、残疾人福利性单位）提供其他制造商制造的货物且无法核实（按磋商响应文件资料）制造商是否为小微企，业（含监狱企业、残疾人福利性单位）的，不享受价格折扣。</w:t>
      </w:r>
      <w:r>
        <w:rPr>
          <w:rFonts w:hint="eastAsia" w:ascii="宋体" w:hAnsi="宋体" w:cs="宋体"/>
          <w:b/>
          <w:color w:val="auto"/>
          <w:sz w:val="22"/>
          <w:szCs w:val="22"/>
          <w:highlight w:val="none"/>
        </w:rPr>
        <w:t>属于小微企业（含监狱企业、残疾人福利性单位）的供应商提供其他制造商制造的货物参与磋商的，还应提供所投产品制造商属于小微企业（含监狱企业、残疾人福利性单位）的证明材料并加盖制造商公章，否则不享受价格折扣。</w:t>
      </w:r>
    </w:p>
    <w:p>
      <w:pPr>
        <w:spacing w:line="360" w:lineRule="auto"/>
        <w:jc w:val="left"/>
        <w:rPr>
          <w:rFonts w:hint="eastAsia" w:ascii="宋体" w:hAnsi="宋体" w:cs="宋体"/>
          <w:b/>
          <w:bCs/>
          <w:color w:val="auto"/>
          <w:sz w:val="22"/>
          <w:highlight w:val="none"/>
        </w:rPr>
      </w:pPr>
      <w:r>
        <w:rPr>
          <w:rFonts w:hint="eastAsia" w:ascii="宋体" w:hAnsi="宋体" w:cs="宋体"/>
          <w:b/>
          <w:bCs/>
          <w:color w:val="auto"/>
          <w:sz w:val="22"/>
          <w:highlight w:val="none"/>
        </w:rPr>
        <w:t>8、享受扶持政策获得政府采购合同的，小微企业不得将合同分包给大中型企业，中型企业不得将合同分包给大型企业。</w:t>
      </w:r>
    </w:p>
    <w:p>
      <w:pPr>
        <w:spacing w:line="360" w:lineRule="auto"/>
        <w:jc w:val="left"/>
        <w:rPr>
          <w:rFonts w:hint="eastAsia" w:ascii="宋体" w:hAnsi="宋体" w:cs="宋体"/>
          <w:bCs/>
          <w:color w:val="auto"/>
          <w:sz w:val="22"/>
          <w:highlight w:val="none"/>
        </w:rPr>
      </w:pPr>
      <w:r>
        <w:rPr>
          <w:rFonts w:hint="eastAsia" w:ascii="宋体" w:hAnsi="宋体" w:cs="宋体"/>
          <w:color w:val="auto"/>
          <w:sz w:val="18"/>
          <w:szCs w:val="18"/>
          <w:highlight w:val="none"/>
        </w:rPr>
        <w:t>▲</w:t>
      </w:r>
      <w:r>
        <w:rPr>
          <w:rFonts w:hint="eastAsia" w:ascii="宋体" w:hAnsi="宋体" w:cs="宋体"/>
          <w:b/>
          <w:bCs/>
          <w:color w:val="auto"/>
          <w:sz w:val="22"/>
          <w:szCs w:val="22"/>
          <w:highlight w:val="none"/>
          <w:u w:val="single"/>
        </w:rPr>
        <w:t>说明：本项目为专门面向中小企业采购的项目，不再执行价格评审优惠的扶持政策。</w:t>
      </w:r>
    </w:p>
    <w:p>
      <w:pPr>
        <w:spacing w:line="360" w:lineRule="auto"/>
        <w:jc w:val="left"/>
        <w:outlineLvl w:val="1"/>
        <w:rPr>
          <w:rFonts w:hint="eastAsia" w:ascii="宋体" w:hAnsi="宋体" w:cs="宋体"/>
          <w:b/>
          <w:bCs/>
          <w:color w:val="auto"/>
          <w:sz w:val="22"/>
          <w:szCs w:val="22"/>
          <w:highlight w:val="none"/>
        </w:rPr>
      </w:pPr>
      <w:bookmarkStart w:id="31" w:name="_Toc13854"/>
      <w:r>
        <w:rPr>
          <w:rFonts w:hint="eastAsia" w:ascii="宋体" w:hAnsi="宋体" w:cs="宋体"/>
          <w:b/>
          <w:bCs/>
          <w:color w:val="auto"/>
          <w:sz w:val="22"/>
          <w:szCs w:val="22"/>
          <w:highlight w:val="none"/>
        </w:rPr>
        <w:t>二、节能产品 、环境标志产品扶持政策说明</w:t>
      </w:r>
      <w:bookmarkEnd w:id="31"/>
    </w:p>
    <w:p>
      <w:pPr>
        <w:pStyle w:val="3"/>
        <w:tabs>
          <w:tab w:val="left" w:pos="482"/>
          <w:tab w:val="left" w:pos="2183"/>
          <w:tab w:val="left" w:pos="3884"/>
          <w:tab w:val="left" w:pos="5585"/>
        </w:tabs>
        <w:spacing w:line="360" w:lineRule="auto"/>
        <w:ind w:firstLine="0"/>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1、根据财政部、国家发展改革委、生态环境部、国家市场监管总局《关于调整优化节能产品、环境标志产品政府采购执行机制的通知》财库〔2019〕9 号文件规定，对政府采购节能产品、环境标志产品实施品目清单管理，依据品目清单和认证证书实施政府优先采购和强制采购。</w:t>
      </w:r>
    </w:p>
    <w:p>
      <w:pPr>
        <w:pStyle w:val="3"/>
        <w:tabs>
          <w:tab w:val="left" w:pos="482"/>
          <w:tab w:val="left" w:pos="2183"/>
          <w:tab w:val="left" w:pos="3884"/>
          <w:tab w:val="left" w:pos="5585"/>
        </w:tabs>
        <w:spacing w:line="360" w:lineRule="auto"/>
        <w:ind w:firstLine="0"/>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2、《节能产品政府采购品目清单》详见《关于印发节能产品政府采购品目清单的通知（财库[2019]19  号）》（如遇调整，按最新清单执行）。产品名称（以“★”标注的为政府强制采购产品）。</w:t>
      </w:r>
    </w:p>
    <w:p>
      <w:pPr>
        <w:pStyle w:val="3"/>
        <w:tabs>
          <w:tab w:val="left" w:pos="482"/>
          <w:tab w:val="left" w:pos="2183"/>
          <w:tab w:val="left" w:pos="3884"/>
          <w:tab w:val="left" w:pos="5585"/>
        </w:tabs>
        <w:spacing w:line="360" w:lineRule="auto"/>
        <w:ind w:firstLine="0"/>
        <w:rPr>
          <w:rFonts w:hint="eastAsia" w:ascii="宋体" w:hAnsi="宋体" w:cs="宋体"/>
          <w:bCs/>
          <w:color w:val="auto"/>
          <w:sz w:val="22"/>
          <w:szCs w:val="22"/>
          <w:highlight w:val="none"/>
        </w:rPr>
      </w:pPr>
      <w:r>
        <w:rPr>
          <w:rFonts w:hint="eastAsia" w:ascii="宋体" w:hAnsi="宋体" w:cs="宋体"/>
          <w:bCs/>
          <w:color w:val="auto"/>
          <w:sz w:val="22"/>
          <w:szCs w:val="22"/>
          <w:highlight w:val="none"/>
        </w:rPr>
        <w:t>3、本次采购对属于节能产品政府采购品目清单规定的政府强制采购产品范围内的产品实施强制采购。供应商应当在磋商响应文件中提供国家确定的认证机构出具的、处于有效期之内的节能产品认证证书（复印件、加盖公章）。 不能提供上述证书的，磋商响应文件无效。</w:t>
      </w:r>
    </w:p>
    <w:p>
      <w:pPr>
        <w:pStyle w:val="3"/>
        <w:tabs>
          <w:tab w:val="left" w:pos="482"/>
          <w:tab w:val="left" w:pos="2183"/>
          <w:tab w:val="left" w:pos="3884"/>
          <w:tab w:val="left" w:pos="5585"/>
        </w:tabs>
        <w:spacing w:line="360" w:lineRule="auto"/>
        <w:ind w:firstLine="0"/>
        <w:rPr>
          <w:rFonts w:hint="eastAsia" w:ascii="宋体" w:hAnsi="宋体" w:cs="宋体"/>
          <w:b/>
          <w:color w:val="auto"/>
          <w:sz w:val="22"/>
          <w:szCs w:val="22"/>
          <w:highlight w:val="none"/>
        </w:rPr>
      </w:pPr>
      <w:r>
        <w:rPr>
          <w:rFonts w:hint="eastAsia" w:ascii="宋体" w:hAnsi="宋体" w:cs="宋体"/>
          <w:b/>
          <w:color w:val="auto"/>
          <w:sz w:val="22"/>
          <w:szCs w:val="22"/>
          <w:highlight w:val="none"/>
        </w:rPr>
        <w:t>4、《环境标志产品政府采购品目清单》详见《关于印发环境标志产品政府采购品目清单的通知（财库[2019]18 号）》（如遇调整，按最新清单执行）。</w:t>
      </w:r>
    </w:p>
    <w:p>
      <w:pPr>
        <w:pStyle w:val="3"/>
        <w:tabs>
          <w:tab w:val="left" w:pos="482"/>
          <w:tab w:val="left" w:pos="2183"/>
          <w:tab w:val="left" w:pos="3884"/>
          <w:tab w:val="left" w:pos="5585"/>
        </w:tabs>
        <w:spacing w:line="360" w:lineRule="auto"/>
        <w:ind w:firstLine="0"/>
        <w:rPr>
          <w:rFonts w:hint="eastAsia" w:ascii="宋体" w:hAnsi="宋体" w:cs="宋体"/>
          <w:b/>
          <w:color w:val="auto"/>
          <w:sz w:val="22"/>
          <w:szCs w:val="22"/>
          <w:highlight w:val="none"/>
          <w:u w:val="single"/>
        </w:rPr>
      </w:pPr>
      <w:r>
        <w:rPr>
          <w:rFonts w:hint="eastAsia" w:ascii="宋体" w:hAnsi="宋体" w:cs="宋体"/>
          <w:b/>
          <w:color w:val="auto"/>
          <w:sz w:val="22"/>
          <w:szCs w:val="22"/>
          <w:highlight w:val="none"/>
          <w:u w:val="single"/>
        </w:rPr>
        <w:t>5、本次采购对属于品目清单范围但不属于政府强制采购产品的，实施优先采购，详见采购文件《第</w:t>
      </w:r>
      <w:r>
        <w:rPr>
          <w:rFonts w:hint="eastAsia" w:ascii="宋体" w:hAnsi="宋体" w:cs="宋体"/>
          <w:b/>
          <w:color w:val="auto"/>
          <w:sz w:val="22"/>
          <w:szCs w:val="22"/>
          <w:highlight w:val="none"/>
          <w:u w:val="single"/>
          <w:lang w:val="en-US" w:eastAsia="zh-CN"/>
        </w:rPr>
        <w:t>五</w:t>
      </w:r>
      <w:r>
        <w:rPr>
          <w:rFonts w:hint="eastAsia" w:ascii="宋体" w:hAnsi="宋体" w:cs="宋体"/>
          <w:b/>
          <w:color w:val="auto"/>
          <w:sz w:val="22"/>
          <w:szCs w:val="22"/>
          <w:highlight w:val="none"/>
          <w:u w:val="single"/>
        </w:rPr>
        <w:t>部分 磋商原则及方法》。供应商在磋商响应文件中提供国家确定的认证机构出具的、处于有效期之内的节能产品或环境标志产品认证证书（复印件）并提供品目清单核对，否则不享受加分。</w:t>
      </w:r>
    </w:p>
    <w:p>
      <w:pPr>
        <w:pStyle w:val="3"/>
        <w:tabs>
          <w:tab w:val="left" w:pos="482"/>
          <w:tab w:val="left" w:pos="2183"/>
          <w:tab w:val="left" w:pos="3884"/>
          <w:tab w:val="left" w:pos="5585"/>
        </w:tabs>
        <w:spacing w:line="360" w:lineRule="auto"/>
        <w:ind w:firstLine="0"/>
        <w:rPr>
          <w:rFonts w:hint="eastAsia" w:ascii="宋体" w:hAnsi="宋体" w:cs="宋体"/>
          <w:b/>
          <w:color w:val="auto"/>
          <w:sz w:val="22"/>
          <w:szCs w:val="22"/>
          <w:highlight w:val="none"/>
        </w:rPr>
      </w:pPr>
      <w:r>
        <w:rPr>
          <w:rFonts w:hint="eastAsia" w:ascii="宋体" w:hAnsi="宋体" w:cs="宋体"/>
          <w:b/>
          <w:color w:val="auto"/>
          <w:sz w:val="22"/>
          <w:szCs w:val="22"/>
          <w:highlight w:val="none"/>
        </w:rPr>
        <w:t>6、节能产品政府采购品目清单，以财政部、国家发展改革委发布的最新一期节能产品政府采购品目清单为准。环境标志产品政府采购品目清单，以财政部、生态环境部发布的最新一期环境标志产品政府采购品目清单为准。</w:t>
      </w:r>
    </w:p>
    <w:p>
      <w:pPr>
        <w:pStyle w:val="3"/>
        <w:tabs>
          <w:tab w:val="left" w:pos="482"/>
          <w:tab w:val="left" w:pos="2183"/>
          <w:tab w:val="left" w:pos="3884"/>
          <w:tab w:val="left" w:pos="5585"/>
        </w:tabs>
        <w:spacing w:line="360" w:lineRule="auto"/>
        <w:ind w:firstLine="0"/>
        <w:rPr>
          <w:rFonts w:hint="eastAsia" w:ascii="宋体" w:hAnsi="宋体" w:cs="宋体"/>
          <w:color w:val="auto"/>
          <w:sz w:val="22"/>
          <w:szCs w:val="22"/>
          <w:highlight w:val="none"/>
        </w:rPr>
      </w:pPr>
      <w:r>
        <w:rPr>
          <w:rFonts w:hint="eastAsia" w:ascii="宋体" w:hAnsi="宋体" w:cs="宋体"/>
          <w:color w:val="auto"/>
          <w:sz w:val="22"/>
          <w:szCs w:val="22"/>
          <w:highlight w:val="none"/>
        </w:rPr>
        <w:t>7、国家确定的认证机构以国家市场监管总局发布的参与实施政府采购节能产品、环境标志产品认证机构名录为准，详见《市场监管总局关于发布参与实施政府采购节能产品、环境标志产品认证机构名录的公告》（2019 年第16号）。</w:t>
      </w:r>
    </w:p>
    <w:p>
      <w:pPr>
        <w:pStyle w:val="44"/>
        <w:spacing w:line="360" w:lineRule="auto"/>
        <w:ind w:left="0" w:leftChars="0"/>
        <w:rPr>
          <w:rFonts w:hint="eastAsia" w:ascii="宋体" w:hAnsi="宋体" w:cs="宋体"/>
          <w:b/>
          <w:bCs/>
          <w:color w:val="auto"/>
          <w:sz w:val="22"/>
          <w:highlight w:val="none"/>
        </w:rPr>
      </w:pPr>
      <w:r>
        <w:rPr>
          <w:rFonts w:hint="eastAsia" w:ascii="宋体" w:hAnsi="宋体" w:cs="宋体"/>
          <w:b/>
          <w:bCs/>
          <w:color w:val="auto"/>
          <w:sz w:val="22"/>
          <w:highlight w:val="none"/>
        </w:rPr>
        <w:t>三、</w:t>
      </w:r>
      <w:r>
        <w:rPr>
          <w:rFonts w:hint="eastAsia" w:ascii="宋体" w:hAnsi="宋体" w:cs="新宋体"/>
          <w:b/>
          <w:color w:val="auto"/>
          <w:sz w:val="22"/>
          <w:highlight w:val="none"/>
        </w:rPr>
        <w:t>优化政府采购金融服务</w:t>
      </w:r>
    </w:p>
    <w:p>
      <w:pPr>
        <w:spacing w:line="360" w:lineRule="auto"/>
        <w:rPr>
          <w:rFonts w:hint="eastAsia" w:ascii="宋体" w:hAnsi="宋体" w:cs="宋体"/>
          <w:color w:val="auto"/>
          <w:sz w:val="22"/>
          <w:szCs w:val="28"/>
          <w:highlight w:val="none"/>
        </w:rPr>
      </w:pPr>
      <w:r>
        <w:rPr>
          <w:rFonts w:hint="eastAsia" w:ascii="宋体" w:hAnsi="宋体" w:cs="宋体"/>
          <w:color w:val="auto"/>
          <w:sz w:val="22"/>
          <w:szCs w:val="28"/>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pStyle w:val="44"/>
        <w:rPr>
          <w:rFonts w:hint="eastAsia"/>
          <w:color w:val="auto"/>
          <w:highlight w:val="none"/>
        </w:rPr>
      </w:pPr>
    </w:p>
    <w:p>
      <w:pPr>
        <w:rPr>
          <w:rFonts w:hint="eastAsia" w:ascii="宋体" w:hAnsi="宋体" w:cs="宋体"/>
          <w:b/>
          <w:bCs/>
          <w:color w:val="auto"/>
          <w:sz w:val="28"/>
          <w:szCs w:val="28"/>
          <w:highlight w:val="none"/>
        </w:rPr>
      </w:pPr>
      <w:bookmarkStart w:id="32" w:name="_Toc5518"/>
      <w:r>
        <w:rPr>
          <w:rFonts w:hint="eastAsia" w:ascii="宋体" w:hAnsi="宋体" w:cs="宋体"/>
          <w:b/>
          <w:bCs/>
          <w:color w:val="auto"/>
          <w:sz w:val="28"/>
          <w:szCs w:val="28"/>
          <w:highlight w:val="none"/>
        </w:rPr>
        <w:br w:type="page"/>
      </w:r>
    </w:p>
    <w:bookmarkEnd w:id="32"/>
    <w:p>
      <w:pPr>
        <w:spacing w:line="460" w:lineRule="exact"/>
        <w:jc w:val="center"/>
        <w:rPr>
          <w:rFonts w:hint="eastAsia" w:ascii="宋体" w:hAnsi="宋体" w:cs="宋体"/>
          <w:color w:val="auto"/>
          <w:sz w:val="24"/>
          <w:highlight w:val="none"/>
        </w:rPr>
      </w:pPr>
      <w:r>
        <w:rPr>
          <w:rFonts w:hint="eastAsia" w:ascii="宋体" w:hAnsi="宋体" w:cs="宋体"/>
          <w:b/>
          <w:bCs/>
          <w:color w:val="auto"/>
          <w:sz w:val="24"/>
          <w:highlight w:val="none"/>
        </w:rPr>
        <w:t>《中小企业声明函（工程、服务）》</w:t>
      </w:r>
    </w:p>
    <w:p>
      <w:pPr>
        <w:spacing w:line="460" w:lineRule="exact"/>
        <w:ind w:firstLine="637" w:firstLineChars="245"/>
        <w:rPr>
          <w:rFonts w:hint="eastAsia" w:ascii="宋体" w:hAnsi="宋体" w:cs="宋体"/>
          <w:color w:val="auto"/>
          <w:spacing w:val="20"/>
          <w:sz w:val="22"/>
          <w:szCs w:val="22"/>
          <w:highlight w:val="none"/>
        </w:rPr>
      </w:pPr>
    </w:p>
    <w:p>
      <w:pPr>
        <w:spacing w:line="460" w:lineRule="exact"/>
        <w:ind w:firstLine="637" w:firstLineChars="245"/>
        <w:rPr>
          <w:rFonts w:hint="eastAsia" w:ascii="宋体" w:hAnsi="宋体" w:cs="宋体"/>
          <w:color w:val="auto"/>
          <w:spacing w:val="20"/>
          <w:sz w:val="22"/>
          <w:szCs w:val="22"/>
          <w:highlight w:val="none"/>
        </w:rPr>
      </w:pPr>
      <w:r>
        <w:rPr>
          <w:rFonts w:hint="eastAsia" w:ascii="宋体" w:hAnsi="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cs="宋体"/>
          <w:color w:val="auto"/>
          <w:spacing w:val="20"/>
          <w:sz w:val="22"/>
          <w:szCs w:val="22"/>
          <w:highlight w:val="none"/>
          <w:u w:val="single"/>
        </w:rPr>
        <w:t>（单位名称）</w:t>
      </w:r>
      <w:r>
        <w:rPr>
          <w:rFonts w:hint="eastAsia" w:ascii="宋体" w:hAnsi="宋体" w:cs="宋体"/>
          <w:color w:val="auto"/>
          <w:spacing w:val="20"/>
          <w:sz w:val="22"/>
          <w:szCs w:val="22"/>
          <w:highlight w:val="none"/>
        </w:rPr>
        <w:t>的</w:t>
      </w:r>
      <w:r>
        <w:rPr>
          <w:rFonts w:hint="eastAsia" w:ascii="宋体" w:hAnsi="宋体" w:cs="宋体"/>
          <w:color w:val="auto"/>
          <w:spacing w:val="20"/>
          <w:sz w:val="22"/>
          <w:szCs w:val="22"/>
          <w:highlight w:val="none"/>
          <w:u w:val="single"/>
        </w:rPr>
        <w:t>（项目名称）</w:t>
      </w:r>
      <w:r>
        <w:rPr>
          <w:rFonts w:hint="eastAsia" w:ascii="宋体" w:hAnsi="宋体" w:cs="宋体"/>
          <w:color w:val="auto"/>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hint="eastAsia" w:ascii="宋体" w:hAnsi="宋体" w:cs="宋体"/>
          <w:color w:val="auto"/>
          <w:spacing w:val="20"/>
          <w:sz w:val="22"/>
          <w:szCs w:val="22"/>
          <w:highlight w:val="none"/>
        </w:rPr>
      </w:pPr>
      <w:r>
        <w:rPr>
          <w:rFonts w:hint="eastAsia" w:ascii="宋体" w:hAnsi="宋体" w:cs="宋体"/>
          <w:color w:val="auto"/>
          <w:spacing w:val="20"/>
          <w:sz w:val="22"/>
          <w:szCs w:val="22"/>
          <w:highlight w:val="none"/>
        </w:rPr>
        <w:t>1.</w:t>
      </w:r>
      <w:r>
        <w:rPr>
          <w:rFonts w:hint="eastAsia" w:ascii="宋体" w:hAnsi="宋体" w:cs="宋体"/>
          <w:color w:val="auto"/>
          <w:spacing w:val="20"/>
          <w:sz w:val="22"/>
          <w:szCs w:val="22"/>
          <w:highlight w:val="none"/>
          <w:u w:val="single"/>
        </w:rPr>
        <w:t>（标的名称）</w:t>
      </w:r>
      <w:r>
        <w:rPr>
          <w:rFonts w:hint="eastAsia" w:ascii="宋体" w:hAnsi="宋体" w:cs="宋体"/>
          <w:color w:val="auto"/>
          <w:spacing w:val="20"/>
          <w:sz w:val="22"/>
          <w:szCs w:val="22"/>
          <w:highlight w:val="none"/>
        </w:rPr>
        <w:t>，属于</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行业； 承建（承接）企业为</w:t>
      </w:r>
      <w:r>
        <w:rPr>
          <w:rFonts w:hint="eastAsia" w:ascii="宋体" w:hAnsi="宋体" w:cs="宋体"/>
          <w:color w:val="auto"/>
          <w:spacing w:val="20"/>
          <w:sz w:val="22"/>
          <w:szCs w:val="22"/>
          <w:highlight w:val="none"/>
          <w:u w:val="single"/>
        </w:rPr>
        <w:t>（企业名称）</w:t>
      </w:r>
      <w:r>
        <w:rPr>
          <w:rFonts w:hint="eastAsia" w:ascii="宋体" w:hAnsi="宋体" w:cs="宋体"/>
          <w:color w:val="auto"/>
          <w:spacing w:val="20"/>
          <w:sz w:val="22"/>
          <w:szCs w:val="22"/>
          <w:highlight w:val="none"/>
        </w:rPr>
        <w:t>，从业人员</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人，营业收入为</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万元，资产总额为</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万元，属于</w:t>
      </w:r>
      <w:r>
        <w:rPr>
          <w:rFonts w:hint="eastAsia" w:ascii="宋体" w:hAnsi="宋体" w:cs="宋体"/>
          <w:color w:val="auto"/>
          <w:spacing w:val="20"/>
          <w:sz w:val="22"/>
          <w:szCs w:val="22"/>
          <w:highlight w:val="none"/>
          <w:u w:val="single"/>
        </w:rPr>
        <w:t>（中型企业、 小型企业、微型企业）</w:t>
      </w:r>
      <w:r>
        <w:rPr>
          <w:rFonts w:hint="eastAsia" w:ascii="宋体" w:hAnsi="宋体" w:cs="宋体"/>
          <w:color w:val="auto"/>
          <w:spacing w:val="20"/>
          <w:sz w:val="22"/>
          <w:szCs w:val="22"/>
          <w:highlight w:val="none"/>
        </w:rPr>
        <w:t xml:space="preserve">； </w:t>
      </w:r>
    </w:p>
    <w:p>
      <w:pPr>
        <w:spacing w:line="460" w:lineRule="exact"/>
        <w:ind w:firstLine="637" w:firstLineChars="245"/>
        <w:rPr>
          <w:rFonts w:hint="eastAsia" w:ascii="宋体" w:hAnsi="宋体" w:cs="宋体"/>
          <w:color w:val="auto"/>
          <w:spacing w:val="20"/>
          <w:sz w:val="22"/>
          <w:szCs w:val="22"/>
          <w:highlight w:val="none"/>
        </w:rPr>
      </w:pPr>
      <w:r>
        <w:rPr>
          <w:rFonts w:hint="eastAsia" w:ascii="宋体" w:hAnsi="宋体" w:cs="宋体"/>
          <w:color w:val="auto"/>
          <w:spacing w:val="20"/>
          <w:sz w:val="22"/>
          <w:szCs w:val="22"/>
          <w:highlight w:val="none"/>
        </w:rPr>
        <w:t>2.</w:t>
      </w:r>
      <w:r>
        <w:rPr>
          <w:rFonts w:hint="eastAsia" w:ascii="宋体" w:hAnsi="宋体" w:cs="宋体"/>
          <w:color w:val="auto"/>
          <w:spacing w:val="20"/>
          <w:sz w:val="22"/>
          <w:szCs w:val="22"/>
          <w:highlight w:val="none"/>
          <w:u w:val="single"/>
        </w:rPr>
        <w:t>（标的名称）</w:t>
      </w:r>
      <w:r>
        <w:rPr>
          <w:rFonts w:hint="eastAsia" w:ascii="宋体" w:hAnsi="宋体" w:cs="宋体"/>
          <w:color w:val="auto"/>
          <w:spacing w:val="20"/>
          <w:sz w:val="22"/>
          <w:szCs w:val="22"/>
          <w:highlight w:val="none"/>
        </w:rPr>
        <w:t>，属于</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行业；承建（承接）企业为</w:t>
      </w:r>
      <w:r>
        <w:rPr>
          <w:rFonts w:hint="eastAsia" w:ascii="宋体" w:hAnsi="宋体" w:cs="宋体"/>
          <w:color w:val="auto"/>
          <w:spacing w:val="20"/>
          <w:sz w:val="22"/>
          <w:szCs w:val="22"/>
          <w:highlight w:val="none"/>
          <w:u w:val="single"/>
        </w:rPr>
        <w:t>（企业名称）</w:t>
      </w:r>
      <w:r>
        <w:rPr>
          <w:rFonts w:hint="eastAsia" w:ascii="宋体" w:hAnsi="宋体" w:cs="宋体"/>
          <w:color w:val="auto"/>
          <w:spacing w:val="20"/>
          <w:sz w:val="22"/>
          <w:szCs w:val="22"/>
          <w:highlight w:val="none"/>
        </w:rPr>
        <w:t>，从业人员</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人，营业收入为</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万元，资产总额为</w:t>
      </w:r>
      <w:r>
        <w:rPr>
          <w:rFonts w:hint="eastAsia" w:ascii="宋体" w:hAnsi="宋体" w:cs="宋体"/>
          <w:color w:val="auto"/>
          <w:spacing w:val="20"/>
          <w:sz w:val="22"/>
          <w:szCs w:val="22"/>
          <w:highlight w:val="none"/>
          <w:u w:val="single"/>
        </w:rPr>
        <w:t xml:space="preserve">    </w:t>
      </w:r>
      <w:r>
        <w:rPr>
          <w:rFonts w:hint="eastAsia" w:ascii="宋体" w:hAnsi="宋体" w:cs="宋体"/>
          <w:color w:val="auto"/>
          <w:spacing w:val="20"/>
          <w:sz w:val="22"/>
          <w:szCs w:val="22"/>
          <w:highlight w:val="none"/>
        </w:rPr>
        <w:t>万元，属于</w:t>
      </w:r>
      <w:r>
        <w:rPr>
          <w:rFonts w:hint="eastAsia" w:ascii="宋体" w:hAnsi="宋体" w:cs="宋体"/>
          <w:color w:val="auto"/>
          <w:spacing w:val="20"/>
          <w:sz w:val="22"/>
          <w:szCs w:val="22"/>
          <w:highlight w:val="none"/>
          <w:u w:val="single"/>
        </w:rPr>
        <w:t>（中型企业、 小型企业、微型企业）</w:t>
      </w:r>
      <w:r>
        <w:rPr>
          <w:rFonts w:hint="eastAsia" w:ascii="宋体" w:hAnsi="宋体" w:cs="宋体"/>
          <w:color w:val="auto"/>
          <w:spacing w:val="20"/>
          <w:sz w:val="22"/>
          <w:szCs w:val="22"/>
          <w:highlight w:val="none"/>
        </w:rPr>
        <w:t>；</w:t>
      </w:r>
    </w:p>
    <w:p>
      <w:pPr>
        <w:spacing w:line="460" w:lineRule="exact"/>
        <w:ind w:firstLine="639" w:firstLineChars="245"/>
        <w:rPr>
          <w:rFonts w:hint="eastAsia" w:ascii="宋体" w:hAnsi="宋体" w:cs="宋体"/>
          <w:b/>
          <w:bCs/>
          <w:color w:val="auto"/>
          <w:spacing w:val="20"/>
          <w:sz w:val="22"/>
          <w:szCs w:val="22"/>
          <w:highlight w:val="none"/>
        </w:rPr>
      </w:pPr>
      <w:r>
        <w:rPr>
          <w:rFonts w:hint="eastAsia" w:ascii="宋体" w:hAnsi="宋体" w:cs="宋体"/>
          <w:b/>
          <w:bCs/>
          <w:color w:val="auto"/>
          <w:spacing w:val="20"/>
          <w:sz w:val="22"/>
          <w:szCs w:val="22"/>
          <w:highlight w:val="none"/>
        </w:rPr>
        <w:t>……</w:t>
      </w:r>
    </w:p>
    <w:p>
      <w:pPr>
        <w:spacing w:line="460" w:lineRule="exact"/>
        <w:ind w:firstLine="637" w:firstLineChars="245"/>
        <w:rPr>
          <w:rFonts w:hint="eastAsia" w:ascii="宋体" w:hAnsi="宋体" w:cs="宋体"/>
          <w:color w:val="auto"/>
          <w:spacing w:val="20"/>
          <w:sz w:val="22"/>
          <w:szCs w:val="22"/>
          <w:highlight w:val="none"/>
        </w:rPr>
      </w:pPr>
      <w:r>
        <w:rPr>
          <w:rFonts w:hint="eastAsia" w:ascii="宋体" w:hAnsi="宋体" w:cs="宋体"/>
          <w:color w:val="auto"/>
          <w:spacing w:val="20"/>
          <w:sz w:val="22"/>
          <w:szCs w:val="22"/>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both"/>
        <w:rPr>
          <w:rFonts w:hint="eastAsia" w:ascii="宋体" w:hAnsi="宋体" w:cs="宋体"/>
          <w:color w:val="auto"/>
          <w:spacing w:val="20"/>
          <w:sz w:val="22"/>
          <w:szCs w:val="22"/>
          <w:highlight w:val="none"/>
        </w:rPr>
      </w:pPr>
    </w:p>
    <w:p>
      <w:pPr>
        <w:spacing w:line="460" w:lineRule="exact"/>
        <w:jc w:val="both"/>
        <w:rPr>
          <w:rFonts w:hint="eastAsia" w:ascii="宋体" w:hAnsi="宋体" w:cs="宋体"/>
          <w:color w:val="auto"/>
          <w:spacing w:val="20"/>
          <w:sz w:val="22"/>
          <w:szCs w:val="22"/>
          <w:highlight w:val="none"/>
        </w:rPr>
      </w:pPr>
    </w:p>
    <w:p>
      <w:pPr>
        <w:spacing w:line="460" w:lineRule="exact"/>
        <w:jc w:val="both"/>
        <w:rPr>
          <w:rFonts w:hint="eastAsia" w:ascii="宋体" w:hAnsi="宋体" w:cs="宋体"/>
          <w:color w:val="auto"/>
          <w:spacing w:val="20"/>
          <w:sz w:val="22"/>
          <w:szCs w:val="22"/>
          <w:highlight w:val="none"/>
        </w:rPr>
      </w:pPr>
      <w:r>
        <w:rPr>
          <w:rFonts w:hint="eastAsia" w:ascii="宋体" w:hAnsi="宋体" w:cs="宋体"/>
          <w:color w:val="auto"/>
          <w:spacing w:val="20"/>
          <w:sz w:val="22"/>
          <w:szCs w:val="22"/>
          <w:highlight w:val="none"/>
        </w:rPr>
        <w:t>企业名称（盖章）：</w:t>
      </w:r>
    </w:p>
    <w:p>
      <w:pPr>
        <w:rPr>
          <w:rFonts w:hint="eastAsia" w:ascii="宋体" w:hAnsi="宋体" w:cs="宋体"/>
          <w:color w:val="auto"/>
          <w:spacing w:val="20"/>
          <w:sz w:val="22"/>
          <w:szCs w:val="22"/>
          <w:highlight w:val="none"/>
        </w:rPr>
      </w:pPr>
    </w:p>
    <w:p>
      <w:pPr>
        <w:rPr>
          <w:rFonts w:hint="eastAsia" w:ascii="宋体" w:hAnsi="宋体" w:eastAsia="宋体" w:cs="宋体"/>
          <w:b/>
          <w:bCs/>
          <w:color w:val="auto"/>
          <w:sz w:val="22"/>
          <w:szCs w:val="22"/>
          <w:highlight w:val="none"/>
        </w:rPr>
      </w:pPr>
      <w:r>
        <w:rPr>
          <w:rFonts w:hint="eastAsia" w:ascii="宋体" w:hAnsi="宋体" w:cs="宋体"/>
          <w:color w:val="auto"/>
          <w:spacing w:val="20"/>
          <w:sz w:val="22"/>
          <w:szCs w:val="22"/>
          <w:highlight w:val="none"/>
        </w:rPr>
        <w:t>日 期：</w:t>
      </w:r>
      <w:r>
        <w:rPr>
          <w:rFonts w:hint="eastAsia" w:ascii="宋体" w:hAnsi="宋体" w:eastAsia="宋体" w:cs="宋体"/>
          <w:b/>
          <w:bCs/>
          <w:color w:val="auto"/>
          <w:sz w:val="22"/>
          <w:szCs w:val="22"/>
          <w:highlight w:val="none"/>
        </w:rPr>
        <w:br w:type="page"/>
      </w:r>
    </w:p>
    <w:p>
      <w:pPr>
        <w:spacing w:line="360" w:lineRule="auto"/>
        <w:rPr>
          <w:rFonts w:hint="eastAsia" w:ascii="宋体" w:hAnsi="宋体" w:cs="宋体"/>
          <w:b/>
          <w:bCs/>
          <w:color w:val="auto"/>
          <w:sz w:val="28"/>
          <w:szCs w:val="28"/>
          <w:highlight w:val="none"/>
        </w:rPr>
      </w:pPr>
      <w:r>
        <w:rPr>
          <w:rFonts w:hint="eastAsia" w:ascii="宋体" w:hAnsi="宋体" w:cs="宋体"/>
          <w:b/>
          <w:bCs/>
          <w:color w:val="auto"/>
          <w:sz w:val="28"/>
          <w:highlight w:val="none"/>
        </w:rPr>
        <w:t>②</w:t>
      </w:r>
      <w:r>
        <w:rPr>
          <w:rFonts w:hint="eastAsia" w:ascii="宋体" w:hAnsi="宋体" w:cs="宋体"/>
          <w:b/>
          <w:bCs/>
          <w:color w:val="auto"/>
          <w:sz w:val="28"/>
          <w:szCs w:val="28"/>
          <w:highlight w:val="none"/>
          <w:lang w:eastAsia="zh-CN"/>
        </w:rPr>
        <w:t>投标人</w:t>
      </w:r>
      <w:r>
        <w:rPr>
          <w:rFonts w:hint="eastAsia" w:ascii="宋体" w:hAnsi="宋体" w:cs="宋体"/>
          <w:b/>
          <w:bCs/>
          <w:color w:val="auto"/>
          <w:sz w:val="28"/>
          <w:szCs w:val="28"/>
          <w:highlight w:val="none"/>
        </w:rPr>
        <w:t>为监狱企业的证明文件省级以上监狱管理局、戒毒管理局（含新疆生产建设兵团）出具属于监狱企业的证明文件</w:t>
      </w:r>
    </w:p>
    <w:p>
      <w:pPr>
        <w:spacing w:line="360" w:lineRule="auto"/>
        <w:jc w:val="left"/>
        <w:rPr>
          <w:rFonts w:hint="eastAsia" w:ascii="宋体" w:hAnsi="宋体" w:cs="宋体"/>
          <w:b/>
          <w:bCs/>
          <w:color w:val="auto"/>
          <w:sz w:val="22"/>
          <w:szCs w:val="22"/>
          <w:highlight w:val="none"/>
        </w:rPr>
      </w:pPr>
    </w:p>
    <w:p>
      <w:pPr>
        <w:rPr>
          <w:rFonts w:hint="eastAsia" w:ascii="宋体" w:hAnsi="宋体" w:cs="宋体"/>
          <w:b/>
          <w:bCs/>
          <w:color w:val="auto"/>
          <w:sz w:val="28"/>
          <w:szCs w:val="28"/>
          <w:highlight w:val="none"/>
        </w:rPr>
      </w:pPr>
      <w:bookmarkStart w:id="33" w:name="_Toc705"/>
      <w:bookmarkStart w:id="34" w:name="OLE_LINK14"/>
      <w:r>
        <w:rPr>
          <w:rFonts w:hint="eastAsia" w:ascii="宋体" w:hAnsi="宋体" w:cs="宋体"/>
          <w:b/>
          <w:bCs/>
          <w:color w:val="auto"/>
          <w:sz w:val="28"/>
          <w:szCs w:val="28"/>
          <w:highlight w:val="none"/>
        </w:rPr>
        <w:br w:type="page"/>
      </w:r>
    </w:p>
    <w:p>
      <w:pPr>
        <w:spacing w:line="360" w:lineRule="auto"/>
        <w:jc w:val="center"/>
        <w:outlineLvl w:val="1"/>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③残疾人福利性单位声明函（如有）</w:t>
      </w:r>
      <w:bookmarkEnd w:id="33"/>
    </w:p>
    <w:bookmarkEnd w:id="34"/>
    <w:p>
      <w:pPr>
        <w:spacing w:line="588" w:lineRule="exact"/>
        <w:jc w:val="left"/>
        <w:rPr>
          <w:rFonts w:hint="eastAsia" w:ascii="宋体" w:hAnsi="宋体" w:cs="宋体"/>
          <w:b/>
          <w:color w:val="auto"/>
          <w:spacing w:val="6"/>
          <w:sz w:val="30"/>
          <w:szCs w:val="30"/>
          <w:highlight w:val="none"/>
        </w:rPr>
      </w:pPr>
    </w:p>
    <w:p>
      <w:pPr>
        <w:spacing w:line="480" w:lineRule="auto"/>
        <w:ind w:firstLine="504" w:firstLineChars="2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480" w:lineRule="auto"/>
        <w:ind w:firstLine="504" w:firstLineChars="200"/>
        <w:jc w:val="left"/>
        <w:rPr>
          <w:rFonts w:hint="eastAsia" w:ascii="宋体" w:hAnsi="宋体" w:cs="宋体"/>
          <w:color w:val="auto"/>
          <w:spacing w:val="6"/>
          <w:sz w:val="24"/>
          <w:highlight w:val="none"/>
        </w:rPr>
      </w:pPr>
    </w:p>
    <w:p>
      <w:pPr>
        <w:tabs>
          <w:tab w:val="left" w:pos="4860"/>
        </w:tabs>
        <w:spacing w:line="480" w:lineRule="auto"/>
        <w:ind w:right="1560" w:firstLine="504" w:firstLineChars="2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 xml:space="preserve">                               单位名称（盖章）：</w:t>
      </w:r>
    </w:p>
    <w:p>
      <w:pPr>
        <w:tabs>
          <w:tab w:val="left" w:pos="4860"/>
        </w:tabs>
        <w:spacing w:line="480" w:lineRule="auto"/>
        <w:ind w:right="1560" w:firstLine="504" w:firstLineChars="200"/>
        <w:jc w:val="left"/>
        <w:rPr>
          <w:rFonts w:hint="eastAsia" w:ascii="宋体" w:hAnsi="宋体" w:cs="宋体"/>
          <w:color w:val="auto"/>
          <w:sz w:val="24"/>
          <w:highlight w:val="none"/>
        </w:rPr>
      </w:pPr>
      <w:r>
        <w:rPr>
          <w:rFonts w:hint="eastAsia" w:ascii="宋体" w:hAnsi="宋体" w:cs="宋体"/>
          <w:color w:val="auto"/>
          <w:spacing w:val="6"/>
          <w:sz w:val="24"/>
          <w:highlight w:val="none"/>
        </w:rPr>
        <w:t xml:space="preserve">                               日        期：</w:t>
      </w:r>
    </w:p>
    <w:p>
      <w:pPr>
        <w:spacing w:line="360" w:lineRule="auto"/>
        <w:jc w:val="left"/>
        <w:rPr>
          <w:rFonts w:hint="eastAsia" w:ascii="宋体" w:hAnsi="宋体" w:cs="宋体"/>
          <w:b/>
          <w:color w:val="auto"/>
          <w:sz w:val="24"/>
          <w:highlight w:val="none"/>
        </w:rPr>
      </w:pPr>
    </w:p>
    <w:p>
      <w:pPr>
        <w:spacing w:line="400" w:lineRule="exact"/>
        <w:jc w:val="left"/>
        <w:rPr>
          <w:rFonts w:hint="eastAsia" w:ascii="宋体" w:hAnsi="宋体" w:cs="宋体"/>
          <w:b/>
          <w:color w:val="auto"/>
          <w:sz w:val="24"/>
          <w:highlight w:val="none"/>
        </w:rPr>
      </w:pPr>
      <w:r>
        <w:rPr>
          <w:rFonts w:hint="eastAsia" w:ascii="宋体" w:hAnsi="宋体" w:cs="宋体"/>
          <w:b/>
          <w:color w:val="auto"/>
          <w:sz w:val="24"/>
          <w:highlight w:val="none"/>
        </w:rPr>
        <w:t>说明：</w:t>
      </w:r>
    </w:p>
    <w:p>
      <w:pPr>
        <w:numPr>
          <w:ilvl w:val="0"/>
          <w:numId w:val="2"/>
        </w:numPr>
        <w:spacing w:line="400" w:lineRule="exact"/>
        <w:jc w:val="left"/>
        <w:rPr>
          <w:rFonts w:hint="eastAsia" w:ascii="宋体" w:hAnsi="宋体" w:cs="宋体"/>
          <w:b/>
          <w:bCs/>
          <w:color w:val="auto"/>
          <w:sz w:val="24"/>
          <w:szCs w:val="22"/>
          <w:highlight w:val="none"/>
        </w:rPr>
      </w:pPr>
      <w:r>
        <w:rPr>
          <w:rFonts w:hint="eastAsia" w:ascii="宋体" w:hAnsi="宋体" w:cs="宋体"/>
          <w:b/>
          <w:bCs/>
          <w:color w:val="auto"/>
          <w:sz w:val="24"/>
          <w:szCs w:val="22"/>
          <w:highlight w:val="none"/>
          <w:lang w:eastAsia="zh-CN"/>
        </w:rPr>
        <w:t>投标人</w:t>
      </w:r>
      <w:r>
        <w:rPr>
          <w:rFonts w:hint="eastAsia" w:ascii="宋体" w:hAnsi="宋体" w:cs="宋体"/>
          <w:b/>
          <w:bCs/>
          <w:color w:val="auto"/>
          <w:sz w:val="24"/>
          <w:szCs w:val="22"/>
          <w:highlight w:val="none"/>
        </w:rPr>
        <w:t>如为符合条件的残疾人福利性单位，且响应产品为本企业的，投标文件中须出具《残疾人福利性单位声明函》。</w:t>
      </w:r>
    </w:p>
    <w:p>
      <w:pPr>
        <w:numPr>
          <w:ilvl w:val="0"/>
          <w:numId w:val="2"/>
        </w:numPr>
        <w:spacing w:line="400" w:lineRule="exact"/>
        <w:jc w:val="left"/>
        <w:rPr>
          <w:rFonts w:hint="eastAsia" w:ascii="宋体" w:hAnsi="宋体" w:cs="宋体"/>
          <w:b/>
          <w:bCs/>
          <w:color w:val="auto"/>
          <w:sz w:val="24"/>
          <w:szCs w:val="22"/>
          <w:highlight w:val="none"/>
        </w:rPr>
      </w:pPr>
      <w:r>
        <w:rPr>
          <w:rFonts w:hint="eastAsia" w:ascii="宋体" w:hAnsi="宋体" w:cs="宋体"/>
          <w:b/>
          <w:bCs/>
          <w:color w:val="auto"/>
          <w:sz w:val="24"/>
          <w:szCs w:val="22"/>
          <w:highlight w:val="none"/>
          <w:lang w:eastAsia="zh-CN"/>
        </w:rPr>
        <w:t>投标人</w:t>
      </w:r>
      <w:r>
        <w:rPr>
          <w:rFonts w:hint="eastAsia" w:ascii="宋体" w:hAnsi="宋体" w:cs="宋体"/>
          <w:b/>
          <w:bCs/>
          <w:color w:val="auto"/>
          <w:sz w:val="24"/>
          <w:szCs w:val="22"/>
          <w:highlight w:val="none"/>
        </w:rPr>
        <w:t>如为残疾人福利性单位且响应产品为其他残疾人福利性单位制造的，所代理品牌制造商的《残疾人福利性单位声明函》也需提供。</w:t>
      </w:r>
    </w:p>
    <w:p>
      <w:pPr>
        <w:numPr>
          <w:ilvl w:val="0"/>
          <w:numId w:val="2"/>
        </w:numPr>
        <w:spacing w:line="400" w:lineRule="exact"/>
        <w:jc w:val="left"/>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成交</w:t>
      </w:r>
      <w:r>
        <w:rPr>
          <w:rFonts w:hint="eastAsia" w:ascii="宋体" w:hAnsi="宋体" w:cs="宋体"/>
          <w:b/>
          <w:bCs/>
          <w:color w:val="auto"/>
          <w:sz w:val="24"/>
          <w:szCs w:val="22"/>
          <w:highlight w:val="none"/>
          <w:lang w:eastAsia="zh-CN"/>
        </w:rPr>
        <w:t>投标人</w:t>
      </w:r>
      <w:r>
        <w:rPr>
          <w:rFonts w:hint="eastAsia" w:ascii="宋体" w:hAnsi="宋体" w:cs="宋体"/>
          <w:b/>
          <w:bCs/>
          <w:color w:val="auto"/>
          <w:sz w:val="24"/>
          <w:szCs w:val="22"/>
          <w:highlight w:val="none"/>
        </w:rPr>
        <w:t>为残疾人福利性单位的，采购人或者其委托的采购代理机构应当随成交结果同时公告其《残疾人福利性单位声明函》，接受社会监督。</w:t>
      </w:r>
      <w:r>
        <w:rPr>
          <w:rFonts w:hint="eastAsia" w:ascii="宋体" w:hAnsi="宋体" w:cs="宋体"/>
          <w:b/>
          <w:bCs/>
          <w:color w:val="auto"/>
          <w:sz w:val="24"/>
          <w:szCs w:val="22"/>
          <w:highlight w:val="none"/>
          <w:lang w:eastAsia="zh-CN"/>
        </w:rPr>
        <w:t>投标人</w:t>
      </w:r>
      <w:r>
        <w:rPr>
          <w:rFonts w:hint="eastAsia" w:ascii="宋体" w:hAnsi="宋体" w:cs="宋体"/>
          <w:b/>
          <w:bCs/>
          <w:color w:val="auto"/>
          <w:sz w:val="24"/>
          <w:szCs w:val="22"/>
          <w:highlight w:val="none"/>
        </w:rPr>
        <w:t>提供的《残疾人福利性单位声明函》与事实不符的，依照《政府采购法》第七十七条第一款的规定追究法律责任。</w:t>
      </w:r>
    </w:p>
    <w:p>
      <w:pPr>
        <w:jc w:val="center"/>
        <w:rPr>
          <w:rFonts w:hint="eastAsia" w:ascii="宋体" w:hAnsi="宋体" w:cs="宋体"/>
          <w:color w:val="auto"/>
          <w:sz w:val="36"/>
          <w:highlight w:val="none"/>
        </w:rPr>
      </w:pPr>
      <w:r>
        <w:rPr>
          <w:rFonts w:hint="eastAsia" w:ascii="宋体" w:hAnsi="宋体" w:cs="宋体"/>
          <w:b/>
          <w:bCs/>
          <w:color w:val="auto"/>
          <w:sz w:val="24"/>
          <w:szCs w:val="22"/>
          <w:highlight w:val="none"/>
          <w:lang w:eastAsia="zh-CN"/>
        </w:rPr>
        <w:t>投标人</w:t>
      </w:r>
      <w:r>
        <w:rPr>
          <w:rFonts w:hint="eastAsia" w:ascii="宋体" w:hAnsi="宋体" w:cs="宋体"/>
          <w:b/>
          <w:bCs/>
          <w:color w:val="auto"/>
          <w:sz w:val="24"/>
          <w:szCs w:val="22"/>
          <w:highlight w:val="none"/>
        </w:rPr>
        <w:t>不属于残疾人福利性单位的，无需提供此声明函，如提供所引起的后果由</w:t>
      </w:r>
      <w:r>
        <w:rPr>
          <w:rFonts w:hint="eastAsia" w:ascii="宋体" w:hAnsi="宋体" w:cs="宋体"/>
          <w:b/>
          <w:bCs/>
          <w:color w:val="auto"/>
          <w:sz w:val="24"/>
          <w:szCs w:val="22"/>
          <w:highlight w:val="none"/>
          <w:lang w:eastAsia="zh-CN"/>
        </w:rPr>
        <w:t>投标人</w:t>
      </w:r>
      <w:r>
        <w:rPr>
          <w:rFonts w:hint="eastAsia" w:ascii="宋体" w:hAnsi="宋体" w:cs="宋体"/>
          <w:b/>
          <w:bCs/>
          <w:color w:val="auto"/>
          <w:sz w:val="24"/>
          <w:szCs w:val="22"/>
          <w:highlight w:val="none"/>
        </w:rPr>
        <w:t>承担。</w:t>
      </w:r>
    </w:p>
    <w:p>
      <w:pP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400" w:lineRule="exact"/>
        <w:jc w:val="both"/>
        <w:outlineLvl w:val="2"/>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附件二</w:t>
      </w:r>
    </w:p>
    <w:p>
      <w:pPr>
        <w:spacing w:line="400" w:lineRule="exact"/>
        <w:jc w:val="center"/>
        <w:outlineLvl w:val="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报价文件</w:t>
      </w:r>
      <w:bookmarkEnd w:id="28"/>
      <w:bookmarkEnd w:id="29"/>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lang w:val="zh-CN"/>
        </w:rPr>
        <w:t>投标函</w:t>
      </w:r>
    </w:p>
    <w:p>
      <w:pPr>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致：</w:t>
      </w:r>
      <w:r>
        <w:rPr>
          <w:rFonts w:hint="eastAsia" w:ascii="宋体" w:hAnsi="宋体" w:cs="宋体"/>
          <w:color w:val="auto"/>
          <w:sz w:val="22"/>
          <w:szCs w:val="22"/>
          <w:highlight w:val="none"/>
          <w:lang w:eastAsia="zh-CN"/>
        </w:rPr>
        <w:t>温州市鹿城区山福镇人民政府</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项目（招标编号：</w:t>
      </w: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rPr>
        <w:t xml:space="preserve"> </w:t>
      </w:r>
      <w:r>
        <w:rPr>
          <w:rFonts w:hint="eastAsia" w:ascii="宋体" w:hAnsi="宋体" w:eastAsia="宋体" w:cs="宋体"/>
          <w:color w:val="auto"/>
          <w:sz w:val="22"/>
          <w:szCs w:val="22"/>
          <w:highlight w:val="none"/>
        </w:rPr>
        <w:t>）的投标邀请，我方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（投标人名称）作为投标人正式授权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1、我方同意在投标人</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(4)良好的资金、财务状况；</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3、提供</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(1)资格文件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商务</w:t>
      </w:r>
      <w:r>
        <w:rPr>
          <w:rFonts w:hint="eastAsia" w:ascii="宋体" w:hAnsi="宋体" w:eastAsia="宋体" w:cs="宋体"/>
          <w:color w:val="auto"/>
          <w:kern w:val="0"/>
          <w:sz w:val="22"/>
          <w:szCs w:val="22"/>
          <w:highlight w:val="none"/>
          <w:lang w:val="zh-CN"/>
        </w:rPr>
        <w:t>技术文件</w:t>
      </w:r>
      <w:r>
        <w:rPr>
          <w:rFonts w:hint="eastAsia" w:ascii="宋体" w:hAnsi="宋体" w:eastAsia="宋体" w:cs="宋体"/>
          <w:color w:val="auto"/>
          <w:sz w:val="22"/>
          <w:szCs w:val="22"/>
          <w:highlight w:val="none"/>
        </w:rPr>
        <w:t>；</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供应商有前款第(1)至(5)项情形之一的，中标、成交无效。</w:t>
      </w:r>
    </w:p>
    <w:p>
      <w:pPr>
        <w:shd w:val="clear" w:color="auto" w:fill="FFFFFF"/>
        <w:snapToGrid w:val="0"/>
        <w:spacing w:line="360" w:lineRule="auto"/>
        <w:rPr>
          <w:rFonts w:hint="eastAsia" w:ascii="宋体" w:hAnsi="宋体" w:eastAsia="宋体" w:cs="宋体"/>
          <w:color w:val="auto"/>
          <w:kern w:val="0"/>
          <w:sz w:val="22"/>
          <w:szCs w:val="22"/>
          <w:highlight w:val="none"/>
          <w:lang w:val="zh-CN"/>
        </w:rPr>
      </w:pP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法定（授权）代表人（签字）：</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lang w:val="zh-CN"/>
        </w:rPr>
      </w:pPr>
      <w:r>
        <w:rPr>
          <w:rFonts w:hint="eastAsia" w:ascii="宋体" w:hAnsi="宋体" w:eastAsia="宋体" w:cs="宋体"/>
          <w:color w:val="auto"/>
          <w:kern w:val="0"/>
          <w:sz w:val="22"/>
          <w:szCs w:val="22"/>
          <w:highlight w:val="none"/>
          <w:lang w:val="zh-CN"/>
        </w:rPr>
        <w:t>投标人盖章：</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 xml:space="preserve">联系电话：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传真：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电子邮件：  </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联系地址：</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邮政编码：</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传真号码：</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lang w:val="zh-CN"/>
        </w:rPr>
        <w:t>日</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lang w:val="zh-CN"/>
        </w:rPr>
        <w:t>期</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lang w:val="zh-CN"/>
        </w:rPr>
        <w:t>年</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rPr>
        <w:tab/>
      </w:r>
      <w:r>
        <w:rPr>
          <w:rFonts w:hint="eastAsia" w:ascii="宋体" w:hAnsi="宋体" w:eastAsia="宋体" w:cs="宋体"/>
          <w:color w:val="auto"/>
          <w:kern w:val="0"/>
          <w:sz w:val="22"/>
          <w:szCs w:val="22"/>
          <w:highlight w:val="none"/>
          <w:lang w:val="zh-CN"/>
        </w:rPr>
        <w:t>月</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日</w:t>
      </w:r>
    </w:p>
    <w:p>
      <w:pPr>
        <w:spacing w:line="44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val="zh-CN"/>
        </w:rPr>
        <w:t>注：未按照本投标响应函要求填报的将被视为非实质性响应，从而可能导致该投标文件被拒绝。</w:t>
      </w:r>
    </w:p>
    <w:p>
      <w:pPr>
        <w:pStyle w:val="23"/>
        <w:ind w:left="442" w:hanging="442"/>
        <w:rPr>
          <w:rFonts w:hint="eastAsia" w:ascii="宋体" w:hAnsi="宋体" w:eastAsia="宋体" w:cs="宋体"/>
          <w:b/>
          <w:bCs/>
          <w:color w:val="auto"/>
          <w:sz w:val="22"/>
          <w:szCs w:val="22"/>
          <w:highlight w:val="none"/>
        </w:rPr>
      </w:pPr>
    </w:p>
    <w:p>
      <w:pPr>
        <w:pStyle w:val="23"/>
        <w:ind w:left="442" w:hanging="442"/>
        <w:rPr>
          <w:rFonts w:hint="eastAsia" w:ascii="宋体" w:hAnsi="宋体" w:eastAsia="宋体" w:cs="宋体"/>
          <w:b/>
          <w:bCs/>
          <w:color w:val="auto"/>
          <w:sz w:val="22"/>
          <w:szCs w:val="22"/>
          <w:highlight w:val="none"/>
        </w:rPr>
      </w:pPr>
    </w:p>
    <w:p>
      <w:pPr>
        <w:pStyle w:val="23"/>
        <w:ind w:left="442" w:hanging="442"/>
        <w:rPr>
          <w:rFonts w:hint="eastAsia" w:ascii="宋体" w:hAnsi="宋体" w:eastAsia="宋体" w:cs="宋体"/>
          <w:b/>
          <w:bCs/>
          <w:color w:val="auto"/>
          <w:sz w:val="22"/>
          <w:szCs w:val="22"/>
          <w:highlight w:val="none"/>
        </w:rPr>
      </w:pPr>
    </w:p>
    <w:p>
      <w:pPr>
        <w:pStyle w:val="23"/>
        <w:ind w:left="442" w:hanging="442"/>
        <w:rPr>
          <w:rFonts w:hint="eastAsia" w:ascii="宋体" w:hAnsi="宋体" w:eastAsia="宋体" w:cs="宋体"/>
          <w:b/>
          <w:bCs/>
          <w:color w:val="auto"/>
          <w:sz w:val="22"/>
          <w:szCs w:val="22"/>
          <w:highlight w:val="none"/>
        </w:rPr>
      </w:pPr>
    </w:p>
    <w:p>
      <w:pPr>
        <w:pStyle w:val="23"/>
        <w:ind w:left="442" w:hanging="442"/>
        <w:rPr>
          <w:rFonts w:hint="eastAsia" w:ascii="宋体" w:hAnsi="宋体" w:eastAsia="宋体" w:cs="宋体"/>
          <w:b/>
          <w:bCs/>
          <w:color w:val="auto"/>
          <w:sz w:val="22"/>
          <w:szCs w:val="22"/>
          <w:highlight w:val="none"/>
        </w:rPr>
      </w:pPr>
    </w:p>
    <w:p>
      <w:pPr>
        <w:pStyle w:val="23"/>
        <w:ind w:left="442" w:hanging="442"/>
        <w:rPr>
          <w:rFonts w:hint="eastAsia" w:ascii="宋体" w:hAnsi="宋体" w:eastAsia="宋体" w:cs="宋体"/>
          <w:b/>
          <w:bCs/>
          <w:color w:val="auto"/>
          <w:sz w:val="22"/>
          <w:szCs w:val="22"/>
          <w:highlight w:val="none"/>
        </w:rPr>
      </w:pPr>
    </w:p>
    <w:p>
      <w:pPr>
        <w:pStyle w:val="23"/>
        <w:ind w:left="442" w:hanging="442"/>
        <w:rPr>
          <w:rFonts w:hint="eastAsia" w:ascii="宋体" w:hAnsi="宋体" w:eastAsia="宋体" w:cs="宋体"/>
          <w:b/>
          <w:bCs/>
          <w:color w:val="auto"/>
          <w:sz w:val="22"/>
          <w:szCs w:val="22"/>
          <w:highlight w:val="none"/>
        </w:rPr>
      </w:pPr>
    </w:p>
    <w:p>
      <w:pPr>
        <w:pStyle w:val="23"/>
        <w:ind w:left="442" w:hanging="442"/>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pStyle w:val="23"/>
        <w:ind w:left="0" w:firstLine="0" w:firstLineChars="0"/>
        <w:rPr>
          <w:rFonts w:hint="eastAsia" w:ascii="宋体" w:hAnsi="宋体" w:eastAsia="宋体" w:cs="宋体"/>
          <w:b/>
          <w:bCs/>
          <w:color w:val="auto"/>
          <w:sz w:val="22"/>
          <w:szCs w:val="22"/>
          <w:highlight w:val="none"/>
        </w:rPr>
      </w:pPr>
    </w:p>
    <w:p>
      <w:pPr>
        <w:pStyle w:val="23"/>
        <w:ind w:left="0" w:firstLine="0" w:firstLineChars="0"/>
        <w:rPr>
          <w:rFonts w:hint="eastAsia" w:ascii="宋体" w:hAnsi="宋体" w:eastAsia="宋体" w:cs="宋体"/>
          <w:b/>
          <w:bCs/>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br w:type="page"/>
      </w:r>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2、</w:t>
      </w:r>
      <w:r>
        <w:rPr>
          <w:rFonts w:hint="eastAsia" w:ascii="宋体" w:hAnsi="宋体" w:eastAsia="宋体" w:cs="宋体"/>
          <w:b/>
          <w:color w:val="auto"/>
          <w:sz w:val="22"/>
          <w:szCs w:val="22"/>
          <w:highlight w:val="none"/>
          <w:lang w:val="zh-CN"/>
        </w:rPr>
        <w:t>投标报价一览表</w:t>
      </w:r>
    </w:p>
    <w:p>
      <w:pPr>
        <w:spacing w:line="38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spacing w:line="380" w:lineRule="exac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ZJDO20230105001</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color w:val="auto"/>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2023-2025年度山福镇绿化养护服务项目</w:t>
      </w:r>
    </w:p>
    <w:tbl>
      <w:tblPr>
        <w:tblStyle w:val="53"/>
        <w:tblW w:w="4875" w:type="pct"/>
        <w:tblInd w:w="-6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2130"/>
        <w:gridCol w:w="1788"/>
        <w:gridCol w:w="1900"/>
        <w:gridCol w:w="1547"/>
        <w:gridCol w:w="1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85" w:type="pct"/>
            <w:noWrap w:val="0"/>
            <w:vAlign w:val="center"/>
          </w:tcPr>
          <w:p>
            <w:pPr>
              <w:autoSpaceDE w:val="0"/>
              <w:autoSpaceDN w:val="0"/>
              <w:adjustRightInd w:val="0"/>
              <w:spacing w:line="380" w:lineRule="atLeast"/>
              <w:ind w:right="349"/>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xml:space="preserve"> 序号</w:t>
            </w:r>
          </w:p>
        </w:tc>
        <w:tc>
          <w:tcPr>
            <w:tcW w:w="1108" w:type="pct"/>
            <w:noWrap w:val="0"/>
            <w:vAlign w:val="center"/>
          </w:tcPr>
          <w:p>
            <w:pPr>
              <w:autoSpaceDE w:val="0"/>
              <w:autoSpaceDN w:val="0"/>
              <w:adjustRightInd w:val="0"/>
              <w:spacing w:line="380" w:lineRule="atLeast"/>
              <w:ind w:right="349" w:firstLine="325" w:firstLineChars="147"/>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930" w:type="pct"/>
            <w:noWrap w:val="0"/>
            <w:vAlign w:val="center"/>
          </w:tcPr>
          <w:p>
            <w:pPr>
              <w:autoSpaceDE w:val="0"/>
              <w:autoSpaceDN w:val="0"/>
              <w:adjustRightInd w:val="0"/>
              <w:spacing w:line="380" w:lineRule="atLeast"/>
              <w:ind w:right="349" w:firstLine="325" w:firstLineChars="147"/>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988" w:type="pct"/>
            <w:noWrap w:val="0"/>
            <w:vAlign w:val="center"/>
          </w:tcPr>
          <w:p>
            <w:pPr>
              <w:autoSpaceDE w:val="0"/>
              <w:autoSpaceDN w:val="0"/>
              <w:adjustRightInd w:val="0"/>
              <w:spacing w:line="380" w:lineRule="atLeast"/>
              <w:ind w:right="349"/>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投标综合单价</w:t>
            </w:r>
          </w:p>
        </w:tc>
        <w:tc>
          <w:tcPr>
            <w:tcW w:w="805" w:type="pct"/>
            <w:noWrap w:val="0"/>
            <w:vAlign w:val="center"/>
          </w:tcPr>
          <w:p>
            <w:pPr>
              <w:autoSpaceDE w:val="0"/>
              <w:autoSpaceDN w:val="0"/>
              <w:adjustRightInd w:val="0"/>
              <w:spacing w:line="380" w:lineRule="atLeast"/>
              <w:ind w:right="349"/>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合计</w:t>
            </w:r>
          </w:p>
        </w:tc>
        <w:tc>
          <w:tcPr>
            <w:tcW w:w="582" w:type="pct"/>
            <w:noWrap w:val="0"/>
            <w:vAlign w:val="center"/>
          </w:tcPr>
          <w:p>
            <w:pPr>
              <w:autoSpaceDE w:val="0"/>
              <w:autoSpaceDN w:val="0"/>
              <w:adjustRightInd w:val="0"/>
              <w:spacing w:line="380" w:lineRule="atLeast"/>
              <w:ind w:right="349"/>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85" w:type="pct"/>
            <w:noWrap w:val="0"/>
            <w:vAlign w:val="center"/>
          </w:tcPr>
          <w:p>
            <w:pPr>
              <w:autoSpaceDE w:val="0"/>
              <w:autoSpaceDN w:val="0"/>
              <w:adjustRightInd w:val="0"/>
              <w:spacing w:line="380" w:lineRule="atLeast"/>
              <w:ind w:right="349" w:firstLine="323" w:firstLineChars="147"/>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2130" w:type="dxa"/>
            <w:noWrap w:val="0"/>
            <w:vAlign w:val="center"/>
          </w:tcPr>
          <w:p>
            <w:pPr>
              <w:autoSpaceDE w:val="0"/>
              <w:autoSpaceDN w:val="0"/>
              <w:adjustRightInd w:val="0"/>
              <w:jc w:val="center"/>
              <w:textAlignment w:val="bottom"/>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sz w:val="22"/>
                <w:szCs w:val="22"/>
                <w:highlight w:val="none"/>
              </w:rPr>
              <w:t>绿地养护面积</w:t>
            </w:r>
          </w:p>
        </w:tc>
        <w:tc>
          <w:tcPr>
            <w:tcW w:w="1788" w:type="dxa"/>
            <w:noWrap w:val="0"/>
            <w:vAlign w:val="center"/>
          </w:tcPr>
          <w:p>
            <w:pPr>
              <w:widowControl/>
              <w:autoSpaceDE w:val="0"/>
              <w:autoSpaceDN w:val="0"/>
              <w:adjustRightInd w:val="0"/>
              <w:ind w:firstLine="220" w:firstLineChars="100"/>
              <w:jc w:val="center"/>
              <w:textAlignment w:val="bottom"/>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sz w:val="22"/>
                <w:szCs w:val="22"/>
                <w:highlight w:val="none"/>
                <w:lang w:eastAsia="zh-CN"/>
              </w:rPr>
              <w:t>136799</w:t>
            </w:r>
            <w:r>
              <w:rPr>
                <w:rFonts w:hint="eastAsia" w:ascii="新宋体" w:hAnsi="新宋体" w:eastAsia="新宋体" w:cs="新宋体"/>
                <w:bCs/>
                <w:color w:val="auto"/>
                <w:sz w:val="22"/>
                <w:szCs w:val="22"/>
                <w:highlight w:val="none"/>
              </w:rPr>
              <w:t>㎡</w:t>
            </w:r>
          </w:p>
        </w:tc>
        <w:tc>
          <w:tcPr>
            <w:tcW w:w="988" w:type="pct"/>
            <w:noWrap w:val="0"/>
            <w:vAlign w:val="center"/>
          </w:tcPr>
          <w:p>
            <w:pPr>
              <w:autoSpaceDE w:val="0"/>
              <w:autoSpaceDN w:val="0"/>
              <w:adjustRightInd w:val="0"/>
              <w:spacing w:line="380" w:lineRule="atLeast"/>
              <w:ind w:right="349" w:firstLine="323" w:firstLineChars="147"/>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w:t>
            </w:r>
          </w:p>
        </w:tc>
        <w:tc>
          <w:tcPr>
            <w:tcW w:w="805" w:type="pct"/>
            <w:noWrap w:val="0"/>
            <w:vAlign w:val="center"/>
          </w:tcPr>
          <w:p>
            <w:pPr>
              <w:autoSpaceDE w:val="0"/>
              <w:autoSpaceDN w:val="0"/>
              <w:adjustRightInd w:val="0"/>
              <w:spacing w:line="380" w:lineRule="atLeast"/>
              <w:ind w:right="349" w:firstLine="220" w:firstLineChars="1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w:t>
            </w:r>
          </w:p>
        </w:tc>
        <w:tc>
          <w:tcPr>
            <w:tcW w:w="582" w:type="pct"/>
            <w:noWrap w:val="0"/>
            <w:vAlign w:val="center"/>
          </w:tcPr>
          <w:p>
            <w:pPr>
              <w:autoSpaceDE w:val="0"/>
              <w:autoSpaceDN w:val="0"/>
              <w:adjustRightInd w:val="0"/>
              <w:spacing w:line="380" w:lineRule="atLeast"/>
              <w:ind w:right="349" w:firstLine="323" w:firstLineChars="147"/>
              <w:jc w:val="center"/>
              <w:rPr>
                <w:rFonts w:hint="eastAsia" w:ascii="新宋体" w:hAnsi="新宋体" w:eastAsia="新宋体" w:cs="新宋体"/>
                <w:color w:val="auto"/>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85" w:type="pct"/>
            <w:noWrap w:val="0"/>
            <w:vAlign w:val="center"/>
          </w:tcPr>
          <w:p>
            <w:pPr>
              <w:autoSpaceDE w:val="0"/>
              <w:autoSpaceDN w:val="0"/>
              <w:adjustRightInd w:val="0"/>
              <w:spacing w:line="380" w:lineRule="atLeast"/>
              <w:ind w:right="349" w:firstLine="323" w:firstLineChars="147"/>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2130" w:type="dxa"/>
            <w:noWrap w:val="0"/>
            <w:vAlign w:val="center"/>
          </w:tcPr>
          <w:p>
            <w:pPr>
              <w:autoSpaceDE w:val="0"/>
              <w:autoSpaceDN w:val="0"/>
              <w:adjustRightInd w:val="0"/>
              <w:jc w:val="center"/>
              <w:textAlignment w:val="bottom"/>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sz w:val="22"/>
                <w:szCs w:val="22"/>
                <w:highlight w:val="none"/>
              </w:rPr>
              <w:t>行道树</w:t>
            </w:r>
          </w:p>
        </w:tc>
        <w:tc>
          <w:tcPr>
            <w:tcW w:w="1788" w:type="dxa"/>
            <w:noWrap w:val="0"/>
            <w:vAlign w:val="center"/>
          </w:tcPr>
          <w:p>
            <w:pPr>
              <w:widowControl/>
              <w:autoSpaceDE w:val="0"/>
              <w:autoSpaceDN w:val="0"/>
              <w:adjustRightInd w:val="0"/>
              <w:ind w:firstLine="220" w:firstLineChars="100"/>
              <w:jc w:val="center"/>
              <w:textAlignment w:val="bottom"/>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sz w:val="22"/>
                <w:szCs w:val="22"/>
                <w:highlight w:val="none"/>
                <w:lang w:eastAsia="zh-CN"/>
              </w:rPr>
              <w:t>2099</w:t>
            </w:r>
            <w:r>
              <w:rPr>
                <w:rFonts w:hint="eastAsia" w:ascii="新宋体" w:hAnsi="新宋体" w:eastAsia="新宋体" w:cs="新宋体"/>
                <w:bCs/>
                <w:color w:val="auto"/>
                <w:sz w:val="22"/>
                <w:szCs w:val="22"/>
                <w:highlight w:val="none"/>
              </w:rPr>
              <w:t>株</w:t>
            </w:r>
          </w:p>
        </w:tc>
        <w:tc>
          <w:tcPr>
            <w:tcW w:w="988" w:type="pct"/>
            <w:noWrap w:val="0"/>
            <w:vAlign w:val="center"/>
          </w:tcPr>
          <w:p>
            <w:pPr>
              <w:autoSpaceDE w:val="0"/>
              <w:autoSpaceDN w:val="0"/>
              <w:adjustRightInd w:val="0"/>
              <w:spacing w:line="380" w:lineRule="atLeast"/>
              <w:ind w:right="349" w:firstLine="323" w:firstLineChars="147"/>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元/株</w:t>
            </w:r>
          </w:p>
        </w:tc>
        <w:tc>
          <w:tcPr>
            <w:tcW w:w="805" w:type="pct"/>
            <w:noWrap w:val="0"/>
            <w:vAlign w:val="center"/>
          </w:tcPr>
          <w:p>
            <w:pPr>
              <w:autoSpaceDE w:val="0"/>
              <w:autoSpaceDN w:val="0"/>
              <w:adjustRightInd w:val="0"/>
              <w:spacing w:line="380" w:lineRule="atLeast"/>
              <w:ind w:right="34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w:t>
            </w:r>
          </w:p>
        </w:tc>
        <w:tc>
          <w:tcPr>
            <w:tcW w:w="582" w:type="pct"/>
            <w:noWrap w:val="0"/>
            <w:vAlign w:val="center"/>
          </w:tcPr>
          <w:p>
            <w:pPr>
              <w:autoSpaceDE w:val="0"/>
              <w:autoSpaceDN w:val="0"/>
              <w:adjustRightInd w:val="0"/>
              <w:spacing w:line="380" w:lineRule="atLeast"/>
              <w:ind w:right="349" w:firstLine="323" w:firstLineChars="147"/>
              <w:jc w:val="center"/>
              <w:rPr>
                <w:rFonts w:hint="eastAsia" w:ascii="新宋体" w:hAnsi="新宋体" w:eastAsia="新宋体" w:cs="新宋体"/>
                <w:color w:val="auto"/>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85" w:type="pct"/>
            <w:noWrap w:val="0"/>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3026" w:type="pct"/>
            <w:gridSpan w:val="3"/>
            <w:noWrap w:val="0"/>
            <w:vAlign w:val="center"/>
          </w:tcPr>
          <w:p>
            <w:pPr>
              <w:widowControl/>
              <w:autoSpaceDE w:val="0"/>
              <w:autoSpaceDN w:val="0"/>
              <w:adjustRightInd w:val="0"/>
              <w:spacing w:line="460" w:lineRule="atLeast"/>
              <w:ind w:firstLine="220" w:firstLineChars="100"/>
              <w:jc w:val="center"/>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投标总计价</w:t>
            </w:r>
          </w:p>
        </w:tc>
        <w:tc>
          <w:tcPr>
            <w:tcW w:w="1387" w:type="pct"/>
            <w:gridSpan w:val="2"/>
            <w:noWrap w:val="0"/>
            <w:vAlign w:val="center"/>
          </w:tcPr>
          <w:p>
            <w:pPr>
              <w:widowControl/>
              <w:autoSpaceDE w:val="0"/>
              <w:autoSpaceDN w:val="0"/>
              <w:adjustRightInd w:val="0"/>
              <w:spacing w:line="460" w:lineRule="atLeast"/>
              <w:ind w:firstLine="220" w:firstLineChars="100"/>
              <w:jc w:val="center"/>
              <w:textAlignment w:val="bottom"/>
              <w:rPr>
                <w:rFonts w:hint="eastAsia" w:ascii="新宋体" w:hAnsi="新宋体" w:eastAsia="新宋体" w:cs="新宋体"/>
                <w:color w:val="auto"/>
                <w:sz w:val="22"/>
                <w:szCs w:val="22"/>
                <w:highlight w:val="none"/>
              </w:rPr>
            </w:pPr>
          </w:p>
        </w:tc>
      </w:tr>
    </w:tbl>
    <w:p>
      <w:pPr>
        <w:spacing w:line="40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w:t>
      </w:r>
    </w:p>
    <w:p>
      <w:pPr>
        <w:numPr>
          <w:ilvl w:val="0"/>
          <w:numId w:val="3"/>
        </w:num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此表内投标总价应与“投标分项报价表”中总计价相一致。</w:t>
      </w:r>
    </w:p>
    <w:p>
      <w:pPr>
        <w:numPr>
          <w:ilvl w:val="0"/>
          <w:numId w:val="3"/>
        </w:num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此表不得自行增减内容，不提供此表格将被视为没有实质性响应招标文件,其投标文件将被拒绝</w:t>
      </w:r>
      <w:r>
        <w:rPr>
          <w:rFonts w:hint="eastAsia" w:ascii="宋体" w:hAnsi="宋体" w:cs="宋体"/>
          <w:b/>
          <w:color w:val="auto"/>
          <w:sz w:val="22"/>
          <w:highlight w:val="none"/>
          <w:lang w:eastAsia="zh-CN"/>
        </w:rPr>
        <w:t>。</w:t>
      </w:r>
    </w:p>
    <w:p>
      <w:pPr>
        <w:spacing w:line="360" w:lineRule="auto"/>
        <w:jc w:val="center"/>
        <w:rPr>
          <w:rFonts w:hint="eastAsia" w:ascii="宋体" w:hAnsi="宋体" w:eastAsia="宋体" w:cs="宋体"/>
          <w:color w:val="auto"/>
          <w:sz w:val="22"/>
          <w:szCs w:val="22"/>
          <w:highlight w:val="none"/>
        </w:rPr>
      </w:pPr>
    </w:p>
    <w:p>
      <w:pPr>
        <w:pStyle w:val="3"/>
        <w:rPr>
          <w:rFonts w:hint="eastAsia" w:ascii="宋体" w:hAnsi="宋体" w:eastAsia="宋体" w:cs="宋体"/>
          <w:color w:val="auto"/>
          <w:sz w:val="22"/>
          <w:szCs w:val="22"/>
          <w:highlight w:val="none"/>
        </w:rPr>
      </w:pPr>
    </w:p>
    <w:p>
      <w:pPr>
        <w:rPr>
          <w:rFonts w:hint="eastAsia"/>
          <w:color w:val="auto"/>
          <w:highlight w:val="none"/>
        </w:rPr>
      </w:pP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br w:type="page"/>
      </w:r>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3、分项报价表</w:t>
      </w:r>
    </w:p>
    <w:p>
      <w:pPr>
        <w:spacing w:line="360" w:lineRule="auto"/>
        <w:rPr>
          <w:rFonts w:hint="eastAsia" w:ascii="宋体" w:hAnsi="宋体" w:eastAsia="宋体" w:cs="宋体"/>
          <w:b w:val="0"/>
          <w:bCs w:val="0"/>
          <w:color w:val="auto"/>
          <w:sz w:val="22"/>
          <w:szCs w:val="22"/>
          <w:highlight w:val="none"/>
        </w:rPr>
      </w:pP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ZJDO20230105001</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2023-2025年度山福镇绿化养护服务项目</w:t>
      </w:r>
    </w:p>
    <w:tbl>
      <w:tblPr>
        <w:tblStyle w:val="53"/>
        <w:tblW w:w="100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10"/>
        <w:gridCol w:w="1138"/>
        <w:gridCol w:w="2464"/>
        <w:gridCol w:w="8"/>
        <w:gridCol w:w="1492"/>
        <w:gridCol w:w="1701"/>
        <w:gridCol w:w="25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710" w:type="dxa"/>
            <w:noWrap w:val="0"/>
            <w:vAlign w:val="center"/>
          </w:tcPr>
          <w:p>
            <w:pPr>
              <w:pStyle w:val="341"/>
              <w:spacing w:before="57" w:line="242" w:lineRule="auto"/>
              <w:ind w:left="121" w:right="116"/>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3610" w:type="dxa"/>
            <w:gridSpan w:val="3"/>
            <w:noWrap w:val="0"/>
            <w:vAlign w:val="center"/>
          </w:tcPr>
          <w:p>
            <w:pPr>
              <w:pStyle w:val="341"/>
              <w:spacing w:before="57" w:line="242" w:lineRule="auto"/>
              <w:ind w:left="121" w:right="116"/>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w:t>
            </w:r>
          </w:p>
        </w:tc>
        <w:tc>
          <w:tcPr>
            <w:tcW w:w="1492" w:type="dxa"/>
            <w:noWrap w:val="0"/>
            <w:vAlign w:val="center"/>
          </w:tcPr>
          <w:p>
            <w:pPr>
              <w:pStyle w:val="341"/>
              <w:spacing w:before="57" w:line="242" w:lineRule="auto"/>
              <w:ind w:left="121" w:right="116"/>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月支出</w:t>
            </w:r>
          </w:p>
        </w:tc>
        <w:tc>
          <w:tcPr>
            <w:tcW w:w="1701" w:type="dxa"/>
            <w:noWrap w:val="0"/>
            <w:vAlign w:val="center"/>
          </w:tcPr>
          <w:p>
            <w:pPr>
              <w:pStyle w:val="341"/>
              <w:spacing w:before="57" w:line="242" w:lineRule="auto"/>
              <w:ind w:left="121" w:right="116"/>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年支出</w:t>
            </w:r>
          </w:p>
        </w:tc>
        <w:tc>
          <w:tcPr>
            <w:tcW w:w="2534" w:type="dxa"/>
            <w:noWrap w:val="0"/>
            <w:vAlign w:val="center"/>
          </w:tcPr>
          <w:p>
            <w:pPr>
              <w:pStyle w:val="341"/>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restart"/>
            <w:noWrap w:val="0"/>
            <w:vAlign w:val="center"/>
          </w:tcPr>
          <w:p>
            <w:pPr>
              <w:pStyle w:val="341"/>
              <w:ind w:left="27"/>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138" w:type="dxa"/>
            <w:vMerge w:val="restart"/>
            <w:noWrap w:val="0"/>
            <w:vAlign w:val="center"/>
          </w:tcPr>
          <w:p>
            <w:pPr>
              <w:pStyle w:val="341"/>
              <w:spacing w:line="242" w:lineRule="auto"/>
              <w:ind w:left="195" w:right="148"/>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固定资产折旧</w:t>
            </w:r>
          </w:p>
        </w:tc>
        <w:tc>
          <w:tcPr>
            <w:tcW w:w="8199" w:type="dxa"/>
            <w:gridSpan w:val="5"/>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1、车辆折旧费、燃料用油费、维修保养费、车辆保险费、车辆GPS建设费等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center"/>
          </w:tcPr>
          <w:p>
            <w:pPr>
              <w:pStyle w:val="341"/>
              <w:ind w:left="27"/>
              <w:jc w:val="center"/>
              <w:rPr>
                <w:rFonts w:hint="eastAsia" w:ascii="新宋体" w:hAnsi="新宋体" w:eastAsia="新宋体" w:cs="新宋体"/>
                <w:color w:val="auto"/>
                <w:sz w:val="22"/>
                <w:szCs w:val="22"/>
                <w:highlight w:val="none"/>
              </w:rPr>
            </w:pPr>
          </w:p>
        </w:tc>
        <w:tc>
          <w:tcPr>
            <w:tcW w:w="1138" w:type="dxa"/>
            <w:vMerge w:val="continue"/>
            <w:noWrap w:val="0"/>
            <w:vAlign w:val="center"/>
          </w:tcPr>
          <w:p>
            <w:pPr>
              <w:pStyle w:val="341"/>
              <w:spacing w:line="242" w:lineRule="auto"/>
              <w:ind w:left="195" w:right="148"/>
              <w:jc w:val="center"/>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(1)洒水车</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center"/>
          </w:tcPr>
          <w:p>
            <w:pPr>
              <w:pStyle w:val="341"/>
              <w:ind w:left="27"/>
              <w:jc w:val="center"/>
              <w:rPr>
                <w:rFonts w:hint="eastAsia" w:ascii="新宋体" w:hAnsi="新宋体" w:eastAsia="新宋体" w:cs="新宋体"/>
                <w:color w:val="auto"/>
                <w:sz w:val="22"/>
                <w:szCs w:val="22"/>
                <w:highlight w:val="none"/>
              </w:rPr>
            </w:pPr>
          </w:p>
        </w:tc>
        <w:tc>
          <w:tcPr>
            <w:tcW w:w="1138" w:type="dxa"/>
            <w:vMerge w:val="continue"/>
            <w:noWrap w:val="0"/>
            <w:vAlign w:val="center"/>
          </w:tcPr>
          <w:p>
            <w:pPr>
              <w:pStyle w:val="341"/>
              <w:spacing w:line="242" w:lineRule="auto"/>
              <w:ind w:left="195" w:right="148"/>
              <w:jc w:val="center"/>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(2)巡查车</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center"/>
          </w:tcPr>
          <w:p>
            <w:pPr>
              <w:pStyle w:val="341"/>
              <w:ind w:left="27"/>
              <w:jc w:val="center"/>
              <w:rPr>
                <w:rFonts w:hint="eastAsia" w:ascii="新宋体" w:hAnsi="新宋体" w:eastAsia="新宋体" w:cs="新宋体"/>
                <w:color w:val="auto"/>
                <w:sz w:val="22"/>
                <w:szCs w:val="22"/>
                <w:highlight w:val="none"/>
              </w:rPr>
            </w:pPr>
          </w:p>
        </w:tc>
        <w:tc>
          <w:tcPr>
            <w:tcW w:w="1138" w:type="dxa"/>
            <w:vMerge w:val="continue"/>
            <w:noWrap w:val="0"/>
            <w:vAlign w:val="center"/>
          </w:tcPr>
          <w:p>
            <w:pPr>
              <w:pStyle w:val="341"/>
              <w:spacing w:line="242" w:lineRule="auto"/>
              <w:ind w:left="195" w:right="148"/>
              <w:jc w:val="center"/>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pPr>
              <w:rPr>
                <w:rFonts w:hint="eastAsia" w:ascii="新宋体" w:hAnsi="新宋体" w:eastAsia="新宋体" w:cs="新宋体"/>
                <w:color w:val="auto"/>
                <w:sz w:val="22"/>
                <w:szCs w:val="22"/>
                <w:highlight w:val="none"/>
              </w:rPr>
            </w:pPr>
          </w:p>
        </w:tc>
        <w:tc>
          <w:tcPr>
            <w:tcW w:w="1138" w:type="dxa"/>
            <w:vMerge w:val="continue"/>
            <w:noWrap w:val="0"/>
            <w:vAlign w:val="top"/>
          </w:tcPr>
          <w:p>
            <w:pPr>
              <w:rPr>
                <w:rFonts w:hint="eastAsia" w:ascii="新宋体" w:hAnsi="新宋体" w:eastAsia="新宋体" w:cs="新宋体"/>
                <w:color w:val="auto"/>
                <w:sz w:val="22"/>
                <w:szCs w:val="22"/>
                <w:highlight w:val="none"/>
              </w:rPr>
            </w:pPr>
          </w:p>
        </w:tc>
        <w:tc>
          <w:tcPr>
            <w:tcW w:w="8199" w:type="dxa"/>
            <w:gridSpan w:val="5"/>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2、机械设备、器材等折旧维修、保养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pPr>
              <w:rPr>
                <w:rFonts w:hint="eastAsia" w:ascii="新宋体" w:hAnsi="新宋体" w:eastAsia="新宋体" w:cs="新宋体"/>
                <w:color w:val="auto"/>
                <w:sz w:val="22"/>
                <w:szCs w:val="22"/>
                <w:highlight w:val="none"/>
              </w:rPr>
            </w:pPr>
          </w:p>
        </w:tc>
        <w:tc>
          <w:tcPr>
            <w:tcW w:w="1138" w:type="dxa"/>
            <w:vMerge w:val="continue"/>
            <w:noWrap w:val="0"/>
            <w:vAlign w:val="top"/>
          </w:tcPr>
          <w:p>
            <w:pPr>
              <w:rPr>
                <w:rFonts w:hint="eastAsia" w:ascii="新宋体" w:hAnsi="新宋体" w:eastAsia="新宋体" w:cs="新宋体"/>
                <w:color w:val="auto"/>
                <w:sz w:val="22"/>
                <w:szCs w:val="22"/>
                <w:highlight w:val="none"/>
              </w:rPr>
            </w:pPr>
          </w:p>
        </w:tc>
        <w:tc>
          <w:tcPr>
            <w:tcW w:w="2472" w:type="dxa"/>
            <w:gridSpan w:val="2"/>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pPr>
              <w:rPr>
                <w:rFonts w:hint="eastAsia" w:ascii="新宋体" w:hAnsi="新宋体" w:eastAsia="新宋体" w:cs="新宋体"/>
                <w:color w:val="auto"/>
                <w:sz w:val="22"/>
                <w:szCs w:val="22"/>
                <w:highlight w:val="none"/>
              </w:rPr>
            </w:pPr>
          </w:p>
        </w:tc>
        <w:tc>
          <w:tcPr>
            <w:tcW w:w="1138" w:type="dxa"/>
            <w:vMerge w:val="continue"/>
            <w:noWrap w:val="0"/>
            <w:vAlign w:val="top"/>
          </w:tcPr>
          <w:p>
            <w:pPr>
              <w:rPr>
                <w:rFonts w:hint="eastAsia" w:ascii="新宋体" w:hAnsi="新宋体" w:eastAsia="新宋体" w:cs="新宋体"/>
                <w:color w:val="auto"/>
                <w:sz w:val="22"/>
                <w:szCs w:val="22"/>
                <w:highlight w:val="none"/>
              </w:rPr>
            </w:pPr>
          </w:p>
        </w:tc>
        <w:tc>
          <w:tcPr>
            <w:tcW w:w="2472" w:type="dxa"/>
            <w:gridSpan w:val="2"/>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pPr>
              <w:rPr>
                <w:rFonts w:hint="eastAsia" w:ascii="新宋体" w:hAnsi="新宋体" w:eastAsia="新宋体" w:cs="新宋体"/>
                <w:color w:val="auto"/>
                <w:sz w:val="22"/>
                <w:szCs w:val="22"/>
                <w:highlight w:val="none"/>
              </w:rPr>
            </w:pPr>
          </w:p>
        </w:tc>
        <w:tc>
          <w:tcPr>
            <w:tcW w:w="1138" w:type="dxa"/>
            <w:vMerge w:val="continue"/>
            <w:noWrap w:val="0"/>
            <w:vAlign w:val="top"/>
          </w:tcPr>
          <w:p>
            <w:pPr>
              <w:rPr>
                <w:rFonts w:hint="eastAsia" w:ascii="新宋体" w:hAnsi="新宋体" w:eastAsia="新宋体" w:cs="新宋体"/>
                <w:color w:val="auto"/>
                <w:sz w:val="22"/>
                <w:szCs w:val="22"/>
                <w:highlight w:val="none"/>
              </w:rPr>
            </w:pPr>
          </w:p>
        </w:tc>
        <w:tc>
          <w:tcPr>
            <w:tcW w:w="2472" w:type="dxa"/>
            <w:gridSpan w:val="2"/>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pPr>
              <w:rPr>
                <w:rFonts w:hint="eastAsia" w:ascii="新宋体" w:hAnsi="新宋体" w:eastAsia="新宋体" w:cs="新宋体"/>
                <w:color w:val="auto"/>
                <w:sz w:val="22"/>
                <w:szCs w:val="22"/>
                <w:highlight w:val="none"/>
              </w:rPr>
            </w:pPr>
          </w:p>
        </w:tc>
        <w:tc>
          <w:tcPr>
            <w:tcW w:w="1138" w:type="dxa"/>
            <w:vMerge w:val="continue"/>
            <w:noWrap w:val="0"/>
            <w:vAlign w:val="top"/>
          </w:tcPr>
          <w:p>
            <w:pPr>
              <w:rPr>
                <w:rFonts w:hint="eastAsia" w:ascii="新宋体" w:hAnsi="新宋体" w:eastAsia="新宋体" w:cs="新宋体"/>
                <w:color w:val="auto"/>
                <w:sz w:val="22"/>
                <w:szCs w:val="22"/>
                <w:highlight w:val="none"/>
              </w:rPr>
            </w:pPr>
          </w:p>
        </w:tc>
        <w:tc>
          <w:tcPr>
            <w:tcW w:w="2472" w:type="dxa"/>
            <w:gridSpan w:val="2"/>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pPr>
              <w:rPr>
                <w:rFonts w:hint="eastAsia" w:ascii="新宋体" w:hAnsi="新宋体" w:eastAsia="新宋体" w:cs="新宋体"/>
                <w:color w:val="auto"/>
                <w:sz w:val="22"/>
                <w:szCs w:val="22"/>
                <w:highlight w:val="none"/>
              </w:rPr>
            </w:pPr>
          </w:p>
        </w:tc>
        <w:tc>
          <w:tcPr>
            <w:tcW w:w="1138" w:type="dxa"/>
            <w:vMerge w:val="continue"/>
            <w:noWrap w:val="0"/>
            <w:vAlign w:val="top"/>
          </w:tcPr>
          <w:p>
            <w:pPr>
              <w:rPr>
                <w:rFonts w:hint="eastAsia" w:ascii="新宋体" w:hAnsi="新宋体" w:eastAsia="新宋体" w:cs="新宋体"/>
                <w:color w:val="auto"/>
                <w:sz w:val="22"/>
                <w:szCs w:val="22"/>
                <w:highlight w:val="none"/>
              </w:rPr>
            </w:pPr>
          </w:p>
        </w:tc>
        <w:tc>
          <w:tcPr>
            <w:tcW w:w="2472" w:type="dxa"/>
            <w:gridSpan w:val="2"/>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pPr>
              <w:rPr>
                <w:rFonts w:hint="eastAsia" w:ascii="新宋体" w:hAnsi="新宋体" w:eastAsia="新宋体" w:cs="新宋体"/>
                <w:color w:val="auto"/>
                <w:sz w:val="22"/>
                <w:szCs w:val="22"/>
                <w:highlight w:val="none"/>
              </w:rPr>
            </w:pPr>
          </w:p>
        </w:tc>
        <w:tc>
          <w:tcPr>
            <w:tcW w:w="1138" w:type="dxa"/>
            <w:vMerge w:val="continue"/>
            <w:noWrap w:val="0"/>
            <w:vAlign w:val="top"/>
          </w:tcPr>
          <w:p>
            <w:pPr>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spacing w:before="138"/>
              <w:ind w:left="108" w:firstLine="880" w:firstLineChars="400"/>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restart"/>
            <w:noWrap w:val="0"/>
            <w:vAlign w:val="center"/>
          </w:tcPr>
          <w:p>
            <w:pPr>
              <w:pStyle w:val="341"/>
              <w:ind w:left="27"/>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138" w:type="dxa"/>
            <w:vMerge w:val="restart"/>
            <w:noWrap w:val="0"/>
            <w:vAlign w:val="center"/>
          </w:tcPr>
          <w:p>
            <w:pPr>
              <w:pStyle w:val="341"/>
              <w:ind w:left="2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养护营业费用</w:t>
            </w:r>
          </w:p>
        </w:tc>
        <w:tc>
          <w:tcPr>
            <w:tcW w:w="8199" w:type="dxa"/>
            <w:gridSpan w:val="5"/>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1、人员工资  人员工资每人每月不得低于</w:t>
            </w:r>
            <w:r>
              <w:rPr>
                <w:rFonts w:hint="eastAsia" w:ascii="新宋体" w:hAnsi="新宋体" w:eastAsia="新宋体" w:cs="新宋体"/>
                <w:color w:val="auto"/>
                <w:sz w:val="22"/>
                <w:szCs w:val="22"/>
                <w:highlight w:val="none"/>
                <w:lang w:val="en-US" w:eastAsia="zh-CN"/>
              </w:rPr>
              <w:t>2508</w:t>
            </w:r>
            <w:r>
              <w:rPr>
                <w:rFonts w:hint="eastAsia" w:ascii="新宋体" w:hAnsi="新宋体" w:eastAsia="新宋体" w:cs="新宋体"/>
                <w:color w:val="auto"/>
                <w:sz w:val="22"/>
                <w:szCs w:val="22"/>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center"/>
          </w:tcPr>
          <w:p>
            <w:pPr>
              <w:pStyle w:val="341"/>
              <w:ind w:left="27"/>
              <w:jc w:val="center"/>
              <w:rPr>
                <w:rFonts w:hint="eastAsia" w:ascii="新宋体" w:hAnsi="新宋体" w:eastAsia="新宋体" w:cs="新宋体"/>
                <w:color w:val="auto"/>
                <w:sz w:val="22"/>
                <w:szCs w:val="22"/>
                <w:highlight w:val="none"/>
              </w:rPr>
            </w:pPr>
          </w:p>
        </w:tc>
        <w:tc>
          <w:tcPr>
            <w:tcW w:w="1138" w:type="dxa"/>
            <w:vMerge w:val="continue"/>
            <w:noWrap w:val="0"/>
            <w:vAlign w:val="center"/>
          </w:tcPr>
          <w:p>
            <w:pPr>
              <w:pStyle w:val="341"/>
              <w:ind w:left="27"/>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(1)项目负责人</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zh-CN" w:bidi="zh-CN"/>
              </w:rPr>
              <w:t>巡查车驾驶员</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spacing w:line="300" w:lineRule="exact"/>
              <w:jc w:val="left"/>
              <w:rPr>
                <w:rFonts w:hint="eastAsia" w:ascii="新宋体" w:hAnsi="新宋体" w:eastAsia="新宋体" w:cs="新宋体"/>
                <w:color w:val="auto"/>
                <w:sz w:val="22"/>
                <w:szCs w:val="22"/>
                <w:highlight w:val="none"/>
                <w:lang w:val="zh-CN" w:bidi="zh-CN"/>
              </w:rPr>
            </w:pPr>
            <w:r>
              <w:rPr>
                <w:rFonts w:hint="eastAsia" w:ascii="新宋体" w:hAnsi="新宋体" w:eastAsia="新宋体" w:cs="新宋体"/>
                <w:color w:val="auto"/>
                <w:sz w:val="22"/>
                <w:szCs w:val="22"/>
                <w:highlight w:val="none"/>
                <w:lang w:val="zh-CN" w:bidi="zh-CN"/>
              </w:rPr>
              <w:t>(3)洒水车驾驶员</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spacing w:line="300" w:lineRule="exact"/>
              <w:jc w:val="left"/>
              <w:rPr>
                <w:rFonts w:hint="eastAsia" w:ascii="新宋体" w:hAnsi="新宋体" w:eastAsia="新宋体" w:cs="新宋体"/>
                <w:color w:val="auto"/>
                <w:sz w:val="22"/>
                <w:szCs w:val="22"/>
                <w:highlight w:val="none"/>
                <w:lang w:val="zh-CN" w:bidi="zh-CN"/>
              </w:rPr>
            </w:pPr>
            <w:r>
              <w:rPr>
                <w:rFonts w:hint="eastAsia" w:ascii="新宋体" w:hAnsi="新宋体" w:eastAsia="新宋体" w:cs="新宋体"/>
                <w:color w:val="auto"/>
                <w:sz w:val="22"/>
                <w:szCs w:val="22"/>
                <w:highlight w:val="none"/>
                <w:lang w:val="zh-CN" w:bidi="zh-CN"/>
              </w:rPr>
              <w:t>(4)绿化养护人员</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3"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2、社保五险</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 此项每人每月不得低于</w:t>
            </w:r>
            <w:r>
              <w:rPr>
                <w:rFonts w:hint="eastAsia" w:ascii="新宋体" w:hAnsi="新宋体" w:eastAsia="新宋体" w:cs="新宋体"/>
                <w:color w:val="auto"/>
                <w:sz w:val="22"/>
                <w:szCs w:val="22"/>
                <w:highlight w:val="none"/>
                <w:lang w:val="en-US" w:eastAsia="zh-CN"/>
              </w:rPr>
              <w:t>1075.19</w:t>
            </w:r>
            <w:r>
              <w:rPr>
                <w:rFonts w:hint="eastAsia" w:ascii="新宋体" w:hAnsi="新宋体" w:eastAsia="新宋体" w:cs="新宋体"/>
                <w:color w:val="auto"/>
                <w:sz w:val="22"/>
                <w:szCs w:val="22"/>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3"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3、出勤补贴</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(人数)特殊岗位津贴发放标准按10元/每人/每出勤日。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4、节假日补贴（按年度11天计取）</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(人数)节假日补贴本项目要求每人每年不少于</w:t>
            </w:r>
            <w:r>
              <w:rPr>
                <w:rFonts w:hint="eastAsia" w:ascii="新宋体" w:hAnsi="新宋体" w:eastAsia="新宋体" w:cs="新宋体"/>
                <w:bCs/>
                <w:color w:val="auto"/>
                <w:sz w:val="22"/>
                <w:szCs w:val="22"/>
                <w:highlight w:val="none"/>
              </w:rPr>
              <w:t>3355</w:t>
            </w:r>
            <w:r>
              <w:rPr>
                <w:rFonts w:hint="eastAsia" w:ascii="新宋体" w:hAnsi="新宋体" w:eastAsia="新宋体" w:cs="新宋体"/>
                <w:color w:val="auto"/>
                <w:sz w:val="22"/>
                <w:szCs w:val="22"/>
                <w:highlight w:val="none"/>
              </w:rPr>
              <w:t>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41"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5、待遇费用（高温补贴等其它补贴，其中高温补贴</w:t>
            </w:r>
          </w:p>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按一线工人每人每年不少于1200 元计取）</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41"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6、职工意外伤害保险及健康体检</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(人数)每人每年不少于300元人民币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7、服装、劳保等费用</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8、人员GPS建设费</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9、养护用品费（肥料、药剂等）</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10、清残花落叶及绿化垃圾费</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1138" w:type="dxa"/>
            <w:vMerge w:val="continue"/>
            <w:noWrap w:val="0"/>
            <w:vAlign w:val="top"/>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710" w:type="dxa"/>
            <w:vMerge w:val="restart"/>
            <w:noWrap w:val="0"/>
            <w:vAlign w:val="center"/>
          </w:tcPr>
          <w:p>
            <w:pPr>
              <w:pStyle w:val="341"/>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138" w:type="dxa"/>
            <w:vMerge w:val="restart"/>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其他费用</w:t>
            </w: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1、水电费（含办公用费用）</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710" w:type="dxa"/>
            <w:vMerge w:val="continue"/>
            <w:noWrap w:val="0"/>
            <w:vAlign w:val="center"/>
          </w:tcPr>
          <w:p>
            <w:pPr>
              <w:pStyle w:val="341"/>
              <w:jc w:val="center"/>
              <w:rPr>
                <w:rFonts w:hint="eastAsia" w:ascii="新宋体" w:hAnsi="新宋体" w:eastAsia="新宋体" w:cs="新宋体"/>
                <w:color w:val="auto"/>
                <w:sz w:val="22"/>
                <w:szCs w:val="22"/>
                <w:highlight w:val="none"/>
              </w:rPr>
            </w:pPr>
          </w:p>
        </w:tc>
        <w:tc>
          <w:tcPr>
            <w:tcW w:w="1138" w:type="dxa"/>
            <w:vMerge w:val="continue"/>
            <w:noWrap w:val="0"/>
            <w:vAlign w:val="center"/>
          </w:tcPr>
          <w:p>
            <w:pPr>
              <w:pStyle w:val="341"/>
              <w:jc w:val="both"/>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2、办公费用及住房租赁费</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710" w:type="dxa"/>
            <w:vMerge w:val="continue"/>
            <w:noWrap w:val="0"/>
            <w:vAlign w:val="center"/>
          </w:tcPr>
          <w:p>
            <w:pPr>
              <w:pStyle w:val="341"/>
              <w:jc w:val="center"/>
              <w:rPr>
                <w:rFonts w:hint="eastAsia" w:ascii="新宋体" w:hAnsi="新宋体" w:eastAsia="新宋体" w:cs="新宋体"/>
                <w:color w:val="auto"/>
                <w:sz w:val="22"/>
                <w:szCs w:val="22"/>
                <w:highlight w:val="none"/>
              </w:rPr>
            </w:pPr>
          </w:p>
        </w:tc>
        <w:tc>
          <w:tcPr>
            <w:tcW w:w="1138" w:type="dxa"/>
            <w:vMerge w:val="continue"/>
            <w:noWrap w:val="0"/>
            <w:vAlign w:val="center"/>
          </w:tcPr>
          <w:p>
            <w:pPr>
              <w:pStyle w:val="341"/>
              <w:rPr>
                <w:rFonts w:hint="eastAsia" w:ascii="新宋体" w:hAnsi="新宋体" w:eastAsia="新宋体" w:cs="新宋体"/>
                <w:color w:val="auto"/>
                <w:sz w:val="22"/>
                <w:szCs w:val="22"/>
                <w:highlight w:val="none"/>
              </w:rPr>
            </w:pPr>
          </w:p>
        </w:tc>
        <w:tc>
          <w:tcPr>
            <w:tcW w:w="2472" w:type="dxa"/>
            <w:gridSpan w:val="2"/>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710" w:type="dxa"/>
            <w:noWrap w:val="0"/>
            <w:vAlign w:val="top"/>
          </w:tcPr>
          <w:p>
            <w:pPr>
              <w:pStyle w:val="341"/>
              <w:spacing w:before="71"/>
              <w:ind w:left="27"/>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3610" w:type="dxa"/>
            <w:gridSpan w:val="3"/>
            <w:noWrap w:val="0"/>
            <w:vAlign w:val="center"/>
          </w:tcPr>
          <w:p>
            <w:pPr>
              <w:pStyle w:val="341"/>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92" w:type="dxa"/>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710" w:type="dxa"/>
            <w:noWrap w:val="0"/>
            <w:vAlign w:val="top"/>
          </w:tcPr>
          <w:p>
            <w:pPr>
              <w:pStyle w:val="341"/>
              <w:spacing w:before="71"/>
              <w:ind w:left="27"/>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3602" w:type="dxa"/>
            <w:gridSpan w:val="2"/>
            <w:noWrap w:val="0"/>
            <w:vAlign w:val="top"/>
          </w:tcPr>
          <w:p>
            <w:pPr>
              <w:pStyle w:val="341"/>
              <w:spacing w:before="71"/>
              <w:ind w:left="4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经营管理费</w:t>
            </w:r>
          </w:p>
        </w:tc>
        <w:tc>
          <w:tcPr>
            <w:tcW w:w="1500" w:type="dxa"/>
            <w:gridSpan w:val="2"/>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noWrap w:val="0"/>
            <w:vAlign w:val="top"/>
          </w:tcPr>
          <w:p>
            <w:pPr>
              <w:pStyle w:val="341"/>
              <w:spacing w:before="70"/>
              <w:ind w:left="27"/>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3602" w:type="dxa"/>
            <w:gridSpan w:val="2"/>
            <w:noWrap w:val="0"/>
            <w:vAlign w:val="top"/>
          </w:tcPr>
          <w:p>
            <w:pPr>
              <w:pStyle w:val="341"/>
              <w:spacing w:before="71"/>
              <w:ind w:left="43"/>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利润</w:t>
            </w:r>
          </w:p>
        </w:tc>
        <w:tc>
          <w:tcPr>
            <w:tcW w:w="1500" w:type="dxa"/>
            <w:gridSpan w:val="2"/>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710" w:type="dxa"/>
            <w:noWrap w:val="0"/>
            <w:vAlign w:val="top"/>
          </w:tcPr>
          <w:p>
            <w:pPr>
              <w:pStyle w:val="341"/>
              <w:spacing w:before="70"/>
              <w:ind w:left="27"/>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3602" w:type="dxa"/>
            <w:gridSpan w:val="2"/>
            <w:noWrap w:val="0"/>
            <w:vAlign w:val="top"/>
          </w:tcPr>
          <w:p>
            <w:pPr>
              <w:pStyle w:val="341"/>
              <w:spacing w:before="70"/>
              <w:ind w:left="43"/>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w:t>
            </w:r>
          </w:p>
        </w:tc>
        <w:tc>
          <w:tcPr>
            <w:tcW w:w="1500" w:type="dxa"/>
            <w:gridSpan w:val="2"/>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不得低于投标总价的8%。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4312" w:type="dxa"/>
            <w:gridSpan w:val="3"/>
            <w:noWrap w:val="0"/>
            <w:vAlign w:val="top"/>
          </w:tcPr>
          <w:p>
            <w:pPr>
              <w:pStyle w:val="341"/>
              <w:spacing w:before="70"/>
              <w:ind w:left="1548" w:right="150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 计</w:t>
            </w:r>
          </w:p>
        </w:tc>
        <w:tc>
          <w:tcPr>
            <w:tcW w:w="1500" w:type="dxa"/>
            <w:gridSpan w:val="2"/>
            <w:noWrap w:val="0"/>
            <w:vAlign w:val="center"/>
          </w:tcPr>
          <w:p>
            <w:pPr>
              <w:pStyle w:val="341"/>
              <w:jc w:val="both"/>
              <w:rPr>
                <w:rFonts w:hint="eastAsia" w:ascii="新宋体" w:hAnsi="新宋体" w:eastAsia="新宋体" w:cs="新宋体"/>
                <w:color w:val="auto"/>
                <w:sz w:val="22"/>
                <w:szCs w:val="22"/>
                <w:highlight w:val="none"/>
              </w:rPr>
            </w:pPr>
          </w:p>
        </w:tc>
        <w:tc>
          <w:tcPr>
            <w:tcW w:w="1701" w:type="dxa"/>
            <w:noWrap w:val="0"/>
            <w:vAlign w:val="center"/>
          </w:tcPr>
          <w:p>
            <w:pPr>
              <w:pStyle w:val="341"/>
              <w:jc w:val="both"/>
              <w:rPr>
                <w:rFonts w:hint="eastAsia" w:ascii="新宋体" w:hAnsi="新宋体" w:eastAsia="新宋体" w:cs="新宋体"/>
                <w:color w:val="auto"/>
                <w:sz w:val="22"/>
                <w:szCs w:val="22"/>
                <w:highlight w:val="none"/>
              </w:rPr>
            </w:pPr>
          </w:p>
        </w:tc>
        <w:tc>
          <w:tcPr>
            <w:tcW w:w="2534" w:type="dxa"/>
            <w:noWrap w:val="0"/>
            <w:vAlign w:val="center"/>
          </w:tcPr>
          <w:p>
            <w:pPr>
              <w:pStyle w:val="341"/>
              <w:jc w:val="both"/>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4312" w:type="dxa"/>
            <w:gridSpan w:val="3"/>
            <w:noWrap w:val="0"/>
            <w:vAlign w:val="top"/>
          </w:tcPr>
          <w:p>
            <w:pPr>
              <w:pStyle w:val="341"/>
              <w:spacing w:before="55"/>
              <w:ind w:left="121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总计价（1 年）</w:t>
            </w:r>
          </w:p>
        </w:tc>
        <w:tc>
          <w:tcPr>
            <w:tcW w:w="5735" w:type="dxa"/>
            <w:gridSpan w:val="4"/>
            <w:noWrap w:val="0"/>
            <w:vAlign w:val="center"/>
          </w:tcPr>
          <w:p>
            <w:pPr>
              <w:pStyle w:val="341"/>
              <w:ind w:firstLine="440" w:firstLineChars="200"/>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佰</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拾</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万</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仟</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佰</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拾</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元</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角</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分</w:t>
            </w:r>
          </w:p>
        </w:tc>
      </w:tr>
    </w:tbl>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p>
      <w:pPr>
        <w:numPr>
          <w:ilvl w:val="0"/>
          <w:numId w:val="4"/>
        </w:num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投标分项报价表内总计价应与“开标一览表”投标总价相一致。</w:t>
      </w:r>
    </w:p>
    <w:p>
      <w:pPr>
        <w:numPr>
          <w:ilvl w:val="0"/>
          <w:numId w:val="4"/>
        </w:num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不提供此表的报价，视为没有实质性响应采购文件要求。</w:t>
      </w:r>
    </w:p>
    <w:p>
      <w:pPr>
        <w:numPr>
          <w:ilvl w:val="0"/>
          <w:numId w:val="4"/>
        </w:num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本表可在不改变格式的情况下根据具体需要自行增减。</w:t>
      </w:r>
    </w:p>
    <w:p>
      <w:pPr>
        <w:numPr>
          <w:ilvl w:val="0"/>
          <w:numId w:val="4"/>
        </w:num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各项费用如已包含在其它费用中请注明“含”，若免费请注明“免”, 若没有请注明“无”。</w:t>
      </w:r>
    </w:p>
    <w:p>
      <w:pPr>
        <w:spacing w:line="380" w:lineRule="exact"/>
        <w:rPr>
          <w:rFonts w:hint="eastAsia" w:ascii="宋体" w:hAnsi="宋体" w:eastAsia="宋体" w:cs="宋体"/>
          <w:b/>
          <w:bCs/>
          <w:color w:val="auto"/>
          <w:sz w:val="22"/>
          <w:szCs w:val="22"/>
          <w:highlight w:val="none"/>
        </w:rPr>
      </w:pPr>
    </w:p>
    <w:p>
      <w:pPr>
        <w:spacing w:line="400" w:lineRule="exact"/>
        <w:ind w:firstLine="5500" w:firstLineChars="2500"/>
        <w:jc w:val="left"/>
        <w:rPr>
          <w:rFonts w:hint="eastAsia" w:ascii="宋体" w:hAnsi="宋体" w:eastAsia="宋体" w:cs="宋体"/>
          <w:color w:val="auto"/>
          <w:sz w:val="22"/>
          <w:szCs w:val="22"/>
          <w:highlight w:val="none"/>
        </w:rPr>
      </w:pPr>
    </w:p>
    <w:p>
      <w:pPr>
        <w:spacing w:line="400" w:lineRule="exact"/>
        <w:ind w:firstLine="5500" w:firstLineChars="2500"/>
        <w:jc w:val="left"/>
        <w:rPr>
          <w:rFonts w:hint="eastAsia" w:ascii="宋体" w:hAnsi="宋体" w:eastAsia="宋体" w:cs="宋体"/>
          <w:color w:val="auto"/>
          <w:sz w:val="22"/>
          <w:szCs w:val="22"/>
          <w:highlight w:val="none"/>
        </w:rPr>
      </w:pPr>
    </w:p>
    <w:p>
      <w:pPr>
        <w:spacing w:line="400" w:lineRule="exact"/>
        <w:ind w:firstLine="5500" w:firstLineChars="25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ind w:firstLine="5500" w:firstLineChars="25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380" w:lineRule="exact"/>
        <w:ind w:firstLine="5500" w:firstLineChars="25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outlineLvl w:val="9"/>
        <w:rPr>
          <w:rFonts w:hint="eastAsia" w:ascii="宋体" w:hAnsi="宋体" w:eastAsia="宋体" w:cs="宋体"/>
          <w:color w:val="auto"/>
          <w:sz w:val="22"/>
          <w:szCs w:val="22"/>
          <w:highlight w:val="none"/>
        </w:rPr>
      </w:pPr>
    </w:p>
    <w:p>
      <w:pPr>
        <w:rPr>
          <w:rFonts w:hint="eastAsia" w:ascii="宋体" w:hAnsi="宋体" w:eastAsia="宋体" w:cs="宋体"/>
          <w:b/>
          <w:bCs/>
          <w:color w:val="auto"/>
          <w:sz w:val="28"/>
          <w:szCs w:val="28"/>
          <w:highlight w:val="none"/>
        </w:rPr>
      </w:pPr>
    </w:p>
    <w:p>
      <w:pPr>
        <w:pStyle w:val="23"/>
        <w:spacing w:line="460" w:lineRule="exact"/>
        <w:ind w:left="440" w:hanging="440"/>
        <w:rPr>
          <w:rFonts w:hint="eastAsia" w:ascii="宋体" w:hAnsi="宋体" w:eastAsia="宋体" w:cs="宋体"/>
          <w:color w:val="auto"/>
          <w:kern w:val="0"/>
          <w:sz w:val="22"/>
          <w:szCs w:val="22"/>
          <w:highlight w:val="none"/>
        </w:rPr>
      </w:pPr>
    </w:p>
    <w:p>
      <w:pPr>
        <w:pStyle w:val="23"/>
        <w:ind w:left="440" w:hanging="440"/>
        <w:rPr>
          <w:rFonts w:hint="eastAsia" w:ascii="宋体" w:hAnsi="宋体" w:eastAsia="宋体" w:cs="宋体"/>
          <w:color w:val="auto"/>
          <w:kern w:val="0"/>
          <w:sz w:val="22"/>
          <w:szCs w:val="22"/>
          <w:highlight w:val="none"/>
        </w:rPr>
      </w:pPr>
    </w:p>
    <w:p>
      <w:pPr>
        <w:pStyle w:val="23"/>
        <w:ind w:left="440" w:hanging="440"/>
        <w:rPr>
          <w:rFonts w:hint="eastAsia" w:ascii="宋体" w:hAnsi="宋体" w:eastAsia="宋体" w:cs="宋体"/>
          <w:color w:val="auto"/>
          <w:kern w:val="0"/>
          <w:sz w:val="22"/>
          <w:szCs w:val="22"/>
          <w:highlight w:val="none"/>
        </w:rPr>
      </w:pPr>
    </w:p>
    <w:p>
      <w:pPr>
        <w:pStyle w:val="23"/>
        <w:ind w:left="440" w:hanging="440"/>
        <w:rPr>
          <w:rFonts w:hint="eastAsia" w:ascii="宋体" w:hAnsi="宋体" w:eastAsia="宋体" w:cs="宋体"/>
          <w:color w:val="auto"/>
          <w:kern w:val="0"/>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br w:type="page"/>
      </w:r>
    </w:p>
    <w:p>
      <w:pPr>
        <w:outlineLvl w:val="1"/>
        <w:rPr>
          <w:rFonts w:hint="eastAsia" w:ascii="宋体" w:hAnsi="宋体" w:eastAsia="宋体" w:cs="宋体"/>
          <w:b/>
          <w:bCs/>
          <w:color w:val="auto"/>
          <w:sz w:val="22"/>
          <w:szCs w:val="22"/>
          <w:highlight w:val="none"/>
        </w:rPr>
      </w:pPr>
      <w:bookmarkStart w:id="35" w:name="_Toc31356"/>
      <w:bookmarkStart w:id="36" w:name="_Toc16516"/>
      <w:r>
        <w:rPr>
          <w:rFonts w:hint="eastAsia" w:ascii="宋体" w:hAnsi="宋体" w:eastAsia="宋体" w:cs="宋体"/>
          <w:b/>
          <w:bCs/>
          <w:color w:val="auto"/>
          <w:sz w:val="22"/>
          <w:szCs w:val="22"/>
          <w:highlight w:val="none"/>
        </w:rPr>
        <w:t>附件三</w:t>
      </w:r>
      <w:bookmarkEnd w:id="35"/>
      <w:bookmarkEnd w:id="36"/>
    </w:p>
    <w:p>
      <w:pPr>
        <w:spacing w:line="460" w:lineRule="exact"/>
        <w:jc w:val="center"/>
        <w:outlineLvl w:val="2"/>
        <w:rPr>
          <w:rFonts w:hint="eastAsia" w:ascii="宋体" w:hAnsi="宋体" w:eastAsia="宋体" w:cs="宋体"/>
          <w:b/>
          <w:bCs/>
          <w:color w:val="auto"/>
          <w:sz w:val="28"/>
          <w:szCs w:val="28"/>
          <w:highlight w:val="none"/>
          <w:lang w:val="zh-CN"/>
        </w:rPr>
      </w:pPr>
      <w:bookmarkStart w:id="37" w:name="_Toc13639"/>
      <w:bookmarkStart w:id="38" w:name="_Toc29102"/>
      <w:r>
        <w:rPr>
          <w:rFonts w:hint="eastAsia" w:ascii="宋体" w:hAnsi="宋体" w:eastAsia="宋体" w:cs="宋体"/>
          <w:b/>
          <w:bCs/>
          <w:color w:val="auto"/>
          <w:sz w:val="28"/>
          <w:szCs w:val="28"/>
          <w:highlight w:val="none"/>
          <w:lang w:val="zh-CN"/>
        </w:rPr>
        <w:t>商务技术文件</w:t>
      </w:r>
      <w:bookmarkEnd w:id="37"/>
      <w:bookmarkEnd w:id="38"/>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color w:val="auto"/>
          <w:sz w:val="28"/>
          <w:szCs w:val="28"/>
          <w:highlight w:val="none"/>
          <w:lang w:val="en-US" w:eastAsia="zh-CN"/>
        </w:rPr>
      </w:pPr>
    </w:p>
    <w:p>
      <w:p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1、法定代表人授权书</w:t>
      </w:r>
    </w:p>
    <w:p>
      <w:pPr>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温州市鹿城区山福镇人民政府</w:t>
      </w:r>
      <w:r>
        <w:rPr>
          <w:rFonts w:hint="eastAsia" w:ascii="宋体" w:hAnsi="宋体" w:eastAsia="宋体" w:cs="宋体"/>
          <w:color w:val="auto"/>
          <w:sz w:val="22"/>
          <w:szCs w:val="22"/>
          <w:highlight w:val="none"/>
        </w:rPr>
        <w:t>：</w:t>
      </w:r>
    </w:p>
    <w:p>
      <w:pPr>
        <w:spacing w:line="460" w:lineRule="exact"/>
        <w:rPr>
          <w:rFonts w:hint="eastAsia" w:ascii="宋体" w:hAnsi="宋体" w:eastAsia="宋体" w:cs="宋体"/>
          <w:color w:val="auto"/>
          <w:sz w:val="22"/>
          <w:szCs w:val="22"/>
          <w:highlight w:val="none"/>
          <w:u w:val="single"/>
        </w:rPr>
      </w:pPr>
    </w:p>
    <w:p>
      <w:pPr>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（投标人全称）法定代表人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（全权代表姓名）为全权代表，参加贵处组织的（项目名称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）的招标活动，全权代表我方处理招标活动中的一切事宜。</w:t>
      </w:r>
    </w:p>
    <w:p>
      <w:pPr>
        <w:spacing w:line="460" w:lineRule="exact"/>
        <w:ind w:firstLine="2955"/>
        <w:rPr>
          <w:rFonts w:hint="eastAsia" w:ascii="宋体" w:hAnsi="宋体" w:eastAsia="宋体" w:cs="宋体"/>
          <w:color w:val="auto"/>
          <w:sz w:val="22"/>
          <w:szCs w:val="22"/>
          <w:highlight w:val="none"/>
        </w:rPr>
      </w:pP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ind w:firstLine="4081" w:firstLineChars="18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(签字或盖章)：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投标人全称（公章）：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  </w:t>
      </w: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 xml:space="preserve">授权代表姓名：                               </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职务：</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详细通讯地址：</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电话：</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传真：</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邮政编码:</w:t>
      </w:r>
    </w:p>
    <w:p>
      <w:pPr>
        <w:spacing w:line="380" w:lineRule="exact"/>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60288;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1312;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outlineLvl w:val="3"/>
        <w:rPr>
          <w:rFonts w:hint="eastAsia" w:ascii="宋体" w:hAnsi="宋体" w:eastAsia="宋体" w:cs="宋体"/>
          <w:b/>
          <w:bCs/>
          <w:color w:val="auto"/>
          <w:sz w:val="22"/>
          <w:szCs w:val="22"/>
          <w:highlight w:val="none"/>
        </w:rPr>
        <w:sectPr>
          <w:footerReference r:id="rId6" w:type="first"/>
          <w:footerReference r:id="rId5" w:type="default"/>
          <w:pgSz w:w="11906" w:h="16838"/>
          <w:pgMar w:top="1134" w:right="1134" w:bottom="1134" w:left="1134" w:header="850" w:footer="992" w:gutter="0"/>
          <w:pgNumType w:fmt="decimal" w:start="1"/>
          <w:cols w:space="720" w:num="1"/>
          <w:titlePg/>
          <w:docGrid w:type="lines" w:linePitch="312" w:charSpace="0"/>
        </w:sectPr>
      </w:pPr>
    </w:p>
    <w:p>
      <w:p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2、投标人情况表</w:t>
      </w:r>
    </w:p>
    <w:p>
      <w:pPr>
        <w:tabs>
          <w:tab w:val="left" w:pos="780"/>
        </w:tabs>
        <w:spacing w:line="40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单位名称（盖章）</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主管部门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企业负责人</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    址</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企业性质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单位简介</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及机构</w:t>
            </w:r>
          </w:p>
        </w:tc>
        <w:tc>
          <w:tcPr>
            <w:tcW w:w="6507" w:type="dxa"/>
            <w:gridSpan w:val="6"/>
            <w:vAlign w:val="center"/>
          </w:tcPr>
          <w:p>
            <w:pPr>
              <w:spacing w:line="480" w:lineRule="exact"/>
              <w:jc w:val="center"/>
              <w:rPr>
                <w:rFonts w:hint="eastAsia" w:ascii="宋体" w:hAnsi="宋体" w:eastAsia="宋体" w:cs="宋体"/>
                <w:color w:val="auto"/>
                <w:sz w:val="22"/>
                <w:szCs w:val="22"/>
                <w:highlight w:val="none"/>
              </w:rPr>
            </w:pP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单位优势</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及特长</w:t>
            </w:r>
          </w:p>
        </w:tc>
        <w:tc>
          <w:tcPr>
            <w:tcW w:w="5566" w:type="dxa"/>
            <w:gridSpan w:val="5"/>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单位概况</w:t>
            </w: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职工总数</w:t>
            </w:r>
          </w:p>
        </w:tc>
        <w:tc>
          <w:tcPr>
            <w:tcW w:w="1689" w:type="dxa"/>
            <w:vMerge w:val="restart"/>
          </w:tcPr>
          <w:p>
            <w:pPr>
              <w:spacing w:line="480" w:lineRule="exact"/>
              <w:ind w:firstLine="1540" w:firstLineChars="700"/>
              <w:rPr>
                <w:rFonts w:hint="eastAsia" w:ascii="宋体" w:hAnsi="宋体" w:eastAsia="宋体" w:cs="宋体"/>
                <w:color w:val="auto"/>
                <w:sz w:val="22"/>
                <w:szCs w:val="22"/>
                <w:highlight w:val="none"/>
              </w:rPr>
            </w:pPr>
          </w:p>
        </w:tc>
        <w:tc>
          <w:tcPr>
            <w:tcW w:w="3703" w:type="dxa"/>
            <w:gridSpan w:val="4"/>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各人员构成情况</w:t>
            </w:r>
          </w:p>
        </w:tc>
        <w:tc>
          <w:tcPr>
            <w:tcW w:w="1488"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上一年主要  经济指标</w:t>
            </w: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3703" w:type="dxa"/>
            <w:gridSpan w:val="4"/>
            <w:vMerge w:val="continue"/>
          </w:tcPr>
          <w:p>
            <w:pPr>
              <w:spacing w:line="480" w:lineRule="exact"/>
              <w:rPr>
                <w:rFonts w:hint="eastAsia" w:ascii="宋体" w:hAnsi="宋体" w:eastAsia="宋体" w:cs="宋体"/>
                <w:color w:val="auto"/>
                <w:sz w:val="22"/>
                <w:szCs w:val="22"/>
                <w:highlight w:val="none"/>
              </w:rPr>
            </w:pP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流动资金</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万元 </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资金来源</w:t>
            </w:r>
          </w:p>
        </w:tc>
        <w:tc>
          <w:tcPr>
            <w:tcW w:w="1487" w:type="dxa"/>
            <w:gridSpan w:val="2"/>
            <w:vAlign w:val="center"/>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自有资金</w:t>
            </w: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115"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689"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72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487" w:type="dxa"/>
            <w:gridSpan w:val="2"/>
            <w:tcBorders>
              <w:bottom w:val="single" w:color="auto" w:sz="4" w:space="0"/>
            </w:tcBorders>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固定资产</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原值   万元</w:t>
            </w:r>
          </w:p>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净值   万元</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资金性质</w:t>
            </w: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728" w:type="dxa"/>
            <w:vMerge w:val="continue"/>
          </w:tcPr>
          <w:p>
            <w:pPr>
              <w:spacing w:line="480" w:lineRule="exact"/>
              <w:rPr>
                <w:rFonts w:hint="eastAsia" w:ascii="宋体" w:hAnsi="宋体" w:eastAsia="宋体" w:cs="宋体"/>
                <w:color w:val="auto"/>
                <w:sz w:val="22"/>
                <w:szCs w:val="22"/>
                <w:highlight w:val="none"/>
              </w:rPr>
            </w:pP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非生产性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sectPr>
          <w:pgSz w:w="16838" w:h="11906" w:orient="landscape"/>
          <w:pgMar w:top="1134" w:right="1134" w:bottom="1134" w:left="1134" w:header="850" w:footer="992" w:gutter="0"/>
          <w:pgNumType w:fmt="decimal"/>
          <w:cols w:space="720" w:num="1"/>
          <w:docGrid w:type="lines" w:linePitch="321" w:charSpace="0"/>
        </w:sectPr>
      </w:pPr>
    </w:p>
    <w:p>
      <w:pPr>
        <w:spacing w:line="400" w:lineRule="exact"/>
        <w:jc w:val="center"/>
        <w:outlineLvl w:val="3"/>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lang w:val="zh-CN" w:eastAsia="zh-CN"/>
        </w:rPr>
        <w:t>偏离表（</w:t>
      </w:r>
      <w:r>
        <w:rPr>
          <w:rFonts w:hint="eastAsia" w:ascii="宋体" w:hAnsi="宋体" w:eastAsia="宋体" w:cs="宋体"/>
          <w:b/>
          <w:bCs/>
          <w:color w:val="auto"/>
          <w:sz w:val="28"/>
          <w:szCs w:val="28"/>
          <w:highlight w:val="none"/>
          <w:lang w:val="en-US" w:eastAsia="zh-CN"/>
        </w:rPr>
        <w:t>商务、技术偏离</w:t>
      </w:r>
      <w:r>
        <w:rPr>
          <w:rFonts w:hint="eastAsia" w:ascii="宋体" w:hAnsi="宋体" w:eastAsia="宋体" w:cs="宋体"/>
          <w:b/>
          <w:bCs/>
          <w:color w:val="auto"/>
          <w:sz w:val="28"/>
          <w:szCs w:val="28"/>
          <w:highlight w:val="none"/>
          <w:lang w:val="zh-CN" w:eastAsia="zh-CN"/>
        </w:rPr>
        <w:t>）</w:t>
      </w:r>
    </w:p>
    <w:p>
      <w:pPr>
        <w:spacing w:line="360" w:lineRule="auto"/>
        <w:rPr>
          <w:rFonts w:hint="eastAsia" w:ascii="宋体" w:hAnsi="宋体" w:eastAsia="宋体" w:cs="宋体"/>
          <w:b w:val="0"/>
          <w:bCs w:val="0"/>
          <w:color w:val="auto"/>
          <w:sz w:val="22"/>
          <w:szCs w:val="22"/>
          <w:highlight w:val="none"/>
        </w:rPr>
      </w:pP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ZJDO20230105001</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2023-2025年度山福镇绿化养护服务项目</w:t>
      </w:r>
    </w:p>
    <w:tbl>
      <w:tblPr>
        <w:tblStyle w:val="53"/>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  号</w:t>
            </w:r>
          </w:p>
        </w:tc>
        <w:tc>
          <w:tcPr>
            <w:tcW w:w="3687"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招标文件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规格要求</w:t>
            </w:r>
          </w:p>
        </w:tc>
        <w:tc>
          <w:tcPr>
            <w:tcW w:w="3402"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对应规格</w:t>
            </w:r>
          </w:p>
        </w:tc>
        <w:tc>
          <w:tcPr>
            <w:tcW w:w="1580"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bl>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
          <w:color w:val="auto"/>
          <w:sz w:val="24"/>
          <w:highlight w:val="none"/>
        </w:rPr>
      </w:pPr>
      <w:bookmarkStart w:id="39" w:name="_Toc415152386"/>
      <w:r>
        <w:rPr>
          <w:rFonts w:hint="eastAsia" w:ascii="宋体" w:hAnsi="宋体" w:eastAsia="宋体" w:cs="宋体"/>
          <w:b/>
          <w:color w:val="auto"/>
          <w:sz w:val="24"/>
          <w:highlight w:val="none"/>
        </w:rPr>
        <w:br w:type="page"/>
      </w:r>
    </w:p>
    <w:bookmarkEnd w:id="39"/>
    <w:p>
      <w:pPr>
        <w:spacing w:line="400" w:lineRule="exact"/>
        <w:jc w:val="center"/>
        <w:outlineLvl w:val="3"/>
        <w:rPr>
          <w:rFonts w:hint="eastAsia" w:ascii="宋体" w:hAnsi="宋体" w:eastAsia="宋体" w:cs="宋体"/>
          <w:b/>
          <w:bCs/>
          <w:color w:val="auto"/>
          <w:sz w:val="28"/>
          <w:szCs w:val="28"/>
          <w:highlight w:val="none"/>
          <w:lang w:val="zh-CN" w:eastAsia="zh-CN"/>
        </w:rPr>
      </w:pP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lang w:val="zh-CN" w:eastAsia="zh-CN"/>
        </w:rPr>
        <w:t>根据本项目采购内容及要求以及商务技术评分项目，需要提供的文件和资料</w:t>
      </w:r>
    </w:p>
    <w:p>
      <w:pPr>
        <w:spacing w:line="400" w:lineRule="exact"/>
        <w:jc w:val="both"/>
        <w:outlineLvl w:val="3"/>
        <w:rPr>
          <w:rFonts w:hint="eastAsia" w:ascii="宋体" w:hAnsi="宋体" w:cs="宋体"/>
          <w:b/>
          <w:bCs/>
          <w:color w:val="auto"/>
          <w:sz w:val="28"/>
          <w:szCs w:val="28"/>
          <w:highlight w:val="none"/>
          <w:lang w:val="en-US" w:eastAsia="zh-CN"/>
        </w:rPr>
      </w:pPr>
    </w:p>
    <w:p>
      <w:pPr>
        <w:spacing w:line="400" w:lineRule="exact"/>
        <w:jc w:val="both"/>
        <w:outlineLvl w:val="3"/>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内容、格式自拟。</w:t>
      </w:r>
    </w:p>
    <w:p>
      <w:pPr>
        <w:spacing w:line="400" w:lineRule="exact"/>
        <w:jc w:val="center"/>
        <w:outlineLvl w:val="3"/>
        <w:rPr>
          <w:rFonts w:hint="eastAsia" w:ascii="宋体" w:hAnsi="宋体" w:eastAsia="宋体" w:cs="宋体"/>
          <w:b/>
          <w:bCs/>
          <w:color w:val="auto"/>
          <w:sz w:val="28"/>
          <w:szCs w:val="28"/>
          <w:highlight w:val="none"/>
          <w:lang w:val="en-US" w:eastAsia="zh-CN"/>
        </w:rPr>
      </w:pPr>
    </w:p>
    <w:p>
      <w:pPr>
        <w:spacing w:line="400" w:lineRule="exact"/>
        <w:jc w:val="center"/>
        <w:outlineLvl w:val="3"/>
        <w:rPr>
          <w:rFonts w:hint="eastAsia" w:ascii="宋体" w:hAnsi="宋体" w:eastAsia="宋体" w:cs="宋体"/>
          <w:b/>
          <w:bCs/>
          <w:color w:val="auto"/>
          <w:sz w:val="28"/>
          <w:szCs w:val="28"/>
          <w:highlight w:val="none"/>
          <w:lang w:val="en-US" w:eastAsia="zh-CN"/>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en-US" w:eastAsia="zh-CN"/>
        </w:rPr>
        <w:t>5、</w:t>
      </w:r>
      <w:r>
        <w:rPr>
          <w:rFonts w:hint="eastAsia" w:ascii="宋体" w:hAnsi="宋体" w:eastAsia="宋体" w:cs="宋体"/>
          <w:b/>
          <w:bCs/>
          <w:color w:val="auto"/>
          <w:sz w:val="28"/>
          <w:szCs w:val="28"/>
          <w:highlight w:val="none"/>
          <w:lang w:val="zh-CN" w:eastAsia="zh-CN"/>
        </w:rPr>
        <w:t>投标人需要说明的其他文件和说明</w:t>
      </w:r>
    </w:p>
    <w:p>
      <w:pPr>
        <w:rPr>
          <w:rFonts w:ascii="新宋体" w:hAnsi="新宋体" w:eastAsia="新宋体"/>
          <w:color w:val="auto"/>
          <w:sz w:val="22"/>
          <w:szCs w:val="22"/>
          <w:highlight w:val="none"/>
        </w:rPr>
      </w:pPr>
    </w:p>
    <w:p>
      <w:pPr>
        <w:spacing w:line="400" w:lineRule="exact"/>
        <w:jc w:val="both"/>
        <w:outlineLvl w:val="3"/>
        <w:rPr>
          <w:rFonts w:hint="eastAsia" w:ascii="宋体" w:hAnsi="宋体" w:cs="宋体"/>
          <w:b/>
          <w:bCs/>
          <w:color w:val="auto"/>
          <w:sz w:val="28"/>
          <w:szCs w:val="28"/>
          <w:highlight w:val="none"/>
          <w:lang w:val="en-US" w:eastAsia="zh-CN"/>
        </w:rPr>
      </w:pPr>
    </w:p>
    <w:p>
      <w:pPr>
        <w:spacing w:line="400" w:lineRule="exact"/>
        <w:jc w:val="both"/>
        <w:outlineLvl w:val="3"/>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内容、格式自拟。</w:t>
      </w:r>
    </w:p>
    <w:p>
      <w:pPr>
        <w:pStyle w:val="35"/>
        <w:rPr>
          <w:rFonts w:hint="eastAsia" w:eastAsia="宋体"/>
          <w:color w:val="auto"/>
          <w:highlight w:val="none"/>
          <w:lang w:eastAsia="zh-CN"/>
        </w:rPr>
        <w:sectPr>
          <w:pgSz w:w="11906" w:h="16838"/>
          <w:pgMar w:top="1134" w:right="1134" w:bottom="1134" w:left="1134" w:header="850" w:footer="992" w:gutter="0"/>
          <w:pgNumType w:fmt="decimal"/>
          <w:cols w:space="720" w:num="1"/>
          <w:docGrid w:type="lines" w:linePitch="321" w:charSpace="0"/>
        </w:sectPr>
      </w:pPr>
    </w:p>
    <w:p>
      <w:pPr>
        <w:pStyle w:val="5"/>
        <w:numPr>
          <w:ilvl w:val="0"/>
          <w:numId w:val="5"/>
        </w:numPr>
        <w:bidi w:val="0"/>
        <w:rPr>
          <w:rFonts w:hint="eastAsia" w:ascii="宋体" w:hAnsi="宋体" w:eastAsia="宋体" w:cs="宋体"/>
          <w:b/>
          <w:color w:val="auto"/>
          <w:highlight w:val="none"/>
        </w:rPr>
      </w:pPr>
      <w:r>
        <w:rPr>
          <w:rFonts w:hint="eastAsia" w:ascii="宋体" w:hAnsi="宋体" w:eastAsia="宋体" w:cs="宋体"/>
          <w:color w:val="auto"/>
          <w:highlight w:val="none"/>
        </w:rPr>
        <w:t xml:space="preserve"> </w:t>
      </w:r>
      <w:bookmarkStart w:id="40" w:name="_Toc10142"/>
      <w:bookmarkStart w:id="41" w:name="_Toc3381"/>
      <w:bookmarkStart w:id="42" w:name="_Toc221356895"/>
      <w:bookmarkStart w:id="43" w:name="_Toc221356958"/>
      <w:r>
        <w:rPr>
          <w:rFonts w:hint="eastAsia" w:ascii="宋体" w:hAnsi="宋体" w:eastAsia="宋体" w:cs="宋体"/>
          <w:color w:val="auto"/>
          <w:highlight w:val="none"/>
        </w:rPr>
        <w:t>项目技术规范和服务要求</w:t>
      </w:r>
      <w:bookmarkEnd w:id="40"/>
      <w:bookmarkEnd w:id="41"/>
    </w:p>
    <w:bookmarkEnd w:id="42"/>
    <w:bookmarkEnd w:id="43"/>
    <w:p>
      <w:pPr>
        <w:pStyle w:val="318"/>
        <w:widowControl w:val="0"/>
        <w:pBdr>
          <w:left w:val="none" w:color="auto" w:sz="0" w:space="0"/>
          <w:bottom w:val="none" w:color="auto" w:sz="0" w:space="0"/>
          <w:right w:val="none" w:color="auto" w:sz="0" w:space="0"/>
        </w:pBdr>
        <w:snapToGrid w:val="0"/>
        <w:spacing w:before="156" w:beforeLines="50" w:beforeAutospacing="0" w:after="156" w:afterLines="50" w:afterAutospacing="0" w:line="340" w:lineRule="exact"/>
        <w:textAlignment w:val="auto"/>
        <w:rPr>
          <w:rFonts w:ascii="Arial" w:hAnsi="Arial" w:cs="Arial"/>
          <w:b w:val="0"/>
          <w:color w:val="auto"/>
          <w:kern w:val="2"/>
          <w:szCs w:val="24"/>
          <w:highlight w:val="none"/>
        </w:rPr>
      </w:pPr>
      <w:bookmarkStart w:id="44" w:name="_Toc16244273"/>
      <w:bookmarkStart w:id="45" w:name="_Toc21529894"/>
      <w:bookmarkStart w:id="46" w:name="_Toc15005"/>
      <w:r>
        <w:rPr>
          <w:rFonts w:ascii="Arial" w:hAnsi="宋体" w:cs="Arial"/>
          <w:b w:val="0"/>
          <w:color w:val="auto"/>
          <w:kern w:val="2"/>
          <w:szCs w:val="24"/>
          <w:highlight w:val="none"/>
        </w:rPr>
        <w:t>（一）概述</w:t>
      </w:r>
    </w:p>
    <w:p>
      <w:pPr>
        <w:numPr>
          <w:ilvl w:val="1"/>
          <w:numId w:val="6"/>
        </w:numPr>
        <w:tabs>
          <w:tab w:val="left" w:pos="567"/>
        </w:tabs>
        <w:snapToGrid w:val="0"/>
        <w:spacing w:line="360" w:lineRule="auto"/>
        <w:rPr>
          <w:rFonts w:ascii="Arial" w:hAnsi="Arial" w:cs="Arial"/>
          <w:color w:val="auto"/>
          <w:highlight w:val="none"/>
        </w:rPr>
      </w:pPr>
      <w:r>
        <w:rPr>
          <w:rFonts w:ascii="Arial" w:hAnsi="宋体" w:cs="Arial"/>
          <w:color w:val="auto"/>
          <w:highlight w:val="none"/>
        </w:rPr>
        <w:t>投标供应商必须完成招标内容和合同规定义务，不允许只对部分内容进行报价。</w:t>
      </w:r>
    </w:p>
    <w:p>
      <w:pPr>
        <w:numPr>
          <w:ilvl w:val="1"/>
          <w:numId w:val="6"/>
        </w:numPr>
        <w:tabs>
          <w:tab w:val="left" w:pos="567"/>
          <w:tab w:val="clear" w:pos="680"/>
        </w:tabs>
        <w:snapToGrid w:val="0"/>
        <w:spacing w:line="360" w:lineRule="auto"/>
        <w:ind w:left="567" w:hanging="567"/>
        <w:rPr>
          <w:rFonts w:ascii="Arial" w:hAnsi="Arial" w:cs="Arial"/>
          <w:color w:val="auto"/>
          <w:highlight w:val="none"/>
        </w:rPr>
      </w:pPr>
      <w:r>
        <w:rPr>
          <w:rFonts w:ascii="Arial" w:hAnsi="宋体" w:cs="Arial"/>
          <w:bCs/>
          <w:color w:val="auto"/>
          <w:highlight w:val="none"/>
        </w:rPr>
        <w:t>投标供应商需要对本次招标的全部招标内容进行投标，不允许只对其中部分内容进行投标，谢绝联合投标。</w:t>
      </w:r>
    </w:p>
    <w:p>
      <w:pPr>
        <w:numPr>
          <w:ilvl w:val="1"/>
          <w:numId w:val="6"/>
        </w:numPr>
        <w:tabs>
          <w:tab w:val="left" w:pos="567"/>
          <w:tab w:val="clear" w:pos="680"/>
        </w:tabs>
        <w:snapToGrid w:val="0"/>
        <w:spacing w:line="360" w:lineRule="auto"/>
        <w:ind w:left="567" w:hanging="567"/>
        <w:rPr>
          <w:rFonts w:ascii="Arial" w:hAnsi="Arial" w:cs="Arial"/>
          <w:bCs/>
          <w:color w:val="auto"/>
          <w:highlight w:val="none"/>
        </w:rPr>
      </w:pPr>
      <w:r>
        <w:rPr>
          <w:rFonts w:ascii="Arial" w:hAnsi="宋体" w:cs="Arial"/>
          <w:bCs/>
          <w:color w:val="auto"/>
          <w:highlight w:val="none"/>
        </w:rPr>
        <w:t>投标供应商需按招标文件的要求完成全部费用工作。按工作顺序提交所需的无论其是否被明细列在合同文件中的所有资料，提供的服务必须满足招标文件中提出的相关要求。</w:t>
      </w:r>
    </w:p>
    <w:p>
      <w:pPr>
        <w:numPr>
          <w:ilvl w:val="1"/>
          <w:numId w:val="6"/>
        </w:numPr>
        <w:tabs>
          <w:tab w:val="left" w:pos="567"/>
          <w:tab w:val="clear" w:pos="680"/>
        </w:tabs>
        <w:snapToGrid w:val="0"/>
        <w:spacing w:line="360" w:lineRule="auto"/>
        <w:ind w:left="567" w:hanging="567"/>
        <w:rPr>
          <w:rFonts w:ascii="Arial" w:hAnsi="Arial" w:cs="Arial"/>
          <w:bCs/>
          <w:color w:val="auto"/>
          <w:highlight w:val="none"/>
        </w:rPr>
      </w:pPr>
      <w:r>
        <w:rPr>
          <w:rFonts w:ascii="Arial" w:hAnsi="宋体" w:cs="Arial"/>
          <w:bCs/>
          <w:color w:val="auto"/>
          <w:highlight w:val="none"/>
        </w:rPr>
        <w:t>在投标之前，投标供应商须仔细阅读招标文件，如发现有任何疑问、冲突或技术问题，投标供应商在答疑截止时间前以书面形式向采购代理机构提出。逾期招标人不再作答复，有关风险及责任由投标供应商自行承担。</w:t>
      </w:r>
    </w:p>
    <w:p>
      <w:pPr>
        <w:numPr>
          <w:ilvl w:val="1"/>
          <w:numId w:val="6"/>
        </w:numPr>
        <w:tabs>
          <w:tab w:val="left" w:pos="567"/>
          <w:tab w:val="clear" w:pos="680"/>
        </w:tabs>
        <w:snapToGrid w:val="0"/>
        <w:spacing w:line="360" w:lineRule="auto"/>
        <w:ind w:left="567" w:hanging="567"/>
        <w:rPr>
          <w:rFonts w:ascii="Arial" w:hAnsi="Arial" w:cs="Arial"/>
          <w:bCs/>
          <w:color w:val="auto"/>
          <w:highlight w:val="none"/>
        </w:rPr>
      </w:pPr>
      <w:r>
        <w:rPr>
          <w:rFonts w:ascii="Arial" w:hAnsi="宋体" w:cs="Arial"/>
          <w:bCs/>
          <w:color w:val="auto"/>
          <w:highlight w:val="none"/>
        </w:rPr>
        <w:t>投标供应商须对招标文件中各个条款一一给予实质性答复，否则有可能导致作无效标处理。</w:t>
      </w:r>
    </w:p>
    <w:p>
      <w:pPr>
        <w:pStyle w:val="318"/>
        <w:widowControl w:val="0"/>
        <w:numPr>
          <w:ilvl w:val="0"/>
          <w:numId w:val="7"/>
        </w:numPr>
        <w:pBdr>
          <w:left w:val="none" w:color="auto" w:sz="0" w:space="0"/>
          <w:bottom w:val="none" w:color="auto" w:sz="0" w:space="0"/>
          <w:right w:val="none" w:color="auto" w:sz="0" w:space="0"/>
        </w:pBdr>
        <w:snapToGrid w:val="0"/>
        <w:spacing w:before="156" w:beforeLines="50" w:beforeAutospacing="0" w:after="156" w:afterLines="50" w:afterAutospacing="0" w:line="340" w:lineRule="exact"/>
        <w:textAlignment w:val="auto"/>
        <w:rPr>
          <w:rFonts w:ascii="Arial" w:hAnsi="Arial" w:cs="Arial"/>
          <w:b w:val="0"/>
          <w:color w:val="auto"/>
          <w:kern w:val="2"/>
          <w:szCs w:val="24"/>
          <w:highlight w:val="none"/>
        </w:rPr>
      </w:pPr>
      <w:r>
        <w:rPr>
          <w:rFonts w:ascii="Arial" w:hAnsi="宋体" w:cs="Arial"/>
          <w:b w:val="0"/>
          <w:color w:val="auto"/>
          <w:kern w:val="2"/>
          <w:szCs w:val="24"/>
          <w:highlight w:val="none"/>
        </w:rPr>
        <w:t>采购内容及技术要求</w:t>
      </w:r>
    </w:p>
    <w:p>
      <w:pPr>
        <w:numPr>
          <w:ilvl w:val="0"/>
          <w:numId w:val="0"/>
        </w:numPr>
        <w:tabs>
          <w:tab w:val="left" w:pos="680"/>
        </w:tabs>
        <w:adjustRightInd w:val="0"/>
        <w:snapToGrid w:val="0"/>
        <w:spacing w:line="360" w:lineRule="exact"/>
        <w:rPr>
          <w:rFonts w:ascii="Arial" w:hAnsi="Arial" w:cs="Arial"/>
          <w:b/>
          <w:color w:val="auto"/>
          <w:highlight w:val="none"/>
        </w:rPr>
      </w:pPr>
    </w:p>
    <w:bookmarkEnd w:id="44"/>
    <w:bookmarkEnd w:id="45"/>
    <w:bookmarkEnd w:id="46"/>
    <w:p>
      <w:pPr>
        <w:pStyle w:val="23"/>
        <w:ind w:left="316" w:hanging="316" w:hangingChars="143"/>
        <w:rPr>
          <w:rFonts w:hint="eastAsia" w:ascii="新宋体" w:hAnsi="新宋体" w:eastAsia="新宋体" w:cs="新宋体"/>
          <w:b/>
          <w:color w:val="auto"/>
          <w:sz w:val="22"/>
          <w:szCs w:val="22"/>
          <w:highlight w:val="none"/>
        </w:rPr>
      </w:pPr>
      <w:bookmarkStart w:id="47" w:name="_Toc18194"/>
      <w:bookmarkStart w:id="48" w:name="_Toc30323"/>
      <w:r>
        <w:rPr>
          <w:rFonts w:hint="eastAsia" w:ascii="新宋体" w:hAnsi="新宋体" w:eastAsia="新宋体" w:cs="新宋体"/>
          <w:b/>
          <w:color w:val="auto"/>
          <w:sz w:val="22"/>
          <w:szCs w:val="22"/>
          <w:highlight w:val="none"/>
        </w:rPr>
        <w:t>一、绿化养护服务范围说明</w:t>
      </w:r>
    </w:p>
    <w:tbl>
      <w:tblPr>
        <w:tblStyle w:val="53"/>
        <w:tblW w:w="942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4206"/>
        <w:gridCol w:w="3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510" w:type="dxa"/>
            <w:noWrap w:val="0"/>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4206" w:type="dxa"/>
            <w:noWrap w:val="0"/>
            <w:vAlign w:val="center"/>
          </w:tcPr>
          <w:p>
            <w:pPr>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项目内容</w:t>
            </w:r>
          </w:p>
        </w:tc>
        <w:tc>
          <w:tcPr>
            <w:tcW w:w="3708" w:type="dxa"/>
            <w:noWrap w:val="0"/>
            <w:vAlign w:val="center"/>
          </w:tcPr>
          <w:p>
            <w:pPr>
              <w:widowControl/>
              <w:autoSpaceDE w:val="0"/>
              <w:autoSpaceDN w:val="0"/>
              <w:adjustRightInd w:val="0"/>
              <w:ind w:firstLine="220" w:firstLineChars="10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10" w:type="dxa"/>
            <w:noWrap w:val="0"/>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4206" w:type="dxa"/>
            <w:noWrap w:val="0"/>
            <w:vAlign w:val="center"/>
          </w:tcPr>
          <w:p>
            <w:pPr>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绿地养护面积</w:t>
            </w:r>
          </w:p>
        </w:tc>
        <w:tc>
          <w:tcPr>
            <w:tcW w:w="3708" w:type="dxa"/>
            <w:noWrap w:val="0"/>
            <w:vAlign w:val="center"/>
          </w:tcPr>
          <w:p>
            <w:pPr>
              <w:widowControl/>
              <w:autoSpaceDE w:val="0"/>
              <w:autoSpaceDN w:val="0"/>
              <w:adjustRightInd w:val="0"/>
              <w:ind w:firstLine="220" w:firstLineChars="10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eastAsia="zh-CN"/>
              </w:rPr>
              <w:t>136799</w:t>
            </w:r>
            <w:r>
              <w:rPr>
                <w:rFonts w:hint="eastAsia" w:ascii="新宋体" w:hAnsi="新宋体" w:eastAsia="新宋体" w:cs="新宋体"/>
                <w:bCs/>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10" w:type="dxa"/>
            <w:noWrap w:val="0"/>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4206" w:type="dxa"/>
            <w:noWrap w:val="0"/>
            <w:vAlign w:val="center"/>
          </w:tcPr>
          <w:p>
            <w:pPr>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行道树</w:t>
            </w:r>
          </w:p>
        </w:tc>
        <w:tc>
          <w:tcPr>
            <w:tcW w:w="3708" w:type="dxa"/>
            <w:noWrap w:val="0"/>
            <w:vAlign w:val="center"/>
          </w:tcPr>
          <w:p>
            <w:pPr>
              <w:widowControl/>
              <w:autoSpaceDE w:val="0"/>
              <w:autoSpaceDN w:val="0"/>
              <w:adjustRightInd w:val="0"/>
              <w:ind w:firstLine="220" w:firstLineChars="10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eastAsia="zh-CN"/>
              </w:rPr>
              <w:t>2099</w:t>
            </w:r>
            <w:r>
              <w:rPr>
                <w:rFonts w:hint="eastAsia" w:ascii="新宋体" w:hAnsi="新宋体" w:eastAsia="新宋体" w:cs="新宋体"/>
                <w:bCs/>
                <w:color w:val="auto"/>
                <w:sz w:val="22"/>
                <w:szCs w:val="22"/>
                <w:highlight w:val="none"/>
              </w:rPr>
              <w:t>株</w:t>
            </w:r>
          </w:p>
        </w:tc>
      </w:tr>
    </w:tbl>
    <w:p>
      <w:pPr>
        <w:pStyle w:val="23"/>
        <w:ind w:left="316" w:hanging="316" w:hangingChars="143"/>
        <w:rPr>
          <w:rFonts w:hint="eastAsia" w:ascii="新宋体" w:hAnsi="新宋体" w:eastAsia="新宋体" w:cs="新宋体"/>
          <w:b/>
          <w:color w:val="auto"/>
          <w:sz w:val="22"/>
          <w:szCs w:val="22"/>
          <w:highlight w:val="none"/>
        </w:rPr>
      </w:pPr>
    </w:p>
    <w:p>
      <w:pPr>
        <w:pStyle w:val="23"/>
        <w:ind w:left="316" w:hanging="316" w:hangingChars="14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二、绿化养清单</w:t>
      </w:r>
    </w:p>
    <w:tbl>
      <w:tblPr>
        <w:tblStyle w:val="53"/>
        <w:tblW w:w="9469"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08"/>
        <w:gridCol w:w="3516"/>
        <w:gridCol w:w="1909"/>
        <w:gridCol w:w="2329"/>
        <w:gridCol w:w="9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69" w:type="dxa"/>
            <w:gridSpan w:val="5"/>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绿地养护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绿地名称</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地  址</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绿地面积 （㎡）</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8"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3516"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沙头园区</w:t>
            </w:r>
          </w:p>
        </w:tc>
        <w:tc>
          <w:tcPr>
            <w:tcW w:w="1909"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沙头村</w:t>
            </w:r>
          </w:p>
        </w:tc>
        <w:tc>
          <w:tcPr>
            <w:tcW w:w="2329" w:type="dxa"/>
            <w:tcBorders>
              <w:righ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20823</w:t>
            </w:r>
          </w:p>
        </w:tc>
        <w:tc>
          <w:tcPr>
            <w:tcW w:w="907" w:type="dxa"/>
            <w:tcBorders>
              <w:lef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8"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3516"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江南上村绿化带</w:t>
            </w:r>
          </w:p>
        </w:tc>
        <w:tc>
          <w:tcPr>
            <w:tcW w:w="1909"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江南上村铁路边</w:t>
            </w:r>
          </w:p>
        </w:tc>
        <w:tc>
          <w:tcPr>
            <w:tcW w:w="2329" w:type="dxa"/>
            <w:tcBorders>
              <w:righ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2063</w:t>
            </w:r>
          </w:p>
        </w:tc>
        <w:tc>
          <w:tcPr>
            <w:tcW w:w="907" w:type="dxa"/>
            <w:tcBorders>
              <w:lef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3516"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庄岩村小游园景观绿化</w:t>
            </w:r>
          </w:p>
        </w:tc>
        <w:tc>
          <w:tcPr>
            <w:tcW w:w="1909"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庄岩村</w:t>
            </w:r>
          </w:p>
        </w:tc>
        <w:tc>
          <w:tcPr>
            <w:tcW w:w="2329" w:type="dxa"/>
            <w:tcBorders>
              <w:righ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1103</w:t>
            </w:r>
          </w:p>
        </w:tc>
        <w:tc>
          <w:tcPr>
            <w:tcW w:w="907" w:type="dxa"/>
            <w:tcBorders>
              <w:lef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3516"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巽岙村小游园景观绿化工程</w:t>
            </w:r>
          </w:p>
        </w:tc>
        <w:tc>
          <w:tcPr>
            <w:tcW w:w="1909"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巽岙村</w:t>
            </w:r>
          </w:p>
        </w:tc>
        <w:tc>
          <w:tcPr>
            <w:tcW w:w="2329" w:type="dxa"/>
            <w:tcBorders>
              <w:righ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2702</w:t>
            </w:r>
          </w:p>
        </w:tc>
        <w:tc>
          <w:tcPr>
            <w:tcW w:w="907" w:type="dxa"/>
            <w:tcBorders>
              <w:lef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w:t>
            </w:r>
          </w:p>
        </w:tc>
        <w:tc>
          <w:tcPr>
            <w:tcW w:w="3516"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临江东街绿化</w:t>
            </w:r>
          </w:p>
        </w:tc>
        <w:tc>
          <w:tcPr>
            <w:tcW w:w="1909"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后支村</w:t>
            </w:r>
          </w:p>
        </w:tc>
        <w:tc>
          <w:tcPr>
            <w:tcW w:w="2329" w:type="dxa"/>
            <w:tcBorders>
              <w:righ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2487</w:t>
            </w:r>
          </w:p>
        </w:tc>
        <w:tc>
          <w:tcPr>
            <w:tcW w:w="907" w:type="dxa"/>
            <w:tcBorders>
              <w:lef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w:t>
            </w:r>
          </w:p>
        </w:tc>
        <w:tc>
          <w:tcPr>
            <w:tcW w:w="3516"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后支村委南首小花园</w:t>
            </w:r>
          </w:p>
        </w:tc>
        <w:tc>
          <w:tcPr>
            <w:tcW w:w="1909" w:type="dxa"/>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后支村</w:t>
            </w:r>
          </w:p>
        </w:tc>
        <w:tc>
          <w:tcPr>
            <w:tcW w:w="2329" w:type="dxa"/>
            <w:tcBorders>
              <w:righ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552</w:t>
            </w:r>
          </w:p>
        </w:tc>
        <w:tc>
          <w:tcPr>
            <w:tcW w:w="907" w:type="dxa"/>
            <w:tcBorders>
              <w:left w:val="single" w:color="auto" w:sz="4" w:space="0"/>
            </w:tcBorders>
            <w:shd w:val="clear" w:color="auto" w:fill="FFFFFF"/>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后支玫瑰园绿化</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4400</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后支滨水公园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后支瓯江防洪堤后支段</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3433</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后支村口袋公园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后支村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1221</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前盈运动广场绿化</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前盈村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600</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前盈村330国道边绿化</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前盈村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300</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横山党建公园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315</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13</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2公里绿道</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23848</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14</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横山农聚房东面绿化工程</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横山村镇西路</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3524</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15</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仁地村小游园景观绿化工程</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仁地村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912</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16</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金岙环西路绿化带</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金岙村环西路</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7173</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17</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驿头滨水公园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5500</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18</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8083</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19</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临江公园二期绿化工程</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3423</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20</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横山休息地</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横山村路口</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1840</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21</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西洲岛小游园景观绿化工程</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西洲村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1891</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22</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西洲党建公园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西洲村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906</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23</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西洲北入口绿化工程</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西洲北入口</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1029</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24</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望州路绿化带</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下湾村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822</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25</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中加友谊馆</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2292</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26</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驿头村间口袋公园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583</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27</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驿头村入口公园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1901</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28</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山根村入口公园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山根村入口</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2635</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29</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驿头岙底村小游园景观绿化</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驿头岙底村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2064</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30</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双潮东西入口绿化带</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双潮东岙村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1905</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31</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双潮华侨公园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双潮东岙村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7896</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32</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山福镇荫溪潮埠沿河（中段）绿化改造工程</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荫溪潮埠至朱下段</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2337</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33</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西坑烈山公园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西坑村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2652</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34</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双潮小旦村小游园</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双潮小旦村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4651</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35</w:t>
            </w:r>
          </w:p>
        </w:tc>
        <w:tc>
          <w:tcPr>
            <w:tcW w:w="3516"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壬临线绿化</w:t>
            </w:r>
          </w:p>
        </w:tc>
        <w:tc>
          <w:tcPr>
            <w:tcW w:w="1909" w:type="dxa"/>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横山村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800</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36</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渡船头村小游园景观绿化</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渡船头村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854</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37</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潮景公寓</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荫溪潮埠村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4379</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38</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驿头公寓</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ab/>
            </w:r>
            <w:r>
              <w:rPr>
                <w:rFonts w:hint="eastAsia" w:ascii="新宋体" w:hAnsi="新宋体" w:eastAsia="新宋体" w:cs="新宋体"/>
                <w:bCs/>
                <w:color w:val="auto"/>
                <w:sz w:val="22"/>
                <w:szCs w:val="22"/>
                <w:highlight w:val="none"/>
                <w:lang w:val="en-US" w:eastAsia="zh-CN"/>
              </w:rPr>
              <w:t>和平村</w:t>
            </w:r>
          </w:p>
        </w:tc>
        <w:tc>
          <w:tcPr>
            <w:tcW w:w="2329" w:type="dxa"/>
            <w:tcBorders>
              <w:righ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2900</w:t>
            </w:r>
          </w:p>
        </w:tc>
        <w:tc>
          <w:tcPr>
            <w:tcW w:w="907" w:type="dxa"/>
            <w:tcBorders>
              <w:left w:val="single" w:color="auto" w:sz="4" w:space="0"/>
            </w:tcBorders>
            <w:noWrap/>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绿地名称</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地  址</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数量（株）</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临江东西街行道树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临江社区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565</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临江站前路行道树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临江社区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205</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临江望州路行道树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临江社区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500</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双潮社区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152</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5</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镇西路行道树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临江社区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89</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6</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众纬路行道树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沙头园区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121</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7</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致信路行道树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沙头园区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117</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8</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工匠路行道树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沙头园区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119</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9</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润新路行道树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沙头园区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113</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8" w:type="dxa"/>
            <w:noWrap w:val="0"/>
            <w:tcMar>
              <w:top w:w="15" w:type="dxa"/>
              <w:left w:w="15" w:type="dxa"/>
              <w:right w:w="15" w:type="dxa"/>
            </w:tcMar>
            <w:vAlign w:val="center"/>
          </w:tcPr>
          <w:p>
            <w:pPr>
              <w:widowControl/>
              <w:autoSpaceDE w:val="0"/>
              <w:autoSpaceDN w:val="0"/>
              <w:adjustRightInd w:val="0"/>
              <w:jc w:val="center"/>
              <w:textAlignment w:val="bottom"/>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10</w:t>
            </w:r>
          </w:p>
        </w:tc>
        <w:tc>
          <w:tcPr>
            <w:tcW w:w="3516"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德嘉路行道树</w:t>
            </w:r>
          </w:p>
        </w:tc>
        <w:tc>
          <w:tcPr>
            <w:tcW w:w="1909" w:type="dxa"/>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沙头园区</w:t>
            </w:r>
          </w:p>
        </w:tc>
        <w:tc>
          <w:tcPr>
            <w:tcW w:w="2329" w:type="dxa"/>
            <w:tcBorders>
              <w:righ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118</w:t>
            </w:r>
          </w:p>
        </w:tc>
        <w:tc>
          <w:tcPr>
            <w:tcW w:w="907" w:type="dxa"/>
            <w:tcBorders>
              <w:left w:val="single" w:color="auto" w:sz="4" w:space="0"/>
            </w:tcBorders>
            <w:noWrap w:val="0"/>
            <w:tcMar>
              <w:top w:w="15" w:type="dxa"/>
              <w:left w:w="15" w:type="dxa"/>
              <w:right w:w="15" w:type="dxa"/>
            </w:tcMar>
            <w:vAlign w:val="center"/>
          </w:tcPr>
          <w:p>
            <w:pPr>
              <w:widowControl/>
              <w:autoSpaceDE w:val="0"/>
              <w:autoSpaceDN w:val="0"/>
              <w:adjustRightInd w:val="0"/>
              <w:jc w:val="center"/>
              <w:textAlignment w:val="bottom"/>
              <w:rPr>
                <w:rFonts w:hint="eastAsia" w:ascii="新宋体" w:hAnsi="新宋体" w:eastAsia="新宋体" w:cs="新宋体"/>
                <w:bCs/>
                <w:color w:val="auto"/>
                <w:sz w:val="22"/>
                <w:szCs w:val="22"/>
                <w:highlight w:val="none"/>
              </w:rPr>
            </w:pPr>
          </w:p>
        </w:tc>
      </w:tr>
    </w:tbl>
    <w:p>
      <w:pPr>
        <w:widowControl/>
        <w:autoSpaceDE w:val="0"/>
        <w:autoSpaceDN w:val="0"/>
        <w:adjustRightInd w:val="0"/>
        <w:spacing w:line="360" w:lineRule="exact"/>
        <w:ind w:firstLine="330" w:firstLineChars="150"/>
        <w:textAlignment w:val="bottom"/>
        <w:rPr>
          <w:rFonts w:hint="eastAsia" w:ascii="宋体" w:cs="宋体"/>
          <w:bCs/>
          <w:color w:val="auto"/>
          <w:sz w:val="22"/>
          <w:szCs w:val="22"/>
          <w:highlight w:val="none"/>
        </w:rPr>
      </w:pPr>
      <w:r>
        <w:rPr>
          <w:rFonts w:hint="eastAsia" w:ascii="宋体" w:cs="宋体"/>
          <w:color w:val="auto"/>
          <w:sz w:val="22"/>
          <w:szCs w:val="22"/>
          <w:highlight w:val="none"/>
          <w:lang w:val="zh-CN" w:bidi="zh-CN"/>
        </w:rPr>
        <w:t>注明：</w:t>
      </w:r>
      <w:r>
        <w:rPr>
          <w:rFonts w:hint="eastAsia" w:ascii="宋体" w:cs="宋体"/>
          <w:color w:val="auto"/>
          <w:sz w:val="22"/>
          <w:szCs w:val="22"/>
          <w:highlight w:val="none"/>
          <w:lang w:bidi="zh-CN"/>
        </w:rPr>
        <w:t>以上养护面积为参考面积，供应商报价前应自行前往项目进行勘察，以获取更准确的现场情况及数据，供应商自行承担报价风险。</w:t>
      </w:r>
    </w:p>
    <w:p>
      <w:pPr>
        <w:pStyle w:val="23"/>
        <w:spacing w:line="360" w:lineRule="exact"/>
        <w:ind w:left="316" w:hanging="316" w:hangingChars="14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三、工作内容及要求：</w:t>
      </w:r>
    </w:p>
    <w:p>
      <w:pPr>
        <w:widowControl/>
        <w:autoSpaceDE w:val="0"/>
        <w:autoSpaceDN w:val="0"/>
        <w:adjustRightInd w:val="0"/>
        <w:spacing w:line="420" w:lineRule="atLeast"/>
        <w:ind w:firstLine="330" w:firstLineChars="150"/>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包括行道树及绿地等养护，主要包括松土除草、修剪、抹芽、浇水、中耕施肥、病虫害防治、抗旱防洪、缺株补植（原有苗木）、清除枯枝残花落叶及绿化垃圾、树木绑扎、树木刷白、草坪切边、加土扶正、立架加固、抗灾抢险、意外事件处理、安全保护措施、沉积废土清理等绿地养护以及附属设施日常保养维护、应急处理、数字城管件处理任务等一切养管工作，另外还须做好绿化养护台帐并建立技术档案。</w:t>
      </w:r>
    </w:p>
    <w:p>
      <w:pPr>
        <w:widowControl/>
        <w:autoSpaceDE w:val="0"/>
        <w:autoSpaceDN w:val="0"/>
        <w:adjustRightInd w:val="0"/>
        <w:spacing w:line="420" w:lineRule="atLeast"/>
        <w:ind w:firstLine="330" w:firstLineChars="150"/>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2、绿化养护工作内容及要求</w:t>
      </w:r>
    </w:p>
    <w:p>
      <w:pPr>
        <w:pStyle w:val="334"/>
        <w:rPr>
          <w:rFonts w:hint="eastAsia" w:ascii="新宋体" w:hAnsi="新宋体" w:eastAsia="新宋体" w:cs="新宋体"/>
          <w:color w:val="auto"/>
          <w:sz w:val="22"/>
          <w:szCs w:val="22"/>
          <w:highlight w:val="none"/>
        </w:rPr>
      </w:pPr>
    </w:p>
    <w:tbl>
      <w:tblPr>
        <w:tblStyle w:val="53"/>
        <w:tblW w:w="9497"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8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1" w:line="320" w:lineRule="exact"/>
              <w:ind w:left="113" w:right="104"/>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月份</w:t>
            </w:r>
          </w:p>
        </w:tc>
        <w:tc>
          <w:tcPr>
            <w:tcW w:w="8262" w:type="dxa"/>
            <w:noWrap w:val="0"/>
            <w:vAlign w:val="center"/>
          </w:tcPr>
          <w:p>
            <w:pPr>
              <w:pStyle w:val="341"/>
              <w:spacing w:before="1" w:line="320" w:lineRule="exact"/>
              <w:ind w:left="113" w:right="104"/>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绿化养护工作内容要求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line="320" w:lineRule="exact"/>
              <w:ind w:left="113" w:right="104"/>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全年</w:t>
            </w:r>
          </w:p>
        </w:tc>
        <w:tc>
          <w:tcPr>
            <w:tcW w:w="8262" w:type="dxa"/>
            <w:noWrap w:val="0"/>
            <w:vAlign w:val="top"/>
          </w:tcPr>
          <w:p>
            <w:pPr>
              <w:pStyle w:val="341"/>
              <w:spacing w:before="1"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常规例行工作，周年定期进行。</w:t>
            </w:r>
          </w:p>
          <w:p>
            <w:pPr>
              <w:pStyle w:val="341"/>
              <w:spacing w:before="4"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1、常规修剪：及时去除枯枝、死枝、萌蘖枝、下垂枝、过密枝、病虫枝、迎风枝等。</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2、中耕除草：结合松土除草，春季频次增加。</w:t>
            </w:r>
          </w:p>
          <w:p>
            <w:pPr>
              <w:pStyle w:val="341"/>
              <w:spacing w:before="4" w:line="320" w:lineRule="exact"/>
              <w:ind w:left="107" w:right="95"/>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1"/>
                <w:sz w:val="22"/>
                <w:szCs w:val="22"/>
                <w:highlight w:val="none"/>
              </w:rPr>
              <w:t>3</w:t>
            </w:r>
            <w:r>
              <w:rPr>
                <w:rFonts w:hint="eastAsia" w:ascii="新宋体" w:hAnsi="新宋体" w:eastAsia="新宋体" w:cs="新宋体"/>
                <w:color w:val="auto"/>
                <w:spacing w:val="-10"/>
                <w:sz w:val="22"/>
                <w:szCs w:val="22"/>
                <w:highlight w:val="none"/>
              </w:rPr>
              <w:t>、巡查工作：巡查病虫害、冻害、水涝、干旱、日灼、物理损伤、防护设施、园林设备</w:t>
            </w:r>
            <w:r>
              <w:rPr>
                <w:rFonts w:hint="eastAsia" w:ascii="新宋体" w:hAnsi="新宋体" w:eastAsia="新宋体" w:cs="新宋体"/>
                <w:color w:val="auto"/>
                <w:spacing w:val="-4"/>
                <w:sz w:val="22"/>
                <w:szCs w:val="22"/>
                <w:highlight w:val="none"/>
              </w:rPr>
              <w:t>等情况。一经发现，启动应对措施。</w:t>
            </w:r>
          </w:p>
          <w:p>
            <w:pPr>
              <w:pStyle w:val="341"/>
              <w:spacing w:before="2"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4、绿地保洁：清除枯枝败叶及飘散垃圾。</w:t>
            </w:r>
          </w:p>
          <w:p>
            <w:pPr>
              <w:pStyle w:val="341"/>
              <w:spacing w:before="1" w:line="320" w:lineRule="exact"/>
              <w:ind w:left="107" w:right="9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pacing w:val="-12"/>
                <w:sz w:val="22"/>
                <w:szCs w:val="22"/>
                <w:highlight w:val="none"/>
              </w:rPr>
              <w:t xml:space="preserve">、例行浇水：夏季上午 </w:t>
            </w:r>
            <w:r>
              <w:rPr>
                <w:rFonts w:hint="eastAsia" w:ascii="新宋体" w:hAnsi="新宋体" w:eastAsia="新宋体" w:cs="新宋体"/>
                <w:color w:val="auto"/>
                <w:sz w:val="22"/>
                <w:szCs w:val="22"/>
                <w:highlight w:val="none"/>
              </w:rPr>
              <w:t>7</w:t>
            </w:r>
            <w:r>
              <w:rPr>
                <w:rFonts w:hint="eastAsia" w:ascii="新宋体" w:hAnsi="新宋体" w:eastAsia="新宋体" w:cs="新宋体"/>
                <w:color w:val="auto"/>
                <w:spacing w:val="-17"/>
                <w:sz w:val="22"/>
                <w:szCs w:val="22"/>
                <w:highlight w:val="none"/>
              </w:rPr>
              <w:t xml:space="preserve"> 点半前，下午 </w:t>
            </w: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pacing w:val="-15"/>
                <w:sz w:val="22"/>
                <w:szCs w:val="22"/>
                <w:highlight w:val="none"/>
              </w:rPr>
              <w:t xml:space="preserve"> 点半后；冬季上午 </w:t>
            </w:r>
            <w:r>
              <w:rPr>
                <w:rFonts w:hint="eastAsia" w:ascii="新宋体" w:hAnsi="新宋体" w:eastAsia="新宋体" w:cs="新宋体"/>
                <w:color w:val="auto"/>
                <w:sz w:val="22"/>
                <w:szCs w:val="22"/>
                <w:highlight w:val="none"/>
              </w:rPr>
              <w:t>9</w:t>
            </w:r>
            <w:r>
              <w:rPr>
                <w:rFonts w:hint="eastAsia" w:ascii="新宋体" w:hAnsi="新宋体" w:eastAsia="新宋体" w:cs="新宋体"/>
                <w:color w:val="auto"/>
                <w:spacing w:val="-19"/>
                <w:sz w:val="22"/>
                <w:szCs w:val="22"/>
                <w:highlight w:val="none"/>
              </w:rPr>
              <w:t xml:space="preserve"> 点后，下午 </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pacing w:val="-13"/>
                <w:sz w:val="22"/>
                <w:szCs w:val="22"/>
                <w:highlight w:val="none"/>
              </w:rPr>
              <w:t xml:space="preserve"> 点前；春秋</w:t>
            </w:r>
            <w:r>
              <w:rPr>
                <w:rFonts w:hint="eastAsia" w:ascii="新宋体" w:hAnsi="新宋体" w:eastAsia="新宋体" w:cs="新宋体"/>
                <w:color w:val="auto"/>
                <w:spacing w:val="-5"/>
                <w:sz w:val="22"/>
                <w:szCs w:val="22"/>
                <w:highlight w:val="none"/>
              </w:rPr>
              <w:t>放宽。遇雨停浇。</w:t>
            </w:r>
          </w:p>
          <w:p>
            <w:pPr>
              <w:pStyle w:val="341"/>
              <w:spacing w:before="2"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6、补植养护：新植两年内，进行补植养护，给予特殊照顾。</w:t>
            </w:r>
          </w:p>
          <w:p>
            <w:pPr>
              <w:pStyle w:val="341"/>
              <w:spacing w:before="4"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7、色块养护：新稍高于绿篱色块平面 5cm 就应及时修剪。色块交接界限清晰。</w:t>
            </w:r>
          </w:p>
          <w:p>
            <w:pPr>
              <w:pStyle w:val="341"/>
              <w:spacing w:before="3" w:line="320" w:lineRule="exact"/>
              <w:ind w:left="107" w:right="-2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pacing w:val="-11"/>
                <w:sz w:val="22"/>
                <w:szCs w:val="22"/>
                <w:highlight w:val="none"/>
              </w:rPr>
              <w:t xml:space="preserve">、草坪管理：覆盖度大于 </w:t>
            </w:r>
            <w:r>
              <w:rPr>
                <w:rFonts w:hint="eastAsia" w:ascii="新宋体" w:hAnsi="新宋体" w:eastAsia="新宋体" w:cs="新宋体"/>
                <w:color w:val="auto"/>
                <w:spacing w:val="-5"/>
                <w:sz w:val="22"/>
                <w:szCs w:val="22"/>
                <w:highlight w:val="none"/>
              </w:rPr>
              <w:t>95</w:t>
            </w:r>
            <w:r>
              <w:rPr>
                <w:rFonts w:hint="eastAsia" w:ascii="新宋体" w:hAnsi="新宋体" w:eastAsia="新宋体" w:cs="新宋体"/>
                <w:color w:val="auto"/>
                <w:spacing w:val="-12"/>
                <w:sz w:val="22"/>
                <w:szCs w:val="22"/>
                <w:highlight w:val="none"/>
              </w:rPr>
              <w:t xml:space="preserve">%；绿期大于 </w:t>
            </w:r>
            <w:r>
              <w:rPr>
                <w:rFonts w:hint="eastAsia" w:ascii="新宋体" w:hAnsi="新宋体" w:eastAsia="新宋体" w:cs="新宋体"/>
                <w:color w:val="auto"/>
                <w:sz w:val="22"/>
                <w:szCs w:val="22"/>
                <w:highlight w:val="none"/>
              </w:rPr>
              <w:t>220</w:t>
            </w:r>
            <w:r>
              <w:rPr>
                <w:rFonts w:hint="eastAsia" w:ascii="新宋体" w:hAnsi="新宋体" w:eastAsia="新宋体" w:cs="新宋体"/>
                <w:color w:val="auto"/>
                <w:spacing w:val="-28"/>
                <w:sz w:val="22"/>
                <w:szCs w:val="22"/>
                <w:highlight w:val="none"/>
              </w:rPr>
              <w:t xml:space="preserve"> 天。</w:t>
            </w:r>
          </w:p>
          <w:p>
            <w:pPr>
              <w:pStyle w:val="341"/>
              <w:spacing w:before="4"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9、管理日志：重大事件、特殊情况要详细记载，月月归档、按季小结，年终总结。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一月份</w:t>
            </w:r>
          </w:p>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二月份</w:t>
            </w:r>
          </w:p>
        </w:tc>
        <w:tc>
          <w:tcPr>
            <w:tcW w:w="8262" w:type="dxa"/>
            <w:noWrap w:val="0"/>
            <w:vAlign w:val="top"/>
          </w:tcPr>
          <w:p>
            <w:pPr>
              <w:pStyle w:val="341"/>
              <w:spacing w:before="2"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1"/>
                <w:sz w:val="22"/>
                <w:szCs w:val="22"/>
                <w:highlight w:val="none"/>
              </w:rPr>
              <w:t>1</w:t>
            </w:r>
            <w:r>
              <w:rPr>
                <w:rFonts w:hint="eastAsia" w:ascii="新宋体" w:hAnsi="新宋体" w:eastAsia="新宋体" w:cs="新宋体"/>
                <w:color w:val="auto"/>
                <w:spacing w:val="-3"/>
                <w:sz w:val="22"/>
                <w:szCs w:val="22"/>
                <w:highlight w:val="none"/>
              </w:rPr>
              <w:t>、冬眠修剪：主要针对落叶树，整形修剪、避让修剪等。农历年前完成。</w:t>
            </w:r>
          </w:p>
          <w:p>
            <w:pPr>
              <w:pStyle w:val="341"/>
              <w:spacing w:before="4"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1"/>
                <w:sz w:val="22"/>
                <w:szCs w:val="22"/>
                <w:highlight w:val="none"/>
              </w:rPr>
              <w:t>2</w:t>
            </w:r>
            <w:r>
              <w:rPr>
                <w:rFonts w:hint="eastAsia" w:ascii="新宋体" w:hAnsi="新宋体" w:eastAsia="新宋体" w:cs="新宋体"/>
                <w:color w:val="auto"/>
                <w:spacing w:val="-3"/>
                <w:sz w:val="22"/>
                <w:szCs w:val="22"/>
                <w:highlight w:val="none"/>
              </w:rPr>
              <w:t>、病虫防治：涂白剂</w:t>
            </w:r>
            <w:r>
              <w:rPr>
                <w:rFonts w:hint="eastAsia" w:ascii="新宋体" w:hAnsi="新宋体" w:eastAsia="新宋体" w:cs="新宋体"/>
                <w:color w:val="auto"/>
                <w:spacing w:val="-1"/>
                <w:sz w:val="22"/>
                <w:szCs w:val="22"/>
                <w:highlight w:val="none"/>
              </w:rPr>
              <w:t>（</w:t>
            </w:r>
            <w:r>
              <w:rPr>
                <w:rFonts w:hint="eastAsia" w:ascii="新宋体" w:hAnsi="新宋体" w:eastAsia="新宋体" w:cs="新宋体"/>
                <w:color w:val="auto"/>
                <w:spacing w:val="-2"/>
                <w:sz w:val="22"/>
                <w:szCs w:val="22"/>
                <w:highlight w:val="none"/>
              </w:rPr>
              <w:t>石灰</w:t>
            </w:r>
            <w:r>
              <w:rPr>
                <w:rFonts w:hint="eastAsia" w:ascii="新宋体" w:hAnsi="新宋体" w:eastAsia="新宋体" w:cs="新宋体"/>
                <w:color w:val="auto"/>
                <w:spacing w:val="-1"/>
                <w:sz w:val="22"/>
                <w:szCs w:val="22"/>
                <w:highlight w:val="none"/>
              </w:rPr>
              <w:t>）</w:t>
            </w:r>
            <w:r>
              <w:rPr>
                <w:rFonts w:hint="eastAsia" w:ascii="新宋体" w:hAnsi="新宋体" w:eastAsia="新宋体" w:cs="新宋体"/>
                <w:color w:val="auto"/>
                <w:spacing w:val="-3"/>
                <w:sz w:val="22"/>
                <w:szCs w:val="22"/>
                <w:highlight w:val="none"/>
              </w:rPr>
              <w:t>涂抹树干，喷洒石硫合剂，做好综合防治。</w:t>
            </w:r>
          </w:p>
          <w:p>
            <w:pPr>
              <w:pStyle w:val="341"/>
              <w:spacing w:before="1"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3、节庆布置：春节前绿化装饰、花坛花境布置工作。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三月份</w:t>
            </w:r>
          </w:p>
        </w:tc>
        <w:tc>
          <w:tcPr>
            <w:tcW w:w="8262" w:type="dxa"/>
            <w:noWrap w:val="0"/>
            <w:vAlign w:val="top"/>
          </w:tcPr>
          <w:p>
            <w:pPr>
              <w:pStyle w:val="341"/>
              <w:spacing w:before="2"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1、萌春修剪：主要针对常绿树，整形修剪，避让修剪等。除早春花木外，需芽前修剪。</w:t>
            </w:r>
          </w:p>
          <w:p>
            <w:pPr>
              <w:pStyle w:val="341"/>
              <w:spacing w:before="4"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2、病虫防治：草履蚧始发。</w:t>
            </w:r>
          </w:p>
          <w:p>
            <w:pPr>
              <w:pStyle w:val="341"/>
              <w:spacing w:before="1"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3、春植补植：三月中旬开始，四月上旬完成。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四月份</w:t>
            </w:r>
          </w:p>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五月份</w:t>
            </w:r>
          </w:p>
        </w:tc>
        <w:tc>
          <w:tcPr>
            <w:tcW w:w="8262" w:type="dxa"/>
            <w:noWrap w:val="0"/>
            <w:vAlign w:val="top"/>
          </w:tcPr>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1、春季修剪：早春花木花后修剪；补植植物做好抹芽、修枝。</w:t>
            </w:r>
          </w:p>
          <w:p>
            <w:pPr>
              <w:pStyle w:val="341"/>
              <w:spacing w:before="1"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2、萌春肥：对发芽展叶的植物施用萌春肥。</w:t>
            </w:r>
          </w:p>
          <w:p>
            <w:pPr>
              <w:pStyle w:val="341"/>
              <w:spacing w:before="1"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3、病虫防治：蚜虫多发。</w:t>
            </w:r>
          </w:p>
          <w:p>
            <w:pPr>
              <w:pStyle w:val="341"/>
              <w:spacing w:before="4"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4、节庆布置：迎五一，花坛花境布置工作。</w:t>
            </w:r>
          </w:p>
          <w:p>
            <w:pPr>
              <w:pStyle w:val="341"/>
              <w:spacing w:before="4"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5、养护维修：做好设施养护，油漆、清洗、替换等工作。</w:t>
            </w:r>
          </w:p>
          <w:p>
            <w:pPr>
              <w:pStyle w:val="341"/>
              <w:spacing w:before="1"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6、梅前修剪：清除残花、花后枝、过密枝、过密叶丛等。预防梅雨季节溃烂。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六月份</w:t>
            </w:r>
          </w:p>
        </w:tc>
        <w:tc>
          <w:tcPr>
            <w:tcW w:w="8262" w:type="dxa"/>
            <w:noWrap w:val="0"/>
            <w:vAlign w:val="top"/>
          </w:tcPr>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1、排水防涝：确保忌涝植物根部的透气性，开挖排水沟，降低水位，防涝防沤。</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2、梅雨补植：常绿植物需加大土球，打薄枝叶，可参考反季节栽植相关做法。落叶植物仅作春植。</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3、病虫防治：袋蛾、刺蛾、螟蛾、木虱、叶斑病、白粉病、腐烂病多发。</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4、特殊修剪：抓紧晴日实施必要的操作。阴雨天不修剪。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七月份</w:t>
            </w:r>
          </w:p>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八月份</w:t>
            </w:r>
          </w:p>
        </w:tc>
        <w:tc>
          <w:tcPr>
            <w:tcW w:w="8262" w:type="dxa"/>
            <w:noWrap w:val="0"/>
            <w:vAlign w:val="top"/>
          </w:tcPr>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1、浇水抗旱：晨水尽早、夜水尽晚，喷施，降温补水。</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2、抗洪排涝：及时排水。</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3、病虫防治：蓟马、介壳虫、叶螨、袋蛾、刺蛾、螟蛾、木虱多发。</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4、防台工作：事先做好防台修剪。事后做好灾后救治，如扶正、替换、清洁、喷药等工作。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九月份</w:t>
            </w:r>
          </w:p>
        </w:tc>
        <w:tc>
          <w:tcPr>
            <w:tcW w:w="8262" w:type="dxa"/>
            <w:noWrap w:val="0"/>
            <w:vAlign w:val="top"/>
          </w:tcPr>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1、秋稍肥：对发秋稍的植物施用秋稍肥。</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2、秋季补植：常绿植物需加大土球，打薄枝叶，可参考反季节栽植相关做法。落叶植物仅作春植。</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3、其他养护参考七八月份。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十月份</w:t>
            </w:r>
          </w:p>
          <w:p>
            <w:pPr>
              <w:pStyle w:val="341"/>
              <w:spacing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十一月份</w:t>
            </w:r>
          </w:p>
        </w:tc>
        <w:tc>
          <w:tcPr>
            <w:tcW w:w="8262" w:type="dxa"/>
            <w:noWrap w:val="0"/>
            <w:vAlign w:val="top"/>
          </w:tcPr>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1、浇水抗旱：喷施补水，应对秋旱。</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2、病虫防治：袋蛾、刺蛾、螟蛾、木虱、叶斑病多发。</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3、节庆布置：迎国庆，花坛花境布置工作。</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4、养护维修：做好设施养护，油漆，清洗，替换等工作。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235" w:type="dxa"/>
            <w:noWrap w:val="0"/>
            <w:vAlign w:val="center"/>
          </w:tcPr>
          <w:p>
            <w:pPr>
              <w:pStyle w:val="341"/>
              <w:spacing w:before="3" w:line="320" w:lineRule="exact"/>
              <w:ind w:left="133" w:right="125"/>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十二月份</w:t>
            </w:r>
          </w:p>
        </w:tc>
        <w:tc>
          <w:tcPr>
            <w:tcW w:w="8262" w:type="dxa"/>
            <w:noWrap w:val="0"/>
            <w:vAlign w:val="top"/>
          </w:tcPr>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1、病虫防治：做好石灰涂干，喷洒石硫合剂，综合防治。</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2、防冻保护：对不耐寒的植物进行御寒保温防护，元旦前务必完成。</w:t>
            </w:r>
          </w:p>
          <w:p>
            <w:pPr>
              <w:pStyle w:val="341"/>
              <w:spacing w:before="3" w:line="320" w:lineRule="exact"/>
              <w:ind w:left="10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3、抗冻修剪：去除徒长枝、嫩枝。</w:t>
            </w:r>
          </w:p>
        </w:tc>
      </w:tr>
    </w:tbl>
    <w:p>
      <w:pPr>
        <w:pStyle w:val="23"/>
        <w:spacing w:line="360" w:lineRule="exact"/>
        <w:ind w:left="316" w:hanging="316" w:hangingChars="14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四、养护标准</w:t>
      </w:r>
    </w:p>
    <w:p>
      <w:pPr>
        <w:widowControl/>
        <w:autoSpaceDE w:val="0"/>
        <w:autoSpaceDN w:val="0"/>
        <w:adjustRightInd w:val="0"/>
        <w:spacing w:line="420" w:lineRule="atLeast"/>
        <w:ind w:firstLine="408"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8"/>
          <w:sz w:val="22"/>
          <w:szCs w:val="22"/>
          <w:highlight w:val="none"/>
          <w:lang w:val="zh-CN" w:bidi="zh-CN"/>
        </w:rPr>
        <w:t>符合《中华人民共和国城市绿化条例》、《城市绿化工程施工及验收规范》、《园林绿化技术规程》、《温州市园林绿化工程验收标准》（修订）、《温州市园林植物养护技术规程》、</w:t>
      </w:r>
      <w:r>
        <w:rPr>
          <w:rFonts w:hint="eastAsia" w:ascii="新宋体" w:hAnsi="新宋体" w:eastAsia="新宋体" w:cs="新宋体"/>
          <w:color w:val="auto"/>
          <w:sz w:val="22"/>
          <w:szCs w:val="22"/>
          <w:highlight w:val="none"/>
          <w:lang w:val="zh-CN" w:bidi="zh-CN"/>
        </w:rPr>
        <w:t>《温州市城市绿地养护管理标准》</w:t>
      </w:r>
      <w:r>
        <w:rPr>
          <w:rFonts w:hint="eastAsia" w:ascii="新宋体" w:hAnsi="新宋体" w:eastAsia="新宋体" w:cs="新宋体"/>
          <w:color w:val="auto"/>
          <w:spacing w:val="-8"/>
          <w:sz w:val="22"/>
          <w:szCs w:val="22"/>
          <w:highlight w:val="none"/>
          <w:lang w:val="zh-CN" w:bidi="zh-CN"/>
        </w:rPr>
        <w:t>，达到绿化</w:t>
      </w:r>
      <w:r>
        <w:rPr>
          <w:rFonts w:hint="eastAsia" w:ascii="新宋体" w:hAnsi="新宋体" w:eastAsia="新宋体" w:cs="新宋体"/>
          <w:color w:val="auto"/>
          <w:spacing w:val="-3"/>
          <w:sz w:val="22"/>
          <w:szCs w:val="22"/>
          <w:highlight w:val="none"/>
          <w:lang w:val="zh-CN" w:bidi="zh-CN"/>
        </w:rPr>
        <w:t>养护二级标准。</w:t>
      </w:r>
    </w:p>
    <w:p>
      <w:pPr>
        <w:widowControl/>
        <w:autoSpaceDE w:val="0"/>
        <w:autoSpaceDN w:val="0"/>
        <w:adjustRightInd w:val="0"/>
        <w:spacing w:line="42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1）乔木：树冠完整美观，分枝点合适，枝条粗壮，无枯枝死杈；主侧枝分布匀称、数量适宜；内膛不乱，通风透光。行道树树穴有平整盖板或种植地被植物，黄土不裸露，设施完好。</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2）花灌木：适时开花，株形丰满，枝叶茂密，无缺株，花后修剪及时合理。绿篱、色块等修剪及时整齐一致。</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3）地被草坪：外观整齐，边缘线清晰，生长旺盛，草根不裸露，生长季节不枯黄，修剪及时，基本无杂草。</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4）花坛花带：轮廓清晰，整齐美观，色彩艳丽，无残缺，无残花败叶。花卉生长健壮，色彩鲜艳，株行距适宜，花期整齐，图案清晰。</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5）病虫害防治：绿化养护技术措施完善，管理得当，病虫害控制及时，无明显虫害发生。</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2.质量技术要求</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2.1灌溉和排水</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1）排水：严格保持绿地排水通畅，大雨后及时排出局部积水，每株树都要避免雨后根部淹水，避免绿地积水；下暴雨后，要确保排水通畅。</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灌溉：根据土壤“墒情”及时灌溉，夏季浇水时间应在上午7点半前，下午5点半后，冬季上午9点后，下午3点前；高温干旱季节应每隔5d-7d浇透水，其他季节应根据栽植土壤保水性能进行浇灌，保持土壤根部湿润；水量适当，既要浇透不能只湿地皮不湿根，又不可水分过多，以防底土过湿而影响植物根系生长。第二天上午土壤湿度达到“耕性”状态时，立即松土，以切断上部毛细管，减少土表水蒸发。不得出现树木因缺水死亡的现象。</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3）根据季节适时浇水、排水。</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 中耕除草、挑草</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1）树木根部附近土壤要保持疏松，易板结的土壤在蒸腾旺季每月松土一次。在生长旺季，每月松土除草1-2次。中耕除草应选在晴朗或初晴天气，土壤不过分湿润的时期进行。中耕除草以不影响根系生长为限。</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2）人工挑草有利于地被植物的保护，防止杂草与地被争水争肥影响地被健康生长。</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 施肥</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行道树要求每年施肥二次，绿地内各类树木要求一年施肥二次，肥料为复合肥或肥饼，施肥时需通知采购人，以采购人验收为准；改善土壤理化性状，保持土壤疏松。不出现因缺肥造成树木产生病害。(包工包料)</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2.4病虫害防治</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1）对园林植物为害及普遍又严重的“五小、二病”加强防治。五小指：疥虫、蚜虫、粉虱、蓟马、叶螨；二病指：病毒病、线虫病、还应该对天牛以及其他病害进行防治。</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2）综合防治，以防为主；病虫害危害控制在以不影响观赏效果的范围之内。其中食叶性害虫危害的叶片，每株不超过10%；刺吸式害虫危害的叶片，每株不超过15%；无蛀干性害虫的株树在2%一下。</w:t>
      </w:r>
      <w:r>
        <w:rPr>
          <w:rFonts w:hint="eastAsia" w:ascii="新宋体" w:hAnsi="新宋体" w:eastAsia="新宋体" w:cs="新宋体"/>
          <w:color w:val="auto"/>
          <w:sz w:val="22"/>
          <w:szCs w:val="22"/>
          <w:highlight w:val="none"/>
          <w:lang w:val="zh-CN" w:bidi="zh-CN"/>
        </w:rPr>
        <w:t>（</w:t>
      </w:r>
      <w:r>
        <w:rPr>
          <w:rFonts w:hint="eastAsia" w:ascii="新宋体" w:hAnsi="新宋体" w:eastAsia="新宋体" w:cs="新宋体"/>
          <w:color w:val="auto"/>
          <w:spacing w:val="-3"/>
          <w:sz w:val="22"/>
          <w:szCs w:val="22"/>
          <w:highlight w:val="none"/>
          <w:lang w:val="zh-CN" w:bidi="zh-CN"/>
        </w:rPr>
        <w:t>需在人流量较少的时候进行施药</w:t>
      </w:r>
      <w:r>
        <w:rPr>
          <w:rFonts w:hint="eastAsia" w:ascii="新宋体" w:hAnsi="新宋体" w:eastAsia="新宋体" w:cs="新宋体"/>
          <w:color w:val="auto"/>
          <w:sz w:val="22"/>
          <w:szCs w:val="22"/>
          <w:highlight w:val="none"/>
          <w:lang w:val="zh-CN" w:bidi="zh-CN"/>
        </w:rPr>
        <w:t>）</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3）所有树木冬季必须刷白，及时防治病虫害。发现枯枝、死枝必须24小时处理完毕；对枯死的树木应连同根部在24小时内挖除，并在1周内补种完毕。</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 配备专职植保员，应每天检查病虫害发生情况，发现病虫害应在2天内治理完毕，并做好病虫害防治工作台账，要求树木常年无明显病虫害。</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2.5修剪</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bCs/>
          <w:color w:val="auto"/>
          <w:sz w:val="22"/>
          <w:szCs w:val="22"/>
          <w:highlight w:val="none"/>
        </w:rPr>
        <w:t>乔木类主要修除病虫害枝，扭伤枝以及枯烂枝。主梢明显的乔木应保护顶芽，孤植树应保留下枝，保持树冠丰满，对于顶部或冠幅接触到电缆线的乔木在合理情况下进行控高修剪；</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2）灌木类修剪遵循“先上后下，先外后内，去弱留强，去老留新”的原则进行，修剪促使枝叶茂盛，分布匀称；</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3）色块应及时整修，保持和达到设计要求；如海桐等。</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4）一年至少对树木保持三次以上大型修剪。树木要求无徒长枝、病虫枝、过密枝、枯枝、伤损枝、无死树木现象。</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5）草坪内草高不得超过8cm，常绿草高不得超过6cm，草种基本纯，无杂草，草坪覆盖率应大于95%，无孔秃现象。</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6）整形植物必须技术修剪保持形态，悬垂植物生长健壮，整体效果好。采用修剪等特殊手法，控制高度，植物高度不得影响交通视线。</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 剥芽</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对香樟等树种在春季应及时剥去主干上根基部的萌蘖条；</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2.7 防寒、防冻措施</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寒流来临前应采取根基培土、主干、和根颈包扎等措施，防寒工作宜在常规寒流来临前完成，如遇有大雪及时清除树冠积雪，但不要损伤树冠。</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2.8 抗台风及紧急情况抢救措施</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1）高大乔木在台风来临前，应以预防为主的原则，对树木存在根浅、迎风、树冠大、树枝过密以及立地条件差等，要根据实际情况分别采取绑扎、加土、扶正、疏枝、加桩等几项综合措施。</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2）绑扎宜采用8号铅丝或绳索绑扎树干，绑扎点应衬垫橡皮，不得损伤树枝；另一端必须固定；也可多株串联起来再行固定。</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3）加土：树穴内的土壤，出现低洼和积水现象时，必须在台风来临前加土，使根颈周围的土保持馒头状。对枝叶茂密、树冠庞大的树木经行疏稀修剪；</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4）如果在台风暴雨中树木倒伏，应先强行修剪疏冠，在土壤耕性状态时扶起重栽，重栽后必须采取有效的固定措施如用三角撑等。</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5）台风过后影响安全、畅通的树木要求在12小时内处理完毕，其余受损树木等应在三天内处理完毕。</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 环境卫生</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要求绿地整洁，草坪与树穴内无杂草，不得有石块、果壳、纸屑及其他垃圾，树木无张贴、无钉子、铁丝等破坏树木生长的东西。修剪留下的树枝及草末要求在当天必须清理完毕。</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2.10 树木成活率</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新栽树木成活率在95%以上；原有树木保存率在100%，无死株、无缺株（人力不可抗拒的自然灾害除外）。由自身养护及防护措施不到位造成树木死亡率超过采购人标准，损失的费用由承包方承担（如补植，树木品种规格应一致，胸径误差≤20%）。如果非法侵占或砍伐树木，要及时向委托方汇报，由委托方配合承包方追查，补植由承包方负责。</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2.11 补植</w:t>
      </w:r>
    </w:p>
    <w:p>
      <w:pPr>
        <w:widowControl/>
        <w:autoSpaceDE w:val="0"/>
        <w:autoSpaceDN w:val="0"/>
        <w:adjustRightInd w:val="0"/>
        <w:spacing w:line="460" w:lineRule="atLeast"/>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Cs/>
          <w:color w:val="auto"/>
          <w:sz w:val="22"/>
          <w:szCs w:val="22"/>
          <w:highlight w:val="none"/>
        </w:rPr>
        <w:t xml:space="preserve"> 除了自然灾害等不可抗力因素导致的树木损坏外，</w:t>
      </w:r>
      <w:r>
        <w:rPr>
          <w:rFonts w:hint="eastAsia" w:ascii="新宋体" w:hAnsi="新宋体" w:eastAsia="新宋体" w:cs="新宋体"/>
          <w:bCs/>
          <w:color w:val="auto"/>
          <w:sz w:val="22"/>
          <w:szCs w:val="22"/>
          <w:highlight w:val="none"/>
          <w:lang w:bidi="zh-CN"/>
        </w:rPr>
        <w:t>遇到因人为或</w:t>
      </w:r>
      <w:r>
        <w:rPr>
          <w:rFonts w:hint="eastAsia" w:ascii="新宋体" w:hAnsi="新宋体" w:eastAsia="新宋体" w:cs="新宋体"/>
          <w:bCs/>
          <w:color w:val="auto"/>
          <w:sz w:val="22"/>
          <w:szCs w:val="22"/>
          <w:highlight w:val="none"/>
        </w:rPr>
        <w:t>其它因素造成的树木损坏，必须无条件在采购人规定的时间内补种完毕，包括因重大活动造成的损坏，中标前现场原有损坏或缺株死株，无条件按采购人要求完成补种并保活，否则采购人有权自行进行补种，由此产生的费用在支付给供应商的合同款中扣除。对于灌木绿篱补植原则上按照同一品种、同一规格补植，对于无法达到同一规格的苗木，必须做到密植，且在感官上要达到统一性。对于行道树补植，按照市对区绿化养护考核标准，行道树补植在同一品种的前提下，苗木胸径一般不小于原规格，且在一个路段补植需要做到统一性。请投标供应商报价时充分考虑补植养护费用。</w:t>
      </w:r>
    </w:p>
    <w:p>
      <w:pPr>
        <w:widowControl/>
        <w:numPr>
          <w:ins w:id="0" w:author="微软用户" w:date="2017-01-18T15:31:00Z"/>
        </w:numPr>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2.12 绿化带附属设施</w:t>
      </w:r>
    </w:p>
    <w:p>
      <w:pPr>
        <w:widowControl/>
        <w:numPr>
          <w:ins w:id="1" w:author="微软用户" w:date="2017-01-18T15:31:00Z"/>
        </w:numPr>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委托方对绿化带附属设施完好情况进行登记管理，在绿化养护移交后，若发现绿化带附属设施出现新的损坏的，承包方需对设施进行修复，修复费用由承包方负责。</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2.13 及时向委托方反映</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对损坏绿化、侵占绿地的现象应及时予以制止，遇到严重的破坏树木行为应及时上报委托方及执法部门，并做好配合。</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2.14 其他任务要求：</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因工作需要，委托方临时向承包方提出植、补、移树、灌、乔木的要求，承包方应无条件全力配合，按照委托方提出标准及要求完成任务，不得无故拖延，费用包含在投标总价中，不再另行增加，各供应商在报价时须综合考虑风险。</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2）凡遇防汛抗台、防雪抗冻、重大活动和节日、重大检查或突发事件检查时，承包方应及时组织相关力量做好无条件全力配合工作，费用包含在投标总价中，不再另行增加，各供应商在报价时须综合考虑风险。</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3）承包方应根据委托方要求在指定地段完成临时性的花卉摆放（经费由承包方向委托方另外清算）。</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 管理及作业要求</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3.1承包方应建立完善的管理制度及《质量考核奖惩规定》；并建立健全的管理制度及档案资料（包括对树种、数量、更换等情况及时记录入档）；</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 承包方必须信守承诺，认真落实具有相应的技术固定养护人员；</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 承包方应认真落实具有相应技术的固定养护人员；每位上岗员工在上岗工作前，应接受过绿化技术普及培训，安全教育，包括道路交通安全教育，机械操作规程教育，消防教育等，明确每项养护工作的质量要求，并按规定操作；</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 养护人员必须挂牌、佩戴（GPS）上岗，作业期内统一穿着反光安全工作服，工作鞋，不能穿拖鞋上岗操作；</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3.5 承包方应制定各类应急措施，如发生车损、土方倾倒、树木被台风吹倒等情况，在半小时内赶到现场，拍照后汇报委托方，并立即处置现场，尽快恢复绿化面貌；</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 每天巡视养护路段，遇有树木倒伏等突发情况，及时赶到现场作业，尽快恢复绿化面貌；</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3.7 各类农药专门放置，并安排专人保管，专人使用；</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3.8 机械设备的操作者，必须持有专门的上岗证书，不得擅自违章操作；</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 制定安全生产奖罚制度，对违反制度的工作人员，根据情节轻重予以教育和处罚；</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3.10 实行挂牌施工，标明施工范围、内容、开竣工日期、施工单位、项目经理、监督电话、牌子置于施工范围明显处，以便监督；开展文明施工，职业道德教育，做到无野蛮施工，无违章施工和无重大安全伤亡事故；</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3.11 施工现场的材料堆放整齐有序，施工结束后做到工完场地清，如割完草皮后及时将草屑清理干净；</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3.12 绿化维护及保洁所用耗材、材料装备设施；水、电的接入及费用；人员食宿、安全等均由承包单位自行负责解决，包含在投标总价中；</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3.13 在合同执行期内，投标人应遵守法律法规及其他有关规定，并接受采购方及有关部门的监督、检查和管理。</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3.14 项目负责人到岗率应达90%以上，平常巡查管理由专业技工负责。</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3.15 养护用水不得使用道路周边河渠水，请投标供应商报价时充分考虑养护用水费用。</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3.16 本项目不得转包、分包。</w:t>
      </w:r>
    </w:p>
    <w:p>
      <w:pPr>
        <w:pStyle w:val="23"/>
        <w:spacing w:line="360" w:lineRule="exact"/>
        <w:ind w:left="316" w:hanging="316" w:hangingChars="14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四、其他要求及说明</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投标报价</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r>
        <w:rPr>
          <w:rFonts w:hint="eastAsia" w:ascii="新宋体" w:hAnsi="新宋体" w:eastAsia="新宋体" w:cs="新宋体"/>
          <w:color w:val="auto"/>
          <w:sz w:val="22"/>
          <w:szCs w:val="22"/>
          <w:highlight w:val="none"/>
          <w:lang w:val="zh-CN" w:bidi="zh-CN"/>
        </w:rPr>
        <w:t>本次招标实行年度固定总价承包，工程承包总价必须包括投标人在承包区域内提供绿化养护、保洁及补种相关服务所需的一切劳务、材料、设备、配件、备件、损耗（包括水、电等）、仓储、运输（包括垃圾外运）、维护、税费、保险、利润、完成合同所需的一切本身和不可或缺的所有工作开支、政策性文件规定及合同包含的所有风险、责任等各项全部费用并承担一切风险责任。</w:t>
      </w:r>
      <w:r>
        <w:rPr>
          <w:rFonts w:hint="eastAsia" w:ascii="新宋体" w:hAnsi="新宋体" w:eastAsia="新宋体" w:cs="新宋体"/>
          <w:color w:val="auto"/>
          <w:spacing w:val="-3"/>
          <w:sz w:val="22"/>
          <w:szCs w:val="22"/>
          <w:highlight w:val="none"/>
          <w:lang w:val="zh-CN" w:bidi="zh-CN"/>
        </w:rPr>
        <w:t>除发生下列因素可调整合同价外，不得以任何其他理由调整任何费用。</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（1）委托方提出的承包区域面积变更的。</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发生不可抗力的因素（如台风、冰雹等）造成植株、草皮等无法成活给承包方带来直接损失的费用，经鉴定核准，由委托方酌情予以一定补偿。但属于承包方可以预见、预防，而承包方预防不力所造成的损失，不予赔偿，其经济损失由承包方承担。</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1.2 投标人认为为完成本招标文件规定的工程承包内容所需发生的直接成本、间接成本、利润、税金、政策性文件规定的费用、技术措施费、机械进出场费、原材料价格变化风险等一切费用均应计入投标报价；凡未列入的，将被认为均已包含在投标总价中，今后不得以任何理由追加或调整。       </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u w:val="single"/>
        </w:rPr>
        <w:t>注：供应商报价不得低于以下报价要求，低于或不响应的投标文件作无效标处理</w:t>
      </w:r>
      <w:r>
        <w:rPr>
          <w:rFonts w:hint="eastAsia" w:ascii="新宋体" w:hAnsi="新宋体" w:eastAsia="新宋体" w:cs="新宋体"/>
          <w:b/>
          <w:bCs/>
          <w:color w:val="auto"/>
          <w:sz w:val="22"/>
          <w:szCs w:val="22"/>
          <w:highlight w:val="none"/>
        </w:rPr>
        <w: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5" w:type="dxa"/>
            <w:noWrap w:val="0"/>
            <w:vAlign w:val="center"/>
          </w:tcPr>
          <w:p>
            <w:pPr>
              <w:widowControl/>
              <w:autoSpaceDE w:val="0"/>
              <w:autoSpaceDN w:val="0"/>
              <w:adjustRightInd w:val="0"/>
              <w:spacing w:line="440" w:lineRule="exact"/>
              <w:jc w:val="center"/>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8815" w:type="dxa"/>
            <w:noWrap w:val="0"/>
            <w:vAlign w:val="center"/>
          </w:tcPr>
          <w:p>
            <w:pPr>
              <w:widowControl/>
              <w:autoSpaceDE w:val="0"/>
              <w:autoSpaceDN w:val="0"/>
              <w:adjustRightInd w:val="0"/>
              <w:spacing w:line="440" w:lineRule="exact"/>
              <w:jc w:val="center"/>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865" w:type="dxa"/>
            <w:noWrap w:val="0"/>
            <w:vAlign w:val="top"/>
          </w:tcPr>
          <w:p>
            <w:pPr>
              <w:widowControl/>
              <w:numPr>
                <w:ilvl w:val="0"/>
                <w:numId w:val="8"/>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highlight w:val="none"/>
              </w:rPr>
            </w:pPr>
          </w:p>
        </w:tc>
        <w:tc>
          <w:tcPr>
            <w:tcW w:w="8815" w:type="dxa"/>
            <w:noWrap w:val="0"/>
            <w:vAlign w:val="top"/>
          </w:tcPr>
          <w:p>
            <w:pPr>
              <w:widowControl/>
              <w:autoSpaceDE w:val="0"/>
              <w:autoSpaceDN w:val="0"/>
              <w:adjustRightInd w:val="0"/>
              <w:spacing w:line="288" w:lineRule="auto"/>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结合本项目具体情况，要求本次投标供应商员工基本工资最低不得低于温州市市区本年度最低工资标准的110%（市区最低月工资标准</w:t>
            </w:r>
            <w:r>
              <w:rPr>
                <w:rFonts w:hint="eastAsia" w:ascii="新宋体" w:hAnsi="新宋体" w:eastAsia="新宋体" w:cs="新宋体"/>
                <w:color w:val="auto"/>
                <w:sz w:val="22"/>
                <w:szCs w:val="22"/>
                <w:highlight w:val="none"/>
                <w:lang w:val="en-US" w:eastAsia="zh-CN"/>
              </w:rPr>
              <w:t>2280</w:t>
            </w:r>
            <w:r>
              <w:rPr>
                <w:rFonts w:hint="eastAsia" w:ascii="新宋体" w:hAnsi="新宋体" w:eastAsia="新宋体" w:cs="新宋体"/>
                <w:color w:val="auto"/>
                <w:sz w:val="22"/>
                <w:szCs w:val="22"/>
                <w:highlight w:val="none"/>
              </w:rPr>
              <w:t>元/月，第二年续签的，根据最新的市区最低月工资标准进行调整）（最低工资不包括下列四项收入：延长工作时间的工资；中班、夜班、高温、低温、有毒有害等特殊工作环境、条件下的津贴；贴补伙食、住房等支付给劳动者的非货币性收入；法律、法规和国家规定的劳动者应当享受的福利待遇等）。本项目最低工资标准为每人每月</w:t>
            </w:r>
            <w:r>
              <w:rPr>
                <w:rFonts w:hint="eastAsia" w:ascii="新宋体" w:hAnsi="新宋体" w:eastAsia="新宋体" w:cs="新宋体"/>
                <w:color w:val="auto"/>
                <w:sz w:val="22"/>
                <w:szCs w:val="22"/>
                <w:highlight w:val="none"/>
                <w:lang w:val="en-US" w:eastAsia="zh-CN"/>
              </w:rPr>
              <w:t>2280</w:t>
            </w:r>
            <w:r>
              <w:rPr>
                <w:rFonts w:hint="eastAsia" w:ascii="新宋体" w:hAnsi="新宋体" w:eastAsia="新宋体" w:cs="新宋体"/>
                <w:color w:val="auto"/>
                <w:sz w:val="22"/>
                <w:szCs w:val="22"/>
                <w:highlight w:val="none"/>
              </w:rPr>
              <w:t>*110%=</w:t>
            </w:r>
            <w:r>
              <w:rPr>
                <w:rFonts w:hint="eastAsia" w:ascii="新宋体" w:hAnsi="新宋体" w:eastAsia="新宋体" w:cs="新宋体"/>
                <w:color w:val="auto"/>
                <w:sz w:val="22"/>
                <w:szCs w:val="22"/>
                <w:highlight w:val="none"/>
                <w:lang w:val="en-US" w:eastAsia="zh-CN"/>
              </w:rPr>
              <w:t>2508</w:t>
            </w:r>
            <w:r>
              <w:rPr>
                <w:rFonts w:hint="eastAsia" w:ascii="新宋体" w:hAnsi="新宋体" w:eastAsia="新宋体" w:cs="新宋体"/>
                <w:color w:val="auto"/>
                <w:sz w:val="22"/>
                <w:szCs w:val="22"/>
                <w:highlight w:val="none"/>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65" w:type="dxa"/>
            <w:noWrap w:val="0"/>
            <w:vAlign w:val="top"/>
          </w:tcPr>
          <w:p>
            <w:pPr>
              <w:widowControl/>
              <w:numPr>
                <w:ilvl w:val="0"/>
                <w:numId w:val="8"/>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highlight w:val="none"/>
              </w:rPr>
            </w:pPr>
          </w:p>
        </w:tc>
        <w:tc>
          <w:tcPr>
            <w:tcW w:w="8815" w:type="dxa"/>
            <w:noWrap w:val="0"/>
            <w:vAlign w:val="top"/>
          </w:tcPr>
          <w:p>
            <w:pPr>
              <w:widowControl/>
              <w:autoSpaceDE w:val="0"/>
              <w:autoSpaceDN w:val="0"/>
              <w:adjustRightInd w:val="0"/>
              <w:spacing w:line="35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温州市人力资源和社会保障局《关于公布市区20</w:t>
            </w:r>
            <w:r>
              <w:rPr>
                <w:rFonts w:hint="eastAsia" w:ascii="新宋体" w:hAnsi="新宋体" w:eastAsia="新宋体" w:cs="新宋体"/>
                <w:color w:val="auto"/>
                <w:sz w:val="22"/>
                <w:szCs w:val="22"/>
                <w:highlight w:val="none"/>
                <w:lang w:val="en-US" w:eastAsia="zh-CN"/>
              </w:rPr>
              <w:t>22</w:t>
            </w:r>
            <w:r>
              <w:rPr>
                <w:rFonts w:hint="eastAsia" w:ascii="新宋体" w:hAnsi="新宋体" w:eastAsia="新宋体" w:cs="新宋体"/>
                <w:color w:val="auto"/>
                <w:sz w:val="22"/>
                <w:szCs w:val="22"/>
                <w:highlight w:val="none"/>
              </w:rPr>
              <w:t>年社保年度养老、 工伤、失业保险缴费标准的通知》以及《关于调整企业职工基本养老保险灵活就业参保人员缴纳基数确定办法的通知》文件标准计入，包括养老保险、工伤保险、生育保险、失业保险、医疗保险。注：</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养老保险基数为3957，单位须缴纳的比例为14%，即</w:t>
            </w:r>
            <w:r>
              <w:rPr>
                <w:rFonts w:hint="eastAsia" w:ascii="新宋体" w:hAnsi="新宋体" w:eastAsia="新宋体" w:cs="新宋体"/>
                <w:color w:val="auto"/>
                <w:sz w:val="22"/>
                <w:szCs w:val="22"/>
                <w:highlight w:val="none"/>
                <w:lang w:val="en-US" w:eastAsia="zh-CN"/>
              </w:rPr>
              <w:t>553.98</w:t>
            </w:r>
            <w:r>
              <w:rPr>
                <w:rFonts w:hint="eastAsia" w:ascii="新宋体" w:hAnsi="新宋体" w:eastAsia="新宋体" w:cs="新宋体"/>
                <w:color w:val="auto"/>
                <w:sz w:val="22"/>
                <w:szCs w:val="22"/>
                <w:highlight w:val="none"/>
              </w:rPr>
              <w:t>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工伤保险基数为3957，单位须缴纳的比例为0.20%，即</w:t>
            </w:r>
            <w:r>
              <w:rPr>
                <w:rFonts w:hint="eastAsia" w:ascii="新宋体" w:hAnsi="新宋体" w:eastAsia="新宋体" w:cs="新宋体"/>
                <w:color w:val="auto"/>
                <w:sz w:val="22"/>
                <w:szCs w:val="22"/>
                <w:highlight w:val="none"/>
                <w:lang w:val="en-US" w:eastAsia="zh-CN"/>
              </w:rPr>
              <w:t>7.914</w:t>
            </w:r>
            <w:r>
              <w:rPr>
                <w:rFonts w:hint="eastAsia" w:ascii="新宋体" w:hAnsi="新宋体" w:eastAsia="新宋体" w:cs="新宋体"/>
                <w:color w:val="auto"/>
                <w:sz w:val="22"/>
                <w:szCs w:val="22"/>
                <w:highlight w:val="none"/>
              </w:rPr>
              <w:t>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生育保险基数为3957，单位须缴纳的比例为1%，即</w:t>
            </w:r>
            <w:r>
              <w:rPr>
                <w:rFonts w:hint="eastAsia" w:ascii="新宋体" w:hAnsi="新宋体" w:eastAsia="新宋体" w:cs="新宋体"/>
                <w:color w:val="auto"/>
                <w:sz w:val="22"/>
                <w:szCs w:val="22"/>
                <w:highlight w:val="none"/>
                <w:lang w:val="en-US" w:eastAsia="zh-CN"/>
              </w:rPr>
              <w:t>39.57</w:t>
            </w:r>
            <w:r>
              <w:rPr>
                <w:rFonts w:hint="eastAsia" w:ascii="新宋体" w:hAnsi="新宋体" w:eastAsia="新宋体" w:cs="新宋体"/>
                <w:color w:val="auto"/>
                <w:sz w:val="22"/>
                <w:szCs w:val="22"/>
                <w:highlight w:val="none"/>
              </w:rPr>
              <w:t>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失业保险基数为3957，单位须缴纳的比例为0.</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0%，即</w:t>
            </w:r>
            <w:r>
              <w:rPr>
                <w:rFonts w:hint="eastAsia" w:ascii="新宋体" w:hAnsi="新宋体" w:eastAsia="新宋体" w:cs="新宋体"/>
                <w:color w:val="auto"/>
                <w:sz w:val="22"/>
                <w:szCs w:val="22"/>
                <w:highlight w:val="none"/>
                <w:lang w:val="en-US" w:eastAsia="zh-CN"/>
              </w:rPr>
              <w:t>19.78</w:t>
            </w:r>
            <w:r>
              <w:rPr>
                <w:rFonts w:hint="eastAsia" w:ascii="新宋体" w:hAnsi="新宋体" w:eastAsia="新宋体" w:cs="新宋体"/>
                <w:color w:val="auto"/>
                <w:sz w:val="22"/>
                <w:szCs w:val="22"/>
                <w:highlight w:val="none"/>
              </w:rPr>
              <w:t>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医疗保险包括：职工医保一档基数为5536，单位须缴纳的比例为5.2%，即287.87元；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职工门诊统筹基数为5536，单位须缴纳的比例为3%，即166.08元。</w:t>
            </w:r>
          </w:p>
          <w:p>
            <w:pPr>
              <w:widowControl/>
              <w:autoSpaceDE w:val="0"/>
              <w:autoSpaceDN w:val="0"/>
              <w:adjustRightInd w:val="0"/>
              <w:spacing w:line="440" w:lineRule="exact"/>
              <w:textAlignment w:val="bottom"/>
              <w:rPr>
                <w:rFonts w:hint="eastAsia" w:ascii="新宋体" w:hAnsi="新宋体" w:eastAsia="新宋体" w:cs="新宋体"/>
                <w:b/>
                <w:color w:val="auto"/>
                <w:sz w:val="22"/>
                <w:szCs w:val="22"/>
                <w:highlight w:val="none"/>
                <w:u w:val="single"/>
              </w:rPr>
            </w:pPr>
            <w:r>
              <w:rPr>
                <w:rFonts w:hint="eastAsia" w:ascii="新宋体" w:hAnsi="新宋体" w:eastAsia="新宋体" w:cs="新宋体"/>
                <w:color w:val="auto"/>
                <w:sz w:val="22"/>
                <w:szCs w:val="22"/>
                <w:highlight w:val="none"/>
              </w:rPr>
              <w:t>合计：</w:t>
            </w:r>
            <w:r>
              <w:rPr>
                <w:rFonts w:hint="eastAsia" w:ascii="新宋体" w:hAnsi="新宋体" w:eastAsia="新宋体" w:cs="新宋体"/>
                <w:color w:val="auto"/>
                <w:sz w:val="22"/>
                <w:szCs w:val="22"/>
                <w:highlight w:val="none"/>
                <w:lang w:val="en-US" w:eastAsia="zh-CN"/>
              </w:rPr>
              <w:t>1075.19</w:t>
            </w:r>
            <w:r>
              <w:rPr>
                <w:rFonts w:hint="eastAsia" w:ascii="新宋体" w:hAnsi="新宋体" w:eastAsia="新宋体" w:cs="新宋体"/>
                <w:color w:val="auto"/>
                <w:sz w:val="22"/>
                <w:szCs w:val="22"/>
                <w:highlight w:val="none"/>
              </w:rPr>
              <w:t>元/人/月，每人每月社会保险报价不低于合计金额。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65" w:type="dxa"/>
            <w:noWrap w:val="0"/>
            <w:vAlign w:val="top"/>
          </w:tcPr>
          <w:p>
            <w:pPr>
              <w:widowControl/>
              <w:numPr>
                <w:ilvl w:val="0"/>
                <w:numId w:val="8"/>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highlight w:val="none"/>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节假日补贴最少按年度11天计取，要求按最低发放工资标准的三倍发放节假日补贴。本项目要求每人每年不少于3355元人民币。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65" w:type="dxa"/>
            <w:noWrap w:val="0"/>
            <w:vAlign w:val="top"/>
          </w:tcPr>
          <w:p>
            <w:pPr>
              <w:widowControl/>
              <w:numPr>
                <w:ilvl w:val="0"/>
                <w:numId w:val="8"/>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highlight w:val="none"/>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高温补贴共4个月（六、七、八、九共四月，逐月发放，一线工人每人每月不低于300元人民币）按相关规定发放。本项目要求每人每年不少于1200元人民币。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65" w:type="dxa"/>
            <w:noWrap w:val="0"/>
            <w:vAlign w:val="top"/>
          </w:tcPr>
          <w:p>
            <w:pPr>
              <w:widowControl/>
              <w:numPr>
                <w:ilvl w:val="0"/>
                <w:numId w:val="8"/>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highlight w:val="none"/>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特殊岗位津贴发放标准按10元/每人/每出勤日。本项目要求每人每年不少于3650元人民币。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5" w:type="dxa"/>
            <w:noWrap w:val="0"/>
            <w:vAlign w:val="top"/>
          </w:tcPr>
          <w:p>
            <w:pPr>
              <w:widowControl/>
              <w:numPr>
                <w:ilvl w:val="0"/>
                <w:numId w:val="8"/>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highlight w:val="none"/>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中标供应商须为职工办理职工意外伤害保险，不低于300元/人。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65" w:type="dxa"/>
            <w:noWrap w:val="0"/>
            <w:vAlign w:val="top"/>
          </w:tcPr>
          <w:p>
            <w:pPr>
              <w:widowControl/>
              <w:numPr>
                <w:ilvl w:val="0"/>
                <w:numId w:val="8"/>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highlight w:val="none"/>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税金不得低于投标总价的8%。</w:t>
            </w:r>
          </w:p>
        </w:tc>
      </w:tr>
    </w:tbl>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 供应商的报价应包括为完成本项目服务可能发生的全部费用及供应商的利润和应交纳的税金等。供应商对合同内容的费用、质量、安全、文明服务等实行全面承包。</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 承包期限</w:t>
      </w:r>
    </w:p>
    <w:p>
      <w:pPr>
        <w:widowControl/>
        <w:autoSpaceDE w:val="0"/>
        <w:autoSpaceDN w:val="0"/>
        <w:adjustRightInd w:val="0"/>
        <w:spacing w:line="460" w:lineRule="atLeast"/>
        <w:ind w:firstLine="331" w:firstLineChars="150"/>
        <w:textAlignment w:val="bottom"/>
        <w:rPr>
          <w:rFonts w:hint="default"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rPr>
        <w:t>本项目服务期限为一年</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 付款方式</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在合同生效以及具备实施条件后15日内（同时中标供应商提供合同金额</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的预付款担保函），采购人向中标供应商支付合同金额</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的预付款。</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月支付金额=（中标金额-预付款）/12-当月考核扣罚金额，按月支付给供应商承包服务费(根据考核结果及合同，扣除该月扣罚金额)。采购人于下月15日前凭中标供应商开具的税务发票（遇节假日顺延，税金由中标供应商承担）、工人工资册（内容包括工人姓名、工资、身份证、考勤记录、社保证明等信息）、机械化车辆运行记录和人员作业记录支付本月服务费，若发现有未交社保的，采购人将在支付时扣除该部分人员企业承担的社保费用，承包到期后根据考核结果支付剩余应付款项。</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 其他要求及说明</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 开标前，投标人应自行对招标区域现状情况做实地勘察测量，本项目扣除预备金和奖励金后总价包干，供应商自行承担报价风险。</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 承包期间如遇政策原因最低工资调整，合同价不调整；投标人应在投标报价时充分考虑该因素。</w:t>
      </w:r>
    </w:p>
    <w:p>
      <w:pPr>
        <w:widowControl/>
        <w:autoSpaceDE w:val="0"/>
        <w:autoSpaceDN w:val="0"/>
        <w:adjustRightInd w:val="0"/>
        <w:spacing w:line="460" w:lineRule="atLeast"/>
        <w:ind w:firstLine="330" w:firstLineChars="15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4.3 </w:t>
      </w:r>
      <w:r>
        <w:rPr>
          <w:rFonts w:hint="eastAsia" w:ascii="新宋体" w:hAnsi="新宋体" w:eastAsia="新宋体" w:cs="新宋体"/>
          <w:color w:val="auto"/>
          <w:sz w:val="22"/>
          <w:szCs w:val="22"/>
          <w:highlight w:val="none"/>
          <w:u w:val="single"/>
        </w:rPr>
        <w:t>▲本项目承包期内，中标人必须对承包区域内有死株现象发生的苗木及时进行补种。承包期满后，采购人对养护区域内所有苗木进行移交验收，苗木数量必须与本招标文件工程量清单与补种数量之和相一致，若少于招标文件工程量清单与补种数量之和，则在支付最后一月费用之前必须进行补种，否则扣除最后一月服务费。</w:t>
      </w:r>
    </w:p>
    <w:p>
      <w:pPr>
        <w:pStyle w:val="23"/>
        <w:spacing w:line="400" w:lineRule="exact"/>
        <w:ind w:left="316" w:hanging="316" w:hangingChars="14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五、设备及人员要求</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1、人员要求</w:t>
      </w:r>
    </w:p>
    <w:p>
      <w:pPr>
        <w:spacing w:line="460" w:lineRule="exact"/>
        <w:ind w:firstLine="442" w:firstLineChars="200"/>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u w:val="single"/>
        </w:rPr>
        <w:t>▲供应商投入服务人员不少于16名（投标商须按照本项目绿化养护的特点，成立专业项目组，项目岗位组必须设项目负责人不少于1人、巡查车驾驶员不少于1人、洒水车驾驶员不少于1人、</w:t>
      </w:r>
      <w:r>
        <w:rPr>
          <w:rFonts w:hint="eastAsia" w:ascii="新宋体" w:hAnsi="新宋体" w:eastAsia="新宋体" w:cs="新宋体"/>
          <w:b/>
          <w:bCs/>
          <w:color w:val="auto"/>
          <w:sz w:val="22"/>
          <w:szCs w:val="22"/>
          <w:highlight w:val="none"/>
          <w:u w:val="single"/>
          <w:lang w:val="en-US" w:eastAsia="zh-CN"/>
        </w:rPr>
        <w:t>登高车驾驶员不少于1人（可由洒水车驾驶员兼任）</w:t>
      </w:r>
      <w:r>
        <w:rPr>
          <w:rFonts w:hint="eastAsia" w:ascii="新宋体" w:hAnsi="新宋体" w:eastAsia="新宋体" w:cs="新宋体"/>
          <w:b/>
          <w:bCs/>
          <w:color w:val="auto"/>
          <w:sz w:val="22"/>
          <w:szCs w:val="22"/>
          <w:highlight w:val="none"/>
          <w:u w:val="single"/>
          <w:lang w:eastAsia="zh-CN"/>
        </w:rPr>
        <w:t>、</w:t>
      </w:r>
      <w:r>
        <w:rPr>
          <w:rFonts w:hint="eastAsia" w:ascii="新宋体" w:hAnsi="新宋体" w:eastAsia="新宋体" w:cs="新宋体"/>
          <w:b/>
          <w:bCs/>
          <w:color w:val="auto"/>
          <w:sz w:val="22"/>
          <w:szCs w:val="22"/>
          <w:highlight w:val="none"/>
          <w:u w:val="single"/>
        </w:rPr>
        <w:t>绿化养护人员不少于13人）</w:t>
      </w:r>
      <w:r>
        <w:rPr>
          <w:rFonts w:hint="eastAsia" w:ascii="新宋体" w:hAnsi="新宋体" w:eastAsia="新宋体" w:cs="新宋体"/>
          <w:color w:val="auto"/>
          <w:sz w:val="22"/>
          <w:szCs w:val="22"/>
          <w:highlight w:val="none"/>
        </w:rPr>
        <w:t>。</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w:t>
      </w: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zh-CN"/>
        </w:rPr>
        <w:t>）</w:t>
      </w:r>
      <w:r>
        <w:rPr>
          <w:rFonts w:hint="eastAsia" w:ascii="新宋体" w:hAnsi="新宋体" w:eastAsia="新宋体" w:cs="新宋体"/>
          <w:color w:val="auto"/>
          <w:sz w:val="22"/>
          <w:szCs w:val="22"/>
          <w:highlight w:val="none"/>
        </w:rPr>
        <w:t>如投标供应商提供的本项目人员达不到招标文件要求的，按无效投标处理。</w:t>
      </w:r>
    </w:p>
    <w:p>
      <w:pPr>
        <w:spacing w:line="460" w:lineRule="exact"/>
        <w:ind w:firstLine="440" w:firstLineChars="200"/>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（2）中标供应商在承包期内，未经采购单位的同意，不得变换项目负责人，如若不能兑现，视同违约处理。绿化养护人员须具有丰富工作经验的技术人员。</w:t>
      </w:r>
    </w:p>
    <w:p>
      <w:pPr>
        <w:spacing w:line="460" w:lineRule="exact"/>
        <w:ind w:firstLine="440" w:firstLineChars="200"/>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3）建立日常巡查制度，巡查人员每天巡查至少一次，巡查病虫害、冻害、水涝、干旱、日灼等情况，一经发现立即启动应对措施，并填写《园林绿地日常巡查表》(巡查表可参照《温州市园林绿化养护管理手册》中的附录)。</w:t>
      </w:r>
    </w:p>
    <w:p>
      <w:pPr>
        <w:spacing w:line="460" w:lineRule="exact"/>
        <w:ind w:firstLine="440" w:firstLineChars="200"/>
        <w:rPr>
          <w:rFonts w:hint="eastAsia" w:ascii="新宋体" w:hAnsi="新宋体" w:eastAsia="新宋体" w:cs="新宋体"/>
          <w:color w:val="auto"/>
          <w:sz w:val="22"/>
          <w:szCs w:val="22"/>
          <w:highlight w:val="none"/>
          <w:u w:val="single"/>
          <w:lang w:val="zh-CN"/>
        </w:rPr>
      </w:pPr>
      <w:r>
        <w:rPr>
          <w:rFonts w:hint="eastAsia" w:ascii="新宋体" w:hAnsi="新宋体" w:eastAsia="新宋体" w:cs="新宋体"/>
          <w:color w:val="auto"/>
          <w:sz w:val="22"/>
          <w:szCs w:val="22"/>
          <w:highlight w:val="none"/>
          <w:lang w:val="zh-CN"/>
        </w:rPr>
        <w:t>（4）</w:t>
      </w: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zh-CN"/>
        </w:rPr>
        <w:t>项目负责人到岗率应达90%以上,其他作业人员到岗率100%，作业人员在开展作业时应当携带（GPS）上岗，供应商需做好考勤记录备查。</w:t>
      </w:r>
    </w:p>
    <w:p>
      <w:pPr>
        <w:spacing w:line="460" w:lineRule="exact"/>
        <w:ind w:firstLine="440" w:firstLineChars="200"/>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（5）中标供应商必须按采购人要求提交相关人员名单至合同期结束，如未能到岗，采购人可以单方终止合同，并追究供应商的违约责任。</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2、车辆最低要求</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bCs/>
          <w:color w:val="auto"/>
          <w:sz w:val="22"/>
          <w:szCs w:val="22"/>
          <w:highlight w:val="none"/>
          <w:u w:val="single"/>
        </w:rPr>
        <w:t>供应商须投入1洒水车及1辆巡查车（可以是小型货车、轿车等）</w:t>
      </w:r>
      <w:r>
        <w:rPr>
          <w:rFonts w:hint="eastAsia" w:ascii="新宋体" w:hAnsi="新宋体" w:eastAsia="新宋体" w:cs="新宋体"/>
          <w:color w:val="auto"/>
          <w:sz w:val="22"/>
          <w:szCs w:val="22"/>
          <w:highlight w:val="none"/>
        </w:rPr>
        <w:t>。</w:t>
      </w:r>
    </w:p>
    <w:p>
      <w:pPr>
        <w:spacing w:line="460" w:lineRule="exact"/>
        <w:ind w:firstLine="440" w:firstLineChars="200"/>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（1）投标供应商提供的本项目车辆达不到招标文件要求的，按无效投标处理。投标人不得将本项目的车辆用于非本项目的其他事项，否则视同投标人违约处理。</w:t>
      </w:r>
    </w:p>
    <w:p>
      <w:pPr>
        <w:spacing w:line="460" w:lineRule="exact"/>
        <w:ind w:firstLine="440" w:firstLineChars="200"/>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（2）洒水车驾驶员须持有与驾驶车型相符的驾驶证。</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（3）在专用车辆因意外客观原因修理或不能使用的原因情况下，投标供应商需提供等于或优于已投入的车辆（使用年限、吨位、配置）进行作业。</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（4）投标供应商车辆若已在其他养护服务项目中投入使用，且仍处于合同履行期，则不得作为本项目拟投入养护设备进行申报。</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（5）投入的车辆需向采购人提供GPS监查功能系统，可供采购人查询车辆位置及工作情况。</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3、机械设备、器材</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lang w:val="zh-CN"/>
        </w:rPr>
        <w:t>▲</w:t>
      </w:r>
      <w:r>
        <w:rPr>
          <w:rFonts w:hint="eastAsia" w:ascii="新宋体" w:hAnsi="新宋体" w:eastAsia="新宋体" w:cs="新宋体"/>
          <w:b/>
          <w:bCs/>
          <w:color w:val="auto"/>
          <w:sz w:val="22"/>
          <w:szCs w:val="22"/>
          <w:highlight w:val="none"/>
          <w:u w:val="single"/>
        </w:rPr>
        <w:t>投入本项目的绿篱机、割灌机、草坪机、高枝剪、打药车等其它应配机械设备、器材由中标供应商自备，包含在投标总价中</w:t>
      </w:r>
      <w:r>
        <w:rPr>
          <w:rFonts w:hint="eastAsia" w:ascii="新宋体" w:hAnsi="新宋体" w:eastAsia="新宋体" w:cs="新宋体"/>
          <w:color w:val="auto"/>
          <w:sz w:val="22"/>
          <w:szCs w:val="22"/>
          <w:highlight w:val="none"/>
        </w:rPr>
        <w:t>。</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4、中标供应商必须建立高效的养护作业GPS管理平台，主要功能包括：</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（1）服务人员的基本信息（如：身份证或市民卡信息、医疗、社保、工伤、体检情况等信息和资料）；</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（2）必须建立服务人员编码，并在作业时必须佩戴整齐，并携带（GPS）上岗；</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（3）作业车辆的基本信息（如：车辆型号、购置时间、购置价格、年检时间、下次年检时间、驾驶员信息、核定重量、总质量、已使用的年限等信息和资料）； </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（4）作业车辆必须安装车辆定位、超速的预警、洒水（巡查）频次、跨区域作业预警。上路作业时，必须打开全球卫星定位系统（GPS）；</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（5）中标单位必须在中标后1个月内建成绿化养护作业GPS管理平台</w:t>
      </w:r>
      <w:r>
        <w:rPr>
          <w:rFonts w:hint="eastAsia" w:ascii="新宋体" w:hAnsi="新宋体" w:eastAsia="新宋体" w:cs="新宋体"/>
          <w:bCs/>
          <w:color w:val="auto"/>
          <w:sz w:val="22"/>
          <w:szCs w:val="22"/>
          <w:highlight w:val="none"/>
        </w:rPr>
        <w:t>（需经采购人认可）</w:t>
      </w:r>
      <w:r>
        <w:rPr>
          <w:rFonts w:hint="eastAsia" w:ascii="新宋体" w:hAnsi="新宋体" w:eastAsia="新宋体" w:cs="新宋体"/>
          <w:color w:val="auto"/>
          <w:sz w:val="22"/>
          <w:szCs w:val="22"/>
          <w:highlight w:val="none"/>
        </w:rPr>
        <w:t>，并纳入山福镇智慧城管监管平台。</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r>
        <w:rPr>
          <w:rFonts w:hint="eastAsia" w:ascii="新宋体" w:hAnsi="新宋体" w:eastAsia="新宋体" w:cs="新宋体"/>
          <w:bCs/>
          <w:color w:val="auto"/>
          <w:sz w:val="22"/>
          <w:szCs w:val="22"/>
          <w:highlight w:val="none"/>
        </w:rPr>
        <w:t>以上绿化养护作业GPS管理平台建设资金由中标单位出资建设，投标单位在标书制作时应考虑其成本与维护费用。</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（7）中标单位在领取中标通知书前需将负责本项目的所有服务人员及车辆在甲方处做好备案登记，供甲方随时抽查。</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5、员工劳动保障 </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（1）必须与员工签订书面劳动合同，招收人员在主管部门备案。</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（2）执行《劳动法》、《劳动合同法》有关员工保障的其他规定，由劳动部门查实的，根据查实情况处罚。</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（3）用工年龄按照国家劳动法律法规相关规定执行。要求男性年龄不超过60周岁、女性不超过50周岁。</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6、合同签订后，采购人可以对中标供应商投入人员工种进行调整，在不增加中标供应商总人数的前提下，人员工种的调整采购人不再给予价格补偿，供应商自行承担报价风险。</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本项目除预备金和奖励金后采用总价包干方式报价，供应商按采购人要求、采购人确认的服务方案进行报价。项目实施过程中在采购人不增加服务人员的前提下，服务范围略有变动，不改变中标供应商的合同价格。</w:t>
      </w:r>
    </w:p>
    <w:p>
      <w:pPr>
        <w:pStyle w:val="23"/>
        <w:spacing w:line="360" w:lineRule="exact"/>
        <w:ind w:left="316" w:hanging="316" w:hangingChars="14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六．现场条件及服务标准</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1、▲供应商针对本次项目所投入的办公场所、作业人员住宿用房服装以及车辆、工具的停放场地等办公生产场地均由供应商自行负责解决，并在合同签订前按其投标文件承诺落实。此次招标所涉及的人员全部由中标供应商自行负责解决。</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2、作业工具的临时停放承包单位须报备到采购单位。</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bidi="zh-CN"/>
        </w:rPr>
        <w:t>绿化养护质量严格按照《温州市城市绿化条例》、《温州市园林植物养护技术规程》、《温州市城市绿地养护管理标准》、本招标文件及相关规定执行。</w:t>
      </w:r>
    </w:p>
    <w:p>
      <w:pPr>
        <w:pStyle w:val="23"/>
        <w:spacing w:line="360" w:lineRule="exact"/>
        <w:ind w:left="316" w:hanging="316" w:hangingChars="14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七．考核及处罚标准</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1、依照《温州市区城市园林绿化养护管理考核办法》、《温州市园林绿化养护管理手册》、《绿化养护考核标准》考核评分细则进行综合计算考评。</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山福镇相关职能部门组成的考核小组将负责对起步区绿化养护质量进行检查考评，检查将采取明检、暗检相结合的方式，以暗检为主，每月综合考评一次。如需承包公司配合的将提前一小时通知该单位派员参加。</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3、绿地绿化养护考核，起评满分为100分；90分以上(含)为优秀分，90分-85分（含）为达标分为，低于85分为不达标绿地。每月综合评分不达标的，将按照处罚标准进行相应的处罚。</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4、处罚标准</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（1）罚款按照月度综合考评从每月承包经费中扣除。</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以达标分为标准，每月考核评分小于90分（达标分）大于等于85分，每下降0.1分扣月度规定支付总额的0.1%,以此类推。绿化养护质量较差，每月考核评分低于85分的，每下降0.1分扣月度规定支付总额的0.5%，以此类推。</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有市民投诉、媒体曝光的影响环境卫生事件,经核实是由承包单位或作业人员责任引起的将予以处罚,处罚额度为每发现一次并核实扣月度规定支付总额的2%。在市级考核中，被通报批评的，扣月度规定支付总额的5%。</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（4）当月考核分数&lt;70分，采购人有权对合同进行终止处理，对供应商带来的损失，均由供应商自行处理。</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（5）在考核中，发现有三次（70分≦考核分数&lt;90分）的，采购人有权对合同进行终止处理，对供应商带来的损失，均由供应商自行处理。</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凡遇防汛抗台、防雪抗冻、重大活动和节日、重大检查或突发事件检查时，承包方应及时组织相关力量做好无条件全面配合工作，费用包含在投标总价中，不再另行增加，各供应商在报价时须综合考虑风险。因中标供应商服务不到位等导致扣分或批评的，一次处以罚金5000元整。</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（7）接到数字城管派单后，中标供应商应及时处理，如因中标供应商延误处理时间造成超期的，一次处以罚金500元整，如因中标供应商处理不到位造成返工的，一次处以罚金1000元整。</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作业人员配备齐全，需达到招标文件要求。项目负责人到岗率应达90%以上,其他作业人员每日到位率100%，若有特殊情况不能到位需提前告知采购人，经采购人同意。若供应商没有做好考勤管理，每缺勤一天按150元/人进行处罚，如同一人每月累计缺勤达到3天（含）以上的，按3000元/人进行处罚，其性质恶劣的采购人有权终止合同。</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在合同服务期内，中标供应商项目负责人到岗率应达90%以上,其他作业人员必须100%到位，若作业人员有辞职、离岗的要及时补齐，需承诺保证在10天内到位，在承诺时间内到位不了的，采购人按人员工资福利待遇的2倍予以扣款。</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（10）作业人员职工福利待遇达不到招投标文件要求的，每发现一次故意克扣工人工资福利待遇的，按克扣额的2倍予以扣款。</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（11）巡逻车辆需每日开展巡逻工作，检查发现若未按要求开展作业的话，扣除2000元/次。</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区里对街镇的绿化考核排名须在郊区组第2名及以上。每下降1名扣3000元。</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）其他奖罚：</w:t>
      </w:r>
      <w:r>
        <w:rPr>
          <w:rFonts w:hint="eastAsia" w:ascii="新宋体" w:hAnsi="新宋体" w:eastAsia="新宋体" w:cs="新宋体"/>
          <w:b/>
          <w:bCs/>
          <w:color w:val="auto"/>
          <w:sz w:val="22"/>
          <w:szCs w:val="22"/>
          <w:highlight w:val="none"/>
        </w:rPr>
        <w:t>根据区里对街镇的考核排名，当月环境卫生等相关考核中：</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eastAsia="新宋体" w:cs="Calibri"/>
          <w:color w:val="auto"/>
          <w:sz w:val="22"/>
          <w:szCs w:val="22"/>
          <w:highlight w:val="none"/>
        </w:rPr>
        <w:t>①</w:t>
      </w:r>
      <w:r>
        <w:rPr>
          <w:rFonts w:hint="eastAsia" w:ascii="新宋体" w:hAnsi="新宋体" w:eastAsia="新宋体" w:cs="新宋体"/>
          <w:color w:val="auto"/>
          <w:sz w:val="22"/>
          <w:szCs w:val="22"/>
          <w:highlight w:val="none"/>
        </w:rPr>
        <w:t>排名在7名（含7名）以前，当月将不进行扣罚。</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eastAsia="新宋体" w:cs="Calibri"/>
          <w:color w:val="auto"/>
          <w:sz w:val="22"/>
          <w:szCs w:val="22"/>
          <w:highlight w:val="none"/>
        </w:rPr>
        <w:t>②</w:t>
      </w:r>
      <w:r>
        <w:rPr>
          <w:rFonts w:hint="eastAsia" w:ascii="新宋体" w:hAnsi="新宋体" w:eastAsia="新宋体" w:cs="新宋体"/>
          <w:color w:val="auto"/>
          <w:sz w:val="22"/>
          <w:szCs w:val="22"/>
          <w:highlight w:val="none"/>
        </w:rPr>
        <w:t>排名在8名（含8名）以后，则每下降1名扣1500元。</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③所扣罚的金额将在每月清算的实际合同价的管理费中直接扣除。如出现照片所体现的地点重复、错误等实际不为托管公司所承包范围的情况，将不做扣罚。</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adjustRightInd w:val="0"/>
        <w:snapToGrid w:val="0"/>
        <w:spacing w:line="460"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附件：考核方法               绿化养护管理考核评分标准</w:t>
      </w:r>
    </w:p>
    <w:p>
      <w:pPr>
        <w:pStyle w:val="334"/>
        <w:rPr>
          <w:rFonts w:hint="eastAsia"/>
          <w:color w:val="auto"/>
          <w:highlight w:val="none"/>
        </w:rPr>
      </w:pPr>
    </w:p>
    <w:tbl>
      <w:tblPr>
        <w:tblStyle w:val="53"/>
        <w:tblW w:w="9989" w:type="dxa"/>
        <w:tblInd w:w="-3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0"/>
        <w:gridCol w:w="2770"/>
        <w:gridCol w:w="600"/>
        <w:gridCol w:w="4146"/>
        <w:gridCol w:w="559"/>
        <w:gridCol w:w="602"/>
        <w:gridCol w:w="5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8" w:hRule="atLeast"/>
        </w:trPr>
        <w:tc>
          <w:tcPr>
            <w:tcW w:w="750" w:type="dxa"/>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项目</w:t>
            </w:r>
          </w:p>
        </w:tc>
        <w:tc>
          <w:tcPr>
            <w:tcW w:w="2770" w:type="dxa"/>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考核内容</w:t>
            </w:r>
          </w:p>
        </w:tc>
        <w:tc>
          <w:tcPr>
            <w:tcW w:w="600"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分</w:t>
            </w:r>
          </w:p>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值</w:t>
            </w:r>
          </w:p>
        </w:tc>
        <w:tc>
          <w:tcPr>
            <w:tcW w:w="4146" w:type="dxa"/>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评分标准</w:t>
            </w:r>
          </w:p>
        </w:tc>
        <w:tc>
          <w:tcPr>
            <w:tcW w:w="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扣分</w:t>
            </w: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满分</w:t>
            </w:r>
          </w:p>
        </w:tc>
        <w:tc>
          <w:tcPr>
            <w:tcW w:w="56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5" w:hRule="atLeast"/>
        </w:trPr>
        <w:tc>
          <w:tcPr>
            <w:tcW w:w="750" w:type="dxa"/>
            <w:vMerge w:val="restart"/>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行    道    树</w:t>
            </w:r>
          </w:p>
        </w:tc>
        <w:tc>
          <w:tcPr>
            <w:tcW w:w="2770" w:type="dxa"/>
            <w:vMerge w:val="restart"/>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1.树冠丰满完整，骨架均匀，树干挺直，生长态势良好，无明显枯死枝、倒垂枝；发现枯枝、死枝必须在48小时内处理完毕，对枯死的树木应连同根部在48小时.内挖除，并填平挖穴，在3日内补种完毕；</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2.树上无藤蔓、钉子，铁丝、电线等捆绑物及杂物；</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3.及时抹芽、整形修剪，主干及一级枝不定芽不超过20厘米；</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4.新栽行道树存活率在98%以上，行道树保存率在100%，缺株及时补种，无死株；</w:t>
            </w:r>
          </w:p>
          <w:p>
            <w:pP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5.行道树倾斜度不超过10度，树距在8米以内，规格基本一致。做好行道树黄化的预防和治理工作</w:t>
            </w:r>
          </w:p>
        </w:tc>
        <w:tc>
          <w:tcPr>
            <w:tcW w:w="600" w:type="dxa"/>
            <w:vMerge w:val="restart"/>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20</w:t>
            </w:r>
          </w:p>
        </w:tc>
        <w:tc>
          <w:tcPr>
            <w:tcW w:w="4146" w:type="dxa"/>
            <w:noWrap w:val="0"/>
            <w:vAlign w:val="center"/>
          </w:tcPr>
          <w:p>
            <w:pP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1.树冠不完整1棵或黄化严重影响行道树生长的，每处扣0.5分，扣满3分。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restart"/>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89"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2.发现枯枝、死枝未在48小时内处理完毕，每处扣0.5分，扣满3分；</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对枯死的树木未在48小时内挖除并在3日内补种完毕的，每处扣1分，扣满3分。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4"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3.树上有藤蔓、钉子、铁丝、电线每发现一处，每处扣0.5分，扣满2分。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0"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4.萌芽20厘米以上，未及时抹芽的，每处扣0.5分，扣满3分。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6"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5.老树减少一株，每处扣1分，扣满3分。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32"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6.行道树倾斜度超过15度未及时采取措施进行支撑的，每处扣1分，扣满3分。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trPr>
        <w:tc>
          <w:tcPr>
            <w:tcW w:w="750" w:type="dxa"/>
            <w:vMerge w:val="restart"/>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道路绿地及绿化带</w:t>
            </w:r>
          </w:p>
        </w:tc>
        <w:tc>
          <w:tcPr>
            <w:tcW w:w="2770" w:type="dxa"/>
            <w:vMerge w:val="restart"/>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1.草种基本纯正，无大型和缠绕性、攀缘性杂草，生长茂盛，有一定厚度，草根不裸露；草坪无明显枯黄，草高不超过8厘米，护栏等防护设施完好美观；</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2.绿篱整齐，高度控制得当，不影响交通视线，无残缺、无死株，徒长枝不超过15厘米；</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3.人行道绿化带保持完好，小灌木及时修剪，保持绿带的整齐</w:t>
            </w:r>
          </w:p>
        </w:tc>
        <w:tc>
          <w:tcPr>
            <w:tcW w:w="600" w:type="dxa"/>
            <w:vMerge w:val="restart"/>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20</w:t>
            </w: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1.草坪、草地、行道树绿地有明显杂草，每3平方米，扣0.5分，扣满3分。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restart"/>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9"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2.未及时滚剪的，草高过8厘米（除由于天气原因不能滚剪以外），每5平方米，扣0.5分，扣满2分。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4"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3.草坪有成片非自然枯黄现象，每10平方米，扣0.5分，扣满3分。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9"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4.护栏等防护设施破损，每处扣0.5分，扣满3分。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9"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5.绿篱不整齐，高度过高，徒长枝高过15厘米，影响交通视线，每处扣1分，扣满3分。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5"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6.人行道绿带缺失、有小道未及时补种，每处扣0.5分，扣满3分。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widowControl/>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7.绿化带中不得出现种植瓜果蔬菜，如有发现，每处扣0.5分，扣满3分。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vMerge w:val="continue"/>
            <w:noWrap w:val="0"/>
            <w:vAlign w:val="center"/>
          </w:tcPr>
          <w:p>
            <w:pPr>
              <w:widowControl/>
              <w:jc w:val="left"/>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6" w:hRule="atLeast"/>
        </w:trPr>
        <w:tc>
          <w:tcPr>
            <w:tcW w:w="750" w:type="dxa"/>
            <w:vMerge w:val="restart"/>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植保</w:t>
            </w:r>
          </w:p>
        </w:tc>
        <w:tc>
          <w:tcPr>
            <w:tcW w:w="2770" w:type="dxa"/>
            <w:vMerge w:val="restart"/>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1.病虫害防治及时，每株控制在小于5%以下；</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2.在“三防”期间要及时做好树木管护工作；</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3.香樟等乔木及时抹芽、疏枝；冬季必须刷白； </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4.冬季积雪达到5-6厘米的时必须及时组织人员进行打雪；</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5.绿地施肥一年不少于2次，每次施肥前应报主管部门验收、备案。</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6.高温干旱期间要认真做好抗旱保绿各项工作</w:t>
            </w:r>
          </w:p>
        </w:tc>
        <w:tc>
          <w:tcPr>
            <w:tcW w:w="600" w:type="dxa"/>
            <w:vMerge w:val="restart"/>
            <w:noWrap w:val="0"/>
            <w:vAlign w:val="center"/>
          </w:tcPr>
          <w:p>
            <w:pPr>
              <w:widowControl/>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22</w:t>
            </w:r>
          </w:p>
        </w:tc>
        <w:tc>
          <w:tcPr>
            <w:tcW w:w="4146" w:type="dxa"/>
            <w:noWrap w:val="0"/>
            <w:vAlign w:val="center"/>
          </w:tcPr>
          <w:p>
            <w:pP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1.有明显病虫害，生长不健壮，每处（大于5%）扣0.5分，扣满4分。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562"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7"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2.在三防期间，未做好管护工作，造成树木（5株以上）枯萎死亡的，扣2分，扣满6分。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62"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3.对第三项未完成的，每处扣0.5分，扣满3分。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2"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4.绿地施肥少于2次的，少一次扣2分；未报主管部门备案的，扣1分，扣满3分。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62"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27" w:hRule="atLeast"/>
        </w:trPr>
        <w:tc>
          <w:tcPr>
            <w:tcW w:w="75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left"/>
              <w:rPr>
                <w:rFonts w:hint="eastAsia" w:ascii="新宋体" w:hAnsi="新宋体" w:eastAsia="新宋体" w:cs="新宋体"/>
                <w:bCs/>
                <w:color w:val="auto"/>
                <w:sz w:val="22"/>
                <w:szCs w:val="22"/>
                <w:highlight w:val="none"/>
              </w:rPr>
            </w:pPr>
          </w:p>
        </w:tc>
        <w:tc>
          <w:tcPr>
            <w:tcW w:w="4146" w:type="dxa"/>
            <w:tcBorders>
              <w:bottom w:val="single" w:color="auto" w:sz="8" w:space="0"/>
            </w:tcBorders>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5.未按要求及时搭建遮荫设施的发现1处扣1分；植物因浇灌不及时缺水严重的扣2分；绿地排水通畅，大雨后未及时排水发现一处口1分，扣满6分。</w:t>
            </w:r>
          </w:p>
        </w:tc>
        <w:tc>
          <w:tcPr>
            <w:tcW w:w="559" w:type="dxa"/>
            <w:tcBorders>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c>
          <w:tcPr>
            <w:tcW w:w="602" w:type="dxa"/>
            <w:tcBorders>
              <w:bottom w:val="single" w:color="auto" w:sz="8" w:space="0"/>
            </w:tcBorders>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62" w:type="dxa"/>
            <w:tcBorders>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7" w:hRule="atLeast"/>
        </w:trPr>
        <w:tc>
          <w:tcPr>
            <w:tcW w:w="750" w:type="dxa"/>
            <w:vMerge w:val="restart"/>
            <w:noWrap w:val="0"/>
            <w:vAlign w:val="center"/>
          </w:tcPr>
          <w:p>
            <w:pPr>
              <w:widowControl/>
              <w:jc w:val="left"/>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作业车规范</w:t>
            </w:r>
          </w:p>
        </w:tc>
        <w:tc>
          <w:tcPr>
            <w:tcW w:w="2770" w:type="dxa"/>
            <w:vMerge w:val="restart"/>
            <w:noWrap w:val="0"/>
            <w:vAlign w:val="center"/>
          </w:tcPr>
          <w:p>
            <w:pPr>
              <w:widowControl/>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必须安装全球卫星定位系统（GPS），上路作业时，必须打开全球卫星定位（GPS）；要遵守道路交通安全法规，礼让行车，注意行人的安全；严格按照范围、路线进行作业，不得随意变更。作业完毕后及时清洗干净入库，做好作业车辆行车、维修保养记录。</w:t>
            </w:r>
          </w:p>
        </w:tc>
        <w:tc>
          <w:tcPr>
            <w:tcW w:w="600" w:type="dxa"/>
            <w:vMerge w:val="restart"/>
            <w:noWrap w:val="0"/>
            <w:vAlign w:val="center"/>
          </w:tcPr>
          <w:p>
            <w:pPr>
              <w:widowControl/>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w:t>
            </w:r>
          </w:p>
        </w:tc>
        <w:tc>
          <w:tcPr>
            <w:tcW w:w="4146" w:type="dxa"/>
            <w:tcBorders>
              <w:bottom w:val="single" w:color="auto" w:sz="8" w:space="0"/>
            </w:tcBorders>
            <w:noWrap w:val="0"/>
            <w:vAlign w:val="center"/>
          </w:tcPr>
          <w:p>
            <w:pPr>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1.发现未按照规定范围、路线进行作业的一次扣1分/辆。</w:t>
            </w:r>
          </w:p>
        </w:tc>
        <w:tc>
          <w:tcPr>
            <w:tcW w:w="559" w:type="dxa"/>
            <w:tcBorders>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c>
          <w:tcPr>
            <w:tcW w:w="602" w:type="dxa"/>
            <w:tcBorders>
              <w:bottom w:val="single" w:color="auto" w:sz="8" w:space="0"/>
            </w:tcBorders>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tcBorders>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7" w:hRule="atLeast"/>
        </w:trPr>
        <w:tc>
          <w:tcPr>
            <w:tcW w:w="75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center"/>
              <w:rPr>
                <w:rFonts w:hint="eastAsia" w:ascii="新宋体" w:hAnsi="新宋体" w:eastAsia="新宋体" w:cs="新宋体"/>
                <w:bCs/>
                <w:color w:val="auto"/>
                <w:sz w:val="22"/>
                <w:szCs w:val="22"/>
                <w:highlight w:val="none"/>
              </w:rPr>
            </w:pPr>
          </w:p>
        </w:tc>
        <w:tc>
          <w:tcPr>
            <w:tcW w:w="4146" w:type="dxa"/>
            <w:tcBorders>
              <w:top w:val="single" w:color="auto" w:sz="8" w:space="0"/>
              <w:bottom w:val="single" w:color="auto" w:sz="8" w:space="0"/>
            </w:tcBorders>
            <w:noWrap w:val="0"/>
            <w:vAlign w:val="center"/>
          </w:tcPr>
          <w:p>
            <w:pPr>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2.发现车辆未打开全球卫星定位系统GPS的一次扣1分。</w:t>
            </w:r>
          </w:p>
        </w:tc>
        <w:tc>
          <w:tcPr>
            <w:tcW w:w="559"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c>
          <w:tcPr>
            <w:tcW w:w="60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6" w:hRule="atLeast"/>
        </w:trPr>
        <w:tc>
          <w:tcPr>
            <w:tcW w:w="75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center"/>
              <w:rPr>
                <w:rFonts w:hint="eastAsia" w:ascii="新宋体" w:hAnsi="新宋体" w:eastAsia="新宋体" w:cs="新宋体"/>
                <w:bCs/>
                <w:color w:val="auto"/>
                <w:sz w:val="22"/>
                <w:szCs w:val="22"/>
                <w:highlight w:val="none"/>
              </w:rPr>
            </w:pPr>
          </w:p>
        </w:tc>
        <w:tc>
          <w:tcPr>
            <w:tcW w:w="4146" w:type="dxa"/>
            <w:tcBorders>
              <w:top w:val="single" w:color="auto" w:sz="8" w:space="0"/>
              <w:bottom w:val="single" w:color="auto" w:sz="8" w:space="0"/>
            </w:tcBorders>
            <w:noWrap w:val="0"/>
            <w:vAlign w:val="center"/>
          </w:tcPr>
          <w:p>
            <w:pPr>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3.发现车辆未安装GPS的，直接按不达标处理。扣4分。</w:t>
            </w:r>
          </w:p>
        </w:tc>
        <w:tc>
          <w:tcPr>
            <w:tcW w:w="559"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c>
          <w:tcPr>
            <w:tcW w:w="60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56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6" w:hRule="atLeast"/>
        </w:trPr>
        <w:tc>
          <w:tcPr>
            <w:tcW w:w="750" w:type="dxa"/>
            <w:vMerge w:val="restart"/>
            <w:noWrap w:val="0"/>
            <w:vAlign w:val="center"/>
          </w:tcPr>
          <w:p>
            <w:pPr>
              <w:widowControl/>
              <w:jc w:val="left"/>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作业人员规范</w:t>
            </w:r>
          </w:p>
        </w:tc>
        <w:tc>
          <w:tcPr>
            <w:tcW w:w="2770" w:type="dxa"/>
            <w:vMerge w:val="restart"/>
            <w:noWrap w:val="0"/>
            <w:vAlign w:val="center"/>
          </w:tcPr>
          <w:p>
            <w:pPr>
              <w:widowControl/>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作业人员不得擅自离（脱）岗，不聚闲聊，作业期间不做与作业无关的事；作业人员应当佩证上岗，并携带GPS作业，作业期内穿反光安全服。</w:t>
            </w:r>
          </w:p>
        </w:tc>
        <w:tc>
          <w:tcPr>
            <w:tcW w:w="600" w:type="dxa"/>
            <w:vMerge w:val="restart"/>
            <w:noWrap w:val="0"/>
            <w:vAlign w:val="center"/>
          </w:tcPr>
          <w:p>
            <w:pPr>
              <w:widowControl/>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w:t>
            </w:r>
          </w:p>
        </w:tc>
        <w:tc>
          <w:tcPr>
            <w:tcW w:w="4146" w:type="dxa"/>
            <w:tcBorders>
              <w:top w:val="single" w:color="auto" w:sz="8" w:space="0"/>
              <w:bottom w:val="single" w:color="auto" w:sz="8" w:space="0"/>
            </w:tcBorders>
            <w:noWrap w:val="0"/>
            <w:vAlign w:val="center"/>
          </w:tcPr>
          <w:p>
            <w:pPr>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1.发现违反劳动纪律扣1分/人次。</w:t>
            </w:r>
          </w:p>
        </w:tc>
        <w:tc>
          <w:tcPr>
            <w:tcW w:w="559"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c>
          <w:tcPr>
            <w:tcW w:w="60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4" w:hRule="atLeast"/>
        </w:trPr>
        <w:tc>
          <w:tcPr>
            <w:tcW w:w="75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center"/>
              <w:rPr>
                <w:rFonts w:hint="eastAsia" w:ascii="新宋体" w:hAnsi="新宋体" w:eastAsia="新宋体" w:cs="新宋体"/>
                <w:bCs/>
                <w:color w:val="auto"/>
                <w:sz w:val="22"/>
                <w:szCs w:val="22"/>
                <w:highlight w:val="none"/>
              </w:rPr>
            </w:pPr>
          </w:p>
        </w:tc>
        <w:tc>
          <w:tcPr>
            <w:tcW w:w="4146" w:type="dxa"/>
            <w:tcBorders>
              <w:top w:val="single" w:color="auto" w:sz="8" w:space="0"/>
              <w:bottom w:val="single" w:color="auto" w:sz="8" w:space="0"/>
            </w:tcBorders>
            <w:noWrap w:val="0"/>
            <w:vAlign w:val="center"/>
          </w:tcPr>
          <w:p>
            <w:pPr>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2.无佩戴上岗证、未携带GPS作业和穿反光安全服的发现一次扣1分。                                      </w:t>
            </w:r>
          </w:p>
        </w:tc>
        <w:tc>
          <w:tcPr>
            <w:tcW w:w="559"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c>
          <w:tcPr>
            <w:tcW w:w="60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tcBorders>
              <w:top w:val="single" w:color="auto" w:sz="8" w:space="0"/>
              <w:bottom w:val="single" w:color="auto" w:sz="8" w:space="0"/>
            </w:tcBorders>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4" w:hRule="atLeast"/>
        </w:trPr>
        <w:tc>
          <w:tcPr>
            <w:tcW w:w="75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2770" w:type="dxa"/>
            <w:vMerge w:val="continue"/>
            <w:noWrap w:val="0"/>
            <w:vAlign w:val="center"/>
          </w:tcPr>
          <w:p>
            <w:pPr>
              <w:widowControl/>
              <w:jc w:val="left"/>
              <w:rPr>
                <w:rFonts w:hint="eastAsia" w:ascii="新宋体" w:hAnsi="新宋体" w:eastAsia="新宋体" w:cs="新宋体"/>
                <w:color w:val="auto"/>
                <w:sz w:val="22"/>
                <w:szCs w:val="22"/>
                <w:highlight w:val="none"/>
              </w:rPr>
            </w:pPr>
          </w:p>
        </w:tc>
        <w:tc>
          <w:tcPr>
            <w:tcW w:w="600" w:type="dxa"/>
            <w:vMerge w:val="continue"/>
            <w:noWrap w:val="0"/>
            <w:vAlign w:val="center"/>
          </w:tcPr>
          <w:p>
            <w:pPr>
              <w:widowControl/>
              <w:jc w:val="center"/>
              <w:rPr>
                <w:rFonts w:hint="eastAsia" w:ascii="新宋体" w:hAnsi="新宋体" w:eastAsia="新宋体" w:cs="新宋体"/>
                <w:bCs/>
                <w:color w:val="auto"/>
                <w:sz w:val="22"/>
                <w:szCs w:val="22"/>
                <w:highlight w:val="none"/>
              </w:rPr>
            </w:pPr>
          </w:p>
        </w:tc>
        <w:tc>
          <w:tcPr>
            <w:tcW w:w="4146" w:type="dxa"/>
            <w:tcBorders>
              <w:top w:val="single" w:color="auto" w:sz="8" w:space="0"/>
            </w:tcBorders>
            <w:noWrap w:val="0"/>
            <w:vAlign w:val="center"/>
          </w:tcPr>
          <w:p>
            <w:pPr>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3.发现作业人员不到位的扣2分/例。</w:t>
            </w:r>
          </w:p>
        </w:tc>
        <w:tc>
          <w:tcPr>
            <w:tcW w:w="559" w:type="dxa"/>
            <w:tcBorders>
              <w:top w:val="single" w:color="auto" w:sz="8" w:space="0"/>
            </w:tcBorders>
            <w:noWrap w:val="0"/>
            <w:vAlign w:val="center"/>
          </w:tcPr>
          <w:p>
            <w:pPr>
              <w:jc w:val="center"/>
              <w:rPr>
                <w:rFonts w:hint="eastAsia" w:ascii="新宋体" w:hAnsi="新宋体" w:eastAsia="新宋体" w:cs="新宋体"/>
                <w:color w:val="auto"/>
                <w:sz w:val="22"/>
                <w:szCs w:val="22"/>
                <w:highlight w:val="none"/>
              </w:rPr>
            </w:pPr>
          </w:p>
        </w:tc>
        <w:tc>
          <w:tcPr>
            <w:tcW w:w="602" w:type="dxa"/>
            <w:tcBorders>
              <w:top w:val="single" w:color="auto" w:sz="8" w:space="0"/>
            </w:tcBorders>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62" w:type="dxa"/>
            <w:tcBorders>
              <w:top w:val="single" w:color="auto" w:sz="8" w:space="0"/>
            </w:tcBorders>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5" w:hRule="atLeast"/>
        </w:trPr>
        <w:tc>
          <w:tcPr>
            <w:tcW w:w="750" w:type="dxa"/>
            <w:vMerge w:val="restart"/>
            <w:noWrap w:val="0"/>
            <w:vAlign w:val="center"/>
          </w:tcPr>
          <w:p>
            <w:pPr>
              <w:widowControl/>
              <w:jc w:val="center"/>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制度建设</w:t>
            </w:r>
          </w:p>
        </w:tc>
        <w:tc>
          <w:tcPr>
            <w:tcW w:w="2770" w:type="dxa"/>
            <w:vMerge w:val="restart"/>
            <w:noWrap w:val="0"/>
            <w:vAlign w:val="center"/>
          </w:tcPr>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1.绿地养护管理制度齐全，做好养护管理台帐；</w:t>
            </w:r>
          </w:p>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2.各类原始台帐、记录、报表齐全、准确，能按要求及时上报；</w:t>
            </w:r>
          </w:p>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3.每月总结和下个月计划在本月28日前上报；</w:t>
            </w:r>
          </w:p>
          <w:p>
            <w:pPr>
              <w:jc w:val="left"/>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4.制定详细的巡查制度</w:t>
            </w:r>
          </w:p>
        </w:tc>
        <w:tc>
          <w:tcPr>
            <w:tcW w:w="600" w:type="dxa"/>
            <w:vMerge w:val="restart"/>
            <w:noWrap w:val="0"/>
            <w:vAlign w:val="center"/>
          </w:tcPr>
          <w:p>
            <w:pPr>
              <w:widowControl/>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w:t>
            </w:r>
          </w:p>
        </w:tc>
        <w:tc>
          <w:tcPr>
            <w:tcW w:w="4146" w:type="dxa"/>
            <w:noWrap w:val="0"/>
            <w:vAlign w:val="center"/>
          </w:tcPr>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1.未制定管理制度及做好养护管理台帐的，扣2分。</w:t>
            </w:r>
          </w:p>
        </w:tc>
        <w:tc>
          <w:tcPr>
            <w:tcW w:w="559" w:type="dxa"/>
            <w:vMerge w:val="restart"/>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vMerge w:val="restart"/>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5" w:hRule="atLeast"/>
        </w:trPr>
        <w:tc>
          <w:tcPr>
            <w:tcW w:w="750" w:type="dxa"/>
            <w:vMerge w:val="continue"/>
            <w:noWrap w:val="0"/>
            <w:vAlign w:val="center"/>
          </w:tcPr>
          <w:p>
            <w:pPr>
              <w:rPr>
                <w:rFonts w:hint="eastAsia" w:ascii="新宋体" w:hAnsi="新宋体" w:eastAsia="新宋体" w:cs="新宋体"/>
                <w:color w:val="auto"/>
                <w:highlight w:val="none"/>
              </w:rPr>
            </w:pPr>
          </w:p>
        </w:tc>
        <w:tc>
          <w:tcPr>
            <w:tcW w:w="2770" w:type="dxa"/>
            <w:vMerge w:val="continue"/>
            <w:noWrap w:val="0"/>
            <w:vAlign w:val="center"/>
          </w:tcPr>
          <w:p>
            <w:pPr>
              <w:rPr>
                <w:rFonts w:hint="eastAsia" w:ascii="新宋体" w:hAnsi="新宋体" w:eastAsia="新宋体" w:cs="新宋体"/>
                <w:color w:val="auto"/>
                <w:highlight w:val="none"/>
              </w:rPr>
            </w:pPr>
          </w:p>
        </w:tc>
        <w:tc>
          <w:tcPr>
            <w:tcW w:w="600" w:type="dxa"/>
            <w:vMerge w:val="continue"/>
            <w:noWrap w:val="0"/>
            <w:vAlign w:val="center"/>
          </w:tcPr>
          <w:p>
            <w:pPr>
              <w:rPr>
                <w:rFonts w:hint="eastAsia" w:ascii="新宋体" w:hAnsi="新宋体" w:eastAsia="新宋体" w:cs="新宋体"/>
                <w:bCs/>
                <w:color w:val="auto"/>
                <w:highlight w:val="none"/>
              </w:rPr>
            </w:pPr>
          </w:p>
        </w:tc>
        <w:tc>
          <w:tcPr>
            <w:tcW w:w="4146" w:type="dxa"/>
            <w:noWrap w:val="0"/>
            <w:vAlign w:val="center"/>
          </w:tcPr>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2.每月28日前向采购人提交本月作业人员出勤记录和下月作业人员计划（包括出勤人员名单、身份证及联系电话、车辆安排、出勤时间、现场管理人员联系方式等），未及时上报的扣3分；</w:t>
            </w:r>
          </w:p>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每月结算前由乙方向甲方提供工人工资册（内容包括工人姓名、工资、身份证、考勤记录、保险证明等信息），以及机械化车辆运行记录和人员作业记录，未提交以上台帐资料的，未及时上报的扣3分。</w:t>
            </w:r>
          </w:p>
        </w:tc>
        <w:tc>
          <w:tcPr>
            <w:tcW w:w="559" w:type="dxa"/>
            <w:vMerge w:val="continue"/>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62" w:type="dxa"/>
            <w:vMerge w:val="continue"/>
            <w:noWrap w:val="0"/>
            <w:vAlign w:val="center"/>
          </w:tcPr>
          <w:p>
            <w:pP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5" w:hRule="atLeast"/>
        </w:trPr>
        <w:tc>
          <w:tcPr>
            <w:tcW w:w="750" w:type="dxa"/>
            <w:vMerge w:val="continue"/>
            <w:noWrap w:val="0"/>
            <w:vAlign w:val="center"/>
          </w:tcPr>
          <w:p>
            <w:pPr>
              <w:rPr>
                <w:rFonts w:hint="eastAsia" w:ascii="新宋体" w:hAnsi="新宋体" w:eastAsia="新宋体" w:cs="新宋体"/>
                <w:color w:val="auto"/>
                <w:sz w:val="22"/>
                <w:szCs w:val="22"/>
                <w:highlight w:val="none"/>
              </w:rPr>
            </w:pPr>
          </w:p>
        </w:tc>
        <w:tc>
          <w:tcPr>
            <w:tcW w:w="2770" w:type="dxa"/>
            <w:vMerge w:val="continue"/>
            <w:noWrap w:val="0"/>
            <w:vAlign w:val="center"/>
          </w:tcPr>
          <w:p>
            <w:pPr>
              <w:rPr>
                <w:rFonts w:hint="eastAsia" w:ascii="新宋体" w:hAnsi="新宋体" w:eastAsia="新宋体" w:cs="新宋体"/>
                <w:color w:val="auto"/>
                <w:sz w:val="22"/>
                <w:szCs w:val="22"/>
                <w:highlight w:val="none"/>
              </w:rPr>
            </w:pPr>
          </w:p>
        </w:tc>
        <w:tc>
          <w:tcPr>
            <w:tcW w:w="600" w:type="dxa"/>
            <w:vMerge w:val="continue"/>
            <w:noWrap w:val="0"/>
            <w:vAlign w:val="center"/>
          </w:tcPr>
          <w:p>
            <w:pPr>
              <w:rPr>
                <w:rFonts w:hint="eastAsia" w:ascii="新宋体" w:hAnsi="新宋体" w:eastAsia="新宋体" w:cs="新宋体"/>
                <w:bCs/>
                <w:color w:val="auto"/>
                <w:sz w:val="22"/>
                <w:szCs w:val="22"/>
                <w:highlight w:val="none"/>
              </w:rPr>
            </w:pPr>
          </w:p>
        </w:tc>
        <w:tc>
          <w:tcPr>
            <w:tcW w:w="4146" w:type="dxa"/>
            <w:noWrap w:val="0"/>
            <w:vAlign w:val="center"/>
          </w:tcPr>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3.其他各种原始台帐、记录、报表，巡查记录未及时上报，扣2分。</w:t>
            </w:r>
          </w:p>
        </w:tc>
        <w:tc>
          <w:tcPr>
            <w:tcW w:w="559" w:type="dxa"/>
            <w:vMerge w:val="continue"/>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vMerge w:val="continue"/>
            <w:noWrap w:val="0"/>
            <w:vAlign w:val="center"/>
          </w:tcPr>
          <w:p>
            <w:pP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1" w:hRule="atLeast"/>
        </w:trPr>
        <w:tc>
          <w:tcPr>
            <w:tcW w:w="750" w:type="dxa"/>
            <w:vMerge w:val="continue"/>
            <w:noWrap w:val="0"/>
            <w:vAlign w:val="center"/>
          </w:tcPr>
          <w:p>
            <w:pPr>
              <w:rPr>
                <w:rFonts w:hint="eastAsia" w:ascii="新宋体" w:hAnsi="新宋体" w:eastAsia="新宋体" w:cs="新宋体"/>
                <w:color w:val="auto"/>
                <w:sz w:val="22"/>
                <w:szCs w:val="22"/>
                <w:highlight w:val="none"/>
              </w:rPr>
            </w:pPr>
          </w:p>
        </w:tc>
        <w:tc>
          <w:tcPr>
            <w:tcW w:w="2770" w:type="dxa"/>
            <w:vMerge w:val="continue"/>
            <w:noWrap w:val="0"/>
            <w:vAlign w:val="center"/>
          </w:tcPr>
          <w:p>
            <w:pPr>
              <w:rPr>
                <w:rFonts w:hint="eastAsia" w:ascii="新宋体" w:hAnsi="新宋体" w:eastAsia="新宋体" w:cs="新宋体"/>
                <w:color w:val="auto"/>
                <w:sz w:val="22"/>
                <w:szCs w:val="22"/>
                <w:highlight w:val="none"/>
              </w:rPr>
            </w:pPr>
          </w:p>
        </w:tc>
        <w:tc>
          <w:tcPr>
            <w:tcW w:w="600" w:type="dxa"/>
            <w:vMerge w:val="continue"/>
            <w:noWrap w:val="0"/>
            <w:vAlign w:val="center"/>
          </w:tcPr>
          <w:p>
            <w:pPr>
              <w:rPr>
                <w:rFonts w:hint="eastAsia" w:ascii="新宋体" w:hAnsi="新宋体" w:eastAsia="新宋体" w:cs="新宋体"/>
                <w:color w:val="auto"/>
                <w:sz w:val="22"/>
                <w:szCs w:val="22"/>
                <w:highlight w:val="none"/>
              </w:rPr>
            </w:pPr>
          </w:p>
        </w:tc>
        <w:tc>
          <w:tcPr>
            <w:tcW w:w="4146" w:type="dxa"/>
            <w:noWrap w:val="0"/>
            <w:vAlign w:val="center"/>
          </w:tcPr>
          <w:p>
            <w:pPr>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4.未制定详细的巡查制度的，扣2分。</w:t>
            </w:r>
          </w:p>
        </w:tc>
        <w:tc>
          <w:tcPr>
            <w:tcW w:w="559" w:type="dxa"/>
            <w:vMerge w:val="continue"/>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62" w:type="dxa"/>
            <w:vMerge w:val="continue"/>
            <w:noWrap w:val="0"/>
            <w:vAlign w:val="center"/>
          </w:tcPr>
          <w:p>
            <w:pP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89" w:hRule="atLeast"/>
        </w:trPr>
        <w:tc>
          <w:tcPr>
            <w:tcW w:w="750" w:type="dxa"/>
            <w:noWrap w:val="0"/>
            <w:vAlign w:val="center"/>
          </w:tcPr>
          <w:p>
            <w:pPr>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应急预案</w:t>
            </w:r>
          </w:p>
        </w:tc>
        <w:tc>
          <w:tcPr>
            <w:tcW w:w="2770"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制定详细的防汛、防台、防旱、抗雪应急预案</w:t>
            </w:r>
          </w:p>
        </w:tc>
        <w:tc>
          <w:tcPr>
            <w:tcW w:w="600" w:type="dxa"/>
            <w:noWrap w:val="0"/>
            <w:vAlign w:val="center"/>
          </w:tcPr>
          <w:p>
            <w:pPr>
              <w:widowControl/>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w:t>
            </w:r>
          </w:p>
        </w:tc>
        <w:tc>
          <w:tcPr>
            <w:tcW w:w="4146"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未制定详细的应急预案，少一个应急预案的扣2分。</w:t>
            </w: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562"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0" w:hRule="atLeast"/>
        </w:trPr>
        <w:tc>
          <w:tcPr>
            <w:tcW w:w="3520" w:type="dxa"/>
            <w:gridSpan w:val="2"/>
            <w:noWrap w:val="0"/>
            <w:vAlign w:val="center"/>
          </w:tcPr>
          <w:p>
            <w:pPr>
              <w:widowControl/>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w:t>
            </w:r>
          </w:p>
        </w:tc>
        <w:tc>
          <w:tcPr>
            <w:tcW w:w="600" w:type="dxa"/>
            <w:noWrap w:val="0"/>
            <w:vAlign w:val="center"/>
          </w:tcPr>
          <w:p>
            <w:pPr>
              <w:widowControl/>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100</w:t>
            </w:r>
          </w:p>
        </w:tc>
        <w:tc>
          <w:tcPr>
            <w:tcW w:w="4146" w:type="dxa"/>
            <w:noWrap w:val="0"/>
            <w:vAlign w:val="center"/>
          </w:tcPr>
          <w:p>
            <w:pPr>
              <w:rPr>
                <w:rFonts w:hint="eastAsia" w:ascii="新宋体" w:hAnsi="新宋体" w:eastAsia="新宋体" w:cs="新宋体"/>
                <w:color w:val="auto"/>
                <w:sz w:val="22"/>
                <w:szCs w:val="22"/>
                <w:highlight w:val="none"/>
              </w:rPr>
            </w:pPr>
          </w:p>
        </w:tc>
        <w:tc>
          <w:tcPr>
            <w:tcW w:w="559" w:type="dxa"/>
            <w:noWrap w:val="0"/>
            <w:vAlign w:val="center"/>
          </w:tcPr>
          <w:p>
            <w:pPr>
              <w:jc w:val="center"/>
              <w:rPr>
                <w:rFonts w:hint="eastAsia" w:ascii="新宋体" w:hAnsi="新宋体" w:eastAsia="新宋体" w:cs="新宋体"/>
                <w:color w:val="auto"/>
                <w:sz w:val="22"/>
                <w:szCs w:val="22"/>
                <w:highlight w:val="none"/>
              </w:rPr>
            </w:pPr>
          </w:p>
        </w:tc>
        <w:tc>
          <w:tcPr>
            <w:tcW w:w="602"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100</w:t>
            </w:r>
          </w:p>
        </w:tc>
        <w:tc>
          <w:tcPr>
            <w:tcW w:w="562" w:type="dxa"/>
            <w:noWrap w:val="0"/>
            <w:vAlign w:val="center"/>
          </w:tcPr>
          <w:p>
            <w:pPr>
              <w:jc w:val="center"/>
              <w:rPr>
                <w:rFonts w:hint="eastAsia" w:ascii="新宋体" w:hAnsi="新宋体" w:eastAsia="新宋体" w:cs="新宋体"/>
                <w:color w:val="auto"/>
                <w:sz w:val="22"/>
                <w:szCs w:val="22"/>
                <w:highlight w:val="none"/>
              </w:rPr>
            </w:pPr>
          </w:p>
        </w:tc>
      </w:tr>
    </w:tbl>
    <w:p>
      <w:pPr>
        <w:rPr>
          <w:rFonts w:hint="eastAsia" w:ascii="新宋体" w:hAnsi="新宋体" w:eastAsia="新宋体" w:cs="新宋体"/>
          <w:vanish/>
          <w:color w:val="auto"/>
          <w:sz w:val="22"/>
          <w:szCs w:val="22"/>
          <w:highlight w:val="none"/>
        </w:rPr>
      </w:pPr>
    </w:p>
    <w:p>
      <w:pPr>
        <w:widowControl/>
        <w:autoSpaceDE w:val="0"/>
        <w:autoSpaceDN w:val="0"/>
        <w:adjustRightInd w:val="0"/>
        <w:spacing w:line="460" w:lineRule="atLeas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备注：1、依照《温州市区城市园林绿化养护管理考核办法》、《温州市园林绿化养护管理手册》、《绿化养护考核标准》考核评分细则进行综合计算考评。</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山福镇相关职能部门组成的考核小组将负责对起步区绿化养护质量进行检查考评，检查将采取明检、暗检相结合的方式，以暗检为主，每月综合考评一次。如需承包公司配合的将提前一小时通知该单位派员参加。</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3、绿地绿化养护考核，起评满分为各100分；90分以上(含)为优秀分，90分-85分（含）为达标分，低于85分为不达标绿地。每月综合评分不达标的，将按照处罚标准进行相应的处罚。</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bCs/>
          <w:color w:val="auto"/>
          <w:sz w:val="22"/>
          <w:szCs w:val="22"/>
          <w:highlight w:val="none"/>
        </w:rPr>
      </w:pPr>
    </w:p>
    <w:p>
      <w:pPr>
        <w:pStyle w:val="2"/>
        <w:rPr>
          <w:rFonts w:hint="eastAsia" w:ascii="新宋体" w:hAnsi="新宋体" w:eastAsia="新宋体" w:cs="新宋体"/>
          <w:color w:val="auto"/>
          <w:highlight w:val="none"/>
        </w:rPr>
      </w:pPr>
    </w:p>
    <w:p>
      <w:pPr>
        <w:widowControl/>
        <w:autoSpaceDE w:val="0"/>
        <w:autoSpaceDN w:val="0"/>
        <w:adjustRightInd w:val="0"/>
        <w:spacing w:line="460" w:lineRule="atLeast"/>
        <w:textAlignment w:val="bottom"/>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考 核 人：                   处领导审核：                   日   期：    年   月   日</w:t>
      </w:r>
    </w:p>
    <w:p>
      <w:pPr>
        <w:widowControl/>
        <w:autoSpaceDE w:val="0"/>
        <w:autoSpaceDN w:val="0"/>
        <w:adjustRightInd w:val="0"/>
        <w:spacing w:line="460" w:lineRule="atLeas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第五部分   评标原则及方法</w:t>
      </w:r>
      <w:bookmarkEnd w:id="47"/>
      <w:bookmarkEnd w:id="48"/>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49" w:name="_Toc4407"/>
      <w:bookmarkStart w:id="50" w:name="_Toc15713"/>
      <w:r>
        <w:rPr>
          <w:rFonts w:hint="eastAsia" w:ascii="宋体" w:hAnsi="宋体" w:eastAsia="宋体" w:cs="宋体"/>
          <w:b/>
          <w:color w:val="auto"/>
          <w:sz w:val="22"/>
          <w:szCs w:val="22"/>
          <w:highlight w:val="none"/>
        </w:rPr>
        <w:t>一、总 则</w:t>
      </w:r>
      <w:bookmarkEnd w:id="49"/>
      <w:bookmarkEnd w:id="50"/>
    </w:p>
    <w:p>
      <w:pPr>
        <w:spacing w:line="460" w:lineRule="exact"/>
        <w:ind w:firstLine="539" w:firstLineChars="245"/>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1" w:name="_Toc24468"/>
      <w:bookmarkStart w:id="52" w:name="_Toc23152"/>
      <w:r>
        <w:rPr>
          <w:rFonts w:hint="eastAsia" w:ascii="宋体" w:hAnsi="宋体" w:eastAsia="宋体" w:cs="宋体"/>
          <w:b/>
          <w:color w:val="auto"/>
          <w:sz w:val="22"/>
          <w:szCs w:val="22"/>
          <w:highlight w:val="none"/>
        </w:rPr>
        <w:t>二、评标组织</w:t>
      </w:r>
      <w:bookmarkEnd w:id="51"/>
      <w:bookmarkEnd w:id="52"/>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评标工作由招标人组建的评标委员会负责，评标全过程由有关部门指导监督。</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3" w:name="_Toc67"/>
      <w:bookmarkStart w:id="54" w:name="_Toc15153"/>
      <w:r>
        <w:rPr>
          <w:rFonts w:hint="eastAsia" w:ascii="宋体" w:hAnsi="宋体" w:eastAsia="宋体" w:cs="宋体"/>
          <w:b/>
          <w:color w:val="auto"/>
          <w:sz w:val="22"/>
          <w:szCs w:val="22"/>
          <w:highlight w:val="none"/>
        </w:rPr>
        <w:t>三、评标程序</w:t>
      </w:r>
      <w:bookmarkEnd w:id="53"/>
      <w:bookmarkEnd w:id="54"/>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评标委员按照招标文件中规定的评标方法和标准，对投标文件进行商务和技术评估，综合比较与评价</w:t>
      </w:r>
      <w:r>
        <w:rPr>
          <w:rFonts w:hint="eastAsia" w:ascii="宋体" w:hAnsi="宋体" w:eastAsia="宋体" w:cs="宋体"/>
          <w:color w:val="auto"/>
          <w:sz w:val="22"/>
          <w:szCs w:val="22"/>
          <w:highlight w:val="none"/>
        </w:rPr>
        <w:t>，根据综合评审结果，提交评审报告。</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5" w:name="_Toc24825"/>
      <w:bookmarkStart w:id="56" w:name="_Toc11306"/>
      <w:r>
        <w:rPr>
          <w:rFonts w:hint="eastAsia" w:ascii="宋体" w:hAnsi="宋体" w:eastAsia="宋体" w:cs="宋体"/>
          <w:b/>
          <w:color w:val="auto"/>
          <w:sz w:val="22"/>
          <w:szCs w:val="22"/>
          <w:highlight w:val="none"/>
        </w:rPr>
        <w:t>四、评标办法</w:t>
      </w:r>
      <w:bookmarkEnd w:id="55"/>
      <w:bookmarkEnd w:id="56"/>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eastAsia="宋体" w:cs="宋体"/>
          <w:b/>
          <w:color w:val="auto"/>
          <w:sz w:val="22"/>
          <w:szCs w:val="22"/>
          <w:highlight w:val="none"/>
        </w:rPr>
        <w:t>总分设定为100分：技术标</w:t>
      </w:r>
      <w:r>
        <w:rPr>
          <w:rFonts w:hint="eastAsia" w:ascii="宋体" w:hAnsi="宋体" w:cs="宋体"/>
          <w:b/>
          <w:color w:val="auto"/>
          <w:sz w:val="22"/>
          <w:szCs w:val="22"/>
          <w:highlight w:val="none"/>
          <w:lang w:val="en-US" w:eastAsia="zh-CN"/>
        </w:rPr>
        <w:t>80</w:t>
      </w:r>
      <w:r>
        <w:rPr>
          <w:rFonts w:hint="eastAsia" w:ascii="宋体" w:hAnsi="宋体" w:eastAsia="宋体" w:cs="宋体"/>
          <w:b/>
          <w:color w:val="auto"/>
          <w:sz w:val="22"/>
          <w:szCs w:val="22"/>
          <w:highlight w:val="none"/>
        </w:rPr>
        <w:t>分（权值</w:t>
      </w:r>
      <w:r>
        <w:rPr>
          <w:rFonts w:hint="eastAsia" w:ascii="宋体" w:hAnsi="宋体" w:cs="宋体"/>
          <w:b/>
          <w:color w:val="auto"/>
          <w:sz w:val="22"/>
          <w:szCs w:val="22"/>
          <w:highlight w:val="none"/>
          <w:lang w:val="en-US" w:eastAsia="zh-CN"/>
        </w:rPr>
        <w:t>80</w:t>
      </w:r>
      <w:r>
        <w:rPr>
          <w:rFonts w:hint="eastAsia" w:ascii="宋体" w:hAnsi="宋体" w:eastAsia="宋体" w:cs="宋体"/>
          <w:b/>
          <w:color w:val="auto"/>
          <w:sz w:val="22"/>
          <w:szCs w:val="22"/>
          <w:highlight w:val="none"/>
        </w:rPr>
        <w:t>%），商务标（报价）</w:t>
      </w:r>
      <w:r>
        <w:rPr>
          <w:rFonts w:hint="eastAsia" w:ascii="宋体" w:hAnsi="宋体" w:cs="宋体"/>
          <w:b/>
          <w:color w:val="auto"/>
          <w:sz w:val="22"/>
          <w:szCs w:val="22"/>
          <w:highlight w:val="none"/>
          <w:lang w:val="en-US" w:eastAsia="zh-CN"/>
        </w:rPr>
        <w:t>20</w:t>
      </w:r>
      <w:r>
        <w:rPr>
          <w:rFonts w:hint="eastAsia" w:ascii="宋体" w:hAnsi="宋体" w:eastAsia="宋体" w:cs="宋体"/>
          <w:b/>
          <w:color w:val="auto"/>
          <w:sz w:val="22"/>
          <w:szCs w:val="22"/>
          <w:highlight w:val="none"/>
        </w:rPr>
        <w:t>分（权值</w:t>
      </w:r>
      <w:r>
        <w:rPr>
          <w:rFonts w:hint="eastAsia" w:ascii="宋体" w:hAnsi="宋体" w:cs="宋体"/>
          <w:b/>
          <w:color w:val="auto"/>
          <w:sz w:val="22"/>
          <w:szCs w:val="22"/>
          <w:highlight w:val="none"/>
          <w:lang w:val="en-US" w:eastAsia="zh-CN"/>
        </w:rPr>
        <w:t>20</w:t>
      </w:r>
      <w:r>
        <w:rPr>
          <w:rFonts w:hint="eastAsia" w:ascii="宋体" w:hAnsi="宋体" w:eastAsia="宋体" w:cs="宋体"/>
          <w:b/>
          <w:color w:val="auto"/>
          <w:sz w:val="22"/>
          <w:szCs w:val="22"/>
          <w:highlight w:val="none"/>
        </w:rPr>
        <w:t>%）。</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7" w:name="_Toc11450"/>
      <w:bookmarkStart w:id="58" w:name="_Toc1535"/>
      <w:r>
        <w:rPr>
          <w:rFonts w:hint="eastAsia" w:ascii="宋体" w:hAnsi="宋体" w:eastAsia="宋体" w:cs="宋体"/>
          <w:b/>
          <w:color w:val="auto"/>
          <w:sz w:val="22"/>
          <w:szCs w:val="22"/>
          <w:highlight w:val="none"/>
        </w:rPr>
        <w:t>评分细则</w:t>
      </w:r>
      <w:bookmarkEnd w:id="57"/>
      <w:bookmarkEnd w:id="58"/>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1、技术分的评定：技术标</w:t>
      </w:r>
      <w:r>
        <w:rPr>
          <w:rFonts w:hint="eastAsia" w:ascii="宋体" w:hAnsi="宋体" w:cs="宋体"/>
          <w:b/>
          <w:color w:val="auto"/>
          <w:sz w:val="22"/>
          <w:szCs w:val="22"/>
          <w:highlight w:val="none"/>
          <w:lang w:val="en-US" w:eastAsia="zh-CN"/>
        </w:rPr>
        <w:t>80</w:t>
      </w:r>
      <w:r>
        <w:rPr>
          <w:rFonts w:hint="eastAsia" w:ascii="宋体" w:hAnsi="宋体" w:eastAsia="宋体" w:cs="宋体"/>
          <w:b/>
          <w:color w:val="auto"/>
          <w:sz w:val="22"/>
          <w:szCs w:val="22"/>
          <w:highlight w:val="none"/>
        </w:rPr>
        <w:t>分（权值</w:t>
      </w:r>
      <w:r>
        <w:rPr>
          <w:rFonts w:hint="eastAsia" w:ascii="宋体" w:hAnsi="宋体" w:cs="宋体"/>
          <w:b/>
          <w:color w:val="auto"/>
          <w:sz w:val="22"/>
          <w:szCs w:val="22"/>
          <w:highlight w:val="none"/>
          <w:lang w:val="en-US" w:eastAsia="zh-CN"/>
        </w:rPr>
        <w:t>80</w:t>
      </w:r>
      <w:r>
        <w:rPr>
          <w:rFonts w:hint="eastAsia" w:ascii="宋体" w:hAnsi="宋体" w:eastAsia="宋体" w:cs="宋体"/>
          <w:b/>
          <w:color w:val="auto"/>
          <w:sz w:val="22"/>
          <w:szCs w:val="22"/>
          <w:highlight w:val="none"/>
        </w:rPr>
        <w:t>%）</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eastAsia="宋体" w:cs="宋体"/>
          <w:color w:val="auto"/>
          <w:sz w:val="22"/>
          <w:highlight w:val="none"/>
        </w:rPr>
        <w:t>各评标委员会成员对各投标人的各项评分内容评分的算术平均值为各投标人技术分得分</w:t>
      </w:r>
      <w:r>
        <w:rPr>
          <w:rFonts w:hint="eastAsia" w:ascii="宋体" w:hAnsi="宋体" w:eastAsia="宋体" w:cs="宋体"/>
          <w:color w:val="auto"/>
          <w:sz w:val="22"/>
          <w:szCs w:val="22"/>
          <w:highlight w:val="none"/>
        </w:rPr>
        <w:t>（小数点后按四舍五入保留2位）。</w:t>
      </w:r>
    </w:p>
    <w:tbl>
      <w:tblPr>
        <w:tblStyle w:val="53"/>
        <w:tblW w:w="10212" w:type="dxa"/>
        <w:tblInd w:w="-312" w:type="dxa"/>
        <w:tblLayout w:type="fixed"/>
        <w:tblCellMar>
          <w:top w:w="0" w:type="dxa"/>
          <w:left w:w="108" w:type="dxa"/>
          <w:bottom w:w="0" w:type="dxa"/>
          <w:right w:w="108" w:type="dxa"/>
        </w:tblCellMar>
      </w:tblPr>
      <w:tblGrid>
        <w:gridCol w:w="700"/>
        <w:gridCol w:w="1562"/>
        <w:gridCol w:w="912"/>
        <w:gridCol w:w="7038"/>
      </w:tblGrid>
      <w:tr>
        <w:tblPrEx>
          <w:tblCellMar>
            <w:top w:w="0" w:type="dxa"/>
            <w:left w:w="108" w:type="dxa"/>
            <w:bottom w:w="0" w:type="dxa"/>
            <w:right w:w="108" w:type="dxa"/>
          </w:tblCellMar>
        </w:tblPrEx>
        <w:trPr>
          <w:cantSplit/>
          <w:trHeight w:val="581"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序号</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评分内容</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分值</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6"/>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评审标准</w:t>
            </w:r>
          </w:p>
        </w:tc>
      </w:tr>
      <w:tr>
        <w:tblPrEx>
          <w:tblCellMar>
            <w:top w:w="0" w:type="dxa"/>
            <w:left w:w="108" w:type="dxa"/>
            <w:bottom w:w="0" w:type="dxa"/>
            <w:right w:w="108" w:type="dxa"/>
          </w:tblCellMar>
        </w:tblPrEx>
        <w:trPr>
          <w:cantSplit/>
          <w:trHeight w:val="2097"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pacing w:val="4"/>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项目负责人、现场园林专业管理人员情况</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w:t>
            </w:r>
            <w:r>
              <w:rPr>
                <w:rFonts w:hint="eastAsia" w:asciiTheme="minorEastAsia" w:hAnsiTheme="minorEastAsia" w:eastAsiaTheme="minorEastAsia" w:cstheme="minorEastAsia"/>
                <w:color w:val="auto"/>
                <w:sz w:val="22"/>
                <w:szCs w:val="22"/>
                <w:highlight w:val="none"/>
                <w:lang w:val="en-US" w:eastAsia="zh-CN"/>
              </w:rPr>
              <w:t>8</w:t>
            </w:r>
            <w:r>
              <w:rPr>
                <w:rFonts w:hint="eastAsia" w:asciiTheme="minorEastAsia" w:hAnsiTheme="minorEastAsia" w:eastAsiaTheme="minorEastAsia" w:cstheme="minorEastAsia"/>
                <w:color w:val="auto"/>
                <w:sz w:val="22"/>
                <w:szCs w:val="22"/>
                <w:highlight w:val="none"/>
              </w:rPr>
              <w:t>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（1）项目负责人：具有园林高级工程师证书的得4分，具备园林中级工程师证书得2分。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（2）投入人员（不含项目负责人）中具有园林中级及以上工程师证书的每人得1分，最高得</w:t>
            </w:r>
            <w:r>
              <w:rPr>
                <w:rFonts w:hint="eastAsia" w:asciiTheme="minorEastAsia" w:hAnsiTheme="minorEastAsia" w:eastAsiaTheme="minorEastAsia" w:cstheme="minorEastAsia"/>
                <w:color w:val="auto"/>
                <w:sz w:val="22"/>
                <w:szCs w:val="22"/>
                <w:highlight w:val="none"/>
                <w:lang w:val="en-US" w:eastAsia="zh-CN"/>
              </w:rPr>
              <w:t>4</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【注：同一个人员按最高可得分只计算一次得分。需提供拟投入人员的职称证书及近3个月由社保中心打印出具的社保明细缴费单（扫描印件加盖公章）】</w:t>
            </w:r>
          </w:p>
        </w:tc>
      </w:tr>
      <w:tr>
        <w:tblPrEx>
          <w:tblCellMar>
            <w:top w:w="0" w:type="dxa"/>
            <w:left w:w="108" w:type="dxa"/>
            <w:bottom w:w="0" w:type="dxa"/>
            <w:right w:w="108" w:type="dxa"/>
          </w:tblCellMar>
        </w:tblPrEx>
        <w:trPr>
          <w:cantSplit/>
          <w:trHeight w:val="1291"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作业人员配备、排班计划及人员管理措施</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w:t>
            </w:r>
            <w:r>
              <w:rPr>
                <w:rFonts w:hint="eastAsia" w:asciiTheme="minorEastAsia" w:hAnsiTheme="minorEastAsia" w:eastAsiaTheme="minorEastAsia" w:cstheme="minorEastAsia"/>
                <w:color w:val="auto"/>
                <w:sz w:val="22"/>
                <w:szCs w:val="22"/>
                <w:highlight w:val="none"/>
                <w:lang w:val="en-US" w:eastAsia="zh-CN"/>
              </w:rPr>
              <w:t>10</w:t>
            </w:r>
            <w:r>
              <w:rPr>
                <w:rFonts w:hint="eastAsia" w:asciiTheme="minorEastAsia" w:hAnsiTheme="minorEastAsia" w:eastAsiaTheme="minorEastAsia" w:cstheme="minorEastAsia"/>
                <w:color w:val="auto"/>
                <w:sz w:val="22"/>
                <w:szCs w:val="22"/>
                <w:highlight w:val="none"/>
              </w:rPr>
              <w:t>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根据投标供应商针对本标段计划配备的绿化养护作业人员分配的合理性（人数及工种、年龄结构配置、结合路段实际情况配置等），排班计划，人员管理措施等的满足性、合理性打分。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内容合理、科学、全面，得</w:t>
            </w:r>
            <w:r>
              <w:rPr>
                <w:rFonts w:hint="eastAsia" w:asciiTheme="minorEastAsia" w:hAnsiTheme="minorEastAsia" w:eastAsiaTheme="minorEastAsia" w:cstheme="minorEastAsia"/>
                <w:color w:val="auto"/>
                <w:sz w:val="22"/>
                <w:szCs w:val="22"/>
                <w:highlight w:val="none"/>
                <w:lang w:val="en-US" w:eastAsia="zh-CN"/>
              </w:rPr>
              <w:t>10</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内容基本合理、科学、全面，得</w:t>
            </w:r>
            <w:r>
              <w:rPr>
                <w:rFonts w:hint="eastAsia" w:asciiTheme="minorEastAsia" w:hAnsiTheme="minorEastAsia" w:eastAsiaTheme="minorEastAsia" w:cstheme="minorEastAsia"/>
                <w:color w:val="auto"/>
                <w:sz w:val="22"/>
                <w:szCs w:val="22"/>
                <w:highlight w:val="none"/>
                <w:lang w:val="en-US" w:eastAsia="zh-CN"/>
              </w:rPr>
              <w:t>7-3</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内容不合理或不能满足本项目要求，得</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-0分；</w:t>
            </w:r>
          </w:p>
        </w:tc>
      </w:tr>
      <w:tr>
        <w:tblPrEx>
          <w:tblCellMar>
            <w:top w:w="0" w:type="dxa"/>
            <w:left w:w="108" w:type="dxa"/>
            <w:bottom w:w="0" w:type="dxa"/>
            <w:right w:w="108" w:type="dxa"/>
          </w:tblCellMar>
        </w:tblPrEx>
        <w:trPr>
          <w:cantSplit/>
          <w:trHeight w:val="9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项目实施拟投入大型设备配置情况</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大型设备配置情况打分：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配置</w:t>
            </w:r>
            <w:r>
              <w:rPr>
                <w:rFonts w:hint="eastAsia" w:asciiTheme="minorEastAsia" w:hAnsiTheme="minorEastAsia" w:eastAsiaTheme="minorEastAsia" w:cstheme="minorEastAsia"/>
                <w:color w:val="auto"/>
                <w:sz w:val="22"/>
                <w:szCs w:val="22"/>
                <w:highlight w:val="none"/>
              </w:rPr>
              <w:t>2辆绿化洒水车的得2分，</w:t>
            </w:r>
            <w:r>
              <w:rPr>
                <w:rFonts w:hint="eastAsia" w:asciiTheme="minorEastAsia" w:hAnsiTheme="minorEastAsia" w:eastAsiaTheme="minorEastAsia" w:cstheme="minorEastAsia"/>
                <w:color w:val="auto"/>
                <w:sz w:val="22"/>
                <w:szCs w:val="22"/>
                <w:highlight w:val="none"/>
                <w:lang w:val="en-US" w:eastAsia="zh-CN"/>
              </w:rPr>
              <w:t>配置</w:t>
            </w:r>
            <w:r>
              <w:rPr>
                <w:rFonts w:hint="eastAsia" w:asciiTheme="minorEastAsia" w:hAnsiTheme="minorEastAsia" w:eastAsiaTheme="minorEastAsia" w:cstheme="minorEastAsia"/>
                <w:color w:val="auto"/>
                <w:sz w:val="22"/>
                <w:szCs w:val="22"/>
                <w:highlight w:val="none"/>
              </w:rPr>
              <w:t>1辆绿化洒水车的得1分，本项最多得2分；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配置</w:t>
            </w:r>
            <w:r>
              <w:rPr>
                <w:rFonts w:hint="eastAsia" w:asciiTheme="minorEastAsia" w:hAnsiTheme="minorEastAsia" w:eastAsiaTheme="minorEastAsia" w:cstheme="minorEastAsia"/>
                <w:color w:val="auto"/>
                <w:sz w:val="22"/>
                <w:szCs w:val="22"/>
                <w:highlight w:val="none"/>
              </w:rPr>
              <w:t>1辆运输车的得1分，本项最多得1分；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配置</w:t>
            </w:r>
            <w:r>
              <w:rPr>
                <w:rFonts w:hint="eastAsia" w:asciiTheme="minorEastAsia" w:hAnsiTheme="minorEastAsia" w:eastAsiaTheme="minorEastAsia" w:cstheme="minorEastAsia"/>
                <w:color w:val="auto"/>
                <w:sz w:val="22"/>
                <w:szCs w:val="22"/>
                <w:highlight w:val="none"/>
              </w:rPr>
              <w:t>1辆管理车的得1分，本项最多得1分；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配置</w:t>
            </w:r>
            <w:r>
              <w:rPr>
                <w:rFonts w:hint="eastAsia" w:asciiTheme="minorEastAsia" w:hAnsiTheme="minorEastAsia" w:eastAsiaTheme="minorEastAsia" w:cstheme="minorEastAsia"/>
                <w:color w:val="auto"/>
                <w:sz w:val="22"/>
                <w:szCs w:val="22"/>
                <w:highlight w:val="none"/>
              </w:rPr>
              <w:t>1辆</w:t>
            </w:r>
            <w:r>
              <w:rPr>
                <w:rFonts w:hint="eastAsia" w:asciiTheme="minorEastAsia" w:hAnsiTheme="minorEastAsia" w:eastAsiaTheme="minorEastAsia" w:cstheme="minorEastAsia"/>
                <w:color w:val="auto"/>
                <w:sz w:val="22"/>
                <w:szCs w:val="22"/>
                <w:highlight w:val="none"/>
                <w:lang w:val="en-US" w:eastAsia="zh-CN"/>
              </w:rPr>
              <w:t>登高</w:t>
            </w:r>
            <w:r>
              <w:rPr>
                <w:rFonts w:hint="eastAsia" w:asciiTheme="minorEastAsia" w:hAnsiTheme="minorEastAsia" w:eastAsiaTheme="minorEastAsia" w:cstheme="minorEastAsia"/>
                <w:color w:val="auto"/>
                <w:sz w:val="22"/>
                <w:szCs w:val="22"/>
                <w:highlight w:val="none"/>
              </w:rPr>
              <w:t>车的得1分，本项最多得1分；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【注：1.提供车辆行驶证复印件</w:t>
            </w:r>
            <w:r>
              <w:rPr>
                <w:rFonts w:hint="eastAsia" w:asciiTheme="minorEastAsia" w:hAnsiTheme="minorEastAsia" w:eastAsiaTheme="minorEastAsia" w:cstheme="minorEastAsia"/>
                <w:color w:val="auto"/>
                <w:sz w:val="22"/>
                <w:szCs w:val="22"/>
                <w:highlight w:val="none"/>
                <w:lang w:val="en-US" w:eastAsia="zh-CN"/>
              </w:rPr>
              <w:t>加盖公章</w:t>
            </w:r>
            <w:r>
              <w:rPr>
                <w:rFonts w:hint="eastAsia" w:asciiTheme="minorEastAsia" w:hAnsiTheme="minorEastAsia" w:eastAsiaTheme="minorEastAsia" w:cstheme="minorEastAsia"/>
                <w:color w:val="auto"/>
                <w:sz w:val="22"/>
                <w:szCs w:val="22"/>
                <w:highlight w:val="none"/>
              </w:rPr>
              <w:t>，否则不得分。如果已经购买车辆未办理行驶证，则提供购车合同及发票复印件</w:t>
            </w:r>
            <w:r>
              <w:rPr>
                <w:rFonts w:hint="eastAsia" w:asciiTheme="minorEastAsia" w:hAnsiTheme="minorEastAsia" w:eastAsiaTheme="minorEastAsia" w:cstheme="minorEastAsia"/>
                <w:color w:val="auto"/>
                <w:sz w:val="22"/>
                <w:szCs w:val="22"/>
                <w:highlight w:val="none"/>
                <w:lang w:val="en-US" w:eastAsia="zh-CN"/>
              </w:rPr>
              <w:t>加盖公章</w:t>
            </w:r>
            <w:r>
              <w:rPr>
                <w:rFonts w:hint="eastAsia" w:asciiTheme="minorEastAsia" w:hAnsiTheme="minorEastAsia" w:eastAsiaTheme="minorEastAsia" w:cstheme="minorEastAsia"/>
                <w:color w:val="auto"/>
                <w:sz w:val="22"/>
                <w:szCs w:val="22"/>
                <w:highlight w:val="none"/>
              </w:rPr>
              <w:t>，否则不得分。</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.车辆如为租赁的，提供租赁合同复印件，否则不得分。】</w:t>
            </w:r>
          </w:p>
        </w:tc>
      </w:tr>
      <w:tr>
        <w:tblPrEx>
          <w:tblCellMar>
            <w:top w:w="0" w:type="dxa"/>
            <w:left w:w="108" w:type="dxa"/>
            <w:bottom w:w="0" w:type="dxa"/>
            <w:right w:w="108" w:type="dxa"/>
          </w:tblCellMar>
        </w:tblPrEx>
        <w:trPr>
          <w:cantSplit/>
          <w:trHeight w:val="1348"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拟投入小型设备配置情况</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0-5</w:t>
            </w:r>
            <w:r>
              <w:rPr>
                <w:rFonts w:hint="eastAsia" w:asciiTheme="minorEastAsia" w:hAnsiTheme="minorEastAsia" w:eastAsiaTheme="minorEastAsia" w:cstheme="minorEastAsia"/>
                <w:bCs/>
                <w:color w:val="auto"/>
                <w:sz w:val="22"/>
                <w:szCs w:val="22"/>
                <w:highlight w:val="none"/>
              </w:rPr>
              <w:t>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供应商自有：喷药机、剪草机、水泵、绿篱机、落叶吹风机、草坪梳草机、打孔机、275公斤及以上高压清洗机、剪叉自行走式升降机、割灌机小型绿化养护设备，每一样设备得0.5分，满分5分。【注：投标文件中需提供设备照片、发票（扫描件加盖公章），发票抬头须与投标单位名称一致否则不得分</w:t>
            </w:r>
            <w:r>
              <w:rPr>
                <w:rFonts w:hint="eastAsia" w:asciiTheme="minorEastAsia" w:hAnsiTheme="minorEastAsia" w:eastAsiaTheme="minorEastAsia" w:cstheme="minorEastAsia"/>
                <w:b/>
                <w:bCs/>
                <w:color w:val="auto"/>
                <w:sz w:val="22"/>
                <w:szCs w:val="22"/>
                <w:highlight w:val="none"/>
              </w:rPr>
              <w:t>。】</w:t>
            </w:r>
          </w:p>
        </w:tc>
      </w:tr>
      <w:tr>
        <w:tblPrEx>
          <w:tblCellMar>
            <w:top w:w="0" w:type="dxa"/>
            <w:left w:w="108" w:type="dxa"/>
            <w:bottom w:w="0" w:type="dxa"/>
            <w:right w:w="108" w:type="dxa"/>
          </w:tblCellMar>
        </w:tblPrEx>
        <w:trPr>
          <w:cantSplit/>
          <w:trHeight w:val="1592"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对本标段现状的调查与问题剖析</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0-10分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（1）根据投标供应商对原绿地养护现状、存在的问题和绿化养护的难点、要点及各绿地调查的全面性等问题进行调查剖析。</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（2）针对性的提出克服难点和要点技术措施。</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合理、</w:t>
            </w:r>
            <w:r>
              <w:rPr>
                <w:rFonts w:hint="eastAsia" w:asciiTheme="minorEastAsia" w:hAnsiTheme="minorEastAsia" w:eastAsiaTheme="minorEastAsia" w:cstheme="minorEastAsia"/>
                <w:color w:val="auto"/>
                <w:sz w:val="22"/>
                <w:szCs w:val="22"/>
                <w:highlight w:val="none"/>
                <w:lang w:val="en-US" w:eastAsia="zh-CN"/>
              </w:rPr>
              <w:t>全面、针对性强的</w:t>
            </w:r>
            <w:r>
              <w:rPr>
                <w:rFonts w:hint="eastAsia" w:asciiTheme="minorEastAsia" w:hAnsiTheme="minorEastAsia" w:eastAsiaTheme="minorEastAsia" w:cstheme="minorEastAsia"/>
                <w:color w:val="auto"/>
                <w:sz w:val="22"/>
                <w:szCs w:val="22"/>
                <w:highlight w:val="none"/>
              </w:rPr>
              <w:t>，得</w:t>
            </w:r>
            <w:r>
              <w:rPr>
                <w:rFonts w:hint="eastAsia" w:asciiTheme="minorEastAsia" w:hAnsiTheme="minorEastAsia" w:eastAsiaTheme="minorEastAsia" w:cstheme="minorEastAsia"/>
                <w:color w:val="auto"/>
                <w:sz w:val="22"/>
                <w:szCs w:val="22"/>
                <w:highlight w:val="none"/>
                <w:lang w:val="en-US" w:eastAsia="zh-CN"/>
              </w:rPr>
              <w:t>10</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基本合理、</w:t>
            </w:r>
            <w:r>
              <w:rPr>
                <w:rFonts w:hint="eastAsia" w:asciiTheme="minorEastAsia" w:hAnsiTheme="minorEastAsia" w:eastAsiaTheme="minorEastAsia" w:cstheme="minorEastAsia"/>
                <w:color w:val="auto"/>
                <w:sz w:val="22"/>
                <w:szCs w:val="22"/>
                <w:highlight w:val="none"/>
                <w:lang w:val="en-US" w:eastAsia="zh-CN"/>
              </w:rPr>
              <w:t>针对性一般的</w:t>
            </w:r>
            <w:r>
              <w:rPr>
                <w:rFonts w:hint="eastAsia" w:asciiTheme="minorEastAsia" w:hAnsiTheme="minorEastAsia" w:eastAsiaTheme="minorEastAsia" w:cstheme="minorEastAsia"/>
                <w:color w:val="auto"/>
                <w:sz w:val="22"/>
                <w:szCs w:val="22"/>
                <w:highlight w:val="none"/>
              </w:rPr>
              <w:t>，得</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不合理</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无针对性的</w:t>
            </w:r>
            <w:r>
              <w:rPr>
                <w:rFonts w:hint="eastAsia" w:asciiTheme="minorEastAsia" w:hAnsiTheme="minorEastAsia" w:eastAsiaTheme="minorEastAsia" w:cstheme="minorEastAsia"/>
                <w:color w:val="auto"/>
                <w:sz w:val="22"/>
                <w:szCs w:val="22"/>
                <w:highlight w:val="none"/>
              </w:rPr>
              <w:t>，得</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-0分；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注：存在严重抄袭或虚夸内容过多或调查绿地不全面或针对性不强或重点不突出的，经评标委员会认定该项得0分。</w:t>
            </w:r>
          </w:p>
        </w:tc>
      </w:tr>
      <w:tr>
        <w:tblPrEx>
          <w:tblCellMar>
            <w:top w:w="0" w:type="dxa"/>
            <w:left w:w="108" w:type="dxa"/>
            <w:bottom w:w="0" w:type="dxa"/>
            <w:right w:w="108" w:type="dxa"/>
          </w:tblCellMar>
        </w:tblPrEx>
        <w:trPr>
          <w:cantSplit/>
          <w:trHeight w:val="1739"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绿化养护组织管理及作业方案</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0-10分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（1）根据投标供应商整体组织方案的完整性、合理性、可靠性，服务意识是否明确到位、条理是否清楚以及投标供应商对本标段的重视程度打分。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（2）根据投标供应商具体针对本标段的绿化养护作业及实施打分。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合理、</w:t>
            </w:r>
            <w:r>
              <w:rPr>
                <w:rFonts w:hint="eastAsia" w:asciiTheme="minorEastAsia" w:hAnsiTheme="minorEastAsia" w:eastAsiaTheme="minorEastAsia" w:cstheme="minorEastAsia"/>
                <w:color w:val="auto"/>
                <w:sz w:val="22"/>
                <w:szCs w:val="22"/>
                <w:highlight w:val="none"/>
                <w:lang w:val="en-US" w:eastAsia="zh-CN"/>
              </w:rPr>
              <w:t>全面、针对性强的</w:t>
            </w:r>
            <w:r>
              <w:rPr>
                <w:rFonts w:hint="eastAsia" w:asciiTheme="minorEastAsia" w:hAnsiTheme="minorEastAsia" w:eastAsiaTheme="minorEastAsia" w:cstheme="minorEastAsia"/>
                <w:color w:val="auto"/>
                <w:sz w:val="22"/>
                <w:szCs w:val="22"/>
                <w:highlight w:val="none"/>
              </w:rPr>
              <w:t>，得</w:t>
            </w:r>
            <w:r>
              <w:rPr>
                <w:rFonts w:hint="eastAsia" w:asciiTheme="minorEastAsia" w:hAnsiTheme="minorEastAsia" w:eastAsiaTheme="minorEastAsia" w:cstheme="minorEastAsia"/>
                <w:color w:val="auto"/>
                <w:sz w:val="22"/>
                <w:szCs w:val="22"/>
                <w:highlight w:val="none"/>
                <w:lang w:val="en-US" w:eastAsia="zh-CN"/>
              </w:rPr>
              <w:t>10</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基本合理、</w:t>
            </w:r>
            <w:r>
              <w:rPr>
                <w:rFonts w:hint="eastAsia" w:asciiTheme="minorEastAsia" w:hAnsiTheme="minorEastAsia" w:eastAsiaTheme="minorEastAsia" w:cstheme="minorEastAsia"/>
                <w:color w:val="auto"/>
                <w:sz w:val="22"/>
                <w:szCs w:val="22"/>
                <w:highlight w:val="none"/>
                <w:lang w:val="en-US" w:eastAsia="zh-CN"/>
              </w:rPr>
              <w:t>针对性一般的</w:t>
            </w:r>
            <w:r>
              <w:rPr>
                <w:rFonts w:hint="eastAsia" w:asciiTheme="minorEastAsia" w:hAnsiTheme="minorEastAsia" w:eastAsiaTheme="minorEastAsia" w:cstheme="minorEastAsia"/>
                <w:color w:val="auto"/>
                <w:sz w:val="22"/>
                <w:szCs w:val="22"/>
                <w:highlight w:val="none"/>
              </w:rPr>
              <w:t>，得</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不合理</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无针对性的</w:t>
            </w:r>
            <w:r>
              <w:rPr>
                <w:rFonts w:hint="eastAsia" w:asciiTheme="minorEastAsia" w:hAnsiTheme="minorEastAsia" w:eastAsiaTheme="minorEastAsia" w:cstheme="minorEastAsia"/>
                <w:color w:val="auto"/>
                <w:sz w:val="22"/>
                <w:szCs w:val="22"/>
                <w:highlight w:val="none"/>
              </w:rPr>
              <w:t>，得</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-0分；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注：存在严重抄袭或虚夸内容过多或针对性不强或重点不突出的或可操作性不强的，经评标委员会认定该项得0分。</w:t>
            </w:r>
          </w:p>
        </w:tc>
      </w:tr>
      <w:tr>
        <w:tblPrEx>
          <w:tblCellMar>
            <w:top w:w="0" w:type="dxa"/>
            <w:left w:w="108" w:type="dxa"/>
            <w:bottom w:w="0" w:type="dxa"/>
            <w:right w:w="108" w:type="dxa"/>
          </w:tblCellMar>
        </w:tblPrEx>
        <w:trPr>
          <w:cantSplit/>
          <w:trHeight w:val="1371"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拟设立的各项管理规章制度及考核内容</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Cs/>
                <w:color w:val="auto"/>
                <w:sz w:val="22"/>
                <w:szCs w:val="22"/>
                <w:highlight w:val="none"/>
              </w:rPr>
              <w:t>0-</w:t>
            </w:r>
            <w:r>
              <w:rPr>
                <w:rFonts w:hint="eastAsia" w:asciiTheme="minorEastAsia" w:hAnsiTheme="minorEastAsia" w:eastAsiaTheme="minorEastAsia" w:cstheme="minorEastAsia"/>
                <w:bCs/>
                <w:color w:val="auto"/>
                <w:sz w:val="22"/>
                <w:szCs w:val="22"/>
                <w:highlight w:val="none"/>
                <w:lang w:val="en-US" w:eastAsia="zh-CN"/>
              </w:rPr>
              <w:t>9</w:t>
            </w:r>
            <w:r>
              <w:rPr>
                <w:rFonts w:hint="eastAsia" w:asciiTheme="minorEastAsia" w:hAnsiTheme="minorEastAsia" w:eastAsiaTheme="minorEastAsia" w:cstheme="minorEastAsia"/>
                <w:bCs/>
                <w:color w:val="auto"/>
                <w:sz w:val="22"/>
                <w:szCs w:val="22"/>
                <w:highlight w:val="none"/>
              </w:rPr>
              <w:t>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（1）根据项目管理机构整体架构合理性、管理措施及内部考核制度等，进行打分。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（2）根据投标供应商各项规章管理制度、劳动保障体系（如员工福利等）、安全生产措施、行政管理制度等，进行打分。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内部管理架构完善合理、管理规章制度明确高效，得</w:t>
            </w:r>
            <w:r>
              <w:rPr>
                <w:rFonts w:hint="eastAsia" w:asciiTheme="minorEastAsia" w:hAnsiTheme="minorEastAsia" w:eastAsiaTheme="minorEastAsia" w:cstheme="minorEastAsia"/>
                <w:color w:val="auto"/>
                <w:sz w:val="22"/>
                <w:szCs w:val="22"/>
                <w:highlight w:val="none"/>
                <w:lang w:val="en-US" w:eastAsia="zh-CN"/>
              </w:rPr>
              <w:t>9</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6</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内部管理架构基本合理、管理规章制度基本明确，得</w:t>
            </w:r>
            <w:r>
              <w:rPr>
                <w:rFonts w:hint="eastAsia" w:asciiTheme="minorEastAsia" w:hAnsiTheme="minorEastAsia" w:eastAsiaTheme="minorEastAsia" w:cstheme="minorEastAsia"/>
                <w:color w:val="auto"/>
                <w:sz w:val="22"/>
                <w:szCs w:val="22"/>
                <w:highlight w:val="none"/>
                <w:lang w:val="en-US" w:eastAsia="zh-CN"/>
              </w:rPr>
              <w:t>6</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内部管理架构不合理或不能满足本项目要求，得</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-0分。</w:t>
            </w:r>
          </w:p>
        </w:tc>
      </w:tr>
      <w:tr>
        <w:tblPrEx>
          <w:tblCellMar>
            <w:top w:w="0" w:type="dxa"/>
            <w:left w:w="108" w:type="dxa"/>
            <w:bottom w:w="0" w:type="dxa"/>
            <w:right w:w="108" w:type="dxa"/>
          </w:tblCellMar>
        </w:tblPrEx>
        <w:trPr>
          <w:cantSplit/>
          <w:trHeight w:val="1005" w:hRule="atLeast"/>
        </w:trPr>
        <w:tc>
          <w:tcPr>
            <w:tcW w:w="700" w:type="dxa"/>
            <w:tcBorders>
              <w:top w:val="single" w:color="000000" w:sz="4" w:space="0"/>
              <w:left w:val="single" w:color="000000" w:sz="4" w:space="0"/>
              <w:bottom w:val="single" w:color="auto"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auto"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项目质量管理保证措施</w:t>
            </w:r>
          </w:p>
        </w:tc>
        <w:tc>
          <w:tcPr>
            <w:tcW w:w="912" w:type="dxa"/>
            <w:tcBorders>
              <w:top w:val="single" w:color="000000" w:sz="4" w:space="0"/>
              <w:left w:val="single" w:color="000000" w:sz="4" w:space="0"/>
              <w:bottom w:val="single" w:color="auto"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w:t>
            </w:r>
            <w:r>
              <w:rPr>
                <w:rFonts w:hint="eastAsia" w:asciiTheme="minorEastAsia" w:hAnsiTheme="minorEastAsia" w:eastAsiaTheme="minorEastAsia" w:cstheme="minorEastAsia"/>
                <w:color w:val="auto"/>
                <w:sz w:val="22"/>
                <w:szCs w:val="22"/>
                <w:highlight w:val="none"/>
                <w:lang w:val="en-US" w:eastAsia="zh-CN"/>
              </w:rPr>
              <w:t>10</w:t>
            </w:r>
            <w:r>
              <w:rPr>
                <w:rFonts w:hint="eastAsia" w:asciiTheme="minorEastAsia" w:hAnsiTheme="minorEastAsia" w:eastAsiaTheme="minorEastAsia" w:cstheme="minorEastAsia"/>
                <w:color w:val="auto"/>
                <w:sz w:val="22"/>
                <w:szCs w:val="22"/>
                <w:highlight w:val="none"/>
              </w:rPr>
              <w:t>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根据本标段的实际情况，对投标供应商的绿地养护质量（行道树、绿篱、草坪养护质量）、人员效率、抗台、防汛防旱等质量管理保证措施，进行比较打分。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内容合理、科学、全面，得</w:t>
            </w:r>
            <w:r>
              <w:rPr>
                <w:rFonts w:hint="eastAsia" w:asciiTheme="minorEastAsia" w:hAnsiTheme="minorEastAsia" w:eastAsiaTheme="minorEastAsia" w:cstheme="minorEastAsia"/>
                <w:color w:val="auto"/>
                <w:sz w:val="22"/>
                <w:szCs w:val="22"/>
                <w:highlight w:val="none"/>
                <w:lang w:val="en-US" w:eastAsia="zh-CN"/>
              </w:rPr>
              <w:t>10</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内容基本合理、科学、全面，得</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内容不合理或不能满足本项目要求，得</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-0分；</w:t>
            </w:r>
          </w:p>
        </w:tc>
      </w:tr>
      <w:tr>
        <w:tblPrEx>
          <w:tblCellMar>
            <w:top w:w="0" w:type="dxa"/>
            <w:left w:w="108" w:type="dxa"/>
            <w:bottom w:w="0" w:type="dxa"/>
            <w:right w:w="108" w:type="dxa"/>
          </w:tblCellMar>
        </w:tblPrEx>
        <w:trPr>
          <w:cantSplit/>
          <w:trHeight w:val="1270"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类似项目</w:t>
            </w:r>
          </w:p>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业绩</w:t>
            </w:r>
          </w:p>
        </w:tc>
        <w:tc>
          <w:tcPr>
            <w:tcW w:w="9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Cs/>
                <w:color w:val="auto"/>
                <w:sz w:val="22"/>
                <w:szCs w:val="22"/>
                <w:highlight w:val="none"/>
              </w:rPr>
              <w:t>0-</w:t>
            </w:r>
            <w:r>
              <w:rPr>
                <w:rFonts w:hint="eastAsia" w:asciiTheme="minorEastAsia" w:hAnsiTheme="minorEastAsia" w:eastAsiaTheme="minorEastAsia" w:cstheme="minorEastAsia"/>
                <w:bCs/>
                <w:color w:val="auto"/>
                <w:sz w:val="22"/>
                <w:szCs w:val="22"/>
                <w:highlight w:val="none"/>
                <w:lang w:val="en-US" w:eastAsia="zh-CN"/>
              </w:rPr>
              <w:t>2</w:t>
            </w:r>
            <w:r>
              <w:rPr>
                <w:rFonts w:hint="eastAsia" w:asciiTheme="minorEastAsia" w:hAnsiTheme="minorEastAsia" w:eastAsiaTheme="minorEastAsia" w:cstheme="minorEastAsia"/>
                <w:bCs/>
                <w:color w:val="auto"/>
                <w:sz w:val="22"/>
                <w:szCs w:val="22"/>
                <w:highlight w:val="none"/>
              </w:rPr>
              <w:t>分</w:t>
            </w:r>
          </w:p>
        </w:tc>
        <w:tc>
          <w:tcPr>
            <w:tcW w:w="7038" w:type="dxa"/>
            <w:tcBorders>
              <w:top w:val="single" w:color="000000" w:sz="4" w:space="0"/>
              <w:left w:val="single" w:color="auto"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每提供1份有效的绿化养护类似项目业绩证明，</w:t>
            </w:r>
            <w:r>
              <w:rPr>
                <w:rFonts w:hint="eastAsia" w:asciiTheme="minorEastAsia" w:hAnsiTheme="minorEastAsia" w:eastAsiaTheme="minorEastAsia" w:cstheme="minorEastAsia"/>
                <w:color w:val="auto"/>
                <w:sz w:val="22"/>
                <w:szCs w:val="22"/>
                <w:highlight w:val="none"/>
                <w:lang w:val="en-US" w:eastAsia="zh-CN"/>
              </w:rPr>
              <w:t>得1分</w:t>
            </w:r>
            <w:r>
              <w:rPr>
                <w:rFonts w:hint="eastAsia" w:asciiTheme="minorEastAsia" w:hAnsiTheme="minorEastAsia" w:eastAsiaTheme="minorEastAsia" w:cstheme="minorEastAsia"/>
                <w:color w:val="auto"/>
                <w:sz w:val="22"/>
                <w:szCs w:val="22"/>
                <w:highlight w:val="none"/>
              </w:rPr>
              <w:t>，本项最</w:t>
            </w:r>
            <w:r>
              <w:rPr>
                <w:rFonts w:hint="eastAsia" w:asciiTheme="minorEastAsia" w:hAnsiTheme="minorEastAsia" w:eastAsiaTheme="minorEastAsia" w:cstheme="minorEastAsia"/>
                <w:color w:val="auto"/>
                <w:sz w:val="22"/>
                <w:szCs w:val="22"/>
                <w:highlight w:val="none"/>
                <w:lang w:val="en-US" w:eastAsia="zh-CN"/>
              </w:rPr>
              <w:t>多得2</w:t>
            </w:r>
            <w:r>
              <w:rPr>
                <w:rFonts w:hint="eastAsia" w:asciiTheme="minorEastAsia" w:hAnsiTheme="minorEastAsia" w:eastAsiaTheme="minorEastAsia" w:cstheme="minorEastAsia"/>
                <w:color w:val="auto"/>
                <w:sz w:val="22"/>
                <w:szCs w:val="22"/>
                <w:highlight w:val="none"/>
              </w:rPr>
              <w:t>分。同一服务续签合同（续签服务期必须满一年或以上）的，按同等有效业绩计算。</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【注：有效业绩时间截点：201</w:t>
            </w:r>
            <w:r>
              <w:rPr>
                <w:rFonts w:hint="eastAsia" w:asciiTheme="minorEastAsia" w:hAnsiTheme="minorEastAsia" w:eastAsiaTheme="minorEastAsia" w:cstheme="minorEastAsia"/>
                <w:color w:val="auto"/>
                <w:sz w:val="22"/>
                <w:szCs w:val="22"/>
                <w:highlight w:val="none"/>
                <w:lang w:val="en-US" w:eastAsia="zh-CN"/>
              </w:rPr>
              <w:t>9</w:t>
            </w:r>
            <w:r>
              <w:rPr>
                <w:rFonts w:hint="eastAsia" w:asciiTheme="minorEastAsia" w:hAnsiTheme="minorEastAsia" w:eastAsiaTheme="minorEastAsia" w:cstheme="minorEastAsia"/>
                <w:color w:val="auto"/>
                <w:sz w:val="22"/>
                <w:szCs w:val="22"/>
                <w:highlight w:val="none"/>
              </w:rPr>
              <w:t>年1月1日以来，以合同签订时间为准。需提供项目的合同及业主评价书（扫描件加盖公章）】</w:t>
            </w:r>
          </w:p>
        </w:tc>
      </w:tr>
      <w:tr>
        <w:tblPrEx>
          <w:tblCellMar>
            <w:top w:w="0" w:type="dxa"/>
            <w:left w:w="108" w:type="dxa"/>
            <w:bottom w:w="0" w:type="dxa"/>
            <w:right w:w="108" w:type="dxa"/>
          </w:tblCellMar>
        </w:tblPrEx>
        <w:trPr>
          <w:cantSplit/>
          <w:trHeight w:val="745"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0"/>
              </w:numPr>
              <w:ind w:right="3"/>
              <w:jc w:val="center"/>
              <w:rPr>
                <w:rFonts w:hint="default" w:asciiTheme="minorEastAsia" w:hAnsiTheme="minorEastAsia" w:eastAsiaTheme="minorEastAsia" w:cstheme="minorEastAsia"/>
                <w:color w:val="auto"/>
                <w:sz w:val="22"/>
                <w:szCs w:val="22"/>
                <w:highlight w:val="none"/>
                <w:lang w:val="en-US" w:eastAsia="zh-CN"/>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履约评价</w:t>
            </w:r>
          </w:p>
        </w:tc>
        <w:tc>
          <w:tcPr>
            <w:tcW w:w="9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Cs/>
                <w:color w:val="auto"/>
                <w:kern w:val="2"/>
                <w:sz w:val="22"/>
                <w:szCs w:val="22"/>
                <w:highlight w:val="none"/>
                <w:lang w:val="en-US" w:eastAsia="zh-CN" w:bidi="ar-SA"/>
              </w:rPr>
            </w:pPr>
            <w:r>
              <w:rPr>
                <w:rFonts w:hint="eastAsia" w:asciiTheme="minorEastAsia" w:hAnsiTheme="minorEastAsia" w:eastAsiaTheme="minorEastAsia" w:cstheme="minorEastAsia"/>
                <w:bCs/>
                <w:color w:val="auto"/>
                <w:sz w:val="22"/>
                <w:szCs w:val="22"/>
                <w:highlight w:val="none"/>
                <w:lang w:val="en-US" w:eastAsia="zh-CN"/>
              </w:rPr>
              <w:t>0-2</w:t>
            </w:r>
            <w:r>
              <w:rPr>
                <w:rFonts w:hint="eastAsia" w:asciiTheme="minorEastAsia" w:hAnsiTheme="minorEastAsia" w:eastAsiaTheme="minorEastAsia" w:cstheme="minorEastAsia"/>
                <w:bCs/>
                <w:color w:val="auto"/>
                <w:sz w:val="22"/>
                <w:szCs w:val="22"/>
                <w:highlight w:val="none"/>
              </w:rPr>
              <w:t>分</w:t>
            </w:r>
          </w:p>
        </w:tc>
        <w:tc>
          <w:tcPr>
            <w:tcW w:w="7038" w:type="dxa"/>
            <w:tcBorders>
              <w:top w:val="single" w:color="000000" w:sz="4" w:space="0"/>
              <w:left w:val="single" w:color="auto" w:sz="4" w:space="0"/>
              <w:bottom w:val="single" w:color="000000" w:sz="4" w:space="0"/>
              <w:right w:val="single" w:color="000000" w:sz="4" w:space="0"/>
            </w:tcBorders>
            <w:noWrap w:val="0"/>
            <w:vAlign w:val="center"/>
          </w:tcPr>
          <w:p>
            <w:pPr>
              <w:widowControl/>
              <w:ind w:right="3" w:rightChars="0"/>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提供的</w:t>
            </w:r>
            <w:r>
              <w:rPr>
                <w:rFonts w:hint="eastAsia" w:asciiTheme="minorEastAsia" w:hAnsiTheme="minorEastAsia" w:eastAsiaTheme="minorEastAsia" w:cstheme="minorEastAsia"/>
                <w:color w:val="auto"/>
                <w:sz w:val="22"/>
                <w:szCs w:val="22"/>
                <w:highlight w:val="none"/>
              </w:rPr>
              <w:t>绿化养护类似项目业绩</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每提供1份</w:t>
            </w:r>
            <w:r>
              <w:rPr>
                <w:rFonts w:hint="eastAsia" w:asciiTheme="minorEastAsia" w:hAnsiTheme="minorEastAsia" w:eastAsiaTheme="minorEastAsia" w:cstheme="minorEastAsia"/>
                <w:color w:val="auto"/>
                <w:sz w:val="22"/>
                <w:szCs w:val="22"/>
                <w:highlight w:val="none"/>
              </w:rPr>
              <w:t>履约合同评价为优（或优秀）得</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无评价不得分，本项最多得2分。</w:t>
            </w:r>
          </w:p>
        </w:tc>
      </w:tr>
      <w:tr>
        <w:tblPrEx>
          <w:tblCellMar>
            <w:top w:w="0" w:type="dxa"/>
            <w:left w:w="108" w:type="dxa"/>
            <w:bottom w:w="0" w:type="dxa"/>
            <w:right w:w="108" w:type="dxa"/>
          </w:tblCellMar>
        </w:tblPrEx>
        <w:trPr>
          <w:cantSplit/>
          <w:trHeight w:val="875" w:hRule="atLeast"/>
        </w:trPr>
        <w:tc>
          <w:tcPr>
            <w:tcW w:w="700" w:type="dxa"/>
            <w:tcBorders>
              <w:top w:val="single" w:color="auto"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auto"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供应商认证</w:t>
            </w:r>
          </w:p>
        </w:tc>
        <w:tc>
          <w:tcPr>
            <w:tcW w:w="912" w:type="dxa"/>
            <w:tcBorders>
              <w:top w:val="single" w:color="auto"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0-6分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质量管理体系认证得2分，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环境体系认证得 2分，</w:t>
            </w:r>
          </w:p>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职业健康安全体系认证得 2分，</w:t>
            </w:r>
          </w:p>
        </w:tc>
      </w:tr>
      <w:tr>
        <w:tblPrEx>
          <w:tblCellMar>
            <w:top w:w="0" w:type="dxa"/>
            <w:left w:w="108" w:type="dxa"/>
            <w:bottom w:w="0" w:type="dxa"/>
            <w:right w:w="108" w:type="dxa"/>
          </w:tblCellMar>
        </w:tblPrEx>
        <w:trPr>
          <w:cantSplit/>
          <w:trHeight w:val="875"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right="3"/>
              <w:jc w:val="center"/>
              <w:rPr>
                <w:rFonts w:hint="eastAsia" w:asciiTheme="minorEastAsia" w:hAnsiTheme="minorEastAsia" w:eastAsiaTheme="minorEastAsia" w:cstheme="minorEastAsia"/>
                <w:color w:val="auto"/>
                <w:sz w:val="22"/>
                <w:szCs w:val="22"/>
                <w:highlight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苗圃拥有情况</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0-3分</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ind w:right="3"/>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投标人企业拥有苗圃100亩（含）以上的得3分，100亩以下的得1分，无不得分。（苗圃须提供农业林业部门颁发的《林木种子生产经营许可证》以及行政主管部门面积证明材料，扫描件加盖公章同时编入投标文件中，否则不得分）</w:t>
            </w:r>
          </w:p>
        </w:tc>
      </w:tr>
    </w:tbl>
    <w:p>
      <w:pPr>
        <w:pStyle w:val="23"/>
        <w:spacing w:line="460" w:lineRule="exact"/>
        <w:ind w:left="0" w:leftChars="0" w:firstLine="221" w:firstLineChars="1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2、报价评分（</w:t>
      </w:r>
      <w:r>
        <w:rPr>
          <w:rFonts w:hint="eastAsia" w:ascii="宋体" w:hAnsi="宋体" w:cs="宋体"/>
          <w:b/>
          <w:color w:val="auto"/>
          <w:sz w:val="22"/>
          <w:szCs w:val="22"/>
          <w:highlight w:val="none"/>
          <w:lang w:val="en-US" w:eastAsia="zh-CN"/>
        </w:rPr>
        <w:t>20</w:t>
      </w:r>
      <w:r>
        <w:rPr>
          <w:rFonts w:hint="eastAsia" w:ascii="宋体" w:hAnsi="宋体" w:eastAsia="宋体" w:cs="宋体"/>
          <w:b/>
          <w:color w:val="auto"/>
          <w:sz w:val="22"/>
          <w:szCs w:val="22"/>
          <w:highlight w:val="none"/>
        </w:rPr>
        <w:t>分）（权值</w:t>
      </w:r>
      <w:r>
        <w:rPr>
          <w:rFonts w:hint="eastAsia" w:ascii="宋体" w:hAnsi="宋体" w:cs="宋体"/>
          <w:b/>
          <w:color w:val="auto"/>
          <w:sz w:val="22"/>
          <w:szCs w:val="22"/>
          <w:highlight w:val="none"/>
          <w:lang w:val="en-US" w:eastAsia="zh-CN"/>
        </w:rPr>
        <w:t>20</w:t>
      </w:r>
      <w:r>
        <w:rPr>
          <w:rFonts w:hint="eastAsia" w:ascii="宋体" w:hAnsi="宋体" w:eastAsia="宋体" w:cs="宋体"/>
          <w:b/>
          <w:color w:val="auto"/>
          <w:sz w:val="22"/>
          <w:szCs w:val="22"/>
          <w:highlight w:val="none"/>
        </w:rPr>
        <w:t>%）：</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1）有效投标人的投标报价等于评标基准价时其报价分为满分</w:t>
      </w:r>
      <w:r>
        <w:rPr>
          <w:rFonts w:hint="eastAsia" w:ascii="宋体" w:hAnsi="宋体" w:cs="宋体"/>
          <w:color w:val="auto"/>
          <w:sz w:val="22"/>
          <w:szCs w:val="22"/>
          <w:highlight w:val="none"/>
          <w:lang w:val="en-US" w:eastAsia="zh-CN"/>
        </w:rPr>
        <w:t>20</w:t>
      </w:r>
      <w:r>
        <w:rPr>
          <w:rFonts w:hint="eastAsia" w:ascii="宋体" w:hAnsi="宋体" w:eastAsia="宋体" w:cs="宋体"/>
          <w:color w:val="auto"/>
          <w:sz w:val="22"/>
          <w:szCs w:val="22"/>
          <w:highlight w:val="none"/>
        </w:rPr>
        <w:t>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2）其他投标人的价格分按以下公式计算：</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投标报价得分=（评分基准价/投标人投标报价）× 价格权值 ×100（保留小数2位）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3、有效投标人的综合得分为技术分和商务（报价）分的总和。</w:t>
      </w:r>
    </w:p>
    <w:p>
      <w:pPr>
        <w:spacing w:line="460" w:lineRule="exact"/>
        <w:rPr>
          <w:rFonts w:hint="eastAsia" w:ascii="宋体" w:hAnsi="宋体" w:eastAsia="宋体" w:cs="宋体"/>
          <w:b/>
          <w:bCs/>
          <w:color w:val="auto"/>
          <w:sz w:val="22"/>
          <w:szCs w:val="22"/>
          <w:highlight w:val="none"/>
          <w:u w:val="single"/>
        </w:rPr>
      </w:pPr>
      <w:r>
        <w:rPr>
          <w:rFonts w:hint="eastAsia" w:ascii="宋体" w:hAnsi="宋体" w:eastAsia="宋体" w:cs="宋体"/>
          <w:b/>
          <w:color w:val="auto"/>
          <w:sz w:val="22"/>
          <w:szCs w:val="22"/>
          <w:highlight w:val="none"/>
        </w:rPr>
        <w:t xml:space="preserve">   </w:t>
      </w:r>
      <w:r>
        <w:rPr>
          <w:rFonts w:hint="eastAsia" w:ascii="宋体" w:hAnsi="宋体" w:eastAsia="宋体" w:cs="宋体"/>
          <w:b/>
          <w:bCs/>
          <w:color w:val="auto"/>
          <w:sz w:val="22"/>
          <w:szCs w:val="22"/>
          <w:highlight w:val="none"/>
          <w:u w:val="singl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宋体" w:hAnsi="宋体" w:eastAsia="宋体" w:cs="宋体"/>
          <w:b/>
          <w:bCs/>
          <w:color w:val="auto"/>
          <w:sz w:val="22"/>
          <w:szCs w:val="22"/>
          <w:highlight w:val="none"/>
        </w:rPr>
      </w:pPr>
      <w:bookmarkStart w:id="59" w:name="_Toc2482"/>
      <w:bookmarkStart w:id="60" w:name="_Toc4727"/>
      <w:r>
        <w:rPr>
          <w:rFonts w:hint="eastAsia" w:ascii="宋体" w:hAnsi="宋体" w:eastAsia="宋体" w:cs="宋体"/>
          <w:b/>
          <w:bCs/>
          <w:color w:val="auto"/>
          <w:sz w:val="22"/>
          <w:szCs w:val="22"/>
          <w:highlight w:val="none"/>
        </w:rPr>
        <w:t>六、定标办法</w:t>
      </w:r>
      <w:bookmarkEnd w:id="59"/>
      <w:bookmarkEnd w:id="60"/>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1.1由评标委员会确定中标候选人。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2、确定中标人</w:t>
      </w: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hint="eastAsia" w:ascii="宋体" w:hAnsi="宋体" w:eastAsia="宋体" w:cs="宋体"/>
          <w:b/>
          <w:color w:val="auto"/>
          <w:sz w:val="22"/>
          <w:szCs w:val="22"/>
          <w:highlight w:val="none"/>
        </w:rPr>
      </w:pPr>
      <w:bookmarkStart w:id="61" w:name="_Toc3629"/>
      <w:bookmarkStart w:id="62" w:name="_Toc17587"/>
      <w:r>
        <w:rPr>
          <w:rFonts w:hint="eastAsia" w:ascii="宋体" w:hAnsi="宋体" w:eastAsia="宋体" w:cs="宋体"/>
          <w:b/>
          <w:color w:val="auto"/>
          <w:sz w:val="22"/>
          <w:szCs w:val="22"/>
          <w:highlight w:val="none"/>
        </w:rPr>
        <w:t>七、投标人义务</w:t>
      </w:r>
      <w:bookmarkEnd w:id="61"/>
      <w:bookmarkEnd w:id="62"/>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color w:val="auto"/>
          <w:sz w:val="22"/>
          <w:szCs w:val="22"/>
          <w:highlight w:val="none"/>
        </w:rPr>
        <w:t>投标人应随时接受评标委员会的询标，解答包括有关的商务、技术问题等。评标结束，所有评标资料存招标机构备查。</w:t>
      </w:r>
    </w:p>
    <w:p>
      <w:pPr>
        <w:spacing w:line="460" w:lineRule="exact"/>
        <w:jc w:val="center"/>
        <w:rPr>
          <w:rFonts w:hint="eastAsia" w:ascii="宋体" w:hAnsi="宋体" w:eastAsia="宋体" w:cs="宋体"/>
          <w:b/>
          <w:color w:val="auto"/>
          <w:sz w:val="32"/>
          <w:szCs w:val="32"/>
          <w:highlight w:val="none"/>
        </w:rPr>
      </w:pPr>
    </w:p>
    <w:p>
      <w:pPr>
        <w:pStyle w:val="23"/>
        <w:ind w:left="440" w:hanging="440"/>
        <w:rPr>
          <w:rFonts w:hint="eastAsia" w:ascii="宋体" w:hAnsi="宋体" w:eastAsia="宋体" w:cs="宋体"/>
          <w:color w:val="auto"/>
          <w:kern w:val="0"/>
          <w:sz w:val="22"/>
          <w:szCs w:val="22"/>
          <w:highlight w:val="none"/>
        </w:rPr>
      </w:pPr>
    </w:p>
    <w:sectPr>
      <w:headerReference r:id="rId7" w:type="default"/>
      <w:footerReference r:id="rId8" w:type="default"/>
      <w:pgSz w:w="11906" w:h="16838"/>
      <w:pgMar w:top="1134" w:right="1134" w:bottom="1134" w:left="1134" w:header="850" w:footer="992" w:gutter="0"/>
      <w:pgNumType w:fmt="decimal"/>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7"/>
      </w:rPr>
    </w:pPr>
    <w:r>
      <w:fldChar w:fldCharType="begin"/>
    </w:r>
    <w:r>
      <w:rPr>
        <w:rStyle w:val="57"/>
      </w:rPr>
      <w:instrText xml:space="preserve">PAGE  </w:instrText>
    </w:r>
    <w:r>
      <w:fldChar w:fldCharType="separate"/>
    </w:r>
    <w:r>
      <w:rPr>
        <w:rStyle w:val="57"/>
      </w:rPr>
      <w:t>28</w:t>
    </w:r>
    <w:r>
      <w:fldChar w:fldCharType="end"/>
    </w:r>
  </w:p>
  <w:p>
    <w:pPr>
      <w:pStyle w:val="35"/>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firstLine="4500" w:firstLineChars="25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Style w:val="57"/>
                            </w:rPr>
                          </w:pPr>
                          <w:r>
                            <w:fldChar w:fldCharType="begin"/>
                          </w:r>
                          <w:r>
                            <w:rPr>
                              <w:rStyle w:val="57"/>
                            </w:rPr>
                            <w:instrText xml:space="preserve">PAGE  </w:instrText>
                          </w:r>
                          <w:r>
                            <w:fldChar w:fldCharType="separate"/>
                          </w:r>
                          <w:r>
                            <w:rPr>
                              <w:rStyle w:val="57"/>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5"/>
                      <w:rPr>
                        <w:rStyle w:val="57"/>
                      </w:rPr>
                    </w:pPr>
                    <w:r>
                      <w:fldChar w:fldCharType="begin"/>
                    </w:r>
                    <w:r>
                      <w:rPr>
                        <w:rStyle w:val="57"/>
                      </w:rPr>
                      <w:instrText xml:space="preserve">PAGE  </w:instrText>
                    </w:r>
                    <w:r>
                      <w:fldChar w:fldCharType="separate"/>
                    </w:r>
                    <w:r>
                      <w:rPr>
                        <w:rStyle w:val="57"/>
                      </w:rPr>
                      <w:t>28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firstLine="4500" w:firstLineChars="25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Style w:val="57"/>
                            </w:rPr>
                          </w:pPr>
                          <w:r>
                            <w:fldChar w:fldCharType="begin"/>
                          </w:r>
                          <w:r>
                            <w:rPr>
                              <w:rStyle w:val="57"/>
                            </w:rPr>
                            <w:instrText xml:space="preserve">PAGE  </w:instrText>
                          </w:r>
                          <w:r>
                            <w:fldChar w:fldCharType="separate"/>
                          </w:r>
                          <w:r>
                            <w:rPr>
                              <w:rStyle w:val="57"/>
                            </w:rP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5"/>
                      <w:rPr>
                        <w:rStyle w:val="57"/>
                      </w:rPr>
                    </w:pPr>
                    <w:r>
                      <w:fldChar w:fldCharType="begin"/>
                    </w:r>
                    <w:r>
                      <w:rPr>
                        <w:rStyle w:val="57"/>
                      </w:rPr>
                      <w:instrText xml:space="preserve">PAGE  </w:instrText>
                    </w:r>
                    <w:r>
                      <w:fldChar w:fldCharType="separate"/>
                    </w:r>
                    <w:r>
                      <w:rPr>
                        <w:rStyle w:val="57"/>
                      </w:rPr>
                      <w:t>72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pPr>
    <w:r>
      <w:rPr>
        <w:rFonts w:hint="eastAsia"/>
      </w:rPr>
      <w:t>温州市政府（分散）采购招标文件                                             项目编号：</w:t>
    </w:r>
    <w:r>
      <w:rPr>
        <w:rFonts w:hint="eastAsia"/>
        <w:lang w:eastAsia="zh-CN"/>
      </w:rPr>
      <w:t xml:space="preserve">ZJDO20230105001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CD31F181"/>
    <w:multiLevelType w:val="singleLevel"/>
    <w:tmpl w:val="CD31F181"/>
    <w:lvl w:ilvl="0" w:tentative="0">
      <w:start w:val="1"/>
      <w:numFmt w:val="decimal"/>
      <w:suff w:val="nothing"/>
      <w:lvlText w:val="%1、"/>
      <w:lvlJc w:val="left"/>
    </w:lvl>
  </w:abstractNum>
  <w:abstractNum w:abstractNumId="3">
    <w:nsid w:val="00000008"/>
    <w:multiLevelType w:val="singleLevel"/>
    <w:tmpl w:val="00000008"/>
    <w:lvl w:ilvl="0" w:tentative="0">
      <w:start w:val="1"/>
      <w:numFmt w:val="decimal"/>
      <w:lvlText w:val="%1."/>
      <w:lvlJc w:val="left"/>
      <w:pPr>
        <w:tabs>
          <w:tab w:val="left" w:pos="312"/>
        </w:tabs>
      </w:pPr>
    </w:lvl>
  </w:abstractNum>
  <w:abstractNum w:abstractNumId="4">
    <w:nsid w:val="0C4A266D"/>
    <w:multiLevelType w:val="multilevel"/>
    <w:tmpl w:val="0C4A266D"/>
    <w:lvl w:ilvl="0" w:tentative="0">
      <w:start w:val="1"/>
      <w:numFmt w:val="decimal"/>
      <w:lvlText w:val="%1."/>
      <w:lvlJc w:val="left"/>
      <w:pPr>
        <w:tabs>
          <w:tab w:val="left" w:pos="680"/>
        </w:tabs>
        <w:ind w:left="680" w:hanging="680"/>
      </w:pPr>
      <w:rPr>
        <w:rFonts w:hint="default" w:ascii="Arial" w:hAnsi="Arial" w:eastAsia="宋体"/>
        <w:b w:val="0"/>
        <w:i w:val="0"/>
        <w:color w:val="auto"/>
        <w:sz w:val="21"/>
      </w:rPr>
    </w:lvl>
    <w:lvl w:ilvl="1" w:tentative="0">
      <w:start w:val="1"/>
      <w:numFmt w:val="decimal"/>
      <w:lvlText w:val="%2."/>
      <w:lvlJc w:val="left"/>
      <w:pPr>
        <w:tabs>
          <w:tab w:val="left" w:pos="680"/>
        </w:tabs>
        <w:ind w:left="680" w:hanging="680"/>
      </w:pPr>
      <w:rPr>
        <w:rFonts w:hint="default"/>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5">
    <w:nsid w:val="28A59455"/>
    <w:multiLevelType w:val="singleLevel"/>
    <w:tmpl w:val="28A59455"/>
    <w:lvl w:ilvl="0" w:tentative="0">
      <w:start w:val="2"/>
      <w:numFmt w:val="chineseCounting"/>
      <w:suff w:val="nothing"/>
      <w:lvlText w:val="（%1）"/>
      <w:lvlJc w:val="left"/>
      <w:rPr>
        <w:rFonts w:hint="eastAsia"/>
      </w:rPr>
    </w:lvl>
  </w:abstractNum>
  <w:abstractNum w:abstractNumId="6">
    <w:nsid w:val="32C6CEB0"/>
    <w:multiLevelType w:val="singleLevel"/>
    <w:tmpl w:val="32C6CEB0"/>
    <w:lvl w:ilvl="0" w:tentative="0">
      <w:start w:val="1"/>
      <w:numFmt w:val="decimal"/>
      <w:lvlText w:val="%1."/>
      <w:lvlJc w:val="left"/>
      <w:pPr>
        <w:ind w:left="425" w:hanging="425"/>
      </w:pPr>
      <w:rPr>
        <w:rFonts w:hint="default"/>
      </w:rPr>
    </w:lvl>
  </w:abstractNum>
  <w:abstractNum w:abstractNumId="7">
    <w:nsid w:val="46B2F6CA"/>
    <w:multiLevelType w:val="singleLevel"/>
    <w:tmpl w:val="46B2F6CA"/>
    <w:lvl w:ilvl="0" w:tentative="0">
      <w:start w:val="1"/>
      <w:numFmt w:val="decimal"/>
      <w:suff w:val="nothing"/>
      <w:lvlText w:val="%1．"/>
      <w:lvlJc w:val="left"/>
      <w:pPr>
        <w:ind w:left="0" w:firstLine="400"/>
      </w:pPr>
      <w:rPr>
        <w:rFonts w:hint="default"/>
      </w:rPr>
    </w:lvl>
  </w:abstractNum>
  <w:abstractNum w:abstractNumId="8">
    <w:nsid w:val="52D7A3B6"/>
    <w:multiLevelType w:val="singleLevel"/>
    <w:tmpl w:val="52D7A3B6"/>
    <w:lvl w:ilvl="0" w:tentative="0">
      <w:start w:val="1"/>
      <w:numFmt w:val="decimal"/>
      <w:suff w:val="nothing"/>
      <w:lvlText w:val="（%1）"/>
      <w:lvlJc w:val="left"/>
    </w:lvl>
  </w:abstractNum>
  <w:abstractNum w:abstractNumId="9">
    <w:nsid w:val="55C085A5"/>
    <w:multiLevelType w:val="singleLevel"/>
    <w:tmpl w:val="55C085A5"/>
    <w:lvl w:ilvl="0" w:tentative="0">
      <w:start w:val="1"/>
      <w:numFmt w:val="decimal"/>
      <w:suff w:val="nothing"/>
      <w:lvlText w:val="%1．"/>
      <w:lvlJc w:val="left"/>
      <w:pPr>
        <w:ind w:firstLine="400"/>
      </w:pPr>
      <w:rPr>
        <w:rFonts w:hint="default" w:cs="Times New Roman"/>
      </w:rPr>
    </w:lvl>
  </w:abstractNum>
  <w:num w:numId="1">
    <w:abstractNumId w:val="8"/>
  </w:num>
  <w:num w:numId="2">
    <w:abstractNumId w:val="3"/>
  </w:num>
  <w:num w:numId="3">
    <w:abstractNumId w:val="2"/>
  </w:num>
  <w:num w:numId="4">
    <w:abstractNumId w:val="7"/>
  </w:num>
  <w:num w:numId="5">
    <w:abstractNumId w:val="0"/>
  </w:num>
  <w:num w:numId="6">
    <w:abstractNumId w:val="4"/>
  </w:num>
  <w:num w:numId="7">
    <w:abstractNumId w:val="5"/>
  </w:num>
  <w:num w:numId="8">
    <w:abstractNumId w:val="9"/>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YWU1NDMxNTAwMTJiMjE4OWVkYTkyNzhmZTQwMWIifQ=="/>
  </w:docVars>
  <w:rsids>
    <w:rsidRoot w:val="00172A27"/>
    <w:rsid w:val="000149E3"/>
    <w:rsid w:val="00020693"/>
    <w:rsid w:val="000217C7"/>
    <w:rsid w:val="00026A46"/>
    <w:rsid w:val="00027D0D"/>
    <w:rsid w:val="00031F49"/>
    <w:rsid w:val="00037B6F"/>
    <w:rsid w:val="000430FE"/>
    <w:rsid w:val="000474B4"/>
    <w:rsid w:val="00063600"/>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12172"/>
    <w:rsid w:val="00223CC1"/>
    <w:rsid w:val="00227214"/>
    <w:rsid w:val="00230913"/>
    <w:rsid w:val="00243D5B"/>
    <w:rsid w:val="002447E7"/>
    <w:rsid w:val="00261F3C"/>
    <w:rsid w:val="00270294"/>
    <w:rsid w:val="00271C2D"/>
    <w:rsid w:val="002843F3"/>
    <w:rsid w:val="00296547"/>
    <w:rsid w:val="002A31D6"/>
    <w:rsid w:val="002A73A3"/>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1578"/>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9767A"/>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1606883"/>
    <w:rsid w:val="020D29B1"/>
    <w:rsid w:val="021F7DAD"/>
    <w:rsid w:val="0224444B"/>
    <w:rsid w:val="022D7429"/>
    <w:rsid w:val="02451328"/>
    <w:rsid w:val="027D25C0"/>
    <w:rsid w:val="02841565"/>
    <w:rsid w:val="02B3222E"/>
    <w:rsid w:val="02F63BA4"/>
    <w:rsid w:val="031D0871"/>
    <w:rsid w:val="03283281"/>
    <w:rsid w:val="03331487"/>
    <w:rsid w:val="034A64CB"/>
    <w:rsid w:val="036C2F2A"/>
    <w:rsid w:val="039714E5"/>
    <w:rsid w:val="03BE392F"/>
    <w:rsid w:val="03E13A1E"/>
    <w:rsid w:val="04156ACE"/>
    <w:rsid w:val="042A5AFC"/>
    <w:rsid w:val="043D6DF1"/>
    <w:rsid w:val="043F2279"/>
    <w:rsid w:val="044865A2"/>
    <w:rsid w:val="048D46D7"/>
    <w:rsid w:val="04A01243"/>
    <w:rsid w:val="04C27070"/>
    <w:rsid w:val="04E23C80"/>
    <w:rsid w:val="04FD6D0A"/>
    <w:rsid w:val="050751FC"/>
    <w:rsid w:val="05166806"/>
    <w:rsid w:val="0529508C"/>
    <w:rsid w:val="053A30CA"/>
    <w:rsid w:val="057D25F0"/>
    <w:rsid w:val="05936339"/>
    <w:rsid w:val="05AA38DC"/>
    <w:rsid w:val="05D76F02"/>
    <w:rsid w:val="05F015B8"/>
    <w:rsid w:val="05F56955"/>
    <w:rsid w:val="062F7E7F"/>
    <w:rsid w:val="0650016B"/>
    <w:rsid w:val="06695ADA"/>
    <w:rsid w:val="067F52AB"/>
    <w:rsid w:val="06E17425"/>
    <w:rsid w:val="06E81491"/>
    <w:rsid w:val="07081502"/>
    <w:rsid w:val="072046E3"/>
    <w:rsid w:val="07373C8C"/>
    <w:rsid w:val="074234A9"/>
    <w:rsid w:val="0747552D"/>
    <w:rsid w:val="07592C30"/>
    <w:rsid w:val="07791E20"/>
    <w:rsid w:val="078177D5"/>
    <w:rsid w:val="07924879"/>
    <w:rsid w:val="079C0E64"/>
    <w:rsid w:val="07D60F62"/>
    <w:rsid w:val="0852605C"/>
    <w:rsid w:val="08621901"/>
    <w:rsid w:val="08911C02"/>
    <w:rsid w:val="08913549"/>
    <w:rsid w:val="08A302D0"/>
    <w:rsid w:val="08B53A61"/>
    <w:rsid w:val="08E76FD5"/>
    <w:rsid w:val="08FD20E7"/>
    <w:rsid w:val="09101BCD"/>
    <w:rsid w:val="09315C91"/>
    <w:rsid w:val="09510BFE"/>
    <w:rsid w:val="097E368B"/>
    <w:rsid w:val="09816EE6"/>
    <w:rsid w:val="099757EE"/>
    <w:rsid w:val="09A34824"/>
    <w:rsid w:val="09B85302"/>
    <w:rsid w:val="09B94936"/>
    <w:rsid w:val="09D26DBF"/>
    <w:rsid w:val="09F37136"/>
    <w:rsid w:val="09F65854"/>
    <w:rsid w:val="0A07422F"/>
    <w:rsid w:val="0A1B49C1"/>
    <w:rsid w:val="0A3D0590"/>
    <w:rsid w:val="0A7416D8"/>
    <w:rsid w:val="0A8945EB"/>
    <w:rsid w:val="0BAC1F4C"/>
    <w:rsid w:val="0BBE4F63"/>
    <w:rsid w:val="0BDA530A"/>
    <w:rsid w:val="0BEE1C6C"/>
    <w:rsid w:val="0C0247C0"/>
    <w:rsid w:val="0C353302"/>
    <w:rsid w:val="0C496297"/>
    <w:rsid w:val="0C660E5E"/>
    <w:rsid w:val="0C9A109E"/>
    <w:rsid w:val="0CA74D09"/>
    <w:rsid w:val="0CA9483B"/>
    <w:rsid w:val="0CC51217"/>
    <w:rsid w:val="0D0A01F7"/>
    <w:rsid w:val="0D1F1C9D"/>
    <w:rsid w:val="0D735BCC"/>
    <w:rsid w:val="0D7C2119"/>
    <w:rsid w:val="0D920730"/>
    <w:rsid w:val="0DA75968"/>
    <w:rsid w:val="0DC65870"/>
    <w:rsid w:val="0DD87621"/>
    <w:rsid w:val="0DE33D9A"/>
    <w:rsid w:val="0E022677"/>
    <w:rsid w:val="0E064CB1"/>
    <w:rsid w:val="0E4706D1"/>
    <w:rsid w:val="0E4B6575"/>
    <w:rsid w:val="0E5C2643"/>
    <w:rsid w:val="0E6537C4"/>
    <w:rsid w:val="0E701E1B"/>
    <w:rsid w:val="0E750CB0"/>
    <w:rsid w:val="0E8E6882"/>
    <w:rsid w:val="0EE50D43"/>
    <w:rsid w:val="0F0377AE"/>
    <w:rsid w:val="0F0E6EE3"/>
    <w:rsid w:val="0F706416"/>
    <w:rsid w:val="0FC118A2"/>
    <w:rsid w:val="0FCD5779"/>
    <w:rsid w:val="0FD03A0D"/>
    <w:rsid w:val="10381F40"/>
    <w:rsid w:val="104869BA"/>
    <w:rsid w:val="10575CC4"/>
    <w:rsid w:val="10F47168"/>
    <w:rsid w:val="110264F1"/>
    <w:rsid w:val="1104198D"/>
    <w:rsid w:val="1105049E"/>
    <w:rsid w:val="115434FF"/>
    <w:rsid w:val="115D3896"/>
    <w:rsid w:val="11AB02B5"/>
    <w:rsid w:val="11B62E53"/>
    <w:rsid w:val="12103D4D"/>
    <w:rsid w:val="12345EA5"/>
    <w:rsid w:val="124027F2"/>
    <w:rsid w:val="125A673E"/>
    <w:rsid w:val="12775E6D"/>
    <w:rsid w:val="128B05C6"/>
    <w:rsid w:val="12A01322"/>
    <w:rsid w:val="12AB0828"/>
    <w:rsid w:val="12DD488E"/>
    <w:rsid w:val="12E05DF5"/>
    <w:rsid w:val="13275C3B"/>
    <w:rsid w:val="133616DD"/>
    <w:rsid w:val="13582BF6"/>
    <w:rsid w:val="13583E3E"/>
    <w:rsid w:val="138356B4"/>
    <w:rsid w:val="13884680"/>
    <w:rsid w:val="13996DA4"/>
    <w:rsid w:val="13A56966"/>
    <w:rsid w:val="13B56A40"/>
    <w:rsid w:val="13D309B3"/>
    <w:rsid w:val="13DD5398"/>
    <w:rsid w:val="13EC3F05"/>
    <w:rsid w:val="14077D57"/>
    <w:rsid w:val="14342819"/>
    <w:rsid w:val="14965811"/>
    <w:rsid w:val="14D92610"/>
    <w:rsid w:val="15001500"/>
    <w:rsid w:val="154A25D7"/>
    <w:rsid w:val="15525604"/>
    <w:rsid w:val="156E5828"/>
    <w:rsid w:val="15B36E57"/>
    <w:rsid w:val="15B43A33"/>
    <w:rsid w:val="15C02CFA"/>
    <w:rsid w:val="15D02588"/>
    <w:rsid w:val="163004AD"/>
    <w:rsid w:val="164356BB"/>
    <w:rsid w:val="166F777C"/>
    <w:rsid w:val="169C21B8"/>
    <w:rsid w:val="169C6B59"/>
    <w:rsid w:val="16BB60A4"/>
    <w:rsid w:val="16D604C4"/>
    <w:rsid w:val="173A5387"/>
    <w:rsid w:val="17725C57"/>
    <w:rsid w:val="17755246"/>
    <w:rsid w:val="177E6DC8"/>
    <w:rsid w:val="17800AEC"/>
    <w:rsid w:val="18245E40"/>
    <w:rsid w:val="186B461D"/>
    <w:rsid w:val="188B4950"/>
    <w:rsid w:val="18A4059F"/>
    <w:rsid w:val="18C7387D"/>
    <w:rsid w:val="18C76564"/>
    <w:rsid w:val="19087A11"/>
    <w:rsid w:val="191B7534"/>
    <w:rsid w:val="196C6250"/>
    <w:rsid w:val="196E2C37"/>
    <w:rsid w:val="1974690A"/>
    <w:rsid w:val="19C072D3"/>
    <w:rsid w:val="19E56BEA"/>
    <w:rsid w:val="1A25720B"/>
    <w:rsid w:val="1A510684"/>
    <w:rsid w:val="1A6171B2"/>
    <w:rsid w:val="1AA65F2A"/>
    <w:rsid w:val="1AA666F2"/>
    <w:rsid w:val="1AB07DF4"/>
    <w:rsid w:val="1AC227CB"/>
    <w:rsid w:val="1ADC340E"/>
    <w:rsid w:val="1AED2C78"/>
    <w:rsid w:val="1AEF15D5"/>
    <w:rsid w:val="1B1F6B22"/>
    <w:rsid w:val="1B343FD0"/>
    <w:rsid w:val="1B356551"/>
    <w:rsid w:val="1B377F92"/>
    <w:rsid w:val="1B3C17D1"/>
    <w:rsid w:val="1B3E4ABA"/>
    <w:rsid w:val="1B9D2D2C"/>
    <w:rsid w:val="1BAB13EA"/>
    <w:rsid w:val="1BD12C8F"/>
    <w:rsid w:val="1BE02644"/>
    <w:rsid w:val="1BF27CE6"/>
    <w:rsid w:val="1BF57F17"/>
    <w:rsid w:val="1C13053F"/>
    <w:rsid w:val="1C162BF5"/>
    <w:rsid w:val="1C212DFA"/>
    <w:rsid w:val="1C2C3417"/>
    <w:rsid w:val="1C3065A1"/>
    <w:rsid w:val="1C32514E"/>
    <w:rsid w:val="1C8449C2"/>
    <w:rsid w:val="1C8676F7"/>
    <w:rsid w:val="1C8B5EF5"/>
    <w:rsid w:val="1C9B7764"/>
    <w:rsid w:val="1C9C37E6"/>
    <w:rsid w:val="1CA3081A"/>
    <w:rsid w:val="1CB81673"/>
    <w:rsid w:val="1CEB7EC5"/>
    <w:rsid w:val="1D0A50BD"/>
    <w:rsid w:val="1D2A3DAB"/>
    <w:rsid w:val="1D46542E"/>
    <w:rsid w:val="1D6359BB"/>
    <w:rsid w:val="1D664936"/>
    <w:rsid w:val="1D71729C"/>
    <w:rsid w:val="1D981331"/>
    <w:rsid w:val="1DAB3C89"/>
    <w:rsid w:val="1DC06E93"/>
    <w:rsid w:val="1DCC77C2"/>
    <w:rsid w:val="1DCF4890"/>
    <w:rsid w:val="1DE37D89"/>
    <w:rsid w:val="1DFB57EB"/>
    <w:rsid w:val="1E0062C5"/>
    <w:rsid w:val="1E1E32E2"/>
    <w:rsid w:val="1E4F15C4"/>
    <w:rsid w:val="1E665E93"/>
    <w:rsid w:val="1E6D0B8E"/>
    <w:rsid w:val="1E740910"/>
    <w:rsid w:val="1E8A1B7B"/>
    <w:rsid w:val="1ED05FDD"/>
    <w:rsid w:val="1ED179D9"/>
    <w:rsid w:val="1EDA4565"/>
    <w:rsid w:val="1F0115E6"/>
    <w:rsid w:val="1F0D2E15"/>
    <w:rsid w:val="1F8B73B9"/>
    <w:rsid w:val="1FC0508F"/>
    <w:rsid w:val="1FD17519"/>
    <w:rsid w:val="1FDE37FF"/>
    <w:rsid w:val="1FE346CD"/>
    <w:rsid w:val="1FE87CF6"/>
    <w:rsid w:val="20142293"/>
    <w:rsid w:val="202875D1"/>
    <w:rsid w:val="203B6405"/>
    <w:rsid w:val="204042C4"/>
    <w:rsid w:val="204434A6"/>
    <w:rsid w:val="208E2CB0"/>
    <w:rsid w:val="20C7192F"/>
    <w:rsid w:val="20C94ACB"/>
    <w:rsid w:val="20F3606E"/>
    <w:rsid w:val="213009EF"/>
    <w:rsid w:val="213D75BE"/>
    <w:rsid w:val="213F7AB1"/>
    <w:rsid w:val="217A33A1"/>
    <w:rsid w:val="21872636"/>
    <w:rsid w:val="218F2648"/>
    <w:rsid w:val="21AB5C9B"/>
    <w:rsid w:val="21B427AB"/>
    <w:rsid w:val="21BD46E0"/>
    <w:rsid w:val="227C0C68"/>
    <w:rsid w:val="227D1F07"/>
    <w:rsid w:val="22AE5DFE"/>
    <w:rsid w:val="23025E80"/>
    <w:rsid w:val="235C31B0"/>
    <w:rsid w:val="23C16FD2"/>
    <w:rsid w:val="242C445B"/>
    <w:rsid w:val="247E04BE"/>
    <w:rsid w:val="248B6BF0"/>
    <w:rsid w:val="24975A35"/>
    <w:rsid w:val="24A451C8"/>
    <w:rsid w:val="24B0777F"/>
    <w:rsid w:val="24B80E3D"/>
    <w:rsid w:val="24BA3A6C"/>
    <w:rsid w:val="24C14262"/>
    <w:rsid w:val="24DB11B1"/>
    <w:rsid w:val="24DB1DC1"/>
    <w:rsid w:val="254579AD"/>
    <w:rsid w:val="25550995"/>
    <w:rsid w:val="25916749"/>
    <w:rsid w:val="25E5097B"/>
    <w:rsid w:val="25ED1CE2"/>
    <w:rsid w:val="260366CA"/>
    <w:rsid w:val="26116C3D"/>
    <w:rsid w:val="26190B1E"/>
    <w:rsid w:val="261954E5"/>
    <w:rsid w:val="26B25A04"/>
    <w:rsid w:val="26E86A48"/>
    <w:rsid w:val="27101EDB"/>
    <w:rsid w:val="27450F96"/>
    <w:rsid w:val="27A03254"/>
    <w:rsid w:val="27A230C5"/>
    <w:rsid w:val="27A851CF"/>
    <w:rsid w:val="27F6755B"/>
    <w:rsid w:val="2813117E"/>
    <w:rsid w:val="28254764"/>
    <w:rsid w:val="2835156C"/>
    <w:rsid w:val="28531E81"/>
    <w:rsid w:val="285E7742"/>
    <w:rsid w:val="285F589C"/>
    <w:rsid w:val="2860075F"/>
    <w:rsid w:val="288E7537"/>
    <w:rsid w:val="28D51CE9"/>
    <w:rsid w:val="28E0382C"/>
    <w:rsid w:val="28FB2940"/>
    <w:rsid w:val="28FC3BD8"/>
    <w:rsid w:val="2935387C"/>
    <w:rsid w:val="295642C7"/>
    <w:rsid w:val="29923BE6"/>
    <w:rsid w:val="29D70027"/>
    <w:rsid w:val="29E4565C"/>
    <w:rsid w:val="2A217644"/>
    <w:rsid w:val="2A5522DC"/>
    <w:rsid w:val="2A6D7AE4"/>
    <w:rsid w:val="2A81126C"/>
    <w:rsid w:val="2A972B87"/>
    <w:rsid w:val="2A9A509F"/>
    <w:rsid w:val="2ABE75C5"/>
    <w:rsid w:val="2AC54EDF"/>
    <w:rsid w:val="2ADE1592"/>
    <w:rsid w:val="2AE72478"/>
    <w:rsid w:val="2AFE6BB2"/>
    <w:rsid w:val="2AFF547A"/>
    <w:rsid w:val="2B024767"/>
    <w:rsid w:val="2B0F5BE3"/>
    <w:rsid w:val="2B194010"/>
    <w:rsid w:val="2B1A0A86"/>
    <w:rsid w:val="2B766889"/>
    <w:rsid w:val="2B8F7412"/>
    <w:rsid w:val="2BB62C14"/>
    <w:rsid w:val="2BB82208"/>
    <w:rsid w:val="2BC1544C"/>
    <w:rsid w:val="2BF83122"/>
    <w:rsid w:val="2C4D4422"/>
    <w:rsid w:val="2C61592A"/>
    <w:rsid w:val="2CB8332A"/>
    <w:rsid w:val="2CDE7ADE"/>
    <w:rsid w:val="2CF23348"/>
    <w:rsid w:val="2D0212AF"/>
    <w:rsid w:val="2D0721CE"/>
    <w:rsid w:val="2D2D0FB8"/>
    <w:rsid w:val="2D5369A4"/>
    <w:rsid w:val="2D553E12"/>
    <w:rsid w:val="2D563294"/>
    <w:rsid w:val="2D572DE8"/>
    <w:rsid w:val="2D7657B0"/>
    <w:rsid w:val="2DA92533"/>
    <w:rsid w:val="2DB9608A"/>
    <w:rsid w:val="2DC542FD"/>
    <w:rsid w:val="2E027319"/>
    <w:rsid w:val="2E740C9C"/>
    <w:rsid w:val="2E912614"/>
    <w:rsid w:val="2EB82B9B"/>
    <w:rsid w:val="2EDB211E"/>
    <w:rsid w:val="2EE8003A"/>
    <w:rsid w:val="2F495BF0"/>
    <w:rsid w:val="2FAE0271"/>
    <w:rsid w:val="2FAF734F"/>
    <w:rsid w:val="2FB74538"/>
    <w:rsid w:val="2FF16930"/>
    <w:rsid w:val="30255652"/>
    <w:rsid w:val="302A5959"/>
    <w:rsid w:val="305B0C4B"/>
    <w:rsid w:val="30670256"/>
    <w:rsid w:val="306F34C7"/>
    <w:rsid w:val="31024AE6"/>
    <w:rsid w:val="31232744"/>
    <w:rsid w:val="313F60CD"/>
    <w:rsid w:val="316C164E"/>
    <w:rsid w:val="31AC33EA"/>
    <w:rsid w:val="31B469D0"/>
    <w:rsid w:val="31D64F96"/>
    <w:rsid w:val="32017181"/>
    <w:rsid w:val="3202578C"/>
    <w:rsid w:val="32344F79"/>
    <w:rsid w:val="326D3B31"/>
    <w:rsid w:val="327021FA"/>
    <w:rsid w:val="329C1DF0"/>
    <w:rsid w:val="329E2BA3"/>
    <w:rsid w:val="32AE7A75"/>
    <w:rsid w:val="32E032B1"/>
    <w:rsid w:val="32EF11A3"/>
    <w:rsid w:val="32EF2028"/>
    <w:rsid w:val="33011C41"/>
    <w:rsid w:val="333C6A3D"/>
    <w:rsid w:val="33644CFD"/>
    <w:rsid w:val="33774568"/>
    <w:rsid w:val="337D24CC"/>
    <w:rsid w:val="33A0028D"/>
    <w:rsid w:val="33A570FA"/>
    <w:rsid w:val="33D32C1C"/>
    <w:rsid w:val="33D92429"/>
    <w:rsid w:val="343B3818"/>
    <w:rsid w:val="343C1893"/>
    <w:rsid w:val="358526AE"/>
    <w:rsid w:val="35B54B22"/>
    <w:rsid w:val="35DF0F8E"/>
    <w:rsid w:val="35E83CBD"/>
    <w:rsid w:val="35EF293B"/>
    <w:rsid w:val="35F13A2A"/>
    <w:rsid w:val="360453EB"/>
    <w:rsid w:val="361633A9"/>
    <w:rsid w:val="362C0965"/>
    <w:rsid w:val="36495F37"/>
    <w:rsid w:val="36523501"/>
    <w:rsid w:val="366A6E58"/>
    <w:rsid w:val="36FC13DF"/>
    <w:rsid w:val="37366041"/>
    <w:rsid w:val="373D0F4E"/>
    <w:rsid w:val="37625DAE"/>
    <w:rsid w:val="377717B0"/>
    <w:rsid w:val="379D7A74"/>
    <w:rsid w:val="37A0321C"/>
    <w:rsid w:val="37A03DDA"/>
    <w:rsid w:val="37B32DBE"/>
    <w:rsid w:val="37DC389E"/>
    <w:rsid w:val="37E41DF1"/>
    <w:rsid w:val="37FC364E"/>
    <w:rsid w:val="38463090"/>
    <w:rsid w:val="3882116E"/>
    <w:rsid w:val="388234B9"/>
    <w:rsid w:val="38973473"/>
    <w:rsid w:val="389873A0"/>
    <w:rsid w:val="38A56CC9"/>
    <w:rsid w:val="38C05F24"/>
    <w:rsid w:val="38D750B8"/>
    <w:rsid w:val="38F2240C"/>
    <w:rsid w:val="39171CC0"/>
    <w:rsid w:val="393F39C1"/>
    <w:rsid w:val="3941283A"/>
    <w:rsid w:val="395212E1"/>
    <w:rsid w:val="39653C62"/>
    <w:rsid w:val="39976574"/>
    <w:rsid w:val="39A165F9"/>
    <w:rsid w:val="39B23EF9"/>
    <w:rsid w:val="39B72706"/>
    <w:rsid w:val="39C84E5A"/>
    <w:rsid w:val="39FA0921"/>
    <w:rsid w:val="3A3457E8"/>
    <w:rsid w:val="3A3F0320"/>
    <w:rsid w:val="3A536E24"/>
    <w:rsid w:val="3A565A98"/>
    <w:rsid w:val="3A810ECA"/>
    <w:rsid w:val="3A871F8A"/>
    <w:rsid w:val="3AA31206"/>
    <w:rsid w:val="3AB57780"/>
    <w:rsid w:val="3AC65AD2"/>
    <w:rsid w:val="3ACF5A26"/>
    <w:rsid w:val="3B1B509F"/>
    <w:rsid w:val="3B3575B2"/>
    <w:rsid w:val="3B4764C1"/>
    <w:rsid w:val="3B54731C"/>
    <w:rsid w:val="3B67428D"/>
    <w:rsid w:val="3B713350"/>
    <w:rsid w:val="3B7A26BE"/>
    <w:rsid w:val="3BE767A5"/>
    <w:rsid w:val="3C1701DB"/>
    <w:rsid w:val="3C1D6134"/>
    <w:rsid w:val="3C2E25AC"/>
    <w:rsid w:val="3C33699A"/>
    <w:rsid w:val="3C41291B"/>
    <w:rsid w:val="3C447C27"/>
    <w:rsid w:val="3C4E3440"/>
    <w:rsid w:val="3D2A4F13"/>
    <w:rsid w:val="3E225ED0"/>
    <w:rsid w:val="3E29108F"/>
    <w:rsid w:val="3E3B1247"/>
    <w:rsid w:val="3E753D25"/>
    <w:rsid w:val="3E763568"/>
    <w:rsid w:val="3EB341AB"/>
    <w:rsid w:val="3EC20226"/>
    <w:rsid w:val="3EC451E1"/>
    <w:rsid w:val="3EC47F80"/>
    <w:rsid w:val="3F1C4D15"/>
    <w:rsid w:val="3F1E63B0"/>
    <w:rsid w:val="3F2226EC"/>
    <w:rsid w:val="3F601C75"/>
    <w:rsid w:val="3FAC6CE4"/>
    <w:rsid w:val="3FDA48AC"/>
    <w:rsid w:val="40251362"/>
    <w:rsid w:val="40260FB6"/>
    <w:rsid w:val="402A3DD6"/>
    <w:rsid w:val="402E363B"/>
    <w:rsid w:val="403A7A13"/>
    <w:rsid w:val="40883F9A"/>
    <w:rsid w:val="40A6403B"/>
    <w:rsid w:val="40C31767"/>
    <w:rsid w:val="40D11C13"/>
    <w:rsid w:val="40D14228"/>
    <w:rsid w:val="40E32648"/>
    <w:rsid w:val="41216942"/>
    <w:rsid w:val="413F338F"/>
    <w:rsid w:val="415D3A83"/>
    <w:rsid w:val="41A50FA5"/>
    <w:rsid w:val="41C425D4"/>
    <w:rsid w:val="41CC07BC"/>
    <w:rsid w:val="41DD5AAF"/>
    <w:rsid w:val="420569A4"/>
    <w:rsid w:val="4246080B"/>
    <w:rsid w:val="42CE24FD"/>
    <w:rsid w:val="42F302DD"/>
    <w:rsid w:val="43260C43"/>
    <w:rsid w:val="438034F8"/>
    <w:rsid w:val="4388321A"/>
    <w:rsid w:val="43EB24DA"/>
    <w:rsid w:val="441A31FF"/>
    <w:rsid w:val="446A3759"/>
    <w:rsid w:val="446B4961"/>
    <w:rsid w:val="449428DA"/>
    <w:rsid w:val="45132E7E"/>
    <w:rsid w:val="45423E2F"/>
    <w:rsid w:val="45581077"/>
    <w:rsid w:val="4595603A"/>
    <w:rsid w:val="45A046DF"/>
    <w:rsid w:val="45B725A0"/>
    <w:rsid w:val="462E25CA"/>
    <w:rsid w:val="46303A17"/>
    <w:rsid w:val="465A58CC"/>
    <w:rsid w:val="46683AD2"/>
    <w:rsid w:val="46931FE6"/>
    <w:rsid w:val="46D637ED"/>
    <w:rsid w:val="46DD3F38"/>
    <w:rsid w:val="46F16F1D"/>
    <w:rsid w:val="46FD2CBF"/>
    <w:rsid w:val="4717393B"/>
    <w:rsid w:val="472910BD"/>
    <w:rsid w:val="47553E8E"/>
    <w:rsid w:val="47633879"/>
    <w:rsid w:val="477C293C"/>
    <w:rsid w:val="47CA2F97"/>
    <w:rsid w:val="47D84675"/>
    <w:rsid w:val="47E17B3A"/>
    <w:rsid w:val="481379C4"/>
    <w:rsid w:val="481947FE"/>
    <w:rsid w:val="483B043E"/>
    <w:rsid w:val="484416F1"/>
    <w:rsid w:val="486B0826"/>
    <w:rsid w:val="486B1D8E"/>
    <w:rsid w:val="48A93D74"/>
    <w:rsid w:val="48D139F6"/>
    <w:rsid w:val="48F56DD6"/>
    <w:rsid w:val="491916C6"/>
    <w:rsid w:val="49573AC8"/>
    <w:rsid w:val="497465B9"/>
    <w:rsid w:val="49AA7971"/>
    <w:rsid w:val="49FE240E"/>
    <w:rsid w:val="4A141151"/>
    <w:rsid w:val="4A245F36"/>
    <w:rsid w:val="4A316318"/>
    <w:rsid w:val="4A643B84"/>
    <w:rsid w:val="4A777A6A"/>
    <w:rsid w:val="4AC9062D"/>
    <w:rsid w:val="4AE52C42"/>
    <w:rsid w:val="4AF2187D"/>
    <w:rsid w:val="4AF2597E"/>
    <w:rsid w:val="4AFC3953"/>
    <w:rsid w:val="4B1E385E"/>
    <w:rsid w:val="4B6870F9"/>
    <w:rsid w:val="4B6C2969"/>
    <w:rsid w:val="4BCF6DCB"/>
    <w:rsid w:val="4BD06B38"/>
    <w:rsid w:val="4BDF321A"/>
    <w:rsid w:val="4C0065CE"/>
    <w:rsid w:val="4C18241E"/>
    <w:rsid w:val="4C224353"/>
    <w:rsid w:val="4C227943"/>
    <w:rsid w:val="4C4373DD"/>
    <w:rsid w:val="4C472142"/>
    <w:rsid w:val="4C5F22C4"/>
    <w:rsid w:val="4C987CAD"/>
    <w:rsid w:val="4D56385A"/>
    <w:rsid w:val="4D687DD2"/>
    <w:rsid w:val="4DC86CD0"/>
    <w:rsid w:val="4DD62C1F"/>
    <w:rsid w:val="4DF46D27"/>
    <w:rsid w:val="4E367509"/>
    <w:rsid w:val="4E3E3C16"/>
    <w:rsid w:val="4E5211BA"/>
    <w:rsid w:val="4E684BF9"/>
    <w:rsid w:val="4E90713C"/>
    <w:rsid w:val="4E9D1D1E"/>
    <w:rsid w:val="4F0E0B1D"/>
    <w:rsid w:val="4FBC4B8B"/>
    <w:rsid w:val="4FBD41CA"/>
    <w:rsid w:val="4FCA2C11"/>
    <w:rsid w:val="4FD246D2"/>
    <w:rsid w:val="50077D56"/>
    <w:rsid w:val="50131451"/>
    <w:rsid w:val="50831BFE"/>
    <w:rsid w:val="50B52FE4"/>
    <w:rsid w:val="50BF2E54"/>
    <w:rsid w:val="51390BE4"/>
    <w:rsid w:val="51C804DE"/>
    <w:rsid w:val="51CF0D4C"/>
    <w:rsid w:val="51D152A5"/>
    <w:rsid w:val="51E12FF8"/>
    <w:rsid w:val="51E33826"/>
    <w:rsid w:val="51E71C22"/>
    <w:rsid w:val="520C6B50"/>
    <w:rsid w:val="522E62F3"/>
    <w:rsid w:val="523800A1"/>
    <w:rsid w:val="52A33960"/>
    <w:rsid w:val="52B476CE"/>
    <w:rsid w:val="52F47A95"/>
    <w:rsid w:val="531645CA"/>
    <w:rsid w:val="531F2A96"/>
    <w:rsid w:val="53262EC9"/>
    <w:rsid w:val="53734149"/>
    <w:rsid w:val="53932760"/>
    <w:rsid w:val="539873E7"/>
    <w:rsid w:val="53B46D0C"/>
    <w:rsid w:val="54087353"/>
    <w:rsid w:val="54375044"/>
    <w:rsid w:val="544232E7"/>
    <w:rsid w:val="54557110"/>
    <w:rsid w:val="549661B6"/>
    <w:rsid w:val="54D24E79"/>
    <w:rsid w:val="5503429F"/>
    <w:rsid w:val="551027C6"/>
    <w:rsid w:val="552F7315"/>
    <w:rsid w:val="554B0FDD"/>
    <w:rsid w:val="55631D2D"/>
    <w:rsid w:val="55BB1E97"/>
    <w:rsid w:val="55C8709D"/>
    <w:rsid w:val="560509A3"/>
    <w:rsid w:val="56250237"/>
    <w:rsid w:val="564569EB"/>
    <w:rsid w:val="56AB5944"/>
    <w:rsid w:val="56B1060B"/>
    <w:rsid w:val="56F645A2"/>
    <w:rsid w:val="57214861"/>
    <w:rsid w:val="572B4616"/>
    <w:rsid w:val="573E3AE2"/>
    <w:rsid w:val="57541EAD"/>
    <w:rsid w:val="577465D8"/>
    <w:rsid w:val="57AE5029"/>
    <w:rsid w:val="57C23486"/>
    <w:rsid w:val="57D123D3"/>
    <w:rsid w:val="5807247D"/>
    <w:rsid w:val="58117CC1"/>
    <w:rsid w:val="582C3384"/>
    <w:rsid w:val="58624A55"/>
    <w:rsid w:val="59216A89"/>
    <w:rsid w:val="59A175DF"/>
    <w:rsid w:val="59B819C2"/>
    <w:rsid w:val="59C7668D"/>
    <w:rsid w:val="59FC4729"/>
    <w:rsid w:val="59FF697B"/>
    <w:rsid w:val="5A0B75E4"/>
    <w:rsid w:val="5A575BFF"/>
    <w:rsid w:val="5A77586F"/>
    <w:rsid w:val="5AA12CBD"/>
    <w:rsid w:val="5ACA65CD"/>
    <w:rsid w:val="5ACC7A53"/>
    <w:rsid w:val="5AE51758"/>
    <w:rsid w:val="5B391E0B"/>
    <w:rsid w:val="5B581F93"/>
    <w:rsid w:val="5B6B529B"/>
    <w:rsid w:val="5BB250E2"/>
    <w:rsid w:val="5BB3320D"/>
    <w:rsid w:val="5BC31A45"/>
    <w:rsid w:val="5BC772C9"/>
    <w:rsid w:val="5BF50377"/>
    <w:rsid w:val="5C0C0B0B"/>
    <w:rsid w:val="5C2F6623"/>
    <w:rsid w:val="5C465FA2"/>
    <w:rsid w:val="5C544090"/>
    <w:rsid w:val="5C726BB6"/>
    <w:rsid w:val="5C7322D1"/>
    <w:rsid w:val="5CD6246D"/>
    <w:rsid w:val="5CEF4070"/>
    <w:rsid w:val="5CFC28A8"/>
    <w:rsid w:val="5D246FFC"/>
    <w:rsid w:val="5D36426B"/>
    <w:rsid w:val="5D742B18"/>
    <w:rsid w:val="5DDA696A"/>
    <w:rsid w:val="5E410FFD"/>
    <w:rsid w:val="5E544606"/>
    <w:rsid w:val="5E8E05EA"/>
    <w:rsid w:val="5EE27DB7"/>
    <w:rsid w:val="5EFB61FA"/>
    <w:rsid w:val="5F2C7D02"/>
    <w:rsid w:val="5F410ECF"/>
    <w:rsid w:val="5F7663E9"/>
    <w:rsid w:val="5FB656F9"/>
    <w:rsid w:val="5FBC2CFA"/>
    <w:rsid w:val="5FC53466"/>
    <w:rsid w:val="5FD13015"/>
    <w:rsid w:val="60190EE3"/>
    <w:rsid w:val="601D48F2"/>
    <w:rsid w:val="601E31F8"/>
    <w:rsid w:val="602832C7"/>
    <w:rsid w:val="603D1F50"/>
    <w:rsid w:val="603F673E"/>
    <w:rsid w:val="603F6A49"/>
    <w:rsid w:val="605467C6"/>
    <w:rsid w:val="60D605A1"/>
    <w:rsid w:val="61464F6C"/>
    <w:rsid w:val="61511CDF"/>
    <w:rsid w:val="61515A7F"/>
    <w:rsid w:val="61633E93"/>
    <w:rsid w:val="61A4558D"/>
    <w:rsid w:val="61C32B70"/>
    <w:rsid w:val="61E045CD"/>
    <w:rsid w:val="61E23930"/>
    <w:rsid w:val="62016875"/>
    <w:rsid w:val="623E052A"/>
    <w:rsid w:val="625523BE"/>
    <w:rsid w:val="628B7263"/>
    <w:rsid w:val="62902D58"/>
    <w:rsid w:val="62952567"/>
    <w:rsid w:val="62AE4BDA"/>
    <w:rsid w:val="62C97640"/>
    <w:rsid w:val="62D27C48"/>
    <w:rsid w:val="62DA794A"/>
    <w:rsid w:val="6307315E"/>
    <w:rsid w:val="63184211"/>
    <w:rsid w:val="631B5AD9"/>
    <w:rsid w:val="635C575B"/>
    <w:rsid w:val="636863CF"/>
    <w:rsid w:val="63752C12"/>
    <w:rsid w:val="638C1080"/>
    <w:rsid w:val="639C2AF6"/>
    <w:rsid w:val="63B413CF"/>
    <w:rsid w:val="63D4721A"/>
    <w:rsid w:val="63FF6C27"/>
    <w:rsid w:val="6405263C"/>
    <w:rsid w:val="642454D9"/>
    <w:rsid w:val="6464336B"/>
    <w:rsid w:val="65134455"/>
    <w:rsid w:val="653C5193"/>
    <w:rsid w:val="655C7828"/>
    <w:rsid w:val="65CB1350"/>
    <w:rsid w:val="66330E7B"/>
    <w:rsid w:val="66351622"/>
    <w:rsid w:val="665005D0"/>
    <w:rsid w:val="665A2304"/>
    <w:rsid w:val="669C6349"/>
    <w:rsid w:val="66A80AC6"/>
    <w:rsid w:val="67144976"/>
    <w:rsid w:val="67202357"/>
    <w:rsid w:val="67603F26"/>
    <w:rsid w:val="67D3264E"/>
    <w:rsid w:val="68024DD3"/>
    <w:rsid w:val="680F332B"/>
    <w:rsid w:val="6832253F"/>
    <w:rsid w:val="68470036"/>
    <w:rsid w:val="685C3C4D"/>
    <w:rsid w:val="687102AD"/>
    <w:rsid w:val="68724B40"/>
    <w:rsid w:val="68902798"/>
    <w:rsid w:val="68980BF7"/>
    <w:rsid w:val="690C7142"/>
    <w:rsid w:val="69412846"/>
    <w:rsid w:val="695907E9"/>
    <w:rsid w:val="6964290E"/>
    <w:rsid w:val="698304CD"/>
    <w:rsid w:val="69932BAE"/>
    <w:rsid w:val="69A16FDB"/>
    <w:rsid w:val="69BA6060"/>
    <w:rsid w:val="6A223F21"/>
    <w:rsid w:val="6A2C1DD7"/>
    <w:rsid w:val="6A4771F0"/>
    <w:rsid w:val="6A641277"/>
    <w:rsid w:val="6A985E45"/>
    <w:rsid w:val="6AAD0001"/>
    <w:rsid w:val="6ACC3B62"/>
    <w:rsid w:val="6AE30427"/>
    <w:rsid w:val="6B0A3E88"/>
    <w:rsid w:val="6B1B05C6"/>
    <w:rsid w:val="6B35684E"/>
    <w:rsid w:val="6B6C1D6A"/>
    <w:rsid w:val="6B706DFD"/>
    <w:rsid w:val="6B735145"/>
    <w:rsid w:val="6B76701F"/>
    <w:rsid w:val="6BB64940"/>
    <w:rsid w:val="6BBA5ABD"/>
    <w:rsid w:val="6BC04151"/>
    <w:rsid w:val="6BFF6B53"/>
    <w:rsid w:val="6C161EDD"/>
    <w:rsid w:val="6C17534B"/>
    <w:rsid w:val="6C52384A"/>
    <w:rsid w:val="6C5F577B"/>
    <w:rsid w:val="6C5F6B13"/>
    <w:rsid w:val="6C831486"/>
    <w:rsid w:val="6C8C7141"/>
    <w:rsid w:val="6C903E5F"/>
    <w:rsid w:val="6C92595F"/>
    <w:rsid w:val="6CA31D11"/>
    <w:rsid w:val="6CE513BE"/>
    <w:rsid w:val="6CEE595E"/>
    <w:rsid w:val="6CF82160"/>
    <w:rsid w:val="6D094BFA"/>
    <w:rsid w:val="6D1D7324"/>
    <w:rsid w:val="6D283EB3"/>
    <w:rsid w:val="6D476F5C"/>
    <w:rsid w:val="6D521445"/>
    <w:rsid w:val="6D524D35"/>
    <w:rsid w:val="6D631E8B"/>
    <w:rsid w:val="6DA45721"/>
    <w:rsid w:val="6DEF5724"/>
    <w:rsid w:val="6E2D7396"/>
    <w:rsid w:val="6E725D1D"/>
    <w:rsid w:val="6E790D8D"/>
    <w:rsid w:val="6E977E1E"/>
    <w:rsid w:val="6E9A083E"/>
    <w:rsid w:val="6F1013D6"/>
    <w:rsid w:val="6F141ED5"/>
    <w:rsid w:val="6F1830F3"/>
    <w:rsid w:val="6F2C4E6B"/>
    <w:rsid w:val="6F61172A"/>
    <w:rsid w:val="6F7502BE"/>
    <w:rsid w:val="6F8E346E"/>
    <w:rsid w:val="6F922D77"/>
    <w:rsid w:val="6FA85985"/>
    <w:rsid w:val="6FEA2DEF"/>
    <w:rsid w:val="70231C9D"/>
    <w:rsid w:val="70411BFE"/>
    <w:rsid w:val="707B5C7D"/>
    <w:rsid w:val="708C386D"/>
    <w:rsid w:val="7093353E"/>
    <w:rsid w:val="70A25D2A"/>
    <w:rsid w:val="70EC15F1"/>
    <w:rsid w:val="70F606D1"/>
    <w:rsid w:val="710C3141"/>
    <w:rsid w:val="71104E62"/>
    <w:rsid w:val="712F4856"/>
    <w:rsid w:val="713927A1"/>
    <w:rsid w:val="71426CAF"/>
    <w:rsid w:val="719525E5"/>
    <w:rsid w:val="71AB5382"/>
    <w:rsid w:val="71C04F46"/>
    <w:rsid w:val="71C43EDF"/>
    <w:rsid w:val="71D12B7B"/>
    <w:rsid w:val="72047D57"/>
    <w:rsid w:val="7254510E"/>
    <w:rsid w:val="72563FB1"/>
    <w:rsid w:val="726E28BC"/>
    <w:rsid w:val="729701F7"/>
    <w:rsid w:val="72C13435"/>
    <w:rsid w:val="7332304C"/>
    <w:rsid w:val="733A51EC"/>
    <w:rsid w:val="73460DCF"/>
    <w:rsid w:val="736A0023"/>
    <w:rsid w:val="736F51CC"/>
    <w:rsid w:val="73765DF7"/>
    <w:rsid w:val="739C093C"/>
    <w:rsid w:val="739D0315"/>
    <w:rsid w:val="73CE4F10"/>
    <w:rsid w:val="73DE0BF4"/>
    <w:rsid w:val="73EF72A5"/>
    <w:rsid w:val="740166CA"/>
    <w:rsid w:val="741606DE"/>
    <w:rsid w:val="746B4618"/>
    <w:rsid w:val="748E187D"/>
    <w:rsid w:val="74F727ED"/>
    <w:rsid w:val="75395A4F"/>
    <w:rsid w:val="75A62599"/>
    <w:rsid w:val="75B51F6A"/>
    <w:rsid w:val="75C718AC"/>
    <w:rsid w:val="75E5168E"/>
    <w:rsid w:val="75E65018"/>
    <w:rsid w:val="75FD7923"/>
    <w:rsid w:val="764536B8"/>
    <w:rsid w:val="764C1E95"/>
    <w:rsid w:val="765340BE"/>
    <w:rsid w:val="76600B0B"/>
    <w:rsid w:val="76DF6C16"/>
    <w:rsid w:val="76EC025F"/>
    <w:rsid w:val="770E2329"/>
    <w:rsid w:val="77104195"/>
    <w:rsid w:val="77180F28"/>
    <w:rsid w:val="77532B5B"/>
    <w:rsid w:val="77A72B49"/>
    <w:rsid w:val="77BA48A1"/>
    <w:rsid w:val="77EA45C3"/>
    <w:rsid w:val="77F3515D"/>
    <w:rsid w:val="77F537AF"/>
    <w:rsid w:val="782C4BE7"/>
    <w:rsid w:val="78427D95"/>
    <w:rsid w:val="78CE3373"/>
    <w:rsid w:val="78EA06B1"/>
    <w:rsid w:val="79303653"/>
    <w:rsid w:val="79332894"/>
    <w:rsid w:val="79432FDA"/>
    <w:rsid w:val="794E031B"/>
    <w:rsid w:val="796340FE"/>
    <w:rsid w:val="79EB1329"/>
    <w:rsid w:val="79F651E3"/>
    <w:rsid w:val="7A4A0DFD"/>
    <w:rsid w:val="7A552236"/>
    <w:rsid w:val="7A735659"/>
    <w:rsid w:val="7A7E0068"/>
    <w:rsid w:val="7AA47538"/>
    <w:rsid w:val="7AB60141"/>
    <w:rsid w:val="7AC17447"/>
    <w:rsid w:val="7AD70C9B"/>
    <w:rsid w:val="7ADA5B3C"/>
    <w:rsid w:val="7B4531F1"/>
    <w:rsid w:val="7B4D07FD"/>
    <w:rsid w:val="7BAB3DF5"/>
    <w:rsid w:val="7BD26364"/>
    <w:rsid w:val="7BDB29F1"/>
    <w:rsid w:val="7C2F53CB"/>
    <w:rsid w:val="7C3620D9"/>
    <w:rsid w:val="7C3A3603"/>
    <w:rsid w:val="7C461D0D"/>
    <w:rsid w:val="7C485C63"/>
    <w:rsid w:val="7C8C3F6C"/>
    <w:rsid w:val="7CA834CE"/>
    <w:rsid w:val="7CB9036C"/>
    <w:rsid w:val="7D047631"/>
    <w:rsid w:val="7D3475DB"/>
    <w:rsid w:val="7D771F95"/>
    <w:rsid w:val="7D942460"/>
    <w:rsid w:val="7DDD5D1F"/>
    <w:rsid w:val="7DFB6DCA"/>
    <w:rsid w:val="7E0B3754"/>
    <w:rsid w:val="7E3C4D54"/>
    <w:rsid w:val="7E551A40"/>
    <w:rsid w:val="7E563F68"/>
    <w:rsid w:val="7E661091"/>
    <w:rsid w:val="7E6851FB"/>
    <w:rsid w:val="7E901CCE"/>
    <w:rsid w:val="7EC40A24"/>
    <w:rsid w:val="7F4D61A8"/>
    <w:rsid w:val="7F5F072D"/>
    <w:rsid w:val="7F71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29"/>
    <w:qFormat/>
    <w:uiPriority w:val="0"/>
    <w:pPr>
      <w:keepNext/>
      <w:jc w:val="center"/>
      <w:outlineLvl w:val="0"/>
    </w:pPr>
    <w:rPr>
      <w:rFonts w:eastAsia="黑体"/>
      <w:b/>
      <w:sz w:val="32"/>
      <w:szCs w:val="20"/>
    </w:rPr>
  </w:style>
  <w:style w:type="paragraph" w:styleId="6">
    <w:name w:val="heading 2"/>
    <w:basedOn w:val="1"/>
    <w:next w:val="1"/>
    <w:link w:val="67"/>
    <w:qFormat/>
    <w:uiPriority w:val="0"/>
    <w:pPr>
      <w:keepNext/>
      <w:outlineLvl w:val="1"/>
    </w:pPr>
    <w:rPr>
      <w:rFonts w:ascii="仿宋_GB2312"/>
      <w:b/>
      <w:sz w:val="28"/>
      <w:szCs w:val="32"/>
    </w:rPr>
  </w:style>
  <w:style w:type="paragraph" w:styleId="7">
    <w:name w:val="heading 3"/>
    <w:basedOn w:val="1"/>
    <w:next w:val="1"/>
    <w:link w:val="152"/>
    <w:qFormat/>
    <w:uiPriority w:val="0"/>
    <w:pPr>
      <w:keepNext/>
      <w:keepLines/>
      <w:spacing w:line="540" w:lineRule="atLeast"/>
      <w:outlineLvl w:val="2"/>
    </w:pPr>
    <w:rPr>
      <w:rFonts w:eastAsia="黑体"/>
      <w:b/>
      <w:sz w:val="28"/>
      <w:szCs w:val="20"/>
    </w:rPr>
  </w:style>
  <w:style w:type="paragraph" w:styleId="8">
    <w:name w:val="heading 4"/>
    <w:basedOn w:val="1"/>
    <w:next w:val="1"/>
    <w:link w:val="149"/>
    <w:qFormat/>
    <w:uiPriority w:val="0"/>
    <w:pPr>
      <w:keepNext/>
      <w:keepLines/>
      <w:spacing w:line="540" w:lineRule="atLeast"/>
      <w:outlineLvl w:val="3"/>
    </w:pPr>
    <w:rPr>
      <w:sz w:val="28"/>
      <w:szCs w:val="28"/>
    </w:rPr>
  </w:style>
  <w:style w:type="paragraph" w:styleId="9">
    <w:name w:val="heading 5"/>
    <w:basedOn w:val="1"/>
    <w:next w:val="1"/>
    <w:link w:val="132"/>
    <w:qFormat/>
    <w:uiPriority w:val="0"/>
    <w:pPr>
      <w:keepNext/>
      <w:keepLines/>
      <w:spacing w:before="280" w:after="290" w:line="372" w:lineRule="auto"/>
      <w:outlineLvl w:val="4"/>
    </w:pPr>
    <w:rPr>
      <w:b/>
      <w:bCs/>
      <w:kern w:val="0"/>
      <w:sz w:val="28"/>
      <w:szCs w:val="28"/>
    </w:rPr>
  </w:style>
  <w:style w:type="paragraph" w:styleId="10">
    <w:name w:val="heading 6"/>
    <w:basedOn w:val="1"/>
    <w:next w:val="11"/>
    <w:link w:val="173"/>
    <w:qFormat/>
    <w:uiPriority w:val="0"/>
    <w:pPr>
      <w:keepNext/>
      <w:keepLines/>
      <w:spacing w:before="240" w:after="64" w:line="317" w:lineRule="auto"/>
      <w:outlineLvl w:val="5"/>
    </w:pPr>
    <w:rPr>
      <w:rFonts w:ascii="Arial" w:hAnsi="Arial" w:eastAsia="黑体"/>
      <w:b/>
      <w:sz w:val="24"/>
      <w:szCs w:val="20"/>
    </w:rPr>
  </w:style>
  <w:style w:type="paragraph" w:styleId="12">
    <w:name w:val="heading 7"/>
    <w:basedOn w:val="1"/>
    <w:next w:val="11"/>
    <w:link w:val="70"/>
    <w:qFormat/>
    <w:uiPriority w:val="0"/>
    <w:pPr>
      <w:keepNext/>
      <w:keepLines/>
      <w:spacing w:before="240" w:after="64" w:line="317" w:lineRule="auto"/>
      <w:outlineLvl w:val="6"/>
    </w:pPr>
    <w:rPr>
      <w:b/>
      <w:sz w:val="24"/>
      <w:szCs w:val="20"/>
    </w:rPr>
  </w:style>
  <w:style w:type="paragraph" w:styleId="13">
    <w:name w:val="heading 8"/>
    <w:basedOn w:val="1"/>
    <w:next w:val="11"/>
    <w:link w:val="176"/>
    <w:qFormat/>
    <w:uiPriority w:val="0"/>
    <w:pPr>
      <w:keepNext/>
      <w:keepLines/>
      <w:spacing w:before="240" w:after="64" w:line="317" w:lineRule="auto"/>
      <w:outlineLvl w:val="7"/>
    </w:pPr>
    <w:rPr>
      <w:rFonts w:ascii="Arial" w:hAnsi="Arial" w:eastAsia="黑体"/>
      <w:sz w:val="24"/>
      <w:szCs w:val="20"/>
    </w:rPr>
  </w:style>
  <w:style w:type="paragraph" w:styleId="14">
    <w:name w:val="heading 9"/>
    <w:basedOn w:val="1"/>
    <w:next w:val="11"/>
    <w:link w:val="163"/>
    <w:qFormat/>
    <w:uiPriority w:val="0"/>
    <w:pPr>
      <w:keepNext/>
      <w:keepLines/>
      <w:spacing w:before="240" w:after="64" w:line="317" w:lineRule="auto"/>
      <w:outlineLvl w:val="8"/>
    </w:pPr>
    <w:rPr>
      <w:rFonts w:ascii="Arial" w:hAnsi="Arial" w:eastAsia="黑体"/>
      <w:szCs w:val="20"/>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4"/>
    <w:qFormat/>
    <w:uiPriority w:val="0"/>
    <w:pPr>
      <w:spacing w:after="120"/>
    </w:pPr>
    <w:rPr>
      <w:rFonts w:ascii="仿宋_GB2312"/>
      <w:b/>
    </w:rPr>
  </w:style>
  <w:style w:type="paragraph" w:styleId="3">
    <w:name w:val="Body Text First Indent"/>
    <w:basedOn w:val="2"/>
    <w:next w:val="1"/>
    <w:link w:val="196"/>
    <w:qFormat/>
    <w:uiPriority w:val="0"/>
    <w:pPr>
      <w:autoSpaceDE w:val="0"/>
      <w:autoSpaceDN w:val="0"/>
      <w:adjustRightInd w:val="0"/>
      <w:ind w:firstLine="420" w:firstLineChars="100"/>
      <w:jc w:val="left"/>
    </w:pPr>
    <w:rPr>
      <w:rFonts w:ascii="Times New Roman"/>
      <w:b w:val="0"/>
      <w:kern w:val="0"/>
      <w:sz w:val="20"/>
      <w:szCs w:val="20"/>
    </w:rPr>
  </w:style>
  <w:style w:type="paragraph" w:styleId="4">
    <w:name w:val="macro"/>
    <w:link w:val="11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11">
    <w:name w:val="Normal Indent"/>
    <w:basedOn w:val="1"/>
    <w:next w:val="1"/>
    <w:link w:val="105"/>
    <w:qFormat/>
    <w:uiPriority w:val="0"/>
    <w:pPr>
      <w:adjustRightInd w:val="0"/>
      <w:spacing w:line="312" w:lineRule="atLeast"/>
      <w:ind w:firstLine="420"/>
      <w:textAlignment w:val="baseline"/>
    </w:pPr>
    <w:rPr>
      <w:rFonts w:ascii="仿宋_GB2312"/>
      <w:b/>
      <w:kern w:val="0"/>
      <w:szCs w:val="32"/>
    </w:rPr>
  </w:style>
  <w:style w:type="paragraph" w:styleId="15">
    <w:name w:val="toc 7"/>
    <w:basedOn w:val="1"/>
    <w:next w:val="1"/>
    <w:qFormat/>
    <w:uiPriority w:val="0"/>
    <w:pPr>
      <w:autoSpaceDE w:val="0"/>
      <w:autoSpaceDN w:val="0"/>
      <w:adjustRightInd w:val="0"/>
      <w:ind w:left="2520" w:leftChars="1200"/>
      <w:jc w:val="left"/>
    </w:pPr>
    <w:rPr>
      <w:kern w:val="0"/>
      <w:sz w:val="20"/>
      <w:szCs w:val="20"/>
    </w:rPr>
  </w:style>
  <w:style w:type="paragraph" w:styleId="16">
    <w:name w:val="List Number"/>
    <w:basedOn w:val="1"/>
    <w:qFormat/>
    <w:uiPriority w:val="0"/>
    <w:pPr>
      <w:tabs>
        <w:tab w:val="left" w:pos="360"/>
      </w:tabs>
      <w:ind w:left="360" w:hanging="360" w:hangingChars="200"/>
    </w:pPr>
  </w:style>
  <w:style w:type="paragraph" w:styleId="17">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8">
    <w:name w:val="List Bullet"/>
    <w:basedOn w:val="1"/>
    <w:qFormat/>
    <w:uiPriority w:val="0"/>
    <w:pPr>
      <w:tabs>
        <w:tab w:val="left" w:pos="360"/>
      </w:tabs>
    </w:pPr>
    <w:rPr>
      <w:rFonts w:ascii="Calibri" w:hAnsi="Calibri"/>
      <w:szCs w:val="22"/>
    </w:rPr>
  </w:style>
  <w:style w:type="paragraph" w:styleId="19">
    <w:name w:val="Document Map"/>
    <w:basedOn w:val="1"/>
    <w:link w:val="131"/>
    <w:qFormat/>
    <w:uiPriority w:val="0"/>
    <w:pPr>
      <w:shd w:val="clear" w:color="auto" w:fill="000080"/>
    </w:pPr>
  </w:style>
  <w:style w:type="paragraph" w:styleId="20">
    <w:name w:val="annotation text"/>
    <w:basedOn w:val="1"/>
    <w:link w:val="91"/>
    <w:qFormat/>
    <w:uiPriority w:val="0"/>
    <w:pPr>
      <w:jc w:val="left"/>
    </w:pPr>
  </w:style>
  <w:style w:type="paragraph" w:styleId="21">
    <w:name w:val="Salutation"/>
    <w:basedOn w:val="1"/>
    <w:next w:val="1"/>
    <w:link w:val="79"/>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2">
    <w:name w:val="Body Text 3"/>
    <w:basedOn w:val="1"/>
    <w:link w:val="95"/>
    <w:qFormat/>
    <w:uiPriority w:val="0"/>
    <w:pPr>
      <w:autoSpaceDE w:val="0"/>
      <w:autoSpaceDN w:val="0"/>
      <w:adjustRightInd w:val="0"/>
      <w:jc w:val="center"/>
    </w:pPr>
  </w:style>
  <w:style w:type="paragraph" w:styleId="23">
    <w:name w:val="Body Text Indent"/>
    <w:basedOn w:val="1"/>
    <w:link w:val="144"/>
    <w:qFormat/>
    <w:uiPriority w:val="0"/>
    <w:pPr>
      <w:ind w:left="480" w:hanging="480" w:hangingChars="200"/>
    </w:pPr>
    <w:rPr>
      <w:sz w:val="24"/>
    </w:rPr>
  </w:style>
  <w:style w:type="paragraph" w:styleId="24">
    <w:name w:val="List Number 3"/>
    <w:basedOn w:val="1"/>
    <w:qFormat/>
    <w:uiPriority w:val="0"/>
    <w:pPr>
      <w:tabs>
        <w:tab w:val="left" w:pos="1200"/>
      </w:tabs>
      <w:ind w:left="1200" w:leftChars="400" w:hanging="360" w:hangingChars="200"/>
    </w:pPr>
  </w:style>
  <w:style w:type="paragraph" w:styleId="25">
    <w:name w:val="Block Text"/>
    <w:basedOn w:val="1"/>
    <w:qFormat/>
    <w:uiPriority w:val="0"/>
    <w:pPr>
      <w:spacing w:line="520" w:lineRule="exact"/>
      <w:ind w:left="540" w:leftChars="257" w:right="-514"/>
    </w:pPr>
    <w:rPr>
      <w:rFonts w:ascii="宋体" w:hAnsi="宋体"/>
      <w:sz w:val="24"/>
    </w:rPr>
  </w:style>
  <w:style w:type="paragraph" w:styleId="26">
    <w:name w:val="List Bullet 2"/>
    <w:basedOn w:val="1"/>
    <w:qFormat/>
    <w:uiPriority w:val="0"/>
    <w:pPr>
      <w:tabs>
        <w:tab w:val="left" w:pos="780"/>
      </w:tabs>
      <w:spacing w:line="360" w:lineRule="auto"/>
      <w:ind w:left="780" w:leftChars="200" w:hanging="360" w:hangingChars="200"/>
    </w:pPr>
  </w:style>
  <w:style w:type="paragraph" w:styleId="27">
    <w:name w:val="toc 5"/>
    <w:basedOn w:val="1"/>
    <w:next w:val="1"/>
    <w:qFormat/>
    <w:uiPriority w:val="0"/>
    <w:pPr>
      <w:autoSpaceDE w:val="0"/>
      <w:autoSpaceDN w:val="0"/>
      <w:adjustRightInd w:val="0"/>
      <w:ind w:left="1680" w:leftChars="800"/>
      <w:jc w:val="left"/>
    </w:pPr>
    <w:rPr>
      <w:kern w:val="0"/>
      <w:sz w:val="20"/>
      <w:szCs w:val="20"/>
    </w:rPr>
  </w:style>
  <w:style w:type="paragraph" w:styleId="28">
    <w:name w:val="toc 3"/>
    <w:basedOn w:val="1"/>
    <w:next w:val="1"/>
    <w:qFormat/>
    <w:uiPriority w:val="0"/>
    <w:pPr>
      <w:ind w:left="840" w:leftChars="400"/>
    </w:pPr>
  </w:style>
  <w:style w:type="paragraph" w:styleId="29">
    <w:name w:val="Plain Text"/>
    <w:basedOn w:val="1"/>
    <w:next w:val="1"/>
    <w:link w:val="192"/>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0">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1">
    <w:name w:val="toc 8"/>
    <w:basedOn w:val="1"/>
    <w:next w:val="1"/>
    <w:qFormat/>
    <w:uiPriority w:val="0"/>
    <w:pPr>
      <w:autoSpaceDE w:val="0"/>
      <w:autoSpaceDN w:val="0"/>
      <w:adjustRightInd w:val="0"/>
      <w:ind w:left="2940" w:leftChars="1400"/>
      <w:jc w:val="left"/>
    </w:pPr>
    <w:rPr>
      <w:kern w:val="0"/>
      <w:sz w:val="20"/>
      <w:szCs w:val="20"/>
    </w:rPr>
  </w:style>
  <w:style w:type="paragraph" w:styleId="32">
    <w:name w:val="Date"/>
    <w:basedOn w:val="1"/>
    <w:next w:val="1"/>
    <w:link w:val="133"/>
    <w:qFormat/>
    <w:uiPriority w:val="0"/>
    <w:pPr>
      <w:ind w:left="100" w:leftChars="2500"/>
    </w:pPr>
  </w:style>
  <w:style w:type="paragraph" w:styleId="33">
    <w:name w:val="Body Text Indent 2"/>
    <w:basedOn w:val="1"/>
    <w:link w:val="178"/>
    <w:qFormat/>
    <w:uiPriority w:val="0"/>
    <w:pPr>
      <w:spacing w:line="500" w:lineRule="exact"/>
      <w:ind w:firstLine="511" w:firstLineChars="213"/>
    </w:pPr>
    <w:rPr>
      <w:sz w:val="24"/>
    </w:rPr>
  </w:style>
  <w:style w:type="paragraph" w:styleId="34">
    <w:name w:val="Balloon Text"/>
    <w:basedOn w:val="1"/>
    <w:link w:val="151"/>
    <w:qFormat/>
    <w:uiPriority w:val="0"/>
    <w:rPr>
      <w:sz w:val="18"/>
      <w:szCs w:val="18"/>
    </w:rPr>
  </w:style>
  <w:style w:type="paragraph" w:styleId="35">
    <w:name w:val="footer"/>
    <w:basedOn w:val="1"/>
    <w:link w:val="120"/>
    <w:qFormat/>
    <w:uiPriority w:val="0"/>
    <w:pPr>
      <w:tabs>
        <w:tab w:val="center" w:pos="4153"/>
        <w:tab w:val="right" w:pos="8306"/>
      </w:tabs>
      <w:snapToGrid w:val="0"/>
      <w:jc w:val="left"/>
    </w:pPr>
    <w:rPr>
      <w:sz w:val="18"/>
      <w:szCs w:val="18"/>
    </w:rPr>
  </w:style>
  <w:style w:type="paragraph" w:styleId="36">
    <w:name w:val="header"/>
    <w:basedOn w:val="1"/>
    <w:link w:val="135"/>
    <w:qFormat/>
    <w:uiPriority w:val="0"/>
    <w:pPr>
      <w:pBdr>
        <w:bottom w:val="single" w:color="auto" w:sz="6" w:space="1"/>
      </w:pBdr>
      <w:tabs>
        <w:tab w:val="center" w:pos="4153"/>
        <w:tab w:val="right" w:pos="8306"/>
      </w:tabs>
      <w:snapToGrid w:val="0"/>
      <w:jc w:val="center"/>
    </w:pPr>
    <w:rPr>
      <w:sz w:val="18"/>
      <w:szCs w:val="18"/>
    </w:rPr>
  </w:style>
  <w:style w:type="paragraph" w:styleId="37">
    <w:name w:val="Signature"/>
    <w:basedOn w:val="1"/>
    <w:link w:val="154"/>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8">
    <w:name w:val="toc 1"/>
    <w:basedOn w:val="1"/>
    <w:next w:val="1"/>
    <w:qFormat/>
    <w:uiPriority w:val="0"/>
  </w:style>
  <w:style w:type="paragraph" w:styleId="39">
    <w:name w:val="toc 4"/>
    <w:basedOn w:val="1"/>
    <w:next w:val="1"/>
    <w:qFormat/>
    <w:uiPriority w:val="0"/>
    <w:pPr>
      <w:autoSpaceDE w:val="0"/>
      <w:autoSpaceDN w:val="0"/>
      <w:adjustRightInd w:val="0"/>
      <w:ind w:left="1260" w:leftChars="600"/>
      <w:jc w:val="left"/>
    </w:pPr>
    <w:rPr>
      <w:kern w:val="0"/>
      <w:sz w:val="20"/>
      <w:szCs w:val="20"/>
    </w:rPr>
  </w:style>
  <w:style w:type="paragraph" w:styleId="40">
    <w:name w:val="Subtitle"/>
    <w:basedOn w:val="1"/>
    <w:next w:val="1"/>
    <w:link w:val="134"/>
    <w:qFormat/>
    <w:uiPriority w:val="0"/>
    <w:pPr>
      <w:spacing w:before="240" w:after="60" w:line="312" w:lineRule="auto"/>
      <w:jc w:val="center"/>
      <w:outlineLvl w:val="1"/>
    </w:pPr>
    <w:rPr>
      <w:rFonts w:ascii="Cambria" w:hAnsi="Cambria"/>
      <w:b/>
      <w:bCs/>
      <w:kern w:val="28"/>
      <w:sz w:val="32"/>
      <w:szCs w:val="32"/>
    </w:rPr>
  </w:style>
  <w:style w:type="paragraph" w:styleId="41">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2">
    <w:name w:val="List"/>
    <w:basedOn w:val="1"/>
    <w:qFormat/>
    <w:uiPriority w:val="0"/>
    <w:pPr>
      <w:ind w:left="200" w:hanging="200" w:hangingChars="200"/>
    </w:pPr>
  </w:style>
  <w:style w:type="paragraph" w:styleId="43">
    <w:name w:val="footnote text"/>
    <w:basedOn w:val="1"/>
    <w:qFormat/>
    <w:uiPriority w:val="0"/>
    <w:pPr>
      <w:snapToGrid w:val="0"/>
      <w:spacing w:after="160" w:line="259" w:lineRule="auto"/>
      <w:jc w:val="left"/>
    </w:pPr>
    <w:rPr>
      <w:sz w:val="18"/>
      <w:szCs w:val="20"/>
    </w:rPr>
  </w:style>
  <w:style w:type="paragraph" w:styleId="44">
    <w:name w:val="toc 6"/>
    <w:basedOn w:val="1"/>
    <w:next w:val="1"/>
    <w:qFormat/>
    <w:uiPriority w:val="0"/>
    <w:pPr>
      <w:autoSpaceDE w:val="0"/>
      <w:autoSpaceDN w:val="0"/>
      <w:adjustRightInd w:val="0"/>
      <w:ind w:left="2100" w:leftChars="1000"/>
      <w:jc w:val="left"/>
    </w:pPr>
    <w:rPr>
      <w:kern w:val="0"/>
      <w:sz w:val="20"/>
      <w:szCs w:val="20"/>
    </w:rPr>
  </w:style>
  <w:style w:type="paragraph" w:styleId="45">
    <w:name w:val="Body Text Indent 3"/>
    <w:basedOn w:val="1"/>
    <w:link w:val="146"/>
    <w:qFormat/>
    <w:uiPriority w:val="0"/>
    <w:pPr>
      <w:spacing w:line="500" w:lineRule="exact"/>
      <w:ind w:left="511" w:hanging="511" w:hangingChars="213"/>
    </w:pPr>
    <w:rPr>
      <w:sz w:val="24"/>
    </w:rPr>
  </w:style>
  <w:style w:type="paragraph" w:styleId="46">
    <w:name w:val="toc 2"/>
    <w:basedOn w:val="1"/>
    <w:next w:val="1"/>
    <w:qFormat/>
    <w:uiPriority w:val="0"/>
    <w:pPr>
      <w:ind w:left="420" w:leftChars="200"/>
    </w:pPr>
  </w:style>
  <w:style w:type="paragraph" w:styleId="47">
    <w:name w:val="toc 9"/>
    <w:basedOn w:val="1"/>
    <w:next w:val="1"/>
    <w:qFormat/>
    <w:uiPriority w:val="0"/>
    <w:pPr>
      <w:autoSpaceDE w:val="0"/>
      <w:autoSpaceDN w:val="0"/>
      <w:adjustRightInd w:val="0"/>
      <w:ind w:left="3360" w:leftChars="1600"/>
      <w:jc w:val="left"/>
    </w:pPr>
    <w:rPr>
      <w:kern w:val="0"/>
      <w:sz w:val="20"/>
      <w:szCs w:val="20"/>
    </w:rPr>
  </w:style>
  <w:style w:type="paragraph" w:styleId="48">
    <w:name w:val="Body Text 2"/>
    <w:basedOn w:val="1"/>
    <w:link w:val="198"/>
    <w:qFormat/>
    <w:uiPriority w:val="0"/>
    <w:pPr>
      <w:autoSpaceDE w:val="0"/>
      <w:autoSpaceDN w:val="0"/>
      <w:adjustRightInd w:val="0"/>
      <w:spacing w:after="120" w:line="480" w:lineRule="auto"/>
      <w:jc w:val="left"/>
    </w:p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1"/>
    <w:qFormat/>
    <w:uiPriority w:val="0"/>
    <w:pPr>
      <w:spacing w:before="240" w:after="60"/>
      <w:jc w:val="center"/>
      <w:outlineLvl w:val="0"/>
    </w:pPr>
    <w:rPr>
      <w:rFonts w:ascii="Cambria" w:hAnsi="Cambria"/>
      <w:b/>
      <w:bCs/>
      <w:sz w:val="32"/>
      <w:szCs w:val="32"/>
    </w:rPr>
  </w:style>
  <w:style w:type="paragraph" w:styleId="51">
    <w:name w:val="annotation subject"/>
    <w:basedOn w:val="20"/>
    <w:next w:val="20"/>
    <w:link w:val="96"/>
    <w:qFormat/>
    <w:uiPriority w:val="0"/>
    <w:rPr>
      <w:b/>
      <w:bCs/>
    </w:rPr>
  </w:style>
  <w:style w:type="paragraph" w:styleId="52">
    <w:name w:val="Body Text First Indent 2"/>
    <w:basedOn w:val="23"/>
    <w:qFormat/>
    <w:uiPriority w:val="0"/>
    <w:pPr>
      <w:spacing w:after="120"/>
      <w:ind w:left="420" w:leftChars="200" w:firstLine="420"/>
    </w:pPr>
    <w:rPr>
      <w:rFonts w:cs="宋体"/>
      <w:sz w:val="21"/>
      <w:szCs w:val="21"/>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basedOn w:val="55"/>
    <w:qFormat/>
    <w:uiPriority w:val="0"/>
    <w:rPr>
      <w:rFonts w:ascii="仿宋_GB2312" w:eastAsia="仿宋_GB2312"/>
      <w:bCs/>
      <w:sz w:val="32"/>
      <w:szCs w:val="32"/>
    </w:rPr>
  </w:style>
  <w:style w:type="character" w:styleId="57">
    <w:name w:val="page number"/>
    <w:basedOn w:val="55"/>
    <w:qFormat/>
    <w:uiPriority w:val="0"/>
  </w:style>
  <w:style w:type="character" w:styleId="58">
    <w:name w:val="FollowedHyperlink"/>
    <w:qFormat/>
    <w:uiPriority w:val="0"/>
    <w:rPr>
      <w:rFonts w:ascii="仿宋_GB2312" w:eastAsia="仿宋_GB2312"/>
      <w:b/>
      <w:color w:val="800080"/>
      <w:sz w:val="32"/>
      <w:szCs w:val="32"/>
      <w:u w:val="none"/>
    </w:rPr>
  </w:style>
  <w:style w:type="character" w:styleId="59">
    <w:name w:val="Emphasis"/>
    <w:qFormat/>
    <w:uiPriority w:val="0"/>
    <w:rPr>
      <w:i/>
      <w:iCs/>
    </w:rPr>
  </w:style>
  <w:style w:type="character" w:styleId="60">
    <w:name w:val="line number"/>
    <w:basedOn w:val="55"/>
    <w:qFormat/>
    <w:uiPriority w:val="0"/>
  </w:style>
  <w:style w:type="character" w:styleId="61">
    <w:name w:val="Hyperlink"/>
    <w:qFormat/>
    <w:uiPriority w:val="0"/>
    <w:rPr>
      <w:rFonts w:ascii="仿宋_GB2312" w:eastAsia="仿宋_GB2312"/>
      <w:b/>
      <w:color w:val="0000FF"/>
      <w:sz w:val="32"/>
      <w:szCs w:val="32"/>
      <w:u w:val="none"/>
    </w:rPr>
  </w:style>
  <w:style w:type="character" w:styleId="62">
    <w:name w:val="annotation reference"/>
    <w:qFormat/>
    <w:uiPriority w:val="0"/>
    <w:rPr>
      <w:sz w:val="21"/>
      <w:szCs w:val="21"/>
    </w:rPr>
  </w:style>
  <w:style w:type="character" w:styleId="63">
    <w:name w:val="HTML Cite"/>
    <w:qFormat/>
    <w:uiPriority w:val="0"/>
    <w:rPr>
      <w:color w:val="008000"/>
    </w:rPr>
  </w:style>
  <w:style w:type="paragraph" w:customStyle="1" w:styleId="64">
    <w:name w:val="Char3 Char Char Char"/>
    <w:basedOn w:val="1"/>
    <w:qFormat/>
    <w:uiPriority w:val="0"/>
  </w:style>
  <w:style w:type="character" w:customStyle="1" w:styleId="65">
    <w:name w:val="不明显参考1"/>
    <w:qFormat/>
    <w:uiPriority w:val="0"/>
    <w:rPr>
      <w:smallCaps/>
      <w:color w:val="C0504D"/>
      <w:u w:val="single"/>
    </w:rPr>
  </w:style>
  <w:style w:type="character" w:customStyle="1" w:styleId="66">
    <w:name w:val="PI Char1"/>
    <w:qFormat/>
    <w:uiPriority w:val="0"/>
    <w:rPr>
      <w:rFonts w:eastAsia="宋体"/>
      <w:kern w:val="2"/>
      <w:sz w:val="24"/>
      <w:szCs w:val="24"/>
      <w:lang w:val="en-US" w:eastAsia="zh-CN" w:bidi="ar-SA"/>
    </w:rPr>
  </w:style>
  <w:style w:type="character" w:customStyle="1" w:styleId="67">
    <w:name w:val="标题 2 Char"/>
    <w:link w:val="6"/>
    <w:qFormat/>
    <w:uiPriority w:val="0"/>
    <w:rPr>
      <w:rFonts w:ascii="仿宋_GB2312" w:eastAsia="宋体"/>
      <w:b/>
      <w:kern w:val="2"/>
      <w:sz w:val="28"/>
      <w:szCs w:val="32"/>
      <w:lang w:val="en-US" w:eastAsia="zh-CN" w:bidi="ar-SA"/>
    </w:rPr>
  </w:style>
  <w:style w:type="character" w:customStyle="1" w:styleId="68">
    <w:name w:val="pt141"/>
    <w:qFormat/>
    <w:uiPriority w:val="0"/>
    <w:rPr>
      <w:color w:val="330066"/>
      <w:spacing w:val="450"/>
      <w:sz w:val="22"/>
      <w:szCs w:val="22"/>
    </w:rPr>
  </w:style>
  <w:style w:type="character" w:customStyle="1" w:styleId="69">
    <w:name w:val="Char Char27"/>
    <w:qFormat/>
    <w:uiPriority w:val="0"/>
    <w:rPr>
      <w:rFonts w:eastAsia="宋体"/>
      <w:kern w:val="2"/>
      <w:sz w:val="28"/>
      <w:lang w:val="en-US" w:eastAsia="zh-CN" w:bidi="ar-SA"/>
    </w:rPr>
  </w:style>
  <w:style w:type="character" w:customStyle="1" w:styleId="70">
    <w:name w:val="标题 7 Char"/>
    <w:link w:val="12"/>
    <w:qFormat/>
    <w:uiPriority w:val="0"/>
    <w:rPr>
      <w:rFonts w:eastAsia="宋体"/>
      <w:b/>
      <w:kern w:val="2"/>
      <w:sz w:val="24"/>
      <w:lang w:val="en-US" w:eastAsia="zh-CN" w:bidi="ar-SA"/>
    </w:rPr>
  </w:style>
  <w:style w:type="character" w:customStyle="1" w:styleId="71">
    <w:name w:val="明显参考1"/>
    <w:qFormat/>
    <w:uiPriority w:val="0"/>
    <w:rPr>
      <w:b/>
      <w:bCs/>
      <w:smallCaps/>
      <w:color w:val="C0504D"/>
      <w:spacing w:val="5"/>
      <w:u w:val="single"/>
    </w:rPr>
  </w:style>
  <w:style w:type="character" w:customStyle="1" w:styleId="72">
    <w:name w:val="书籍标题1"/>
    <w:qFormat/>
    <w:uiPriority w:val="0"/>
    <w:rPr>
      <w:b/>
      <w:bCs/>
      <w:smallCaps/>
      <w:spacing w:val="5"/>
    </w:rPr>
  </w:style>
  <w:style w:type="character" w:customStyle="1" w:styleId="73">
    <w:name w:val="Char Char61"/>
    <w:qFormat/>
    <w:uiPriority w:val="0"/>
    <w:rPr>
      <w:rFonts w:ascii="Times New Roman" w:hAnsi="Times New Roman" w:eastAsia="宋体" w:cs="Times New Roman"/>
      <w:szCs w:val="24"/>
    </w:rPr>
  </w:style>
  <w:style w:type="character" w:customStyle="1" w:styleId="74">
    <w:name w:val="Char Char24"/>
    <w:qFormat/>
    <w:uiPriority w:val="0"/>
    <w:rPr>
      <w:rFonts w:eastAsia="宋体"/>
      <w:b/>
      <w:kern w:val="2"/>
      <w:sz w:val="28"/>
      <w:lang w:val="en-US" w:eastAsia="zh-CN" w:bidi="ar-SA"/>
    </w:rPr>
  </w:style>
  <w:style w:type="character" w:customStyle="1" w:styleId="75">
    <w:name w:val="Style4"/>
    <w:qFormat/>
    <w:uiPriority w:val="0"/>
    <w:rPr>
      <w:rFonts w:ascii="Calibri" w:hAnsi="宋体" w:eastAsia="宋体" w:cs="Times New Roman"/>
      <w:szCs w:val="22"/>
      <w:lang w:eastAsia="zh-CN"/>
    </w:rPr>
  </w:style>
  <w:style w:type="character" w:customStyle="1" w:styleId="76">
    <w:name w:val="Style1"/>
    <w:qFormat/>
    <w:uiPriority w:val="0"/>
    <w:rPr>
      <w:rFonts w:ascii="Calibri" w:hAnsi="宋体" w:eastAsia="宋体" w:cs="Times New Roman"/>
      <w:sz w:val="22"/>
      <w:szCs w:val="22"/>
      <w:lang w:eastAsia="zh-CN"/>
    </w:rPr>
  </w:style>
  <w:style w:type="character" w:customStyle="1" w:styleId="77">
    <w:name w:val="heading 1 Char1"/>
    <w:qFormat/>
    <w:uiPriority w:val="0"/>
    <w:rPr>
      <w:rFonts w:eastAsia="宋体"/>
      <w:b/>
      <w:bCs/>
      <w:kern w:val="44"/>
      <w:sz w:val="44"/>
      <w:szCs w:val="44"/>
      <w:lang w:val="en-US" w:eastAsia="zh-CN" w:bidi="ar-SA"/>
    </w:rPr>
  </w:style>
  <w:style w:type="character" w:customStyle="1" w:styleId="78">
    <w:name w:val="Style5"/>
    <w:qFormat/>
    <w:uiPriority w:val="0"/>
    <w:rPr>
      <w:rFonts w:ascii="Calibri" w:hAnsi="宋体" w:eastAsia="宋体" w:cs="Times New Roman"/>
      <w:sz w:val="22"/>
      <w:szCs w:val="22"/>
      <w:lang w:eastAsia="zh-CN"/>
    </w:rPr>
  </w:style>
  <w:style w:type="character" w:customStyle="1" w:styleId="79">
    <w:name w:val="称呼 Char"/>
    <w:link w:val="21"/>
    <w:qFormat/>
    <w:uiPriority w:val="0"/>
    <w:rPr>
      <w:rFonts w:ascii="仿宋_GB2312" w:eastAsia="仿宋_GB2312"/>
      <w:b/>
      <w:sz w:val="24"/>
      <w:szCs w:val="32"/>
    </w:rPr>
  </w:style>
  <w:style w:type="character" w:customStyle="1" w:styleId="80">
    <w:name w:val="Ò³Ã¼ Char Char2"/>
    <w:qFormat/>
    <w:uiPriority w:val="0"/>
    <w:rPr>
      <w:kern w:val="2"/>
      <w:sz w:val="18"/>
      <w:szCs w:val="18"/>
    </w:rPr>
  </w:style>
  <w:style w:type="character" w:customStyle="1" w:styleId="81">
    <w:name w:val="明显强调1"/>
    <w:qFormat/>
    <w:uiPriority w:val="0"/>
    <w:rPr>
      <w:b/>
      <w:bCs/>
      <w:i/>
      <w:iCs/>
      <w:color w:val="4F81BD"/>
    </w:rPr>
  </w:style>
  <w:style w:type="character" w:customStyle="1" w:styleId="82">
    <w:name w:val="样式 标题 3 + 黑体 小四 Char Char"/>
    <w:link w:val="83"/>
    <w:qFormat/>
    <w:uiPriority w:val="0"/>
    <w:rPr>
      <w:rFonts w:ascii="黑体" w:hAnsi="Arial" w:eastAsia="黑体"/>
      <w:bCs/>
      <w:sz w:val="24"/>
      <w:szCs w:val="24"/>
      <w:lang w:bidi="ar-SA"/>
    </w:rPr>
  </w:style>
  <w:style w:type="paragraph" w:customStyle="1" w:styleId="83">
    <w:name w:val="样式 标题 3 + 黑体 小四"/>
    <w:basedOn w:val="7"/>
    <w:link w:val="82"/>
    <w:qFormat/>
    <w:uiPriority w:val="0"/>
    <w:pPr>
      <w:spacing w:before="260" w:after="260" w:line="413" w:lineRule="auto"/>
    </w:pPr>
    <w:rPr>
      <w:rFonts w:ascii="黑体" w:hAnsi="Arial"/>
      <w:b w:val="0"/>
      <w:bCs/>
      <w:kern w:val="0"/>
      <w:sz w:val="24"/>
      <w:szCs w:val="24"/>
    </w:rPr>
  </w:style>
  <w:style w:type="character" w:customStyle="1" w:styleId="84">
    <w:name w:val="heading 7 Char1"/>
    <w:qFormat/>
    <w:uiPriority w:val="0"/>
    <w:rPr>
      <w:rFonts w:ascii="Arial" w:hAnsi="Arial" w:eastAsia="黑体"/>
      <w:sz w:val="21"/>
      <w:szCs w:val="21"/>
      <w:lang w:val="en-US" w:eastAsia="zh-CN" w:bidi="ar-SA"/>
    </w:rPr>
  </w:style>
  <w:style w:type="character" w:customStyle="1" w:styleId="85">
    <w:name w:val="Char Char1"/>
    <w:qFormat/>
    <w:uiPriority w:val="0"/>
    <w:rPr>
      <w:rFonts w:eastAsia="宋体"/>
      <w:sz w:val="21"/>
      <w:lang w:val="en-US" w:eastAsia="zh-CN" w:bidi="ar-SA"/>
    </w:rPr>
  </w:style>
  <w:style w:type="character" w:customStyle="1" w:styleId="86">
    <w:name w:val="Char Char12"/>
    <w:qFormat/>
    <w:uiPriority w:val="0"/>
    <w:rPr>
      <w:rFonts w:eastAsia="宋体"/>
      <w:kern w:val="2"/>
      <w:sz w:val="21"/>
      <w:szCs w:val="24"/>
      <w:lang w:val="en-US" w:eastAsia="zh-CN" w:bidi="ar-SA"/>
    </w:rPr>
  </w:style>
  <w:style w:type="character" w:customStyle="1" w:styleId="87">
    <w:name w:val="Char Char18"/>
    <w:qFormat/>
    <w:uiPriority w:val="0"/>
    <w:rPr>
      <w:b/>
      <w:bCs/>
      <w:kern w:val="2"/>
      <w:sz w:val="32"/>
      <w:szCs w:val="32"/>
    </w:rPr>
  </w:style>
  <w:style w:type="character" w:customStyle="1" w:styleId="88">
    <w:name w:val="Char Char4"/>
    <w:qFormat/>
    <w:uiPriority w:val="0"/>
    <w:rPr>
      <w:rFonts w:ascii="Cambria" w:hAnsi="Cambria" w:eastAsia="宋体"/>
      <w:b/>
      <w:bCs/>
      <w:sz w:val="32"/>
      <w:szCs w:val="32"/>
      <w:lang w:bidi="ar-SA"/>
    </w:rPr>
  </w:style>
  <w:style w:type="character" w:customStyle="1" w:styleId="89">
    <w:name w:val="PI Char"/>
    <w:qFormat/>
    <w:uiPriority w:val="0"/>
    <w:rPr>
      <w:rFonts w:ascii="宋体" w:hAnsi="宋体"/>
      <w:sz w:val="24"/>
    </w:rPr>
  </w:style>
  <w:style w:type="character" w:customStyle="1" w:styleId="90">
    <w:name w:val="明显参考2"/>
    <w:qFormat/>
    <w:uiPriority w:val="0"/>
    <w:rPr>
      <w:b/>
      <w:bCs/>
      <w:smallCaps/>
      <w:color w:val="C0504D"/>
      <w:spacing w:val="5"/>
      <w:u w:val="single"/>
    </w:rPr>
  </w:style>
  <w:style w:type="character" w:customStyle="1" w:styleId="91">
    <w:name w:val="批注文字 Char"/>
    <w:link w:val="20"/>
    <w:qFormat/>
    <w:uiPriority w:val="0"/>
    <w:rPr>
      <w:rFonts w:eastAsia="宋体"/>
      <w:kern w:val="2"/>
      <w:sz w:val="21"/>
      <w:szCs w:val="24"/>
      <w:lang w:val="en-US" w:eastAsia="zh-CN" w:bidi="ar-SA"/>
    </w:rPr>
  </w:style>
  <w:style w:type="character" w:customStyle="1" w:styleId="92">
    <w:name w:val="Style2"/>
    <w:qFormat/>
    <w:uiPriority w:val="0"/>
    <w:rPr>
      <w:rFonts w:ascii="Calibri" w:hAnsi="宋体" w:eastAsia="宋体" w:cs="Times New Roman"/>
      <w:sz w:val="22"/>
      <w:szCs w:val="22"/>
      <w:lang w:eastAsia="zh-CN"/>
    </w:rPr>
  </w:style>
  <w:style w:type="character" w:customStyle="1" w:styleId="93">
    <w:name w:val="Footer-Even Char1"/>
    <w:qFormat/>
    <w:uiPriority w:val="0"/>
    <w:rPr>
      <w:rFonts w:eastAsia="宋体"/>
      <w:kern w:val="2"/>
      <w:sz w:val="18"/>
      <w:szCs w:val="18"/>
      <w:lang w:val="en-US" w:eastAsia="zh-CN" w:bidi="ar-SA"/>
    </w:rPr>
  </w:style>
  <w:style w:type="character" w:customStyle="1" w:styleId="94">
    <w:name w:val="heading 4 Char1"/>
    <w:qFormat/>
    <w:uiPriority w:val="0"/>
    <w:rPr>
      <w:rFonts w:ascii="Cambria" w:hAnsi="Cambria" w:eastAsia="宋体"/>
      <w:b/>
      <w:bCs/>
      <w:kern w:val="2"/>
      <w:sz w:val="28"/>
      <w:szCs w:val="28"/>
      <w:lang w:val="en-US" w:eastAsia="zh-CN" w:bidi="ar-SA"/>
    </w:rPr>
  </w:style>
  <w:style w:type="character" w:customStyle="1" w:styleId="95">
    <w:name w:val="正文文本 3 Char"/>
    <w:basedOn w:val="55"/>
    <w:link w:val="22"/>
    <w:qFormat/>
    <w:uiPriority w:val="0"/>
  </w:style>
  <w:style w:type="character" w:customStyle="1" w:styleId="96">
    <w:name w:val="批注主题 Char"/>
    <w:link w:val="51"/>
    <w:qFormat/>
    <w:uiPriority w:val="0"/>
    <w:rPr>
      <w:rFonts w:eastAsia="宋体"/>
      <w:b/>
      <w:bCs/>
      <w:kern w:val="2"/>
      <w:sz w:val="21"/>
      <w:szCs w:val="24"/>
      <w:lang w:val="en-US" w:eastAsia="zh-CN" w:bidi="ar-SA"/>
    </w:rPr>
  </w:style>
  <w:style w:type="character" w:customStyle="1" w:styleId="97">
    <w:name w:val="不明显参考11"/>
    <w:qFormat/>
    <w:uiPriority w:val="0"/>
    <w:rPr>
      <w:smallCaps/>
      <w:color w:val="C0504D"/>
      <w:u w:val="single"/>
    </w:rPr>
  </w:style>
  <w:style w:type="character" w:customStyle="1" w:styleId="98">
    <w:name w:val="Plain Text Char"/>
    <w:qFormat/>
    <w:uiPriority w:val="0"/>
    <w:rPr>
      <w:rFonts w:ascii="宋体" w:hAnsi="Courier New" w:eastAsia="宋体" w:cs="Times New Roman"/>
      <w:sz w:val="21"/>
      <w:szCs w:val="21"/>
    </w:rPr>
  </w:style>
  <w:style w:type="character" w:customStyle="1" w:styleId="99">
    <w:name w:val="Char Char111"/>
    <w:qFormat/>
    <w:uiPriority w:val="0"/>
    <w:rPr>
      <w:rFonts w:ascii="Times New Roman" w:hAnsi="Times New Roman" w:eastAsia="宋体" w:cs="Times New Roman"/>
      <w:sz w:val="18"/>
      <w:szCs w:val="18"/>
    </w:rPr>
  </w:style>
  <w:style w:type="character" w:customStyle="1" w:styleId="100">
    <w:name w:val="无间距字符"/>
    <w:link w:val="101"/>
    <w:qFormat/>
    <w:uiPriority w:val="0"/>
    <w:rPr>
      <w:rFonts w:eastAsia="Times New Roman"/>
      <w:sz w:val="22"/>
      <w:szCs w:val="22"/>
      <w:lang w:val="en-US" w:eastAsia="zh-CN" w:bidi="ar-SA"/>
    </w:rPr>
  </w:style>
  <w:style w:type="paragraph" w:customStyle="1" w:styleId="101">
    <w:name w:val="无间距"/>
    <w:link w:val="100"/>
    <w:qFormat/>
    <w:uiPriority w:val="0"/>
    <w:rPr>
      <w:rFonts w:ascii="Times New Roman" w:hAnsi="Times New Roman" w:eastAsia="Times New Roman" w:cs="Times New Roman"/>
      <w:sz w:val="22"/>
      <w:szCs w:val="22"/>
      <w:lang w:val="en-US" w:eastAsia="zh-CN" w:bidi="ar-SA"/>
    </w:rPr>
  </w:style>
  <w:style w:type="character" w:customStyle="1" w:styleId="102">
    <w:name w:val="heading 5 Char2"/>
    <w:qFormat/>
    <w:uiPriority w:val="0"/>
    <w:rPr>
      <w:b/>
      <w:bCs/>
      <w:kern w:val="2"/>
      <w:sz w:val="28"/>
      <w:szCs w:val="28"/>
    </w:rPr>
  </w:style>
  <w:style w:type="character" w:customStyle="1" w:styleId="103">
    <w:name w:val="样式2 Char Char"/>
    <w:link w:val="104"/>
    <w:qFormat/>
    <w:uiPriority w:val="0"/>
    <w:rPr>
      <w:rFonts w:ascii="宋体" w:hAnsi="宋体" w:eastAsia="宋体"/>
      <w:bCs/>
      <w:kern w:val="2"/>
      <w:sz w:val="28"/>
      <w:szCs w:val="28"/>
      <w:lang w:val="en-US" w:eastAsia="zh-CN" w:bidi="ar-SA"/>
    </w:rPr>
  </w:style>
  <w:style w:type="paragraph" w:customStyle="1" w:styleId="104">
    <w:name w:val="样式2"/>
    <w:basedOn w:val="6"/>
    <w:link w:val="103"/>
    <w:qFormat/>
    <w:uiPriority w:val="0"/>
    <w:pPr>
      <w:keepLines/>
      <w:snapToGrid w:val="0"/>
      <w:spacing w:before="260" w:afterLines="50" w:line="480" w:lineRule="exact"/>
      <w:ind w:firstLine="556"/>
    </w:pPr>
    <w:rPr>
      <w:rFonts w:ascii="宋体" w:hAnsi="宋体"/>
      <w:b w:val="0"/>
      <w:bCs/>
      <w:szCs w:val="28"/>
    </w:rPr>
  </w:style>
  <w:style w:type="character" w:customStyle="1" w:styleId="105">
    <w:name w:val="正文缩进 Char"/>
    <w:link w:val="11"/>
    <w:qFormat/>
    <w:uiPriority w:val="0"/>
    <w:rPr>
      <w:rFonts w:ascii="仿宋_GB2312" w:eastAsia="宋体"/>
      <w:b/>
      <w:sz w:val="21"/>
      <w:szCs w:val="32"/>
      <w:lang w:val="en-US" w:eastAsia="zh-CN" w:bidi="ar-SA"/>
    </w:rPr>
  </w:style>
  <w:style w:type="character" w:customStyle="1" w:styleId="106">
    <w:name w:val="heading 2 Char1"/>
    <w:qFormat/>
    <w:uiPriority w:val="0"/>
    <w:rPr>
      <w:rFonts w:ascii="Cambria" w:hAnsi="Cambria" w:eastAsia="宋体"/>
      <w:b/>
      <w:bCs/>
      <w:kern w:val="2"/>
      <w:sz w:val="32"/>
      <w:szCs w:val="32"/>
      <w:lang w:val="en-US" w:eastAsia="zh-CN" w:bidi="ar-SA"/>
    </w:rPr>
  </w:style>
  <w:style w:type="character" w:customStyle="1" w:styleId="107">
    <w:name w:val="heading 3 Char1"/>
    <w:qFormat/>
    <w:uiPriority w:val="0"/>
    <w:rPr>
      <w:rFonts w:eastAsia="宋体"/>
      <w:b/>
      <w:bCs/>
      <w:kern w:val="2"/>
      <w:sz w:val="32"/>
      <w:szCs w:val="32"/>
      <w:lang w:val="en-US" w:eastAsia="zh-CN" w:bidi="ar-SA"/>
    </w:rPr>
  </w:style>
  <w:style w:type="character" w:customStyle="1" w:styleId="108">
    <w:name w:val="Char Char15"/>
    <w:qFormat/>
    <w:uiPriority w:val="0"/>
    <w:rPr>
      <w:rFonts w:ascii="Arial" w:hAnsi="Arial" w:eastAsia="黑体"/>
      <w:sz w:val="24"/>
      <w:szCs w:val="24"/>
    </w:rPr>
  </w:style>
  <w:style w:type="character" w:customStyle="1" w:styleId="109">
    <w:name w:val="heading 1 Char"/>
    <w:qFormat/>
    <w:uiPriority w:val="0"/>
    <w:rPr>
      <w:rFonts w:ascii="Arial" w:hAnsi="Arial" w:eastAsia="黑体"/>
      <w:b/>
      <w:sz w:val="36"/>
      <w:szCs w:val="36"/>
    </w:rPr>
  </w:style>
  <w:style w:type="character" w:customStyle="1" w:styleId="110">
    <w:name w:val="ändrad Char"/>
    <w:qFormat/>
    <w:uiPriority w:val="0"/>
    <w:rPr>
      <w:rFonts w:eastAsia="宋体"/>
      <w:kern w:val="2"/>
      <w:sz w:val="21"/>
      <w:szCs w:val="24"/>
      <w:lang w:val="en-US" w:eastAsia="zh-CN" w:bidi="ar-SA"/>
    </w:rPr>
  </w:style>
  <w:style w:type="character" w:customStyle="1" w:styleId="111">
    <w:name w:val="标题 Char"/>
    <w:link w:val="50"/>
    <w:qFormat/>
    <w:uiPriority w:val="0"/>
    <w:rPr>
      <w:rFonts w:ascii="Cambria" w:hAnsi="Cambria" w:eastAsia="宋体"/>
      <w:b/>
      <w:bCs/>
      <w:kern w:val="2"/>
      <w:sz w:val="32"/>
      <w:szCs w:val="32"/>
      <w:lang w:val="en-US" w:eastAsia="zh-CN" w:bidi="ar-SA"/>
    </w:rPr>
  </w:style>
  <w:style w:type="character" w:customStyle="1" w:styleId="112">
    <w:name w:val="Char Char22"/>
    <w:qFormat/>
    <w:uiPriority w:val="0"/>
    <w:rPr>
      <w:rFonts w:ascii="Arial" w:hAnsi="Arial" w:eastAsia="黑体"/>
      <w:b/>
      <w:bCs/>
      <w:kern w:val="44"/>
      <w:sz w:val="30"/>
      <w:szCs w:val="44"/>
      <w:lang w:val="en-US" w:eastAsia="zh-CN" w:bidi="ar-SA"/>
    </w:rPr>
  </w:style>
  <w:style w:type="character" w:customStyle="1" w:styleId="113">
    <w:name w:val="blue1"/>
    <w:basedOn w:val="55"/>
    <w:qFormat/>
    <w:uiPriority w:val="0"/>
  </w:style>
  <w:style w:type="character" w:customStyle="1" w:styleId="114">
    <w:name w:val="样式 宋体"/>
    <w:qFormat/>
    <w:uiPriority w:val="0"/>
    <w:rPr>
      <w:rFonts w:ascii="宋体" w:hAnsi="宋体" w:eastAsia="宋体"/>
      <w:sz w:val="24"/>
      <w:szCs w:val="24"/>
    </w:rPr>
  </w:style>
  <w:style w:type="character" w:customStyle="1" w:styleId="115">
    <w:name w:val="dandyren_title1"/>
    <w:qFormat/>
    <w:uiPriority w:val="0"/>
    <w:rPr>
      <w:b/>
      <w:bCs/>
      <w:color w:val="FF6633"/>
      <w:sz w:val="18"/>
      <w:szCs w:val="18"/>
    </w:rPr>
  </w:style>
  <w:style w:type="character" w:customStyle="1" w:styleId="116">
    <w:name w:val="font21"/>
    <w:basedOn w:val="55"/>
    <w:qFormat/>
    <w:uiPriority w:val="0"/>
    <w:rPr>
      <w:rFonts w:ascii="Wingdings 2" w:hAnsi="Wingdings 2" w:eastAsia="Wingdings 2" w:cs="Wingdings 2"/>
      <w:b/>
      <w:color w:val="000000"/>
      <w:sz w:val="20"/>
      <w:szCs w:val="20"/>
      <w:u w:val="none"/>
    </w:rPr>
  </w:style>
  <w:style w:type="character" w:customStyle="1" w:styleId="117">
    <w:name w:val="Ò³Ã¼ Char Char1"/>
    <w:qFormat/>
    <w:uiPriority w:val="0"/>
    <w:rPr>
      <w:rFonts w:eastAsia="宋体"/>
      <w:kern w:val="2"/>
      <w:sz w:val="18"/>
      <w:szCs w:val="18"/>
      <w:lang w:val="en-US" w:eastAsia="zh-CN" w:bidi="ar-SA"/>
    </w:rPr>
  </w:style>
  <w:style w:type="character" w:customStyle="1" w:styleId="118">
    <w:name w:val="宏文本 Char"/>
    <w:link w:val="4"/>
    <w:qFormat/>
    <w:uiPriority w:val="0"/>
    <w:rPr>
      <w:rFonts w:ascii="Courier New" w:hAnsi="Courier New" w:eastAsia="Times New Roman"/>
      <w:kern w:val="2"/>
      <w:sz w:val="24"/>
      <w:szCs w:val="24"/>
      <w:lang w:val="en-US" w:eastAsia="zh-CN" w:bidi="ar-SA"/>
    </w:rPr>
  </w:style>
  <w:style w:type="character" w:customStyle="1" w:styleId="119">
    <w:name w:val="Footer-Even Char"/>
    <w:qFormat/>
    <w:uiPriority w:val="0"/>
    <w:rPr>
      <w:sz w:val="18"/>
      <w:szCs w:val="18"/>
    </w:rPr>
  </w:style>
  <w:style w:type="character" w:customStyle="1" w:styleId="120">
    <w:name w:val="页脚 Char"/>
    <w:link w:val="35"/>
    <w:qFormat/>
    <w:uiPriority w:val="0"/>
    <w:rPr>
      <w:rFonts w:eastAsia="宋体"/>
      <w:kern w:val="2"/>
      <w:sz w:val="18"/>
      <w:szCs w:val="18"/>
      <w:lang w:val="en-US" w:eastAsia="zh-CN" w:bidi="ar-SA"/>
    </w:rPr>
  </w:style>
  <w:style w:type="character" w:customStyle="1" w:styleId="121">
    <w:name w:val="style111"/>
    <w:qFormat/>
    <w:uiPriority w:val="0"/>
    <w:rPr>
      <w:sz w:val="27"/>
      <w:szCs w:val="27"/>
    </w:rPr>
  </w:style>
  <w:style w:type="character" w:customStyle="1" w:styleId="122">
    <w:name w:val="PI Char2"/>
    <w:qFormat/>
    <w:uiPriority w:val="0"/>
    <w:rPr>
      <w:kern w:val="2"/>
      <w:sz w:val="24"/>
      <w:szCs w:val="24"/>
    </w:rPr>
  </w:style>
  <w:style w:type="character" w:customStyle="1" w:styleId="123">
    <w:name w:val="gray6"/>
    <w:basedOn w:val="55"/>
    <w:qFormat/>
    <w:uiPriority w:val="0"/>
  </w:style>
  <w:style w:type="character" w:customStyle="1" w:styleId="124">
    <w:name w:val="Char Char Char1"/>
    <w:qFormat/>
    <w:uiPriority w:val="0"/>
    <w:rPr>
      <w:rFonts w:ascii="宋体" w:hAnsi="Courier New"/>
      <w:sz w:val="21"/>
      <w:szCs w:val="21"/>
    </w:rPr>
  </w:style>
  <w:style w:type="character" w:customStyle="1" w:styleId="125">
    <w:name w:val="Char Char121"/>
    <w:qFormat/>
    <w:uiPriority w:val="0"/>
    <w:rPr>
      <w:rFonts w:eastAsia="宋体"/>
      <w:kern w:val="2"/>
      <w:sz w:val="21"/>
      <w:szCs w:val="24"/>
      <w:lang w:val="en-US" w:eastAsia="zh-CN" w:bidi="ar-SA"/>
    </w:rPr>
  </w:style>
  <w:style w:type="character" w:customStyle="1" w:styleId="126">
    <w:name w:val="Char Char Char Char Char Char Char Char Char"/>
    <w:qFormat/>
    <w:uiPriority w:val="0"/>
    <w:rPr>
      <w:rFonts w:ascii="宋体" w:hAnsi="Courier New" w:eastAsia="宋体"/>
      <w:sz w:val="21"/>
      <w:szCs w:val="21"/>
      <w:lang w:val="en-US" w:eastAsia="zh-CN" w:bidi="ar-SA"/>
    </w:rPr>
  </w:style>
  <w:style w:type="character" w:customStyle="1" w:styleId="127">
    <w:name w:val="heading 4 Char2"/>
    <w:qFormat/>
    <w:uiPriority w:val="0"/>
    <w:rPr>
      <w:rFonts w:ascii="Cambria" w:hAnsi="Cambria"/>
      <w:b/>
      <w:bCs/>
      <w:kern w:val="2"/>
      <w:sz w:val="28"/>
      <w:szCs w:val="28"/>
    </w:rPr>
  </w:style>
  <w:style w:type="character" w:customStyle="1" w:styleId="128">
    <w:name w:val="heading 3 Char"/>
    <w:qFormat/>
    <w:uiPriority w:val="0"/>
    <w:rPr>
      <w:rFonts w:ascii="Arial" w:hAnsi="Arial" w:eastAsia="黑体"/>
      <w:sz w:val="28"/>
      <w:szCs w:val="24"/>
    </w:rPr>
  </w:style>
  <w:style w:type="character" w:customStyle="1" w:styleId="129">
    <w:name w:val="标题 1 Char"/>
    <w:link w:val="5"/>
    <w:qFormat/>
    <w:uiPriority w:val="0"/>
    <w:rPr>
      <w:rFonts w:eastAsia="黑体"/>
      <w:b/>
      <w:kern w:val="2"/>
      <w:sz w:val="32"/>
      <w:lang w:val="en-US" w:eastAsia="zh-CN" w:bidi="ar-SA"/>
    </w:rPr>
  </w:style>
  <w:style w:type="character" w:customStyle="1" w:styleId="130">
    <w:name w:val="Char Char16"/>
    <w:qFormat/>
    <w:uiPriority w:val="0"/>
    <w:rPr>
      <w:b/>
      <w:bCs/>
      <w:kern w:val="2"/>
      <w:sz w:val="28"/>
      <w:szCs w:val="28"/>
    </w:rPr>
  </w:style>
  <w:style w:type="character" w:customStyle="1" w:styleId="131">
    <w:name w:val="文档结构图 Char"/>
    <w:link w:val="19"/>
    <w:qFormat/>
    <w:uiPriority w:val="0"/>
    <w:rPr>
      <w:rFonts w:eastAsia="宋体"/>
      <w:kern w:val="2"/>
      <w:sz w:val="21"/>
      <w:szCs w:val="24"/>
      <w:lang w:val="en-US" w:eastAsia="zh-CN" w:bidi="ar-SA"/>
    </w:rPr>
  </w:style>
  <w:style w:type="character" w:customStyle="1" w:styleId="132">
    <w:name w:val="标题 5 Char"/>
    <w:link w:val="9"/>
    <w:qFormat/>
    <w:uiPriority w:val="0"/>
    <w:rPr>
      <w:rFonts w:eastAsia="宋体"/>
      <w:b/>
      <w:bCs/>
      <w:sz w:val="28"/>
      <w:szCs w:val="28"/>
      <w:lang w:bidi="ar-SA"/>
    </w:rPr>
  </w:style>
  <w:style w:type="character" w:customStyle="1" w:styleId="133">
    <w:name w:val="日期 Char"/>
    <w:link w:val="32"/>
    <w:qFormat/>
    <w:uiPriority w:val="0"/>
    <w:rPr>
      <w:rFonts w:eastAsia="宋体"/>
      <w:kern w:val="2"/>
      <w:sz w:val="21"/>
      <w:szCs w:val="24"/>
      <w:lang w:val="en-US" w:eastAsia="zh-CN" w:bidi="ar-SA"/>
    </w:rPr>
  </w:style>
  <w:style w:type="character" w:customStyle="1" w:styleId="134">
    <w:name w:val="副标题 Char"/>
    <w:link w:val="40"/>
    <w:qFormat/>
    <w:uiPriority w:val="0"/>
    <w:rPr>
      <w:rFonts w:ascii="Cambria" w:hAnsi="Cambria" w:eastAsia="宋体"/>
      <w:b/>
      <w:bCs/>
      <w:kern w:val="28"/>
      <w:sz w:val="32"/>
      <w:szCs w:val="32"/>
      <w:lang w:val="en-US" w:eastAsia="zh-CN" w:bidi="ar-SA"/>
    </w:rPr>
  </w:style>
  <w:style w:type="character" w:customStyle="1" w:styleId="135">
    <w:name w:val="页眉 Char"/>
    <w:link w:val="36"/>
    <w:qFormat/>
    <w:uiPriority w:val="0"/>
    <w:rPr>
      <w:rFonts w:eastAsia="宋体"/>
      <w:kern w:val="2"/>
      <w:sz w:val="18"/>
      <w:szCs w:val="18"/>
      <w:lang w:val="en-US" w:eastAsia="zh-CN" w:bidi="ar-SA"/>
    </w:rPr>
  </w:style>
  <w:style w:type="character" w:customStyle="1" w:styleId="136">
    <w:name w:val="style13"/>
    <w:basedOn w:val="55"/>
    <w:qFormat/>
    <w:uiPriority w:val="0"/>
  </w:style>
  <w:style w:type="character" w:customStyle="1" w:styleId="137">
    <w:name w:val="textcolor1"/>
    <w:qFormat/>
    <w:uiPriority w:val="0"/>
    <w:rPr>
      <w:rFonts w:ascii="仿宋_GB2312" w:eastAsia="仿宋_GB2312"/>
      <w:b/>
      <w:color w:val="FF6600"/>
      <w:sz w:val="32"/>
      <w:szCs w:val="32"/>
    </w:rPr>
  </w:style>
  <w:style w:type="character" w:customStyle="1" w:styleId="138">
    <w:name w:val="Table Text Char Char"/>
    <w:link w:val="139"/>
    <w:qFormat/>
    <w:uiPriority w:val="0"/>
    <w:rPr>
      <w:sz w:val="21"/>
      <w:lang w:val="en-US" w:eastAsia="en-US" w:bidi="ar-SA"/>
    </w:rPr>
  </w:style>
  <w:style w:type="paragraph" w:customStyle="1" w:styleId="139">
    <w:name w:val="Table Text"/>
    <w:basedOn w:val="1"/>
    <w:link w:val="138"/>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0">
    <w:name w:val="Ò³Ã¼ Char Char"/>
    <w:qFormat/>
    <w:uiPriority w:val="0"/>
    <w:rPr>
      <w:sz w:val="18"/>
      <w:szCs w:val="18"/>
    </w:rPr>
  </w:style>
  <w:style w:type="character" w:customStyle="1" w:styleId="141">
    <w:name w:val="heading 2 Char2"/>
    <w:qFormat/>
    <w:uiPriority w:val="0"/>
    <w:rPr>
      <w:rFonts w:ascii="Cambria" w:hAnsi="Cambria"/>
      <w:b/>
      <w:bCs/>
      <w:kern w:val="2"/>
      <w:sz w:val="32"/>
      <w:szCs w:val="32"/>
    </w:rPr>
  </w:style>
  <w:style w:type="character" w:customStyle="1" w:styleId="142">
    <w:name w:val="书籍标题11"/>
    <w:qFormat/>
    <w:uiPriority w:val="0"/>
    <w:rPr>
      <w:b/>
      <w:bCs/>
      <w:smallCaps/>
      <w:spacing w:val="5"/>
    </w:rPr>
  </w:style>
  <w:style w:type="character" w:customStyle="1" w:styleId="143">
    <w:name w:val="Char Char21"/>
    <w:qFormat/>
    <w:uiPriority w:val="0"/>
    <w:rPr>
      <w:rFonts w:ascii="Times New Roman" w:hAnsi="Times New Roman" w:eastAsia="宋体" w:cs="Times New Roman"/>
      <w:b/>
      <w:bCs/>
      <w:kern w:val="44"/>
      <w:sz w:val="44"/>
      <w:szCs w:val="44"/>
    </w:rPr>
  </w:style>
  <w:style w:type="character" w:customStyle="1" w:styleId="144">
    <w:name w:val="正文文本缩进 Char"/>
    <w:link w:val="23"/>
    <w:qFormat/>
    <w:uiPriority w:val="0"/>
    <w:rPr>
      <w:rFonts w:eastAsia="宋体"/>
      <w:kern w:val="2"/>
      <w:sz w:val="24"/>
      <w:szCs w:val="24"/>
      <w:lang w:val="en-US" w:eastAsia="zh-CN" w:bidi="ar-SA"/>
    </w:rPr>
  </w:style>
  <w:style w:type="character" w:customStyle="1" w:styleId="145">
    <w:name w:val="不明显强调1"/>
    <w:qFormat/>
    <w:uiPriority w:val="0"/>
    <w:rPr>
      <w:i/>
      <w:iCs/>
      <w:color w:val="808080"/>
    </w:rPr>
  </w:style>
  <w:style w:type="character" w:customStyle="1" w:styleId="146">
    <w:name w:val="正文文本缩进 3 Char"/>
    <w:link w:val="45"/>
    <w:qFormat/>
    <w:uiPriority w:val="0"/>
    <w:rPr>
      <w:rFonts w:eastAsia="宋体"/>
      <w:kern w:val="2"/>
      <w:sz w:val="24"/>
      <w:szCs w:val="24"/>
      <w:lang w:val="en-US" w:eastAsia="zh-CN" w:bidi="ar-SA"/>
    </w:rPr>
  </w:style>
  <w:style w:type="character" w:customStyle="1" w:styleId="147">
    <w:name w:val="heading 5 Char"/>
    <w:qFormat/>
    <w:uiPriority w:val="0"/>
    <w:rPr>
      <w:rFonts w:ascii="Arial" w:hAnsi="Arial" w:eastAsia="黑体"/>
      <w:sz w:val="21"/>
      <w:szCs w:val="21"/>
    </w:rPr>
  </w:style>
  <w:style w:type="character" w:customStyle="1" w:styleId="148">
    <w:name w:val="Style3"/>
    <w:qFormat/>
    <w:uiPriority w:val="0"/>
    <w:rPr>
      <w:rFonts w:ascii="Calibri" w:hAnsi="宋体" w:eastAsia="宋体" w:cs="Times New Roman"/>
      <w:szCs w:val="22"/>
      <w:lang w:eastAsia="zh-CN"/>
    </w:rPr>
  </w:style>
  <w:style w:type="character" w:customStyle="1" w:styleId="149">
    <w:name w:val="标题 4 Char"/>
    <w:link w:val="8"/>
    <w:qFormat/>
    <w:uiPriority w:val="0"/>
    <w:rPr>
      <w:rFonts w:eastAsia="宋体"/>
      <w:kern w:val="2"/>
      <w:sz w:val="28"/>
      <w:szCs w:val="28"/>
      <w:lang w:val="en-US" w:eastAsia="zh-CN" w:bidi="ar-SA"/>
    </w:rPr>
  </w:style>
  <w:style w:type="character" w:customStyle="1" w:styleId="150">
    <w:name w:val="Char Char241"/>
    <w:qFormat/>
    <w:uiPriority w:val="0"/>
    <w:rPr>
      <w:rFonts w:eastAsia="宋体"/>
      <w:b/>
      <w:kern w:val="2"/>
      <w:sz w:val="28"/>
      <w:lang w:val="en-US" w:eastAsia="zh-CN" w:bidi="ar-SA"/>
    </w:rPr>
  </w:style>
  <w:style w:type="character" w:customStyle="1" w:styleId="151">
    <w:name w:val="批注框文本 Char"/>
    <w:link w:val="34"/>
    <w:qFormat/>
    <w:uiPriority w:val="0"/>
    <w:rPr>
      <w:rFonts w:eastAsia="宋体"/>
      <w:kern w:val="2"/>
      <w:sz w:val="18"/>
      <w:szCs w:val="18"/>
      <w:lang w:val="en-US" w:eastAsia="zh-CN" w:bidi="ar-SA"/>
    </w:rPr>
  </w:style>
  <w:style w:type="character" w:customStyle="1" w:styleId="152">
    <w:name w:val="标题 3 Char"/>
    <w:link w:val="7"/>
    <w:qFormat/>
    <w:uiPriority w:val="0"/>
    <w:rPr>
      <w:rFonts w:eastAsia="黑体"/>
      <w:b/>
      <w:kern w:val="2"/>
      <w:sz w:val="28"/>
      <w:lang w:val="en-US" w:eastAsia="zh-CN" w:bidi="ar-SA"/>
    </w:rPr>
  </w:style>
  <w:style w:type="character" w:customStyle="1" w:styleId="153">
    <w:name w:val="明显强调11"/>
    <w:qFormat/>
    <w:uiPriority w:val="0"/>
    <w:rPr>
      <w:b/>
      <w:bCs/>
      <w:i/>
      <w:iCs/>
      <w:color w:val="4F81BD"/>
    </w:rPr>
  </w:style>
  <w:style w:type="character" w:customStyle="1" w:styleId="154">
    <w:name w:val="签名 Char"/>
    <w:link w:val="37"/>
    <w:qFormat/>
    <w:uiPriority w:val="0"/>
    <w:rPr>
      <w:rFonts w:ascii="仿宋_GB2312" w:eastAsia="仿宋_GB2312"/>
      <w:b/>
      <w:sz w:val="24"/>
      <w:szCs w:val="32"/>
    </w:rPr>
  </w:style>
  <w:style w:type="character" w:customStyle="1" w:styleId="155">
    <w:name w:val="heading 3 Char2"/>
    <w:qFormat/>
    <w:uiPriority w:val="0"/>
    <w:rPr>
      <w:b/>
      <w:bCs/>
      <w:kern w:val="2"/>
      <w:sz w:val="32"/>
      <w:szCs w:val="32"/>
    </w:rPr>
  </w:style>
  <w:style w:type="character" w:customStyle="1" w:styleId="156">
    <w:name w:val="style21"/>
    <w:qFormat/>
    <w:uiPriority w:val="0"/>
    <w:rPr>
      <w:sz w:val="15"/>
      <w:szCs w:val="15"/>
    </w:rPr>
  </w:style>
  <w:style w:type="character" w:customStyle="1" w:styleId="157">
    <w:name w:val="Char Char271"/>
    <w:qFormat/>
    <w:uiPriority w:val="0"/>
    <w:rPr>
      <w:rFonts w:eastAsia="宋体"/>
      <w:kern w:val="2"/>
      <w:sz w:val="28"/>
      <w:lang w:val="en-US" w:eastAsia="zh-CN" w:bidi="ar-SA"/>
    </w:rPr>
  </w:style>
  <w:style w:type="character" w:customStyle="1" w:styleId="158">
    <w:name w:val="表格 Char Char"/>
    <w:link w:val="159"/>
    <w:qFormat/>
    <w:uiPriority w:val="0"/>
    <w:rPr>
      <w:rFonts w:ascii="宋体" w:hAnsi="宋体" w:eastAsia="宋体"/>
      <w:lang w:val="en-US" w:eastAsia="zh-CN" w:bidi="ar-SA"/>
    </w:rPr>
  </w:style>
  <w:style w:type="paragraph" w:customStyle="1" w:styleId="159">
    <w:name w:val="表格"/>
    <w:basedOn w:val="1"/>
    <w:link w:val="158"/>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60">
    <w:name w:val="heading 6 Char1"/>
    <w:qFormat/>
    <w:uiPriority w:val="0"/>
    <w:rPr>
      <w:rFonts w:ascii="Arial" w:hAnsi="Arial" w:eastAsia="黑体"/>
      <w:kern w:val="2"/>
      <w:sz w:val="24"/>
      <w:szCs w:val="24"/>
      <w:lang w:val="en-US" w:eastAsia="zh-CN" w:bidi="ar-SA"/>
    </w:rPr>
  </w:style>
  <w:style w:type="character" w:customStyle="1" w:styleId="161">
    <w:name w:val="Char Char211"/>
    <w:qFormat/>
    <w:uiPriority w:val="0"/>
    <w:rPr>
      <w:rFonts w:ascii="Times New Roman" w:hAnsi="Times New Roman" w:eastAsia="宋体" w:cs="Times New Roman"/>
      <w:b/>
      <w:bCs/>
      <w:kern w:val="44"/>
      <w:sz w:val="44"/>
      <w:szCs w:val="44"/>
    </w:rPr>
  </w:style>
  <w:style w:type="character" w:customStyle="1" w:styleId="162">
    <w:name w:val="不明显强调11"/>
    <w:qFormat/>
    <w:uiPriority w:val="0"/>
    <w:rPr>
      <w:i/>
      <w:iCs/>
      <w:color w:val="808080"/>
    </w:rPr>
  </w:style>
  <w:style w:type="character" w:customStyle="1" w:styleId="163">
    <w:name w:val="标题 9 Char"/>
    <w:link w:val="14"/>
    <w:qFormat/>
    <w:uiPriority w:val="0"/>
    <w:rPr>
      <w:rFonts w:ascii="Arial" w:hAnsi="Arial" w:eastAsia="黑体"/>
      <w:kern w:val="2"/>
      <w:sz w:val="21"/>
      <w:lang w:val="en-US" w:eastAsia="zh-CN" w:bidi="ar-SA"/>
    </w:rPr>
  </w:style>
  <w:style w:type="character" w:customStyle="1" w:styleId="164">
    <w:name w:val="正文文本 Char"/>
    <w:link w:val="2"/>
    <w:qFormat/>
    <w:uiPriority w:val="0"/>
    <w:rPr>
      <w:rFonts w:ascii="仿宋_GB2312" w:eastAsia="宋体"/>
      <w:b/>
      <w:kern w:val="2"/>
      <w:sz w:val="21"/>
      <w:szCs w:val="24"/>
      <w:lang w:val="en-US" w:eastAsia="zh-CN" w:bidi="ar-SA"/>
    </w:rPr>
  </w:style>
  <w:style w:type="character" w:customStyle="1" w:styleId="165">
    <w:name w:val="明显引用 Char"/>
    <w:link w:val="166"/>
    <w:qFormat/>
    <w:uiPriority w:val="0"/>
    <w:rPr>
      <w:rFonts w:ascii="Calibri" w:hAnsi="Calibri" w:eastAsia="宋体"/>
      <w:b/>
      <w:bCs/>
      <w:i/>
      <w:iCs/>
      <w:color w:val="4F81BD"/>
      <w:lang w:val="en-US" w:eastAsia="zh-CN" w:bidi="ar-SA"/>
    </w:rPr>
  </w:style>
  <w:style w:type="paragraph" w:styleId="166">
    <w:name w:val="Intense Quote"/>
    <w:basedOn w:val="1"/>
    <w:next w:val="1"/>
    <w:link w:val="165"/>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7">
    <w:name w:val="heading 5 Char1"/>
    <w:qFormat/>
    <w:uiPriority w:val="0"/>
    <w:rPr>
      <w:rFonts w:eastAsia="宋体"/>
      <w:b/>
      <w:bCs/>
      <w:kern w:val="2"/>
      <w:sz w:val="28"/>
      <w:szCs w:val="28"/>
      <w:lang w:val="en-US" w:eastAsia="zh-CN" w:bidi="ar-SA"/>
    </w:rPr>
  </w:style>
  <w:style w:type="character" w:customStyle="1" w:styleId="168">
    <w:name w:val="Texte Char Char"/>
    <w:qFormat/>
    <w:uiPriority w:val="0"/>
    <w:rPr>
      <w:rFonts w:ascii="宋体" w:hAnsi="Courier New" w:eastAsia="宋体"/>
      <w:sz w:val="21"/>
      <w:szCs w:val="21"/>
      <w:lang w:val="en-US" w:eastAsia="zh-CN" w:bidi="ar-SA"/>
    </w:rPr>
  </w:style>
  <w:style w:type="character" w:customStyle="1" w:styleId="169">
    <w:name w:val="正文1 Char Char"/>
    <w:link w:val="170"/>
    <w:qFormat/>
    <w:uiPriority w:val="0"/>
    <w:rPr>
      <w:rFonts w:ascii="宋体" w:hAnsi="宋体" w:eastAsia="宋体" w:cs="宋体"/>
      <w:sz w:val="21"/>
      <w:lang w:val="en-US" w:eastAsia="zh-CN" w:bidi="ar-SA"/>
    </w:rPr>
  </w:style>
  <w:style w:type="paragraph" w:customStyle="1" w:styleId="170">
    <w:name w:val="正文1"/>
    <w:basedOn w:val="1"/>
    <w:link w:val="169"/>
    <w:qFormat/>
    <w:uiPriority w:val="0"/>
    <w:pPr>
      <w:widowControl/>
      <w:spacing w:line="360" w:lineRule="auto"/>
      <w:ind w:left="360" w:firstLine="420"/>
      <w:jc w:val="left"/>
    </w:pPr>
    <w:rPr>
      <w:rFonts w:ascii="宋体" w:hAnsi="宋体" w:cs="宋体"/>
      <w:kern w:val="0"/>
      <w:szCs w:val="20"/>
    </w:rPr>
  </w:style>
  <w:style w:type="character" w:customStyle="1" w:styleId="171">
    <w:name w:val="heading 8 Char1"/>
    <w:qFormat/>
    <w:uiPriority w:val="0"/>
    <w:rPr>
      <w:rFonts w:ascii="Arial" w:hAnsi="Arial" w:eastAsia="黑体"/>
      <w:sz w:val="24"/>
      <w:lang w:val="en-US" w:eastAsia="zh-CN" w:bidi="ar-SA"/>
    </w:rPr>
  </w:style>
  <w:style w:type="character" w:customStyle="1" w:styleId="172">
    <w:name w:val="heading 9 Char1"/>
    <w:qFormat/>
    <w:uiPriority w:val="0"/>
    <w:rPr>
      <w:rFonts w:ascii="Arial" w:hAnsi="Arial" w:eastAsia="黑体"/>
      <w:sz w:val="21"/>
      <w:lang w:val="en-US" w:eastAsia="zh-CN" w:bidi="ar-SA"/>
    </w:rPr>
  </w:style>
  <w:style w:type="character" w:customStyle="1" w:styleId="173">
    <w:name w:val="标题 6 Char"/>
    <w:link w:val="10"/>
    <w:qFormat/>
    <w:uiPriority w:val="0"/>
    <w:rPr>
      <w:rFonts w:ascii="Arial" w:hAnsi="Arial" w:eastAsia="黑体"/>
      <w:b/>
      <w:kern w:val="2"/>
      <w:sz w:val="24"/>
      <w:lang w:val="en-US" w:eastAsia="zh-CN" w:bidi="ar-SA"/>
    </w:rPr>
  </w:style>
  <w:style w:type="character" w:customStyle="1" w:styleId="174">
    <w:name w:val="ändrad Char1"/>
    <w:qFormat/>
    <w:uiPriority w:val="0"/>
    <w:rPr>
      <w:rFonts w:ascii="仿宋_GB2312" w:eastAsia="宋体"/>
      <w:b/>
      <w:kern w:val="2"/>
      <w:sz w:val="21"/>
      <w:szCs w:val="24"/>
      <w:lang w:val="en-US" w:eastAsia="zh-CN" w:bidi="ar-SA"/>
    </w:rPr>
  </w:style>
  <w:style w:type="character" w:customStyle="1" w:styleId="175">
    <w:name w:val="Char Char41"/>
    <w:qFormat/>
    <w:uiPriority w:val="0"/>
    <w:rPr>
      <w:rFonts w:ascii="Cambria" w:hAnsi="Cambria" w:eastAsia="宋体"/>
      <w:b/>
      <w:bCs/>
      <w:sz w:val="32"/>
      <w:szCs w:val="32"/>
      <w:lang w:bidi="ar-SA"/>
    </w:rPr>
  </w:style>
  <w:style w:type="character" w:customStyle="1" w:styleId="176">
    <w:name w:val="标题 8 Char"/>
    <w:link w:val="13"/>
    <w:qFormat/>
    <w:uiPriority w:val="0"/>
    <w:rPr>
      <w:rFonts w:ascii="Arial" w:hAnsi="Arial" w:eastAsia="黑体"/>
      <w:kern w:val="2"/>
      <w:sz w:val="24"/>
      <w:lang w:val="en-US" w:eastAsia="zh-CN" w:bidi="ar-SA"/>
    </w:rPr>
  </w:style>
  <w:style w:type="character" w:customStyle="1" w:styleId="177">
    <w:name w:val="Char Char11"/>
    <w:qFormat/>
    <w:uiPriority w:val="0"/>
    <w:rPr>
      <w:rFonts w:ascii="Times New Roman" w:hAnsi="Times New Roman" w:eastAsia="宋体" w:cs="Times New Roman"/>
      <w:sz w:val="18"/>
      <w:szCs w:val="18"/>
    </w:rPr>
  </w:style>
  <w:style w:type="character" w:customStyle="1" w:styleId="178">
    <w:name w:val="正文文本缩进 2 Char"/>
    <w:link w:val="33"/>
    <w:qFormat/>
    <w:uiPriority w:val="0"/>
    <w:rPr>
      <w:rFonts w:eastAsia="宋体"/>
      <w:kern w:val="2"/>
      <w:sz w:val="24"/>
      <w:szCs w:val="24"/>
      <w:lang w:val="en-US" w:eastAsia="zh-CN" w:bidi="ar-SA"/>
    </w:rPr>
  </w:style>
  <w:style w:type="character" w:customStyle="1" w:styleId="179">
    <w:name w:val="Char Char6"/>
    <w:qFormat/>
    <w:uiPriority w:val="0"/>
    <w:rPr>
      <w:rFonts w:ascii="Times New Roman" w:hAnsi="Times New Roman" w:eastAsia="宋体" w:cs="Times New Roman"/>
      <w:szCs w:val="24"/>
    </w:rPr>
  </w:style>
  <w:style w:type="character" w:customStyle="1" w:styleId="180">
    <w:name w:val="Char Char Char"/>
    <w:qFormat/>
    <w:uiPriority w:val="0"/>
    <w:rPr>
      <w:rFonts w:ascii="宋体" w:hAnsi="Courier New" w:eastAsia="宋体"/>
      <w:b/>
      <w:sz w:val="21"/>
      <w:szCs w:val="21"/>
      <w:lang w:val="en-US" w:eastAsia="zh-CN" w:bidi="ar-SA"/>
    </w:rPr>
  </w:style>
  <w:style w:type="character" w:customStyle="1" w:styleId="181">
    <w:name w:val="heading 2 Char"/>
    <w:qFormat/>
    <w:uiPriority w:val="0"/>
    <w:rPr>
      <w:rFonts w:ascii="Arial" w:hAnsi="Arial" w:eastAsia="黑体" w:cs="Times New Roman"/>
      <w:sz w:val="30"/>
      <w:szCs w:val="24"/>
    </w:rPr>
  </w:style>
  <w:style w:type="character" w:customStyle="1" w:styleId="182">
    <w:name w:val="Char Char2"/>
    <w:qFormat/>
    <w:uiPriority w:val="0"/>
    <w:rPr>
      <w:rFonts w:ascii="Arial" w:hAnsi="Arial" w:eastAsia="黑体"/>
      <w:b/>
      <w:bCs/>
      <w:kern w:val="44"/>
      <w:sz w:val="30"/>
      <w:szCs w:val="44"/>
      <w:lang w:val="en-US" w:eastAsia="zh-CN" w:bidi="ar-SA"/>
    </w:rPr>
  </w:style>
  <w:style w:type="character" w:customStyle="1" w:styleId="183">
    <w:name w:val="Footer-Even Char2"/>
    <w:qFormat/>
    <w:uiPriority w:val="0"/>
    <w:rPr>
      <w:kern w:val="2"/>
      <w:sz w:val="18"/>
      <w:szCs w:val="18"/>
    </w:rPr>
  </w:style>
  <w:style w:type="character" w:customStyle="1" w:styleId="184">
    <w:name w:val="Char Char17"/>
    <w:qFormat/>
    <w:uiPriority w:val="0"/>
    <w:rPr>
      <w:rFonts w:ascii="Cambria" w:hAnsi="Cambria"/>
      <w:b/>
      <w:bCs/>
      <w:kern w:val="2"/>
      <w:sz w:val="28"/>
      <w:szCs w:val="28"/>
    </w:rPr>
  </w:style>
  <w:style w:type="character" w:customStyle="1" w:styleId="185">
    <w:name w:val="heading 4 Char"/>
    <w:qFormat/>
    <w:uiPriority w:val="0"/>
    <w:rPr>
      <w:rFonts w:ascii="Arial" w:hAnsi="Arial" w:eastAsia="黑体" w:cs="Times New Roman"/>
      <w:sz w:val="21"/>
      <w:szCs w:val="21"/>
    </w:rPr>
  </w:style>
  <w:style w:type="character" w:customStyle="1" w:styleId="186">
    <w:name w:val="Char Char20"/>
    <w:qFormat/>
    <w:uiPriority w:val="0"/>
    <w:rPr>
      <w:b/>
      <w:bCs/>
      <w:kern w:val="44"/>
      <w:sz w:val="44"/>
      <w:szCs w:val="44"/>
    </w:rPr>
  </w:style>
  <w:style w:type="character" w:customStyle="1" w:styleId="187">
    <w:name w:val="heading 1 Char2"/>
    <w:qFormat/>
    <w:uiPriority w:val="0"/>
    <w:rPr>
      <w:b/>
      <w:bCs/>
      <w:kern w:val="44"/>
      <w:sz w:val="44"/>
      <w:szCs w:val="44"/>
    </w:rPr>
  </w:style>
  <w:style w:type="character" w:customStyle="1" w:styleId="188">
    <w:name w:val="font11"/>
    <w:qFormat/>
    <w:uiPriority w:val="0"/>
    <w:rPr>
      <w:rFonts w:hint="eastAsia" w:ascii="宋体" w:hAnsi="宋体" w:eastAsia="宋体" w:cs="宋体"/>
      <w:b/>
      <w:color w:val="000000"/>
      <w:sz w:val="20"/>
      <w:szCs w:val="20"/>
      <w:u w:val="none"/>
    </w:rPr>
  </w:style>
  <w:style w:type="character" w:customStyle="1" w:styleId="189">
    <w:name w:val="表正文 Char2"/>
    <w:qFormat/>
    <w:uiPriority w:val="0"/>
    <w:rPr>
      <w:rFonts w:ascii="Times New Roman" w:hAnsi="Times New Roman" w:eastAsia="宋体" w:cs="Times New Roman"/>
      <w:szCs w:val="24"/>
    </w:rPr>
  </w:style>
  <w:style w:type="character" w:customStyle="1" w:styleId="190">
    <w:name w:val="引用 Char"/>
    <w:link w:val="191"/>
    <w:qFormat/>
    <w:uiPriority w:val="0"/>
    <w:rPr>
      <w:rFonts w:ascii="Calibri" w:hAnsi="Calibri" w:eastAsia="宋体"/>
      <w:i/>
      <w:iCs/>
      <w:color w:val="000000"/>
      <w:lang w:val="en-US" w:eastAsia="zh-CN" w:bidi="ar-SA"/>
    </w:rPr>
  </w:style>
  <w:style w:type="paragraph" w:styleId="191">
    <w:name w:val="Quote"/>
    <w:basedOn w:val="1"/>
    <w:next w:val="1"/>
    <w:link w:val="190"/>
    <w:qFormat/>
    <w:uiPriority w:val="0"/>
    <w:rPr>
      <w:rFonts w:ascii="Calibri" w:hAnsi="Calibri"/>
      <w:i/>
      <w:iCs/>
      <w:color w:val="000000"/>
      <w:kern w:val="0"/>
      <w:sz w:val="20"/>
      <w:szCs w:val="20"/>
    </w:rPr>
  </w:style>
  <w:style w:type="character" w:customStyle="1" w:styleId="192">
    <w:name w:val="纯文本 Char"/>
    <w:link w:val="29"/>
    <w:qFormat/>
    <w:uiPriority w:val="0"/>
    <w:rPr>
      <w:rFonts w:ascii="宋体" w:hAnsi="Courier New" w:eastAsia="宋体"/>
      <w:b/>
      <w:sz w:val="21"/>
      <w:szCs w:val="21"/>
      <w:lang w:val="en-US" w:eastAsia="zh-CN" w:bidi="ar-SA"/>
    </w:rPr>
  </w:style>
  <w:style w:type="character" w:customStyle="1" w:styleId="193">
    <w:name w:val="Char Char19"/>
    <w:qFormat/>
    <w:uiPriority w:val="0"/>
    <w:rPr>
      <w:rFonts w:ascii="Cambria" w:hAnsi="Cambria"/>
      <w:b/>
      <w:bCs/>
      <w:kern w:val="2"/>
      <w:sz w:val="32"/>
      <w:szCs w:val="32"/>
    </w:rPr>
  </w:style>
  <w:style w:type="character" w:customStyle="1" w:styleId="194">
    <w:name w:val="style41"/>
    <w:qFormat/>
    <w:uiPriority w:val="0"/>
    <w:rPr>
      <w:color w:val="auto"/>
    </w:rPr>
  </w:style>
  <w:style w:type="character" w:customStyle="1" w:styleId="195">
    <w:name w:val="Char Char201"/>
    <w:qFormat/>
    <w:uiPriority w:val="0"/>
    <w:rPr>
      <w:rFonts w:ascii="Cambria" w:hAnsi="Cambria" w:eastAsia="宋体" w:cs="Times New Roman"/>
      <w:b/>
      <w:bCs/>
      <w:sz w:val="32"/>
      <w:szCs w:val="32"/>
    </w:rPr>
  </w:style>
  <w:style w:type="character" w:customStyle="1" w:styleId="196">
    <w:name w:val="正文首行缩进 Char"/>
    <w:link w:val="3"/>
    <w:qFormat/>
    <w:uiPriority w:val="0"/>
    <w:rPr>
      <w:rFonts w:eastAsia="宋体"/>
      <w:lang w:val="en-US" w:eastAsia="zh-CN" w:bidi="ar-SA"/>
    </w:rPr>
  </w:style>
  <w:style w:type="character" w:customStyle="1" w:styleId="197">
    <w:name w:val="smalltxt1"/>
    <w:qFormat/>
    <w:uiPriority w:val="0"/>
    <w:rPr>
      <w:rFonts w:hint="default" w:ascii="ˎ̥" w:hAnsi="ˎ̥"/>
      <w:sz w:val="24"/>
      <w:szCs w:val="24"/>
    </w:rPr>
  </w:style>
  <w:style w:type="character" w:customStyle="1" w:styleId="198">
    <w:name w:val="正文文本 2 Char"/>
    <w:basedOn w:val="55"/>
    <w:link w:val="48"/>
    <w:qFormat/>
    <w:uiPriority w:val="0"/>
  </w:style>
  <w:style w:type="paragraph" w:customStyle="1" w:styleId="19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0">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1">
    <w:name w:val="表内文字"/>
    <w:basedOn w:val="1"/>
    <w:qFormat/>
    <w:uiPriority w:val="0"/>
    <w:pPr>
      <w:spacing w:line="240" w:lineRule="atLeast"/>
      <w:jc w:val="center"/>
    </w:pPr>
    <w:rPr>
      <w:rFonts w:ascii="Arial" w:hAnsi="Arial" w:cs="Arial"/>
      <w:b/>
      <w:bCs/>
    </w:rPr>
  </w:style>
  <w:style w:type="paragraph" w:customStyle="1" w:styleId="202">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3">
    <w:name w:val="Char Char Char Char Char Char Char"/>
    <w:basedOn w:val="1"/>
    <w:qFormat/>
    <w:uiPriority w:val="0"/>
    <w:rPr>
      <w:rFonts w:ascii="仿宋_GB2312" w:eastAsia="仿宋_GB2312"/>
      <w:b/>
      <w:sz w:val="32"/>
      <w:szCs w:val="32"/>
    </w:rPr>
  </w:style>
  <w:style w:type="paragraph" w:customStyle="1" w:styleId="20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5">
    <w:name w:val="列出段落1"/>
    <w:basedOn w:val="1"/>
    <w:qFormat/>
    <w:uiPriority w:val="0"/>
    <w:pPr>
      <w:ind w:firstLine="420" w:firstLineChars="200"/>
    </w:pPr>
    <w:rPr>
      <w:szCs w:val="20"/>
    </w:rPr>
  </w:style>
  <w:style w:type="paragraph" w:customStyle="1" w:styleId="206">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8">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9">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1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2">
    <w:name w:val="NICMAN Body Text"/>
    <w:basedOn w:val="1"/>
    <w:next w:val="2"/>
    <w:qFormat/>
    <w:uiPriority w:val="0"/>
    <w:pPr>
      <w:autoSpaceDE w:val="0"/>
      <w:autoSpaceDN w:val="0"/>
      <w:adjustRightInd w:val="0"/>
      <w:spacing w:after="120"/>
      <w:jc w:val="left"/>
    </w:pPr>
    <w:rPr>
      <w:kern w:val="0"/>
      <w:sz w:val="20"/>
      <w:szCs w:val="20"/>
    </w:rPr>
  </w:style>
  <w:style w:type="paragraph" w:customStyle="1" w:styleId="213">
    <w:name w:val="Char Char Char Char Char Char Char Char Char Char Char Char Char"/>
    <w:basedOn w:val="1"/>
    <w:qFormat/>
    <w:uiPriority w:val="0"/>
    <w:rPr>
      <w:rFonts w:ascii="Tahoma" w:hAnsi="Tahoma"/>
      <w:sz w:val="24"/>
      <w:szCs w:val="20"/>
    </w:rPr>
  </w:style>
  <w:style w:type="paragraph" w:customStyle="1" w:styleId="21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5">
    <w:name w:val="正文缩进1"/>
    <w:basedOn w:val="1"/>
    <w:next w:val="23"/>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6">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7">
    <w:name w:val="Char Char Char Char1"/>
    <w:basedOn w:val="19"/>
    <w:qFormat/>
    <w:uiPriority w:val="0"/>
    <w:rPr>
      <w:rFonts w:ascii="Tahoma" w:hAnsi="Tahoma"/>
      <w:sz w:val="24"/>
    </w:rPr>
  </w:style>
  <w:style w:type="paragraph" w:customStyle="1" w:styleId="218">
    <w:name w:val="正文 首行缩进:  2 字符 Char"/>
    <w:basedOn w:val="1"/>
    <w:qFormat/>
    <w:uiPriority w:val="0"/>
    <w:pPr>
      <w:spacing w:line="360" w:lineRule="auto"/>
      <w:ind w:firstLine="480"/>
    </w:pPr>
    <w:rPr>
      <w:rFonts w:cs="宋体"/>
      <w:sz w:val="24"/>
      <w:szCs w:val="20"/>
    </w:rPr>
  </w:style>
  <w:style w:type="paragraph" w:customStyle="1" w:styleId="219">
    <w:name w:val="样式1"/>
    <w:basedOn w:val="1"/>
    <w:qFormat/>
    <w:uiPriority w:val="0"/>
    <w:pPr>
      <w:autoSpaceDE w:val="0"/>
      <w:autoSpaceDN w:val="0"/>
      <w:adjustRightInd w:val="0"/>
      <w:spacing w:line="400" w:lineRule="exact"/>
    </w:pPr>
    <w:rPr>
      <w:rFonts w:ascii="宋体" w:cs="宋体"/>
      <w:kern w:val="0"/>
    </w:rPr>
  </w:style>
  <w:style w:type="paragraph" w:customStyle="1" w:styleId="2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1">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3">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4">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5">
    <w:name w:val="二级条标题"/>
    <w:basedOn w:val="206"/>
    <w:next w:val="1"/>
    <w:qFormat/>
    <w:uiPriority w:val="0"/>
    <w:pPr>
      <w:tabs>
        <w:tab w:val="left" w:pos="4309"/>
        <w:tab w:val="clear" w:pos="3889"/>
      </w:tabs>
      <w:ind w:left="4309"/>
      <w:outlineLvl w:val="3"/>
    </w:pPr>
  </w:style>
  <w:style w:type="paragraph" w:customStyle="1" w:styleId="226">
    <w:name w:val="正文－恩普"/>
    <w:basedOn w:val="11"/>
    <w:qFormat/>
    <w:uiPriority w:val="0"/>
    <w:pPr>
      <w:adjustRightInd/>
      <w:spacing w:line="360" w:lineRule="auto"/>
      <w:ind w:firstLine="200" w:firstLineChars="200"/>
      <w:textAlignment w:val="auto"/>
    </w:pPr>
    <w:rPr>
      <w:kern w:val="2"/>
      <w:sz w:val="24"/>
      <w:szCs w:val="24"/>
    </w:rPr>
  </w:style>
  <w:style w:type="paragraph" w:customStyle="1" w:styleId="227">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8">
    <w:name w:val="正文（首行缩进）"/>
    <w:basedOn w:val="23"/>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9">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30">
    <w:name w:val="文字"/>
    <w:basedOn w:val="1"/>
    <w:qFormat/>
    <w:uiPriority w:val="0"/>
    <w:pPr>
      <w:tabs>
        <w:tab w:val="left" w:pos="8520"/>
      </w:tabs>
      <w:spacing w:line="312" w:lineRule="auto"/>
      <w:ind w:right="-210" w:firstLine="556"/>
    </w:pPr>
    <w:rPr>
      <w:rFonts w:ascii="宋体"/>
      <w:sz w:val="28"/>
      <w:szCs w:val="20"/>
    </w:rPr>
  </w:style>
  <w:style w:type="paragraph" w:customStyle="1" w:styleId="23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3">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4">
    <w:name w:val="三级条标题"/>
    <w:basedOn w:val="225"/>
    <w:next w:val="1"/>
    <w:qFormat/>
    <w:uiPriority w:val="0"/>
    <w:pPr>
      <w:tabs>
        <w:tab w:val="left" w:pos="4729"/>
        <w:tab w:val="clear" w:pos="4309"/>
      </w:tabs>
      <w:ind w:left="4729"/>
      <w:outlineLvl w:val="4"/>
    </w:pPr>
  </w:style>
  <w:style w:type="paragraph" w:customStyle="1" w:styleId="235">
    <w:name w:val="Test2"/>
    <w:basedOn w:val="6"/>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6">
    <w:name w:val="默认段落字体 Para Char Char Char Char Char Char Char"/>
    <w:basedOn w:val="1"/>
    <w:qFormat/>
    <w:uiPriority w:val="0"/>
  </w:style>
  <w:style w:type="paragraph" w:customStyle="1" w:styleId="237">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9">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4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2">
    <w:name w:val="列表段落"/>
    <w:basedOn w:val="1"/>
    <w:qFormat/>
    <w:uiPriority w:val="0"/>
    <w:pPr>
      <w:ind w:firstLine="420" w:firstLineChars="200"/>
    </w:pPr>
    <w:rPr>
      <w:rFonts w:ascii="Calibri" w:hAnsi="Calibri"/>
      <w:szCs w:val="22"/>
    </w:rPr>
  </w:style>
  <w:style w:type="paragraph" w:customStyle="1" w:styleId="243">
    <w:name w:val="五级条标题"/>
    <w:basedOn w:val="244"/>
    <w:next w:val="1"/>
    <w:qFormat/>
    <w:uiPriority w:val="0"/>
    <w:pPr>
      <w:tabs>
        <w:tab w:val="left" w:pos="5149"/>
        <w:tab w:val="left" w:pos="5569"/>
      </w:tabs>
      <w:ind w:left="5569"/>
      <w:outlineLvl w:val="6"/>
    </w:pPr>
  </w:style>
  <w:style w:type="paragraph" w:customStyle="1" w:styleId="244">
    <w:name w:val="四级条标题"/>
    <w:basedOn w:val="234"/>
    <w:next w:val="1"/>
    <w:qFormat/>
    <w:uiPriority w:val="0"/>
    <w:pPr>
      <w:tabs>
        <w:tab w:val="left" w:pos="5149"/>
        <w:tab w:val="clear" w:pos="4729"/>
      </w:tabs>
      <w:ind w:left="5149"/>
      <w:outlineLvl w:val="5"/>
    </w:pPr>
  </w:style>
  <w:style w:type="paragraph" w:customStyle="1" w:styleId="245">
    <w:name w:val="正文-宋体四号"/>
    <w:basedOn w:val="1"/>
    <w:qFormat/>
    <w:uiPriority w:val="0"/>
    <w:pPr>
      <w:spacing w:line="360" w:lineRule="auto"/>
      <w:ind w:firstLine="560" w:firstLineChars="200"/>
    </w:pPr>
    <w:rPr>
      <w:rFonts w:cs="宋体"/>
      <w:sz w:val="28"/>
      <w:szCs w:val="20"/>
    </w:rPr>
  </w:style>
  <w:style w:type="paragraph" w:customStyle="1" w:styleId="246">
    <w:name w:val="纯文本1"/>
    <w:basedOn w:val="1"/>
    <w:qFormat/>
    <w:uiPriority w:val="0"/>
    <w:pPr>
      <w:adjustRightInd w:val="0"/>
      <w:textAlignment w:val="baseline"/>
    </w:pPr>
    <w:rPr>
      <w:rFonts w:ascii="宋体" w:hAnsi="Courier New" w:eastAsia="楷体_GB2312"/>
      <w:sz w:val="28"/>
      <w:szCs w:val="20"/>
    </w:rPr>
  </w:style>
  <w:style w:type="paragraph" w:customStyle="1" w:styleId="247">
    <w:name w:val="Char2"/>
    <w:basedOn w:val="1"/>
    <w:qFormat/>
    <w:uiPriority w:val="0"/>
  </w:style>
  <w:style w:type="paragraph" w:customStyle="1" w:styleId="248">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9">
    <w:name w:val="样式5"/>
    <w:basedOn w:val="11"/>
    <w:qFormat/>
    <w:uiPriority w:val="0"/>
    <w:pPr>
      <w:adjustRightInd/>
      <w:spacing w:line="360" w:lineRule="auto"/>
      <w:ind w:firstLine="200" w:firstLineChars="200"/>
      <w:textAlignment w:val="auto"/>
    </w:pPr>
    <w:rPr>
      <w:sz w:val="28"/>
      <w:szCs w:val="21"/>
    </w:rPr>
  </w:style>
  <w:style w:type="paragraph" w:customStyle="1" w:styleId="250">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1">
    <w:name w:val="Char Char Char Char Char Char Char Char Char Char Char Char Char1"/>
    <w:basedOn w:val="1"/>
    <w:qFormat/>
    <w:uiPriority w:val="0"/>
  </w:style>
  <w:style w:type="paragraph" w:customStyle="1" w:styleId="252">
    <w:name w:val="样式 标题 1Level 1Level 11h1II+IHeading1H1-Heading 1Header 1..."/>
    <w:basedOn w:val="5"/>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3">
    <w:name w:val="样式 标题 3 + 黑色 段前: 5 磅 段后: 5 磅 行距: 1.5 倍行距"/>
    <w:basedOn w:val="1"/>
    <w:qFormat/>
    <w:uiPriority w:val="0"/>
    <w:pPr>
      <w:ind w:left="855" w:hanging="855"/>
    </w:pPr>
    <w:rPr>
      <w:sz w:val="24"/>
      <w:szCs w:val="20"/>
    </w:rPr>
  </w:style>
  <w:style w:type="paragraph" w:customStyle="1" w:styleId="254">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5">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7">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8">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9">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60">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1">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5">
    <w:name w:val="tabletext"/>
    <w:basedOn w:val="1"/>
    <w:qFormat/>
    <w:uiPriority w:val="0"/>
    <w:pPr>
      <w:widowControl/>
      <w:spacing w:line="300" w:lineRule="atLeast"/>
      <w:jc w:val="left"/>
    </w:pPr>
    <w:rPr>
      <w:rFonts w:ascii="宋体" w:hAnsi="宋体" w:cs="宋体"/>
      <w:kern w:val="0"/>
      <w:sz w:val="18"/>
      <w:szCs w:val="18"/>
    </w:rPr>
  </w:style>
  <w:style w:type="paragraph" w:customStyle="1" w:styleId="26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7">
    <w:name w:val="TOC 标题1"/>
    <w:basedOn w:val="5"/>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8">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9">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70">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2">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3">
    <w:name w:val="简单回函地址"/>
    <w:basedOn w:val="1"/>
    <w:qFormat/>
    <w:uiPriority w:val="0"/>
  </w:style>
  <w:style w:type="paragraph" w:customStyle="1" w:styleId="274">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5">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6">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7">
    <w:name w:val="1 Char"/>
    <w:basedOn w:val="11"/>
    <w:qFormat/>
    <w:uiPriority w:val="0"/>
    <w:pPr>
      <w:adjustRightInd/>
      <w:spacing w:line="360" w:lineRule="auto"/>
      <w:ind w:firstLine="200" w:firstLineChars="200"/>
      <w:textAlignment w:val="auto"/>
    </w:pPr>
    <w:rPr>
      <w:kern w:val="2"/>
    </w:rPr>
  </w:style>
  <w:style w:type="paragraph" w:customStyle="1" w:styleId="278">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9">
    <w:name w:val="TOC 标题2"/>
    <w:basedOn w:val="5"/>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80">
    <w:name w:val="Char Char"/>
    <w:basedOn w:val="1"/>
    <w:qFormat/>
    <w:uiPriority w:val="0"/>
    <w:rPr>
      <w:rFonts w:ascii="仿宋_GB2312" w:eastAsia="仿宋_GB2312"/>
      <w:b/>
      <w:sz w:val="32"/>
      <w:szCs w:val="32"/>
    </w:rPr>
  </w:style>
  <w:style w:type="paragraph" w:customStyle="1" w:styleId="281">
    <w:name w:val="l正文"/>
    <w:basedOn w:val="1"/>
    <w:qFormat/>
    <w:uiPriority w:val="0"/>
    <w:pPr>
      <w:spacing w:line="360" w:lineRule="auto"/>
      <w:ind w:firstLine="200" w:firstLineChars="200"/>
    </w:pPr>
    <w:rPr>
      <w:rFonts w:ascii="宋体" w:hAnsi="宋体"/>
      <w:sz w:val="24"/>
    </w:rPr>
  </w:style>
  <w:style w:type="paragraph" w:customStyle="1" w:styleId="282">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4">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5">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6">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7">
    <w:name w:val="Char Char Char Char Char Char Char1"/>
    <w:basedOn w:val="1"/>
    <w:qFormat/>
    <w:uiPriority w:val="0"/>
    <w:rPr>
      <w:rFonts w:ascii="仿宋_GB2312" w:eastAsia="仿宋_GB2312"/>
      <w:b/>
      <w:sz w:val="32"/>
      <w:szCs w:val="32"/>
    </w:rPr>
  </w:style>
  <w:style w:type="paragraph" w:customStyle="1" w:styleId="28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0">
    <w:name w:val="标题2"/>
    <w:basedOn w:val="6"/>
    <w:qFormat/>
    <w:uiPriority w:val="0"/>
    <w:pPr>
      <w:tabs>
        <w:tab w:val="left" w:pos="709"/>
      </w:tabs>
    </w:pPr>
    <w:rPr>
      <w:rFonts w:ascii="宋体" w:hAnsi="宋体"/>
      <w:sz w:val="36"/>
      <w:szCs w:val="36"/>
    </w:rPr>
  </w:style>
  <w:style w:type="paragraph" w:customStyle="1" w:styleId="29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3">
    <w:name w:val="Char1"/>
    <w:basedOn w:val="1"/>
    <w:qFormat/>
    <w:uiPriority w:val="0"/>
    <w:rPr>
      <w:rFonts w:ascii="仿宋_GB2312" w:eastAsia="仿宋_GB2312"/>
      <w:b/>
      <w:sz w:val="32"/>
      <w:szCs w:val="32"/>
    </w:rPr>
  </w:style>
  <w:style w:type="paragraph" w:customStyle="1" w:styleId="294">
    <w:name w:val="正文字缩2字"/>
    <w:basedOn w:val="1"/>
    <w:qFormat/>
    <w:uiPriority w:val="0"/>
    <w:pPr>
      <w:spacing w:before="60" w:after="60" w:line="360" w:lineRule="auto"/>
      <w:ind w:left="200" w:leftChars="200" w:firstLine="200" w:firstLineChars="200"/>
    </w:pPr>
    <w:rPr>
      <w:sz w:val="24"/>
    </w:rPr>
  </w:style>
  <w:style w:type="paragraph" w:customStyle="1" w:styleId="295">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6">
    <w:name w:val="保留正文"/>
    <w:basedOn w:val="2"/>
    <w:qFormat/>
    <w:uiPriority w:val="0"/>
    <w:pPr>
      <w:keepNext/>
      <w:spacing w:after="160"/>
    </w:pPr>
    <w:rPr>
      <w:szCs w:val="20"/>
    </w:rPr>
  </w:style>
  <w:style w:type="paragraph" w:customStyle="1" w:styleId="297">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0">
    <w:name w:val="Char"/>
    <w:basedOn w:val="1"/>
    <w:qFormat/>
    <w:uiPriority w:val="0"/>
    <w:rPr>
      <w:rFonts w:ascii="仿宋_GB2312" w:eastAsia="仿宋_GB2312"/>
      <w:b/>
      <w:sz w:val="32"/>
      <w:szCs w:val="32"/>
    </w:rPr>
  </w:style>
  <w:style w:type="paragraph" w:customStyle="1" w:styleId="301">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2">
    <w:name w:val="正文文字表格居中"/>
    <w:basedOn w:val="1"/>
    <w:next w:val="48"/>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3">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4">
    <w:name w:val="Char1 Char Char Char Char Char Char"/>
    <w:basedOn w:val="1"/>
    <w:qFormat/>
    <w:uiPriority w:val="0"/>
    <w:rPr>
      <w:rFonts w:ascii="宋体" w:hAnsi="宋体"/>
      <w:color w:val="000000"/>
      <w:sz w:val="24"/>
    </w:rPr>
  </w:style>
  <w:style w:type="paragraph" w:customStyle="1" w:styleId="305">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6">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8">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10">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1">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3">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4">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5">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6">
    <w:name w:val="样式 标题 3 + 黑体 小四 非加粗"/>
    <w:basedOn w:val="7"/>
    <w:qFormat/>
    <w:uiPriority w:val="0"/>
    <w:pPr>
      <w:spacing w:before="260" w:after="260" w:line="413" w:lineRule="auto"/>
    </w:pPr>
    <w:rPr>
      <w:rFonts w:ascii="黑体" w:hAnsi="黑体"/>
      <w:b w:val="0"/>
      <w:kern w:val="0"/>
      <w:sz w:val="24"/>
      <w:szCs w:val="32"/>
    </w:rPr>
  </w:style>
  <w:style w:type="paragraph" w:customStyle="1" w:styleId="317">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9">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2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1">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2">
    <w:name w:val="文档正文"/>
    <w:basedOn w:val="1"/>
    <w:qFormat/>
    <w:uiPriority w:val="0"/>
    <w:pPr>
      <w:adjustRightInd w:val="0"/>
      <w:spacing w:line="300" w:lineRule="auto"/>
      <w:ind w:firstLine="567"/>
      <w:textAlignment w:val="baseline"/>
    </w:pPr>
    <w:rPr>
      <w:kern w:val="0"/>
      <w:sz w:val="24"/>
      <w:szCs w:val="20"/>
    </w:rPr>
  </w:style>
  <w:style w:type="paragraph" w:customStyle="1" w:styleId="323">
    <w:name w:val="列出段落2"/>
    <w:basedOn w:val="1"/>
    <w:qFormat/>
    <w:uiPriority w:val="0"/>
    <w:pPr>
      <w:ind w:firstLine="420" w:firstLineChars="200"/>
    </w:pPr>
  </w:style>
  <w:style w:type="paragraph" w:customStyle="1" w:styleId="324">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5">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6">
    <w:name w:val="p0"/>
    <w:basedOn w:val="1"/>
    <w:qFormat/>
    <w:uiPriority w:val="0"/>
    <w:pPr>
      <w:widowControl/>
    </w:pPr>
    <w:rPr>
      <w:kern w:val="0"/>
      <w:szCs w:val="21"/>
    </w:rPr>
  </w:style>
  <w:style w:type="paragraph" w:customStyle="1" w:styleId="32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8">
    <w:name w:val="TableGrid"/>
    <w:qFormat/>
    <w:uiPriority w:val="0"/>
    <w:tblPr>
      <w:tblCellMar>
        <w:top w:w="0" w:type="dxa"/>
        <w:left w:w="0" w:type="dxa"/>
        <w:bottom w:w="0" w:type="dxa"/>
        <w:right w:w="0" w:type="dxa"/>
      </w:tblCellMar>
    </w:tblPr>
  </w:style>
  <w:style w:type="paragraph" w:styleId="329">
    <w:name w:val="List Paragraph"/>
    <w:basedOn w:val="1"/>
    <w:qFormat/>
    <w:uiPriority w:val="99"/>
    <w:pPr>
      <w:ind w:firstLine="420" w:firstLineChars="200"/>
    </w:pPr>
  </w:style>
  <w:style w:type="paragraph" w:customStyle="1" w:styleId="330">
    <w:name w:val="正文段"/>
    <w:basedOn w:val="1"/>
    <w:qFormat/>
    <w:uiPriority w:val="0"/>
    <w:pPr>
      <w:widowControl/>
      <w:snapToGrid w:val="0"/>
      <w:spacing w:afterLines="50"/>
      <w:ind w:firstLine="200" w:firstLineChars="200"/>
    </w:pPr>
    <w:rPr>
      <w:sz w:val="24"/>
      <w:szCs w:val="20"/>
    </w:rPr>
  </w:style>
  <w:style w:type="paragraph" w:customStyle="1" w:styleId="331">
    <w:name w:val="_Style 3"/>
    <w:basedOn w:val="1"/>
    <w:next w:val="1"/>
    <w:qFormat/>
    <w:uiPriority w:val="34"/>
    <w:pPr>
      <w:spacing w:line="360" w:lineRule="auto"/>
      <w:ind w:firstLine="420" w:firstLineChars="200"/>
    </w:pPr>
  </w:style>
  <w:style w:type="paragraph" w:customStyle="1" w:styleId="332">
    <w:name w:val="_Style 2"/>
    <w:basedOn w:val="1"/>
    <w:next w:val="1"/>
    <w:qFormat/>
    <w:uiPriority w:val="0"/>
    <w:pPr>
      <w:pBdr>
        <w:bottom w:val="single" w:color="auto" w:sz="6" w:space="1"/>
      </w:pBdr>
      <w:jc w:val="center"/>
    </w:pPr>
    <w:rPr>
      <w:rFonts w:ascii="Arial"/>
      <w:vanish/>
      <w:sz w:val="16"/>
    </w:rPr>
  </w:style>
  <w:style w:type="character" w:customStyle="1" w:styleId="333">
    <w:name w:val="font31"/>
    <w:basedOn w:val="55"/>
    <w:qFormat/>
    <w:uiPriority w:val="0"/>
    <w:rPr>
      <w:rFonts w:hint="eastAsia" w:ascii="宋体" w:hAnsi="宋体" w:eastAsia="宋体" w:cs="宋体"/>
      <w:color w:val="000000"/>
      <w:sz w:val="24"/>
      <w:szCs w:val="24"/>
      <w:u w:val="single"/>
    </w:rPr>
  </w:style>
  <w:style w:type="paragraph" w:customStyle="1" w:styleId="334">
    <w:name w:val="表格文字"/>
    <w:basedOn w:val="1"/>
    <w:next w:val="2"/>
    <w:qFormat/>
    <w:uiPriority w:val="0"/>
    <w:pPr>
      <w:adjustRightInd w:val="0"/>
      <w:spacing w:line="420" w:lineRule="atLeast"/>
      <w:jc w:val="left"/>
      <w:textAlignment w:val="baseline"/>
    </w:pPr>
    <w:rPr>
      <w:kern w:val="0"/>
    </w:rPr>
  </w:style>
  <w:style w:type="character" w:customStyle="1" w:styleId="335">
    <w:name w:val="font01"/>
    <w:basedOn w:val="55"/>
    <w:qFormat/>
    <w:uiPriority w:val="0"/>
    <w:rPr>
      <w:rFonts w:ascii="Arial" w:hAnsi="Arial" w:cs="Arial"/>
      <w:color w:val="000000"/>
      <w:sz w:val="18"/>
      <w:szCs w:val="18"/>
      <w:u w:val="none"/>
    </w:rPr>
  </w:style>
  <w:style w:type="paragraph" w:customStyle="1" w:styleId="336">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7">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8">
    <w:name w:val="font61"/>
    <w:basedOn w:val="55"/>
    <w:qFormat/>
    <w:uiPriority w:val="0"/>
    <w:rPr>
      <w:rFonts w:hint="eastAsia" w:ascii="宋体" w:hAnsi="宋体" w:eastAsia="宋体" w:cs="宋体"/>
      <w:color w:val="000000"/>
      <w:sz w:val="20"/>
      <w:szCs w:val="20"/>
      <w:u w:val="none"/>
    </w:rPr>
  </w:style>
  <w:style w:type="character" w:customStyle="1" w:styleId="339">
    <w:name w:val="font81"/>
    <w:basedOn w:val="55"/>
    <w:qFormat/>
    <w:uiPriority w:val="0"/>
    <w:rPr>
      <w:rFonts w:ascii="Calibri" w:hAnsi="Calibri" w:cs="Calibri"/>
      <w:color w:val="000000"/>
      <w:sz w:val="20"/>
      <w:szCs w:val="20"/>
      <w:u w:val="none"/>
    </w:rPr>
  </w:style>
  <w:style w:type="character" w:customStyle="1" w:styleId="340">
    <w:name w:val="font71"/>
    <w:basedOn w:val="55"/>
    <w:qFormat/>
    <w:uiPriority w:val="0"/>
    <w:rPr>
      <w:rFonts w:hint="eastAsia" w:ascii="宋体" w:hAnsi="宋体" w:eastAsia="宋体" w:cs="宋体"/>
      <w:color w:val="000000"/>
      <w:sz w:val="22"/>
      <w:szCs w:val="22"/>
      <w:u w:val="none"/>
    </w:rPr>
  </w:style>
  <w:style w:type="paragraph" w:customStyle="1" w:styleId="341">
    <w:name w:val="Table Paragraph"/>
    <w:basedOn w:val="1"/>
    <w:qFormat/>
    <w:uiPriority w:val="1"/>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49</Pages>
  <Words>29186</Words>
  <Characters>30434</Characters>
  <Lines>322</Lines>
  <Paragraphs>90</Paragraphs>
  <TotalTime>3</TotalTime>
  <ScaleCrop>false</ScaleCrop>
  <LinksUpToDate>false</LinksUpToDate>
  <CharactersWithSpaces>31993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2020-10-13T06:50:00Z</dcterms:created>
  <dc:creator>zyq</dc:creator>
  <cp:lastModifiedBy>Karen金凯伦</cp:lastModifiedBy>
  <cp:lastPrinted>2021-03-22T07:00:00Z</cp:lastPrinted>
  <dcterms:modified xsi:type="dcterms:W3CDTF">2023-01-19T07:52:34Z</dcterms:modified>
  <dc:title>招标文件目录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F762B19732884F4F99A9F723D118FC7B</vt:lpwstr>
  </property>
</Properties>
</file>