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line="360" w:lineRule="auto"/>
        <w:jc w:val="center"/>
        <w:rPr>
          <w:rFonts w:hint="eastAsia" w:ascii="宋体" w:hAnsi="宋体" w:cs="宋体"/>
          <w:b/>
          <w:bCs/>
          <w:color w:val="000000" w:themeColor="text1"/>
          <w:sz w:val="48"/>
          <w:szCs w:val="48"/>
          <w14:textFill>
            <w14:solidFill>
              <w14:schemeClr w14:val="tx1"/>
            </w14:solidFill>
          </w14:textFill>
        </w:rPr>
      </w:pPr>
    </w:p>
    <w:p>
      <w:pPr>
        <w:spacing w:after="120" w:line="360" w:lineRule="auto"/>
        <w:jc w:val="center"/>
        <w:rPr>
          <w:rFonts w:ascii="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政府采购项目</w:t>
      </w:r>
    </w:p>
    <w:p>
      <w:pPr>
        <w:spacing w:after="120" w:line="360" w:lineRule="auto"/>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公开招标文件</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(货物类)</w:t>
      </w:r>
    </w:p>
    <w:p>
      <w:pPr>
        <w:spacing w:line="360" w:lineRule="auto"/>
        <w:jc w:val="center"/>
        <w:rPr>
          <w:rFonts w:ascii="宋体"/>
          <w:b/>
          <w:bCs/>
          <w:color w:val="000000" w:themeColor="text1"/>
          <w:sz w:val="52"/>
          <w:szCs w:val="52"/>
          <w14:textFill>
            <w14:solidFill>
              <w14:schemeClr w14:val="tx1"/>
            </w14:solidFill>
          </w14:textFill>
        </w:rPr>
      </w:pPr>
    </w:p>
    <w:p>
      <w:pPr>
        <w:spacing w:line="360" w:lineRule="auto"/>
        <w:rPr>
          <w:rFonts w:ascii="宋体"/>
          <w:b/>
          <w:bCs/>
          <w:color w:val="000000" w:themeColor="text1"/>
          <w14:textFill>
            <w14:solidFill>
              <w14:schemeClr w14:val="tx1"/>
            </w14:solidFill>
          </w14:textFill>
        </w:rPr>
      </w:pPr>
    </w:p>
    <w:p>
      <w:pPr>
        <w:spacing w:line="360" w:lineRule="auto"/>
        <w:ind w:firstLine="529" w:firstLineChars="147"/>
        <w:rPr>
          <w:rFonts w:hint="eastAsia" w:ascii="宋体" w:eastAsia="宋体"/>
          <w:b/>
          <w:bCs/>
          <w:color w:val="000000" w:themeColor="text1"/>
          <w:sz w:val="36"/>
          <w:szCs w:val="36"/>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招标编号：</w:t>
      </w:r>
      <w:bookmarkStart w:id="0" w:name="OLE_LINK3"/>
      <w:r>
        <w:rPr>
          <w:rFonts w:hint="eastAsia" w:ascii="宋体" w:hAnsi="宋体" w:cs="宋体"/>
          <w:b/>
          <w:bCs/>
          <w:color w:val="000000" w:themeColor="text1"/>
          <w:sz w:val="36"/>
          <w:szCs w:val="36"/>
          <w:u w:val="single"/>
          <w:lang w:eastAsia="zh-CN"/>
          <w14:textFill>
            <w14:solidFill>
              <w14:schemeClr w14:val="tx1"/>
            </w14:solidFill>
          </w14:textFill>
        </w:rPr>
        <w:t>NBGODOZB225003-10G</w:t>
      </w:r>
      <w:bookmarkEnd w:id="0"/>
    </w:p>
    <w:p>
      <w:pPr>
        <w:spacing w:line="360" w:lineRule="auto"/>
        <w:rPr>
          <w:rFonts w:ascii="宋体"/>
          <w:b/>
          <w:bCs/>
          <w:color w:val="000000" w:themeColor="text1"/>
          <w:sz w:val="36"/>
          <w:szCs w:val="36"/>
          <w14:textFill>
            <w14:solidFill>
              <w14:schemeClr w14:val="tx1"/>
            </w14:solidFill>
          </w14:textFill>
        </w:rPr>
      </w:pPr>
    </w:p>
    <w:p>
      <w:pPr>
        <w:spacing w:line="360" w:lineRule="auto"/>
        <w:rPr>
          <w:rFonts w:ascii="宋体"/>
          <w:b/>
          <w:bCs/>
          <w:color w:val="000000" w:themeColor="text1"/>
          <w:sz w:val="36"/>
          <w:szCs w:val="36"/>
          <w14:textFill>
            <w14:solidFill>
              <w14:schemeClr w14:val="tx1"/>
            </w14:solidFill>
          </w14:textFill>
        </w:rPr>
      </w:pPr>
    </w:p>
    <w:p>
      <w:pPr>
        <w:spacing w:line="360" w:lineRule="auto"/>
        <w:ind w:firstLine="529" w:firstLineChars="147"/>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项目名称：</w:t>
      </w:r>
      <w:r>
        <w:rPr>
          <w:rFonts w:hint="eastAsia" w:ascii="宋体" w:hAnsi="宋体" w:cs="宋体"/>
          <w:b/>
          <w:bCs/>
          <w:color w:val="auto"/>
          <w:sz w:val="36"/>
          <w:szCs w:val="36"/>
          <w:u w:val="single"/>
          <w:lang w:eastAsia="zh-CN"/>
        </w:rPr>
        <w:t>2025年度警用摩托车采购项目</w:t>
      </w:r>
    </w:p>
    <w:p>
      <w:pPr>
        <w:tabs>
          <w:tab w:val="left" w:pos="6510"/>
        </w:tabs>
        <w:spacing w:line="360" w:lineRule="auto"/>
        <w:ind w:firstLine="360" w:firstLineChars="100"/>
        <w:rPr>
          <w:rFonts w:ascii="宋体"/>
          <w:b/>
          <w:bCs/>
          <w:color w:val="0000FF"/>
          <w:sz w:val="36"/>
          <w:szCs w:val="36"/>
        </w:rPr>
      </w:pPr>
      <w:r>
        <w:rPr>
          <w:rFonts w:ascii="宋体"/>
          <w:b/>
          <w:bCs/>
          <w:color w:val="0000FF"/>
          <w:sz w:val="36"/>
          <w:szCs w:val="36"/>
        </w:rPr>
        <w:tab/>
      </w:r>
    </w:p>
    <w:p>
      <w:pPr>
        <w:spacing w:line="360" w:lineRule="auto"/>
        <w:ind w:left="361" w:leftChars="172" w:firstLine="180" w:firstLineChars="50"/>
        <w:rPr>
          <w:rFonts w:ascii="宋体"/>
          <w:b/>
          <w:bCs/>
          <w:color w:val="0000FF"/>
          <w:sz w:val="36"/>
          <w:szCs w:val="36"/>
        </w:rPr>
      </w:pPr>
    </w:p>
    <w:p>
      <w:pPr>
        <w:spacing w:line="360" w:lineRule="auto"/>
        <w:ind w:left="361" w:leftChars="172" w:firstLine="180" w:firstLineChars="50"/>
        <w:rPr>
          <w:rFonts w:hint="eastAsia" w:ascii="宋体" w:eastAsia="宋体"/>
          <w:b/>
          <w:bCs/>
          <w:color w:val="auto"/>
          <w:sz w:val="34"/>
          <w:szCs w:val="34"/>
          <w:u w:val="single"/>
          <w:lang w:eastAsia="zh-CN"/>
        </w:rPr>
      </w:pPr>
      <w:r>
        <w:rPr>
          <w:rFonts w:hint="eastAsia" w:ascii="宋体" w:hAnsi="宋体" w:cs="宋体"/>
          <w:b/>
          <w:bCs/>
          <w:color w:val="auto"/>
          <w:sz w:val="36"/>
          <w:szCs w:val="36"/>
        </w:rPr>
        <w:t>采</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购</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人：</w:t>
      </w:r>
      <w:r>
        <w:rPr>
          <w:rFonts w:hint="eastAsia" w:ascii="宋体" w:hAnsi="宋体" w:cs="宋体"/>
          <w:b/>
          <w:bCs/>
          <w:color w:val="auto"/>
          <w:sz w:val="36"/>
          <w:szCs w:val="36"/>
          <w:u w:val="single"/>
          <w:lang w:eastAsia="zh-CN"/>
        </w:rPr>
        <w:t>宁波市公安局交通管理支队</w:t>
      </w:r>
    </w:p>
    <w:p>
      <w:pPr>
        <w:spacing w:line="360" w:lineRule="auto"/>
        <w:rPr>
          <w:rFonts w:ascii="宋体"/>
          <w:b/>
          <w:bCs/>
          <w:color w:val="000000" w:themeColor="text1"/>
          <w:sz w:val="36"/>
          <w:szCs w:val="36"/>
          <w14:textFill>
            <w14:solidFill>
              <w14:schemeClr w14:val="tx1"/>
            </w14:solidFill>
          </w14:textFill>
        </w:rPr>
      </w:pPr>
    </w:p>
    <w:p>
      <w:pPr>
        <w:pStyle w:val="2"/>
      </w:pPr>
    </w:p>
    <w:p>
      <w:pPr>
        <w:spacing w:line="360" w:lineRule="auto"/>
        <w:ind w:firstLine="360" w:firstLineChars="100"/>
        <w:rPr>
          <w:rFonts w:ascii="宋体"/>
          <w:b/>
          <w:bCs/>
          <w:color w:val="000000" w:themeColor="text1"/>
          <w:sz w:val="36"/>
          <w:szCs w:val="36"/>
          <w14:textFill>
            <w14:solidFill>
              <w14:schemeClr w14:val="tx1"/>
            </w14:solidFill>
          </w14:textFill>
        </w:rPr>
      </w:pPr>
    </w:p>
    <w:p>
      <w:pPr>
        <w:pStyle w:val="2"/>
      </w:pPr>
    </w:p>
    <w:p>
      <w:pPr>
        <w:spacing w:line="360" w:lineRule="auto"/>
        <w:ind w:firstLine="540" w:firstLineChars="15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采购代理机构：</w:t>
      </w:r>
      <w:r>
        <w:rPr>
          <w:rFonts w:hint="eastAsia" w:ascii="宋体" w:hAnsi="宋体"/>
          <w:b/>
          <w:color w:val="000000" w:themeColor="text1"/>
          <w:sz w:val="36"/>
          <w:szCs w:val="36"/>
          <w:u w:val="single"/>
          <w14:textFill>
            <w14:solidFill>
              <w14:schemeClr w14:val="tx1"/>
            </w14:solidFill>
          </w14:textFill>
        </w:rPr>
        <w:t>宁波国际投资咨询有限公司</w:t>
      </w:r>
    </w:p>
    <w:p>
      <w:pPr>
        <w:spacing w:line="360" w:lineRule="auto"/>
        <w:jc w:val="center"/>
        <w:rPr>
          <w:rFonts w:ascii="宋体"/>
          <w:b/>
          <w:bCs/>
          <w:color w:val="000000" w:themeColor="text1"/>
          <w:sz w:val="36"/>
          <w:szCs w:val="36"/>
          <w14:textFill>
            <w14:solidFill>
              <w14:schemeClr w14:val="tx1"/>
            </w14:solidFill>
          </w14:textFill>
        </w:rPr>
      </w:pPr>
    </w:p>
    <w:p>
      <w:pPr>
        <w:pStyle w:val="4"/>
        <w:rPr>
          <w:rFonts w:cs="Times New Roman"/>
          <w:color w:val="000000" w:themeColor="text1"/>
          <w14:textFill>
            <w14:solidFill>
              <w14:schemeClr w14:val="tx1"/>
            </w14:solidFill>
          </w14:textFill>
        </w:rPr>
      </w:pPr>
    </w:p>
    <w:p>
      <w:pPr>
        <w:spacing w:line="360" w:lineRule="auto"/>
        <w:jc w:val="center"/>
        <w:rPr>
          <w:rFonts w:ascii="宋体"/>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spacing w:line="360" w:lineRule="auto"/>
        <w:rPr>
          <w:rFonts w:ascii="宋体"/>
          <w:b/>
          <w:bCs/>
          <w:color w:val="000000" w:themeColor="text1"/>
          <w:sz w:val="36"/>
          <w:szCs w:val="36"/>
          <w14:textFill>
            <w14:solidFill>
              <w14:schemeClr w14:val="tx1"/>
            </w14:solidFill>
          </w14:textFill>
        </w:rPr>
      </w:pPr>
    </w:p>
    <w:p>
      <w:pPr>
        <w:spacing w:line="360" w:lineRule="auto"/>
        <w:jc w:val="center"/>
        <w:rPr>
          <w:rFonts w:ascii="宋体" w:hAnsi="宋体" w:cs="宋体"/>
          <w:b/>
          <w:bCs/>
          <w:color w:val="000000" w:themeColor="text1"/>
          <w:sz w:val="36"/>
          <w:szCs w:val="36"/>
          <w14:textFill>
            <w14:solidFill>
              <w14:schemeClr w14:val="tx1"/>
            </w14:solidFill>
          </w14:textFill>
        </w:rPr>
        <w:sectPr>
          <w:headerReference r:id="rId3" w:type="default"/>
          <w:footerReference r:id="rId4" w:type="default"/>
          <w:pgSz w:w="11907" w:h="16840"/>
          <w:pgMar w:top="1276" w:right="1417" w:bottom="1276" w:left="1560" w:header="720" w:footer="720" w:gutter="0"/>
          <w:pgBorders>
            <w:top w:val="none" w:sz="0" w:space="0"/>
            <w:left w:val="none" w:sz="0" w:space="0"/>
            <w:bottom w:val="none" w:sz="0" w:space="0"/>
            <w:right w:val="none" w:sz="0" w:space="0"/>
          </w:pgBorders>
          <w:pgNumType w:start="1"/>
          <w:cols w:space="720" w:num="1"/>
          <w:docGrid w:type="linesAndChars" w:linePitch="285" w:charSpace="0"/>
        </w:sectPr>
      </w:pPr>
    </w:p>
    <w:p>
      <w:pPr>
        <w:spacing w:line="360" w:lineRule="auto"/>
        <w:jc w:val="center"/>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pPr>
        <w:spacing w:line="360" w:lineRule="auto"/>
        <w:jc w:val="center"/>
        <w:rPr>
          <w:rFonts w:ascii="宋体"/>
          <w:b/>
          <w:bCs/>
          <w:color w:val="000000" w:themeColor="text1"/>
          <w:sz w:val="36"/>
          <w:szCs w:val="36"/>
          <w14:textFill>
            <w14:solidFill>
              <w14:schemeClr w14:val="tx1"/>
            </w14:solidFill>
          </w14:textFill>
        </w:rPr>
      </w:pP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rPr>
          <w:rFonts w:cs="宋体" w:asciiTheme="majorEastAsia" w:hAnsiTheme="majorEastAsia" w:eastAsiaTheme="majorEastAsia"/>
          <w:b/>
          <w:bCs/>
          <w:color w:val="000000" w:themeColor="text1"/>
          <w14:textFill>
            <w14:solidFill>
              <w14:schemeClr w14:val="tx1"/>
            </w14:solidFill>
          </w14:textFill>
        </w:rPr>
        <w:fldChar w:fldCharType="begin"/>
      </w:r>
      <w:r>
        <w:rPr>
          <w:rFonts w:cs="宋体" w:asciiTheme="majorEastAsia" w:hAnsiTheme="majorEastAsia" w:eastAsiaTheme="majorEastAsia"/>
          <w:b/>
          <w:bCs/>
          <w:color w:val="000000" w:themeColor="text1"/>
          <w14:textFill>
            <w14:solidFill>
              <w14:schemeClr w14:val="tx1"/>
            </w14:solidFill>
          </w14:textFill>
        </w:rPr>
        <w:instrText xml:space="preserve"> TOC \o "1-3" \h \z \u </w:instrText>
      </w:r>
      <w:r>
        <w:rPr>
          <w:rFonts w:cs="宋体" w:asciiTheme="majorEastAsia" w:hAnsiTheme="majorEastAsia" w:eastAsiaTheme="majorEastAsia"/>
          <w:b/>
          <w:bCs/>
          <w:color w:val="000000" w:themeColor="text1"/>
          <w14:textFill>
            <w14:solidFill>
              <w14:schemeClr w14:val="tx1"/>
            </w14:solidFill>
          </w14:textFill>
        </w:rPr>
        <w:fldChar w:fldCharType="separate"/>
      </w:r>
      <w:r>
        <w:fldChar w:fldCharType="begin"/>
      </w:r>
      <w:r>
        <w:instrText xml:space="preserve"> HYPERLINK \l "_Toc141797660"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第一部分 采购公告（投标邀请）</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_Toc141797660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fldChar w:fldCharType="begin"/>
      </w:r>
      <w:r>
        <w:instrText xml:space="preserve"> HYPERLINK \l "_Toc141797668"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第二部分 招标项目需求</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_Toc141797668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5</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fldChar w:fldCharType="begin"/>
      </w:r>
      <w:r>
        <w:instrText xml:space="preserve"> HYPERLINK \l "_Toc141797672"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第三部分 投标资料表</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_Toc141797672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8</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fldChar w:fldCharType="begin"/>
      </w:r>
      <w:r>
        <w:instrText xml:space="preserve"> HYPERLINK \l "_Toc141797673" </w:instrText>
      </w:r>
      <w:r>
        <w:fldChar w:fldCharType="separate"/>
      </w:r>
      <w:r>
        <w:rPr>
          <w:rStyle w:val="45"/>
          <w:rFonts w:hint="eastAsia" w:asciiTheme="majorEastAsia" w:hAnsiTheme="majorEastAsia" w:eastAsiaTheme="majorEastAsia"/>
          <w:color w:val="000000" w:themeColor="text1"/>
          <w14:textFill>
            <w14:solidFill>
              <w14:schemeClr w14:val="tx1"/>
            </w14:solidFill>
          </w14:textFill>
        </w:rPr>
        <w:t>第四部分 投标人须知</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_Toc141797673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15</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fldChar w:fldCharType="begin"/>
      </w:r>
      <w:r>
        <w:instrText xml:space="preserve"> HYPERLINK \l "_Toc141797684"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第五部分 合同格式</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_Toc141797684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30</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ajorEastAsia" w:hAnsiTheme="majorEastAsia" w:eastAsiaTheme="majorEastAsia" w:cstheme="minorBidi"/>
          <w:color w:val="000000" w:themeColor="text1"/>
          <w:sz w:val="21"/>
          <w:szCs w:val="22"/>
          <w14:textFill>
            <w14:solidFill>
              <w14:schemeClr w14:val="tx1"/>
            </w14:solidFill>
          </w14:textFill>
        </w:rPr>
      </w:pPr>
      <w:r>
        <w:fldChar w:fldCharType="begin"/>
      </w:r>
      <w:r>
        <w:instrText xml:space="preserve"> HYPERLINK \l "_Toc141797685"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第六部分 评标办法</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_Toc141797685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36</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28"/>
        <w:tabs>
          <w:tab w:val="right" w:leader="dot" w:pos="8920"/>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"_Toc141797686" </w:instrText>
      </w:r>
      <w:r>
        <w:fldChar w:fldCharType="separate"/>
      </w:r>
      <w:r>
        <w:rPr>
          <w:rStyle w:val="45"/>
          <w:rFonts w:hint="eastAsia" w:cs="宋体" w:asciiTheme="majorEastAsia" w:hAnsiTheme="majorEastAsia" w:eastAsiaTheme="majorEastAsia"/>
          <w:color w:val="000000" w:themeColor="text1"/>
          <w14:textFill>
            <w14:solidFill>
              <w14:schemeClr w14:val="tx1"/>
            </w14:solidFill>
          </w14:textFill>
        </w:rPr>
        <w:t>第七部分 附件（投标文件格式）</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_Toc141797686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42</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spacing w:line="360" w:lineRule="auto"/>
        <w:rPr>
          <w:rFonts w:ascii="宋体"/>
          <w:b/>
          <w:bCs/>
          <w:color w:val="000000" w:themeColor="text1"/>
          <w:sz w:val="36"/>
          <w:szCs w:val="36"/>
          <w14:textFill>
            <w14:solidFill>
              <w14:schemeClr w14:val="tx1"/>
            </w14:solidFill>
          </w14:textFill>
        </w:rPr>
        <w:sectPr>
          <w:footerReference r:id="rId5" w:type="default"/>
          <w:pgSz w:w="11907" w:h="16840"/>
          <w:pgMar w:top="1276" w:right="1417" w:bottom="1276" w:left="1560" w:header="720" w:footer="720" w:gutter="0"/>
          <w:pgBorders>
            <w:top w:val="none" w:sz="0" w:space="0"/>
            <w:left w:val="none" w:sz="0" w:space="0"/>
            <w:bottom w:val="none" w:sz="0" w:space="0"/>
            <w:right w:val="none" w:sz="0" w:space="0"/>
          </w:pgBorders>
          <w:pgNumType w:start="1"/>
          <w:cols w:space="720" w:num="1"/>
          <w:docGrid w:type="linesAndChars" w:linePitch="285" w:charSpace="0"/>
        </w:sectPr>
      </w:pPr>
      <w:r>
        <w:rPr>
          <w:rFonts w:cs="宋体" w:asciiTheme="majorEastAsia" w:hAnsiTheme="majorEastAsia" w:eastAsiaTheme="majorEastAsia"/>
          <w:b/>
          <w:bCs/>
          <w:color w:val="000000" w:themeColor="text1"/>
          <w:sz w:val="24"/>
          <w:szCs w:val="24"/>
          <w14:textFill>
            <w14:solidFill>
              <w14:schemeClr w14:val="tx1"/>
            </w14:solidFill>
          </w14:textFill>
        </w:rPr>
        <w:fldChar w:fldCharType="end"/>
      </w:r>
    </w:p>
    <w:p>
      <w:pPr>
        <w:rPr>
          <w:rFonts w:hint="eastAsia" w:ascii="宋体" w:hAnsi="宋体" w:cs="宋体"/>
          <w:color w:val="000000" w:themeColor="text1"/>
          <w:sz w:val="32"/>
          <w:szCs w:val="32"/>
          <w14:textFill>
            <w14:solidFill>
              <w14:schemeClr w14:val="tx1"/>
            </w14:solidFill>
          </w14:textFill>
        </w:rPr>
      </w:pPr>
      <w:bookmarkStart w:id="1" w:name="_Toc298230957"/>
      <w:bookmarkStart w:id="2" w:name="_Toc141797660"/>
      <w:r>
        <w:rPr>
          <w:rFonts w:hint="eastAsia" w:ascii="宋体" w:hAnsi="宋体" w:cs="宋体"/>
          <w:color w:val="000000" w:themeColor="text1"/>
          <w:sz w:val="32"/>
          <w:szCs w:val="32"/>
          <w14:textFill>
            <w14:solidFill>
              <w14:schemeClr w14:val="tx1"/>
            </w14:solidFill>
          </w14:textFill>
        </w:rPr>
        <w:br w:type="page"/>
      </w:r>
    </w:p>
    <w:p>
      <w:pPr>
        <w:pStyle w:val="3"/>
        <w:spacing w:beforeLines="0" w:afterLines="0" w:line="360" w:lineRule="auto"/>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w:t>
      </w:r>
      <w:bookmarkEnd w:id="1"/>
      <w:r>
        <w:rPr>
          <w:rFonts w:hint="eastAsia" w:ascii="宋体" w:hAnsi="宋体" w:cs="宋体"/>
          <w:color w:val="000000" w:themeColor="text1"/>
          <w:sz w:val="32"/>
          <w:szCs w:val="32"/>
          <w14:textFill>
            <w14:solidFill>
              <w14:schemeClr w14:val="tx1"/>
            </w14:solidFill>
          </w14:textFill>
        </w:rPr>
        <w:t xml:space="preserve"> 采购公告（投标邀请）</w:t>
      </w:r>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14:textFill>
            <w14:solidFill>
              <w14:schemeClr w14:val="tx1"/>
            </w14:solidFill>
          </w14:textFill>
        </w:rPr>
      </w:pPr>
      <w:bookmarkStart w:id="3" w:name="OLE_LINK2"/>
      <w:r>
        <w:rPr>
          <w:rFonts w:hint="eastAsia" w:ascii="宋体" w:hAnsi="宋体" w:cs="宋体"/>
          <w:color w:val="000000" w:themeColor="text1"/>
          <w:u w:val="single"/>
          <w:lang w:eastAsia="zh-CN"/>
          <w14:textFill>
            <w14:solidFill>
              <w14:schemeClr w14:val="tx1"/>
            </w14:solidFill>
          </w14:textFill>
        </w:rPr>
        <w:t>2025年度警用摩托车采购项目</w:t>
      </w:r>
      <w:bookmarkEnd w:id="3"/>
      <w:r>
        <w:rPr>
          <w:rFonts w:hint="eastAsia" w:ascii="宋体" w:hAnsi="宋体" w:cs="宋体"/>
          <w:color w:val="000000" w:themeColor="text1"/>
          <w14:textFill>
            <w14:solidFill>
              <w14:schemeClr w14:val="tx1"/>
            </w14:solidFill>
          </w14:textFill>
        </w:rPr>
        <w:t>的潜在投标人应在</w:t>
      </w:r>
      <w:r>
        <w:rPr>
          <w:rFonts w:hint="eastAsia" w:ascii="宋体" w:hAnsi="宋体" w:cs="宋体"/>
          <w:color w:val="000000" w:themeColor="text1"/>
          <w:u w:val="single"/>
          <w14:textFill>
            <w14:solidFill>
              <w14:schemeClr w14:val="tx1"/>
            </w14:solidFill>
          </w14:textFill>
        </w:rPr>
        <w:t>政府采购云平台（</w:t>
      </w:r>
      <w:r>
        <w:fldChar w:fldCharType="begin"/>
      </w:r>
      <w:r>
        <w:instrText xml:space="preserve"> HYPERLINK "http://www.zcygov.cn）获取（下载）招标文件，并于2020年" </w:instrText>
      </w:r>
      <w:r>
        <w:fldChar w:fldCharType="separate"/>
      </w:r>
      <w:r>
        <w:rPr>
          <w:rStyle w:val="45"/>
          <w:rFonts w:cs="宋体" w:asciiTheme="majorEastAsia" w:hAnsiTheme="majorEastAsia" w:eastAsiaTheme="majorEastAsia"/>
          <w:color w:val="000000" w:themeColor="text1"/>
          <w14:textFill>
            <w14:solidFill>
              <w14:schemeClr w14:val="tx1"/>
            </w14:solidFill>
          </w14:textFill>
        </w:rPr>
        <w:t>www.zcygov.cn</w:t>
      </w:r>
      <w:r>
        <w:rPr>
          <w:rStyle w:val="45"/>
          <w:rFonts w:hint="eastAsia" w:cs="宋体" w:asciiTheme="majorEastAsia" w:hAnsiTheme="majorEastAsia" w:eastAsiaTheme="majorEastAsia"/>
          <w:color w:val="000000" w:themeColor="text1"/>
          <w14:textFill>
            <w14:solidFill>
              <w14:schemeClr w14:val="tx1"/>
            </w14:solidFill>
          </w14:textFill>
        </w:rPr>
        <w:t>）获取（下载）招标文件，并于</w:t>
      </w:r>
      <w:r>
        <w:rPr>
          <w:rStyle w:val="45"/>
          <w:rFonts w:cs="宋体" w:asciiTheme="majorEastAsia" w:hAnsiTheme="majorEastAsia" w:eastAsiaTheme="majorEastAsia"/>
          <w:color w:val="000000" w:themeColor="text1"/>
          <w14:textFill>
            <w14:solidFill>
              <w14:schemeClr w14:val="tx1"/>
            </w14:solidFill>
          </w14:textFill>
        </w:rPr>
        <w:t>202</w:t>
      </w:r>
      <w:r>
        <w:rPr>
          <w:rStyle w:val="45"/>
          <w:rFonts w:hint="eastAsia" w:cs="宋体" w:asciiTheme="majorEastAsia" w:hAnsiTheme="majorEastAsia" w:eastAsiaTheme="majorEastAsia"/>
          <w:color w:val="000000" w:themeColor="text1"/>
          <w:lang w:val="en-US" w:eastAsia="zh-CN"/>
          <w14:textFill>
            <w14:solidFill>
              <w14:schemeClr w14:val="tx1"/>
            </w14:solidFill>
          </w14:textFill>
        </w:rPr>
        <w:t>5</w:t>
      </w:r>
      <w:r>
        <w:rPr>
          <w:rStyle w:val="45"/>
          <w:rFonts w:hint="eastAsia" w:cs="宋体" w:asciiTheme="majorEastAsia" w:hAnsiTheme="majorEastAsia" w:eastAsiaTheme="majorEastAsia"/>
          <w:color w:val="000000" w:themeColor="text1"/>
          <w14:textFill>
            <w14:solidFill>
              <w14:schemeClr w14:val="tx1"/>
            </w14:solidFill>
          </w14:textFill>
        </w:rPr>
        <w:t>年</w:t>
      </w:r>
      <w:r>
        <w:rPr>
          <w:rStyle w:val="45"/>
          <w:rFonts w:hint="eastAsia" w:cs="宋体" w:asciiTheme="majorEastAsia" w:hAnsiTheme="majorEastAsia" w:eastAsiaTheme="majorEastAsia"/>
          <w:color w:val="000000" w:themeColor="text1"/>
          <w14:textFill>
            <w14:solidFill>
              <w14:schemeClr w14:val="tx1"/>
            </w14:solidFill>
          </w14:textFill>
        </w:rPr>
        <w:fldChar w:fldCharType="end"/>
      </w:r>
      <w:r>
        <w:rPr>
          <w:rStyle w:val="45"/>
          <w:rFonts w:hint="eastAsia" w:cs="宋体" w:asciiTheme="majorEastAsia" w:hAnsiTheme="majorEastAsia" w:eastAsiaTheme="majorEastAsia"/>
          <w:color w:val="000000" w:themeColor="text1"/>
          <w:lang w:val="en-US" w:eastAsia="zh-CN"/>
          <w14:textFill>
            <w14:solidFill>
              <w14:schemeClr w14:val="tx1"/>
            </w14:solidFill>
          </w14:textFill>
        </w:rPr>
        <w:t>6</w:t>
      </w:r>
      <w:r>
        <w:rPr>
          <w:rFonts w:hint="eastAsia" w:cs="宋体" w:asciiTheme="majorEastAsia" w:hAnsiTheme="majorEastAsia" w:eastAsiaTheme="majorEastAsia"/>
          <w:color w:val="000000" w:themeColor="text1"/>
          <w:u w:val="single"/>
          <w14:textFill>
            <w14:solidFill>
              <w14:schemeClr w14:val="tx1"/>
            </w14:solidFill>
          </w14:textFill>
        </w:rPr>
        <w:t>月</w:t>
      </w:r>
      <w:r>
        <w:rPr>
          <w:rFonts w:hint="eastAsia" w:cs="宋体" w:asciiTheme="majorEastAsia" w:hAnsiTheme="majorEastAsia" w:eastAsiaTheme="majorEastAsia"/>
          <w:color w:val="000000" w:themeColor="text1"/>
          <w:u w:val="single"/>
          <w:lang w:val="en-US" w:eastAsia="zh-CN"/>
          <w14:textFill>
            <w14:solidFill>
              <w14:schemeClr w14:val="tx1"/>
            </w14:solidFill>
          </w14:textFill>
        </w:rPr>
        <w:t>20</w:t>
      </w:r>
      <w:r>
        <w:rPr>
          <w:rFonts w:hint="eastAsia" w:cs="宋体" w:asciiTheme="majorEastAsia" w:hAnsiTheme="majorEastAsia" w:eastAsiaTheme="majorEastAsia"/>
          <w:color w:val="000000" w:themeColor="text1"/>
          <w:u w:val="single"/>
          <w14:textFill>
            <w14:solidFill>
              <w14:schemeClr w14:val="tx1"/>
            </w14:solidFill>
          </w14:textFill>
        </w:rPr>
        <w:t>日</w:t>
      </w:r>
      <w:r>
        <w:rPr>
          <w:rFonts w:hint="eastAsia" w:cs="宋体" w:asciiTheme="majorEastAsia" w:hAnsiTheme="majorEastAsia" w:eastAsiaTheme="majorEastAsia"/>
          <w:color w:val="000000" w:themeColor="text1"/>
          <w:u w:val="single"/>
          <w:lang w:val="en-US" w:eastAsia="zh-CN"/>
          <w14:textFill>
            <w14:solidFill>
              <w14:schemeClr w14:val="tx1"/>
            </w14:solidFill>
          </w14:textFill>
        </w:rPr>
        <w:t>09</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0分（</w:t>
      </w:r>
      <w:r>
        <w:rPr>
          <w:rFonts w:hint="eastAsia" w:ascii="宋体" w:hAnsi="宋体" w:cs="宋体"/>
          <w:color w:val="000000" w:themeColor="text1"/>
          <w14:textFill>
            <w14:solidFill>
              <w14:schemeClr w14:val="tx1"/>
            </w14:solidFill>
          </w14:textFill>
        </w:rPr>
        <w:t>北京时间）前递交投标文件。</w:t>
      </w:r>
    </w:p>
    <w:p>
      <w:pPr>
        <w:ind w:firstLine="200"/>
        <w:rPr>
          <w:rFonts w:ascii="宋体"/>
          <w:color w:val="000000" w:themeColor="text1"/>
          <w14:textFill>
            <w14:solidFill>
              <w14:schemeClr w14:val="tx1"/>
            </w14:solidFill>
          </w14:textFill>
        </w:rPr>
      </w:pPr>
    </w:p>
    <w:p>
      <w:pPr>
        <w:pStyle w:val="4"/>
        <w:spacing w:line="360" w:lineRule="auto"/>
        <w:jc w:val="both"/>
        <w:rPr>
          <w:rFonts w:ascii="宋体" w:cs="Times New Roman"/>
          <w:color w:val="000000" w:themeColor="text1"/>
          <w:sz w:val="21"/>
          <w:szCs w:val="21"/>
          <w14:textFill>
            <w14:solidFill>
              <w14:schemeClr w14:val="tx1"/>
            </w14:solidFill>
          </w14:textFill>
        </w:rPr>
      </w:pPr>
      <w:bookmarkStart w:id="4" w:name="_Toc141797105"/>
      <w:bookmarkStart w:id="5" w:name="_Toc141797661"/>
      <w:bookmarkStart w:id="6" w:name="_Toc28359079"/>
      <w:bookmarkStart w:id="7" w:name="_Toc28359002"/>
      <w:bookmarkStart w:id="8" w:name="_Toc35393790"/>
      <w:bookmarkStart w:id="9" w:name="_Toc35393621"/>
      <w:bookmarkStart w:id="10" w:name="_Hlk24379207"/>
      <w:r>
        <w:rPr>
          <w:rFonts w:hint="eastAsia" w:ascii="宋体" w:hAnsi="宋体" w:cs="宋体"/>
          <w:color w:val="000000" w:themeColor="text1"/>
          <w:sz w:val="21"/>
          <w:szCs w:val="21"/>
          <w14:textFill>
            <w14:solidFill>
              <w14:schemeClr w14:val="tx1"/>
            </w14:solidFill>
          </w14:textFill>
        </w:rPr>
        <w:t>一、项目基本情况</w:t>
      </w:r>
      <w:bookmarkEnd w:id="4"/>
      <w:bookmarkEnd w:id="5"/>
      <w:bookmarkEnd w:id="6"/>
      <w:bookmarkEnd w:id="7"/>
      <w:bookmarkEnd w:id="8"/>
      <w:bookmarkEnd w:id="9"/>
    </w:p>
    <w:bookmarkEnd w:id="10"/>
    <w:p>
      <w:pPr>
        <w:spacing w:line="360" w:lineRule="auto"/>
        <w:ind w:firstLine="420" w:firstLineChars="200"/>
        <w:rPr>
          <w:rFonts w:hint="eastAsia" w:ascii="宋体" w:eastAsia="宋体"/>
          <w:color w:val="auto"/>
          <w:lang w:eastAsia="zh-CN"/>
        </w:rPr>
      </w:pPr>
      <w:r>
        <w:rPr>
          <w:rFonts w:hint="eastAsia" w:ascii="宋体" w:hAnsi="宋体" w:cs="宋体"/>
          <w:color w:val="auto"/>
        </w:rPr>
        <w:t>项目编号：</w:t>
      </w:r>
      <w:r>
        <w:rPr>
          <w:rFonts w:hint="eastAsia" w:ascii="宋体" w:hAnsi="宋体" w:cs="宋体"/>
          <w:color w:val="auto"/>
          <w:lang w:eastAsia="zh-CN"/>
        </w:rPr>
        <w:t>NBGODOZB225003-10G</w:t>
      </w:r>
    </w:p>
    <w:p>
      <w:pPr>
        <w:spacing w:line="360" w:lineRule="auto"/>
        <w:ind w:firstLine="420" w:firstLineChars="200"/>
        <w:rPr>
          <w:rFonts w:hint="eastAsia" w:ascii="宋体" w:eastAsia="宋体"/>
          <w:color w:val="auto"/>
          <w:lang w:eastAsia="zh-CN"/>
        </w:rPr>
      </w:pPr>
      <w:r>
        <w:rPr>
          <w:rFonts w:hint="eastAsia" w:ascii="宋体" w:hAnsi="宋体" w:cs="宋体"/>
          <w:color w:val="auto"/>
        </w:rPr>
        <w:t>项目名称：</w:t>
      </w:r>
      <w:r>
        <w:rPr>
          <w:rFonts w:hint="eastAsia" w:ascii="宋体" w:hAnsi="宋体" w:cs="宋体"/>
          <w:color w:val="auto"/>
          <w:lang w:eastAsia="zh-CN"/>
        </w:rPr>
        <w:t>2025年度警用摩托车采购项目</w:t>
      </w:r>
    </w:p>
    <w:p>
      <w:pPr>
        <w:spacing w:line="360" w:lineRule="auto"/>
        <w:ind w:firstLine="420" w:firstLineChars="200"/>
        <w:rPr>
          <w:rFonts w:hint="eastAsia" w:ascii="宋体" w:eastAsia="宋体"/>
          <w:color w:val="auto"/>
          <w:lang w:eastAsia="zh-CN"/>
        </w:rPr>
      </w:pPr>
      <w:r>
        <w:rPr>
          <w:rFonts w:hint="eastAsia" w:ascii="宋体" w:hAnsi="宋体" w:cs="宋体"/>
          <w:color w:val="auto"/>
        </w:rPr>
        <w:t>预算金额（元）：</w:t>
      </w:r>
      <w:r>
        <w:rPr>
          <w:rFonts w:hint="eastAsia" w:ascii="宋体" w:hAnsi="宋体" w:cs="宋体"/>
          <w:color w:val="auto"/>
          <w:lang w:eastAsia="zh-CN"/>
        </w:rPr>
        <w:t>1393000</w:t>
      </w:r>
    </w:p>
    <w:p>
      <w:pPr>
        <w:spacing w:line="360" w:lineRule="auto"/>
        <w:ind w:firstLine="420" w:firstLineChars="200"/>
        <w:rPr>
          <w:rFonts w:hint="eastAsia" w:ascii="宋体" w:eastAsia="宋体"/>
          <w:color w:val="auto"/>
          <w:lang w:eastAsia="zh-CN"/>
        </w:rPr>
      </w:pPr>
      <w:r>
        <w:rPr>
          <w:rFonts w:hint="eastAsia" w:ascii="宋体" w:hAnsi="宋体" w:cs="宋体"/>
          <w:color w:val="auto"/>
        </w:rPr>
        <w:t>最高限价（元）：</w:t>
      </w:r>
      <w:r>
        <w:rPr>
          <w:rFonts w:hint="eastAsia" w:ascii="宋体" w:hAnsi="宋体" w:cs="宋体"/>
          <w:color w:val="auto"/>
          <w:lang w:eastAsia="zh-CN"/>
        </w:rPr>
        <w:t>1393000</w:t>
      </w:r>
    </w:p>
    <w:p>
      <w:pPr>
        <w:spacing w:line="360" w:lineRule="auto"/>
        <w:ind w:firstLine="420" w:firstLineChars="200"/>
        <w:rPr>
          <w:rFonts w:ascii="宋体"/>
          <w:color w:val="auto"/>
        </w:rPr>
      </w:pPr>
      <w:r>
        <w:rPr>
          <w:rFonts w:hint="eastAsia" w:ascii="宋体" w:hAnsi="宋体" w:cs="宋体"/>
          <w:color w:val="auto"/>
        </w:rPr>
        <w:t>采购需求：</w:t>
      </w:r>
      <w:bookmarkStart w:id="173" w:name="_GoBack"/>
      <w:bookmarkEnd w:id="173"/>
    </w:p>
    <w:p>
      <w:pPr>
        <w:spacing w:line="360" w:lineRule="auto"/>
        <w:ind w:firstLine="420" w:firstLineChars="200"/>
        <w:rPr>
          <w:rFonts w:hint="eastAsia" w:ascii="宋体" w:eastAsia="宋体"/>
          <w:color w:val="auto"/>
          <w:lang w:eastAsia="zh-CN"/>
        </w:rPr>
      </w:pPr>
      <w:r>
        <w:rPr>
          <w:rFonts w:hint="eastAsia" w:ascii="宋体" w:hAnsi="宋体" w:cs="宋体"/>
          <w:color w:val="auto"/>
        </w:rPr>
        <w:t>标项名称：</w:t>
      </w:r>
      <w:r>
        <w:rPr>
          <w:rFonts w:hint="eastAsia" w:ascii="宋体" w:hAnsi="宋体" w:cs="宋体"/>
          <w:color w:val="auto"/>
          <w:lang w:eastAsia="zh-CN"/>
        </w:rPr>
        <w:t>2025年度警用摩托车采购项目</w:t>
      </w:r>
    </w:p>
    <w:p>
      <w:pPr>
        <w:spacing w:line="360" w:lineRule="auto"/>
        <w:ind w:firstLine="420" w:firstLineChars="200"/>
        <w:rPr>
          <w:rFonts w:ascii="宋体"/>
          <w:color w:val="auto"/>
        </w:rPr>
      </w:pPr>
      <w:r>
        <w:rPr>
          <w:rFonts w:hint="eastAsia" w:ascii="宋体" w:hAnsi="宋体" w:cs="宋体"/>
          <w:color w:val="auto"/>
        </w:rPr>
        <w:t>数量：</w:t>
      </w:r>
      <w:r>
        <w:rPr>
          <w:rFonts w:hint="eastAsia" w:ascii="宋体" w:hAnsi="宋体"/>
          <w:color w:val="auto"/>
        </w:rPr>
        <w:t>1批</w:t>
      </w:r>
    </w:p>
    <w:p>
      <w:pPr>
        <w:spacing w:line="360" w:lineRule="auto"/>
        <w:ind w:firstLine="420" w:firstLineChars="200"/>
        <w:rPr>
          <w:rFonts w:hint="eastAsia" w:ascii="宋体" w:eastAsia="宋体"/>
          <w:color w:val="auto"/>
          <w:lang w:eastAsia="zh-CN"/>
        </w:rPr>
      </w:pPr>
      <w:r>
        <w:rPr>
          <w:rFonts w:hint="eastAsia" w:ascii="宋体" w:hAnsi="宋体" w:cs="宋体"/>
          <w:color w:val="auto"/>
        </w:rPr>
        <w:t>预算金额（元）：</w:t>
      </w:r>
      <w:r>
        <w:rPr>
          <w:rFonts w:hint="eastAsia" w:ascii="宋体" w:hAnsi="宋体" w:cs="宋体"/>
          <w:color w:val="auto"/>
          <w:lang w:eastAsia="zh-CN"/>
        </w:rPr>
        <w:t>1393000</w:t>
      </w:r>
    </w:p>
    <w:p>
      <w:pPr>
        <w:spacing w:line="360" w:lineRule="auto"/>
        <w:ind w:firstLine="420" w:firstLineChars="200"/>
        <w:rPr>
          <w:rFonts w:ascii="Helvetica" w:hAnsi="Helvetica" w:eastAsia="Helvetica" w:cs="Helvetica"/>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简要规格描述或项目基本概况介绍、用途：</w:t>
      </w:r>
      <w:r>
        <w:rPr>
          <w:rFonts w:hint="eastAsia" w:ascii="宋体" w:hAnsi="宋体" w:cs="仿宋_GB2312"/>
          <w:color w:val="000000" w:themeColor="text1"/>
          <w14:textFill>
            <w14:solidFill>
              <w14:schemeClr w14:val="tx1"/>
            </w14:solidFill>
          </w14:textFill>
        </w:rPr>
        <w:t>详见第二部分“招标项目需求”</w:t>
      </w:r>
      <w:r>
        <w:rPr>
          <w:rFonts w:ascii="Helvetica" w:hAnsi="Helvetica" w:eastAsia="Helvetica" w:cs="Helvetica"/>
          <w:color w:val="000000" w:themeColor="text1"/>
          <w:shd w:val="clear" w:color="auto" w:fill="FFFFFF"/>
          <w14:textFill>
            <w14:solidFill>
              <w14:schemeClr w14:val="tx1"/>
            </w14:solidFill>
          </w14:textFill>
        </w:rPr>
        <w:t>。</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spacing w:line="360" w:lineRule="auto"/>
        <w:ind w:firstLine="420" w:firstLineChars="200"/>
        <w:rPr>
          <w:rFonts w:ascii="宋体"/>
          <w:color w:val="auto"/>
          <w:highlight w:val="none"/>
        </w:rPr>
      </w:pPr>
      <w:r>
        <w:rPr>
          <w:rFonts w:hint="eastAsia" w:ascii="宋体" w:hAnsi="宋体" w:cs="宋体"/>
          <w:color w:val="auto"/>
          <w:highlight w:val="none"/>
        </w:rPr>
        <w:t>合同履行期限：</w:t>
      </w:r>
      <w:r>
        <w:rPr>
          <w:rFonts w:hint="eastAsia" w:ascii="宋体" w:hAnsi="宋体" w:cs="宋体"/>
          <w:szCs w:val="21"/>
          <w:highlight w:val="none"/>
        </w:rPr>
        <w:t>自合同签订生效后开始至双方合同义务完全履行后截止</w:t>
      </w:r>
      <w:r>
        <w:rPr>
          <w:rFonts w:hint="eastAsia" w:ascii="宋体" w:hAnsi="宋体" w:cs="宋体"/>
          <w:color w:val="auto"/>
          <w:kern w:val="0"/>
          <w:highlight w:val="none"/>
        </w:rPr>
        <w:t>。</w:t>
      </w:r>
    </w:p>
    <w:p>
      <w:pPr>
        <w:spacing w:line="360" w:lineRule="auto"/>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olor w:val="auto"/>
          <w:highlight w:val="none"/>
        </w:rPr>
        <w:t>（</w:t>
      </w:r>
      <w:r>
        <w:rPr>
          <w:rFonts w:hint="eastAsia" w:ascii="宋体" w:hAnsi="宋体"/>
          <w:color w:val="auto"/>
          <w:highlight w:val="none"/>
          <w:lang w:val="en-US" w:eastAsia="zh-CN"/>
        </w:rPr>
        <w:t>否</w:t>
      </w:r>
      <w:r>
        <w:rPr>
          <w:rFonts w:hint="eastAsia" w:ascii="宋体" w:hAnsi="宋体"/>
          <w:color w:val="auto"/>
          <w:highlight w:val="none"/>
        </w:rPr>
        <w:t>）</w:t>
      </w:r>
      <w:r>
        <w:rPr>
          <w:rFonts w:hint="eastAsia" w:ascii="宋体" w:hAnsi="宋体" w:cs="宋体"/>
          <w:color w:val="auto"/>
          <w:highlight w:val="none"/>
        </w:rPr>
        <w:t>接受联合体投标。</w:t>
      </w:r>
    </w:p>
    <w:p>
      <w:pPr>
        <w:pStyle w:val="4"/>
        <w:spacing w:line="360" w:lineRule="auto"/>
        <w:jc w:val="both"/>
        <w:rPr>
          <w:rFonts w:ascii="宋体" w:cs="Times New Roman"/>
          <w:color w:val="auto"/>
          <w:sz w:val="21"/>
          <w:szCs w:val="21"/>
          <w:highlight w:val="none"/>
        </w:rPr>
      </w:pPr>
      <w:bookmarkStart w:id="11" w:name="_Toc28359080"/>
      <w:bookmarkStart w:id="12" w:name="_Toc141797106"/>
      <w:bookmarkStart w:id="13" w:name="_Toc141797662"/>
      <w:bookmarkStart w:id="14" w:name="_Toc28359003"/>
      <w:bookmarkStart w:id="15" w:name="_Toc35393622"/>
      <w:bookmarkStart w:id="16" w:name="_Toc35393791"/>
      <w:r>
        <w:rPr>
          <w:rFonts w:hint="eastAsia" w:ascii="宋体" w:hAnsi="宋体" w:cs="宋体"/>
          <w:color w:val="auto"/>
          <w:sz w:val="21"/>
          <w:szCs w:val="21"/>
          <w:highlight w:val="none"/>
        </w:rPr>
        <w:t>二、申请人的资格要求：</w:t>
      </w:r>
      <w:bookmarkEnd w:id="11"/>
      <w:bookmarkEnd w:id="12"/>
      <w:bookmarkEnd w:id="13"/>
      <w:bookmarkEnd w:id="14"/>
      <w:bookmarkEnd w:id="15"/>
      <w:bookmarkEnd w:id="16"/>
    </w:p>
    <w:p>
      <w:pPr>
        <w:spacing w:line="360" w:lineRule="auto"/>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s="宋体"/>
          <w:color w:val="auto"/>
          <w:highlight w:val="none"/>
          <w:lang w:val="en-US" w:eastAsia="zh-CN"/>
        </w:rPr>
        <w:t>无</w:t>
      </w:r>
      <w:r>
        <w:rPr>
          <w:rFonts w:hint="eastAsia" w:ascii="宋体" w:hAnsi="宋体" w:cs="宋体"/>
          <w:color w:val="auto"/>
          <w:highlight w:val="none"/>
        </w:rPr>
        <w:t>。</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3.本项目的特定资格要求：无；</w:t>
      </w:r>
    </w:p>
    <w:p>
      <w:pPr>
        <w:pStyle w:val="4"/>
        <w:spacing w:line="360" w:lineRule="auto"/>
        <w:jc w:val="both"/>
        <w:rPr>
          <w:rFonts w:ascii="宋体" w:cs="Times New Roman"/>
          <w:color w:val="000000" w:themeColor="text1"/>
          <w:sz w:val="21"/>
          <w:szCs w:val="21"/>
          <w14:textFill>
            <w14:solidFill>
              <w14:schemeClr w14:val="tx1"/>
            </w14:solidFill>
          </w14:textFill>
        </w:rPr>
      </w:pPr>
      <w:bookmarkStart w:id="17" w:name="_Toc28359081"/>
      <w:bookmarkStart w:id="18" w:name="_Toc28359004"/>
      <w:bookmarkStart w:id="19" w:name="_Toc35393623"/>
      <w:bookmarkStart w:id="20" w:name="_Toc141797107"/>
      <w:bookmarkStart w:id="21" w:name="_Toc35393792"/>
      <w:bookmarkStart w:id="22" w:name="_Toc141797663"/>
      <w:r>
        <w:rPr>
          <w:rFonts w:hint="eastAsia" w:ascii="宋体" w:hAnsi="宋体" w:cs="宋体"/>
          <w:color w:val="000000" w:themeColor="text1"/>
          <w:sz w:val="21"/>
          <w:szCs w:val="21"/>
          <w14:textFill>
            <w14:solidFill>
              <w14:schemeClr w14:val="tx1"/>
            </w14:solidFill>
          </w14:textFill>
        </w:rPr>
        <w:t>三、获取招标文件</w:t>
      </w:r>
      <w:bookmarkEnd w:id="17"/>
      <w:bookmarkEnd w:id="18"/>
      <w:bookmarkEnd w:id="19"/>
      <w:bookmarkEnd w:id="20"/>
      <w:bookmarkEnd w:id="21"/>
      <w:bookmarkEnd w:id="22"/>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05</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日至</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日，每天上午</w:t>
      </w:r>
      <w:r>
        <w:rPr>
          <w:rFonts w:hint="eastAsia" w:ascii="宋体" w:hAnsi="宋体" w:cs="宋体"/>
          <w:color w:val="000000" w:themeColor="text1"/>
          <w:u w:val="single"/>
          <w14:textFill>
            <w14:solidFill>
              <w14:schemeClr w14:val="tx1"/>
            </w14:solidFill>
          </w14:textFill>
        </w:rPr>
        <w:t>00:00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12:00</w:t>
      </w:r>
      <w:r>
        <w:rPr>
          <w:rFonts w:hint="eastAsia" w:ascii="宋体" w:hAnsi="宋体" w:cs="宋体"/>
          <w:color w:val="000000" w:themeColor="text1"/>
          <w14:textFill>
            <w14:solidFill>
              <w14:schemeClr w14:val="tx1"/>
            </w14:solidFill>
          </w14:textFill>
        </w:rPr>
        <w:t>，下午</w:t>
      </w:r>
      <w:r>
        <w:rPr>
          <w:rFonts w:hint="eastAsia" w:ascii="宋体" w:hAnsi="宋体" w:cs="宋体"/>
          <w:color w:val="000000" w:themeColor="text1"/>
          <w:u w:val="single"/>
          <w14:textFill>
            <w14:solidFill>
              <w14:schemeClr w14:val="tx1"/>
            </w14:solidFill>
          </w14:textFill>
        </w:rPr>
        <w:t>12:00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23:59</w:t>
      </w:r>
      <w:r>
        <w:rPr>
          <w:rFonts w:hint="eastAsia" w:ascii="宋体" w:hAnsi="宋体" w:cs="宋体"/>
          <w:color w:val="000000" w:themeColor="text1"/>
          <w14:textFill>
            <w14:solidFill>
              <w14:schemeClr w14:val="tx1"/>
            </w14:solidFill>
          </w14:textFill>
        </w:rPr>
        <w:t>（北京时间，线上获取法定节假日均可，线下获取文件法定节假日除外）</w:t>
      </w:r>
    </w:p>
    <w:p>
      <w:pPr>
        <w:spacing w:line="360" w:lineRule="auto"/>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地点（网址）：</w:t>
      </w:r>
      <w:r>
        <w:rPr>
          <w:rFonts w:hint="eastAsia" w:ascii="宋体" w:hAnsi="宋体"/>
          <w:color w:val="000000" w:themeColor="text1"/>
          <w14:textFill>
            <w14:solidFill>
              <w14:schemeClr w14:val="tx1"/>
            </w14:solidFill>
          </w14:textFill>
        </w:rPr>
        <w:t>政府采购云平台（http://www.zcygov.cn/）。</w:t>
      </w:r>
    </w:p>
    <w:p>
      <w:pPr>
        <w:snapToGrid w:val="0"/>
        <w:spacing w:line="40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方式：</w:t>
      </w:r>
      <w:bookmarkStart w:id="23" w:name="OLE_LINK18"/>
      <w:r>
        <w:rPr>
          <w:rFonts w:hint="eastAsia" w:ascii="宋体" w:hAnsi="宋体" w:cs="宋体"/>
          <w:color w:val="000000" w:themeColor="text1"/>
          <w14:textFill>
            <w14:solidFill>
              <w14:schemeClr w14:val="tx1"/>
            </w14:solidFill>
          </w14:textFill>
        </w:rPr>
        <w:t xml:space="preserve">（1）本项目招标文件实行“政府采购云平台”在线获取，不提供招标文件纸质版。投标人获取招标文件前应先完成“政府采购云平台”的账号注册； </w:t>
      </w:r>
    </w:p>
    <w:p>
      <w:pPr>
        <w:snapToGrid w:val="0"/>
        <w:spacing w:line="40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000000" w:themeColor="text1"/>
          <w14:textFill>
            <w14:solidFill>
              <w14:schemeClr w14:val="tx1"/>
            </w14:solidFill>
          </w14:textFill>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000000" w:themeColor="text1"/>
          <w14:textFill>
            <w14:solidFill>
              <w14:schemeClr w14:val="tx1"/>
            </w14:solidFill>
          </w14:textFill>
        </w:rPr>
        <w:t>文件</w:t>
      </w:r>
      <w:r>
        <w:rPr>
          <w:rFonts w:hint="eastAsia" w:cs="Arial" w:asciiTheme="minorEastAsia" w:hAnsiTheme="minorEastAsia" w:eastAsiaTheme="minorEastAsia"/>
          <w:color w:val="000000" w:themeColor="text1"/>
          <w14:textFill>
            <w14:solidFill>
              <w14:schemeClr w14:val="tx1"/>
            </w14:solidFill>
          </w14:textFill>
        </w:rPr>
        <w:t>的投标人提交的投标文件。</w:t>
      </w:r>
    </w:p>
    <w:p>
      <w:pPr>
        <w:snapToGrid w:val="0"/>
        <w:spacing w:line="40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注：请投标人按上述要求获取招标文件，如未在“政采云”系统内完成相关流程，引起的投标无效责任自负。  </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售价：0元。</w:t>
      </w:r>
    </w:p>
    <w:bookmarkEnd w:id="23"/>
    <w:p>
      <w:pPr>
        <w:pStyle w:val="4"/>
        <w:spacing w:line="360" w:lineRule="auto"/>
        <w:jc w:val="both"/>
        <w:rPr>
          <w:rFonts w:ascii="宋体" w:cs="Times New Roman"/>
          <w:color w:val="000000" w:themeColor="text1"/>
          <w:sz w:val="21"/>
          <w:szCs w:val="21"/>
          <w14:textFill>
            <w14:solidFill>
              <w14:schemeClr w14:val="tx1"/>
            </w14:solidFill>
          </w14:textFill>
        </w:rPr>
      </w:pPr>
      <w:bookmarkStart w:id="24" w:name="_Toc28359082"/>
      <w:bookmarkStart w:id="25" w:name="_Toc28359005"/>
      <w:bookmarkStart w:id="26" w:name="_Toc141797108"/>
      <w:bookmarkStart w:id="27" w:name="_Toc35393624"/>
      <w:bookmarkStart w:id="28" w:name="_Toc141797664"/>
      <w:bookmarkStart w:id="29" w:name="_Toc35393793"/>
      <w:r>
        <w:rPr>
          <w:rFonts w:hint="eastAsia" w:ascii="宋体" w:hAnsi="宋体" w:cs="宋体"/>
          <w:color w:val="000000" w:themeColor="text1"/>
          <w:sz w:val="21"/>
          <w:szCs w:val="21"/>
          <w14:textFill>
            <w14:solidFill>
              <w14:schemeClr w14:val="tx1"/>
            </w14:solidFill>
          </w14:textFill>
        </w:rPr>
        <w:t>四、提交投标文件</w:t>
      </w:r>
      <w:bookmarkEnd w:id="24"/>
      <w:bookmarkEnd w:id="25"/>
      <w:r>
        <w:rPr>
          <w:rFonts w:hint="eastAsia" w:ascii="宋体" w:hAnsi="宋体" w:cs="宋体"/>
          <w:color w:val="000000" w:themeColor="text1"/>
          <w:sz w:val="21"/>
          <w:szCs w:val="21"/>
          <w14:textFill>
            <w14:solidFill>
              <w14:schemeClr w14:val="tx1"/>
            </w14:solidFill>
          </w14:textFill>
        </w:rPr>
        <w:t>截止时间、开标时间和地点</w:t>
      </w:r>
      <w:bookmarkEnd w:id="26"/>
      <w:bookmarkEnd w:id="27"/>
      <w:bookmarkEnd w:id="28"/>
      <w:bookmarkEnd w:id="29"/>
    </w:p>
    <w:p>
      <w:pPr>
        <w:spacing w:line="360" w:lineRule="auto"/>
        <w:ind w:firstLine="420" w:firstLineChars="200"/>
        <w:rPr>
          <w:rFonts w:ascii="宋体" w:hAnsi="宋体"/>
          <w:bCs/>
          <w:color w:val="auto"/>
          <w:szCs w:val="21"/>
          <w:highlight w:val="none"/>
        </w:rPr>
      </w:pPr>
      <w:bookmarkStart w:id="30" w:name="_Toc28359084"/>
      <w:bookmarkStart w:id="31" w:name="_Toc35393794"/>
      <w:bookmarkStart w:id="32" w:name="_Toc141797665"/>
      <w:bookmarkStart w:id="33" w:name="_Toc35393625"/>
      <w:bookmarkStart w:id="34" w:name="_Toc28359007"/>
      <w:bookmarkStart w:id="35" w:name="_Toc141797109"/>
      <w:r>
        <w:rPr>
          <w:rFonts w:hint="eastAsia" w:ascii="宋体" w:hAnsi="宋体" w:cs="宋体"/>
          <w:color w:val="auto"/>
          <w:highlight w:val="none"/>
        </w:rPr>
        <w:t>提交投标文件截止时间：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6</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20</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投标地点（网址）：</w:t>
      </w:r>
      <w:bookmarkStart w:id="36" w:name="OLE_LINK19"/>
      <w:r>
        <w:rPr>
          <w:rFonts w:hint="eastAsia" w:ascii="宋体" w:hAnsi="宋体" w:cs="Arial"/>
          <w:color w:val="auto"/>
          <w:szCs w:val="21"/>
          <w:highlight w:val="none"/>
          <w:u w:val="single"/>
        </w:rPr>
        <w:t>政采云平台（www.zcygov.cn）（线上）</w:t>
      </w:r>
      <w:bookmarkEnd w:id="36"/>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6</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20</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pPr>
        <w:spacing w:line="360" w:lineRule="auto"/>
        <w:ind w:firstLine="420" w:firstLineChars="200"/>
        <w:rPr>
          <w:rFonts w:ascii="宋体" w:hAnsi="宋体"/>
          <w:color w:val="auto"/>
          <w:highlight w:val="none"/>
        </w:rPr>
      </w:pPr>
      <w:r>
        <w:rPr>
          <w:rFonts w:hint="eastAsia" w:ascii="宋体" w:hAnsi="宋体" w:cs="Arial"/>
          <w:color w:val="auto"/>
          <w:szCs w:val="21"/>
          <w:highlight w:val="none"/>
        </w:rPr>
        <w:t>开标地点（网址）：</w:t>
      </w:r>
      <w:bookmarkStart w:id="37" w:name="OLE_LINK71"/>
      <w:r>
        <w:rPr>
          <w:rFonts w:hint="eastAsia" w:ascii="宋体" w:hAnsi="宋体" w:cs="Arial"/>
          <w:color w:val="auto"/>
          <w:szCs w:val="21"/>
          <w:highlight w:val="none"/>
          <w:u w:val="single"/>
        </w:rPr>
        <w:t>政采云平台（www.zcygov.cn）（线上）</w:t>
      </w:r>
      <w:bookmarkEnd w:id="37"/>
    </w:p>
    <w:p>
      <w:pPr>
        <w:pStyle w:val="4"/>
        <w:spacing w:line="360" w:lineRule="auto"/>
        <w:jc w:val="both"/>
        <w:rPr>
          <w:rFonts w:ascii="宋体" w:cs="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五、公告期限</w:t>
      </w:r>
      <w:bookmarkEnd w:id="30"/>
      <w:bookmarkEnd w:id="31"/>
      <w:bookmarkEnd w:id="32"/>
      <w:bookmarkEnd w:id="33"/>
      <w:bookmarkEnd w:id="34"/>
      <w:bookmarkEnd w:id="35"/>
    </w:p>
    <w:p>
      <w:pPr>
        <w:spacing w:line="360" w:lineRule="auto"/>
        <w:ind w:firstLine="420" w:firstLineChars="200"/>
        <w:rPr>
          <w:rFonts w:ascii="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自本公告发布之日起</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个工作日。</w:t>
      </w:r>
    </w:p>
    <w:p>
      <w:pPr>
        <w:pStyle w:val="4"/>
        <w:spacing w:line="360" w:lineRule="auto"/>
        <w:jc w:val="both"/>
        <w:rPr>
          <w:rFonts w:ascii="宋体" w:cs="Times New Roman"/>
          <w:color w:val="000000" w:themeColor="text1"/>
          <w:sz w:val="21"/>
          <w:szCs w:val="21"/>
          <w14:textFill>
            <w14:solidFill>
              <w14:schemeClr w14:val="tx1"/>
            </w14:solidFill>
          </w14:textFill>
        </w:rPr>
      </w:pPr>
      <w:bookmarkStart w:id="38" w:name="_Toc35393795"/>
      <w:bookmarkStart w:id="39" w:name="_Toc141797110"/>
      <w:bookmarkStart w:id="40" w:name="_Toc35393626"/>
      <w:bookmarkStart w:id="41" w:name="_Toc141797666"/>
      <w:r>
        <w:rPr>
          <w:rFonts w:hint="eastAsia" w:ascii="宋体" w:hAnsi="宋体" w:cs="宋体"/>
          <w:color w:val="000000" w:themeColor="text1"/>
          <w:sz w:val="21"/>
          <w:szCs w:val="21"/>
          <w14:textFill>
            <w14:solidFill>
              <w14:schemeClr w14:val="tx1"/>
            </w14:solidFill>
          </w14:textFill>
        </w:rPr>
        <w:t>六、其他补充事宜</w:t>
      </w:r>
      <w:bookmarkEnd w:id="38"/>
      <w:bookmarkEnd w:id="39"/>
      <w:bookmarkEnd w:id="40"/>
      <w:bookmarkEnd w:id="41"/>
    </w:p>
    <w:p>
      <w:pPr>
        <w:spacing w:line="360" w:lineRule="auto"/>
        <w:ind w:firstLine="420" w:firstLineChars="200"/>
        <w:rPr>
          <w:rFonts w:ascii="宋体" w:hAnsi="宋体" w:cs="宋体"/>
          <w:color w:val="auto"/>
          <w:highlight w:val="none"/>
        </w:rPr>
      </w:pPr>
      <w:bookmarkStart w:id="42" w:name="_Toc28359085"/>
      <w:bookmarkStart w:id="43" w:name="_Toc35393796"/>
      <w:bookmarkStart w:id="44" w:name="_Toc35393627"/>
      <w:bookmarkStart w:id="45" w:name="_Toc28359008"/>
      <w:bookmarkStart w:id="46" w:name="_Toc141797667"/>
      <w:bookmarkStart w:id="47" w:name="_Toc141797111"/>
      <w:r>
        <w:rPr>
          <w:rFonts w:hint="eastAsia" w:ascii="宋体" w:hAnsi="宋体" w:cs="宋体"/>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highlight w:val="none"/>
          <w:lang w:eastAsia="zh-CN"/>
        </w:rPr>
        <w:t>：</w:t>
      </w:r>
      <w:r>
        <w:rPr>
          <w:rFonts w:hint="eastAsia" w:ascii="宋体" w:hAnsi="宋体" w:cs="宋体"/>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4.其他事项：</w:t>
      </w:r>
    </w:p>
    <w:p>
      <w:pPr>
        <w:spacing w:line="360" w:lineRule="auto"/>
        <w:ind w:firstLine="420" w:firstLineChars="200"/>
        <w:jc w:val="left"/>
        <w:rPr>
          <w:rFonts w:ascii="宋体" w:hAnsi="宋体" w:cs="宋体"/>
          <w:color w:val="auto"/>
          <w:szCs w:val="21"/>
          <w:highlight w:val="none"/>
        </w:rPr>
      </w:pPr>
      <w:bookmarkStart w:id="48" w:name="OLE_LINK4"/>
      <w:r>
        <w:rPr>
          <w:rFonts w:hint="eastAsia" w:ascii="宋体" w:hAnsi="宋体" w:cs="宋体"/>
          <w:color w:val="auto"/>
          <w:szCs w:val="21"/>
          <w:highlight w:val="none"/>
        </w:rPr>
        <w:t>4.1落实政策：</w:t>
      </w:r>
      <w:r>
        <w:rPr>
          <w:rFonts w:hint="eastAsia" w:hAnsi="宋体" w:cs="宋体"/>
          <w:color w:val="auto"/>
          <w:highlight w:val="none"/>
        </w:rPr>
        <w:t>政府采购促进中小企业发展；政府采购支持监狱企业发展；政府采购促进残疾人就业。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center.zcygov.cn/document/#/document/dashboard?siteCode=beijing）。</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4.4本次政府采购活动有关信息在“浙江政府采购网（http://zfcg.czt.zj.gov.cn/）”、“宁波市政府采购网（</w:t>
      </w:r>
      <w:r>
        <w:rPr>
          <w:rFonts w:hint="eastAsia" w:ascii="宋体" w:hAnsi="宋体" w:cs="宋体"/>
          <w:color w:val="auto"/>
          <w:szCs w:val="21"/>
          <w:highlight w:val="none"/>
          <w:lang w:eastAsia="zh-CN"/>
        </w:rPr>
        <w:t>https://zfcg.czj.ningbo.gov.cn/</w:t>
      </w:r>
      <w:r>
        <w:rPr>
          <w:rFonts w:hint="eastAsia" w:ascii="宋体" w:hAnsi="宋体" w:cs="宋体"/>
          <w:color w:val="auto"/>
          <w:szCs w:val="21"/>
          <w:highlight w:val="none"/>
        </w:rPr>
        <w:t>）”网站上公布，公布信息视同送达所有潜在投标人。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4.5特别提醒事项（投标人提交电子备份投标文件方式）：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4.5.1采用邮寄方式提交电子备份投标文件，需按以下要求递交：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投标人须在开标日期前一天</w:t>
      </w:r>
      <w:r>
        <w:rPr>
          <w:rFonts w:ascii="宋体" w:hAnsi="宋体" w:cs="宋体"/>
          <w:color w:val="auto"/>
          <w:szCs w:val="21"/>
          <w:highlight w:val="none"/>
        </w:rPr>
        <w:t>17</w:t>
      </w:r>
      <w:r>
        <w:rPr>
          <w:rFonts w:hint="eastAsia" w:ascii="宋体" w:hAnsi="宋体" w:cs="宋体"/>
          <w:color w:val="auto"/>
          <w:szCs w:val="21"/>
          <w:highlight w:val="none"/>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4.5.2采用现场递交方式递交电子备份投标文件：递交人员需在投标截止时间前递交至规定地点。若投标人因未按上述要求办理而导致无法准时进入开标现场的，由投标人自行负责。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电子备份投标文件邮寄/现场递交地址为：宁波市鄞州区世纪大道北段555号名汇东方19楼1921室</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收件人：</w:t>
      </w:r>
      <w:r>
        <w:rPr>
          <w:rFonts w:hint="eastAsia" w:ascii="宋体" w:hAnsi="宋体" w:cs="宋体"/>
          <w:color w:val="auto"/>
          <w:szCs w:val="21"/>
          <w:highlight w:val="none"/>
          <w:lang w:val="en-US" w:eastAsia="zh-CN"/>
        </w:rPr>
        <w:t>史梦铅</w:t>
      </w:r>
      <w:r>
        <w:rPr>
          <w:rFonts w:hint="eastAsia" w:ascii="宋体" w:hAnsi="宋体" w:cs="宋体"/>
          <w:color w:val="auto"/>
          <w:szCs w:val="21"/>
          <w:highlight w:val="none"/>
        </w:rPr>
        <w:t xml:space="preserve">  联系方式：0574-87298907</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4.6中标通知书领取方式：根据投标人要求采用邮寄或采购代理机构现场领取。</w:t>
      </w:r>
    </w:p>
    <w:bookmarkEnd w:id="48"/>
    <w:p>
      <w:pPr>
        <w:pStyle w:val="4"/>
        <w:spacing w:line="360" w:lineRule="auto"/>
        <w:jc w:val="both"/>
        <w:rPr>
          <w:rFonts w:ascii="宋体" w:cs="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七、</w:t>
      </w:r>
      <w:bookmarkEnd w:id="42"/>
      <w:bookmarkEnd w:id="43"/>
      <w:bookmarkEnd w:id="44"/>
      <w:bookmarkEnd w:id="45"/>
      <w:r>
        <w:rPr>
          <w:rFonts w:hint="eastAsia" w:ascii="宋体" w:hAnsi="宋体" w:cs="宋体"/>
          <w:color w:val="000000" w:themeColor="text1"/>
          <w:sz w:val="21"/>
          <w:szCs w:val="21"/>
          <w14:textFill>
            <w14:solidFill>
              <w14:schemeClr w14:val="tx1"/>
            </w14:solidFill>
          </w14:textFill>
        </w:rPr>
        <w:t>对本次招标提出询问、质疑、投诉，请按以下方式联系。</w:t>
      </w:r>
      <w:bookmarkEnd w:id="46"/>
      <w:bookmarkEnd w:id="47"/>
    </w:p>
    <w:p>
      <w:pPr>
        <w:widowControl/>
        <w:spacing w:line="360" w:lineRule="auto"/>
        <w:ind w:firstLine="420" w:firstLineChars="20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采购人信息</w:t>
      </w:r>
    </w:p>
    <w:p>
      <w:pPr>
        <w:widowControl/>
        <w:spacing w:line="360" w:lineRule="auto"/>
        <w:ind w:firstLine="420" w:firstLineChars="200"/>
        <w:jc w:val="left"/>
        <w:rPr>
          <w:rFonts w:hint="eastAsia" w:ascii="宋体" w:hAnsi="宋体" w:eastAsia="宋体" w:cs="宋体"/>
          <w:color w:val="000000" w:themeColor="text1"/>
          <w:u w:val="non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名    称：</w:t>
      </w:r>
      <w:r>
        <w:rPr>
          <w:rFonts w:hint="eastAsia" w:ascii="宋体" w:hAnsi="宋体" w:cs="宋体"/>
          <w:color w:val="000000" w:themeColor="text1"/>
          <w:u w:val="none"/>
          <w:lang w:eastAsia="zh-CN"/>
          <w14:textFill>
            <w14:solidFill>
              <w14:schemeClr w14:val="tx1"/>
            </w14:solidFill>
          </w14:textFill>
        </w:rPr>
        <w:t>宁波市公安局交通管理支队</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kern w:val="0"/>
          <w:szCs w:val="21"/>
          <w:highlight w:val="none"/>
          <w:lang w:eastAsia="zh-CN"/>
        </w:rPr>
        <w:t>王隘路28号</w:t>
      </w:r>
    </w:p>
    <w:p>
      <w:pPr>
        <w:widowControl/>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任老师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项目联系方式（询问）：</w:t>
      </w:r>
      <w:bookmarkStart w:id="49" w:name="OLE_LINK58"/>
      <w:r>
        <w:rPr>
          <w:rFonts w:hint="eastAsia" w:ascii="宋体" w:hAnsi="宋体" w:cs="宋体"/>
          <w:color w:val="auto"/>
          <w:kern w:val="0"/>
          <w:szCs w:val="21"/>
          <w:highlight w:val="none"/>
        </w:rPr>
        <w:t>0574-</w:t>
      </w:r>
      <w:bookmarkStart w:id="50" w:name="OLE_LINK37"/>
      <w:r>
        <w:rPr>
          <w:rFonts w:hint="eastAsia" w:ascii="宋体" w:hAnsi="宋体" w:cs="宋体"/>
          <w:color w:val="auto"/>
          <w:kern w:val="0"/>
          <w:szCs w:val="21"/>
          <w:highlight w:val="none"/>
        </w:rPr>
        <w:t>81981206</w:t>
      </w:r>
      <w:bookmarkEnd w:id="49"/>
      <w:bookmarkEnd w:id="50"/>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质疑联系人：任</w:t>
      </w:r>
      <w:r>
        <w:rPr>
          <w:rFonts w:hint="eastAsia" w:ascii="宋体" w:hAnsi="宋体" w:cs="宋体"/>
          <w:color w:val="auto"/>
          <w:highlight w:val="none"/>
          <w:lang w:val="en-US" w:eastAsia="zh-CN"/>
        </w:rPr>
        <w:t>警官</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质疑联系方式：0574-81981116</w:t>
      </w:r>
    </w:p>
    <w:p>
      <w:pPr>
        <w:widowControl/>
        <w:spacing w:line="360" w:lineRule="auto"/>
        <w:ind w:firstLine="420" w:firstLineChars="200"/>
        <w:jc w:val="left"/>
        <w:rPr>
          <w:rFonts w:ascii="宋体" w:hAnsi="宋体" w:cs="宋体"/>
          <w:color w:val="auto"/>
          <w:highlight w:val="none"/>
        </w:rPr>
      </w:pP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  宁波国际投资咨询有限公司</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地    址：  </w:t>
      </w:r>
      <w:bookmarkStart w:id="51" w:name="OLE_LINK72"/>
      <w:r>
        <w:rPr>
          <w:rFonts w:hint="eastAsia" w:ascii="宋体" w:hAnsi="宋体" w:cs="Arial"/>
          <w:color w:val="auto"/>
          <w:szCs w:val="21"/>
          <w:highlight w:val="none"/>
        </w:rPr>
        <w:t>宁波市世纪大道北段555号名汇东方大厦19楼1920室</w:t>
      </w:r>
      <w:bookmarkEnd w:id="51"/>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项目联系人（询问）：</w:t>
      </w:r>
      <w:bookmarkStart w:id="52" w:name="OLE_LINK5"/>
      <w:r>
        <w:rPr>
          <w:rFonts w:hint="eastAsia" w:ascii="宋体" w:hAnsi="宋体"/>
          <w:color w:val="000000" w:themeColor="text1"/>
          <w:lang w:val="en-US" w:eastAsia="zh-CN"/>
          <w14:textFill>
            <w14:solidFill>
              <w14:schemeClr w14:val="tx1"/>
            </w14:solidFill>
          </w14:textFill>
        </w:rPr>
        <w:t>史梦铅 邱晔 马森 袁航 沈鑫侃</w:t>
      </w:r>
      <w:bookmarkEnd w:id="52"/>
      <w:r>
        <w:rPr>
          <w:rFonts w:hint="eastAsia" w:ascii="宋体" w:hAnsi="宋体"/>
          <w:color w:val="000000" w:themeColor="text1"/>
          <w:lang w:val="en-US" w:eastAsia="zh-CN"/>
          <w14:textFill>
            <w14:solidFill>
              <w14:schemeClr w14:val="tx1"/>
            </w14:solidFill>
          </w14:textFill>
        </w:rPr>
        <w:t xml:space="preserve"> </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项目联系方式（询问）：</w:t>
      </w:r>
      <w:r>
        <w:rPr>
          <w:rFonts w:ascii="宋体" w:hAnsi="宋体" w:cs="宋体"/>
          <w:color w:val="auto"/>
          <w:highlight w:val="none"/>
        </w:rPr>
        <w:t>0574-</w:t>
      </w:r>
      <w:r>
        <w:rPr>
          <w:rFonts w:hint="eastAsia" w:ascii="宋体" w:hAnsi="宋体" w:cs="宋体"/>
          <w:color w:val="auto"/>
          <w:highlight w:val="none"/>
        </w:rPr>
        <w:t>87298907</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质疑联系人：忻秉明</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质疑联系方式：0574-55717419</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电子邮箱：563313963@qq.com</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监管部门：宁波市财政局政府采购监管处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地址：</w:t>
      </w:r>
      <w:bookmarkStart w:id="53" w:name="OLE_LINK6"/>
      <w:r>
        <w:rPr>
          <w:rFonts w:hint="eastAsia" w:ascii="宋体" w:hAnsi="宋体" w:cs="宋体"/>
          <w:color w:val="auto"/>
          <w:highlight w:val="none"/>
        </w:rPr>
        <w:t>宁波市海曙区中山西路19号</w:t>
      </w:r>
      <w:bookmarkEnd w:id="53"/>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联系人：李老师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联系电话：0574-89388042</w:t>
      </w:r>
    </w:p>
    <w:p>
      <w:pPr>
        <w:widowControl/>
        <w:spacing w:line="360" w:lineRule="auto"/>
        <w:ind w:firstLine="420" w:firstLineChars="200"/>
        <w:jc w:val="left"/>
        <w:rPr>
          <w:rFonts w:ascii="宋体" w:hAnsi="宋体" w:cs="宋体"/>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ascii="宋体" w:hAnsi="宋体"/>
          <w:color w:val="auto"/>
          <w:szCs w:val="21"/>
          <w:highlight w:val="none"/>
        </w:rPr>
        <w:sectPr>
          <w:headerReference r:id="rId6" w:type="default"/>
          <w:footerReference r:id="rId7" w:type="default"/>
          <w:type w:val="continuous"/>
          <w:pgSz w:w="11907" w:h="16840"/>
          <w:pgMar w:top="1276" w:right="1701" w:bottom="1276" w:left="1701" w:header="720" w:footer="720" w:gutter="0"/>
          <w:pgNumType w:fmt="decimal" w:start="0"/>
          <w:cols w:space="720" w:num="1"/>
          <w:docGrid w:type="linesAndChars" w:linePitch="285" w:charSpace="0"/>
        </w:sectPr>
      </w:pPr>
      <w:r>
        <w:rPr>
          <w:rFonts w:hint="eastAsia" w:ascii="宋体" w:hAnsi="宋体"/>
          <w:color w:val="auto"/>
          <w:szCs w:val="21"/>
          <w:highlight w:val="none"/>
        </w:rPr>
        <w:t>CA问题联系电话（人工）：汇信CA 400-888-4636；天谷CA 400-087-8198。</w:t>
      </w:r>
    </w:p>
    <w:p>
      <w:pPr>
        <w:pStyle w:val="4"/>
        <w:rPr>
          <w:rFonts w:cs="Times New Roman"/>
          <w:color w:val="000000" w:themeColor="text1"/>
          <w14:textFill>
            <w14:solidFill>
              <w14:schemeClr w14:val="tx1"/>
            </w14:solidFill>
          </w14:textFill>
        </w:rPr>
      </w:pPr>
    </w:p>
    <w:p>
      <w:pPr>
        <w:pStyle w:val="3"/>
        <w:spacing w:beforeLines="0" w:afterLines="0" w:line="360" w:lineRule="auto"/>
        <w:rPr>
          <w:rFonts w:ascii="宋体" w:hAnsi="宋体" w:cs="宋体"/>
          <w:color w:val="000000" w:themeColor="text1"/>
          <w:sz w:val="32"/>
          <w:szCs w:val="32"/>
          <w14:textFill>
            <w14:solidFill>
              <w14:schemeClr w14:val="tx1"/>
            </w14:solidFill>
          </w14:textFill>
        </w:rPr>
      </w:pPr>
      <w:bookmarkStart w:id="54" w:name="_Toc298230958"/>
      <w:bookmarkStart w:id="55" w:name="_Toc141797668"/>
      <w:r>
        <w:rPr>
          <w:rFonts w:hint="eastAsia" w:ascii="宋体" w:hAnsi="宋体" w:cs="宋体"/>
          <w:color w:val="000000" w:themeColor="text1"/>
          <w:sz w:val="32"/>
          <w:szCs w:val="32"/>
          <w14:textFill>
            <w14:solidFill>
              <w14:schemeClr w14:val="tx1"/>
            </w14:solidFill>
          </w14:textFill>
        </w:rPr>
        <w:t xml:space="preserve">第二部分 </w:t>
      </w:r>
      <w:bookmarkEnd w:id="54"/>
      <w:r>
        <w:rPr>
          <w:rFonts w:hint="eastAsia" w:ascii="宋体" w:hAnsi="宋体" w:cs="宋体"/>
          <w:color w:val="000000" w:themeColor="text1"/>
          <w:sz w:val="32"/>
          <w:szCs w:val="32"/>
          <w14:textFill>
            <w14:solidFill>
              <w14:schemeClr w14:val="tx1"/>
            </w14:solidFill>
          </w14:textFill>
        </w:rPr>
        <w:t>招标项目需求</w:t>
      </w:r>
      <w:bookmarkEnd w:id="55"/>
    </w:p>
    <w:p>
      <w:pPr>
        <w:jc w:val="center"/>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项目需求前附表</w:t>
      </w:r>
    </w:p>
    <w:tbl>
      <w:tblPr>
        <w:tblStyle w:val="3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9"/>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1" w:type="dxa"/>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2359" w:type="dxa"/>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项目</w:t>
            </w:r>
          </w:p>
        </w:tc>
        <w:tc>
          <w:tcPr>
            <w:tcW w:w="5597" w:type="dxa"/>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单位及数量</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2359" w:type="dxa"/>
            <w:vAlign w:val="center"/>
          </w:tcPr>
          <w:p>
            <w:pPr>
              <w:spacing w:line="360" w:lineRule="auto"/>
              <w:jc w:val="left"/>
              <w:textAlignment w:val="baseline"/>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交付或者实施的时间和地点</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2359" w:type="dxa"/>
            <w:vAlign w:val="center"/>
          </w:tcPr>
          <w:p>
            <w:pPr>
              <w:spacing w:line="360" w:lineRule="auto"/>
              <w:jc w:val="left"/>
              <w:textAlignment w:val="baseline"/>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需实现的功能或者目标</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技术规格要求</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物理特性要求</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质量、安全要求</w:t>
            </w:r>
          </w:p>
        </w:tc>
        <w:tc>
          <w:tcPr>
            <w:tcW w:w="5597" w:type="dxa"/>
            <w:vAlign w:val="center"/>
          </w:tcPr>
          <w:p>
            <w:pPr>
              <w:spacing w:line="360" w:lineRule="auto"/>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中标人确保提供的货物完全是崭新产品。所提供货物质量必须满足本次采购的要求，若所供货物经产品质量检测机构检测认定质量不合格，造成的损失和后果由该供应商负全责。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服务标准、期限、效率</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培训等）</w:t>
            </w:r>
          </w:p>
        </w:tc>
        <w:tc>
          <w:tcPr>
            <w:tcW w:w="5597"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验收标准</w:t>
            </w:r>
          </w:p>
        </w:tc>
        <w:tc>
          <w:tcPr>
            <w:tcW w:w="5597" w:type="dxa"/>
            <w:vAlign w:val="center"/>
          </w:tcPr>
          <w:p>
            <w:pPr>
              <w:spacing w:line="360" w:lineRule="auto"/>
              <w:rPr>
                <w:rFonts w:ascii="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产品安装调试后，所有资料提供齐全后，采购人将对货物组织专业人员进行最终验收，验收以国家行业标准为基础，结合本次招标文件和正式合同为依据进行，双方签署最终验收合格书。如不符要求，一律返工，直到符合要求为止，否则采购人有权解除合同，拒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0</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现场踏勘</w:t>
            </w:r>
          </w:p>
        </w:tc>
        <w:tc>
          <w:tcPr>
            <w:tcW w:w="5597" w:type="dxa"/>
            <w:vAlign w:val="center"/>
          </w:tcPr>
          <w:p>
            <w:pPr>
              <w:spacing w:line="360" w:lineRule="auto"/>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w:t>
            </w:r>
          </w:p>
        </w:tc>
        <w:tc>
          <w:tcPr>
            <w:tcW w:w="2359" w:type="dxa"/>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演示时间及地点</w:t>
            </w:r>
          </w:p>
        </w:tc>
        <w:tc>
          <w:tcPr>
            <w:tcW w:w="5597" w:type="dxa"/>
            <w:vAlign w:val="center"/>
          </w:tcPr>
          <w:p>
            <w:pPr>
              <w:spacing w:line="360" w:lineRule="auto"/>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r>
              <w:rPr>
                <w:rFonts w:hint="eastAsia" w:ascii="宋体" w:hAnsi="宋体" w:cs="宋体"/>
                <w:color w:val="auto"/>
              </w:rPr>
              <w:t>2</w:t>
            </w:r>
          </w:p>
        </w:tc>
        <w:tc>
          <w:tcPr>
            <w:tcW w:w="2359" w:type="dxa"/>
            <w:vAlign w:val="center"/>
          </w:tcPr>
          <w:p>
            <w:pPr>
              <w:spacing w:line="360" w:lineRule="auto"/>
              <w:jc w:val="left"/>
              <w:rPr>
                <w:rFonts w:ascii="宋体"/>
                <w:color w:val="auto"/>
              </w:rPr>
            </w:pPr>
            <w:r>
              <w:rPr>
                <w:rFonts w:hint="eastAsia" w:ascii="宋体" w:hAnsi="宋体" w:cs="宋体"/>
                <w:color w:val="auto"/>
              </w:rPr>
              <w:t>样品要求</w:t>
            </w:r>
          </w:p>
        </w:tc>
        <w:tc>
          <w:tcPr>
            <w:tcW w:w="5597" w:type="dxa"/>
            <w:vAlign w:val="center"/>
          </w:tcPr>
          <w:p>
            <w:pPr>
              <w:spacing w:line="360" w:lineRule="auto"/>
              <w:rPr>
                <w:rFonts w:hint="eastAsia" w:ascii="宋体" w:eastAsia="宋体"/>
                <w:b/>
                <w:bCs/>
                <w:color w:val="auto"/>
                <w:lang w:eastAsia="zh-CN"/>
              </w:rPr>
            </w:pPr>
            <w:r>
              <w:rPr>
                <w:rFonts w:hint="eastAsia" w:ascii="宋体" w:hAnsi="宋体" w:cs="宋体"/>
                <w:b/>
                <w:bCs/>
                <w:color w:val="auto"/>
                <w:lang w:val="en-US" w:eastAsia="zh-CN"/>
              </w:rPr>
              <w:t>无</w:t>
            </w:r>
          </w:p>
        </w:tc>
      </w:tr>
    </w:tbl>
    <w:p>
      <w:pPr>
        <w:rPr>
          <w:color w:val="000000" w:themeColor="text1"/>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36"/>
        <w:ind w:firstLine="211"/>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一、商务要求表：</w:t>
      </w:r>
    </w:p>
    <w:tbl>
      <w:tblPr>
        <w:tblStyle w:val="38"/>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8"/>
        <w:gridCol w:w="6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项目</w:t>
            </w:r>
          </w:p>
        </w:tc>
        <w:tc>
          <w:tcPr>
            <w:tcW w:w="6821" w:type="dxa"/>
            <w:tcBorders>
              <w:top w:val="single" w:color="auto" w:sz="4" w:space="0"/>
              <w:left w:val="single" w:color="auto" w:sz="4" w:space="0"/>
              <w:bottom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、交</w:t>
            </w:r>
            <w:r>
              <w:rPr>
                <w:rFonts w:hint="eastAsia" w:ascii="宋体" w:hAnsi="宋体" w:cs="宋体"/>
                <w:color w:val="000000" w:themeColor="text1"/>
                <w:highlight w:val="none"/>
                <w:lang w:val="en-US" w:eastAsia="zh-CN"/>
                <w14:textFill>
                  <w14:solidFill>
                    <w14:schemeClr w14:val="tx1"/>
                  </w14:solidFill>
                </w14:textFill>
              </w:rPr>
              <w:t>货</w:t>
            </w:r>
            <w:r>
              <w:rPr>
                <w:rFonts w:hint="eastAsia" w:ascii="宋体" w:hAnsi="宋体" w:cs="宋体"/>
                <w:color w:val="000000" w:themeColor="text1"/>
                <w:highlight w:val="none"/>
                <w14:textFill>
                  <w14:solidFill>
                    <w14:schemeClr w14:val="tx1"/>
                  </w14:solidFill>
                </w14:textFill>
              </w:rPr>
              <w:t>期</w:t>
            </w:r>
          </w:p>
        </w:tc>
        <w:tc>
          <w:tcPr>
            <w:tcW w:w="6821" w:type="dxa"/>
            <w:tcBorders>
              <w:top w:val="single" w:color="auto" w:sz="4" w:space="0"/>
              <w:left w:val="single" w:color="auto" w:sz="4" w:space="0"/>
              <w:bottom w:val="single" w:color="auto" w:sz="4" w:space="0"/>
            </w:tcBorders>
            <w:vAlign w:val="center"/>
          </w:tcPr>
          <w:p>
            <w:pPr>
              <w:spacing w:line="264" w:lineRule="auto"/>
              <w:rPr>
                <w:rFonts w:ascii="宋体" w:hAnsi="宋体" w:cs="宋体"/>
                <w:color w:val="000000" w:themeColor="text1"/>
                <w:highlight w:val="none"/>
                <w14:textFill>
                  <w14:solidFill>
                    <w14:schemeClr w14:val="tx1"/>
                  </w14:solidFill>
                </w14:textFill>
              </w:rPr>
            </w:pPr>
            <w:r>
              <w:rPr>
                <w:rFonts w:hint="eastAsia" w:ascii="宋体" w:hAnsi="宋体" w:cs="宋体"/>
                <w:szCs w:val="21"/>
                <w:highlight w:val="none"/>
              </w:rPr>
              <w:t>接到交货通知后20个日历天内完成送货、安装，并通过验收。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、交货地点</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、付款条件</w:t>
            </w:r>
          </w:p>
        </w:tc>
        <w:tc>
          <w:tcPr>
            <w:tcW w:w="6821" w:type="dxa"/>
            <w:tcBorders>
              <w:top w:val="single" w:color="auto" w:sz="4" w:space="0"/>
              <w:left w:val="single" w:color="auto" w:sz="4" w:space="0"/>
              <w:bottom w:val="single" w:color="auto" w:sz="4" w:space="0"/>
            </w:tcBorders>
            <w:vAlign w:val="center"/>
          </w:tcPr>
          <w:p>
            <w:pPr>
              <w:numPr>
                <w:ilvl w:val="0"/>
                <w:numId w:val="2"/>
              </w:numPr>
              <w:spacing w:line="360" w:lineRule="auto"/>
              <w:rPr>
                <w:rFonts w:hint="eastAsia" w:ascii="宋体" w:hAnsi="Times New Roman" w:cs="Times New Roman"/>
                <w:bCs w:val="0"/>
                <w:color w:val="auto"/>
              </w:rPr>
            </w:pPr>
            <w:r>
              <w:rPr>
                <w:rFonts w:hint="eastAsia" w:ascii="宋体" w:hAnsi="Times New Roman" w:cs="Times New Roman"/>
                <w:bCs w:val="0"/>
                <w:color w:val="auto"/>
              </w:rPr>
              <w:t>合同签定后7个工作日内支付合同价款的</w:t>
            </w:r>
            <w:r>
              <w:rPr>
                <w:rFonts w:hint="eastAsia" w:ascii="宋体" w:cs="Times New Roman"/>
                <w:bCs w:val="0"/>
                <w:color w:val="auto"/>
                <w:lang w:val="en-US" w:eastAsia="zh-CN"/>
              </w:rPr>
              <w:t>6</w:t>
            </w:r>
            <w:r>
              <w:rPr>
                <w:rFonts w:hint="eastAsia" w:ascii="宋体" w:hAnsi="Times New Roman" w:cs="Times New Roman"/>
                <w:bCs w:val="0"/>
                <w:color w:val="auto"/>
              </w:rPr>
              <w:t>0%；货物全部交付且验收合格后7个工作日内支付剩余合同价款。</w:t>
            </w:r>
          </w:p>
          <w:p>
            <w:pPr>
              <w:numPr>
                <w:ilvl w:val="0"/>
                <w:numId w:val="0"/>
              </w:numPr>
              <w:spacing w:line="360" w:lineRule="auto"/>
              <w:rPr>
                <w:rFonts w:hint="eastAsia" w:ascii="宋体"/>
                <w:color w:val="auto"/>
              </w:rPr>
            </w:pPr>
            <w:r>
              <w:rPr>
                <w:rFonts w:hint="eastAsia" w:ascii="宋体" w:cs="Times New Roman"/>
                <w:bCs w:val="0"/>
                <w:color w:val="auto"/>
                <w:lang w:val="en-US" w:eastAsia="zh-CN"/>
              </w:rPr>
              <w:t>注：</w:t>
            </w:r>
            <w:r>
              <w:rPr>
                <w:rFonts w:hint="eastAsia" w:ascii="宋体" w:hAnsi="Times New Roman" w:cs="Times New Roman"/>
                <w:bCs w:val="0"/>
                <w:color w:val="auto"/>
              </w:rPr>
              <w:t>中标人需按数量开具机动车销售统一发票，用于车辆上牌。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hint="default" w:ascii="宋体" w:eastAsia="宋体"/>
                <w:color w:val="auto"/>
                <w:lang w:val="en-US" w:eastAsia="zh-CN"/>
              </w:rPr>
            </w:pPr>
            <w:r>
              <w:rPr>
                <w:rFonts w:ascii="宋体" w:hAnsi="宋体" w:cs="宋体"/>
                <w:color w:val="auto"/>
              </w:rPr>
              <w:t>4</w:t>
            </w:r>
            <w:r>
              <w:rPr>
                <w:rFonts w:hint="eastAsia" w:ascii="宋体" w:hAnsi="宋体" w:cs="宋体"/>
                <w:color w:val="auto"/>
              </w:rPr>
              <w:t>、履约保证金</w:t>
            </w:r>
          </w:p>
        </w:tc>
        <w:tc>
          <w:tcPr>
            <w:tcW w:w="6821" w:type="dxa"/>
            <w:tcBorders>
              <w:top w:val="single" w:color="auto" w:sz="4" w:space="0"/>
              <w:left w:val="single" w:color="auto" w:sz="4" w:space="0"/>
              <w:bottom w:val="single" w:color="auto" w:sz="4" w:space="0"/>
            </w:tcBorders>
            <w:vAlign w:val="center"/>
          </w:tcPr>
          <w:p>
            <w:pPr>
              <w:spacing w:line="360" w:lineRule="auto"/>
              <w:rPr>
                <w:rFonts w:hint="eastAsia" w:ascii="宋体" w:eastAsia="宋体"/>
                <w:color w:val="auto"/>
                <w:lang w:eastAsia="zh-CN"/>
              </w:rPr>
            </w:pPr>
            <w:r>
              <w:rPr>
                <w:rFonts w:hint="eastAsia" w:ascii="宋体" w:eastAsia="宋体"/>
                <w:color w:val="auto"/>
                <w:lang w:eastAsia="zh-CN"/>
              </w:rPr>
              <w:t>（1）履约保证金金额：合同总价的1%；</w:t>
            </w:r>
          </w:p>
          <w:p>
            <w:pPr>
              <w:spacing w:line="360" w:lineRule="auto"/>
              <w:rPr>
                <w:rFonts w:hint="eastAsia" w:ascii="宋体" w:eastAsia="宋体"/>
                <w:color w:val="auto"/>
                <w:lang w:eastAsia="zh-CN"/>
              </w:rPr>
            </w:pPr>
            <w:r>
              <w:rPr>
                <w:rFonts w:hint="eastAsia" w:ascii="宋体" w:eastAsia="宋体"/>
                <w:color w:val="auto"/>
                <w:lang w:eastAsia="zh-CN"/>
              </w:rPr>
              <w:t>（2）履约保证金形式：转账或银行、保险公司出具的保函形式。</w:t>
            </w:r>
          </w:p>
          <w:p>
            <w:pPr>
              <w:spacing w:line="360" w:lineRule="auto"/>
              <w:rPr>
                <w:rFonts w:hint="eastAsia" w:ascii="宋体" w:eastAsia="宋体"/>
                <w:color w:val="auto"/>
                <w:lang w:eastAsia="zh-CN"/>
              </w:rPr>
            </w:pPr>
            <w:r>
              <w:rPr>
                <w:rFonts w:hint="eastAsia" w:ascii="宋体" w:eastAsia="宋体"/>
                <w:color w:val="auto"/>
                <w:lang w:eastAsia="zh-CN"/>
              </w:rPr>
              <w:t>（3）履约保证金递交时间：合同签订后7天内缴纳。</w:t>
            </w:r>
          </w:p>
          <w:p>
            <w:pPr>
              <w:spacing w:line="360" w:lineRule="auto"/>
              <w:rPr>
                <w:rFonts w:hint="eastAsia" w:ascii="宋体" w:eastAsia="宋体"/>
                <w:color w:val="auto"/>
                <w:lang w:eastAsia="zh-CN"/>
              </w:rPr>
            </w:pPr>
            <w:r>
              <w:rPr>
                <w:rFonts w:hint="eastAsia" w:ascii="宋体" w:eastAsia="宋体"/>
                <w:color w:val="auto"/>
                <w:lang w:eastAsia="zh-CN"/>
              </w:rPr>
              <w:t>（4）履约保证金退还时间：最终验收后，具体详见付款方式。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、质保期</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color w:val="auto"/>
              </w:rPr>
            </w:pPr>
            <w:r>
              <w:rPr>
                <w:rFonts w:hint="eastAsia" w:ascii="宋体" w:hAnsi="宋体" w:eastAsia="宋体" w:cs="Times New Roman"/>
                <w:color w:val="auto"/>
                <w:sz w:val="21"/>
                <w:szCs w:val="21"/>
                <w:highlight w:val="none"/>
              </w:rPr>
              <w:t>警用摩托车免费质保期</w:t>
            </w:r>
            <w:r>
              <w:rPr>
                <w:rFonts w:hint="eastAsia" w:ascii="宋体" w:hAnsi="宋体" w:eastAsia="宋体" w:cs="Times New Roman"/>
                <w:color w:val="auto"/>
                <w:szCs w:val="21"/>
                <w:highlight w:val="none"/>
              </w:rPr>
              <w:t>为二年或二万公里</w:t>
            </w:r>
            <w:r>
              <w:rPr>
                <w:rFonts w:hint="eastAsia"/>
                <w:color w:val="auto"/>
                <w:szCs w:val="21"/>
                <w:highlight w:val="none"/>
              </w:rPr>
              <w:t>（先到者为准）</w:t>
            </w:r>
            <w:r>
              <w:rPr>
                <w:rFonts w:hint="eastAsia" w:ascii="宋体" w:hAnsi="宋体" w:eastAsia="宋体" w:cs="Times New Roman"/>
                <w:color w:val="auto"/>
                <w:sz w:val="21"/>
                <w:szCs w:val="21"/>
                <w:highlight w:val="none"/>
                <w:lang w:eastAsia="zh-CN"/>
              </w:rPr>
              <w:t>，提供首保2次（更换2次机油）</w:t>
            </w:r>
            <w:r>
              <w:rPr>
                <w:rFonts w:hint="eastAsia" w:ascii="宋体" w:hAnsi="宋体" w:eastAsia="宋体" w:cs="Times New Roman"/>
                <w:color w:val="auto"/>
                <w:sz w:val="21"/>
                <w:szCs w:val="21"/>
                <w:highlight w:val="none"/>
              </w:rPr>
              <w:t xml:space="preserve">；其他产品免费质保期至少一年，质保期从安装调试完毕，最终验收合格之日开始计算。除非采购人另有要求，质保期内的服务均为免费上门服务。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售后技术服务要求</w:t>
            </w:r>
          </w:p>
        </w:tc>
        <w:tc>
          <w:tcPr>
            <w:tcW w:w="6821" w:type="dxa"/>
            <w:tcBorders>
              <w:top w:val="single" w:color="auto" w:sz="4" w:space="0"/>
              <w:left w:val="single" w:color="auto" w:sz="4" w:space="0"/>
              <w:bottom w:val="single" w:color="auto" w:sz="4" w:space="0"/>
            </w:tcBorders>
            <w:vAlign w:val="center"/>
          </w:tcPr>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（1）在质保期内，供应商应由指定的售后服务机构负责日常的维修、保养等工作，报价中应包括在投标人承诺的质保期限内，因质量问题导致的需更换的零配件等的所有费用。</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（2）售后服务机构接受上门维修、保养等工作。</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（3）设立配件供应绿色通道。</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（4）提供24小时服务热线，接到采购人产品质量申告电话后投标人需要提供 2 小时以内响应，4小时内到达现场进行故障处理，如因货物本身问题在24小时之内仍不能排除的故障，承诺提供与原货物相同或不低于原货物性能的备用货物，以保证采购人的正常使用。</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（5）售后服务应符合相关的法律、法规等的规定。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lang w:val="en-US" w:eastAsia="zh-CN"/>
              </w:rPr>
              <w:t>7</w:t>
            </w:r>
            <w:r>
              <w:rPr>
                <w:rFonts w:hint="eastAsia" w:ascii="宋体" w:hAnsi="宋体" w:cs="宋体"/>
                <w:kern w:val="0"/>
              </w:rPr>
              <w:t>、质量标准</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hAnsi="宋体" w:cs="宋体"/>
                <w:kern w:val="0"/>
              </w:rPr>
            </w:pPr>
            <w:r>
              <w:rPr>
                <w:rFonts w:hint="eastAsia" w:ascii="宋体" w:hAnsi="宋体" w:cs="宋体"/>
                <w:kern w:val="0"/>
              </w:rPr>
              <w:t>产品质量必须执行国家相关标准、行业标准、地方标准或者其它标准、规范（从严）：</w:t>
            </w:r>
          </w:p>
          <w:p>
            <w:pPr>
              <w:spacing w:line="360" w:lineRule="auto"/>
              <w:rPr>
                <w:rFonts w:ascii="宋体" w:hAnsi="宋体" w:cs="宋体"/>
                <w:kern w:val="0"/>
              </w:rPr>
            </w:pPr>
            <w:r>
              <w:rPr>
                <w:rFonts w:hint="eastAsia" w:ascii="宋体" w:hAnsi="宋体" w:cs="宋体"/>
                <w:kern w:val="0"/>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lang w:val="en-US" w:eastAsia="zh-CN"/>
              </w:rPr>
              <w:t>8</w:t>
            </w:r>
            <w:r>
              <w:rPr>
                <w:rFonts w:hint="eastAsia" w:ascii="宋体" w:hAnsi="宋体" w:cs="宋体"/>
              </w:rPr>
              <w:t>、应提供的伴随服务</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FF0000"/>
                <w:kern w:val="0"/>
              </w:rPr>
            </w:pPr>
            <w:r>
              <w:rPr>
                <w:rFonts w:hint="eastAsia" w:ascii="宋体" w:hAnsi="宋体"/>
                <w:lang w:val="en-US" w:eastAsia="zh-CN"/>
              </w:rPr>
              <w:t>维修</w:t>
            </w:r>
            <w:r>
              <w:rPr>
                <w:rFonts w:hint="eastAsia" w:ascii="宋体" w:hAnsi="宋体"/>
              </w:rPr>
              <w:t>、</w:t>
            </w:r>
            <w:r>
              <w:rPr>
                <w:rFonts w:hint="eastAsia" w:ascii="宋体" w:hAnsi="宋体"/>
                <w:lang w:val="en-US" w:eastAsia="zh-CN"/>
              </w:rPr>
              <w:t>保养、</w:t>
            </w:r>
            <w:r>
              <w:rPr>
                <w:rFonts w:hint="eastAsia" w:ascii="宋体" w:hAnsi="宋体"/>
              </w:rPr>
              <w:t>质保期内的免费维保等</w:t>
            </w:r>
            <w:r>
              <w:rPr>
                <w:rFonts w:hint="eastAsia" w:ascii="宋体" w:hAnsi="宋体" w:cs="宋体"/>
              </w:rPr>
              <w:t>。</w:t>
            </w:r>
          </w:p>
        </w:tc>
      </w:tr>
    </w:tbl>
    <w:p>
      <w:pPr>
        <w:widowControl/>
        <w:numPr>
          <w:ilvl w:val="0"/>
          <w:numId w:val="3"/>
        </w:numPr>
        <w:jc w:val="left"/>
        <w:rPr>
          <w:rFonts w:hint="eastAsia" w:ascii="宋体" w:hAnsi="宋体" w:cs="黑体"/>
          <w:b/>
          <w:color w:val="auto"/>
          <w:lang w:eastAsia="zh-CN"/>
        </w:rPr>
      </w:pPr>
      <w:r>
        <w:rPr>
          <w:rFonts w:ascii="宋体"/>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技术要求</w:t>
      </w:r>
      <w:bookmarkStart w:id="56" w:name="_Toc141797672"/>
    </w:p>
    <w:p>
      <w:pPr>
        <w:numPr>
          <w:ilvl w:val="0"/>
          <w:numId w:val="0"/>
        </w:numPr>
        <w:spacing w:line="360" w:lineRule="auto"/>
        <w:outlineLvl w:val="0"/>
        <w:rPr>
          <w:rFonts w:hint="eastAsia" w:ascii="宋体" w:hAnsi="宋体" w:cs="黑体"/>
          <w:b/>
          <w:color w:val="auto"/>
        </w:rPr>
      </w:pPr>
      <w:r>
        <w:rPr>
          <w:rFonts w:hint="eastAsia" w:ascii="宋体" w:hAnsi="宋体" w:cs="黑体"/>
          <w:b/>
          <w:color w:val="auto"/>
          <w:lang w:eastAsia="zh-CN"/>
        </w:rPr>
        <w:t>（</w:t>
      </w:r>
      <w:r>
        <w:rPr>
          <w:rFonts w:hint="eastAsia" w:ascii="宋体" w:hAnsi="宋体" w:cs="黑体"/>
          <w:b/>
          <w:color w:val="auto"/>
          <w:lang w:val="en-US" w:eastAsia="zh-CN"/>
        </w:rPr>
        <w:t>一</w:t>
      </w:r>
      <w:r>
        <w:rPr>
          <w:rFonts w:hint="eastAsia" w:ascii="宋体" w:hAnsi="宋体" w:cs="黑体"/>
          <w:b/>
          <w:color w:val="auto"/>
          <w:lang w:eastAsia="zh-CN"/>
        </w:rPr>
        <w:t>）</w:t>
      </w:r>
      <w:r>
        <w:rPr>
          <w:rFonts w:hint="eastAsia" w:ascii="宋体" w:hAnsi="宋体" w:cs="黑体"/>
          <w:b/>
          <w:color w:val="auto"/>
        </w:rPr>
        <w:t>采购货物清单</w:t>
      </w:r>
    </w:p>
    <w:tbl>
      <w:tblPr>
        <w:tblStyle w:val="3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448"/>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99"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48"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4145"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99"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48"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警用摩托车（一）</w:t>
            </w:r>
          </w:p>
        </w:tc>
        <w:tc>
          <w:tcPr>
            <w:tcW w:w="4145"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99"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48"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警用摩托车（二）</w:t>
            </w:r>
          </w:p>
        </w:tc>
        <w:tc>
          <w:tcPr>
            <w:tcW w:w="4145" w:type="dxa"/>
            <w:tcBorders>
              <w:tl2br w:val="nil"/>
              <w:tr2bl w:val="nil"/>
            </w:tcBorders>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9辆</w:t>
            </w:r>
          </w:p>
        </w:tc>
      </w:tr>
    </w:tbl>
    <w:p>
      <w:pPr>
        <w:pStyle w:val="2"/>
        <w:spacing w:line="360" w:lineRule="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二</w:t>
      </w:r>
      <w:r>
        <w:rPr>
          <w:rFonts w:hint="eastAsia" w:ascii="宋体" w:hAnsi="宋体" w:cs="宋体"/>
          <w:sz w:val="21"/>
          <w:szCs w:val="21"/>
          <w:highlight w:val="none"/>
        </w:rPr>
        <w:t>）货物总体要求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1.所投两轮摩托车必须在工信部《道路机动车辆生产企业及产品信息查询系统》可查询到产品公告（投标文件中须提供投标产品在《道路机动车辆生产企业及产品信息查询系统》中查询到的产品公告截图，并加盖投标人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2.所投两轮摩托车须满足机动车登记注册上牌照要求（投标文件中须提供承诺书</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格式自拟）</w:t>
      </w:r>
      <w:r>
        <w:rPr>
          <w:rFonts w:hint="eastAsia" w:ascii="宋体" w:hAnsi="宋体" w:eastAsia="宋体" w:cs="宋体"/>
          <w:b w:val="0"/>
          <w:bCs/>
          <w:sz w:val="21"/>
          <w:szCs w:val="21"/>
          <w:highlight w:val="none"/>
        </w:rPr>
        <w:t>）；</w:t>
      </w:r>
    </w:p>
    <w:p>
      <w:pPr>
        <w:numPr>
          <w:ilvl w:val="0"/>
          <w:numId w:val="0"/>
        </w:numPr>
        <w:spacing w:line="360" w:lineRule="auto"/>
        <w:outlineLvl w:val="0"/>
        <w:rPr>
          <w:rFonts w:hint="eastAsia" w:ascii="宋体" w:hAnsi="宋体" w:eastAsia="宋体" w:cs="黑体"/>
          <w:b/>
          <w:color w:val="auto"/>
          <w:lang w:val="en-US" w:eastAsia="zh-CN"/>
        </w:rPr>
      </w:pPr>
      <w:r>
        <w:rPr>
          <w:rFonts w:hint="eastAsia" w:ascii="宋体" w:hAnsi="宋体" w:eastAsia="宋体" w:cs="黑体"/>
          <w:b/>
          <w:color w:val="auto"/>
          <w:lang w:eastAsia="zh-CN"/>
        </w:rPr>
        <w:t>（</w:t>
      </w:r>
      <w:r>
        <w:rPr>
          <w:rFonts w:hint="eastAsia" w:ascii="宋体" w:hAnsi="宋体" w:eastAsia="宋体" w:cs="黑体"/>
          <w:b/>
          <w:color w:val="auto"/>
          <w:lang w:val="en-US" w:eastAsia="zh-CN"/>
        </w:rPr>
        <w:t>三</w:t>
      </w:r>
      <w:r>
        <w:rPr>
          <w:rFonts w:hint="eastAsia" w:ascii="宋体" w:hAnsi="宋体" w:eastAsia="宋体" w:cs="黑体"/>
          <w:b/>
          <w:color w:val="auto"/>
          <w:lang w:eastAsia="zh-CN"/>
        </w:rPr>
        <w:t>）</w:t>
      </w:r>
      <w:r>
        <w:rPr>
          <w:rFonts w:hint="eastAsia" w:ascii="宋体" w:hAnsi="宋体" w:eastAsia="宋体" w:cs="黑体"/>
          <w:b/>
          <w:color w:val="auto"/>
        </w:rPr>
        <w:t>技术</w:t>
      </w:r>
      <w:r>
        <w:rPr>
          <w:rFonts w:hint="eastAsia" w:ascii="宋体" w:hAnsi="宋体" w:eastAsia="宋体" w:cs="黑体"/>
          <w:b/>
          <w:color w:val="auto"/>
          <w:lang w:val="en-US" w:eastAsia="zh-CN"/>
        </w:rPr>
        <w:t>规格要求表</w:t>
      </w:r>
    </w:p>
    <w:tbl>
      <w:tblPr>
        <w:tblStyle w:val="38"/>
        <w:tblW w:w="86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170"/>
        <w:gridCol w:w="750"/>
        <w:gridCol w:w="705"/>
        <w:gridCol w:w="4572"/>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8616"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bookmarkStart w:id="57" w:name="_Toc136345093"/>
            <w:bookmarkStart w:id="58" w:name="_Toc136017645"/>
            <w:r>
              <w:rPr>
                <w:rFonts w:hint="eastAsia" w:ascii="宋体" w:hAnsi="宋体" w:eastAsia="宋体" w:cs="宋体"/>
                <w:color w:val="auto"/>
                <w:highlight w:val="none"/>
                <w:lang w:val="en-US" w:eastAsia="zh-CN"/>
              </w:rPr>
              <w:t>1、警用摩托车技术要求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数量</w:t>
            </w:r>
          </w:p>
        </w:tc>
        <w:tc>
          <w:tcPr>
            <w:tcW w:w="4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警用摩托车（一）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警用摩托车（一）配置详细清单：</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一、外观喷涂: 符合GA 525-2004 《2004式警车摩托车类外观制式涂装规范》要求。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二、车辆配置：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1、前警灯4个（2红2蓝）</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2、后拉杆警灯1个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3、警用喇叭1副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4、麦克风1只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5、左右边箱1副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6、前保险杠1套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7、后保险杠1套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8、ABS 防抱死系统1套</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后尾箱1只</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后横排警灯1只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三、技术参数需求条款</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★1.排量(ml):360&lt;排量&lt;401</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★2、燃料种类:汽油</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3.发动机型式:双缸、液冷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▲4.最大功率(KW):20＜最大功率＜31</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5.最大扭矩(N·m):＞34</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6.传动方式:链条传动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▲7.外形尺寸(长x宽x高)(mm):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2050</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710</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1100≤外形尺寸≤2110</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800×1300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8.排放标准:GB14622-2016，满足国IV排放标准要求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9.轴距(mm):1410≤轴距≤1420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10.整备质量(kg):≤220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11.最高车速(km/h):≥120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12.制动系统有无配备ABS:有</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13.油箱容积(L):≥19L</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14.制动方式:前轮盘式后轮盘式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15.变速器形式:国际档6档</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▲16.边箱要求:边箱具有快拆功能，边箱长度:510mm±5mm,宽度360mm±5mm,高度295mm±5mm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 17.座垫高度(mm):座垫高度795±5mm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警用摩托车（二）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45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警用摩托车（二）配置详细清单：</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一、外观喷涂: 符合GA 525-2004 《2004式警车摩托车类外观制式涂装规范》要求。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二、车辆配置：</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1、前警灯4个（2红2蓝）</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2、后拉杆警灯1个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3、警用喇叭1副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4、麦克风1只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5、左右边箱1副</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6、前保险杠1套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7、后保险杠1套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8、ABS 防抱死系统1套</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9、后尾箱1只</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10、后横排警灯1只</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三、技术参数需求条款</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★1.排量(ml)::250ml(误差范围土1ml)</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★2、燃料种类:汽油</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3.发动机型式:单缸、液冷</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4.最大功率(KW):＞19</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5.最大扭矩(N·m):＞21</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6.传动方式:链条传动</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▲7.外形尺寸(长x宽x高)(mm):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2100mmx900mmx1200mm≤外形尺寸≤2200mmx1000mmx1400mm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8.排放标准:GB14622-2016，满足国IV排放标准要求</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▲9.轴距(mm):≤1400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▲10.整备质量(kg):≤155</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11.最高车速(km/h):≥120</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12.制动系统有无配备ABS:有</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13.油箱容积(L):≥12L</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14.制动方式:前轮盘式后轮盘式</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15.变速器形式:国际档6档</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  ▲16.座垫高度(mm):座垫高度795±5mm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tc>
      </w:tr>
    </w:tbl>
    <w:p>
      <w:pPr>
        <w:spacing w:line="312" w:lineRule="auto"/>
        <w:jc w:val="left"/>
        <w:rPr>
          <w:rFonts w:hint="eastAsia" w:ascii="宋体" w:hAnsi="宋体" w:eastAsia="宋体" w:cs="宋体"/>
          <w:bCs/>
          <w:iCs/>
        </w:rPr>
      </w:pPr>
    </w:p>
    <w:bookmarkEnd w:id="57"/>
    <w:bookmarkEnd w:id="58"/>
    <w:p>
      <w:pPr>
        <w:widowControl/>
        <w:spacing w:line="360" w:lineRule="auto"/>
        <w:jc w:val="left"/>
        <w:rPr>
          <w:rFonts w:ascii="宋体" w:hAnsi="宋体" w:cs="宋体"/>
          <w:szCs w:val="21"/>
          <w:highlight w:val="none"/>
        </w:rPr>
      </w:pPr>
      <w:r>
        <w:rPr>
          <w:rFonts w:hint="eastAsia" w:ascii="宋体" w:hAnsi="宋体" w:cs="宋体"/>
          <w:szCs w:val="21"/>
          <w:highlight w:val="none"/>
        </w:rPr>
        <w:t>注：1、“ ▲ ”项参数，</w:t>
      </w:r>
      <w:r>
        <w:rPr>
          <w:rFonts w:hint="eastAsia" w:ascii="宋体" w:hAnsi="宋体" w:cs="宋体"/>
          <w:highlight w:val="none"/>
        </w:rPr>
        <w:t>需提供第三方检测机构出具的检测报告复印件加盖投标人公章或者《道路机动车辆生产企业及产品信息查询系统》查询的《摩托车产品技术参数》公告页复印件加盖投标人公章</w:t>
      </w:r>
      <w:r>
        <w:rPr>
          <w:rFonts w:hint="eastAsia" w:ascii="宋体" w:hAnsi="宋体" w:cs="宋体"/>
          <w:szCs w:val="21"/>
          <w:highlight w:val="none"/>
        </w:rPr>
        <w:t>，否则不予认可；</w:t>
      </w:r>
    </w:p>
    <w:p>
      <w:pPr>
        <w:widowControl/>
        <w:spacing w:line="360" w:lineRule="auto"/>
        <w:jc w:val="left"/>
        <w:rPr>
          <w:rFonts w:ascii="宋体" w:hAnsi="宋体" w:cs="宋体"/>
          <w:szCs w:val="21"/>
          <w:highlight w:val="none"/>
        </w:rPr>
      </w:pPr>
      <w:r>
        <w:rPr>
          <w:rFonts w:hint="eastAsia" w:ascii="宋体" w:hAnsi="宋体" w:cs="宋体"/>
          <w:szCs w:val="21"/>
          <w:highlight w:val="none"/>
        </w:rPr>
        <w:t>2、带“★”号的招标要求为不可偏离的参数要求，如投标时出现偏离将做废标处理；</w:t>
      </w:r>
    </w:p>
    <w:p>
      <w:pPr>
        <w:spacing w:line="360" w:lineRule="auto"/>
        <w:rPr>
          <w:rFonts w:ascii="宋体" w:hAnsi="宋体" w:cs="宋体"/>
          <w:highlight w:val="none"/>
        </w:rPr>
      </w:pPr>
      <w:r>
        <w:rPr>
          <w:rFonts w:hint="eastAsia" w:ascii="宋体" w:hAnsi="宋体" w:cs="宋体"/>
          <w:highlight w:val="none"/>
        </w:rPr>
        <w:t>3、 若检验报告和工信部公告数据有冲突的，以工信部公告数据为准。</w:t>
      </w:r>
    </w:p>
    <w:p>
      <w:pPr>
        <w:widowControl/>
        <w:numPr>
          <w:ilvl w:val="0"/>
          <w:numId w:val="3"/>
        </w:numPr>
        <w:jc w:val="left"/>
        <w:rPr>
          <w:rFonts w:hint="eastAsia" w:ascii="宋体" w:hAnsi="宋体" w:cs="宋体"/>
          <w:b/>
          <w:bCs/>
          <w:color w:val="000000" w:themeColor="text1"/>
          <w:sz w:val="24"/>
          <w:szCs w:val="24"/>
          <w14:textFill>
            <w14:solidFill>
              <w14:schemeClr w14:val="tx1"/>
            </w14:solidFill>
          </w14:textFill>
        </w:rPr>
      </w:pPr>
      <w:bookmarkStart w:id="59" w:name="_Hlk130570706"/>
      <w:r>
        <w:rPr>
          <w:rFonts w:hint="eastAsia" w:ascii="宋体" w:hAnsi="宋体" w:cs="宋体"/>
          <w:b/>
          <w:bCs/>
          <w:color w:val="000000" w:themeColor="text1"/>
          <w:sz w:val="24"/>
          <w:szCs w:val="24"/>
          <w14:textFill>
            <w14:solidFill>
              <w14:schemeClr w14:val="tx1"/>
            </w14:solidFill>
          </w14:textFill>
        </w:rPr>
        <w:t>履约验收标准</w:t>
      </w:r>
      <w:bookmarkEnd w:id="59"/>
    </w:p>
    <w:p>
      <w:pPr>
        <w:bidi w:val="0"/>
        <w:spacing w:line="360" w:lineRule="auto"/>
        <w:ind w:left="0" w:leftChars="0" w:firstLine="420" w:firstLineChars="200"/>
        <w:rPr>
          <w:rFonts w:hint="default"/>
          <w:color w:val="auto"/>
          <w:sz w:val="21"/>
          <w:szCs w:val="21"/>
          <w:highlight w:val="none"/>
          <w:lang w:val="en-US" w:eastAsia="zh-CN"/>
        </w:rPr>
      </w:pPr>
      <w:r>
        <w:rPr>
          <w:rFonts w:hint="eastAsia"/>
          <w:color w:val="auto"/>
          <w:sz w:val="21"/>
          <w:szCs w:val="21"/>
          <w:highlight w:val="none"/>
          <w:lang w:val="en-US" w:eastAsia="zh-CN"/>
        </w:rPr>
        <w:t>1、</w:t>
      </w:r>
      <w:r>
        <w:rPr>
          <w:rFonts w:hint="eastAsia"/>
          <w:color w:val="auto"/>
          <w:sz w:val="21"/>
          <w:szCs w:val="21"/>
          <w:highlight w:val="none"/>
        </w:rPr>
        <w:t>验收产生的费用</w:t>
      </w:r>
      <w:r>
        <w:rPr>
          <w:rFonts w:hint="eastAsia"/>
          <w:color w:val="auto"/>
          <w:sz w:val="21"/>
          <w:szCs w:val="21"/>
          <w:highlight w:val="none"/>
          <w:lang w:eastAsia="zh-CN"/>
        </w:rPr>
        <w:t>。</w:t>
      </w:r>
      <w:r>
        <w:rPr>
          <w:rFonts w:hint="eastAsia"/>
          <w:color w:val="auto"/>
          <w:sz w:val="21"/>
          <w:szCs w:val="21"/>
          <w:highlight w:val="none"/>
        </w:rPr>
        <w:t>首次验收费用由采购人承担，如首次验收不合格，后续验收费用由中标人支付。</w:t>
      </w:r>
    </w:p>
    <w:p>
      <w:pPr>
        <w:bidi w:val="0"/>
        <w:spacing w:line="360" w:lineRule="auto"/>
        <w:ind w:left="0" w:leftChars="0" w:firstLine="420" w:firstLineChars="200"/>
        <w:rPr>
          <w:rFonts w:hint="eastAsia" w:eastAsia="仿宋"/>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rPr>
        <w:t>验收</w:t>
      </w:r>
      <w:r>
        <w:rPr>
          <w:rFonts w:hint="eastAsia"/>
          <w:color w:val="auto"/>
          <w:sz w:val="21"/>
          <w:szCs w:val="21"/>
          <w:highlight w:val="none"/>
          <w:lang w:val="en-US" w:eastAsia="zh-CN"/>
        </w:rPr>
        <w:t>依据</w:t>
      </w:r>
    </w:p>
    <w:p>
      <w:pPr>
        <w:bidi w:val="0"/>
        <w:spacing w:line="360" w:lineRule="auto"/>
        <w:ind w:left="0" w:leftChars="0" w:firstLine="420" w:firstLineChars="200"/>
        <w:rPr>
          <w:rFonts w:hint="eastAsia"/>
          <w:color w:val="auto"/>
          <w:sz w:val="21"/>
          <w:szCs w:val="21"/>
          <w:highlight w:val="none"/>
        </w:rPr>
      </w:pPr>
      <w:r>
        <w:rPr>
          <w:rFonts w:hint="eastAsia"/>
          <w:color w:val="auto"/>
          <w:sz w:val="21"/>
          <w:szCs w:val="21"/>
          <w:highlight w:val="none"/>
        </w:rPr>
        <w:t>验收资料要求包括（不限于）以下内容：</w:t>
      </w:r>
    </w:p>
    <w:p>
      <w:pPr>
        <w:bidi w:val="0"/>
        <w:spacing w:line="360" w:lineRule="auto"/>
        <w:ind w:left="0" w:leftChars="0" w:firstLine="420" w:firstLineChars="200"/>
        <w:rPr>
          <w:rFonts w:hint="eastAsia" w:eastAsia="仿宋"/>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lang w:val="en-US" w:eastAsia="zh-CN"/>
        </w:rPr>
        <w:t>政府</w:t>
      </w:r>
      <w:r>
        <w:rPr>
          <w:rFonts w:hint="eastAsia"/>
          <w:color w:val="auto"/>
          <w:sz w:val="21"/>
          <w:szCs w:val="21"/>
          <w:highlight w:val="none"/>
        </w:rPr>
        <w:t>采购合同</w:t>
      </w:r>
      <w:r>
        <w:rPr>
          <w:rFonts w:hint="eastAsia"/>
          <w:color w:val="auto"/>
          <w:sz w:val="21"/>
          <w:szCs w:val="21"/>
          <w:highlight w:val="none"/>
          <w:lang w:val="en-US" w:eastAsia="zh-CN"/>
        </w:rPr>
        <w:t>；</w:t>
      </w:r>
    </w:p>
    <w:p>
      <w:pPr>
        <w:bidi w:val="0"/>
        <w:spacing w:line="360" w:lineRule="auto"/>
        <w:ind w:left="0" w:leftChars="0" w:firstLine="420" w:firstLineChars="200"/>
        <w:rPr>
          <w:rFonts w:hint="eastAsia" w:eastAsia="仿宋"/>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2）到货核验单、使用说明书、产品合格证、车辆一致性证书、环保清单、三包凭证、培训教材等；</w:t>
      </w:r>
    </w:p>
    <w:p>
      <w:pPr>
        <w:bidi w:val="0"/>
        <w:spacing w:line="360" w:lineRule="auto"/>
        <w:ind w:left="0" w:leftChars="0" w:firstLine="420" w:firstLineChars="200"/>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其他需提供的相</w:t>
      </w:r>
      <w:r>
        <w:rPr>
          <w:rFonts w:hint="eastAsia" w:ascii="Times New Roman" w:hAnsi="Times New Roman" w:eastAsia="宋体" w:cs="Times New Roman"/>
          <w:color w:val="auto"/>
          <w:sz w:val="21"/>
          <w:szCs w:val="21"/>
          <w:highlight w:val="none"/>
        </w:rPr>
        <w:t>关材料。</w:t>
      </w:r>
    </w:p>
    <w:p>
      <w:pPr>
        <w:bidi w:val="0"/>
        <w:spacing w:line="360" w:lineRule="auto"/>
        <w:ind w:left="0" w:leftChars="0"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3、验收标准</w:t>
      </w:r>
    </w:p>
    <w:p>
      <w:pPr>
        <w:bidi w:val="0"/>
        <w:spacing w:line="360" w:lineRule="auto"/>
        <w:ind w:left="0" w:leftChars="0"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货物按招标文件要求运抵交付地点并安装完成后，按需求标准进行核对，核对无误后进行试运行，试运行30天后无质量问题视为验收合格。</w:t>
      </w:r>
    </w:p>
    <w:p>
      <w:pPr>
        <w:rPr>
          <w:rFonts w:hint="eastAsia" w:cs="宋体"/>
          <w:color w:val="000000" w:themeColor="text1"/>
          <w:sz w:val="32"/>
          <w:szCs w:val="32"/>
          <w14:textFill>
            <w14:solidFill>
              <w14:schemeClr w14:val="tx1"/>
            </w14:solidFill>
          </w14:textFill>
        </w:rPr>
      </w:pPr>
    </w:p>
    <w:p>
      <w:pPr>
        <w:pStyle w:val="3"/>
        <w:spacing w:before="286" w:after="286"/>
        <w:rPr>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br w:type="column"/>
      </w:r>
      <w:r>
        <w:rPr>
          <w:rFonts w:hint="eastAsia" w:cs="宋体"/>
          <w:color w:val="000000" w:themeColor="text1"/>
          <w:sz w:val="32"/>
          <w:szCs w:val="32"/>
          <w14:textFill>
            <w14:solidFill>
              <w14:schemeClr w14:val="tx1"/>
            </w14:solidFill>
          </w14:textFill>
        </w:rPr>
        <w:t>第三部分 投标资料表</w:t>
      </w:r>
      <w:bookmarkEnd w:id="56"/>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本部分关于本次招标项目的具体要求是对“投标人须知</w:t>
      </w:r>
      <w:r>
        <w:rPr>
          <w:rFonts w:hint="eastAsia"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和</w:t>
      </w:r>
      <w:r>
        <w:rPr>
          <w:rFonts w:hint="eastAsia"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合同格式</w:t>
      </w:r>
      <w:r>
        <w:rPr>
          <w:rFonts w:hint="eastAsia"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的相关条款的补充和修改，如有矛盾，应以此为准。</w:t>
      </w:r>
    </w:p>
    <w:tbl>
      <w:tblPr>
        <w:tblStyle w:val="38"/>
        <w:tblW w:w="8345" w:type="dxa"/>
        <w:tblInd w:w="108"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7466"/>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blHeader/>
        </w:trPr>
        <w:tc>
          <w:tcPr>
            <w:tcW w:w="879" w:type="dxa"/>
            <w:tcBorders>
              <w:top w:val="single" w:color="000000" w:sz="12" w:space="0"/>
            </w:tcBorders>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条款号</w:t>
            </w:r>
          </w:p>
        </w:tc>
        <w:tc>
          <w:tcPr>
            <w:tcW w:w="7466" w:type="dxa"/>
            <w:tcBorders>
              <w:top w:val="single" w:color="000000" w:sz="12" w:space="0"/>
            </w:tcBorders>
            <w:vAlign w:val="center"/>
          </w:tcPr>
          <w:p>
            <w:pPr>
              <w:spacing w:before="143" w:beforeLines="50"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1" w:hRule="atLeast"/>
        </w:trPr>
        <w:tc>
          <w:tcPr>
            <w:tcW w:w="879" w:type="dxa"/>
            <w:vMerge w:val="restart"/>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olor w:val="auto"/>
                <w:lang w:eastAsia="zh-CN"/>
              </w:rPr>
            </w:pPr>
            <w:r>
              <w:rPr>
                <w:rFonts w:hint="eastAsia" w:ascii="宋体"/>
                <w:color w:val="000000" w:themeColor="text1"/>
                <w14:textFill>
                  <w14:solidFill>
                    <w14:schemeClr w14:val="tx1"/>
                  </w14:solidFill>
                </w14:textFill>
              </w:rPr>
              <w:t>采购</w:t>
            </w:r>
            <w:r>
              <w:rPr>
                <w:rFonts w:hint="eastAsia" w:ascii="宋体"/>
                <w:color w:val="auto"/>
              </w:rPr>
              <w:t>人：</w:t>
            </w:r>
            <w:r>
              <w:rPr>
                <w:rFonts w:hint="eastAsia" w:ascii="宋体"/>
                <w:color w:val="auto"/>
                <w:lang w:eastAsia="zh-CN"/>
              </w:rPr>
              <w:t>宁波市公安局交通管理支队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rPr>
            </w:pPr>
            <w:r>
              <w:rPr>
                <w:rFonts w:hint="eastAsia" w:ascii="宋体"/>
                <w:color w:val="auto"/>
              </w:rPr>
              <w:t>地  址：王隘路28号</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color w:val="auto"/>
              </w:rPr>
            </w:pPr>
            <w:r>
              <w:rPr>
                <w:rFonts w:hint="eastAsia" w:ascii="宋体"/>
                <w:color w:val="auto"/>
              </w:rPr>
              <w:t>电  话：</w:t>
            </w:r>
            <w:r>
              <w:rPr>
                <w:rFonts w:hint="eastAsia" w:ascii="宋体" w:hAnsi="宋体" w:cs="宋体"/>
                <w:color w:val="auto"/>
                <w:highlight w:val="none"/>
              </w:rPr>
              <w:t>0574-81981116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FF0000"/>
              </w:rPr>
            </w:pPr>
            <w:r>
              <w:rPr>
                <w:rFonts w:hint="eastAsia" w:ascii="宋体"/>
                <w:color w:val="auto"/>
              </w:rPr>
              <w:t>联系人：</w:t>
            </w:r>
            <w:r>
              <w:rPr>
                <w:rFonts w:hint="eastAsia" w:ascii="宋体"/>
                <w:color w:val="auto"/>
                <w:lang w:val="en-US" w:eastAsia="zh-CN"/>
              </w:rPr>
              <w:t>任</w:t>
            </w:r>
            <w:r>
              <w:rPr>
                <w:rFonts w:hint="eastAsia" w:ascii="宋体"/>
                <w:color w:val="auto"/>
              </w:rPr>
              <w:t>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3" w:hRule="atLeast"/>
        </w:trPr>
        <w:tc>
          <w:tcPr>
            <w:tcW w:w="879" w:type="dxa"/>
            <w:vMerge w:val="continue"/>
            <w:vAlign w:val="center"/>
          </w:tcPr>
          <w:p>
            <w:pPr>
              <w:spacing w:before="143" w:beforeLines="50" w:line="360" w:lineRule="auto"/>
              <w:jc w:val="center"/>
              <w:rPr>
                <w:rFonts w:ascii="宋体"/>
                <w:color w:val="000000" w:themeColor="text1"/>
                <w14:textFill>
                  <w14:solidFill>
                    <w14:schemeClr w14:val="tx1"/>
                  </w14:solidFill>
                </w14:textFill>
              </w:rPr>
            </w:pPr>
          </w:p>
        </w:tc>
        <w:tc>
          <w:tcPr>
            <w:tcW w:w="7466" w:type="dxa"/>
            <w:vAlign w:val="center"/>
          </w:tcPr>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采购代理机构名称：宁波国际投资咨询有限公司</w:t>
            </w:r>
          </w:p>
          <w:p>
            <w:pPr>
              <w:spacing w:line="360" w:lineRule="auto"/>
              <w:rPr>
                <w:rFonts w:ascii="宋体" w:hAnsi="宋体" w:cs="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地    址：  </w:t>
            </w:r>
            <w:r>
              <w:rPr>
                <w:rFonts w:hint="eastAsia" w:ascii="宋体" w:hAnsi="宋体" w:cs="Arial"/>
                <w:color w:val="000000" w:themeColor="text1"/>
                <w14:textFill>
                  <w14:solidFill>
                    <w14:schemeClr w14:val="tx1"/>
                  </w14:solidFill>
                </w14:textFill>
              </w:rPr>
              <w:t>宁波市世纪大道北段555号名汇东方大厦19楼1920室</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    编：  315040</w:t>
            </w:r>
          </w:p>
          <w:p>
            <w:pPr>
              <w:spacing w:line="360" w:lineRule="auto"/>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 xml:space="preserve">电    话：  </w:t>
            </w:r>
            <w:r>
              <w:rPr>
                <w:rFonts w:hint="eastAsia" w:ascii="宋体" w:hAnsi="宋体" w:cs="宋体"/>
                <w:color w:val="000000" w:themeColor="text1"/>
                <w14:textFill>
                  <w14:solidFill>
                    <w14:schemeClr w14:val="tx1"/>
                  </w14:solidFill>
                </w14:textFill>
              </w:rPr>
              <w:t>0574－</w:t>
            </w:r>
            <w:r>
              <w:rPr>
                <w:rFonts w:hint="eastAsia" w:ascii="宋体" w:hAnsi="宋体" w:cs="宋体"/>
                <w:color w:val="000000" w:themeColor="text1"/>
                <w:lang w:val="en-US" w:eastAsia="zh-CN"/>
                <w14:textFill>
                  <w14:solidFill>
                    <w14:schemeClr w14:val="tx1"/>
                  </w14:solidFill>
                </w14:textFill>
              </w:rPr>
              <w:t>87298907</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电子邮件：  </w:t>
            </w:r>
            <w:r>
              <w:rPr>
                <w:rFonts w:hint="eastAsia" w:ascii="宋体" w:hAnsi="宋体"/>
                <w:color w:val="000000" w:themeColor="text1"/>
                <w:lang w:val="en-US" w:eastAsia="zh-CN"/>
                <w14:textFill>
                  <w14:solidFill>
                    <w14:schemeClr w14:val="tx1"/>
                  </w14:solidFill>
                </w14:textFill>
              </w:rPr>
              <w:t>563313963</w:t>
            </w:r>
            <w:r>
              <w:rPr>
                <w:rFonts w:hint="eastAsia" w:ascii="宋体" w:hAnsi="宋体"/>
                <w:color w:val="000000" w:themeColor="text1"/>
                <w14:textFill>
                  <w14:solidFill>
                    <w14:schemeClr w14:val="tx1"/>
                  </w14:solidFill>
                </w14:textFill>
              </w:rPr>
              <w:t>@qq.com</w:t>
            </w:r>
          </w:p>
          <w:p>
            <w:pPr>
              <w:spacing w:line="400" w:lineRule="exact"/>
              <w:rPr>
                <w:rFonts w:hint="default" w:asci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 xml:space="preserve">联 系 人：  </w:t>
            </w:r>
            <w:r>
              <w:rPr>
                <w:rFonts w:hint="eastAsia" w:ascii="宋体" w:hAnsi="宋体"/>
                <w:color w:val="000000" w:themeColor="text1"/>
                <w:lang w:val="en-US" w:eastAsia="zh-CN"/>
                <w14:textFill>
                  <w14:solidFill>
                    <w14:schemeClr w14:val="tx1"/>
                  </w14:solidFill>
                </w14:textFill>
              </w:rPr>
              <w:t xml:space="preserve">史梦铅 邱晔 马森 沈鑫侃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879" w:type="dxa"/>
            <w:vMerge w:val="continue"/>
            <w:vAlign w:val="center"/>
          </w:tcPr>
          <w:p>
            <w:pPr>
              <w:spacing w:before="143" w:beforeLines="50" w:line="360" w:lineRule="auto"/>
              <w:jc w:val="center"/>
              <w:rPr>
                <w:rFonts w:ascii="宋体"/>
                <w:color w:val="000000" w:themeColor="text1"/>
                <w14:textFill>
                  <w14:solidFill>
                    <w14:schemeClr w14:val="tx1"/>
                  </w14:solidFill>
                </w14:textFill>
              </w:rPr>
            </w:pPr>
          </w:p>
        </w:tc>
        <w:tc>
          <w:tcPr>
            <w:tcW w:w="7466" w:type="dxa"/>
            <w:vAlign w:val="bottom"/>
          </w:tcPr>
          <w:p>
            <w:pPr>
              <w:wordWrap w:val="0"/>
              <w:adjustRightInd w:val="0"/>
              <w:snapToGrid w:val="0"/>
              <w:spacing w:line="400" w:lineRule="exact"/>
              <w:rPr>
                <w:rFonts w:hint="eastAsia" w:ascii="宋体" w:eastAsia="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2025年度警用摩托车采购项目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p>
        </w:tc>
        <w:tc>
          <w:tcPr>
            <w:tcW w:w="7466" w:type="dxa"/>
            <w:vAlign w:val="center"/>
          </w:tcPr>
          <w:p>
            <w:pPr>
              <w:spacing w:line="400" w:lineRule="exact"/>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招标范围：</w:t>
            </w:r>
            <w:r>
              <w:rPr>
                <w:rFonts w:hint="eastAsia" w:ascii="宋体" w:hAnsi="宋体"/>
                <w:color w:val="000000" w:themeColor="text1"/>
                <w14:textFill>
                  <w14:solidFill>
                    <w14:schemeClr w14:val="tx1"/>
                  </w14:solidFill>
                </w14:textFill>
              </w:rPr>
              <w:t>详见招标文件第二部分“招标项目需求”</w:t>
            </w:r>
            <w:r>
              <w:rPr>
                <w:rFonts w:hint="eastAsia" w:ascii="宋体" w:hAnsi="宋体" w:cs="宋体"/>
                <w:color w:val="000000" w:themeColor="text1"/>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79" w:type="dxa"/>
            <w:vAlign w:val="center"/>
          </w:tcPr>
          <w:p>
            <w:pPr>
              <w:spacing w:before="143"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p>
        </w:tc>
        <w:tc>
          <w:tcPr>
            <w:tcW w:w="7466" w:type="dxa"/>
            <w:vAlign w:val="center"/>
          </w:tcPr>
          <w:p>
            <w:pPr>
              <w:spacing w:line="400" w:lineRule="exact"/>
              <w:jc w:val="left"/>
              <w:rPr>
                <w:rFonts w:ascii="宋体" w:hAnsi="宋体"/>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00A8"/>
            </w:r>
            <w:r>
              <w:rPr>
                <w:rFonts w:hint="eastAsia" w:ascii="宋体" w:hAnsi="宋体"/>
                <w:color w:val="000000" w:themeColor="text1"/>
                <w14:textFill>
                  <w14:solidFill>
                    <w14:schemeClr w14:val="tx1"/>
                  </w14:solidFill>
                </w14:textFill>
              </w:rPr>
              <w:t>A同意将非主体、非关键性的等工作分包。</w:t>
            </w:r>
          </w:p>
          <w:p>
            <w:pPr>
              <w:spacing w:line="400" w:lineRule="exact"/>
              <w:jc w:val="left"/>
              <w:rPr>
                <w:rFonts w:ascii="宋体" w:hAnsi="宋体" w:cs="宋体"/>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 xml:space="preserve"> B不同意分包。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4.1</w:t>
            </w:r>
          </w:p>
        </w:tc>
        <w:tc>
          <w:tcPr>
            <w:tcW w:w="7466" w:type="dxa"/>
            <w:vAlign w:val="center"/>
          </w:tcPr>
          <w:p>
            <w:pPr>
              <w:spacing w:line="400" w:lineRule="exac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879" w:type="dxa"/>
            <w:vAlign w:val="center"/>
          </w:tcPr>
          <w:p>
            <w:pPr>
              <w:spacing w:before="143" w:beforeLines="50" w:line="360" w:lineRule="auto"/>
              <w:jc w:val="center"/>
              <w:rPr>
                <w:rFonts w:ascii="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w:t>
            </w:r>
          </w:p>
        </w:tc>
        <w:tc>
          <w:tcPr>
            <w:tcW w:w="7466" w:type="dxa"/>
            <w:vAlign w:val="center"/>
          </w:tcPr>
          <w:p>
            <w:pPr>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现场考察：</w:t>
            </w:r>
            <w:r>
              <w:rPr>
                <w:rFonts w:ascii="Wingdings" w:hAnsi="Wingdings"/>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 xml:space="preserve"> 不组织    ☐组织，时间：    地点：</w:t>
            </w:r>
          </w:p>
          <w:p>
            <w:pPr>
              <w:spacing w:line="400" w:lineRule="exact"/>
              <w:jc w:val="left"/>
              <w:rPr>
                <w:rFonts w:ascii="宋体" w:cs="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答疑会：</w:t>
            </w:r>
            <w:r>
              <w:rPr>
                <w:rFonts w:ascii="Wingdings" w:hAnsi="Wingdings"/>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 xml:space="preserve"> 不组织    ☐组织，时间：    地点：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21"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9.1</w:t>
            </w:r>
          </w:p>
        </w:tc>
        <w:tc>
          <w:tcPr>
            <w:tcW w:w="7466" w:type="dxa"/>
            <w:vAlign w:val="center"/>
          </w:tcPr>
          <w:p>
            <w:pPr>
              <w:widowControl/>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投标文件组成：本项目实行网上投标，投标人应准备以下投标文件：</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9.1.1.资格文件</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（1）符合参加政府采购活动应当具备的一般条件的承诺函；</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color w:val="auto"/>
              </w:rPr>
            </w:pPr>
            <w:r>
              <w:rPr>
                <w:rFonts w:hint="eastAsia"/>
                <w:color w:val="auto"/>
              </w:rPr>
              <w:t>（3）落实政府采购政策需满足的资格要求</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color w:val="auto"/>
              </w:rPr>
              <w:t>；</w:t>
            </w:r>
          </w:p>
          <w:p>
            <w:pPr>
              <w:tabs>
                <w:tab w:val="left" w:pos="1418"/>
              </w:tabs>
              <w:spacing w:line="360" w:lineRule="auto"/>
              <w:ind w:firstLine="420" w:firstLineChars="200"/>
              <w:contextualSpacing/>
              <w:rPr>
                <w:color w:val="auto"/>
              </w:rPr>
            </w:pPr>
            <w:r>
              <w:rPr>
                <w:rFonts w:hint="eastAsia"/>
                <w:color w:val="auto"/>
              </w:rPr>
              <w:t>（4）投标人的特定条件的证明文件（如有）。</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9.1.2.商务技术文件</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（3）技术条款偏离表；</w:t>
            </w:r>
          </w:p>
          <w:p>
            <w:pPr>
              <w:widowControl/>
              <w:spacing w:line="360" w:lineRule="auto"/>
              <w:ind w:firstLine="42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（4）商务条款偏离表；</w:t>
            </w:r>
          </w:p>
          <w:p>
            <w:pPr>
              <w:widowControl/>
              <w:spacing w:line="360" w:lineRule="auto"/>
              <w:ind w:firstLine="42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所投两轮摩托车须满足机动车登记注册上牌照要求（投标文件中须提供承诺书</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格式自拟）</w:t>
            </w:r>
            <w:r>
              <w:rPr>
                <w:rFonts w:hint="eastAsia" w:ascii="Times New Roman" w:hAnsi="Times New Roman" w:eastAsia="宋体" w:cs="Times New Roman"/>
                <w:color w:val="000000" w:themeColor="text1"/>
                <w14:textFill>
                  <w14:solidFill>
                    <w14:schemeClr w14:val="tx1"/>
                  </w14:solidFill>
                </w14:textFill>
              </w:rPr>
              <w:t>）</w:t>
            </w:r>
          </w:p>
          <w:p>
            <w:pPr>
              <w:widowControl/>
              <w:spacing w:line="360" w:lineRule="auto"/>
              <w:ind w:firstLine="420" w:firstLineChars="20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）第六部分“评标</w:t>
            </w:r>
            <w:r>
              <w:rPr>
                <w:rFonts w:hint="eastAsia"/>
                <w:color w:val="000000" w:themeColor="text1"/>
                <w14:textFill>
                  <w14:solidFill>
                    <w14:schemeClr w14:val="tx1"/>
                  </w14:solidFill>
                </w14:textFill>
              </w:rPr>
              <w:t>办法”中“评分标准”要求提供的资料（如有需提供）。</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9.1.3.报价文件</w:t>
            </w:r>
          </w:p>
          <w:p>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（1）投标函；</w:t>
            </w:r>
          </w:p>
          <w:p>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（2）开标一览表；</w:t>
            </w:r>
          </w:p>
          <w:p>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（3）投标分项报价表；</w:t>
            </w:r>
          </w:p>
          <w:p>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（4）享受政府采购价格优惠政策需提供的证明资料（如有）。</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附件1：中小企业声明函</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附件2：残疾人福利性单位声明函</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9.1.4.注意事项</w:t>
            </w:r>
          </w:p>
          <w:p>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★（1）电子投标文件中所须加盖公章部分均采用 CA 签章。</w:t>
            </w:r>
          </w:p>
          <w:p>
            <w:pPr>
              <w:numPr>
                <w:ilvl w:val="0"/>
                <w:numId w:val="4"/>
              </w:numPr>
              <w:spacing w:line="400" w:lineRule="exact"/>
              <w:rPr>
                <w:rFonts w:ascii="宋体" w:hAnsi="宋体" w:cs="宋体"/>
                <w:b/>
                <w:bCs/>
                <w:color w:val="000000" w:themeColor="text1"/>
                <w14:textFill>
                  <w14:solidFill>
                    <w14:schemeClr w14:val="tx1"/>
                  </w14:solidFill>
                </w14:textFill>
              </w:rPr>
            </w:pPr>
            <w:r>
              <w:rPr>
                <w:rFonts w:hint="eastAsia"/>
                <w:color w:val="000000" w:themeColor="text1"/>
                <w14:textFill>
                  <w14:solidFill>
                    <w14:schemeClr w14:val="tx1"/>
                  </w14:solidFill>
                </w14:textFill>
              </w:rPr>
              <w:t>上述组成投标文件的各项资料中本招标文件的有规定格式的，应统一按本招标文件的规定格式填写。未有规定格式的资料，投标人应自行编制，但至少要包含以上要求的内容。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10.1</w:t>
            </w:r>
          </w:p>
        </w:tc>
        <w:tc>
          <w:tcPr>
            <w:tcW w:w="7466" w:type="dxa"/>
            <w:vAlign w:val="center"/>
          </w:tcPr>
          <w:p>
            <w:pPr>
              <w:spacing w:line="360" w:lineRule="auto"/>
              <w:rPr>
                <w:szCs w:val="21"/>
                <w:highlight w:val="none"/>
              </w:rPr>
            </w:pPr>
            <w:r>
              <w:rPr>
                <w:rFonts w:hint="eastAsia" w:ascii="宋体" w:hAnsi="宋体" w:cs="宋体"/>
                <w:color w:val="000000" w:themeColor="text1"/>
                <w14:textFill>
                  <w14:solidFill>
                    <w14:schemeClr w14:val="tx1"/>
                  </w14:solidFill>
                </w14:textFill>
              </w:rPr>
              <w:t>投标报价应是招标文件所确定的招标范围内全部工作内容的价格表现，</w:t>
            </w:r>
            <w:r>
              <w:rPr>
                <w:rFonts w:hint="eastAsia" w:ascii="宋体" w:hAnsi="宋体" w:cs="宋体"/>
                <w:color w:val="000000" w:themeColor="text1"/>
                <w:lang w:val="en-US" w:eastAsia="zh-CN"/>
                <w14:textFill>
                  <w14:solidFill>
                    <w14:schemeClr w14:val="tx1"/>
                  </w14:solidFill>
                </w14:textFill>
              </w:rPr>
              <w:t>包</w:t>
            </w:r>
            <w:r>
              <w:rPr>
                <w:rFonts w:hint="eastAsia"/>
                <w:szCs w:val="21"/>
                <w:highlight w:val="none"/>
              </w:rPr>
              <w:t>含但不仅限于产品购置费、加装费用、运输费、安装调试费、验收费、技术服务费、质保期内维护费、辅料费和税金等。如有漏项，视同已包含在其它项目中，合同总价和单价不作调整。招标文件未列明，而投标人认为必需的费用也需列入报价</w:t>
            </w:r>
            <w:r>
              <w:rPr>
                <w:rFonts w:hint="eastAsia" w:ascii="宋体" w:hAnsi="宋体"/>
                <w:szCs w:val="21"/>
                <w:highlight w:val="none"/>
              </w:rPr>
              <w:t>。</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7"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10</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5</w:t>
            </w:r>
          </w:p>
        </w:tc>
        <w:tc>
          <w:tcPr>
            <w:tcW w:w="7466" w:type="dxa"/>
            <w:vAlign w:val="center"/>
          </w:tcPr>
          <w:p>
            <w:pPr>
              <w:spacing w:line="40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本项目采用最高投标限价，超过最高限价的投标将被判定为无效投标。</w:t>
            </w:r>
          </w:p>
          <w:p>
            <w:pPr>
              <w:spacing w:line="40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本项目最高限价为</w:t>
            </w:r>
            <w:r>
              <w:rPr>
                <w:rFonts w:hint="eastAsia" w:ascii="宋体" w:hAnsi="宋体" w:cs="宋体"/>
                <w:b/>
                <w:bCs/>
                <w:color w:val="000000" w:themeColor="text1"/>
                <w:u w:val="single"/>
                <w:lang w:val="en-US" w:eastAsia="zh-CN"/>
                <w14:textFill>
                  <w14:solidFill>
                    <w14:schemeClr w14:val="tx1"/>
                  </w14:solidFill>
                </w14:textFill>
              </w:rPr>
              <w:t>139.3</w:t>
            </w:r>
            <w:r>
              <w:rPr>
                <w:rFonts w:hint="eastAsia" w:ascii="宋体" w:hAnsi="宋体" w:cs="宋体"/>
                <w:b/>
                <w:bCs/>
                <w:color w:val="000000" w:themeColor="text1"/>
                <w:u w:val="single"/>
                <w14:textFill>
                  <w14:solidFill>
                    <w14:schemeClr w14:val="tx1"/>
                  </w14:solidFill>
                </w14:textFill>
              </w:rPr>
              <w:t>万元</w:t>
            </w:r>
            <w:r>
              <w:rPr>
                <w:rFonts w:hint="eastAsia" w:ascii="宋体" w:hAnsi="宋体" w:cs="宋体"/>
                <w:b/>
                <w:bCs/>
                <w:color w:val="000000" w:themeColor="text1"/>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w:t>
            </w:r>
          </w:p>
        </w:tc>
        <w:tc>
          <w:tcPr>
            <w:tcW w:w="7466" w:type="dxa"/>
            <w:vAlign w:val="center"/>
          </w:tcPr>
          <w:p>
            <w:pPr>
              <w:widowControl/>
              <w:spacing w:line="400" w:lineRule="exact"/>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投标文件数量要求：</w:t>
            </w:r>
          </w:p>
          <w:p>
            <w:pPr>
              <w:widowControl/>
              <w:spacing w:line="400" w:lineRule="exact"/>
              <w:rPr>
                <w:rFonts w:cs="宋体" w:asciiTheme="minorEastAsia" w:hAnsiTheme="minorEastAsia" w:eastAsiaTheme="minorEastAsia"/>
                <w:color w:val="000000" w:themeColor="text1"/>
                <w:kern w:val="0"/>
                <w:sz w:val="24"/>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cs="宋体" w:asciiTheme="minorEastAsia" w:hAnsiTheme="minorEastAsia" w:eastAsiaTheme="minorEastAsia"/>
                <w:color w:val="000000" w:themeColor="text1"/>
                <w:kern w:val="0"/>
                <w14:textFill>
                  <w14:solidFill>
                    <w14:schemeClr w14:val="tx1"/>
                  </w14:solidFill>
                </w14:textFill>
              </w:rPr>
              <w:t>1、上传到政府采购云平台的电子投标文件（含资格文件 1 份、商务技术文件 1 份、报价文件 1 份）。</w:t>
            </w:r>
          </w:p>
          <w:p>
            <w:pPr>
              <w:widowControl/>
              <w:spacing w:line="400" w:lineRule="exac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2、以 U 盘形式存储的电子备份投标文件（含资格文件 1 份、商务技术文件 1 份、报价文件1 份）。</w:t>
            </w:r>
          </w:p>
          <w:p>
            <w:pPr>
              <w:widowControl/>
              <w:spacing w:line="400" w:lineRule="exac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b/>
                <w:bCs/>
                <w:color w:val="000000" w:themeColor="text1"/>
                <w:kern w:val="0"/>
                <w14:textFill>
                  <w14:solidFill>
                    <w14:schemeClr w14:val="tx1"/>
                  </w14:solidFill>
                </w14:textFill>
              </w:rPr>
              <w:t>注：（1）电子备份投标文件不作实质性要求，是否提交由投标人自行决定。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w:t>
            </w:r>
          </w:p>
        </w:tc>
        <w:tc>
          <w:tcPr>
            <w:tcW w:w="7466" w:type="dxa"/>
            <w:vAlign w:val="center"/>
          </w:tcPr>
          <w:p>
            <w:pPr>
              <w:spacing w:line="400" w:lineRule="exact"/>
              <w:rPr>
                <w:rFonts w:ascii="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投标有效期</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90 </w:t>
            </w:r>
            <w:r>
              <w:rPr>
                <w:rFonts w:hint="eastAsia" w:ascii="宋体" w:hAnsi="宋体" w:cs="宋体"/>
                <w:color w:val="000000" w:themeColor="text1"/>
                <w14:textFill>
                  <w14:solidFill>
                    <w14:schemeClr w14:val="tx1"/>
                  </w14:solidFill>
                </w14:textFill>
              </w:rPr>
              <w:t>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p>
        </w:tc>
        <w:tc>
          <w:tcPr>
            <w:tcW w:w="7466" w:type="dxa"/>
            <w:vAlign w:val="center"/>
          </w:tcPr>
          <w:p>
            <w:pPr>
              <w:spacing w:line="40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投标保证金金额：</w:t>
            </w:r>
            <w:r>
              <w:rPr>
                <w:rFonts w:hint="eastAsia" w:ascii="宋体" w:hAnsi="宋体" w:cs="宋体"/>
                <w:color w:val="000000" w:themeColor="text1"/>
                <w14:textFill>
                  <w14:solidFill>
                    <w14:schemeClr w14:val="tx1"/>
                  </w14:solidFill>
                </w14:textFill>
              </w:rPr>
              <w:t>无</w:t>
            </w:r>
            <w:r>
              <w:rPr>
                <w:rFonts w:hint="eastAsia" w:ascii="宋体" w:hAnsi="宋体" w:cs="宋体"/>
                <w:b/>
                <w:bCs/>
                <w:color w:val="000000" w:themeColor="text1"/>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.1</w:t>
            </w:r>
          </w:p>
        </w:tc>
        <w:tc>
          <w:tcPr>
            <w:tcW w:w="7466" w:type="dxa"/>
            <w:vAlign w:val="center"/>
          </w:tcPr>
          <w:p>
            <w:pPr>
              <w:spacing w:line="400" w:lineRule="exact"/>
              <w:rPr>
                <w:rFonts w:ascii="宋体"/>
                <w:color w:val="000000" w:themeColor="text1"/>
                <w14:textFill>
                  <w14:solidFill>
                    <w14:schemeClr w14:val="tx1"/>
                  </w14:solidFill>
                </w14:textFill>
              </w:rPr>
            </w:pPr>
            <w:r>
              <w:rPr>
                <w:rFonts w:hint="eastAsia" w:ascii="宋体" w:hAnsi="宋体" w:cs="宋体"/>
                <w:color w:val="auto"/>
                <w:highlight w:val="none"/>
              </w:rPr>
              <w:t>提交投标文件截止时间</w:t>
            </w:r>
            <w:r>
              <w:rPr>
                <w:rFonts w:hint="eastAsia" w:ascii="宋体" w:hAnsi="宋体" w:cs="宋体"/>
                <w:color w:val="000000" w:themeColor="text1"/>
                <w14:textFill>
                  <w14:solidFill>
                    <w14:schemeClr w14:val="tx1"/>
                  </w14:solidFill>
                </w14:textFill>
              </w:rPr>
              <w:t>：</w:t>
            </w:r>
            <w:r>
              <w:rPr>
                <w:rFonts w:hint="eastAsia" w:ascii="宋体" w:hAnsi="宋体" w:cs="宋体"/>
                <w:szCs w:val="21"/>
                <w:highlight w:val="none"/>
              </w:rPr>
              <w:t>详见第一章公开招标采购公告。</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879" w:type="dxa"/>
            <w:vAlign w:val="center"/>
          </w:tcPr>
          <w:p>
            <w:pPr>
              <w:spacing w:line="380" w:lineRule="exact"/>
              <w:jc w:val="center"/>
              <w:rPr>
                <w:rFonts w:ascii="宋体" w:hAnsi="宋体" w:cs="宋体"/>
                <w:color w:val="000000" w:themeColor="text1"/>
                <w14:textFill>
                  <w14:solidFill>
                    <w14:schemeClr w14:val="tx1"/>
                  </w14:solidFill>
                </w14:textFill>
              </w:rPr>
            </w:pPr>
            <w:r>
              <w:rPr>
                <w:rFonts w:hint="eastAsia" w:ascii="宋体" w:hAnsi="宋体" w:cs="宋体"/>
                <w:color w:val="auto"/>
                <w:szCs w:val="21"/>
              </w:rPr>
              <w:t>28.1</w:t>
            </w:r>
          </w:p>
        </w:tc>
        <w:tc>
          <w:tcPr>
            <w:tcW w:w="7466" w:type="dxa"/>
            <w:vAlign w:val="center"/>
          </w:tcPr>
          <w:p>
            <w:pPr>
              <w:pStyle w:val="152"/>
              <w:numPr>
                <w:ilvl w:val="0"/>
                <w:numId w:val="0"/>
              </w:numPr>
              <w:spacing w:line="400" w:lineRule="exact"/>
              <w:rPr>
                <w:rFonts w:ascii="宋体" w:hAnsi="宋体" w:cs="宋体"/>
                <w:color w:val="auto"/>
              </w:rPr>
            </w:pPr>
            <w:r>
              <w:rPr>
                <w:rFonts w:hint="eastAsia" w:ascii="宋体" w:hAnsi="宋体" w:cs="宋体"/>
                <w:color w:val="auto"/>
              </w:rPr>
              <w:t>1.</w:t>
            </w:r>
            <w:r>
              <w:rPr>
                <w:rFonts w:hint="eastAsia" w:ascii="宋体" w:hAnsi="宋体" w:cs="宋体"/>
                <w:szCs w:val="21"/>
                <w:highlight w:val="none"/>
              </w:rPr>
              <w:t>招标代理服务费的收取标准：本项目服务费用参照宁波市招标投标协会关于印发《宁波市招标（采购）代理服务收费指导意见》通知规定的服务标准（下表，按照累进制计算）下浮20%，按照预算中标金额向中标人收取服务费，不足10000元的按10000元收取。</w:t>
            </w:r>
          </w:p>
          <w:p>
            <w:pPr>
              <w:spacing w:line="380" w:lineRule="exact"/>
              <w:jc w:val="center"/>
              <w:rPr>
                <w:rFonts w:hAnsi="宋体"/>
                <w:color w:val="auto"/>
              </w:rPr>
            </w:pPr>
            <w:r>
              <w:rPr>
                <w:szCs w:val="21"/>
                <w:highlight w:val="none"/>
              </w:rPr>
              <w:drawing>
                <wp:anchor distT="0" distB="0" distL="114300" distR="114300" simplePos="0" relativeHeight="251659264" behindDoc="1" locked="0" layoutInCell="1" allowOverlap="1">
                  <wp:simplePos x="0" y="0"/>
                  <wp:positionH relativeFrom="column">
                    <wp:posOffset>245745</wp:posOffset>
                  </wp:positionH>
                  <wp:positionV relativeFrom="paragraph">
                    <wp:posOffset>227965</wp:posOffset>
                  </wp:positionV>
                  <wp:extent cx="3604895" cy="1901190"/>
                  <wp:effectExtent l="0" t="0" r="14605" b="3810"/>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7"/>
                          <a:stretch>
                            <a:fillRect/>
                          </a:stretch>
                        </pic:blipFill>
                        <pic:spPr>
                          <a:xfrm>
                            <a:off x="0" y="0"/>
                            <a:ext cx="3604895" cy="1901190"/>
                          </a:xfrm>
                          <a:prstGeom prst="rect">
                            <a:avLst/>
                          </a:prstGeom>
                          <a:noFill/>
                          <a:ln>
                            <a:noFill/>
                          </a:ln>
                        </pic:spPr>
                      </pic:pic>
                    </a:graphicData>
                  </a:graphic>
                </wp:anchor>
              </w:drawing>
            </w:r>
            <w:r>
              <w:rPr>
                <w:rFonts w:hint="eastAsia" w:hAnsi="宋体"/>
                <w:color w:val="auto"/>
              </w:rPr>
              <w:t>收取中标服务费标准（分档累计）</w:t>
            </w: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int="eastAsia" w:hAnsi="宋体"/>
                <w:color w:val="auto"/>
              </w:rPr>
            </w:pPr>
          </w:p>
          <w:p>
            <w:pPr>
              <w:spacing w:line="380" w:lineRule="exact"/>
              <w:jc w:val="left"/>
              <w:rPr>
                <w:rFonts w:hAnsi="宋体"/>
                <w:color w:val="auto"/>
              </w:rPr>
            </w:pPr>
            <w:r>
              <w:rPr>
                <w:rFonts w:hint="eastAsia" w:hAnsi="宋体"/>
                <w:color w:val="auto"/>
              </w:rPr>
              <w:t>2.中标人负责承担中标服务费，并应在采购代理机构发出中标通知书5个工作日内向采购代理机构支付中标服务费。</w:t>
            </w:r>
          </w:p>
          <w:p>
            <w:pPr>
              <w:spacing w:line="380" w:lineRule="exact"/>
              <w:jc w:val="left"/>
              <w:rPr>
                <w:color w:val="auto"/>
              </w:rPr>
            </w:pPr>
            <w:r>
              <w:rPr>
                <w:rFonts w:hint="eastAsia" w:hAnsi="宋体"/>
                <w:color w:val="auto"/>
              </w:rPr>
              <w:t>3.中标服务费只收现金、银行票汇款、电汇款。</w:t>
            </w:r>
            <w:r>
              <w:rPr>
                <w:rFonts w:ascii="宋体" w:hAnsi="宋体"/>
                <w:color w:val="auto"/>
                <w:szCs w:val="21"/>
              </w:rPr>
              <w:t>请按下述开户银行及账号汇款（汇款单上应注明汇款用途及招标编号</w:t>
            </w:r>
            <w:r>
              <w:rPr>
                <w:rFonts w:hint="eastAsia" w:ascii="宋体" w:hAnsi="宋体"/>
                <w:color w:val="auto"/>
                <w:szCs w:val="21"/>
              </w:rPr>
              <w:t>）：</w:t>
            </w:r>
          </w:p>
          <w:p>
            <w:pPr>
              <w:spacing w:line="380" w:lineRule="exact"/>
              <w:jc w:val="left"/>
              <w:rPr>
                <w:rFonts w:hAnsi="宋体"/>
                <w:b/>
                <w:bCs/>
                <w:color w:val="auto"/>
              </w:rPr>
            </w:pPr>
            <w:r>
              <w:rPr>
                <w:rFonts w:hint="eastAsia" w:hAnsi="宋体"/>
                <w:b/>
                <w:bCs/>
                <w:color w:val="auto"/>
              </w:rPr>
              <w:t>户名：宁波国际投资咨询有限公司</w:t>
            </w:r>
          </w:p>
          <w:p>
            <w:pPr>
              <w:spacing w:line="380" w:lineRule="exact"/>
              <w:jc w:val="left"/>
              <w:rPr>
                <w:rFonts w:hAnsi="宋体"/>
                <w:b/>
                <w:bCs/>
                <w:color w:val="auto"/>
              </w:rPr>
            </w:pPr>
            <w:r>
              <w:rPr>
                <w:rFonts w:hint="eastAsia" w:hAnsi="宋体"/>
                <w:b/>
                <w:bCs/>
                <w:color w:val="auto"/>
              </w:rPr>
              <w:t>开户银行：上海浦东发展银行宁波解放路支行</w:t>
            </w:r>
          </w:p>
          <w:p>
            <w:pPr>
              <w:spacing w:line="380" w:lineRule="exact"/>
              <w:jc w:val="left"/>
              <w:rPr>
                <w:rFonts w:hint="eastAsia" w:ascii="宋体" w:hAnsi="宋体" w:cs="宋体"/>
                <w:color w:val="000000" w:themeColor="text1"/>
                <w14:textFill>
                  <w14:solidFill>
                    <w14:schemeClr w14:val="tx1"/>
                  </w14:solidFill>
                </w14:textFill>
              </w:rPr>
            </w:pPr>
            <w:r>
              <w:rPr>
                <w:rFonts w:hint="eastAsia" w:hAnsi="宋体"/>
                <w:b/>
                <w:bCs/>
                <w:color w:val="auto"/>
              </w:rPr>
              <w:t>账号：94150078801400000630</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879" w:type="dxa"/>
            <w:vAlign w:val="center"/>
          </w:tcPr>
          <w:p>
            <w:pPr>
              <w:spacing w:before="143" w:beforeLines="50"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w:t>
            </w:r>
          </w:p>
        </w:tc>
        <w:tc>
          <w:tcPr>
            <w:tcW w:w="7466" w:type="dxa"/>
            <w:vAlign w:val="center"/>
          </w:tcPr>
          <w:p>
            <w:pPr>
              <w:spacing w:line="400" w:lineRule="exact"/>
              <w:ind w:left="788" w:hanging="787" w:hangingChars="375"/>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发布本项目招标公告、中标公示的媒体：</w:t>
            </w:r>
          </w:p>
          <w:p>
            <w:pPr>
              <w:spacing w:line="400" w:lineRule="exact"/>
              <w:ind w:left="788" w:hanging="787" w:hangingChars="375"/>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浙江政府采购网</w:t>
            </w:r>
            <w:r>
              <w:rPr>
                <w:rFonts w:ascii="宋体" w:hAnsi="宋体" w:cs="宋体"/>
                <w:color w:val="000000" w:themeColor="text1"/>
                <w:u w:val="single"/>
                <w14:textFill>
                  <w14:solidFill>
                    <w14:schemeClr w14:val="tx1"/>
                  </w14:solidFill>
                </w14:textFill>
              </w:rPr>
              <w:t>https://zfcg.czt.zj.gov.cn/</w:t>
            </w:r>
          </w:p>
          <w:p>
            <w:pPr>
              <w:spacing w:line="40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宁波政府采购网</w:t>
            </w:r>
            <w:r>
              <w:fldChar w:fldCharType="begin"/>
            </w:r>
            <w:r>
              <w:instrText xml:space="preserve"> HYPERLINK "http://www.nbzfcg.cn" </w:instrText>
            </w:r>
            <w:r>
              <w:fldChar w:fldCharType="separate"/>
            </w:r>
            <w:r>
              <w:rPr>
                <w:rStyle w:val="45"/>
                <w:rFonts w:hint="eastAsia" w:ascii="宋体" w:hAnsi="宋体" w:cs="宋体"/>
                <w:color w:val="000000" w:themeColor="text1"/>
                <w:lang w:eastAsia="zh-CN"/>
                <w14:textFill>
                  <w14:solidFill>
                    <w14:schemeClr w14:val="tx1"/>
                  </w14:solidFill>
                </w14:textFill>
              </w:rPr>
              <w:t>https://zfcg.czj.ningbo.gov.cn/</w:t>
            </w:r>
            <w:r>
              <w:rPr>
                <w:rStyle w:val="45"/>
                <w:rFonts w:ascii="宋体" w:hAnsi="宋体" w:cs="宋体"/>
                <w:color w:val="000000" w:themeColor="text1"/>
                <w14:textFill>
                  <w14:solidFill>
                    <w14:schemeClr w14:val="tx1"/>
                  </w14:solidFill>
                </w14:textFill>
              </w:rPr>
              <w:fldChar w:fldCharType="end"/>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atLeast"/>
        </w:trPr>
        <w:tc>
          <w:tcPr>
            <w:tcW w:w="879" w:type="dxa"/>
            <w:tcBorders>
              <w:bottom w:val="single" w:color="auto" w:sz="12" w:space="0"/>
            </w:tcBorders>
            <w:vAlign w:val="center"/>
          </w:tcPr>
          <w:p>
            <w:pPr>
              <w:spacing w:before="143" w:before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w:t>
            </w:r>
          </w:p>
        </w:tc>
        <w:tc>
          <w:tcPr>
            <w:tcW w:w="7466" w:type="dxa"/>
            <w:tcBorders>
              <w:bottom w:val="single" w:color="auto" w:sz="12" w:space="0"/>
            </w:tcBorders>
            <w:vAlign w:val="center"/>
          </w:tcPr>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本项目对应的中小企业划分标准所属行业：</w:t>
            </w:r>
            <w:r>
              <w:rPr>
                <w:rFonts w:hint="eastAsia" w:ascii="宋体" w:hAnsi="宋体" w:cs="宋体"/>
                <w:b/>
                <w:bCs/>
                <w:color w:val="000000" w:themeColor="text1"/>
                <w:u w:val="single"/>
                <w14:textFill>
                  <w14:solidFill>
                    <w14:schemeClr w14:val="tx1"/>
                  </w14:solidFill>
                </w14:textFill>
              </w:rPr>
              <w:t>工业</w:t>
            </w:r>
          </w:p>
        </w:tc>
      </w:tr>
    </w:tbl>
    <w:p>
      <w:pPr>
        <w:pStyle w:val="3"/>
        <w:spacing w:before="286" w:after="286"/>
        <w:rPr>
          <w:rFonts w:cs="宋体"/>
          <w:color w:val="000000" w:themeColor="text1"/>
          <w:sz w:val="32"/>
          <w:szCs w:val="32"/>
          <w14:textFill>
            <w14:solidFill>
              <w14:schemeClr w14:val="tx1"/>
            </w14:solidFill>
          </w14:textFill>
        </w:rPr>
        <w:sectPr>
          <w:headerReference r:id="rId8" w:type="default"/>
          <w:footerReference r:id="rId9" w:type="default"/>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bookmarkStart w:id="60" w:name="_Toc316649292"/>
    </w:p>
    <w:bookmarkEnd w:id="60"/>
    <w:p>
      <w:pPr>
        <w:jc w:val="center"/>
        <w:outlineLvl w:val="1"/>
        <w:rPr>
          <w:rFonts w:ascii="宋体" w:hAnsi="宋体" w:cs="宋体"/>
          <w:b/>
          <w:bCs/>
          <w:color w:val="000000" w:themeColor="text1"/>
          <w:sz w:val="28"/>
          <w:szCs w:val="28"/>
          <w14:textFill>
            <w14:solidFill>
              <w14:schemeClr w14:val="tx1"/>
            </w14:solidFill>
          </w14:textFill>
        </w:rPr>
      </w:pPr>
      <w:bookmarkStart w:id="61" w:name="_Toc440276561"/>
      <w:bookmarkStart w:id="62" w:name="_Toc141797114"/>
      <w:bookmarkStart w:id="63" w:name="_Toc513798900"/>
      <w:bookmarkStart w:id="64" w:name="_Toc520902394"/>
      <w:bookmarkStart w:id="65" w:name="_Toc513799071"/>
      <w:bookmarkStart w:id="66" w:name="_Toc497935707"/>
      <w:bookmarkStart w:id="67" w:name="_Toc481153658"/>
      <w:bookmarkStart w:id="68" w:name="_Toc501721427"/>
      <w:bookmarkStart w:id="69" w:name="_Toc481153623"/>
      <w:bookmarkStart w:id="70" w:name="_Toc502819341"/>
      <w:bookmarkStart w:id="71" w:name="_Toc501721316"/>
      <w:bookmarkStart w:id="72" w:name="_Toc316649293"/>
      <w:bookmarkStart w:id="73" w:name="_Toc501721199"/>
    </w:p>
    <w:p>
      <w:pPr>
        <w:pStyle w:val="3"/>
        <w:spacing w:before="286" w:after="286"/>
        <w:rPr>
          <w:color w:val="000000" w:themeColor="text1"/>
          <w:sz w:val="32"/>
          <w:szCs w:val="32"/>
          <w14:textFill>
            <w14:solidFill>
              <w14:schemeClr w14:val="tx1"/>
            </w14:solidFill>
          </w14:textFill>
        </w:rPr>
        <w:sectPr>
          <w:headerReference r:id="rId10" w:type="default"/>
          <w:type w:val="continuous"/>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bookmarkStart w:id="74" w:name="_Toc136345100"/>
      <w:bookmarkStart w:id="75" w:name="_Toc141797673"/>
    </w:p>
    <w:p>
      <w:pPr>
        <w:pStyle w:val="3"/>
        <w:spacing w:before="286" w:after="286"/>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第四部分 投标人须知</w:t>
      </w:r>
      <w:bookmarkEnd w:id="74"/>
      <w:bookmarkEnd w:id="75"/>
    </w:p>
    <w:p>
      <w:pPr>
        <w:jc w:val="center"/>
        <w:outlineLvl w:val="1"/>
        <w:rPr>
          <w:rFonts w:ascii="宋体"/>
          <w:b/>
          <w:bCs/>
          <w:color w:val="000000" w:themeColor="text1"/>
          <w:sz w:val="28"/>
          <w:szCs w:val="28"/>
          <w14:textFill>
            <w14:solidFill>
              <w14:schemeClr w14:val="tx1"/>
            </w14:solidFill>
          </w14:textFill>
        </w:rPr>
      </w:pPr>
      <w:bookmarkStart w:id="76" w:name="_Toc141797674"/>
      <w:r>
        <w:rPr>
          <w:rFonts w:ascii="宋体" w:hAnsi="宋体" w:cs="宋体"/>
          <w:b/>
          <w:bCs/>
          <w:color w:val="000000" w:themeColor="text1"/>
          <w:sz w:val="28"/>
          <w:szCs w:val="28"/>
          <w14:textFill>
            <w14:solidFill>
              <w14:schemeClr w14:val="tx1"/>
            </w14:solidFill>
          </w14:textFill>
        </w:rPr>
        <w:t xml:space="preserve">A  </w:t>
      </w:r>
      <w:r>
        <w:rPr>
          <w:rFonts w:hint="eastAsia" w:ascii="宋体" w:hAnsi="宋体" w:cs="宋体"/>
          <w:b/>
          <w:bCs/>
          <w:color w:val="000000" w:themeColor="text1"/>
          <w:sz w:val="28"/>
          <w:szCs w:val="28"/>
          <w14:textFill>
            <w14:solidFill>
              <w14:schemeClr w14:val="tx1"/>
            </w14:solidFill>
          </w14:textFill>
        </w:rPr>
        <w:t>总则</w:t>
      </w:r>
      <w:bookmarkEnd w:id="61"/>
      <w:bookmarkEnd w:id="62"/>
      <w:bookmarkEnd w:id="63"/>
      <w:bookmarkEnd w:id="64"/>
      <w:bookmarkEnd w:id="65"/>
      <w:bookmarkEnd w:id="76"/>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   </w:t>
      </w:r>
      <w:r>
        <w:rPr>
          <w:rFonts w:hint="eastAsia" w:ascii="宋体" w:hAnsi="宋体" w:cs="宋体"/>
          <w:b/>
          <w:bCs/>
          <w:color w:val="000000" w:themeColor="text1"/>
          <w14:textFill>
            <w14:solidFill>
              <w14:schemeClr w14:val="tx1"/>
            </w14:solidFill>
          </w14:textFill>
        </w:rPr>
        <w:t>适用范围</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本招标文件适用于本项目的招标、投标、评标、定标、验收、合同履约、付款等行为（法律、法规另有规定的，从其规定）。</w:t>
      </w:r>
    </w:p>
    <w:p>
      <w:pPr>
        <w:spacing w:line="360" w:lineRule="auto"/>
        <w:rPr>
          <w:rFonts w:ascii="宋体"/>
          <w:b/>
          <w:bCs/>
          <w:color w:val="000000" w:themeColor="text1"/>
          <w14:textFill>
            <w14:solidFill>
              <w14:schemeClr w14:val="tx1"/>
            </w14:solidFill>
          </w14:textFill>
        </w:rPr>
      </w:pPr>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   </w:t>
      </w:r>
      <w:r>
        <w:rPr>
          <w:rFonts w:hint="eastAsia" w:ascii="宋体" w:hAnsi="宋体" w:cs="宋体"/>
          <w:b/>
          <w:bCs/>
          <w:color w:val="000000" w:themeColor="text1"/>
          <w14:textFill>
            <w14:solidFill>
              <w14:schemeClr w14:val="tx1"/>
            </w14:solidFill>
          </w14:textFill>
        </w:rPr>
        <w:t>定义</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“采购人”、“采购代理机构”和“项目名称”：见“投标资料表”。</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t>“投标人”</w:t>
      </w:r>
      <w:r>
        <w:rPr>
          <w:rFonts w:hint="eastAsia" w:ascii="宋体" w:hAnsi="宋体" w:cs="宋体"/>
          <w:bCs/>
          <w:color w:val="000000" w:themeColor="text1"/>
          <w14:textFill>
            <w14:solidFill>
              <w14:schemeClr w14:val="tx1"/>
            </w14:solidFill>
          </w14:textFill>
        </w:rPr>
        <w:t>系指采购人发布招标公告后，所有对招标项目有意向、并有可能参加本项目投标的法人、其他组织或者自然人。</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“产品”系指投标人按招标文件规定，须向采购人提供的一切设备、保险、税金、备品备件、工具、手册及其它有关技术资料和材料。</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“服务”系指招标文件规定投标人须承担的安装、调试、技术协助、校准、培训、技术指导以及其它类似的义务。</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2.5</w:t>
      </w:r>
      <w:r>
        <w:rPr>
          <w:rFonts w:hint="eastAsia" w:ascii="宋体" w:hAnsi="宋体" w:cs="宋体"/>
          <w:color w:val="000000" w:themeColor="text1"/>
          <w14:textFill>
            <w14:solidFill>
              <w14:schemeClr w14:val="tx1"/>
            </w14:solidFill>
          </w14:textFill>
        </w:rPr>
        <w:t>“项目”系指投标人按招标文件规定向采购人提供的货物或服务。</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t>“书面形式”包括信函、传真、邮件等。</w:t>
      </w:r>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2.7</w:t>
      </w:r>
      <w:r>
        <w:rPr>
          <w:rFonts w:hint="eastAsia" w:ascii="宋体" w:hAnsi="宋体" w:cs="宋体"/>
          <w:color w:val="000000" w:themeColor="text1"/>
          <w14:textFill>
            <w14:solidFill>
              <w14:schemeClr w14:val="tx1"/>
            </w14:solidFill>
          </w14:textFill>
        </w:rPr>
        <w:t>“★”系指实质性要求条款。投标文件对这些条款的任何负偏离将导致投标无效。</w:t>
      </w:r>
    </w:p>
    <w:p>
      <w:pPr>
        <w:spacing w:line="360" w:lineRule="auto"/>
        <w:rPr>
          <w:rFonts w:ascii="宋体"/>
          <w:b/>
          <w:bCs/>
          <w:color w:val="000000" w:themeColor="text1"/>
          <w14:textFill>
            <w14:solidFill>
              <w14:schemeClr w14:val="tx1"/>
            </w14:solidFill>
          </w14:textFill>
        </w:rPr>
      </w:pPr>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3.   </w:t>
      </w:r>
      <w:r>
        <w:rPr>
          <w:rFonts w:hint="eastAsia" w:ascii="宋体" w:hAnsi="宋体" w:cs="宋体"/>
          <w:b/>
          <w:bCs/>
          <w:color w:val="000000" w:themeColor="text1"/>
          <w14:textFill>
            <w14:solidFill>
              <w14:schemeClr w14:val="tx1"/>
            </w14:solidFill>
          </w14:textFill>
        </w:rPr>
        <w:t>招标范围</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3.1  </w:t>
      </w:r>
      <w:r>
        <w:rPr>
          <w:rFonts w:hint="eastAsia" w:ascii="宋体" w:hAnsi="宋体" w:cs="宋体"/>
          <w:color w:val="000000" w:themeColor="text1"/>
          <w14:textFill>
            <w14:solidFill>
              <w14:schemeClr w14:val="tx1"/>
            </w14:solidFill>
          </w14:textFill>
        </w:rPr>
        <w:t>招标范围：见“投标资料表”。</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本项目不得转包、分包。</w:t>
      </w:r>
    </w:p>
    <w:p>
      <w:pPr>
        <w:spacing w:line="360" w:lineRule="auto"/>
        <w:ind w:firstLine="210" w:firstLineChars="100"/>
        <w:rPr>
          <w:rFonts w:ascii="宋体"/>
          <w:b/>
          <w:bCs/>
          <w:color w:val="000000" w:themeColor="text1"/>
          <w14:textFill>
            <w14:solidFill>
              <w14:schemeClr w14:val="tx1"/>
            </w14:solidFill>
          </w14:textFill>
        </w:rPr>
      </w:pPr>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4.   </w:t>
      </w:r>
      <w:r>
        <w:rPr>
          <w:rFonts w:hint="eastAsia" w:ascii="宋体" w:hAnsi="宋体" w:cs="宋体"/>
          <w:b/>
          <w:bCs/>
          <w:color w:val="000000" w:themeColor="text1"/>
          <w14:textFill>
            <w14:solidFill>
              <w14:schemeClr w14:val="tx1"/>
            </w14:solidFill>
          </w14:textFill>
        </w:rPr>
        <w:t>合格的投标人</w:t>
      </w:r>
    </w:p>
    <w:p>
      <w:pPr>
        <w:spacing w:line="360" w:lineRule="auto"/>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4.1  </w:t>
      </w:r>
      <w:r>
        <w:rPr>
          <w:rFonts w:hint="eastAsia" w:ascii="宋体" w:hAnsi="宋体" w:cs="宋体"/>
          <w:color w:val="000000" w:themeColor="text1"/>
          <w14:textFill>
            <w14:solidFill>
              <w14:schemeClr w14:val="tx1"/>
            </w14:solidFill>
          </w14:textFill>
        </w:rPr>
        <w:t>合格的投标人应该是：</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t>符合本招标文件载明的对上述</w:t>
      </w:r>
      <w:r>
        <w:rPr>
          <w:rFonts w:ascii="宋体" w:hAnsi="宋体" w:cs="宋体"/>
          <w:b/>
          <w:bCs/>
          <w:color w:val="000000" w:themeColor="text1"/>
          <w14:textFill>
            <w14:solidFill>
              <w14:schemeClr w14:val="tx1"/>
            </w14:solidFill>
          </w14:textFill>
        </w:rPr>
        <w:t>4.1</w:t>
      </w:r>
      <w:r>
        <w:rPr>
          <w:rFonts w:hint="eastAsia" w:ascii="宋体" w:hAnsi="宋体" w:cs="宋体"/>
          <w:color w:val="000000" w:themeColor="text1"/>
          <w14:textFill>
            <w14:solidFill>
              <w14:schemeClr w14:val="tx1"/>
            </w14:solidFill>
          </w14:textFill>
        </w:rPr>
        <w:t>条的例外的规定或对投标人资格的其他补充要求：详见招标公告。</w:t>
      </w:r>
    </w:p>
    <w:p>
      <w:pPr>
        <w:spacing w:line="400" w:lineRule="exact"/>
        <w:rPr>
          <w:rFonts w:ascii="宋体"/>
          <w:color w:val="000000" w:themeColor="text1"/>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5.</w:t>
      </w:r>
      <w:r>
        <w:rPr>
          <w:rFonts w:hint="eastAsia" w:ascii="宋体" w:hAnsi="宋体" w:cs="宋体"/>
          <w:b/>
          <w:bCs/>
          <w:color w:val="000000" w:themeColor="text1"/>
          <w14:textFill>
            <w14:solidFill>
              <w14:schemeClr w14:val="tx1"/>
            </w14:solidFill>
          </w14:textFill>
        </w:rPr>
        <w:t>投标人代表</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5.1</w:t>
      </w:r>
      <w:r>
        <w:rPr>
          <w:rFonts w:hint="eastAsia" w:ascii="宋体" w:hAnsi="宋体" w:cs="宋体"/>
          <w:color w:val="000000" w:themeColor="text1"/>
          <w14:textFill>
            <w14:solidFill>
              <w14:schemeClr w14:val="tx1"/>
            </w14:solidFill>
          </w14:textFill>
        </w:rPr>
        <w:t>投标人代表须持有“单位负责人授权书”。单位负责人是指单位法定代表人或者法律、行政法规规定代表单位行使职权的主要负责人（下同）。</w:t>
      </w:r>
    </w:p>
    <w:p>
      <w:pPr>
        <w:spacing w:line="400" w:lineRule="exact"/>
        <w:rPr>
          <w:rFonts w:ascii="宋体"/>
          <w:color w:val="000000" w:themeColor="text1"/>
          <w:shd w:val="pct10" w:color="auto" w:fill="FFFFFF"/>
          <w14:textFill>
            <w14:solidFill>
              <w14:schemeClr w14:val="tx1"/>
            </w14:solidFill>
          </w14:textFill>
        </w:rPr>
      </w:pPr>
      <w:r>
        <w:rPr>
          <w:rFonts w:ascii="宋体" w:hAnsi="宋体" w:cs="宋体"/>
          <w:b/>
          <w:bCs/>
          <w:color w:val="000000" w:themeColor="text1"/>
          <w14:textFill>
            <w14:solidFill>
              <w14:schemeClr w14:val="tx1"/>
            </w14:solidFill>
          </w14:textFill>
        </w:rPr>
        <w:t xml:space="preserve">5.2  </w:t>
      </w:r>
      <w:r>
        <w:rPr>
          <w:rFonts w:hint="eastAsia" w:ascii="宋体" w:hAnsi="宋体" w:cs="宋体"/>
          <w:color w:val="000000" w:themeColor="text1"/>
          <w14:textFill>
            <w14:solidFill>
              <w14:schemeClr w14:val="tx1"/>
            </w14:solidFill>
          </w14:textFill>
        </w:rPr>
        <w:t>若投标人代表是单位负责人的，则须符合本须知第</w:t>
      </w:r>
      <w:r>
        <w:rPr>
          <w:rFonts w:ascii="宋体" w:hAnsi="宋体" w:cs="宋体"/>
          <w:b/>
          <w:bCs/>
          <w:color w:val="000000" w:themeColor="text1"/>
          <w14:textFill>
            <w14:solidFill>
              <w14:schemeClr w14:val="tx1"/>
            </w14:solidFill>
          </w14:textFill>
        </w:rPr>
        <w:t>9.1</w:t>
      </w:r>
      <w:r>
        <w:rPr>
          <w:rFonts w:hint="eastAsia" w:ascii="宋体" w:hAnsi="宋体" w:cs="宋体"/>
          <w:color w:val="000000" w:themeColor="text1"/>
          <w14:textFill>
            <w14:solidFill>
              <w14:schemeClr w14:val="tx1"/>
            </w14:solidFill>
          </w14:textFill>
        </w:rPr>
        <w:t>条的要求。</w:t>
      </w:r>
    </w:p>
    <w:p>
      <w:pPr>
        <w:spacing w:line="400" w:lineRule="exact"/>
        <w:rPr>
          <w:rFonts w:ascii="宋体"/>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6.</w:t>
      </w:r>
      <w:r>
        <w:rPr>
          <w:rFonts w:hint="eastAsia" w:ascii="宋体" w:hAnsi="宋体" w:cs="宋体"/>
          <w:b/>
          <w:bCs/>
          <w:color w:val="000000" w:themeColor="text1"/>
          <w14:textFill>
            <w14:solidFill>
              <w14:schemeClr w14:val="tx1"/>
            </w14:solidFill>
          </w14:textFill>
        </w:rPr>
        <w:t>投标费用</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t>不论招标的结果如何，投标人自行承担其参加本次投标有关的全部费用。</w:t>
      </w:r>
    </w:p>
    <w:p>
      <w:pPr>
        <w:spacing w:line="400" w:lineRule="exact"/>
        <w:jc w:val="center"/>
        <w:rPr>
          <w:rFonts w:ascii="宋体"/>
          <w:b/>
          <w:bCs/>
          <w:color w:val="000000" w:themeColor="text1"/>
          <w:sz w:val="28"/>
          <w:szCs w:val="28"/>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77" w:name="_Toc440276562"/>
      <w:bookmarkStart w:id="78" w:name="_Toc141797675"/>
      <w:bookmarkStart w:id="79" w:name="_Toc513798901"/>
      <w:bookmarkStart w:id="80" w:name="_Toc520902395"/>
      <w:bookmarkStart w:id="81" w:name="_Toc513799072"/>
      <w:bookmarkStart w:id="82" w:name="_Toc141797115"/>
      <w:r>
        <w:rPr>
          <w:rFonts w:ascii="宋体" w:hAnsi="宋体" w:cs="宋体"/>
          <w:b/>
          <w:bCs/>
          <w:color w:val="000000" w:themeColor="text1"/>
          <w:sz w:val="28"/>
          <w:szCs w:val="28"/>
          <w14:textFill>
            <w14:solidFill>
              <w14:schemeClr w14:val="tx1"/>
            </w14:solidFill>
          </w14:textFill>
        </w:rPr>
        <w:t xml:space="preserve">B  </w:t>
      </w:r>
      <w:r>
        <w:rPr>
          <w:rFonts w:hint="eastAsia" w:ascii="宋体" w:hAnsi="宋体" w:cs="宋体"/>
          <w:b/>
          <w:bCs/>
          <w:color w:val="000000" w:themeColor="text1"/>
          <w:sz w:val="28"/>
          <w:szCs w:val="28"/>
          <w14:textFill>
            <w14:solidFill>
              <w14:schemeClr w14:val="tx1"/>
            </w14:solidFill>
          </w14:textFill>
        </w:rPr>
        <w:t>招标文件</w:t>
      </w:r>
      <w:bookmarkEnd w:id="77"/>
      <w:bookmarkEnd w:id="78"/>
      <w:bookmarkEnd w:id="79"/>
      <w:bookmarkEnd w:id="80"/>
      <w:bookmarkEnd w:id="81"/>
      <w:bookmarkEnd w:id="82"/>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7.</w:t>
      </w:r>
      <w:r>
        <w:rPr>
          <w:rFonts w:hint="eastAsia" w:ascii="宋体" w:hAnsi="宋体" w:cs="宋体"/>
          <w:b/>
          <w:bCs/>
          <w:color w:val="000000" w:themeColor="text1"/>
          <w14:textFill>
            <w14:solidFill>
              <w14:schemeClr w14:val="tx1"/>
            </w14:solidFill>
          </w14:textFill>
        </w:rPr>
        <w:t>招标文件的构成</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7.1</w:t>
      </w:r>
      <w:r>
        <w:rPr>
          <w:rFonts w:hint="eastAsia" w:ascii="宋体" w:hAnsi="宋体" w:cs="宋体"/>
          <w:color w:val="000000" w:themeColor="text1"/>
          <w14:textFill>
            <w14:solidFill>
              <w14:schemeClr w14:val="tx1"/>
            </w14:solidFill>
          </w14:textFill>
        </w:rPr>
        <w:t>招标文件共有七部分。内容如下：</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第一部分 招标公告</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第二部分 招标项目需求</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第三部分 投标资料表</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第四部分 投标人须知</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第五部分 合同格式</w:t>
      </w:r>
    </w:p>
    <w:p>
      <w:pPr>
        <w:spacing w:line="400" w:lineRule="exact"/>
        <w:ind w:left="281" w:leftChars="1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第六部分 评标办法</w:t>
      </w:r>
    </w:p>
    <w:p>
      <w:pPr>
        <w:spacing w:line="400" w:lineRule="exact"/>
        <w:ind w:left="281" w:leftChars="134"/>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第七部分  附件（投标文件格式）</w:t>
      </w:r>
    </w:p>
    <w:p>
      <w:pPr>
        <w:spacing w:line="400" w:lineRule="exact"/>
        <w:ind w:firstLine="462" w:firstLineChars="22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投标人应详细阅读招标文件的全部内容和要求，不按招标文件的要求提供投标文件和资料导致的风险由投标人承担。</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7.2 </w:t>
      </w:r>
      <w:r>
        <w:rPr>
          <w:rFonts w:hint="eastAsia" w:ascii="宋体" w:hAnsi="宋体" w:cs="宋体"/>
          <w:color w:val="000000" w:themeColor="text1"/>
          <w14:textFill>
            <w14:solidFill>
              <w14:schemeClr w14:val="tx1"/>
            </w14:solidFill>
          </w14:textFill>
        </w:rPr>
        <w:t>与本项目有关的澄清或者修改的内容为招标文件的组成部分。</w:t>
      </w:r>
    </w:p>
    <w:p>
      <w:pPr>
        <w:spacing w:line="400" w:lineRule="exact"/>
        <w:ind w:firstLine="210" w:firstLineChars="100"/>
        <w:rPr>
          <w:rFonts w:ascii="宋体"/>
          <w:b/>
          <w:bCs/>
          <w:color w:val="000000" w:themeColor="text1"/>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8.</w:t>
      </w:r>
      <w:r>
        <w:rPr>
          <w:rFonts w:hint="eastAsia" w:ascii="宋体" w:hAnsi="宋体" w:cs="宋体"/>
          <w:b/>
          <w:bCs/>
          <w:color w:val="000000" w:themeColor="text1"/>
          <w14:textFill>
            <w14:solidFill>
              <w14:schemeClr w14:val="tx1"/>
            </w14:solidFill>
          </w14:textFill>
        </w:rPr>
        <w:t>招标文件的澄清和修改</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8.1</w:t>
      </w:r>
      <w:r>
        <w:rPr>
          <w:rFonts w:hint="eastAsia" w:ascii="宋体" w:hAnsi="宋体" w:cs="宋体"/>
          <w:color w:val="000000" w:themeColor="text1"/>
          <w14:textFill>
            <w14:solidFill>
              <w14:schemeClr w14:val="tx1"/>
            </w14:solidFill>
          </w14:textFill>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8.2  </w:t>
      </w:r>
      <w:r>
        <w:rPr>
          <w:rFonts w:hint="eastAsia" w:ascii="宋体" w:hAnsi="宋体" w:cs="宋体"/>
          <w:color w:val="000000" w:themeColor="text1"/>
          <w14:textFill>
            <w14:solidFill>
              <w14:schemeClr w14:val="tx1"/>
            </w14:solidFill>
          </w14:textFill>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8.3</w:t>
      </w:r>
      <w:r>
        <w:rPr>
          <w:rFonts w:hint="eastAsia" w:ascii="宋体" w:hAnsi="宋体" w:cs="宋体"/>
          <w:color w:val="000000" w:themeColor="text1"/>
          <w14:textFill>
            <w14:solidFill>
              <w14:schemeClr w14:val="tx1"/>
            </w14:solidFill>
          </w14:textFill>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8.4</w:t>
      </w:r>
      <w:r>
        <w:rPr>
          <w:rFonts w:hint="eastAsia" w:ascii="宋体" w:hAnsi="宋体" w:cs="宋体"/>
          <w:color w:val="000000" w:themeColor="text1"/>
          <w14:textFill>
            <w14:solidFill>
              <w14:schemeClr w14:val="tx1"/>
            </w14:solidFill>
          </w14:textFill>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color w:val="000000" w:themeColor="text1"/>
          <w:u w:val="single"/>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83" w:name="_Toc520902396"/>
      <w:bookmarkStart w:id="84" w:name="_Toc513798902"/>
      <w:bookmarkStart w:id="85" w:name="_Toc513799073"/>
      <w:bookmarkStart w:id="86" w:name="_Toc440276563"/>
      <w:bookmarkStart w:id="87" w:name="_Toc141797116"/>
      <w:bookmarkStart w:id="88" w:name="_Toc141797676"/>
      <w:r>
        <w:rPr>
          <w:rFonts w:ascii="宋体" w:hAnsi="宋体" w:cs="宋体"/>
          <w:b/>
          <w:bCs/>
          <w:color w:val="000000" w:themeColor="text1"/>
          <w:sz w:val="28"/>
          <w:szCs w:val="28"/>
          <w14:textFill>
            <w14:solidFill>
              <w14:schemeClr w14:val="tx1"/>
            </w14:solidFill>
          </w14:textFill>
        </w:rPr>
        <w:t xml:space="preserve">C  </w:t>
      </w:r>
      <w:r>
        <w:rPr>
          <w:rFonts w:hint="eastAsia" w:ascii="宋体" w:hAnsi="宋体" w:cs="宋体"/>
          <w:b/>
          <w:bCs/>
          <w:color w:val="000000" w:themeColor="text1"/>
          <w:sz w:val="28"/>
          <w:szCs w:val="28"/>
          <w14:textFill>
            <w14:solidFill>
              <w14:schemeClr w14:val="tx1"/>
            </w14:solidFill>
          </w14:textFill>
        </w:rPr>
        <w:t>投标文件</w:t>
      </w:r>
      <w:bookmarkEnd w:id="83"/>
      <w:bookmarkEnd w:id="84"/>
      <w:bookmarkEnd w:id="85"/>
      <w:bookmarkEnd w:id="86"/>
      <w:bookmarkEnd w:id="87"/>
      <w:bookmarkEnd w:id="88"/>
    </w:p>
    <w:p>
      <w:pPr>
        <w:spacing w:line="360" w:lineRule="auto"/>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9. </w:t>
      </w:r>
      <w:r>
        <w:rPr>
          <w:rFonts w:hint="eastAsia" w:ascii="宋体" w:hAnsi="宋体" w:cs="宋体"/>
          <w:b/>
          <w:bCs/>
          <w:color w:val="000000" w:themeColor="text1"/>
          <w14:textFill>
            <w14:solidFill>
              <w14:schemeClr w14:val="tx1"/>
            </w14:solidFill>
          </w14:textFill>
        </w:rPr>
        <w:t>投标文件的组成</w:t>
      </w:r>
    </w:p>
    <w:p>
      <w:pPr>
        <w:spacing w:line="400" w:lineRule="exact"/>
        <w:rPr>
          <w:rFonts w:ascii="宋体"/>
          <w:color w:val="000000" w:themeColor="text1"/>
          <w:kern w:val="0"/>
          <w:sz w:val="24"/>
          <w:szCs w:val="24"/>
          <w14:textFill>
            <w14:solidFill>
              <w14:schemeClr w14:val="tx1"/>
            </w14:solidFill>
          </w14:textFill>
        </w:rPr>
      </w:pPr>
      <w:r>
        <w:rPr>
          <w:rFonts w:ascii="宋体" w:hAnsi="宋体" w:cs="宋体"/>
          <w:b/>
          <w:bCs/>
          <w:color w:val="000000" w:themeColor="text1"/>
          <w14:textFill>
            <w14:solidFill>
              <w14:schemeClr w14:val="tx1"/>
            </w14:solidFill>
          </w14:textFill>
        </w:rPr>
        <w:t>9.1</w:t>
      </w:r>
      <w:r>
        <w:rPr>
          <w:rFonts w:hint="eastAsia" w:ascii="宋体" w:hAnsi="宋体" w:cs="宋体"/>
          <w:b/>
          <w:bCs/>
          <w:color w:val="000000" w:themeColor="text1"/>
          <w:kern w:val="0"/>
          <w14:textFill>
            <w14:solidFill>
              <w14:schemeClr w14:val="tx1"/>
            </w14:solidFill>
          </w14:textFill>
        </w:rPr>
        <w:t>投标文件的形式和效力</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）投标文件分为电子投标文件以及备份投标文件，备份投标文件为以</w:t>
      </w:r>
      <w:r>
        <w:rPr>
          <w:rFonts w:ascii="宋体" w:hAnsi="宋体" w:cs="宋体"/>
          <w:color w:val="000000" w:themeColor="text1"/>
          <w:kern w:val="0"/>
          <w14:textFill>
            <w14:solidFill>
              <w14:schemeClr w14:val="tx1"/>
            </w14:solidFill>
          </w14:textFill>
        </w:rPr>
        <w:t xml:space="preserve"> U </w:t>
      </w:r>
      <w:r>
        <w:rPr>
          <w:rFonts w:hint="eastAsia" w:ascii="宋体" w:hAnsi="宋体" w:cs="宋体"/>
          <w:color w:val="000000" w:themeColor="text1"/>
          <w:kern w:val="0"/>
          <w14:textFill>
            <w14:solidFill>
              <w14:schemeClr w14:val="tx1"/>
            </w14:solidFill>
          </w14:textFill>
        </w:rPr>
        <w:t>盘存储的电子备份投标文件。</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）电子投标文件，按“政采云供应商项目采购</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电子招投标操作指南”及本招标文件要求制作、加密并递交。</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）以</w:t>
      </w:r>
      <w:r>
        <w:rPr>
          <w:rFonts w:ascii="宋体" w:hAnsi="宋体" w:cs="宋体"/>
          <w:color w:val="000000" w:themeColor="text1"/>
          <w:kern w:val="0"/>
          <w14:textFill>
            <w14:solidFill>
              <w14:schemeClr w14:val="tx1"/>
            </w14:solidFill>
          </w14:textFill>
        </w:rPr>
        <w:t xml:space="preserve"> U </w:t>
      </w:r>
      <w:r>
        <w:rPr>
          <w:rFonts w:hint="eastAsia" w:ascii="宋体" w:hAnsi="宋体" w:cs="宋体"/>
          <w:color w:val="000000" w:themeColor="text1"/>
          <w:kern w:val="0"/>
          <w14:textFill>
            <w14:solidFill>
              <w14:schemeClr w14:val="tx1"/>
            </w14:solidFill>
          </w14:textFill>
        </w:rPr>
        <w:t>盘存储的电子备份投标文件，须按“政采云供应商项目采购</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电子招投标操作指南”制作的备份文件（后缀格式为“</w:t>
      </w:r>
      <w:r>
        <w:rPr>
          <w:rFonts w:ascii="宋体" w:hAnsi="宋体" w:cs="宋体"/>
          <w:color w:val="000000" w:themeColor="text1"/>
          <w:kern w:val="0"/>
          <w14:textFill>
            <w14:solidFill>
              <w14:schemeClr w14:val="tx1"/>
            </w14:solidFill>
          </w14:textFill>
        </w:rPr>
        <w:t>.bfbs</w:t>
      </w:r>
      <w:r>
        <w:rPr>
          <w:rFonts w:hint="eastAsia" w:ascii="宋体" w:hAnsi="宋体" w:cs="宋体"/>
          <w:color w:val="000000" w:themeColor="text1"/>
          <w:kern w:val="0"/>
          <w14:textFill>
            <w14:solidFill>
              <w14:schemeClr w14:val="tx1"/>
            </w14:solidFill>
          </w14:textFill>
        </w:rPr>
        <w:t>”）。因</w:t>
      </w:r>
      <w:r>
        <w:rPr>
          <w:rFonts w:ascii="宋体" w:hAnsi="宋体" w:cs="宋体"/>
          <w:color w:val="000000" w:themeColor="text1"/>
          <w:kern w:val="0"/>
          <w14:textFill>
            <w14:solidFill>
              <w14:schemeClr w14:val="tx1"/>
            </w14:solidFill>
          </w14:textFill>
        </w:rPr>
        <w:t xml:space="preserve"> U </w:t>
      </w:r>
      <w:r>
        <w:rPr>
          <w:rFonts w:hint="eastAsia" w:ascii="宋体" w:hAnsi="宋体" w:cs="宋体"/>
          <w:color w:val="000000" w:themeColor="text1"/>
          <w:kern w:val="0"/>
          <w14:textFill>
            <w14:solidFill>
              <w14:schemeClr w14:val="tx1"/>
            </w14:solidFill>
          </w14:textFill>
        </w:rPr>
        <w:t>盘损坏无法正常获取电子备份文件或</w:t>
      </w:r>
      <w:r>
        <w:rPr>
          <w:rFonts w:ascii="宋体" w:hAnsi="宋体" w:cs="宋体"/>
          <w:color w:val="000000" w:themeColor="text1"/>
          <w:kern w:val="0"/>
          <w14:textFill>
            <w14:solidFill>
              <w14:schemeClr w14:val="tx1"/>
            </w14:solidFill>
          </w14:textFill>
        </w:rPr>
        <w:t xml:space="preserve"> U </w:t>
      </w:r>
      <w:r>
        <w:rPr>
          <w:rFonts w:hint="eastAsia" w:ascii="宋体" w:hAnsi="宋体" w:cs="宋体"/>
          <w:color w:val="000000" w:themeColor="text1"/>
          <w:kern w:val="0"/>
          <w14:textFill>
            <w14:solidFill>
              <w14:schemeClr w14:val="tx1"/>
            </w14:solidFill>
          </w14:textFill>
        </w:rPr>
        <w:t>盘存储的电子备份投标文件格式原因未能成功上传政采云系统的均作无效标处理，一切责任由投标人自行负责。</w:t>
      </w:r>
    </w:p>
    <w:p>
      <w:pPr>
        <w:spacing w:line="400" w:lineRule="exact"/>
        <w:ind w:firstLine="420" w:firstLineChars="200"/>
        <w:rPr>
          <w:rFonts w:ascii="宋体"/>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4</w:t>
      </w:r>
      <w:r>
        <w:rPr>
          <w:rFonts w:hint="eastAsia" w:ascii="宋体" w:hAnsi="宋体" w:cs="宋体"/>
          <w:b/>
          <w:bCs/>
          <w:color w:val="000000" w:themeColor="text1"/>
          <w:kern w:val="0"/>
          <w14:textFill>
            <w14:solidFill>
              <w14:schemeClr w14:val="tx1"/>
            </w14:solidFill>
          </w14:textFill>
        </w:rPr>
        <w:t>）投标文件的效力：投标文件的启用，按先后顺位分别为电子投标文件、以</w:t>
      </w:r>
      <w:r>
        <w:rPr>
          <w:rFonts w:ascii="宋体" w:hAnsi="宋体" w:cs="宋体"/>
          <w:b/>
          <w:bCs/>
          <w:color w:val="000000" w:themeColor="text1"/>
          <w:kern w:val="0"/>
          <w14:textFill>
            <w14:solidFill>
              <w14:schemeClr w14:val="tx1"/>
            </w14:solidFill>
          </w14:textFill>
        </w:rPr>
        <w:t xml:space="preserve"> U </w:t>
      </w:r>
      <w:r>
        <w:rPr>
          <w:rFonts w:hint="eastAsia" w:ascii="宋体" w:hAnsi="宋体" w:cs="宋体"/>
          <w:b/>
          <w:bCs/>
          <w:color w:val="000000" w:themeColor="text1"/>
          <w:kern w:val="0"/>
          <w14:textFill>
            <w14:solidFill>
              <w14:schemeClr w14:val="tx1"/>
            </w14:solidFill>
          </w14:textFill>
        </w:rPr>
        <w:t>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9.2</w:t>
      </w:r>
      <w:r>
        <w:rPr>
          <w:rFonts w:hint="eastAsia" w:ascii="宋体" w:hAnsi="宋体" w:cs="宋体"/>
          <w:color w:val="000000" w:themeColor="text1"/>
          <w:kern w:val="0"/>
          <w14:textFill>
            <w14:solidFill>
              <w14:schemeClr w14:val="tx1"/>
            </w14:solidFill>
          </w14:textFill>
        </w:rPr>
        <w:t>投标文件由资格文件、商务技术文件和报价文件三部分组成，资格文件、商务技术文件、报价文件分别编制；电子投标文件中所须加盖公章部分均采用</w:t>
      </w:r>
      <w:r>
        <w:rPr>
          <w:rFonts w:ascii="宋体" w:hAnsi="宋体" w:cs="宋体"/>
          <w:color w:val="000000" w:themeColor="text1"/>
          <w:kern w:val="0"/>
          <w14:textFill>
            <w14:solidFill>
              <w14:schemeClr w14:val="tx1"/>
            </w14:solidFill>
          </w14:textFill>
        </w:rPr>
        <w:t xml:space="preserve"> CA </w:t>
      </w:r>
      <w:r>
        <w:rPr>
          <w:rFonts w:hint="eastAsia" w:ascii="宋体" w:hAnsi="宋体" w:cs="宋体"/>
          <w:color w:val="000000" w:themeColor="text1"/>
          <w:kern w:val="0"/>
          <w14:textFill>
            <w14:solidFill>
              <w14:schemeClr w14:val="tx1"/>
            </w14:solidFill>
          </w14:textFill>
        </w:rPr>
        <w:t>签章。</w:t>
      </w:r>
      <w:r>
        <w:rPr>
          <w:rFonts w:hint="eastAsia" w:ascii="宋体" w:hAnsi="宋体" w:cs="宋体"/>
          <w:color w:val="000000" w:themeColor="text1"/>
          <w14:textFill>
            <w14:solidFill>
              <w14:schemeClr w14:val="tx1"/>
            </w14:solidFill>
          </w14:textFill>
        </w:rPr>
        <w:t>具体组成内容在本招标文件“投标资料表”中做出规定。</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9.3</w:t>
      </w:r>
      <w:r>
        <w:rPr>
          <w:rFonts w:hint="eastAsia" w:ascii="宋体" w:hAnsi="宋体" w:cs="宋体"/>
          <w:color w:val="000000" w:themeColor="text1"/>
          <w14:textFill>
            <w14:solidFill>
              <w14:schemeClr w14:val="tx1"/>
            </w14:solidFill>
          </w14:textFill>
        </w:rPr>
        <w:t>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color w:val="000000" w:themeColor="text1"/>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  </w:t>
      </w:r>
      <w:r>
        <w:rPr>
          <w:rFonts w:hint="eastAsia" w:ascii="宋体" w:hAnsi="宋体" w:cs="宋体"/>
          <w:b/>
          <w:bCs/>
          <w:color w:val="000000" w:themeColor="text1"/>
          <w14:textFill>
            <w14:solidFill>
              <w14:schemeClr w14:val="tx1"/>
            </w14:solidFill>
          </w14:textFill>
        </w:rPr>
        <w:t>投标报价</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10.1</w:t>
      </w:r>
      <w:r>
        <w:rPr>
          <w:rFonts w:hint="eastAsia" w:ascii="宋体" w:hAnsi="宋体" w:cs="宋体"/>
          <w:color w:val="000000" w:themeColor="text1"/>
          <w14:textFill>
            <w14:solidFill>
              <w14:schemeClr w14:val="tx1"/>
            </w14:solidFill>
          </w14:textFill>
        </w:rPr>
        <w:t>本次招标对投标报价组成的具体要求在招标文件“投标资料表”中做出规定。</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10.2  </w:t>
      </w:r>
      <w:r>
        <w:rPr>
          <w:rFonts w:hint="eastAsia" w:ascii="宋体" w:hAnsi="宋体" w:cs="宋体"/>
          <w:color w:val="000000" w:themeColor="text1"/>
          <w14:textFill>
            <w14:solidFill>
              <w14:schemeClr w14:val="tx1"/>
            </w14:solidFill>
          </w14:textFill>
        </w:rPr>
        <w:t>投标人要按照招标文件中的“开标一览表”格式和内容完整填写投标总价及其他事项。</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10.3</w:t>
      </w:r>
      <w:r>
        <w:rPr>
          <w:rFonts w:hint="eastAsia" w:ascii="宋体" w:hAnsi="宋体" w:cs="宋体"/>
          <w:color w:val="000000" w:themeColor="text1"/>
          <w14:textFill>
            <w14:solidFill>
              <w14:schemeClr w14:val="tx1"/>
            </w14:solidFill>
          </w14:textFill>
        </w:rPr>
        <w:t>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10.4  </w:t>
      </w:r>
      <w:r>
        <w:rPr>
          <w:rFonts w:hint="eastAsia" w:ascii="宋体" w:hAnsi="宋体" w:cs="宋体"/>
          <w:color w:val="000000" w:themeColor="text1"/>
          <w14:textFill>
            <w14:solidFill>
              <w14:schemeClr w14:val="tx1"/>
            </w14:solidFill>
          </w14:textFill>
        </w:rPr>
        <w:t>开标后以及在评标及中标后的合同执行过程中，投标人不得以任何理由变更投标价格。</w:t>
      </w:r>
      <w:r>
        <w:rPr>
          <w:rFonts w:hint="eastAsia" w:ascii="宋体" w:hAnsi="宋体" w:cs="宋体"/>
          <w:b/>
          <w:bCs/>
          <w:color w:val="000000" w:themeColor="text1"/>
          <w14:textFill>
            <w14:solidFill>
              <w14:schemeClr w14:val="tx1"/>
            </w14:solidFill>
          </w14:textFill>
        </w:rPr>
        <w:t>若投标人在中标以后做出任何改变投标价格的决定，将被视作撤标而失去中标资格。</w:t>
      </w: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10.5  </w:t>
      </w:r>
      <w:r>
        <w:rPr>
          <w:rFonts w:hint="eastAsia" w:ascii="宋体" w:hAnsi="宋体" w:cs="宋体"/>
          <w:b/>
          <w:bCs/>
          <w:color w:val="000000" w:themeColor="text1"/>
          <w14:textFill>
            <w14:solidFill>
              <w14:schemeClr w14:val="tx1"/>
            </w14:solidFill>
          </w14:textFill>
        </w:rPr>
        <w:t>本项目采用最高投标限价，超过最高限价的投标文件无效。</w:t>
      </w: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10.6  </w:t>
      </w:r>
      <w:r>
        <w:rPr>
          <w:rFonts w:hint="eastAsia" w:ascii="宋体" w:hAnsi="宋体" w:cs="宋体"/>
          <w:color w:val="000000" w:themeColor="text1"/>
          <w14:textFill>
            <w14:solidFill>
              <w14:schemeClr w14:val="tx1"/>
            </w14:solidFill>
          </w14:textFill>
        </w:rPr>
        <w:t>本项目的投标货币为人民币。</w:t>
      </w:r>
    </w:p>
    <w:p>
      <w:pPr>
        <w:spacing w:line="400" w:lineRule="exact"/>
        <w:rPr>
          <w:rFonts w:ascii="宋体"/>
          <w:b/>
          <w:bCs/>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11.  </w:t>
      </w:r>
      <w:r>
        <w:rPr>
          <w:rFonts w:hint="eastAsia" w:ascii="宋体" w:hAnsi="宋体" w:cs="宋体"/>
          <w:b/>
          <w:bCs/>
          <w:color w:val="000000" w:themeColor="text1"/>
          <w14:textFill>
            <w14:solidFill>
              <w14:schemeClr w14:val="tx1"/>
            </w14:solidFill>
          </w14:textFill>
        </w:rPr>
        <w:t>投标文件的格式和编写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11.1</w:t>
      </w:r>
      <w:r>
        <w:rPr>
          <w:rFonts w:hint="eastAsia" w:ascii="宋体" w:hAnsi="宋体" w:cs="宋体"/>
          <w:color w:val="000000" w:themeColor="text1"/>
          <w14:textFill>
            <w14:solidFill>
              <w14:schemeClr w14:val="tx1"/>
            </w14:solidFill>
          </w14:textFill>
        </w:rPr>
        <w:t xml:space="preserve">  投标文件须按“投标文件的有关格式”提供的统一格式填写、签署和加盖公章。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11.2 </w:t>
      </w:r>
      <w:r>
        <w:rPr>
          <w:rFonts w:hint="eastAsia" w:ascii="宋体" w:hAnsi="宋体" w:cs="宋体"/>
          <w:color w:val="000000" w:themeColor="text1"/>
          <w14:textFill>
            <w14:solidFill>
              <w14:schemeClr w14:val="tx1"/>
            </w14:solidFill>
          </w14:textFill>
        </w:rPr>
        <w:t xml:space="preserve"> “开标一览表”应按照统一格式填写，不得自行增减内容。</w:t>
      </w:r>
    </w:p>
    <w:p>
      <w:pPr>
        <w:widowControl/>
        <w:spacing w:line="360" w:lineRule="auto"/>
        <w:rPr>
          <w:rFonts w:ascii="宋体" w:hAnsi="宋体" w:cs="宋体"/>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11.3  </w:t>
      </w:r>
      <w:r>
        <w:rPr>
          <w:rFonts w:hint="eastAsia" w:cs="宋体" w:asciiTheme="minorEastAsia" w:hAnsiTheme="minorEastAsia" w:eastAsiaTheme="minorEastAsia"/>
          <w:bCs/>
          <w:color w:val="000000" w:themeColor="text1"/>
          <w14:textFill>
            <w14:solidFill>
              <w14:schemeClr w14:val="tx1"/>
            </w14:solidFill>
          </w14:textFill>
        </w:rPr>
        <w:t>投标书文件数量</w:t>
      </w:r>
      <w:r>
        <w:rPr>
          <w:rFonts w:hint="eastAsia" w:ascii="宋体" w:hAnsi="宋体" w:cs="宋体"/>
          <w:color w:val="000000" w:themeColor="text1"/>
          <w14:textFill>
            <w14:solidFill>
              <w14:schemeClr w14:val="tx1"/>
            </w14:solidFill>
          </w14:textFill>
        </w:rPr>
        <w:t>的具体要求在招标文件“投标资料表”中做出规定。</w:t>
      </w:r>
    </w:p>
    <w:p>
      <w:pPr>
        <w:widowControl/>
        <w:spacing w:line="36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1.4  </w:t>
      </w:r>
      <w:r>
        <w:rPr>
          <w:rFonts w:hint="eastAsia" w:cs="宋体" w:asciiTheme="minorEastAsia" w:hAnsiTheme="minorEastAsia" w:eastAsiaTheme="minorEastAsia"/>
          <w:b/>
          <w:bCs/>
          <w:color w:val="000000" w:themeColor="text1"/>
          <w:kern w:val="0"/>
          <w14:textFill>
            <w14:solidFill>
              <w14:schemeClr w14:val="tx1"/>
            </w14:solidFill>
          </w14:textFill>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11.5 </w:t>
      </w:r>
      <w:r>
        <w:rPr>
          <w:rFonts w:hint="eastAsia" w:ascii="宋体" w:hAnsi="宋体" w:cs="宋体"/>
          <w:color w:val="000000" w:themeColor="text1"/>
          <w14:textFill>
            <w14:solidFill>
              <w14:schemeClr w14:val="tx1"/>
            </w14:solidFill>
          </w14:textFill>
        </w:rPr>
        <w:t>除招标文件有特殊要求外，投标文件中所使用的计量单位应采用国家法定计量单位。</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12. </w:t>
      </w:r>
      <w:r>
        <w:rPr>
          <w:rFonts w:hint="eastAsia" w:ascii="宋体" w:hAnsi="宋体" w:cs="宋体"/>
          <w:b/>
          <w:bCs/>
          <w:color w:val="000000" w:themeColor="text1"/>
          <w14:textFill>
            <w14:solidFill>
              <w14:schemeClr w14:val="tx1"/>
            </w14:solidFill>
          </w14:textFill>
        </w:rPr>
        <w:t>投标有效期</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12.2  </w:t>
      </w:r>
      <w:r>
        <w:rPr>
          <w:rFonts w:hint="eastAsia" w:ascii="宋体" w:hAnsi="宋体" w:cs="宋体"/>
          <w:color w:val="000000" w:themeColor="text1"/>
          <w14:textFill>
            <w14:solidFill>
              <w14:schemeClr w14:val="tx1"/>
            </w14:solidFill>
          </w14:textFill>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pPr>
        <w:spacing w:line="400" w:lineRule="exact"/>
        <w:rPr>
          <w:rFonts w:ascii="宋体"/>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13  </w:t>
      </w:r>
      <w:r>
        <w:rPr>
          <w:rFonts w:hint="eastAsia" w:ascii="宋体" w:hAnsi="宋体" w:cs="宋体"/>
          <w:b/>
          <w:bCs/>
          <w:color w:val="000000" w:themeColor="text1"/>
          <w14:textFill>
            <w14:solidFill>
              <w14:schemeClr w14:val="tx1"/>
            </w14:solidFill>
          </w14:textFill>
        </w:rPr>
        <w:t>投标保证金</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本项目无需缴纳投标保证金。</w:t>
      </w:r>
    </w:p>
    <w:p>
      <w:pPr>
        <w:spacing w:line="400" w:lineRule="exact"/>
        <w:rPr>
          <w:rFonts w:ascii="宋体"/>
          <w:color w:val="000000" w:themeColor="text1"/>
          <w:sz w:val="24"/>
          <w:szCs w:val="24"/>
          <w:u w:val="single"/>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89" w:name="_Toc141797117"/>
      <w:bookmarkStart w:id="90" w:name="_Toc141797677"/>
      <w:bookmarkStart w:id="91" w:name="_Toc520902397"/>
      <w:bookmarkStart w:id="92" w:name="_Toc513798903"/>
      <w:bookmarkStart w:id="93" w:name="_Toc513799074"/>
      <w:bookmarkStart w:id="94" w:name="_Toc440276564"/>
      <w:r>
        <w:rPr>
          <w:rFonts w:ascii="宋体" w:hAnsi="宋体" w:cs="宋体"/>
          <w:b/>
          <w:bCs/>
          <w:color w:val="000000" w:themeColor="text1"/>
          <w:sz w:val="28"/>
          <w:szCs w:val="28"/>
          <w14:textFill>
            <w14:solidFill>
              <w14:schemeClr w14:val="tx1"/>
            </w14:solidFill>
          </w14:textFill>
        </w:rPr>
        <w:t xml:space="preserve">D  </w:t>
      </w:r>
      <w:r>
        <w:rPr>
          <w:rFonts w:hint="eastAsia" w:ascii="宋体" w:hAnsi="宋体" w:cs="宋体"/>
          <w:b/>
          <w:bCs/>
          <w:color w:val="000000" w:themeColor="text1"/>
          <w:sz w:val="28"/>
          <w:szCs w:val="28"/>
          <w14:textFill>
            <w14:solidFill>
              <w14:schemeClr w14:val="tx1"/>
            </w14:solidFill>
          </w14:textFill>
        </w:rPr>
        <w:t>投标文件的递交</w:t>
      </w:r>
      <w:bookmarkEnd w:id="89"/>
      <w:bookmarkEnd w:id="90"/>
      <w:bookmarkEnd w:id="91"/>
      <w:bookmarkEnd w:id="92"/>
      <w:bookmarkEnd w:id="93"/>
      <w:bookmarkEnd w:id="94"/>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14.</w:t>
      </w:r>
      <w:r>
        <w:rPr>
          <w:rFonts w:hint="eastAsia" w:ascii="宋体" w:hAnsi="宋体" w:cs="宋体"/>
          <w:b/>
          <w:bCs/>
          <w:color w:val="000000" w:themeColor="text1"/>
          <w14:textFill>
            <w14:solidFill>
              <w14:schemeClr w14:val="tx1"/>
            </w14:solidFill>
          </w14:textFill>
        </w:rPr>
        <w:t>投标文件的装订、密封、标记和递送</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14:textFill>
            <w14:solidFill>
              <w14:schemeClr w14:val="tx1"/>
            </w14:solidFill>
          </w14:textFill>
        </w:rPr>
        <w:t xml:space="preserve">14.1  </w:t>
      </w:r>
      <w:r>
        <w:rPr>
          <w:rFonts w:hint="eastAsia" w:ascii="宋体" w:hAnsi="宋体" w:cs="宋体"/>
          <w:color w:val="000000" w:themeColor="text1"/>
          <w:kern w:val="0"/>
          <w14:textFill>
            <w14:solidFill>
              <w14:schemeClr w14:val="tx1"/>
            </w14:solidFill>
          </w14:textFill>
        </w:rPr>
        <w:t>电子投标文件：供应商应根据“项目采购</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电子招投标操作指南”及本招标文件规定的格式和顺序编制电子投标文件并进行关联定位。</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14:textFill>
            <w14:solidFill>
              <w14:schemeClr w14:val="tx1"/>
            </w14:solidFill>
          </w14:textFill>
        </w:rPr>
        <w:t>14.</w:t>
      </w:r>
      <w:r>
        <w:rPr>
          <w:rFonts w:ascii="宋体" w:hAnsi="宋体" w:cs="宋体"/>
          <w:b/>
          <w:bCs/>
          <w:color w:val="000000" w:themeColor="text1"/>
          <w:kern w:val="0"/>
          <w14:textFill>
            <w14:solidFill>
              <w14:schemeClr w14:val="tx1"/>
            </w14:solidFill>
          </w14:textFill>
        </w:rPr>
        <w:t xml:space="preserve">2  </w:t>
      </w:r>
      <w:r>
        <w:rPr>
          <w:rFonts w:hint="eastAsia" w:ascii="宋体" w:hAnsi="宋体" w:cs="宋体"/>
          <w:b/>
          <w:bCs/>
          <w:color w:val="000000" w:themeColor="text1"/>
          <w:kern w:val="0"/>
          <w14:textFill>
            <w14:solidFill>
              <w14:schemeClr w14:val="tx1"/>
            </w14:solidFill>
          </w14:textFill>
        </w:rPr>
        <w:t>电子备份投标文件：单独包封，外包装封面上应注明投标人名称、投标人地址、投标文件名称（电子投标文件的备份文件）、投标项目名称、项目编号及“开标时启封”字样，并加盖投标人公章。</w:t>
      </w:r>
    </w:p>
    <w:p>
      <w:pPr>
        <w:widowControl/>
        <w:spacing w:line="360" w:lineRule="auto"/>
        <w:ind w:firstLine="420" w:firstLineChars="200"/>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14:textFill>
            <w14:solidFill>
              <w14:schemeClr w14:val="tx1"/>
            </w14:solidFill>
          </w14:textFill>
        </w:rPr>
        <w:t>14.</w:t>
      </w:r>
      <w:r>
        <w:rPr>
          <w:rFonts w:ascii="宋体" w:hAnsi="宋体" w:cs="宋体"/>
          <w:b/>
          <w:bCs/>
          <w:color w:val="000000" w:themeColor="text1"/>
          <w:kern w:val="0"/>
          <w14:textFill>
            <w14:solidFill>
              <w14:schemeClr w14:val="tx1"/>
            </w14:solidFill>
          </w14:textFill>
        </w:rPr>
        <w:t xml:space="preserve">3  </w:t>
      </w:r>
      <w:r>
        <w:rPr>
          <w:rFonts w:hint="eastAsia" w:ascii="宋体" w:hAnsi="宋体" w:cs="宋体"/>
          <w:b/>
          <w:bCs/>
          <w:color w:val="000000" w:themeColor="text1"/>
          <w:kern w:val="0"/>
          <w14:textFill>
            <w14:solidFill>
              <w14:schemeClr w14:val="tx1"/>
            </w14:solidFill>
          </w14:textFill>
        </w:rPr>
        <w:t>未按规定密封或标记的投标文件，采购人有权拒绝接受其投标。</w:t>
      </w:r>
    </w:p>
    <w:p>
      <w:pPr>
        <w:spacing w:line="400" w:lineRule="exact"/>
        <w:ind w:firstLine="420" w:firstLineChars="20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w:t>
      </w:r>
      <w:r>
        <w:rPr>
          <w:rFonts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14:textFill>
            <w14:solidFill>
              <w14:schemeClr w14:val="tx1"/>
            </w14:solidFill>
          </w14:textFill>
        </w:rPr>
        <w:t>如果投标人未按上述要求密封或标记而造成投标文件被误投或提前拆封的风险由投标人承担。</w:t>
      </w:r>
    </w:p>
    <w:p>
      <w:pPr>
        <w:spacing w:line="400" w:lineRule="exact"/>
        <w:rPr>
          <w:rFonts w:ascii="宋体" w:hAnsi="宋体" w:cs="宋体"/>
          <w:b/>
          <w:bCs/>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15.</w:t>
      </w:r>
      <w:r>
        <w:rPr>
          <w:rFonts w:hint="eastAsia" w:ascii="宋体" w:hAnsi="宋体" w:cs="宋体"/>
          <w:b/>
          <w:bCs/>
          <w:color w:val="000000" w:themeColor="text1"/>
          <w14:textFill>
            <w14:solidFill>
              <w14:schemeClr w14:val="tx1"/>
            </w14:solidFill>
          </w14:textFill>
        </w:rPr>
        <w:t>投标截止时间</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15.1 </w:t>
      </w:r>
      <w:r>
        <w:rPr>
          <w:rFonts w:hint="eastAsia" w:ascii="宋体" w:hAnsi="宋体" w:cs="宋体"/>
          <w:color w:val="000000" w:themeColor="text1"/>
          <w14:textFill>
            <w14:solidFill>
              <w14:schemeClr w14:val="tx1"/>
            </w14:solidFill>
          </w14:textFill>
        </w:rPr>
        <w:t>投标人应在招标文件要求提交（上传）投标文件的截止时间前，将投标文件上传至政府采购云平台。采购代理机构</w:t>
      </w:r>
      <w:r>
        <w:rPr>
          <w:rFonts w:hint="eastAsia" w:ascii="宋体" w:hAnsi="宋体" w:cs="宋体"/>
          <w:b/>
          <w:bCs/>
          <w:color w:val="000000" w:themeColor="text1"/>
          <w14:textFill>
            <w14:solidFill>
              <w14:schemeClr w14:val="tx1"/>
            </w14:solidFill>
          </w14:textFill>
        </w:rPr>
        <w:t>拒绝接收在投标截止时间以后提交（上传）的投标文件</w:t>
      </w:r>
      <w:r>
        <w:rPr>
          <w:rFonts w:hint="eastAsia" w:ascii="宋体" w:hAnsi="宋体" w:cs="宋体"/>
          <w:color w:val="000000" w:themeColor="text1"/>
          <w14:textFill>
            <w14:solidFill>
              <w14:schemeClr w14:val="tx1"/>
            </w14:solidFill>
          </w14:textFill>
        </w:rPr>
        <w:t>。</w:t>
      </w: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15.2</w:t>
      </w:r>
      <w:r>
        <w:rPr>
          <w:rFonts w:hint="eastAsia" w:ascii="宋体" w:hAnsi="宋体" w:cs="宋体"/>
          <w:color w:val="000000" w:themeColor="text1"/>
          <w14:textFill>
            <w14:solidFill>
              <w14:schemeClr w14:val="tx1"/>
            </w14:solidFill>
          </w14:textFill>
        </w:rPr>
        <w:t>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16.</w:t>
      </w:r>
      <w:r>
        <w:rPr>
          <w:rFonts w:hint="eastAsia" w:ascii="宋体" w:hAnsi="宋体" w:cs="宋体"/>
          <w:b/>
          <w:bCs/>
          <w:color w:val="000000" w:themeColor="text1"/>
          <w14:textFill>
            <w14:solidFill>
              <w14:schemeClr w14:val="tx1"/>
            </w14:solidFill>
          </w14:textFill>
        </w:rPr>
        <w:t>投标文件的修改和撤回</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16.1</w:t>
      </w:r>
      <w:r>
        <w:rPr>
          <w:rFonts w:hint="eastAsia" w:ascii="宋体" w:hAnsi="宋体" w:cs="宋体"/>
          <w:color w:val="000000" w:themeColor="text1"/>
          <w14:textFill>
            <w14:solidFill>
              <w14:schemeClr w14:val="tx1"/>
            </w14:solidFill>
          </w14:textFill>
        </w:rPr>
        <w:t xml:space="preserve">  投标人在投标截止时间前，可以对已经提交的投标文件进行补充、修改或者撤回。</w:t>
      </w:r>
    </w:p>
    <w:p>
      <w:pPr>
        <w:spacing w:line="400" w:lineRule="exact"/>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投标人在投标截止时间前递交了需要补充或修改的电子加密投标文件的备份投标文件，可以重新提交补充或修改后的备份投标文件。</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16.2</w:t>
      </w:r>
      <w:r>
        <w:rPr>
          <w:rFonts w:hint="eastAsia" w:ascii="宋体" w:hAnsi="宋体" w:cs="宋体"/>
          <w:color w:val="000000" w:themeColor="text1"/>
          <w14:textFill>
            <w14:solidFill>
              <w14:schemeClr w14:val="tx1"/>
            </w14:solidFill>
          </w14:textFill>
        </w:rPr>
        <w:t xml:space="preserve">  投标截止时间后，投标人不得对其投标文件进行补充、修改。</w:t>
      </w:r>
    </w:p>
    <w:p>
      <w:pPr>
        <w:spacing w:line="400" w:lineRule="exact"/>
        <w:rPr>
          <w:rFonts w:ascii="宋体"/>
          <w:color w:val="000000" w:themeColor="text1"/>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95" w:name="_Toc440276565"/>
      <w:bookmarkStart w:id="96" w:name="_Toc141797118"/>
      <w:bookmarkStart w:id="97" w:name="_Toc513798904"/>
      <w:bookmarkStart w:id="98" w:name="_Toc141797678"/>
      <w:bookmarkStart w:id="99" w:name="_Toc513799075"/>
      <w:bookmarkStart w:id="100" w:name="_Toc520902398"/>
      <w:r>
        <w:rPr>
          <w:rFonts w:ascii="宋体" w:hAnsi="宋体" w:cs="宋体"/>
          <w:b/>
          <w:bCs/>
          <w:color w:val="000000" w:themeColor="text1"/>
          <w:sz w:val="28"/>
          <w:szCs w:val="28"/>
          <w14:textFill>
            <w14:solidFill>
              <w14:schemeClr w14:val="tx1"/>
            </w14:solidFill>
          </w14:textFill>
        </w:rPr>
        <w:t xml:space="preserve">E  </w:t>
      </w:r>
      <w:r>
        <w:rPr>
          <w:rFonts w:hint="eastAsia" w:ascii="宋体" w:hAnsi="宋体" w:cs="宋体"/>
          <w:b/>
          <w:bCs/>
          <w:color w:val="000000" w:themeColor="text1"/>
          <w:sz w:val="28"/>
          <w:szCs w:val="28"/>
          <w14:textFill>
            <w14:solidFill>
              <w14:schemeClr w14:val="tx1"/>
            </w14:solidFill>
          </w14:textFill>
        </w:rPr>
        <w:t>开标</w:t>
      </w:r>
      <w:bookmarkEnd w:id="95"/>
      <w:bookmarkEnd w:id="96"/>
      <w:bookmarkEnd w:id="97"/>
      <w:bookmarkEnd w:id="98"/>
      <w:bookmarkEnd w:id="99"/>
      <w:bookmarkEnd w:id="100"/>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17</w:t>
      </w:r>
      <w:r>
        <w:rPr>
          <w:rFonts w:ascii="宋体" w:cs="宋体"/>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开标</w:t>
      </w:r>
    </w:p>
    <w:p>
      <w:pPr>
        <w:spacing w:line="400" w:lineRule="exac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17.1  </w:t>
      </w:r>
      <w:r>
        <w:rPr>
          <w:rFonts w:hint="eastAsia" w:cs="宋体" w:asciiTheme="minorEastAsia" w:hAnsiTheme="minorEastAsia" w:eastAsiaTheme="minorEastAsia"/>
          <w:color w:val="000000" w:themeColor="text1"/>
          <w14:textFill>
            <w14:solidFill>
              <w14:schemeClr w14:val="tx1"/>
            </w14:solidFill>
          </w14:textFill>
        </w:rPr>
        <w:t>采购代理机构按招标文件规定的时间、地点主持公开开标。</w:t>
      </w:r>
    </w:p>
    <w:p>
      <w:pPr>
        <w:widowControl/>
        <w:spacing w:line="360" w:lineRule="auto"/>
        <w:jc w:val="left"/>
        <w:rPr>
          <w:rFonts w:cs="宋体" w:asciiTheme="minorEastAsia" w:hAnsiTheme="minorEastAsia" w:eastAsiaTheme="minorEastAsia"/>
          <w:b/>
          <w:bCs/>
          <w:color w:val="000000" w:themeColor="text1"/>
          <w:kern w:val="0"/>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17.2  </w:t>
      </w:r>
      <w:r>
        <w:rPr>
          <w:rFonts w:hint="eastAsia" w:cs="宋体" w:asciiTheme="minorEastAsia" w:hAnsiTheme="minorEastAsia" w:eastAsiaTheme="minorEastAsia"/>
          <w:b/>
          <w:bCs/>
          <w:color w:val="000000" w:themeColor="text1"/>
          <w:kern w:val="0"/>
          <w14:textFill>
            <w14:solidFill>
              <w14:schemeClr w14:val="tx1"/>
            </w14:solidFill>
          </w14:textFill>
        </w:rPr>
        <w:t>电子投标开标及评审程序</w:t>
      </w:r>
    </w:p>
    <w:p>
      <w:pPr>
        <w:widowControl/>
        <w:spacing w:line="36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000000" w:themeColor="text1"/>
          <w:kern w:val="0"/>
          <w:u w:val="single"/>
          <w14:textFill>
            <w14:solidFill>
              <w14:schemeClr w14:val="tx1"/>
            </w14:solidFill>
          </w14:textFill>
        </w:rPr>
        <w:t>30分钟</w:t>
      </w:r>
      <w:r>
        <w:rPr>
          <w:rFonts w:hint="eastAsia" w:cs="宋体" w:asciiTheme="minorEastAsia" w:hAnsiTheme="minorEastAsia" w:eastAsiaTheme="minorEastAsia"/>
          <w:b/>
          <w:color w:val="000000" w:themeColor="text1"/>
          <w:kern w:val="0"/>
          <w14:textFill>
            <w14:solidFill>
              <w14:schemeClr w14:val="tx1"/>
            </w14:solidFill>
          </w14:textFill>
        </w:rPr>
        <w:t>内。</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（2）采购人或代理机构对投标人的资格进行审查。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（3）在系统上公开报价开标情况。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（4）评标委员会对商务技术文件、报价文件进行评审。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（5）在系统上公布评审结果。 </w:t>
      </w:r>
    </w:p>
    <w:p>
      <w:pPr>
        <w:widowControl/>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注：政采云公司如对电子化开标及评审程序有调整的，按调整后的程序操作。</w:t>
      </w:r>
    </w:p>
    <w:p>
      <w:pPr>
        <w:widowControl/>
        <w:spacing w:line="36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 xml:space="preserve">17.4  </w:t>
      </w:r>
      <w:r>
        <w:rPr>
          <w:rFonts w:hint="eastAsia" w:cs="宋体" w:asciiTheme="minorEastAsia" w:hAnsiTheme="minorEastAsia" w:eastAsiaTheme="minorEastAsia"/>
          <w:b/>
          <w:bCs/>
          <w:color w:val="000000" w:themeColor="text1"/>
          <w:kern w:val="0"/>
          <w14:textFill>
            <w14:solidFill>
              <w14:schemeClr w14:val="tx1"/>
            </w14:solidFill>
          </w14:textFill>
        </w:rPr>
        <w:t xml:space="preserve">特别说明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14:textFill>
            <w14:solidFill>
              <w14:schemeClr w14:val="tx1"/>
            </w14:solidFill>
          </w14:textFill>
        </w:rPr>
        <w:t xml:space="preserve">出现前款规定情形，不影响采购公平、公正性的，采购人（或代理机构）可以待上述情形消除后继续组织电子交易活动。 </w:t>
      </w:r>
    </w:p>
    <w:p>
      <w:pPr>
        <w:spacing w:line="400" w:lineRule="exact"/>
        <w:rPr>
          <w:rFonts w:ascii="宋体" w:hAnsi="宋体" w:cs="宋体"/>
          <w:color w:val="000000" w:themeColor="text1"/>
          <w:u w:val="single"/>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17.5  </w:t>
      </w:r>
      <w:r>
        <w:rPr>
          <w:rFonts w:hint="eastAsia" w:asciiTheme="minorEastAsia" w:hAnsiTheme="minorEastAsia" w:eastAsiaTheme="minorEastAsia"/>
          <w:color w:val="000000" w:themeColor="text1"/>
          <w14:textFill>
            <w14:solidFill>
              <w14:schemeClr w14:val="tx1"/>
            </w14:solidFill>
          </w14:textFill>
        </w:rPr>
        <w:t>投标截止时间止，投标人不足3家的，不</w:t>
      </w:r>
      <w:r>
        <w:rPr>
          <w:rFonts w:hint="eastAsia" w:asciiTheme="minorEastAsia" w:hAnsiTheme="minorEastAsia" w:eastAsiaTheme="minorEastAsia"/>
          <w:color w:val="000000" w:themeColor="text1"/>
          <w:lang w:val="en-US" w:eastAsia="zh-CN"/>
          <w14:textFill>
            <w14:solidFill>
              <w14:schemeClr w14:val="tx1"/>
            </w14:solidFill>
          </w14:textFill>
        </w:rPr>
        <w:t>得</w:t>
      </w:r>
      <w:r>
        <w:rPr>
          <w:rFonts w:hint="eastAsia" w:asciiTheme="minorEastAsia" w:hAnsiTheme="minorEastAsia" w:eastAsiaTheme="minorEastAsia"/>
          <w:color w:val="000000" w:themeColor="text1"/>
          <w14:textFill>
            <w14:solidFill>
              <w14:schemeClr w14:val="tx1"/>
            </w14:solidFill>
          </w14:textFill>
        </w:rPr>
        <w:t>开启</w:t>
      </w:r>
      <w:r>
        <w:rPr>
          <w:rFonts w:hint="eastAsia" w:asciiTheme="minorEastAsia" w:hAnsiTheme="minorEastAsia" w:eastAsiaTheme="minorEastAsia"/>
          <w:color w:val="000000" w:themeColor="text1"/>
          <w:lang w:val="en-US" w:eastAsia="zh-CN"/>
          <w14:textFill>
            <w14:solidFill>
              <w14:schemeClr w14:val="tx1"/>
            </w14:solidFill>
          </w14:textFill>
        </w:rPr>
        <w:t>投标</w:t>
      </w:r>
      <w:r>
        <w:rPr>
          <w:rFonts w:hint="eastAsia" w:asciiTheme="minorEastAsia" w:hAnsiTheme="minorEastAsia" w:eastAsiaTheme="minorEastAsia"/>
          <w:color w:val="000000" w:themeColor="text1"/>
          <w14:textFill>
            <w14:solidFill>
              <w14:schemeClr w14:val="tx1"/>
            </w14:solidFill>
          </w14:textFill>
        </w:rPr>
        <w:t>文件，终止本次采购活动。</w:t>
      </w:r>
    </w:p>
    <w:p>
      <w:pPr>
        <w:spacing w:line="400" w:lineRule="exact"/>
        <w:rPr>
          <w:rFonts w:ascii="宋体"/>
          <w:color w:val="000000" w:themeColor="text1"/>
          <w:sz w:val="24"/>
          <w:szCs w:val="24"/>
          <w14:textFill>
            <w14:solidFill>
              <w14:schemeClr w14:val="tx1"/>
            </w14:solidFill>
          </w14:textFill>
        </w:rPr>
      </w:pPr>
    </w:p>
    <w:p>
      <w:pPr>
        <w:spacing w:before="143" w:beforeLines="50" w:after="143" w:afterLines="50"/>
        <w:jc w:val="center"/>
        <w:outlineLvl w:val="1"/>
        <w:rPr>
          <w:rFonts w:ascii="宋体"/>
          <w:b/>
          <w:bCs/>
          <w:color w:val="000000" w:themeColor="text1"/>
          <w:sz w:val="28"/>
          <w:szCs w:val="28"/>
          <w14:textFill>
            <w14:solidFill>
              <w14:schemeClr w14:val="tx1"/>
            </w14:solidFill>
          </w14:textFill>
        </w:rPr>
      </w:pPr>
      <w:bookmarkStart w:id="101" w:name="_Toc513799076"/>
      <w:bookmarkStart w:id="102" w:name="_Toc513798905"/>
      <w:bookmarkStart w:id="103" w:name="_Toc440276566"/>
      <w:bookmarkStart w:id="104" w:name="_Toc520902399"/>
      <w:bookmarkStart w:id="105" w:name="_Toc141797679"/>
      <w:bookmarkStart w:id="106" w:name="_Toc141797119"/>
      <w:r>
        <w:rPr>
          <w:rFonts w:ascii="宋体" w:hAnsi="宋体" w:cs="宋体"/>
          <w:b/>
          <w:bCs/>
          <w:color w:val="000000" w:themeColor="text1"/>
          <w:sz w:val="28"/>
          <w:szCs w:val="28"/>
          <w14:textFill>
            <w14:solidFill>
              <w14:schemeClr w14:val="tx1"/>
            </w14:solidFill>
          </w14:textFill>
        </w:rPr>
        <w:t xml:space="preserve">F  </w:t>
      </w:r>
      <w:r>
        <w:rPr>
          <w:rFonts w:hint="eastAsia" w:ascii="宋体" w:hAnsi="宋体" w:cs="宋体"/>
          <w:b/>
          <w:bCs/>
          <w:color w:val="000000" w:themeColor="text1"/>
          <w:sz w:val="28"/>
          <w:szCs w:val="28"/>
          <w14:textFill>
            <w14:solidFill>
              <w14:schemeClr w14:val="tx1"/>
            </w14:solidFill>
          </w14:textFill>
        </w:rPr>
        <w:t>评标和定标</w:t>
      </w:r>
      <w:bookmarkEnd w:id="101"/>
      <w:bookmarkEnd w:id="102"/>
      <w:bookmarkEnd w:id="103"/>
      <w:bookmarkEnd w:id="104"/>
      <w:bookmarkEnd w:id="105"/>
      <w:bookmarkEnd w:id="106"/>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18. </w:t>
      </w:r>
      <w:r>
        <w:rPr>
          <w:rFonts w:hint="eastAsia" w:ascii="宋体" w:hAnsi="宋体" w:cs="宋体"/>
          <w:b/>
          <w:bCs/>
          <w:color w:val="000000" w:themeColor="text1"/>
          <w14:textFill>
            <w14:solidFill>
              <w14:schemeClr w14:val="tx1"/>
            </w14:solidFill>
          </w14:textFill>
        </w:rPr>
        <w:t>评标委员会及评标</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18.1</w:t>
      </w:r>
      <w:r>
        <w:rPr>
          <w:rFonts w:hint="eastAsia" w:ascii="宋体" w:hAnsi="宋体" w:cs="宋体"/>
          <w:color w:val="000000" w:themeColor="text1"/>
          <w14:textFill>
            <w14:solidFill>
              <w14:schemeClr w14:val="tx1"/>
            </w14:solidFill>
          </w14:textFill>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000000" w:themeColor="text1"/>
          <w:u w:val="single"/>
          <w14:textFill>
            <w14:solidFill>
              <w14:schemeClr w14:val="tx1"/>
            </w14:solidFill>
          </w14:textFill>
        </w:rPr>
        <w:t>评标委员会成员名单在招标结果确定之前依法保密</w:t>
      </w:r>
      <w:r>
        <w:rPr>
          <w:rFonts w:hint="eastAsia" w:ascii="宋体" w:hAnsi="宋体" w:cs="宋体"/>
          <w:color w:val="000000" w:themeColor="text1"/>
          <w14:textFill>
            <w14:solidFill>
              <w14:schemeClr w14:val="tx1"/>
            </w14:solidFill>
          </w14:textFill>
        </w:rPr>
        <w:t>。</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18.2 </w:t>
      </w:r>
      <w:r>
        <w:rPr>
          <w:rFonts w:hint="eastAsia" w:ascii="宋体" w:hAnsi="宋体" w:cs="宋体"/>
          <w:color w:val="000000" w:themeColor="text1"/>
          <w14:textFill>
            <w14:solidFill>
              <w14:schemeClr w14:val="tx1"/>
            </w14:solidFill>
          </w14:textFill>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19.</w:t>
      </w:r>
      <w:r>
        <w:rPr>
          <w:rFonts w:hint="eastAsia" w:ascii="宋体" w:hAnsi="宋体" w:cs="宋体"/>
          <w:b/>
          <w:bCs/>
          <w:color w:val="000000" w:themeColor="text1"/>
          <w14:textFill>
            <w14:solidFill>
              <w14:schemeClr w14:val="tx1"/>
            </w14:solidFill>
          </w14:textFill>
        </w:rPr>
        <w:t>投标的澄清</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19.1</w:t>
      </w:r>
      <w:r>
        <w:rPr>
          <w:rFonts w:hint="eastAsia" w:ascii="宋体" w:hAnsi="宋体" w:cs="宋体"/>
          <w:color w:val="000000" w:themeColor="text1"/>
          <w14:textFill>
            <w14:solidFill>
              <w14:schemeClr w14:val="tx1"/>
            </w14:solidFill>
          </w14:textFill>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19.2</w:t>
      </w:r>
      <w:r>
        <w:rPr>
          <w:rFonts w:hint="eastAsia" w:ascii="宋体" w:hAnsi="宋体" w:cs="宋体"/>
          <w:color w:val="000000" w:themeColor="text1"/>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color w:val="000000" w:themeColor="text1"/>
          <w:u w:val="single"/>
          <w14:textFill>
            <w14:solidFill>
              <w14:schemeClr w14:val="tx1"/>
            </w14:solidFill>
          </w14:textFill>
        </w:rPr>
      </w:pPr>
      <w:r>
        <w:rPr>
          <w:rFonts w:hint="eastAsia" w:ascii="宋体" w:hAnsi="宋体" w:cs="宋体"/>
          <w:b/>
          <w:color w:val="000000" w:themeColor="text1"/>
          <w14:textFill>
            <w14:solidFill>
              <w14:schemeClr w14:val="tx1"/>
            </w14:solidFill>
          </w14:textFill>
        </w:rPr>
        <w:t>19.3</w:t>
      </w:r>
      <w:r>
        <w:rPr>
          <w:rFonts w:hint="eastAsia" w:ascii="宋体" w:hAnsi="宋体" w:cs="宋体"/>
          <w:color w:val="000000" w:themeColor="text1"/>
          <w14:textFill>
            <w14:solidFill>
              <w14:schemeClr w14:val="tx1"/>
            </w14:solidFill>
          </w14:textFill>
        </w:rPr>
        <w:t xml:space="preserve">  采用</w:t>
      </w:r>
      <w:r>
        <w:rPr>
          <w:rFonts w:hint="eastAsia" w:ascii="宋体" w:hAnsi="宋体" w:cs="宋体"/>
          <w:color w:val="000000" w:themeColor="text1"/>
          <w:kern w:val="0"/>
          <w14:textFill>
            <w14:solidFill>
              <w14:schemeClr w14:val="tx1"/>
            </w14:solidFill>
          </w14:textFill>
        </w:rPr>
        <w:t>电子招投标的，澄清、说明或者补正通过电子交易平台提交电子版文件</w:t>
      </w:r>
      <w:r>
        <w:rPr>
          <w:rFonts w:hint="eastAsia" w:ascii="宋体" w:hAnsi="宋体" w:cs="宋体"/>
          <w:color w:val="000000" w:themeColor="text1"/>
          <w14:textFill>
            <w14:solidFill>
              <w14:schemeClr w14:val="tx1"/>
            </w14:solidFill>
          </w14:textFill>
        </w:rPr>
        <w:t>，并加盖公章，或者由法定代表人或其授权的代表签字</w:t>
      </w:r>
      <w:r>
        <w:rPr>
          <w:rFonts w:hint="eastAsia" w:ascii="宋体" w:hAnsi="宋体" w:cs="宋体"/>
          <w:color w:val="000000" w:themeColor="text1"/>
          <w:kern w:val="0"/>
          <w14:textFill>
            <w14:solidFill>
              <w14:schemeClr w14:val="tx1"/>
            </w14:solidFill>
          </w14:textFill>
        </w:rPr>
        <w:t>。投标人提交澄清说明或补正的时间为</w:t>
      </w:r>
      <w:r>
        <w:rPr>
          <w:rFonts w:hint="eastAsia"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14:textFill>
            <w14:solidFill>
              <w14:schemeClr w14:val="tx1"/>
            </w14:solidFill>
          </w14:textFill>
        </w:rPr>
        <w:t>分钟。</w:t>
      </w:r>
    </w:p>
    <w:p>
      <w:pPr>
        <w:spacing w:line="400" w:lineRule="exact"/>
        <w:rPr>
          <w:rFonts w:ascii="宋体" w:hAnsi="宋体" w:cs="宋体"/>
          <w:b/>
          <w:color w:val="000000" w:themeColor="text1"/>
          <w:u w:val="single"/>
          <w14:textFill>
            <w14:solidFill>
              <w14:schemeClr w14:val="tx1"/>
            </w14:solidFill>
          </w14:textFill>
        </w:rPr>
      </w:pPr>
      <w:r>
        <w:rPr>
          <w:rFonts w:hint="eastAsia" w:ascii="宋体" w:hAnsi="宋体" w:cs="宋体"/>
          <w:b/>
          <w:color w:val="000000" w:themeColor="text1"/>
          <w14:textFill>
            <w14:solidFill>
              <w14:schemeClr w14:val="tx1"/>
            </w14:solidFill>
          </w14:textFill>
        </w:rPr>
        <w:t>19.4</w:t>
      </w:r>
      <w:r>
        <w:rPr>
          <w:rFonts w:hint="eastAsia" w:ascii="宋体" w:hAnsi="宋体" w:cs="宋体"/>
          <w:b/>
          <w:color w:val="000000" w:themeColor="text1"/>
          <w:u w:val="single"/>
          <w14:textFill>
            <w14:solidFill>
              <w14:schemeClr w14:val="tx1"/>
            </w14:solidFill>
          </w14:textFill>
        </w:rPr>
        <w:t>若投标人未响应澄清安排的通知进行答疑和澄清，将被视作自动放弃。</w:t>
      </w:r>
    </w:p>
    <w:p>
      <w:pPr>
        <w:spacing w:line="400" w:lineRule="exact"/>
        <w:rPr>
          <w:rFonts w:ascii="宋体"/>
          <w:color w:val="000000" w:themeColor="text1"/>
          <w:u w:val="single"/>
          <w14:textFill>
            <w14:solidFill>
              <w14:schemeClr w14:val="tx1"/>
            </w14:solidFill>
          </w14:textFill>
        </w:rPr>
      </w:pPr>
      <w:r>
        <w:rPr>
          <w:rFonts w:ascii="宋体" w:hAnsi="宋体" w:cs="宋体"/>
          <w:b/>
          <w:bCs/>
          <w:color w:val="000000" w:themeColor="text1"/>
          <w14:textFill>
            <w14:solidFill>
              <w14:schemeClr w14:val="tx1"/>
            </w14:solidFill>
          </w14:textFill>
        </w:rPr>
        <w:t xml:space="preserve">20.  </w:t>
      </w:r>
      <w:r>
        <w:rPr>
          <w:rFonts w:hint="eastAsia" w:ascii="宋体" w:hAnsi="宋体" w:cs="宋体"/>
          <w:b/>
          <w:bCs/>
          <w:color w:val="000000" w:themeColor="text1"/>
          <w14:textFill>
            <w14:solidFill>
              <w14:schemeClr w14:val="tx1"/>
            </w14:solidFill>
          </w14:textFill>
        </w:rPr>
        <w:t>评标办法：</w:t>
      </w:r>
      <w:r>
        <w:rPr>
          <w:rFonts w:hint="eastAsia" w:ascii="宋体" w:hAnsi="宋体" w:cs="宋体"/>
          <w:color w:val="000000" w:themeColor="text1"/>
          <w14:textFill>
            <w14:solidFill>
              <w14:schemeClr w14:val="tx1"/>
            </w14:solidFill>
          </w14:textFill>
        </w:rPr>
        <w:t>评标采用的方法有最低评标价法和综合评分法。</w:t>
      </w:r>
      <w:r>
        <w:rPr>
          <w:rFonts w:hint="eastAsia" w:ascii="宋体" w:hAnsi="宋体" w:cs="宋体"/>
          <w:b/>
          <w:bCs/>
          <w:color w:val="000000" w:themeColor="text1"/>
          <w14:textFill>
            <w14:solidFill>
              <w14:schemeClr w14:val="tx1"/>
            </w14:solidFill>
          </w14:textFill>
        </w:rPr>
        <w:t>本项目招标采用的评标方法载明在招标文件第五部分“评标办法”中。</w:t>
      </w:r>
    </w:p>
    <w:p>
      <w:pPr>
        <w:spacing w:line="400" w:lineRule="exact"/>
        <w:rPr>
          <w:rFonts w:ascii="宋体" w:hAnsi="宋体" w:cs="宋体"/>
          <w:b/>
          <w:bCs/>
          <w:color w:val="000000" w:themeColor="text1"/>
          <w14:textFill>
            <w14:solidFill>
              <w14:schemeClr w14:val="tx1"/>
            </w14:solidFill>
          </w14:textFill>
        </w:rPr>
      </w:pPr>
    </w:p>
    <w:p>
      <w:pPr>
        <w:spacing w:line="40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21.  </w:t>
      </w:r>
      <w:r>
        <w:rPr>
          <w:rFonts w:hint="eastAsia" w:ascii="宋体" w:hAnsi="宋体" w:cs="宋体"/>
          <w:b/>
          <w:bCs/>
          <w:color w:val="000000" w:themeColor="text1"/>
          <w14:textFill>
            <w14:solidFill>
              <w14:schemeClr w14:val="tx1"/>
            </w14:solidFill>
          </w14:textFill>
        </w:rPr>
        <w:t>评标程序和原则</w:t>
      </w:r>
    </w:p>
    <w:p>
      <w:pPr>
        <w:spacing w:line="440" w:lineRule="exact"/>
        <w:rPr>
          <w:rFonts w:ascii="宋体"/>
          <w:color w:val="000000" w:themeColor="text1"/>
          <w:shd w:val="pct10" w:color="auto" w:fill="FFFFFF"/>
          <w14:textFill>
            <w14:solidFill>
              <w14:schemeClr w14:val="tx1"/>
            </w14:solidFill>
          </w14:textFill>
        </w:rPr>
      </w:pPr>
      <w:r>
        <w:rPr>
          <w:rFonts w:ascii="宋体" w:hAnsi="宋体" w:cs="宋体"/>
          <w:b/>
          <w:bCs/>
          <w:color w:val="000000" w:themeColor="text1"/>
          <w14:textFill>
            <w14:solidFill>
              <w14:schemeClr w14:val="tx1"/>
            </w14:solidFill>
          </w14:textFill>
        </w:rPr>
        <w:t>21.1</w:t>
      </w:r>
      <w:r>
        <w:rPr>
          <w:rFonts w:hint="eastAsia" w:ascii="宋体" w:hAnsi="宋体" w:cs="宋体"/>
          <w:color w:val="000000" w:themeColor="text1"/>
          <w:u w:val="thick"/>
          <w14:textFill>
            <w14:solidFill>
              <w14:schemeClr w14:val="tx1"/>
            </w14:solidFill>
          </w14:textFill>
        </w:rPr>
        <w:t>评标程序</w:t>
      </w:r>
      <w:r>
        <w:rPr>
          <w:rFonts w:hint="eastAsia" w:ascii="宋体" w:hAnsi="宋体" w:cs="宋体"/>
          <w:color w:val="000000" w:themeColor="text1"/>
          <w14:textFill>
            <w14:solidFill>
              <w14:schemeClr w14:val="tx1"/>
            </w14:solidFill>
          </w14:textFill>
        </w:rPr>
        <w:t>：遵循资格审查、符合性审查、澄清有关问题、比较与评价、推荐中标供应商（或中标候选人）的程序依次进行。</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21.2</w:t>
      </w:r>
      <w:r>
        <w:rPr>
          <w:rFonts w:hint="eastAsia" w:ascii="宋体" w:hAnsi="宋体" w:cs="宋体"/>
          <w:color w:val="000000" w:themeColor="text1"/>
          <w:u w:val="thick"/>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：公开招标采购项目开标结束后，采购人或者采购代理机构应当依法对投标人的资格进行审查。详见招标文件第五部分“评标办法”。</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21.3  </w:t>
      </w:r>
      <w:r>
        <w:rPr>
          <w:rFonts w:hint="eastAsia" w:ascii="宋体" w:hAnsi="宋体" w:cs="宋体"/>
          <w:color w:val="000000" w:themeColor="text1"/>
          <w:u w:val="thick"/>
          <w14:textFill>
            <w14:solidFill>
              <w14:schemeClr w14:val="tx1"/>
            </w14:solidFill>
          </w14:textFill>
        </w:rPr>
        <w:t>符合性审查</w:t>
      </w:r>
      <w:r>
        <w:rPr>
          <w:rFonts w:hint="eastAsia" w:ascii="宋体" w:hAnsi="宋体" w:cs="宋体"/>
          <w:color w:val="000000" w:themeColor="text1"/>
          <w14:textFill>
            <w14:solidFill>
              <w14:schemeClr w14:val="tx1"/>
            </w14:solidFill>
          </w14:textFill>
        </w:rPr>
        <w:t>：评标委员会应当对符合资格的投标人的投标文件进行符合性审查，以确定其是否满足招标文件的实质性要求。详见招标文件第五部分“评标办法”。</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21.4  </w:t>
      </w:r>
      <w:r>
        <w:rPr>
          <w:rFonts w:hint="eastAsia" w:ascii="宋体" w:hAnsi="宋体" w:cs="宋体"/>
          <w:color w:val="000000" w:themeColor="text1"/>
          <w:u w:val="thick"/>
          <w14:textFill>
            <w14:solidFill>
              <w14:schemeClr w14:val="tx1"/>
            </w14:solidFill>
          </w14:textFill>
        </w:rPr>
        <w:t>澄清有关问题</w:t>
      </w:r>
      <w:r>
        <w:rPr>
          <w:rFonts w:hint="eastAsia" w:ascii="宋体" w:hAnsi="宋体" w:cs="宋体"/>
          <w:color w:val="000000" w:themeColor="text1"/>
          <w14:textFill>
            <w14:solidFill>
              <w14:schemeClr w14:val="tx1"/>
            </w14:solidFill>
          </w14:textFill>
        </w:rPr>
        <w:t>：按第</w:t>
      </w:r>
      <w:r>
        <w:rPr>
          <w:rFonts w:ascii="宋体" w:hAnsi="宋体" w:cs="宋体"/>
          <w:b/>
          <w:bCs/>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t>条规定进行。</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21.5</w:t>
      </w:r>
      <w:r>
        <w:rPr>
          <w:rFonts w:hint="eastAsia" w:ascii="宋体" w:hAnsi="宋体" w:cs="宋体"/>
          <w:color w:val="000000" w:themeColor="text1"/>
          <w:u w:val="thick"/>
          <w14:textFill>
            <w14:solidFill>
              <w14:schemeClr w14:val="tx1"/>
            </w14:solidFill>
          </w14:textFill>
        </w:rPr>
        <w:t>综合比较与评价</w:t>
      </w:r>
      <w:r>
        <w:rPr>
          <w:rFonts w:hint="eastAsia" w:ascii="宋体" w:hAnsi="宋体" w:cs="宋体"/>
          <w:color w:val="000000" w:themeColor="text1"/>
          <w14:textFill>
            <w14:solidFill>
              <w14:schemeClr w14:val="tx1"/>
            </w14:solidFill>
          </w14:textFill>
        </w:rPr>
        <w:t>：评标委员会应当按照招标文件中规定的评标方法和标准，对符合性审查合格的投标文件进行商务和技术评估，综合比较与评价。</w:t>
      </w:r>
    </w:p>
    <w:p>
      <w:pPr>
        <w:spacing w:line="44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21.5.1 </w:t>
      </w:r>
      <w:r>
        <w:rPr>
          <w:rFonts w:hint="eastAsia" w:ascii="宋体" w:hAnsi="宋体" w:cs="宋体"/>
          <w:color w:val="000000" w:themeColor="text1"/>
          <w:u w:val="thick"/>
          <w14:textFill>
            <w14:solidFill>
              <w14:schemeClr w14:val="tx1"/>
            </w14:solidFill>
          </w14:textFill>
        </w:rPr>
        <w:t>商务评价</w:t>
      </w:r>
      <w:r>
        <w:rPr>
          <w:rFonts w:hint="eastAsia" w:ascii="宋体" w:hAnsi="宋体" w:cs="宋体"/>
          <w:color w:val="000000" w:themeColor="text1"/>
          <w14:textFill>
            <w14:solidFill>
              <w14:schemeClr w14:val="tx1"/>
            </w14:solidFill>
          </w14:textFill>
        </w:rPr>
        <w:t>：按照招标文件的要求和“评标标准”对照投标文件的响应进行商务评价，并对其偏差计算相应的商务评分分值。</w:t>
      </w: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21.5.2</w:t>
      </w:r>
      <w:r>
        <w:rPr>
          <w:rFonts w:hint="eastAsia" w:ascii="宋体" w:hAnsi="宋体" w:cs="宋体"/>
          <w:color w:val="000000" w:themeColor="text1"/>
          <w:u w:val="thick"/>
          <w14:textFill>
            <w14:solidFill>
              <w14:schemeClr w14:val="tx1"/>
            </w14:solidFill>
          </w14:textFill>
        </w:rPr>
        <w:t>技术评价</w:t>
      </w:r>
      <w:r>
        <w:rPr>
          <w:rFonts w:hint="eastAsia" w:ascii="宋体" w:hAnsi="宋体" w:cs="宋体"/>
          <w:color w:val="000000" w:themeColor="text1"/>
          <w14:textFill>
            <w14:solidFill>
              <w14:schemeClr w14:val="tx1"/>
            </w14:solidFill>
          </w14:textFill>
        </w:rPr>
        <w:t>：按照招标文件的要求和“评标标准”对照投标文件的响应进行技术评价，评定其偏差程度，并计算其相应的技术评分分值。</w:t>
      </w:r>
    </w:p>
    <w:p>
      <w:pPr>
        <w:spacing w:line="440" w:lineRule="exact"/>
        <w:jc w:val="lef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21.5.3</w:t>
      </w:r>
      <w:r>
        <w:rPr>
          <w:rFonts w:hint="eastAsia" w:ascii="宋体" w:hAnsi="宋体" w:cs="宋体"/>
          <w:color w:val="000000" w:themeColor="text1"/>
          <w:u w:val="thick"/>
          <w14:textFill>
            <w14:solidFill>
              <w14:schemeClr w14:val="tx1"/>
            </w14:solidFill>
          </w14:textFill>
        </w:rPr>
        <w:t>综合评价</w:t>
      </w:r>
      <w:r>
        <w:rPr>
          <w:rFonts w:hint="eastAsia" w:ascii="宋体" w:hAnsi="宋体" w:cs="宋体"/>
          <w:color w:val="000000" w:themeColor="text1"/>
          <w14:textFill>
            <w14:solidFill>
              <w14:schemeClr w14:val="tx1"/>
            </w14:solidFill>
          </w14:textFill>
        </w:rPr>
        <w:t>：对经过商务评价、技术评价的投标，按“评标标准”规定的评价办法进行综合评价，做出评标结果排序。</w:t>
      </w:r>
    </w:p>
    <w:p>
      <w:pPr>
        <w:spacing w:line="440" w:lineRule="exact"/>
        <w:jc w:val="left"/>
        <w:rPr>
          <w:rFonts w:ascii="宋体"/>
          <w:color w:val="000000" w:themeColor="text1"/>
          <w14:textFill>
            <w14:solidFill>
              <w14:schemeClr w14:val="tx1"/>
            </w14:solidFill>
          </w14:textFill>
        </w:rPr>
      </w:pPr>
    </w:p>
    <w:p>
      <w:pPr>
        <w:spacing w:line="44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21.6  </w:t>
      </w:r>
      <w:r>
        <w:rPr>
          <w:rFonts w:hint="eastAsia" w:ascii="宋体" w:hAnsi="宋体" w:cs="宋体"/>
          <w:b/>
          <w:bCs/>
          <w:color w:val="000000" w:themeColor="text1"/>
          <w14:textFill>
            <w14:solidFill>
              <w14:schemeClr w14:val="tx1"/>
            </w14:solidFill>
          </w14:textFill>
        </w:rPr>
        <w:t>评标过程处理原则</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21.6.1</w:t>
      </w:r>
      <w:r>
        <w:rPr>
          <w:rFonts w:hint="eastAsia" w:ascii="宋体" w:hAnsi="宋体"/>
          <w:color w:val="000000" w:themeColor="text1"/>
          <w14:textFill>
            <w14:solidFill>
              <w14:schemeClr w14:val="tx1"/>
            </w14:solidFill>
          </w14:textFill>
        </w:rPr>
        <w:t xml:space="preserve">  通过资格审查的投标人不足3家的，评标终止。</w:t>
      </w:r>
    </w:p>
    <w:p>
      <w:pPr>
        <w:spacing w:line="4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21.6.2  </w:t>
      </w:r>
      <w:r>
        <w:rPr>
          <w:rFonts w:hint="eastAsia" w:ascii="宋体" w:hAnsi="宋体"/>
          <w:color w:val="000000" w:themeColor="text1"/>
          <w14:textFill>
            <w14:solidFill>
              <w14:schemeClr w14:val="tx1"/>
            </w14:solidFill>
          </w14:textFill>
        </w:rPr>
        <w:t>信用信息查询</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21.6.3  </w:t>
      </w:r>
      <w:r>
        <w:rPr>
          <w:rFonts w:hint="eastAsia" w:ascii="宋体" w:hAnsi="宋体"/>
          <w:color w:val="000000" w:themeColor="text1"/>
          <w14:textFill>
            <w14:solidFill>
              <w14:schemeClr w14:val="tx1"/>
            </w14:solidFill>
          </w14:textFill>
        </w:rPr>
        <w:t>投标文件报价出现前后不一致的，除招标文件另有规定外，按照下列规定修正：</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（一）投标文件中开标一览表(报价表)内容与投标文件中相应内容不一致的，以开标一览表(报价表)为准；</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（二）大写金额和小写金额不一致的，以大写金额为准；</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（三）单价金额小数点或者百分比有明显错位的，以开标一览表的总价为准，并修改单价；</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（四）总价金额与按单价汇总金额不一致的，以单价金额计算结果为准。</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21.6.4</w:t>
      </w:r>
      <w:r>
        <w:rPr>
          <w:rFonts w:hint="eastAsia" w:ascii="宋体" w:hAnsi="宋体"/>
          <w:color w:val="000000" w:themeColor="text1"/>
          <w14:textFill>
            <w14:solidFill>
              <w14:schemeClr w14:val="tx1"/>
            </w14:solidFill>
          </w14:textFill>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21.6.5</w:t>
      </w:r>
      <w:r>
        <w:rPr>
          <w:rFonts w:hint="eastAsia" w:ascii="宋体" w:hAnsi="宋体"/>
          <w:color w:val="000000" w:themeColor="text1"/>
          <w14:textFill>
            <w14:solidFill>
              <w14:schemeClr w14:val="tx1"/>
            </w14:solidFill>
          </w14:textFill>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21.6.6 </w:t>
      </w:r>
      <w:r>
        <w:rPr>
          <w:rFonts w:hint="eastAsia" w:ascii="宋体" w:hAnsi="宋体"/>
          <w:color w:val="000000" w:themeColor="text1"/>
          <w14:textFill>
            <w14:solidFill>
              <w14:schemeClr w14:val="tx1"/>
            </w14:solidFill>
          </w14:textFill>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非单一产品采购项目，招标文件中应载明核心产品，多家投标人提供的核心产品品牌相同的，按上述规定处理。</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21.6.7</w:t>
      </w:r>
      <w:r>
        <w:rPr>
          <w:rFonts w:hint="eastAsia" w:ascii="宋体" w:hAnsi="宋体"/>
          <w:color w:val="000000" w:themeColor="text1"/>
          <w14:textFill>
            <w14:solidFill>
              <w14:schemeClr w14:val="tx1"/>
            </w14:solidFill>
          </w14:textFill>
        </w:rPr>
        <w:t xml:space="preserve">  有下列情形之一的，视为投标人串通投标，其投标无效：</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（一）不同投标人的投标文件由同一单位或者个人编制；</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（二）不同投标人委托同一单位或者个人办理投标事宜；</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（三）不同投标人的投标文件载明的项目管理成员或者联系人员为同一人；</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（四）不同投标人的投标文件异常一致或者投标报价呈规律性差异；</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（五）不同投标人的投标文件相互混装；</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（六）不同投标人的投标保证金从同一单位或者个人的账户转出。</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21.6.8</w:t>
      </w:r>
      <w:r>
        <w:rPr>
          <w:rFonts w:hint="eastAsia" w:ascii="宋体" w:hAnsi="宋体"/>
          <w:color w:val="000000" w:themeColor="text1"/>
          <w14:textFill>
            <w14:solidFill>
              <w14:schemeClr w14:val="tx1"/>
            </w14:solidFill>
          </w14:textFill>
        </w:rPr>
        <w:t xml:space="preserve">  投标人存在下列情况之一的，投标无效：</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（一）未按照招标文件的规定提交投标保证金的；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（二）投标文件未按招标文件要求签署、盖章的；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（三）不具备招标文件中规定的资格要求的；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（四）报价超过招标文件中规定的预算金额或者最高限价的；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（五）未对招标文件的实质性条款作出响应的；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（六）投标文件含有采购人不能接受的附加条件的；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（七）不同投标人的投标文件出自同一终端设备或在相同Internet主机分配地址（相同IP地址）；</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（八）法律、法规和招标文件规定的其他无效情形。</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21.6.9  </w:t>
      </w:r>
      <w:r>
        <w:rPr>
          <w:rFonts w:hint="eastAsia" w:ascii="宋体" w:hAnsi="宋体"/>
          <w:color w:val="000000" w:themeColor="text1"/>
          <w14:textFill>
            <w14:solidFill>
              <w14:schemeClr w14:val="tx1"/>
            </w14:solidFill>
          </w14:textFill>
        </w:rPr>
        <w:t>评标结果汇总完成后，除下列情形外，任何人不得修改评标结果：</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（一）分值汇总计算错误的；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（二）分项评分超出评分标准范围的；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（三）评标委员会成员对客观评审因素评分不一致的；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（四）经评标委员会认定评分畸高、畸低的。</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21.6.10  </w:t>
      </w:r>
      <w:r>
        <w:rPr>
          <w:rFonts w:hint="eastAsia" w:ascii="宋体" w:hAnsi="宋体"/>
          <w:color w:val="000000" w:themeColor="text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color w:val="000000" w:themeColor="text1"/>
          <w:kern w:val="0"/>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22.  </w:t>
      </w:r>
      <w:r>
        <w:rPr>
          <w:rFonts w:hint="eastAsia" w:ascii="宋体" w:hAnsi="宋体" w:cs="宋体"/>
          <w:b/>
          <w:bCs/>
          <w:color w:val="000000" w:themeColor="text1"/>
          <w14:textFill>
            <w14:solidFill>
              <w14:schemeClr w14:val="tx1"/>
            </w14:solidFill>
          </w14:textFill>
        </w:rPr>
        <w:t>推荐中标候选人</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22.1</w:t>
      </w:r>
      <w:r>
        <w:rPr>
          <w:rFonts w:hint="eastAsia" w:ascii="宋体" w:hAnsi="宋体" w:cs="宋体"/>
          <w:color w:val="000000" w:themeColor="text1"/>
          <w:kern w:val="0"/>
          <w14:textFill>
            <w14:solidFill>
              <w14:schemeClr w14:val="tx1"/>
            </w14:solidFill>
          </w14:textFill>
        </w:rPr>
        <w:t>评标委员会按照招标文件第六部分“评标标准”推荐中标候选人。</w:t>
      </w:r>
    </w:p>
    <w:p>
      <w:pPr>
        <w:spacing w:line="400" w:lineRule="exact"/>
        <w:rPr>
          <w:rFonts w:ascii="宋体"/>
          <w:color w:val="000000" w:themeColor="text1"/>
          <w:kern w:val="0"/>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23.  </w:t>
      </w:r>
      <w:r>
        <w:rPr>
          <w:rFonts w:hint="eastAsia" w:ascii="宋体" w:hAnsi="宋体" w:cs="宋体"/>
          <w:b/>
          <w:bCs/>
          <w:color w:val="000000" w:themeColor="text1"/>
          <w14:textFill>
            <w14:solidFill>
              <w14:schemeClr w14:val="tx1"/>
            </w14:solidFill>
          </w14:textFill>
        </w:rPr>
        <w:t>定标</w:t>
      </w:r>
    </w:p>
    <w:p>
      <w:pPr>
        <w:spacing w:line="40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23.1  </w:t>
      </w:r>
      <w:r>
        <w:rPr>
          <w:rFonts w:hint="eastAsia" w:ascii="宋体" w:hAnsi="宋体" w:cs="宋体"/>
          <w:color w:val="000000" w:themeColor="text1"/>
          <w14:textFill>
            <w14:solidFill>
              <w14:schemeClr w14:val="tx1"/>
            </w14:solidFill>
          </w14:textFill>
        </w:rPr>
        <w:t>确定中标人。本项目由评标委员会推荐中标候选人，采购人不得在评标委员会推荐的中标候选人以外确定中标候选人。</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23.2</w:t>
      </w:r>
      <w:r>
        <w:rPr>
          <w:rFonts w:hint="eastAsia" w:ascii="宋体" w:hAnsi="宋体" w:cs="宋体"/>
          <w:color w:val="000000" w:themeColor="text1"/>
          <w14:textFill>
            <w14:solidFill>
              <w14:schemeClr w14:val="tx1"/>
            </w14:solidFill>
          </w14:textFill>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23.3</w:t>
      </w:r>
      <w:r>
        <w:rPr>
          <w:rFonts w:hint="eastAsia" w:ascii="宋体" w:hAnsi="宋体" w:cs="宋体"/>
          <w:color w:val="000000" w:themeColor="text1"/>
          <w14:textFill>
            <w14:solidFill>
              <w14:schemeClr w14:val="tx1"/>
            </w14:solidFill>
          </w14:textFill>
        </w:rPr>
        <w:t xml:space="preserve">  采购代理机构自中标人确定之日起2个工作日内，在发布招标公告的网站上对中标结果进行公示，中标结果公告期限为1个工作日。</w:t>
      </w:r>
    </w:p>
    <w:p>
      <w:pPr>
        <w:spacing w:line="400" w:lineRule="exact"/>
        <w:rPr>
          <w:rFonts w:ascii="宋体"/>
          <w:color w:val="000000" w:themeColor="text1"/>
          <w:kern w:val="0"/>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107" w:name="_Toc440276567"/>
      <w:bookmarkStart w:id="108" w:name="_Toc141797120"/>
      <w:bookmarkStart w:id="109" w:name="_Toc141797680"/>
      <w:r>
        <w:rPr>
          <w:rFonts w:ascii="宋体" w:hAnsi="宋体" w:cs="宋体"/>
          <w:b/>
          <w:bCs/>
          <w:color w:val="000000" w:themeColor="text1"/>
          <w:sz w:val="28"/>
          <w:szCs w:val="28"/>
          <w14:textFill>
            <w14:solidFill>
              <w14:schemeClr w14:val="tx1"/>
            </w14:solidFill>
          </w14:textFill>
        </w:rPr>
        <w:t xml:space="preserve">G  </w:t>
      </w:r>
      <w:r>
        <w:rPr>
          <w:rFonts w:hint="eastAsia" w:ascii="宋体" w:hAnsi="宋体" w:cs="宋体"/>
          <w:b/>
          <w:bCs/>
          <w:color w:val="000000" w:themeColor="text1"/>
          <w:sz w:val="28"/>
          <w:szCs w:val="28"/>
          <w14:textFill>
            <w14:solidFill>
              <w14:schemeClr w14:val="tx1"/>
            </w14:solidFill>
          </w14:textFill>
        </w:rPr>
        <w:t>授予合同</w:t>
      </w:r>
      <w:bookmarkEnd w:id="107"/>
      <w:bookmarkEnd w:id="108"/>
      <w:bookmarkEnd w:id="109"/>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24.  </w:t>
      </w:r>
      <w:r>
        <w:rPr>
          <w:rFonts w:hint="eastAsia" w:ascii="宋体" w:hAnsi="宋体" w:cs="宋体"/>
          <w:b/>
          <w:bCs/>
          <w:color w:val="000000" w:themeColor="text1"/>
          <w14:textFill>
            <w14:solidFill>
              <w14:schemeClr w14:val="tx1"/>
            </w14:solidFill>
          </w14:textFill>
        </w:rPr>
        <w:t>中标通知</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 xml:space="preserve">24.1 </w:t>
      </w:r>
      <w:r>
        <w:rPr>
          <w:rFonts w:hint="eastAsia" w:ascii="宋体" w:hAnsi="宋体" w:cs="宋体"/>
          <w:color w:val="000000" w:themeColor="text1"/>
          <w:kern w:val="0"/>
          <w14:textFill>
            <w14:solidFill>
              <w14:schemeClr w14:val="tx1"/>
            </w14:solidFill>
          </w14:textFill>
        </w:rPr>
        <w:t>在公告中标结果的同时，采购代理机构应当向中标人发出中标通知书。</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24.2</w:t>
      </w:r>
      <w:r>
        <w:rPr>
          <w:rFonts w:hint="eastAsia" w:ascii="宋体" w:hAnsi="宋体" w:cs="宋体"/>
          <w:color w:val="000000" w:themeColor="text1"/>
          <w:kern w:val="0"/>
          <w14:textFill>
            <w14:solidFill>
              <w14:schemeClr w14:val="tx1"/>
            </w14:solidFill>
          </w14:textFill>
        </w:rPr>
        <w:t>中标通知书发出后，采购人不得违法改变中标结果，中标人无正当理由不得放弃中标。</w:t>
      </w:r>
    </w:p>
    <w:p>
      <w:pPr>
        <w:spacing w:line="400" w:lineRule="exact"/>
        <w:ind w:firstLine="420" w:firstLineChars="200"/>
        <w:rPr>
          <w:rFonts w:ascii="宋体"/>
          <w:color w:val="000000" w:themeColor="text1"/>
          <w:kern w:val="0"/>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25.  </w:t>
      </w:r>
      <w:r>
        <w:rPr>
          <w:rFonts w:hint="eastAsia" w:ascii="宋体" w:hAnsi="宋体" w:cs="宋体"/>
          <w:b/>
          <w:bCs/>
          <w:color w:val="000000" w:themeColor="text1"/>
          <w14:textFill>
            <w14:solidFill>
              <w14:schemeClr w14:val="tx1"/>
            </w14:solidFill>
          </w14:textFill>
        </w:rPr>
        <w:t>签订合同</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25.1</w:t>
      </w:r>
      <w:r>
        <w:rPr>
          <w:rFonts w:hint="eastAsia" w:ascii="宋体" w:hAnsi="宋体" w:cs="宋体"/>
          <w:color w:val="000000" w:themeColor="text1"/>
          <w:kern w:val="0"/>
          <w14:textFill>
            <w14:solidFill>
              <w14:schemeClr w14:val="tx1"/>
            </w14:solidFill>
          </w14:textFill>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25.2</w:t>
      </w:r>
      <w:r>
        <w:rPr>
          <w:rFonts w:hint="eastAsia" w:ascii="宋体" w:hAnsi="宋体" w:cs="宋体"/>
          <w:color w:val="000000" w:themeColor="text1"/>
          <w:kern w:val="0"/>
          <w14:textFill>
            <w14:solidFill>
              <w14:schemeClr w14:val="tx1"/>
            </w14:solidFill>
          </w14:textFill>
        </w:rPr>
        <w:t xml:space="preserve">  除中标通知书外，招标文件、中标人的投标文件及评标过程中有关的澄清文件也均应作为合同附件。</w:t>
      </w:r>
    </w:p>
    <w:p>
      <w:pPr>
        <w:spacing w:line="400" w:lineRule="exact"/>
        <w:rPr>
          <w:rFonts w:ascii="宋体" w:hAnsi="宋体" w:cs="宋体"/>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25.3  </w:t>
      </w:r>
      <w:r>
        <w:rPr>
          <w:rFonts w:hint="eastAsia" w:ascii="宋体" w:hAnsi="宋体" w:cs="宋体"/>
          <w:bCs/>
          <w:color w:val="000000" w:themeColor="text1"/>
          <w14:textFill>
            <w14:solidFill>
              <w14:schemeClr w14:val="tx1"/>
            </w14:solidFill>
          </w14:textFill>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25.4</w:t>
      </w:r>
      <w:r>
        <w:rPr>
          <w:rFonts w:hint="eastAsia" w:ascii="宋体" w:hAnsi="宋体" w:cs="宋体"/>
          <w:color w:val="000000" w:themeColor="text1"/>
          <w:kern w:val="0"/>
          <w14:textFill>
            <w14:solidFill>
              <w14:schemeClr w14:val="tx1"/>
            </w14:solidFill>
          </w14:textFill>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000000" w:themeColor="text1"/>
          <w:kern w:val="0"/>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26.  </w:t>
      </w:r>
      <w:r>
        <w:rPr>
          <w:rFonts w:hint="eastAsia" w:ascii="宋体" w:hAnsi="宋体" w:cs="宋体"/>
          <w:b/>
          <w:bCs/>
          <w:color w:val="000000" w:themeColor="text1"/>
          <w14:textFill>
            <w14:solidFill>
              <w14:schemeClr w14:val="tx1"/>
            </w14:solidFill>
          </w14:textFill>
        </w:rPr>
        <w:t>履约保证金</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26.1</w:t>
      </w:r>
      <w:r>
        <w:rPr>
          <w:rFonts w:hint="eastAsia" w:ascii="宋体" w:hAnsi="宋体" w:cs="宋体"/>
          <w:color w:val="000000" w:themeColor="text1"/>
          <w:kern w:val="0"/>
          <w14:textFill>
            <w14:solidFill>
              <w14:schemeClr w14:val="tx1"/>
            </w14:solidFill>
          </w14:textFill>
        </w:rPr>
        <w:t>招标文件若有规定，在签订合同后，采购人按合同支付定金的同时，中标人应向采购人提供履约保证金。</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26.2</w:t>
      </w:r>
      <w:r>
        <w:rPr>
          <w:rFonts w:hint="eastAsia" w:ascii="宋体" w:hAnsi="宋体" w:cs="宋体"/>
          <w:color w:val="000000" w:themeColor="text1"/>
          <w:kern w:val="0"/>
          <w14:textFill>
            <w14:solidFill>
              <w14:schemeClr w14:val="tx1"/>
            </w14:solidFill>
          </w14:textFill>
        </w:rPr>
        <w:t>若中标人不按上述第</w:t>
      </w:r>
      <w:r>
        <w:rPr>
          <w:rFonts w:ascii="宋体" w:hAnsi="宋体" w:cs="宋体"/>
          <w:color w:val="000000" w:themeColor="text1"/>
          <w:kern w:val="0"/>
          <w14:textFill>
            <w14:solidFill>
              <w14:schemeClr w14:val="tx1"/>
            </w14:solidFill>
          </w14:textFill>
        </w:rPr>
        <w:t>26.1</w:t>
      </w:r>
      <w:r>
        <w:rPr>
          <w:rFonts w:hint="eastAsia" w:ascii="宋体" w:hAnsi="宋体" w:cs="宋体"/>
          <w:color w:val="000000" w:themeColor="text1"/>
          <w:kern w:val="0"/>
          <w14:textFill>
            <w14:solidFill>
              <w14:schemeClr w14:val="tx1"/>
            </w14:solidFill>
          </w14:textFill>
        </w:rPr>
        <w:t>条要求提供，采购代理机构和采购人有权按前述第</w:t>
      </w:r>
      <w:r>
        <w:rPr>
          <w:rFonts w:ascii="宋体" w:hAnsi="宋体" w:cs="宋体"/>
          <w:color w:val="000000" w:themeColor="text1"/>
          <w:kern w:val="0"/>
          <w14:textFill>
            <w14:solidFill>
              <w14:schemeClr w14:val="tx1"/>
            </w14:solidFill>
          </w14:textFill>
        </w:rPr>
        <w:t>13.6</w:t>
      </w:r>
      <w:r>
        <w:rPr>
          <w:rFonts w:hint="eastAsia" w:ascii="宋体" w:hAnsi="宋体" w:cs="宋体"/>
          <w:color w:val="000000" w:themeColor="text1"/>
          <w:kern w:val="0"/>
          <w14:textFill>
            <w14:solidFill>
              <w14:schemeClr w14:val="tx1"/>
            </w14:solidFill>
          </w14:textFill>
        </w:rPr>
        <w:t>条规定处理并撤销其中标资格。在这种情况下，采购代理机构和采购人可按本须知第</w:t>
      </w:r>
      <w:r>
        <w:rPr>
          <w:rFonts w:ascii="宋体" w:hAnsi="宋体" w:cs="宋体"/>
          <w:color w:val="000000" w:themeColor="text1"/>
          <w:kern w:val="0"/>
          <w14:textFill>
            <w14:solidFill>
              <w14:schemeClr w14:val="tx1"/>
            </w14:solidFill>
          </w14:textFill>
        </w:rPr>
        <w:t>25.3</w:t>
      </w:r>
      <w:r>
        <w:rPr>
          <w:rFonts w:hint="eastAsia" w:ascii="宋体" w:hAnsi="宋体" w:cs="宋体"/>
          <w:color w:val="000000" w:themeColor="text1"/>
          <w:kern w:val="0"/>
          <w14:textFill>
            <w14:solidFill>
              <w14:schemeClr w14:val="tx1"/>
            </w14:solidFill>
          </w14:textFill>
        </w:rPr>
        <w:t>条规定另选中标人。</w:t>
      </w:r>
    </w:p>
    <w:p>
      <w:pPr>
        <w:spacing w:line="400" w:lineRule="exact"/>
        <w:rPr>
          <w:rFonts w:ascii="宋体"/>
          <w:color w:val="000000" w:themeColor="text1"/>
          <w:kern w:val="0"/>
          <w14:textFill>
            <w14:solidFill>
              <w14:schemeClr w14:val="tx1"/>
            </w14:solidFill>
          </w14:textFill>
        </w:rPr>
      </w:pPr>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27.  </w:t>
      </w:r>
      <w:r>
        <w:rPr>
          <w:rFonts w:hint="eastAsia" w:ascii="宋体" w:hAnsi="宋体" w:cs="宋体"/>
          <w:b/>
          <w:bCs/>
          <w:color w:val="000000" w:themeColor="text1"/>
          <w14:textFill>
            <w14:solidFill>
              <w14:schemeClr w14:val="tx1"/>
            </w14:solidFill>
          </w14:textFill>
        </w:rPr>
        <w:t>履约验收</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27.1</w:t>
      </w:r>
      <w:r>
        <w:rPr>
          <w:rFonts w:hint="eastAsia" w:ascii="宋体" w:hAnsi="宋体" w:cs="宋体"/>
          <w:color w:val="000000" w:themeColor="text1"/>
          <w:kern w:val="0"/>
          <w14:textFill>
            <w14:solidFill>
              <w14:schemeClr w14:val="tx1"/>
            </w14:solidFill>
          </w14:textFill>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27.2 </w:t>
      </w:r>
      <w:r>
        <w:rPr>
          <w:rFonts w:hint="eastAsia" w:ascii="宋体" w:hAnsi="宋体" w:cs="宋体"/>
          <w:color w:val="000000" w:themeColor="text1"/>
          <w:kern w:val="0"/>
          <w14:textFill>
            <w14:solidFill>
              <w14:schemeClr w14:val="tx1"/>
            </w14:solidFill>
          </w14:textFill>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27.3</w:t>
      </w:r>
      <w:r>
        <w:rPr>
          <w:rFonts w:hint="eastAsia" w:ascii="宋体" w:hAnsi="宋体" w:cs="宋体"/>
          <w:color w:val="000000" w:themeColor="text1"/>
          <w:kern w:val="0"/>
          <w14:textFill>
            <w14:solidFill>
              <w14:schemeClr w14:val="tx1"/>
            </w14:solidFill>
          </w14:textFill>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27.4</w:t>
      </w:r>
      <w:r>
        <w:rPr>
          <w:rFonts w:hint="eastAsia" w:ascii="宋体" w:hAnsi="宋体" w:cs="宋体"/>
          <w:color w:val="000000" w:themeColor="text1"/>
          <w:kern w:val="0"/>
          <w14:textFill>
            <w14:solidFill>
              <w14:schemeClr w14:val="tx1"/>
            </w14:solidFill>
          </w14:textFill>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pacing w:line="400" w:lineRule="exact"/>
        <w:rPr>
          <w:rFonts w:ascii="宋体"/>
          <w:color w:val="000000" w:themeColor="text1"/>
          <w:kern w:val="0"/>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110" w:name="_Toc440276568"/>
      <w:bookmarkStart w:id="111" w:name="_Toc141797121"/>
      <w:bookmarkStart w:id="112" w:name="_Toc141797681"/>
      <w:r>
        <w:rPr>
          <w:rFonts w:ascii="宋体" w:hAnsi="宋体" w:cs="宋体"/>
          <w:b/>
          <w:bCs/>
          <w:color w:val="000000" w:themeColor="text1"/>
          <w:sz w:val="28"/>
          <w:szCs w:val="28"/>
          <w14:textFill>
            <w14:solidFill>
              <w14:schemeClr w14:val="tx1"/>
            </w14:solidFill>
          </w14:textFill>
        </w:rPr>
        <w:t xml:space="preserve">H  </w:t>
      </w:r>
      <w:r>
        <w:rPr>
          <w:rFonts w:hint="eastAsia" w:ascii="宋体" w:hAnsi="宋体" w:cs="宋体"/>
          <w:b/>
          <w:bCs/>
          <w:color w:val="000000" w:themeColor="text1"/>
          <w:sz w:val="28"/>
          <w:szCs w:val="28"/>
          <w14:textFill>
            <w14:solidFill>
              <w14:schemeClr w14:val="tx1"/>
            </w14:solidFill>
          </w14:textFill>
        </w:rPr>
        <w:t>采购代理机构服务费</w:t>
      </w:r>
      <w:bookmarkEnd w:id="110"/>
      <w:bookmarkEnd w:id="111"/>
      <w:bookmarkEnd w:id="112"/>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28.  </w:t>
      </w:r>
      <w:r>
        <w:rPr>
          <w:rFonts w:hint="eastAsia" w:ascii="宋体" w:hAnsi="宋体" w:cs="宋体"/>
          <w:b/>
          <w:bCs/>
          <w:color w:val="000000" w:themeColor="text1"/>
          <w14:textFill>
            <w14:solidFill>
              <w14:schemeClr w14:val="tx1"/>
            </w14:solidFill>
          </w14:textFill>
        </w:rPr>
        <w:t>采购代理机构服务费</w:t>
      </w:r>
    </w:p>
    <w:p>
      <w:pPr>
        <w:spacing w:line="400" w:lineRule="exact"/>
        <w:rPr>
          <w:rFonts w:ascii="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28.1</w:t>
      </w:r>
      <w:r>
        <w:rPr>
          <w:rFonts w:hint="eastAsia" w:ascii="宋体" w:hAnsi="宋体" w:cs="宋体"/>
          <w:color w:val="000000" w:themeColor="text1"/>
          <w:kern w:val="0"/>
          <w14:textFill>
            <w14:solidFill>
              <w14:schemeClr w14:val="tx1"/>
            </w14:solidFill>
          </w14:textFill>
        </w:rPr>
        <w:t>中标人应在中标结果公示结束后向采购代理机构支付采购代理机构服务费。</w:t>
      </w:r>
    </w:p>
    <w:p>
      <w:pPr>
        <w:spacing w:line="400" w:lineRule="exact"/>
        <w:rPr>
          <w:rFonts w:ascii="宋体"/>
          <w:color w:val="000000" w:themeColor="text1"/>
          <w:kern w:val="0"/>
          <w14:textFill>
            <w14:solidFill>
              <w14:schemeClr w14:val="tx1"/>
            </w14:solidFill>
          </w14:textFill>
        </w:rPr>
      </w:pPr>
    </w:p>
    <w:p>
      <w:pPr>
        <w:spacing w:line="400" w:lineRule="exact"/>
        <w:rPr>
          <w:rFonts w:ascii="宋体"/>
          <w:color w:val="000000" w:themeColor="text1"/>
          <w:kern w:val="0"/>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113" w:name="_Toc141797682"/>
      <w:bookmarkStart w:id="114" w:name="_Toc141797122"/>
      <w:r>
        <w:rPr>
          <w:rFonts w:hint="eastAsia" w:ascii="宋体" w:hAnsi="宋体" w:cs="宋体"/>
          <w:b/>
          <w:bCs/>
          <w:color w:val="000000" w:themeColor="text1"/>
          <w:sz w:val="28"/>
          <w:szCs w:val="28"/>
          <w14:textFill>
            <w14:solidFill>
              <w14:schemeClr w14:val="tx1"/>
            </w14:solidFill>
          </w14:textFill>
        </w:rPr>
        <w:t>Ⅰ信息发布媒体</w:t>
      </w:r>
      <w:bookmarkEnd w:id="113"/>
      <w:bookmarkEnd w:id="114"/>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29.  </w:t>
      </w:r>
      <w:r>
        <w:rPr>
          <w:rFonts w:hint="eastAsia" w:ascii="宋体" w:hAnsi="宋体" w:cs="宋体"/>
          <w:b/>
          <w:bCs/>
          <w:color w:val="000000" w:themeColor="text1"/>
          <w14:textFill>
            <w14:solidFill>
              <w14:schemeClr w14:val="tx1"/>
            </w14:solidFill>
          </w14:textFill>
        </w:rPr>
        <w:t>有关发布项目招标公告、中标公示的媒体：</w:t>
      </w:r>
    </w:p>
    <w:p>
      <w:pPr>
        <w:spacing w:line="360" w:lineRule="auto"/>
        <w:ind w:left="788" w:hanging="787" w:hangingChars="3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浙江政府采购网</w:t>
      </w:r>
      <w:r>
        <w:rPr>
          <w:rFonts w:ascii="宋体" w:hAnsi="宋体" w:cs="宋体"/>
          <w:color w:val="000000" w:themeColor="text1"/>
          <w:u w:val="single"/>
          <w14:textFill>
            <w14:solidFill>
              <w14:schemeClr w14:val="tx1"/>
            </w14:solidFill>
          </w14:textFill>
        </w:rPr>
        <w:t>https://zfcg.czt.zj.gov.cn/</w:t>
      </w:r>
    </w:p>
    <w:p>
      <w:pPr>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宁波政府采购网</w:t>
      </w:r>
      <w:r>
        <w:fldChar w:fldCharType="begin"/>
      </w:r>
      <w:r>
        <w:instrText xml:space="preserve"> HYPERLINK "http://www.nbzfcg.cn" </w:instrText>
      </w:r>
      <w:r>
        <w:fldChar w:fldCharType="separate"/>
      </w:r>
      <w:r>
        <w:rPr>
          <w:rStyle w:val="45"/>
          <w:rFonts w:hint="eastAsia" w:ascii="宋体" w:hAnsi="宋体" w:cs="宋体"/>
          <w:color w:val="000000" w:themeColor="text1"/>
          <w:lang w:eastAsia="zh-CN"/>
          <w14:textFill>
            <w14:solidFill>
              <w14:schemeClr w14:val="tx1"/>
            </w14:solidFill>
          </w14:textFill>
        </w:rPr>
        <w:t>https://zfcg.czj.ningbo.gov.cn/</w:t>
      </w:r>
      <w:r>
        <w:rPr>
          <w:rStyle w:val="45"/>
          <w:rFonts w:ascii="宋体" w:hAnsi="宋体" w:cs="宋体"/>
          <w:color w:val="000000" w:themeColor="text1"/>
          <w14:textFill>
            <w14:solidFill>
              <w14:schemeClr w14:val="tx1"/>
            </w14:solidFill>
          </w14:textFill>
        </w:rPr>
        <w:fldChar w:fldCharType="end"/>
      </w:r>
    </w:p>
    <w:p>
      <w:pPr>
        <w:jc w:val="center"/>
        <w:outlineLvl w:val="1"/>
        <w:rPr>
          <w:rFonts w:ascii="宋体"/>
          <w:b/>
          <w:bCs/>
          <w:color w:val="000000" w:themeColor="text1"/>
          <w:sz w:val="28"/>
          <w:szCs w:val="28"/>
          <w14:textFill>
            <w14:solidFill>
              <w14:schemeClr w14:val="tx1"/>
            </w14:solidFill>
          </w14:textFill>
        </w:rPr>
      </w:pPr>
    </w:p>
    <w:p>
      <w:pPr>
        <w:jc w:val="center"/>
        <w:outlineLvl w:val="1"/>
        <w:rPr>
          <w:rFonts w:ascii="宋体"/>
          <w:b/>
          <w:bCs/>
          <w:color w:val="000000" w:themeColor="text1"/>
          <w:sz w:val="28"/>
          <w:szCs w:val="28"/>
          <w14:textFill>
            <w14:solidFill>
              <w14:schemeClr w14:val="tx1"/>
            </w14:solidFill>
          </w14:textFill>
        </w:rPr>
      </w:pPr>
      <w:bookmarkStart w:id="115" w:name="_Toc141797123"/>
      <w:bookmarkStart w:id="116" w:name="_Toc141797683"/>
      <w:r>
        <w:rPr>
          <w:rFonts w:ascii="宋体" w:hAnsi="宋体" w:cs="宋体"/>
          <w:b/>
          <w:bCs/>
          <w:color w:val="000000" w:themeColor="text1"/>
          <w:sz w:val="28"/>
          <w:szCs w:val="28"/>
          <w14:textFill>
            <w14:solidFill>
              <w14:schemeClr w14:val="tx1"/>
            </w14:solidFill>
          </w14:textFill>
        </w:rPr>
        <w:t xml:space="preserve">J  </w:t>
      </w:r>
      <w:r>
        <w:rPr>
          <w:rFonts w:hint="eastAsia" w:ascii="宋体" w:hAnsi="宋体" w:cs="宋体"/>
          <w:b/>
          <w:bCs/>
          <w:color w:val="000000" w:themeColor="text1"/>
          <w:sz w:val="28"/>
          <w:szCs w:val="28"/>
          <w14:textFill>
            <w14:solidFill>
              <w14:schemeClr w14:val="tx1"/>
            </w14:solidFill>
          </w14:textFill>
        </w:rPr>
        <w:t>其他规定</w:t>
      </w:r>
      <w:bookmarkEnd w:id="115"/>
      <w:bookmarkEnd w:id="116"/>
    </w:p>
    <w:p>
      <w:pPr>
        <w:spacing w:line="40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30.  </w:t>
      </w:r>
      <w:r>
        <w:rPr>
          <w:rFonts w:hint="eastAsia" w:ascii="宋体" w:hAnsi="宋体" w:cs="宋体"/>
          <w:b/>
          <w:bCs/>
          <w:color w:val="000000" w:themeColor="text1"/>
          <w14:textFill>
            <w14:solidFill>
              <w14:schemeClr w14:val="tx1"/>
            </w14:solidFill>
          </w14:textFill>
        </w:rPr>
        <w:t>其他规定</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30.1</w:t>
      </w:r>
      <w:r>
        <w:rPr>
          <w:rFonts w:hint="eastAsia" w:ascii="宋体" w:hAnsi="宋体" w:cs="宋体"/>
          <w:color w:val="000000" w:themeColor="text1"/>
          <w:kern w:val="0"/>
          <w14:textFill>
            <w14:solidFill>
              <w14:schemeClr w14:val="tx1"/>
            </w14:solidFill>
          </w14:textFill>
        </w:rPr>
        <w:t xml:space="preserve"> 自购买招标文件之日起，投标人应保证其提供的联系方式</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电话、传真、电子邮件</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一直有效，以保证往来函件</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招标文件的澄清、修改等</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能及时通知投标人，并能及时反馈信息，否则采购人不承担由此引起的一切后果。</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30.2</w:t>
      </w:r>
      <w:r>
        <w:rPr>
          <w:rFonts w:hint="eastAsia" w:ascii="宋体" w:hAnsi="宋体" w:cs="宋体"/>
          <w:color w:val="000000" w:themeColor="text1"/>
          <w:kern w:val="0"/>
          <w14:textFill>
            <w14:solidFill>
              <w14:schemeClr w14:val="tx1"/>
            </w14:solidFill>
          </w14:textFill>
        </w:rPr>
        <w:t xml:space="preserve"> 知识产权</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30.2.1</w:t>
      </w:r>
      <w:r>
        <w:rPr>
          <w:rFonts w:ascii="宋体" w:hAnsi="宋体" w:cs="宋体"/>
          <w:color w:val="000000" w:themeColor="text1"/>
          <w:kern w:val="0"/>
          <w14:textFill>
            <w14:solidFill>
              <w14:schemeClr w14:val="tx1"/>
            </w14:solidFill>
          </w14:textFill>
        </w:rPr>
        <w:t>投标人应保证提交的全部文件不会侵犯其</w:t>
      </w:r>
      <w:r>
        <w:rPr>
          <w:rFonts w:hint="eastAsia" w:ascii="宋体" w:hAnsi="宋体" w:cs="宋体"/>
          <w:color w:val="000000" w:themeColor="text1"/>
          <w:kern w:val="0"/>
          <w14:textFill>
            <w14:solidFill>
              <w14:schemeClr w14:val="tx1"/>
            </w14:solidFill>
          </w14:textFill>
        </w:rPr>
        <w:t>他</w:t>
      </w:r>
      <w:r>
        <w:rPr>
          <w:rFonts w:ascii="宋体" w:hAnsi="宋体" w:cs="宋体"/>
          <w:color w:val="000000" w:themeColor="text1"/>
          <w:kern w:val="0"/>
          <w14:textFill>
            <w14:solidFill>
              <w14:schemeClr w14:val="tx1"/>
            </w14:solidFill>
          </w14:textFill>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000000" w:themeColor="text1"/>
          <w:kern w:val="0"/>
          <w14:textFill>
            <w14:solidFill>
              <w14:schemeClr w14:val="tx1"/>
            </w14:solidFill>
          </w14:textFill>
        </w:rPr>
        <w:t>采购人</w:t>
      </w:r>
      <w:r>
        <w:rPr>
          <w:rFonts w:ascii="宋体" w:hAnsi="宋体" w:cs="宋体"/>
          <w:color w:val="000000" w:themeColor="text1"/>
          <w:kern w:val="0"/>
          <w14:textFill>
            <w14:solidFill>
              <w14:schemeClr w14:val="tx1"/>
            </w14:solidFill>
          </w14:textFill>
        </w:rPr>
        <w:t>使用其</w:t>
      </w:r>
      <w:r>
        <w:rPr>
          <w:rFonts w:hint="eastAsia" w:ascii="宋体" w:hAnsi="宋体" w:cs="宋体"/>
          <w:color w:val="000000" w:themeColor="text1"/>
          <w:kern w:val="0"/>
          <w14:textFill>
            <w14:solidFill>
              <w14:schemeClr w14:val="tx1"/>
            </w14:solidFill>
          </w14:textFill>
        </w:rPr>
        <w:t>成果</w:t>
      </w:r>
      <w:r>
        <w:rPr>
          <w:rFonts w:ascii="宋体" w:hAnsi="宋体" w:cs="宋体"/>
          <w:color w:val="000000" w:themeColor="text1"/>
          <w:kern w:val="0"/>
          <w14:textFill>
            <w14:solidFill>
              <w14:schemeClr w14:val="tx1"/>
            </w14:solidFill>
          </w14:textFill>
        </w:rPr>
        <w:t>不会侵犯他人的知识产权或专</w:t>
      </w:r>
      <w:r>
        <w:rPr>
          <w:rFonts w:hint="eastAsia" w:ascii="宋体" w:hAnsi="宋体" w:cs="宋体"/>
          <w:color w:val="000000" w:themeColor="text1"/>
          <w:kern w:val="0"/>
          <w14:textFill>
            <w14:solidFill>
              <w14:schemeClr w14:val="tx1"/>
            </w14:solidFill>
          </w14:textFill>
        </w:rPr>
        <w:t>有</w:t>
      </w:r>
      <w:r>
        <w:rPr>
          <w:rFonts w:ascii="宋体" w:hAnsi="宋体" w:cs="宋体"/>
          <w:color w:val="000000" w:themeColor="text1"/>
          <w:kern w:val="0"/>
          <w14:textFill>
            <w14:solidFill>
              <w14:schemeClr w14:val="tx1"/>
            </w14:solidFill>
          </w14:textFill>
        </w:rPr>
        <w:t>技术或商业秘密，并应当使</w:t>
      </w:r>
      <w:r>
        <w:rPr>
          <w:rFonts w:hint="eastAsia" w:ascii="宋体" w:hAnsi="宋体" w:cs="宋体"/>
          <w:color w:val="000000" w:themeColor="text1"/>
          <w:kern w:val="0"/>
          <w14:textFill>
            <w14:solidFill>
              <w14:schemeClr w14:val="tx1"/>
            </w14:solidFill>
          </w14:textFill>
        </w:rPr>
        <w:t>采购人</w:t>
      </w:r>
      <w:r>
        <w:rPr>
          <w:rFonts w:ascii="宋体" w:hAnsi="宋体" w:cs="宋体"/>
          <w:color w:val="000000" w:themeColor="text1"/>
          <w:kern w:val="0"/>
          <w14:textFill>
            <w14:solidFill>
              <w14:schemeClr w14:val="tx1"/>
            </w14:solidFill>
          </w14:textFill>
        </w:rPr>
        <w:t>免于因被指控侵犯上述权利产生的任何责任，</w:t>
      </w:r>
      <w:r>
        <w:rPr>
          <w:rFonts w:hint="eastAsia" w:ascii="宋体" w:hAnsi="宋体" w:cs="宋体"/>
          <w:color w:val="000000" w:themeColor="text1"/>
          <w:kern w:val="0"/>
          <w14:textFill>
            <w14:solidFill>
              <w14:schemeClr w14:val="tx1"/>
            </w14:solidFill>
          </w14:textFill>
        </w:rPr>
        <w:t>若采购人</w:t>
      </w:r>
      <w:r>
        <w:rPr>
          <w:rFonts w:ascii="宋体" w:hAnsi="宋体" w:cs="宋体"/>
          <w:color w:val="000000" w:themeColor="text1"/>
          <w:kern w:val="0"/>
          <w14:textFill>
            <w14:solidFill>
              <w14:schemeClr w14:val="tx1"/>
            </w14:solidFill>
          </w14:textFill>
        </w:rPr>
        <w:t>使用其</w:t>
      </w:r>
      <w:r>
        <w:rPr>
          <w:rFonts w:hint="eastAsia" w:ascii="宋体" w:hAnsi="宋体" w:cs="宋体"/>
          <w:color w:val="000000" w:themeColor="text1"/>
          <w:kern w:val="0"/>
          <w14:textFill>
            <w14:solidFill>
              <w14:schemeClr w14:val="tx1"/>
            </w14:solidFill>
          </w14:textFill>
        </w:rPr>
        <w:t>成果</w:t>
      </w:r>
      <w:r>
        <w:rPr>
          <w:rFonts w:ascii="宋体" w:hAnsi="宋体" w:cs="宋体"/>
          <w:color w:val="000000" w:themeColor="text1"/>
          <w:kern w:val="0"/>
          <w14:textFill>
            <w14:solidFill>
              <w14:schemeClr w14:val="tx1"/>
            </w14:solidFill>
          </w14:textFill>
        </w:rPr>
        <w:t>被指控侵犯上述权利</w:t>
      </w:r>
      <w:r>
        <w:rPr>
          <w:rFonts w:hint="eastAsia" w:ascii="宋体" w:hAnsi="宋体" w:cs="宋体"/>
          <w:color w:val="000000" w:themeColor="text1"/>
          <w:kern w:val="0"/>
          <w14:textFill>
            <w14:solidFill>
              <w14:schemeClr w14:val="tx1"/>
            </w14:solidFill>
          </w14:textFill>
        </w:rPr>
        <w:t>，投标人应</w:t>
      </w:r>
      <w:r>
        <w:rPr>
          <w:rFonts w:ascii="宋体" w:hAnsi="宋体" w:cs="宋体"/>
          <w:color w:val="000000" w:themeColor="text1"/>
          <w:kern w:val="0"/>
          <w14:textFill>
            <w14:solidFill>
              <w14:schemeClr w14:val="tx1"/>
            </w14:solidFill>
          </w14:textFill>
        </w:rPr>
        <w:t>赔偿</w:t>
      </w:r>
      <w:r>
        <w:rPr>
          <w:rFonts w:hint="eastAsia" w:ascii="宋体" w:hAnsi="宋体" w:cs="宋体"/>
          <w:color w:val="000000" w:themeColor="text1"/>
          <w:kern w:val="0"/>
          <w14:textFill>
            <w14:solidFill>
              <w14:schemeClr w14:val="tx1"/>
            </w14:solidFill>
          </w14:textFill>
        </w:rPr>
        <w:t>采购人</w:t>
      </w:r>
      <w:r>
        <w:rPr>
          <w:rFonts w:ascii="宋体" w:hAnsi="宋体" w:cs="宋体"/>
          <w:color w:val="000000" w:themeColor="text1"/>
          <w:kern w:val="0"/>
          <w14:textFill>
            <w14:solidFill>
              <w14:schemeClr w14:val="tx1"/>
            </w14:solidFill>
          </w14:textFill>
        </w:rPr>
        <w:t>由此而产生的费用和损失。</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30.2.2</w:t>
      </w:r>
      <w:r>
        <w:rPr>
          <w:rFonts w:hint="eastAsia" w:ascii="宋体" w:hAnsi="宋体" w:cs="宋体"/>
          <w:color w:val="000000" w:themeColor="text1"/>
          <w:kern w:val="0"/>
          <w14:textFill>
            <w14:solidFill>
              <w14:schemeClr w14:val="tx1"/>
            </w14:solidFill>
          </w14:textFill>
        </w:rPr>
        <w:t xml:space="preserve"> 投标人中标后参与本项目研究的资料、成果等知识产权归采购人，有关的信息未经采购人同意不得向第三方泄露。</w:t>
      </w:r>
    </w:p>
    <w:p>
      <w:pPr>
        <w:spacing w:line="400" w:lineRule="exact"/>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30.2.3 </w:t>
      </w:r>
      <w:r>
        <w:rPr>
          <w:rFonts w:hint="eastAsia" w:ascii="宋体" w:hAnsi="宋体" w:cs="宋体"/>
          <w:color w:val="000000" w:themeColor="text1"/>
          <w:kern w:val="0"/>
          <w14:textFill>
            <w14:solidFill>
              <w14:schemeClr w14:val="tx1"/>
            </w14:solidFill>
          </w14:textFill>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color w:val="000000" w:themeColor="text1"/>
          <w14:textFill>
            <w14:solidFill>
              <w14:schemeClr w14:val="tx1"/>
            </w14:solidFill>
          </w14:textFill>
        </w:rPr>
      </w:pPr>
    </w:p>
    <w:p>
      <w:pPr>
        <w:spacing w:line="440" w:lineRule="exact"/>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31.  </w:t>
      </w:r>
      <w:r>
        <w:rPr>
          <w:rFonts w:hint="eastAsia" w:ascii="宋体" w:hAnsi="宋体" w:cs="宋体"/>
          <w:b/>
          <w:bCs/>
          <w:color w:val="000000" w:themeColor="text1"/>
          <w14:textFill>
            <w14:solidFill>
              <w14:schemeClr w14:val="tx1"/>
            </w14:solidFill>
          </w14:textFill>
        </w:rPr>
        <w:t>政府采购活动中有关中小企业的相关规定（采购进口产品项目不适用）</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31.1本项目对应的中小企业划分标准所属行业：</w:t>
      </w:r>
      <w:r>
        <w:rPr>
          <w:rFonts w:hint="eastAsia" w:ascii="宋体" w:hAnsi="宋体" w:cs="宋体"/>
          <w:b/>
          <w:color w:val="000000" w:themeColor="text1"/>
          <w14:textFill>
            <w14:solidFill>
              <w14:schemeClr w14:val="tx1"/>
            </w14:solidFill>
          </w14:textFill>
        </w:rPr>
        <w:t>详见第二部分“投标资料表”</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31.2</w:t>
      </w:r>
      <w:r>
        <w:rPr>
          <w:rFonts w:hint="eastAsia" w:ascii="宋体" w:hAnsi="宋体"/>
          <w:color w:val="000000" w:themeColor="text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31.3  </w:t>
      </w:r>
      <w:r>
        <w:rPr>
          <w:rFonts w:hint="eastAsia" w:ascii="宋体" w:hAnsi="宋体"/>
          <w:color w:val="000000" w:themeColor="text1"/>
          <w14:textFill>
            <w14:solidFill>
              <w14:schemeClr w14:val="tx1"/>
            </w14:solidFill>
          </w14:textFill>
        </w:rPr>
        <w:t>在政府采购活动中，投标人提供的货物、工程或者服务符合下列情形的，享受本办法规定的中小企业扶持政策：</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（一）在货物采购项目中，货物由中小企业制造，即货物由中小企业生产且使用该中小企业商号或者注册商标；</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（二）在工程采购项目中，工程由中小企业承建，即工程施工单位为中小企业；</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31.4</w:t>
      </w:r>
      <w:r>
        <w:rPr>
          <w:rFonts w:hint="eastAsia" w:ascii="宋体" w:hAnsi="宋体"/>
          <w:color w:val="000000" w:themeColor="text1"/>
          <w14:textFill>
            <w14:solidFill>
              <w14:schemeClr w14:val="tx1"/>
            </w14:solidFill>
          </w14:textFill>
        </w:rPr>
        <w:t xml:space="preserve">  中小企业参加政府采购活动，应当出具《中小企业声明函》（格式见附件1），否则不得享受相关中小企业扶持政策。</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31.5</w:t>
      </w:r>
      <w:r>
        <w:rPr>
          <w:rFonts w:hint="eastAsia" w:ascii="宋体" w:hAnsi="宋体"/>
          <w:color w:val="000000" w:themeColor="text1"/>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价格扣除比例对小型企业和微型企业同等对待，不作区分。</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31.6  </w:t>
      </w:r>
      <w:r>
        <w:rPr>
          <w:rFonts w:hint="eastAsia" w:ascii="宋体" w:hAnsi="宋体"/>
          <w:color w:val="000000" w:themeColor="text1"/>
          <w14:textFill>
            <w14:solidFill>
              <w14:schemeClr w14:val="tx1"/>
            </w14:solidFill>
          </w14:textFill>
        </w:rPr>
        <w:t>享受扶持政策获得政府采购合同的，小微企业不得将合同分包给大中型企业，中型企业不得将合同分包给大型企业。</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31.7  </w:t>
      </w:r>
      <w:r>
        <w:rPr>
          <w:rFonts w:hint="eastAsia" w:ascii="宋体" w:hAnsi="宋体"/>
          <w:color w:val="000000" w:themeColor="text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31.8</w:t>
      </w:r>
      <w:r>
        <w:rPr>
          <w:rFonts w:hint="eastAsia" w:ascii="宋体" w:hAnsi="宋体"/>
          <w:color w:val="000000" w:themeColor="text1"/>
          <w14:textFill>
            <w14:solidFill>
              <w14:schemeClr w14:val="tx1"/>
            </w14:solidFill>
          </w14:textFill>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1</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1</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31.11 </w:t>
      </w:r>
      <w:r>
        <w:rPr>
          <w:rFonts w:hint="eastAsia" w:ascii="宋体" w:hAnsi="宋体"/>
          <w:color w:val="000000" w:themeColor="text1"/>
          <w14:textFill>
            <w14:solidFill>
              <w14:schemeClr w14:val="tx1"/>
            </w14:solidFill>
          </w14:textFill>
        </w:rPr>
        <w:t>进口产品采购需符合“财政部关于印发《政府采购进口产品管理办法》的通知（财库[2007]119号）”第四、八、九、十、十一条的规定。</w:t>
      </w:r>
    </w:p>
    <w:p>
      <w:pPr>
        <w:rPr>
          <w:rFonts w:ascii="宋体" w:hAnsi="宋体"/>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 xml:space="preserve">31.12 </w:t>
      </w:r>
      <w:r>
        <w:rPr>
          <w:rFonts w:hint="eastAsia" w:ascii="宋体" w:hAnsi="宋体"/>
          <w:b/>
          <w:color w:val="000000" w:themeColor="text1"/>
          <w14:textFill>
            <w14:solidFill>
              <w14:schemeClr w14:val="tx1"/>
            </w14:solidFill>
          </w14:textFill>
        </w:rPr>
        <w:t>合格货物来源：进口/国产，均已完成采购进口产品的审批手续，允许采购进口产品。</w:t>
      </w:r>
    </w:p>
    <w:p>
      <w:pPr>
        <w:pStyle w:val="2"/>
        <w:rPr>
          <w:color w:val="000000" w:themeColor="text1"/>
          <w14:textFill>
            <w14:solidFill>
              <w14:schemeClr w14:val="tx1"/>
            </w14:solidFill>
          </w14:textFill>
        </w:rPr>
      </w:pP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32.询问、质疑、投诉</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32.1 询问</w:t>
      </w:r>
    </w:p>
    <w:p>
      <w:pPr>
        <w:spacing w:line="400" w:lineRule="exact"/>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 质疑</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32.2.1</w:t>
      </w:r>
      <w:r>
        <w:rPr>
          <w:rFonts w:hint="eastAsia" w:ascii="宋体" w:hAnsi="宋体"/>
          <w:bCs/>
          <w:color w:val="000000" w:themeColor="text1"/>
          <w14:textFill>
            <w14:solidFill>
              <w14:schemeClr w14:val="tx1"/>
            </w14:solidFill>
          </w14:textFill>
        </w:rPr>
        <w:t>提出质疑的供应商应当是参与所质疑项目采购活动的供应商。潜在供应商已依法获取其可质疑的招标文件的，可以对该文件提出质疑。</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32.2.2</w:t>
      </w:r>
      <w:r>
        <w:rPr>
          <w:rFonts w:hint="eastAsia" w:ascii="宋体" w:hAnsi="宋体"/>
          <w:bCs/>
          <w:color w:val="000000" w:themeColor="text1"/>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32.2.2.1</w:t>
      </w:r>
      <w:r>
        <w:rPr>
          <w:rFonts w:hint="eastAsia" w:ascii="宋体" w:hAnsi="宋体"/>
          <w:bCs/>
          <w:color w:val="000000" w:themeColor="text1"/>
          <w14:textFill>
            <w14:solidFill>
              <w14:schemeClr w14:val="tx1"/>
            </w14:solidFill>
          </w14:textFill>
        </w:rPr>
        <w:t>对招标文件提出质疑的，质疑期限为供应商获得招标文件之日或者招标文件公告期限届满之日起计算。</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32.2.2.2</w:t>
      </w:r>
      <w:r>
        <w:rPr>
          <w:rFonts w:hint="eastAsia" w:ascii="宋体" w:hAnsi="宋体"/>
          <w:bCs/>
          <w:color w:val="000000" w:themeColor="text1"/>
          <w14:textFill>
            <w14:solidFill>
              <w14:schemeClr w14:val="tx1"/>
            </w14:solidFill>
          </w14:textFill>
        </w:rPr>
        <w:t>对采购过程提出质疑的，质疑期限为各采购程序环节结束之日起计算。对同一采购程序环节的质疑，供应商须一次性提出。</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32.2.2.3</w:t>
      </w:r>
      <w:r>
        <w:rPr>
          <w:rFonts w:hint="eastAsia" w:ascii="宋体" w:hAnsi="宋体"/>
          <w:bCs/>
          <w:color w:val="000000" w:themeColor="text1"/>
          <w14:textFill>
            <w14:solidFill>
              <w14:schemeClr w14:val="tx1"/>
            </w14:solidFill>
          </w14:textFill>
        </w:rPr>
        <w:t>对采购结果提出质疑的，质疑期限自采购结果公告期限届满之日起计算。</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w:t>
      </w:r>
      <w:r>
        <w:rPr>
          <w:rFonts w:hint="eastAsia" w:ascii="宋体" w:hAnsi="宋体"/>
          <w:bCs/>
          <w:color w:val="000000" w:themeColor="text1"/>
          <w14:textFill>
            <w14:solidFill>
              <w14:schemeClr w14:val="tx1"/>
            </w14:solidFill>
          </w14:textFill>
        </w:rPr>
        <w:t>供应商提出质疑应当提交质疑函和必要的证明材料。质疑函应当包括下列内容：</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32.2.3.1</w:t>
      </w:r>
      <w:r>
        <w:rPr>
          <w:rFonts w:hint="eastAsia" w:ascii="宋体" w:hAnsi="宋体"/>
          <w:bCs/>
          <w:color w:val="000000" w:themeColor="text1"/>
          <w14:textFill>
            <w14:solidFill>
              <w14:schemeClr w14:val="tx1"/>
            </w14:solidFill>
          </w14:textFill>
        </w:rPr>
        <w:t>供应商的姓名或者名称、地址、邮编、联系人及联系电话；</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32.2.3.2</w:t>
      </w:r>
      <w:r>
        <w:rPr>
          <w:rFonts w:hint="eastAsia" w:ascii="宋体" w:hAnsi="宋体"/>
          <w:bCs/>
          <w:color w:val="000000" w:themeColor="text1"/>
          <w14:textFill>
            <w14:solidFill>
              <w14:schemeClr w14:val="tx1"/>
            </w14:solidFill>
          </w14:textFill>
        </w:rPr>
        <w:t>质疑项目的名称、编号；</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32.2.3.3</w:t>
      </w:r>
      <w:r>
        <w:rPr>
          <w:rFonts w:hint="eastAsia" w:ascii="宋体" w:hAnsi="宋体"/>
          <w:bCs/>
          <w:color w:val="000000" w:themeColor="text1"/>
          <w14:textFill>
            <w14:solidFill>
              <w14:schemeClr w14:val="tx1"/>
            </w14:solidFill>
          </w14:textFill>
        </w:rPr>
        <w:t>具体、明确的质疑事项和与质疑事项相关的请求；</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32.2.3.4</w:t>
      </w:r>
      <w:r>
        <w:rPr>
          <w:rFonts w:hint="eastAsia" w:ascii="宋体" w:hAnsi="宋体"/>
          <w:bCs/>
          <w:color w:val="000000" w:themeColor="text1"/>
          <w14:textFill>
            <w14:solidFill>
              <w14:schemeClr w14:val="tx1"/>
            </w14:solidFill>
          </w14:textFill>
        </w:rPr>
        <w:t>事实依据；</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32.2.3.5</w:t>
      </w:r>
      <w:r>
        <w:rPr>
          <w:rFonts w:hint="eastAsia" w:ascii="宋体" w:hAnsi="宋体"/>
          <w:bCs/>
          <w:color w:val="000000" w:themeColor="text1"/>
          <w14:textFill>
            <w14:solidFill>
              <w14:schemeClr w14:val="tx1"/>
            </w14:solidFill>
          </w14:textFill>
        </w:rPr>
        <w:t>必要的法律依据；</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32.2.3.6</w:t>
      </w:r>
      <w:r>
        <w:rPr>
          <w:rFonts w:hint="eastAsia" w:ascii="宋体" w:hAnsi="宋体"/>
          <w:bCs/>
          <w:color w:val="000000" w:themeColor="text1"/>
          <w14:textFill>
            <w14:solidFill>
              <w14:schemeClr w14:val="tx1"/>
            </w14:solidFill>
          </w14:textFill>
        </w:rPr>
        <w:t>提出质疑的日期。</w:t>
      </w:r>
    </w:p>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质疑函格式和内容须符合财政部《质疑函范本》要求，供应商可到中国政府采购网自行下载财政部《质疑函范本》。</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32.2.4</w:t>
      </w:r>
      <w:r>
        <w:rPr>
          <w:rFonts w:hint="eastAsia" w:ascii="宋体" w:hAnsi="宋体"/>
          <w:bCs/>
          <w:color w:val="000000" w:themeColor="text1"/>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32.2.5</w:t>
      </w:r>
      <w:r>
        <w:rPr>
          <w:rFonts w:hint="eastAsia" w:ascii="宋体" w:hAnsi="宋体"/>
          <w:bCs/>
          <w:color w:val="000000" w:themeColor="text1"/>
          <w14:textFill>
            <w14:solidFill>
              <w14:schemeClr w14:val="tx1"/>
            </w14:solidFill>
          </w14:textFill>
        </w:rPr>
        <w:t>询问或者质疑事项可能影响采购结果的，采购人应当暂停签订合同，已经签订合同的，应当中止履行合同。</w:t>
      </w:r>
    </w:p>
    <w:p>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32.3 投诉</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32.3.1</w:t>
      </w:r>
      <w:r>
        <w:rPr>
          <w:rFonts w:hint="eastAsia" w:ascii="宋体" w:hAnsi="宋体"/>
          <w:bCs/>
          <w:color w:val="000000" w:themeColor="text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000000" w:themeColor="text1"/>
          <w14:textFill>
            <w14:solidFill>
              <w14:schemeClr w14:val="tx1"/>
            </w14:solidFill>
          </w14:textFill>
        </w:rPr>
        <w:t>投诉函格式和内容须符合财政部《投诉函范本》要求，供应商可到中国政府采购网自行下载财政部《投诉函范本》。</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32.3.2</w:t>
      </w:r>
      <w:r>
        <w:rPr>
          <w:rFonts w:hint="eastAsia" w:ascii="宋体" w:hAnsi="宋体"/>
          <w:bCs/>
          <w:color w:val="000000" w:themeColor="text1"/>
          <w14:textFill>
            <w14:solidFill>
              <w14:schemeClr w14:val="tx1"/>
            </w14:solidFill>
          </w14:textFill>
        </w:rPr>
        <w:t>供应商投诉的事项不得超出已质疑事项的范围，基于质疑答复内容提出的投诉事项除外。</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32.3.3</w:t>
      </w:r>
      <w:r>
        <w:rPr>
          <w:rFonts w:hint="eastAsia" w:ascii="宋体" w:hAnsi="宋体"/>
          <w:bCs/>
          <w:color w:val="000000" w:themeColor="text1"/>
          <w14:textFill>
            <w14:solidFill>
              <w14:schemeClr w14:val="tx1"/>
            </w14:solidFill>
          </w14:textFill>
        </w:rPr>
        <w:t>供应商投诉应当有明确的请求和必要的证明材料。</w:t>
      </w:r>
    </w:p>
    <w:p>
      <w:pPr>
        <w:spacing w:line="400" w:lineRule="exact"/>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32.3.4</w:t>
      </w:r>
      <w:r>
        <w:rPr>
          <w:rFonts w:hint="eastAsia" w:ascii="宋体" w:hAnsi="宋体"/>
          <w:bCs/>
          <w:color w:val="000000" w:themeColor="text1"/>
          <w14:textFill>
            <w14:solidFill>
              <w14:schemeClr w14:val="tx1"/>
            </w14:solidFill>
          </w14:textFill>
        </w:rPr>
        <w:t xml:space="preserve"> 以联合体形式参加政府采购活动的，其投诉应当由组成联合体的所有供应商共同提出。</w:t>
      </w:r>
    </w:p>
    <w:p>
      <w:pPr>
        <w:spacing w:line="440" w:lineRule="exact"/>
        <w:ind w:firstLine="105" w:firstLineChars="50"/>
        <w:rPr>
          <w:rFonts w:ascii="宋体"/>
          <w:color w:val="000000" w:themeColor="text1"/>
          <w14:textFill>
            <w14:solidFill>
              <w14:schemeClr w14:val="tx1"/>
            </w14:solidFill>
          </w14:textFill>
        </w:rPr>
      </w:pPr>
    </w:p>
    <w:p>
      <w:pPr>
        <w:spacing w:line="440" w:lineRule="exact"/>
        <w:rPr>
          <w:rFonts w:ascii="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33.  </w:t>
      </w:r>
      <w:r>
        <w:rPr>
          <w:rFonts w:hint="eastAsia" w:ascii="宋体" w:hAnsi="宋体" w:cs="宋体"/>
          <w:b/>
          <w:bCs/>
          <w:color w:val="000000" w:themeColor="text1"/>
          <w14:textFill>
            <w14:solidFill>
              <w14:schemeClr w14:val="tx1"/>
            </w14:solidFill>
          </w14:textFill>
        </w:rPr>
        <w:t>联合体规定</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33.1</w:t>
      </w:r>
      <w:r>
        <w:rPr>
          <w:rFonts w:hint="eastAsia" w:ascii="宋体" w:hAnsi="宋体"/>
          <w:color w:val="000000" w:themeColor="text1"/>
          <w14:textFill>
            <w14:solidFill>
              <w14:schemeClr w14:val="tx1"/>
            </w14:solidFill>
          </w14:textFill>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33.2</w:t>
      </w:r>
      <w:r>
        <w:rPr>
          <w:rFonts w:hint="eastAsia" w:ascii="宋体" w:hAnsi="宋体"/>
          <w:color w:val="000000" w:themeColor="text1"/>
          <w14:textFill>
            <w14:solidFill>
              <w14:schemeClr w14:val="tx1"/>
            </w14:solidFill>
          </w14:textFill>
        </w:rPr>
        <w:t xml:space="preserve">  联合体中有同类资质的投标人按照联合体分工承担相同工作的，按照资质等级较低的投标人认定资质等级。</w:t>
      </w:r>
    </w:p>
    <w:p>
      <w:pPr>
        <w:spacing w:line="440" w:lineRule="exac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33.3 </w:t>
      </w:r>
      <w:r>
        <w:rPr>
          <w:rFonts w:hint="eastAsia" w:ascii="宋体" w:hAnsi="宋体"/>
          <w:color w:val="000000" w:themeColor="text1"/>
          <w14:textFill>
            <w14:solidFill>
              <w14:schemeClr w14:val="tx1"/>
            </w14:solidFill>
          </w14:textFill>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33.4 </w:t>
      </w:r>
      <w:r>
        <w:rPr>
          <w:rFonts w:hint="eastAsia" w:ascii="宋体" w:hAnsi="宋体"/>
          <w:color w:val="000000" w:themeColor="text1"/>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66"/>
    <w:bookmarkEnd w:id="67"/>
    <w:bookmarkEnd w:id="68"/>
    <w:bookmarkEnd w:id="69"/>
    <w:bookmarkEnd w:id="70"/>
    <w:bookmarkEnd w:id="71"/>
    <w:bookmarkEnd w:id="72"/>
    <w:bookmarkEnd w:id="73"/>
    <w:p>
      <w:pPr>
        <w:spacing w:line="440" w:lineRule="exact"/>
        <w:ind w:firstLine="110" w:firstLineChars="50"/>
        <w:rPr>
          <w:rFonts w:ascii="宋体"/>
          <w:color w:val="000000" w:themeColor="text1"/>
          <w:sz w:val="22"/>
          <w:szCs w:val="22"/>
          <w14:textFill>
            <w14:solidFill>
              <w14:schemeClr w14:val="tx1"/>
            </w14:solidFill>
          </w14:textFill>
        </w:rPr>
        <w:sectPr>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p>
    <w:p>
      <w:pPr>
        <w:rPr>
          <w:rFonts w:hint="eastAsia" w:ascii="宋体" w:hAnsi="宋体" w:cs="宋体"/>
          <w:color w:val="000000" w:themeColor="text1"/>
          <w:sz w:val="32"/>
          <w:szCs w:val="32"/>
          <w14:textFill>
            <w14:solidFill>
              <w14:schemeClr w14:val="tx1"/>
            </w14:solidFill>
          </w14:textFill>
        </w:rPr>
      </w:pPr>
      <w:bookmarkStart w:id="117" w:name="_Toc316649302"/>
      <w:bookmarkStart w:id="118" w:name="_Toc141797684"/>
      <w:r>
        <w:rPr>
          <w:rFonts w:hint="eastAsia" w:ascii="宋体" w:hAnsi="宋体" w:cs="宋体"/>
          <w:color w:val="000000" w:themeColor="text1"/>
          <w:sz w:val="32"/>
          <w:szCs w:val="32"/>
          <w14:textFill>
            <w14:solidFill>
              <w14:schemeClr w14:val="tx1"/>
            </w14:solidFill>
          </w14:textFill>
        </w:rPr>
        <w:br w:type="page"/>
      </w:r>
    </w:p>
    <w:p>
      <w:pPr>
        <w:pStyle w:val="3"/>
        <w:spacing w:beforeLines="0" w:afterLines="0" w:line="360" w:lineRule="auto"/>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合同格式</w:t>
      </w:r>
      <w:bookmarkEnd w:id="117"/>
      <w:bookmarkEnd w:id="118"/>
    </w:p>
    <w:p>
      <w:pPr>
        <w:spacing w:line="360" w:lineRule="auto"/>
        <w:jc w:val="center"/>
        <w:rPr>
          <w:rFonts w:eastAsia="方正黑体简体"/>
          <w:color w:val="000000" w:themeColor="text1"/>
          <w:sz w:val="24"/>
          <w:szCs w:val="24"/>
          <w14:textFill>
            <w14:solidFill>
              <w14:schemeClr w14:val="tx1"/>
            </w14:solidFill>
          </w14:textFill>
        </w:rPr>
      </w:pPr>
      <w:bookmarkStart w:id="119" w:name="_Toc298230959"/>
    </w:p>
    <w:p>
      <w:pPr>
        <w:widowControl/>
        <w:ind w:firstLine="560" w:firstLineChars="200"/>
        <w:jc w:val="center"/>
        <w:outlineLvl w:val="0"/>
        <w:rPr>
          <w:rFonts w:ascii="黑体" w:hAnsi="黑体" w:eastAsia="黑体" w:cs="黑体"/>
          <w:kern w:val="0"/>
          <w:sz w:val="28"/>
          <w:szCs w:val="28"/>
        </w:rPr>
      </w:pPr>
    </w:p>
    <w:p>
      <w:pPr>
        <w:pageBreakBefore w:val="0"/>
        <w:kinsoku/>
        <w:wordWrap/>
        <w:overflowPunct/>
        <w:topLinePunct w:val="0"/>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合同编号：</w:t>
      </w:r>
      <w:r>
        <w:rPr>
          <w:rFonts w:hint="eastAsia" w:ascii="宋体" w:hAnsi="宋体" w:eastAsia="宋体" w:cs="宋体"/>
          <w:sz w:val="21"/>
          <w:szCs w:val="21"/>
          <w:u w:val="single"/>
        </w:rPr>
        <w:t xml:space="preserve">           </w:t>
      </w:r>
    </w:p>
    <w:p>
      <w:pPr>
        <w:pageBreakBefore w:val="0"/>
        <w:kinsoku/>
        <w:wordWrap/>
        <w:overflowPunct/>
        <w:topLinePunct w:val="0"/>
        <w:bidi w:val="0"/>
        <w:spacing w:line="360" w:lineRule="auto"/>
        <w:jc w:val="center"/>
        <w:textAlignment w:val="auto"/>
        <w:rPr>
          <w:rFonts w:hint="eastAsia" w:ascii="宋体" w:hAnsi="宋体" w:eastAsia="宋体" w:cs="宋体"/>
          <w:b/>
          <w:sz w:val="21"/>
          <w:szCs w:val="21"/>
        </w:rPr>
      </w:pPr>
    </w:p>
    <w:p>
      <w:pPr>
        <w:pageBreakBefore w:val="0"/>
        <w:kinsoku/>
        <w:wordWrap/>
        <w:overflowPunct/>
        <w:topLinePunct w:val="0"/>
        <w:bidi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政府采购合同</w:t>
      </w:r>
      <w:r>
        <w:rPr>
          <w:rFonts w:hint="eastAsia" w:ascii="宋体" w:hAnsi="宋体" w:eastAsia="宋体" w:cs="宋体"/>
          <w:b/>
          <w:sz w:val="21"/>
          <w:szCs w:val="21"/>
          <w:lang w:val="en-US" w:eastAsia="zh-CN"/>
        </w:rPr>
        <w:t>文</w:t>
      </w:r>
      <w:r>
        <w:rPr>
          <w:rFonts w:hint="eastAsia" w:ascii="宋体" w:hAnsi="宋体" w:eastAsia="宋体" w:cs="宋体"/>
          <w:b/>
          <w:sz w:val="21"/>
          <w:szCs w:val="21"/>
        </w:rPr>
        <w:t>本</w:t>
      </w:r>
    </w:p>
    <w:p>
      <w:pPr>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（货物类）</w:t>
      </w:r>
    </w:p>
    <w:p>
      <w:pPr>
        <w:pageBreakBefore w:val="0"/>
        <w:widowControl w:val="0"/>
        <w:kinsoku/>
        <w:wordWrap/>
        <w:overflowPunct/>
        <w:topLinePunct w:val="0"/>
        <w:autoSpaceDE w:val="0"/>
        <w:autoSpaceDN w:val="0"/>
        <w:bidi w:val="0"/>
        <w:snapToGrid w:val="0"/>
        <w:spacing w:after="120" w:line="36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p>
    <w:p>
      <w:pPr>
        <w:pageBreakBefore w:val="0"/>
        <w:widowControl w:val="0"/>
        <w:kinsoku/>
        <w:wordWrap/>
        <w:overflowPunct/>
        <w:topLinePunct w:val="0"/>
        <w:autoSpaceDE w:val="0"/>
        <w:autoSpaceDN w:val="0"/>
        <w:bidi w:val="0"/>
        <w:snapToGrid w:val="0"/>
        <w:spacing w:after="120" w:line="360" w:lineRule="auto"/>
        <w:ind w:left="420" w:leftChars="200" w:firstLine="420" w:firstLineChars="200"/>
        <w:jc w:val="both"/>
        <w:textAlignment w:val="auto"/>
        <w:rPr>
          <w:rFonts w:hint="eastAsia" w:ascii="宋体" w:hAnsi="宋体" w:eastAsia="宋体" w:cs="宋体"/>
          <w:color w:val="auto"/>
          <w:kern w:val="2"/>
          <w:sz w:val="21"/>
          <w:szCs w:val="21"/>
          <w:lang w:val="en-US" w:eastAsia="zh-CN" w:bidi="ar-SA"/>
        </w:rPr>
      </w:pPr>
    </w:p>
    <w:p>
      <w:pPr>
        <w:pageBreakBefore w:val="0"/>
        <w:kinsoku/>
        <w:wordWrap/>
        <w:overflowPunct/>
        <w:topLinePunct w:val="0"/>
        <w:bidi w:val="0"/>
        <w:spacing w:before="120" w:line="36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0" w:firstLine="840" w:firstLineChars="4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480" w:lineRule="auto"/>
        <w:ind w:left="0" w:firstLine="840" w:firstLineChars="4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签订地：</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rPr>
          <w:rFonts w:hint="eastAsia" w:ascii="宋体" w:hAnsi="宋体" w:cs="仿宋"/>
          <w:color w:val="auto"/>
          <w:sz w:val="21"/>
          <w:szCs w:val="21"/>
          <w:highlight w:val="none"/>
        </w:rPr>
      </w:pPr>
      <w:r>
        <w:rPr>
          <w:rFonts w:hint="eastAsia" w:ascii="宋体" w:hAnsi="宋体" w:eastAsia="宋体" w:cs="宋体"/>
          <w:color w:val="auto"/>
          <w:sz w:val="21"/>
          <w:szCs w:val="21"/>
          <w:u w:val="single"/>
          <w:lang w:val="zh-CN"/>
        </w:rPr>
        <w:br w:type="page"/>
      </w:r>
      <w:r>
        <w:rPr>
          <w:rFonts w:ascii="宋体" w:hAnsi="宋体"/>
          <w:color w:val="auto"/>
          <w:sz w:val="21"/>
          <w:szCs w:val="21"/>
          <w:highlight w:val="none"/>
        </w:rPr>
        <w:t>甲方：</w:t>
      </w:r>
      <w:r>
        <w:rPr>
          <w:rFonts w:hint="eastAsia" w:ascii="宋体" w:hAnsi="宋体"/>
          <w:color w:val="auto"/>
          <w:sz w:val="21"/>
          <w:szCs w:val="21"/>
          <w:highlight w:val="none"/>
        </w:rPr>
        <w:t>宁波市公安局交通警察局</w:t>
      </w:r>
      <w:r>
        <w:rPr>
          <w:rFonts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地址：</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地址：</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u w:val="single"/>
        </w:rPr>
      </w:pPr>
      <w:r>
        <w:rPr>
          <w:rFonts w:ascii="宋体" w:hAnsi="宋体"/>
          <w:color w:val="auto"/>
          <w:sz w:val="21"/>
          <w:szCs w:val="21"/>
          <w:highlight w:val="none"/>
        </w:rPr>
        <w:t>招标编号：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u w:val="single"/>
        </w:rPr>
      </w:pPr>
      <w:r>
        <w:rPr>
          <w:rFonts w:ascii="宋体" w:hAnsi="宋体"/>
          <w:color w:val="auto"/>
          <w:sz w:val="21"/>
          <w:szCs w:val="21"/>
          <w:highlight w:val="none"/>
        </w:rPr>
        <w:t>招标日期：</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u w:val="single"/>
        </w:rPr>
      </w:pPr>
      <w:r>
        <w:rPr>
          <w:rFonts w:ascii="宋体" w:hAnsi="宋体"/>
          <w:color w:val="auto"/>
          <w:sz w:val="21"/>
          <w:szCs w:val="21"/>
          <w:highlight w:val="none"/>
        </w:rPr>
        <w:t>合同编号：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一、内容、要求和金额：</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10"/>
        <w:gridCol w:w="2002"/>
        <w:gridCol w:w="671"/>
        <w:gridCol w:w="1300"/>
        <w:gridCol w:w="1248"/>
        <w:gridCol w:w="1476"/>
        <w:gridCol w:w="110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2" w:hRule="atLeast"/>
        </w:trPr>
        <w:tc>
          <w:tcPr>
            <w:tcW w:w="1310" w:type="dxa"/>
            <w:tcBorders>
              <w:top w:val="single" w:color="auto" w:sz="4" w:space="0"/>
              <w:left w:val="single" w:color="auto" w:sz="4"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设备名称</w:t>
            </w:r>
          </w:p>
        </w:tc>
        <w:tc>
          <w:tcPr>
            <w:tcW w:w="2002"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型号、规格</w:t>
            </w:r>
          </w:p>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（配置清单附后）</w:t>
            </w:r>
          </w:p>
        </w:tc>
        <w:tc>
          <w:tcPr>
            <w:tcW w:w="671"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数量</w:t>
            </w:r>
          </w:p>
        </w:tc>
        <w:tc>
          <w:tcPr>
            <w:tcW w:w="1300"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单价(</w:t>
            </w:r>
            <w:r>
              <w:rPr>
                <w:rFonts w:hint="eastAsia" w:hAnsi="宋体" w:cs="宋体"/>
                <w:color w:val="auto"/>
                <w:sz w:val="21"/>
                <w:highlight w:val="none"/>
                <w:lang w:val="en-US" w:eastAsia="zh-CN"/>
              </w:rPr>
              <w:t>元</w:t>
            </w:r>
            <w:r>
              <w:rPr>
                <w:rFonts w:hAnsi="宋体" w:cs="仿宋"/>
                <w:color w:val="auto"/>
                <w:sz w:val="21"/>
                <w:highlight w:val="none"/>
                <w:lang w:val="en-US" w:eastAsia="zh-CN"/>
              </w:rPr>
              <w:t>)</w:t>
            </w:r>
          </w:p>
        </w:tc>
        <w:tc>
          <w:tcPr>
            <w:tcW w:w="1248"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金额(</w:t>
            </w:r>
            <w:r>
              <w:rPr>
                <w:rFonts w:hint="eastAsia" w:hAnsi="宋体" w:cs="宋体"/>
                <w:color w:val="auto"/>
                <w:sz w:val="21"/>
                <w:highlight w:val="none"/>
                <w:lang w:val="en-US" w:eastAsia="zh-CN"/>
              </w:rPr>
              <w:t>元</w:t>
            </w:r>
            <w:r>
              <w:rPr>
                <w:rFonts w:hAnsi="宋体" w:cs="仿宋"/>
                <w:color w:val="auto"/>
                <w:sz w:val="21"/>
                <w:highlight w:val="none"/>
                <w:lang w:val="en-US" w:eastAsia="zh-CN"/>
              </w:rPr>
              <w:t>)</w:t>
            </w:r>
          </w:p>
        </w:tc>
        <w:tc>
          <w:tcPr>
            <w:tcW w:w="1476"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原产地及品牌</w:t>
            </w:r>
          </w:p>
        </w:tc>
        <w:tc>
          <w:tcPr>
            <w:tcW w:w="1109" w:type="dxa"/>
            <w:tcBorders>
              <w:top w:val="single" w:color="auto" w:sz="4" w:space="0"/>
              <w:left w:val="single" w:color="auto" w:sz="2" w:space="0"/>
              <w:bottom w:val="single" w:color="auto" w:sz="4" w:space="0"/>
              <w:right w:val="single" w:color="auto" w:sz="4" w:space="0"/>
            </w:tcBorders>
            <w:noWrap w:val="0"/>
            <w:vAlign w:val="center"/>
          </w:tcPr>
          <w:p>
            <w:pPr>
              <w:pStyle w:val="15"/>
              <w:spacing w:line="360" w:lineRule="auto"/>
              <w:ind w:left="0" w:leftChars="0" w:firstLine="0" w:firstLineChars="0"/>
              <w:jc w:val="center"/>
              <w:rPr>
                <w:rFonts w:hint="eastAsia" w:hAnsi="宋体" w:cs="仿宋"/>
                <w:color w:val="auto"/>
                <w:sz w:val="21"/>
                <w:highlight w:val="none"/>
                <w:lang w:val="en-US" w:eastAsia="zh-CN"/>
              </w:rPr>
            </w:pPr>
            <w:r>
              <w:rPr>
                <w:rFonts w:hAnsi="宋体" w:cs="仿宋"/>
                <w:color w:val="auto"/>
                <w:sz w:val="21"/>
                <w:highlight w:val="none"/>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310" w:type="dxa"/>
            <w:tcBorders>
              <w:top w:val="single" w:color="auto" w:sz="4" w:space="0"/>
              <w:left w:val="single" w:color="auto" w:sz="4"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2002"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671"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right="-115"/>
              <w:jc w:val="center"/>
              <w:rPr>
                <w:rFonts w:hint="eastAsia" w:hAnsi="宋体" w:cs="仿宋"/>
                <w:color w:val="auto"/>
                <w:sz w:val="21"/>
                <w:highlight w:val="none"/>
                <w:lang w:val="en-US" w:eastAsia="zh-CN"/>
              </w:rPr>
            </w:pPr>
          </w:p>
        </w:tc>
        <w:tc>
          <w:tcPr>
            <w:tcW w:w="1300"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248"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476"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109" w:type="dxa"/>
            <w:tcBorders>
              <w:top w:val="single" w:color="auto" w:sz="4" w:space="0"/>
              <w:left w:val="single" w:color="auto" w:sz="2" w:space="0"/>
              <w:bottom w:val="single" w:color="auto" w:sz="4" w:space="0"/>
              <w:right w:val="single" w:color="auto" w:sz="4"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310" w:type="dxa"/>
            <w:tcBorders>
              <w:top w:val="single" w:color="auto" w:sz="4" w:space="0"/>
              <w:left w:val="single" w:color="auto" w:sz="4"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2002"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671"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right="-115"/>
              <w:jc w:val="center"/>
              <w:rPr>
                <w:rFonts w:hint="eastAsia" w:hAnsi="宋体" w:cs="仿宋"/>
                <w:color w:val="auto"/>
                <w:sz w:val="21"/>
                <w:highlight w:val="none"/>
                <w:lang w:val="en-US" w:eastAsia="zh-CN"/>
              </w:rPr>
            </w:pPr>
          </w:p>
        </w:tc>
        <w:tc>
          <w:tcPr>
            <w:tcW w:w="1300"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248"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476"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109" w:type="dxa"/>
            <w:tcBorders>
              <w:top w:val="single" w:color="auto" w:sz="4" w:space="0"/>
              <w:left w:val="single" w:color="auto" w:sz="2" w:space="0"/>
              <w:bottom w:val="single" w:color="auto" w:sz="4" w:space="0"/>
              <w:right w:val="single" w:color="auto" w:sz="4"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310" w:type="dxa"/>
            <w:tcBorders>
              <w:top w:val="single" w:color="auto" w:sz="4" w:space="0"/>
              <w:left w:val="single" w:color="auto" w:sz="4"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2002"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671"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right="-115"/>
              <w:jc w:val="center"/>
              <w:rPr>
                <w:rFonts w:hint="eastAsia" w:hAnsi="宋体" w:cs="仿宋"/>
                <w:color w:val="auto"/>
                <w:sz w:val="21"/>
                <w:highlight w:val="none"/>
                <w:lang w:val="en-US" w:eastAsia="zh-CN"/>
              </w:rPr>
            </w:pPr>
          </w:p>
        </w:tc>
        <w:tc>
          <w:tcPr>
            <w:tcW w:w="1300"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248"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476" w:type="dxa"/>
            <w:tcBorders>
              <w:top w:val="single" w:color="auto" w:sz="4" w:space="0"/>
              <w:left w:val="single" w:color="auto" w:sz="2" w:space="0"/>
              <w:bottom w:val="single" w:color="auto" w:sz="4" w:space="0"/>
              <w:right w:val="single" w:color="auto" w:sz="2"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c>
          <w:tcPr>
            <w:tcW w:w="1109" w:type="dxa"/>
            <w:tcBorders>
              <w:top w:val="single" w:color="auto" w:sz="4" w:space="0"/>
              <w:left w:val="single" w:color="auto" w:sz="2" w:space="0"/>
              <w:bottom w:val="single" w:color="auto" w:sz="4" w:space="0"/>
              <w:right w:val="single" w:color="auto" w:sz="4" w:space="0"/>
            </w:tcBorders>
            <w:noWrap w:val="0"/>
            <w:vAlign w:val="center"/>
          </w:tcPr>
          <w:p>
            <w:pPr>
              <w:pStyle w:val="15"/>
              <w:spacing w:line="360" w:lineRule="auto"/>
              <w:ind w:left="1104"/>
              <w:jc w:val="center"/>
              <w:rPr>
                <w:rFonts w:hint="eastAsia" w:hAnsi="宋体" w:cs="仿宋"/>
                <w:color w:val="auto"/>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9116" w:type="dxa"/>
            <w:gridSpan w:val="7"/>
            <w:tcBorders>
              <w:top w:val="single" w:color="auto" w:sz="4" w:space="0"/>
              <w:left w:val="single" w:color="auto" w:sz="4" w:space="0"/>
              <w:bottom w:val="single" w:color="auto" w:sz="4" w:space="0"/>
              <w:right w:val="single" w:color="auto" w:sz="4" w:space="0"/>
            </w:tcBorders>
            <w:noWrap w:val="0"/>
            <w:vAlign w:val="center"/>
          </w:tcPr>
          <w:p>
            <w:pPr>
              <w:pStyle w:val="15"/>
              <w:spacing w:line="360" w:lineRule="auto"/>
              <w:ind w:left="1104"/>
              <w:rPr>
                <w:rFonts w:hint="eastAsia" w:hAnsi="宋体" w:cs="仿宋"/>
                <w:color w:val="auto"/>
                <w:sz w:val="21"/>
                <w:highlight w:val="none"/>
                <w:lang w:val="en-US" w:eastAsia="zh-CN"/>
              </w:rPr>
            </w:pPr>
            <w:r>
              <w:rPr>
                <w:rFonts w:hAnsi="宋体" w:cs="仿宋"/>
                <w:color w:val="auto"/>
                <w:sz w:val="21"/>
                <w:highlight w:val="none"/>
                <w:lang w:val="en-US" w:eastAsia="zh-CN"/>
              </w:rPr>
              <w:t>含税合计（人民币大写）：</w:t>
            </w:r>
          </w:p>
        </w:tc>
      </w:tr>
    </w:tbl>
    <w:p>
      <w:pPr>
        <w:pStyle w:val="26"/>
        <w:spacing w:after="120" w:line="360" w:lineRule="auto"/>
        <w:rPr>
          <w:rFonts w:hint="eastAsia" w:cs="仿宋"/>
          <w:color w:val="auto"/>
          <w:sz w:val="21"/>
          <w:szCs w:val="21"/>
          <w:highlight w:val="none"/>
        </w:rPr>
      </w:pPr>
      <w:r>
        <w:rPr>
          <w:color w:val="auto"/>
          <w:sz w:val="21"/>
          <w:szCs w:val="21"/>
          <w:highlight w:val="none"/>
        </w:rPr>
        <w:t>合同金额包括但不仅限于：</w:t>
      </w:r>
      <w:r>
        <w:rPr>
          <w:rFonts w:hint="eastAsia"/>
          <w:color w:val="auto"/>
          <w:sz w:val="21"/>
          <w:szCs w:val="21"/>
          <w:highlight w:val="none"/>
        </w:rPr>
        <w:t>包括货物、运输、管理、维护、保险、利润、增值税和其他有关税费、现场安装调试达到正常可使用状态、政策性文件规定及合同包含的所有风险、责任等各项应有费用（即交钥匙价）</w:t>
      </w:r>
      <w:r>
        <w:rPr>
          <w:color w:val="auto"/>
          <w:sz w:val="21"/>
          <w:szCs w:val="21"/>
          <w:highlight w:val="none"/>
        </w:rPr>
        <w:t>。</w:t>
      </w:r>
    </w:p>
    <w:p>
      <w:pPr>
        <w:pStyle w:val="26"/>
        <w:spacing w:after="120" w:line="360" w:lineRule="auto"/>
        <w:rPr>
          <w:rFonts w:hint="eastAsia" w:cs="仿宋"/>
          <w:color w:val="auto"/>
          <w:sz w:val="21"/>
          <w:szCs w:val="21"/>
          <w:highlight w:val="none"/>
        </w:rPr>
      </w:pPr>
      <w:r>
        <w:rPr>
          <w:color w:val="auto"/>
          <w:sz w:val="21"/>
          <w:szCs w:val="21"/>
          <w:highlight w:val="none"/>
        </w:rPr>
        <w:t>二、付款方式及条件</w:t>
      </w:r>
    </w:p>
    <w:p>
      <w:pPr>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1</w:t>
      </w:r>
      <w:r>
        <w:rPr>
          <w:rFonts w:ascii="宋体" w:hAnsi="宋体"/>
          <w:color w:val="auto"/>
          <w:sz w:val="21"/>
          <w:szCs w:val="21"/>
          <w:highlight w:val="none"/>
        </w:rPr>
        <w:t>、乙方应当向甲方支付履约保证金，以作为其履行本合同的保证。</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（1）履约保证金金额：合同总价的</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（2）提交时间：</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（3）履约保证金形式：电汇、银行或保险公司出具的履约保函。</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（4）履约保证金在项目验收后合格后返回履约保证金（无息）。</w:t>
      </w:r>
    </w:p>
    <w:p>
      <w:pPr>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olor w:val="auto"/>
          <w:sz w:val="21"/>
          <w:szCs w:val="21"/>
          <w:highlight w:val="none"/>
        </w:rPr>
        <w:t>收件人：宁波市公安局交通警察局</w:t>
      </w:r>
    </w:p>
    <w:p>
      <w:pPr>
        <w:spacing w:line="360" w:lineRule="auto"/>
        <w:rPr>
          <w:rFonts w:hint="eastAsia" w:ascii="宋体" w:hAnsi="宋体" w:cs="仿宋"/>
          <w:color w:val="auto"/>
          <w:sz w:val="21"/>
          <w:szCs w:val="21"/>
          <w:highlight w:val="none"/>
        </w:rPr>
      </w:pPr>
      <w:r>
        <w:rPr>
          <w:rFonts w:ascii="宋体" w:hAnsi="宋体" w:cs="仿宋"/>
          <w:color w:val="auto"/>
          <w:sz w:val="21"/>
          <w:szCs w:val="21"/>
          <w:highlight w:val="none"/>
        </w:rPr>
        <w:t>2</w:t>
      </w:r>
      <w:r>
        <w:rPr>
          <w:rFonts w:ascii="宋体" w:hAnsi="宋体"/>
          <w:color w:val="auto"/>
          <w:sz w:val="21"/>
          <w:szCs w:val="21"/>
          <w:highlight w:val="none"/>
        </w:rPr>
        <w:t>、付款方式：</w:t>
      </w:r>
    </w:p>
    <w:p>
      <w:pPr>
        <w:spacing w:line="360" w:lineRule="auto"/>
        <w:ind w:firstLine="420" w:firstLineChars="200"/>
        <w:rPr>
          <w:rFonts w:ascii="宋体" w:hAnsi="宋体" w:cs="仿宋"/>
          <w:color w:val="auto"/>
          <w:sz w:val="21"/>
          <w:szCs w:val="21"/>
          <w:highlight w:val="none"/>
        </w:rPr>
      </w:pPr>
    </w:p>
    <w:p>
      <w:pPr>
        <w:spacing w:line="360" w:lineRule="auto"/>
        <w:rPr>
          <w:rFonts w:hint="eastAsia" w:ascii="宋体" w:hAnsi="宋体" w:cs="仿宋"/>
          <w:color w:val="auto"/>
          <w:sz w:val="21"/>
          <w:szCs w:val="21"/>
          <w:highlight w:val="none"/>
        </w:rPr>
      </w:pPr>
      <w:r>
        <w:rPr>
          <w:rFonts w:ascii="宋体" w:hAnsi="宋体" w:cs="仿宋"/>
          <w:color w:val="auto"/>
          <w:sz w:val="21"/>
          <w:szCs w:val="21"/>
          <w:highlight w:val="none"/>
        </w:rPr>
        <w:t>3</w:t>
      </w:r>
      <w:r>
        <w:rPr>
          <w:rFonts w:ascii="宋体" w:hAnsi="宋体"/>
          <w:color w:val="auto"/>
          <w:sz w:val="21"/>
          <w:szCs w:val="21"/>
          <w:highlight w:val="none"/>
        </w:rPr>
        <w:t>、甲方增值税</w:t>
      </w:r>
      <w:r>
        <w:rPr>
          <w:rFonts w:hint="eastAsia" w:ascii="宋体" w:hAnsi="宋体"/>
          <w:color w:val="auto"/>
          <w:sz w:val="21"/>
          <w:szCs w:val="21"/>
          <w:highlight w:val="none"/>
        </w:rPr>
        <w:t>发票</w:t>
      </w:r>
      <w:r>
        <w:rPr>
          <w:rFonts w:ascii="宋体" w:hAnsi="宋体"/>
          <w:color w:val="auto"/>
          <w:sz w:val="21"/>
          <w:szCs w:val="21"/>
          <w:highlight w:val="none"/>
        </w:rPr>
        <w:t>信息：</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名称：</w:t>
      </w:r>
      <w:r>
        <w:rPr>
          <w:rFonts w:hint="eastAsia" w:ascii="宋体" w:hAnsi="宋体"/>
          <w:color w:val="auto"/>
          <w:sz w:val="21"/>
          <w:szCs w:val="21"/>
          <w:highlight w:val="none"/>
        </w:rPr>
        <w:t>宁波市公安局交通警察局</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纳税人识别号：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开户银行及账号：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地址：</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s="仿宋"/>
          <w:color w:val="auto"/>
          <w:sz w:val="21"/>
          <w:szCs w:val="21"/>
          <w:highlight w:val="none"/>
        </w:rPr>
        <w:t xml:space="preserve"> </w:t>
      </w:r>
      <w:r>
        <w:rPr>
          <w:rFonts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rPr>
      </w:pPr>
      <w:r>
        <w:rPr>
          <w:rFonts w:ascii="宋体" w:hAnsi="宋体" w:cs="仿宋"/>
          <w:color w:val="auto"/>
          <w:sz w:val="21"/>
          <w:szCs w:val="21"/>
          <w:highlight w:val="none"/>
        </w:rPr>
        <w:t>4</w:t>
      </w:r>
      <w:r>
        <w:rPr>
          <w:rFonts w:ascii="宋体" w:hAnsi="宋体"/>
          <w:color w:val="auto"/>
          <w:sz w:val="21"/>
          <w:szCs w:val="21"/>
          <w:highlight w:val="none"/>
        </w:rPr>
        <w:t>、以上款项由甲方汇入乙方指定的如下帐户内：</w:t>
      </w:r>
    </w:p>
    <w:p>
      <w:pPr>
        <w:spacing w:before="120" w:beforeLines="50" w:after="120" w:afterLines="50"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户</w:t>
      </w:r>
      <w:r>
        <w:rPr>
          <w:rFonts w:ascii="宋体" w:hAnsi="宋体" w:cs="仿宋"/>
          <w:color w:val="auto"/>
          <w:sz w:val="21"/>
          <w:szCs w:val="21"/>
          <w:highlight w:val="none"/>
        </w:rPr>
        <w:t xml:space="preserve">    </w:t>
      </w:r>
      <w:r>
        <w:rPr>
          <w:rFonts w:ascii="宋体" w:hAnsi="宋体"/>
          <w:color w:val="auto"/>
          <w:sz w:val="21"/>
          <w:szCs w:val="21"/>
          <w:highlight w:val="none"/>
        </w:rPr>
        <w:t>名：</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before="120" w:beforeLines="50" w:after="120" w:afterLines="50"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帐</w:t>
      </w:r>
      <w:r>
        <w:rPr>
          <w:rFonts w:ascii="宋体" w:hAnsi="宋体" w:cs="仿宋"/>
          <w:color w:val="auto"/>
          <w:sz w:val="21"/>
          <w:szCs w:val="21"/>
          <w:highlight w:val="none"/>
        </w:rPr>
        <w:t xml:space="preserve">    </w:t>
      </w:r>
      <w:r>
        <w:rPr>
          <w:rFonts w:ascii="宋体" w:hAnsi="宋体"/>
          <w:color w:val="auto"/>
          <w:sz w:val="21"/>
          <w:szCs w:val="21"/>
          <w:highlight w:val="none"/>
        </w:rPr>
        <w:t>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开户银行：</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三、设备交货时间及地点</w:t>
      </w:r>
    </w:p>
    <w:p>
      <w:pPr>
        <w:numPr>
          <w:ilvl w:val="0"/>
          <w:numId w:val="5"/>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乙方应当于合同签订之日起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日内将货物交付甲方，乙方必须同时向甲方提供产品说明书、产品合格证、质量保证书、保修卡、软件光盘等必须具备的相关资料和附件。</w:t>
      </w:r>
    </w:p>
    <w:p>
      <w:pPr>
        <w:numPr>
          <w:ilvl w:val="0"/>
          <w:numId w:val="5"/>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乙方负责对设备进行坚固的包装，以防止设备在运输中发生损害。</w:t>
      </w:r>
    </w:p>
    <w:p>
      <w:pPr>
        <w:numPr>
          <w:ilvl w:val="0"/>
          <w:numId w:val="5"/>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乙方应当于设备运至甲方指定地点后个工作日内免费安装完毕。</w:t>
      </w:r>
    </w:p>
    <w:p>
      <w:pPr>
        <w:pStyle w:val="19"/>
        <w:numPr>
          <w:ilvl w:val="0"/>
          <w:numId w:val="5"/>
        </w:numPr>
        <w:spacing w:line="360" w:lineRule="auto"/>
        <w:rPr>
          <w:rFonts w:hint="eastAsia" w:cs="仿宋"/>
          <w:color w:val="auto"/>
          <w:sz w:val="21"/>
          <w:szCs w:val="21"/>
          <w:highlight w:val="none"/>
        </w:rPr>
      </w:pPr>
      <w:r>
        <w:rPr>
          <w:color w:val="auto"/>
          <w:sz w:val="21"/>
          <w:szCs w:val="21"/>
          <w:highlight w:val="none"/>
        </w:rPr>
        <w:t>若甲方原因影响进度，则乙方的到货交付日期顺延。</w:t>
      </w:r>
    </w:p>
    <w:p>
      <w:pPr>
        <w:pStyle w:val="19"/>
        <w:numPr>
          <w:ilvl w:val="0"/>
          <w:numId w:val="5"/>
        </w:numPr>
        <w:spacing w:line="360" w:lineRule="auto"/>
        <w:rPr>
          <w:rFonts w:hint="eastAsia" w:cs="仿宋"/>
          <w:color w:val="auto"/>
          <w:sz w:val="21"/>
          <w:szCs w:val="21"/>
          <w:highlight w:val="none"/>
        </w:rPr>
      </w:pPr>
      <w:r>
        <w:rPr>
          <w:color w:val="auto"/>
          <w:sz w:val="21"/>
          <w:szCs w:val="21"/>
          <w:highlight w:val="none"/>
        </w:rPr>
        <w:t>若因火灾、水灾、台风、地震等及双方同意的其它不可抗力因素影响进度，则乙方的到货交付日期顺延。</w:t>
      </w:r>
    </w:p>
    <w:p>
      <w:pPr>
        <w:numPr>
          <w:ilvl w:val="0"/>
          <w:numId w:val="5"/>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交货地点：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pPr>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四、甲方义务</w:t>
      </w:r>
    </w:p>
    <w:p>
      <w:pPr>
        <w:numPr>
          <w:ilvl w:val="0"/>
          <w:numId w:val="6"/>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甲方应当配合乙方在设备安装过程提供衔接事务，提供符合设备正常使用的场地和环境。</w:t>
      </w:r>
    </w:p>
    <w:p>
      <w:pPr>
        <w:numPr>
          <w:ilvl w:val="0"/>
          <w:numId w:val="6"/>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甲方应当按合同约定组织办理验收和款项支付。</w:t>
      </w:r>
    </w:p>
    <w:p>
      <w:pPr>
        <w:pStyle w:val="26"/>
        <w:spacing w:after="120" w:line="360" w:lineRule="auto"/>
        <w:jc w:val="both"/>
        <w:rPr>
          <w:rFonts w:hint="eastAsia" w:cs="仿宋"/>
          <w:color w:val="auto"/>
          <w:sz w:val="21"/>
          <w:szCs w:val="21"/>
          <w:highlight w:val="none"/>
        </w:rPr>
      </w:pPr>
      <w:r>
        <w:rPr>
          <w:color w:val="auto"/>
          <w:sz w:val="21"/>
          <w:szCs w:val="21"/>
          <w:highlight w:val="none"/>
        </w:rPr>
        <w:t>五、乙方义务</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1.  </w:t>
      </w:r>
      <w:r>
        <w:rPr>
          <w:rFonts w:ascii="宋体" w:hAnsi="宋体"/>
          <w:color w:val="auto"/>
          <w:sz w:val="21"/>
          <w:szCs w:val="21"/>
          <w:highlight w:val="none"/>
        </w:rPr>
        <w:t>负责</w:t>
      </w:r>
      <w:r>
        <w:rPr>
          <w:rFonts w:hint="eastAsia" w:ascii="宋体" w:hAnsi="宋体"/>
          <w:color w:val="auto"/>
          <w:sz w:val="21"/>
          <w:szCs w:val="21"/>
          <w:highlight w:val="none"/>
          <w:lang w:eastAsia="zh-CN"/>
        </w:rPr>
        <w:t>货物</w:t>
      </w:r>
      <w:r>
        <w:rPr>
          <w:rFonts w:ascii="宋体" w:hAnsi="宋体"/>
          <w:color w:val="auto"/>
          <w:sz w:val="21"/>
          <w:szCs w:val="21"/>
          <w:highlight w:val="none"/>
        </w:rPr>
        <w:t>的运输、保险、安装、调试、培训、保修服务及相应费用等。</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2.  </w:t>
      </w:r>
      <w:r>
        <w:rPr>
          <w:rFonts w:ascii="宋体" w:hAnsi="宋体"/>
          <w:color w:val="auto"/>
          <w:sz w:val="21"/>
          <w:szCs w:val="21"/>
          <w:highlight w:val="none"/>
        </w:rPr>
        <w:t>选派合格的技术人员负责本项目的安装调试。</w:t>
      </w:r>
    </w:p>
    <w:p>
      <w:pPr>
        <w:pStyle w:val="26"/>
        <w:spacing w:after="120" w:line="360" w:lineRule="auto"/>
        <w:jc w:val="both"/>
        <w:rPr>
          <w:rFonts w:hint="eastAsia" w:cs="仿宋"/>
          <w:color w:val="auto"/>
          <w:sz w:val="21"/>
          <w:szCs w:val="21"/>
          <w:highlight w:val="none"/>
        </w:rPr>
      </w:pPr>
      <w:r>
        <w:rPr>
          <w:color w:val="auto"/>
          <w:sz w:val="21"/>
          <w:szCs w:val="21"/>
          <w:highlight w:val="none"/>
        </w:rPr>
        <w:t>六、售后服务</w:t>
      </w:r>
    </w:p>
    <w:p>
      <w:pPr>
        <w:numPr>
          <w:ilvl w:val="0"/>
          <w:numId w:val="7"/>
        </w:numPr>
        <w:spacing w:line="360" w:lineRule="auto"/>
        <w:ind w:left="0" w:hanging="5"/>
        <w:rPr>
          <w:rFonts w:hint="eastAsia" w:ascii="宋体" w:hAnsi="宋体" w:cs="仿宋"/>
          <w:color w:val="auto"/>
          <w:sz w:val="21"/>
          <w:szCs w:val="21"/>
          <w:highlight w:val="none"/>
          <w:u w:val="single"/>
        </w:rPr>
      </w:pPr>
      <w:r>
        <w:rPr>
          <w:rFonts w:ascii="宋体" w:hAnsi="宋体"/>
          <w:color w:val="auto"/>
          <w:sz w:val="21"/>
          <w:szCs w:val="21"/>
          <w:highlight w:val="none"/>
        </w:rPr>
        <w:t>乙方保证对所提供的产品实行</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年免费保修（免费上门服务），</w:t>
      </w:r>
      <w:r>
        <w:rPr>
          <w:rFonts w:hint="eastAsia" w:ascii="宋体" w:hAnsi="宋体"/>
          <w:color w:val="auto"/>
          <w:sz w:val="21"/>
          <w:szCs w:val="21"/>
          <w:highlight w:val="none"/>
          <w:lang w:val="en-US" w:eastAsia="zh-CN"/>
        </w:rPr>
        <w:t>对于保质期外的同类产品的维修产生的费用参照审计单价按季度另行结算。</w:t>
      </w:r>
      <w:r>
        <w:rPr>
          <w:rFonts w:ascii="宋体" w:hAnsi="宋体"/>
          <w:color w:val="auto"/>
          <w:sz w:val="21"/>
          <w:szCs w:val="21"/>
          <w:highlight w:val="none"/>
        </w:rPr>
        <w:t>设备附带的软件年内免费升级，维修响应时间为接到用户保修电话后小时到现场解决。乙方在接到甲方通知后，未及时派员维修的，甲方有权自行委托第三方进行维修，甲方有权从履约保证金中直接予以扣除产生相关费用。</w:t>
      </w:r>
    </w:p>
    <w:p>
      <w:pPr>
        <w:numPr>
          <w:ilvl w:val="0"/>
          <w:numId w:val="7"/>
        </w:numPr>
        <w:spacing w:line="360" w:lineRule="auto"/>
        <w:ind w:left="0" w:hanging="5"/>
        <w:rPr>
          <w:rFonts w:hint="eastAsia" w:ascii="宋体" w:hAnsi="宋体" w:cs="仿宋"/>
          <w:color w:val="auto"/>
          <w:sz w:val="21"/>
          <w:szCs w:val="21"/>
          <w:highlight w:val="none"/>
          <w:u w:val="single"/>
        </w:rPr>
      </w:pPr>
      <w:r>
        <w:rPr>
          <w:rFonts w:ascii="宋体" w:hAnsi="宋体"/>
          <w:color w:val="auto"/>
          <w:sz w:val="21"/>
          <w:szCs w:val="21"/>
          <w:highlight w:val="none"/>
        </w:rPr>
        <w:t>由此产生的费用保修期从验收合格之日算起计算，乙方提供的货物在保修期内因货物、软件本身的质量问题发生故障，乙方应负责免费更换。根据实际情况，经双方协商，可按以下办法处理：</w:t>
      </w:r>
    </w:p>
    <w:p>
      <w:pPr>
        <w:spacing w:line="360" w:lineRule="auto"/>
        <w:ind w:hanging="5"/>
        <w:rPr>
          <w:rFonts w:hint="eastAsia" w:ascii="宋体" w:hAnsi="宋体" w:cs="仿宋"/>
          <w:color w:val="auto"/>
          <w:sz w:val="21"/>
          <w:szCs w:val="21"/>
          <w:highlight w:val="none"/>
          <w:u w:val="single"/>
        </w:rPr>
      </w:pPr>
      <w:r>
        <w:rPr>
          <w:rFonts w:ascii="宋体" w:hAnsi="宋体"/>
          <w:color w:val="auto"/>
          <w:sz w:val="21"/>
          <w:szCs w:val="21"/>
          <w:highlight w:val="none"/>
        </w:rPr>
        <w:t>（</w:t>
      </w:r>
      <w:r>
        <w:rPr>
          <w:rFonts w:ascii="宋体" w:hAnsi="宋体" w:cs="仿宋"/>
          <w:color w:val="auto"/>
          <w:sz w:val="21"/>
          <w:szCs w:val="21"/>
          <w:highlight w:val="none"/>
        </w:rPr>
        <w:t>1</w:t>
      </w:r>
      <w:r>
        <w:rPr>
          <w:rFonts w:ascii="宋体" w:hAnsi="宋体"/>
          <w:color w:val="auto"/>
          <w:sz w:val="21"/>
          <w:szCs w:val="21"/>
          <w:highlight w:val="none"/>
        </w:rPr>
        <w:t>）更换：由乙方承担所发生的全部费用。</w:t>
      </w:r>
    </w:p>
    <w:p>
      <w:pPr>
        <w:spacing w:line="360" w:lineRule="auto"/>
        <w:ind w:hanging="5"/>
        <w:rPr>
          <w:rFonts w:hint="eastAsia" w:ascii="宋体" w:hAnsi="宋体" w:cs="仿宋"/>
          <w:color w:val="auto"/>
          <w:sz w:val="21"/>
          <w:szCs w:val="21"/>
          <w:highlight w:val="none"/>
        </w:rPr>
      </w:pPr>
      <w:r>
        <w:rPr>
          <w:rFonts w:ascii="宋体" w:hAnsi="宋体"/>
          <w:color w:val="auto"/>
          <w:sz w:val="21"/>
          <w:szCs w:val="21"/>
          <w:highlight w:val="none"/>
        </w:rPr>
        <w:t>（</w:t>
      </w:r>
      <w:r>
        <w:rPr>
          <w:rFonts w:ascii="宋体" w:hAnsi="宋体" w:cs="仿宋"/>
          <w:color w:val="auto"/>
          <w:sz w:val="21"/>
          <w:szCs w:val="21"/>
          <w:highlight w:val="none"/>
        </w:rPr>
        <w:t>2</w:t>
      </w:r>
      <w:r>
        <w:rPr>
          <w:rFonts w:ascii="宋体" w:hAnsi="宋体"/>
          <w:color w:val="auto"/>
          <w:sz w:val="21"/>
          <w:szCs w:val="21"/>
          <w:highlight w:val="none"/>
        </w:rPr>
        <w:t>）贬值处理：由甲乙双方协商定价。</w:t>
      </w:r>
    </w:p>
    <w:p>
      <w:pPr>
        <w:spacing w:line="360" w:lineRule="auto"/>
        <w:ind w:hanging="5"/>
        <w:rPr>
          <w:rFonts w:hint="eastAsia" w:ascii="宋体" w:hAnsi="宋体" w:cs="仿宋"/>
          <w:color w:val="auto"/>
          <w:sz w:val="21"/>
          <w:szCs w:val="21"/>
          <w:highlight w:val="none"/>
        </w:rPr>
      </w:pPr>
      <w:r>
        <w:rPr>
          <w:rFonts w:ascii="宋体" w:hAnsi="宋体"/>
          <w:color w:val="auto"/>
          <w:sz w:val="21"/>
          <w:szCs w:val="21"/>
          <w:highlight w:val="none"/>
        </w:rPr>
        <w:t>（</w:t>
      </w:r>
      <w:r>
        <w:rPr>
          <w:rFonts w:ascii="宋体" w:hAnsi="宋体" w:cs="仿宋"/>
          <w:color w:val="auto"/>
          <w:sz w:val="21"/>
          <w:szCs w:val="21"/>
          <w:highlight w:val="none"/>
        </w:rPr>
        <w:t>3</w:t>
      </w:r>
      <w:r>
        <w:rPr>
          <w:rFonts w:ascii="宋体" w:hAnsi="宋体"/>
          <w:color w:val="auto"/>
          <w:sz w:val="21"/>
          <w:szCs w:val="21"/>
          <w:highlight w:val="none"/>
        </w:rPr>
        <w:t>）退货处理：乙方应退还甲方支付的全部合同款并赔偿甲方由此造成的全部损失，同时应承担该货物的直接费用（运输、保险、检验、全部合同款的利息损失及银行手续费等）。</w:t>
      </w:r>
    </w:p>
    <w:p>
      <w:pPr>
        <w:numPr>
          <w:ilvl w:val="0"/>
          <w:numId w:val="7"/>
        </w:numPr>
        <w:spacing w:line="360" w:lineRule="auto"/>
        <w:ind w:left="0" w:hanging="5"/>
        <w:rPr>
          <w:rFonts w:hint="eastAsia" w:ascii="宋体" w:hAnsi="宋体" w:cs="仿宋"/>
          <w:color w:val="auto"/>
          <w:sz w:val="21"/>
          <w:szCs w:val="21"/>
          <w:highlight w:val="none"/>
        </w:rPr>
      </w:pPr>
      <w:r>
        <w:rPr>
          <w:rFonts w:ascii="宋体" w:hAnsi="宋体"/>
          <w:color w:val="auto"/>
          <w:sz w:val="21"/>
          <w:szCs w:val="21"/>
          <w:highlight w:val="none"/>
        </w:rPr>
        <w:t>保修期过后由乙方提供维修服务。双方可另行签订维修服务合同，如采购文件对维修费用有约定，则应当以采购文件约定为准。</w:t>
      </w:r>
    </w:p>
    <w:p>
      <w:pPr>
        <w:numPr>
          <w:ilvl w:val="0"/>
          <w:numId w:val="7"/>
        </w:numPr>
        <w:spacing w:line="360" w:lineRule="auto"/>
        <w:ind w:left="0" w:hanging="5"/>
        <w:rPr>
          <w:rFonts w:hint="eastAsia" w:ascii="宋体" w:hAnsi="宋体" w:cs="仿宋"/>
          <w:color w:val="auto"/>
          <w:sz w:val="21"/>
          <w:szCs w:val="21"/>
          <w:highlight w:val="none"/>
        </w:rPr>
      </w:pPr>
      <w:r>
        <w:rPr>
          <w:rFonts w:ascii="宋体" w:hAnsi="宋体"/>
          <w:color w:val="auto"/>
          <w:sz w:val="21"/>
          <w:szCs w:val="21"/>
          <w:highlight w:val="none"/>
        </w:rPr>
        <w:t>乙方应当承担因设备故障原因造成的甲方财产损失、人员伤亡等赔偿责任。</w:t>
      </w:r>
    </w:p>
    <w:p>
      <w:pPr>
        <w:spacing w:line="360" w:lineRule="auto"/>
        <w:ind w:hanging="5"/>
        <w:rPr>
          <w:rFonts w:hint="eastAsia" w:ascii="宋体" w:hAnsi="宋体" w:cs="仿宋"/>
          <w:color w:val="auto"/>
          <w:sz w:val="21"/>
          <w:szCs w:val="21"/>
          <w:highlight w:val="none"/>
        </w:rPr>
      </w:pPr>
      <w:r>
        <w:rPr>
          <w:rFonts w:ascii="宋体" w:hAnsi="宋体"/>
          <w:color w:val="auto"/>
          <w:sz w:val="21"/>
          <w:szCs w:val="21"/>
          <w:highlight w:val="none"/>
        </w:rPr>
        <w:t>七、设备验收及风险转移</w:t>
      </w:r>
    </w:p>
    <w:p>
      <w:pPr>
        <w:numPr>
          <w:ilvl w:val="0"/>
          <w:numId w:val="8"/>
        </w:numPr>
        <w:spacing w:line="360" w:lineRule="auto"/>
        <w:ind w:left="0" w:hanging="5"/>
        <w:rPr>
          <w:rFonts w:hint="eastAsia" w:ascii="宋体" w:hAnsi="宋体" w:cs="仿宋"/>
          <w:color w:val="auto"/>
          <w:sz w:val="21"/>
          <w:szCs w:val="21"/>
          <w:highlight w:val="none"/>
        </w:rPr>
      </w:pPr>
      <w:r>
        <w:rPr>
          <w:rFonts w:ascii="宋体" w:hAnsi="宋体"/>
          <w:color w:val="auto"/>
          <w:sz w:val="21"/>
          <w:szCs w:val="21"/>
          <w:highlight w:val="none"/>
        </w:rPr>
        <w:t>验收标准：按下列第</w:t>
      </w:r>
      <w:r>
        <w:rPr>
          <w:rFonts w:ascii="宋体" w:hAnsi="宋体" w:cs="仿宋"/>
          <w:color w:val="auto"/>
          <w:sz w:val="21"/>
          <w:szCs w:val="21"/>
          <w:highlight w:val="none"/>
        </w:rPr>
        <w:t>( )</w:t>
      </w:r>
      <w:r>
        <w:rPr>
          <w:rFonts w:ascii="宋体" w:hAnsi="宋体"/>
          <w:color w:val="auto"/>
          <w:sz w:val="21"/>
          <w:szCs w:val="21"/>
          <w:highlight w:val="none"/>
        </w:rPr>
        <w:t xml:space="preserve">项执行： </w:t>
      </w:r>
    </w:p>
    <w:p>
      <w:pPr>
        <w:numPr>
          <w:ilvl w:val="0"/>
          <w:numId w:val="8"/>
        </w:numPr>
        <w:spacing w:line="360" w:lineRule="auto"/>
        <w:ind w:left="0" w:hanging="5"/>
        <w:rPr>
          <w:rFonts w:hint="eastAsia" w:ascii="宋体" w:hAnsi="宋体" w:cs="仿宋"/>
          <w:color w:val="auto"/>
          <w:sz w:val="21"/>
          <w:szCs w:val="21"/>
          <w:highlight w:val="none"/>
        </w:rPr>
      </w:pPr>
      <w:r>
        <w:rPr>
          <w:rFonts w:ascii="宋体" w:hAnsi="宋体" w:cs="仿宋"/>
          <w:color w:val="auto"/>
          <w:sz w:val="21"/>
          <w:szCs w:val="21"/>
          <w:highlight w:val="none"/>
        </w:rPr>
        <w:t xml:space="preserve"> (1) </w:t>
      </w:r>
      <w:r>
        <w:rPr>
          <w:rFonts w:ascii="宋体" w:hAnsi="宋体"/>
          <w:color w:val="auto"/>
          <w:sz w:val="21"/>
          <w:szCs w:val="21"/>
          <w:highlight w:val="none"/>
        </w:rPr>
        <w:t>按照＿＿＿＿＿＿标准执行</w:t>
      </w:r>
      <w:r>
        <w:rPr>
          <w:rFonts w:ascii="宋体" w:hAnsi="宋体" w:cs="仿宋"/>
          <w:color w:val="auto"/>
          <w:sz w:val="21"/>
          <w:szCs w:val="21"/>
          <w:highlight w:val="none"/>
        </w:rPr>
        <w:t>(</w:t>
      </w:r>
      <w:r>
        <w:rPr>
          <w:rFonts w:ascii="宋体" w:hAnsi="宋体"/>
          <w:color w:val="auto"/>
          <w:sz w:val="21"/>
          <w:szCs w:val="21"/>
          <w:highlight w:val="none"/>
        </w:rPr>
        <w:t>须注明按国家标准或部颁或企业具体标准，如标准代号、编号和标准名称等</w:t>
      </w:r>
      <w:r>
        <w:rPr>
          <w:rFonts w:ascii="宋体" w:hAnsi="宋体" w:cs="仿宋"/>
          <w:color w:val="auto"/>
          <w:sz w:val="21"/>
          <w:szCs w:val="21"/>
          <w:highlight w:val="none"/>
        </w:rPr>
        <w:t>)</w:t>
      </w:r>
      <w:r>
        <w:rPr>
          <w:rFonts w:ascii="宋体" w:hAnsi="宋体"/>
          <w:color w:val="auto"/>
          <w:sz w:val="21"/>
          <w:szCs w:val="21"/>
          <w:highlight w:val="none"/>
        </w:rPr>
        <w:t xml:space="preserve">。 </w:t>
      </w:r>
    </w:p>
    <w:p>
      <w:pPr>
        <w:numPr>
          <w:ilvl w:val="0"/>
          <w:numId w:val="8"/>
        </w:numPr>
        <w:spacing w:line="360" w:lineRule="auto"/>
        <w:ind w:left="0" w:hanging="5"/>
        <w:rPr>
          <w:rFonts w:hint="eastAsia" w:ascii="宋体" w:hAnsi="宋体" w:cs="仿宋"/>
          <w:color w:val="auto"/>
          <w:sz w:val="21"/>
          <w:szCs w:val="21"/>
          <w:highlight w:val="none"/>
        </w:rPr>
      </w:pPr>
      <w:r>
        <w:rPr>
          <w:rFonts w:ascii="宋体" w:hAnsi="宋体" w:cs="仿宋"/>
          <w:color w:val="auto"/>
          <w:sz w:val="21"/>
          <w:szCs w:val="21"/>
          <w:highlight w:val="none"/>
        </w:rPr>
        <w:t xml:space="preserve"> (2) </w:t>
      </w:r>
      <w:r>
        <w:rPr>
          <w:rFonts w:ascii="宋体" w:hAnsi="宋体"/>
          <w:color w:val="auto"/>
          <w:sz w:val="21"/>
          <w:szCs w:val="21"/>
          <w:highlight w:val="none"/>
        </w:rPr>
        <w:t xml:space="preserve">按样本，样本作为合同的附件（应注明样本封存及保管方式）。 </w:t>
      </w:r>
    </w:p>
    <w:p>
      <w:pPr>
        <w:numPr>
          <w:ilvl w:val="0"/>
          <w:numId w:val="8"/>
        </w:numPr>
        <w:spacing w:line="360" w:lineRule="auto"/>
        <w:ind w:left="0" w:hanging="5"/>
        <w:rPr>
          <w:rFonts w:hint="eastAsia" w:ascii="宋体" w:hAnsi="宋体" w:cs="仿宋"/>
          <w:color w:val="auto"/>
          <w:sz w:val="21"/>
          <w:szCs w:val="21"/>
          <w:highlight w:val="none"/>
        </w:rPr>
      </w:pPr>
      <w:r>
        <w:rPr>
          <w:rFonts w:ascii="宋体" w:hAnsi="宋体" w:cs="仿宋"/>
          <w:color w:val="auto"/>
          <w:sz w:val="21"/>
          <w:szCs w:val="21"/>
          <w:highlight w:val="none"/>
        </w:rPr>
        <w:t xml:space="preserve"> (3) </w:t>
      </w:r>
      <w:r>
        <w:rPr>
          <w:rFonts w:ascii="宋体" w:hAnsi="宋体"/>
          <w:color w:val="auto"/>
          <w:sz w:val="21"/>
          <w:szCs w:val="21"/>
          <w:highlight w:val="none"/>
        </w:rPr>
        <w:t xml:space="preserve">按双方商定要求执行，具体为： ＿＿＿＿＿＿＿＿＿（应具体约定产品质量要求）。 </w:t>
      </w:r>
    </w:p>
    <w:p>
      <w:pPr>
        <w:numPr>
          <w:ilvl w:val="0"/>
          <w:numId w:val="8"/>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由于设备不符合合同约定的标准或国家标准、行业标准，甲方拒绝受领的，设备的风险仍由乙方承担。</w:t>
      </w:r>
    </w:p>
    <w:p>
      <w:pPr>
        <w:numPr>
          <w:ilvl w:val="0"/>
          <w:numId w:val="8"/>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开箱验收：由双方共同对设备进行开箱清点，乙方不得事先拆封原厂商包装，否则甲方可拒绝接收设备且可以单方通知乙方解除合同，由此而产生的后果由乙方负责。</w:t>
      </w:r>
    </w:p>
    <w:p>
      <w:pPr>
        <w:numPr>
          <w:ilvl w:val="0"/>
          <w:numId w:val="8"/>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甲方在验收中如发现货物的品种、型号、规格、花色和质量不合规定或约定，应在妥为保管货物的同时，自收到货物后日内向乙方提出书面异议。</w:t>
      </w:r>
    </w:p>
    <w:p>
      <w:pPr>
        <w:numPr>
          <w:ilvl w:val="0"/>
          <w:numId w:val="8"/>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乙方在接到甲方书面异议后，应在＿＿＿＿＿日内负责处理并通知甲方处理情况，否则，即视为默认甲方提出的异议和处理意见。</w:t>
      </w:r>
      <w:r>
        <w:rPr>
          <w:rFonts w:ascii="宋体" w:hAnsi="宋体" w:cs="仿宋"/>
          <w:color w:val="auto"/>
          <w:sz w:val="21"/>
          <w:szCs w:val="21"/>
          <w:highlight w:val="none"/>
        </w:rPr>
        <w:t xml:space="preserve"> </w:t>
      </w:r>
    </w:p>
    <w:p>
      <w:pPr>
        <w:numPr>
          <w:ilvl w:val="0"/>
          <w:numId w:val="8"/>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八、设备的安装调试</w:t>
      </w:r>
    </w:p>
    <w:p>
      <w:pPr>
        <w:numPr>
          <w:ilvl w:val="0"/>
          <w:numId w:val="9"/>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乙方在设备开箱验收合格后</w:t>
      </w:r>
      <w:r>
        <w:rPr>
          <w:rFonts w:hint="eastAsia" w:ascii="宋体" w:hAnsi="宋体" w:cs="仿宋"/>
          <w:color w:val="auto"/>
          <w:sz w:val="21"/>
          <w:szCs w:val="21"/>
          <w:highlight w:val="none"/>
        </w:rPr>
        <w:t>3</w:t>
      </w:r>
      <w:r>
        <w:rPr>
          <w:rFonts w:ascii="宋体" w:hAnsi="宋体"/>
          <w:color w:val="auto"/>
          <w:sz w:val="21"/>
          <w:szCs w:val="21"/>
          <w:highlight w:val="none"/>
        </w:rPr>
        <w:t>日内完成设备的安装调试。</w:t>
      </w:r>
    </w:p>
    <w:p>
      <w:pPr>
        <w:numPr>
          <w:ilvl w:val="0"/>
          <w:numId w:val="9"/>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乙方完成安装调试后，应以书面形式通知甲方进行安装调试后的验收。</w:t>
      </w:r>
    </w:p>
    <w:p>
      <w:pPr>
        <w:numPr>
          <w:ilvl w:val="0"/>
          <w:numId w:val="9"/>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设备功能验收</w:t>
      </w:r>
    </w:p>
    <w:p>
      <w:pPr>
        <w:numPr>
          <w:ilvl w:val="0"/>
          <w:numId w:val="10"/>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甲方应在收到乙方书面通知后的当日内完成安装调试后的验收，如验收不合格，乙方须重新进行安装调试，并再次向甲方提交书面验收通知，经甲方两次验收仍不合格的，甲方有权单方解除本合同，并按照本合同第七条的约定追究乙方的违约责任。</w:t>
      </w:r>
    </w:p>
    <w:p>
      <w:pPr>
        <w:numPr>
          <w:ilvl w:val="0"/>
          <w:numId w:val="10"/>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功能验收合格后，应由甲乙双方在《验收报告》上签字盖章确认。《验收报告》一式贰份，甲乙双方各执壹份，具有同等法律效力。</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九、违约责任</w:t>
      </w:r>
    </w:p>
    <w:p>
      <w:pPr>
        <w:numPr>
          <w:ilvl w:val="0"/>
          <w:numId w:val="11"/>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乙方无正当理由延迟交货，乙方应付给甲方每星期按合同总价</w:t>
      </w:r>
      <w:r>
        <w:rPr>
          <w:rFonts w:hint="eastAsia" w:ascii="宋体" w:hAnsi="宋体"/>
          <w:color w:val="auto"/>
          <w:sz w:val="21"/>
          <w:szCs w:val="21"/>
          <w:highlight w:val="none"/>
          <w:lang w:val="en-US" w:eastAsia="zh-CN"/>
        </w:rPr>
        <w:t>2</w:t>
      </w:r>
      <w:r>
        <w:rPr>
          <w:rFonts w:ascii="宋体" w:hAnsi="宋体" w:cs="仿宋"/>
          <w:color w:val="auto"/>
          <w:sz w:val="21"/>
          <w:szCs w:val="21"/>
          <w:highlight w:val="none"/>
        </w:rPr>
        <w:t>%</w:t>
      </w:r>
      <w:r>
        <w:rPr>
          <w:rFonts w:ascii="宋体" w:hAnsi="宋体"/>
          <w:color w:val="auto"/>
          <w:sz w:val="21"/>
          <w:szCs w:val="21"/>
          <w:highlight w:val="none"/>
        </w:rPr>
        <w:t>的违约金，不足一星期的一律按一星期计算，甲方有权直接在货款或履约保证金中直接扣除相应违约金，此项违约金总额不超过全部合同总价的</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ascii="宋体" w:hAnsi="宋体" w:cs="仿宋"/>
          <w:color w:val="auto"/>
          <w:sz w:val="21"/>
          <w:szCs w:val="21"/>
          <w:highlight w:val="none"/>
        </w:rPr>
        <w:t>%</w:t>
      </w:r>
      <w:r>
        <w:rPr>
          <w:rFonts w:ascii="宋体" w:hAnsi="宋体"/>
          <w:color w:val="auto"/>
          <w:sz w:val="21"/>
          <w:szCs w:val="21"/>
          <w:highlight w:val="none"/>
        </w:rPr>
        <w:t>，无特殊理由延迟交货</w:t>
      </w:r>
      <w:r>
        <w:rPr>
          <w:rFonts w:ascii="宋体" w:hAnsi="宋体" w:cs="仿宋"/>
          <w:color w:val="auto"/>
          <w:sz w:val="21"/>
          <w:szCs w:val="21"/>
          <w:highlight w:val="none"/>
        </w:rPr>
        <w:t>1</w:t>
      </w:r>
      <w:r>
        <w:rPr>
          <w:rFonts w:ascii="宋体" w:hAnsi="宋体"/>
          <w:color w:val="auto"/>
          <w:sz w:val="21"/>
          <w:szCs w:val="21"/>
          <w:highlight w:val="none"/>
        </w:rPr>
        <w:t>个月以上，甲方可拒绝收货且可以单方通知乙方解除合同，乙方需自行承担由此而产生的一切后果。</w:t>
      </w:r>
    </w:p>
    <w:p>
      <w:pPr>
        <w:numPr>
          <w:ilvl w:val="0"/>
          <w:numId w:val="11"/>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违约金应在守约方发出书面违约通知之日起十个工作日内完成支付，因违约方违约行为给守约方造成损失的，违约方还需承担全部赔偿责任，守约方为维护权益，向违约方主张权利的一切费用（包括但不限于律师费、诉讼费、保全费、交通费、差旅费、鉴定费等等）均由违约方承担。</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十、争议的解决</w:t>
      </w:r>
    </w:p>
    <w:p>
      <w:pPr>
        <w:spacing w:line="360" w:lineRule="auto"/>
        <w:ind w:firstLine="420" w:firstLineChars="200"/>
        <w:rPr>
          <w:rFonts w:hint="eastAsia" w:ascii="宋体" w:hAnsi="宋体" w:cs="仿宋"/>
          <w:color w:val="auto"/>
          <w:sz w:val="21"/>
          <w:szCs w:val="21"/>
          <w:highlight w:val="none"/>
        </w:rPr>
      </w:pPr>
      <w:r>
        <w:rPr>
          <w:rFonts w:ascii="宋体" w:hAnsi="宋体"/>
          <w:color w:val="auto"/>
          <w:sz w:val="21"/>
          <w:szCs w:val="21"/>
          <w:highlight w:val="none"/>
        </w:rPr>
        <w:t>因执行本合同所发生的或与本合同有关的一切争议，甲乙双方应通过友好协商解决。如经协商仍不能解决争议时，可向甲方所在地人民法院提起诉讼。</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十一、通讯地址</w:t>
      </w:r>
    </w:p>
    <w:p>
      <w:pPr>
        <w:numPr>
          <w:ilvl w:val="0"/>
          <w:numId w:val="12"/>
        </w:numPr>
        <w:spacing w:line="360" w:lineRule="auto"/>
        <w:ind w:left="0" w:hanging="5"/>
        <w:rPr>
          <w:rFonts w:hint="eastAsia" w:ascii="宋体" w:hAnsi="宋体" w:cs="仿宋"/>
          <w:color w:val="auto"/>
          <w:sz w:val="21"/>
          <w:szCs w:val="21"/>
          <w:highlight w:val="none"/>
        </w:rPr>
      </w:pPr>
      <w:r>
        <w:rPr>
          <w:rFonts w:ascii="宋体" w:hAnsi="宋体"/>
          <w:color w:val="auto"/>
          <w:sz w:val="21"/>
          <w:szCs w:val="21"/>
          <w:highlight w:val="none"/>
        </w:rPr>
        <w:t>甲方与乙方就合同中涉及各类通知、协议等文件以及就合同发生纠纷时相关文件和法律文书送达时的送达地址及法律后果作如下约定：</w:t>
      </w:r>
    </w:p>
    <w:p>
      <w:pPr>
        <w:spacing w:line="360" w:lineRule="auto"/>
        <w:ind w:hanging="5"/>
        <w:rPr>
          <w:rFonts w:hint="eastAsia" w:ascii="宋体" w:hAnsi="宋体"/>
          <w:color w:val="auto"/>
          <w:sz w:val="21"/>
          <w:szCs w:val="21"/>
          <w:highlight w:val="none"/>
        </w:rPr>
      </w:pPr>
      <w:r>
        <w:rPr>
          <w:rFonts w:ascii="宋体" w:hAnsi="宋体"/>
          <w:color w:val="auto"/>
          <w:sz w:val="21"/>
          <w:szCs w:val="21"/>
          <w:highlight w:val="none"/>
        </w:rPr>
        <w:t>甲方确认其有效的送达地址为：</w:t>
      </w:r>
    </w:p>
    <w:p>
      <w:pPr>
        <w:spacing w:line="360" w:lineRule="auto"/>
        <w:ind w:hanging="5"/>
        <w:rPr>
          <w:rFonts w:hint="eastAsia" w:ascii="宋体" w:hAnsi="宋体" w:cs="仿宋"/>
          <w:color w:val="auto"/>
          <w:sz w:val="21"/>
          <w:szCs w:val="21"/>
          <w:highlight w:val="none"/>
          <w:u w:val="single"/>
        </w:rPr>
      </w:pPr>
      <w:r>
        <w:rPr>
          <w:rFonts w:ascii="宋体" w:hAnsi="宋体"/>
          <w:color w:val="auto"/>
          <w:sz w:val="21"/>
          <w:szCs w:val="21"/>
          <w:highlight w:val="none"/>
        </w:rPr>
        <w:t>乙方确认其有效的送达地址为：</w:t>
      </w:r>
    </w:p>
    <w:p>
      <w:pPr>
        <w:numPr>
          <w:ilvl w:val="0"/>
          <w:numId w:val="12"/>
        </w:numPr>
        <w:spacing w:line="360" w:lineRule="auto"/>
        <w:ind w:left="0" w:hanging="5"/>
        <w:rPr>
          <w:rFonts w:hint="eastAsia" w:ascii="宋体" w:hAnsi="宋体" w:cs="仿宋"/>
          <w:color w:val="auto"/>
          <w:sz w:val="21"/>
          <w:szCs w:val="21"/>
          <w:highlight w:val="none"/>
        </w:rPr>
      </w:pPr>
      <w:r>
        <w:rPr>
          <w:rFonts w:ascii="宋体" w:hAnsi="宋体"/>
          <w:color w:val="auto"/>
          <w:sz w:val="21"/>
          <w:szCs w:val="21"/>
          <w:highlight w:val="none"/>
        </w:rP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十二、知识产权保护</w:t>
      </w:r>
    </w:p>
    <w:p>
      <w:pPr>
        <w:numPr>
          <w:ilvl w:val="0"/>
          <w:numId w:val="13"/>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乙方承诺出售给甲方的设备不会侵犯任何第三方的合同知识产权或其他权益。</w:t>
      </w:r>
    </w:p>
    <w:p>
      <w:pPr>
        <w:numPr>
          <w:ilvl w:val="0"/>
          <w:numId w:val="13"/>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pPr>
        <w:numPr>
          <w:ilvl w:val="0"/>
          <w:numId w:val="13"/>
        </w:numPr>
        <w:spacing w:line="360" w:lineRule="auto"/>
        <w:ind w:left="5" w:hanging="5"/>
        <w:rPr>
          <w:rFonts w:hint="eastAsia" w:ascii="宋体" w:hAnsi="宋体" w:cs="仿宋"/>
          <w:color w:val="auto"/>
          <w:sz w:val="21"/>
          <w:szCs w:val="21"/>
          <w:highlight w:val="none"/>
        </w:rPr>
      </w:pPr>
      <w:r>
        <w:rPr>
          <w:rFonts w:ascii="宋体" w:hAnsi="宋体"/>
          <w:color w:val="auto"/>
          <w:sz w:val="21"/>
          <w:szCs w:val="21"/>
          <w:highlight w:val="none"/>
        </w:rP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十三、附则</w:t>
      </w:r>
    </w:p>
    <w:p>
      <w:pPr>
        <w:numPr>
          <w:ilvl w:val="0"/>
          <w:numId w:val="14"/>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本合同一式陆份，甲方叁份，乙方贰份、招标代理机构壹份。</w:t>
      </w:r>
    </w:p>
    <w:p>
      <w:pPr>
        <w:numPr>
          <w:ilvl w:val="0"/>
          <w:numId w:val="14"/>
        </w:numPr>
        <w:spacing w:line="360" w:lineRule="auto"/>
        <w:rPr>
          <w:rFonts w:hint="eastAsia" w:ascii="宋体" w:hAnsi="宋体" w:cs="仿宋"/>
          <w:color w:val="auto"/>
          <w:sz w:val="21"/>
          <w:szCs w:val="21"/>
          <w:highlight w:val="none"/>
        </w:rPr>
      </w:pPr>
      <w:r>
        <w:rPr>
          <w:rFonts w:ascii="宋体" w:hAnsi="宋体"/>
          <w:color w:val="auto"/>
          <w:sz w:val="21"/>
          <w:szCs w:val="21"/>
          <w:highlight w:val="none"/>
        </w:rPr>
        <w:t>本合同由双方代表签字，加盖双方公章或合同章后生效，投标书及招标现场书面承诺作为合同附件具有同等法律效力。</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十四、其他约定</w:t>
      </w:r>
    </w:p>
    <w:p>
      <w:pPr>
        <w:spacing w:line="360" w:lineRule="auto"/>
        <w:ind w:left="816" w:leftChars="200" w:hanging="396" w:hangingChars="189"/>
        <w:rPr>
          <w:rFonts w:hint="eastAsia" w:ascii="宋体" w:hAnsi="宋体"/>
          <w:color w:val="auto"/>
          <w:sz w:val="21"/>
          <w:szCs w:val="21"/>
          <w:highlight w:val="none"/>
        </w:rPr>
      </w:pPr>
      <w:r>
        <w:rPr>
          <w:rFonts w:ascii="宋体" w:hAnsi="宋体"/>
          <w:color w:val="auto"/>
          <w:sz w:val="21"/>
          <w:szCs w:val="21"/>
          <w:highlight w:val="none"/>
        </w:rPr>
        <w:t>其他约定详见附件</w:t>
      </w:r>
      <w:r>
        <w:rPr>
          <w:rFonts w:ascii="宋体" w:hAnsi="宋体" w:cs="仿宋"/>
          <w:color w:val="auto"/>
          <w:sz w:val="21"/>
          <w:szCs w:val="21"/>
          <w:highlight w:val="none"/>
          <w:u w:val="single"/>
        </w:rPr>
        <w:t xml:space="preserve">    </w:t>
      </w:r>
      <w:r>
        <w:rPr>
          <w:rFonts w:ascii="宋体" w:hAnsi="宋体"/>
          <w:color w:val="auto"/>
          <w:sz w:val="21"/>
          <w:szCs w:val="21"/>
          <w:highlight w:val="none"/>
          <w:u w:val="single"/>
        </w:rPr>
        <w:t>配置清单</w:t>
      </w:r>
      <w:r>
        <w:rPr>
          <w:rFonts w:ascii="宋体" w:hAnsi="宋体" w:cs="仿宋"/>
          <w:color w:val="auto"/>
          <w:sz w:val="21"/>
          <w:szCs w:val="21"/>
          <w:highlight w:val="none"/>
          <w:u w:val="single"/>
        </w:rPr>
        <w:t xml:space="preserve">     </w:t>
      </w:r>
      <w:r>
        <w:rPr>
          <w:rFonts w:ascii="宋体" w:hAnsi="宋体"/>
          <w:color w:val="auto"/>
          <w:sz w:val="21"/>
          <w:szCs w:val="21"/>
          <w:highlight w:val="none"/>
        </w:rPr>
        <w:t>。</w:t>
      </w:r>
    </w:p>
    <w:p>
      <w:pPr>
        <w:numPr>
          <w:ilvl w:val="0"/>
          <w:numId w:val="15"/>
        </w:numPr>
        <w:spacing w:line="360" w:lineRule="auto"/>
        <w:rPr>
          <w:rFonts w:hint="eastAsia" w:ascii="宋体" w:hAnsi="宋体"/>
          <w:color w:val="auto"/>
          <w:sz w:val="21"/>
          <w:szCs w:val="21"/>
          <w:highlight w:val="none"/>
        </w:rPr>
      </w:pPr>
      <w:r>
        <w:rPr>
          <w:rFonts w:ascii="宋体" w:hAnsi="宋体"/>
          <w:color w:val="auto"/>
          <w:sz w:val="21"/>
          <w:szCs w:val="21"/>
          <w:highlight w:val="none"/>
        </w:rPr>
        <w:t>本合同共有附件个，共计</w:t>
      </w:r>
      <w:r>
        <w:rPr>
          <w:rFonts w:ascii="宋体" w:hAnsi="宋体" w:cs="仿宋"/>
          <w:color w:val="auto"/>
          <w:sz w:val="21"/>
          <w:szCs w:val="21"/>
          <w:highlight w:val="none"/>
        </w:rPr>
        <w:t xml:space="preserve">  </w:t>
      </w:r>
      <w:r>
        <w:rPr>
          <w:rFonts w:ascii="宋体" w:hAnsi="宋体"/>
          <w:color w:val="auto"/>
          <w:sz w:val="21"/>
          <w:szCs w:val="21"/>
          <w:highlight w:val="none"/>
        </w:rPr>
        <w:t>页。</w:t>
      </w:r>
    </w:p>
    <w:p>
      <w:pPr>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 xml:space="preserve"> 合同附件1：工程建设项目廉政合同</w:t>
      </w:r>
    </w:p>
    <w:p>
      <w:pPr>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甲</w:t>
      </w:r>
      <w:r>
        <w:rPr>
          <w:rFonts w:ascii="宋体" w:hAnsi="宋体" w:cs="仿宋"/>
          <w:color w:val="auto"/>
          <w:sz w:val="21"/>
          <w:szCs w:val="21"/>
          <w:highlight w:val="none"/>
        </w:rPr>
        <w:t xml:space="preserve">    </w:t>
      </w:r>
      <w:r>
        <w:rPr>
          <w:rFonts w:ascii="宋体" w:hAnsi="宋体"/>
          <w:color w:val="auto"/>
          <w:sz w:val="21"/>
          <w:szCs w:val="21"/>
          <w:highlight w:val="none"/>
        </w:rPr>
        <w:t>方：（盖</w:t>
      </w:r>
      <w:r>
        <w:rPr>
          <w:rFonts w:ascii="宋体" w:hAnsi="宋体" w:cs="仿宋"/>
          <w:color w:val="auto"/>
          <w:sz w:val="21"/>
          <w:szCs w:val="21"/>
          <w:highlight w:val="none"/>
        </w:rPr>
        <w:t xml:space="preserve">  </w:t>
      </w:r>
      <w:r>
        <w:rPr>
          <w:rFonts w:ascii="宋体" w:hAnsi="宋体"/>
          <w:color w:val="auto"/>
          <w:sz w:val="21"/>
          <w:szCs w:val="21"/>
          <w:highlight w:val="none"/>
        </w:rPr>
        <w:t>章）</w:t>
      </w:r>
      <w:r>
        <w:rPr>
          <w:rFonts w:ascii="宋体" w:hAnsi="宋体" w:cs="仿宋"/>
          <w:color w:val="auto"/>
          <w:sz w:val="21"/>
          <w:szCs w:val="21"/>
          <w:highlight w:val="none"/>
        </w:rPr>
        <w:t xml:space="preserve">                            </w:t>
      </w:r>
      <w:r>
        <w:rPr>
          <w:rFonts w:ascii="宋体" w:hAnsi="宋体"/>
          <w:color w:val="auto"/>
          <w:sz w:val="21"/>
          <w:szCs w:val="21"/>
          <w:highlight w:val="none"/>
        </w:rPr>
        <w:t>乙</w:t>
      </w:r>
      <w:r>
        <w:rPr>
          <w:rFonts w:ascii="宋体" w:hAnsi="宋体" w:cs="仿宋"/>
          <w:color w:val="auto"/>
          <w:sz w:val="21"/>
          <w:szCs w:val="21"/>
          <w:highlight w:val="none"/>
        </w:rPr>
        <w:t xml:space="preserve">    </w:t>
      </w:r>
      <w:r>
        <w:rPr>
          <w:rFonts w:ascii="宋体" w:hAnsi="宋体"/>
          <w:color w:val="auto"/>
          <w:sz w:val="21"/>
          <w:szCs w:val="21"/>
          <w:highlight w:val="none"/>
        </w:rPr>
        <w:t>方：（盖</w:t>
      </w:r>
      <w:r>
        <w:rPr>
          <w:rFonts w:ascii="宋体" w:hAnsi="宋体" w:cs="仿宋"/>
          <w:color w:val="auto"/>
          <w:sz w:val="21"/>
          <w:szCs w:val="21"/>
          <w:highlight w:val="none"/>
        </w:rPr>
        <w:t xml:space="preserve">  </w:t>
      </w:r>
      <w:r>
        <w:rPr>
          <w:rFonts w:ascii="宋体" w:hAnsi="宋体"/>
          <w:color w:val="auto"/>
          <w:sz w:val="21"/>
          <w:szCs w:val="21"/>
          <w:highlight w:val="none"/>
        </w:rPr>
        <w:t>章）</w:t>
      </w:r>
      <w:r>
        <w:rPr>
          <w:rFonts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名称：</w:t>
      </w:r>
      <w:r>
        <w:rPr>
          <w:rFonts w:hint="eastAsia" w:ascii="宋体" w:hAnsi="宋体"/>
          <w:color w:val="auto"/>
          <w:sz w:val="21"/>
          <w:szCs w:val="21"/>
          <w:highlight w:val="none"/>
        </w:rPr>
        <w:t>宁波市公安局交通</w:t>
      </w:r>
      <w:r>
        <w:rPr>
          <w:rFonts w:hint="eastAsia" w:ascii="宋体" w:hAnsi="宋体"/>
          <w:color w:val="auto"/>
          <w:sz w:val="21"/>
          <w:szCs w:val="21"/>
          <w:highlight w:val="none"/>
          <w:lang w:val="en-US" w:eastAsia="zh-CN"/>
        </w:rPr>
        <w:t>管理支队</w:t>
      </w:r>
      <w:r>
        <w:rPr>
          <w:rFonts w:ascii="宋体" w:hAnsi="宋体" w:cs="仿宋"/>
          <w:color w:val="auto"/>
          <w:sz w:val="21"/>
          <w:szCs w:val="21"/>
          <w:highlight w:val="none"/>
        </w:rPr>
        <w:t xml:space="preserve">          </w:t>
      </w:r>
      <w:r>
        <w:rPr>
          <w:rFonts w:hint="eastAsia" w:ascii="宋体" w:hAnsi="宋体" w:cs="仿宋"/>
          <w:color w:val="auto"/>
          <w:sz w:val="21"/>
          <w:szCs w:val="21"/>
          <w:highlight w:val="none"/>
        </w:rPr>
        <w:t xml:space="preserve">          </w:t>
      </w:r>
      <w:r>
        <w:rPr>
          <w:rFonts w:ascii="宋体" w:hAnsi="宋体"/>
          <w:color w:val="auto"/>
          <w:sz w:val="21"/>
          <w:szCs w:val="21"/>
          <w:highlight w:val="none"/>
        </w:rPr>
        <w:t>名称：</w:t>
      </w:r>
      <w:r>
        <w:rPr>
          <w:rFonts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代表签字：</w:t>
      </w:r>
      <w:r>
        <w:rPr>
          <w:rFonts w:ascii="宋体" w:hAnsi="宋体" w:cs="仿宋"/>
          <w:color w:val="auto"/>
          <w:sz w:val="21"/>
          <w:szCs w:val="21"/>
          <w:highlight w:val="none"/>
        </w:rPr>
        <w:t xml:space="preserve">                                     </w:t>
      </w:r>
      <w:r>
        <w:rPr>
          <w:rFonts w:ascii="宋体" w:hAnsi="宋体"/>
          <w:color w:val="auto"/>
          <w:sz w:val="21"/>
          <w:szCs w:val="21"/>
          <w:highlight w:val="none"/>
        </w:rPr>
        <w:t>代表签字：</w:t>
      </w:r>
      <w:r>
        <w:rPr>
          <w:rFonts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联系电话：</w:t>
      </w:r>
      <w:r>
        <w:rPr>
          <w:rFonts w:ascii="宋体" w:hAnsi="宋体" w:cs="仿宋"/>
          <w:color w:val="auto"/>
          <w:sz w:val="21"/>
          <w:szCs w:val="21"/>
          <w:highlight w:val="none"/>
        </w:rPr>
        <w:t xml:space="preserve">                                     </w:t>
      </w:r>
      <w:r>
        <w:rPr>
          <w:rFonts w:ascii="宋体" w:hAnsi="宋体"/>
          <w:color w:val="auto"/>
          <w:sz w:val="21"/>
          <w:szCs w:val="21"/>
          <w:highlight w:val="none"/>
        </w:rPr>
        <w:t>联系电话：</w:t>
      </w:r>
      <w:r>
        <w:rPr>
          <w:rFonts w:ascii="宋体" w:hAnsi="宋体" w:cs="仿宋"/>
          <w:color w:val="auto"/>
          <w:sz w:val="21"/>
          <w:szCs w:val="21"/>
          <w:highlight w:val="none"/>
        </w:rPr>
        <w:t xml:space="preserve">                    </w:t>
      </w:r>
    </w:p>
    <w:p>
      <w:pPr>
        <w:spacing w:line="360" w:lineRule="auto"/>
        <w:rPr>
          <w:rFonts w:hint="eastAsia" w:ascii="宋体" w:hAnsi="宋体" w:cs="仿宋"/>
          <w:color w:val="auto"/>
          <w:sz w:val="21"/>
          <w:szCs w:val="21"/>
          <w:highlight w:val="none"/>
        </w:rPr>
      </w:pPr>
      <w:r>
        <w:rPr>
          <w:rFonts w:ascii="宋体" w:hAnsi="宋体"/>
          <w:color w:val="auto"/>
          <w:sz w:val="21"/>
          <w:szCs w:val="21"/>
          <w:highlight w:val="none"/>
        </w:rPr>
        <w:t>日</w:t>
      </w:r>
      <w:r>
        <w:rPr>
          <w:rFonts w:ascii="宋体" w:hAnsi="宋体" w:cs="仿宋"/>
          <w:color w:val="auto"/>
          <w:sz w:val="21"/>
          <w:szCs w:val="21"/>
          <w:highlight w:val="none"/>
        </w:rPr>
        <w:t xml:space="preserve">    </w:t>
      </w:r>
      <w:r>
        <w:rPr>
          <w:rFonts w:ascii="宋体" w:hAnsi="宋体"/>
          <w:color w:val="auto"/>
          <w:sz w:val="21"/>
          <w:szCs w:val="21"/>
          <w:highlight w:val="none"/>
        </w:rPr>
        <w:t>期：</w:t>
      </w:r>
      <w:r>
        <w:rPr>
          <w:rFonts w:ascii="宋体" w:hAnsi="宋体" w:cs="仿宋"/>
          <w:color w:val="auto"/>
          <w:sz w:val="21"/>
          <w:szCs w:val="21"/>
          <w:highlight w:val="none"/>
        </w:rPr>
        <w:t xml:space="preserve">    </w:t>
      </w:r>
      <w:r>
        <w:rPr>
          <w:rFonts w:ascii="宋体" w:hAnsi="宋体"/>
          <w:color w:val="auto"/>
          <w:sz w:val="21"/>
          <w:szCs w:val="21"/>
          <w:highlight w:val="none"/>
        </w:rPr>
        <w:t>年</w:t>
      </w:r>
      <w:r>
        <w:rPr>
          <w:rFonts w:ascii="宋体" w:hAnsi="宋体" w:cs="仿宋"/>
          <w:color w:val="auto"/>
          <w:sz w:val="21"/>
          <w:szCs w:val="21"/>
          <w:highlight w:val="none"/>
        </w:rPr>
        <w:t xml:space="preserve">    </w:t>
      </w:r>
      <w:r>
        <w:rPr>
          <w:rFonts w:ascii="宋体" w:hAnsi="宋体"/>
          <w:color w:val="auto"/>
          <w:sz w:val="21"/>
          <w:szCs w:val="21"/>
          <w:highlight w:val="none"/>
        </w:rPr>
        <w:t>月</w:t>
      </w:r>
      <w:r>
        <w:rPr>
          <w:rFonts w:ascii="宋体" w:hAnsi="宋体" w:cs="仿宋"/>
          <w:color w:val="auto"/>
          <w:sz w:val="21"/>
          <w:szCs w:val="21"/>
          <w:highlight w:val="none"/>
        </w:rPr>
        <w:t xml:space="preserve">    </w:t>
      </w:r>
      <w:r>
        <w:rPr>
          <w:rFonts w:ascii="宋体" w:hAnsi="宋体"/>
          <w:color w:val="auto"/>
          <w:sz w:val="21"/>
          <w:szCs w:val="21"/>
          <w:highlight w:val="none"/>
        </w:rPr>
        <w:t>日</w:t>
      </w:r>
      <w:r>
        <w:rPr>
          <w:rFonts w:ascii="宋体" w:hAnsi="宋体" w:cs="仿宋"/>
          <w:color w:val="auto"/>
          <w:sz w:val="21"/>
          <w:szCs w:val="21"/>
          <w:highlight w:val="none"/>
        </w:rPr>
        <w:t xml:space="preserve">             </w:t>
      </w:r>
      <w:r>
        <w:rPr>
          <w:rFonts w:hint="eastAsia" w:ascii="宋体" w:hAnsi="宋体" w:cs="仿宋"/>
          <w:color w:val="auto"/>
          <w:sz w:val="21"/>
          <w:szCs w:val="21"/>
          <w:highlight w:val="none"/>
        </w:rPr>
        <w:t xml:space="preserve">   </w:t>
      </w:r>
      <w:r>
        <w:rPr>
          <w:rFonts w:ascii="宋体" w:hAnsi="宋体" w:cs="仿宋"/>
          <w:color w:val="auto"/>
          <w:sz w:val="21"/>
          <w:szCs w:val="21"/>
          <w:highlight w:val="none"/>
        </w:rPr>
        <w:t xml:space="preserve">   </w:t>
      </w:r>
      <w:r>
        <w:rPr>
          <w:rFonts w:ascii="宋体" w:hAnsi="宋体"/>
          <w:color w:val="auto"/>
          <w:sz w:val="21"/>
          <w:szCs w:val="21"/>
          <w:highlight w:val="none"/>
        </w:rPr>
        <w:t>日</w:t>
      </w:r>
      <w:r>
        <w:rPr>
          <w:rFonts w:ascii="宋体" w:hAnsi="宋体" w:cs="仿宋"/>
          <w:color w:val="auto"/>
          <w:sz w:val="21"/>
          <w:szCs w:val="21"/>
          <w:highlight w:val="none"/>
        </w:rPr>
        <w:t xml:space="preserve">    </w:t>
      </w:r>
      <w:r>
        <w:rPr>
          <w:rFonts w:ascii="宋体" w:hAnsi="宋体"/>
          <w:color w:val="auto"/>
          <w:sz w:val="21"/>
          <w:szCs w:val="21"/>
          <w:highlight w:val="none"/>
        </w:rPr>
        <w:t>期：</w:t>
      </w:r>
      <w:r>
        <w:rPr>
          <w:rFonts w:ascii="宋体" w:hAnsi="宋体" w:cs="仿宋"/>
          <w:color w:val="auto"/>
          <w:sz w:val="21"/>
          <w:szCs w:val="21"/>
          <w:highlight w:val="none"/>
        </w:rPr>
        <w:t xml:space="preserve">       </w:t>
      </w:r>
      <w:r>
        <w:rPr>
          <w:rFonts w:ascii="宋体" w:hAnsi="宋体"/>
          <w:color w:val="auto"/>
          <w:sz w:val="21"/>
          <w:szCs w:val="21"/>
          <w:highlight w:val="none"/>
        </w:rPr>
        <w:t>年</w:t>
      </w:r>
      <w:r>
        <w:rPr>
          <w:rFonts w:ascii="宋体" w:hAnsi="宋体" w:cs="仿宋"/>
          <w:color w:val="auto"/>
          <w:sz w:val="21"/>
          <w:szCs w:val="21"/>
          <w:highlight w:val="none"/>
        </w:rPr>
        <w:t xml:space="preserve">    </w:t>
      </w:r>
      <w:r>
        <w:rPr>
          <w:rFonts w:ascii="宋体" w:hAnsi="宋体"/>
          <w:color w:val="auto"/>
          <w:sz w:val="21"/>
          <w:szCs w:val="21"/>
          <w:highlight w:val="none"/>
        </w:rPr>
        <w:t>月</w:t>
      </w:r>
      <w:r>
        <w:rPr>
          <w:rFonts w:ascii="宋体" w:hAnsi="宋体" w:cs="仿宋"/>
          <w:color w:val="auto"/>
          <w:sz w:val="21"/>
          <w:szCs w:val="21"/>
          <w:highlight w:val="none"/>
        </w:rPr>
        <w:t xml:space="preserve">    </w:t>
      </w:r>
      <w:r>
        <w:rPr>
          <w:rFonts w:hint="eastAsia" w:ascii="宋体" w:hAnsi="宋体" w:cs="宋体"/>
          <w:color w:val="auto"/>
          <w:sz w:val="21"/>
          <w:szCs w:val="21"/>
          <w:highlight w:val="none"/>
        </w:rPr>
        <w:t>日</w:t>
      </w:r>
    </w:p>
    <w:p>
      <w:pPr>
        <w:widowControl/>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p>
    <w:bookmarkEnd w:id="119"/>
    <w:p>
      <w:pPr>
        <w:pStyle w:val="3"/>
        <w:spacing w:beforeLines="0" w:afterLines="0" w:line="360" w:lineRule="auto"/>
        <w:rPr>
          <w:rFonts w:ascii="宋体"/>
          <w:color w:val="000000" w:themeColor="text1"/>
          <w:sz w:val="32"/>
          <w:szCs w:val="32"/>
          <w14:textFill>
            <w14:solidFill>
              <w14:schemeClr w14:val="tx1"/>
            </w14:solidFill>
          </w14:textFill>
        </w:rPr>
      </w:pPr>
      <w:bookmarkStart w:id="120" w:name="_Toc141797685"/>
      <w:r>
        <w:rPr>
          <w:rFonts w:hint="eastAsia" w:ascii="宋体" w:hAnsi="宋体" w:cs="宋体"/>
          <w:color w:val="000000" w:themeColor="text1"/>
          <w:sz w:val="32"/>
          <w:szCs w:val="32"/>
          <w14:textFill>
            <w14:solidFill>
              <w14:schemeClr w14:val="tx1"/>
            </w14:solidFill>
          </w14:textFill>
        </w:rPr>
        <w:t>第六部分 评标办法</w:t>
      </w:r>
      <w:bookmarkEnd w:id="120"/>
    </w:p>
    <w:p>
      <w:pPr>
        <w:rPr>
          <w:color w:val="000000" w:themeColor="text1"/>
          <w14:textFill>
            <w14:solidFill>
              <w14:schemeClr w14:val="tx1"/>
            </w14:solidFill>
          </w14:textFill>
        </w:rPr>
      </w:pPr>
    </w:p>
    <w:p>
      <w:pPr>
        <w:tabs>
          <w:tab w:val="left" w:pos="0"/>
          <w:tab w:val="left" w:pos="723"/>
        </w:tabs>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一、总则：</w:t>
      </w:r>
    </w:p>
    <w:p>
      <w:pPr>
        <w:tabs>
          <w:tab w:val="left" w:pos="0"/>
          <w:tab w:val="left" w:pos="723"/>
        </w:tabs>
        <w:spacing w:line="360" w:lineRule="exact"/>
        <w:rPr>
          <w:rFonts w:ascii="宋体"/>
          <w:b/>
          <w:bCs/>
          <w:color w:val="000000" w:themeColor="text1"/>
          <w14:textFill>
            <w14:solidFill>
              <w14:schemeClr w14:val="tx1"/>
            </w14:solidFill>
          </w14:textFill>
        </w:rPr>
      </w:pPr>
    </w:p>
    <w:p>
      <w:pPr>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w:t>
      </w:r>
      <w:r>
        <w:rPr>
          <w:rFonts w:hint="eastAsia" w:cs="宋体" w:asciiTheme="majorEastAsia" w:hAnsiTheme="majorEastAsia" w:eastAsiaTheme="majorEastAsia"/>
          <w:color w:val="000000" w:themeColor="text1"/>
          <w14:textFill>
            <w14:solidFill>
              <w14:schemeClr w14:val="tx1"/>
            </w14:solidFill>
          </w14:textFill>
        </w:rPr>
        <w:t>、本办法严格遵照《中华人民共和国政府采购法》《中华人民共和国政府采购法实施条例》、《政府采购货物和服务招标投标管理办法》（</w:t>
      </w:r>
      <w:r>
        <w:rPr>
          <w:rFonts w:cs="宋体" w:asciiTheme="majorEastAsia" w:hAnsiTheme="majorEastAsia" w:eastAsiaTheme="majorEastAsia"/>
          <w:color w:val="000000" w:themeColor="text1"/>
          <w14:textFill>
            <w14:solidFill>
              <w14:schemeClr w14:val="tx1"/>
            </w14:solidFill>
          </w14:textFill>
        </w:rPr>
        <w:t>87</w:t>
      </w:r>
      <w:r>
        <w:rPr>
          <w:rFonts w:hint="eastAsia" w:cs="宋体" w:asciiTheme="majorEastAsia" w:hAnsiTheme="majorEastAsia" w:eastAsiaTheme="majorEastAsia"/>
          <w:color w:val="000000" w:themeColor="text1"/>
          <w14:textFill>
            <w14:solidFill>
              <w14:schemeClr w14:val="tx1"/>
            </w14:solidFill>
          </w14:textFill>
        </w:rPr>
        <w:t>号令），结合项目所在地有关政府采购的规定和项目的实际情况制定。本评标标准是对“投标人须知”相关条款的具体表述或补充，如有矛盾，应以本办法为准。</w:t>
      </w:r>
    </w:p>
    <w:p>
      <w:pPr>
        <w:spacing w:line="360" w:lineRule="auto"/>
        <w:ind w:firstLine="420" w:firstLineChars="200"/>
        <w:rPr>
          <w:rFonts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2</w:t>
      </w:r>
      <w:r>
        <w:rPr>
          <w:rFonts w:hint="eastAsia" w:cs="宋体" w:asciiTheme="majorEastAsia" w:hAnsiTheme="majorEastAsia" w:eastAsiaTheme="majorEastAsia"/>
          <w:color w:val="000000" w:themeColor="text1"/>
          <w14:textFill>
            <w14:solidFill>
              <w14:schemeClr w14:val="tx1"/>
            </w14:solidFill>
          </w14:textFill>
        </w:rPr>
        <w:t>、本项目评标采用综合评分法。</w:t>
      </w:r>
    </w:p>
    <w:p>
      <w:pPr>
        <w:spacing w:line="360" w:lineRule="auto"/>
        <w:ind w:firstLine="420" w:firstLineChars="200"/>
        <w:rPr>
          <w:rFonts w:hint="eastAsia" w:eastAsia="宋体" w:cs="宋体" w:asciiTheme="majorEastAsia" w:hAnsiTheme="majorEastAsia"/>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3、本次采购为</w:t>
      </w:r>
      <w:r>
        <w:rPr>
          <w:rFonts w:hint="eastAsia" w:ascii="宋体" w:hAnsi="宋体" w:cs="宋体"/>
          <w:color w:val="000000" w:themeColor="text1"/>
          <w:lang w:val="en-US" w:eastAsia="zh-CN"/>
          <w14:textFill>
            <w14:solidFill>
              <w14:schemeClr w14:val="tx1"/>
            </w14:solidFill>
          </w14:textFill>
        </w:rPr>
        <w:t>非</w:t>
      </w:r>
      <w:r>
        <w:rPr>
          <w:rFonts w:hint="eastAsia" w:ascii="宋体" w:hAnsi="宋体" w:cs="宋体"/>
        </w:rPr>
        <w:t>专门面向中小企业</w:t>
      </w:r>
      <w:r>
        <w:rPr>
          <w:rFonts w:hint="eastAsia" w:ascii="宋体" w:hAnsi="宋体" w:cs="宋体"/>
          <w:lang w:eastAsia="zh-CN"/>
        </w:rPr>
        <w:t>，本次评标将对《中小企业声明函》满足招标文件要求的小微企业的价格按本办法中规定的比例进行扣除，用扣除后的价格参与评审。价格扣除只用于评审过程，如中标，中标价格仍按照其投标价格进行公示。</w:t>
      </w:r>
    </w:p>
    <w:p>
      <w:pPr>
        <w:widowControl/>
        <w:tabs>
          <w:tab w:val="left" w:pos="0"/>
          <w:tab w:val="left" w:pos="723"/>
        </w:tabs>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二、评标组织</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三、评标程序</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审查类别</w:t>
            </w:r>
          </w:p>
        </w:tc>
        <w:tc>
          <w:tcPr>
            <w:tcW w:w="7192"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资格条件审查</w:t>
            </w:r>
          </w:p>
        </w:tc>
        <w:tc>
          <w:tcPr>
            <w:tcW w:w="7192" w:type="dxa"/>
          </w:tcPr>
          <w:p>
            <w:pPr>
              <w:keepNext w:val="0"/>
              <w:keepLines w:val="0"/>
              <w:pageBreakBefore w:val="0"/>
              <w:widowControl/>
              <w:numPr>
                <w:ilvl w:val="0"/>
                <w:numId w:val="16"/>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14:textFill>
                  <w14:solidFill>
                    <w14:schemeClr w14:val="tx1"/>
                  </w14:solidFill>
                </w14:textFill>
              </w:rPr>
            </w:pPr>
            <w:bookmarkStart w:id="121" w:name="OLE_LINK7"/>
            <w:r>
              <w:rPr>
                <w:rFonts w:hint="eastAsia" w:ascii="宋体" w:hAnsi="宋体" w:cs="宋体"/>
                <w:color w:val="000000" w:themeColor="text1"/>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000000" w:themeColor="text1"/>
                <w14:textFill>
                  <w14:solidFill>
                    <w14:schemeClr w14:val="tx1"/>
                  </w14:solidFill>
                </w14:textFill>
              </w:rPr>
              <w:t>参加政府采购活动应当具备的一般条件的承诺函。</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14:textFill>
                  <w14:solidFill>
                    <w14:schemeClr w14:val="tx1"/>
                  </w14:solidFill>
                </w14:textFill>
              </w:rPr>
            </w:pPr>
          </w:p>
        </w:tc>
        <w:tc>
          <w:tcPr>
            <w:tcW w:w="7192" w:type="dxa"/>
          </w:tcPr>
          <w:p>
            <w:pPr>
              <w:keepNext w:val="0"/>
              <w:keepLines w:val="0"/>
              <w:pageBreakBefore w:val="0"/>
              <w:widowControl/>
              <w:numPr>
                <w:ilvl w:val="0"/>
                <w:numId w:val="16"/>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14:textFill>
                  <w14:solidFill>
                    <w14:schemeClr w14:val="tx1"/>
                  </w14:solidFill>
                </w14:textFill>
              </w:rPr>
            </w:pPr>
          </w:p>
        </w:tc>
        <w:tc>
          <w:tcPr>
            <w:tcW w:w="7192" w:type="dxa"/>
          </w:tcPr>
          <w:p>
            <w:pPr>
              <w:keepNext w:val="0"/>
              <w:keepLines w:val="0"/>
              <w:pageBreakBefore w:val="0"/>
              <w:widowControl/>
              <w:numPr>
                <w:ilvl w:val="0"/>
                <w:numId w:val="16"/>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落实政府采购政策需满足的资格要求：</w:t>
            </w:r>
            <w:r>
              <w:rPr>
                <w:rFonts w:hint="eastAsia" w:ascii="宋体" w:hAnsi="宋体" w:cs="宋体"/>
                <w:color w:val="000000" w:themeColor="text1"/>
                <w:lang w:val="en-US" w:eastAsia="zh-CN"/>
                <w14:textFill>
                  <w14:solidFill>
                    <w14:schemeClr w14:val="tx1"/>
                  </w14:solidFill>
                </w14:textFill>
              </w:rPr>
              <w:t>无</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14:textFill>
                  <w14:solidFill>
                    <w14:schemeClr w14:val="tx1"/>
                  </w14:solidFill>
                </w14:textFill>
              </w:rPr>
            </w:pPr>
          </w:p>
        </w:tc>
        <w:tc>
          <w:tcPr>
            <w:tcW w:w="7192"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（四）特定资格条件：</w:t>
            </w:r>
            <w:r>
              <w:rPr>
                <w:rFonts w:hint="eastAsia" w:ascii="宋体" w:hAnsi="宋体" w:cs="宋体"/>
                <w:iCs/>
                <w:color w:val="000000" w:themeColor="text1"/>
                <w14:textFill>
                  <w14:solidFill>
                    <w14:schemeClr w14:val="tx1"/>
                  </w14:solidFill>
                </w14:textFill>
              </w:rPr>
              <w:t>无</w:t>
            </w:r>
          </w:p>
        </w:tc>
      </w:tr>
    </w:tbl>
    <w:p>
      <w:pPr>
        <w:spacing w:line="360" w:lineRule="auto"/>
        <w:rPr>
          <w:rFonts w:ascii="宋体" w:hAnsi="宋体"/>
          <w:color w:val="000000" w:themeColor="text1"/>
          <w14:textFill>
            <w14:solidFill>
              <w14:schemeClr w14:val="tx1"/>
            </w14:solidFill>
          </w14:textFill>
        </w:rPr>
      </w:pPr>
    </w:p>
    <w:p>
      <w:pPr>
        <w:numPr>
          <w:ilvl w:val="0"/>
          <w:numId w:val="17"/>
        </w:numPr>
        <w:spacing w:line="360" w:lineRule="auto"/>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符合性检查：</w:t>
      </w:r>
      <w:r>
        <w:rPr>
          <w:rFonts w:hint="eastAsia" w:ascii="宋体" w:hAnsi="宋体" w:cs="宋体"/>
          <w:color w:val="000000" w:themeColor="text1"/>
          <w:kern w:val="0"/>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审查类别</w:t>
            </w:r>
          </w:p>
        </w:tc>
        <w:tc>
          <w:tcPr>
            <w:tcW w:w="7174" w:type="dxa"/>
            <w:vAlign w:val="center"/>
          </w:tcPr>
          <w:p>
            <w:pPr>
              <w:spacing w:line="336"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符合性审查</w:t>
            </w:r>
          </w:p>
          <w:p>
            <w:pPr>
              <w:spacing w:line="336"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（商务技术文件）</w:t>
            </w: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符合性审查</w:t>
            </w:r>
          </w:p>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（报价文件）</w:t>
            </w: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14:textFill>
                  <w14:solidFill>
                    <w14:schemeClr w14:val="tx1"/>
                  </w14:solidFill>
                </w14:textFill>
              </w:rPr>
            </w:pPr>
          </w:p>
        </w:tc>
        <w:tc>
          <w:tcPr>
            <w:tcW w:w="7174" w:type="dxa"/>
            <w:vAlign w:val="center"/>
          </w:tcPr>
          <w:p>
            <w:pPr>
              <w:spacing w:line="336"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（十）不存在法律、法规和招标文件规定的其他无效情形；</w:t>
            </w:r>
          </w:p>
        </w:tc>
      </w:tr>
    </w:tbl>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4．最终得分及排序：</w:t>
      </w:r>
      <w:r>
        <w:rPr>
          <w:rFonts w:hint="eastAsia" w:ascii="宋体" w:hAnsi="宋体" w:cs="宋体"/>
          <w:color w:val="000000" w:themeColor="text1"/>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14:textFill>
            <w14:solidFill>
              <w14:schemeClr w14:val="tx1"/>
            </w14:solidFill>
          </w14:textFill>
        </w:rPr>
        <w:t>评标结果按评审后得分由高到低顺序排列。得分相同的，按投标报价由低到高顺序排列。得分且投标报价相同的并列。</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5．推荐中标候选人原则：</w:t>
      </w:r>
      <w:r>
        <w:rPr>
          <w:rFonts w:hint="eastAsia" w:ascii="宋体" w:hAnsi="宋体" w:cs="宋体"/>
          <w:color w:val="000000" w:themeColor="text1"/>
          <w:kern w:val="0"/>
          <w14:textFill>
            <w14:solidFill>
              <w14:schemeClr w14:val="tx1"/>
            </w14:solidFill>
          </w14:textFill>
        </w:rPr>
        <w:t>投标文件满足招标文件全部实质性要求，且按照评审因素的量化指标评审得分最高的投标人为排名第一的中标候选人。</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color w:val="000000" w:themeColor="text1"/>
          <w14:textFill>
            <w14:solidFill>
              <w14:schemeClr w14:val="tx1"/>
            </w14:solidFill>
          </w14:textFill>
        </w:rPr>
      </w:pPr>
    </w:p>
    <w:p>
      <w:pPr>
        <w:widowControl/>
        <w:tabs>
          <w:tab w:val="left" w:pos="0"/>
          <w:tab w:val="left" w:pos="723"/>
        </w:tabs>
        <w:spacing w:line="360" w:lineRule="auto"/>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四、澄清问题的形式</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color w:val="000000" w:themeColor="text1"/>
          <w14:textFill>
            <w14:solidFill>
              <w14:schemeClr w14:val="tx1"/>
            </w14:solidFill>
          </w14:textFill>
        </w:rPr>
      </w:pPr>
    </w:p>
    <w:p>
      <w:pPr>
        <w:widowControl/>
        <w:tabs>
          <w:tab w:val="left" w:pos="0"/>
          <w:tab w:val="left" w:pos="723"/>
        </w:tabs>
        <w:spacing w:line="360" w:lineRule="auto"/>
        <w:jc w:val="lef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五</w:t>
      </w:r>
      <w:r>
        <w:rPr>
          <w:rFonts w:hint="eastAsia" w:ascii="宋体" w:hAnsi="宋体"/>
          <w:b/>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错误修正</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投标文件报价出现前后不一致的，按照下列规定修正：</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1.投标文件中开标一览表内容与投标文件中相应内容不一致的，以开标一览表为准；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2.大写金额和小写金额不一致的，以大写金额为准；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3.单价金额小数点或者百分比有明显错位的，以开标一览表的总价为准，并修改单价；</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pPr>
        <w:adjustRightInd w:val="0"/>
        <w:snapToGrid w:val="0"/>
        <w:spacing w:line="430" w:lineRule="exact"/>
        <w:rPr>
          <w:rFonts w:ascii="宋体" w:hAnsi="宋体"/>
          <w:b/>
          <w:color w:val="000000" w:themeColor="text1"/>
          <w:sz w:val="28"/>
          <w:szCs w:val="28"/>
          <w14:textFill>
            <w14:solidFill>
              <w14:schemeClr w14:val="tx1"/>
            </w14:solidFill>
          </w14:textFill>
        </w:rPr>
        <w:sectPr>
          <w:headerReference r:id="rId11" w:type="default"/>
          <w:type w:val="continuous"/>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numPr>
          <w:ilvl w:val="0"/>
          <w:numId w:val="18"/>
        </w:numPr>
        <w:spacing w:line="360" w:lineRule="auto"/>
        <w:rPr>
          <w:rFonts w:ascii="宋体" w:hAnsi="宋体" w:cs="宋体"/>
          <w:b/>
          <w:bCs/>
          <w:color w:val="000000" w:themeColor="text1"/>
          <w:sz w:val="24"/>
          <w:szCs w:val="24"/>
          <w14:textFill>
            <w14:solidFill>
              <w14:schemeClr w14:val="tx1"/>
            </w14:solidFill>
          </w14:textFill>
        </w:rPr>
      </w:pPr>
      <w:bookmarkStart w:id="122" w:name="_Toc298230960"/>
      <w:r>
        <w:rPr>
          <w:rFonts w:hint="eastAsia" w:ascii="宋体" w:hAnsi="宋体" w:cs="宋体"/>
          <w:b/>
          <w:bCs/>
          <w:color w:val="000000" w:themeColor="text1"/>
          <w:sz w:val="24"/>
          <w:szCs w:val="24"/>
          <w14:textFill>
            <w14:solidFill>
              <w14:schemeClr w14:val="tx1"/>
            </w14:solidFill>
          </w14:textFill>
        </w:rPr>
        <w:t>评分标准（兼评委打分表）</w:t>
      </w:r>
    </w:p>
    <w:tbl>
      <w:tblPr>
        <w:tblStyle w:val="38"/>
        <w:tblW w:w="969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30"/>
        <w:gridCol w:w="706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trPr>
        <w:tc>
          <w:tcPr>
            <w:tcW w:w="805" w:type="dxa"/>
            <w:noWrap w:val="0"/>
            <w:vAlign w:val="center"/>
          </w:tcPr>
          <w:p>
            <w:pPr>
              <w:spacing w:line="288" w:lineRule="auto"/>
              <w:jc w:val="center"/>
              <w:rPr>
                <w:b/>
                <w:bCs/>
                <w:szCs w:val="21"/>
              </w:rPr>
            </w:pPr>
            <w:r>
              <w:rPr>
                <w:b/>
                <w:bCs/>
                <w:szCs w:val="21"/>
              </w:rPr>
              <w:t>评分因素</w:t>
            </w:r>
          </w:p>
        </w:tc>
        <w:tc>
          <w:tcPr>
            <w:tcW w:w="8192" w:type="dxa"/>
            <w:gridSpan w:val="2"/>
            <w:noWrap/>
            <w:vAlign w:val="center"/>
          </w:tcPr>
          <w:p>
            <w:pPr>
              <w:spacing w:line="288" w:lineRule="auto"/>
              <w:jc w:val="center"/>
              <w:rPr>
                <w:b/>
                <w:bCs/>
                <w:szCs w:val="21"/>
              </w:rPr>
            </w:pPr>
            <w:r>
              <w:rPr>
                <w:b/>
                <w:bCs/>
                <w:szCs w:val="21"/>
              </w:rPr>
              <w:t>评分细则</w:t>
            </w:r>
          </w:p>
        </w:tc>
        <w:tc>
          <w:tcPr>
            <w:tcW w:w="702" w:type="dxa"/>
            <w:noWrap/>
            <w:vAlign w:val="center"/>
          </w:tcPr>
          <w:p>
            <w:pPr>
              <w:spacing w:line="288" w:lineRule="auto"/>
              <w:jc w:val="center"/>
              <w:rPr>
                <w:b/>
                <w:bCs/>
                <w:szCs w:val="21"/>
              </w:rPr>
            </w:pPr>
            <w:r>
              <w:rPr>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805" w:type="dxa"/>
            <w:vMerge w:val="restart"/>
            <w:noWrap w:val="0"/>
            <w:vAlign w:val="center"/>
          </w:tcPr>
          <w:p>
            <w:pPr>
              <w:spacing w:line="288" w:lineRule="auto"/>
              <w:jc w:val="center"/>
              <w:rPr>
                <w:szCs w:val="21"/>
              </w:rPr>
            </w:pPr>
            <w:r>
              <w:rPr>
                <w:szCs w:val="21"/>
              </w:rPr>
              <w:t>技术部分（</w:t>
            </w:r>
            <w:r>
              <w:rPr>
                <w:rFonts w:hint="eastAsia"/>
                <w:szCs w:val="21"/>
                <w:lang w:val="en-US" w:eastAsia="zh-CN"/>
              </w:rPr>
              <w:t>63</w:t>
            </w:r>
            <w:r>
              <w:rPr>
                <w:szCs w:val="21"/>
              </w:rPr>
              <w:t>分）</w:t>
            </w:r>
          </w:p>
        </w:tc>
        <w:tc>
          <w:tcPr>
            <w:tcW w:w="1130" w:type="dxa"/>
            <w:tcBorders>
              <w:right w:val="single" w:color="000000" w:sz="4" w:space="0"/>
            </w:tcBorders>
            <w:noWrap w:val="0"/>
            <w:vAlign w:val="center"/>
          </w:tcPr>
          <w:p>
            <w:pPr>
              <w:widowControl/>
              <w:spacing w:line="288" w:lineRule="auto"/>
              <w:jc w:val="center"/>
              <w:rPr>
                <w:szCs w:val="21"/>
              </w:rPr>
            </w:pPr>
            <w:bookmarkStart w:id="123" w:name="OLE_LINK8"/>
            <w:r>
              <w:rPr>
                <w:rFonts w:hint="eastAsia"/>
                <w:szCs w:val="21"/>
              </w:rPr>
              <w:t>技术参数</w:t>
            </w:r>
            <w:bookmarkEnd w:id="123"/>
          </w:p>
        </w:tc>
        <w:tc>
          <w:tcPr>
            <w:tcW w:w="7062" w:type="dxa"/>
            <w:tcBorders>
              <w:left w:val="single" w:color="000000" w:sz="4" w:space="0"/>
            </w:tcBorders>
            <w:noWrap w:val="0"/>
            <w:vAlign w:val="center"/>
          </w:tcPr>
          <w:p>
            <w:pPr>
              <w:widowControl/>
              <w:spacing w:line="288" w:lineRule="auto"/>
              <w:rPr>
                <w:rFonts w:ascii="宋体" w:hAnsi="宋体" w:cs="宋体"/>
                <w:szCs w:val="21"/>
                <w:highlight w:val="none"/>
              </w:rPr>
            </w:pPr>
            <w:bookmarkStart w:id="124" w:name="OLE_LINK14"/>
            <w:r>
              <w:rPr>
                <w:rFonts w:hint="eastAsia" w:ascii="宋体" w:hAnsi="宋体" w:cs="宋体"/>
                <w:szCs w:val="21"/>
                <w:highlight w:val="none"/>
              </w:rPr>
              <w:t>投标人的投标产品完全满足招标文件中的项目需求中的所有技术参数需求的得25分，每负偏离一条带“★”的技术参数，作无效标处理；每负偏离一条带“ ▲ ”的技术参数，扣</w:t>
            </w:r>
            <w:r>
              <w:rPr>
                <w:rFonts w:hint="eastAsia" w:ascii="宋体" w:hAnsi="宋体" w:cs="宋体"/>
                <w:szCs w:val="21"/>
                <w:highlight w:val="none"/>
                <w:lang w:val="en-US" w:eastAsia="zh-CN"/>
              </w:rPr>
              <w:t>1.5</w:t>
            </w:r>
            <w:r>
              <w:rPr>
                <w:rFonts w:hint="eastAsia" w:ascii="宋体" w:hAnsi="宋体" w:cs="宋体"/>
                <w:szCs w:val="21"/>
                <w:highlight w:val="none"/>
              </w:rPr>
              <w:t>分；每负偏离一条未带“★”、“ ▲ ”的技术参数，扣</w:t>
            </w:r>
            <w:r>
              <w:rPr>
                <w:rFonts w:hint="eastAsia" w:ascii="宋体" w:hAnsi="宋体" w:cs="宋体"/>
                <w:szCs w:val="21"/>
                <w:highlight w:val="none"/>
                <w:lang w:val="en-US" w:eastAsia="zh-CN"/>
              </w:rPr>
              <w:t>1</w:t>
            </w:r>
            <w:r>
              <w:rPr>
                <w:rFonts w:hint="eastAsia" w:ascii="宋体" w:hAnsi="宋体" w:cs="宋体"/>
                <w:szCs w:val="21"/>
                <w:highlight w:val="none"/>
              </w:rPr>
              <w:t>分；</w:t>
            </w:r>
          </w:p>
          <w:p>
            <w:pPr>
              <w:pStyle w:val="153"/>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eastAsia="宋体"/>
                <w:highlight w:val="none"/>
                <w:lang w:val="en-US" w:eastAsia="zh-CN"/>
              </w:rPr>
            </w:pPr>
            <w:r>
              <w:rPr>
                <w:rFonts w:hint="eastAsia"/>
                <w:highlight w:val="none"/>
              </w:rPr>
              <w:t>备注：</w:t>
            </w:r>
            <w:r>
              <w:rPr>
                <w:rFonts w:hint="eastAsia"/>
                <w:highlight w:val="none"/>
                <w:lang w:val="en-US" w:eastAsia="zh-CN"/>
              </w:rPr>
              <w:t>1、</w:t>
            </w:r>
            <w:r>
              <w:rPr>
                <w:rFonts w:hint="eastAsia" w:ascii="宋体" w:hAnsi="宋体" w:eastAsia="宋体" w:cs="宋体"/>
                <w:i w:val="0"/>
                <w:iCs w:val="0"/>
                <w:color w:val="auto"/>
                <w:sz w:val="21"/>
                <w:szCs w:val="21"/>
                <w:highlight w:val="none"/>
              </w:rPr>
              <w:t>注：若</w:t>
            </w:r>
            <w:r>
              <w:rPr>
                <w:rFonts w:hint="eastAsia" w:ascii="宋体" w:hAnsi="宋体" w:eastAsia="宋体" w:cs="宋体"/>
                <w:i w:val="0"/>
                <w:iCs w:val="0"/>
                <w:color w:val="auto"/>
                <w:sz w:val="21"/>
                <w:szCs w:val="21"/>
                <w:highlight w:val="none"/>
                <w:lang w:val="en-US" w:eastAsia="zh-CN"/>
              </w:rPr>
              <w:t>投标人本项分数扣至0分时</w:t>
            </w:r>
            <w:r>
              <w:rPr>
                <w:rFonts w:hint="eastAsia" w:ascii="宋体" w:hAnsi="宋体" w:eastAsia="宋体" w:cs="宋体"/>
                <w:i w:val="0"/>
                <w:iCs w:val="0"/>
                <w:color w:val="auto"/>
                <w:sz w:val="21"/>
                <w:szCs w:val="21"/>
                <w:highlight w:val="none"/>
              </w:rPr>
              <w:t>，将作无效标处理。</w:t>
            </w:r>
          </w:p>
          <w:p>
            <w:pPr>
              <w:pStyle w:val="153"/>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default" w:eastAsia="宋体"/>
                <w:lang w:val="en-US" w:eastAsia="zh-CN"/>
              </w:rPr>
            </w:pPr>
            <w:r>
              <w:rPr>
                <w:rFonts w:hint="eastAsia"/>
                <w:highlight w:val="none"/>
                <w:lang w:val="en-US" w:eastAsia="zh-CN"/>
              </w:rPr>
              <w:t>2、标“</w:t>
            </w:r>
            <w:r>
              <w:rPr>
                <w:rFonts w:hint="eastAsia" w:ascii="宋体" w:hAnsi="宋体" w:cs="宋体"/>
                <w:szCs w:val="21"/>
                <w:highlight w:val="none"/>
              </w:rPr>
              <w:t>▲</w:t>
            </w:r>
            <w:r>
              <w:rPr>
                <w:rFonts w:hint="eastAsia"/>
                <w:highlight w:val="none"/>
                <w:lang w:val="en-US" w:eastAsia="zh-CN"/>
              </w:rPr>
              <w:t>”项参数，</w:t>
            </w:r>
            <w:r>
              <w:rPr>
                <w:rFonts w:hint="eastAsia"/>
                <w:highlight w:val="none"/>
              </w:rPr>
              <w:t>需提供第三方检测机构出具的检测报告复印件加盖投标人公章或者《道路机动车辆生产企业及产品信息查询系统》查询的《摩托车产品技术参数》公告页复印件加盖投标人公章，作为技术参数的符合要求的依据；未提供的，得</w:t>
            </w:r>
            <w:r>
              <w:rPr>
                <w:rFonts w:hint="eastAsia" w:ascii="宋体" w:hAnsi="宋体" w:eastAsia="宋体" w:cs="宋体"/>
                <w:color w:val="auto"/>
                <w:sz w:val="21"/>
                <w:szCs w:val="21"/>
                <w:lang w:val="en-US" w:eastAsia="zh-CN"/>
              </w:rPr>
              <w:t>0</w:t>
            </w:r>
            <w:r>
              <w:rPr>
                <w:rFonts w:hint="eastAsia"/>
                <w:highlight w:val="none"/>
              </w:rPr>
              <w:t>分</w:t>
            </w:r>
            <w:bookmarkEnd w:id="124"/>
          </w:p>
        </w:tc>
        <w:tc>
          <w:tcPr>
            <w:tcW w:w="702" w:type="dxa"/>
            <w:noWrap/>
            <w:vAlign w:val="center"/>
          </w:tcPr>
          <w:p>
            <w:pPr>
              <w:widowControl/>
              <w:spacing w:line="288" w:lineRule="auto"/>
              <w:jc w:val="center"/>
              <w:rPr>
                <w:rFonts w:hint="eastAsia" w:ascii="宋体" w:hAnsi="宋体" w:eastAsia="宋体" w:cs="宋体"/>
                <w:szCs w:val="21"/>
                <w:lang w:val="en-US" w:eastAsia="zh-CN"/>
              </w:rPr>
            </w:pPr>
            <w:r>
              <w:rPr>
                <w:rFonts w:hint="eastAsia" w:ascii="宋体" w:hAnsi="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jc w:val="center"/>
              <w:rPr>
                <w:szCs w:val="21"/>
              </w:rPr>
            </w:pPr>
            <w:r>
              <w:rPr>
                <w:rFonts w:hint="eastAsia"/>
                <w:szCs w:val="21"/>
              </w:rPr>
              <w:t>项目实施方案</w:t>
            </w:r>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bookmarkStart w:id="125" w:name="OLE_LINK15"/>
            <w:r>
              <w:rPr>
                <w:rFonts w:hint="eastAsia" w:ascii="宋体" w:hAnsi="宋体" w:cs="宋体"/>
                <w:szCs w:val="21"/>
                <w:lang w:val="en-US" w:eastAsia="zh-CN"/>
              </w:rPr>
              <w:t>根据</w:t>
            </w:r>
            <w:r>
              <w:rPr>
                <w:rFonts w:hint="eastAsia" w:ascii="宋体" w:hAnsi="宋体" w:cs="宋体"/>
                <w:szCs w:val="21"/>
                <w:lang w:eastAsia="zh-CN"/>
              </w:rPr>
              <w:t>投标人提供的</w:t>
            </w:r>
            <w:r>
              <w:rPr>
                <w:rFonts w:hint="eastAsia" w:ascii="宋体" w:hAnsi="宋体" w:cs="宋体"/>
                <w:szCs w:val="21"/>
              </w:rPr>
              <w:t>详细完整的项目实施方案</w:t>
            </w:r>
            <w:r>
              <w:rPr>
                <w:rFonts w:hint="eastAsia" w:ascii="宋体" w:hAnsi="宋体" w:cs="宋体"/>
                <w:szCs w:val="21"/>
                <w:lang w:eastAsia="zh-CN"/>
              </w:rPr>
              <w:t>（</w:t>
            </w:r>
            <w:r>
              <w:rPr>
                <w:rFonts w:hint="eastAsia" w:ascii="宋体" w:hAnsi="宋体" w:cs="宋体"/>
                <w:szCs w:val="21"/>
                <w:lang w:eastAsia="zh-CN" w:bidi="ar"/>
              </w:rPr>
              <w:t>包含但不限于</w:t>
            </w:r>
            <w:r>
              <w:rPr>
                <w:rFonts w:hint="eastAsia" w:ascii="宋体" w:hAnsi="宋体" w:cs="宋体"/>
                <w:szCs w:val="21"/>
              </w:rPr>
              <w:t>对项目货物</w:t>
            </w:r>
            <w:r>
              <w:rPr>
                <w:rFonts w:hint="eastAsia" w:ascii="宋体" w:hAnsi="宋体" w:cs="宋体"/>
                <w:szCs w:val="21"/>
                <w:lang w:eastAsia="zh-CN"/>
              </w:rPr>
              <w:t>的</w:t>
            </w:r>
            <w:r>
              <w:rPr>
                <w:rFonts w:hint="eastAsia" w:ascii="宋体" w:hAnsi="宋体" w:cs="宋体"/>
                <w:szCs w:val="21"/>
              </w:rPr>
              <w:t>质量</w:t>
            </w:r>
            <w:r>
              <w:rPr>
                <w:rFonts w:hint="eastAsia" w:ascii="宋体" w:hAnsi="宋体" w:cs="宋体"/>
                <w:szCs w:val="21"/>
                <w:lang w:val="en-US" w:eastAsia="zh-CN"/>
              </w:rPr>
              <w:t>保障</w:t>
            </w:r>
            <w:r>
              <w:rPr>
                <w:rFonts w:hint="eastAsia" w:ascii="宋体" w:hAnsi="宋体" w:cs="宋体"/>
                <w:szCs w:val="21"/>
              </w:rPr>
              <w:t>、</w:t>
            </w:r>
            <w:r>
              <w:rPr>
                <w:rFonts w:hint="eastAsia" w:ascii="宋体" w:hAnsi="宋体" w:cs="宋体"/>
                <w:szCs w:val="21"/>
                <w:lang w:eastAsia="zh-CN"/>
              </w:rPr>
              <w:t>进度控制方案</w:t>
            </w:r>
            <w:r>
              <w:rPr>
                <w:rFonts w:hint="eastAsia" w:ascii="宋体" w:hAnsi="宋体" w:cs="宋体"/>
                <w:szCs w:val="21"/>
              </w:rPr>
              <w:t>等</w:t>
            </w:r>
            <w:r>
              <w:rPr>
                <w:rFonts w:hint="eastAsia" w:ascii="宋体" w:hAnsi="宋体" w:cs="宋体"/>
                <w:szCs w:val="21"/>
                <w:lang w:eastAsia="zh-CN"/>
              </w:rPr>
              <w:t>）</w:t>
            </w:r>
            <w:r>
              <w:rPr>
                <w:rFonts w:hint="eastAsia" w:ascii="宋体" w:hAnsi="宋体" w:cs="宋体"/>
                <w:szCs w:val="21"/>
              </w:rPr>
              <w:t>进行</w:t>
            </w:r>
            <w:r>
              <w:rPr>
                <w:rFonts w:hint="eastAsia" w:ascii="宋体" w:hAnsi="宋体" w:cs="宋体"/>
                <w:szCs w:val="21"/>
                <w:lang w:eastAsia="zh-CN"/>
              </w:rPr>
              <w:t>评审</w:t>
            </w:r>
            <w:r>
              <w:rPr>
                <w:rFonts w:hint="eastAsia" w:ascii="宋体" w:hAnsi="宋体" w:cs="宋体"/>
                <w:szCs w:val="21"/>
              </w:rPr>
              <w:t>：</w:t>
            </w:r>
          </w:p>
          <w:p>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val="en-US" w:eastAsia="zh-CN"/>
              </w:rPr>
              <w:t>明确</w:t>
            </w:r>
            <w:r>
              <w:rPr>
                <w:rFonts w:hint="eastAsia" w:ascii="宋体" w:hAnsi="宋体" w:cs="宋体"/>
                <w:bCs/>
                <w:kern w:val="2"/>
                <w:sz w:val="21"/>
                <w:szCs w:val="21"/>
                <w:lang w:val="en-US" w:eastAsia="zh-CN" w:bidi="ar-SA"/>
              </w:rPr>
              <w:t>条理清晰</w:t>
            </w:r>
            <w:r>
              <w:rPr>
                <w:rFonts w:hint="eastAsia" w:ascii="宋体" w:hAnsi="宋体" w:cs="宋体"/>
                <w:szCs w:val="21"/>
              </w:rPr>
              <w:t>，阶段分明，</w:t>
            </w:r>
            <w:r>
              <w:rPr>
                <w:rFonts w:hint="eastAsia" w:ascii="宋体" w:hAnsi="宋体" w:cs="宋体"/>
                <w:bCs/>
                <w:kern w:val="2"/>
                <w:sz w:val="21"/>
                <w:szCs w:val="21"/>
                <w:lang w:val="en-US" w:eastAsia="zh-CN" w:bidi="ar-SA"/>
              </w:rPr>
              <w:t>质量保证方案描述详细清晰，进度计划节点安排详细，切实保障项目进度</w:t>
            </w:r>
            <w:r>
              <w:rPr>
                <w:rFonts w:hint="eastAsia" w:ascii="宋体" w:hAnsi="宋体" w:cs="宋体"/>
                <w:szCs w:val="21"/>
                <w:lang w:eastAsia="zh-CN" w:bidi="ar"/>
              </w:rPr>
              <w:t>，</w:t>
            </w:r>
            <w:r>
              <w:rPr>
                <w:rFonts w:hint="eastAsia" w:ascii="宋体" w:hAnsi="宋体" w:cs="宋体"/>
                <w:szCs w:val="21"/>
              </w:rPr>
              <w:t>符合或优于采购人实际需求的得</w:t>
            </w:r>
            <w:r>
              <w:rPr>
                <w:rFonts w:hint="eastAsia" w:ascii="宋体" w:hAnsi="宋体" w:cs="宋体"/>
                <w:szCs w:val="21"/>
                <w:lang w:val="en-US" w:eastAsia="zh-CN"/>
              </w:rPr>
              <w:t>6</w:t>
            </w:r>
            <w:r>
              <w:rPr>
                <w:rFonts w:hint="eastAsia" w:ascii="宋体" w:hAnsi="宋体" w:cs="宋体"/>
                <w:szCs w:val="21"/>
              </w:rPr>
              <w:t>分；</w:t>
            </w:r>
          </w:p>
          <w:p>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较</w:t>
            </w:r>
            <w:r>
              <w:rPr>
                <w:rFonts w:hint="eastAsia" w:ascii="宋体" w:hAnsi="宋体" w:cs="宋体"/>
                <w:szCs w:val="21"/>
              </w:rPr>
              <w:t>合理，阶段</w:t>
            </w:r>
            <w:r>
              <w:rPr>
                <w:rFonts w:hint="eastAsia" w:ascii="宋体" w:hAnsi="宋体" w:cs="宋体"/>
                <w:szCs w:val="21"/>
                <w:lang w:eastAsia="zh-CN"/>
              </w:rPr>
              <w:t>较</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质量保证方案描述较详细清晰，进度计划节点安排较合理，较能保障项目进度</w:t>
            </w:r>
            <w:r>
              <w:rPr>
                <w:rFonts w:hint="eastAsia" w:ascii="宋体" w:hAnsi="宋体" w:cs="宋体"/>
                <w:szCs w:val="21"/>
                <w:lang w:eastAsia="zh-CN" w:bidi="ar"/>
              </w:rPr>
              <w:t>，</w:t>
            </w:r>
            <w:r>
              <w:rPr>
                <w:rFonts w:hint="eastAsia" w:ascii="宋体" w:hAnsi="宋体" w:cs="宋体"/>
                <w:szCs w:val="21"/>
                <w:lang w:eastAsia="zh-CN"/>
              </w:rPr>
              <w:t>较符合</w:t>
            </w:r>
            <w:r>
              <w:rPr>
                <w:rFonts w:hint="eastAsia" w:ascii="宋体" w:hAnsi="宋体" w:cs="宋体"/>
                <w:szCs w:val="21"/>
              </w:rPr>
              <w:t>采购人实际需求的得</w:t>
            </w:r>
            <w:r>
              <w:rPr>
                <w:rFonts w:hint="eastAsia" w:ascii="宋体" w:hAnsi="宋体" w:cs="宋体"/>
                <w:szCs w:val="21"/>
                <w:lang w:val="en-US" w:eastAsia="zh-CN"/>
              </w:rPr>
              <w:t>4</w:t>
            </w:r>
            <w:r>
              <w:rPr>
                <w:rFonts w:hint="eastAsia" w:ascii="宋体" w:hAnsi="宋体" w:cs="宋体"/>
                <w:szCs w:val="21"/>
              </w:rPr>
              <w:t>分；</w:t>
            </w:r>
          </w:p>
          <w:p>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基本</w:t>
            </w:r>
            <w:r>
              <w:rPr>
                <w:rFonts w:hint="eastAsia" w:ascii="宋体" w:hAnsi="宋体" w:cs="宋体"/>
                <w:szCs w:val="21"/>
              </w:rPr>
              <w:t>合理，阶段</w:t>
            </w:r>
            <w:r>
              <w:rPr>
                <w:rFonts w:hint="eastAsia" w:ascii="宋体" w:hAnsi="宋体" w:cs="宋体"/>
                <w:szCs w:val="21"/>
                <w:lang w:eastAsia="zh-CN"/>
              </w:rPr>
              <w:t>基本</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质量保证方案描述基本清晰，进度计划节点安排基本合理，基本能保障项目进度</w:t>
            </w:r>
            <w:r>
              <w:rPr>
                <w:rFonts w:hint="eastAsia" w:ascii="宋体" w:hAnsi="宋体" w:cs="宋体"/>
                <w:szCs w:val="21"/>
                <w:lang w:eastAsia="zh-CN" w:bidi="ar"/>
              </w:rPr>
              <w:t>，</w:t>
            </w:r>
            <w:r>
              <w:rPr>
                <w:rFonts w:hint="eastAsia" w:ascii="宋体" w:hAnsi="宋体" w:cs="宋体"/>
                <w:szCs w:val="21"/>
                <w:lang w:eastAsia="zh-CN"/>
              </w:rPr>
              <w:t>基本符合</w:t>
            </w:r>
            <w:r>
              <w:rPr>
                <w:rFonts w:hint="eastAsia" w:ascii="宋体" w:hAnsi="宋体" w:cs="宋体"/>
                <w:szCs w:val="21"/>
              </w:rPr>
              <w:t>采购人实际需求的得</w:t>
            </w:r>
            <w:r>
              <w:rPr>
                <w:rFonts w:hint="eastAsia" w:ascii="宋体" w:hAnsi="宋体" w:cs="宋体"/>
                <w:szCs w:val="21"/>
                <w:lang w:val="en-US" w:eastAsia="zh-CN"/>
              </w:rPr>
              <w:t>2</w:t>
            </w:r>
            <w:r>
              <w:rPr>
                <w:rFonts w:hint="eastAsia" w:ascii="宋体" w:hAnsi="宋体" w:cs="宋体"/>
                <w:szCs w:val="21"/>
              </w:rPr>
              <w:t>分；</w:t>
            </w:r>
          </w:p>
          <w:p>
            <w:pPr>
              <w:widowControl/>
              <w:spacing w:line="288"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不</w:t>
            </w:r>
            <w:r>
              <w:rPr>
                <w:rFonts w:hint="eastAsia" w:ascii="宋体" w:hAnsi="宋体" w:cs="宋体"/>
                <w:szCs w:val="21"/>
              </w:rPr>
              <w:t>合理，阶段</w:t>
            </w:r>
            <w:r>
              <w:rPr>
                <w:rFonts w:hint="eastAsia" w:ascii="宋体" w:hAnsi="宋体" w:cs="宋体"/>
                <w:szCs w:val="21"/>
                <w:lang w:eastAsia="zh-CN"/>
              </w:rPr>
              <w:t>不</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质量保证方案描述不清晰，进度计划节点安排不合理，不能保障项目进度</w:t>
            </w:r>
            <w:r>
              <w:rPr>
                <w:rFonts w:hint="eastAsia" w:ascii="宋体" w:hAnsi="宋体" w:cs="宋体"/>
                <w:szCs w:val="21"/>
                <w:lang w:eastAsia="zh-CN" w:bidi="ar"/>
              </w:rPr>
              <w:t>，</w:t>
            </w:r>
            <w:r>
              <w:rPr>
                <w:rFonts w:hint="eastAsia" w:ascii="宋体" w:hAnsi="宋体" w:cs="宋体"/>
                <w:szCs w:val="21"/>
                <w:lang w:eastAsia="zh-CN"/>
              </w:rPr>
              <w:t>不符合</w:t>
            </w:r>
            <w:r>
              <w:rPr>
                <w:rFonts w:hint="eastAsia" w:ascii="宋体" w:hAnsi="宋体" w:cs="宋体"/>
                <w:szCs w:val="21"/>
              </w:rPr>
              <w:t>采购人实际需求</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未提供此项的得0分</w:t>
            </w:r>
            <w:r>
              <w:rPr>
                <w:rFonts w:hint="eastAsia" w:ascii="宋体" w:hAnsi="宋体" w:cs="宋体"/>
                <w:szCs w:val="21"/>
              </w:rPr>
              <w:t>。</w:t>
            </w:r>
            <w:bookmarkEnd w:id="125"/>
          </w:p>
        </w:tc>
        <w:tc>
          <w:tcPr>
            <w:tcW w:w="702" w:type="dxa"/>
            <w:noWrap/>
            <w:vAlign w:val="center"/>
          </w:tcPr>
          <w:p>
            <w:pPr>
              <w:widowControl/>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jc w:val="center"/>
              <w:rPr>
                <w:rFonts w:hint="eastAsia" w:eastAsia="宋体"/>
                <w:color w:val="auto"/>
                <w:szCs w:val="21"/>
                <w:lang w:val="en-US" w:eastAsia="zh-CN"/>
              </w:rPr>
            </w:pPr>
            <w:r>
              <w:rPr>
                <w:rFonts w:hint="eastAsia"/>
                <w:szCs w:val="21"/>
                <w:highlight w:val="none"/>
              </w:rPr>
              <w:t>产品动力、安全性能评价</w:t>
            </w:r>
          </w:p>
        </w:tc>
        <w:tc>
          <w:tcPr>
            <w:tcW w:w="7062" w:type="dxa"/>
            <w:tcBorders>
              <w:left w:val="single" w:color="000000" w:sz="4" w:space="0"/>
            </w:tcBorders>
            <w:noWrap w:val="0"/>
            <w:vAlign w:val="center"/>
          </w:tcPr>
          <w:p>
            <w:pPr>
              <w:widowControl/>
              <w:spacing w:line="288" w:lineRule="auto"/>
              <w:rPr>
                <w:rFonts w:ascii="宋体" w:hAnsi="宋体" w:cs="宋体"/>
                <w:szCs w:val="21"/>
                <w:highlight w:val="none"/>
              </w:rPr>
            </w:pPr>
            <w:bookmarkStart w:id="126" w:name="OLE_LINK10"/>
            <w:r>
              <w:rPr>
                <w:rFonts w:hint="eastAsia" w:ascii="宋体" w:hAnsi="宋体" w:cs="宋体"/>
                <w:szCs w:val="21"/>
                <w:highlight w:val="none"/>
              </w:rPr>
              <w:t>根据各投标人所投产品</w:t>
            </w:r>
            <w:r>
              <w:rPr>
                <w:rFonts w:hint="eastAsia" w:ascii="宋体" w:hAnsi="宋体" w:cs="宋体"/>
                <w:szCs w:val="21"/>
                <w:highlight w:val="none"/>
                <w:lang w:eastAsia="zh-CN"/>
              </w:rPr>
              <w:t>（</w:t>
            </w:r>
            <w:r>
              <w:rPr>
                <w:rFonts w:hint="eastAsia" w:ascii="宋体" w:hAnsi="宋体" w:eastAsia="宋体" w:cs="宋体"/>
                <w:color w:val="auto"/>
                <w:highlight w:val="none"/>
                <w:lang w:val="en-US" w:eastAsia="zh-CN"/>
              </w:rPr>
              <w:t>警用摩托车（一）</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警用摩托车（</w:t>
            </w:r>
            <w:r>
              <w:rPr>
                <w:rFonts w:hint="eastAsia" w:ascii="宋体" w:hAnsi="宋体" w:cs="宋体"/>
                <w:color w:val="auto"/>
                <w:highlight w:val="none"/>
                <w:lang w:val="en-US" w:eastAsia="zh-CN"/>
              </w:rPr>
              <w:t>二</w:t>
            </w:r>
            <w:r>
              <w:rPr>
                <w:rFonts w:hint="eastAsia" w:ascii="宋体" w:hAnsi="宋体" w:eastAsia="宋体" w:cs="宋体"/>
                <w:color w:val="auto"/>
                <w:highlight w:val="none"/>
                <w:lang w:val="en-US" w:eastAsia="zh-CN"/>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对应的</w:t>
            </w:r>
            <w:r>
              <w:rPr>
                <w:rFonts w:hint="eastAsia" w:ascii="宋体" w:hAnsi="宋体" w:cs="宋体"/>
                <w:szCs w:val="21"/>
                <w:highlight w:val="none"/>
              </w:rPr>
              <w:t>动力性能（包含但不限于发动机功率、发动机扭矩</w:t>
            </w:r>
            <w:r>
              <w:rPr>
                <w:rFonts w:hint="eastAsia" w:ascii="宋体" w:hAnsi="宋体" w:cs="宋体"/>
                <w:szCs w:val="21"/>
                <w:highlight w:val="none"/>
                <w:lang w:val="en-US" w:eastAsia="zh-CN"/>
              </w:rPr>
              <w:t>情况</w:t>
            </w:r>
            <w:r>
              <w:rPr>
                <w:rFonts w:hint="eastAsia" w:ascii="宋体" w:hAnsi="宋体" w:cs="宋体"/>
                <w:szCs w:val="21"/>
                <w:highlight w:val="none"/>
              </w:rPr>
              <w:t>等）、安全性能（包含但不限于是否配备ABS、侧踢熄火安全装置等），结合实际使用情况的描述进行评分：</w:t>
            </w:r>
          </w:p>
          <w:p>
            <w:pPr>
              <w:widowControl/>
              <w:spacing w:line="288" w:lineRule="auto"/>
              <w:rPr>
                <w:rFonts w:ascii="宋体" w:hAnsi="宋体" w:cs="宋体"/>
                <w:szCs w:val="21"/>
                <w:highlight w:val="none"/>
              </w:rPr>
            </w:pPr>
            <w:r>
              <w:rPr>
                <w:rFonts w:hint="eastAsia" w:ascii="宋体" w:hAnsi="宋体" w:cs="宋体"/>
                <w:szCs w:val="21"/>
                <w:highlight w:val="none"/>
              </w:rPr>
              <w:t>（1）投标人所投产品的动力性能强劲，配备ABS、侧踢熄火安全装置等齐全，完全符合采购人需求的得</w:t>
            </w:r>
            <w:r>
              <w:rPr>
                <w:rFonts w:hint="eastAsia" w:ascii="宋体" w:hAnsi="宋体" w:cs="宋体"/>
                <w:szCs w:val="21"/>
                <w:highlight w:val="none"/>
                <w:lang w:val="en-US" w:eastAsia="zh-CN"/>
              </w:rPr>
              <w:t>7</w:t>
            </w:r>
            <w:r>
              <w:rPr>
                <w:rFonts w:hint="eastAsia" w:ascii="宋体" w:hAnsi="宋体" w:cs="宋体"/>
                <w:szCs w:val="21"/>
                <w:highlight w:val="none"/>
              </w:rPr>
              <w:t>分；</w:t>
            </w:r>
          </w:p>
          <w:p>
            <w:pPr>
              <w:widowControl/>
              <w:spacing w:line="288" w:lineRule="auto"/>
              <w:rPr>
                <w:rFonts w:ascii="宋体" w:hAnsi="宋体" w:cs="宋体"/>
                <w:szCs w:val="21"/>
                <w:highlight w:val="none"/>
              </w:rPr>
            </w:pPr>
            <w:r>
              <w:rPr>
                <w:rFonts w:hint="eastAsia" w:ascii="宋体" w:hAnsi="宋体" w:cs="宋体"/>
                <w:szCs w:val="21"/>
                <w:highlight w:val="none"/>
              </w:rPr>
              <w:t>（2）投标人所投产品的动力性能较强劲，配备ABS、侧踢熄火安全装置等较齐全（至少配备上述2项及以上），较符合采购人需求的得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pPr>
              <w:widowControl/>
              <w:spacing w:line="288" w:lineRule="auto"/>
              <w:rPr>
                <w:rFonts w:hint="eastAsia" w:ascii="宋体" w:hAnsi="宋体" w:cs="宋体"/>
                <w:szCs w:val="21"/>
                <w:highlight w:val="none"/>
              </w:rPr>
            </w:pPr>
            <w:r>
              <w:rPr>
                <w:rFonts w:hint="eastAsia" w:ascii="宋体" w:hAnsi="宋体" w:cs="宋体"/>
                <w:szCs w:val="21"/>
                <w:highlight w:val="none"/>
              </w:rPr>
              <w:t>（3）投标人所投产品的动力性能基本强劲，配备ABS、侧踢熄火安全装置等基本齐全（至少配备上述1项及以上），基本符合采购人需求的得</w:t>
            </w:r>
            <w:r>
              <w:rPr>
                <w:rFonts w:hint="eastAsia" w:ascii="宋体" w:hAnsi="宋体" w:cs="宋体"/>
                <w:szCs w:val="21"/>
                <w:highlight w:val="none"/>
                <w:lang w:val="en-US" w:eastAsia="zh-CN"/>
              </w:rPr>
              <w:t>3</w:t>
            </w:r>
            <w:r>
              <w:rPr>
                <w:rFonts w:hint="eastAsia" w:ascii="宋体" w:hAnsi="宋体" w:cs="宋体"/>
                <w:szCs w:val="21"/>
                <w:highlight w:val="none"/>
              </w:rPr>
              <w:t>分；</w:t>
            </w:r>
          </w:p>
          <w:p>
            <w:pPr>
              <w:widowControl/>
              <w:spacing w:line="288" w:lineRule="auto"/>
              <w:rPr>
                <w:rFonts w:hint="eastAsia" w:ascii="宋体" w:hAnsi="宋体" w:cs="宋体"/>
                <w:color w:val="auto"/>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未配备ABS、侧踢熄火安全装置等，不符合采购人实际需求或未提供此项的得0分。</w:t>
            </w:r>
            <w:bookmarkEnd w:id="126"/>
          </w:p>
        </w:tc>
        <w:tc>
          <w:tcPr>
            <w:tcW w:w="702" w:type="dxa"/>
            <w:noWrap/>
            <w:vAlign w:val="center"/>
          </w:tcPr>
          <w:p>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jc w:val="center"/>
              <w:rPr>
                <w:szCs w:val="21"/>
              </w:rPr>
            </w:pPr>
            <w:r>
              <w:rPr>
                <w:rFonts w:hint="eastAsia"/>
                <w:szCs w:val="21"/>
              </w:rPr>
              <w:t>售后服务方案</w:t>
            </w:r>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bookmarkStart w:id="127" w:name="OLE_LINK11"/>
            <w:r>
              <w:rPr>
                <w:rFonts w:hint="eastAsia" w:ascii="宋体" w:hAnsi="宋体" w:cs="宋体"/>
                <w:szCs w:val="21"/>
              </w:rPr>
              <w:t>投标人提供的售后服务方案</w:t>
            </w:r>
            <w:r>
              <w:rPr>
                <w:rFonts w:hint="eastAsia" w:ascii="宋体" w:hAnsi="宋体" w:cs="宋体"/>
                <w:szCs w:val="21"/>
                <w:lang w:eastAsia="zh-CN"/>
              </w:rPr>
              <w:t>（</w:t>
            </w:r>
            <w:r>
              <w:rPr>
                <w:rFonts w:hint="eastAsia" w:ascii="宋体" w:hAnsi="宋体" w:cs="宋体"/>
                <w:szCs w:val="21"/>
                <w:lang w:eastAsia="zh-CN" w:bidi="ar"/>
              </w:rPr>
              <w:t>包含但不限于</w:t>
            </w:r>
            <w:r>
              <w:rPr>
                <w:rFonts w:hint="eastAsia" w:ascii="宋体" w:hAnsi="宋体" w:cs="宋体"/>
                <w:szCs w:val="21"/>
              </w:rPr>
              <w:t>售后服务承诺，服务响应、质保期限、货物调换时间、服务人员安排、服务数字化应用等</w:t>
            </w:r>
            <w:r>
              <w:rPr>
                <w:rFonts w:hint="eastAsia" w:ascii="宋体" w:hAnsi="宋体" w:cs="宋体"/>
                <w:szCs w:val="21"/>
                <w:lang w:eastAsia="zh-CN"/>
              </w:rPr>
              <w:t>）</w:t>
            </w:r>
            <w:r>
              <w:rPr>
                <w:rFonts w:hint="eastAsia" w:ascii="宋体" w:hAnsi="宋体" w:cs="宋体"/>
                <w:szCs w:val="21"/>
              </w:rPr>
              <w:t>进行</w:t>
            </w:r>
            <w:r>
              <w:rPr>
                <w:rFonts w:hint="eastAsia" w:ascii="宋体" w:hAnsi="宋体" w:cs="宋体"/>
                <w:szCs w:val="21"/>
                <w:lang w:eastAsia="zh-CN"/>
              </w:rPr>
              <w:t>评审</w:t>
            </w:r>
            <w:r>
              <w:rPr>
                <w:rFonts w:hint="eastAsia" w:ascii="宋体" w:hAnsi="宋体" w:cs="宋体"/>
                <w:szCs w:val="21"/>
              </w:rPr>
              <w:t>：</w:t>
            </w:r>
          </w:p>
          <w:p>
            <w:pPr>
              <w:spacing w:line="360" w:lineRule="exact"/>
              <w:rPr>
                <w:rFonts w:hint="eastAsia" w:ascii="宋体" w:hAnsi="宋体" w:eastAsia="宋体" w:cs="宋体"/>
                <w:sz w:val="21"/>
                <w:szCs w:val="21"/>
                <w:lang w:eastAsia="zh-CN"/>
              </w:rPr>
            </w:pPr>
            <w:r>
              <w:rPr>
                <w:rFonts w:hint="eastAsia" w:ascii="宋体" w:hAnsi="宋体" w:cs="宋体"/>
                <w:szCs w:val="21"/>
              </w:rPr>
              <w:t>（1）</w:t>
            </w:r>
            <w:r>
              <w:rPr>
                <w:rFonts w:hint="eastAsia" w:ascii="宋体" w:hAnsi="宋体" w:eastAsia="宋体" w:cs="宋体"/>
                <w:sz w:val="21"/>
                <w:szCs w:val="21"/>
              </w:rPr>
              <w:t>售后服务方案</w:t>
            </w:r>
            <w:r>
              <w:rPr>
                <w:rFonts w:hint="eastAsia" w:ascii="宋体" w:hAnsi="宋体" w:cs="宋体"/>
                <w:sz w:val="21"/>
                <w:szCs w:val="21"/>
                <w:lang w:eastAsia="zh-CN"/>
              </w:rPr>
              <w:t>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条理清晰</w:t>
            </w:r>
            <w:r>
              <w:rPr>
                <w:rFonts w:hint="eastAsia" w:ascii="宋体" w:hAnsi="宋体" w:eastAsia="宋体" w:cs="宋体"/>
                <w:sz w:val="21"/>
                <w:szCs w:val="21"/>
              </w:rPr>
              <w:t>，</w:t>
            </w:r>
            <w:r>
              <w:rPr>
                <w:rFonts w:hint="eastAsia" w:ascii="宋体" w:hAnsi="宋体"/>
                <w:sz w:val="21"/>
                <w:szCs w:val="21"/>
              </w:rPr>
              <w:t>故障及服务响应高效</w:t>
            </w:r>
            <w:r>
              <w:rPr>
                <w:rFonts w:hint="eastAsia" w:ascii="宋体" w:hAnsi="宋体"/>
                <w:sz w:val="21"/>
                <w:szCs w:val="21"/>
                <w:lang w:eastAsia="zh-CN"/>
              </w:rPr>
              <w:t>可行</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2小时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4</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售后服务方案较</w:t>
            </w:r>
            <w:r>
              <w:rPr>
                <w:rFonts w:hint="eastAsia" w:ascii="宋体" w:hAnsi="宋体" w:cs="宋体"/>
                <w:sz w:val="21"/>
                <w:szCs w:val="21"/>
                <w:lang w:eastAsia="zh-CN"/>
              </w:rPr>
              <w:t>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条理较清晰</w:t>
            </w:r>
            <w:r>
              <w:rPr>
                <w:rFonts w:hint="eastAsia" w:ascii="宋体" w:hAnsi="宋体" w:eastAsia="宋体" w:cs="宋体"/>
                <w:sz w:val="21"/>
                <w:szCs w:val="21"/>
              </w:rPr>
              <w:t>，</w:t>
            </w:r>
            <w:r>
              <w:rPr>
                <w:rFonts w:hint="eastAsia" w:ascii="宋体" w:hAnsi="宋体"/>
                <w:sz w:val="21"/>
                <w:szCs w:val="21"/>
              </w:rPr>
              <w:t>故障及服务响应</w:t>
            </w:r>
            <w:r>
              <w:rPr>
                <w:rFonts w:hint="eastAsia" w:ascii="宋体" w:hAnsi="宋体" w:eastAsia="宋体" w:cs="宋体"/>
                <w:sz w:val="21"/>
                <w:szCs w:val="21"/>
              </w:rPr>
              <w:t>较迅速的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2.5小时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4.5</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售后服务方案</w:t>
            </w:r>
            <w:r>
              <w:rPr>
                <w:rFonts w:hint="eastAsia" w:ascii="宋体" w:hAnsi="宋体" w:cs="宋体"/>
                <w:sz w:val="21"/>
                <w:szCs w:val="21"/>
                <w:lang w:eastAsia="zh-CN"/>
              </w:rPr>
              <w:t>基本合理完善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条理基本清晰</w:t>
            </w:r>
            <w:r>
              <w:rPr>
                <w:rFonts w:hint="eastAsia" w:ascii="宋体" w:hAnsi="宋体" w:eastAsia="宋体" w:cs="宋体"/>
                <w:sz w:val="21"/>
                <w:szCs w:val="21"/>
              </w:rPr>
              <w:t>，</w:t>
            </w:r>
            <w:r>
              <w:rPr>
                <w:rFonts w:hint="eastAsia" w:ascii="宋体" w:hAnsi="宋体"/>
                <w:sz w:val="21"/>
                <w:szCs w:val="21"/>
              </w:rPr>
              <w:t>故障及服务响应</w:t>
            </w:r>
            <w:r>
              <w:rPr>
                <w:rFonts w:hint="eastAsia" w:ascii="宋体" w:hAnsi="宋体" w:eastAsia="宋体" w:cs="宋体"/>
                <w:sz w:val="21"/>
                <w:szCs w:val="21"/>
              </w:rPr>
              <w:t>缓慢的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3小时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5</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widowControl/>
              <w:spacing w:line="288" w:lineRule="auto"/>
              <w:rPr>
                <w:rFonts w:hint="eastAsia" w:ascii="宋体" w:hAnsi="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售后服务方案片面</w:t>
            </w:r>
            <w:r>
              <w:rPr>
                <w:rFonts w:hint="eastAsia" w:ascii="宋体" w:hAnsi="宋体" w:cs="宋体"/>
                <w:sz w:val="21"/>
                <w:szCs w:val="21"/>
                <w:lang w:eastAsia="zh-CN"/>
              </w:rPr>
              <w:t>局限</w:t>
            </w:r>
            <w:r>
              <w:rPr>
                <w:rFonts w:hint="eastAsia" w:ascii="宋体" w:hAnsi="宋体" w:eastAsia="宋体" w:cs="宋体"/>
                <w:sz w:val="21"/>
                <w:szCs w:val="21"/>
              </w:rPr>
              <w:t>，服务流程及内容空洞欠缺，</w:t>
            </w:r>
            <w:r>
              <w:rPr>
                <w:rFonts w:hint="eastAsia" w:ascii="宋体" w:hAnsi="宋体" w:cs="宋体"/>
                <w:sz w:val="21"/>
                <w:szCs w:val="21"/>
                <w:lang w:eastAsia="zh-CN"/>
              </w:rPr>
              <w:t>故障及服务</w:t>
            </w:r>
            <w:r>
              <w:rPr>
                <w:rFonts w:hint="eastAsia" w:ascii="宋体" w:hAnsi="宋体" w:eastAsia="宋体" w:cs="宋体"/>
                <w:sz w:val="21"/>
                <w:szCs w:val="21"/>
              </w:rPr>
              <w:t>响应</w:t>
            </w:r>
            <w:r>
              <w:rPr>
                <w:rFonts w:hint="eastAsia" w:ascii="宋体" w:hAnsi="宋体" w:cs="宋体"/>
                <w:sz w:val="21"/>
                <w:szCs w:val="21"/>
                <w:lang w:eastAsia="zh-CN"/>
              </w:rPr>
              <w:t>滞后</w:t>
            </w:r>
            <w:r>
              <w:rPr>
                <w:rFonts w:hint="eastAsia" w:ascii="宋体" w:hAnsi="宋体" w:eastAsia="宋体" w:cs="宋体"/>
                <w:sz w:val="21"/>
                <w:szCs w:val="21"/>
                <w:lang w:eastAsia="zh-CN"/>
              </w:rPr>
              <w:t>或</w:t>
            </w:r>
            <w:r>
              <w:rPr>
                <w:rFonts w:hint="eastAsia" w:ascii="宋体" w:hAnsi="宋体" w:eastAsia="宋体" w:cs="宋体"/>
                <w:sz w:val="21"/>
                <w:szCs w:val="21"/>
              </w:rPr>
              <w:t>未提供的得</w:t>
            </w:r>
            <w:r>
              <w:rPr>
                <w:rFonts w:hint="eastAsia" w:ascii="宋体" w:hAnsi="宋体" w:cs="宋体"/>
                <w:sz w:val="21"/>
                <w:szCs w:val="21"/>
                <w:lang w:val="en-US" w:eastAsia="zh-CN"/>
              </w:rPr>
              <w:t>0</w:t>
            </w:r>
            <w:r>
              <w:rPr>
                <w:rFonts w:hint="eastAsia" w:ascii="宋体" w:hAnsi="宋体" w:eastAsia="宋体" w:cs="宋体"/>
                <w:sz w:val="21"/>
                <w:szCs w:val="21"/>
              </w:rPr>
              <w:t>分。</w:t>
            </w:r>
            <w:bookmarkEnd w:id="127"/>
          </w:p>
        </w:tc>
        <w:tc>
          <w:tcPr>
            <w:tcW w:w="702" w:type="dxa"/>
            <w:noWrap/>
            <w:vAlign w:val="center"/>
          </w:tcPr>
          <w:p>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供货及交付方案</w:t>
            </w:r>
          </w:p>
        </w:tc>
        <w:tc>
          <w:tcPr>
            <w:tcW w:w="7062" w:type="dxa"/>
            <w:tcBorders>
              <w:left w:val="single" w:color="000000" w:sz="4" w:space="0"/>
            </w:tcBorders>
            <w:noWrap w:val="0"/>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提供投标人提供的详细完整的</w:t>
            </w:r>
            <w:r>
              <w:rPr>
                <w:rFonts w:hint="eastAsia" w:ascii="宋体" w:hAnsi="宋体" w:eastAsia="宋体" w:cs="宋体"/>
                <w:sz w:val="21"/>
                <w:szCs w:val="21"/>
                <w:lang w:val="en-US" w:eastAsia="zh-CN"/>
              </w:rPr>
              <w:t>供货交付</w:t>
            </w:r>
            <w:r>
              <w:rPr>
                <w:rFonts w:hint="eastAsia" w:ascii="宋体" w:hAnsi="宋体" w:eastAsia="宋体" w:cs="宋体"/>
                <w:sz w:val="21"/>
                <w:szCs w:val="21"/>
                <w:lang w:eastAsia="zh-CN"/>
              </w:rPr>
              <w:t>方案（包含但不限于对项目货物</w:t>
            </w:r>
            <w:r>
              <w:rPr>
                <w:rFonts w:hint="eastAsia" w:ascii="宋体" w:hAnsi="宋体" w:eastAsia="宋体" w:cs="宋体"/>
                <w:sz w:val="21"/>
                <w:szCs w:val="21"/>
                <w:lang w:val="en-US" w:eastAsia="zh-CN"/>
              </w:rPr>
              <w:t>运输、安装、调试、交付</w:t>
            </w:r>
            <w:r>
              <w:rPr>
                <w:rFonts w:hint="eastAsia" w:ascii="宋体" w:hAnsi="宋体" w:eastAsia="宋体" w:cs="宋体"/>
                <w:sz w:val="21"/>
                <w:szCs w:val="21"/>
                <w:lang w:eastAsia="zh-CN"/>
              </w:rPr>
              <w:t>方案等）进行评审：</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供货及交付方案描述详细清晰，安排合理，人员充足，切实保障项目供货交付顺利完成</w:t>
            </w:r>
            <w:r>
              <w:rPr>
                <w:rFonts w:hint="eastAsia" w:ascii="宋体" w:hAnsi="宋体" w:eastAsia="宋体" w:cs="宋体"/>
                <w:sz w:val="21"/>
                <w:szCs w:val="21"/>
                <w:lang w:eastAsia="zh-CN"/>
              </w:rPr>
              <w:t>，符合或优于采购人实际需求的得</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供货及交付方案描述较详细，安排较合理，人员较充足，较能保障项目供货交付完成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符合采购人实际需求的得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分；</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供货及交付方案描述基本清晰，安排基本合理，人员基本满足，基本保障项目供货交付能够完成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符合采购人实际需求的得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供货及交付方案描述较差，安排较差，人员较少、，不能保障项目供货交付完成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w:t>
            </w:r>
            <w:r>
              <w:rPr>
                <w:rFonts w:hint="eastAsia" w:ascii="宋体" w:hAnsi="宋体" w:eastAsia="宋体" w:cs="宋体"/>
                <w:sz w:val="21"/>
                <w:szCs w:val="21"/>
                <w:lang w:eastAsia="zh-CN"/>
              </w:rPr>
              <w:t>符合采购人实际需求的得</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分；</w:t>
            </w:r>
          </w:p>
        </w:tc>
        <w:tc>
          <w:tcPr>
            <w:tcW w:w="702" w:type="dxa"/>
            <w:noWrap/>
            <w:vAlign w:val="center"/>
          </w:tcPr>
          <w:p>
            <w:pPr>
              <w:widowControl/>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rPr>
                <w:rFonts w:hint="eastAsia" w:ascii="宋体" w:hAnsi="宋体" w:cs="宋体"/>
                <w:szCs w:val="21"/>
              </w:rPr>
            </w:pPr>
            <w:r>
              <w:rPr>
                <w:rFonts w:hint="eastAsia" w:ascii="宋体" w:hAnsi="宋体" w:cs="宋体"/>
                <w:szCs w:val="21"/>
              </w:rPr>
              <w:t>安全驾驶培训</w:t>
            </w:r>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bookmarkStart w:id="128" w:name="OLE_LINK12"/>
            <w:r>
              <w:rPr>
                <w:rFonts w:hint="eastAsia" w:ascii="宋体" w:hAnsi="宋体" w:cs="宋体"/>
                <w:szCs w:val="21"/>
              </w:rPr>
              <w:t>根据各投标人提供的</w:t>
            </w:r>
            <w:r>
              <w:rPr>
                <w:rFonts w:hint="eastAsia" w:ascii="宋体" w:hAnsi="宋体" w:cs="宋体"/>
                <w:szCs w:val="21"/>
                <w:lang w:val="en-US" w:eastAsia="zh-CN"/>
              </w:rPr>
              <w:t>安全驾驶</w:t>
            </w:r>
            <w:r>
              <w:rPr>
                <w:rFonts w:hint="eastAsia" w:ascii="宋体" w:hAnsi="宋体" w:cs="宋体"/>
                <w:szCs w:val="21"/>
              </w:rPr>
              <w:t>培训方案（包括但不限于</w:t>
            </w:r>
            <w:r>
              <w:rPr>
                <w:rFonts w:hint="eastAsia" w:ascii="宋体" w:hAnsi="宋体" w:cs="宋体"/>
                <w:szCs w:val="21"/>
                <w:lang w:val="en-US" w:eastAsia="zh-CN"/>
              </w:rPr>
              <w:t>培训师资力量、</w:t>
            </w:r>
            <w:r>
              <w:rPr>
                <w:rFonts w:hint="eastAsia" w:ascii="宋体" w:hAnsi="宋体" w:cs="宋体"/>
                <w:szCs w:val="21"/>
              </w:rPr>
              <w:t>培训日程、培训地点、培训内容、负责培训的人员安排等内容）进行评审：</w:t>
            </w:r>
          </w:p>
          <w:p>
            <w:pPr>
              <w:widowControl/>
              <w:spacing w:line="288" w:lineRule="auto"/>
              <w:rPr>
                <w:rFonts w:hint="eastAsia" w:ascii="宋体" w:hAnsi="宋体" w:cs="宋体"/>
                <w:szCs w:val="21"/>
              </w:rPr>
            </w:pPr>
            <w:r>
              <w:rPr>
                <w:rFonts w:hint="eastAsia" w:ascii="宋体" w:hAnsi="宋体" w:cs="宋体"/>
                <w:szCs w:val="21"/>
              </w:rPr>
              <w:t>（1）培训方案详细、周密，内容全面，</w:t>
            </w:r>
            <w:r>
              <w:rPr>
                <w:rFonts w:hint="eastAsia" w:ascii="宋体" w:hAnsi="宋体" w:cs="宋体"/>
                <w:szCs w:val="21"/>
                <w:lang w:val="en-US" w:eastAsia="zh-CN"/>
              </w:rPr>
              <w:t>培训师资力量雄厚，</w:t>
            </w:r>
            <w:r>
              <w:rPr>
                <w:rFonts w:hint="eastAsia" w:ascii="宋体" w:hAnsi="宋体" w:cs="宋体"/>
                <w:szCs w:val="21"/>
              </w:rPr>
              <w:t>课程及人员</w:t>
            </w:r>
            <w:r>
              <w:rPr>
                <w:rFonts w:hint="eastAsia" w:ascii="宋体" w:hAnsi="宋体" w:cs="宋体"/>
                <w:szCs w:val="21"/>
                <w:lang w:val="en-US" w:eastAsia="zh-CN"/>
              </w:rPr>
              <w:t>能完全满足安全驾驶培训要求</w:t>
            </w:r>
            <w:r>
              <w:rPr>
                <w:rFonts w:hint="eastAsia" w:ascii="宋体" w:hAnsi="宋体" w:cs="宋体"/>
                <w:szCs w:val="21"/>
                <w:lang w:eastAsia="zh-CN"/>
              </w:rPr>
              <w:t>的</w:t>
            </w:r>
            <w:r>
              <w:rPr>
                <w:rFonts w:hint="eastAsia" w:ascii="宋体" w:hAnsi="宋体" w:cs="宋体"/>
                <w:szCs w:val="21"/>
              </w:rPr>
              <w:t>得7分；</w:t>
            </w:r>
          </w:p>
          <w:p>
            <w:pPr>
              <w:widowControl/>
              <w:spacing w:line="288" w:lineRule="auto"/>
              <w:rPr>
                <w:rFonts w:hint="eastAsia" w:ascii="宋体" w:hAnsi="宋体" w:cs="宋体"/>
                <w:szCs w:val="21"/>
              </w:rPr>
            </w:pPr>
            <w:r>
              <w:rPr>
                <w:rFonts w:hint="eastAsia" w:ascii="宋体" w:hAnsi="宋体" w:cs="宋体"/>
                <w:szCs w:val="21"/>
              </w:rPr>
              <w:t>（2）培训方案较为详细、周密，内容较为全面，</w:t>
            </w:r>
            <w:r>
              <w:rPr>
                <w:rFonts w:hint="eastAsia" w:ascii="宋体" w:hAnsi="宋体" w:cs="宋体"/>
                <w:szCs w:val="21"/>
                <w:lang w:val="en-US" w:eastAsia="zh-CN"/>
              </w:rPr>
              <w:t>培训师资力量较雄厚，</w:t>
            </w:r>
            <w:r>
              <w:rPr>
                <w:rFonts w:hint="eastAsia" w:ascii="宋体" w:hAnsi="宋体" w:cs="宋体"/>
                <w:szCs w:val="21"/>
              </w:rPr>
              <w:t>课程及人员</w:t>
            </w:r>
            <w:r>
              <w:rPr>
                <w:rFonts w:hint="eastAsia" w:ascii="宋体" w:hAnsi="宋体" w:cs="宋体"/>
                <w:szCs w:val="21"/>
                <w:lang w:val="en-US" w:eastAsia="zh-CN"/>
              </w:rPr>
              <w:t>相对满足安全驾驶培训</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w:t>
            </w:r>
          </w:p>
          <w:p>
            <w:pPr>
              <w:widowControl/>
              <w:spacing w:line="288" w:lineRule="auto"/>
              <w:rPr>
                <w:rFonts w:hint="eastAsia" w:ascii="宋体" w:hAnsi="宋体" w:cs="宋体"/>
                <w:szCs w:val="21"/>
              </w:rPr>
            </w:pPr>
            <w:r>
              <w:rPr>
                <w:rFonts w:hint="eastAsia" w:ascii="宋体" w:hAnsi="宋体" w:cs="宋体"/>
                <w:szCs w:val="21"/>
              </w:rPr>
              <w:t>（3）培训方案</w:t>
            </w:r>
            <w:r>
              <w:rPr>
                <w:rFonts w:hint="eastAsia" w:ascii="宋体" w:hAnsi="宋体" w:cs="宋体"/>
                <w:szCs w:val="21"/>
                <w:lang w:eastAsia="zh-CN"/>
              </w:rPr>
              <w:t>基本</w:t>
            </w:r>
            <w:r>
              <w:rPr>
                <w:rFonts w:hint="eastAsia" w:ascii="宋体" w:hAnsi="宋体" w:cs="宋体"/>
                <w:szCs w:val="21"/>
              </w:rPr>
              <w:t>详细，内容</w:t>
            </w:r>
            <w:r>
              <w:rPr>
                <w:rFonts w:hint="eastAsia" w:ascii="宋体" w:hAnsi="宋体" w:cs="宋体"/>
                <w:szCs w:val="21"/>
                <w:lang w:eastAsia="zh-CN"/>
              </w:rPr>
              <w:t>基本全面</w:t>
            </w:r>
            <w:r>
              <w:rPr>
                <w:rFonts w:hint="eastAsia" w:ascii="宋体" w:hAnsi="宋体" w:cs="宋体"/>
                <w:szCs w:val="21"/>
              </w:rPr>
              <w:t>，</w:t>
            </w:r>
            <w:r>
              <w:rPr>
                <w:rFonts w:hint="eastAsia" w:ascii="宋体" w:hAnsi="宋体" w:cs="宋体"/>
                <w:szCs w:val="21"/>
                <w:lang w:val="en-US" w:eastAsia="zh-CN"/>
              </w:rPr>
              <w:t>培训师资力量一般，</w:t>
            </w:r>
            <w:r>
              <w:rPr>
                <w:rFonts w:hint="eastAsia" w:ascii="宋体" w:hAnsi="宋体" w:cs="宋体"/>
                <w:szCs w:val="21"/>
              </w:rPr>
              <w:t>课程及人员</w:t>
            </w:r>
            <w:r>
              <w:rPr>
                <w:rFonts w:hint="eastAsia" w:ascii="宋体" w:hAnsi="宋体" w:cs="宋体"/>
                <w:szCs w:val="21"/>
                <w:lang w:val="en-US" w:eastAsia="zh-CN"/>
              </w:rPr>
              <w:t>基本能完全满足安全驾驶培训</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p>
          <w:p>
            <w:pPr>
              <w:widowControl/>
              <w:spacing w:line="288" w:lineRule="auto"/>
              <w:rPr>
                <w:rFonts w:hint="eastAsia" w:ascii="宋体" w:hAnsi="宋体" w:cs="宋体"/>
                <w:szCs w:val="21"/>
              </w:rPr>
            </w:pPr>
            <w:r>
              <w:rPr>
                <w:rFonts w:hint="eastAsia" w:ascii="宋体" w:hAnsi="宋体" w:cs="宋体"/>
                <w:szCs w:val="21"/>
              </w:rPr>
              <w:t>（4）培训方案不详细，内容</w:t>
            </w:r>
            <w:r>
              <w:rPr>
                <w:rFonts w:hint="eastAsia" w:ascii="宋体" w:hAnsi="宋体" w:cs="宋体"/>
                <w:szCs w:val="21"/>
                <w:lang w:eastAsia="zh-CN"/>
              </w:rPr>
              <w:t>不够全面</w:t>
            </w:r>
            <w:r>
              <w:rPr>
                <w:rFonts w:hint="eastAsia" w:ascii="宋体" w:hAnsi="宋体" w:cs="宋体"/>
                <w:szCs w:val="21"/>
              </w:rPr>
              <w:t>，</w:t>
            </w:r>
            <w:r>
              <w:rPr>
                <w:rFonts w:hint="eastAsia" w:ascii="宋体" w:hAnsi="宋体" w:cs="宋体"/>
                <w:szCs w:val="21"/>
                <w:lang w:val="en-US" w:eastAsia="zh-CN"/>
              </w:rPr>
              <w:t>培训师资力量薄弱，</w:t>
            </w:r>
            <w:r>
              <w:rPr>
                <w:rFonts w:hint="eastAsia" w:ascii="宋体" w:hAnsi="宋体" w:cs="宋体"/>
                <w:szCs w:val="21"/>
              </w:rPr>
              <w:t>课程及人员</w:t>
            </w:r>
            <w:r>
              <w:rPr>
                <w:rFonts w:hint="eastAsia" w:ascii="宋体" w:hAnsi="宋体" w:cs="宋体"/>
                <w:szCs w:val="21"/>
                <w:lang w:val="en-US" w:eastAsia="zh-CN"/>
              </w:rPr>
              <w:t>不能完全满足安全驾驶培训</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未提供此项的得0分</w:t>
            </w:r>
            <w:r>
              <w:rPr>
                <w:rFonts w:hint="eastAsia" w:ascii="宋体" w:hAnsi="宋体" w:cs="宋体"/>
                <w:szCs w:val="21"/>
              </w:rPr>
              <w:t>。</w:t>
            </w:r>
            <w:bookmarkEnd w:id="128"/>
          </w:p>
        </w:tc>
        <w:tc>
          <w:tcPr>
            <w:tcW w:w="702" w:type="dxa"/>
            <w:noWrap/>
            <w:vAlign w:val="center"/>
          </w:tcPr>
          <w:p>
            <w:pPr>
              <w:widowControl/>
              <w:spacing w:line="288"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rPr>
                <w:rFonts w:hint="default" w:ascii="宋体" w:hAnsi="宋体" w:eastAsia="宋体" w:cs="宋体"/>
                <w:szCs w:val="21"/>
                <w:lang w:val="en-US" w:eastAsia="zh-CN"/>
              </w:rPr>
            </w:pPr>
            <w:bookmarkStart w:id="129" w:name="OLE_LINK16"/>
            <w:r>
              <w:rPr>
                <w:rFonts w:hint="eastAsia" w:ascii="宋体" w:hAnsi="宋体" w:cs="宋体"/>
                <w:szCs w:val="21"/>
                <w:lang w:val="en-US" w:eastAsia="zh-CN"/>
              </w:rPr>
              <w:t>日常保养服务方案</w:t>
            </w:r>
            <w:bookmarkEnd w:id="129"/>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bookmarkStart w:id="130" w:name="OLE_LINK17"/>
            <w:r>
              <w:rPr>
                <w:rFonts w:hint="eastAsia" w:ascii="宋体" w:hAnsi="宋体" w:cs="宋体"/>
                <w:szCs w:val="21"/>
              </w:rPr>
              <w:t>根据各投标人提供的</w:t>
            </w:r>
            <w:bookmarkStart w:id="131" w:name="OLE_LINK1"/>
            <w:r>
              <w:rPr>
                <w:rFonts w:hint="eastAsia" w:ascii="宋体" w:hAnsi="宋体" w:cs="宋体"/>
                <w:szCs w:val="21"/>
                <w:lang w:val="en-US" w:eastAsia="zh-CN"/>
              </w:rPr>
              <w:t>日常保养服务</w:t>
            </w:r>
            <w:bookmarkEnd w:id="131"/>
            <w:r>
              <w:rPr>
                <w:rFonts w:hint="eastAsia" w:ascii="宋体" w:hAnsi="宋体" w:cs="宋体"/>
                <w:szCs w:val="21"/>
              </w:rPr>
              <w:t>方案（包括但不限于更换易损件</w:t>
            </w:r>
            <w:r>
              <w:rPr>
                <w:rFonts w:hint="eastAsia" w:ascii="宋体" w:hAnsi="宋体" w:cs="宋体"/>
                <w:szCs w:val="21"/>
                <w:lang w:eastAsia="zh-CN"/>
              </w:rPr>
              <w:t>、</w:t>
            </w:r>
            <w:r>
              <w:rPr>
                <w:rFonts w:hint="eastAsia" w:ascii="宋体" w:hAnsi="宋体" w:cs="宋体"/>
                <w:szCs w:val="21"/>
                <w:lang w:val="en-US" w:eastAsia="zh-CN"/>
              </w:rPr>
              <w:t>机车各种系统检查</w:t>
            </w:r>
            <w:r>
              <w:rPr>
                <w:rFonts w:hint="eastAsia" w:ascii="宋体" w:hAnsi="宋体" w:cs="宋体"/>
                <w:szCs w:val="21"/>
              </w:rPr>
              <w:t>等内容）进行评审：</w:t>
            </w:r>
          </w:p>
          <w:p>
            <w:pPr>
              <w:widowControl/>
              <w:spacing w:line="288" w:lineRule="auto"/>
              <w:rPr>
                <w:rFonts w:hint="eastAsia" w:ascii="宋体" w:hAnsi="宋体" w:cs="宋体"/>
                <w:szCs w:val="21"/>
              </w:rPr>
            </w:pPr>
            <w:r>
              <w:rPr>
                <w:rFonts w:hint="eastAsia" w:ascii="宋体" w:hAnsi="宋体" w:cs="宋体"/>
                <w:szCs w:val="21"/>
              </w:rPr>
              <w:t>（1）</w:t>
            </w:r>
            <w:bookmarkStart w:id="132" w:name="OLE_LINK13"/>
            <w:r>
              <w:rPr>
                <w:rFonts w:hint="eastAsia" w:ascii="宋体" w:hAnsi="宋体" w:cs="宋体"/>
                <w:szCs w:val="21"/>
                <w:lang w:val="en-US" w:eastAsia="zh-CN"/>
              </w:rPr>
              <w:t>日常保养服务</w:t>
            </w:r>
            <w:r>
              <w:rPr>
                <w:rFonts w:hint="eastAsia" w:ascii="宋体" w:hAnsi="宋体" w:cs="宋体"/>
                <w:szCs w:val="21"/>
              </w:rPr>
              <w:t>方案</w:t>
            </w:r>
            <w:bookmarkEnd w:id="132"/>
            <w:r>
              <w:rPr>
                <w:rFonts w:hint="eastAsia" w:ascii="宋体" w:hAnsi="宋体" w:cs="宋体"/>
                <w:szCs w:val="21"/>
              </w:rPr>
              <w:t>详细、周密，内容全面，能完全满足日常保养</w:t>
            </w:r>
            <w:r>
              <w:rPr>
                <w:rFonts w:hint="eastAsia" w:ascii="宋体" w:hAnsi="宋体" w:cs="宋体"/>
                <w:szCs w:val="21"/>
                <w:lang w:val="en-US" w:eastAsia="zh-CN"/>
              </w:rPr>
              <w:t>服务</w:t>
            </w:r>
            <w:r>
              <w:rPr>
                <w:rFonts w:hint="eastAsia" w:ascii="宋体" w:hAnsi="宋体" w:cs="宋体"/>
                <w:szCs w:val="21"/>
              </w:rPr>
              <w:t>的得6分；</w:t>
            </w:r>
          </w:p>
          <w:p>
            <w:pPr>
              <w:widowControl/>
              <w:spacing w:line="288" w:lineRule="auto"/>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日常保养服务</w:t>
            </w:r>
            <w:r>
              <w:rPr>
                <w:rFonts w:hint="eastAsia" w:ascii="宋体" w:hAnsi="宋体" w:cs="宋体"/>
                <w:szCs w:val="21"/>
              </w:rPr>
              <w:t>方案较为详细、周密，内容较为全面，</w:t>
            </w:r>
            <w:r>
              <w:rPr>
                <w:rFonts w:hint="eastAsia" w:ascii="宋体" w:hAnsi="宋体" w:cs="宋体"/>
                <w:szCs w:val="21"/>
                <w:lang w:val="en-US" w:eastAsia="zh-CN"/>
              </w:rPr>
              <w:t>较能</w:t>
            </w:r>
            <w:r>
              <w:rPr>
                <w:rFonts w:hint="eastAsia" w:ascii="宋体" w:hAnsi="宋体" w:cs="宋体"/>
                <w:szCs w:val="21"/>
              </w:rPr>
              <w:t>满足日常保养</w:t>
            </w:r>
            <w:r>
              <w:rPr>
                <w:rFonts w:hint="eastAsia" w:ascii="宋体" w:hAnsi="宋体" w:cs="宋体"/>
                <w:szCs w:val="21"/>
                <w:lang w:val="en-US" w:eastAsia="zh-CN"/>
              </w:rPr>
              <w:t>服务</w:t>
            </w:r>
            <w:r>
              <w:rPr>
                <w:rFonts w:hint="eastAsia" w:ascii="宋体" w:hAnsi="宋体" w:cs="宋体"/>
                <w:szCs w:val="21"/>
              </w:rPr>
              <w:t>的得4分；</w:t>
            </w:r>
          </w:p>
          <w:p>
            <w:pPr>
              <w:widowControl/>
              <w:spacing w:line="288" w:lineRule="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日常保养服务</w:t>
            </w:r>
            <w:r>
              <w:rPr>
                <w:rFonts w:hint="eastAsia" w:ascii="宋体" w:hAnsi="宋体" w:cs="宋体"/>
                <w:szCs w:val="21"/>
              </w:rPr>
              <w:t>方案基本详细，内容基本全面，基本能完全满足日常保养</w:t>
            </w:r>
            <w:r>
              <w:rPr>
                <w:rFonts w:hint="eastAsia" w:ascii="宋体" w:hAnsi="宋体" w:cs="宋体"/>
                <w:szCs w:val="21"/>
                <w:lang w:val="en-US" w:eastAsia="zh-CN"/>
              </w:rPr>
              <w:t>服务</w:t>
            </w:r>
            <w:r>
              <w:rPr>
                <w:rFonts w:hint="eastAsia" w:ascii="宋体" w:hAnsi="宋体" w:cs="宋体"/>
                <w:szCs w:val="21"/>
              </w:rPr>
              <w:t>的得2分；</w:t>
            </w:r>
          </w:p>
          <w:p>
            <w:pPr>
              <w:widowControl/>
              <w:spacing w:line="288" w:lineRule="auto"/>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日常保养服务</w:t>
            </w:r>
            <w:r>
              <w:rPr>
                <w:rFonts w:hint="eastAsia" w:ascii="宋体" w:hAnsi="宋体" w:cs="宋体"/>
                <w:szCs w:val="21"/>
              </w:rPr>
              <w:t>方案不详细，内容不够全面，不能满足日常保养</w:t>
            </w:r>
            <w:r>
              <w:rPr>
                <w:rFonts w:hint="eastAsia" w:ascii="宋体" w:hAnsi="宋体" w:cs="宋体"/>
                <w:szCs w:val="21"/>
                <w:lang w:val="en-US" w:eastAsia="zh-CN"/>
              </w:rPr>
              <w:t>服务</w:t>
            </w:r>
            <w:r>
              <w:rPr>
                <w:rFonts w:hint="eastAsia" w:ascii="宋体" w:hAnsi="宋体" w:cs="宋体"/>
                <w:szCs w:val="21"/>
              </w:rPr>
              <w:t>或未提供此项的得0分。</w:t>
            </w:r>
            <w:bookmarkEnd w:id="130"/>
          </w:p>
        </w:tc>
        <w:tc>
          <w:tcPr>
            <w:tcW w:w="702" w:type="dxa"/>
            <w:noWrap/>
            <w:vAlign w:val="center"/>
          </w:tcPr>
          <w:p>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05" w:type="dxa"/>
            <w:vMerge w:val="restart"/>
            <w:noWrap w:val="0"/>
            <w:vAlign w:val="center"/>
          </w:tcPr>
          <w:p>
            <w:pPr>
              <w:spacing w:line="288" w:lineRule="auto"/>
              <w:jc w:val="center"/>
              <w:rPr>
                <w:szCs w:val="21"/>
              </w:rPr>
            </w:pPr>
            <w:r>
              <w:rPr>
                <w:rFonts w:hint="eastAsia"/>
                <w:szCs w:val="21"/>
              </w:rPr>
              <w:t>商务</w:t>
            </w:r>
            <w:r>
              <w:rPr>
                <w:rFonts w:hint="eastAsia"/>
                <w:szCs w:val="21"/>
                <w:lang w:val="en-US" w:eastAsia="zh-CN"/>
              </w:rPr>
              <w:t>部分</w:t>
            </w:r>
            <w:r>
              <w:rPr>
                <w:rFonts w:hint="eastAsia"/>
                <w:szCs w:val="21"/>
              </w:rPr>
              <w:t>（</w:t>
            </w:r>
            <w:r>
              <w:rPr>
                <w:rFonts w:hint="eastAsia"/>
                <w:szCs w:val="21"/>
                <w:lang w:val="en-US" w:eastAsia="zh-CN"/>
              </w:rPr>
              <w:t>7</w:t>
            </w:r>
            <w:r>
              <w:rPr>
                <w:rFonts w:hint="eastAsia"/>
                <w:szCs w:val="21"/>
              </w:rPr>
              <w:t>分</w:t>
            </w:r>
            <w:r>
              <w:rPr>
                <w:rFonts w:hint="eastAsia" w:ascii="宋体" w:hAnsi="宋体" w:cs="宋体"/>
                <w:szCs w:val="21"/>
              </w:rPr>
              <w:t>）</w:t>
            </w:r>
          </w:p>
        </w:tc>
        <w:tc>
          <w:tcPr>
            <w:tcW w:w="1130" w:type="dxa"/>
            <w:tcBorders>
              <w:right w:val="single" w:color="000000" w:sz="4" w:space="0"/>
            </w:tcBorders>
            <w:noWrap w:val="0"/>
            <w:vAlign w:val="center"/>
          </w:tcPr>
          <w:p>
            <w:pPr>
              <w:widowControl/>
              <w:spacing w:line="288" w:lineRule="auto"/>
              <w:jc w:val="center"/>
              <w:rPr>
                <w:rFonts w:hint="eastAsia" w:ascii="宋体" w:hAnsi="宋体" w:cs="宋体"/>
                <w:szCs w:val="21"/>
              </w:rPr>
            </w:pPr>
            <w:r>
              <w:rPr>
                <w:rFonts w:hint="eastAsia" w:ascii="宋体" w:hAnsi="宋体" w:cs="宋体"/>
                <w:szCs w:val="21"/>
              </w:rPr>
              <w:t>体系认证</w:t>
            </w:r>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r>
              <w:rPr>
                <w:rFonts w:hint="eastAsia" w:ascii="宋体" w:hAnsi="宋体" w:cs="宋体"/>
                <w:szCs w:val="21"/>
              </w:rPr>
              <w:t>投标人具备有效期内的GB/T19001系列/ISO9001质量管理体系认证、GB/T24001系列/ISO14001系列环境管理体系认证、GB/T28001系列/OHSAS18001系列/ISO45001职业健康安全管理体系认证证书</w:t>
            </w:r>
            <w:r>
              <w:rPr>
                <w:rFonts w:hint="eastAsia" w:ascii="宋体" w:hAnsi="宋体" w:cs="宋体"/>
                <w:szCs w:val="21"/>
                <w:lang w:eastAsia="zh-CN"/>
              </w:rPr>
              <w:t>、</w:t>
            </w:r>
            <w:r>
              <w:rPr>
                <w:rFonts w:hint="eastAsia" w:ascii="宋体" w:hAnsi="宋体" w:cs="宋体"/>
                <w:szCs w:val="21"/>
                <w:lang w:val="en-US" w:eastAsia="zh-CN"/>
              </w:rPr>
              <w:t>GB/T 27922-2011售后服务评价体系认证</w:t>
            </w:r>
            <w:r>
              <w:rPr>
                <w:rFonts w:hint="eastAsia" w:ascii="宋体" w:hAnsi="宋体" w:cs="宋体"/>
                <w:szCs w:val="21"/>
              </w:rPr>
              <w:t>。</w:t>
            </w:r>
          </w:p>
          <w:p>
            <w:pPr>
              <w:widowControl/>
              <w:spacing w:line="288" w:lineRule="auto"/>
              <w:rPr>
                <w:rFonts w:hint="eastAsia" w:ascii="宋体" w:hAnsi="宋体" w:cs="宋体"/>
                <w:szCs w:val="21"/>
              </w:rPr>
            </w:pPr>
            <w:r>
              <w:rPr>
                <w:rFonts w:hint="eastAsia" w:ascii="宋体" w:hAnsi="宋体" w:cs="宋体"/>
                <w:szCs w:val="21"/>
              </w:rPr>
              <w:t>响应文件中要求提供证书复印件并加盖投标人公章，提供一项1分，最高</w:t>
            </w:r>
            <w:r>
              <w:rPr>
                <w:rFonts w:hint="eastAsia" w:ascii="宋体" w:hAnsi="宋体" w:cs="宋体"/>
                <w:szCs w:val="21"/>
                <w:lang w:val="en-US" w:eastAsia="zh-CN"/>
              </w:rPr>
              <w:t>4</w:t>
            </w:r>
            <w:r>
              <w:rPr>
                <w:rFonts w:hint="eastAsia" w:ascii="宋体" w:hAnsi="宋体" w:cs="宋体"/>
                <w:szCs w:val="21"/>
              </w:rPr>
              <w:t>分，未提供</w:t>
            </w:r>
            <w:r>
              <w:rPr>
                <w:rFonts w:hint="eastAsia" w:ascii="宋体" w:hAnsi="宋体" w:cs="宋体"/>
                <w:szCs w:val="21"/>
                <w:lang w:eastAsia="zh-CN"/>
              </w:rPr>
              <w:t>此项的得</w:t>
            </w:r>
            <w:r>
              <w:rPr>
                <w:rFonts w:hint="eastAsia" w:ascii="宋体" w:hAnsi="宋体" w:cs="宋体"/>
                <w:szCs w:val="21"/>
              </w:rPr>
              <w:t>0分。</w:t>
            </w:r>
          </w:p>
        </w:tc>
        <w:tc>
          <w:tcPr>
            <w:tcW w:w="702" w:type="dxa"/>
            <w:noWrap/>
            <w:vAlign w:val="center"/>
          </w:tcPr>
          <w:p>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05" w:type="dxa"/>
            <w:vMerge w:val="continue"/>
            <w:noWrap w:val="0"/>
            <w:vAlign w:val="center"/>
          </w:tcPr>
          <w:p>
            <w:pPr>
              <w:spacing w:line="288" w:lineRule="auto"/>
              <w:jc w:val="center"/>
              <w:rPr>
                <w:szCs w:val="21"/>
              </w:rPr>
            </w:pPr>
          </w:p>
        </w:tc>
        <w:tc>
          <w:tcPr>
            <w:tcW w:w="1130" w:type="dxa"/>
            <w:tcBorders>
              <w:right w:val="single" w:color="000000" w:sz="4" w:space="0"/>
            </w:tcBorders>
            <w:noWrap w:val="0"/>
            <w:vAlign w:val="center"/>
          </w:tcPr>
          <w:p>
            <w:pPr>
              <w:widowControl/>
              <w:spacing w:line="288" w:lineRule="auto"/>
              <w:jc w:val="center"/>
              <w:rPr>
                <w:rFonts w:hint="eastAsia" w:ascii="宋体" w:hAnsi="宋体" w:cs="宋体"/>
                <w:szCs w:val="21"/>
              </w:rPr>
            </w:pPr>
            <w:r>
              <w:rPr>
                <w:rFonts w:hint="eastAsia" w:ascii="宋体" w:hAnsi="宋体" w:cs="宋体"/>
                <w:szCs w:val="21"/>
              </w:rPr>
              <w:t>投标人业绩</w:t>
            </w:r>
          </w:p>
        </w:tc>
        <w:tc>
          <w:tcPr>
            <w:tcW w:w="7062" w:type="dxa"/>
            <w:tcBorders>
              <w:left w:val="single" w:color="000000" w:sz="4" w:space="0"/>
            </w:tcBorders>
            <w:noWrap w:val="0"/>
            <w:vAlign w:val="center"/>
          </w:tcPr>
          <w:p>
            <w:pPr>
              <w:widowControl/>
              <w:spacing w:line="288" w:lineRule="auto"/>
              <w:rPr>
                <w:rFonts w:hint="eastAsia" w:ascii="宋体" w:hAnsi="宋体" w:cs="宋体"/>
                <w:szCs w:val="21"/>
              </w:rPr>
            </w:pPr>
            <w:bookmarkStart w:id="133" w:name="OLE_LINK9"/>
            <w:r>
              <w:rPr>
                <w:rFonts w:hint="eastAsia" w:ascii="宋体" w:hAnsi="宋体" w:cs="宋体"/>
                <w:szCs w:val="21"/>
              </w:rPr>
              <w:t>投标人提供</w:t>
            </w:r>
            <w:r>
              <w:rPr>
                <w:rFonts w:hint="eastAsia" w:ascii="宋体" w:hAnsi="宋体" w:cs="宋体"/>
                <w:szCs w:val="21"/>
                <w:lang w:val="en-US" w:eastAsia="zh-CN"/>
              </w:rPr>
              <w:t>合同</w:t>
            </w:r>
            <w:r>
              <w:rPr>
                <w:rFonts w:hint="eastAsia" w:ascii="宋体" w:hAnsi="宋体" w:cs="宋体"/>
                <w:szCs w:val="21"/>
              </w:rPr>
              <w:t>签订日期为202</w:t>
            </w:r>
            <w:r>
              <w:rPr>
                <w:rFonts w:hint="eastAsia" w:ascii="宋体" w:hAnsi="宋体" w:cs="宋体"/>
                <w:szCs w:val="21"/>
                <w:lang w:val="en-US" w:eastAsia="zh-CN"/>
              </w:rPr>
              <w:t>2</w:t>
            </w:r>
            <w:r>
              <w:rPr>
                <w:rFonts w:hint="eastAsia" w:ascii="宋体" w:hAnsi="宋体" w:cs="宋体"/>
                <w:szCs w:val="21"/>
              </w:rPr>
              <w:t>年1月1日至投标截止时间前已完成类似项目的实施案例，每提供一项得1分，最高得3分,提供的类似项目案例</w:t>
            </w:r>
            <w:r>
              <w:rPr>
                <w:rFonts w:hint="eastAsia" w:ascii="宋体" w:hAnsi="宋体" w:cs="宋体"/>
                <w:szCs w:val="21"/>
                <w:lang w:val="en-US" w:eastAsia="zh-CN"/>
              </w:rPr>
              <w:t>必</w:t>
            </w:r>
            <w:r>
              <w:rPr>
                <w:rFonts w:hint="eastAsia" w:ascii="宋体" w:hAnsi="宋体" w:cs="宋体"/>
                <w:szCs w:val="21"/>
              </w:rPr>
              <w:t>须按照下述要求提供相关证明材料</w:t>
            </w:r>
            <w:r>
              <w:rPr>
                <w:rFonts w:hint="eastAsia" w:ascii="宋体" w:hAnsi="宋体" w:cs="宋体"/>
                <w:szCs w:val="21"/>
                <w:lang w:eastAsia="zh-CN"/>
              </w:rPr>
              <w:t>，</w:t>
            </w:r>
            <w:r>
              <w:rPr>
                <w:rFonts w:hint="eastAsia" w:ascii="宋体" w:hAnsi="宋体" w:cs="宋体"/>
                <w:szCs w:val="21"/>
                <w:lang w:val="en-US" w:eastAsia="zh-CN"/>
              </w:rPr>
              <w:t>缺一项不予得分</w:t>
            </w:r>
            <w:r>
              <w:rPr>
                <w:rFonts w:hint="eastAsia" w:ascii="宋体" w:hAnsi="宋体" w:cs="宋体"/>
                <w:szCs w:val="21"/>
              </w:rPr>
              <w:t>：</w:t>
            </w:r>
            <w:r>
              <w:rPr>
                <w:rFonts w:hint="eastAsia" w:ascii="仿宋" w:hAnsi="仿宋" w:eastAsia="仿宋" w:cs="仿宋"/>
                <w:szCs w:val="21"/>
              </w:rPr>
              <w:t>①</w:t>
            </w:r>
            <w:r>
              <w:rPr>
                <w:rFonts w:hint="eastAsia" w:ascii="宋体" w:hAnsi="宋体" w:cs="宋体"/>
                <w:szCs w:val="21"/>
                <w:lang w:val="en-US" w:eastAsia="zh-CN"/>
              </w:rPr>
              <w:t>中标通知书、</w:t>
            </w:r>
            <w:r>
              <w:rPr>
                <w:rFonts w:hint="eastAsia" w:ascii="仿宋" w:hAnsi="仿宋" w:eastAsia="仿宋" w:cs="仿宋"/>
                <w:szCs w:val="21"/>
                <w:lang w:val="en-US" w:eastAsia="zh-CN"/>
              </w:rPr>
              <w:t>②</w:t>
            </w:r>
            <w:r>
              <w:rPr>
                <w:rFonts w:hint="eastAsia" w:ascii="宋体" w:hAnsi="宋体" w:cs="宋体"/>
                <w:szCs w:val="21"/>
              </w:rPr>
              <w:t>合同复印件</w:t>
            </w:r>
            <w:r>
              <w:rPr>
                <w:rFonts w:hint="eastAsia" w:ascii="宋体" w:hAnsi="宋体" w:cs="宋体"/>
                <w:szCs w:val="21"/>
                <w:lang w:eastAsia="zh-CN"/>
              </w:rPr>
              <w:t>（</w:t>
            </w:r>
            <w:r>
              <w:rPr>
                <w:rFonts w:hint="eastAsia" w:ascii="宋体" w:hAnsi="宋体" w:cs="宋体"/>
                <w:szCs w:val="21"/>
              </w:rPr>
              <w:t>包括双方名称及盖章</w:t>
            </w:r>
            <w:r>
              <w:rPr>
                <w:rFonts w:hint="eastAsia" w:ascii="宋体" w:hAnsi="宋体" w:cs="宋体"/>
                <w:szCs w:val="21"/>
                <w:lang w:eastAsia="zh-CN"/>
              </w:rPr>
              <w:t>）、</w:t>
            </w:r>
            <w:r>
              <w:rPr>
                <w:rFonts w:hint="eastAsia" w:ascii="仿宋" w:hAnsi="仿宋" w:eastAsia="仿宋" w:cs="仿宋"/>
                <w:szCs w:val="21"/>
                <w:lang w:eastAsia="zh-CN"/>
              </w:rPr>
              <w:t>③</w:t>
            </w:r>
            <w:r>
              <w:rPr>
                <w:rFonts w:hint="eastAsia" w:ascii="宋体" w:hAnsi="宋体" w:cs="宋体"/>
                <w:szCs w:val="21"/>
                <w:lang w:val="en-US" w:eastAsia="zh-CN"/>
              </w:rPr>
              <w:t>项目验收合格证明文件</w:t>
            </w:r>
            <w:r>
              <w:rPr>
                <w:rFonts w:hint="eastAsia" w:ascii="宋体" w:hAnsi="宋体" w:cs="宋体"/>
                <w:szCs w:val="21"/>
              </w:rPr>
              <w:t>；</w:t>
            </w:r>
          </w:p>
          <w:p>
            <w:pPr>
              <w:widowControl/>
              <w:spacing w:line="288" w:lineRule="auto"/>
              <w:rPr>
                <w:rFonts w:hint="eastAsia" w:ascii="宋体" w:hAnsi="宋体" w:eastAsia="宋体" w:cs="宋体"/>
                <w:szCs w:val="21"/>
                <w:lang w:eastAsia="zh-CN"/>
              </w:rPr>
            </w:pPr>
            <w:r>
              <w:rPr>
                <w:rFonts w:hint="eastAsia" w:ascii="宋体" w:hAnsi="宋体" w:cs="宋体"/>
                <w:szCs w:val="21"/>
              </w:rPr>
              <w:t>注：提供的证明材料均不得遮挡涂黑，否则不予认定加分。未提供</w:t>
            </w:r>
            <w:r>
              <w:rPr>
                <w:rFonts w:hint="eastAsia" w:ascii="宋体" w:hAnsi="宋体" w:cs="宋体"/>
                <w:szCs w:val="21"/>
                <w:lang w:eastAsia="zh-CN"/>
              </w:rPr>
              <w:t>此项的得</w:t>
            </w:r>
            <w:r>
              <w:rPr>
                <w:rFonts w:hint="eastAsia" w:ascii="宋体" w:hAnsi="宋体" w:cs="宋体"/>
                <w:szCs w:val="21"/>
              </w:rPr>
              <w:t>0分</w:t>
            </w:r>
            <w:r>
              <w:rPr>
                <w:rFonts w:hint="eastAsia" w:ascii="宋体" w:hAnsi="宋体" w:cs="宋体"/>
                <w:szCs w:val="21"/>
                <w:lang w:eastAsia="zh-CN"/>
              </w:rPr>
              <w:t>。</w:t>
            </w:r>
            <w:bookmarkEnd w:id="133"/>
          </w:p>
        </w:tc>
        <w:tc>
          <w:tcPr>
            <w:tcW w:w="702" w:type="dxa"/>
            <w:noWrap/>
            <w:vAlign w:val="center"/>
          </w:tcPr>
          <w:p>
            <w:pPr>
              <w:widowControl/>
              <w:spacing w:line="288" w:lineRule="auto"/>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805" w:type="dxa"/>
            <w:noWrap w:val="0"/>
            <w:vAlign w:val="center"/>
          </w:tcPr>
          <w:p>
            <w:pPr>
              <w:spacing w:line="288" w:lineRule="auto"/>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报价得分（30分</w:t>
            </w:r>
            <w:r>
              <w:rPr>
                <w:rFonts w:hint="eastAsia" w:ascii="宋体" w:hAnsi="宋体" w:cs="宋体"/>
                <w:szCs w:val="21"/>
                <w:highlight w:val="none"/>
              </w:rPr>
              <w:t>）</w:t>
            </w:r>
          </w:p>
        </w:tc>
        <w:tc>
          <w:tcPr>
            <w:tcW w:w="8192" w:type="dxa"/>
            <w:gridSpan w:val="2"/>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评标基准价指的是满足招标文件要求且最低的参与评审的价格。</w:t>
            </w:r>
          </w:p>
          <w:p>
            <w:pPr>
              <w:spacing w:line="380" w:lineRule="exact"/>
              <w:rPr>
                <w:rFonts w:hint="eastAsia" w:ascii="宋体" w:hAnsi="宋体"/>
                <w:color w:val="auto"/>
                <w:szCs w:val="21"/>
                <w:highlight w:val="none"/>
              </w:rPr>
            </w:pPr>
            <w:r>
              <w:rPr>
                <w:rFonts w:hint="eastAsia" w:ascii="宋体" w:hAnsi="宋体"/>
                <w:color w:val="auto"/>
                <w:szCs w:val="21"/>
                <w:highlight w:val="none"/>
              </w:rPr>
              <w:t>参与评审的价格=投标总价</w:t>
            </w:r>
          </w:p>
          <w:p>
            <w:pPr>
              <w:spacing w:line="380" w:lineRule="exact"/>
              <w:rPr>
                <w:rFonts w:hint="eastAsia" w:ascii="宋体" w:hAnsi="宋体"/>
                <w:color w:val="auto"/>
                <w:szCs w:val="21"/>
                <w:highlight w:val="none"/>
              </w:rPr>
            </w:pPr>
            <w:r>
              <w:rPr>
                <w:rFonts w:hint="eastAsia" w:ascii="宋体" w:hAnsi="宋体"/>
                <w:color w:val="auto"/>
                <w:szCs w:val="21"/>
                <w:highlight w:val="none"/>
              </w:rPr>
              <w:t>参与评审的价格为评标基准价的其价格得分得满分</w:t>
            </w:r>
            <w:r>
              <w:rPr>
                <w:rFonts w:hint="eastAsia" w:ascii="宋体" w:hAnsi="宋体"/>
                <w:color w:val="auto"/>
                <w:szCs w:val="21"/>
                <w:highlight w:val="none"/>
                <w:lang w:val="en-US" w:eastAsia="zh-CN"/>
              </w:rPr>
              <w:t>3</w:t>
            </w:r>
            <w:r>
              <w:rPr>
                <w:rFonts w:hint="eastAsia" w:ascii="宋体" w:hAnsi="宋体"/>
                <w:color w:val="auto"/>
                <w:szCs w:val="21"/>
                <w:highlight w:val="none"/>
              </w:rPr>
              <w:t>0分。</w:t>
            </w:r>
          </w:p>
          <w:p>
            <w:pPr>
              <w:spacing w:line="380" w:lineRule="exact"/>
              <w:rPr>
                <w:rFonts w:hint="eastAsia" w:ascii="宋体" w:hAnsi="宋体"/>
                <w:color w:val="auto"/>
                <w:szCs w:val="21"/>
                <w:highlight w:val="none"/>
              </w:rPr>
            </w:pPr>
            <w:r>
              <w:rPr>
                <w:rFonts w:hint="eastAsia" w:ascii="宋体" w:hAnsi="宋体"/>
                <w:color w:val="auto"/>
                <w:szCs w:val="21"/>
                <w:highlight w:val="none"/>
              </w:rPr>
              <w:t>其他投标人价格得分按照下列公式计算：</w:t>
            </w:r>
          </w:p>
          <w:p>
            <w:pPr>
              <w:spacing w:line="380" w:lineRule="exact"/>
              <w:rPr>
                <w:rFonts w:hint="eastAsia" w:ascii="宋体" w:hAnsi="宋体"/>
                <w:color w:val="auto"/>
                <w:szCs w:val="21"/>
                <w:highlight w:val="none"/>
              </w:rPr>
            </w:pPr>
            <w:r>
              <w:rPr>
                <w:rFonts w:hint="eastAsia" w:ascii="宋体" w:hAnsi="宋体"/>
                <w:color w:val="auto"/>
                <w:szCs w:val="21"/>
                <w:highlight w:val="none"/>
              </w:rPr>
              <w:t>价格得分=（评标基准价/各投标人参与评审的价格）×</w:t>
            </w:r>
            <w:r>
              <w:rPr>
                <w:rFonts w:hint="eastAsia" w:ascii="宋体" w:hAnsi="宋体"/>
                <w:color w:val="auto"/>
                <w:szCs w:val="21"/>
                <w:highlight w:val="none"/>
                <w:lang w:val="en-US" w:eastAsia="zh-CN"/>
              </w:rPr>
              <w:t>3</w:t>
            </w:r>
            <w:r>
              <w:rPr>
                <w:rFonts w:hint="eastAsia" w:ascii="宋体" w:hAnsi="宋体"/>
                <w:color w:val="auto"/>
                <w:szCs w:val="21"/>
                <w:highlight w:val="none"/>
              </w:rPr>
              <w:t>0％×100。</w:t>
            </w:r>
          </w:p>
          <w:p>
            <w:pPr>
              <w:spacing w:line="380" w:lineRule="exact"/>
              <w:rPr>
                <w:rFonts w:hint="eastAsia" w:ascii="宋体" w:hAnsi="宋体"/>
                <w:color w:val="auto"/>
                <w:szCs w:val="21"/>
                <w:highlight w:val="none"/>
              </w:rPr>
            </w:pPr>
            <w:r>
              <w:rPr>
                <w:rFonts w:hint="eastAsia" w:ascii="宋体" w:hAnsi="宋体"/>
                <w:color w:val="auto"/>
                <w:szCs w:val="21"/>
                <w:highlight w:val="none"/>
              </w:rPr>
              <w:t>注：价格得分小数点后保留2位小数，第3位小数四舍五入。</w:t>
            </w:r>
          </w:p>
          <w:p>
            <w:pPr>
              <w:spacing w:line="380" w:lineRule="exact"/>
              <w:rPr>
                <w:rFonts w:hint="eastAsia" w:ascii="宋体" w:hAnsi="宋体" w:eastAsia="宋体" w:cs="宋体"/>
                <w:kern w:val="2"/>
                <w:sz w:val="21"/>
                <w:szCs w:val="21"/>
                <w:highlight w:val="none"/>
                <w:lang w:val="en-US" w:eastAsia="zh-CN" w:bidi="ar-SA"/>
              </w:rPr>
            </w:pPr>
            <w:r>
              <w:rPr>
                <w:rFonts w:hint="eastAsia" w:ascii="宋体" w:hAnsi="宋体"/>
                <w:color w:val="auto"/>
                <w:szCs w:val="21"/>
                <w:highlight w:val="none"/>
                <w:lang w:val="zh-CN"/>
              </w:rPr>
              <w:t>对于未预留份额专门面向中小企业的政府采购货物或服务项目，以及预留份额政府采购货物或服务项目中的非预留部分标项，对小型和微型企业的投标报价给予10%的扣除，用扣除后的价格参与评审。</w:t>
            </w:r>
          </w:p>
        </w:tc>
        <w:tc>
          <w:tcPr>
            <w:tcW w:w="702" w:type="dxa"/>
            <w:noWrap/>
            <w:vAlign w:val="center"/>
          </w:tcPr>
          <w:p>
            <w:pPr>
              <w:widowControl/>
              <w:spacing w:line="288" w:lineRule="auto"/>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997" w:type="dxa"/>
            <w:gridSpan w:val="3"/>
            <w:noWrap/>
            <w:vAlign w:val="center"/>
          </w:tcPr>
          <w:p>
            <w:pPr>
              <w:spacing w:line="288" w:lineRule="auto"/>
              <w:jc w:val="center"/>
              <w:rPr>
                <w:szCs w:val="21"/>
              </w:rPr>
            </w:pPr>
            <w:r>
              <w:rPr>
                <w:szCs w:val="21"/>
              </w:rPr>
              <w:t>合计</w:t>
            </w:r>
          </w:p>
        </w:tc>
        <w:tc>
          <w:tcPr>
            <w:tcW w:w="702" w:type="dxa"/>
            <w:noWrap/>
            <w:vAlign w:val="center"/>
          </w:tcPr>
          <w:p>
            <w:pPr>
              <w:spacing w:line="288" w:lineRule="auto"/>
              <w:jc w:val="center"/>
              <w:rPr>
                <w:rFonts w:hint="default" w:eastAsia="宋体"/>
                <w:szCs w:val="21"/>
                <w:lang w:val="en-US" w:eastAsia="zh-CN"/>
              </w:rPr>
            </w:pPr>
            <w:r>
              <w:rPr>
                <w:rFonts w:hint="eastAsia"/>
                <w:szCs w:val="21"/>
                <w:lang w:val="en-US" w:eastAsia="zh-CN"/>
              </w:rPr>
              <w:t>100</w:t>
            </w:r>
          </w:p>
        </w:tc>
      </w:tr>
    </w:tbl>
    <w:p>
      <w:p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p>
    <w:p>
      <w:pPr>
        <w:pStyle w:val="3"/>
        <w:spacing w:beforeLines="0" w:afterLines="0" w:line="360" w:lineRule="auto"/>
        <w:rPr>
          <w:rFonts w:ascii="宋体"/>
          <w:color w:val="000000" w:themeColor="text1"/>
          <w:sz w:val="32"/>
          <w:szCs w:val="32"/>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bookmarkEnd w:id="122"/>
    <w:p>
      <w:pPr>
        <w:pStyle w:val="37"/>
        <w:ind w:firstLine="640"/>
        <w:rPr>
          <w:rFonts w:ascii="宋体" w:hAnsi="宋体" w:cs="宋体"/>
          <w:color w:val="000000" w:themeColor="text1"/>
          <w:sz w:val="32"/>
          <w:szCs w:val="32"/>
          <w14:textFill>
            <w14:solidFill>
              <w14:schemeClr w14:val="tx1"/>
            </w14:solidFill>
          </w14:textFill>
        </w:rPr>
      </w:pPr>
      <w:bookmarkStart w:id="134" w:name="_Toc316649303"/>
    </w:p>
    <w:p>
      <w:pPr>
        <w:pStyle w:val="3"/>
        <w:spacing w:beforeLines="0" w:afterLines="0" w:line="360" w:lineRule="auto"/>
        <w:rPr>
          <w:rFonts w:ascii="宋体"/>
          <w:color w:val="000000" w:themeColor="text1"/>
          <w:sz w:val="32"/>
          <w:szCs w:val="32"/>
          <w14:textFill>
            <w14:solidFill>
              <w14:schemeClr w14:val="tx1"/>
            </w14:solidFill>
          </w14:textFill>
        </w:rPr>
      </w:pPr>
      <w:bookmarkStart w:id="135" w:name="_Toc141797686"/>
      <w:r>
        <w:rPr>
          <w:rFonts w:hint="eastAsia" w:ascii="宋体" w:hAnsi="宋体" w:cs="宋体"/>
          <w:color w:val="000000" w:themeColor="text1"/>
          <w:sz w:val="32"/>
          <w:szCs w:val="32"/>
          <w14:textFill>
            <w14:solidFill>
              <w14:schemeClr w14:val="tx1"/>
            </w14:solidFill>
          </w14:textFill>
        </w:rPr>
        <w:t>第七部分 附件（投标文件格式）</w:t>
      </w:r>
      <w:bookmarkEnd w:id="134"/>
      <w:bookmarkEnd w:id="135"/>
    </w:p>
    <w:p>
      <w:pPr>
        <w:jc w:val="center"/>
        <w:rPr>
          <w:rFonts w:ascii="宋体"/>
          <w:b/>
          <w:bCs/>
          <w:color w:val="000000" w:themeColor="text1"/>
          <w:sz w:val="36"/>
          <w:szCs w:val="36"/>
          <w:u w:val="single"/>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14:textFill>
            <w14:solidFill>
              <w14:schemeClr w14:val="tx1"/>
            </w14:solidFill>
          </w14:textFill>
        </w:rPr>
        <w:t>1</w:t>
      </w:r>
      <w:r>
        <w:rPr>
          <w:rFonts w:hint="eastAsia" w:ascii="宋体" w:hAnsi="宋体" w:cs="宋体"/>
          <w:b/>
          <w:bCs/>
          <w:color w:val="000000" w:themeColor="text1"/>
          <w:kern w:val="0"/>
          <w14:textFill>
            <w14:solidFill>
              <w14:schemeClr w14:val="tx1"/>
            </w14:solidFill>
          </w14:textFill>
        </w:rPr>
        <w:t>、投标文件的外包装封面</w:t>
      </w:r>
    </w:p>
    <w:p>
      <w:pPr>
        <w:widowControl/>
        <w:spacing w:before="240" w:beforeLines="100"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电子备份投标文件</w:t>
      </w:r>
    </w:p>
    <w:p>
      <w:pPr>
        <w:widowControl/>
        <w:spacing w:line="360" w:lineRule="auto"/>
        <w:jc w:val="left"/>
        <w:rPr>
          <w:rFonts w:ascii="宋体"/>
          <w:color w:val="000000" w:themeColor="text1"/>
          <w:kern w:val="0"/>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项目编号：</w:t>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投标人名称（加盖公章）：</w:t>
      </w:r>
    </w:p>
    <w:p>
      <w:pPr>
        <w:widowControl/>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投标人地址：</w:t>
      </w:r>
    </w:p>
    <w:p>
      <w:pPr>
        <w:widowControl/>
        <w:spacing w:line="360" w:lineRule="auto"/>
        <w:jc w:val="left"/>
        <w:rPr>
          <w:rFonts w:ascii="宋体"/>
          <w:color w:val="000000" w:themeColor="text1"/>
          <w:kern w:val="0"/>
          <w:sz w:val="24"/>
          <w:szCs w:val="24"/>
          <w14:textFill>
            <w14:solidFill>
              <w14:schemeClr w14:val="tx1"/>
            </w14:solidFill>
          </w14:textFill>
        </w:rPr>
      </w:pPr>
    </w:p>
    <w:p>
      <w:pPr>
        <w:widowControl/>
        <w:spacing w:line="360" w:lineRule="auto"/>
        <w:ind w:firstLine="630" w:firstLineChars="3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  月  日</w:t>
      </w:r>
    </w:p>
    <w:p>
      <w:pPr>
        <w:widowControl/>
        <w:spacing w:line="360" w:lineRule="auto"/>
        <w:jc w:val="left"/>
        <w:rPr>
          <w:rFonts w:ascii="宋体" w:hAnsi="宋体" w:cs="宋体"/>
          <w:color w:val="000000" w:themeColor="text1"/>
          <w:kern w:val="0"/>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14:textFill>
            <w14:solidFill>
              <w14:schemeClr w14:val="tx1"/>
            </w14:solidFill>
          </w14:textFill>
        </w:rPr>
        <w:t>2</w:t>
      </w:r>
      <w:r>
        <w:rPr>
          <w:rFonts w:hint="eastAsia" w:ascii="宋体" w:hAnsi="宋体" w:cs="宋体"/>
          <w:b/>
          <w:bCs/>
          <w:color w:val="000000" w:themeColor="text1"/>
          <w:kern w:val="0"/>
          <w14:textFill>
            <w14:solidFill>
              <w14:schemeClr w14:val="tx1"/>
            </w14:solidFill>
          </w14:textFill>
        </w:rPr>
        <w:t>、投标文件封面格式</w:t>
      </w:r>
    </w:p>
    <w:p>
      <w:pPr>
        <w:widowControl/>
        <w:spacing w:before="240" w:beforeLines="100"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资格文件</w:t>
      </w:r>
      <w:r>
        <w:rPr>
          <w:rFonts w:ascii="宋体" w:hAnsi="宋体" w:cs="宋体"/>
          <w:b/>
          <w:bCs/>
          <w:color w:val="000000" w:themeColor="text1"/>
          <w:kern w:val="0"/>
          <w14:textFill>
            <w14:solidFill>
              <w14:schemeClr w14:val="tx1"/>
            </w14:solidFill>
          </w14:textFill>
        </w:rPr>
        <w:t>/</w:t>
      </w:r>
      <w:r>
        <w:rPr>
          <w:rFonts w:hint="eastAsia" w:ascii="宋体" w:hAnsi="宋体" w:cs="宋体"/>
          <w:b/>
          <w:bCs/>
          <w:color w:val="000000" w:themeColor="text1"/>
          <w:kern w:val="0"/>
          <w14:textFill>
            <w14:solidFill>
              <w14:schemeClr w14:val="tx1"/>
            </w14:solidFill>
          </w14:textFill>
        </w:rPr>
        <w:t>商务技术文件</w:t>
      </w:r>
      <w:r>
        <w:rPr>
          <w:rFonts w:ascii="宋体" w:hAnsi="宋体" w:cs="宋体"/>
          <w:b/>
          <w:bCs/>
          <w:color w:val="000000" w:themeColor="text1"/>
          <w:kern w:val="0"/>
          <w14:textFill>
            <w14:solidFill>
              <w14:schemeClr w14:val="tx1"/>
            </w14:solidFill>
          </w14:textFill>
        </w:rPr>
        <w:t>/</w:t>
      </w:r>
      <w:r>
        <w:rPr>
          <w:rFonts w:hint="eastAsia" w:ascii="宋体" w:hAnsi="宋体" w:cs="宋体"/>
          <w:b/>
          <w:bCs/>
          <w:color w:val="000000" w:themeColor="text1"/>
          <w:kern w:val="0"/>
          <w14:textFill>
            <w14:solidFill>
              <w14:schemeClr w14:val="tx1"/>
            </w14:solidFill>
          </w14:textFill>
        </w:rPr>
        <w:t>报价文件</w:t>
      </w:r>
    </w:p>
    <w:p>
      <w:pPr>
        <w:widowControl/>
        <w:spacing w:line="360" w:lineRule="auto"/>
        <w:jc w:val="left"/>
        <w:rPr>
          <w:rFonts w:ascii="宋体"/>
          <w:color w:val="000000" w:themeColor="text1"/>
          <w:kern w:val="0"/>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项目编号：</w:t>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投标人名称（加盖公章）：</w:t>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投标人地址：</w:t>
      </w:r>
    </w:p>
    <w:p>
      <w:pPr>
        <w:widowControl/>
        <w:spacing w:line="360" w:lineRule="auto"/>
        <w:jc w:val="left"/>
        <w:rPr>
          <w:rFonts w:ascii="宋体" w:hAnsi="宋体" w:cs="宋体"/>
          <w:color w:val="000000" w:themeColor="text1"/>
          <w:kern w:val="0"/>
          <w14:textFill>
            <w14:solidFill>
              <w14:schemeClr w14:val="tx1"/>
            </w14:solidFill>
          </w14:textFill>
        </w:rPr>
      </w:pPr>
    </w:p>
    <w:p>
      <w:pPr>
        <w:spacing w:line="400" w:lineRule="exact"/>
        <w:ind w:firstLine="420" w:firstLineChars="200"/>
        <w:rPr>
          <w:rFonts w:ascii="宋体"/>
          <w:b/>
          <w:bCs/>
          <w:color w:val="000000" w:themeColor="text1"/>
          <w:sz w:val="24"/>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  月  日</w:t>
      </w:r>
      <w:r>
        <w:rPr>
          <w:rFonts w:ascii="宋体"/>
          <w:color w:val="000000" w:themeColor="text1"/>
          <w:sz w:val="24"/>
          <w:szCs w:val="24"/>
          <w14:textFill>
            <w14:solidFill>
              <w14:schemeClr w14:val="tx1"/>
            </w14:solidFill>
          </w14:textFill>
        </w:rPr>
        <w:br w:type="page"/>
      </w: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资格文件组成：</w:t>
      </w:r>
    </w:p>
    <w:p>
      <w:pPr>
        <w:widowControl/>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（3）落实政府采购政策需满足的资格要求</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如有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p>
    <w:p>
      <w:pPr>
        <w:widowControl/>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（4）投标人的特定条件的证明文件（如有）。</w:t>
      </w:r>
    </w:p>
    <w:p>
      <w:pPr>
        <w:pStyle w:val="6"/>
        <w:spacing w:line="380" w:lineRule="exact"/>
        <w:ind w:left="0" w:firstLine="0"/>
        <w:rPr>
          <w:rFonts w:cs="仿宋_GB2312" w:asciiTheme="minorEastAsia" w:hAnsiTheme="minorEastAsia" w:eastAsiaTheme="minorEastAsia"/>
          <w:color w:val="000000" w:themeColor="text1"/>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136" w:name="_Toc141797131"/>
      <w:bookmarkStart w:id="137" w:name="_Toc141797687"/>
      <w:r>
        <w:rPr>
          <w:rFonts w:hint="eastAsia" w:asciiTheme="minorEastAsia" w:hAnsiTheme="minorEastAsia" w:eastAsiaTheme="minorEastAsia"/>
          <w:color w:val="000000" w:themeColor="text1"/>
          <w:sz w:val="28"/>
          <w:szCs w:val="28"/>
          <w14:textFill>
            <w14:solidFill>
              <w14:schemeClr w14:val="tx1"/>
            </w14:solidFill>
          </w14:textFill>
        </w:rPr>
        <w:t>（一）</w:t>
      </w:r>
      <w:r>
        <w:rPr>
          <w:rFonts w:cs="仿宋_GB2312" w:asciiTheme="minorEastAsia" w:hAnsiTheme="minorEastAsia" w:eastAsiaTheme="minorEastAsia"/>
          <w:color w:val="000000" w:themeColor="text1"/>
          <w:sz w:val="28"/>
          <w:szCs w:val="28"/>
          <w14:textFill>
            <w14:solidFill>
              <w14:schemeClr w14:val="tx1"/>
            </w14:solidFill>
          </w14:textFill>
        </w:rPr>
        <w:t xml:space="preserve"> 符合参加政府采购活动应当具备的一般条件的承诺函</w:t>
      </w:r>
      <w:bookmarkEnd w:id="136"/>
      <w:bookmarkEnd w:id="137"/>
    </w:p>
    <w:p>
      <w:pPr>
        <w:snapToGrid w:val="0"/>
        <w:spacing w:line="360" w:lineRule="auto"/>
        <w:rPr>
          <w:rFonts w:asciiTheme="minorEastAsia" w:hAnsiTheme="minorEastAsia" w:eastAsiaTheme="minorEastAsia"/>
          <w:color w:val="000000" w:themeColor="text1"/>
          <w:sz w:val="24"/>
          <w14:textFill>
            <w14:solidFill>
              <w14:schemeClr w14:val="tx1"/>
            </w14:solidFill>
          </w14:textFill>
        </w:rPr>
      </w:pPr>
    </w:p>
    <w:p>
      <w:pPr>
        <w:snapToGrid w:val="0"/>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i/>
          <w:iCs/>
          <w:color w:val="000000" w:themeColor="text1"/>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14:textFill>
            <w14:solidFill>
              <w14:schemeClr w14:val="tx1"/>
            </w14:solidFill>
          </w14:textFill>
        </w:rPr>
        <w:t>：</w:t>
      </w:r>
    </w:p>
    <w:p>
      <w:pPr>
        <w:snapToGrid w:val="0"/>
        <w:spacing w:line="360" w:lineRule="auto"/>
        <w:ind w:firstLine="42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我方参与</w:t>
      </w:r>
      <w:r>
        <w:rPr>
          <w:rFonts w:hint="eastAsia" w:asciiTheme="minorEastAsia" w:hAnsiTheme="minorEastAsia" w:eastAsiaTheme="minorEastAsia"/>
          <w:color w:val="000000" w:themeColor="text1"/>
          <w14:textFill>
            <w14:solidFill>
              <w14:schemeClr w14:val="tx1"/>
            </w14:solidFill>
          </w14:textFill>
        </w:rPr>
        <w:t>项目</w:t>
      </w:r>
      <w:r>
        <w:rPr>
          <w:rFonts w:hint="eastAsia" w:cs="仿宋_GB2312" w:asciiTheme="minorEastAsia" w:hAnsiTheme="minorEastAsia" w:eastAsiaTheme="minorEastAsia"/>
          <w:color w:val="000000" w:themeColor="text1"/>
          <w14:textFill>
            <w14:solidFill>
              <w14:schemeClr w14:val="tx1"/>
            </w14:solidFill>
          </w14:textFill>
        </w:rPr>
        <w:t>【招标编号：】政府采购活动，郑重承诺：</w:t>
      </w:r>
    </w:p>
    <w:p>
      <w:pPr>
        <w:snapToGrid w:val="0"/>
        <w:spacing w:line="360" w:lineRule="auto"/>
        <w:ind w:firstLine="315" w:firstLineChars="15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w:t>
      </w:r>
      <w:r>
        <w:rPr>
          <w:rFonts w:cs="仿宋_GB2312" w:asciiTheme="minorEastAsia" w:hAnsiTheme="minorEastAsia" w:eastAsiaTheme="minorEastAsia"/>
          <w:color w:val="000000" w:themeColor="text1"/>
          <w14:textFill>
            <w14:solidFill>
              <w14:schemeClr w14:val="tx1"/>
            </w14:solidFill>
          </w14:textFill>
        </w:rPr>
        <w:t>具有独立承担民事责任的能力；</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具有履行合同所必需的设备和专业技术能力；</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有依法缴纳税收和社会保障资金的良好记录；</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具有法律、行政法规规定的其他条件。</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（二）未被信用中国（</w:t>
      </w:r>
      <w:r>
        <w:rPr>
          <w:rFonts w:asciiTheme="minorEastAsia" w:hAnsiTheme="minorEastAsia" w:eastAsiaTheme="minorEastAsia"/>
          <w:color w:val="000000" w:themeColor="text1"/>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（三）不存在以下情况：</w:t>
      </w:r>
    </w:p>
    <w:p>
      <w:pPr>
        <w:snapToGrid w:val="0"/>
        <w:spacing w:line="360" w:lineRule="auto"/>
        <w:ind w:firstLine="42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w:t>
      </w:r>
      <w:r>
        <w:rPr>
          <w:rFonts w:cs="仿宋_GB2312" w:asciiTheme="minorEastAsia" w:hAnsiTheme="minorEastAsia" w:eastAsiaTheme="minorEastAsia"/>
          <w:color w:val="000000" w:themeColor="text1"/>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2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w:t>
      </w:r>
      <w:r>
        <w:rPr>
          <w:rFonts w:cs="仿宋_GB2312" w:asciiTheme="minorEastAsia" w:hAnsiTheme="minorEastAsia" w:eastAsiaTheme="minorEastAsia"/>
          <w:color w:val="000000" w:themeColor="text1"/>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14:textFill>
            <w14:solidFill>
              <w14:schemeClr w14:val="tx1"/>
            </w14:solidFill>
          </w14:textFill>
        </w:rPr>
        <w:t>；</w:t>
      </w:r>
    </w:p>
    <w:p>
      <w:pPr>
        <w:snapToGrid w:val="0"/>
        <w:spacing w:line="360" w:lineRule="auto"/>
        <w:ind w:firstLine="420" w:firstLineChars="20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3、为公益一类事业单位、使用事业编制且由财政拨款保障的群团组织。</w:t>
      </w:r>
    </w:p>
    <w:p>
      <w:pPr>
        <w:pStyle w:val="2"/>
        <w:rPr>
          <w:color w:val="000000" w:themeColor="text1"/>
          <w14:textFill>
            <w14:solidFill>
              <w14:schemeClr w14:val="tx1"/>
            </w14:solidFill>
          </w14:textFill>
        </w:rPr>
      </w:pPr>
    </w:p>
    <w:p>
      <w:pPr>
        <w:pStyle w:val="4"/>
        <w:jc w:val="both"/>
        <w:rPr>
          <w:rFonts w:cs="仿宋_GB2312" w:asciiTheme="minorEastAsia" w:hAnsiTheme="minorEastAsia" w:eastAsiaTheme="minorEastAsia"/>
          <w:color w:val="000000" w:themeColor="text1"/>
          <w:sz w:val="21"/>
          <w:szCs w:val="21"/>
          <w14:textFill>
            <w14:solidFill>
              <w14:schemeClr w14:val="tx1"/>
            </w14:solidFill>
          </w14:textFill>
        </w:rPr>
      </w:pPr>
    </w:p>
    <w:p>
      <w:pPr>
        <w:rPr>
          <w:rFonts w:cs="仿宋_GB2312" w:asciiTheme="minorEastAsia" w:hAnsiTheme="minorEastAsia" w:eastAsiaTheme="minorEastAsia"/>
          <w:color w:val="000000" w:themeColor="text1"/>
          <w14:textFill>
            <w14:solidFill>
              <w14:schemeClr w14:val="tx1"/>
            </w14:solidFill>
          </w14:textFill>
        </w:rPr>
      </w:pPr>
    </w:p>
    <w:p>
      <w:pPr>
        <w:adjustRightInd w:val="0"/>
        <w:snapToGrid w:val="0"/>
        <w:spacing w:line="360" w:lineRule="auto"/>
        <w:ind w:left="425"/>
        <w:rPr>
          <w:rFonts w:asciiTheme="minorEastAsia" w:hAnsiTheme="minorEastAsia" w:eastAsiaTheme="minorEastAsia"/>
          <w:color w:val="000000" w:themeColor="text1"/>
          <w:spacing w:val="4"/>
          <w14:textFill>
            <w14:solidFill>
              <w14:schemeClr w14:val="tx1"/>
            </w14:solidFill>
          </w14:textFill>
        </w:rPr>
      </w:pPr>
    </w:p>
    <w:p>
      <w:pPr>
        <w:spacing w:line="480" w:lineRule="auto"/>
        <w:ind w:right="420" w:firstLine="5040" w:firstLineChars="24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投标人（公章）：                               </w:t>
      </w:r>
    </w:p>
    <w:p>
      <w:pPr>
        <w:spacing w:line="480" w:lineRule="auto"/>
        <w:ind w:right="420" w:firstLine="3990" w:firstLineChars="19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投标人代表（签字或印章）：     </w:t>
      </w:r>
    </w:p>
    <w:p>
      <w:pPr>
        <w:spacing w:line="480" w:lineRule="auto"/>
        <w:ind w:right="420" w:firstLine="3045" w:firstLineChars="14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年    月    日</w:t>
      </w:r>
    </w:p>
    <w:p>
      <w:pPr>
        <w:pStyle w:val="15"/>
        <w:ind w:firstLine="0"/>
        <w:rPr>
          <w:rFonts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（若为联合体投标，联合体各方须单独提供并盖章）</w:t>
      </w: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6"/>
        <w:spacing w:line="380" w:lineRule="exact"/>
        <w:ind w:left="0" w:firstLine="0"/>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br w:type="page"/>
      </w:r>
    </w:p>
    <w:p>
      <w:pPr>
        <w:pStyle w:val="6"/>
        <w:spacing w:line="380" w:lineRule="exact"/>
        <w:ind w:left="0" w:firstLine="0"/>
        <w:rPr>
          <w:rFonts w:asciiTheme="minorEastAsia" w:hAnsiTheme="minorEastAsia" w:eastAsiaTheme="minorEastAsia"/>
          <w:color w:val="000000" w:themeColor="text1"/>
          <w:sz w:val="28"/>
          <w:szCs w:val="28"/>
          <w14:textFill>
            <w14:solidFill>
              <w14:schemeClr w14:val="tx1"/>
            </w14:solidFill>
          </w14:textFill>
        </w:rPr>
      </w:pPr>
    </w:p>
    <w:p>
      <w:pPr>
        <w:pStyle w:val="6"/>
        <w:spacing w:line="380" w:lineRule="exact"/>
        <w:ind w:left="0" w:firstLine="0"/>
        <w:rPr>
          <w:rFonts w:asciiTheme="minorEastAsia" w:hAnsiTheme="minorEastAsia" w:eastAsiaTheme="minorEastAsia"/>
          <w:color w:val="000000" w:themeColor="text1"/>
          <w:sz w:val="28"/>
          <w:szCs w:val="28"/>
          <w14:textFill>
            <w14:solidFill>
              <w14:schemeClr w14:val="tx1"/>
            </w14:solidFill>
          </w14:textFill>
        </w:rPr>
      </w:pPr>
      <w:bookmarkStart w:id="138" w:name="_Toc141797688"/>
      <w:bookmarkStart w:id="139" w:name="_Toc141797132"/>
      <w:r>
        <w:rPr>
          <w:rFonts w:hint="eastAsia" w:asciiTheme="minorEastAsia" w:hAnsiTheme="minorEastAsia" w:eastAsiaTheme="minorEastAsia"/>
          <w:color w:val="000000" w:themeColor="text1"/>
          <w:sz w:val="28"/>
          <w:szCs w:val="28"/>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38"/>
      <w:bookmarkEnd w:id="139"/>
    </w:p>
    <w:p>
      <w:pPr>
        <w:pStyle w:val="15"/>
        <w:ind w:firstLine="0"/>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（复印件并加盖公章）</w:t>
      </w: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（若为联合体投标，联合体各方须单独提供并盖章）</w:t>
      </w:r>
      <w:r>
        <w:rPr>
          <w:rFonts w:asciiTheme="minorEastAsia" w:hAnsiTheme="minorEastAsia" w:eastAsiaTheme="minorEastAsia"/>
          <w:color w:val="000000" w:themeColor="text1"/>
          <w14:textFill>
            <w14:solidFill>
              <w14:schemeClr w14:val="tx1"/>
            </w14:solidFill>
          </w14:textFill>
        </w:rPr>
        <w:br w:type="page"/>
      </w:r>
    </w:p>
    <w:p>
      <w:pPr>
        <w:autoSpaceDE w:val="0"/>
        <w:autoSpaceDN w:val="0"/>
        <w:jc w:val="center"/>
        <w:rPr>
          <w:rFonts w:ascii="宋体" w:hAnsi="宋体" w:cs="宋体"/>
          <w:b/>
          <w:color w:val="000000" w:themeColor="text1"/>
          <w:kern w:val="0"/>
          <w:sz w:val="28"/>
          <w:szCs w:val="28"/>
          <w14:textFill>
            <w14:solidFill>
              <w14:schemeClr w14:val="tx1"/>
            </w14:solidFill>
          </w14:textFill>
        </w:rPr>
      </w:pPr>
    </w:p>
    <w:p>
      <w:pPr>
        <w:autoSpaceDE w:val="0"/>
        <w:autoSpaceDN w:val="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（三）落实政府采购政策需满足的资格要求</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（根据招标公告</w:t>
      </w:r>
      <w:r>
        <w:rPr>
          <w:rFonts w:hint="eastAsia" w:asciiTheme="minorEastAsia" w:hAnsiTheme="minorEastAsia" w:eastAsiaTheme="minorEastAsia"/>
          <w:b/>
          <w:bCs/>
          <w:color w:val="000000" w:themeColor="text1"/>
          <w:sz w:val="24"/>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14:textFill>
            <w14:solidFill>
              <w14:schemeClr w14:val="tx1"/>
            </w14:solidFill>
          </w14:textFill>
        </w:rPr>
        <w:t>）</w:t>
      </w: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A.专门面向中小企业，</w:t>
      </w:r>
      <w:r>
        <w:rPr>
          <w:rFonts w:hint="eastAsia" w:ascii="宋体" w:hAnsi="宋体" w:cs="宋体"/>
          <w:color w:val="000000" w:themeColor="text1"/>
          <w14:textFill>
            <w14:solidFill>
              <w14:schemeClr w14:val="tx1"/>
            </w14:solidFill>
          </w14:textFill>
        </w:rPr>
        <w:t>提供的货物全部由符合政策要求的中小企业制造</w:t>
      </w:r>
      <w:r>
        <w:rPr>
          <w:rFonts w:hint="eastAsia" w:cs="仿宋_GB2312" w:asciiTheme="minorEastAsia" w:hAnsiTheme="minorEastAsia" w:eastAsiaTheme="minorEastAsia"/>
          <w:color w:val="000000" w:themeColor="text1"/>
          <w14:textFill>
            <w14:solidFill>
              <w14:schemeClr w14:val="tx1"/>
            </w14:solidFill>
          </w14:textFill>
        </w:rPr>
        <w:t>，提供相应的中小企业声明函（附件1）</w:t>
      </w: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pPr>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15"/>
        <w:ind w:firstLine="0"/>
        <w:jc w:val="center"/>
        <w:rPr>
          <w:rFonts w:asciiTheme="minorEastAsia" w:hAnsiTheme="minorEastAsia" w:eastAsiaTheme="minorEastAsia"/>
          <w:color w:val="000000" w:themeColor="text1"/>
          <w14:textFill>
            <w14:solidFill>
              <w14:schemeClr w14:val="tx1"/>
            </w14:solidFill>
          </w14:textFill>
        </w:rPr>
      </w:pPr>
    </w:p>
    <w:p>
      <w:pPr>
        <w:autoSpaceDE w:val="0"/>
        <w:autoSpaceDN w:val="0"/>
        <w:jc w:val="center"/>
        <w:rPr>
          <w:rFonts w:ascii="宋体" w:hAnsi="宋体" w:cs="宋体"/>
          <w:b/>
          <w:color w:val="000000" w:themeColor="text1"/>
          <w:kern w:val="0"/>
          <w:sz w:val="28"/>
          <w:szCs w:val="28"/>
          <w:lang w:val="zh-CN"/>
          <w14:textFill>
            <w14:solidFill>
              <w14:schemeClr w14:val="tx1"/>
            </w14:solidFill>
          </w14:textFill>
        </w:rPr>
      </w:pPr>
      <w:r>
        <w:rPr>
          <w:rFonts w:hint="eastAsia" w:ascii="宋体" w:hAnsi="宋体" w:cs="宋体"/>
          <w:b/>
          <w:color w:val="000000" w:themeColor="text1"/>
          <w:kern w:val="0"/>
          <w:sz w:val="28"/>
          <w:szCs w:val="28"/>
          <w:lang w:val="zh-CN"/>
          <w14:textFill>
            <w14:solidFill>
              <w14:schemeClr w14:val="tx1"/>
            </w14:solidFill>
          </w14:textFill>
        </w:rPr>
        <w:t>联合协议</w:t>
      </w:r>
    </w:p>
    <w:p>
      <w:pPr>
        <w:widowControl/>
        <w:spacing w:line="480" w:lineRule="exact"/>
        <w:ind w:firstLine="422" w:firstLineChars="20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（以联合体形式投标的，提供联合协议；本项目不接受联合体投标或者投标人不以联合体形式投标的，则不需要提供）</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（联合体所有成员名称）</w:t>
      </w:r>
      <w:r>
        <w:rPr>
          <w:rFonts w:hint="eastAsia" w:ascii="宋体" w:hAnsi="宋体" w:cs="宋体"/>
          <w:color w:val="000000" w:themeColor="text1"/>
          <w:kern w:val="0"/>
          <w14:textFill>
            <w14:solidFill>
              <w14:schemeClr w14:val="tx1"/>
            </w14:solidFill>
          </w14:textFill>
        </w:rPr>
        <w:t>自愿</w:t>
      </w:r>
      <w:r>
        <w:rPr>
          <w:rFonts w:hint="eastAsia" w:ascii="宋体" w:hAnsi="宋体" w:cs="宋体"/>
          <w:color w:val="000000" w:themeColor="text1"/>
          <w:kern w:val="0"/>
          <w:lang w:val="zh-CN"/>
          <w14:textFill>
            <w14:solidFill>
              <w14:schemeClr w14:val="tx1"/>
            </w14:solidFill>
          </w14:textFill>
        </w:rPr>
        <w:t>组成一个联合体，以一个投标人的身份</w:t>
      </w:r>
      <w:r>
        <w:rPr>
          <w:rFonts w:hint="eastAsia" w:ascii="宋体" w:hAnsi="宋体" w:cs="宋体"/>
          <w:color w:val="000000" w:themeColor="text1"/>
          <w:kern w:val="0"/>
          <w14:textFill>
            <w14:solidFill>
              <w14:schemeClr w14:val="tx1"/>
            </w14:solidFill>
          </w14:textFill>
        </w:rPr>
        <w:t>参加</w:t>
      </w:r>
      <w:r>
        <w:rPr>
          <w:rFonts w:hint="eastAsia" w:ascii="宋体" w:hAnsi="宋体" w:cs="宋体"/>
          <w:color w:val="000000" w:themeColor="text1"/>
          <w14:textFill>
            <w14:solidFill>
              <w14:schemeClr w14:val="tx1"/>
            </w14:solidFill>
          </w14:textFill>
        </w:rPr>
        <w:t>项目【招标编号：        】</w:t>
      </w:r>
      <w:r>
        <w:rPr>
          <w:rFonts w:hint="eastAsia" w:ascii="宋体" w:hAnsi="宋体" w:cs="宋体"/>
          <w:color w:val="000000" w:themeColor="text1"/>
          <w:kern w:val="0"/>
          <w:lang w:val="zh-CN"/>
          <w14:textFill>
            <w14:solidFill>
              <w14:schemeClr w14:val="tx1"/>
            </w14:solidFill>
          </w14:textFill>
        </w:rPr>
        <w:t xml:space="preserve">投标。 </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一、各方一致决定，</w:t>
      </w:r>
      <w:r>
        <w:rPr>
          <w:rFonts w:hint="eastAsia" w:ascii="宋体" w:hAnsi="宋体" w:cs="宋体"/>
          <w:color w:val="000000" w:themeColor="text1"/>
          <w:kern w:val="0"/>
          <w:u w:val="single"/>
          <w14:textFill>
            <w14:solidFill>
              <w14:schemeClr w14:val="tx1"/>
            </w14:solidFill>
          </w14:textFill>
        </w:rPr>
        <w:t>（某联合体成员名称）</w:t>
      </w:r>
      <w:r>
        <w:rPr>
          <w:rFonts w:hint="eastAsia" w:ascii="宋体" w:hAnsi="宋体" w:cs="宋体"/>
          <w:color w:val="000000" w:themeColor="text1"/>
          <w:kern w:val="0"/>
          <w14:textFill>
            <w14:solidFill>
              <w14:schemeClr w14:val="tx1"/>
            </w14:solidFill>
          </w14:textFill>
        </w:rPr>
        <w:t>为联合体</w:t>
      </w:r>
      <w:r>
        <w:rPr>
          <w:rFonts w:hint="eastAsia" w:ascii="宋体" w:hAnsi="宋体" w:cs="宋体"/>
          <w:color w:val="000000" w:themeColor="text1"/>
          <w:kern w:val="0"/>
          <w:lang w:val="zh-CN"/>
          <w14:textFill>
            <w14:solidFill>
              <w14:schemeClr w14:val="tx1"/>
            </w14:solidFill>
          </w14:textFill>
        </w:rPr>
        <w:t>牵头人</w:t>
      </w:r>
      <w:r>
        <w:rPr>
          <w:rFonts w:hint="eastAsia" w:ascii="宋体" w:hAnsi="宋体" w:cs="宋体"/>
          <w:color w:val="000000" w:themeColor="text1"/>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w:t>
      </w:r>
      <w:r>
        <w:rPr>
          <w:rFonts w:hint="eastAsia" w:ascii="宋体" w:hAnsi="宋体" w:cs="宋体"/>
          <w:color w:val="000000" w:themeColor="text1"/>
          <w14:textFill>
            <w14:solidFill>
              <w14:schemeClr w14:val="tx1"/>
            </w14:solidFill>
          </w14:textFill>
        </w:rPr>
        <w:t>所有联合体成员各方签署授权书，授权书载明的</w:t>
      </w:r>
      <w:r>
        <w:rPr>
          <w:rFonts w:hint="eastAsia" w:ascii="宋体" w:hAnsi="宋体" w:cs="宋体"/>
          <w:color w:val="000000" w:themeColor="text1"/>
          <w:kern w:val="0"/>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三、本次联合投标中，分工如下：</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bookmarkStart w:id="140" w:name="_Hlk101134295"/>
      <w:r>
        <w:rPr>
          <w:rFonts w:hint="eastAsia" w:ascii="宋体" w:hAnsi="宋体" w:cs="宋体"/>
          <w:color w:val="000000" w:themeColor="text1"/>
          <w:kern w:val="0"/>
          <w:u w:val="single"/>
          <w14:textFill>
            <w14:solidFill>
              <w14:schemeClr w14:val="tx1"/>
            </w14:solidFill>
          </w14:textFill>
        </w:rPr>
        <w:t>（联合体成员1）</w:t>
      </w:r>
      <w:r>
        <w:rPr>
          <w:rFonts w:hint="eastAsia" w:ascii="宋体" w:hAnsi="宋体" w:cs="宋体"/>
          <w:color w:val="000000" w:themeColor="text1"/>
          <w:kern w:val="0"/>
          <w:lang w:val="zh-CN"/>
          <w14:textFill>
            <w14:solidFill>
              <w14:schemeClr w14:val="tx1"/>
            </w14:solidFill>
          </w14:textFill>
        </w:rPr>
        <w:t>承担的工作和义务为：；</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（联合体成员</w:t>
      </w:r>
      <w:r>
        <w:rPr>
          <w:rFonts w:ascii="宋体" w:hAnsi="宋体" w:cs="宋体"/>
          <w:color w:val="000000" w:themeColor="text1"/>
          <w:kern w:val="0"/>
          <w:u w:val="single"/>
          <w14:textFill>
            <w14:solidFill>
              <w14:schemeClr w14:val="tx1"/>
            </w14:solidFill>
          </w14:textFill>
        </w:rPr>
        <w:t>2</w:t>
      </w:r>
      <w:r>
        <w:rPr>
          <w:rFonts w:hint="eastAsia"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承担的工作和义务为：；</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bookmarkEnd w:id="140"/>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四、联合体成员中小企业合同份额（如果有）。</w:t>
      </w:r>
    </w:p>
    <w:p>
      <w:pPr>
        <w:snapToGrid w:val="0"/>
        <w:spacing w:line="480" w:lineRule="exact"/>
        <w:ind w:firstLine="576"/>
        <w:rPr>
          <w:rFonts w:ascii="宋体" w:hAnsi="宋体" w:cs="宋体"/>
          <w:b/>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（联合体成员</w:t>
      </w:r>
      <w:r>
        <w:rPr>
          <w:rFonts w:ascii="宋体" w:hAnsi="宋体" w:cs="宋体"/>
          <w:color w:val="000000" w:themeColor="text1"/>
          <w:kern w:val="0"/>
          <w:u w:val="single"/>
          <w14:textFill>
            <w14:solidFill>
              <w14:schemeClr w14:val="tx1"/>
            </w14:solidFill>
          </w14:textFill>
        </w:rPr>
        <w:t>X,</w:t>
      </w:r>
      <w:r>
        <w:rPr>
          <w:rFonts w:hint="eastAsia"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color w:val="000000" w:themeColor="text1"/>
          <w:kern w:val="0"/>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14:textFill>
            <w14:solidFill>
              <w14:schemeClr w14:val="tx1"/>
            </w14:solidFill>
          </w14:textFill>
        </w:rPr>
        <w:t>投标人</w:t>
      </w:r>
      <w:r>
        <w:rPr>
          <w:rFonts w:hint="eastAsia" w:ascii="宋体" w:hAnsi="宋体" w:cs="宋体"/>
          <w:b/>
          <w:color w:val="000000" w:themeColor="text1"/>
          <w14:textFill>
            <w14:solidFill>
              <w14:schemeClr w14:val="tx1"/>
            </w14:solidFill>
          </w14:textFill>
        </w:rPr>
        <w:t>拟享受以上价格扣除政策的，填写有关内容。</w:t>
      </w:r>
      <w:r>
        <w:rPr>
          <w:rFonts w:hint="eastAsia" w:ascii="宋体" w:hAnsi="宋体" w:cs="宋体"/>
          <w:b/>
          <w:color w:val="000000" w:themeColor="text1"/>
          <w:kern w:val="0"/>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2、中小企业合同金额达到%，小微企业合同金额达到%</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bCs/>
          <w:color w:val="000000" w:themeColor="text1"/>
          <w:kern w:val="0"/>
          <w:lang w:val="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五、如果中标，</w:t>
      </w:r>
      <w:r>
        <w:rPr>
          <w:rFonts w:hint="eastAsia" w:ascii="宋体" w:hAnsi="宋体" w:cs="宋体"/>
          <w:color w:val="000000" w:themeColor="text1"/>
          <w14:textFill>
            <w14:solidFill>
              <w14:schemeClr w14:val="tx1"/>
            </w14:solidFill>
          </w14:textFill>
        </w:rPr>
        <w:t>联合体各成员方共同与采购人签订合同，并就采购合同约定的事项对采购人承担连带责任。</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六、有关本次联合投标的其他事宜：</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1、联合体各方不再单独参加或者与其他供应商另外组成联合体参加同一合同项下的政府采购活动。</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2、联合体中有同类资质的各方按照联合体分工承担相同工作的，按照资质等级较低的供应商确定资质等级。</w:t>
      </w:r>
    </w:p>
    <w:p>
      <w:pPr>
        <w:snapToGrid w:val="0"/>
        <w:spacing w:line="480" w:lineRule="exact"/>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3、本协议提交采购人、采购机构后，联合体各方不得以任何形式对上述内容进行修改或撤销。</w:t>
      </w:r>
    </w:p>
    <w:p>
      <w:pPr>
        <w:snapToGrid w:val="0"/>
        <w:spacing w:line="480" w:lineRule="exact"/>
        <w:ind w:firstLine="5040" w:firstLineChars="24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联合体成员名称(公章)：</w:t>
      </w:r>
    </w:p>
    <w:p>
      <w:pPr>
        <w:pStyle w:val="4"/>
        <w:spacing w:line="480" w:lineRule="exact"/>
        <w:rPr>
          <w:rFonts w:ascii="宋体" w:hAnsi="宋体" w:cs="宋体"/>
          <w:b w:val="0"/>
          <w:bCs w:val="0"/>
          <w:color w:val="000000" w:themeColor="text1"/>
          <w:kern w:val="0"/>
          <w:sz w:val="21"/>
          <w:szCs w:val="21"/>
          <w:lang w:val="zh-CN"/>
          <w14:textFill>
            <w14:solidFill>
              <w14:schemeClr w14:val="tx1"/>
            </w14:solidFill>
          </w14:textFill>
        </w:rPr>
      </w:pPr>
      <w:bookmarkStart w:id="141" w:name="_Toc136017655"/>
      <w:bookmarkStart w:id="142" w:name="_Toc136345116"/>
      <w:r>
        <w:rPr>
          <w:rFonts w:hint="eastAsia" w:ascii="宋体" w:hAnsi="宋体" w:cs="宋体"/>
          <w:b w:val="0"/>
          <w:bCs w:val="0"/>
          <w:color w:val="000000" w:themeColor="text1"/>
          <w:kern w:val="0"/>
          <w:sz w:val="21"/>
          <w:szCs w:val="21"/>
          <w:lang w:val="zh-CN"/>
          <w14:textFill>
            <w14:solidFill>
              <w14:schemeClr w14:val="tx1"/>
            </w14:solidFill>
          </w14:textFill>
        </w:rPr>
        <w:t>联合体成员名称(公章)：</w:t>
      </w:r>
      <w:bookmarkEnd w:id="141"/>
      <w:bookmarkEnd w:id="142"/>
    </w:p>
    <w:p>
      <w:pPr>
        <w:spacing w:line="480" w:lineRule="exact"/>
        <w:rPr>
          <w:color w:val="000000" w:themeColor="text1"/>
          <w:lang w:val="zh-CN"/>
          <w14:textFill>
            <w14:solidFill>
              <w14:schemeClr w14:val="tx1"/>
            </w14:solidFill>
          </w14:textFill>
        </w:rPr>
      </w:pPr>
    </w:p>
    <w:p>
      <w:pPr>
        <w:snapToGrid w:val="0"/>
        <w:spacing w:line="48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日期：  年  月   日</w:t>
      </w:r>
    </w:p>
    <w:p>
      <w:pPr>
        <w:pStyle w:val="6"/>
        <w:spacing w:line="380" w:lineRule="exact"/>
        <w:jc w:val="both"/>
        <w:rPr>
          <w:rFonts w:ascii="宋体" w:hAnsi="宋体" w:cs="宋体"/>
          <w:b w:val="0"/>
          <w:bCs w:val="0"/>
          <w:color w:val="000000" w:themeColor="text1"/>
          <w:sz w:val="21"/>
          <w:szCs w:val="21"/>
          <w:lang w:val="zh-CN"/>
          <w14:textFill>
            <w14:solidFill>
              <w14:schemeClr w14:val="tx1"/>
            </w14:solidFill>
          </w14:textFill>
        </w:rPr>
      </w:pPr>
      <w:bookmarkStart w:id="143" w:name="_Toc136345117"/>
      <w:bookmarkStart w:id="144" w:name="_Toc136017656"/>
      <w:r>
        <w:rPr>
          <w:rFonts w:hint="eastAsia" w:ascii="宋体" w:hAnsi="宋体" w:cs="宋体"/>
          <w:b w:val="0"/>
          <w:bCs w:val="0"/>
          <w:color w:val="000000" w:themeColor="text1"/>
          <w:sz w:val="21"/>
          <w:szCs w:val="21"/>
          <w:lang w:val="zh-CN"/>
          <w14:textFill>
            <w14:solidFill>
              <w14:schemeClr w14:val="tx1"/>
            </w14:solidFill>
          </w14:textFill>
        </w:rPr>
        <w:t>注：按本格式和要求提供。</w:t>
      </w:r>
      <w:bookmarkEnd w:id="143"/>
      <w:bookmarkEnd w:id="144"/>
    </w:p>
    <w:p>
      <w:pPr>
        <w:rPr>
          <w:rFonts w:ascii="宋体" w:hAnsi="宋体" w:cs="宋体"/>
          <w:color w:val="000000" w:themeColor="text1"/>
          <w:kern w:val="0"/>
          <w:lang w:val="zh-CN"/>
          <w14:textFill>
            <w14:solidFill>
              <w14:schemeClr w14:val="tx1"/>
            </w14:solidFill>
          </w14:textFill>
        </w:rPr>
      </w:pP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spacing w:line="360" w:lineRule="auto"/>
        <w:rPr>
          <w:rFonts w:cs="仿宋_GB2312" w:asciiTheme="minorEastAsia" w:hAnsiTheme="minorEastAsia" w:eastAsiaTheme="minorEastAsia"/>
          <w:color w:val="000000" w:themeColor="text1"/>
          <w14:textFill>
            <w14:solidFill>
              <w14:schemeClr w14:val="tx1"/>
            </w14:solidFill>
          </w14:textFill>
        </w:rPr>
      </w:pPr>
    </w:p>
    <w:p>
      <w:pP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pPr>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pPr>
        <w:widowControl/>
        <w:spacing w:line="48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分包意向协议</w:t>
      </w:r>
    </w:p>
    <w:p>
      <w:pPr>
        <w:widowControl/>
        <w:spacing w:line="480" w:lineRule="exact"/>
        <w:ind w:firstLine="422" w:firstLineChars="20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若成为</w:t>
      </w:r>
      <w:r>
        <w:rPr>
          <w:rFonts w:hint="eastAsia" w:ascii="宋体" w:hAnsi="宋体" w:cs="宋体"/>
          <w:color w:val="000000" w:themeColor="text1"/>
          <w14:textFill>
            <w14:solidFill>
              <w14:schemeClr w14:val="tx1"/>
            </w14:solidFill>
          </w14:textFill>
        </w:rPr>
        <w:t>项目【招标编号：       】</w:t>
      </w:r>
      <w:r>
        <w:rPr>
          <w:rFonts w:hint="eastAsia" w:ascii="宋体" w:hAnsi="宋体" w:cs="宋体"/>
          <w:color w:val="000000" w:themeColor="text1"/>
          <w:kern w:val="0"/>
          <w:lang w:val="zh-CN"/>
          <w14:textFill>
            <w14:solidFill>
              <w14:schemeClr w14:val="tx1"/>
            </w14:solidFill>
          </w14:textFill>
        </w:rPr>
        <w:t>的中标人，将依法采取分包方式履行合同。</w:t>
      </w: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14:textFill>
            <w14:solidFill>
              <w14:schemeClr w14:val="tx1"/>
            </w14:solidFill>
          </w14:textFill>
        </w:rPr>
        <w:t>与</w:t>
      </w:r>
      <w:r>
        <w:rPr>
          <w:rFonts w:hint="eastAsia" w:ascii="宋体" w:hAnsi="宋体" w:cs="宋体"/>
          <w:color w:val="000000" w:themeColor="text1"/>
          <w:kern w:val="0"/>
          <w:u w:val="single"/>
          <w14:textFill>
            <w14:solidFill>
              <w14:schemeClr w14:val="tx1"/>
            </w14:solidFill>
          </w14:textFill>
        </w:rPr>
        <w:t>（所有分包供应商名称）</w:t>
      </w:r>
      <w:r>
        <w:rPr>
          <w:rFonts w:hint="eastAsia" w:ascii="宋体" w:hAnsi="宋体" w:cs="宋体"/>
          <w:color w:val="000000" w:themeColor="text1"/>
          <w:kern w:val="0"/>
          <w14:textFill>
            <w14:solidFill>
              <w14:schemeClr w14:val="tx1"/>
            </w14:solidFill>
          </w14:textFill>
        </w:rPr>
        <w:t>达成分包意向协议</w:t>
      </w:r>
      <w:r>
        <w:rPr>
          <w:rFonts w:hint="eastAsia" w:ascii="宋体" w:hAnsi="宋体" w:cs="宋体"/>
          <w:color w:val="000000" w:themeColor="text1"/>
          <w:kern w:val="0"/>
          <w:lang w:val="zh-CN"/>
          <w14:textFill>
            <w14:solidFill>
              <w14:schemeClr w14:val="tx1"/>
            </w14:solidFill>
          </w14:textFill>
        </w:rPr>
        <w:t xml:space="preserve">。 </w:t>
      </w:r>
    </w:p>
    <w:p>
      <w:pPr>
        <w:widowControl/>
        <w:numPr>
          <w:ilvl w:val="0"/>
          <w:numId w:val="19"/>
        </w:numPr>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分包标的及数量</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将</w:t>
      </w:r>
      <w:r>
        <w:rPr>
          <w:rFonts w:ascii="宋体" w:hAnsi="宋体" w:cs="宋体"/>
          <w:color w:val="000000" w:themeColor="text1"/>
          <w:kern w:val="0"/>
          <w:u w:val="single"/>
          <w14:textFill>
            <w14:solidFill>
              <w14:schemeClr w14:val="tx1"/>
            </w14:solidFill>
          </w14:textFill>
        </w:rPr>
        <w:t xml:space="preserve"> XX工作内容   </w:t>
      </w:r>
      <w:r>
        <w:rPr>
          <w:rFonts w:hint="eastAsia" w:ascii="宋体" w:hAnsi="宋体" w:cs="宋体"/>
          <w:color w:val="000000" w:themeColor="text1"/>
          <w14:textFill>
            <w14:solidFill>
              <w14:schemeClr w14:val="tx1"/>
            </w14:solidFill>
          </w14:textFill>
        </w:rPr>
        <w:t>分包给</w:t>
      </w:r>
      <w:r>
        <w:rPr>
          <w:rFonts w:hint="eastAsia" w:ascii="宋体" w:hAnsi="宋体" w:cs="宋体"/>
          <w:color w:val="000000" w:themeColor="text1"/>
          <w:kern w:val="0"/>
          <w:u w:val="single"/>
          <w14:textFill>
            <w14:solidFill>
              <w14:schemeClr w14:val="tx1"/>
            </w14:solidFill>
          </w14:textFill>
        </w:rPr>
        <w:t>（分包供应商1名称）</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（分包供应商2名称），</w:t>
      </w:r>
      <w:r>
        <w:rPr>
          <w:rFonts w:hint="eastAsia" w:ascii="宋体" w:hAnsi="宋体" w:cs="宋体"/>
          <w:color w:val="000000" w:themeColor="text1"/>
          <w:kern w:val="0"/>
          <w:lang w:val="zh-CN"/>
          <w14:textFill>
            <w14:solidFill>
              <w14:schemeClr w14:val="tx1"/>
            </w14:solidFill>
          </w14:textFill>
        </w:rPr>
        <w:t>具备承</w:t>
      </w:r>
      <w:r>
        <w:rPr>
          <w:rFonts w:hint="eastAsia" w:ascii="宋体" w:hAnsi="宋体" w:cs="宋体"/>
          <w:color w:val="000000" w:themeColor="text1"/>
          <w:kern w:val="0"/>
          <w14:textFill>
            <w14:solidFill>
              <w14:schemeClr w14:val="tx1"/>
            </w14:solidFill>
          </w14:textFill>
        </w:rPr>
        <w:t>担</w:t>
      </w:r>
      <w:r>
        <w:rPr>
          <w:rFonts w:hint="eastAsia" w:ascii="宋体" w:hAnsi="宋体" w:cs="宋体"/>
          <w:color w:val="000000" w:themeColor="text1"/>
          <w:kern w:val="0"/>
          <w:u w:val="single"/>
          <w:lang w:val="zh-CN"/>
          <w14:textFill>
            <w14:solidFill>
              <w14:schemeClr w14:val="tx1"/>
            </w14:solidFill>
          </w14:textFill>
        </w:rPr>
        <w:t>XX工作内容</w:t>
      </w:r>
      <w:r>
        <w:rPr>
          <w:rFonts w:hint="eastAsia" w:ascii="宋体" w:hAnsi="宋体" w:cs="宋体"/>
          <w:color w:val="000000" w:themeColor="text1"/>
          <w:kern w:val="0"/>
          <w:lang w:val="zh-CN"/>
          <w14:textFill>
            <w14:solidFill>
              <w14:schemeClr w14:val="tx1"/>
            </w14:solidFill>
          </w14:textFill>
        </w:rPr>
        <w:t>相应资质条件且不得再次分包；</w:t>
      </w:r>
    </w:p>
    <w:p>
      <w:pPr>
        <w:widowControl/>
        <w:spacing w:line="480" w:lineRule="exact"/>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p>
      <w:pPr>
        <w:widowControl/>
        <w:numPr>
          <w:ilvl w:val="0"/>
          <w:numId w:val="19"/>
        </w:numPr>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分包供应商中小企业合同份额（如果有）</w:t>
      </w:r>
    </w:p>
    <w:p>
      <w:pPr>
        <w:widowControl/>
        <w:numPr>
          <w:ilvl w:val="0"/>
          <w:numId w:val="20"/>
        </w:numPr>
        <w:spacing w:line="480" w:lineRule="exact"/>
        <w:ind w:firstLine="420" w:firstLineChars="200"/>
        <w:jc w:val="left"/>
        <w:rPr>
          <w:rFonts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（分包供应商X</w:t>
      </w:r>
      <w:r>
        <w:rPr>
          <w:rFonts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……）提供的服务全部由小微企业承接，</w:t>
      </w:r>
      <w:r>
        <w:rPr>
          <w:rFonts w:hint="eastAsia" w:ascii="宋体" w:hAnsi="宋体" w:cs="宋体"/>
          <w:color w:val="000000" w:themeColor="text1"/>
          <w:kern w:val="0"/>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14:textFill>
            <w14:solidFill>
              <w14:schemeClr w14:val="tx1"/>
            </w14:solidFill>
          </w14:textFill>
        </w:rPr>
        <w:t>4</w:t>
      </w:r>
      <w:r>
        <w:rPr>
          <w:rFonts w:hint="eastAsia" w:ascii="宋体" w:hAnsi="宋体" w:cs="宋体"/>
          <w:b/>
          <w:color w:val="000000" w:themeColor="text1"/>
          <w:kern w:val="0"/>
          <w:lang w:val="zh-CN"/>
          <w14:textFill>
            <w14:solidFill>
              <w14:schemeClr w14:val="tx1"/>
            </w14:solidFill>
          </w14:textFill>
        </w:rPr>
        <w:t>%的扣除。供应商</w:t>
      </w:r>
      <w:r>
        <w:rPr>
          <w:rFonts w:hint="eastAsia" w:ascii="宋体" w:hAnsi="宋体" w:cs="宋体"/>
          <w:b/>
          <w:color w:val="000000" w:themeColor="text1"/>
          <w14:textFill>
            <w14:solidFill>
              <w14:schemeClr w14:val="tx1"/>
            </w14:solidFill>
          </w14:textFill>
        </w:rPr>
        <w:t>拟享受以上价格扣除政策的，填写有关内容。</w:t>
      </w:r>
      <w:r>
        <w:rPr>
          <w:rFonts w:hint="eastAsia" w:ascii="宋体" w:hAnsi="宋体" w:cs="宋体"/>
          <w:b/>
          <w:color w:val="000000" w:themeColor="text1"/>
          <w:kern w:val="0"/>
          <w:lang w:val="zh-CN"/>
          <w14:textFill>
            <w14:solidFill>
              <w14:schemeClr w14:val="tx1"/>
            </w14:solidFill>
          </w14:textFill>
        </w:rPr>
        <w:t>）</w:t>
      </w:r>
    </w:p>
    <w:p>
      <w:pPr>
        <w:widowControl/>
        <w:numPr>
          <w:ilvl w:val="0"/>
          <w:numId w:val="20"/>
        </w:numPr>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中小企业合同金额达到%，小微企业合同金额达到%</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bCs/>
          <w:color w:val="000000" w:themeColor="text1"/>
          <w:kern w:val="0"/>
          <w:lang w:val="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lang w:val="zh-CN"/>
          <w14:textFill>
            <w14:solidFill>
              <w14:schemeClr w14:val="tx1"/>
            </w14:solidFill>
          </w14:textFill>
        </w:rPr>
        <w:t>分包意向协议</w:t>
      </w:r>
      <w:r>
        <w:rPr>
          <w:rFonts w:hint="eastAsia" w:ascii="宋体" w:hAnsi="宋体" w:cs="宋体"/>
          <w:b/>
          <w:bCs/>
          <w:color w:val="000000" w:themeColor="text1"/>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lang w:val="zh-CN"/>
          <w14:textFill>
            <w14:solidFill>
              <w14:schemeClr w14:val="tx1"/>
            </w14:solidFill>
          </w14:textFill>
        </w:rPr>
        <w:t>）</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三、分包工作履行期限、地点、方式</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四、质量</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五、价款或者报酬</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pPr>
        <w:widowControl/>
        <w:spacing w:line="480" w:lineRule="exact"/>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七、争议解决的办法</w:t>
      </w:r>
    </w:p>
    <w:p>
      <w:pPr>
        <w:widowControl/>
        <w:spacing w:line="480" w:lineRule="exact"/>
        <w:ind w:firstLine="42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八、其他</w:t>
      </w:r>
    </w:p>
    <w:p>
      <w:pPr>
        <w:snapToGrid w:val="0"/>
        <w:spacing w:line="360" w:lineRule="auto"/>
        <w:ind w:firstLine="5250" w:firstLineChars="25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w:t>
      </w:r>
      <w:r>
        <w:rPr>
          <w:rFonts w:hint="eastAsia" w:ascii="宋体" w:hAnsi="宋体" w:cs="宋体"/>
          <w:color w:val="000000" w:themeColor="text1"/>
          <w:kern w:val="0"/>
          <w14:textFill>
            <w14:solidFill>
              <w14:schemeClr w14:val="tx1"/>
            </w14:solidFill>
          </w14:textFill>
        </w:rPr>
        <w:t>公章</w:t>
      </w:r>
      <w:r>
        <w:rPr>
          <w:rFonts w:hint="eastAsia" w:ascii="宋体" w:hAnsi="宋体" w:cs="宋体"/>
          <w:color w:val="000000" w:themeColor="text1"/>
          <w:kern w:val="0"/>
          <w:lang w:val="zh-CN"/>
          <w14:textFill>
            <w14:solidFill>
              <w14:schemeClr w14:val="tx1"/>
            </w14:solidFill>
          </w14:textFill>
        </w:rPr>
        <w:t>)：</w:t>
      </w:r>
    </w:p>
    <w:p>
      <w:pPr>
        <w:snapToGrid w:val="0"/>
        <w:spacing w:line="360" w:lineRule="auto"/>
        <w:ind w:firstLine="5250" w:firstLineChars="25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分包供应商名称：</w:t>
      </w:r>
    </w:p>
    <w:p>
      <w:pPr>
        <w:snapToGrid w:val="0"/>
        <w:spacing w:line="360" w:lineRule="auto"/>
        <w:ind w:firstLine="5250" w:firstLineChars="25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p>
      <w:pPr>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日期：  年  月   日</w:t>
      </w:r>
    </w:p>
    <w:p>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 w:val="28"/>
          <w:szCs w:val="28"/>
          <w14:textFill>
            <w14:solidFill>
              <w14:schemeClr w14:val="tx1"/>
            </w14:solidFill>
          </w14:textFill>
        </w:rPr>
      </w:pPr>
      <w:bookmarkStart w:id="145" w:name="_Toc141797133"/>
      <w:bookmarkStart w:id="146" w:name="_Toc141797689"/>
      <w:r>
        <w:rPr>
          <w:rFonts w:hint="eastAsia" w:asciiTheme="minorEastAsia" w:hAnsiTheme="minorEastAsia" w:eastAsiaTheme="minorEastAsia"/>
          <w:color w:val="000000" w:themeColor="text1"/>
          <w:sz w:val="28"/>
          <w:szCs w:val="28"/>
          <w14:textFill>
            <w14:solidFill>
              <w14:schemeClr w14:val="tx1"/>
            </w14:solidFill>
          </w14:textFill>
        </w:rPr>
        <w:t>（四）投标人的特定条件的证明文件</w:t>
      </w:r>
      <w:bookmarkEnd w:id="145"/>
      <w:bookmarkEnd w:id="146"/>
    </w:p>
    <w:p>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b w:val="0"/>
          <w:bCs w:val="0"/>
          <w:color w:val="000000" w:themeColor="text1"/>
          <w:kern w:val="2"/>
          <w:sz w:val="24"/>
          <w:szCs w:val="20"/>
          <w14:textFill>
            <w14:solidFill>
              <w14:schemeClr w14:val="tx1"/>
            </w14:solidFill>
          </w14:textFill>
        </w:rPr>
      </w:pPr>
      <w:bookmarkStart w:id="147" w:name="_Toc141797134"/>
      <w:bookmarkStart w:id="148" w:name="_Toc141797690"/>
      <w:r>
        <w:rPr>
          <w:rFonts w:hint="eastAsia" w:cs="仿宋_GB2312" w:asciiTheme="minorEastAsia" w:hAnsiTheme="minorEastAsia" w:eastAsiaTheme="minorEastAsia"/>
          <w:b w:val="0"/>
          <w:bCs w:val="0"/>
          <w:color w:val="000000" w:themeColor="text1"/>
          <w:kern w:val="2"/>
          <w:sz w:val="24"/>
          <w:szCs w:val="20"/>
          <w14:textFill>
            <w14:solidFill>
              <w14:schemeClr w14:val="tx1"/>
            </w14:solidFill>
          </w14:textFill>
        </w:rPr>
        <w:t>（根据招标公告本项目的特定资格要求提供相应的材料；未要求的，无需提供）</w:t>
      </w:r>
      <w:bookmarkEnd w:id="147"/>
      <w:bookmarkEnd w:id="148"/>
    </w:p>
    <w:p>
      <w:pPr>
        <w:widowControl/>
        <w:jc w:val="left"/>
        <w:rPr>
          <w:rFonts w:ascii="宋体"/>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b/>
          <w:bCs/>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r>
        <w:rPr>
          <w:rFonts w:ascii="宋体"/>
          <w:color w:val="000000" w:themeColor="text1"/>
          <w:sz w:val="24"/>
          <w:szCs w:val="24"/>
          <w14:textFill>
            <w14:solidFill>
              <w14:schemeClr w14:val="tx1"/>
            </w14:solidFill>
          </w14:textFill>
        </w:rPr>
        <w:br w:type="textWrapping"/>
      </w:r>
      <w:r>
        <w:rPr>
          <w:rFonts w:hint="eastAsia" w:ascii="宋体" w:hAnsi="宋体" w:cs="宋体"/>
          <w:b/>
          <w:bCs/>
          <w:color w:val="000000" w:themeColor="text1"/>
          <w:kern w:val="0"/>
          <w14:textFill>
            <w14:solidFill>
              <w14:schemeClr w14:val="tx1"/>
            </w14:solidFill>
          </w14:textFill>
        </w:rPr>
        <w:t>商务技术文件组成：</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（3）技术条款偏离表；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（4）商务条款偏离表；</w:t>
      </w:r>
    </w:p>
    <w:p>
      <w:pPr>
        <w:widowControl/>
        <w:spacing w:line="360" w:lineRule="auto"/>
        <w:ind w:firstLine="42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所投两轮摩托车须满足机动车登记注册上牌照要求（投标文件中须提供承诺书</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格式自拟）</w:t>
      </w:r>
      <w:r>
        <w:rPr>
          <w:rFonts w:hint="eastAsia" w:ascii="Times New Roman" w:hAnsi="Times New Roman" w:eastAsia="宋体" w:cs="Times New Roman"/>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000000" w:themeColor="text1"/>
          <w:kern w:val="0"/>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）第六部分“评标办法”中“评分标准”要求提供的资料（如有需提供）。</w:t>
      </w:r>
    </w:p>
    <w:p>
      <w:pPr>
        <w:widowControl/>
        <w:spacing w:line="360" w:lineRule="auto"/>
        <w:ind w:firstLine="420" w:firstLineChars="200"/>
        <w:jc w:val="left"/>
        <w:rPr>
          <w:rFonts w:ascii="宋体" w:hAnsi="宋体" w:cs="宋体"/>
          <w:color w:val="000000" w:themeColor="text1"/>
          <w:kern w:val="0"/>
          <w14:textFill>
            <w14:solidFill>
              <w14:schemeClr w14:val="tx1"/>
            </w14:solidFill>
          </w14:textFill>
        </w:rPr>
      </w:pPr>
    </w:p>
    <w:p>
      <w:pPr>
        <w:widowControl/>
        <w:spacing w:line="360" w:lineRule="auto"/>
        <w:ind w:firstLine="420" w:firstLineChars="200"/>
        <w:jc w:val="left"/>
        <w:rPr>
          <w:rFonts w:ascii="宋体"/>
          <w:color w:val="000000" w:themeColor="text1"/>
          <w14:textFill>
            <w14:solidFill>
              <w14:schemeClr w14:val="tx1"/>
            </w14:solidFill>
          </w14:textFill>
        </w:rPr>
      </w:pPr>
    </w:p>
    <w:p>
      <w:pPr>
        <w:widowControl/>
        <w:spacing w:line="360" w:lineRule="auto"/>
        <w:ind w:firstLine="420" w:firstLineChars="200"/>
        <w:jc w:val="left"/>
        <w:rPr>
          <w:rFonts w:ascii="宋体"/>
          <w:color w:val="000000" w:themeColor="text1"/>
          <w:kern w:val="0"/>
          <w14:textFill>
            <w14:solidFill>
              <w14:schemeClr w14:val="tx1"/>
            </w14:solidFill>
          </w14:textFill>
        </w:rPr>
      </w:pP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8"/>
          <w:szCs w:val="28"/>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149" w:name="_Toc141797135"/>
      <w:bookmarkStart w:id="150" w:name="_Toc141797691"/>
      <w:r>
        <w:rPr>
          <w:rFonts w:hint="eastAsia" w:asciiTheme="minorEastAsia" w:hAnsiTheme="minorEastAsia" w:eastAsiaTheme="minorEastAsia"/>
          <w:bCs w:val="0"/>
          <w:color w:val="000000" w:themeColor="text1"/>
          <w:sz w:val="28"/>
          <w:szCs w:val="28"/>
          <w14:textFill>
            <w14:solidFill>
              <w14:schemeClr w14:val="tx1"/>
            </w14:solidFill>
          </w14:textFill>
        </w:rPr>
        <w:t>（一）单位负责人授权书</w:t>
      </w:r>
      <w:bookmarkEnd w:id="149"/>
      <w:bookmarkEnd w:id="150"/>
    </w:p>
    <w:p>
      <w:pPr>
        <w:pStyle w:val="15"/>
        <w:ind w:firstLine="0"/>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（单位负责人来投标的，此表不用）</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p>
    <w:p>
      <w:pPr>
        <w:snapToGrid w:val="0"/>
        <w:spacing w:line="360" w:lineRule="auto"/>
        <w:ind w:firstLine="420" w:firstLineChars="200"/>
        <w:rPr>
          <w:rFonts w:cs="仿宋_GB2312" w:asciiTheme="minorEastAsia" w:hAnsiTheme="minorEastAsia" w:eastAsiaTheme="minorEastAsia"/>
          <w:color w:val="000000" w:themeColor="text1"/>
          <w:kern w:val="0"/>
          <w14:textFill>
            <w14:solidFill>
              <w14:schemeClr w14:val="tx1"/>
            </w14:solidFill>
          </w14:textFill>
        </w:rPr>
      </w:pPr>
      <w:r>
        <w:rPr>
          <w:rFonts w:hint="eastAsia" w:cs="仿宋_GB2312" w:asciiTheme="minorEastAsia" w:hAnsiTheme="minorEastAsia" w:eastAsiaTheme="minorEastAsia"/>
          <w:color w:val="000000" w:themeColor="text1"/>
          <w:kern w:val="0"/>
          <w14:textFill>
            <w14:solidFill>
              <w14:schemeClr w14:val="tx1"/>
            </w14:solidFill>
          </w14:textFill>
        </w:rPr>
        <w:t>现</w:t>
      </w:r>
      <w:r>
        <w:rPr>
          <w:rFonts w:hint="eastAsia" w:cs="仿宋_GB2312" w:asciiTheme="minorEastAsia" w:hAnsiTheme="minorEastAsia" w:eastAsiaTheme="minorEastAsia"/>
          <w:color w:val="000000" w:themeColor="text1"/>
          <w:kern w:val="0"/>
          <w:lang w:val="zh-CN"/>
          <w14:textFill>
            <w14:solidFill>
              <w14:schemeClr w14:val="tx1"/>
            </w14:solidFill>
          </w14:textFill>
        </w:rPr>
        <w:t>委托</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（姓名）为我方代理人（身份证号码：</w:t>
      </w:r>
      <w:r>
        <w:rPr>
          <w:rFonts w:hint="eastAsia" w:cs="仿宋_GB2312" w:asciiTheme="minorEastAsia" w:hAnsiTheme="minorEastAsia" w:eastAsiaTheme="minorEastAsia"/>
          <w:color w:val="000000" w:themeColor="text1"/>
          <w:kern w:val="0"/>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项目</w:t>
      </w:r>
      <w:r>
        <w:rPr>
          <w:rFonts w:hint="eastAsia" w:cs="仿宋_GB2312" w:asciiTheme="minorEastAsia" w:hAnsiTheme="minorEastAsia" w:eastAsiaTheme="minorEastAsia"/>
          <w:color w:val="000000" w:themeColor="text1"/>
          <w14:textFill>
            <w14:solidFill>
              <w14:schemeClr w14:val="tx1"/>
            </w14:solidFill>
          </w14:textFill>
        </w:rPr>
        <w:t>【招标编号：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lang w:val="zh-CN"/>
          <w14:textFill>
            <w14:solidFill>
              <w14:schemeClr w14:val="tx1"/>
            </w14:solidFill>
          </w14:textFill>
        </w:rPr>
        <w:t>政府采购投标的一切事项，其法律后果由我方承担。</w:t>
      </w:r>
    </w:p>
    <w:p>
      <w:pPr>
        <w:snapToGrid w:val="0"/>
        <w:spacing w:line="360" w:lineRule="auto"/>
        <w:rPr>
          <w:rFonts w:cs="仿宋_GB2312" w:asciiTheme="minorEastAsia" w:hAnsiTheme="minorEastAsia" w:eastAsiaTheme="minorEastAsia"/>
          <w:color w:val="000000" w:themeColor="text1"/>
          <w:kern w:val="0"/>
          <w14:textFill>
            <w14:solidFill>
              <w14:schemeClr w14:val="tx1"/>
            </w14:solidFill>
          </w14:textFill>
        </w:rPr>
      </w:pPr>
      <w:r>
        <w:rPr>
          <w:rFonts w:hint="eastAsia" w:cs="仿宋_GB2312" w:asciiTheme="minorEastAsia" w:hAnsiTheme="minorEastAsia" w:eastAsiaTheme="minorEastAsia"/>
          <w:color w:val="000000" w:themeColor="text1"/>
          <w:kern w:val="0"/>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14:textFill>
            <w14:solidFill>
              <w14:schemeClr w14:val="tx1"/>
            </w14:solidFill>
          </w14:textFill>
        </w:rPr>
        <w:t>：</w:t>
      </w:r>
      <w:r>
        <w:rPr>
          <w:rFonts w:hint="eastAsia" w:cs="仿宋_GB2312" w:asciiTheme="minorEastAsia" w:hAnsiTheme="minorEastAsia" w:eastAsiaTheme="minorEastAsia"/>
          <w:color w:val="000000" w:themeColor="text1"/>
          <w:kern w:val="0"/>
          <w:lang w:val="zh-CN"/>
          <w14:textFill>
            <w14:solidFill>
              <w14:schemeClr w14:val="tx1"/>
            </w14:solidFill>
          </w14:textFill>
        </w:rPr>
        <w:t>自</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年</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月</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日起至</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年</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月</w:t>
      </w:r>
      <w:r>
        <w:rPr>
          <w:rFonts w:hint="eastAsia" w:cs="仿宋_GB2312" w:asciiTheme="minorEastAsia" w:hAnsiTheme="minorEastAsia" w:eastAsiaTheme="minorEastAsia"/>
          <w:color w:val="000000" w:themeColor="text1"/>
          <w:kern w:val="0"/>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lang w:val="zh-CN"/>
          <w14:textFill>
            <w14:solidFill>
              <w14:schemeClr w14:val="tx1"/>
            </w14:solidFill>
          </w14:textFill>
        </w:rPr>
        <w:t>日止。</w:t>
      </w:r>
    </w:p>
    <w:p>
      <w:pPr>
        <w:pStyle w:val="15"/>
        <w:ind w:firstLine="420"/>
        <w:rPr>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特此告知。</w:t>
      </w:r>
    </w:p>
    <w:p>
      <w:pPr>
        <w:pStyle w:val="37"/>
        <w:ind w:left="0" w:firstLine="0" w:firstLine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 xml:space="preserve">授权代表姓名：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性别：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      职务：    联系电话：</w:t>
      </w:r>
      <w:r>
        <w:rPr>
          <w:rFonts w:hint="eastAsia" w:ascii="宋体" w:hAnsi="宋体" w:cs="宋体"/>
          <w:color w:val="000000" w:themeColor="text1"/>
          <w14:textFill>
            <w14:solidFill>
              <w14:schemeClr w14:val="tx1"/>
            </w14:solidFill>
          </w14:textFill>
        </w:rPr>
        <w:t xml:space="preserve"> </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14:textFill>
            <w14:solidFill>
              <w14:schemeClr w14:val="tx1"/>
            </w14:solidFill>
          </w14:textFill>
        </w:rPr>
        <w:t>（联合体成员）</w:t>
      </w:r>
      <w:r>
        <w:rPr>
          <w:rFonts w:hint="eastAsia" w:asciiTheme="minorEastAsia" w:hAnsiTheme="minorEastAsia" w:eastAsiaTheme="minorEastAsia"/>
          <w:color w:val="000000" w:themeColor="text1"/>
          <w:sz w:val="21"/>
          <w:szCs w:val="21"/>
          <w14:textFill>
            <w14:solidFill>
              <w14:schemeClr w14:val="tx1"/>
            </w14:solidFill>
          </w14:textFill>
        </w:rPr>
        <w:t>单位全称（公章）：</w:t>
      </w:r>
    </w:p>
    <w:p>
      <w:pPr>
        <w:pStyle w:val="15"/>
        <w:ind w:firstLine="4410" w:firstLineChars="2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单位负责人（签字或印章）：</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p>
    <w:p>
      <w:pPr>
        <w:pStyle w:val="15"/>
        <w:ind w:firstLine="0"/>
        <w:rPr>
          <w:rFonts w:asciiTheme="minorEastAsia" w:hAnsiTheme="minorEastAsia" w:eastAsiaTheme="minorEastAsia"/>
          <w:i/>
          <w:iCs/>
          <w:color w:val="000000" w:themeColor="text1"/>
          <w:sz w:val="21"/>
          <w:szCs w:val="21"/>
          <w14:textFill>
            <w14:solidFill>
              <w14:schemeClr w14:val="tx1"/>
            </w14:solidFill>
          </w14:textFill>
        </w:rPr>
      </w:pPr>
      <w:r>
        <w:rPr>
          <w:rFonts w:hint="eastAsia" w:asciiTheme="minorEastAsia" w:hAnsiTheme="minorEastAsia" w:eastAsiaTheme="minorEastAsia"/>
          <w:i/>
          <w:iCs/>
          <w:color w:val="000000" w:themeColor="text1"/>
          <w:sz w:val="21"/>
          <w:szCs w:val="21"/>
          <w14:textFill>
            <w14:solidFill>
              <w14:schemeClr w14:val="tx1"/>
            </w14:solidFill>
          </w14:textFill>
        </w:rPr>
        <w:t xml:space="preserve">                                          投标人（联合体成员）单位全称（公章）：</w:t>
      </w:r>
    </w:p>
    <w:p>
      <w:pPr>
        <w:pStyle w:val="15"/>
        <w:ind w:firstLine="4410" w:firstLineChars="2100"/>
        <w:rPr>
          <w:rFonts w:asciiTheme="minorEastAsia" w:hAnsiTheme="minorEastAsia" w:eastAsiaTheme="minorEastAsia"/>
          <w:i/>
          <w:iCs/>
          <w:color w:val="000000" w:themeColor="text1"/>
          <w:sz w:val="21"/>
          <w:szCs w:val="21"/>
          <w14:textFill>
            <w14:solidFill>
              <w14:schemeClr w14:val="tx1"/>
            </w14:solidFill>
          </w14:textFill>
        </w:rPr>
      </w:pPr>
      <w:r>
        <w:rPr>
          <w:rFonts w:hint="eastAsia" w:asciiTheme="minorEastAsia" w:hAnsiTheme="minorEastAsia" w:eastAsiaTheme="minorEastAsia"/>
          <w:i/>
          <w:iCs/>
          <w:color w:val="000000" w:themeColor="text1"/>
          <w:sz w:val="21"/>
          <w:szCs w:val="21"/>
          <w14:textFill>
            <w14:solidFill>
              <w14:schemeClr w14:val="tx1"/>
            </w14:solidFill>
          </w14:textFill>
        </w:rPr>
        <w:t>单位负责人（签字或印章）：</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日  期：</w:t>
      </w:r>
    </w:p>
    <w:p>
      <w:pPr>
        <w:ind w:firstLine="417" w:firstLineChars="198"/>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附：被授权人身份证复印件</w:t>
      </w:r>
    </w:p>
    <w:p>
      <w:pPr>
        <w:widowControl/>
        <w:jc w:val="left"/>
        <w:rPr>
          <w:rFonts w:asciiTheme="minorEastAsia" w:hAnsiTheme="minorEastAsia" w:eastAsiaTheme="minorEastAsia"/>
          <w:b/>
          <w:color w:val="000000" w:themeColor="text1"/>
          <w14:textFill>
            <w14:solidFill>
              <w14:schemeClr w14:val="tx1"/>
            </w14:solidFill>
          </w14:textFill>
        </w:rPr>
      </w:pPr>
    </w:p>
    <w:p>
      <w:pPr>
        <w:widowControl/>
        <w:jc w:val="left"/>
        <w:rPr>
          <w:rFonts w:asciiTheme="minorEastAsia" w:hAnsiTheme="minorEastAsia" w:eastAsiaTheme="minorEastAsia"/>
          <w:b/>
          <w:color w:val="000000" w:themeColor="text1"/>
          <w14:textFill>
            <w14:solidFill>
              <w14:schemeClr w14:val="tx1"/>
            </w14:solidFill>
          </w14:textFill>
        </w:rPr>
      </w:pPr>
    </w:p>
    <w:p>
      <w:pPr>
        <w:widowControl/>
        <w:jc w:val="left"/>
        <w:rPr>
          <w:rFonts w:asciiTheme="minorEastAsia" w:hAnsiTheme="minorEastAsia" w:eastAsiaTheme="minorEastAsia"/>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（若为联合体投标，联合体须同时盖章提供）</w:t>
      </w:r>
      <w:r>
        <w:rPr>
          <w:rFonts w:asciiTheme="minorEastAsia" w:hAnsiTheme="minorEastAsia" w:eastAsiaTheme="minorEastAsia"/>
          <w:b/>
          <w:color w:val="000000" w:themeColor="text1"/>
          <w14:textFill>
            <w14:solidFill>
              <w14:schemeClr w14:val="tx1"/>
            </w14:solidFill>
          </w14:textFill>
        </w:rPr>
        <w:br w:type="page"/>
      </w:r>
    </w:p>
    <w:p>
      <w:pPr>
        <w:pStyle w:val="4"/>
        <w:spacing w:line="380" w:lineRule="exact"/>
        <w:rPr>
          <w:rFonts w:asciiTheme="minorEastAsia" w:hAnsiTheme="minorEastAsia" w:eastAsiaTheme="minorEastAsia"/>
          <w:bCs w:val="0"/>
          <w:color w:val="000000" w:themeColor="text1"/>
          <w:sz w:val="24"/>
          <w:szCs w:val="24"/>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4"/>
          <w:szCs w:val="24"/>
          <w14:textFill>
            <w14:solidFill>
              <w14:schemeClr w14:val="tx1"/>
            </w14:solidFill>
          </w14:textFill>
        </w:rPr>
      </w:pPr>
      <w:bookmarkStart w:id="151" w:name="_Toc141797136"/>
      <w:bookmarkStart w:id="152" w:name="_Toc141797692"/>
      <w:r>
        <w:rPr>
          <w:rFonts w:hint="eastAsia" w:asciiTheme="minorEastAsia" w:hAnsiTheme="minorEastAsia" w:eastAsiaTheme="minorEastAsia"/>
          <w:bCs w:val="0"/>
          <w:color w:val="000000" w:themeColor="text1"/>
          <w:sz w:val="24"/>
          <w:szCs w:val="24"/>
          <w14:textFill>
            <w14:solidFill>
              <w14:schemeClr w14:val="tx1"/>
            </w14:solidFill>
          </w14:textFill>
        </w:rPr>
        <w:t>单位负责人身份证明</w:t>
      </w:r>
      <w:bookmarkEnd w:id="151"/>
      <w:bookmarkEnd w:id="152"/>
    </w:p>
    <w:p>
      <w:pPr>
        <w:pStyle w:val="15"/>
        <w:ind w:firstLine="0"/>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（单位负责人不来投标的，此表不用）</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投标人名称：</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单位性质：</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地址：</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成立时间：</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年</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月</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日</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经营期限：</w:t>
      </w:r>
    </w:p>
    <w:p>
      <w:pPr>
        <w:spacing w:line="480" w:lineRule="auto"/>
        <w:ind w:firstLine="420" w:firstLineChars="200"/>
        <w:rPr>
          <w:rFonts w:hint="default" w:cs="宋体" w:asciiTheme="minorEastAsia" w:hAnsiTheme="minorEastAsia" w:eastAsiaTheme="minorEastAsia"/>
          <w:color w:val="000000" w:themeColor="text1"/>
          <w:lang w:val="en-US" w:eastAsia="zh-CN"/>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姓名：</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性别：</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年龄：</w:t>
      </w:r>
      <w:r>
        <w:rPr>
          <w:rFonts w:hint="eastAsia" w:cs="宋体" w:asciiTheme="minorEastAsia" w:hAnsiTheme="minorEastAsia" w:eastAsiaTheme="minorEastAsia"/>
          <w:color w:val="000000" w:themeColor="text1"/>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14:textFill>
            <w14:solidFill>
              <w14:schemeClr w14:val="tx1"/>
            </w14:solidFill>
          </w14:textFill>
        </w:rPr>
        <w:t>职务：</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     </w:t>
      </w:r>
    </w:p>
    <w:p>
      <w:pPr>
        <w:spacing w:line="480" w:lineRule="auto"/>
        <w:ind w:firstLine="420" w:firstLineChars="200"/>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身份证号码：</w:t>
      </w:r>
    </w:p>
    <w:p>
      <w:pPr>
        <w:spacing w:line="480" w:lineRule="auto"/>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系</w:t>
      </w:r>
      <w:r>
        <w:rPr>
          <w:rFonts w:hint="eastAsia" w:cs="宋体" w:asciiTheme="minorEastAsia" w:hAnsiTheme="minorEastAsia" w:eastAsiaTheme="minorEastAsia"/>
          <w:color w:val="000000" w:themeColor="text1"/>
          <w:u w:val="single"/>
          <w14:textFill>
            <w14:solidFill>
              <w14:schemeClr w14:val="tx1"/>
            </w14:solidFill>
          </w14:textFill>
        </w:rPr>
        <w:t>（投标人名称）</w:t>
      </w:r>
      <w:r>
        <w:rPr>
          <w:rFonts w:hint="eastAsia" w:cs="宋体" w:asciiTheme="minorEastAsia" w:hAnsiTheme="minorEastAsia" w:eastAsiaTheme="minorEastAsia"/>
          <w:color w:val="000000" w:themeColor="text1"/>
          <w14:textFill>
            <w14:solidFill>
              <w14:schemeClr w14:val="tx1"/>
            </w14:solidFill>
          </w14:textFill>
        </w:rPr>
        <w:t>的法定代表人（或单位负责人）。</w:t>
      </w:r>
    </w:p>
    <w:p>
      <w:pPr>
        <w:spacing w:line="480" w:lineRule="auto"/>
        <w:ind w:firstLine="840" w:firstLineChars="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特此证明。</w:t>
      </w: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pPr>
        <w:wordWrap w:val="0"/>
        <w:spacing w:line="360" w:lineRule="auto"/>
        <w:jc w:val="righ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投标人：（盖单位公章）</w:t>
      </w:r>
    </w:p>
    <w:p>
      <w:pPr>
        <w:spacing w:line="360" w:lineRule="auto"/>
        <w:ind w:firstLine="4515" w:firstLineChars="2150"/>
        <w:rPr>
          <w:rFonts w:cs="宋体" w:asciiTheme="minorEastAsia" w:hAnsiTheme="minorEastAsia" w:eastAsiaTheme="minorEastAsia"/>
          <w:color w:val="000000" w:themeColor="text1"/>
          <w:u w:val="single"/>
          <w14:textFill>
            <w14:solidFill>
              <w14:schemeClr w14:val="tx1"/>
            </w14:solidFill>
          </w14:textFill>
        </w:rPr>
      </w:pPr>
    </w:p>
    <w:p>
      <w:pPr>
        <w:spacing w:line="360" w:lineRule="auto"/>
        <w:ind w:firstLine="6825" w:firstLineChars="325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 xml:space="preserve">年 </w:t>
      </w: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 xml:space="preserve"> 月   日</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p>
    <w:p>
      <w:pPr>
        <w:spacing w:line="360" w:lineRule="auto"/>
        <w:rPr>
          <w:rFonts w:cs="宋体" w:asciiTheme="minorEastAsia" w:hAnsiTheme="minorEastAsia" w:eastAsiaTheme="minorEastAsia"/>
          <w:b/>
          <w:color w:val="000000" w:themeColor="text1"/>
          <w14:textFill>
            <w14:solidFill>
              <w14:schemeClr w14:val="tx1"/>
            </w14:solidFill>
          </w14:textFill>
        </w:rPr>
      </w:pPr>
    </w:p>
    <w:p>
      <w:pPr>
        <w:spacing w:line="360" w:lineRule="auto"/>
        <w:rPr>
          <w:rFonts w:cs="宋体" w:asciiTheme="minorEastAsia" w:hAnsiTheme="minorEastAsia" w:eastAsiaTheme="minorEastAsia"/>
          <w:b/>
          <w:color w:val="000000" w:themeColor="text1"/>
          <w14:textFill>
            <w14:solidFill>
              <w14:schemeClr w14:val="tx1"/>
            </w14:solidFill>
          </w14:textFill>
        </w:rPr>
      </w:pPr>
    </w:p>
    <w:p>
      <w:pPr>
        <w:spacing w:line="360" w:lineRule="auto"/>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附法定代表人身份证复印件（正反面）：</w:t>
      </w:r>
    </w:p>
    <w:p>
      <w:pPr>
        <w:rPr>
          <w:rFonts w:cs="宋体" w:asciiTheme="minorEastAsia" w:hAnsiTheme="minorEastAsia" w:eastAsiaTheme="minorEastAsia"/>
          <w:color w:val="000000" w:themeColor="text1"/>
          <w14:textFill>
            <w14:solidFill>
              <w14:schemeClr w14:val="tx1"/>
            </w14:solidFill>
          </w14:textFill>
        </w:rPr>
      </w:pPr>
    </w:p>
    <w:p>
      <w:pPr>
        <w:rPr>
          <w:rFonts w:cs="宋体" w:asciiTheme="minorEastAsia" w:hAnsiTheme="minorEastAsia" w:eastAsiaTheme="minorEastAsia"/>
          <w:b/>
          <w:color w:val="000000" w:themeColor="text1"/>
          <w:sz w:val="32"/>
          <w:szCs w:val="32"/>
          <w14:textFill>
            <w14:solidFill>
              <w14:schemeClr w14:val="tx1"/>
            </w14:solidFill>
          </w14:textFill>
        </w:rPr>
      </w:pPr>
    </w:p>
    <w:p>
      <w:pPr>
        <w:rPr>
          <w:rFonts w:cs="宋体" w:asciiTheme="minorEastAsia" w:hAnsiTheme="minorEastAsia" w:eastAsiaTheme="minorEastAsia"/>
          <w:b/>
          <w:color w:val="000000" w:themeColor="text1"/>
          <w:sz w:val="32"/>
          <w:szCs w:val="32"/>
          <w14:textFill>
            <w14:solidFill>
              <w14:schemeClr w14:val="tx1"/>
            </w14:solidFill>
          </w14:textFill>
        </w:rPr>
      </w:pPr>
    </w:p>
    <w:p>
      <w:pPr>
        <w:ind w:firstLine="205" w:firstLineChars="9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sectPr>
          <w:headerReference r:id="rId12" w:type="default"/>
          <w:pgSz w:w="11907" w:h="16840"/>
          <w:pgMar w:top="1304" w:right="1588" w:bottom="1418" w:left="1588" w:header="720" w:footer="720" w:gutter="0"/>
          <w:pgBorders>
            <w:top w:val="none" w:sz="0" w:space="0"/>
            <w:left w:val="none" w:sz="0" w:space="0"/>
            <w:bottom w:val="none" w:sz="0" w:space="0"/>
            <w:right w:val="none" w:sz="0" w:space="0"/>
          </w:pgBorders>
          <w:cols w:space="720" w:num="1"/>
          <w:docGrid w:linePitch="285" w:charSpace="0"/>
        </w:sectPr>
      </w:pPr>
    </w:p>
    <w:p>
      <w:pPr>
        <w:rPr>
          <w:rFonts w:asciiTheme="minorEastAsia" w:hAnsiTheme="minorEastAsia" w:eastAsiaTheme="minorEastAsia"/>
          <w:color w:val="000000" w:themeColor="text1"/>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153" w:name="_Toc141797137"/>
      <w:bookmarkStart w:id="154" w:name="_Toc141797693"/>
      <w:r>
        <w:rPr>
          <w:rFonts w:hint="eastAsia" w:asciiTheme="minorEastAsia" w:hAnsiTheme="minorEastAsia" w:eastAsiaTheme="minorEastAsia"/>
          <w:bCs w:val="0"/>
          <w:color w:val="000000" w:themeColor="text1"/>
          <w:sz w:val="28"/>
          <w:szCs w:val="28"/>
          <w14:textFill>
            <w14:solidFill>
              <w14:schemeClr w14:val="tx1"/>
            </w14:solidFill>
          </w14:textFill>
        </w:rPr>
        <w:t>（二）投标人基本情况表</w:t>
      </w:r>
      <w:bookmarkEnd w:id="153"/>
      <w:bookmarkEnd w:id="154"/>
    </w:p>
    <w:tbl>
      <w:tblPr>
        <w:tblStyle w:val="3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投标人名称</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注册地址</w:t>
            </w:r>
          </w:p>
        </w:tc>
        <w:tc>
          <w:tcPr>
            <w:tcW w:w="3347"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邮政编码</w:t>
            </w:r>
          </w:p>
        </w:tc>
        <w:tc>
          <w:tcPr>
            <w:tcW w:w="2534"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联系方式</w:t>
            </w:r>
          </w:p>
        </w:tc>
        <w:tc>
          <w:tcPr>
            <w:tcW w:w="85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联系人</w:t>
            </w:r>
          </w:p>
        </w:tc>
        <w:tc>
          <w:tcPr>
            <w:tcW w:w="2496"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2534"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85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传真</w:t>
            </w:r>
          </w:p>
        </w:tc>
        <w:tc>
          <w:tcPr>
            <w:tcW w:w="2496"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电子邮址</w:t>
            </w:r>
          </w:p>
        </w:tc>
        <w:tc>
          <w:tcPr>
            <w:tcW w:w="2534"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法定代表人</w:t>
            </w:r>
          </w:p>
        </w:tc>
        <w:tc>
          <w:tcPr>
            <w:tcW w:w="85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姓名</w:t>
            </w:r>
          </w:p>
        </w:tc>
        <w:tc>
          <w:tcPr>
            <w:tcW w:w="1276"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220"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技术职称</w:t>
            </w:r>
          </w:p>
        </w:tc>
        <w:tc>
          <w:tcPr>
            <w:tcW w:w="1268"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794"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1740"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技术负责人</w:t>
            </w:r>
          </w:p>
        </w:tc>
        <w:tc>
          <w:tcPr>
            <w:tcW w:w="85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姓名</w:t>
            </w:r>
          </w:p>
        </w:tc>
        <w:tc>
          <w:tcPr>
            <w:tcW w:w="1276"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220"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技术职称</w:t>
            </w:r>
          </w:p>
        </w:tc>
        <w:tc>
          <w:tcPr>
            <w:tcW w:w="1268"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794"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1740" w:type="dxa"/>
            <w:gridSpan w:val="2"/>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成立时间</w:t>
            </w:r>
          </w:p>
        </w:tc>
        <w:tc>
          <w:tcPr>
            <w:tcW w:w="3347"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3802" w:type="dxa"/>
            <w:gridSpan w:val="5"/>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asciiTheme="minorEastAsia" w:hAnsiTheme="minorEastAsia" w:eastAsiaTheme="minorEastAsia"/>
                <w:color w:val="000000" w:themeColor="text1"/>
                <w:sz w:val="24"/>
                <w:szCs w:val="24"/>
                <w:lang w:val="en-US"/>
                <w14:textFill>
                  <w14:solidFill>
                    <w14:schemeClr w14:val="tx1"/>
                  </w14:solidFill>
                </w14:textFill>
              </w:rPr>
              <w:t>资质</w:t>
            </w:r>
            <w:r>
              <w:rPr>
                <w:rFonts w:hint="eastAsia" w:asciiTheme="minorEastAsia" w:hAnsiTheme="minorEastAsia" w:eastAsiaTheme="minorEastAsia"/>
                <w:color w:val="000000" w:themeColor="text1"/>
                <w:sz w:val="24"/>
                <w:szCs w:val="24"/>
                <w:lang w:val="en-US"/>
                <w14:textFill>
                  <w14:solidFill>
                    <w14:schemeClr w14:val="tx1"/>
                  </w14:solidFill>
                </w14:textFill>
              </w:rPr>
              <w:t>资格与业务范围</w:t>
            </w:r>
          </w:p>
        </w:tc>
        <w:tc>
          <w:tcPr>
            <w:tcW w:w="3347" w:type="dxa"/>
            <w:gridSpan w:val="3"/>
            <w:vMerge w:val="restart"/>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restart"/>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其中</w:t>
            </w:r>
          </w:p>
        </w:tc>
        <w:tc>
          <w:tcPr>
            <w:tcW w:w="1715"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高级职称</w:t>
            </w:r>
          </w:p>
        </w:tc>
        <w:tc>
          <w:tcPr>
            <w:tcW w:w="1195"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3347" w:type="dxa"/>
            <w:gridSpan w:val="3"/>
            <w:vMerge w:val="continue"/>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continue"/>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715"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中级职称</w:t>
            </w:r>
          </w:p>
        </w:tc>
        <w:tc>
          <w:tcPr>
            <w:tcW w:w="1195"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营业执照号</w:t>
            </w:r>
          </w:p>
        </w:tc>
        <w:tc>
          <w:tcPr>
            <w:tcW w:w="3347"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continue"/>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c>
          <w:tcPr>
            <w:tcW w:w="1715" w:type="dxa"/>
            <w:gridSpan w:val="3"/>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各类注册人员</w:t>
            </w:r>
          </w:p>
        </w:tc>
        <w:tc>
          <w:tcPr>
            <w:tcW w:w="1195"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注册资金</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基本账户开户银行</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基本账户账号</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经营范围</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备注</w:t>
            </w:r>
          </w:p>
        </w:tc>
        <w:tc>
          <w:tcPr>
            <w:tcW w:w="7149" w:type="dxa"/>
            <w:gridSpan w:val="8"/>
            <w:vAlign w:val="center"/>
          </w:tcPr>
          <w:p>
            <w:pPr>
              <w:pStyle w:val="130"/>
              <w:jc w:val="center"/>
              <w:rPr>
                <w:rFonts w:asciiTheme="minorEastAsia" w:hAnsiTheme="minorEastAsia" w:eastAsiaTheme="minorEastAsia"/>
                <w:color w:val="000000" w:themeColor="text1"/>
                <w:sz w:val="24"/>
                <w:szCs w:val="24"/>
                <w:lang w:val="en-US"/>
                <w14:textFill>
                  <w14:solidFill>
                    <w14:schemeClr w14:val="tx1"/>
                  </w14:solidFill>
                </w14:textFill>
              </w:rPr>
            </w:pPr>
          </w:p>
        </w:tc>
      </w:tr>
    </w:tbl>
    <w:p>
      <w:pPr>
        <w:spacing w:line="380" w:lineRule="exact"/>
        <w:rPr>
          <w:rFonts w:asciiTheme="minorEastAsia" w:hAnsiTheme="minorEastAsia" w:eastAsiaTheme="minorEastAsia"/>
          <w:color w:val="000000" w:themeColor="text1"/>
          <w:sz w:val="22"/>
          <w:szCs w:val="22"/>
          <w14:textFill>
            <w14:solidFill>
              <w14:schemeClr w14:val="tx1"/>
            </w14:solidFill>
          </w14:textFill>
        </w:rPr>
      </w:pPr>
    </w:p>
    <w:p>
      <w:pPr>
        <w:spacing w:line="380" w:lineRule="exact"/>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投标人（公章）：</w:t>
      </w:r>
    </w:p>
    <w:p>
      <w:pPr>
        <w:spacing w:line="380" w:lineRule="exact"/>
        <w:rPr>
          <w:rFonts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日期：</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（若为联合体投标，联合体各方须单独提供并盖章）</w:t>
      </w:r>
    </w:p>
    <w:p>
      <w:pPr>
        <w:rPr>
          <w:rFonts w:ascii="宋体" w:hAnsi="宋体" w:cs="宋体"/>
          <w:b/>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4"/>
        <w:spacing w:line="3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155" w:name="_Toc141797140"/>
      <w:bookmarkStart w:id="156" w:name="_Toc141797696"/>
      <w:r>
        <w:rPr>
          <w:rFonts w:hint="eastAsia" w:asciiTheme="minorEastAsia" w:hAnsiTheme="minorEastAsia" w:eastAsiaTheme="minorEastAsia"/>
          <w:bCs w:val="0"/>
          <w:color w:val="000000" w:themeColor="text1"/>
          <w:sz w:val="28"/>
          <w:szCs w:val="28"/>
          <w14:textFill>
            <w14:solidFill>
              <w14:schemeClr w14:val="tx1"/>
            </w14:solidFill>
          </w14:textFill>
        </w:rPr>
        <w:t>（三）技术条款偏离表</w:t>
      </w:r>
      <w:bookmarkEnd w:id="155"/>
      <w:bookmarkEnd w:id="156"/>
    </w:p>
    <w:p>
      <w:pPr>
        <w:spacing w:line="380" w:lineRule="exact"/>
        <w:rPr>
          <w:rFonts w:asciiTheme="minorEastAsia" w:hAnsiTheme="minorEastAsia" w:eastAsiaTheme="minorEastAsia"/>
          <w:color w:val="000000" w:themeColor="text1"/>
          <w:sz w:val="28"/>
          <w:szCs w:val="28"/>
          <w14:textFill>
            <w14:solidFill>
              <w14:schemeClr w14:val="tx1"/>
            </w14:solidFill>
          </w14:textFill>
        </w:rPr>
      </w:pPr>
    </w:p>
    <w:tbl>
      <w:tblPr>
        <w:tblStyle w:val="3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3360"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招标文件技术要求</w:t>
            </w:r>
          </w:p>
        </w:tc>
        <w:tc>
          <w:tcPr>
            <w:tcW w:w="290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投标文件对应规格</w:t>
            </w:r>
          </w:p>
        </w:tc>
        <w:tc>
          <w:tcPr>
            <w:tcW w:w="157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备注：1、本表应列明投标人对技术规格的偏离条款（正偏离或负偏离）；</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2、无偏离应在本表“说明”处醒目地注明“无条款偏离”的字样。</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3、本表格供参考，投标人可根据项目实际情况自拟（增减）表格。</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投标人（公章）：</w:t>
      </w:r>
    </w:p>
    <w:p>
      <w:pPr>
        <w:spacing w:line="380" w:lineRule="exac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spacing w:line="380" w:lineRule="exact"/>
        <w:rPr>
          <w:rFonts w:asciiTheme="minorEastAsia" w:hAnsiTheme="minorEastAsia" w:eastAsiaTheme="minorEastAsia"/>
          <w:color w:val="000000" w:themeColor="text1"/>
          <w:sz w:val="24"/>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157" w:name="_Toc141797697"/>
      <w:bookmarkStart w:id="158" w:name="_Toc141797141"/>
      <w:r>
        <w:rPr>
          <w:rFonts w:hint="eastAsia" w:asciiTheme="minorEastAsia" w:hAnsiTheme="minorEastAsia" w:eastAsiaTheme="minorEastAsia"/>
          <w:bCs w:val="0"/>
          <w:color w:val="000000" w:themeColor="text1"/>
          <w:sz w:val="28"/>
          <w:szCs w:val="28"/>
          <w14:textFill>
            <w14:solidFill>
              <w14:schemeClr w14:val="tx1"/>
            </w14:solidFill>
          </w14:textFill>
        </w:rPr>
        <w:t>（四）商务条款偏离表</w:t>
      </w:r>
      <w:bookmarkEnd w:id="157"/>
      <w:bookmarkEnd w:id="158"/>
    </w:p>
    <w:p>
      <w:pPr>
        <w:spacing w:line="380" w:lineRule="exact"/>
        <w:rPr>
          <w:rFonts w:asciiTheme="minorEastAsia" w:hAnsiTheme="minorEastAsia" w:eastAsiaTheme="minorEastAsia"/>
          <w:color w:val="000000" w:themeColor="text1"/>
          <w:sz w:val="24"/>
          <w14:textFill>
            <w14:solidFill>
              <w14:schemeClr w14:val="tx1"/>
            </w14:solidFill>
          </w14:textFill>
        </w:rPr>
      </w:pPr>
    </w:p>
    <w:tbl>
      <w:tblPr>
        <w:tblStyle w:val="38"/>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34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招标文件的商务条款</w:t>
            </w:r>
          </w:p>
        </w:tc>
        <w:tc>
          <w:tcPr>
            <w:tcW w:w="2891"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投标文件的商务条款</w:t>
            </w:r>
          </w:p>
        </w:tc>
        <w:tc>
          <w:tcPr>
            <w:tcW w:w="16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备注：1、列明招标文件的商务条款与投标文件对应响应，并说明偏离状况（正偏离或负偏离）；2、无偏离应在本表“说明”处醒目地注明“无条款偏离”的字样。</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3、本表格供参考，投标人可根据项目实际情况自拟（增减）表格。</w:t>
      </w:r>
    </w:p>
    <w:p>
      <w:pPr>
        <w:spacing w:line="380" w:lineRule="exact"/>
        <w:rPr>
          <w:rFonts w:asciiTheme="minorEastAsia" w:hAnsiTheme="minorEastAsia" w:eastAsiaTheme="minorEastAsia"/>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投标人（公章）：</w:t>
      </w:r>
    </w:p>
    <w:p>
      <w:pPr>
        <w:spacing w:line="380" w:lineRule="exac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pStyle w:val="4"/>
        <w:spacing w:line="380" w:lineRule="exact"/>
        <w:rPr>
          <w:rFonts w:ascii="宋体" w:hAnsi="宋体" w:cs="宋体"/>
          <w:color w:val="000000" w:themeColor="text1"/>
          <w:sz w:val="28"/>
          <w:szCs w:val="28"/>
          <w14:textFill>
            <w14:solidFill>
              <w14:schemeClr w14:val="tx1"/>
            </w14:solidFill>
          </w14:textFill>
        </w:rPr>
      </w:pPr>
    </w:p>
    <w:p>
      <w:pPr>
        <w:pStyle w:val="4"/>
        <w:spacing w:line="380" w:lineRule="exact"/>
        <w:rPr>
          <w:rFonts w:asciiTheme="minorEastAsia" w:hAnsiTheme="minorEastAsia" w:eastAsiaTheme="minorEastAsia"/>
          <w:color w:val="000000" w:themeColor="text1"/>
          <w:sz w:val="24"/>
          <w:szCs w:val="24"/>
          <w14:textFill>
            <w14:solidFill>
              <w14:schemeClr w14:val="tx1"/>
            </w14:solidFill>
          </w14:textFill>
        </w:rPr>
      </w:pPr>
      <w:bookmarkStart w:id="159" w:name="_Toc141797698"/>
      <w:bookmarkStart w:id="160" w:name="_Toc141797142"/>
      <w:r>
        <w:rPr>
          <w:rFonts w:hint="eastAsia" w:ascii="宋体" w:hAnsi="宋体" w:cs="宋体"/>
          <w:color w:val="000000" w:themeColor="text1"/>
          <w:sz w:val="28"/>
          <w:szCs w:val="28"/>
          <w14:textFill>
            <w14:solidFill>
              <w14:schemeClr w14:val="tx1"/>
            </w14:solidFill>
          </w14:textFill>
        </w:rPr>
        <w:t>（五）</w:t>
      </w:r>
      <w:bookmarkEnd w:id="159"/>
      <w:bookmarkEnd w:id="160"/>
      <w:r>
        <w:rPr>
          <w:rFonts w:hint="eastAsia" w:asciiTheme="minorEastAsia" w:hAnsiTheme="minorEastAsia" w:eastAsiaTheme="minorEastAsia"/>
          <w:color w:val="000000" w:themeColor="text1"/>
          <w:sz w:val="24"/>
          <w:szCs w:val="24"/>
          <w14:textFill>
            <w14:solidFill>
              <w14:schemeClr w14:val="tx1"/>
            </w14:solidFill>
          </w14:textFill>
        </w:rPr>
        <w:t>第六部分“评标办法”中“评分标准”要求提供的资料（如有需提供）</w:t>
      </w:r>
    </w:p>
    <w:p>
      <w:pPr>
        <w:jc w:val="center"/>
        <w:rPr>
          <w:rFonts w:asciiTheme="minorEastAsia" w:hAnsiTheme="minorEastAsia" w:eastAsiaTheme="minorEastAsia"/>
          <w:b/>
          <w:color w:val="000000" w:themeColor="text1"/>
          <w:sz w:val="24"/>
          <w:szCs w:val="24"/>
          <w14:textFill>
            <w14:solidFill>
              <w14:schemeClr w14:val="tx1"/>
            </w14:solidFill>
          </w14:textFill>
        </w:rPr>
      </w:pPr>
    </w:p>
    <w:p>
      <w:pPr>
        <w:jc w:val="center"/>
        <w:rPr>
          <w:rFonts w:ascii="宋体" w:hAnsi="宋体"/>
          <w:b/>
          <w:color w:val="auto"/>
          <w:sz w:val="24"/>
          <w:szCs w:val="24"/>
        </w:rPr>
      </w:pPr>
      <w:r>
        <w:rPr>
          <w:rFonts w:hint="eastAsia" w:ascii="宋体" w:hAnsi="宋体"/>
          <w:b/>
          <w:color w:val="auto"/>
          <w:sz w:val="24"/>
          <w:szCs w:val="24"/>
        </w:rPr>
        <w:t>1.1投标人自202</w:t>
      </w:r>
      <w:r>
        <w:rPr>
          <w:rFonts w:hint="eastAsia" w:ascii="宋体" w:hAnsi="宋体"/>
          <w:b/>
          <w:color w:val="auto"/>
          <w:sz w:val="24"/>
          <w:szCs w:val="24"/>
          <w:lang w:val="en-US" w:eastAsia="zh-CN"/>
        </w:rPr>
        <w:t>2</w:t>
      </w:r>
      <w:r>
        <w:rPr>
          <w:rFonts w:hint="eastAsia" w:ascii="宋体" w:hAnsi="宋体"/>
          <w:b/>
          <w:color w:val="auto"/>
          <w:sz w:val="24"/>
          <w:szCs w:val="24"/>
        </w:rPr>
        <w:t>年1月1日以来</w:t>
      </w:r>
      <w:r>
        <w:rPr>
          <w:rFonts w:hint="eastAsia" w:ascii="宋体" w:hAnsi="宋体"/>
          <w:b/>
          <w:color w:val="auto"/>
          <w:sz w:val="24"/>
          <w:szCs w:val="24"/>
          <w:lang w:val="en-US" w:eastAsia="zh-CN"/>
        </w:rPr>
        <w:t>类似</w:t>
      </w:r>
      <w:r>
        <w:rPr>
          <w:rFonts w:hint="eastAsia" w:ascii="宋体" w:hAnsi="宋体"/>
          <w:b/>
          <w:color w:val="auto"/>
          <w:sz w:val="24"/>
          <w:szCs w:val="24"/>
        </w:rPr>
        <w:t>项目业绩汇总表</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30"/>
              <w:jc w:val="center"/>
              <w:rPr>
                <w:bCs w:val="0"/>
                <w:color w:val="auto"/>
                <w:sz w:val="24"/>
                <w:szCs w:val="24"/>
                <w:lang w:val="en-US"/>
              </w:rPr>
            </w:pPr>
            <w:r>
              <w:rPr>
                <w:rFonts w:hint="eastAsia"/>
                <w:bCs w:val="0"/>
                <w:color w:val="auto"/>
                <w:sz w:val="24"/>
                <w:szCs w:val="24"/>
                <w:lang w:val="en-US"/>
              </w:rPr>
              <w:t>项目序号</w:t>
            </w:r>
          </w:p>
        </w:tc>
        <w:tc>
          <w:tcPr>
            <w:tcW w:w="2268" w:type="dxa"/>
            <w:vAlign w:val="center"/>
          </w:tcPr>
          <w:p>
            <w:pPr>
              <w:pStyle w:val="130"/>
              <w:jc w:val="center"/>
              <w:rPr>
                <w:bCs w:val="0"/>
                <w:color w:val="auto"/>
                <w:sz w:val="24"/>
                <w:szCs w:val="24"/>
                <w:lang w:val="en-US"/>
              </w:rPr>
            </w:pPr>
            <w:r>
              <w:rPr>
                <w:rFonts w:hint="eastAsia"/>
                <w:bCs w:val="0"/>
                <w:color w:val="auto"/>
                <w:sz w:val="24"/>
                <w:szCs w:val="24"/>
                <w:lang w:val="en-US"/>
              </w:rPr>
              <w:t>项目名称</w:t>
            </w:r>
          </w:p>
        </w:tc>
        <w:tc>
          <w:tcPr>
            <w:tcW w:w="2268" w:type="dxa"/>
            <w:vAlign w:val="center"/>
          </w:tcPr>
          <w:p>
            <w:pPr>
              <w:pStyle w:val="130"/>
              <w:jc w:val="center"/>
              <w:rPr>
                <w:bCs w:val="0"/>
                <w:color w:val="auto"/>
                <w:sz w:val="24"/>
                <w:szCs w:val="24"/>
                <w:lang w:val="en-US"/>
              </w:rPr>
            </w:pPr>
            <w:r>
              <w:rPr>
                <w:rFonts w:hint="eastAsia"/>
                <w:bCs w:val="0"/>
                <w:color w:val="auto"/>
                <w:sz w:val="24"/>
                <w:szCs w:val="24"/>
                <w:lang w:val="en-US"/>
              </w:rPr>
              <w:t>发包人名称</w:t>
            </w:r>
          </w:p>
        </w:tc>
        <w:tc>
          <w:tcPr>
            <w:tcW w:w="2977" w:type="dxa"/>
            <w:vAlign w:val="center"/>
          </w:tcPr>
          <w:p>
            <w:pPr>
              <w:pStyle w:val="130"/>
              <w:jc w:val="center"/>
              <w:rPr>
                <w:rFonts w:hint="default" w:eastAsia="宋体"/>
                <w:bCs w:val="0"/>
                <w:color w:val="auto"/>
                <w:sz w:val="24"/>
                <w:szCs w:val="24"/>
                <w:lang w:val="en-US" w:eastAsia="zh-CN"/>
              </w:rPr>
            </w:pPr>
            <w:r>
              <w:rPr>
                <w:rFonts w:hint="eastAsia"/>
                <w:bCs w:val="0"/>
                <w:color w:val="auto"/>
                <w:sz w:val="24"/>
                <w:szCs w:val="24"/>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268" w:type="dxa"/>
            <w:vAlign w:val="center"/>
          </w:tcPr>
          <w:p>
            <w:pPr>
              <w:pStyle w:val="130"/>
              <w:jc w:val="center"/>
              <w:rPr>
                <w:bCs w:val="0"/>
                <w:color w:val="auto"/>
                <w:sz w:val="24"/>
                <w:szCs w:val="24"/>
                <w:lang w:val="en-US"/>
              </w:rPr>
            </w:pPr>
          </w:p>
        </w:tc>
        <w:tc>
          <w:tcPr>
            <w:tcW w:w="2977" w:type="dxa"/>
            <w:vAlign w:val="center"/>
          </w:tcPr>
          <w:p>
            <w:pPr>
              <w:pStyle w:val="130"/>
              <w:jc w:val="center"/>
              <w:rPr>
                <w:bCs w:val="0"/>
                <w:color w:val="auto"/>
                <w:sz w:val="24"/>
                <w:szCs w:val="24"/>
                <w:lang w:val="en-US"/>
              </w:rPr>
            </w:pPr>
          </w:p>
        </w:tc>
      </w:tr>
    </w:tbl>
    <w:p>
      <w:pPr>
        <w:spacing w:line="380" w:lineRule="exact"/>
        <w:rPr>
          <w:rFonts w:ascii="宋体" w:hAnsi="宋体"/>
          <w:color w:val="auto"/>
          <w:sz w:val="22"/>
          <w:szCs w:val="22"/>
        </w:rPr>
      </w:pPr>
      <w:r>
        <w:rPr>
          <w:rFonts w:hint="eastAsia" w:ascii="宋体" w:hAnsi="宋体"/>
          <w:color w:val="auto"/>
          <w:sz w:val="22"/>
          <w:szCs w:val="22"/>
        </w:rPr>
        <w:t>投标人（公章）：</w:t>
      </w:r>
    </w:p>
    <w:p>
      <w:pPr>
        <w:spacing w:line="380" w:lineRule="exact"/>
        <w:rPr>
          <w:rFonts w:ascii="宋体" w:hAnsi="宋体"/>
          <w:color w:val="auto"/>
          <w:sz w:val="22"/>
          <w:szCs w:val="22"/>
          <w:u w:val="single"/>
        </w:rPr>
      </w:pPr>
      <w:r>
        <w:rPr>
          <w:rFonts w:hint="eastAsia" w:ascii="宋体" w:hAnsi="宋体"/>
          <w:color w:val="auto"/>
          <w:sz w:val="22"/>
          <w:szCs w:val="22"/>
        </w:rPr>
        <w:t>投标人代表（签字或印章）：</w:t>
      </w:r>
    </w:p>
    <w:p>
      <w:pPr>
        <w:spacing w:line="380" w:lineRule="exact"/>
        <w:rPr>
          <w:rFonts w:ascii="宋体" w:hAnsi="宋体"/>
          <w:color w:val="auto"/>
          <w:sz w:val="22"/>
          <w:szCs w:val="22"/>
          <w:u w:val="single"/>
        </w:rPr>
      </w:pPr>
      <w:r>
        <w:rPr>
          <w:rFonts w:hint="eastAsia" w:ascii="宋体"/>
          <w:color w:val="auto"/>
          <w:sz w:val="22"/>
          <w:szCs w:val="22"/>
        </w:rPr>
        <w:t>日期：</w:t>
      </w:r>
    </w:p>
    <w:p>
      <w:pPr>
        <w:spacing w:after="120" w:afterLines="50"/>
        <w:jc w:val="center"/>
        <w:rPr>
          <w:rFonts w:ascii="宋体"/>
          <w:b/>
          <w:color w:val="auto"/>
          <w:sz w:val="24"/>
          <w:szCs w:val="24"/>
        </w:rPr>
      </w:pPr>
      <w:r>
        <w:rPr>
          <w:rFonts w:ascii="宋体" w:hAnsi="宋体"/>
          <w:b/>
          <w:color w:val="auto"/>
          <w:sz w:val="24"/>
          <w:szCs w:val="24"/>
        </w:rPr>
        <w:br w:type="page"/>
      </w:r>
      <w:r>
        <w:rPr>
          <w:rFonts w:hint="eastAsia" w:ascii="宋体" w:hAnsi="宋体"/>
          <w:b/>
          <w:color w:val="auto"/>
          <w:sz w:val="24"/>
          <w:szCs w:val="24"/>
        </w:rPr>
        <w:t>1.2投标人自202</w:t>
      </w:r>
      <w:r>
        <w:rPr>
          <w:rFonts w:hint="eastAsia" w:ascii="宋体" w:hAnsi="宋体"/>
          <w:b/>
          <w:color w:val="auto"/>
          <w:sz w:val="24"/>
          <w:szCs w:val="24"/>
          <w:lang w:val="en-US" w:eastAsia="zh-CN"/>
        </w:rPr>
        <w:t>2</w:t>
      </w:r>
      <w:r>
        <w:rPr>
          <w:rFonts w:hint="eastAsia" w:ascii="宋体" w:hAnsi="宋体"/>
          <w:b/>
          <w:color w:val="auto"/>
          <w:sz w:val="24"/>
          <w:szCs w:val="24"/>
        </w:rPr>
        <w:t>年1月1日以来</w:t>
      </w:r>
      <w:r>
        <w:rPr>
          <w:rFonts w:hint="eastAsia" w:ascii="宋体" w:hAnsi="宋体"/>
          <w:b/>
          <w:color w:val="auto"/>
          <w:sz w:val="24"/>
          <w:szCs w:val="24"/>
          <w:lang w:val="en-US" w:eastAsia="zh-CN"/>
        </w:rPr>
        <w:t>类似</w:t>
      </w:r>
      <w:r>
        <w:rPr>
          <w:rFonts w:hint="eastAsia" w:ascii="宋体" w:hAnsi="宋体"/>
          <w:b/>
          <w:color w:val="auto"/>
          <w:sz w:val="24"/>
          <w:szCs w:val="24"/>
        </w:rPr>
        <w:t>项目业绩详细情况表</w:t>
      </w:r>
    </w:p>
    <w:p>
      <w:pPr>
        <w:spacing w:after="120" w:afterLines="50"/>
        <w:jc w:val="left"/>
        <w:rPr>
          <w:rFonts w:hint="eastAsia" w:ascii="宋体" w:hAnsi="宋体"/>
          <w:b/>
          <w:color w:val="auto"/>
          <w:sz w:val="24"/>
          <w:szCs w:val="24"/>
        </w:rPr>
      </w:pPr>
    </w:p>
    <w:p>
      <w:pPr>
        <w:spacing w:after="120" w:afterLines="50"/>
        <w:jc w:val="left"/>
        <w:rPr>
          <w:rFonts w:ascii="宋体"/>
          <w:b/>
          <w:color w:val="auto"/>
          <w:sz w:val="24"/>
          <w:szCs w:val="24"/>
        </w:rPr>
      </w:pPr>
      <w:r>
        <w:rPr>
          <w:rFonts w:hint="eastAsia" w:ascii="宋体" w:hAnsi="宋体"/>
          <w:b/>
          <w:color w:val="auto"/>
          <w:sz w:val="24"/>
          <w:szCs w:val="24"/>
        </w:rPr>
        <w:t>项目序号：</w:t>
      </w:r>
    </w:p>
    <w:tbl>
      <w:tblPr>
        <w:tblStyle w:val="3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项目名称</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项目所在地</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发包人名称</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发包人地址</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发包人电话</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主要</w:t>
            </w:r>
            <w:r>
              <w:rPr>
                <w:rFonts w:hint="eastAsia"/>
                <w:bCs w:val="0"/>
                <w:color w:val="auto"/>
                <w:sz w:val="24"/>
                <w:szCs w:val="24"/>
                <w:lang w:val="en-US" w:eastAsia="zh-CN"/>
              </w:rPr>
              <w:t>供货</w:t>
            </w:r>
            <w:r>
              <w:rPr>
                <w:rFonts w:hint="eastAsia"/>
                <w:bCs w:val="0"/>
                <w:color w:val="auto"/>
                <w:sz w:val="24"/>
                <w:szCs w:val="24"/>
                <w:lang w:val="en-US"/>
              </w:rPr>
              <w:t>内容</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项目金额</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项目负责人</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eastAsia="zh-CN"/>
              </w:rPr>
              <w:t>合同签订时间</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完成情况</w:t>
            </w:r>
          </w:p>
        </w:tc>
        <w:tc>
          <w:tcPr>
            <w:tcW w:w="6169" w:type="dxa"/>
          </w:tcPr>
          <w:p>
            <w:pPr>
              <w:pStyle w:val="130"/>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750" w:type="dxa"/>
            <w:vAlign w:val="center"/>
          </w:tcPr>
          <w:p>
            <w:pPr>
              <w:pStyle w:val="130"/>
              <w:spacing w:line="380" w:lineRule="exact"/>
              <w:rPr>
                <w:bCs w:val="0"/>
                <w:color w:val="auto"/>
                <w:sz w:val="24"/>
                <w:szCs w:val="24"/>
                <w:lang w:val="en-US"/>
              </w:rPr>
            </w:pPr>
            <w:r>
              <w:rPr>
                <w:rFonts w:hint="eastAsia"/>
                <w:bCs w:val="0"/>
                <w:color w:val="auto"/>
                <w:sz w:val="24"/>
                <w:szCs w:val="24"/>
                <w:lang w:val="en-US"/>
              </w:rPr>
              <w:t>备注</w:t>
            </w:r>
          </w:p>
        </w:tc>
        <w:tc>
          <w:tcPr>
            <w:tcW w:w="6169" w:type="dxa"/>
          </w:tcPr>
          <w:p>
            <w:pPr>
              <w:pStyle w:val="130"/>
              <w:spacing w:line="380" w:lineRule="exact"/>
              <w:rPr>
                <w:bCs w:val="0"/>
                <w:color w:val="auto"/>
                <w:sz w:val="24"/>
                <w:szCs w:val="24"/>
                <w:lang w:val="en-US"/>
              </w:rPr>
            </w:pPr>
          </w:p>
        </w:tc>
      </w:tr>
    </w:tbl>
    <w:p>
      <w:pPr>
        <w:pStyle w:val="131"/>
        <w:spacing w:line="240" w:lineRule="atLeast"/>
        <w:rPr>
          <w:color w:val="auto"/>
          <w:sz w:val="24"/>
          <w:szCs w:val="24"/>
        </w:rPr>
      </w:pPr>
      <w:r>
        <w:rPr>
          <w:rFonts w:hint="eastAsia"/>
          <w:color w:val="auto"/>
          <w:sz w:val="24"/>
          <w:szCs w:val="24"/>
        </w:rPr>
        <w:t>注：</w:t>
      </w:r>
      <w:r>
        <w:rPr>
          <w:rFonts w:hint="eastAsia"/>
          <w:color w:val="auto"/>
          <w:spacing w:val="0"/>
          <w:kern w:val="2"/>
          <w:sz w:val="24"/>
          <w:szCs w:val="24"/>
          <w:lang w:val="en-US"/>
        </w:rPr>
        <w:t>本表应与表1.1“</w:t>
      </w:r>
      <w:r>
        <w:rPr>
          <w:rFonts w:hint="eastAsia"/>
          <w:b/>
          <w:color w:val="auto"/>
          <w:sz w:val="24"/>
          <w:szCs w:val="24"/>
        </w:rPr>
        <w:t>投标人自20</w:t>
      </w:r>
      <w:r>
        <w:rPr>
          <w:rFonts w:hint="eastAsia"/>
          <w:b/>
          <w:color w:val="auto"/>
          <w:sz w:val="24"/>
          <w:szCs w:val="24"/>
          <w:lang w:val="en-US"/>
        </w:rPr>
        <w:t>2</w:t>
      </w:r>
      <w:r>
        <w:rPr>
          <w:rFonts w:hint="eastAsia"/>
          <w:b/>
          <w:color w:val="auto"/>
          <w:sz w:val="24"/>
          <w:szCs w:val="24"/>
          <w:lang w:val="en-US" w:eastAsia="zh-CN"/>
        </w:rPr>
        <w:t>2</w:t>
      </w:r>
      <w:r>
        <w:rPr>
          <w:rFonts w:hint="eastAsia"/>
          <w:b/>
          <w:color w:val="auto"/>
          <w:sz w:val="24"/>
          <w:szCs w:val="24"/>
        </w:rPr>
        <w:t>年1月1日以来</w:t>
      </w:r>
      <w:r>
        <w:rPr>
          <w:rFonts w:hint="eastAsia"/>
          <w:b/>
          <w:color w:val="auto"/>
          <w:sz w:val="24"/>
          <w:szCs w:val="24"/>
          <w:lang w:val="en-US" w:eastAsia="zh-CN"/>
        </w:rPr>
        <w:t>类似</w:t>
      </w:r>
      <w:r>
        <w:rPr>
          <w:rFonts w:hint="eastAsia"/>
          <w:b/>
          <w:color w:val="auto"/>
          <w:sz w:val="24"/>
          <w:szCs w:val="24"/>
        </w:rPr>
        <w:t>项目业绩汇总表</w:t>
      </w:r>
      <w:r>
        <w:rPr>
          <w:rFonts w:hint="eastAsia"/>
          <w:color w:val="auto"/>
          <w:spacing w:val="0"/>
          <w:kern w:val="2"/>
          <w:sz w:val="24"/>
          <w:szCs w:val="24"/>
          <w:lang w:val="en-US"/>
        </w:rPr>
        <w:t>”相对应，</w:t>
      </w:r>
      <w:r>
        <w:rPr>
          <w:rFonts w:hint="eastAsia"/>
          <w:color w:val="auto"/>
          <w:sz w:val="24"/>
          <w:szCs w:val="24"/>
        </w:rPr>
        <w:t>后应附</w:t>
      </w:r>
      <w:r>
        <w:rPr>
          <w:rFonts w:hint="eastAsia"/>
          <w:b/>
          <w:color w:val="auto"/>
          <w:sz w:val="24"/>
          <w:szCs w:val="24"/>
        </w:rPr>
        <w:t>合同的复印件</w:t>
      </w:r>
      <w:r>
        <w:rPr>
          <w:rFonts w:hint="eastAsia"/>
          <w:color w:val="auto"/>
          <w:sz w:val="24"/>
          <w:szCs w:val="24"/>
        </w:rPr>
        <w:t>。</w:t>
      </w:r>
    </w:p>
    <w:p>
      <w:pPr>
        <w:spacing w:line="380" w:lineRule="exact"/>
        <w:rPr>
          <w:rFonts w:ascii="宋体" w:hAnsi="宋体"/>
          <w:color w:val="auto"/>
          <w:sz w:val="22"/>
          <w:szCs w:val="22"/>
        </w:rPr>
      </w:pPr>
    </w:p>
    <w:p>
      <w:pPr>
        <w:spacing w:line="380" w:lineRule="exact"/>
        <w:rPr>
          <w:rFonts w:ascii="宋体" w:hAnsi="宋体"/>
          <w:color w:val="auto"/>
          <w:sz w:val="22"/>
          <w:szCs w:val="22"/>
        </w:rPr>
      </w:pPr>
    </w:p>
    <w:p>
      <w:pPr>
        <w:spacing w:line="380" w:lineRule="exact"/>
        <w:rPr>
          <w:rFonts w:ascii="宋体" w:hAnsi="宋体"/>
          <w:color w:val="auto"/>
          <w:sz w:val="22"/>
          <w:szCs w:val="22"/>
        </w:rPr>
      </w:pPr>
      <w:r>
        <w:rPr>
          <w:rFonts w:hint="eastAsia" w:ascii="宋体" w:hAnsi="宋体"/>
          <w:color w:val="auto"/>
          <w:sz w:val="22"/>
          <w:szCs w:val="22"/>
        </w:rPr>
        <w:t>投标人（公章）：</w:t>
      </w:r>
    </w:p>
    <w:p>
      <w:pPr>
        <w:spacing w:line="380" w:lineRule="exact"/>
        <w:rPr>
          <w:rFonts w:ascii="宋体" w:hAnsi="宋体"/>
          <w:color w:val="auto"/>
          <w:sz w:val="22"/>
          <w:szCs w:val="22"/>
          <w:u w:val="single"/>
        </w:rPr>
      </w:pPr>
      <w:r>
        <w:rPr>
          <w:rFonts w:hint="eastAsia" w:ascii="宋体" w:hAnsi="宋体"/>
          <w:color w:val="auto"/>
          <w:sz w:val="22"/>
          <w:szCs w:val="22"/>
        </w:rPr>
        <w:t>投标人代表（签字或印章）：</w:t>
      </w:r>
    </w:p>
    <w:p>
      <w:pPr>
        <w:spacing w:line="380" w:lineRule="exact"/>
        <w:rPr>
          <w:rFonts w:ascii="宋体" w:hAnsi="宋体"/>
          <w:color w:val="auto"/>
          <w:sz w:val="22"/>
          <w:szCs w:val="22"/>
          <w:u w:val="single"/>
        </w:rPr>
      </w:pPr>
      <w:r>
        <w:rPr>
          <w:rFonts w:hint="eastAsia" w:ascii="宋体"/>
          <w:color w:val="auto"/>
          <w:sz w:val="22"/>
          <w:szCs w:val="22"/>
        </w:rPr>
        <w:t>日期：</w:t>
      </w:r>
    </w:p>
    <w:p>
      <w:pPr>
        <w:rPr>
          <w:color w:val="auto"/>
        </w:rPr>
      </w:pPr>
    </w:p>
    <w:p>
      <w:pPr>
        <w:rPr>
          <w:color w:val="auto"/>
        </w:rPr>
      </w:pPr>
    </w:p>
    <w:p>
      <w:pPr>
        <w:jc w:val="center"/>
        <w:rPr>
          <w:color w:val="auto"/>
        </w:rPr>
      </w:pPr>
    </w:p>
    <w:p>
      <w:pPr>
        <w:jc w:val="center"/>
        <w:rPr>
          <w:color w:val="auto"/>
        </w:rPr>
      </w:pPr>
    </w:p>
    <w:p>
      <w:pPr>
        <w:jc w:val="center"/>
        <w:rPr>
          <w:rFonts w:asciiTheme="minorEastAsia" w:hAnsiTheme="minorEastAsia" w:eastAsiaTheme="minorEastAsia"/>
          <w:b/>
          <w:color w:val="auto"/>
          <w:sz w:val="24"/>
          <w:szCs w:val="24"/>
        </w:rPr>
      </w:pPr>
      <w:r>
        <w:rPr>
          <w:rFonts w:ascii="宋体" w:hAnsi="宋体"/>
          <w:b/>
          <w:color w:val="auto"/>
          <w:sz w:val="24"/>
          <w:szCs w:val="24"/>
        </w:rPr>
        <w:br w:type="page"/>
      </w:r>
    </w:p>
    <w:p>
      <w:pPr>
        <w:spacing w:after="120" w:afterLines="50"/>
        <w:jc w:val="center"/>
        <w:rPr>
          <w:rFonts w:asciiTheme="minorEastAsia" w:hAnsiTheme="minorEastAsia" w:eastAsiaTheme="minorEastAsia"/>
          <w:b/>
          <w:color w:val="auto"/>
          <w:sz w:val="24"/>
          <w:szCs w:val="24"/>
        </w:rPr>
      </w:pPr>
    </w:p>
    <w:p>
      <w:pPr>
        <w:spacing w:after="120" w:afterLines="50"/>
        <w:jc w:val="center"/>
        <w:rPr>
          <w:rFonts w:ascii="宋体"/>
          <w:b/>
          <w:color w:val="auto"/>
          <w:sz w:val="24"/>
          <w:szCs w:val="24"/>
        </w:rPr>
      </w:pPr>
      <w:r>
        <w:rPr>
          <w:rFonts w:hint="eastAsia" w:ascii="宋体" w:hAnsi="宋体"/>
          <w:b/>
          <w:color w:val="auto"/>
          <w:sz w:val="24"/>
          <w:szCs w:val="24"/>
        </w:rPr>
        <w:t>2、服务方案</w:t>
      </w:r>
    </w:p>
    <w:p>
      <w:pPr>
        <w:pStyle w:val="129"/>
        <w:ind w:firstLine="0" w:firstLineChars="0"/>
        <w:rPr>
          <w:color w:val="auto"/>
        </w:rPr>
      </w:pPr>
      <w:r>
        <w:rPr>
          <w:rFonts w:hint="eastAsia"/>
          <w:color w:val="auto"/>
        </w:rPr>
        <w:t>主要内容包括，但不限于(</w:t>
      </w:r>
      <w:r>
        <w:rPr>
          <w:rFonts w:hint="eastAsia"/>
          <w:b/>
          <w:bCs/>
          <w:color w:val="auto"/>
        </w:rPr>
        <w:t>根据“评分标准”中商务技术部分评分内容提供相关资料</w:t>
      </w:r>
      <w:r>
        <w:rPr>
          <w:rFonts w:hint="eastAsia"/>
          <w:color w:val="auto"/>
        </w:rPr>
        <w:t>)：</w:t>
      </w:r>
    </w:p>
    <w:p>
      <w:pPr>
        <w:pStyle w:val="2"/>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1、项目实施方案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2、产品动力、安全性能评价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4、供货及交付方案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5、安全驾驶培训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6、日常保养</w:t>
      </w:r>
      <w:r>
        <w:rPr>
          <w:rFonts w:hint="eastAsia" w:ascii="宋体" w:hAnsi="宋体" w:cs="宋体"/>
          <w:szCs w:val="21"/>
          <w:lang w:val="en-US" w:eastAsia="zh-CN"/>
        </w:rPr>
        <w:t>服务</w:t>
      </w:r>
      <w:r>
        <w:rPr>
          <w:rFonts w:hint="eastAsia"/>
          <w:color w:val="000000" w:themeColor="text1"/>
          <w:lang w:val="en-US"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、认证证书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spacing w:before="120" w:beforeLines="50" w:after="120" w:afterLines="50" w:line="360" w:lineRule="auto"/>
        <w:jc w:val="center"/>
        <w:rPr>
          <w:rFonts w:hAnsi="宋体"/>
          <w:b/>
          <w:bCs/>
          <w:color w:val="000000" w:themeColor="text1"/>
          <w:kern w:val="0"/>
          <w14:textFill>
            <w14:solidFill>
              <w14:schemeClr w14:val="tx1"/>
            </w14:solidFill>
          </w14:textFill>
        </w:rPr>
        <w:sectPr>
          <w:headerReference r:id="rId13"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spacing w:before="120" w:beforeLines="50" w:after="120" w:afterLines="50" w:line="360" w:lineRule="auto"/>
        <w:jc w:val="center"/>
        <w:rPr>
          <w:rFonts w:hAnsi="宋体"/>
          <w:b/>
          <w:bCs/>
          <w:color w:val="000000" w:themeColor="text1"/>
          <w:kern w:val="0"/>
          <w14:textFill>
            <w14:solidFill>
              <w14:schemeClr w14:val="tx1"/>
            </w14:solidFill>
          </w14:textFill>
        </w:rPr>
      </w:pPr>
    </w:p>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报价文件组成：</w:t>
      </w:r>
    </w:p>
    <w:p>
      <w:pPr>
        <w:tabs>
          <w:tab w:val="left" w:pos="1418"/>
        </w:tabs>
        <w:spacing w:line="360" w:lineRule="auto"/>
        <w:ind w:firstLine="420" w:firstLineChars="200"/>
        <w:contextualSpacing/>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投标函；</w:t>
      </w:r>
    </w:p>
    <w:p>
      <w:pPr>
        <w:tabs>
          <w:tab w:val="left" w:pos="1418"/>
        </w:tabs>
        <w:spacing w:line="360" w:lineRule="auto"/>
        <w:ind w:firstLine="420" w:firstLineChars="200"/>
        <w:contextualSpacing/>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开标一览表；</w:t>
      </w:r>
    </w:p>
    <w:p>
      <w:pPr>
        <w:tabs>
          <w:tab w:val="left" w:pos="1418"/>
        </w:tabs>
        <w:spacing w:line="360" w:lineRule="auto"/>
        <w:ind w:firstLine="420" w:firstLineChars="200"/>
        <w:contextualSpacing/>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投标分项报价表；</w:t>
      </w:r>
    </w:p>
    <w:p>
      <w:pPr>
        <w:tabs>
          <w:tab w:val="left" w:pos="1418"/>
        </w:tabs>
        <w:spacing w:line="360" w:lineRule="auto"/>
        <w:ind w:firstLine="420" w:firstLineChars="200"/>
        <w:contextualSpacing/>
        <w:rPr>
          <w:rFonts w:cs="宋体" w:asciiTheme="minorEastAsia" w:hAnsiTheme="minorEastAsia" w:eastAsiaTheme="minorEastAsia"/>
          <w:color w:val="000000" w:themeColor="text1"/>
          <w:kern w:val="0"/>
          <w14:textFill>
            <w14:solidFill>
              <w14:schemeClr w14:val="tx1"/>
            </w14:solidFill>
          </w14:textFill>
        </w:rPr>
      </w:pPr>
    </w:p>
    <w:p>
      <w:pPr>
        <w:tabs>
          <w:tab w:val="left" w:pos="1418"/>
        </w:tabs>
        <w:spacing w:line="360" w:lineRule="auto"/>
        <w:ind w:firstLine="420" w:firstLineChars="200"/>
        <w:contextualSpacing/>
        <w:rPr>
          <w:rFonts w:asciiTheme="minorEastAsia" w:hAnsiTheme="minorEastAsia" w:eastAsiaTheme="minorEastAsia"/>
          <w:color w:val="000000" w:themeColor="text1"/>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4"/>
          <w:szCs w:val="24"/>
          <w14:textFill>
            <w14:solidFill>
              <w14:schemeClr w14:val="tx1"/>
            </w14:solidFill>
          </w14:textFill>
        </w:rPr>
      </w:pPr>
    </w:p>
    <w:p>
      <w:pPr>
        <w:widowControl/>
        <w:jc w:val="left"/>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br w:type="page"/>
      </w:r>
    </w:p>
    <w:p>
      <w:pPr>
        <w:pStyle w:val="4"/>
        <w:spacing w:line="380" w:lineRule="exact"/>
        <w:rPr>
          <w:rFonts w:asciiTheme="minorEastAsia" w:hAnsiTheme="minorEastAsia" w:eastAsiaTheme="minorEastAsia"/>
          <w:b w:val="0"/>
          <w:color w:val="000000" w:themeColor="text1"/>
          <w:sz w:val="28"/>
          <w:szCs w:val="28"/>
          <w14:textFill>
            <w14:solidFill>
              <w14:schemeClr w14:val="tx1"/>
            </w14:solidFill>
          </w14:textFill>
        </w:rPr>
      </w:pPr>
      <w:bookmarkStart w:id="161" w:name="_Toc141797700"/>
      <w:bookmarkStart w:id="162" w:name="_Toc141797144"/>
      <w:r>
        <w:rPr>
          <w:rFonts w:hint="eastAsia" w:asciiTheme="minorEastAsia" w:hAnsiTheme="minorEastAsia" w:eastAsiaTheme="minorEastAsia"/>
          <w:bCs w:val="0"/>
          <w:color w:val="000000" w:themeColor="text1"/>
          <w:sz w:val="28"/>
          <w:szCs w:val="28"/>
          <w14:textFill>
            <w14:solidFill>
              <w14:schemeClr w14:val="tx1"/>
            </w14:solidFill>
          </w14:textFill>
        </w:rPr>
        <w:t>（一） 投 标 函</w:t>
      </w:r>
      <w:bookmarkEnd w:id="161"/>
      <w:bookmarkEnd w:id="162"/>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15"/>
        <w:ind w:firstLine="0"/>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i/>
          <w:color w:val="000000" w:themeColor="text1"/>
          <w:sz w:val="21"/>
          <w:szCs w:val="21"/>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14:textFill>
            <w14:solidFill>
              <w14:schemeClr w14:val="tx1"/>
            </w14:solidFill>
          </w14:textFill>
        </w:rPr>
        <w:t>进行投标，在此：</w:t>
      </w:r>
    </w:p>
    <w:p>
      <w:pPr>
        <w:pStyle w:val="15"/>
        <w:numPr>
          <w:ilvl w:val="0"/>
          <w:numId w:val="21"/>
        </w:numPr>
        <w:tabs>
          <w:tab w:val="left" w:pos="525"/>
        </w:tabs>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提供招标文件中“投标人须知”规定的全部投标文件。</w:t>
      </w:r>
    </w:p>
    <w:p>
      <w:pPr>
        <w:pStyle w:val="15"/>
        <w:tabs>
          <w:tab w:val="left" w:pos="525"/>
        </w:tabs>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2、据此函，签字代表宣布并承诺如下：</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投标总价为（大写）：人民币</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元。</w:t>
      </w:r>
    </w:p>
    <w:p>
      <w:pPr>
        <w:pStyle w:val="15"/>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本投标自开标之日起90天内有效。</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保证遵守招标文件有关条款规定。</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保证在中标后忠实地执行与采购人所签署的合同，并承担合同规定的责任义务。保证在中标后按照招标文件的规定支付中标服务费。</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承诺应贵方要求提供任何与该项目投标有关的数据、情况和技术资料。</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我们承诺，与为采购人采购本项目进行设计、编制规范和其他文件所委托的咨询公司或其附属机构无任何直接或间接的关联。</w:t>
      </w:r>
    </w:p>
    <w:p>
      <w:pPr>
        <w:pStyle w:val="15"/>
        <w:numPr>
          <w:ilvl w:val="0"/>
          <w:numId w:val="22"/>
        </w:num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4、与本投标有关的一切往来通讯请寄：</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地址：</w:t>
      </w:r>
    </w:p>
    <w:p>
      <w:pPr>
        <w:pStyle w:val="15"/>
        <w:ind w:firstLine="0"/>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邮编：</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电话：</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传真：</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投标人（公章）：                  投标人代表（签字或印章）：</w:t>
      </w:r>
    </w:p>
    <w:p>
      <w:pPr>
        <w:pStyle w:val="15"/>
        <w:tabs>
          <w:tab w:val="left" w:pos="4841"/>
        </w:tabs>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日      期：     年   月   日</w:t>
      </w:r>
    </w:p>
    <w:p>
      <w:pPr>
        <w:pStyle w:val="15"/>
        <w:tabs>
          <w:tab w:val="left" w:pos="4841"/>
        </w:tabs>
        <w:ind w:firstLine="0"/>
        <w:rPr>
          <w:rFonts w:asciiTheme="minorEastAsia" w:hAnsiTheme="minorEastAsia" w:eastAsiaTheme="minorEastAsia"/>
          <w:color w:val="000000" w:themeColor="text1"/>
          <w:sz w:val="21"/>
          <w:szCs w:val="21"/>
          <w14:textFill>
            <w14:solidFill>
              <w14:schemeClr w14:val="tx1"/>
            </w14:solidFill>
          </w14:textFill>
        </w:rPr>
      </w:pPr>
    </w:p>
    <w:p>
      <w:pPr>
        <w:pStyle w:val="4"/>
        <w:spacing w:line="380" w:lineRule="exact"/>
        <w:rPr>
          <w:rFonts w:asciiTheme="minorEastAsia" w:hAnsiTheme="minorEastAsia" w:eastAsiaTheme="minorEastAsia"/>
          <w:bCs w:val="0"/>
          <w:color w:val="000000" w:themeColor="text1"/>
          <w:sz w:val="28"/>
          <w:szCs w:val="28"/>
          <w14:textFill>
            <w14:solidFill>
              <w14:schemeClr w14:val="tx1"/>
            </w14:solidFill>
          </w14:textFill>
        </w:rPr>
      </w:pPr>
      <w:r>
        <w:rPr>
          <w:rFonts w:asciiTheme="minorEastAsia" w:hAnsiTheme="minorEastAsia" w:eastAsiaTheme="minorEastAsia"/>
          <w:bCs w:val="0"/>
          <w:color w:val="000000" w:themeColor="text1"/>
          <w:sz w:val="24"/>
          <w:szCs w:val="24"/>
          <w14:textFill>
            <w14:solidFill>
              <w14:schemeClr w14:val="tx1"/>
            </w14:solidFill>
          </w14:textFill>
        </w:rPr>
        <w:br w:type="page"/>
      </w:r>
      <w:bookmarkStart w:id="163" w:name="_Toc141797145"/>
      <w:bookmarkStart w:id="164" w:name="_Toc141797701"/>
      <w:r>
        <w:rPr>
          <w:rFonts w:hint="eastAsia" w:asciiTheme="minorEastAsia" w:hAnsiTheme="minorEastAsia" w:eastAsiaTheme="minorEastAsia"/>
          <w:bCs w:val="0"/>
          <w:color w:val="000000" w:themeColor="text1"/>
          <w:sz w:val="28"/>
          <w:szCs w:val="28"/>
          <w14:textFill>
            <w14:solidFill>
              <w14:schemeClr w14:val="tx1"/>
            </w14:solidFill>
          </w14:textFill>
        </w:rPr>
        <w:t>（二）开标一览表</w:t>
      </w:r>
      <w:bookmarkEnd w:id="163"/>
      <w:bookmarkEnd w:id="164"/>
    </w:p>
    <w:p>
      <w:pPr>
        <w:spacing w:line="400" w:lineRule="exact"/>
        <w:ind w:left="525"/>
        <w:rPr>
          <w:rFonts w:asciiTheme="minorEastAsia" w:hAnsiTheme="minorEastAsia" w:eastAsia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招标编号：</w:t>
      </w:r>
    </w:p>
    <w:tbl>
      <w:tblPr>
        <w:tblStyle w:val="38"/>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i/>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投标总价</w:t>
            </w:r>
            <w:r>
              <w:rPr>
                <w:rFonts w:cs="宋体" w:asciiTheme="minorEastAsia" w:hAnsiTheme="minorEastAsia" w:eastAsiaTheme="minorEastAsia"/>
                <w:color w:val="000000" w:themeColor="text1"/>
                <w:sz w:val="24"/>
                <w14:textFill>
                  <w14:solidFill>
                    <w14:schemeClr w14:val="tx1"/>
                  </w14:solidFill>
                </w14:textFill>
              </w:rPr>
              <w:t>（单位：元）</w:t>
            </w:r>
          </w:p>
        </w:tc>
        <w:tc>
          <w:tcPr>
            <w:tcW w:w="25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79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cs="宋体" w:asciiTheme="minorEastAsia" w:hAnsiTheme="minorEastAsia" w:eastAsiaTheme="minorEastAsia"/>
                <w:color w:val="000000" w:themeColor="text1"/>
                <w:sz w:val="24"/>
                <w14:textFill>
                  <w14:solidFill>
                    <w14:schemeClr w14:val="tx1"/>
                  </w14:solidFill>
                </w14:textFill>
              </w:rPr>
            </w:pPr>
          </w:p>
        </w:tc>
        <w:tc>
          <w:tcPr>
            <w:tcW w:w="283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w:t>
            </w:r>
            <w:r>
              <w:rPr>
                <w:rFonts w:asciiTheme="minorEastAsia" w:hAnsiTheme="minorEastAsia" w:eastAsiaTheme="minorEastAsia"/>
                <w:color w:val="000000" w:themeColor="text1"/>
                <w14:textFill>
                  <w14:solidFill>
                    <w14:schemeClr w14:val="tx1"/>
                  </w14:solidFill>
                </w14:textFill>
              </w:rPr>
              <w:t>写</w:t>
            </w:r>
            <w:r>
              <w:rPr>
                <w:rFonts w:hint="eastAsia" w:asciiTheme="minorEastAsia" w:hAnsiTheme="minorEastAsia" w:eastAsiaTheme="minorEastAsia"/>
                <w:color w:val="000000" w:themeColor="text1"/>
                <w14:textFill>
                  <w14:solidFill>
                    <w14:schemeClr w14:val="tx1"/>
                  </w14:solidFill>
                </w14:textFill>
              </w:rPr>
              <w:t>：</w:t>
            </w:r>
          </w:p>
          <w:p>
            <w:pPr>
              <w:snapToGrid w:val="0"/>
              <w:spacing w:line="26" w:lineRule="atLeast"/>
              <w:ind w:firstLine="210" w:firstLineChars="100"/>
              <w:rPr>
                <w:rFonts w:asciiTheme="minorEastAsia" w:hAnsiTheme="minorEastAsia" w:eastAsiaTheme="minorEastAsia"/>
                <w:color w:val="000000" w:themeColor="text1"/>
                <w14:textFill>
                  <w14:solidFill>
                    <w14:schemeClr w14:val="tx1"/>
                  </w14:solidFill>
                </w14:textFill>
              </w:rPr>
            </w:pPr>
          </w:p>
          <w:p>
            <w:pPr>
              <w:snapToGrid w:val="0"/>
              <w:spacing w:line="26" w:lineRule="atLeas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小写：¥</w:t>
            </w:r>
          </w:p>
        </w:tc>
        <w:tc>
          <w:tcPr>
            <w:tcW w:w="2582" w:type="dxa"/>
            <w:tcBorders>
              <w:top w:val="single" w:color="000000" w:sz="4" w:space="0"/>
              <w:left w:val="single" w:color="000000" w:sz="4" w:space="0"/>
              <w:right w:val="single" w:color="000000" w:sz="4" w:space="0"/>
            </w:tcBorders>
            <w:vAlign w:val="center"/>
          </w:tcPr>
          <w:p>
            <w:pPr>
              <w:snapToGrid w:val="0"/>
              <w:spacing w:line="26" w:lineRule="atLeast"/>
              <w:jc w:val="cente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themeColor="text1"/>
                <w:sz w:val="24"/>
                <w14:textFill>
                  <w14:solidFill>
                    <w14:schemeClr w14:val="tx1"/>
                  </w14:solidFill>
                </w14:textFill>
              </w:rPr>
            </w:pPr>
          </w:p>
        </w:tc>
      </w:tr>
    </w:tbl>
    <w:p>
      <w:pPr>
        <w:spacing w:line="380" w:lineRule="exact"/>
        <w:rPr>
          <w:rFonts w:asciiTheme="minorEastAsia" w:hAnsiTheme="minorEastAsia" w:eastAsiaTheme="minorEastAsia"/>
          <w:color w:val="000000" w:themeColor="text1"/>
          <w:u w:val="single"/>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  标  人（公章）：</w:t>
      </w:r>
    </w:p>
    <w:p>
      <w:pPr>
        <w:spacing w:line="380" w:lineRule="exact"/>
        <w:rPr>
          <w:rFonts w:asciiTheme="minorEastAsia" w:hAnsiTheme="minorEastAsia" w:eastAsiaTheme="minorEastAsia"/>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14:textFill>
            <w14:solidFill>
              <w14:schemeClr w14:val="tx1"/>
            </w14:solidFill>
          </w14:textFill>
        </w:rPr>
      </w:pPr>
    </w:p>
    <w:p>
      <w:pPr>
        <w:rPr>
          <w:color w:val="000000" w:themeColor="text1"/>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000000" w:themeColor="text1"/>
          <w14:textFill>
            <w14:solidFill>
              <w14:schemeClr w14:val="tx1"/>
            </w14:solidFill>
          </w14:textFill>
        </w:rPr>
        <w:t>日期：年   月   日</w:t>
      </w:r>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（三）投标分项报价表</w:t>
      </w:r>
    </w:p>
    <w:p>
      <w:pPr>
        <w:spacing w:line="380" w:lineRule="exact"/>
        <w:rPr>
          <w:rFonts w:ascii="宋体" w:hAnsi="宋体"/>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项目名称：                                 </w:t>
      </w:r>
      <w:r>
        <w:rPr>
          <w:rFonts w:hint="eastAsia" w:asciiTheme="minorEastAsia" w:hAnsiTheme="minorEastAsia" w:eastAsiaTheme="minorEastAsia"/>
          <w:color w:val="000000" w:themeColor="text1"/>
          <w14:textFill>
            <w14:solidFill>
              <w14:schemeClr w14:val="tx1"/>
            </w14:solidFill>
          </w14:textFill>
        </w:rPr>
        <w:t>招标编号：</w:t>
      </w:r>
    </w:p>
    <w:tbl>
      <w:tblPr>
        <w:tblStyle w:val="3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94"/>
        <w:gridCol w:w="1694"/>
        <w:gridCol w:w="706"/>
        <w:gridCol w:w="847"/>
        <w:gridCol w:w="1411"/>
        <w:gridCol w:w="141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7" w:type="dxa"/>
            <w:vAlign w:val="center"/>
          </w:tcPr>
          <w:p>
            <w:pPr>
              <w:wordWrap w:val="0"/>
              <w:spacing w:line="380" w:lineRule="exact"/>
              <w:jc w:val="center"/>
              <w:rPr>
                <w:rFonts w:ascii="宋体" w:hAnsi="宋体"/>
                <w:b/>
                <w:color w:val="auto"/>
              </w:rPr>
            </w:pPr>
            <w:r>
              <w:rPr>
                <w:rFonts w:hint="eastAsia" w:ascii="宋体" w:hAnsi="宋体"/>
                <w:b/>
                <w:color w:val="auto"/>
              </w:rPr>
              <w:t>序号</w:t>
            </w:r>
          </w:p>
        </w:tc>
        <w:tc>
          <w:tcPr>
            <w:tcW w:w="1694" w:type="dxa"/>
            <w:vAlign w:val="center"/>
          </w:tcPr>
          <w:p>
            <w:pPr>
              <w:wordWrap w:val="0"/>
              <w:spacing w:line="380" w:lineRule="exact"/>
              <w:jc w:val="center"/>
              <w:rPr>
                <w:rFonts w:ascii="宋体" w:hAnsi="宋体"/>
                <w:b/>
                <w:color w:val="auto"/>
              </w:rPr>
            </w:pPr>
            <w:r>
              <w:rPr>
                <w:rFonts w:hint="eastAsia" w:ascii="宋体" w:hAnsi="宋体"/>
                <w:b/>
                <w:color w:val="auto"/>
              </w:rPr>
              <w:t>产品名称</w:t>
            </w:r>
          </w:p>
        </w:tc>
        <w:tc>
          <w:tcPr>
            <w:tcW w:w="1694" w:type="dxa"/>
            <w:vAlign w:val="center"/>
          </w:tcPr>
          <w:p>
            <w:pPr>
              <w:wordWrap w:val="0"/>
              <w:spacing w:line="380" w:lineRule="exact"/>
              <w:jc w:val="center"/>
              <w:rPr>
                <w:rFonts w:ascii="宋体" w:hAnsi="宋体" w:cs="宋体"/>
                <w:bCs/>
                <w:color w:val="auto"/>
                <w:spacing w:val="-6"/>
                <w:kern w:val="0"/>
                <w:lang w:val="zh-CN"/>
              </w:rPr>
            </w:pPr>
            <w:r>
              <w:rPr>
                <w:rFonts w:hint="eastAsia" w:ascii="宋体" w:hAnsi="宋体"/>
                <w:b/>
                <w:color w:val="auto"/>
              </w:rPr>
              <w:t>规格、型号</w:t>
            </w:r>
          </w:p>
        </w:tc>
        <w:tc>
          <w:tcPr>
            <w:tcW w:w="706" w:type="dxa"/>
            <w:vAlign w:val="center"/>
          </w:tcPr>
          <w:p>
            <w:pPr>
              <w:wordWrap w:val="0"/>
              <w:spacing w:line="380" w:lineRule="exact"/>
              <w:jc w:val="center"/>
              <w:rPr>
                <w:rFonts w:ascii="宋体" w:hAnsi="宋体"/>
                <w:b/>
                <w:color w:val="auto"/>
              </w:rPr>
            </w:pPr>
            <w:r>
              <w:rPr>
                <w:rFonts w:hint="eastAsia" w:ascii="宋体" w:hAnsi="宋体"/>
                <w:b/>
                <w:color w:val="auto"/>
              </w:rPr>
              <w:t>数量</w:t>
            </w:r>
          </w:p>
        </w:tc>
        <w:tc>
          <w:tcPr>
            <w:tcW w:w="847" w:type="dxa"/>
            <w:vAlign w:val="center"/>
          </w:tcPr>
          <w:p>
            <w:pPr>
              <w:wordWrap w:val="0"/>
              <w:spacing w:line="380" w:lineRule="exact"/>
              <w:jc w:val="center"/>
              <w:rPr>
                <w:rFonts w:ascii="宋体" w:hAnsi="宋体"/>
                <w:b/>
                <w:color w:val="auto"/>
              </w:rPr>
            </w:pPr>
            <w:r>
              <w:rPr>
                <w:rFonts w:hint="eastAsia" w:ascii="宋体" w:hAnsi="宋体"/>
                <w:b/>
                <w:color w:val="auto"/>
              </w:rPr>
              <w:t>单位</w:t>
            </w:r>
          </w:p>
        </w:tc>
        <w:tc>
          <w:tcPr>
            <w:tcW w:w="1411" w:type="dxa"/>
            <w:vAlign w:val="center"/>
          </w:tcPr>
          <w:p>
            <w:pPr>
              <w:wordWrap w:val="0"/>
              <w:spacing w:line="380" w:lineRule="exact"/>
              <w:jc w:val="center"/>
              <w:rPr>
                <w:rFonts w:ascii="宋体" w:hAnsi="宋体"/>
                <w:b/>
                <w:color w:val="auto"/>
              </w:rPr>
            </w:pPr>
            <w:r>
              <w:rPr>
                <w:rFonts w:hint="eastAsia" w:ascii="宋体" w:hAnsi="宋体"/>
                <w:b/>
                <w:color w:val="auto"/>
              </w:rPr>
              <w:t>产地品牌</w:t>
            </w:r>
          </w:p>
        </w:tc>
        <w:tc>
          <w:tcPr>
            <w:tcW w:w="1411" w:type="dxa"/>
            <w:vAlign w:val="center"/>
          </w:tcPr>
          <w:p>
            <w:pPr>
              <w:wordWrap w:val="0"/>
              <w:spacing w:line="380" w:lineRule="exact"/>
              <w:jc w:val="center"/>
              <w:rPr>
                <w:rFonts w:ascii="宋体" w:hAnsi="宋体"/>
                <w:b/>
                <w:color w:val="auto"/>
              </w:rPr>
            </w:pPr>
            <w:r>
              <w:rPr>
                <w:rFonts w:hint="eastAsia" w:ascii="宋体" w:hAnsi="宋体"/>
                <w:b/>
                <w:color w:val="auto"/>
              </w:rPr>
              <w:t>综合单价</w:t>
            </w:r>
          </w:p>
        </w:tc>
        <w:tc>
          <w:tcPr>
            <w:tcW w:w="987" w:type="dxa"/>
            <w:vAlign w:val="center"/>
          </w:tcPr>
          <w:p>
            <w:pPr>
              <w:wordWrap w:val="0"/>
              <w:spacing w:line="380" w:lineRule="exact"/>
              <w:jc w:val="center"/>
              <w:rPr>
                <w:rFonts w:ascii="宋体" w:hAnsi="宋体"/>
                <w:b/>
                <w:color w:val="auto"/>
              </w:rPr>
            </w:pPr>
            <w:r>
              <w:rPr>
                <w:rFonts w:hint="eastAsia" w:ascii="宋体" w:hAnsi="宋体"/>
                <w:b/>
                <w:color w:val="auto"/>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7"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1</w:t>
            </w:r>
          </w:p>
        </w:tc>
        <w:tc>
          <w:tcPr>
            <w:tcW w:w="1694" w:type="dxa"/>
            <w:vAlign w:val="center"/>
          </w:tcPr>
          <w:p>
            <w:pPr>
              <w:widowControl/>
              <w:spacing w:line="380" w:lineRule="exact"/>
              <w:jc w:val="center"/>
              <w:textAlignment w:val="center"/>
              <w:rPr>
                <w:rFonts w:ascii="宋体" w:hAnsi="宋体"/>
                <w:b/>
              </w:rPr>
            </w:pPr>
          </w:p>
        </w:tc>
        <w:tc>
          <w:tcPr>
            <w:tcW w:w="1694" w:type="dxa"/>
            <w:vAlign w:val="center"/>
          </w:tcPr>
          <w:p>
            <w:pPr>
              <w:wordWrap w:val="0"/>
              <w:spacing w:line="380" w:lineRule="exact"/>
              <w:jc w:val="center"/>
              <w:rPr>
                <w:rFonts w:ascii="宋体" w:hAnsi="宋体"/>
                <w:b/>
              </w:rPr>
            </w:pPr>
          </w:p>
        </w:tc>
        <w:tc>
          <w:tcPr>
            <w:tcW w:w="706" w:type="dxa"/>
            <w:vAlign w:val="center"/>
          </w:tcPr>
          <w:p>
            <w:pPr>
              <w:wordWrap w:val="0"/>
              <w:spacing w:line="380" w:lineRule="exact"/>
              <w:jc w:val="center"/>
              <w:rPr>
                <w:rFonts w:ascii="宋体" w:hAnsi="宋体"/>
                <w:b/>
              </w:rPr>
            </w:pPr>
          </w:p>
        </w:tc>
        <w:tc>
          <w:tcPr>
            <w:tcW w:w="847" w:type="dxa"/>
            <w:vAlign w:val="center"/>
          </w:tcPr>
          <w:p>
            <w:pPr>
              <w:wordWrap w:val="0"/>
              <w:spacing w:line="380" w:lineRule="exact"/>
              <w:jc w:val="center"/>
              <w:rPr>
                <w:rFonts w:ascii="宋体" w:hAnsi="宋体"/>
                <w:b/>
              </w:rPr>
            </w:pPr>
          </w:p>
        </w:tc>
        <w:tc>
          <w:tcPr>
            <w:tcW w:w="1411" w:type="dxa"/>
            <w:vAlign w:val="center"/>
          </w:tcPr>
          <w:p>
            <w:pPr>
              <w:wordWrap w:val="0"/>
              <w:spacing w:line="380" w:lineRule="exact"/>
              <w:jc w:val="center"/>
              <w:rPr>
                <w:rFonts w:ascii="宋体" w:hAnsi="宋体"/>
                <w:b/>
              </w:rPr>
            </w:pPr>
          </w:p>
        </w:tc>
        <w:tc>
          <w:tcPr>
            <w:tcW w:w="1411" w:type="dxa"/>
            <w:vAlign w:val="center"/>
          </w:tcPr>
          <w:p>
            <w:pPr>
              <w:wordWrap w:val="0"/>
              <w:spacing w:line="380" w:lineRule="exact"/>
              <w:jc w:val="center"/>
              <w:rPr>
                <w:rFonts w:ascii="宋体" w:hAnsi="宋体"/>
                <w:b/>
              </w:rPr>
            </w:pPr>
          </w:p>
        </w:tc>
        <w:tc>
          <w:tcPr>
            <w:tcW w:w="987" w:type="dxa"/>
            <w:vAlign w:val="center"/>
          </w:tcPr>
          <w:p>
            <w:pPr>
              <w:wordWrap w:val="0"/>
              <w:spacing w:line="3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7"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2</w:t>
            </w:r>
          </w:p>
        </w:tc>
        <w:tc>
          <w:tcPr>
            <w:tcW w:w="1694" w:type="dxa"/>
            <w:vAlign w:val="center"/>
          </w:tcPr>
          <w:p>
            <w:pPr>
              <w:widowControl/>
              <w:spacing w:line="380" w:lineRule="exact"/>
              <w:jc w:val="center"/>
              <w:textAlignment w:val="center"/>
              <w:rPr>
                <w:rFonts w:ascii="宋体" w:hAnsi="宋体" w:cs="宋体"/>
                <w:bCs/>
                <w:spacing w:val="-6"/>
                <w:kern w:val="0"/>
                <w:lang w:val="zh-CN"/>
              </w:rPr>
            </w:pPr>
          </w:p>
        </w:tc>
        <w:tc>
          <w:tcPr>
            <w:tcW w:w="1694" w:type="dxa"/>
            <w:vAlign w:val="center"/>
          </w:tcPr>
          <w:p>
            <w:pPr>
              <w:widowControl/>
              <w:wordWrap w:val="0"/>
              <w:spacing w:line="380" w:lineRule="exact"/>
              <w:jc w:val="center"/>
              <w:textAlignment w:val="center"/>
              <w:rPr>
                <w:rFonts w:ascii="宋体" w:hAnsi="宋体" w:cs="宋体"/>
                <w:bCs/>
                <w:spacing w:val="-6"/>
                <w:kern w:val="0"/>
                <w:lang w:val="zh-CN"/>
              </w:rPr>
            </w:pPr>
          </w:p>
        </w:tc>
        <w:tc>
          <w:tcPr>
            <w:tcW w:w="706" w:type="dxa"/>
            <w:vAlign w:val="center"/>
          </w:tcPr>
          <w:p>
            <w:pPr>
              <w:widowControl/>
              <w:wordWrap w:val="0"/>
              <w:spacing w:line="380" w:lineRule="exact"/>
              <w:jc w:val="center"/>
              <w:textAlignment w:val="center"/>
              <w:rPr>
                <w:rFonts w:ascii="宋体" w:hAnsi="宋体" w:cs="宋体"/>
                <w:bCs/>
                <w:spacing w:val="-6"/>
                <w:kern w:val="0"/>
                <w:lang w:val="zh-CN"/>
              </w:rPr>
            </w:pPr>
          </w:p>
        </w:tc>
        <w:tc>
          <w:tcPr>
            <w:tcW w:w="84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1" w:type="dxa"/>
            <w:vAlign w:val="center"/>
          </w:tcPr>
          <w:p>
            <w:pPr>
              <w:widowControl/>
              <w:wordWrap w:val="0"/>
              <w:spacing w:line="380" w:lineRule="exact"/>
              <w:jc w:val="center"/>
              <w:textAlignment w:val="center"/>
              <w:rPr>
                <w:rFonts w:ascii="宋体" w:hAnsi="宋体" w:cs="宋体"/>
                <w:bCs/>
                <w:spacing w:val="-6"/>
                <w:kern w:val="0"/>
                <w:lang w:val="zh-CN"/>
              </w:rPr>
            </w:pPr>
          </w:p>
        </w:tc>
        <w:tc>
          <w:tcPr>
            <w:tcW w:w="987"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597" w:type="dxa"/>
            <w:gridSpan w:val="8"/>
            <w:vAlign w:val="center"/>
          </w:tcPr>
          <w:p>
            <w:pPr>
              <w:widowControl/>
              <w:wordWrap w:val="0"/>
              <w:spacing w:line="380" w:lineRule="exact"/>
              <w:jc w:val="left"/>
              <w:textAlignment w:val="center"/>
              <w:rPr>
                <w:rFonts w:ascii="宋体" w:hAnsi="宋体" w:cs="宋体"/>
                <w:bCs/>
                <w:spacing w:val="-6"/>
                <w:kern w:val="0"/>
                <w:lang w:val="zh-CN"/>
              </w:rPr>
            </w:pPr>
            <w:r>
              <w:rPr>
                <w:rFonts w:hint="eastAsia" w:ascii="宋体" w:hAnsi="宋体"/>
              </w:rPr>
              <w:t>合计（大写 人民币          元</w:t>
            </w:r>
            <w:r>
              <w:rPr>
                <w:rFonts w:ascii="宋体" w:hAnsi="宋体"/>
              </w:rPr>
              <w:t>，</w:t>
            </w:r>
            <w:r>
              <w:rPr>
                <w:rFonts w:hint="eastAsia" w:ascii="宋体" w:hAnsi="宋体"/>
              </w:rPr>
              <w:t>小写：人民币        元）：</w:t>
            </w:r>
          </w:p>
        </w:tc>
      </w:tr>
    </w:tbl>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注：1、本表中的“合计”应与“ （一）投标函”及“ （二）投标一览表”中的“投标总价”一致；</w:t>
      </w:r>
    </w:p>
    <w:p>
      <w:pPr>
        <w:pStyle w:val="15"/>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2、表格可自行扩展。</w:t>
      </w:r>
    </w:p>
    <w:p>
      <w:pPr>
        <w:pStyle w:val="15"/>
        <w:ind w:left="440"/>
        <w:rPr>
          <w:rFonts w:asciiTheme="minorEastAsia" w:hAnsiTheme="minorEastAsia" w:eastAsiaTheme="minorEastAsia"/>
          <w:color w:val="000000" w:themeColor="text1"/>
          <w:szCs w:val="24"/>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  标  人（公章）：</w:t>
      </w:r>
    </w:p>
    <w:p>
      <w:pPr>
        <w:spacing w:line="380" w:lineRule="exact"/>
        <w:rPr>
          <w:rFonts w:asciiTheme="minorEastAsia" w:hAnsiTheme="minorEastAsia" w:eastAsiaTheme="minorEastAsia"/>
          <w:color w:val="000000" w:themeColor="text1"/>
          <w14:textFill>
            <w14:solidFill>
              <w14:schemeClr w14:val="tx1"/>
            </w14:solidFill>
          </w14:textFill>
        </w:rPr>
      </w:pP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14:textFill>
            <w14:solidFill>
              <w14:schemeClr w14:val="tx1"/>
            </w14:solidFill>
          </w14:textFill>
        </w:rPr>
      </w:pPr>
    </w:p>
    <w:p>
      <w:pPr>
        <w:spacing w:line="400" w:lineRule="exact"/>
        <w:jc w:val="left"/>
        <w:rPr>
          <w:rFonts w:asciiTheme="minorEastAsia" w:hAnsiTheme="minorEastAsia" w:eastAsiaTheme="minorEastAsia"/>
          <w:color w:val="000000" w:themeColor="text1"/>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6" w:charSpace="0"/>
        </w:sectPr>
      </w:pPr>
      <w:r>
        <w:rPr>
          <w:rFonts w:hint="eastAsia" w:asciiTheme="minorEastAsia" w:hAnsiTheme="minorEastAsia" w:eastAsiaTheme="minorEastAsia"/>
          <w:color w:val="000000" w:themeColor="text1"/>
          <w14:textFill>
            <w14:solidFill>
              <w14:schemeClr w14:val="tx1"/>
            </w14:solidFill>
          </w14:textFill>
        </w:rPr>
        <w:t>日期：</w:t>
      </w:r>
    </w:p>
    <w:p>
      <w:pPr>
        <w:rPr>
          <w:color w:val="000000" w:themeColor="text1"/>
          <w14:textFill>
            <w14:solidFill>
              <w14:schemeClr w14:val="tx1"/>
            </w14:solidFill>
          </w14:textFill>
        </w:rPr>
      </w:pPr>
    </w:p>
    <w:p>
      <w:pPr>
        <w:pStyle w:val="4"/>
        <w:spacing w:line="380" w:lineRule="exact"/>
        <w:rPr>
          <w:rFonts w:asciiTheme="minorEastAsia" w:hAnsiTheme="minorEastAsia" w:eastAsiaTheme="minorEastAsia"/>
          <w:color w:val="000000" w:themeColor="text1"/>
          <w:sz w:val="28"/>
          <w:szCs w:val="28"/>
          <w14:textFill>
            <w14:solidFill>
              <w14:schemeClr w14:val="tx1"/>
            </w14:solidFill>
          </w14:textFill>
        </w:rPr>
      </w:pPr>
      <w:bookmarkStart w:id="165" w:name="_Toc141797709"/>
      <w:bookmarkStart w:id="166" w:name="_Toc141797153"/>
      <w:r>
        <w:rPr>
          <w:rFonts w:hint="eastAsia" w:asciiTheme="minorEastAsia" w:hAnsiTheme="minorEastAsia" w:eastAsiaTheme="minorEastAsia"/>
          <w:color w:val="000000" w:themeColor="text1"/>
          <w:sz w:val="28"/>
          <w:szCs w:val="28"/>
          <w14:textFill>
            <w14:solidFill>
              <w14:schemeClr w14:val="tx1"/>
            </w14:solidFill>
          </w14:textFill>
        </w:rPr>
        <w:t>附  件</w:t>
      </w:r>
      <w:bookmarkEnd w:id="165"/>
      <w:bookmarkEnd w:id="166"/>
    </w:p>
    <w:p>
      <w:pPr>
        <w:pStyle w:val="4"/>
        <w:spacing w:line="380" w:lineRule="exact"/>
        <w:rPr>
          <w:rFonts w:asciiTheme="minorEastAsia" w:hAnsiTheme="minorEastAsia" w:eastAsiaTheme="minorEastAsia"/>
          <w:color w:val="000000" w:themeColor="text1"/>
          <w:sz w:val="24"/>
          <w:szCs w:val="24"/>
          <w14:textFill>
            <w14:solidFill>
              <w14:schemeClr w14:val="tx1"/>
            </w14:solidFill>
          </w14:textFill>
        </w:rPr>
      </w:pPr>
    </w:p>
    <w:p>
      <w:pPr>
        <w:pStyle w:val="4"/>
        <w:spacing w:line="380" w:lineRule="exact"/>
        <w:jc w:val="both"/>
        <w:rPr>
          <w:rFonts w:asciiTheme="minorEastAsia" w:hAnsiTheme="minorEastAsia" w:eastAsiaTheme="minorEastAsia"/>
          <w:color w:val="000000" w:themeColor="text1"/>
          <w:sz w:val="24"/>
          <w:szCs w:val="24"/>
          <w14:textFill>
            <w14:solidFill>
              <w14:schemeClr w14:val="tx1"/>
            </w14:solidFill>
          </w14:textFill>
        </w:rPr>
      </w:pPr>
      <w:bookmarkStart w:id="167" w:name="_Toc141797154"/>
      <w:bookmarkStart w:id="168" w:name="_Toc141797710"/>
      <w:r>
        <w:rPr>
          <w:rFonts w:hint="eastAsia" w:asciiTheme="minorEastAsia" w:hAnsiTheme="minorEastAsia" w:eastAsiaTheme="minorEastAsia"/>
          <w:color w:val="000000" w:themeColor="text1"/>
          <w:sz w:val="24"/>
          <w:szCs w:val="24"/>
          <w14:textFill>
            <w14:solidFill>
              <w14:schemeClr w14:val="tx1"/>
            </w14:solidFill>
          </w14:textFill>
        </w:rPr>
        <w:t>附件1                        中小企业声明函</w:t>
      </w:r>
      <w:bookmarkEnd w:id="167"/>
      <w:bookmarkEnd w:id="168"/>
    </w:p>
    <w:p>
      <w:pPr>
        <w:spacing w:line="360" w:lineRule="auto"/>
        <w:ind w:firstLine="444" w:firstLineChars="200"/>
        <w:rPr>
          <w:rFonts w:asciiTheme="minorEastAsia" w:hAnsiTheme="minorEastAsia" w:eastAsiaTheme="minorEastAsia"/>
          <w:color w:val="000000" w:themeColor="text1"/>
          <w:spacing w:val="6"/>
          <w14:textFill>
            <w14:solidFill>
              <w14:schemeClr w14:val="tx1"/>
            </w14:solidFill>
          </w14:textFill>
        </w:rPr>
      </w:pPr>
    </w:p>
    <w:p>
      <w:pPr>
        <w:pStyle w:val="26"/>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pacing w:val="6"/>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本公司（联合体）郑重声明，根据《政府采购促进中小企业发展管理办法》（财库〔2020） 46号）的规定，本公司 （联合体）参加</w:t>
      </w:r>
      <w:r>
        <w:rPr>
          <w:rFonts w:hint="eastAsia" w:ascii="宋体" w:hAnsi="宋体" w:eastAsia="宋体" w:cs="宋体"/>
          <w:color w:val="000000" w:themeColor="text1"/>
          <w:u w:val="single"/>
          <w14:textFill>
            <w14:solidFill>
              <w14:schemeClr w14:val="tx1"/>
            </w14:solidFill>
          </w14:textFill>
        </w:rPr>
        <w:t>（单位名称）</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采购活动,提供的货物全</w:t>
      </w:r>
      <w:r>
        <w:rPr>
          <w:rFonts w:hint="eastAsia" w:ascii="宋体" w:hAnsi="宋体" w:eastAsia="宋体" w:cs="宋体"/>
          <w:color w:val="auto"/>
        </w:rPr>
        <w:t>部由符合政策要求的中小企业制造。相关企业 （含联合体中的中小企业、签订分包意向协议的中小企业） 的具体情况如下</w:t>
      </w:r>
      <w:r>
        <w:rPr>
          <w:rFonts w:hint="eastAsia" w:ascii="宋体" w:hAnsi="宋体" w:eastAsia="宋体" w:cs="宋体"/>
          <w:color w:val="auto"/>
          <w:spacing w:val="6"/>
        </w:rPr>
        <w:t>：</w:t>
      </w:r>
    </w:p>
    <w:p>
      <w:pPr>
        <w:keepNext w:val="0"/>
        <w:keepLines w:val="0"/>
        <w:pageBreakBefore w:val="0"/>
        <w:widowControl w:val="0"/>
        <w:kinsoku/>
        <w:wordWrap/>
        <w:overflowPunct/>
        <w:topLinePunct w:val="0"/>
        <w:autoSpaceDE/>
        <w:autoSpaceDN/>
        <w:bidi w:val="0"/>
        <w:adjustRightInd w:val="0"/>
        <w:snapToGrid/>
        <w:spacing w:line="360" w:lineRule="auto"/>
        <w:ind w:firstLine="444" w:firstLineChars="200"/>
        <w:jc w:val="left"/>
        <w:textAlignment w:val="baseline"/>
        <w:rPr>
          <w:rFonts w:hint="eastAsia" w:ascii="宋体" w:hAnsi="宋体" w:eastAsia="宋体" w:cs="宋体"/>
          <w:color w:val="auto"/>
          <w:spacing w:val="6"/>
          <w:kern w:val="0"/>
          <w:u w:val="single"/>
        </w:rPr>
      </w:pPr>
      <w:r>
        <w:rPr>
          <w:rFonts w:hint="eastAsia" w:ascii="宋体" w:hAnsi="宋体" w:eastAsia="宋体" w:cs="宋体"/>
          <w:color w:val="auto"/>
          <w:spacing w:val="6"/>
          <w:kern w:val="0"/>
        </w:rPr>
        <w:t>1.</w:t>
      </w:r>
      <w:r>
        <w:rPr>
          <w:rFonts w:hint="eastAsia" w:ascii="宋体" w:hAnsi="宋体" w:eastAsia="宋体" w:cs="宋体"/>
          <w:b/>
          <w:bCs/>
          <w:color w:val="auto"/>
          <w:spacing w:val="6"/>
          <w:kern w:val="0"/>
          <w:u w:val="single"/>
        </w:rPr>
        <w:t>警用摩托车</w:t>
      </w:r>
      <w:r>
        <w:rPr>
          <w:rFonts w:hint="eastAsia" w:ascii="宋体" w:hAnsi="宋体" w:eastAsia="宋体" w:cs="宋体"/>
          <w:color w:val="auto"/>
          <w:spacing w:val="6"/>
          <w:kern w:val="0"/>
        </w:rPr>
        <w:t>，属于</w:t>
      </w:r>
      <w:r>
        <w:rPr>
          <w:rFonts w:hint="eastAsia" w:ascii="宋体" w:hAnsi="宋体" w:eastAsia="宋体" w:cs="宋体"/>
          <w:b/>
          <w:bCs/>
          <w:color w:val="auto"/>
          <w:spacing w:val="6"/>
          <w:kern w:val="0"/>
          <w:u w:val="single"/>
        </w:rPr>
        <w:t>工业行业</w:t>
      </w:r>
      <w:r>
        <w:rPr>
          <w:rFonts w:hint="eastAsia" w:ascii="宋体" w:hAnsi="宋体" w:eastAsia="宋体" w:cs="宋体"/>
          <w:color w:val="auto"/>
          <w:spacing w:val="6"/>
          <w:kern w:val="0"/>
        </w:rPr>
        <w:t>；制造商企业为</w:t>
      </w:r>
      <w:r>
        <w:rPr>
          <w:rFonts w:hint="eastAsia" w:ascii="宋体" w:hAnsi="宋体" w:eastAsia="宋体" w:cs="宋体"/>
          <w:i/>
          <w:color w:val="auto"/>
          <w:spacing w:val="6"/>
          <w:kern w:val="0"/>
          <w:u w:val="single"/>
        </w:rPr>
        <w:t>（企业名称）</w:t>
      </w:r>
      <w:r>
        <w:rPr>
          <w:rFonts w:hint="eastAsia" w:ascii="宋体" w:hAnsi="宋体" w:eastAsia="宋体" w:cs="宋体"/>
          <w:color w:val="auto"/>
          <w:spacing w:val="6"/>
          <w:kern w:val="0"/>
        </w:rPr>
        <w:t>，从业人员</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人，营业收入为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万元，资产总额为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万元，属于</w:t>
      </w:r>
      <w:r>
        <w:rPr>
          <w:rFonts w:hint="eastAsia" w:ascii="宋体" w:hAnsi="宋体" w:eastAsia="宋体" w:cs="宋体"/>
          <w:i/>
          <w:color w:val="auto"/>
          <w:spacing w:val="6"/>
          <w:kern w:val="0"/>
          <w:u w:val="single"/>
        </w:rPr>
        <w:t>（中型企业、小型企业、微型企业）</w:t>
      </w:r>
      <w:r>
        <w:rPr>
          <w:rFonts w:hint="eastAsia" w:ascii="宋体" w:hAnsi="宋体" w:eastAsia="宋体" w:cs="宋体"/>
          <w:color w:val="auto"/>
          <w:spacing w:val="6"/>
          <w:kern w:val="0"/>
        </w:rPr>
        <w:t>；</w:t>
      </w:r>
    </w:p>
    <w:p>
      <w:pPr>
        <w:adjustRightInd w:val="0"/>
        <w:spacing w:line="360" w:lineRule="auto"/>
        <w:ind w:firstLine="444" w:firstLineChars="200"/>
        <w:jc w:val="left"/>
        <w:textAlignment w:val="baseline"/>
        <w:rPr>
          <w:rFonts w:ascii="宋体" w:hAnsi="宋体" w:cs="宋体"/>
          <w:color w:val="0000FF"/>
          <w:spacing w:val="6"/>
          <w:kern w:val="0"/>
        </w:rPr>
      </w:pPr>
    </w:p>
    <w:p>
      <w:pPr>
        <w:spacing w:line="360" w:lineRule="auto"/>
        <w:ind w:firstLine="444" w:firstLineChars="20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w:t>
      </w:r>
    </w:p>
    <w:p>
      <w:pPr>
        <w:spacing w:line="360" w:lineRule="auto"/>
        <w:ind w:firstLine="444" w:firstLineChars="200"/>
        <w:rPr>
          <w:rFonts w:asciiTheme="minorEastAsia" w:hAnsiTheme="minorEastAsia" w:eastAsiaTheme="minorEastAsia"/>
          <w:color w:val="000000" w:themeColor="text1"/>
          <w:spacing w:val="6"/>
          <w14:textFill>
            <w14:solidFill>
              <w14:schemeClr w14:val="tx1"/>
            </w14:solidFill>
          </w14:textFill>
        </w:rPr>
      </w:pPr>
      <w:r>
        <w:rPr>
          <w:rFonts w:hint="eastAsia" w:asciiTheme="minorEastAsia" w:hAnsiTheme="minorEastAsia" w:eastAsiaTheme="minorEastAsia"/>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color w:val="000000" w:themeColor="text1"/>
          <w:spacing w:val="6"/>
          <w14:textFill>
            <w14:solidFill>
              <w14:schemeClr w14:val="tx1"/>
            </w14:solidFill>
          </w14:textFill>
        </w:rPr>
      </w:pPr>
      <w:r>
        <w:rPr>
          <w:rFonts w:hint="eastAsia" w:asciiTheme="minorEastAsia" w:hAnsiTheme="minorEastAsia" w:eastAsiaTheme="minorEastAsia"/>
          <w:color w:val="000000" w:themeColor="text1"/>
          <w:spacing w:val="6"/>
          <w14:textFill>
            <w14:solidFill>
              <w14:schemeClr w14:val="tx1"/>
            </w14:solidFill>
          </w14:textFill>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color w:val="000000" w:themeColor="text1"/>
          <w:spacing w:val="6"/>
          <w14:textFill>
            <w14:solidFill>
              <w14:schemeClr w14:val="tx1"/>
            </w14:solidFill>
          </w14:textFill>
        </w:rPr>
      </w:pPr>
    </w:p>
    <w:p>
      <w:pPr>
        <w:tabs>
          <w:tab w:val="left" w:pos="4860"/>
        </w:tabs>
        <w:spacing w:line="360" w:lineRule="auto"/>
        <w:ind w:right="-58" w:firstLine="4773" w:firstLineChars="2150"/>
        <w:rPr>
          <w:rFonts w:asciiTheme="minorEastAsia" w:hAnsiTheme="minorEastAsia" w:eastAsiaTheme="minorEastAsia"/>
          <w:color w:val="000000" w:themeColor="text1"/>
          <w:spacing w:val="6"/>
          <w14:textFill>
            <w14:solidFill>
              <w14:schemeClr w14:val="tx1"/>
            </w14:solidFill>
          </w14:textFill>
        </w:rPr>
      </w:pPr>
      <w:r>
        <w:rPr>
          <w:rFonts w:hint="eastAsia" w:asciiTheme="minorEastAsia" w:hAnsiTheme="minorEastAsia" w:eastAsiaTheme="minorEastAsia"/>
          <w:color w:val="000000" w:themeColor="text1"/>
          <w:spacing w:val="6"/>
          <w14:textFill>
            <w14:solidFill>
              <w14:schemeClr w14:val="tx1"/>
            </w14:solidFill>
          </w14:textFill>
        </w:rPr>
        <w:t xml:space="preserve">企业名称（公章）：                </w:t>
      </w:r>
    </w:p>
    <w:p>
      <w:pPr>
        <w:tabs>
          <w:tab w:val="left" w:pos="4860"/>
        </w:tabs>
        <w:spacing w:line="360" w:lineRule="auto"/>
        <w:ind w:right="-58" w:firstLine="4773" w:firstLineChars="2150"/>
        <w:rPr>
          <w:rFonts w:asciiTheme="minorEastAsia" w:hAnsiTheme="minorEastAsia" w:eastAsiaTheme="minorEastAsia"/>
          <w:color w:val="000000" w:themeColor="text1"/>
          <w:spacing w:val="6"/>
          <w14:textFill>
            <w14:solidFill>
              <w14:schemeClr w14:val="tx1"/>
            </w14:solidFill>
          </w14:textFill>
        </w:rPr>
      </w:pPr>
      <w:r>
        <w:rPr>
          <w:rFonts w:hint="eastAsia" w:asciiTheme="minorEastAsia" w:hAnsiTheme="minorEastAsia" w:eastAsiaTheme="minorEastAsia"/>
          <w:color w:val="000000" w:themeColor="text1"/>
          <w:spacing w:val="6"/>
          <w14:textFill>
            <w14:solidFill>
              <w14:schemeClr w14:val="tx1"/>
            </w14:solidFill>
          </w14:textFill>
        </w:rPr>
        <w:t xml:space="preserve">日期：  </w:t>
      </w:r>
    </w:p>
    <w:p>
      <w:pPr>
        <w:spacing w:line="360" w:lineRule="auto"/>
        <w:ind w:right="420" w:firstLine="444" w:firstLineChars="200"/>
        <w:rPr>
          <w:rFonts w:asciiTheme="minorEastAsia" w:hAnsiTheme="minorEastAsia" w:eastAsiaTheme="minorEastAsia"/>
          <w:color w:val="000000" w:themeColor="text1"/>
          <w:spacing w:val="6"/>
          <w14:textFill>
            <w14:solidFill>
              <w14:schemeClr w14:val="tx1"/>
            </w14:solidFill>
          </w14:textFill>
        </w:rPr>
      </w:pPr>
      <w:r>
        <w:rPr>
          <w:rFonts w:hint="eastAsia" w:asciiTheme="minorEastAsia" w:hAnsiTheme="minorEastAsia" w:eastAsiaTheme="minorEastAsia"/>
          <w:color w:val="000000" w:themeColor="text1"/>
          <w:spacing w:val="6"/>
          <w14:textFill>
            <w14:solidFill>
              <w14:schemeClr w14:val="tx1"/>
            </w14:solidFill>
          </w14:textFill>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asciiTheme="minorEastAsia" w:hAnsiTheme="minorEastAsia" w:eastAsiaTheme="minorEastAsia"/>
          <w:b/>
          <w:color w:val="000000" w:themeColor="text1"/>
          <w:spacing w:val="6"/>
          <w:sz w:val="28"/>
          <w:szCs w:val="28"/>
          <w14:textFill>
            <w14:solidFill>
              <w14:schemeClr w14:val="tx1"/>
            </w14:solidFill>
          </w14:textFill>
        </w:rPr>
        <w:sectPr>
          <w:headerReference r:id="rId14"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000000" w:themeColor="text1"/>
          <w:spacing w:val="6"/>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14:textFill>
            <w14:solidFill>
              <w14:schemeClr w14:val="tx1"/>
            </w14:solidFill>
          </w14:textFill>
        </w:rPr>
        <w:t>。</w:t>
      </w:r>
    </w:p>
    <w:p>
      <w:pPr>
        <w:jc w:val="center"/>
        <w:rPr>
          <w:rStyle w:val="138"/>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中小微行业划型标准规定</w:t>
      </w:r>
      <w:r>
        <w:rPr>
          <w:rStyle w:val="138"/>
          <w:rFonts w:asciiTheme="minorEastAsia" w:hAnsiTheme="minorEastAsia" w:eastAsiaTheme="minorEastAsia"/>
          <w:color w:val="000000" w:themeColor="text1"/>
          <w:sz w:val="28"/>
          <w:szCs w:val="28"/>
          <w14:textFill>
            <w14:solidFill>
              <w14:schemeClr w14:val="tx1"/>
            </w14:solidFill>
          </w14:textFill>
        </w:rPr>
        <w:t>（根据工信部联企业〔2011〕300号制定）</w:t>
      </w:r>
    </w:p>
    <w:tbl>
      <w:tblPr>
        <w:tblStyle w:val="38"/>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14:textFill>
                  <w14:solidFill>
                    <w14:schemeClr w14:val="tx1"/>
                  </w14:solidFill>
                </w14:textFill>
              </w:rPr>
            </w:pPr>
          </w:p>
        </w:tc>
      </w:tr>
    </w:tbl>
    <w:p>
      <w:pPr>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pPr>
        <w:pStyle w:val="6"/>
        <w:spacing w:line="380" w:lineRule="exact"/>
        <w:rPr>
          <w:rFonts w:asciiTheme="minorEastAsia" w:hAnsiTheme="minorEastAsia" w:eastAsiaTheme="minorEastAsia"/>
          <w:color w:val="000000" w:themeColor="text1"/>
          <w:sz w:val="28"/>
          <w:szCs w:val="28"/>
          <w14:textFill>
            <w14:solidFill>
              <w14:schemeClr w14:val="tx1"/>
            </w14:solidFill>
          </w14:textFill>
        </w:rPr>
        <w:sectPr>
          <w:pgSz w:w="16840" w:h="11907" w:orient="landscape"/>
          <w:pgMar w:top="1588" w:right="1304" w:bottom="1588" w:left="1304" w:header="720" w:footer="720" w:gutter="0"/>
          <w:pgBorders>
            <w:top w:val="none" w:sz="0" w:space="0"/>
            <w:left w:val="none" w:sz="0" w:space="0"/>
            <w:bottom w:val="none" w:sz="0" w:space="0"/>
            <w:right w:val="none" w:sz="0" w:space="0"/>
          </w:pgBorders>
          <w:cols w:space="720" w:num="1"/>
          <w:docGrid w:linePitch="285" w:charSpace="0"/>
        </w:sectPr>
      </w:pPr>
    </w:p>
    <w:p>
      <w:pPr>
        <w:pStyle w:val="4"/>
        <w:spacing w:line="380" w:lineRule="exact"/>
        <w:jc w:val="both"/>
        <w:rPr>
          <w:rFonts w:asciiTheme="minorEastAsia" w:hAnsiTheme="minorEastAsia" w:eastAsiaTheme="minorEastAsia"/>
          <w:color w:val="000000" w:themeColor="text1"/>
          <w:sz w:val="24"/>
          <w:szCs w:val="24"/>
          <w14:textFill>
            <w14:solidFill>
              <w14:schemeClr w14:val="tx1"/>
            </w14:solidFill>
          </w14:textFill>
        </w:rPr>
      </w:pPr>
      <w:bookmarkStart w:id="169" w:name="_Toc141797156"/>
      <w:bookmarkStart w:id="170" w:name="_Toc141797712"/>
      <w:r>
        <w:rPr>
          <w:rFonts w:hint="eastAsia" w:asciiTheme="minorEastAsia" w:hAnsiTheme="minorEastAsia" w:eastAsiaTheme="minorEastAsia"/>
          <w:color w:val="000000" w:themeColor="text1"/>
          <w:sz w:val="24"/>
          <w:szCs w:val="24"/>
          <w14:textFill>
            <w14:solidFill>
              <w14:schemeClr w14:val="tx1"/>
            </w14:solidFill>
          </w14:textFill>
        </w:rPr>
        <w:t>附件2</w:t>
      </w:r>
      <w:bookmarkEnd w:id="169"/>
      <w:bookmarkEnd w:id="170"/>
    </w:p>
    <w:p>
      <w:pPr>
        <w:pStyle w:val="4"/>
        <w:spacing w:line="380" w:lineRule="exact"/>
        <w:rPr>
          <w:rFonts w:asciiTheme="minorEastAsia" w:hAnsiTheme="minorEastAsia" w:eastAsiaTheme="minorEastAsia"/>
          <w:color w:val="000000" w:themeColor="text1"/>
          <w:sz w:val="24"/>
          <w:szCs w:val="24"/>
          <w14:textFill>
            <w14:solidFill>
              <w14:schemeClr w14:val="tx1"/>
            </w14:solidFill>
          </w14:textFill>
        </w:rPr>
      </w:pPr>
      <w:bookmarkStart w:id="171" w:name="_Toc141797713"/>
      <w:bookmarkStart w:id="172" w:name="_Toc141797157"/>
      <w:r>
        <w:rPr>
          <w:rFonts w:hint="eastAsia" w:asciiTheme="minorEastAsia" w:hAnsiTheme="minorEastAsia" w:eastAsiaTheme="minorEastAsia"/>
          <w:color w:val="000000" w:themeColor="text1"/>
          <w:sz w:val="24"/>
          <w:szCs w:val="24"/>
          <w14:textFill>
            <w14:solidFill>
              <w14:schemeClr w14:val="tx1"/>
            </w14:solidFill>
          </w14:textFill>
        </w:rPr>
        <w:t>残疾人福利性单位声明函（如有需提供）</w:t>
      </w:r>
      <w:bookmarkEnd w:id="171"/>
      <w:bookmarkEnd w:id="172"/>
    </w:p>
    <w:p>
      <w:pPr>
        <w:ind w:firstLine="420" w:firstLineChars="200"/>
        <w:rPr>
          <w:rFonts w:asciiTheme="minorEastAsia" w:hAnsiTheme="minorEastAsia" w:eastAsiaTheme="minorEastAsia"/>
          <w:color w:val="000000" w:themeColor="text1"/>
          <w14:textFill>
            <w14:solidFill>
              <w14:schemeClr w14:val="tx1"/>
            </w14:solidFill>
          </w14:textFill>
        </w:rPr>
      </w:pPr>
    </w:p>
    <w:p>
      <w:pPr>
        <w:spacing w:line="588"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color w:val="000000" w:themeColor="text1"/>
          <w14:textFill>
            <w14:solidFill>
              <w14:schemeClr w14:val="tx1"/>
            </w14:solidFill>
          </w14:textFill>
        </w:rPr>
      </w:pPr>
    </w:p>
    <w:p>
      <w:pPr>
        <w:tabs>
          <w:tab w:val="left" w:pos="4860"/>
        </w:tabs>
        <w:spacing w:line="588" w:lineRule="exact"/>
        <w:ind w:right="1560" w:firstLine="420" w:firstLineChars="20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单位名称（公章）：</w:t>
      </w:r>
    </w:p>
    <w:p>
      <w:pPr>
        <w:spacing w:line="38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日  期：</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注：</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享受政府采购支持政策的残疾人福利性单位应当同时满足以下条件：</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14:textFill>
            <w14:solidFill>
              <w14:schemeClr w14:val="tx1"/>
            </w14:solidFill>
          </w14:textFill>
        </w:rPr>
        <w:t>25%</w:t>
      </w:r>
      <w:r>
        <w:rPr>
          <w:rFonts w:hint="eastAsia" w:asciiTheme="minorEastAsia" w:hAnsiTheme="minorEastAsia" w:eastAsiaTheme="minorEastAsia"/>
          <w:b/>
          <w:color w:val="000000" w:themeColor="text1"/>
          <w14:textFill>
            <w14:solidFill>
              <w14:schemeClr w14:val="tx1"/>
            </w14:solidFill>
          </w14:textFill>
        </w:rPr>
        <w:t>（含</w:t>
      </w:r>
      <w:r>
        <w:rPr>
          <w:rFonts w:asciiTheme="minorEastAsia" w:hAnsiTheme="minorEastAsia" w:eastAsiaTheme="minorEastAsia"/>
          <w:b/>
          <w:color w:val="000000" w:themeColor="text1"/>
          <w14:textFill>
            <w14:solidFill>
              <w14:schemeClr w14:val="tx1"/>
            </w14:solidFill>
          </w14:textFill>
        </w:rPr>
        <w:t>25%</w:t>
      </w:r>
      <w:r>
        <w:rPr>
          <w:rFonts w:hint="eastAsia" w:asciiTheme="minorEastAsia" w:hAnsiTheme="minorEastAsia" w:eastAsiaTheme="minorEastAsia"/>
          <w:b/>
          <w:color w:val="000000" w:themeColor="text1"/>
          <w14:textFill>
            <w14:solidFill>
              <w14:schemeClr w14:val="tx1"/>
            </w14:solidFill>
          </w14:textFill>
        </w:rPr>
        <w:t>），并且安置的残疾人人数不少于</w:t>
      </w:r>
      <w:r>
        <w:rPr>
          <w:rFonts w:asciiTheme="minorEastAsia" w:hAnsiTheme="minorEastAsia" w:eastAsiaTheme="minorEastAsia"/>
          <w:b/>
          <w:color w:val="000000" w:themeColor="text1"/>
          <w14:textFill>
            <w14:solidFill>
              <w14:schemeClr w14:val="tx1"/>
            </w14:solidFill>
          </w14:textFill>
        </w:rPr>
        <w:t>10</w:t>
      </w:r>
      <w:r>
        <w:rPr>
          <w:rFonts w:hint="eastAsia" w:asciiTheme="minorEastAsia" w:hAnsiTheme="minorEastAsia" w:eastAsiaTheme="minorEastAsia"/>
          <w:b/>
          <w:color w:val="000000" w:themeColor="text1"/>
          <w14:textFill>
            <w14:solidFill>
              <w14:schemeClr w14:val="tx1"/>
            </w14:solidFill>
          </w14:textFill>
        </w:rPr>
        <w:t>人（含</w:t>
      </w:r>
      <w:r>
        <w:rPr>
          <w:rFonts w:asciiTheme="minorEastAsia" w:hAnsiTheme="minorEastAsia" w:eastAsiaTheme="minorEastAsia"/>
          <w:b/>
          <w:color w:val="000000" w:themeColor="text1"/>
          <w14:textFill>
            <w14:solidFill>
              <w14:schemeClr w14:val="tx1"/>
            </w14:solidFill>
          </w14:textFill>
        </w:rPr>
        <w:t>10</w:t>
      </w:r>
      <w:r>
        <w:rPr>
          <w:rFonts w:hint="eastAsia" w:asciiTheme="minorEastAsia" w:hAnsiTheme="minorEastAsia" w:eastAsiaTheme="minorEastAsia"/>
          <w:b/>
          <w:color w:val="000000" w:themeColor="text1"/>
          <w14:textFill>
            <w14:solidFill>
              <w14:schemeClr w14:val="tx1"/>
            </w14:solidFill>
          </w14:textFill>
        </w:rPr>
        <w:t>人）；</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380" w:lineRule="exact"/>
        <w:rPr>
          <w:rFonts w:cs="宋体" w:asciiTheme="minorEastAsia" w:hAnsiTheme="minorEastAsia" w:eastAsiaTheme="minorEastAsia"/>
          <w:color w:val="000000" w:themeColor="text1"/>
          <w:kern w:val="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至</w:t>
      </w:r>
      <w:r>
        <w:rPr>
          <w:rFonts w:asciiTheme="minorEastAsia" w:hAnsiTheme="minorEastAsia" w:eastAsiaTheme="minorEastAsia"/>
          <w:b/>
          <w:color w:val="000000" w:themeColor="text1"/>
          <w14:textFill>
            <w14:solidFill>
              <w14:schemeClr w14:val="tx1"/>
            </w14:solidFill>
          </w14:textFill>
        </w:rPr>
        <w:t>8</w:t>
      </w:r>
      <w:r>
        <w:rPr>
          <w:rFonts w:hint="eastAsia" w:asciiTheme="minorEastAsia" w:hAnsiTheme="minorEastAsia" w:eastAsiaTheme="minorEastAsia"/>
          <w:b/>
          <w:color w:val="000000" w:themeColor="text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pStyle w:val="3"/>
        <w:spacing w:before="240" w:after="2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240" w:after="240"/>
        <w:rPr>
          <w:color w:val="000000" w:themeColor="text1"/>
          <w14:textFill>
            <w14:solidFill>
              <w14:schemeClr w14:val="tx1"/>
            </w14:solidFill>
          </w14:textFill>
        </w:rPr>
      </w:pPr>
    </w:p>
    <w:p>
      <w:pPr>
        <w:pStyle w:val="4"/>
        <w:spacing w:line="380" w:lineRule="exact"/>
        <w:rPr>
          <w:rFonts w:cs="Times New Roman"/>
          <w:color w:val="000000" w:themeColor="text1"/>
          <w:sz w:val="24"/>
          <w:szCs w:val="24"/>
          <w14:textFill>
            <w14:solidFill>
              <w14:schemeClr w14:val="tx1"/>
            </w14:solidFill>
          </w14:textFill>
        </w:rPr>
      </w:pPr>
    </w:p>
    <w:sectPr>
      <w:headerReference r:id="rId15"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987782"/>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940111"/>
    </w:sdtPr>
    <w:sdtContent>
      <w:p>
        <w:pPr>
          <w:pStyle w:val="26"/>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采购公告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投标资料表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投标人须知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评标办法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left="5670" w:hanging="5670" w:hangingChars="2700"/>
      <w:jc w:val="both"/>
      <w:rPr>
        <w:sz w:val="21"/>
        <w:szCs w:val="21"/>
      </w:rPr>
    </w:pPr>
    <w:r>
      <w:rPr>
        <w:rFonts w:hint="eastAsia"/>
        <w:sz w:val="21"/>
        <w:szCs w:val="21"/>
      </w:rPr>
      <w:t>政府采购公开招标招标文件                                            投标文件格式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u w:val="single"/>
      </w:rPr>
    </w:pPr>
    <w:r>
      <w:rPr>
        <w:rFonts w:hint="eastAsia"/>
        <w:u w:val="single"/>
      </w:rPr>
      <w:t>政府采购公开招标招标文件                                           投标文件格式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szCs w:val="21"/>
      </w:rPr>
    </w:pPr>
    <w:r>
      <w:rPr>
        <w:rFonts w:hint="eastAsia" w:cs="宋体"/>
        <w:sz w:val="21"/>
        <w:szCs w:val="21"/>
      </w:rPr>
      <w:t>政府采购公开招标采购文件附件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5A68E"/>
    <w:multiLevelType w:val="singleLevel"/>
    <w:tmpl w:val="C5B5A68E"/>
    <w:lvl w:ilvl="0" w:tentative="0">
      <w:start w:val="15"/>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rPr>
        <w:b w:val="0"/>
        <w:color w:val="auto"/>
      </w:rPr>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07FA3D9A"/>
    <w:multiLevelType w:val="multilevel"/>
    <w:tmpl w:val="07FA3D9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80964CE"/>
    <w:multiLevelType w:val="multilevel"/>
    <w:tmpl w:val="080964C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FFFF89"/>
    <w:multiLevelType w:val="singleLevel"/>
    <w:tmpl w:val="0FFFFF89"/>
    <w:lvl w:ilvl="0" w:tentative="0">
      <w:start w:val="1"/>
      <w:numFmt w:val="bullet"/>
      <w:pStyle w:val="152"/>
      <w:lvlText w:val=""/>
      <w:lvlJc w:val="left"/>
      <w:pPr>
        <w:tabs>
          <w:tab w:val="left" w:pos="360"/>
        </w:tabs>
        <w:ind w:left="570" w:hanging="360"/>
      </w:pPr>
      <w:rPr>
        <w:rFonts w:hint="default" w:ascii="Wingdings" w:hAnsi="Wingdings"/>
      </w:rPr>
    </w:lvl>
  </w:abstractNum>
  <w:abstractNum w:abstractNumId="7">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C42E82"/>
    <w:multiLevelType w:val="multilevel"/>
    <w:tmpl w:val="19C42E8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E081A02"/>
    <w:multiLevelType w:val="multilevel"/>
    <w:tmpl w:val="2E081A0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A4FFD45"/>
    <w:multiLevelType w:val="singleLevel"/>
    <w:tmpl w:val="3A4FFD45"/>
    <w:lvl w:ilvl="0" w:tentative="0">
      <w:start w:val="7"/>
      <w:numFmt w:val="chineseCounting"/>
      <w:suff w:val="nothing"/>
      <w:lvlText w:val="%1、"/>
      <w:lvlJc w:val="left"/>
      <w:rPr>
        <w:rFonts w:hint="eastAsia"/>
      </w:rPr>
    </w:lvl>
  </w:abstractNum>
  <w:abstractNum w:abstractNumId="11">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3956805"/>
    <w:multiLevelType w:val="multilevel"/>
    <w:tmpl w:val="4395680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51D0728"/>
    <w:multiLevelType w:val="singleLevel"/>
    <w:tmpl w:val="451D0728"/>
    <w:lvl w:ilvl="0" w:tentative="0">
      <w:start w:val="1"/>
      <w:numFmt w:val="decimal"/>
      <w:suff w:val="nothing"/>
      <w:lvlText w:val="%1）"/>
      <w:lvlJc w:val="left"/>
    </w:lvl>
  </w:abstractNum>
  <w:abstractNum w:abstractNumId="14">
    <w:nsid w:val="4A666034"/>
    <w:multiLevelType w:val="multilevel"/>
    <w:tmpl w:val="4A66603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D9752C3"/>
    <w:multiLevelType w:val="multilevel"/>
    <w:tmpl w:val="4D9752C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53F87E5"/>
    <w:multiLevelType w:val="singleLevel"/>
    <w:tmpl w:val="653F87E5"/>
    <w:lvl w:ilvl="0" w:tentative="0">
      <w:start w:val="1"/>
      <w:numFmt w:val="decimal"/>
      <w:suff w:val="nothing"/>
      <w:lvlText w:val="%1、"/>
      <w:lvlJc w:val="left"/>
    </w:lvl>
  </w:abstractNum>
  <w:abstractNum w:abstractNumId="17">
    <w:nsid w:val="67284814"/>
    <w:multiLevelType w:val="multilevel"/>
    <w:tmpl w:val="6728481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A382816"/>
    <w:multiLevelType w:val="multilevel"/>
    <w:tmpl w:val="6A38281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1D91424"/>
    <w:multiLevelType w:val="singleLevel"/>
    <w:tmpl w:val="71D91424"/>
    <w:lvl w:ilvl="0" w:tentative="0">
      <w:start w:val="2"/>
      <w:numFmt w:val="chineseCounting"/>
      <w:suff w:val="nothing"/>
      <w:lvlText w:val="%1、"/>
      <w:lvlJc w:val="left"/>
      <w:rPr>
        <w:rFonts w:hint="eastAsia"/>
      </w:rPr>
    </w:lvl>
  </w:abstractNum>
  <w:abstractNum w:abstractNumId="20">
    <w:nsid w:val="741E60CF"/>
    <w:multiLevelType w:val="multilevel"/>
    <w:tmpl w:val="741E60C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A68BAFA"/>
    <w:multiLevelType w:val="singleLevel"/>
    <w:tmpl w:val="7A68BAFA"/>
    <w:lvl w:ilvl="0" w:tentative="0">
      <w:start w:val="1"/>
      <w:numFmt w:val="chineseCounting"/>
      <w:suff w:val="nothing"/>
      <w:lvlText w:val="%1、"/>
      <w:lvlJc w:val="left"/>
      <w:rPr>
        <w:rFonts w:hint="eastAsia"/>
      </w:rPr>
    </w:lvl>
  </w:abstractNum>
  <w:num w:numId="1">
    <w:abstractNumId w:val="6"/>
  </w:num>
  <w:num w:numId="2">
    <w:abstractNumId w:val="13"/>
  </w:num>
  <w:num w:numId="3">
    <w:abstractNumId w:val="19"/>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1"/>
  </w:num>
  <w:num w:numId="18">
    <w:abstractNumId w:val="10"/>
  </w:num>
  <w:num w:numId="19">
    <w:abstractNumId w:val="21"/>
  </w:num>
  <w:num w:numId="20">
    <w:abstractNumId w:val="16"/>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RlMjYyYmZhYTY4ODFiMzUwYjNlY2QxMDVhYzAifQ=="/>
    <w:docVar w:name="KSO_WPS_MARK_KEY" w:val="b68e9bdb-dccb-44ac-9f0d-53cfa38e7002"/>
  </w:docVars>
  <w:rsids>
    <w:rsidRoot w:val="00172A27"/>
    <w:rsid w:val="0000154C"/>
    <w:rsid w:val="00001DA5"/>
    <w:rsid w:val="000026B7"/>
    <w:rsid w:val="000033D9"/>
    <w:rsid w:val="000038FC"/>
    <w:rsid w:val="000044DF"/>
    <w:rsid w:val="000059B7"/>
    <w:rsid w:val="0000638F"/>
    <w:rsid w:val="00006955"/>
    <w:rsid w:val="00007C72"/>
    <w:rsid w:val="00007EB7"/>
    <w:rsid w:val="0001295F"/>
    <w:rsid w:val="00013FBC"/>
    <w:rsid w:val="00014CB0"/>
    <w:rsid w:val="00014F3E"/>
    <w:rsid w:val="0001514B"/>
    <w:rsid w:val="00015180"/>
    <w:rsid w:val="0001534C"/>
    <w:rsid w:val="0001578F"/>
    <w:rsid w:val="00016B63"/>
    <w:rsid w:val="00016FB3"/>
    <w:rsid w:val="00017C9C"/>
    <w:rsid w:val="00020537"/>
    <w:rsid w:val="000207EE"/>
    <w:rsid w:val="00020F9A"/>
    <w:rsid w:val="0002130B"/>
    <w:rsid w:val="00022DBD"/>
    <w:rsid w:val="0002342D"/>
    <w:rsid w:val="0002496A"/>
    <w:rsid w:val="00025826"/>
    <w:rsid w:val="000270E0"/>
    <w:rsid w:val="0003127A"/>
    <w:rsid w:val="0003280D"/>
    <w:rsid w:val="00032AB1"/>
    <w:rsid w:val="000364B5"/>
    <w:rsid w:val="00037B77"/>
    <w:rsid w:val="00040575"/>
    <w:rsid w:val="00043133"/>
    <w:rsid w:val="000435FF"/>
    <w:rsid w:val="000439E8"/>
    <w:rsid w:val="00043F35"/>
    <w:rsid w:val="00045BF5"/>
    <w:rsid w:val="0004642D"/>
    <w:rsid w:val="0004663F"/>
    <w:rsid w:val="000516E1"/>
    <w:rsid w:val="00051830"/>
    <w:rsid w:val="000533FA"/>
    <w:rsid w:val="0005540C"/>
    <w:rsid w:val="00057C77"/>
    <w:rsid w:val="00060096"/>
    <w:rsid w:val="00060ABC"/>
    <w:rsid w:val="00061107"/>
    <w:rsid w:val="00062360"/>
    <w:rsid w:val="00062718"/>
    <w:rsid w:val="00062DAC"/>
    <w:rsid w:val="00063B83"/>
    <w:rsid w:val="000667E6"/>
    <w:rsid w:val="00067049"/>
    <w:rsid w:val="00067545"/>
    <w:rsid w:val="00067BEE"/>
    <w:rsid w:val="00067DC2"/>
    <w:rsid w:val="00071A90"/>
    <w:rsid w:val="000729D5"/>
    <w:rsid w:val="00080353"/>
    <w:rsid w:val="000806C0"/>
    <w:rsid w:val="00080713"/>
    <w:rsid w:val="00080A0F"/>
    <w:rsid w:val="000811E6"/>
    <w:rsid w:val="0008169B"/>
    <w:rsid w:val="0008191D"/>
    <w:rsid w:val="00082A4E"/>
    <w:rsid w:val="00082CDD"/>
    <w:rsid w:val="00083803"/>
    <w:rsid w:val="00083FC6"/>
    <w:rsid w:val="00084B92"/>
    <w:rsid w:val="00084EE6"/>
    <w:rsid w:val="000859F9"/>
    <w:rsid w:val="00087328"/>
    <w:rsid w:val="00090A64"/>
    <w:rsid w:val="00091070"/>
    <w:rsid w:val="00091E8C"/>
    <w:rsid w:val="00093976"/>
    <w:rsid w:val="00094113"/>
    <w:rsid w:val="00094AD7"/>
    <w:rsid w:val="00096B3E"/>
    <w:rsid w:val="000971F0"/>
    <w:rsid w:val="0009789A"/>
    <w:rsid w:val="00097A22"/>
    <w:rsid w:val="00097D71"/>
    <w:rsid w:val="000A07DC"/>
    <w:rsid w:val="000A0861"/>
    <w:rsid w:val="000A0CAD"/>
    <w:rsid w:val="000A1C2F"/>
    <w:rsid w:val="000A386A"/>
    <w:rsid w:val="000A4F52"/>
    <w:rsid w:val="000A51AC"/>
    <w:rsid w:val="000A678C"/>
    <w:rsid w:val="000A778E"/>
    <w:rsid w:val="000B14F7"/>
    <w:rsid w:val="000B20FA"/>
    <w:rsid w:val="000B2452"/>
    <w:rsid w:val="000B2CD2"/>
    <w:rsid w:val="000B37C5"/>
    <w:rsid w:val="000B380B"/>
    <w:rsid w:val="000B3FB2"/>
    <w:rsid w:val="000B4340"/>
    <w:rsid w:val="000B6CB5"/>
    <w:rsid w:val="000B7137"/>
    <w:rsid w:val="000C02D0"/>
    <w:rsid w:val="000C189C"/>
    <w:rsid w:val="000C1AFB"/>
    <w:rsid w:val="000C5C2C"/>
    <w:rsid w:val="000C5D8A"/>
    <w:rsid w:val="000C6B2B"/>
    <w:rsid w:val="000C7390"/>
    <w:rsid w:val="000D1A53"/>
    <w:rsid w:val="000D1E32"/>
    <w:rsid w:val="000D26A3"/>
    <w:rsid w:val="000D68F1"/>
    <w:rsid w:val="000D6D10"/>
    <w:rsid w:val="000E0158"/>
    <w:rsid w:val="000E0D05"/>
    <w:rsid w:val="000E1023"/>
    <w:rsid w:val="000E1097"/>
    <w:rsid w:val="000E269D"/>
    <w:rsid w:val="000E325D"/>
    <w:rsid w:val="000E449E"/>
    <w:rsid w:val="000E5C6B"/>
    <w:rsid w:val="000E6C56"/>
    <w:rsid w:val="000E7057"/>
    <w:rsid w:val="000F0DA1"/>
    <w:rsid w:val="000F0F6F"/>
    <w:rsid w:val="000F1B10"/>
    <w:rsid w:val="000F3AA2"/>
    <w:rsid w:val="000F4B6E"/>
    <w:rsid w:val="000F4C08"/>
    <w:rsid w:val="000F4F74"/>
    <w:rsid w:val="000F5518"/>
    <w:rsid w:val="000F57BD"/>
    <w:rsid w:val="000F5E42"/>
    <w:rsid w:val="000F5E86"/>
    <w:rsid w:val="000F69BB"/>
    <w:rsid w:val="0010043B"/>
    <w:rsid w:val="0010075F"/>
    <w:rsid w:val="00100AEF"/>
    <w:rsid w:val="00100B95"/>
    <w:rsid w:val="00100F5A"/>
    <w:rsid w:val="00102E82"/>
    <w:rsid w:val="00103906"/>
    <w:rsid w:val="00103FA5"/>
    <w:rsid w:val="00104008"/>
    <w:rsid w:val="001046A8"/>
    <w:rsid w:val="0010481C"/>
    <w:rsid w:val="00106ABC"/>
    <w:rsid w:val="001101A3"/>
    <w:rsid w:val="001103AA"/>
    <w:rsid w:val="001103BB"/>
    <w:rsid w:val="00110AF2"/>
    <w:rsid w:val="00110BB3"/>
    <w:rsid w:val="00112359"/>
    <w:rsid w:val="0011290C"/>
    <w:rsid w:val="00112BFF"/>
    <w:rsid w:val="00115B8D"/>
    <w:rsid w:val="001163EC"/>
    <w:rsid w:val="00116F3B"/>
    <w:rsid w:val="00117216"/>
    <w:rsid w:val="0012010C"/>
    <w:rsid w:val="00123FDE"/>
    <w:rsid w:val="00124963"/>
    <w:rsid w:val="00124B80"/>
    <w:rsid w:val="001254F0"/>
    <w:rsid w:val="0012584B"/>
    <w:rsid w:val="001258B9"/>
    <w:rsid w:val="001265C7"/>
    <w:rsid w:val="00126BC6"/>
    <w:rsid w:val="001279F2"/>
    <w:rsid w:val="0013137E"/>
    <w:rsid w:val="001316A9"/>
    <w:rsid w:val="00133163"/>
    <w:rsid w:val="001331FC"/>
    <w:rsid w:val="00133D9E"/>
    <w:rsid w:val="0013425B"/>
    <w:rsid w:val="0013607E"/>
    <w:rsid w:val="00137625"/>
    <w:rsid w:val="001378ED"/>
    <w:rsid w:val="00141804"/>
    <w:rsid w:val="00141D2C"/>
    <w:rsid w:val="00143B92"/>
    <w:rsid w:val="0014483F"/>
    <w:rsid w:val="00145BE2"/>
    <w:rsid w:val="00146872"/>
    <w:rsid w:val="001469BF"/>
    <w:rsid w:val="00147025"/>
    <w:rsid w:val="00147092"/>
    <w:rsid w:val="0014750F"/>
    <w:rsid w:val="00147996"/>
    <w:rsid w:val="00147CC9"/>
    <w:rsid w:val="001510C0"/>
    <w:rsid w:val="0015204A"/>
    <w:rsid w:val="00153030"/>
    <w:rsid w:val="00154BF5"/>
    <w:rsid w:val="00155D71"/>
    <w:rsid w:val="00157A8C"/>
    <w:rsid w:val="0016016A"/>
    <w:rsid w:val="001610B9"/>
    <w:rsid w:val="00162AB6"/>
    <w:rsid w:val="00162DD6"/>
    <w:rsid w:val="00163690"/>
    <w:rsid w:val="00164B24"/>
    <w:rsid w:val="001654A4"/>
    <w:rsid w:val="00166232"/>
    <w:rsid w:val="00170473"/>
    <w:rsid w:val="00170D8C"/>
    <w:rsid w:val="00172A27"/>
    <w:rsid w:val="001734C2"/>
    <w:rsid w:val="00174335"/>
    <w:rsid w:val="001755E5"/>
    <w:rsid w:val="00175773"/>
    <w:rsid w:val="0017650C"/>
    <w:rsid w:val="001765A8"/>
    <w:rsid w:val="001777A0"/>
    <w:rsid w:val="00177910"/>
    <w:rsid w:val="00177E35"/>
    <w:rsid w:val="001818DE"/>
    <w:rsid w:val="00182175"/>
    <w:rsid w:val="00186B37"/>
    <w:rsid w:val="00187B16"/>
    <w:rsid w:val="0019037E"/>
    <w:rsid w:val="001905A5"/>
    <w:rsid w:val="001908B3"/>
    <w:rsid w:val="00190CE6"/>
    <w:rsid w:val="00191B44"/>
    <w:rsid w:val="00191D4B"/>
    <w:rsid w:val="00191D5E"/>
    <w:rsid w:val="00191F43"/>
    <w:rsid w:val="00194A4F"/>
    <w:rsid w:val="00194E39"/>
    <w:rsid w:val="001955A9"/>
    <w:rsid w:val="001974DD"/>
    <w:rsid w:val="00197899"/>
    <w:rsid w:val="001A03A1"/>
    <w:rsid w:val="001A06CA"/>
    <w:rsid w:val="001A542C"/>
    <w:rsid w:val="001A555F"/>
    <w:rsid w:val="001A6893"/>
    <w:rsid w:val="001B034F"/>
    <w:rsid w:val="001B049D"/>
    <w:rsid w:val="001B3014"/>
    <w:rsid w:val="001B3F1F"/>
    <w:rsid w:val="001B3F78"/>
    <w:rsid w:val="001B46E4"/>
    <w:rsid w:val="001B55CF"/>
    <w:rsid w:val="001B5801"/>
    <w:rsid w:val="001B60F7"/>
    <w:rsid w:val="001B7CAC"/>
    <w:rsid w:val="001B7D86"/>
    <w:rsid w:val="001C0D22"/>
    <w:rsid w:val="001C1A4F"/>
    <w:rsid w:val="001C22FD"/>
    <w:rsid w:val="001C23EA"/>
    <w:rsid w:val="001C2A36"/>
    <w:rsid w:val="001C3540"/>
    <w:rsid w:val="001C4873"/>
    <w:rsid w:val="001C4C30"/>
    <w:rsid w:val="001C54AF"/>
    <w:rsid w:val="001C67C2"/>
    <w:rsid w:val="001C67DF"/>
    <w:rsid w:val="001C6F6D"/>
    <w:rsid w:val="001C7961"/>
    <w:rsid w:val="001D1258"/>
    <w:rsid w:val="001D28C3"/>
    <w:rsid w:val="001D36A1"/>
    <w:rsid w:val="001D480F"/>
    <w:rsid w:val="001D52CE"/>
    <w:rsid w:val="001D5590"/>
    <w:rsid w:val="001D56E3"/>
    <w:rsid w:val="001D5805"/>
    <w:rsid w:val="001D6C14"/>
    <w:rsid w:val="001D7F60"/>
    <w:rsid w:val="001E0C96"/>
    <w:rsid w:val="001E315A"/>
    <w:rsid w:val="001E3FCB"/>
    <w:rsid w:val="001E4B99"/>
    <w:rsid w:val="001E58AC"/>
    <w:rsid w:val="001F005A"/>
    <w:rsid w:val="001F2107"/>
    <w:rsid w:val="001F284E"/>
    <w:rsid w:val="001F74FF"/>
    <w:rsid w:val="00200012"/>
    <w:rsid w:val="002030EE"/>
    <w:rsid w:val="00203783"/>
    <w:rsid w:val="002039E0"/>
    <w:rsid w:val="002043F2"/>
    <w:rsid w:val="0020447D"/>
    <w:rsid w:val="00204B2F"/>
    <w:rsid w:val="0020535A"/>
    <w:rsid w:val="00205CE3"/>
    <w:rsid w:val="00206FF9"/>
    <w:rsid w:val="0021030F"/>
    <w:rsid w:val="00211534"/>
    <w:rsid w:val="00211C78"/>
    <w:rsid w:val="00213338"/>
    <w:rsid w:val="00213575"/>
    <w:rsid w:val="00213C57"/>
    <w:rsid w:val="002147D6"/>
    <w:rsid w:val="00214BE7"/>
    <w:rsid w:val="002154C8"/>
    <w:rsid w:val="002166F2"/>
    <w:rsid w:val="00216A4A"/>
    <w:rsid w:val="00220A5A"/>
    <w:rsid w:val="0022197F"/>
    <w:rsid w:val="00222445"/>
    <w:rsid w:val="00222CB3"/>
    <w:rsid w:val="00222D78"/>
    <w:rsid w:val="002243C9"/>
    <w:rsid w:val="00224D60"/>
    <w:rsid w:val="00224E40"/>
    <w:rsid w:val="00225102"/>
    <w:rsid w:val="002253D7"/>
    <w:rsid w:val="00226F52"/>
    <w:rsid w:val="002274CA"/>
    <w:rsid w:val="002301D6"/>
    <w:rsid w:val="00230926"/>
    <w:rsid w:val="002309AD"/>
    <w:rsid w:val="00231355"/>
    <w:rsid w:val="002315E6"/>
    <w:rsid w:val="0023247E"/>
    <w:rsid w:val="00234C1F"/>
    <w:rsid w:val="00234CF2"/>
    <w:rsid w:val="00235EC4"/>
    <w:rsid w:val="002365C9"/>
    <w:rsid w:val="00236613"/>
    <w:rsid w:val="00236D7D"/>
    <w:rsid w:val="002379A9"/>
    <w:rsid w:val="00241EFB"/>
    <w:rsid w:val="00241FFA"/>
    <w:rsid w:val="0024255D"/>
    <w:rsid w:val="002452A0"/>
    <w:rsid w:val="0024622B"/>
    <w:rsid w:val="002473A8"/>
    <w:rsid w:val="00247AC1"/>
    <w:rsid w:val="00250248"/>
    <w:rsid w:val="0025338C"/>
    <w:rsid w:val="00253C90"/>
    <w:rsid w:val="00254A09"/>
    <w:rsid w:val="00256488"/>
    <w:rsid w:val="002565D0"/>
    <w:rsid w:val="0025674E"/>
    <w:rsid w:val="002567F3"/>
    <w:rsid w:val="00257C4D"/>
    <w:rsid w:val="00260ED7"/>
    <w:rsid w:val="00261512"/>
    <w:rsid w:val="0026157B"/>
    <w:rsid w:val="00261B83"/>
    <w:rsid w:val="00262066"/>
    <w:rsid w:val="002645ED"/>
    <w:rsid w:val="00266D88"/>
    <w:rsid w:val="002673A8"/>
    <w:rsid w:val="00267A9A"/>
    <w:rsid w:val="002705C7"/>
    <w:rsid w:val="00272634"/>
    <w:rsid w:val="002731CA"/>
    <w:rsid w:val="00273E30"/>
    <w:rsid w:val="00274684"/>
    <w:rsid w:val="002747F2"/>
    <w:rsid w:val="00274FD3"/>
    <w:rsid w:val="002758DB"/>
    <w:rsid w:val="00276348"/>
    <w:rsid w:val="002771BE"/>
    <w:rsid w:val="00277A6F"/>
    <w:rsid w:val="00280A32"/>
    <w:rsid w:val="002813D9"/>
    <w:rsid w:val="00282ACA"/>
    <w:rsid w:val="00283328"/>
    <w:rsid w:val="00283964"/>
    <w:rsid w:val="00285424"/>
    <w:rsid w:val="00287021"/>
    <w:rsid w:val="002871A8"/>
    <w:rsid w:val="002871E6"/>
    <w:rsid w:val="0028735B"/>
    <w:rsid w:val="00287ED8"/>
    <w:rsid w:val="002911DC"/>
    <w:rsid w:val="002921BA"/>
    <w:rsid w:val="0029294B"/>
    <w:rsid w:val="00294ED9"/>
    <w:rsid w:val="0029797D"/>
    <w:rsid w:val="00297D02"/>
    <w:rsid w:val="00297EA6"/>
    <w:rsid w:val="002A05CD"/>
    <w:rsid w:val="002A0692"/>
    <w:rsid w:val="002A18C2"/>
    <w:rsid w:val="002A1AD4"/>
    <w:rsid w:val="002A214D"/>
    <w:rsid w:val="002A31F5"/>
    <w:rsid w:val="002A450E"/>
    <w:rsid w:val="002A4578"/>
    <w:rsid w:val="002A47C9"/>
    <w:rsid w:val="002A5039"/>
    <w:rsid w:val="002A5556"/>
    <w:rsid w:val="002A55B9"/>
    <w:rsid w:val="002A6321"/>
    <w:rsid w:val="002A73E0"/>
    <w:rsid w:val="002B0F0C"/>
    <w:rsid w:val="002B1C78"/>
    <w:rsid w:val="002B218C"/>
    <w:rsid w:val="002B2698"/>
    <w:rsid w:val="002B28C1"/>
    <w:rsid w:val="002B2FB6"/>
    <w:rsid w:val="002B3848"/>
    <w:rsid w:val="002B41D3"/>
    <w:rsid w:val="002B4B77"/>
    <w:rsid w:val="002B4F37"/>
    <w:rsid w:val="002B5E02"/>
    <w:rsid w:val="002B5F48"/>
    <w:rsid w:val="002B6155"/>
    <w:rsid w:val="002C0018"/>
    <w:rsid w:val="002C1206"/>
    <w:rsid w:val="002C16C5"/>
    <w:rsid w:val="002C1717"/>
    <w:rsid w:val="002C1851"/>
    <w:rsid w:val="002C480C"/>
    <w:rsid w:val="002C6A74"/>
    <w:rsid w:val="002C6E34"/>
    <w:rsid w:val="002C739C"/>
    <w:rsid w:val="002C7668"/>
    <w:rsid w:val="002D06AA"/>
    <w:rsid w:val="002D2085"/>
    <w:rsid w:val="002D21E0"/>
    <w:rsid w:val="002D2837"/>
    <w:rsid w:val="002D2D29"/>
    <w:rsid w:val="002D4C2E"/>
    <w:rsid w:val="002D6702"/>
    <w:rsid w:val="002E0449"/>
    <w:rsid w:val="002E0762"/>
    <w:rsid w:val="002E0FBD"/>
    <w:rsid w:val="002E1369"/>
    <w:rsid w:val="002E1885"/>
    <w:rsid w:val="002E18E4"/>
    <w:rsid w:val="002E2392"/>
    <w:rsid w:val="002E3C3A"/>
    <w:rsid w:val="002E6EFD"/>
    <w:rsid w:val="002E791C"/>
    <w:rsid w:val="002F0D78"/>
    <w:rsid w:val="002F142F"/>
    <w:rsid w:val="002F1744"/>
    <w:rsid w:val="002F266C"/>
    <w:rsid w:val="002F2DCB"/>
    <w:rsid w:val="002F45E3"/>
    <w:rsid w:val="002F4669"/>
    <w:rsid w:val="002F5BBE"/>
    <w:rsid w:val="002F6B39"/>
    <w:rsid w:val="00301559"/>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19A"/>
    <w:rsid w:val="00320426"/>
    <w:rsid w:val="00322736"/>
    <w:rsid w:val="003228A0"/>
    <w:rsid w:val="00323576"/>
    <w:rsid w:val="00323DE8"/>
    <w:rsid w:val="00326B6F"/>
    <w:rsid w:val="00326D49"/>
    <w:rsid w:val="00326E5D"/>
    <w:rsid w:val="003277E7"/>
    <w:rsid w:val="00331A5E"/>
    <w:rsid w:val="00333053"/>
    <w:rsid w:val="00334939"/>
    <w:rsid w:val="00335A2F"/>
    <w:rsid w:val="0033668D"/>
    <w:rsid w:val="00337064"/>
    <w:rsid w:val="0033707D"/>
    <w:rsid w:val="00340785"/>
    <w:rsid w:val="00342F88"/>
    <w:rsid w:val="0034545E"/>
    <w:rsid w:val="00345599"/>
    <w:rsid w:val="00346CEB"/>
    <w:rsid w:val="00347004"/>
    <w:rsid w:val="003470CC"/>
    <w:rsid w:val="00351B5E"/>
    <w:rsid w:val="00353D47"/>
    <w:rsid w:val="00354107"/>
    <w:rsid w:val="00354F62"/>
    <w:rsid w:val="00356065"/>
    <w:rsid w:val="00356520"/>
    <w:rsid w:val="003568EB"/>
    <w:rsid w:val="00356E5B"/>
    <w:rsid w:val="003579D7"/>
    <w:rsid w:val="00360235"/>
    <w:rsid w:val="00361975"/>
    <w:rsid w:val="0036695F"/>
    <w:rsid w:val="00367900"/>
    <w:rsid w:val="003679DE"/>
    <w:rsid w:val="00367C0F"/>
    <w:rsid w:val="00371059"/>
    <w:rsid w:val="003718D6"/>
    <w:rsid w:val="00373150"/>
    <w:rsid w:val="0037411C"/>
    <w:rsid w:val="00374D32"/>
    <w:rsid w:val="003769F5"/>
    <w:rsid w:val="00376DE4"/>
    <w:rsid w:val="00380518"/>
    <w:rsid w:val="003810D6"/>
    <w:rsid w:val="0038191C"/>
    <w:rsid w:val="00382C86"/>
    <w:rsid w:val="0038359E"/>
    <w:rsid w:val="003837A1"/>
    <w:rsid w:val="00383D36"/>
    <w:rsid w:val="00383F37"/>
    <w:rsid w:val="0038453E"/>
    <w:rsid w:val="00385556"/>
    <w:rsid w:val="0038559C"/>
    <w:rsid w:val="00385943"/>
    <w:rsid w:val="00386B55"/>
    <w:rsid w:val="00386CCD"/>
    <w:rsid w:val="00386FA8"/>
    <w:rsid w:val="00390577"/>
    <w:rsid w:val="0039091B"/>
    <w:rsid w:val="00390FD8"/>
    <w:rsid w:val="00393C08"/>
    <w:rsid w:val="0039408A"/>
    <w:rsid w:val="003947A7"/>
    <w:rsid w:val="0039603F"/>
    <w:rsid w:val="003965A6"/>
    <w:rsid w:val="00396A76"/>
    <w:rsid w:val="00397B7D"/>
    <w:rsid w:val="003A03AF"/>
    <w:rsid w:val="003A11D1"/>
    <w:rsid w:val="003A20FC"/>
    <w:rsid w:val="003A2585"/>
    <w:rsid w:val="003A2590"/>
    <w:rsid w:val="003A3754"/>
    <w:rsid w:val="003A47F3"/>
    <w:rsid w:val="003A7C7B"/>
    <w:rsid w:val="003B005C"/>
    <w:rsid w:val="003B0066"/>
    <w:rsid w:val="003B090A"/>
    <w:rsid w:val="003B12BC"/>
    <w:rsid w:val="003B1560"/>
    <w:rsid w:val="003B200B"/>
    <w:rsid w:val="003B343F"/>
    <w:rsid w:val="003B4257"/>
    <w:rsid w:val="003B475D"/>
    <w:rsid w:val="003B6046"/>
    <w:rsid w:val="003B65B7"/>
    <w:rsid w:val="003B735A"/>
    <w:rsid w:val="003C01C1"/>
    <w:rsid w:val="003C1E32"/>
    <w:rsid w:val="003C2376"/>
    <w:rsid w:val="003C3117"/>
    <w:rsid w:val="003C35AB"/>
    <w:rsid w:val="003C3E08"/>
    <w:rsid w:val="003C44B8"/>
    <w:rsid w:val="003C59BA"/>
    <w:rsid w:val="003C6ABC"/>
    <w:rsid w:val="003D3665"/>
    <w:rsid w:val="003D554F"/>
    <w:rsid w:val="003D7C83"/>
    <w:rsid w:val="003D7EE0"/>
    <w:rsid w:val="003E00B3"/>
    <w:rsid w:val="003E0549"/>
    <w:rsid w:val="003E0C54"/>
    <w:rsid w:val="003E18DA"/>
    <w:rsid w:val="003E22FE"/>
    <w:rsid w:val="003E4836"/>
    <w:rsid w:val="003E4DC9"/>
    <w:rsid w:val="003E5225"/>
    <w:rsid w:val="003E5457"/>
    <w:rsid w:val="003E6D60"/>
    <w:rsid w:val="003E73CA"/>
    <w:rsid w:val="003F010F"/>
    <w:rsid w:val="003F1A0C"/>
    <w:rsid w:val="003F24AA"/>
    <w:rsid w:val="003F4FC0"/>
    <w:rsid w:val="003F69A8"/>
    <w:rsid w:val="003F72BB"/>
    <w:rsid w:val="003F7435"/>
    <w:rsid w:val="003F7BAC"/>
    <w:rsid w:val="0040072B"/>
    <w:rsid w:val="00400C4B"/>
    <w:rsid w:val="00400D97"/>
    <w:rsid w:val="0040100B"/>
    <w:rsid w:val="0040127E"/>
    <w:rsid w:val="004015B3"/>
    <w:rsid w:val="00401EA7"/>
    <w:rsid w:val="00402D31"/>
    <w:rsid w:val="0040363E"/>
    <w:rsid w:val="00403CCC"/>
    <w:rsid w:val="004049A7"/>
    <w:rsid w:val="00404CE6"/>
    <w:rsid w:val="0040506C"/>
    <w:rsid w:val="00406261"/>
    <w:rsid w:val="00406290"/>
    <w:rsid w:val="0040751C"/>
    <w:rsid w:val="0040768D"/>
    <w:rsid w:val="00411238"/>
    <w:rsid w:val="00411686"/>
    <w:rsid w:val="0041238D"/>
    <w:rsid w:val="004132F6"/>
    <w:rsid w:val="00414D0F"/>
    <w:rsid w:val="0041593F"/>
    <w:rsid w:val="00417031"/>
    <w:rsid w:val="00417D26"/>
    <w:rsid w:val="00417EA0"/>
    <w:rsid w:val="0042074C"/>
    <w:rsid w:val="00420B33"/>
    <w:rsid w:val="0042247B"/>
    <w:rsid w:val="00422537"/>
    <w:rsid w:val="0042377D"/>
    <w:rsid w:val="00423C85"/>
    <w:rsid w:val="004243AA"/>
    <w:rsid w:val="00425EAC"/>
    <w:rsid w:val="00427A37"/>
    <w:rsid w:val="004313B2"/>
    <w:rsid w:val="004315E2"/>
    <w:rsid w:val="00432704"/>
    <w:rsid w:val="004332D5"/>
    <w:rsid w:val="00434B05"/>
    <w:rsid w:val="004359BB"/>
    <w:rsid w:val="00435AEC"/>
    <w:rsid w:val="00435D35"/>
    <w:rsid w:val="00436156"/>
    <w:rsid w:val="004370B8"/>
    <w:rsid w:val="00437A37"/>
    <w:rsid w:val="00437EFD"/>
    <w:rsid w:val="0044001F"/>
    <w:rsid w:val="0044055E"/>
    <w:rsid w:val="00440635"/>
    <w:rsid w:val="00440CF6"/>
    <w:rsid w:val="004417F1"/>
    <w:rsid w:val="00442A8B"/>
    <w:rsid w:val="0044367E"/>
    <w:rsid w:val="00445007"/>
    <w:rsid w:val="00446014"/>
    <w:rsid w:val="0044688C"/>
    <w:rsid w:val="0044693E"/>
    <w:rsid w:val="00447100"/>
    <w:rsid w:val="0045255B"/>
    <w:rsid w:val="004531AC"/>
    <w:rsid w:val="00453717"/>
    <w:rsid w:val="00455231"/>
    <w:rsid w:val="00460013"/>
    <w:rsid w:val="0046050E"/>
    <w:rsid w:val="00460775"/>
    <w:rsid w:val="00460F16"/>
    <w:rsid w:val="00461860"/>
    <w:rsid w:val="00461A9E"/>
    <w:rsid w:val="00462031"/>
    <w:rsid w:val="0046225E"/>
    <w:rsid w:val="00462919"/>
    <w:rsid w:val="00463333"/>
    <w:rsid w:val="0046475C"/>
    <w:rsid w:val="0046735F"/>
    <w:rsid w:val="004679CB"/>
    <w:rsid w:val="004700C0"/>
    <w:rsid w:val="00471CCA"/>
    <w:rsid w:val="00472873"/>
    <w:rsid w:val="00472908"/>
    <w:rsid w:val="00472D35"/>
    <w:rsid w:val="0047411C"/>
    <w:rsid w:val="00474B5D"/>
    <w:rsid w:val="004751B9"/>
    <w:rsid w:val="00475537"/>
    <w:rsid w:val="00475FA8"/>
    <w:rsid w:val="00475FAA"/>
    <w:rsid w:val="00476928"/>
    <w:rsid w:val="00476AE1"/>
    <w:rsid w:val="00476BD7"/>
    <w:rsid w:val="00477F2F"/>
    <w:rsid w:val="00483A74"/>
    <w:rsid w:val="00485548"/>
    <w:rsid w:val="004858E1"/>
    <w:rsid w:val="00487106"/>
    <w:rsid w:val="00487A5A"/>
    <w:rsid w:val="0049110F"/>
    <w:rsid w:val="00491B36"/>
    <w:rsid w:val="00491C7D"/>
    <w:rsid w:val="00491ED6"/>
    <w:rsid w:val="00491F94"/>
    <w:rsid w:val="004929D6"/>
    <w:rsid w:val="00493267"/>
    <w:rsid w:val="0049399A"/>
    <w:rsid w:val="00493AF8"/>
    <w:rsid w:val="004942E7"/>
    <w:rsid w:val="00494B98"/>
    <w:rsid w:val="00495022"/>
    <w:rsid w:val="00495F07"/>
    <w:rsid w:val="004A1E50"/>
    <w:rsid w:val="004A2F5F"/>
    <w:rsid w:val="004A4403"/>
    <w:rsid w:val="004A4D80"/>
    <w:rsid w:val="004A4DBA"/>
    <w:rsid w:val="004A5C59"/>
    <w:rsid w:val="004A6A20"/>
    <w:rsid w:val="004B1826"/>
    <w:rsid w:val="004B1E38"/>
    <w:rsid w:val="004B272D"/>
    <w:rsid w:val="004B38A0"/>
    <w:rsid w:val="004B4534"/>
    <w:rsid w:val="004B5670"/>
    <w:rsid w:val="004B568B"/>
    <w:rsid w:val="004B71D1"/>
    <w:rsid w:val="004B7CF3"/>
    <w:rsid w:val="004B7DEF"/>
    <w:rsid w:val="004C09B8"/>
    <w:rsid w:val="004C0B5E"/>
    <w:rsid w:val="004C2765"/>
    <w:rsid w:val="004C5FA6"/>
    <w:rsid w:val="004D1473"/>
    <w:rsid w:val="004D1DCF"/>
    <w:rsid w:val="004D3DD9"/>
    <w:rsid w:val="004D5044"/>
    <w:rsid w:val="004D5D22"/>
    <w:rsid w:val="004D6595"/>
    <w:rsid w:val="004D6C37"/>
    <w:rsid w:val="004D7372"/>
    <w:rsid w:val="004E04FE"/>
    <w:rsid w:val="004E1B5B"/>
    <w:rsid w:val="004E2AB2"/>
    <w:rsid w:val="004E3AB3"/>
    <w:rsid w:val="004E5211"/>
    <w:rsid w:val="004E72A2"/>
    <w:rsid w:val="004E7D00"/>
    <w:rsid w:val="004E7EEE"/>
    <w:rsid w:val="004F0449"/>
    <w:rsid w:val="004F07D7"/>
    <w:rsid w:val="004F25CE"/>
    <w:rsid w:val="004F2A41"/>
    <w:rsid w:val="004F2DE5"/>
    <w:rsid w:val="004F5631"/>
    <w:rsid w:val="004F68E9"/>
    <w:rsid w:val="00500CCB"/>
    <w:rsid w:val="00501FF0"/>
    <w:rsid w:val="005020D4"/>
    <w:rsid w:val="005025C0"/>
    <w:rsid w:val="0050269E"/>
    <w:rsid w:val="005028D9"/>
    <w:rsid w:val="00503236"/>
    <w:rsid w:val="005045CC"/>
    <w:rsid w:val="0050588B"/>
    <w:rsid w:val="00506401"/>
    <w:rsid w:val="00506C3B"/>
    <w:rsid w:val="005070CE"/>
    <w:rsid w:val="005072B6"/>
    <w:rsid w:val="00510051"/>
    <w:rsid w:val="00511BF0"/>
    <w:rsid w:val="00512404"/>
    <w:rsid w:val="00512A62"/>
    <w:rsid w:val="00512BF6"/>
    <w:rsid w:val="00513488"/>
    <w:rsid w:val="00514204"/>
    <w:rsid w:val="0051620E"/>
    <w:rsid w:val="00516654"/>
    <w:rsid w:val="00517C6E"/>
    <w:rsid w:val="00520EB1"/>
    <w:rsid w:val="00521209"/>
    <w:rsid w:val="0052206B"/>
    <w:rsid w:val="0052404B"/>
    <w:rsid w:val="005260F4"/>
    <w:rsid w:val="00527AF1"/>
    <w:rsid w:val="00532143"/>
    <w:rsid w:val="00532761"/>
    <w:rsid w:val="00533D84"/>
    <w:rsid w:val="00535D63"/>
    <w:rsid w:val="005410B8"/>
    <w:rsid w:val="00542741"/>
    <w:rsid w:val="005441D8"/>
    <w:rsid w:val="0054479C"/>
    <w:rsid w:val="00544857"/>
    <w:rsid w:val="00551363"/>
    <w:rsid w:val="00552003"/>
    <w:rsid w:val="00552206"/>
    <w:rsid w:val="00552424"/>
    <w:rsid w:val="00552FE0"/>
    <w:rsid w:val="00553913"/>
    <w:rsid w:val="00553CB2"/>
    <w:rsid w:val="00554BC7"/>
    <w:rsid w:val="00554DBE"/>
    <w:rsid w:val="00554F7F"/>
    <w:rsid w:val="005551AE"/>
    <w:rsid w:val="00556899"/>
    <w:rsid w:val="00556E8C"/>
    <w:rsid w:val="005602B7"/>
    <w:rsid w:val="00560819"/>
    <w:rsid w:val="00560F09"/>
    <w:rsid w:val="00561C00"/>
    <w:rsid w:val="005625A4"/>
    <w:rsid w:val="00563660"/>
    <w:rsid w:val="00563BE9"/>
    <w:rsid w:val="00564300"/>
    <w:rsid w:val="00564D6F"/>
    <w:rsid w:val="00571539"/>
    <w:rsid w:val="00572312"/>
    <w:rsid w:val="00574906"/>
    <w:rsid w:val="00575252"/>
    <w:rsid w:val="00575265"/>
    <w:rsid w:val="00575481"/>
    <w:rsid w:val="005764C6"/>
    <w:rsid w:val="0057653C"/>
    <w:rsid w:val="00577261"/>
    <w:rsid w:val="0058031B"/>
    <w:rsid w:val="00580B75"/>
    <w:rsid w:val="005810D4"/>
    <w:rsid w:val="00586E2C"/>
    <w:rsid w:val="00591D2F"/>
    <w:rsid w:val="00592438"/>
    <w:rsid w:val="005924CD"/>
    <w:rsid w:val="0059370E"/>
    <w:rsid w:val="00594206"/>
    <w:rsid w:val="0059503A"/>
    <w:rsid w:val="00595A49"/>
    <w:rsid w:val="00596855"/>
    <w:rsid w:val="005976C5"/>
    <w:rsid w:val="005A0238"/>
    <w:rsid w:val="005A16D2"/>
    <w:rsid w:val="005A2FE6"/>
    <w:rsid w:val="005A4177"/>
    <w:rsid w:val="005A4984"/>
    <w:rsid w:val="005A698E"/>
    <w:rsid w:val="005A74D3"/>
    <w:rsid w:val="005A7752"/>
    <w:rsid w:val="005A7765"/>
    <w:rsid w:val="005B0BF1"/>
    <w:rsid w:val="005B1008"/>
    <w:rsid w:val="005B13B1"/>
    <w:rsid w:val="005B25AA"/>
    <w:rsid w:val="005B49BF"/>
    <w:rsid w:val="005B5542"/>
    <w:rsid w:val="005B60D5"/>
    <w:rsid w:val="005B677C"/>
    <w:rsid w:val="005B6B37"/>
    <w:rsid w:val="005B7158"/>
    <w:rsid w:val="005B7F15"/>
    <w:rsid w:val="005C0FCD"/>
    <w:rsid w:val="005C11DE"/>
    <w:rsid w:val="005C30B1"/>
    <w:rsid w:val="005C3209"/>
    <w:rsid w:val="005C5488"/>
    <w:rsid w:val="005C5B21"/>
    <w:rsid w:val="005C5B2A"/>
    <w:rsid w:val="005C639B"/>
    <w:rsid w:val="005C661B"/>
    <w:rsid w:val="005C66FB"/>
    <w:rsid w:val="005C6EC5"/>
    <w:rsid w:val="005C7721"/>
    <w:rsid w:val="005C77E1"/>
    <w:rsid w:val="005D01B5"/>
    <w:rsid w:val="005D10B0"/>
    <w:rsid w:val="005D134A"/>
    <w:rsid w:val="005D1FB9"/>
    <w:rsid w:val="005D50F8"/>
    <w:rsid w:val="005D5AAB"/>
    <w:rsid w:val="005D686E"/>
    <w:rsid w:val="005D6A9A"/>
    <w:rsid w:val="005E4372"/>
    <w:rsid w:val="005E4898"/>
    <w:rsid w:val="005E4FF0"/>
    <w:rsid w:val="005E6270"/>
    <w:rsid w:val="005F08D0"/>
    <w:rsid w:val="005F6BD6"/>
    <w:rsid w:val="005F75DA"/>
    <w:rsid w:val="00602999"/>
    <w:rsid w:val="006035CB"/>
    <w:rsid w:val="00603D9A"/>
    <w:rsid w:val="00603DE3"/>
    <w:rsid w:val="006047AE"/>
    <w:rsid w:val="00610250"/>
    <w:rsid w:val="00610A58"/>
    <w:rsid w:val="00610A74"/>
    <w:rsid w:val="00610F87"/>
    <w:rsid w:val="00611851"/>
    <w:rsid w:val="0061350B"/>
    <w:rsid w:val="006135F6"/>
    <w:rsid w:val="0061420F"/>
    <w:rsid w:val="00616E0A"/>
    <w:rsid w:val="006170FF"/>
    <w:rsid w:val="00617584"/>
    <w:rsid w:val="00617D85"/>
    <w:rsid w:val="00617FB5"/>
    <w:rsid w:val="006214CD"/>
    <w:rsid w:val="006216A3"/>
    <w:rsid w:val="00621C19"/>
    <w:rsid w:val="00623128"/>
    <w:rsid w:val="00623BCA"/>
    <w:rsid w:val="006242BE"/>
    <w:rsid w:val="00624370"/>
    <w:rsid w:val="00625A4F"/>
    <w:rsid w:val="0063084B"/>
    <w:rsid w:val="00632EA1"/>
    <w:rsid w:val="006350F3"/>
    <w:rsid w:val="006355A0"/>
    <w:rsid w:val="006363C2"/>
    <w:rsid w:val="00636792"/>
    <w:rsid w:val="006368E3"/>
    <w:rsid w:val="00637127"/>
    <w:rsid w:val="0064032F"/>
    <w:rsid w:val="00641F89"/>
    <w:rsid w:val="006423DF"/>
    <w:rsid w:val="006435A1"/>
    <w:rsid w:val="00643E72"/>
    <w:rsid w:val="00644037"/>
    <w:rsid w:val="00644114"/>
    <w:rsid w:val="0064584A"/>
    <w:rsid w:val="00650182"/>
    <w:rsid w:val="00651AF0"/>
    <w:rsid w:val="00653ACF"/>
    <w:rsid w:val="00653BD3"/>
    <w:rsid w:val="00653DC2"/>
    <w:rsid w:val="00653F21"/>
    <w:rsid w:val="00654069"/>
    <w:rsid w:val="00654617"/>
    <w:rsid w:val="00654EC8"/>
    <w:rsid w:val="00656AC3"/>
    <w:rsid w:val="00657472"/>
    <w:rsid w:val="00661D38"/>
    <w:rsid w:val="00662DB8"/>
    <w:rsid w:val="00664317"/>
    <w:rsid w:val="006651A1"/>
    <w:rsid w:val="00666216"/>
    <w:rsid w:val="00666B53"/>
    <w:rsid w:val="00670C9C"/>
    <w:rsid w:val="00670D25"/>
    <w:rsid w:val="00671008"/>
    <w:rsid w:val="0067142E"/>
    <w:rsid w:val="00672A61"/>
    <w:rsid w:val="00676109"/>
    <w:rsid w:val="006762CC"/>
    <w:rsid w:val="006769C1"/>
    <w:rsid w:val="00677710"/>
    <w:rsid w:val="00681C2F"/>
    <w:rsid w:val="00682023"/>
    <w:rsid w:val="006829EB"/>
    <w:rsid w:val="00682D8B"/>
    <w:rsid w:val="00682F97"/>
    <w:rsid w:val="0069017C"/>
    <w:rsid w:val="006920CC"/>
    <w:rsid w:val="00692412"/>
    <w:rsid w:val="00693A99"/>
    <w:rsid w:val="00697022"/>
    <w:rsid w:val="006A18CB"/>
    <w:rsid w:val="006A3918"/>
    <w:rsid w:val="006A3FFF"/>
    <w:rsid w:val="006A41B6"/>
    <w:rsid w:val="006A4C46"/>
    <w:rsid w:val="006A64D0"/>
    <w:rsid w:val="006A767B"/>
    <w:rsid w:val="006A77FC"/>
    <w:rsid w:val="006B06A8"/>
    <w:rsid w:val="006B07B1"/>
    <w:rsid w:val="006B0B38"/>
    <w:rsid w:val="006B1C57"/>
    <w:rsid w:val="006B4345"/>
    <w:rsid w:val="006B49D1"/>
    <w:rsid w:val="006B4DB8"/>
    <w:rsid w:val="006B57C3"/>
    <w:rsid w:val="006B5A5D"/>
    <w:rsid w:val="006C061F"/>
    <w:rsid w:val="006C0F6D"/>
    <w:rsid w:val="006C15EA"/>
    <w:rsid w:val="006C3AD0"/>
    <w:rsid w:val="006C5AE4"/>
    <w:rsid w:val="006C7220"/>
    <w:rsid w:val="006D0700"/>
    <w:rsid w:val="006D1B1D"/>
    <w:rsid w:val="006D2919"/>
    <w:rsid w:val="006D2BD1"/>
    <w:rsid w:val="006D38FD"/>
    <w:rsid w:val="006D46EC"/>
    <w:rsid w:val="006D4B0D"/>
    <w:rsid w:val="006D5F4B"/>
    <w:rsid w:val="006D7068"/>
    <w:rsid w:val="006D7378"/>
    <w:rsid w:val="006D7827"/>
    <w:rsid w:val="006E1A78"/>
    <w:rsid w:val="006E1D8A"/>
    <w:rsid w:val="006E2193"/>
    <w:rsid w:val="006E2658"/>
    <w:rsid w:val="006E2D74"/>
    <w:rsid w:val="006E3475"/>
    <w:rsid w:val="006E36CE"/>
    <w:rsid w:val="006E4D9E"/>
    <w:rsid w:val="006E5456"/>
    <w:rsid w:val="006E59AF"/>
    <w:rsid w:val="006E5CE2"/>
    <w:rsid w:val="006E6EF9"/>
    <w:rsid w:val="006E703E"/>
    <w:rsid w:val="006F0430"/>
    <w:rsid w:val="006F2811"/>
    <w:rsid w:val="006F47FD"/>
    <w:rsid w:val="006F530B"/>
    <w:rsid w:val="006F60A2"/>
    <w:rsid w:val="006F6BC1"/>
    <w:rsid w:val="006F6BFE"/>
    <w:rsid w:val="00700313"/>
    <w:rsid w:val="00700552"/>
    <w:rsid w:val="00700F66"/>
    <w:rsid w:val="00705B01"/>
    <w:rsid w:val="00706A50"/>
    <w:rsid w:val="00706DB7"/>
    <w:rsid w:val="00710941"/>
    <w:rsid w:val="00713B34"/>
    <w:rsid w:val="00713D98"/>
    <w:rsid w:val="007155D3"/>
    <w:rsid w:val="00716598"/>
    <w:rsid w:val="0071741F"/>
    <w:rsid w:val="007177F8"/>
    <w:rsid w:val="00720433"/>
    <w:rsid w:val="00721182"/>
    <w:rsid w:val="00721D8E"/>
    <w:rsid w:val="007226AB"/>
    <w:rsid w:val="00722AB7"/>
    <w:rsid w:val="00726280"/>
    <w:rsid w:val="007278AC"/>
    <w:rsid w:val="00732339"/>
    <w:rsid w:val="007329FB"/>
    <w:rsid w:val="00732D07"/>
    <w:rsid w:val="00734B1F"/>
    <w:rsid w:val="0073556F"/>
    <w:rsid w:val="007358AE"/>
    <w:rsid w:val="007358EB"/>
    <w:rsid w:val="0073631B"/>
    <w:rsid w:val="0073715E"/>
    <w:rsid w:val="00737961"/>
    <w:rsid w:val="00740176"/>
    <w:rsid w:val="007415B4"/>
    <w:rsid w:val="00741FD3"/>
    <w:rsid w:val="0074268E"/>
    <w:rsid w:val="00744DF7"/>
    <w:rsid w:val="00744FF0"/>
    <w:rsid w:val="00745383"/>
    <w:rsid w:val="007461B6"/>
    <w:rsid w:val="0075076F"/>
    <w:rsid w:val="00750B65"/>
    <w:rsid w:val="00750B8D"/>
    <w:rsid w:val="0075195E"/>
    <w:rsid w:val="00753771"/>
    <w:rsid w:val="0075432E"/>
    <w:rsid w:val="007560E8"/>
    <w:rsid w:val="007571D6"/>
    <w:rsid w:val="007574D6"/>
    <w:rsid w:val="00757735"/>
    <w:rsid w:val="007626DF"/>
    <w:rsid w:val="00767DE3"/>
    <w:rsid w:val="0077231A"/>
    <w:rsid w:val="00772B6D"/>
    <w:rsid w:val="0077451B"/>
    <w:rsid w:val="007749BC"/>
    <w:rsid w:val="00775330"/>
    <w:rsid w:val="00776EE8"/>
    <w:rsid w:val="007803AE"/>
    <w:rsid w:val="00781DFF"/>
    <w:rsid w:val="00783C9C"/>
    <w:rsid w:val="0078450E"/>
    <w:rsid w:val="00784829"/>
    <w:rsid w:val="00784E42"/>
    <w:rsid w:val="00784E47"/>
    <w:rsid w:val="007870F3"/>
    <w:rsid w:val="007902D5"/>
    <w:rsid w:val="007903A7"/>
    <w:rsid w:val="007909DA"/>
    <w:rsid w:val="007916FA"/>
    <w:rsid w:val="00791AB3"/>
    <w:rsid w:val="00792EFF"/>
    <w:rsid w:val="007944CA"/>
    <w:rsid w:val="007946E6"/>
    <w:rsid w:val="00796185"/>
    <w:rsid w:val="00796AE0"/>
    <w:rsid w:val="007A23BC"/>
    <w:rsid w:val="007A2BD7"/>
    <w:rsid w:val="007A3BFE"/>
    <w:rsid w:val="007A64A6"/>
    <w:rsid w:val="007A6A3B"/>
    <w:rsid w:val="007A730E"/>
    <w:rsid w:val="007B00A8"/>
    <w:rsid w:val="007B0859"/>
    <w:rsid w:val="007B0CD6"/>
    <w:rsid w:val="007B0EB2"/>
    <w:rsid w:val="007B2148"/>
    <w:rsid w:val="007B2B0D"/>
    <w:rsid w:val="007B30F1"/>
    <w:rsid w:val="007B34BB"/>
    <w:rsid w:val="007B4AA4"/>
    <w:rsid w:val="007B51F7"/>
    <w:rsid w:val="007B63F5"/>
    <w:rsid w:val="007C15C2"/>
    <w:rsid w:val="007C1BAA"/>
    <w:rsid w:val="007C2078"/>
    <w:rsid w:val="007C21F4"/>
    <w:rsid w:val="007C3663"/>
    <w:rsid w:val="007C3D0E"/>
    <w:rsid w:val="007C5257"/>
    <w:rsid w:val="007C58D8"/>
    <w:rsid w:val="007C68EA"/>
    <w:rsid w:val="007D1B95"/>
    <w:rsid w:val="007D1F3B"/>
    <w:rsid w:val="007D200D"/>
    <w:rsid w:val="007D5191"/>
    <w:rsid w:val="007D56AC"/>
    <w:rsid w:val="007D60E8"/>
    <w:rsid w:val="007D644C"/>
    <w:rsid w:val="007D6CC5"/>
    <w:rsid w:val="007D774C"/>
    <w:rsid w:val="007E0C4F"/>
    <w:rsid w:val="007E12C3"/>
    <w:rsid w:val="007E1310"/>
    <w:rsid w:val="007E337C"/>
    <w:rsid w:val="007E3AF8"/>
    <w:rsid w:val="007E3C6C"/>
    <w:rsid w:val="007E3DEE"/>
    <w:rsid w:val="007E5254"/>
    <w:rsid w:val="007E666B"/>
    <w:rsid w:val="007E7112"/>
    <w:rsid w:val="007E7253"/>
    <w:rsid w:val="007E7474"/>
    <w:rsid w:val="007F0CEF"/>
    <w:rsid w:val="007F1667"/>
    <w:rsid w:val="007F1818"/>
    <w:rsid w:val="007F2DEF"/>
    <w:rsid w:val="007F3D1C"/>
    <w:rsid w:val="007F7118"/>
    <w:rsid w:val="008008F4"/>
    <w:rsid w:val="00800E58"/>
    <w:rsid w:val="00801FEC"/>
    <w:rsid w:val="008021DE"/>
    <w:rsid w:val="00802481"/>
    <w:rsid w:val="00802C83"/>
    <w:rsid w:val="008036EB"/>
    <w:rsid w:val="00805286"/>
    <w:rsid w:val="00805384"/>
    <w:rsid w:val="00807499"/>
    <w:rsid w:val="00807A46"/>
    <w:rsid w:val="00807DD7"/>
    <w:rsid w:val="008100EA"/>
    <w:rsid w:val="00810679"/>
    <w:rsid w:val="00810971"/>
    <w:rsid w:val="00810B14"/>
    <w:rsid w:val="0081115D"/>
    <w:rsid w:val="00812BDA"/>
    <w:rsid w:val="00812DCF"/>
    <w:rsid w:val="0081314D"/>
    <w:rsid w:val="0081413F"/>
    <w:rsid w:val="008142E9"/>
    <w:rsid w:val="00815557"/>
    <w:rsid w:val="008167C4"/>
    <w:rsid w:val="00822731"/>
    <w:rsid w:val="00830738"/>
    <w:rsid w:val="00830C9C"/>
    <w:rsid w:val="0083116E"/>
    <w:rsid w:val="0083163A"/>
    <w:rsid w:val="00831851"/>
    <w:rsid w:val="00832A4F"/>
    <w:rsid w:val="00832AC7"/>
    <w:rsid w:val="00833B7E"/>
    <w:rsid w:val="00834789"/>
    <w:rsid w:val="00835AA3"/>
    <w:rsid w:val="008367C4"/>
    <w:rsid w:val="008375E0"/>
    <w:rsid w:val="00837FF0"/>
    <w:rsid w:val="00840126"/>
    <w:rsid w:val="00842FAC"/>
    <w:rsid w:val="0084659B"/>
    <w:rsid w:val="008465B2"/>
    <w:rsid w:val="0084671E"/>
    <w:rsid w:val="00847057"/>
    <w:rsid w:val="00847606"/>
    <w:rsid w:val="00847E5C"/>
    <w:rsid w:val="00851A85"/>
    <w:rsid w:val="008540E9"/>
    <w:rsid w:val="0085457B"/>
    <w:rsid w:val="00854D86"/>
    <w:rsid w:val="00855011"/>
    <w:rsid w:val="00856167"/>
    <w:rsid w:val="00856D32"/>
    <w:rsid w:val="0085760B"/>
    <w:rsid w:val="008577E5"/>
    <w:rsid w:val="00860040"/>
    <w:rsid w:val="00860A13"/>
    <w:rsid w:val="008614BF"/>
    <w:rsid w:val="008614E0"/>
    <w:rsid w:val="00863AF4"/>
    <w:rsid w:val="00863BEB"/>
    <w:rsid w:val="00864269"/>
    <w:rsid w:val="00864D90"/>
    <w:rsid w:val="00864F2B"/>
    <w:rsid w:val="00865290"/>
    <w:rsid w:val="00865E09"/>
    <w:rsid w:val="0086603B"/>
    <w:rsid w:val="0086634A"/>
    <w:rsid w:val="008668D7"/>
    <w:rsid w:val="00866A0C"/>
    <w:rsid w:val="00867715"/>
    <w:rsid w:val="00867954"/>
    <w:rsid w:val="00870A83"/>
    <w:rsid w:val="00870AE7"/>
    <w:rsid w:val="00870FB6"/>
    <w:rsid w:val="00871565"/>
    <w:rsid w:val="00871C70"/>
    <w:rsid w:val="008723AC"/>
    <w:rsid w:val="0087295C"/>
    <w:rsid w:val="00872C2A"/>
    <w:rsid w:val="0087353F"/>
    <w:rsid w:val="008738C8"/>
    <w:rsid w:val="0087492A"/>
    <w:rsid w:val="00875A5D"/>
    <w:rsid w:val="0087640A"/>
    <w:rsid w:val="008801A3"/>
    <w:rsid w:val="00880280"/>
    <w:rsid w:val="0088047C"/>
    <w:rsid w:val="0088053F"/>
    <w:rsid w:val="00881868"/>
    <w:rsid w:val="00882581"/>
    <w:rsid w:val="00882B19"/>
    <w:rsid w:val="00883687"/>
    <w:rsid w:val="00883E95"/>
    <w:rsid w:val="008841C6"/>
    <w:rsid w:val="0088429B"/>
    <w:rsid w:val="00884625"/>
    <w:rsid w:val="00885C8C"/>
    <w:rsid w:val="00885E14"/>
    <w:rsid w:val="00887545"/>
    <w:rsid w:val="00887FB0"/>
    <w:rsid w:val="00890385"/>
    <w:rsid w:val="008914C2"/>
    <w:rsid w:val="0089165B"/>
    <w:rsid w:val="008921C5"/>
    <w:rsid w:val="00892373"/>
    <w:rsid w:val="00892744"/>
    <w:rsid w:val="00892849"/>
    <w:rsid w:val="008937C0"/>
    <w:rsid w:val="00894D9D"/>
    <w:rsid w:val="00895104"/>
    <w:rsid w:val="00895778"/>
    <w:rsid w:val="00895E96"/>
    <w:rsid w:val="00897004"/>
    <w:rsid w:val="00897059"/>
    <w:rsid w:val="0089727F"/>
    <w:rsid w:val="00897BCB"/>
    <w:rsid w:val="008A052C"/>
    <w:rsid w:val="008A06DB"/>
    <w:rsid w:val="008A0808"/>
    <w:rsid w:val="008A2D30"/>
    <w:rsid w:val="008A30BF"/>
    <w:rsid w:val="008A412F"/>
    <w:rsid w:val="008A480C"/>
    <w:rsid w:val="008A4911"/>
    <w:rsid w:val="008A54A8"/>
    <w:rsid w:val="008A54AC"/>
    <w:rsid w:val="008A61B6"/>
    <w:rsid w:val="008A666D"/>
    <w:rsid w:val="008A6C64"/>
    <w:rsid w:val="008B0DC5"/>
    <w:rsid w:val="008B1504"/>
    <w:rsid w:val="008B2AD7"/>
    <w:rsid w:val="008B2B28"/>
    <w:rsid w:val="008B3D7A"/>
    <w:rsid w:val="008B4572"/>
    <w:rsid w:val="008B55EE"/>
    <w:rsid w:val="008B5E3F"/>
    <w:rsid w:val="008B7634"/>
    <w:rsid w:val="008B7FD7"/>
    <w:rsid w:val="008C0274"/>
    <w:rsid w:val="008C0FA4"/>
    <w:rsid w:val="008C3FB3"/>
    <w:rsid w:val="008C4539"/>
    <w:rsid w:val="008C549D"/>
    <w:rsid w:val="008C6366"/>
    <w:rsid w:val="008C7C1F"/>
    <w:rsid w:val="008D171D"/>
    <w:rsid w:val="008D24B0"/>
    <w:rsid w:val="008D2CD9"/>
    <w:rsid w:val="008D2F60"/>
    <w:rsid w:val="008D48B0"/>
    <w:rsid w:val="008D51BB"/>
    <w:rsid w:val="008D6193"/>
    <w:rsid w:val="008D635E"/>
    <w:rsid w:val="008D7216"/>
    <w:rsid w:val="008E075B"/>
    <w:rsid w:val="008E0A23"/>
    <w:rsid w:val="008E1ADE"/>
    <w:rsid w:val="008E1D7D"/>
    <w:rsid w:val="008E2E80"/>
    <w:rsid w:val="008E38E1"/>
    <w:rsid w:val="008E3B78"/>
    <w:rsid w:val="008E477D"/>
    <w:rsid w:val="008E4DCB"/>
    <w:rsid w:val="008E582D"/>
    <w:rsid w:val="008E5AFB"/>
    <w:rsid w:val="008E678D"/>
    <w:rsid w:val="008E68EC"/>
    <w:rsid w:val="008E696D"/>
    <w:rsid w:val="008E7EE0"/>
    <w:rsid w:val="008F10AC"/>
    <w:rsid w:val="008F2338"/>
    <w:rsid w:val="008F2668"/>
    <w:rsid w:val="008F267D"/>
    <w:rsid w:val="008F346A"/>
    <w:rsid w:val="008F3B4B"/>
    <w:rsid w:val="008F4FC0"/>
    <w:rsid w:val="008F55EE"/>
    <w:rsid w:val="008F7645"/>
    <w:rsid w:val="0090009C"/>
    <w:rsid w:val="0090065D"/>
    <w:rsid w:val="0090089C"/>
    <w:rsid w:val="0090115E"/>
    <w:rsid w:val="00902346"/>
    <w:rsid w:val="0090295A"/>
    <w:rsid w:val="009029FC"/>
    <w:rsid w:val="00902FEF"/>
    <w:rsid w:val="00905687"/>
    <w:rsid w:val="00906533"/>
    <w:rsid w:val="00906935"/>
    <w:rsid w:val="00907B73"/>
    <w:rsid w:val="0091040F"/>
    <w:rsid w:val="00910B9A"/>
    <w:rsid w:val="0091176C"/>
    <w:rsid w:val="00912C86"/>
    <w:rsid w:val="00913563"/>
    <w:rsid w:val="00914058"/>
    <w:rsid w:val="00915B4B"/>
    <w:rsid w:val="00920426"/>
    <w:rsid w:val="00921012"/>
    <w:rsid w:val="00923FE8"/>
    <w:rsid w:val="00924194"/>
    <w:rsid w:val="00924297"/>
    <w:rsid w:val="009265D0"/>
    <w:rsid w:val="009276E3"/>
    <w:rsid w:val="00927764"/>
    <w:rsid w:val="00931A50"/>
    <w:rsid w:val="00932395"/>
    <w:rsid w:val="009358FF"/>
    <w:rsid w:val="00935BA2"/>
    <w:rsid w:val="009417C9"/>
    <w:rsid w:val="0094187B"/>
    <w:rsid w:val="00941DE8"/>
    <w:rsid w:val="00942217"/>
    <w:rsid w:val="00942F1E"/>
    <w:rsid w:val="009437B6"/>
    <w:rsid w:val="00943F85"/>
    <w:rsid w:val="00944088"/>
    <w:rsid w:val="00944980"/>
    <w:rsid w:val="00944EA6"/>
    <w:rsid w:val="009450FE"/>
    <w:rsid w:val="00945911"/>
    <w:rsid w:val="00950928"/>
    <w:rsid w:val="00950C9A"/>
    <w:rsid w:val="00951847"/>
    <w:rsid w:val="00952306"/>
    <w:rsid w:val="00953B6B"/>
    <w:rsid w:val="00953B89"/>
    <w:rsid w:val="00957043"/>
    <w:rsid w:val="009570E7"/>
    <w:rsid w:val="009578AD"/>
    <w:rsid w:val="00960C0D"/>
    <w:rsid w:val="00961521"/>
    <w:rsid w:val="00963014"/>
    <w:rsid w:val="00963413"/>
    <w:rsid w:val="009634A1"/>
    <w:rsid w:val="00963660"/>
    <w:rsid w:val="00963BE8"/>
    <w:rsid w:val="00964FFB"/>
    <w:rsid w:val="00965FA3"/>
    <w:rsid w:val="009662A6"/>
    <w:rsid w:val="009670AA"/>
    <w:rsid w:val="009678CF"/>
    <w:rsid w:val="00970117"/>
    <w:rsid w:val="00971CBF"/>
    <w:rsid w:val="00972AA9"/>
    <w:rsid w:val="00972AF8"/>
    <w:rsid w:val="0097386D"/>
    <w:rsid w:val="00973FCA"/>
    <w:rsid w:val="00974218"/>
    <w:rsid w:val="009771E0"/>
    <w:rsid w:val="00977861"/>
    <w:rsid w:val="009811AB"/>
    <w:rsid w:val="00981F0A"/>
    <w:rsid w:val="00981FD8"/>
    <w:rsid w:val="0098298D"/>
    <w:rsid w:val="00982AC0"/>
    <w:rsid w:val="00983158"/>
    <w:rsid w:val="009839F7"/>
    <w:rsid w:val="00984682"/>
    <w:rsid w:val="00985C8B"/>
    <w:rsid w:val="00986BFD"/>
    <w:rsid w:val="009871A0"/>
    <w:rsid w:val="00987720"/>
    <w:rsid w:val="009904BB"/>
    <w:rsid w:val="00990F5F"/>
    <w:rsid w:val="009917BB"/>
    <w:rsid w:val="0099183D"/>
    <w:rsid w:val="00992127"/>
    <w:rsid w:val="00992958"/>
    <w:rsid w:val="0099326A"/>
    <w:rsid w:val="00993EA6"/>
    <w:rsid w:val="009947F4"/>
    <w:rsid w:val="009962FA"/>
    <w:rsid w:val="00996ED8"/>
    <w:rsid w:val="009A0433"/>
    <w:rsid w:val="009A3808"/>
    <w:rsid w:val="009A52AB"/>
    <w:rsid w:val="009A77E3"/>
    <w:rsid w:val="009B04A3"/>
    <w:rsid w:val="009B0DAB"/>
    <w:rsid w:val="009B19E4"/>
    <w:rsid w:val="009B2A99"/>
    <w:rsid w:val="009B31E8"/>
    <w:rsid w:val="009B4BB3"/>
    <w:rsid w:val="009B4C5B"/>
    <w:rsid w:val="009B57D8"/>
    <w:rsid w:val="009B660A"/>
    <w:rsid w:val="009B6C3D"/>
    <w:rsid w:val="009B6D2F"/>
    <w:rsid w:val="009B6DCB"/>
    <w:rsid w:val="009B7D91"/>
    <w:rsid w:val="009C3391"/>
    <w:rsid w:val="009C4A44"/>
    <w:rsid w:val="009C4E53"/>
    <w:rsid w:val="009C5432"/>
    <w:rsid w:val="009C6933"/>
    <w:rsid w:val="009C71BB"/>
    <w:rsid w:val="009C776F"/>
    <w:rsid w:val="009C7D43"/>
    <w:rsid w:val="009D11FE"/>
    <w:rsid w:val="009D122F"/>
    <w:rsid w:val="009D2DB0"/>
    <w:rsid w:val="009D3978"/>
    <w:rsid w:val="009D499A"/>
    <w:rsid w:val="009D4BDC"/>
    <w:rsid w:val="009D52BE"/>
    <w:rsid w:val="009D5AE4"/>
    <w:rsid w:val="009D5DA7"/>
    <w:rsid w:val="009D78BE"/>
    <w:rsid w:val="009D7FCB"/>
    <w:rsid w:val="009E45C1"/>
    <w:rsid w:val="009E5711"/>
    <w:rsid w:val="009E63E8"/>
    <w:rsid w:val="009E6CBE"/>
    <w:rsid w:val="009E7A8C"/>
    <w:rsid w:val="009F04FD"/>
    <w:rsid w:val="009F0538"/>
    <w:rsid w:val="009F0A63"/>
    <w:rsid w:val="009F0C64"/>
    <w:rsid w:val="009F146B"/>
    <w:rsid w:val="009F26BD"/>
    <w:rsid w:val="009F2E29"/>
    <w:rsid w:val="009F38D3"/>
    <w:rsid w:val="009F3E58"/>
    <w:rsid w:val="009F57D9"/>
    <w:rsid w:val="009F6B02"/>
    <w:rsid w:val="009F7310"/>
    <w:rsid w:val="009F7E98"/>
    <w:rsid w:val="00A02664"/>
    <w:rsid w:val="00A03517"/>
    <w:rsid w:val="00A040B4"/>
    <w:rsid w:val="00A051E7"/>
    <w:rsid w:val="00A06817"/>
    <w:rsid w:val="00A074E5"/>
    <w:rsid w:val="00A07942"/>
    <w:rsid w:val="00A12995"/>
    <w:rsid w:val="00A12C39"/>
    <w:rsid w:val="00A14B93"/>
    <w:rsid w:val="00A14F9E"/>
    <w:rsid w:val="00A14FD6"/>
    <w:rsid w:val="00A1610D"/>
    <w:rsid w:val="00A166AF"/>
    <w:rsid w:val="00A16F6E"/>
    <w:rsid w:val="00A17D6E"/>
    <w:rsid w:val="00A17E4D"/>
    <w:rsid w:val="00A220A1"/>
    <w:rsid w:val="00A2224C"/>
    <w:rsid w:val="00A22E8A"/>
    <w:rsid w:val="00A2469D"/>
    <w:rsid w:val="00A27033"/>
    <w:rsid w:val="00A27276"/>
    <w:rsid w:val="00A30263"/>
    <w:rsid w:val="00A30651"/>
    <w:rsid w:val="00A30ACC"/>
    <w:rsid w:val="00A32D8F"/>
    <w:rsid w:val="00A32F5F"/>
    <w:rsid w:val="00A34FDB"/>
    <w:rsid w:val="00A35407"/>
    <w:rsid w:val="00A35D06"/>
    <w:rsid w:val="00A405F8"/>
    <w:rsid w:val="00A421C5"/>
    <w:rsid w:val="00A42A6E"/>
    <w:rsid w:val="00A439CF"/>
    <w:rsid w:val="00A445A9"/>
    <w:rsid w:val="00A45472"/>
    <w:rsid w:val="00A46091"/>
    <w:rsid w:val="00A520BF"/>
    <w:rsid w:val="00A60A39"/>
    <w:rsid w:val="00A6127D"/>
    <w:rsid w:val="00A62E3E"/>
    <w:rsid w:val="00A63002"/>
    <w:rsid w:val="00A636C7"/>
    <w:rsid w:val="00A64730"/>
    <w:rsid w:val="00A647C0"/>
    <w:rsid w:val="00A67324"/>
    <w:rsid w:val="00A6776C"/>
    <w:rsid w:val="00A67FE1"/>
    <w:rsid w:val="00A70958"/>
    <w:rsid w:val="00A70A87"/>
    <w:rsid w:val="00A70AD3"/>
    <w:rsid w:val="00A71633"/>
    <w:rsid w:val="00A71880"/>
    <w:rsid w:val="00A730EB"/>
    <w:rsid w:val="00A731CF"/>
    <w:rsid w:val="00A73768"/>
    <w:rsid w:val="00A75092"/>
    <w:rsid w:val="00A762BD"/>
    <w:rsid w:val="00A76396"/>
    <w:rsid w:val="00A76A81"/>
    <w:rsid w:val="00A801A3"/>
    <w:rsid w:val="00A801AA"/>
    <w:rsid w:val="00A81A70"/>
    <w:rsid w:val="00A81CAD"/>
    <w:rsid w:val="00A8223C"/>
    <w:rsid w:val="00A82BE0"/>
    <w:rsid w:val="00A838F7"/>
    <w:rsid w:val="00A84246"/>
    <w:rsid w:val="00A84E33"/>
    <w:rsid w:val="00A8692E"/>
    <w:rsid w:val="00A86D04"/>
    <w:rsid w:val="00A90DC5"/>
    <w:rsid w:val="00A9245F"/>
    <w:rsid w:val="00A92761"/>
    <w:rsid w:val="00A94B20"/>
    <w:rsid w:val="00A9759F"/>
    <w:rsid w:val="00A977B3"/>
    <w:rsid w:val="00AA023E"/>
    <w:rsid w:val="00AA27B2"/>
    <w:rsid w:val="00AA2E1D"/>
    <w:rsid w:val="00AA343D"/>
    <w:rsid w:val="00AA43A8"/>
    <w:rsid w:val="00AB1F25"/>
    <w:rsid w:val="00AB2088"/>
    <w:rsid w:val="00AB3576"/>
    <w:rsid w:val="00AB7DE9"/>
    <w:rsid w:val="00AC19DA"/>
    <w:rsid w:val="00AC2297"/>
    <w:rsid w:val="00AC2361"/>
    <w:rsid w:val="00AC24DF"/>
    <w:rsid w:val="00AC39E5"/>
    <w:rsid w:val="00AC4E8A"/>
    <w:rsid w:val="00AC595E"/>
    <w:rsid w:val="00AC754A"/>
    <w:rsid w:val="00AC7F04"/>
    <w:rsid w:val="00AD009C"/>
    <w:rsid w:val="00AD1A1E"/>
    <w:rsid w:val="00AD3036"/>
    <w:rsid w:val="00AD406C"/>
    <w:rsid w:val="00AD4278"/>
    <w:rsid w:val="00AD5589"/>
    <w:rsid w:val="00AD6211"/>
    <w:rsid w:val="00AD7DF3"/>
    <w:rsid w:val="00AE3161"/>
    <w:rsid w:val="00AE5C6D"/>
    <w:rsid w:val="00AE6479"/>
    <w:rsid w:val="00AE7238"/>
    <w:rsid w:val="00AE745E"/>
    <w:rsid w:val="00AF178F"/>
    <w:rsid w:val="00AF3440"/>
    <w:rsid w:val="00AF47F6"/>
    <w:rsid w:val="00AF4D8E"/>
    <w:rsid w:val="00B0036C"/>
    <w:rsid w:val="00B015FD"/>
    <w:rsid w:val="00B01DE1"/>
    <w:rsid w:val="00B02040"/>
    <w:rsid w:val="00B021D8"/>
    <w:rsid w:val="00B02624"/>
    <w:rsid w:val="00B028F3"/>
    <w:rsid w:val="00B03336"/>
    <w:rsid w:val="00B03CD5"/>
    <w:rsid w:val="00B06FF2"/>
    <w:rsid w:val="00B07EAA"/>
    <w:rsid w:val="00B105FF"/>
    <w:rsid w:val="00B10E9C"/>
    <w:rsid w:val="00B13803"/>
    <w:rsid w:val="00B138CC"/>
    <w:rsid w:val="00B147A0"/>
    <w:rsid w:val="00B15175"/>
    <w:rsid w:val="00B152A8"/>
    <w:rsid w:val="00B15A48"/>
    <w:rsid w:val="00B15B2F"/>
    <w:rsid w:val="00B15D19"/>
    <w:rsid w:val="00B15DB7"/>
    <w:rsid w:val="00B219E8"/>
    <w:rsid w:val="00B21B89"/>
    <w:rsid w:val="00B25CE1"/>
    <w:rsid w:val="00B26463"/>
    <w:rsid w:val="00B26819"/>
    <w:rsid w:val="00B2721E"/>
    <w:rsid w:val="00B278F1"/>
    <w:rsid w:val="00B27958"/>
    <w:rsid w:val="00B31491"/>
    <w:rsid w:val="00B32DEA"/>
    <w:rsid w:val="00B32DEE"/>
    <w:rsid w:val="00B33575"/>
    <w:rsid w:val="00B34BFD"/>
    <w:rsid w:val="00B34CEB"/>
    <w:rsid w:val="00B35317"/>
    <w:rsid w:val="00B35A72"/>
    <w:rsid w:val="00B36809"/>
    <w:rsid w:val="00B3681C"/>
    <w:rsid w:val="00B36D7D"/>
    <w:rsid w:val="00B3708B"/>
    <w:rsid w:val="00B3733D"/>
    <w:rsid w:val="00B400A9"/>
    <w:rsid w:val="00B40EE7"/>
    <w:rsid w:val="00B4221B"/>
    <w:rsid w:val="00B42D34"/>
    <w:rsid w:val="00B42DD3"/>
    <w:rsid w:val="00B435B2"/>
    <w:rsid w:val="00B43DED"/>
    <w:rsid w:val="00B505FA"/>
    <w:rsid w:val="00B50A1F"/>
    <w:rsid w:val="00B5103D"/>
    <w:rsid w:val="00B513A1"/>
    <w:rsid w:val="00B51D60"/>
    <w:rsid w:val="00B5240F"/>
    <w:rsid w:val="00B533A6"/>
    <w:rsid w:val="00B535AC"/>
    <w:rsid w:val="00B53AE6"/>
    <w:rsid w:val="00B54FC8"/>
    <w:rsid w:val="00B5637F"/>
    <w:rsid w:val="00B60071"/>
    <w:rsid w:val="00B60676"/>
    <w:rsid w:val="00B60780"/>
    <w:rsid w:val="00B637A5"/>
    <w:rsid w:val="00B64F39"/>
    <w:rsid w:val="00B6509E"/>
    <w:rsid w:val="00B65A00"/>
    <w:rsid w:val="00B66092"/>
    <w:rsid w:val="00B67551"/>
    <w:rsid w:val="00B70378"/>
    <w:rsid w:val="00B705E2"/>
    <w:rsid w:val="00B71389"/>
    <w:rsid w:val="00B71534"/>
    <w:rsid w:val="00B7156B"/>
    <w:rsid w:val="00B72DEC"/>
    <w:rsid w:val="00B73ED9"/>
    <w:rsid w:val="00B74A8D"/>
    <w:rsid w:val="00B7626E"/>
    <w:rsid w:val="00B767B8"/>
    <w:rsid w:val="00B775EA"/>
    <w:rsid w:val="00B81433"/>
    <w:rsid w:val="00B8161B"/>
    <w:rsid w:val="00B838B3"/>
    <w:rsid w:val="00B83FCC"/>
    <w:rsid w:val="00B84EF9"/>
    <w:rsid w:val="00B86347"/>
    <w:rsid w:val="00B873D9"/>
    <w:rsid w:val="00B87878"/>
    <w:rsid w:val="00B911FF"/>
    <w:rsid w:val="00B9129C"/>
    <w:rsid w:val="00B91727"/>
    <w:rsid w:val="00B93EC6"/>
    <w:rsid w:val="00B94309"/>
    <w:rsid w:val="00B943E5"/>
    <w:rsid w:val="00B94A05"/>
    <w:rsid w:val="00B94E13"/>
    <w:rsid w:val="00B95663"/>
    <w:rsid w:val="00B95B4C"/>
    <w:rsid w:val="00B97457"/>
    <w:rsid w:val="00BA0B82"/>
    <w:rsid w:val="00BA1CFE"/>
    <w:rsid w:val="00BA2B0E"/>
    <w:rsid w:val="00BA2C2A"/>
    <w:rsid w:val="00BA3A5C"/>
    <w:rsid w:val="00BA45D3"/>
    <w:rsid w:val="00BA709C"/>
    <w:rsid w:val="00BA76CC"/>
    <w:rsid w:val="00BA7DE5"/>
    <w:rsid w:val="00BB032F"/>
    <w:rsid w:val="00BB0AA2"/>
    <w:rsid w:val="00BB2274"/>
    <w:rsid w:val="00BB2926"/>
    <w:rsid w:val="00BB40F0"/>
    <w:rsid w:val="00BB4536"/>
    <w:rsid w:val="00BB4A4C"/>
    <w:rsid w:val="00BB5B10"/>
    <w:rsid w:val="00BB61B1"/>
    <w:rsid w:val="00BB77D7"/>
    <w:rsid w:val="00BC0E8F"/>
    <w:rsid w:val="00BC26F4"/>
    <w:rsid w:val="00BC32CA"/>
    <w:rsid w:val="00BC3B25"/>
    <w:rsid w:val="00BC54E6"/>
    <w:rsid w:val="00BC5821"/>
    <w:rsid w:val="00BC7D2A"/>
    <w:rsid w:val="00BD1977"/>
    <w:rsid w:val="00BD1B1F"/>
    <w:rsid w:val="00BD234E"/>
    <w:rsid w:val="00BD2ED3"/>
    <w:rsid w:val="00BD30AB"/>
    <w:rsid w:val="00BD4995"/>
    <w:rsid w:val="00BD5145"/>
    <w:rsid w:val="00BD525E"/>
    <w:rsid w:val="00BD5604"/>
    <w:rsid w:val="00BD79F7"/>
    <w:rsid w:val="00BE1515"/>
    <w:rsid w:val="00BE1F3C"/>
    <w:rsid w:val="00BE219E"/>
    <w:rsid w:val="00BE2AC3"/>
    <w:rsid w:val="00BE3F41"/>
    <w:rsid w:val="00BE418E"/>
    <w:rsid w:val="00BE4960"/>
    <w:rsid w:val="00BE5736"/>
    <w:rsid w:val="00BE643A"/>
    <w:rsid w:val="00BE7B9F"/>
    <w:rsid w:val="00BF3100"/>
    <w:rsid w:val="00BF47DA"/>
    <w:rsid w:val="00BF5483"/>
    <w:rsid w:val="00BF68D7"/>
    <w:rsid w:val="00BF6D22"/>
    <w:rsid w:val="00BF6D40"/>
    <w:rsid w:val="00BF6D93"/>
    <w:rsid w:val="00BF7A75"/>
    <w:rsid w:val="00C03047"/>
    <w:rsid w:val="00C033FC"/>
    <w:rsid w:val="00C03B65"/>
    <w:rsid w:val="00C06581"/>
    <w:rsid w:val="00C06BBD"/>
    <w:rsid w:val="00C07124"/>
    <w:rsid w:val="00C07378"/>
    <w:rsid w:val="00C07E3C"/>
    <w:rsid w:val="00C11393"/>
    <w:rsid w:val="00C128E7"/>
    <w:rsid w:val="00C12DDE"/>
    <w:rsid w:val="00C12FD2"/>
    <w:rsid w:val="00C1384E"/>
    <w:rsid w:val="00C1454C"/>
    <w:rsid w:val="00C14B50"/>
    <w:rsid w:val="00C15EB4"/>
    <w:rsid w:val="00C16101"/>
    <w:rsid w:val="00C16813"/>
    <w:rsid w:val="00C20A76"/>
    <w:rsid w:val="00C20D66"/>
    <w:rsid w:val="00C218CA"/>
    <w:rsid w:val="00C21ED8"/>
    <w:rsid w:val="00C2221F"/>
    <w:rsid w:val="00C22945"/>
    <w:rsid w:val="00C25745"/>
    <w:rsid w:val="00C2644F"/>
    <w:rsid w:val="00C26FF1"/>
    <w:rsid w:val="00C27B7D"/>
    <w:rsid w:val="00C27FEC"/>
    <w:rsid w:val="00C30F85"/>
    <w:rsid w:val="00C32595"/>
    <w:rsid w:val="00C358E4"/>
    <w:rsid w:val="00C36D2A"/>
    <w:rsid w:val="00C37020"/>
    <w:rsid w:val="00C3768C"/>
    <w:rsid w:val="00C41AC4"/>
    <w:rsid w:val="00C42ECF"/>
    <w:rsid w:val="00C43824"/>
    <w:rsid w:val="00C43BF4"/>
    <w:rsid w:val="00C43C10"/>
    <w:rsid w:val="00C43F85"/>
    <w:rsid w:val="00C4619F"/>
    <w:rsid w:val="00C461EE"/>
    <w:rsid w:val="00C46C7F"/>
    <w:rsid w:val="00C502E4"/>
    <w:rsid w:val="00C52AEB"/>
    <w:rsid w:val="00C557A3"/>
    <w:rsid w:val="00C55C68"/>
    <w:rsid w:val="00C57475"/>
    <w:rsid w:val="00C619A2"/>
    <w:rsid w:val="00C61CE1"/>
    <w:rsid w:val="00C62113"/>
    <w:rsid w:val="00C65085"/>
    <w:rsid w:val="00C65832"/>
    <w:rsid w:val="00C6773B"/>
    <w:rsid w:val="00C67B4A"/>
    <w:rsid w:val="00C71064"/>
    <w:rsid w:val="00C723B2"/>
    <w:rsid w:val="00C73120"/>
    <w:rsid w:val="00C744F0"/>
    <w:rsid w:val="00C74B96"/>
    <w:rsid w:val="00C74E8D"/>
    <w:rsid w:val="00C758B3"/>
    <w:rsid w:val="00C76861"/>
    <w:rsid w:val="00C76938"/>
    <w:rsid w:val="00C76A95"/>
    <w:rsid w:val="00C76F38"/>
    <w:rsid w:val="00C77D45"/>
    <w:rsid w:val="00C80D4D"/>
    <w:rsid w:val="00C812E0"/>
    <w:rsid w:val="00C82DC7"/>
    <w:rsid w:val="00C8355E"/>
    <w:rsid w:val="00C83D87"/>
    <w:rsid w:val="00C86172"/>
    <w:rsid w:val="00C867CB"/>
    <w:rsid w:val="00C87AFD"/>
    <w:rsid w:val="00C91C93"/>
    <w:rsid w:val="00C92C3C"/>
    <w:rsid w:val="00C92C4B"/>
    <w:rsid w:val="00C93CAD"/>
    <w:rsid w:val="00C941AE"/>
    <w:rsid w:val="00C944E6"/>
    <w:rsid w:val="00C94F37"/>
    <w:rsid w:val="00C95261"/>
    <w:rsid w:val="00C95A43"/>
    <w:rsid w:val="00C96E84"/>
    <w:rsid w:val="00C96F25"/>
    <w:rsid w:val="00C971F0"/>
    <w:rsid w:val="00CA007D"/>
    <w:rsid w:val="00CA2325"/>
    <w:rsid w:val="00CA5FF3"/>
    <w:rsid w:val="00CA79F9"/>
    <w:rsid w:val="00CA7EEE"/>
    <w:rsid w:val="00CB20EB"/>
    <w:rsid w:val="00CB27C1"/>
    <w:rsid w:val="00CB3E26"/>
    <w:rsid w:val="00CB43F4"/>
    <w:rsid w:val="00CB5712"/>
    <w:rsid w:val="00CB6A3D"/>
    <w:rsid w:val="00CB6FA4"/>
    <w:rsid w:val="00CB7B08"/>
    <w:rsid w:val="00CB7F91"/>
    <w:rsid w:val="00CC1C66"/>
    <w:rsid w:val="00CC34DA"/>
    <w:rsid w:val="00CC3DCB"/>
    <w:rsid w:val="00CC462C"/>
    <w:rsid w:val="00CC479E"/>
    <w:rsid w:val="00CC53AA"/>
    <w:rsid w:val="00CC6200"/>
    <w:rsid w:val="00CC6700"/>
    <w:rsid w:val="00CC6BAD"/>
    <w:rsid w:val="00CC7468"/>
    <w:rsid w:val="00CD1370"/>
    <w:rsid w:val="00CD1B0E"/>
    <w:rsid w:val="00CD314C"/>
    <w:rsid w:val="00CD4EB5"/>
    <w:rsid w:val="00CD574E"/>
    <w:rsid w:val="00CD5D83"/>
    <w:rsid w:val="00CD6C89"/>
    <w:rsid w:val="00CD7094"/>
    <w:rsid w:val="00CD72EB"/>
    <w:rsid w:val="00CE0A1E"/>
    <w:rsid w:val="00CE15C8"/>
    <w:rsid w:val="00CE19CE"/>
    <w:rsid w:val="00CE3000"/>
    <w:rsid w:val="00CE5430"/>
    <w:rsid w:val="00CE5D4E"/>
    <w:rsid w:val="00CE651E"/>
    <w:rsid w:val="00CE6C17"/>
    <w:rsid w:val="00CE722D"/>
    <w:rsid w:val="00CE7E38"/>
    <w:rsid w:val="00CF07A8"/>
    <w:rsid w:val="00CF0ACA"/>
    <w:rsid w:val="00CF1000"/>
    <w:rsid w:val="00CF1238"/>
    <w:rsid w:val="00CF1E5B"/>
    <w:rsid w:val="00CF2359"/>
    <w:rsid w:val="00CF2B40"/>
    <w:rsid w:val="00CF4705"/>
    <w:rsid w:val="00CF4734"/>
    <w:rsid w:val="00CF4F9E"/>
    <w:rsid w:val="00CF6019"/>
    <w:rsid w:val="00D01E56"/>
    <w:rsid w:val="00D024C8"/>
    <w:rsid w:val="00D02D39"/>
    <w:rsid w:val="00D03F02"/>
    <w:rsid w:val="00D05E90"/>
    <w:rsid w:val="00D068E2"/>
    <w:rsid w:val="00D07E51"/>
    <w:rsid w:val="00D10262"/>
    <w:rsid w:val="00D12107"/>
    <w:rsid w:val="00D14104"/>
    <w:rsid w:val="00D142FA"/>
    <w:rsid w:val="00D17228"/>
    <w:rsid w:val="00D213BD"/>
    <w:rsid w:val="00D23830"/>
    <w:rsid w:val="00D24314"/>
    <w:rsid w:val="00D24B47"/>
    <w:rsid w:val="00D25895"/>
    <w:rsid w:val="00D30242"/>
    <w:rsid w:val="00D30DC0"/>
    <w:rsid w:val="00D310F5"/>
    <w:rsid w:val="00D318A4"/>
    <w:rsid w:val="00D31C3D"/>
    <w:rsid w:val="00D32200"/>
    <w:rsid w:val="00D335F0"/>
    <w:rsid w:val="00D3360C"/>
    <w:rsid w:val="00D34A02"/>
    <w:rsid w:val="00D34D47"/>
    <w:rsid w:val="00D35DE9"/>
    <w:rsid w:val="00D37439"/>
    <w:rsid w:val="00D37596"/>
    <w:rsid w:val="00D40F15"/>
    <w:rsid w:val="00D40F2A"/>
    <w:rsid w:val="00D41C41"/>
    <w:rsid w:val="00D4202E"/>
    <w:rsid w:val="00D42066"/>
    <w:rsid w:val="00D420FA"/>
    <w:rsid w:val="00D422EA"/>
    <w:rsid w:val="00D4245C"/>
    <w:rsid w:val="00D4277C"/>
    <w:rsid w:val="00D428DB"/>
    <w:rsid w:val="00D42E43"/>
    <w:rsid w:val="00D431D6"/>
    <w:rsid w:val="00D43393"/>
    <w:rsid w:val="00D43BD2"/>
    <w:rsid w:val="00D44AA2"/>
    <w:rsid w:val="00D454E6"/>
    <w:rsid w:val="00D47408"/>
    <w:rsid w:val="00D4742E"/>
    <w:rsid w:val="00D519BC"/>
    <w:rsid w:val="00D53195"/>
    <w:rsid w:val="00D5622D"/>
    <w:rsid w:val="00D564B5"/>
    <w:rsid w:val="00D56AB7"/>
    <w:rsid w:val="00D60DB3"/>
    <w:rsid w:val="00D612F5"/>
    <w:rsid w:val="00D644D1"/>
    <w:rsid w:val="00D648D4"/>
    <w:rsid w:val="00D64995"/>
    <w:rsid w:val="00D65161"/>
    <w:rsid w:val="00D67A93"/>
    <w:rsid w:val="00D67C04"/>
    <w:rsid w:val="00D7133A"/>
    <w:rsid w:val="00D71B9B"/>
    <w:rsid w:val="00D72937"/>
    <w:rsid w:val="00D74958"/>
    <w:rsid w:val="00D74E20"/>
    <w:rsid w:val="00D75A96"/>
    <w:rsid w:val="00D75C41"/>
    <w:rsid w:val="00D75E0D"/>
    <w:rsid w:val="00D762A7"/>
    <w:rsid w:val="00D76569"/>
    <w:rsid w:val="00D7703F"/>
    <w:rsid w:val="00D80663"/>
    <w:rsid w:val="00D80DAF"/>
    <w:rsid w:val="00D8103D"/>
    <w:rsid w:val="00D810A3"/>
    <w:rsid w:val="00D855BF"/>
    <w:rsid w:val="00D85C40"/>
    <w:rsid w:val="00D8689F"/>
    <w:rsid w:val="00D904A2"/>
    <w:rsid w:val="00D91496"/>
    <w:rsid w:val="00D950E3"/>
    <w:rsid w:val="00D9568C"/>
    <w:rsid w:val="00D96375"/>
    <w:rsid w:val="00D964DD"/>
    <w:rsid w:val="00D964E2"/>
    <w:rsid w:val="00D96F91"/>
    <w:rsid w:val="00DA0342"/>
    <w:rsid w:val="00DA03B6"/>
    <w:rsid w:val="00DA0D8E"/>
    <w:rsid w:val="00DA10B6"/>
    <w:rsid w:val="00DA132C"/>
    <w:rsid w:val="00DA1886"/>
    <w:rsid w:val="00DA231F"/>
    <w:rsid w:val="00DA2ADB"/>
    <w:rsid w:val="00DA2F2B"/>
    <w:rsid w:val="00DA326E"/>
    <w:rsid w:val="00DA4357"/>
    <w:rsid w:val="00DA5EB8"/>
    <w:rsid w:val="00DA75A0"/>
    <w:rsid w:val="00DB0838"/>
    <w:rsid w:val="00DB0895"/>
    <w:rsid w:val="00DB208A"/>
    <w:rsid w:val="00DB2698"/>
    <w:rsid w:val="00DB2F59"/>
    <w:rsid w:val="00DB2F78"/>
    <w:rsid w:val="00DB383E"/>
    <w:rsid w:val="00DB590B"/>
    <w:rsid w:val="00DB64AE"/>
    <w:rsid w:val="00DB6804"/>
    <w:rsid w:val="00DB6AED"/>
    <w:rsid w:val="00DB6E98"/>
    <w:rsid w:val="00DB7E54"/>
    <w:rsid w:val="00DC0743"/>
    <w:rsid w:val="00DC12F9"/>
    <w:rsid w:val="00DC172C"/>
    <w:rsid w:val="00DC1A7E"/>
    <w:rsid w:val="00DC1D08"/>
    <w:rsid w:val="00DC25AE"/>
    <w:rsid w:val="00DC2AC1"/>
    <w:rsid w:val="00DC2CAC"/>
    <w:rsid w:val="00DC41A9"/>
    <w:rsid w:val="00DC457A"/>
    <w:rsid w:val="00DC5274"/>
    <w:rsid w:val="00DC5352"/>
    <w:rsid w:val="00DC6353"/>
    <w:rsid w:val="00DC691B"/>
    <w:rsid w:val="00DC7905"/>
    <w:rsid w:val="00DC7BEB"/>
    <w:rsid w:val="00DD0317"/>
    <w:rsid w:val="00DD0ED6"/>
    <w:rsid w:val="00DD237C"/>
    <w:rsid w:val="00DD2524"/>
    <w:rsid w:val="00DD2963"/>
    <w:rsid w:val="00DD2CF9"/>
    <w:rsid w:val="00DD3CD0"/>
    <w:rsid w:val="00DD53E3"/>
    <w:rsid w:val="00DD551F"/>
    <w:rsid w:val="00DD556C"/>
    <w:rsid w:val="00DD5584"/>
    <w:rsid w:val="00DD5591"/>
    <w:rsid w:val="00DD6DE2"/>
    <w:rsid w:val="00DE1675"/>
    <w:rsid w:val="00DE1780"/>
    <w:rsid w:val="00DE192E"/>
    <w:rsid w:val="00DE1D0E"/>
    <w:rsid w:val="00DE1DAC"/>
    <w:rsid w:val="00DE30F9"/>
    <w:rsid w:val="00DE3276"/>
    <w:rsid w:val="00DE41A4"/>
    <w:rsid w:val="00DE4EB1"/>
    <w:rsid w:val="00DE5C22"/>
    <w:rsid w:val="00DE7048"/>
    <w:rsid w:val="00DE7362"/>
    <w:rsid w:val="00DE7415"/>
    <w:rsid w:val="00DF1F9C"/>
    <w:rsid w:val="00DF35FF"/>
    <w:rsid w:val="00DF4D03"/>
    <w:rsid w:val="00DF4E35"/>
    <w:rsid w:val="00DF5D27"/>
    <w:rsid w:val="00DF6A1E"/>
    <w:rsid w:val="00DF76B7"/>
    <w:rsid w:val="00DF7A52"/>
    <w:rsid w:val="00E00ACA"/>
    <w:rsid w:val="00E00C4C"/>
    <w:rsid w:val="00E01FCA"/>
    <w:rsid w:val="00E02E5A"/>
    <w:rsid w:val="00E03DB2"/>
    <w:rsid w:val="00E0459D"/>
    <w:rsid w:val="00E04754"/>
    <w:rsid w:val="00E04DE9"/>
    <w:rsid w:val="00E05442"/>
    <w:rsid w:val="00E059CD"/>
    <w:rsid w:val="00E05A3D"/>
    <w:rsid w:val="00E0681F"/>
    <w:rsid w:val="00E10E31"/>
    <w:rsid w:val="00E117B0"/>
    <w:rsid w:val="00E12E17"/>
    <w:rsid w:val="00E13001"/>
    <w:rsid w:val="00E13036"/>
    <w:rsid w:val="00E13469"/>
    <w:rsid w:val="00E13888"/>
    <w:rsid w:val="00E1481E"/>
    <w:rsid w:val="00E15E8E"/>
    <w:rsid w:val="00E16232"/>
    <w:rsid w:val="00E20575"/>
    <w:rsid w:val="00E20E7C"/>
    <w:rsid w:val="00E216C0"/>
    <w:rsid w:val="00E2182A"/>
    <w:rsid w:val="00E21C4C"/>
    <w:rsid w:val="00E220B2"/>
    <w:rsid w:val="00E22317"/>
    <w:rsid w:val="00E2321A"/>
    <w:rsid w:val="00E24272"/>
    <w:rsid w:val="00E249DE"/>
    <w:rsid w:val="00E24F69"/>
    <w:rsid w:val="00E2534B"/>
    <w:rsid w:val="00E2535E"/>
    <w:rsid w:val="00E25C82"/>
    <w:rsid w:val="00E274BF"/>
    <w:rsid w:val="00E27901"/>
    <w:rsid w:val="00E27A29"/>
    <w:rsid w:val="00E31E2B"/>
    <w:rsid w:val="00E31F51"/>
    <w:rsid w:val="00E32104"/>
    <w:rsid w:val="00E3390D"/>
    <w:rsid w:val="00E343BE"/>
    <w:rsid w:val="00E36A91"/>
    <w:rsid w:val="00E3719D"/>
    <w:rsid w:val="00E37251"/>
    <w:rsid w:val="00E378FF"/>
    <w:rsid w:val="00E40784"/>
    <w:rsid w:val="00E41FD3"/>
    <w:rsid w:val="00E4235C"/>
    <w:rsid w:val="00E424D9"/>
    <w:rsid w:val="00E42DF8"/>
    <w:rsid w:val="00E43A28"/>
    <w:rsid w:val="00E4611C"/>
    <w:rsid w:val="00E50B54"/>
    <w:rsid w:val="00E50B85"/>
    <w:rsid w:val="00E51145"/>
    <w:rsid w:val="00E51839"/>
    <w:rsid w:val="00E534BA"/>
    <w:rsid w:val="00E55A71"/>
    <w:rsid w:val="00E60FC3"/>
    <w:rsid w:val="00E62C15"/>
    <w:rsid w:val="00E63407"/>
    <w:rsid w:val="00E65E91"/>
    <w:rsid w:val="00E6629D"/>
    <w:rsid w:val="00E7059F"/>
    <w:rsid w:val="00E70A95"/>
    <w:rsid w:val="00E71254"/>
    <w:rsid w:val="00E719C0"/>
    <w:rsid w:val="00E73602"/>
    <w:rsid w:val="00E74D34"/>
    <w:rsid w:val="00E75A71"/>
    <w:rsid w:val="00E80281"/>
    <w:rsid w:val="00E8215D"/>
    <w:rsid w:val="00E827E8"/>
    <w:rsid w:val="00E854B0"/>
    <w:rsid w:val="00E859AB"/>
    <w:rsid w:val="00E86F72"/>
    <w:rsid w:val="00E91447"/>
    <w:rsid w:val="00E92073"/>
    <w:rsid w:val="00E92617"/>
    <w:rsid w:val="00E92E42"/>
    <w:rsid w:val="00E940F0"/>
    <w:rsid w:val="00E94558"/>
    <w:rsid w:val="00E9480D"/>
    <w:rsid w:val="00E9532F"/>
    <w:rsid w:val="00E95582"/>
    <w:rsid w:val="00E9558A"/>
    <w:rsid w:val="00EA0EE4"/>
    <w:rsid w:val="00EA2152"/>
    <w:rsid w:val="00EA2221"/>
    <w:rsid w:val="00EA42F3"/>
    <w:rsid w:val="00EA4638"/>
    <w:rsid w:val="00EA50AC"/>
    <w:rsid w:val="00EA5141"/>
    <w:rsid w:val="00EA560A"/>
    <w:rsid w:val="00EA6A16"/>
    <w:rsid w:val="00EB020E"/>
    <w:rsid w:val="00EB0C05"/>
    <w:rsid w:val="00EB0D7C"/>
    <w:rsid w:val="00EB14B9"/>
    <w:rsid w:val="00EB18CE"/>
    <w:rsid w:val="00EB2857"/>
    <w:rsid w:val="00EB29E3"/>
    <w:rsid w:val="00EB419F"/>
    <w:rsid w:val="00EB4824"/>
    <w:rsid w:val="00EB4F91"/>
    <w:rsid w:val="00EB5069"/>
    <w:rsid w:val="00EB5F87"/>
    <w:rsid w:val="00EB663A"/>
    <w:rsid w:val="00EB6AB9"/>
    <w:rsid w:val="00EB744C"/>
    <w:rsid w:val="00EB7CD2"/>
    <w:rsid w:val="00EC0B20"/>
    <w:rsid w:val="00EC0B25"/>
    <w:rsid w:val="00EC0E20"/>
    <w:rsid w:val="00EC1805"/>
    <w:rsid w:val="00EC2125"/>
    <w:rsid w:val="00EC252B"/>
    <w:rsid w:val="00EC368E"/>
    <w:rsid w:val="00EC4E79"/>
    <w:rsid w:val="00EC54D8"/>
    <w:rsid w:val="00EC56D4"/>
    <w:rsid w:val="00ED0E77"/>
    <w:rsid w:val="00ED252D"/>
    <w:rsid w:val="00ED3186"/>
    <w:rsid w:val="00ED37D6"/>
    <w:rsid w:val="00ED4BEA"/>
    <w:rsid w:val="00ED5723"/>
    <w:rsid w:val="00ED683F"/>
    <w:rsid w:val="00ED74B4"/>
    <w:rsid w:val="00ED7A17"/>
    <w:rsid w:val="00ED7C9F"/>
    <w:rsid w:val="00EE034E"/>
    <w:rsid w:val="00EE0EAF"/>
    <w:rsid w:val="00EE1B86"/>
    <w:rsid w:val="00EE25EF"/>
    <w:rsid w:val="00EE3462"/>
    <w:rsid w:val="00EE5700"/>
    <w:rsid w:val="00EE5874"/>
    <w:rsid w:val="00EE6ABE"/>
    <w:rsid w:val="00EE7ACD"/>
    <w:rsid w:val="00EF0F2C"/>
    <w:rsid w:val="00EF1700"/>
    <w:rsid w:val="00EF1BBB"/>
    <w:rsid w:val="00EF2C8B"/>
    <w:rsid w:val="00EF5580"/>
    <w:rsid w:val="00EF5D1C"/>
    <w:rsid w:val="00EF76D6"/>
    <w:rsid w:val="00F00486"/>
    <w:rsid w:val="00F00C2F"/>
    <w:rsid w:val="00F00FE5"/>
    <w:rsid w:val="00F0153D"/>
    <w:rsid w:val="00F01F7C"/>
    <w:rsid w:val="00F044C7"/>
    <w:rsid w:val="00F06A96"/>
    <w:rsid w:val="00F06AB5"/>
    <w:rsid w:val="00F071C6"/>
    <w:rsid w:val="00F07983"/>
    <w:rsid w:val="00F109CA"/>
    <w:rsid w:val="00F10F32"/>
    <w:rsid w:val="00F10F94"/>
    <w:rsid w:val="00F11017"/>
    <w:rsid w:val="00F1279B"/>
    <w:rsid w:val="00F12A6E"/>
    <w:rsid w:val="00F12F7F"/>
    <w:rsid w:val="00F13F6D"/>
    <w:rsid w:val="00F145E7"/>
    <w:rsid w:val="00F14CAA"/>
    <w:rsid w:val="00F14FE3"/>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0B17"/>
    <w:rsid w:val="00F31A11"/>
    <w:rsid w:val="00F31EAE"/>
    <w:rsid w:val="00F3367B"/>
    <w:rsid w:val="00F33700"/>
    <w:rsid w:val="00F34954"/>
    <w:rsid w:val="00F352EE"/>
    <w:rsid w:val="00F358CA"/>
    <w:rsid w:val="00F37177"/>
    <w:rsid w:val="00F3735A"/>
    <w:rsid w:val="00F377FB"/>
    <w:rsid w:val="00F37DFC"/>
    <w:rsid w:val="00F4131E"/>
    <w:rsid w:val="00F415A6"/>
    <w:rsid w:val="00F41906"/>
    <w:rsid w:val="00F42B1A"/>
    <w:rsid w:val="00F42D1E"/>
    <w:rsid w:val="00F44F34"/>
    <w:rsid w:val="00F44F81"/>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282D"/>
    <w:rsid w:val="00F63190"/>
    <w:rsid w:val="00F636DA"/>
    <w:rsid w:val="00F6373D"/>
    <w:rsid w:val="00F638D7"/>
    <w:rsid w:val="00F6432F"/>
    <w:rsid w:val="00F64817"/>
    <w:rsid w:val="00F655A9"/>
    <w:rsid w:val="00F66309"/>
    <w:rsid w:val="00F6680F"/>
    <w:rsid w:val="00F66B4A"/>
    <w:rsid w:val="00F66EB2"/>
    <w:rsid w:val="00F67AA3"/>
    <w:rsid w:val="00F67D52"/>
    <w:rsid w:val="00F7232E"/>
    <w:rsid w:val="00F754F2"/>
    <w:rsid w:val="00F758AE"/>
    <w:rsid w:val="00F75F8E"/>
    <w:rsid w:val="00F80AD2"/>
    <w:rsid w:val="00F81089"/>
    <w:rsid w:val="00F8244F"/>
    <w:rsid w:val="00F82510"/>
    <w:rsid w:val="00F82CD7"/>
    <w:rsid w:val="00F82F64"/>
    <w:rsid w:val="00F8457D"/>
    <w:rsid w:val="00F860BB"/>
    <w:rsid w:val="00F8667C"/>
    <w:rsid w:val="00F869AF"/>
    <w:rsid w:val="00F86BB4"/>
    <w:rsid w:val="00F87593"/>
    <w:rsid w:val="00F90315"/>
    <w:rsid w:val="00F9038B"/>
    <w:rsid w:val="00F90B81"/>
    <w:rsid w:val="00F90BD8"/>
    <w:rsid w:val="00F91121"/>
    <w:rsid w:val="00F914AE"/>
    <w:rsid w:val="00F929FA"/>
    <w:rsid w:val="00F92D6E"/>
    <w:rsid w:val="00F941C0"/>
    <w:rsid w:val="00F9438B"/>
    <w:rsid w:val="00F94984"/>
    <w:rsid w:val="00F94B38"/>
    <w:rsid w:val="00F94BEB"/>
    <w:rsid w:val="00F974D8"/>
    <w:rsid w:val="00FA0C66"/>
    <w:rsid w:val="00FA28DF"/>
    <w:rsid w:val="00FA2E8F"/>
    <w:rsid w:val="00FA2EBD"/>
    <w:rsid w:val="00FA4BC4"/>
    <w:rsid w:val="00FB0C78"/>
    <w:rsid w:val="00FB1576"/>
    <w:rsid w:val="00FB1954"/>
    <w:rsid w:val="00FB35CE"/>
    <w:rsid w:val="00FB3BA1"/>
    <w:rsid w:val="00FB3BFA"/>
    <w:rsid w:val="00FC01B8"/>
    <w:rsid w:val="00FC0510"/>
    <w:rsid w:val="00FC17AD"/>
    <w:rsid w:val="00FC1BAE"/>
    <w:rsid w:val="00FC225A"/>
    <w:rsid w:val="00FC4D04"/>
    <w:rsid w:val="00FC5394"/>
    <w:rsid w:val="00FC715C"/>
    <w:rsid w:val="00FC7A69"/>
    <w:rsid w:val="00FC7A70"/>
    <w:rsid w:val="00FD49FD"/>
    <w:rsid w:val="00FD4CE2"/>
    <w:rsid w:val="00FD7760"/>
    <w:rsid w:val="00FE0AE2"/>
    <w:rsid w:val="00FE1B10"/>
    <w:rsid w:val="00FE2555"/>
    <w:rsid w:val="00FE33AF"/>
    <w:rsid w:val="00FE3B1B"/>
    <w:rsid w:val="00FE445E"/>
    <w:rsid w:val="00FE4DF4"/>
    <w:rsid w:val="00FE5103"/>
    <w:rsid w:val="00FE69DB"/>
    <w:rsid w:val="00FF0804"/>
    <w:rsid w:val="00FF1F6D"/>
    <w:rsid w:val="00FF2F45"/>
    <w:rsid w:val="00FF443A"/>
    <w:rsid w:val="00FF4A74"/>
    <w:rsid w:val="00FF4C07"/>
    <w:rsid w:val="00FF6B85"/>
    <w:rsid w:val="00FF6CCB"/>
    <w:rsid w:val="00FF7F70"/>
    <w:rsid w:val="01544153"/>
    <w:rsid w:val="01AC2FD8"/>
    <w:rsid w:val="03423232"/>
    <w:rsid w:val="036859EC"/>
    <w:rsid w:val="044D7027"/>
    <w:rsid w:val="046C7E5F"/>
    <w:rsid w:val="05A14251"/>
    <w:rsid w:val="05F77C78"/>
    <w:rsid w:val="071D2940"/>
    <w:rsid w:val="07500A1D"/>
    <w:rsid w:val="07B91AFB"/>
    <w:rsid w:val="08691A40"/>
    <w:rsid w:val="089E09DF"/>
    <w:rsid w:val="09262007"/>
    <w:rsid w:val="09304B50"/>
    <w:rsid w:val="09726530"/>
    <w:rsid w:val="09E35B78"/>
    <w:rsid w:val="0CD10076"/>
    <w:rsid w:val="0E150435"/>
    <w:rsid w:val="0E3A4631"/>
    <w:rsid w:val="0F7F43FD"/>
    <w:rsid w:val="0FEA0D06"/>
    <w:rsid w:val="101B28E7"/>
    <w:rsid w:val="10410FB7"/>
    <w:rsid w:val="10FB4325"/>
    <w:rsid w:val="117246A3"/>
    <w:rsid w:val="11EE264C"/>
    <w:rsid w:val="12241200"/>
    <w:rsid w:val="122E739E"/>
    <w:rsid w:val="128C0358"/>
    <w:rsid w:val="136E0CAF"/>
    <w:rsid w:val="14203A32"/>
    <w:rsid w:val="14FD1598"/>
    <w:rsid w:val="1587309D"/>
    <w:rsid w:val="16575CAA"/>
    <w:rsid w:val="16C20672"/>
    <w:rsid w:val="172E75C4"/>
    <w:rsid w:val="176825E4"/>
    <w:rsid w:val="17C9293E"/>
    <w:rsid w:val="19074199"/>
    <w:rsid w:val="196F7429"/>
    <w:rsid w:val="1AAD16D5"/>
    <w:rsid w:val="1ADB3611"/>
    <w:rsid w:val="1B747704"/>
    <w:rsid w:val="1BC41AAF"/>
    <w:rsid w:val="1BEA5591"/>
    <w:rsid w:val="1C2A035E"/>
    <w:rsid w:val="1CD65C5D"/>
    <w:rsid w:val="1D0A6CCE"/>
    <w:rsid w:val="1D352C93"/>
    <w:rsid w:val="1D8B67FB"/>
    <w:rsid w:val="1DAF5486"/>
    <w:rsid w:val="1DC711FE"/>
    <w:rsid w:val="1E3D6448"/>
    <w:rsid w:val="1E474D4D"/>
    <w:rsid w:val="1E5F5043"/>
    <w:rsid w:val="1EDD63B3"/>
    <w:rsid w:val="205D7A69"/>
    <w:rsid w:val="209E23A2"/>
    <w:rsid w:val="212A1105"/>
    <w:rsid w:val="21933507"/>
    <w:rsid w:val="2513335E"/>
    <w:rsid w:val="25835EFF"/>
    <w:rsid w:val="26782B61"/>
    <w:rsid w:val="26D371BC"/>
    <w:rsid w:val="26D517F6"/>
    <w:rsid w:val="273B0C60"/>
    <w:rsid w:val="276827B1"/>
    <w:rsid w:val="27A57282"/>
    <w:rsid w:val="28A50DBC"/>
    <w:rsid w:val="28DF46B0"/>
    <w:rsid w:val="299F70A3"/>
    <w:rsid w:val="29B608D0"/>
    <w:rsid w:val="2A134DDE"/>
    <w:rsid w:val="2A460945"/>
    <w:rsid w:val="2A715E7D"/>
    <w:rsid w:val="2C7E7560"/>
    <w:rsid w:val="2D2A45C8"/>
    <w:rsid w:val="2DFF6B28"/>
    <w:rsid w:val="2E0A4CA7"/>
    <w:rsid w:val="2E26328B"/>
    <w:rsid w:val="2F471B57"/>
    <w:rsid w:val="2F6544B0"/>
    <w:rsid w:val="30032221"/>
    <w:rsid w:val="30AD6369"/>
    <w:rsid w:val="31532246"/>
    <w:rsid w:val="32606DD9"/>
    <w:rsid w:val="32CB7266"/>
    <w:rsid w:val="33497D51"/>
    <w:rsid w:val="35D501BC"/>
    <w:rsid w:val="368F4762"/>
    <w:rsid w:val="36BF25BF"/>
    <w:rsid w:val="37A34163"/>
    <w:rsid w:val="37DF0639"/>
    <w:rsid w:val="39C27610"/>
    <w:rsid w:val="39EC74A8"/>
    <w:rsid w:val="3AA04B14"/>
    <w:rsid w:val="3B031237"/>
    <w:rsid w:val="3B2E2848"/>
    <w:rsid w:val="3BF90095"/>
    <w:rsid w:val="3C9A404C"/>
    <w:rsid w:val="3CBB33D4"/>
    <w:rsid w:val="3CD47902"/>
    <w:rsid w:val="3D157604"/>
    <w:rsid w:val="3D573571"/>
    <w:rsid w:val="3DA7291A"/>
    <w:rsid w:val="3E4B1CB0"/>
    <w:rsid w:val="3E5C5B0E"/>
    <w:rsid w:val="3F690FCD"/>
    <w:rsid w:val="3F9F5738"/>
    <w:rsid w:val="3FFB0793"/>
    <w:rsid w:val="40D8227D"/>
    <w:rsid w:val="427F7566"/>
    <w:rsid w:val="433A45C7"/>
    <w:rsid w:val="434222DF"/>
    <w:rsid w:val="43AF1A1E"/>
    <w:rsid w:val="43E42B27"/>
    <w:rsid w:val="440D1EF2"/>
    <w:rsid w:val="44823C05"/>
    <w:rsid w:val="44D53D34"/>
    <w:rsid w:val="45442C68"/>
    <w:rsid w:val="458831C0"/>
    <w:rsid w:val="45927E77"/>
    <w:rsid w:val="45E46003"/>
    <w:rsid w:val="47580124"/>
    <w:rsid w:val="4880045B"/>
    <w:rsid w:val="48C95562"/>
    <w:rsid w:val="497F4054"/>
    <w:rsid w:val="49DC1A6E"/>
    <w:rsid w:val="4ADB5E1D"/>
    <w:rsid w:val="4B956E05"/>
    <w:rsid w:val="4B9E40F4"/>
    <w:rsid w:val="4CE538BC"/>
    <w:rsid w:val="4D802E05"/>
    <w:rsid w:val="4E84140A"/>
    <w:rsid w:val="4EBE1CDD"/>
    <w:rsid w:val="4EDF27F9"/>
    <w:rsid w:val="4F1F277C"/>
    <w:rsid w:val="4F30258E"/>
    <w:rsid w:val="4FA34B34"/>
    <w:rsid w:val="50BF353A"/>
    <w:rsid w:val="50F6750C"/>
    <w:rsid w:val="52BA7964"/>
    <w:rsid w:val="52DC0BDE"/>
    <w:rsid w:val="530F7478"/>
    <w:rsid w:val="53E64F42"/>
    <w:rsid w:val="540A0A49"/>
    <w:rsid w:val="54E14F96"/>
    <w:rsid w:val="55BD4321"/>
    <w:rsid w:val="55D22E9C"/>
    <w:rsid w:val="55F41085"/>
    <w:rsid w:val="58600B2F"/>
    <w:rsid w:val="58781D96"/>
    <w:rsid w:val="587D515A"/>
    <w:rsid w:val="58BD0A48"/>
    <w:rsid w:val="598918A5"/>
    <w:rsid w:val="5992632E"/>
    <w:rsid w:val="5A0A04CC"/>
    <w:rsid w:val="5A570960"/>
    <w:rsid w:val="5AD442C5"/>
    <w:rsid w:val="5BA6155E"/>
    <w:rsid w:val="5C532D3A"/>
    <w:rsid w:val="5E4A70E9"/>
    <w:rsid w:val="5E530E11"/>
    <w:rsid w:val="5EED551D"/>
    <w:rsid w:val="5EFD79A7"/>
    <w:rsid w:val="5F102C9E"/>
    <w:rsid w:val="5F599C12"/>
    <w:rsid w:val="5FA907B0"/>
    <w:rsid w:val="604D6993"/>
    <w:rsid w:val="60D34C54"/>
    <w:rsid w:val="60EA5995"/>
    <w:rsid w:val="61771494"/>
    <w:rsid w:val="61871686"/>
    <w:rsid w:val="62C854DF"/>
    <w:rsid w:val="62E775FD"/>
    <w:rsid w:val="652E6D08"/>
    <w:rsid w:val="65371303"/>
    <w:rsid w:val="6551165C"/>
    <w:rsid w:val="656968B3"/>
    <w:rsid w:val="65973353"/>
    <w:rsid w:val="66263F98"/>
    <w:rsid w:val="676B07FC"/>
    <w:rsid w:val="68592C4A"/>
    <w:rsid w:val="689B4346"/>
    <w:rsid w:val="68DD6173"/>
    <w:rsid w:val="6A210198"/>
    <w:rsid w:val="6A8D1284"/>
    <w:rsid w:val="6AE9F601"/>
    <w:rsid w:val="6CBA0F3F"/>
    <w:rsid w:val="6CD234C9"/>
    <w:rsid w:val="6D21370B"/>
    <w:rsid w:val="6D263BC7"/>
    <w:rsid w:val="6D4E3543"/>
    <w:rsid w:val="6DE86A7F"/>
    <w:rsid w:val="6DF826BE"/>
    <w:rsid w:val="6EDE176C"/>
    <w:rsid w:val="6F2FD018"/>
    <w:rsid w:val="70111815"/>
    <w:rsid w:val="70221319"/>
    <w:rsid w:val="70C71D41"/>
    <w:rsid w:val="71B8597C"/>
    <w:rsid w:val="71BC7EA6"/>
    <w:rsid w:val="72175B12"/>
    <w:rsid w:val="7351583B"/>
    <w:rsid w:val="73AC2138"/>
    <w:rsid w:val="73BE15F4"/>
    <w:rsid w:val="73D6271F"/>
    <w:rsid w:val="74113530"/>
    <w:rsid w:val="74237469"/>
    <w:rsid w:val="744D33A2"/>
    <w:rsid w:val="74C82F77"/>
    <w:rsid w:val="752B3379"/>
    <w:rsid w:val="75C07B2A"/>
    <w:rsid w:val="781E0018"/>
    <w:rsid w:val="78853310"/>
    <w:rsid w:val="79144124"/>
    <w:rsid w:val="793D203B"/>
    <w:rsid w:val="796750C2"/>
    <w:rsid w:val="79AC25AE"/>
    <w:rsid w:val="7A3710B1"/>
    <w:rsid w:val="7A4D603C"/>
    <w:rsid w:val="7A5D4015"/>
    <w:rsid w:val="7B5F4C7C"/>
    <w:rsid w:val="7BCA733B"/>
    <w:rsid w:val="7BF857EB"/>
    <w:rsid w:val="7BFB1D42"/>
    <w:rsid w:val="7D515C94"/>
    <w:rsid w:val="7E23750D"/>
    <w:rsid w:val="7EB90507"/>
    <w:rsid w:val="7ECD724F"/>
    <w:rsid w:val="7EE57742"/>
    <w:rsid w:val="7FAE3EEC"/>
    <w:rsid w:val="7FBF5C9D"/>
    <w:rsid w:val="7FDE2701"/>
    <w:rsid w:val="7FE7D059"/>
    <w:rsid w:val="7FFF5959"/>
    <w:rsid w:val="DFFF1138"/>
    <w:rsid w:val="FAFDE292"/>
    <w:rsid w:val="FB4BA15D"/>
    <w:rsid w:val="FEEB93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ocked="1"/>
    <w:lsdException w:uiPriority="99" w:name="List Bullet" w:locked="1"/>
    <w:lsdException w:qFormat="1" w:unhideWhenUsed="0" w:uiPriority="0"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5"/>
    <w:link w:val="50"/>
    <w:qFormat/>
    <w:uiPriority w:val="0"/>
    <w:pPr>
      <w:keepNext/>
      <w:jc w:val="center"/>
      <w:outlineLvl w:val="1"/>
    </w:pPr>
    <w:rPr>
      <w:rFonts w:ascii="Cambria" w:hAnsi="Cambria" w:cs="Cambria"/>
      <w:b/>
      <w:bCs/>
      <w:sz w:val="30"/>
      <w:szCs w:val="30"/>
    </w:rPr>
  </w:style>
  <w:style w:type="paragraph" w:styleId="6">
    <w:name w:val="heading 3"/>
    <w:basedOn w:val="1"/>
    <w:next w:val="1"/>
    <w:link w:val="51"/>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52"/>
    <w:qFormat/>
    <w:uiPriority w:val="9"/>
    <w:pPr>
      <w:keepNext/>
      <w:keepLines/>
      <w:spacing w:before="280" w:after="290" w:line="374" w:lineRule="auto"/>
      <w:outlineLvl w:val="3"/>
    </w:pPr>
    <w:rPr>
      <w:rFonts w:ascii="Cambria" w:hAnsi="Cambria" w:cs="Cambria"/>
      <w:b/>
      <w:bCs/>
      <w:kern w:val="0"/>
      <w:sz w:val="28"/>
      <w:szCs w:val="28"/>
    </w:rPr>
  </w:style>
  <w:style w:type="paragraph" w:styleId="8">
    <w:name w:val="heading 5"/>
    <w:basedOn w:val="1"/>
    <w:next w:val="1"/>
    <w:link w:val="53"/>
    <w:qFormat/>
    <w:uiPriority w:val="9"/>
    <w:pPr>
      <w:keepNext/>
      <w:keepLines/>
      <w:spacing w:line="372" w:lineRule="auto"/>
      <w:ind w:left="1008" w:hanging="1008"/>
      <w:outlineLvl w:val="4"/>
    </w:pPr>
    <w:rPr>
      <w:rFonts w:ascii="Calibri" w:hAnsi="Calibri" w:cs="Calibri"/>
      <w:b/>
      <w:bCs/>
      <w:sz w:val="28"/>
      <w:szCs w:val="28"/>
    </w:rPr>
  </w:style>
  <w:style w:type="paragraph" w:styleId="9">
    <w:name w:val="heading 6"/>
    <w:basedOn w:val="1"/>
    <w:next w:val="1"/>
    <w:link w:val="54"/>
    <w:qFormat/>
    <w:uiPriority w:val="9"/>
    <w:pPr>
      <w:keepNext/>
      <w:keepLines/>
      <w:spacing w:line="317" w:lineRule="auto"/>
      <w:ind w:left="1151" w:hanging="1151"/>
      <w:outlineLvl w:val="5"/>
    </w:pPr>
    <w:rPr>
      <w:rFonts w:ascii="Arial" w:hAnsi="Arial" w:eastAsia="黑体" w:cs="Arial"/>
      <w:b/>
      <w:bCs/>
      <w:sz w:val="24"/>
      <w:szCs w:val="24"/>
    </w:rPr>
  </w:style>
  <w:style w:type="paragraph" w:styleId="10">
    <w:name w:val="heading 7"/>
    <w:basedOn w:val="1"/>
    <w:next w:val="1"/>
    <w:link w:val="55"/>
    <w:qFormat/>
    <w:uiPriority w:val="9"/>
    <w:pPr>
      <w:keepNext/>
      <w:keepLines/>
      <w:spacing w:line="317" w:lineRule="auto"/>
      <w:ind w:left="1296" w:hanging="1296"/>
      <w:outlineLvl w:val="6"/>
    </w:pPr>
    <w:rPr>
      <w:rFonts w:ascii="Calibri" w:hAnsi="Calibri" w:cs="Calibri"/>
      <w:b/>
      <w:bCs/>
      <w:sz w:val="24"/>
      <w:szCs w:val="24"/>
    </w:rPr>
  </w:style>
  <w:style w:type="paragraph" w:styleId="11">
    <w:name w:val="heading 8"/>
    <w:basedOn w:val="1"/>
    <w:next w:val="1"/>
    <w:link w:val="56"/>
    <w:qFormat/>
    <w:uiPriority w:val="9"/>
    <w:pPr>
      <w:keepNext/>
      <w:keepLines/>
      <w:spacing w:line="317" w:lineRule="auto"/>
      <w:ind w:left="1440" w:hanging="1440"/>
      <w:outlineLvl w:val="7"/>
    </w:pPr>
    <w:rPr>
      <w:rFonts w:ascii="Arial" w:hAnsi="Arial" w:eastAsia="黑体" w:cs="Arial"/>
      <w:sz w:val="24"/>
      <w:szCs w:val="24"/>
    </w:rPr>
  </w:style>
  <w:style w:type="paragraph" w:styleId="12">
    <w:name w:val="heading 9"/>
    <w:basedOn w:val="1"/>
    <w:next w:val="1"/>
    <w:link w:val="57"/>
    <w:qFormat/>
    <w:uiPriority w:val="9"/>
    <w:pPr>
      <w:keepNext/>
      <w:keepLines/>
      <w:spacing w:line="317" w:lineRule="auto"/>
      <w:ind w:left="1583" w:hanging="1583"/>
      <w:outlineLvl w:val="8"/>
    </w:pPr>
    <w:rPr>
      <w:rFonts w:ascii="Arial" w:hAnsi="Arial" w:eastAsia="黑体" w:cs="Arial"/>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0"/>
    <w:rPr>
      <w:b/>
      <w:kern w:val="0"/>
      <w:sz w:val="20"/>
      <w:szCs w:val="20"/>
    </w:rPr>
  </w:style>
  <w:style w:type="paragraph" w:customStyle="1" w:styleId="5">
    <w:name w:val="H0正文2"/>
    <w:basedOn w:val="1"/>
    <w:qFormat/>
    <w:uiPriority w:val="0"/>
    <w:pPr>
      <w:spacing w:line="360" w:lineRule="auto"/>
      <w:ind w:firstLine="200" w:firstLineChars="200"/>
      <w:jc w:val="both"/>
    </w:pPr>
  </w:style>
  <w:style w:type="paragraph" w:styleId="13">
    <w:name w:val="List Number"/>
    <w:basedOn w:val="1"/>
    <w:qFormat/>
    <w:locked/>
    <w:uiPriority w:val="0"/>
    <w:pPr>
      <w:widowControl/>
      <w:tabs>
        <w:tab w:val="left" w:pos="390"/>
        <w:tab w:val="left" w:pos="454"/>
      </w:tabs>
      <w:spacing w:afterLines="50"/>
      <w:ind w:left="454" w:hanging="284"/>
      <w:jc w:val="left"/>
    </w:pPr>
    <w:rPr>
      <w:kern w:val="0"/>
      <w:sz w:val="24"/>
      <w:szCs w:val="20"/>
    </w:rPr>
  </w:style>
  <w:style w:type="paragraph" w:styleId="14">
    <w:name w:val="Normal Indent"/>
    <w:basedOn w:val="1"/>
    <w:next w:val="15"/>
    <w:link w:val="79"/>
    <w:qFormat/>
    <w:uiPriority w:val="0"/>
    <w:pPr>
      <w:widowControl/>
      <w:adjustRightInd w:val="0"/>
      <w:snapToGrid w:val="0"/>
      <w:spacing w:line="480" w:lineRule="exact"/>
      <w:ind w:firstLine="567"/>
    </w:pPr>
    <w:rPr>
      <w:rFonts w:ascii="宋体" w:cs="宋体"/>
      <w:color w:val="000000"/>
      <w:kern w:val="28"/>
      <w:sz w:val="28"/>
      <w:szCs w:val="28"/>
    </w:rPr>
  </w:style>
  <w:style w:type="paragraph" w:styleId="15">
    <w:name w:val="Body Text Indent"/>
    <w:basedOn w:val="1"/>
    <w:next w:val="1"/>
    <w:link w:val="61"/>
    <w:qFormat/>
    <w:uiPriority w:val="0"/>
    <w:pPr>
      <w:spacing w:line="380" w:lineRule="exact"/>
      <w:ind w:firstLine="480"/>
    </w:pPr>
    <w:rPr>
      <w:kern w:val="0"/>
      <w:sz w:val="20"/>
      <w:szCs w:val="20"/>
    </w:rPr>
  </w:style>
  <w:style w:type="paragraph" w:styleId="16">
    <w:name w:val="caption"/>
    <w:basedOn w:val="1"/>
    <w:next w:val="1"/>
    <w:qFormat/>
    <w:uiPriority w:val="0"/>
    <w:rPr>
      <w:rFonts w:ascii="Arial" w:hAnsi="Arial" w:eastAsia="黑体"/>
      <w:sz w:val="20"/>
    </w:rPr>
  </w:style>
  <w:style w:type="paragraph" w:styleId="17">
    <w:name w:val="Document Map"/>
    <w:basedOn w:val="1"/>
    <w:link w:val="58"/>
    <w:qFormat/>
    <w:uiPriority w:val="0"/>
    <w:pPr>
      <w:shd w:val="clear" w:color="auto" w:fill="000080"/>
    </w:pPr>
    <w:rPr>
      <w:kern w:val="0"/>
      <w:sz w:val="2"/>
      <w:szCs w:val="2"/>
    </w:rPr>
  </w:style>
  <w:style w:type="paragraph" w:styleId="18">
    <w:name w:val="toa heading"/>
    <w:basedOn w:val="1"/>
    <w:next w:val="1"/>
    <w:semiHidden/>
    <w:qFormat/>
    <w:uiPriority w:val="99"/>
    <w:pPr>
      <w:spacing w:before="120"/>
    </w:pPr>
    <w:rPr>
      <w:rFonts w:ascii="Arial" w:hAnsi="Arial" w:cs="Arial"/>
      <w:sz w:val="24"/>
      <w:szCs w:val="24"/>
    </w:rPr>
  </w:style>
  <w:style w:type="paragraph" w:styleId="19">
    <w:name w:val="annotation text"/>
    <w:basedOn w:val="1"/>
    <w:link w:val="59"/>
    <w:qFormat/>
    <w:uiPriority w:val="99"/>
    <w:pPr>
      <w:jc w:val="left"/>
    </w:p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cs="宋体"/>
      <w:sz w:val="24"/>
      <w:szCs w:val="24"/>
    </w:rPr>
  </w:style>
  <w:style w:type="paragraph" w:styleId="21">
    <w:name w:val="toc 3"/>
    <w:basedOn w:val="1"/>
    <w:next w:val="1"/>
    <w:qFormat/>
    <w:uiPriority w:val="39"/>
    <w:pPr>
      <w:ind w:left="840" w:leftChars="400"/>
    </w:pPr>
  </w:style>
  <w:style w:type="paragraph" w:styleId="22">
    <w:name w:val="Plain Text"/>
    <w:basedOn w:val="1"/>
    <w:next w:val="1"/>
    <w:link w:val="62"/>
    <w:qFormat/>
    <w:uiPriority w:val="0"/>
    <w:rPr>
      <w:rFonts w:ascii="宋体" w:hAnsi="Courier New" w:cs="宋体"/>
      <w:kern w:val="0"/>
    </w:rPr>
  </w:style>
  <w:style w:type="paragraph" w:styleId="23">
    <w:name w:val="Date"/>
    <w:basedOn w:val="1"/>
    <w:next w:val="1"/>
    <w:link w:val="63"/>
    <w:qFormat/>
    <w:uiPriority w:val="0"/>
    <w:rPr>
      <w:sz w:val="28"/>
      <w:szCs w:val="28"/>
    </w:rPr>
  </w:style>
  <w:style w:type="paragraph" w:styleId="24">
    <w:name w:val="Body Text Indent 2"/>
    <w:basedOn w:val="1"/>
    <w:link w:val="64"/>
    <w:qFormat/>
    <w:uiPriority w:val="0"/>
    <w:pPr>
      <w:tabs>
        <w:tab w:val="left" w:pos="240"/>
        <w:tab w:val="left" w:pos="480"/>
      </w:tabs>
      <w:ind w:left="630" w:leftChars="300"/>
    </w:pPr>
    <w:rPr>
      <w:kern w:val="0"/>
      <w:sz w:val="20"/>
      <w:szCs w:val="20"/>
    </w:rPr>
  </w:style>
  <w:style w:type="paragraph" w:styleId="25">
    <w:name w:val="Balloon Text"/>
    <w:basedOn w:val="1"/>
    <w:link w:val="65"/>
    <w:qFormat/>
    <w:uiPriority w:val="0"/>
    <w:rPr>
      <w:sz w:val="18"/>
      <w:szCs w:val="18"/>
    </w:rPr>
  </w:style>
  <w:style w:type="paragraph" w:styleId="26">
    <w:name w:val="footer"/>
    <w:basedOn w:val="1"/>
    <w:link w:val="66"/>
    <w:qFormat/>
    <w:uiPriority w:val="99"/>
    <w:pPr>
      <w:tabs>
        <w:tab w:val="center" w:pos="4153"/>
        <w:tab w:val="right" w:pos="8306"/>
      </w:tabs>
      <w:snapToGrid w:val="0"/>
      <w:jc w:val="left"/>
    </w:pPr>
    <w:rPr>
      <w:kern w:val="0"/>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rPr>
      <w:sz w:val="24"/>
      <w:szCs w:val="24"/>
    </w:rPr>
  </w:style>
  <w:style w:type="paragraph" w:styleId="29">
    <w:name w:val="List"/>
    <w:basedOn w:val="1"/>
    <w:qFormat/>
    <w:locked/>
    <w:uiPriority w:val="99"/>
    <w:pPr>
      <w:ind w:left="200" w:hanging="200" w:hangingChars="200"/>
    </w:pPr>
    <w:rPr>
      <w:rFonts w:ascii="Times New Roman" w:hAnsi="Times New Roman"/>
      <w:szCs w:val="24"/>
    </w:rPr>
  </w:style>
  <w:style w:type="paragraph" w:styleId="30">
    <w:name w:val="toc 6"/>
    <w:basedOn w:val="1"/>
    <w:next w:val="1"/>
    <w:qFormat/>
    <w:uiPriority w:val="0"/>
    <w:pPr>
      <w:ind w:left="1700"/>
    </w:pPr>
    <w:rPr>
      <w:sz w:val="18"/>
    </w:rPr>
  </w:style>
  <w:style w:type="paragraph" w:styleId="31">
    <w:name w:val="Body Text Indent 3"/>
    <w:basedOn w:val="1"/>
    <w:link w:val="68"/>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9"/>
    <w:qFormat/>
    <w:uiPriority w:val="0"/>
    <w:pPr>
      <w:spacing w:after="120" w:line="480" w:lineRule="auto"/>
    </w:pPr>
    <w:rPr>
      <w:kern w:val="0"/>
      <w:sz w:val="20"/>
      <w:szCs w:val="20"/>
    </w:rPr>
  </w:style>
  <w:style w:type="paragraph" w:styleId="34">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annotation subject"/>
    <w:basedOn w:val="19"/>
    <w:next w:val="19"/>
    <w:link w:val="70"/>
    <w:qFormat/>
    <w:uiPriority w:val="0"/>
    <w:rPr>
      <w:b/>
      <w:bCs/>
    </w:rPr>
  </w:style>
  <w:style w:type="paragraph" w:styleId="36">
    <w:name w:val="Body Text First Indent"/>
    <w:basedOn w:val="2"/>
    <w:next w:val="1"/>
    <w:link w:val="71"/>
    <w:qFormat/>
    <w:uiPriority w:val="99"/>
    <w:pPr>
      <w:spacing w:after="120"/>
      <w:ind w:firstLine="420" w:firstLineChars="100"/>
    </w:pPr>
    <w:rPr>
      <w:kern w:val="2"/>
      <w:sz w:val="21"/>
      <w:szCs w:val="21"/>
    </w:rPr>
  </w:style>
  <w:style w:type="paragraph" w:styleId="37">
    <w:name w:val="Body Text First Indent 2"/>
    <w:basedOn w:val="15"/>
    <w:next w:val="1"/>
    <w:link w:val="72"/>
    <w:qFormat/>
    <w:uiPriority w:val="0"/>
    <w:pPr>
      <w:widowControl/>
      <w:tabs>
        <w:tab w:val="left" w:pos="0"/>
        <w:tab w:val="left" w:pos="1260"/>
        <w:tab w:val="left" w:pos="1365"/>
      </w:tabs>
      <w:ind w:left="200" w:firstLine="200" w:firstLineChars="200"/>
      <w:jc w:val="left"/>
    </w:pPr>
  </w:style>
  <w:style w:type="table" w:styleId="39">
    <w:name w:val="Table Grid"/>
    <w:basedOn w:val="38"/>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99"/>
    <w:rPr>
      <w:color w:val="800080"/>
      <w:u w:val="single"/>
    </w:rPr>
  </w:style>
  <w:style w:type="character" w:styleId="44">
    <w:name w:val="HTML Typewriter"/>
    <w:basedOn w:val="40"/>
    <w:qFormat/>
    <w:uiPriority w:val="99"/>
    <w:rPr>
      <w:rFonts w:ascii="Courier New" w:hAnsi="Courier New" w:cs="Courier New"/>
      <w:sz w:val="20"/>
      <w:szCs w:val="20"/>
    </w:rPr>
  </w:style>
  <w:style w:type="character" w:styleId="45">
    <w:name w:val="Hyperlink"/>
    <w:basedOn w:val="40"/>
    <w:qFormat/>
    <w:uiPriority w:val="99"/>
    <w:rPr>
      <w:color w:val="0000FF"/>
      <w:u w:val="single"/>
    </w:rPr>
  </w:style>
  <w:style w:type="character" w:styleId="46">
    <w:name w:val="annotation reference"/>
    <w:basedOn w:val="40"/>
    <w:qFormat/>
    <w:uiPriority w:val="0"/>
    <w:rPr>
      <w:sz w:val="21"/>
      <w:szCs w:val="21"/>
    </w:rPr>
  </w:style>
  <w:style w:type="paragraph" w:styleId="47">
    <w:name w:val="List Paragraph"/>
    <w:basedOn w:val="1"/>
    <w:qFormat/>
    <w:uiPriority w:val="34"/>
    <w:pPr>
      <w:ind w:firstLine="420" w:firstLineChars="200"/>
    </w:pPr>
  </w:style>
  <w:style w:type="paragraph" w:customStyle="1" w:styleId="48">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9">
    <w:name w:val="标题 1 Char"/>
    <w:basedOn w:val="40"/>
    <w:link w:val="3"/>
    <w:qFormat/>
    <w:locked/>
    <w:uiPriority w:val="0"/>
    <w:rPr>
      <w:b/>
      <w:bCs/>
      <w:kern w:val="44"/>
      <w:sz w:val="44"/>
      <w:szCs w:val="44"/>
    </w:rPr>
  </w:style>
  <w:style w:type="character" w:customStyle="1" w:styleId="50">
    <w:name w:val="标题 2 Char"/>
    <w:basedOn w:val="40"/>
    <w:link w:val="4"/>
    <w:qFormat/>
    <w:locked/>
    <w:uiPriority w:val="0"/>
    <w:rPr>
      <w:rFonts w:ascii="Cambria" w:hAnsi="Cambria" w:cs="Cambria"/>
      <w:b/>
      <w:bCs/>
      <w:kern w:val="2"/>
      <w:sz w:val="32"/>
      <w:szCs w:val="32"/>
    </w:rPr>
  </w:style>
  <w:style w:type="character" w:customStyle="1" w:styleId="51">
    <w:name w:val="标题 3 Char"/>
    <w:basedOn w:val="40"/>
    <w:link w:val="6"/>
    <w:qFormat/>
    <w:locked/>
    <w:uiPriority w:val="0"/>
    <w:rPr>
      <w:b/>
      <w:bCs/>
      <w:sz w:val="32"/>
      <w:szCs w:val="32"/>
    </w:rPr>
  </w:style>
  <w:style w:type="character" w:customStyle="1" w:styleId="52">
    <w:name w:val="标题 4 Char"/>
    <w:basedOn w:val="40"/>
    <w:link w:val="7"/>
    <w:qFormat/>
    <w:locked/>
    <w:uiPriority w:val="0"/>
    <w:rPr>
      <w:rFonts w:ascii="Cambria" w:hAnsi="Cambria" w:eastAsia="宋体" w:cs="Cambria"/>
      <w:b/>
      <w:bCs/>
      <w:sz w:val="28"/>
      <w:szCs w:val="28"/>
    </w:rPr>
  </w:style>
  <w:style w:type="character" w:customStyle="1" w:styleId="53">
    <w:name w:val="标题 5 Char"/>
    <w:basedOn w:val="40"/>
    <w:link w:val="8"/>
    <w:semiHidden/>
    <w:qFormat/>
    <w:locked/>
    <w:uiPriority w:val="9"/>
    <w:rPr>
      <w:rFonts w:ascii="Calibri" w:hAnsi="Calibri" w:eastAsia="宋体" w:cs="Calibri"/>
      <w:b/>
      <w:bCs/>
      <w:kern w:val="2"/>
      <w:sz w:val="22"/>
      <w:szCs w:val="22"/>
    </w:rPr>
  </w:style>
  <w:style w:type="character" w:customStyle="1" w:styleId="54">
    <w:name w:val="标题 6 Char"/>
    <w:basedOn w:val="40"/>
    <w:link w:val="9"/>
    <w:semiHidden/>
    <w:qFormat/>
    <w:locked/>
    <w:uiPriority w:val="9"/>
    <w:rPr>
      <w:rFonts w:ascii="Arial" w:hAnsi="Arial" w:eastAsia="黑体" w:cs="Arial"/>
      <w:b/>
      <w:bCs/>
      <w:kern w:val="2"/>
      <w:sz w:val="22"/>
      <w:szCs w:val="22"/>
    </w:rPr>
  </w:style>
  <w:style w:type="character" w:customStyle="1" w:styleId="55">
    <w:name w:val="标题 7 Char"/>
    <w:basedOn w:val="40"/>
    <w:link w:val="10"/>
    <w:semiHidden/>
    <w:qFormat/>
    <w:locked/>
    <w:uiPriority w:val="9"/>
    <w:rPr>
      <w:rFonts w:ascii="Calibri" w:hAnsi="Calibri" w:eastAsia="宋体" w:cs="Calibri"/>
      <w:b/>
      <w:bCs/>
      <w:kern w:val="2"/>
      <w:sz w:val="22"/>
      <w:szCs w:val="22"/>
    </w:rPr>
  </w:style>
  <w:style w:type="character" w:customStyle="1" w:styleId="56">
    <w:name w:val="标题 8 Char"/>
    <w:basedOn w:val="40"/>
    <w:link w:val="11"/>
    <w:semiHidden/>
    <w:qFormat/>
    <w:locked/>
    <w:uiPriority w:val="9"/>
    <w:rPr>
      <w:rFonts w:ascii="Arial" w:hAnsi="Arial" w:eastAsia="黑体" w:cs="Arial"/>
      <w:kern w:val="2"/>
      <w:sz w:val="22"/>
      <w:szCs w:val="22"/>
    </w:rPr>
  </w:style>
  <w:style w:type="character" w:customStyle="1" w:styleId="57">
    <w:name w:val="标题 9 Char"/>
    <w:basedOn w:val="40"/>
    <w:link w:val="12"/>
    <w:semiHidden/>
    <w:qFormat/>
    <w:locked/>
    <w:uiPriority w:val="9"/>
    <w:rPr>
      <w:rFonts w:ascii="Arial" w:hAnsi="Arial" w:eastAsia="黑体" w:cs="Arial"/>
      <w:kern w:val="2"/>
      <w:sz w:val="22"/>
      <w:szCs w:val="22"/>
    </w:rPr>
  </w:style>
  <w:style w:type="character" w:customStyle="1" w:styleId="58">
    <w:name w:val="文档结构图 Char"/>
    <w:basedOn w:val="40"/>
    <w:link w:val="17"/>
    <w:qFormat/>
    <w:locked/>
    <w:uiPriority w:val="0"/>
    <w:rPr>
      <w:sz w:val="2"/>
      <w:szCs w:val="2"/>
    </w:rPr>
  </w:style>
  <w:style w:type="character" w:customStyle="1" w:styleId="59">
    <w:name w:val="批注文字 Char"/>
    <w:basedOn w:val="40"/>
    <w:link w:val="19"/>
    <w:qFormat/>
    <w:locked/>
    <w:uiPriority w:val="99"/>
    <w:rPr>
      <w:rFonts w:ascii="Times New Roman" w:hAnsi="Times New Roman" w:eastAsia="宋体" w:cs="Times New Roman"/>
      <w:kern w:val="2"/>
      <w:sz w:val="21"/>
      <w:szCs w:val="21"/>
    </w:rPr>
  </w:style>
  <w:style w:type="character" w:customStyle="1" w:styleId="60">
    <w:name w:val="正文文本 Char"/>
    <w:basedOn w:val="40"/>
    <w:link w:val="2"/>
    <w:qFormat/>
    <w:locked/>
    <w:uiPriority w:val="0"/>
    <w:rPr>
      <w:b/>
    </w:rPr>
  </w:style>
  <w:style w:type="character" w:customStyle="1" w:styleId="61">
    <w:name w:val="正文文本缩进 Char"/>
    <w:basedOn w:val="40"/>
    <w:link w:val="15"/>
    <w:qFormat/>
    <w:locked/>
    <w:uiPriority w:val="0"/>
    <w:rPr>
      <w:sz w:val="20"/>
      <w:szCs w:val="20"/>
    </w:rPr>
  </w:style>
  <w:style w:type="character" w:customStyle="1" w:styleId="62">
    <w:name w:val="纯文本 Char"/>
    <w:basedOn w:val="40"/>
    <w:link w:val="22"/>
    <w:qFormat/>
    <w:locked/>
    <w:uiPriority w:val="0"/>
    <w:rPr>
      <w:rFonts w:ascii="宋体" w:hAnsi="Courier New" w:cs="宋体"/>
      <w:sz w:val="21"/>
      <w:szCs w:val="21"/>
    </w:rPr>
  </w:style>
  <w:style w:type="character" w:customStyle="1" w:styleId="63">
    <w:name w:val="日期 Char"/>
    <w:basedOn w:val="40"/>
    <w:link w:val="23"/>
    <w:qFormat/>
    <w:locked/>
    <w:uiPriority w:val="0"/>
    <w:rPr>
      <w:kern w:val="2"/>
      <w:sz w:val="28"/>
      <w:szCs w:val="28"/>
    </w:rPr>
  </w:style>
  <w:style w:type="character" w:customStyle="1" w:styleId="64">
    <w:name w:val="正文文本缩进 2 Char"/>
    <w:basedOn w:val="40"/>
    <w:link w:val="24"/>
    <w:qFormat/>
    <w:locked/>
    <w:uiPriority w:val="0"/>
    <w:rPr>
      <w:sz w:val="20"/>
      <w:szCs w:val="20"/>
    </w:rPr>
  </w:style>
  <w:style w:type="character" w:customStyle="1" w:styleId="65">
    <w:name w:val="批注框文本 Char"/>
    <w:basedOn w:val="40"/>
    <w:link w:val="25"/>
    <w:qFormat/>
    <w:locked/>
    <w:uiPriority w:val="0"/>
    <w:rPr>
      <w:rFonts w:ascii="Times New Roman" w:hAnsi="Times New Roman" w:eastAsia="宋体" w:cs="Times New Roman"/>
      <w:kern w:val="2"/>
      <w:sz w:val="18"/>
      <w:szCs w:val="18"/>
    </w:rPr>
  </w:style>
  <w:style w:type="character" w:customStyle="1" w:styleId="66">
    <w:name w:val="页脚 Char"/>
    <w:basedOn w:val="40"/>
    <w:link w:val="26"/>
    <w:qFormat/>
    <w:locked/>
    <w:uiPriority w:val="99"/>
    <w:rPr>
      <w:sz w:val="18"/>
      <w:szCs w:val="18"/>
    </w:rPr>
  </w:style>
  <w:style w:type="character" w:customStyle="1" w:styleId="67">
    <w:name w:val="页眉 Char"/>
    <w:basedOn w:val="40"/>
    <w:link w:val="27"/>
    <w:qFormat/>
    <w:locked/>
    <w:uiPriority w:val="99"/>
    <w:rPr>
      <w:sz w:val="18"/>
      <w:szCs w:val="18"/>
    </w:rPr>
  </w:style>
  <w:style w:type="character" w:customStyle="1" w:styleId="68">
    <w:name w:val="正文文本缩进 3 Char"/>
    <w:basedOn w:val="40"/>
    <w:link w:val="31"/>
    <w:qFormat/>
    <w:locked/>
    <w:uiPriority w:val="0"/>
    <w:rPr>
      <w:kern w:val="2"/>
      <w:sz w:val="16"/>
      <w:szCs w:val="16"/>
    </w:rPr>
  </w:style>
  <w:style w:type="character" w:customStyle="1" w:styleId="69">
    <w:name w:val="正文文本 2 Char"/>
    <w:basedOn w:val="40"/>
    <w:link w:val="33"/>
    <w:qFormat/>
    <w:locked/>
    <w:uiPriority w:val="0"/>
    <w:rPr>
      <w:sz w:val="20"/>
      <w:szCs w:val="20"/>
    </w:rPr>
  </w:style>
  <w:style w:type="character" w:customStyle="1" w:styleId="70">
    <w:name w:val="批注主题 Char"/>
    <w:basedOn w:val="59"/>
    <w:link w:val="35"/>
    <w:qFormat/>
    <w:locked/>
    <w:uiPriority w:val="0"/>
    <w:rPr>
      <w:rFonts w:ascii="Times New Roman" w:hAnsi="Times New Roman" w:eastAsia="宋体" w:cs="Times New Roman"/>
      <w:b/>
      <w:bCs/>
      <w:kern w:val="2"/>
      <w:sz w:val="21"/>
      <w:szCs w:val="21"/>
    </w:rPr>
  </w:style>
  <w:style w:type="character" w:customStyle="1" w:styleId="71">
    <w:name w:val="正文首行缩进 Char"/>
    <w:basedOn w:val="60"/>
    <w:link w:val="36"/>
    <w:qFormat/>
    <w:locked/>
    <w:uiPriority w:val="99"/>
    <w:rPr>
      <w:kern w:val="2"/>
    </w:rPr>
  </w:style>
  <w:style w:type="character" w:customStyle="1" w:styleId="72">
    <w:name w:val="正文首行缩进 2 Char"/>
    <w:basedOn w:val="61"/>
    <w:link w:val="37"/>
    <w:semiHidden/>
    <w:qFormat/>
    <w:locked/>
    <w:uiPriority w:val="99"/>
    <w:rPr>
      <w:sz w:val="21"/>
      <w:szCs w:val="21"/>
    </w:rPr>
  </w:style>
  <w:style w:type="character" w:customStyle="1" w:styleId="73">
    <w:name w:val="普通文字 Char Char2"/>
    <w:qFormat/>
    <w:locked/>
    <w:uiPriority w:val="0"/>
    <w:rPr>
      <w:rFonts w:ascii="宋体" w:hAnsi="Courier New" w:eastAsia="宋体" w:cs="宋体"/>
      <w:kern w:val="2"/>
      <w:sz w:val="21"/>
      <w:szCs w:val="21"/>
      <w:lang w:val="en-US" w:eastAsia="zh-CN"/>
    </w:rPr>
  </w:style>
  <w:style w:type="character" w:customStyle="1" w:styleId="74">
    <w:name w:val="_正文段落 Char"/>
    <w:link w:val="75"/>
    <w:qFormat/>
    <w:locked/>
    <w:uiPriority w:val="0"/>
    <w:rPr>
      <w:rFonts w:ascii="仿宋_GB2312" w:eastAsia="仿宋_GB2312" w:cs="仿宋_GB2312"/>
      <w:sz w:val="24"/>
      <w:szCs w:val="24"/>
    </w:rPr>
  </w:style>
  <w:style w:type="paragraph" w:customStyle="1" w:styleId="75">
    <w:name w:val="_正文段落"/>
    <w:basedOn w:val="1"/>
    <w:link w:val="74"/>
    <w:qFormat/>
    <w:uiPriority w:val="0"/>
    <w:pPr>
      <w:spacing w:line="360" w:lineRule="auto"/>
      <w:ind w:firstLine="200" w:firstLineChars="200"/>
    </w:pPr>
    <w:rPr>
      <w:rFonts w:ascii="仿宋_GB2312" w:eastAsia="仿宋_GB2312" w:cs="仿宋_GB2312"/>
      <w:kern w:val="0"/>
      <w:sz w:val="24"/>
      <w:szCs w:val="24"/>
    </w:rPr>
  </w:style>
  <w:style w:type="character" w:customStyle="1" w:styleId="76">
    <w:name w:val="内容"/>
    <w:qFormat/>
    <w:uiPriority w:val="0"/>
    <w:rPr>
      <w:rFonts w:ascii="华文细黑" w:eastAsia="华文细黑" w:cs="华文细黑"/>
      <w:color w:val="auto"/>
      <w:sz w:val="20"/>
      <w:szCs w:val="20"/>
      <w:u w:val="none"/>
    </w:rPr>
  </w:style>
  <w:style w:type="character" w:customStyle="1" w:styleId="77">
    <w:name w:val="纯文本 Char1"/>
    <w:qFormat/>
    <w:uiPriority w:val="0"/>
    <w:rPr>
      <w:rFonts w:ascii="宋体" w:hAnsi="Courier New" w:eastAsia="宋体" w:cs="宋体"/>
      <w:kern w:val="2"/>
      <w:sz w:val="21"/>
      <w:szCs w:val="21"/>
      <w:lang w:val="en-US" w:eastAsia="zh-CN"/>
    </w:rPr>
  </w:style>
  <w:style w:type="character" w:customStyle="1" w:styleId="78">
    <w:name w:val="ca-31"/>
    <w:qFormat/>
    <w:uiPriority w:val="0"/>
    <w:rPr>
      <w:rFonts w:ascii="宋体" w:hAnsi="宋体" w:eastAsia="宋体" w:cs="宋体"/>
      <w:sz w:val="21"/>
      <w:szCs w:val="21"/>
    </w:rPr>
  </w:style>
  <w:style w:type="character" w:customStyle="1" w:styleId="79">
    <w:name w:val="正文缩进 Char"/>
    <w:link w:val="14"/>
    <w:qFormat/>
    <w:locked/>
    <w:uiPriority w:val="0"/>
    <w:rPr>
      <w:rFonts w:ascii="宋体" w:eastAsia="宋体" w:cs="宋体"/>
      <w:snapToGrid w:val="0"/>
      <w:color w:val="000000"/>
      <w:kern w:val="28"/>
      <w:sz w:val="28"/>
      <w:szCs w:val="28"/>
      <w:lang w:val="en-US" w:eastAsia="zh-CN"/>
    </w:rPr>
  </w:style>
  <w:style w:type="character" w:customStyle="1" w:styleId="80">
    <w:name w:val="正文2 Char Char"/>
    <w:link w:val="81"/>
    <w:qFormat/>
    <w:locked/>
    <w:uiPriority w:val="0"/>
    <w:rPr>
      <w:rFonts w:eastAsia="宋体"/>
      <w:kern w:val="2"/>
      <w:sz w:val="24"/>
      <w:szCs w:val="24"/>
      <w:lang w:val="en-US" w:eastAsia="zh-CN"/>
    </w:rPr>
  </w:style>
  <w:style w:type="paragraph" w:customStyle="1" w:styleId="81">
    <w:name w:val="正文2"/>
    <w:basedOn w:val="1"/>
    <w:link w:val="80"/>
    <w:qFormat/>
    <w:uiPriority w:val="0"/>
    <w:pPr>
      <w:spacing w:before="156" w:line="360" w:lineRule="auto"/>
      <w:ind w:firstLine="510" w:firstLineChars="200"/>
    </w:pPr>
    <w:rPr>
      <w:sz w:val="24"/>
      <w:szCs w:val="24"/>
    </w:rPr>
  </w:style>
  <w:style w:type="character" w:customStyle="1" w:styleId="82">
    <w:name w:val="ca-51"/>
    <w:qFormat/>
    <w:uiPriority w:val="0"/>
    <w:rPr>
      <w:rFonts w:ascii="宋体" w:hAnsi="宋体" w:eastAsia="宋体" w:cs="宋体"/>
      <w:color w:val="FF0000"/>
      <w:sz w:val="21"/>
      <w:szCs w:val="21"/>
    </w:rPr>
  </w:style>
  <w:style w:type="paragraph" w:customStyle="1" w:styleId="83">
    <w:name w:val="纸短情长，再祈珍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主题:"/>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分手多日，近况如何？"/>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Char1"/>
    <w:basedOn w:val="17"/>
    <w:qFormat/>
    <w:uiPriority w:val="0"/>
    <w:pPr>
      <w:adjustRightInd w:val="0"/>
      <w:spacing w:line="436" w:lineRule="exact"/>
      <w:ind w:left="357"/>
      <w:jc w:val="left"/>
      <w:outlineLvl w:val="3"/>
    </w:pPr>
  </w:style>
  <w:style w:type="paragraph" w:customStyle="1" w:styleId="87">
    <w:name w:val="创建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机密、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xl28"/>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90">
    <w:name w:val="奉读大示，心折殊深。"/>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文件名和路径"/>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匆此先复，余容后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叩请金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参考:"/>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5">
    <w:name w:val="Char Char Char Char Char Char"/>
    <w:basedOn w:val="1"/>
    <w:qFormat/>
    <w:uiPriority w:val="0"/>
    <w:pPr>
      <w:ind w:firstLine="200" w:firstLineChars="200"/>
    </w:pPr>
    <w:rPr>
      <w:rFonts w:ascii="Tahoma" w:hAnsi="Tahoma" w:cs="Tahoma"/>
      <w:sz w:val="24"/>
      <w:szCs w:val="24"/>
    </w:rPr>
  </w:style>
  <w:style w:type="paragraph" w:styleId="96">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音问久疏，唯愿一切康适。"/>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Char2 Char Char"/>
    <w:basedOn w:val="1"/>
    <w:qFormat/>
    <w:uiPriority w:val="0"/>
    <w:rPr>
      <w:rFonts w:ascii="Tahoma" w:hAnsi="Tahoma" w:cs="Tahoma"/>
      <w:sz w:val="24"/>
      <w:szCs w:val="24"/>
    </w:rPr>
  </w:style>
  <w:style w:type="paragraph" w:customStyle="1" w:styleId="99">
    <w:name w:val="惠书敬悉，迟复为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 页码 -"/>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近来寒暑不常，希自珍慰。"/>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Char Char Char"/>
    <w:basedOn w:val="1"/>
    <w:qFormat/>
    <w:uiPriority w:val="0"/>
    <w:rPr>
      <w:rFonts w:ascii="Tahoma" w:hAnsi="Tahoma" w:cs="Tahoma"/>
      <w:sz w:val="24"/>
      <w:szCs w:val="24"/>
    </w:rPr>
  </w:style>
  <w:style w:type="paragraph" w:customStyle="1" w:styleId="103">
    <w:name w:val="知尊恙复发，心甚念之。"/>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奉恳之事，乞速复为荷。"/>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请勿折叠！"/>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上次保存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作者、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答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TOC 标题1"/>
    <w:basedOn w:val="3"/>
    <w:next w:val="1"/>
    <w:qFormat/>
    <w:uiPriority w:val="0"/>
    <w:pPr>
      <w:widowControl/>
      <w:spacing w:beforeLines="0" w:line="276" w:lineRule="auto"/>
      <w:jc w:val="left"/>
      <w:outlineLvl w:val="9"/>
    </w:pPr>
    <w:rPr>
      <w:rFonts w:ascii="Cambria" w:hAnsi="Cambria" w:cs="Cambria"/>
      <w:color w:val="365F91"/>
      <w:kern w:val="0"/>
      <w:sz w:val="28"/>
      <w:szCs w:val="28"/>
    </w:rPr>
  </w:style>
  <w:style w:type="paragraph" w:customStyle="1" w:styleId="110">
    <w:name w:val="先生/女士："/>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文件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关于:"/>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敬启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第 X 页 共 Y 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上次打印时间"/>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Char"/>
    <w:basedOn w:val="1"/>
    <w:qFormat/>
    <w:uiPriority w:val="0"/>
    <w:pPr>
      <w:widowControl/>
      <w:spacing w:line="400" w:lineRule="exact"/>
      <w:jc w:val="center"/>
    </w:pPr>
    <w:rPr>
      <w:rFonts w:ascii="Verdana" w:hAnsi="Verdana" w:cs="Verdana"/>
      <w:kern w:val="0"/>
      <w:lang w:eastAsia="en-US"/>
    </w:rPr>
  </w:style>
  <w:style w:type="paragraph" w:customStyle="1" w:styleId="118">
    <w:name w:val="Char2"/>
    <w:basedOn w:val="1"/>
    <w:qFormat/>
    <w:uiPriority w:val="0"/>
    <w:pPr>
      <w:tabs>
        <w:tab w:val="left" w:pos="720"/>
      </w:tabs>
      <w:ind w:left="720" w:hanging="360"/>
    </w:pPr>
    <w:rPr>
      <w:sz w:val="24"/>
      <w:szCs w:val="24"/>
    </w:rPr>
  </w:style>
  <w:style w:type="paragraph" w:customStyle="1" w:styleId="119">
    <w:name w:val="作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前上一函，谅达雅鉴，迄今未闻复音。"/>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临书仓促，不尽欲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久不通函，至以为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Char11"/>
    <w:basedOn w:val="17"/>
    <w:qFormat/>
    <w:uiPriority w:val="0"/>
    <w:pPr>
      <w:adjustRightInd w:val="0"/>
      <w:spacing w:line="436" w:lineRule="exact"/>
      <w:ind w:left="357"/>
      <w:jc w:val="left"/>
      <w:outlineLvl w:val="3"/>
    </w:pPr>
    <w:rPr>
      <w:rFonts w:ascii="Tahoma" w:hAnsi="Tahoma" w:cs="Tahoma"/>
      <w:b/>
      <w:bCs/>
      <w:sz w:val="24"/>
      <w:szCs w:val="24"/>
    </w:rPr>
  </w:style>
  <w:style w:type="paragraph" w:customStyle="1" w:styleId="124">
    <w:name w:val="尊意如何，请即示知。"/>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
    <w:name w:val="亲启"/>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顺颂商祺！"/>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
    <w:name w:val="Char Char2"/>
    <w:basedOn w:val="1"/>
    <w:qFormat/>
    <w:uiPriority w:val="0"/>
    <w:rPr>
      <w:rFonts w:ascii="宋体" w:hAnsi="宋体" w:cs="宋体"/>
      <w:b/>
      <w:bCs/>
      <w:sz w:val="28"/>
      <w:szCs w:val="28"/>
    </w:rPr>
  </w:style>
  <w:style w:type="paragraph" w:customStyle="1" w:styleId="128">
    <w:name w:val="表"/>
    <w:basedOn w:val="1"/>
    <w:qFormat/>
    <w:uiPriority w:val="0"/>
    <w:pPr>
      <w:spacing w:line="360" w:lineRule="auto"/>
    </w:pPr>
    <w:rPr>
      <w:b/>
      <w:bCs/>
      <w:color w:val="FF0000"/>
    </w:rPr>
  </w:style>
  <w:style w:type="paragraph" w:customStyle="1" w:styleId="129">
    <w:name w:val="主体"/>
    <w:basedOn w:val="1"/>
    <w:link w:val="134"/>
    <w:qFormat/>
    <w:uiPriority w:val="99"/>
    <w:pPr>
      <w:spacing w:line="360" w:lineRule="auto"/>
      <w:ind w:firstLine="480" w:firstLineChars="200"/>
    </w:pPr>
    <w:rPr>
      <w:rFonts w:ascii="宋体" w:cs="宋体"/>
      <w:kern w:val="58"/>
      <w:sz w:val="24"/>
      <w:szCs w:val="24"/>
    </w:rPr>
  </w:style>
  <w:style w:type="paragraph" w:customStyle="1" w:styleId="130">
    <w:name w:val="表格文字"/>
    <w:basedOn w:val="1"/>
    <w:link w:val="132"/>
    <w:qFormat/>
    <w:uiPriority w:val="0"/>
    <w:pPr>
      <w:jc w:val="left"/>
    </w:pPr>
    <w:rPr>
      <w:rFonts w:ascii="宋体" w:cs="宋体"/>
      <w:spacing w:val="-4"/>
      <w:kern w:val="0"/>
      <w:sz w:val="32"/>
      <w:szCs w:val="32"/>
      <w:lang w:val="zh-CN"/>
    </w:rPr>
  </w:style>
  <w:style w:type="paragraph" w:customStyle="1" w:styleId="131">
    <w:name w:val="表格文字2"/>
    <w:basedOn w:val="130"/>
    <w:qFormat/>
    <w:uiPriority w:val="99"/>
    <w:pPr>
      <w:jc w:val="both"/>
    </w:pPr>
  </w:style>
  <w:style w:type="character" w:customStyle="1" w:styleId="132">
    <w:name w:val="表格文字 Char Char"/>
    <w:link w:val="130"/>
    <w:qFormat/>
    <w:locked/>
    <w:uiPriority w:val="99"/>
    <w:rPr>
      <w:rFonts w:ascii="宋体" w:eastAsia="宋体" w:cs="宋体"/>
      <w:spacing w:val="-4"/>
      <w:sz w:val="32"/>
      <w:szCs w:val="32"/>
      <w:lang w:val="zh-CN"/>
    </w:rPr>
  </w:style>
  <w:style w:type="character" w:customStyle="1" w:styleId="133">
    <w:name w:val="标准正文 Char"/>
    <w:qFormat/>
    <w:uiPriority w:val="0"/>
    <w:rPr>
      <w:kern w:val="2"/>
      <w:sz w:val="24"/>
      <w:szCs w:val="24"/>
    </w:rPr>
  </w:style>
  <w:style w:type="character" w:customStyle="1" w:styleId="134">
    <w:name w:val="主体 Char Char"/>
    <w:link w:val="129"/>
    <w:qFormat/>
    <w:locked/>
    <w:uiPriority w:val="99"/>
    <w:rPr>
      <w:rFonts w:ascii="宋体" w:eastAsia="宋体" w:cs="宋体"/>
      <w:kern w:val="58"/>
      <w:sz w:val="24"/>
      <w:szCs w:val="24"/>
    </w:rPr>
  </w:style>
  <w:style w:type="paragraph" w:customStyle="1" w:styleId="135">
    <w:name w:val="标题2"/>
    <w:basedOn w:val="1"/>
    <w:link w:val="136"/>
    <w:qFormat/>
    <w:uiPriority w:val="0"/>
    <w:pPr>
      <w:keepNext/>
      <w:widowControl/>
      <w:tabs>
        <w:tab w:val="left" w:pos="450"/>
      </w:tabs>
      <w:autoSpaceDE w:val="0"/>
      <w:autoSpaceDN w:val="0"/>
      <w:adjustRightInd w:val="0"/>
      <w:spacing w:before="120" w:after="120"/>
      <w:jc w:val="left"/>
      <w:textAlignment w:val="center"/>
    </w:pPr>
    <w:rPr>
      <w:rFonts w:ascii="宋体" w:cs="宋体"/>
      <w:b/>
      <w:bCs/>
      <w:kern w:val="0"/>
      <w:sz w:val="24"/>
      <w:szCs w:val="24"/>
    </w:rPr>
  </w:style>
  <w:style w:type="character" w:customStyle="1" w:styleId="136">
    <w:name w:val="标题2 Char Char"/>
    <w:link w:val="135"/>
    <w:qFormat/>
    <w:locked/>
    <w:uiPriority w:val="0"/>
    <w:rPr>
      <w:rFonts w:ascii="宋体" w:cs="宋体"/>
      <w:b/>
      <w:bCs/>
      <w:sz w:val="24"/>
      <w:szCs w:val="24"/>
    </w:rPr>
  </w:style>
  <w:style w:type="paragraph" w:customStyle="1" w:styleId="137">
    <w:name w:val="修订1"/>
    <w:hidden/>
    <w:qFormat/>
    <w:uiPriority w:val="99"/>
    <w:rPr>
      <w:rFonts w:ascii="Times New Roman" w:hAnsi="Times New Roman" w:eastAsia="宋体" w:cs="Times New Roman"/>
      <w:kern w:val="2"/>
      <w:sz w:val="21"/>
      <w:szCs w:val="21"/>
      <w:lang w:val="en-US" w:eastAsia="zh-CN" w:bidi="ar-SA"/>
    </w:rPr>
  </w:style>
  <w:style w:type="character" w:customStyle="1" w:styleId="138">
    <w:name w:val="font01"/>
    <w:basedOn w:val="40"/>
    <w:qFormat/>
    <w:uiPriority w:val="0"/>
    <w:rPr>
      <w:rFonts w:ascii="宋体" w:hAnsi="宋体" w:eastAsia="宋体" w:cs="宋体"/>
      <w:b/>
      <w:bCs/>
      <w:color w:val="333333"/>
      <w:sz w:val="24"/>
      <w:szCs w:val="24"/>
      <w:u w:val="none"/>
    </w:rPr>
  </w:style>
  <w:style w:type="paragraph" w:customStyle="1" w:styleId="13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表格序号"/>
    <w:basedOn w:val="141"/>
    <w:qFormat/>
    <w:uiPriority w:val="99"/>
    <w:pPr>
      <w:jc w:val="center"/>
    </w:pPr>
  </w:style>
  <w:style w:type="paragraph" w:customStyle="1" w:styleId="141">
    <w:name w:val="表格正文"/>
    <w:basedOn w:val="1"/>
    <w:qFormat/>
    <w:uiPriority w:val="99"/>
    <w:rPr>
      <w:rFonts w:eastAsia="黑体"/>
    </w:rPr>
  </w:style>
  <w:style w:type="paragraph" w:customStyle="1" w:styleId="142">
    <w:name w:val="修订2"/>
    <w:hidden/>
    <w:qFormat/>
    <w:uiPriority w:val="99"/>
    <w:rPr>
      <w:rFonts w:ascii="Times New Roman" w:hAnsi="Times New Roman" w:eastAsia="宋体" w:cs="Times New Roman"/>
      <w:kern w:val="2"/>
      <w:sz w:val="21"/>
      <w:szCs w:val="21"/>
      <w:lang w:val="en-US" w:eastAsia="zh-CN" w:bidi="ar-SA"/>
    </w:rPr>
  </w:style>
  <w:style w:type="paragraph" w:customStyle="1" w:styleId="143">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44">
    <w:name w:val="正文缩进1"/>
    <w:basedOn w:val="1"/>
    <w:next w:val="15"/>
    <w:qFormat/>
    <w:uiPriority w:val="0"/>
    <w:pPr>
      <w:autoSpaceDE w:val="0"/>
      <w:autoSpaceDN w:val="0"/>
      <w:snapToGrid w:val="0"/>
      <w:spacing w:after="120" w:line="360" w:lineRule="auto"/>
      <w:ind w:left="420" w:leftChars="200" w:firstLine="480" w:firstLineChars="200"/>
    </w:pPr>
    <w:rPr>
      <w:sz w:val="24"/>
    </w:rPr>
  </w:style>
  <w:style w:type="paragraph" w:customStyle="1" w:styleId="145">
    <w:name w:val="索引 11"/>
    <w:basedOn w:val="1"/>
    <w:next w:val="1"/>
    <w:qFormat/>
    <w:uiPriority w:val="99"/>
    <w:pPr>
      <w:spacing w:line="360" w:lineRule="auto"/>
    </w:pPr>
    <w:rPr>
      <w:rFonts w:ascii="仿宋_GB2312" w:eastAsia="仿宋_GB2312"/>
      <w:sz w:val="24"/>
      <w:szCs w:val="20"/>
    </w:rPr>
  </w:style>
  <w:style w:type="paragraph" w:customStyle="1" w:styleId="146">
    <w:name w:val="纯文本1"/>
    <w:basedOn w:val="1"/>
    <w:qFormat/>
    <w:uiPriority w:val="0"/>
    <w:rPr>
      <w:rFonts w:ascii="宋体" w:hAnsi="Courier New"/>
      <w:kern w:val="0"/>
      <w:sz w:val="20"/>
      <w:szCs w:val="20"/>
    </w:rPr>
  </w:style>
  <w:style w:type="paragraph" w:customStyle="1" w:styleId="147">
    <w:name w:val="text-tag"/>
    <w:basedOn w:val="1"/>
    <w:semiHidden/>
    <w:qFormat/>
    <w:uiPriority w:val="99"/>
    <w:pPr>
      <w:widowControl/>
      <w:spacing w:before="100" w:beforeAutospacing="1" w:after="100" w:afterAutospacing="1"/>
      <w:jc w:val="left"/>
    </w:pPr>
    <w:rPr>
      <w:rFonts w:ascii="宋体" w:hAnsi="宋体" w:cs="宋体"/>
      <w:kern w:val="0"/>
      <w:sz w:val="24"/>
      <w:szCs w:val="20"/>
    </w:rPr>
  </w:style>
  <w:style w:type="paragraph" w:customStyle="1" w:styleId="148">
    <w:name w:val="Body text|1"/>
    <w:basedOn w:val="1"/>
    <w:qFormat/>
    <w:uiPriority w:val="0"/>
    <w:pPr>
      <w:spacing w:line="468" w:lineRule="auto"/>
      <w:ind w:firstLine="400"/>
    </w:pPr>
    <w:rPr>
      <w:rFonts w:ascii="宋体" w:hAnsi="宋体" w:cs="宋体"/>
      <w:sz w:val="26"/>
      <w:szCs w:val="26"/>
      <w:lang w:val="zh-TW" w:eastAsia="zh-TW" w:bidi="zh-TW"/>
    </w:rPr>
  </w:style>
  <w:style w:type="character" w:customStyle="1" w:styleId="149">
    <w:name w:val="NormalCharacter"/>
    <w:semiHidden/>
    <w:qFormat/>
    <w:uiPriority w:val="99"/>
  </w:style>
  <w:style w:type="paragraph" w:customStyle="1" w:styleId="150">
    <w:name w:val="Table Text"/>
    <w:basedOn w:val="1"/>
    <w:qFormat/>
    <w:uiPriority w:val="0"/>
    <w:pPr>
      <w:widowControl/>
      <w:spacing w:before="60" w:after="60"/>
      <w:jc w:val="left"/>
    </w:pPr>
    <w:rPr>
      <w:kern w:val="0"/>
      <w:sz w:val="24"/>
    </w:rPr>
  </w:style>
  <w:style w:type="paragraph" w:customStyle="1" w:styleId="151">
    <w:name w:val="_Style 3"/>
    <w:qFormat/>
    <w:uiPriority w:val="0"/>
    <w:pPr>
      <w:widowControl w:val="0"/>
      <w:adjustRightInd/>
      <w:ind w:firstLine="420" w:firstLineChars="200"/>
      <w:jc w:val="both"/>
    </w:pPr>
    <w:rPr>
      <w:rFonts w:ascii="Calibri" w:hAnsi="Calibri" w:eastAsia="仿宋_GB2312" w:cs="Times New Roman"/>
      <w:kern w:val="2"/>
      <w:sz w:val="28"/>
      <w:szCs w:val="24"/>
      <w:lang w:val="en-US" w:eastAsia="zh-CN" w:bidi="ar-SA"/>
    </w:rPr>
  </w:style>
  <w:style w:type="paragraph" w:customStyle="1" w:styleId="152">
    <w:name w:val="列出段落2"/>
    <w:basedOn w:val="1"/>
    <w:qFormat/>
    <w:uiPriority w:val="34"/>
    <w:pPr>
      <w:numPr>
        <w:ilvl w:val="0"/>
        <w:numId w:val="1"/>
      </w:numPr>
      <w:tabs>
        <w:tab w:val="clear" w:pos="360"/>
      </w:tabs>
      <w:ind w:left="0" w:firstLine="200" w:firstLineChars="200"/>
    </w:pPr>
    <w:rPr>
      <w:rFonts w:ascii="Calibri" w:hAnsi="Calibri"/>
      <w:szCs w:val="22"/>
    </w:rPr>
  </w:style>
  <w:style w:type="paragraph" w:customStyle="1" w:styleId="153">
    <w:name w:val="正文1"/>
    <w:basedOn w:val="21"/>
    <w:next w:val="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5F7CA-6C6B-40AB-B800-CEF46AC7CCB2}">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67</Pages>
  <Words>34379</Words>
  <Characters>36761</Characters>
  <Lines>416</Lines>
  <Paragraphs>117</Paragraphs>
  <TotalTime>29</TotalTime>
  <ScaleCrop>false</ScaleCrop>
  <LinksUpToDate>false</LinksUpToDate>
  <CharactersWithSpaces>38779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2024-07-13T14:28:00Z</dcterms:created>
  <dc:creator>vivian</dc:creator>
  <cp:lastModifiedBy>史梦铅</cp:lastModifiedBy>
  <cp:lastPrinted>2025-05-29T10:26:00Z</cp:lastPrinted>
  <dcterms:modified xsi:type="dcterms:W3CDTF">2025-06-03T00:56:32Z</dcterms:modified>
  <dc:title>政 府 采 购 招 标 项 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C0BFD8796ACA48F5A007144856277D75</vt:lpwstr>
  </property>
</Properties>
</file>