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bCs/>
          <w:color w:val="C00000"/>
          <w:sz w:val="32"/>
          <w:szCs w:val="32"/>
          <w:lang w:val="en-US" w:eastAsia="zh-CN"/>
        </w:rPr>
      </w:pPr>
      <w:r>
        <w:rPr>
          <w:rFonts w:hint="eastAsia" w:ascii="Times New Roman" w:hAnsi="Times New Roman" w:eastAsia="宋体" w:cs="Times New Roman"/>
          <w:b/>
          <w:bCs/>
          <w:color w:val="auto"/>
          <w:sz w:val="32"/>
          <w:szCs w:val="32"/>
          <w:lang w:val="en-US" w:eastAsia="zh-CN"/>
        </w:rPr>
        <w:t>浙江工商职业技术学院宁海校区综合楼卫生间改造项目</w:t>
      </w:r>
    </w:p>
    <w:p>
      <w:pPr>
        <w:jc w:val="center"/>
        <w:rPr>
          <w:rFonts w:hint="eastAsia" w:ascii="宋体" w:hAnsi="宋体" w:cs="宋体"/>
          <w:b/>
          <w:bCs/>
          <w:kern w:val="0"/>
          <w:sz w:val="30"/>
          <w:szCs w:val="30"/>
        </w:rPr>
      </w:pPr>
      <w:r>
        <w:rPr>
          <w:rFonts w:hint="eastAsia" w:ascii="宋体" w:hAnsi="宋体" w:cs="宋体"/>
          <w:b/>
          <w:bCs/>
          <w:kern w:val="0"/>
          <w:sz w:val="30"/>
          <w:szCs w:val="30"/>
        </w:rPr>
        <w:t>招标控制价编制说明</w:t>
      </w:r>
    </w:p>
    <w:p>
      <w:pPr>
        <w:jc w:val="center"/>
        <w:rPr>
          <w:rFonts w:ascii="宋体" w:hAnsi="宋体" w:cs="宋体"/>
          <w:b/>
          <w:bCs/>
          <w:kern w:val="0"/>
          <w:sz w:val="30"/>
          <w:szCs w:val="30"/>
        </w:rPr>
      </w:pPr>
    </w:p>
    <w:p>
      <w:pPr>
        <w:numPr>
          <w:ilvl w:val="0"/>
          <w:numId w:val="1"/>
        </w:numPr>
        <w:tabs>
          <w:tab w:val="left" w:pos="764"/>
          <w:tab w:val="left" w:pos="1080"/>
          <w:tab w:val="left" w:pos="9180"/>
          <w:tab w:val="left" w:pos="9360"/>
        </w:tabs>
        <w:spacing w:line="360" w:lineRule="auto"/>
        <w:ind w:left="824" w:leftChars="0" w:right="359" w:rightChars="171" w:hanging="342" w:firstLineChars="0"/>
        <w:outlineLvl w:val="0"/>
        <w:rPr>
          <w:rFonts w:hint="eastAsia" w:ascii="宋体" w:hAnsi="宋体"/>
          <w:b/>
          <w:sz w:val="24"/>
        </w:rPr>
      </w:pPr>
      <w:r>
        <w:rPr>
          <w:rFonts w:hint="eastAsia" w:ascii="宋体" w:hAnsi="宋体"/>
          <w:b/>
          <w:sz w:val="24"/>
        </w:rPr>
        <w:t>工程概况</w:t>
      </w:r>
    </w:p>
    <w:p>
      <w:pPr>
        <w:tabs>
          <w:tab w:val="left" w:pos="900"/>
          <w:tab w:val="left" w:pos="9180"/>
          <w:tab w:val="left" w:pos="9360"/>
        </w:tabs>
        <w:spacing w:line="360" w:lineRule="auto"/>
        <w:ind w:right="25" w:rightChars="12" w:firstLine="480" w:firstLineChars="200"/>
        <w:rPr>
          <w:rFonts w:hint="eastAsia" w:ascii="宋体" w:hAnsi="宋体"/>
          <w:sz w:val="24"/>
        </w:rPr>
      </w:pPr>
      <w:r>
        <w:rPr>
          <w:rFonts w:hint="eastAsia" w:ascii="宋体" w:hAnsi="宋体"/>
          <w:sz w:val="24"/>
        </w:rPr>
        <w:t>本工程位于</w:t>
      </w:r>
      <w:r>
        <w:rPr>
          <w:rFonts w:hint="eastAsia" w:ascii="宋体" w:hAnsi="宋体"/>
          <w:sz w:val="24"/>
          <w:lang w:val="en-US" w:eastAsia="zh-CN"/>
        </w:rPr>
        <w:t>浙江工商职业技术学院宁海校区</w:t>
      </w:r>
      <w:r>
        <w:rPr>
          <w:rFonts w:hint="eastAsia" w:ascii="宋体" w:hAnsi="宋体"/>
          <w:sz w:val="24"/>
        </w:rPr>
        <w:t>。</w:t>
      </w:r>
    </w:p>
    <w:p>
      <w:pPr>
        <w:tabs>
          <w:tab w:val="left" w:pos="900"/>
          <w:tab w:val="left" w:pos="9180"/>
          <w:tab w:val="left" w:pos="9360"/>
        </w:tabs>
        <w:spacing w:line="360" w:lineRule="auto"/>
        <w:ind w:right="25" w:rightChars="12" w:firstLine="480" w:firstLineChars="200"/>
        <w:rPr>
          <w:rFonts w:hint="eastAsia" w:ascii="宋体" w:hAnsi="宋体"/>
          <w:sz w:val="24"/>
        </w:rPr>
      </w:pPr>
      <w:r>
        <w:rPr>
          <w:rFonts w:hint="eastAsia" w:ascii="宋体" w:hAnsi="宋体"/>
          <w:sz w:val="24"/>
        </w:rPr>
        <w:t>主要工程内容：</w:t>
      </w:r>
      <w:r>
        <w:rPr>
          <w:rFonts w:hint="eastAsia" w:ascii="宋体" w:hAnsi="宋体"/>
          <w:sz w:val="24"/>
          <w:lang w:val="en-US" w:eastAsia="zh-CN"/>
        </w:rPr>
        <w:t>宁海校区综合楼卫生间改造项目</w:t>
      </w:r>
    </w:p>
    <w:p>
      <w:pPr>
        <w:numPr>
          <w:ilvl w:val="0"/>
          <w:numId w:val="1"/>
        </w:numPr>
        <w:tabs>
          <w:tab w:val="left" w:pos="764"/>
          <w:tab w:val="left" w:pos="1080"/>
          <w:tab w:val="left" w:pos="9180"/>
          <w:tab w:val="left" w:pos="9360"/>
        </w:tabs>
        <w:spacing w:line="360" w:lineRule="auto"/>
        <w:ind w:right="25" w:rightChars="12"/>
        <w:outlineLvl w:val="0"/>
        <w:rPr>
          <w:rFonts w:hint="eastAsia" w:ascii="宋体" w:hAnsi="宋体"/>
          <w:b/>
          <w:sz w:val="24"/>
        </w:rPr>
      </w:pPr>
      <w:r>
        <w:rPr>
          <w:rFonts w:hint="eastAsia" w:ascii="宋体" w:hAnsi="宋体"/>
          <w:b/>
          <w:sz w:val="24"/>
        </w:rPr>
        <w:t>编制依据</w:t>
      </w:r>
    </w:p>
    <w:p>
      <w:pPr>
        <w:numPr>
          <w:ilvl w:val="0"/>
          <w:numId w:val="2"/>
        </w:numPr>
        <w:spacing w:line="360" w:lineRule="auto"/>
        <w:rPr>
          <w:rFonts w:hint="eastAsia" w:ascii="宋体" w:hAnsi="宋体"/>
          <w:sz w:val="24"/>
        </w:rPr>
      </w:pPr>
      <w:r>
        <w:rPr>
          <w:rFonts w:hint="eastAsia" w:ascii="宋体" w:hAnsi="宋体"/>
          <w:sz w:val="24"/>
        </w:rPr>
        <w:t>建设单位提供的</w:t>
      </w:r>
      <w:r>
        <w:rPr>
          <w:rFonts w:hint="eastAsia" w:ascii="宋体" w:hAnsi="宋体"/>
          <w:sz w:val="24"/>
          <w:lang w:val="en-US" w:eastAsia="zh-CN"/>
        </w:rPr>
        <w:t>由浙江伟邦建设科技有限公司设计的《浙江工商职业技术学院宁海校区综合楼卫生间改造项目》的</w:t>
      </w:r>
      <w:r>
        <w:rPr>
          <w:rFonts w:hint="eastAsia" w:ascii="宋体" w:hAnsi="宋体"/>
          <w:sz w:val="24"/>
        </w:rPr>
        <w:t>施工图</w:t>
      </w:r>
      <w:r>
        <w:rPr>
          <w:rFonts w:hint="eastAsia" w:ascii="宋体" w:hAnsi="宋体"/>
          <w:sz w:val="24"/>
          <w:lang w:eastAsia="zh-CN"/>
        </w:rPr>
        <w:t>（</w:t>
      </w:r>
      <w:r>
        <w:rPr>
          <w:rFonts w:hint="eastAsia" w:ascii="宋体" w:hAnsi="宋体"/>
          <w:sz w:val="24"/>
          <w:lang w:val="en-US" w:eastAsia="zh-CN"/>
        </w:rPr>
        <w:t>2024年3月</w:t>
      </w:r>
      <w:r>
        <w:rPr>
          <w:rFonts w:hint="eastAsia" w:ascii="宋体" w:hAnsi="宋体"/>
          <w:sz w:val="24"/>
          <w:lang w:eastAsia="zh-CN"/>
        </w:rPr>
        <w:t>）</w:t>
      </w:r>
      <w:r>
        <w:rPr>
          <w:rFonts w:hint="eastAsia" w:ascii="宋体" w:hAnsi="宋体"/>
          <w:sz w:val="24"/>
        </w:rPr>
        <w:t>。</w:t>
      </w:r>
    </w:p>
    <w:p>
      <w:pPr>
        <w:numPr>
          <w:ilvl w:val="0"/>
          <w:numId w:val="2"/>
        </w:numPr>
        <w:tabs>
          <w:tab w:val="left" w:pos="360"/>
          <w:tab w:val="left" w:pos="900"/>
          <w:tab w:val="left" w:pos="1236"/>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建设单位提供的工程招标控制价编制要求、</w:t>
      </w:r>
      <w:r>
        <w:rPr>
          <w:rFonts w:hint="eastAsia" w:ascii="宋体" w:hAnsi="宋体"/>
          <w:sz w:val="24"/>
          <w:lang w:eastAsia="zh-CN"/>
        </w:rPr>
        <w:t>品牌参考表</w:t>
      </w:r>
      <w:r>
        <w:rPr>
          <w:rFonts w:hint="eastAsia" w:ascii="宋体" w:hAnsi="宋体"/>
          <w:sz w:val="24"/>
        </w:rPr>
        <w:t>。</w:t>
      </w:r>
    </w:p>
    <w:p>
      <w:pPr>
        <w:numPr>
          <w:ilvl w:val="0"/>
          <w:numId w:val="2"/>
        </w:numPr>
        <w:tabs>
          <w:tab w:val="left" w:pos="360"/>
          <w:tab w:val="left" w:pos="900"/>
          <w:tab w:val="left" w:pos="1236"/>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lang w:eastAsia="zh-CN"/>
        </w:rPr>
        <w:t>设计</w:t>
      </w:r>
      <w:r>
        <w:rPr>
          <w:rFonts w:hint="eastAsia" w:ascii="宋体" w:hAnsi="宋体"/>
          <w:sz w:val="24"/>
        </w:rPr>
        <w:t>单位提供的图纸问题回复。</w:t>
      </w:r>
    </w:p>
    <w:p>
      <w:pPr>
        <w:numPr>
          <w:ilvl w:val="0"/>
          <w:numId w:val="2"/>
        </w:numPr>
        <w:tabs>
          <w:tab w:val="left" w:pos="360"/>
          <w:tab w:val="left" w:pos="900"/>
          <w:tab w:val="left" w:pos="1236"/>
          <w:tab w:val="left" w:pos="9180"/>
          <w:tab w:val="left" w:pos="9360"/>
          <w:tab w:val="clear" w:pos="0"/>
        </w:tabs>
        <w:spacing w:line="360" w:lineRule="auto"/>
        <w:ind w:left="0" w:leftChars="0" w:right="25" w:rightChars="12" w:firstLine="510" w:firstLineChars="0"/>
        <w:rPr>
          <w:rFonts w:hint="eastAsia" w:ascii="宋体" w:hAnsi="宋体"/>
          <w:sz w:val="24"/>
        </w:rPr>
      </w:pPr>
      <w:r>
        <w:rPr>
          <w:rFonts w:ascii="宋体" w:hAnsi="宋体"/>
          <w:sz w:val="24"/>
        </w:rPr>
        <w:t>《建设工程工程量清单计价规范》</w:t>
      </w:r>
      <w:r>
        <w:rPr>
          <w:rFonts w:hint="eastAsia" w:ascii="宋体" w:hAnsi="宋体"/>
          <w:sz w:val="24"/>
        </w:rPr>
        <w:t>(</w:t>
      </w:r>
      <w:r>
        <w:rPr>
          <w:rFonts w:ascii="宋体" w:hAnsi="宋体"/>
          <w:sz w:val="24"/>
        </w:rPr>
        <w:t>GB50500-2013</w:t>
      </w:r>
      <w:r>
        <w:rPr>
          <w:rFonts w:hint="eastAsia" w:ascii="宋体" w:hAnsi="宋体"/>
          <w:sz w:val="24"/>
        </w:rPr>
        <w:t>)、《工程量计算规范》(</w:t>
      </w:r>
      <w:r>
        <w:rPr>
          <w:rFonts w:ascii="宋体" w:hAnsi="宋体"/>
          <w:sz w:val="24"/>
        </w:rPr>
        <w:t>GB50857-2013</w:t>
      </w:r>
      <w:r>
        <w:rPr>
          <w:rFonts w:hint="eastAsia" w:ascii="宋体" w:hAnsi="宋体"/>
          <w:sz w:val="24"/>
        </w:rPr>
        <w:t>)各专业</w:t>
      </w:r>
      <w:r>
        <w:rPr>
          <w:rFonts w:ascii="宋体" w:hAnsi="宋体"/>
          <w:sz w:val="24"/>
        </w:rPr>
        <w:t>、《浙江省建设工程计价规则》</w:t>
      </w:r>
      <w:r>
        <w:rPr>
          <w:rFonts w:hint="eastAsia" w:ascii="宋体" w:hAnsi="宋体"/>
          <w:sz w:val="24"/>
        </w:rPr>
        <w:t>(</w:t>
      </w:r>
      <w:r>
        <w:rPr>
          <w:rFonts w:ascii="宋体" w:hAnsi="宋体"/>
          <w:sz w:val="24"/>
        </w:rPr>
        <w:t>201</w:t>
      </w:r>
      <w:r>
        <w:rPr>
          <w:rFonts w:hint="eastAsia" w:ascii="宋体" w:hAnsi="宋体"/>
          <w:sz w:val="24"/>
        </w:rPr>
        <w:t>8</w:t>
      </w:r>
      <w:r>
        <w:rPr>
          <w:rFonts w:ascii="宋体" w:hAnsi="宋体"/>
          <w:sz w:val="24"/>
        </w:rPr>
        <w:t>版</w:t>
      </w:r>
      <w:r>
        <w:rPr>
          <w:rFonts w:hint="eastAsia" w:ascii="宋体" w:hAnsi="宋体"/>
          <w:sz w:val="24"/>
        </w:rPr>
        <w:t>) 、《建设工程工程量清单计算规范（2013）浙江省补充规定（一、二）》（</w:t>
      </w:r>
      <w:r>
        <w:rPr>
          <w:rFonts w:hint="eastAsia" w:ascii="宋体" w:hAnsi="宋体" w:cs="宋体"/>
          <w:kern w:val="0"/>
          <w:sz w:val="24"/>
          <w:lang w:val="zh-CN"/>
        </w:rPr>
        <w:t>浙建站计</w:t>
      </w:r>
      <w:r>
        <w:rPr>
          <w:rFonts w:hint="eastAsia" w:ascii="宋体" w:hAnsi="宋体"/>
          <w:sz w:val="24"/>
        </w:rPr>
        <w:t>[</w:t>
      </w:r>
      <w:r>
        <w:rPr>
          <w:rFonts w:hint="eastAsia" w:ascii="宋体" w:hAnsi="宋体" w:cs="宋体"/>
          <w:kern w:val="0"/>
          <w:sz w:val="24"/>
          <w:lang w:val="zh-CN"/>
        </w:rPr>
        <w:t>2013</w:t>
      </w:r>
      <w:r>
        <w:rPr>
          <w:rFonts w:hint="eastAsia" w:ascii="宋体" w:hAnsi="宋体"/>
          <w:sz w:val="24"/>
        </w:rPr>
        <w:t>]</w:t>
      </w:r>
      <w:r>
        <w:rPr>
          <w:rFonts w:hint="eastAsia" w:ascii="宋体" w:hAnsi="宋体" w:cs="宋体"/>
          <w:kern w:val="0"/>
          <w:sz w:val="24"/>
          <w:lang w:val="zh-CN"/>
        </w:rPr>
        <w:t>63号</w:t>
      </w:r>
      <w:r>
        <w:rPr>
          <w:rFonts w:hint="eastAsia" w:ascii="宋体" w:hAnsi="宋体"/>
          <w:sz w:val="24"/>
        </w:rPr>
        <w:t>、浙建站计[2014]31号) 及省市建设和造价管理机构颁发的有关文件和图。</w:t>
      </w:r>
    </w:p>
    <w:p>
      <w:pPr>
        <w:numPr>
          <w:ilvl w:val="0"/>
          <w:numId w:val="2"/>
        </w:numPr>
        <w:tabs>
          <w:tab w:val="left" w:pos="360"/>
          <w:tab w:val="left" w:pos="900"/>
          <w:tab w:val="left" w:pos="1350"/>
          <w:tab w:val="left" w:pos="9180"/>
          <w:tab w:val="left" w:pos="9360"/>
          <w:tab w:val="clear" w:pos="0"/>
        </w:tabs>
        <w:spacing w:line="360" w:lineRule="auto"/>
        <w:ind w:left="0" w:leftChars="0" w:right="25" w:rightChars="12" w:firstLine="510" w:firstLineChars="0"/>
        <w:rPr>
          <w:rFonts w:hint="eastAsia" w:ascii="宋体" w:hAnsi="宋体"/>
          <w:sz w:val="24"/>
        </w:rPr>
      </w:pPr>
      <w:r>
        <w:rPr>
          <w:rFonts w:ascii="宋体" w:hAnsi="宋体"/>
          <w:color w:val="auto"/>
          <w:sz w:val="24"/>
        </w:rPr>
        <w:t>《浙江省</w:t>
      </w:r>
      <w:r>
        <w:rPr>
          <w:rFonts w:hint="eastAsia" w:ascii="宋体" w:hAnsi="宋体"/>
          <w:color w:val="auto"/>
          <w:sz w:val="24"/>
        </w:rPr>
        <w:t>房屋建筑与装饰</w:t>
      </w:r>
      <w:r>
        <w:rPr>
          <w:rFonts w:ascii="宋体" w:hAnsi="宋体"/>
          <w:color w:val="auto"/>
          <w:sz w:val="24"/>
        </w:rPr>
        <w:t>工程预算定额》</w:t>
      </w:r>
      <w:r>
        <w:rPr>
          <w:rFonts w:hint="eastAsia" w:ascii="宋体" w:hAnsi="宋体"/>
          <w:color w:val="auto"/>
          <w:sz w:val="24"/>
        </w:rPr>
        <w:t>(</w:t>
      </w:r>
      <w:r>
        <w:rPr>
          <w:rFonts w:ascii="宋体" w:hAnsi="宋体"/>
          <w:color w:val="auto"/>
          <w:sz w:val="24"/>
        </w:rPr>
        <w:t>201</w:t>
      </w:r>
      <w:r>
        <w:rPr>
          <w:rFonts w:hint="eastAsia" w:ascii="宋体" w:hAnsi="宋体"/>
          <w:color w:val="auto"/>
          <w:sz w:val="24"/>
        </w:rPr>
        <w:t>8</w:t>
      </w:r>
      <w:r>
        <w:rPr>
          <w:rFonts w:ascii="宋体" w:hAnsi="宋体"/>
          <w:color w:val="auto"/>
          <w:sz w:val="24"/>
        </w:rPr>
        <w:t>版</w:t>
      </w:r>
      <w:r>
        <w:rPr>
          <w:rFonts w:hint="eastAsia" w:ascii="宋体" w:hAnsi="宋体"/>
          <w:color w:val="auto"/>
          <w:sz w:val="24"/>
        </w:rPr>
        <w:t>)</w:t>
      </w:r>
      <w:r>
        <w:rPr>
          <w:rFonts w:ascii="宋体" w:hAnsi="宋体"/>
          <w:color w:val="auto"/>
          <w:sz w:val="24"/>
        </w:rPr>
        <w:t>、《浙江省</w:t>
      </w:r>
      <w:r>
        <w:rPr>
          <w:rFonts w:hint="eastAsia" w:ascii="宋体" w:hAnsi="宋体"/>
          <w:color w:val="auto"/>
          <w:sz w:val="24"/>
        </w:rPr>
        <w:t>通用安装</w:t>
      </w:r>
      <w:r>
        <w:rPr>
          <w:rFonts w:ascii="宋体" w:hAnsi="宋体"/>
          <w:color w:val="auto"/>
          <w:sz w:val="24"/>
        </w:rPr>
        <w:t>工程预算定额》</w:t>
      </w:r>
      <w:r>
        <w:rPr>
          <w:rFonts w:hint="eastAsia" w:ascii="宋体" w:hAnsi="宋体"/>
          <w:sz w:val="24"/>
        </w:rPr>
        <w:t>(</w:t>
      </w:r>
      <w:r>
        <w:rPr>
          <w:rFonts w:ascii="宋体" w:hAnsi="宋体"/>
          <w:sz w:val="24"/>
        </w:rPr>
        <w:t>201</w:t>
      </w:r>
      <w:r>
        <w:rPr>
          <w:rFonts w:hint="eastAsia" w:ascii="宋体" w:hAnsi="宋体"/>
          <w:sz w:val="24"/>
        </w:rPr>
        <w:t>8</w:t>
      </w:r>
      <w:r>
        <w:rPr>
          <w:rFonts w:ascii="宋体" w:hAnsi="宋体"/>
          <w:sz w:val="24"/>
        </w:rPr>
        <w:t>版</w:t>
      </w:r>
      <w:r>
        <w:rPr>
          <w:rFonts w:hint="eastAsia" w:ascii="宋体" w:hAnsi="宋体"/>
          <w:sz w:val="24"/>
        </w:rPr>
        <w:t>)</w:t>
      </w:r>
      <w:r>
        <w:rPr>
          <w:rFonts w:ascii="宋体" w:hAnsi="宋体"/>
          <w:sz w:val="24"/>
        </w:rPr>
        <w:t>、《浙江省</w:t>
      </w:r>
      <w:r>
        <w:rPr>
          <w:rFonts w:hint="eastAsia" w:ascii="宋体" w:hAnsi="宋体"/>
          <w:sz w:val="24"/>
        </w:rPr>
        <w:t>施工机械台班费用定额</w:t>
      </w:r>
      <w:r>
        <w:rPr>
          <w:rFonts w:ascii="宋体" w:hAnsi="宋体"/>
          <w:sz w:val="24"/>
        </w:rPr>
        <w:t>》</w:t>
      </w:r>
      <w:r>
        <w:rPr>
          <w:rFonts w:hint="eastAsia" w:ascii="宋体" w:hAnsi="宋体"/>
          <w:sz w:val="24"/>
        </w:rPr>
        <w:t>(</w:t>
      </w:r>
      <w:r>
        <w:rPr>
          <w:rFonts w:ascii="宋体" w:hAnsi="宋体"/>
          <w:sz w:val="24"/>
        </w:rPr>
        <w:t>201</w:t>
      </w:r>
      <w:r>
        <w:rPr>
          <w:rFonts w:hint="eastAsia" w:ascii="宋体" w:hAnsi="宋体"/>
          <w:sz w:val="24"/>
        </w:rPr>
        <w:t>8</w:t>
      </w:r>
      <w:r>
        <w:rPr>
          <w:rFonts w:ascii="宋体" w:hAnsi="宋体"/>
          <w:sz w:val="24"/>
        </w:rPr>
        <w:t>版</w:t>
      </w:r>
      <w:r>
        <w:rPr>
          <w:rFonts w:hint="eastAsia" w:ascii="宋体" w:hAnsi="宋体"/>
          <w:sz w:val="24"/>
        </w:rPr>
        <w:t>)及省市建设和造价管理机构颁发的有关文件和图集等</w:t>
      </w:r>
      <w:r>
        <w:rPr>
          <w:rFonts w:ascii="宋体" w:hAnsi="宋体"/>
          <w:sz w:val="24"/>
        </w:rPr>
        <w:t>。</w:t>
      </w:r>
    </w:p>
    <w:p>
      <w:pPr>
        <w:numPr>
          <w:ilvl w:val="0"/>
          <w:numId w:val="2"/>
        </w:numPr>
        <w:tabs>
          <w:tab w:val="left" w:pos="360"/>
          <w:tab w:val="left" w:pos="900"/>
          <w:tab w:val="left" w:pos="1080"/>
          <w:tab w:val="left" w:pos="126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相关文件：浙建建发(2019) 92 号、宁波市造价处转发《关于发布浙江省房屋建筑人工综合价格指数的通知》（甬建价[2018]83号）、宁波市物价局、宁波市城管局《关于公布宁波市中心城区建筑渣土处理费市场信息参考价的通知》（甬建价[2018]60号）、宁波市造价处《关于明确宁波市中心城区建筑渣土处置费作为非竞争性费用列入工程造价等有关计价问题的通知》（甬建价[2019]1号）。</w:t>
      </w:r>
    </w:p>
    <w:p>
      <w:pPr>
        <w:numPr>
          <w:ilvl w:val="0"/>
          <w:numId w:val="2"/>
        </w:numPr>
        <w:tabs>
          <w:tab w:val="left" w:pos="360"/>
          <w:tab w:val="left" w:pos="900"/>
          <w:tab w:val="left" w:pos="108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现场踏勘情况。</w:t>
      </w:r>
    </w:p>
    <w:p>
      <w:pPr>
        <w:numPr>
          <w:ilvl w:val="0"/>
          <w:numId w:val="1"/>
        </w:numPr>
        <w:tabs>
          <w:tab w:val="left" w:pos="764"/>
          <w:tab w:val="left" w:pos="1080"/>
          <w:tab w:val="left" w:pos="9180"/>
          <w:tab w:val="left" w:pos="9360"/>
        </w:tabs>
        <w:spacing w:line="360" w:lineRule="auto"/>
        <w:ind w:right="25" w:rightChars="12"/>
        <w:outlineLvl w:val="0"/>
        <w:rPr>
          <w:rFonts w:ascii="宋体" w:hAnsi="宋体"/>
          <w:b/>
          <w:sz w:val="24"/>
        </w:rPr>
      </w:pPr>
      <w:r>
        <w:rPr>
          <w:rFonts w:hint="eastAsia" w:ascii="宋体" w:hAnsi="宋体"/>
          <w:b/>
          <w:sz w:val="24"/>
        </w:rPr>
        <w:t>编制原则及办法</w:t>
      </w:r>
    </w:p>
    <w:p>
      <w:pPr>
        <w:numPr>
          <w:ilvl w:val="0"/>
          <w:numId w:val="3"/>
        </w:numPr>
        <w:tabs>
          <w:tab w:val="left" w:pos="720"/>
          <w:tab w:val="left" w:pos="90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编制方法：采用综合单价法编制。计税方法：增值税一般计税法。</w:t>
      </w:r>
    </w:p>
    <w:p>
      <w:pPr>
        <w:numPr>
          <w:ilvl w:val="0"/>
          <w:numId w:val="3"/>
        </w:numPr>
        <w:tabs>
          <w:tab w:val="left" w:pos="720"/>
          <w:tab w:val="left" w:pos="90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工程量：根据建设单位提供的施工图结合计算规则计算。</w:t>
      </w:r>
    </w:p>
    <w:p>
      <w:pPr>
        <w:numPr>
          <w:ilvl w:val="0"/>
          <w:numId w:val="3"/>
        </w:numPr>
        <w:tabs>
          <w:tab w:val="left" w:pos="720"/>
          <w:tab w:val="left" w:pos="90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人工信息价(含机上人工)：按《宁波建设工程造价信息》(综合</w:t>
      </w:r>
    </w:p>
    <w:p>
      <w:pPr>
        <w:tabs>
          <w:tab w:val="left" w:pos="720"/>
          <w:tab w:val="left" w:pos="900"/>
          <w:tab w:val="left" w:pos="9180"/>
          <w:tab w:val="left" w:pos="9360"/>
        </w:tabs>
        <w:spacing w:line="360" w:lineRule="auto"/>
        <w:ind w:right="25" w:rightChars="12"/>
        <w:rPr>
          <w:rFonts w:hint="eastAsia" w:ascii="宋体" w:hAnsi="宋体"/>
          <w:sz w:val="24"/>
        </w:rPr>
      </w:pPr>
      <w:r>
        <w:rPr>
          <w:rFonts w:hint="eastAsia" w:ascii="宋体" w:hAnsi="宋体"/>
          <w:sz w:val="24"/>
        </w:rPr>
        <w:t xml:space="preserve">版) </w:t>
      </w:r>
      <w:r>
        <w:rPr>
          <w:rFonts w:hint="eastAsia" w:ascii="宋体" w:hAnsi="宋体"/>
          <w:sz w:val="24"/>
          <w:lang w:val="en-US" w:eastAsia="zh-CN"/>
        </w:rPr>
        <w:t>2024</w:t>
      </w:r>
      <w:r>
        <w:rPr>
          <w:rFonts w:hint="eastAsia" w:ascii="宋体" w:hAnsi="宋体"/>
          <w:sz w:val="24"/>
        </w:rPr>
        <w:t>年</w:t>
      </w:r>
      <w:r>
        <w:rPr>
          <w:rFonts w:hint="eastAsia" w:ascii="宋体" w:hAnsi="宋体"/>
          <w:sz w:val="24"/>
          <w:lang w:val="en-US" w:eastAsia="zh-CN"/>
        </w:rPr>
        <w:t>03</w:t>
      </w:r>
      <w:r>
        <w:rPr>
          <w:rFonts w:hint="eastAsia" w:ascii="宋体" w:hAnsi="宋体"/>
          <w:sz w:val="24"/>
        </w:rPr>
        <w:t>月刊</w:t>
      </w:r>
      <w:r>
        <w:rPr>
          <w:rFonts w:hint="eastAsia" w:ascii="宋体" w:hAnsi="宋体"/>
          <w:sz w:val="24"/>
          <w:lang w:val="en-US" w:eastAsia="zh-CN"/>
        </w:rPr>
        <w:t>市区</w:t>
      </w:r>
      <w:r>
        <w:rPr>
          <w:rFonts w:hint="eastAsia" w:ascii="宋体" w:hAnsi="宋体"/>
          <w:sz w:val="24"/>
        </w:rPr>
        <w:t>信息价。</w:t>
      </w:r>
    </w:p>
    <w:p>
      <w:pPr>
        <w:numPr>
          <w:ilvl w:val="0"/>
          <w:numId w:val="3"/>
        </w:numPr>
        <w:tabs>
          <w:tab w:val="left" w:pos="720"/>
          <w:tab w:val="left" w:pos="90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材料价格选用先后顺序(含机械燃料动力费)：《宁波建设工程造价信息》(综合版)</w:t>
      </w:r>
      <w:r>
        <w:rPr>
          <w:rFonts w:hint="eastAsia" w:ascii="宋体" w:hAnsi="宋体"/>
          <w:sz w:val="24"/>
          <w:lang w:val="en-US" w:eastAsia="zh-CN"/>
        </w:rPr>
        <w:t>2024</w:t>
      </w:r>
      <w:r>
        <w:rPr>
          <w:rFonts w:hint="eastAsia" w:ascii="宋体" w:hAnsi="宋体"/>
          <w:sz w:val="24"/>
        </w:rPr>
        <w:t>年</w:t>
      </w:r>
      <w:r>
        <w:rPr>
          <w:rFonts w:hint="eastAsia" w:ascii="宋体" w:hAnsi="宋体"/>
          <w:sz w:val="24"/>
          <w:lang w:val="en-US" w:eastAsia="zh-CN"/>
        </w:rPr>
        <w:t>03</w:t>
      </w:r>
      <w:r>
        <w:rPr>
          <w:rFonts w:hint="eastAsia" w:ascii="宋体" w:hAnsi="宋体"/>
          <w:sz w:val="24"/>
        </w:rPr>
        <w:t>月刊</w:t>
      </w:r>
      <w:r>
        <w:rPr>
          <w:rFonts w:hint="eastAsia" w:ascii="宋体" w:hAnsi="宋体"/>
          <w:sz w:val="24"/>
          <w:lang w:eastAsia="zh-CN"/>
        </w:rPr>
        <w:t>先宁海县，后</w:t>
      </w:r>
      <w:r>
        <w:rPr>
          <w:rFonts w:hint="eastAsia" w:ascii="宋体" w:hAnsi="宋体"/>
          <w:sz w:val="24"/>
        </w:rPr>
        <w:t>市区信息价、《浙江造价信息》(正刊)</w:t>
      </w:r>
      <w:r>
        <w:rPr>
          <w:rFonts w:hint="eastAsia" w:ascii="宋体" w:hAnsi="宋体"/>
          <w:sz w:val="24"/>
          <w:lang w:val="en-US" w:eastAsia="zh-CN"/>
        </w:rPr>
        <w:t>2024</w:t>
      </w:r>
      <w:r>
        <w:rPr>
          <w:rFonts w:hint="eastAsia" w:ascii="宋体" w:hAnsi="宋体"/>
          <w:sz w:val="24"/>
        </w:rPr>
        <w:t>年第</w:t>
      </w:r>
      <w:r>
        <w:rPr>
          <w:rFonts w:hint="eastAsia" w:ascii="宋体" w:hAnsi="宋体"/>
          <w:sz w:val="24"/>
          <w:lang w:val="en-US" w:eastAsia="zh-CN"/>
        </w:rPr>
        <w:t>03</w:t>
      </w:r>
      <w:r>
        <w:rPr>
          <w:rFonts w:hint="eastAsia" w:ascii="宋体" w:hAnsi="宋体"/>
          <w:sz w:val="24"/>
        </w:rPr>
        <w:t>期、无信息价的材料或设备采用市场价。以上信息价、市场价均按除税价计取。</w:t>
      </w:r>
    </w:p>
    <w:p>
      <w:pPr>
        <w:numPr>
          <w:ilvl w:val="0"/>
          <w:numId w:val="3"/>
        </w:numPr>
        <w:tabs>
          <w:tab w:val="left" w:pos="720"/>
          <w:tab w:val="left" w:pos="900"/>
          <w:tab w:val="left" w:pos="9180"/>
          <w:tab w:val="left" w:pos="9360"/>
          <w:tab w:val="clear" w:pos="0"/>
        </w:tabs>
        <w:spacing w:line="360" w:lineRule="auto"/>
        <w:ind w:left="0" w:leftChars="0" w:right="25" w:rightChars="12" w:firstLine="510" w:firstLineChars="0"/>
        <w:rPr>
          <w:rFonts w:hint="eastAsia" w:ascii="宋体" w:hAnsi="宋体"/>
          <w:sz w:val="24"/>
        </w:rPr>
      </w:pPr>
      <w:r>
        <w:rPr>
          <w:rFonts w:hint="eastAsia" w:ascii="宋体" w:hAnsi="宋体"/>
          <w:sz w:val="24"/>
        </w:rPr>
        <w:t>取费：</w:t>
      </w:r>
    </w:p>
    <w:p>
      <w:pPr>
        <w:numPr>
          <w:ilvl w:val="0"/>
          <w:numId w:val="4"/>
        </w:numPr>
        <w:tabs>
          <w:tab w:val="left" w:pos="360"/>
          <w:tab w:val="left" w:pos="1080"/>
          <w:tab w:val="clear" w:pos="1710"/>
        </w:tabs>
        <w:spacing w:line="360" w:lineRule="auto"/>
        <w:ind w:left="0" w:right="25" w:rightChars="12" w:firstLine="480"/>
        <w:rPr>
          <w:rFonts w:hint="eastAsia" w:ascii="宋体" w:hAnsi="宋体"/>
          <w:kern w:val="0"/>
          <w:sz w:val="24"/>
          <w:lang w:val="zh-CN"/>
        </w:rPr>
      </w:pPr>
      <w:r>
        <w:rPr>
          <w:rFonts w:hint="eastAsia" w:ascii="宋体" w:hAnsi="宋体"/>
          <w:kern w:val="0"/>
          <w:sz w:val="24"/>
          <w:lang w:val="zh-CN"/>
        </w:rPr>
        <w:t>施工组织措施费费率：按相应工程中值取费。其中安全文明施工基</w:t>
      </w:r>
    </w:p>
    <w:p>
      <w:pPr>
        <w:numPr>
          <w:ilvl w:val="0"/>
          <w:numId w:val="0"/>
        </w:numPr>
        <w:tabs>
          <w:tab w:val="left" w:pos="360"/>
          <w:tab w:val="left" w:pos="1080"/>
        </w:tabs>
        <w:spacing w:line="360" w:lineRule="auto"/>
        <w:ind w:right="25" w:rightChars="12"/>
        <w:rPr>
          <w:rFonts w:hint="eastAsia" w:ascii="宋体" w:hAnsi="宋体"/>
          <w:kern w:val="0"/>
          <w:sz w:val="24"/>
          <w:lang w:val="zh-CN"/>
        </w:rPr>
      </w:pPr>
      <w:r>
        <w:rPr>
          <w:rFonts w:hint="eastAsia" w:ascii="宋体" w:hAnsi="宋体"/>
          <w:kern w:val="0"/>
          <w:sz w:val="24"/>
          <w:lang w:val="zh-CN"/>
        </w:rPr>
        <w:t>本费按</w:t>
      </w:r>
      <w:r>
        <w:rPr>
          <w:rFonts w:hint="eastAsia" w:ascii="宋体" w:hAnsi="宋体"/>
          <w:kern w:val="0"/>
          <w:sz w:val="24"/>
          <w:lang w:val="en-US" w:eastAsia="zh-CN"/>
        </w:rPr>
        <w:t>市区</w:t>
      </w:r>
      <w:r>
        <w:rPr>
          <w:rFonts w:hint="eastAsia" w:ascii="宋体" w:hAnsi="宋体"/>
          <w:kern w:val="0"/>
          <w:sz w:val="24"/>
          <w:lang w:val="zh-CN"/>
        </w:rPr>
        <w:t>工程中值计取，智慧工地、常态化防疫费用及安全文明提升费用</w:t>
      </w:r>
      <w:r>
        <w:rPr>
          <w:rFonts w:hint="eastAsia" w:ascii="宋体" w:hAnsi="宋体" w:eastAsia="宋体" w:cs="宋体"/>
          <w:kern w:val="2"/>
          <w:sz w:val="24"/>
          <w:szCs w:val="24"/>
          <w:lang w:val="en-US" w:eastAsia="zh-CN" w:bidi="ar"/>
        </w:rPr>
        <w:t>不计取</w:t>
      </w:r>
      <w:r>
        <w:rPr>
          <w:rFonts w:hint="eastAsia" w:ascii="宋体" w:hAnsi="宋体"/>
          <w:kern w:val="0"/>
          <w:sz w:val="24"/>
          <w:lang w:val="zh-CN"/>
        </w:rPr>
        <w:t xml:space="preserve">。施工组织措施费只计取二次搬运费。 </w:t>
      </w:r>
    </w:p>
    <w:p>
      <w:pPr>
        <w:numPr>
          <w:ilvl w:val="0"/>
          <w:numId w:val="4"/>
        </w:numPr>
        <w:tabs>
          <w:tab w:val="left" w:pos="360"/>
          <w:tab w:val="left" w:pos="1080"/>
          <w:tab w:val="clear" w:pos="1710"/>
        </w:tabs>
        <w:spacing w:line="360" w:lineRule="auto"/>
        <w:ind w:left="0" w:right="25" w:rightChars="12" w:firstLine="480"/>
        <w:rPr>
          <w:rFonts w:hint="eastAsia" w:ascii="宋体" w:hAnsi="宋体"/>
          <w:kern w:val="0"/>
          <w:sz w:val="24"/>
          <w:lang w:val="zh-CN"/>
        </w:rPr>
      </w:pPr>
      <w:r>
        <w:rPr>
          <w:rFonts w:hint="eastAsia" w:ascii="宋体" w:hAnsi="宋体"/>
          <w:kern w:val="0"/>
          <w:sz w:val="24"/>
          <w:lang w:val="zh-CN"/>
        </w:rPr>
        <w:t>企业管理费费率、利润费率：各专业工程按相应工程中值取定。</w:t>
      </w:r>
    </w:p>
    <w:p>
      <w:pPr>
        <w:numPr>
          <w:ilvl w:val="0"/>
          <w:numId w:val="4"/>
        </w:numPr>
        <w:tabs>
          <w:tab w:val="left" w:pos="360"/>
          <w:tab w:val="left" w:pos="1080"/>
          <w:tab w:val="clear" w:pos="1710"/>
        </w:tabs>
        <w:spacing w:line="360" w:lineRule="auto"/>
        <w:ind w:left="0" w:right="25" w:rightChars="12" w:firstLine="480"/>
        <w:rPr>
          <w:rFonts w:hint="eastAsia" w:ascii="宋体" w:hAnsi="宋体"/>
          <w:kern w:val="0"/>
          <w:sz w:val="24"/>
          <w:lang w:val="zh-CN"/>
        </w:rPr>
      </w:pPr>
      <w:r>
        <w:rPr>
          <w:rFonts w:hint="eastAsia" w:ascii="宋体" w:hAnsi="宋体"/>
          <w:kern w:val="0"/>
          <w:sz w:val="24"/>
          <w:lang w:val="zh-CN"/>
        </w:rPr>
        <w:t>规费：按相应工程标准费率的30%计取（如有新的政策性文件，从其</w:t>
      </w:r>
    </w:p>
    <w:p>
      <w:pPr>
        <w:numPr>
          <w:ilvl w:val="0"/>
          <w:numId w:val="0"/>
        </w:numPr>
        <w:tabs>
          <w:tab w:val="left" w:pos="360"/>
          <w:tab w:val="left" w:pos="1080"/>
        </w:tabs>
        <w:spacing w:line="360" w:lineRule="auto"/>
        <w:ind w:right="25" w:rightChars="12"/>
        <w:rPr>
          <w:rFonts w:hint="eastAsia" w:ascii="宋体" w:hAnsi="宋体"/>
          <w:kern w:val="0"/>
          <w:sz w:val="24"/>
          <w:lang w:val="zh-CN"/>
        </w:rPr>
      </w:pPr>
      <w:r>
        <w:rPr>
          <w:rFonts w:hint="eastAsia" w:ascii="宋体" w:hAnsi="宋体"/>
          <w:kern w:val="0"/>
          <w:sz w:val="24"/>
          <w:lang w:val="zh-CN"/>
        </w:rPr>
        <w:t>规定）。</w:t>
      </w:r>
    </w:p>
    <w:p>
      <w:pPr>
        <w:numPr>
          <w:ilvl w:val="0"/>
          <w:numId w:val="4"/>
        </w:numPr>
        <w:tabs>
          <w:tab w:val="left" w:pos="360"/>
          <w:tab w:val="left" w:pos="1080"/>
          <w:tab w:val="clear" w:pos="1710"/>
        </w:tabs>
        <w:spacing w:line="360" w:lineRule="auto"/>
        <w:ind w:left="0" w:right="25" w:rightChars="12" w:firstLine="480"/>
        <w:rPr>
          <w:rFonts w:hint="eastAsia" w:ascii="宋体" w:hAnsi="宋体"/>
          <w:kern w:val="0"/>
          <w:sz w:val="24"/>
          <w:lang w:val="zh-CN"/>
        </w:rPr>
      </w:pPr>
      <w:r>
        <w:rPr>
          <w:rFonts w:hint="eastAsia" w:ascii="宋体" w:hAnsi="宋体"/>
          <w:kern w:val="0"/>
          <w:sz w:val="24"/>
          <w:lang w:val="zh-CN"/>
        </w:rPr>
        <w:t>税金：浙建建发(2019) 92 号规定9%计入。</w:t>
      </w:r>
    </w:p>
    <w:p>
      <w:pPr>
        <w:numPr>
          <w:ilvl w:val="0"/>
          <w:numId w:val="1"/>
        </w:numPr>
        <w:tabs>
          <w:tab w:val="left" w:pos="764"/>
          <w:tab w:val="left" w:pos="1080"/>
          <w:tab w:val="left" w:pos="9180"/>
          <w:tab w:val="left" w:pos="9360"/>
        </w:tabs>
        <w:spacing w:line="360" w:lineRule="auto"/>
        <w:ind w:right="25" w:rightChars="12"/>
        <w:outlineLvl w:val="0"/>
        <w:rPr>
          <w:rFonts w:hint="eastAsia" w:ascii="宋体" w:hAnsi="宋体"/>
          <w:b/>
          <w:sz w:val="24"/>
        </w:rPr>
      </w:pPr>
      <w:r>
        <w:rPr>
          <w:rFonts w:hint="eastAsia" w:ascii="宋体" w:hAnsi="宋体"/>
          <w:b/>
          <w:sz w:val="24"/>
        </w:rPr>
        <w:t>有关事项说明</w:t>
      </w:r>
    </w:p>
    <w:p>
      <w:pPr>
        <w:numPr>
          <w:ilvl w:val="0"/>
          <w:numId w:val="5"/>
        </w:numPr>
        <w:tabs>
          <w:tab w:val="left" w:pos="540"/>
          <w:tab w:val="left" w:pos="900"/>
          <w:tab w:val="clear" w:pos="0"/>
        </w:tabs>
        <w:spacing w:line="360" w:lineRule="auto"/>
        <w:ind w:left="0" w:leftChars="0" w:right="25" w:rightChars="12" w:firstLine="510" w:firstLineChars="0"/>
        <w:rPr>
          <w:rFonts w:hint="eastAsia" w:ascii="宋体" w:hAnsi="宋体"/>
          <w:b/>
          <w:sz w:val="24"/>
        </w:rPr>
      </w:pPr>
      <w:r>
        <w:rPr>
          <w:rFonts w:hint="eastAsia" w:ascii="宋体" w:hAnsi="宋体"/>
          <w:b/>
          <w:sz w:val="24"/>
          <w:lang w:eastAsia="zh-CN"/>
        </w:rPr>
        <w:t>装修</w:t>
      </w:r>
      <w:r>
        <w:rPr>
          <w:rFonts w:hint="eastAsia" w:ascii="宋体" w:hAnsi="宋体"/>
          <w:b/>
          <w:sz w:val="24"/>
        </w:rPr>
        <w:t xml:space="preserve"> </w:t>
      </w:r>
    </w:p>
    <w:p>
      <w:pPr>
        <w:numPr>
          <w:ilvl w:val="0"/>
          <w:numId w:val="6"/>
        </w:numPr>
        <w:tabs>
          <w:tab w:val="left" w:pos="360"/>
          <w:tab w:val="left" w:pos="1080"/>
        </w:tabs>
        <w:spacing w:line="360" w:lineRule="auto"/>
        <w:ind w:left="0" w:firstLine="480" w:firstLineChars="200"/>
        <w:rPr>
          <w:rFonts w:hint="eastAsia" w:ascii="宋体" w:hAnsi="宋体"/>
          <w:kern w:val="28"/>
          <w:sz w:val="24"/>
        </w:rPr>
      </w:pPr>
      <w:r>
        <w:rPr>
          <w:rFonts w:hint="eastAsia" w:ascii="宋体" w:hAnsi="宋体"/>
          <w:kern w:val="28"/>
          <w:sz w:val="24"/>
          <w:lang w:val="en-US" w:eastAsia="zh-CN"/>
        </w:rPr>
        <w:t>本项目为综合楼一、二、三、四层西边卫生间；</w:t>
      </w:r>
    </w:p>
    <w:p>
      <w:pPr>
        <w:numPr>
          <w:ilvl w:val="0"/>
          <w:numId w:val="6"/>
        </w:numPr>
        <w:tabs>
          <w:tab w:val="left" w:pos="360"/>
          <w:tab w:val="left" w:pos="1080"/>
        </w:tabs>
        <w:spacing w:line="360" w:lineRule="auto"/>
        <w:ind w:left="0" w:firstLine="480" w:firstLineChars="200"/>
        <w:rPr>
          <w:rFonts w:hint="eastAsia" w:ascii="宋体" w:hAnsi="宋体"/>
          <w:kern w:val="28"/>
          <w:sz w:val="24"/>
        </w:rPr>
      </w:pPr>
      <w:r>
        <w:rPr>
          <w:rFonts w:hint="eastAsia" w:ascii="宋体" w:hAnsi="宋体"/>
          <w:kern w:val="28"/>
          <w:sz w:val="24"/>
          <w:lang w:val="en-US" w:eastAsia="zh-CN"/>
        </w:rPr>
        <w:t>应业主要求，装修安装拆除及建筑垃圾外运按项包干，后期不做调整；</w:t>
      </w:r>
    </w:p>
    <w:p>
      <w:pPr>
        <w:numPr>
          <w:ilvl w:val="0"/>
          <w:numId w:val="6"/>
        </w:numPr>
        <w:tabs>
          <w:tab w:val="left" w:pos="360"/>
          <w:tab w:val="left" w:pos="1080"/>
        </w:tabs>
        <w:spacing w:line="360" w:lineRule="auto"/>
        <w:ind w:left="0" w:firstLine="480" w:firstLineChars="200"/>
        <w:rPr>
          <w:rFonts w:hint="eastAsia" w:ascii="宋体" w:hAnsi="宋体"/>
          <w:kern w:val="28"/>
          <w:sz w:val="24"/>
        </w:rPr>
      </w:pPr>
      <w:r>
        <w:rPr>
          <w:rFonts w:hint="eastAsia" w:ascii="宋体" w:hAnsi="宋体"/>
          <w:kern w:val="28"/>
          <w:sz w:val="24"/>
          <w:lang w:val="en-US" w:eastAsia="zh-CN"/>
        </w:rPr>
        <w:t>应业主要求，五层卫生间地面装修引起的四层局部吊顶拆装按项包干，后期不做调整；</w:t>
      </w:r>
    </w:p>
    <w:p>
      <w:pPr>
        <w:numPr>
          <w:ilvl w:val="0"/>
          <w:numId w:val="6"/>
        </w:numPr>
        <w:tabs>
          <w:tab w:val="left" w:pos="360"/>
          <w:tab w:val="left" w:pos="1080"/>
        </w:tabs>
        <w:spacing w:line="360" w:lineRule="auto"/>
        <w:ind w:left="0" w:firstLine="480" w:firstLineChars="200"/>
        <w:rPr>
          <w:rFonts w:hint="eastAsia" w:ascii="宋体" w:hAnsi="宋体"/>
          <w:kern w:val="28"/>
          <w:sz w:val="24"/>
        </w:rPr>
      </w:pPr>
      <w:r>
        <w:rPr>
          <w:rFonts w:hint="eastAsia" w:ascii="宋体" w:hAnsi="宋体"/>
          <w:kern w:val="28"/>
          <w:sz w:val="24"/>
          <w:lang w:val="en-US" w:eastAsia="zh-CN"/>
        </w:rPr>
        <w:t>应业主要求，铝扣板吊顶厚度为1.0mm；</w:t>
      </w:r>
    </w:p>
    <w:p>
      <w:pPr>
        <w:numPr>
          <w:ilvl w:val="0"/>
          <w:numId w:val="6"/>
        </w:numPr>
        <w:tabs>
          <w:tab w:val="left" w:pos="360"/>
          <w:tab w:val="left" w:pos="1080"/>
        </w:tabs>
        <w:spacing w:line="360" w:lineRule="auto"/>
        <w:ind w:left="0" w:firstLine="480" w:firstLineChars="200"/>
        <w:rPr>
          <w:rFonts w:hint="eastAsia" w:ascii="宋体" w:hAnsi="宋体"/>
          <w:kern w:val="28"/>
          <w:sz w:val="24"/>
        </w:rPr>
      </w:pPr>
      <w:r>
        <w:rPr>
          <w:rFonts w:hint="eastAsia" w:ascii="宋体" w:hAnsi="宋体"/>
          <w:kern w:val="28"/>
          <w:sz w:val="24"/>
          <w:lang w:val="en-US" w:eastAsia="zh-CN"/>
        </w:rPr>
        <w:t>应业主要求，施工过程中成品保护按项包干，后期不做调整，施工工程中造成损坏由施工单位自行承担修复费用；</w:t>
      </w:r>
    </w:p>
    <w:p>
      <w:pPr>
        <w:numPr>
          <w:ilvl w:val="0"/>
          <w:numId w:val="6"/>
        </w:numPr>
        <w:tabs>
          <w:tab w:val="left" w:pos="360"/>
          <w:tab w:val="left" w:pos="1080"/>
        </w:tabs>
        <w:spacing w:line="360" w:lineRule="auto"/>
        <w:ind w:left="0" w:firstLine="480" w:firstLineChars="200"/>
        <w:rPr>
          <w:rFonts w:hint="eastAsia" w:ascii="宋体" w:hAnsi="宋体" w:eastAsia="宋体" w:cs="Times New Roman"/>
          <w:kern w:val="28"/>
          <w:sz w:val="24"/>
          <w:lang w:val="en-US" w:eastAsia="zh-CN"/>
        </w:rPr>
      </w:pPr>
      <w:r>
        <w:rPr>
          <w:rFonts w:hint="eastAsia" w:ascii="宋体" w:hAnsi="宋体" w:eastAsia="宋体" w:cs="Times New Roman"/>
          <w:kern w:val="28"/>
          <w:sz w:val="24"/>
          <w:lang w:val="en-US" w:eastAsia="zh-CN"/>
        </w:rPr>
        <w:t>应业主要求，五层卫生间上楼搬运费按项包干，后期不做调整；</w:t>
      </w:r>
    </w:p>
    <w:p>
      <w:pPr>
        <w:numPr>
          <w:ilvl w:val="0"/>
          <w:numId w:val="6"/>
        </w:numPr>
        <w:tabs>
          <w:tab w:val="left" w:pos="360"/>
          <w:tab w:val="left" w:pos="1080"/>
        </w:tabs>
        <w:spacing w:line="360" w:lineRule="auto"/>
        <w:ind w:left="0" w:firstLine="480" w:firstLineChars="200"/>
        <w:rPr>
          <w:rFonts w:hint="eastAsia" w:ascii="宋体" w:hAnsi="宋体" w:eastAsia="宋体" w:cs="Times New Roman"/>
          <w:kern w:val="28"/>
          <w:sz w:val="24"/>
          <w:lang w:val="en-US" w:eastAsia="zh-CN"/>
        </w:rPr>
      </w:pPr>
      <w:r>
        <w:rPr>
          <w:rFonts w:hint="eastAsia" w:ascii="宋体" w:hAnsi="宋体" w:eastAsia="宋体" w:cs="Times New Roman"/>
          <w:kern w:val="28"/>
          <w:sz w:val="24"/>
          <w:lang w:val="en-US" w:eastAsia="zh-CN"/>
        </w:rPr>
        <w:t>应业主要求，脚手架搭设按项包干，后期不做调整；</w:t>
      </w:r>
    </w:p>
    <w:p>
      <w:pPr>
        <w:numPr>
          <w:ilvl w:val="0"/>
          <w:numId w:val="5"/>
        </w:numPr>
        <w:tabs>
          <w:tab w:val="left" w:pos="540"/>
          <w:tab w:val="left" w:pos="900"/>
          <w:tab w:val="clear" w:pos="0"/>
        </w:tabs>
        <w:spacing w:line="360" w:lineRule="auto"/>
        <w:ind w:left="0" w:leftChars="0" w:right="25" w:rightChars="12" w:firstLine="510" w:firstLineChars="0"/>
        <w:rPr>
          <w:rFonts w:hint="eastAsia" w:ascii="宋体" w:hAnsi="宋体"/>
          <w:b/>
          <w:sz w:val="24"/>
        </w:rPr>
      </w:pPr>
      <w:r>
        <w:rPr>
          <w:rFonts w:hint="eastAsia" w:ascii="宋体" w:hAnsi="宋体"/>
          <w:b/>
          <w:sz w:val="24"/>
        </w:rPr>
        <w:t xml:space="preserve">安装 </w:t>
      </w:r>
    </w:p>
    <w:p>
      <w:pPr>
        <w:numPr>
          <w:ilvl w:val="0"/>
          <w:numId w:val="1"/>
        </w:numPr>
        <w:tabs>
          <w:tab w:val="left" w:pos="1080"/>
          <w:tab w:val="left" w:pos="8280"/>
          <w:tab w:val="left" w:pos="9180"/>
          <w:tab w:val="left" w:pos="9360"/>
        </w:tabs>
        <w:spacing w:line="360" w:lineRule="auto"/>
        <w:ind w:right="25" w:rightChars="12"/>
        <w:outlineLvl w:val="0"/>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安装工程：</w:t>
      </w:r>
    </w:p>
    <w:p>
      <w:pPr>
        <w:numPr>
          <w:ilvl w:val="0"/>
          <w:numId w:val="7"/>
        </w:numPr>
        <w:tabs>
          <w:tab w:val="left" w:pos="1080"/>
          <w:tab w:val="left" w:pos="8280"/>
          <w:tab w:val="left" w:pos="9180"/>
          <w:tab w:val="left" w:pos="9360"/>
        </w:tabs>
        <w:spacing w:line="360" w:lineRule="auto"/>
        <w:ind w:left="482" w:leftChars="0" w:right="25" w:rightChars="12"/>
        <w:outlineLvl w:val="0"/>
        <w:rPr>
          <w:rFonts w:hint="eastAsia" w:ascii="宋体" w:hAnsi="宋体"/>
          <w:kern w:val="28"/>
          <w:sz w:val="24"/>
          <w:lang w:val="en-US" w:eastAsia="zh-CN"/>
        </w:rPr>
      </w:pPr>
      <w:r>
        <w:rPr>
          <w:rFonts w:hint="eastAsia" w:ascii="宋体" w:hAnsi="宋体"/>
          <w:kern w:val="28"/>
          <w:sz w:val="24"/>
          <w:lang w:val="en-US" w:eastAsia="zh-CN"/>
        </w:rPr>
        <w:t>经设计回复，卫生间坐便器处采用防水插座</w:t>
      </w:r>
    </w:p>
    <w:p>
      <w:pPr>
        <w:numPr>
          <w:ilvl w:val="0"/>
          <w:numId w:val="0"/>
        </w:numPr>
        <w:tabs>
          <w:tab w:val="left" w:pos="1080"/>
          <w:tab w:val="left" w:pos="8280"/>
          <w:tab w:val="left" w:pos="9180"/>
          <w:tab w:val="left" w:pos="9360"/>
        </w:tabs>
        <w:spacing w:line="360" w:lineRule="auto"/>
        <w:ind w:right="25" w:rightChars="12"/>
        <w:outlineLvl w:val="0"/>
        <w:rPr>
          <w:rFonts w:hint="eastAsia" w:ascii="宋体" w:hAnsi="宋体"/>
          <w:kern w:val="28"/>
          <w:sz w:val="24"/>
          <w:lang w:val="en-US" w:eastAsia="zh-CN"/>
        </w:rPr>
      </w:pPr>
    </w:p>
    <w:p>
      <w:pPr>
        <w:numPr>
          <w:ilvl w:val="0"/>
          <w:numId w:val="1"/>
        </w:numPr>
        <w:tabs>
          <w:tab w:val="left" w:pos="1080"/>
          <w:tab w:val="left" w:pos="8280"/>
          <w:tab w:val="left" w:pos="9180"/>
          <w:tab w:val="left" w:pos="9360"/>
        </w:tabs>
        <w:spacing w:line="360" w:lineRule="auto"/>
        <w:ind w:right="25" w:rightChars="12"/>
        <w:outlineLvl w:val="0"/>
        <w:rPr>
          <w:rFonts w:hint="eastAsia" w:ascii="宋体" w:hAnsi="宋体"/>
          <w:b/>
          <w:sz w:val="24"/>
        </w:rPr>
      </w:pPr>
      <w:r>
        <w:rPr>
          <w:rFonts w:hint="eastAsia" w:ascii="宋体" w:hAnsi="宋体"/>
          <w:b/>
          <w:sz w:val="24"/>
        </w:rPr>
        <w:t>其他</w:t>
      </w:r>
    </w:p>
    <w:p>
      <w:pPr>
        <w:numPr>
          <w:ilvl w:val="0"/>
          <w:numId w:val="8"/>
        </w:numPr>
        <w:tabs>
          <w:tab w:val="left" w:pos="1080"/>
          <w:tab w:val="left" w:pos="8280"/>
          <w:tab w:val="left" w:pos="9180"/>
          <w:tab w:val="left" w:pos="9360"/>
          <w:tab w:val="clear" w:pos="0"/>
        </w:tabs>
        <w:spacing w:line="360" w:lineRule="auto"/>
        <w:ind w:left="0" w:leftChars="0" w:right="25" w:rightChars="12" w:firstLine="510" w:firstLineChars="0"/>
        <w:outlineLvl w:val="0"/>
        <w:rPr>
          <w:rFonts w:hint="eastAsia" w:ascii="宋体" w:hAnsi="宋体"/>
          <w:sz w:val="24"/>
        </w:rPr>
      </w:pPr>
      <w:r>
        <w:rPr>
          <w:rFonts w:hint="eastAsia" w:ascii="宋体" w:hAnsi="宋体" w:eastAsia="宋体" w:cs="宋体"/>
          <w:sz w:val="24"/>
        </w:rPr>
        <w:t>建设单位定价材料及参考品牌（若实际施工时更换品牌，更换选用产品品质、性能不低于定价及参考品牌，须经监理、建设单位同意）</w:t>
      </w:r>
    </w:p>
    <w:p>
      <w:pPr>
        <w:tabs>
          <w:tab w:val="left" w:pos="900"/>
          <w:tab w:val="left" w:pos="8280"/>
          <w:tab w:val="left" w:pos="9180"/>
          <w:tab w:val="left" w:pos="9360"/>
        </w:tabs>
        <w:spacing w:line="360" w:lineRule="auto"/>
        <w:ind w:left="510" w:right="25" w:rightChars="12"/>
        <w:jc w:val="center"/>
        <w:rPr>
          <w:rFonts w:hint="eastAsia" w:ascii="宋体" w:hAnsi="宋体"/>
          <w:sz w:val="24"/>
        </w:rPr>
      </w:pPr>
      <w:r>
        <w:rPr>
          <w:rFonts w:ascii="宋体" w:hAnsi="宋体"/>
          <w:sz w:val="24"/>
        </w:rPr>
        <w:t>材料、设备</w:t>
      </w:r>
      <w:r>
        <w:rPr>
          <w:rFonts w:hint="eastAsia" w:ascii="宋体" w:hAnsi="宋体"/>
          <w:sz w:val="24"/>
        </w:rPr>
        <w:t>品牌表</w:t>
      </w:r>
    </w:p>
    <w:tbl>
      <w:tblPr>
        <w:tblStyle w:val="2"/>
        <w:tblW w:w="8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835"/>
        <w:gridCol w:w="1662"/>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序号</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材料、设备名称</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参考品牌一</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参考品牌二</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参考品牌三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1</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乳胶漆</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立邦</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多乐士</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华润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rPr>
            </w:pPr>
            <w:r>
              <w:rPr>
                <w:rFonts w:hint="eastAsia" w:ascii="宋体" w:hAnsi="宋体" w:eastAsia="宋体" w:cs="宋体"/>
                <w:color w:val="auto"/>
                <w:sz w:val="22"/>
                <w:szCs w:val="22"/>
              </w:rPr>
              <w:t>2</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三夹板、九夹板、细木工板、木饰面、阻燃板等</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千年舟</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莫干山</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兔宝宝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3</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墙砖、地砖</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东鹏</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马可波罗</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斯米克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4</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开关、插座、空开等电气元配件</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施耐德</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西门子</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正泰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5</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灯具照明</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雷士</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欧普</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三雄极光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6</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电线、电缆</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宁波东方</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宁波球冠</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杭州中策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7</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卫生洁具（坐便器、蹲便器、洗脸盆、水龙头、花洒、冲水阀、地漏、配套五金件等）节水型</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箭牌ARROW</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美标</w:t>
            </w:r>
          </w:p>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American Standard</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恒洁</w:t>
            </w:r>
          </w:p>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HEGII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56"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9180"/>
                <w:tab w:val="left" w:pos="9360"/>
              </w:tabs>
              <w:spacing w:line="360" w:lineRule="auto"/>
              <w:ind w:right="25" w:rightChars="12"/>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8</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PVC-U排水管、PP-R给水管，穿线管、线槽等</w:t>
            </w:r>
          </w:p>
        </w:tc>
        <w:tc>
          <w:tcPr>
            <w:tcW w:w="166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伟星</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浙江中财</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sz w:val="22"/>
                <w:szCs w:val="22"/>
              </w:rPr>
            </w:pPr>
            <w:r>
              <w:rPr>
                <w:rFonts w:hint="eastAsia" w:ascii="宋体" w:hAnsi="宋体" w:eastAsia="宋体" w:cs="宋体"/>
                <w:color w:val="auto"/>
                <w:sz w:val="22"/>
                <w:szCs w:val="22"/>
              </w:rPr>
              <w:t>波尔</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7C960"/>
    <w:multiLevelType w:val="singleLevel"/>
    <w:tmpl w:val="8967C960"/>
    <w:lvl w:ilvl="0" w:tentative="0">
      <w:start w:val="1"/>
      <w:numFmt w:val="decimal"/>
      <w:suff w:val="nothing"/>
      <w:lvlText w:val="%1．"/>
      <w:lvlJc w:val="left"/>
      <w:pPr>
        <w:tabs>
          <w:tab w:val="left" w:pos="0"/>
        </w:tabs>
        <w:ind w:left="0" w:firstLine="510"/>
      </w:pPr>
      <w:rPr>
        <w:rFonts w:hint="default"/>
      </w:rPr>
    </w:lvl>
  </w:abstractNum>
  <w:abstractNum w:abstractNumId="1">
    <w:nsid w:val="08B407A3"/>
    <w:multiLevelType w:val="multilevel"/>
    <w:tmpl w:val="08B407A3"/>
    <w:lvl w:ilvl="0" w:tentative="0">
      <w:start w:val="1"/>
      <w:numFmt w:val="decimal"/>
      <w:lvlText w:val="(%1)"/>
      <w:lvlJc w:val="left"/>
      <w:pPr>
        <w:tabs>
          <w:tab w:val="left" w:pos="1519"/>
        </w:tabs>
        <w:ind w:left="1519" w:hanging="8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13211D"/>
    <w:multiLevelType w:val="multilevel"/>
    <w:tmpl w:val="0E13211D"/>
    <w:lvl w:ilvl="0" w:tentative="0">
      <w:start w:val="1"/>
      <w:numFmt w:val="decimal"/>
      <w:lvlText w:val="(%1)"/>
      <w:lvlJc w:val="left"/>
      <w:pPr>
        <w:tabs>
          <w:tab w:val="left" w:pos="1710"/>
        </w:tabs>
        <w:ind w:left="1710" w:hanging="8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00B657C"/>
    <w:multiLevelType w:val="singleLevel"/>
    <w:tmpl w:val="100B657C"/>
    <w:lvl w:ilvl="0" w:tentative="0">
      <w:start w:val="1"/>
      <w:numFmt w:val="decimal"/>
      <w:suff w:val="nothing"/>
      <w:lvlText w:val="（%1）"/>
      <w:lvlJc w:val="left"/>
    </w:lvl>
  </w:abstractNum>
  <w:abstractNum w:abstractNumId="4">
    <w:nsid w:val="4DCDF1D6"/>
    <w:multiLevelType w:val="singleLevel"/>
    <w:tmpl w:val="4DCDF1D6"/>
    <w:lvl w:ilvl="0" w:tentative="0">
      <w:start w:val="1"/>
      <w:numFmt w:val="decimal"/>
      <w:suff w:val="nothing"/>
      <w:lvlText w:val="%1．"/>
      <w:lvlJc w:val="left"/>
      <w:pPr>
        <w:tabs>
          <w:tab w:val="left" w:pos="0"/>
        </w:tabs>
        <w:ind w:left="0" w:firstLine="510"/>
      </w:pPr>
      <w:rPr>
        <w:rFonts w:hint="default"/>
      </w:rPr>
    </w:lvl>
  </w:abstractNum>
  <w:abstractNum w:abstractNumId="5">
    <w:nsid w:val="56823D27"/>
    <w:multiLevelType w:val="singleLevel"/>
    <w:tmpl w:val="56823D27"/>
    <w:lvl w:ilvl="0" w:tentative="0">
      <w:start w:val="1"/>
      <w:numFmt w:val="decimal"/>
      <w:suff w:val="nothing"/>
      <w:lvlText w:val="%1．"/>
      <w:lvlJc w:val="left"/>
      <w:pPr>
        <w:tabs>
          <w:tab w:val="left" w:pos="0"/>
        </w:tabs>
        <w:ind w:left="0" w:firstLine="510"/>
      </w:pPr>
      <w:rPr>
        <w:rFonts w:hint="default"/>
      </w:rPr>
    </w:lvl>
  </w:abstractNum>
  <w:abstractNum w:abstractNumId="6">
    <w:nsid w:val="71F1A784"/>
    <w:multiLevelType w:val="multilevel"/>
    <w:tmpl w:val="71F1A784"/>
    <w:lvl w:ilvl="0" w:tentative="0">
      <w:start w:val="1"/>
      <w:numFmt w:val="japaneseCounting"/>
      <w:lvlText w:val="%1、"/>
      <w:lvlJc w:val="left"/>
      <w:pPr>
        <w:tabs>
          <w:tab w:val="left" w:pos="824"/>
        </w:tabs>
        <w:ind w:left="824" w:hanging="342"/>
      </w:pPr>
      <w:rPr>
        <w:rFonts w:hint="eastAsia"/>
      </w:rPr>
    </w:lvl>
    <w:lvl w:ilvl="1" w:tentative="0">
      <w:start w:val="1"/>
      <w:numFmt w:val="lowerLetter"/>
      <w:lvlText w:val="%2)"/>
      <w:lvlJc w:val="left"/>
      <w:pPr>
        <w:tabs>
          <w:tab w:val="left" w:pos="1184"/>
        </w:tabs>
        <w:ind w:left="1184" w:hanging="420"/>
      </w:pPr>
      <w:rPr>
        <w:rFonts w:hint="eastAsia"/>
      </w:rPr>
    </w:lvl>
    <w:lvl w:ilvl="2" w:tentative="0">
      <w:start w:val="1"/>
      <w:numFmt w:val="lowerRoman"/>
      <w:lvlText w:val="%3."/>
      <w:lvlJc w:val="right"/>
      <w:pPr>
        <w:tabs>
          <w:tab w:val="left" w:pos="1604"/>
        </w:tabs>
        <w:ind w:left="1604" w:hanging="420"/>
      </w:pPr>
      <w:rPr>
        <w:rFonts w:hint="eastAsia"/>
      </w:rPr>
    </w:lvl>
    <w:lvl w:ilvl="3" w:tentative="0">
      <w:start w:val="1"/>
      <w:numFmt w:val="decimal"/>
      <w:lvlText w:val="%4."/>
      <w:lvlJc w:val="left"/>
      <w:pPr>
        <w:tabs>
          <w:tab w:val="left" w:pos="2024"/>
        </w:tabs>
        <w:ind w:left="2024" w:hanging="420"/>
      </w:pPr>
      <w:rPr>
        <w:rFonts w:hint="eastAsia"/>
      </w:rPr>
    </w:lvl>
    <w:lvl w:ilvl="4" w:tentative="0">
      <w:start w:val="1"/>
      <w:numFmt w:val="lowerLetter"/>
      <w:lvlText w:val="%5)"/>
      <w:lvlJc w:val="left"/>
      <w:pPr>
        <w:tabs>
          <w:tab w:val="left" w:pos="2444"/>
        </w:tabs>
        <w:ind w:left="2444" w:hanging="420"/>
      </w:pPr>
      <w:rPr>
        <w:rFonts w:hint="eastAsia"/>
      </w:rPr>
    </w:lvl>
    <w:lvl w:ilvl="5" w:tentative="0">
      <w:start w:val="1"/>
      <w:numFmt w:val="lowerRoman"/>
      <w:lvlText w:val="%6."/>
      <w:lvlJc w:val="right"/>
      <w:pPr>
        <w:tabs>
          <w:tab w:val="left" w:pos="2864"/>
        </w:tabs>
        <w:ind w:left="2864" w:hanging="420"/>
      </w:pPr>
      <w:rPr>
        <w:rFonts w:hint="eastAsia"/>
      </w:rPr>
    </w:lvl>
    <w:lvl w:ilvl="6" w:tentative="0">
      <w:start w:val="1"/>
      <w:numFmt w:val="decimal"/>
      <w:lvlText w:val="%7."/>
      <w:lvlJc w:val="left"/>
      <w:pPr>
        <w:tabs>
          <w:tab w:val="left" w:pos="3284"/>
        </w:tabs>
        <w:ind w:left="3284" w:hanging="420"/>
      </w:pPr>
      <w:rPr>
        <w:rFonts w:hint="eastAsia"/>
      </w:rPr>
    </w:lvl>
    <w:lvl w:ilvl="7" w:tentative="0">
      <w:start w:val="1"/>
      <w:numFmt w:val="lowerLetter"/>
      <w:lvlText w:val="%8)"/>
      <w:lvlJc w:val="left"/>
      <w:pPr>
        <w:tabs>
          <w:tab w:val="left" w:pos="3704"/>
        </w:tabs>
        <w:ind w:left="3704" w:hanging="420"/>
      </w:pPr>
      <w:rPr>
        <w:rFonts w:hint="eastAsia"/>
      </w:rPr>
    </w:lvl>
    <w:lvl w:ilvl="8" w:tentative="0">
      <w:start w:val="1"/>
      <w:numFmt w:val="lowerRoman"/>
      <w:lvlText w:val="%9."/>
      <w:lvlJc w:val="right"/>
      <w:pPr>
        <w:tabs>
          <w:tab w:val="left" w:pos="4124"/>
        </w:tabs>
        <w:ind w:left="4124" w:hanging="420"/>
      </w:pPr>
      <w:rPr>
        <w:rFonts w:hint="eastAsia"/>
      </w:rPr>
    </w:lvl>
  </w:abstractNum>
  <w:abstractNum w:abstractNumId="7">
    <w:nsid w:val="7AE62BEE"/>
    <w:multiLevelType w:val="singleLevel"/>
    <w:tmpl w:val="7AE62BEE"/>
    <w:lvl w:ilvl="0" w:tentative="0">
      <w:start w:val="1"/>
      <w:numFmt w:val="decimal"/>
      <w:suff w:val="nothing"/>
      <w:lvlText w:val="%1．"/>
      <w:lvlJc w:val="left"/>
      <w:pPr>
        <w:tabs>
          <w:tab w:val="left" w:pos="0"/>
        </w:tabs>
        <w:ind w:left="0" w:firstLine="510"/>
      </w:pPr>
      <w:rPr>
        <w:rFonts w:hint="default"/>
      </w:rPr>
    </w:lvl>
  </w:abstractNum>
  <w:num w:numId="1">
    <w:abstractNumId w:val="6"/>
  </w:num>
  <w:num w:numId="2">
    <w:abstractNumId w:val="0"/>
  </w:num>
  <w:num w:numId="3">
    <w:abstractNumId w:val="5"/>
  </w:num>
  <w:num w:numId="4">
    <w:abstractNumId w:val="2"/>
  </w:num>
  <w:num w:numId="5">
    <w:abstractNumId w:val="7"/>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MTM5ZjNmOGM3NDQxNWExZjM2YWZhYmI1NmQxYmIifQ=="/>
  </w:docVars>
  <w:rsids>
    <w:rsidRoot w:val="00000000"/>
    <w:rsid w:val="27F71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2025-06-30T14:06:52Z</dcterms:created>
  <dc:creator>admin</dc:creator>
  <cp:lastModifiedBy>张三</cp:lastModifiedBy>
  <dcterms:modified xsi:type="dcterms:W3CDTF">2025-06-30T14:07:01Z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D18FCA48C7854068B45183695E26141D_12</vt:lpwstr>
  </property>
</Properties>
</file>