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1C0E6">
      <w:pPr>
        <w:adjustRightInd/>
        <w:spacing w:line="360" w:lineRule="auto"/>
        <w:jc w:val="center"/>
        <w:rPr>
          <w:rFonts w:ascii="宋体" w:hAnsi="宋体" w:cs="宋体"/>
          <w:b/>
          <w:color w:val="auto"/>
          <w:sz w:val="48"/>
          <w:szCs w:val="48"/>
          <w:highlight w:val="none"/>
        </w:rPr>
      </w:pPr>
    </w:p>
    <w:p w14:paraId="5C75A239">
      <w:pPr>
        <w:adjustRightInd/>
        <w:spacing w:line="360" w:lineRule="auto"/>
        <w:jc w:val="center"/>
        <w:rPr>
          <w:rFonts w:hint="eastAsia" w:ascii="宋体" w:hAnsi="宋体" w:eastAsia="宋体" w:cs="宋体"/>
          <w:color w:val="auto"/>
          <w:sz w:val="48"/>
          <w:szCs w:val="48"/>
          <w:highlight w:val="none"/>
        </w:rPr>
      </w:pPr>
      <w:bookmarkStart w:id="0" w:name="_Toc4543"/>
    </w:p>
    <w:bookmarkEnd w:id="0"/>
    <w:p w14:paraId="4217A59B">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val="en-US" w:eastAsia="zh-CN"/>
        </w:rPr>
        <w:t>嵊泗县原天成化工厂地块一（原天成化工厂东侧主厂区）土壤污染修复项目</w:t>
      </w:r>
    </w:p>
    <w:p w14:paraId="78BBDF6D">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75093CB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FD9BA8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科信建代字[2025]101147号</w:t>
      </w:r>
    </w:p>
    <w:p w14:paraId="692045F9">
      <w:pPr>
        <w:adjustRightInd/>
        <w:spacing w:line="360" w:lineRule="auto"/>
        <w:rPr>
          <w:rFonts w:ascii="宋体" w:hAnsi="宋体" w:cs="宋体"/>
          <w:color w:val="auto"/>
          <w:sz w:val="28"/>
          <w:szCs w:val="20"/>
          <w:highlight w:val="none"/>
        </w:rPr>
      </w:pPr>
    </w:p>
    <w:p w14:paraId="3C06651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A62B785">
      <w:pPr>
        <w:spacing w:line="360" w:lineRule="auto"/>
        <w:jc w:val="center"/>
        <w:rPr>
          <w:rFonts w:ascii="宋体" w:hAnsi="宋体" w:cs="宋体"/>
          <w:b/>
          <w:color w:val="auto"/>
          <w:sz w:val="44"/>
          <w:szCs w:val="44"/>
          <w:highlight w:val="none"/>
        </w:rPr>
      </w:pPr>
    </w:p>
    <w:p w14:paraId="0C7DDFDC">
      <w:pPr>
        <w:spacing w:line="360" w:lineRule="auto"/>
        <w:jc w:val="center"/>
        <w:rPr>
          <w:rFonts w:ascii="宋体" w:hAnsi="宋体" w:cs="宋体"/>
          <w:color w:val="auto"/>
          <w:sz w:val="24"/>
          <w:highlight w:val="none"/>
        </w:rPr>
      </w:pPr>
    </w:p>
    <w:p w14:paraId="14B5DB63">
      <w:pPr>
        <w:spacing w:line="360" w:lineRule="auto"/>
        <w:jc w:val="center"/>
        <w:rPr>
          <w:rFonts w:ascii="宋体" w:hAnsi="宋体" w:cs="宋体"/>
          <w:color w:val="auto"/>
          <w:sz w:val="24"/>
          <w:highlight w:val="none"/>
        </w:rPr>
      </w:pPr>
    </w:p>
    <w:p w14:paraId="54706DB4">
      <w:pPr>
        <w:spacing w:line="360" w:lineRule="auto"/>
        <w:rPr>
          <w:rFonts w:ascii="宋体" w:hAnsi="宋体" w:cs="宋体"/>
          <w:color w:val="auto"/>
          <w:sz w:val="32"/>
          <w:szCs w:val="32"/>
          <w:highlight w:val="none"/>
        </w:rPr>
      </w:pPr>
    </w:p>
    <w:p w14:paraId="1594330E">
      <w:pPr>
        <w:pStyle w:val="25"/>
        <w:rPr>
          <w:rFonts w:ascii="宋体" w:hAnsi="宋体" w:cs="宋体"/>
          <w:color w:val="auto"/>
          <w:sz w:val="32"/>
          <w:szCs w:val="32"/>
          <w:highlight w:val="none"/>
        </w:rPr>
      </w:pPr>
    </w:p>
    <w:p w14:paraId="52359D04">
      <w:pPr>
        <w:rPr>
          <w:color w:val="auto"/>
          <w:highlight w:val="none"/>
        </w:rPr>
      </w:pPr>
    </w:p>
    <w:p w14:paraId="2828C27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采购人：</w:t>
      </w:r>
      <w:bookmarkStart w:id="1" w:name="_Toc2466"/>
      <w:r>
        <w:rPr>
          <w:rFonts w:hint="eastAsia" w:ascii="宋体" w:hAnsi="宋体" w:cs="宋体"/>
          <w:bCs/>
          <w:color w:val="auto"/>
          <w:sz w:val="32"/>
          <w:szCs w:val="32"/>
          <w:highlight w:val="none"/>
          <w:lang w:eastAsia="zh-CN"/>
        </w:rPr>
        <w:t>嵊泗县自然资源和规划局</w:t>
      </w:r>
    </w:p>
    <w:p w14:paraId="2CDCE269">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采购代理机构：</w:t>
      </w:r>
      <w:bookmarkEnd w:id="1"/>
      <w:r>
        <w:rPr>
          <w:rFonts w:hint="eastAsia" w:ascii="宋体" w:hAnsi="宋体" w:cs="宋体"/>
          <w:bCs/>
          <w:color w:val="auto"/>
          <w:sz w:val="32"/>
          <w:szCs w:val="32"/>
          <w:highlight w:val="none"/>
          <w:lang w:val="en-US" w:eastAsia="zh-CN"/>
        </w:rPr>
        <w:t>科信联合工程咨询有限公司</w:t>
      </w:r>
    </w:p>
    <w:p w14:paraId="3C3DECE2">
      <w:pPr>
        <w:spacing w:line="360" w:lineRule="auto"/>
        <w:jc w:val="center"/>
        <w:rPr>
          <w:rFonts w:hint="eastAsia" w:ascii="宋体" w:hAnsi="宋体" w:eastAsia="宋体" w:cs="宋体"/>
          <w:bCs/>
          <w:color w:val="auto"/>
          <w:sz w:val="32"/>
          <w:szCs w:val="32"/>
          <w:highlight w:val="none"/>
          <w:lang w:eastAsia="zh-CN"/>
        </w:rPr>
      </w:pPr>
    </w:p>
    <w:p w14:paraId="154E12B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p>
    <w:p w14:paraId="126F76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4E1302DB">
      <w:pPr>
        <w:spacing w:line="360" w:lineRule="auto"/>
        <w:jc w:val="center"/>
        <w:rPr>
          <w:rFonts w:ascii="宋体" w:hAnsi="宋体" w:cs="宋体"/>
          <w:color w:val="auto"/>
          <w:sz w:val="24"/>
          <w:highlight w:val="none"/>
        </w:rPr>
      </w:pPr>
    </w:p>
    <w:p w14:paraId="0BC6E5CD">
      <w:pPr>
        <w:spacing w:line="360" w:lineRule="auto"/>
        <w:outlineLvl w:val="9"/>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70846"/>
        <w15:color w:val="DBDBDB"/>
        <w:docPartObj>
          <w:docPartGallery w:val="Table of Contents"/>
          <w:docPartUnique/>
        </w:docPartObj>
      </w:sdtPr>
      <w:sdtEndPr>
        <w:rPr>
          <w:rFonts w:ascii="Times New Roman" w:hAnsi="Times New Roman" w:eastAsia="楷体_GB2312" w:cs="Lucida Sans"/>
          <w:color w:val="auto"/>
          <w:kern w:val="2"/>
          <w:sz w:val="24"/>
          <w:szCs w:val="24"/>
          <w:highlight w:val="none"/>
          <w:lang w:val="en-US" w:eastAsia="zh-CN" w:bidi="ar-SA"/>
        </w:rPr>
      </w:sdtEndPr>
      <w:sdtContent>
        <w:p w14:paraId="4AA476F5">
          <w:pPr>
            <w:spacing w:before="0" w:beforeLines="0" w:after="0" w:afterLines="0" w:line="36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613DD047">
          <w:pPr>
            <w:pStyle w:val="45"/>
            <w:tabs>
              <w:tab w:val="right" w:leader="dot" w:pos="9071"/>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TOC \o "1-1" \h \u </w:instrText>
          </w:r>
          <w:r>
            <w:rPr>
              <w:color w:val="auto"/>
              <w:sz w:val="32"/>
              <w:szCs w:val="40"/>
              <w:highlight w:val="none"/>
            </w:rPr>
            <w:fldChar w:fldCharType="separate"/>
          </w:r>
          <w:r>
            <w:rPr>
              <w:color w:val="auto"/>
              <w:sz w:val="32"/>
              <w:szCs w:val="40"/>
              <w:highlight w:val="none"/>
            </w:rPr>
            <w:fldChar w:fldCharType="begin"/>
          </w:r>
          <w:r>
            <w:rPr>
              <w:color w:val="auto"/>
              <w:sz w:val="32"/>
              <w:szCs w:val="40"/>
              <w:highlight w:val="none"/>
            </w:rPr>
            <w:instrText xml:space="preserve"> HYPERLINK \l _Toc12584 </w:instrText>
          </w:r>
          <w:r>
            <w:rPr>
              <w:color w:val="auto"/>
              <w:sz w:val="32"/>
              <w:szCs w:val="40"/>
              <w:highlight w:val="none"/>
            </w:rPr>
            <w:fldChar w:fldCharType="separate"/>
          </w:r>
          <w:r>
            <w:rPr>
              <w:rFonts w:hint="eastAsia"/>
              <w:color w:val="auto"/>
              <w:sz w:val="32"/>
              <w:szCs w:val="40"/>
              <w:highlight w:val="none"/>
            </w:rPr>
            <w:t>第一部分 招标公告</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_Toc12584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color w:val="auto"/>
              <w:sz w:val="32"/>
              <w:szCs w:val="40"/>
              <w:highlight w:val="none"/>
            </w:rPr>
            <w:fldChar w:fldCharType="end"/>
          </w:r>
        </w:p>
        <w:p w14:paraId="5C784A4B">
          <w:pPr>
            <w:pStyle w:val="45"/>
            <w:tabs>
              <w:tab w:val="right" w:leader="dot" w:pos="9071"/>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_Toc29324 </w:instrText>
          </w:r>
          <w:r>
            <w:rPr>
              <w:color w:val="auto"/>
              <w:sz w:val="32"/>
              <w:szCs w:val="40"/>
              <w:highlight w:val="none"/>
            </w:rPr>
            <w:fldChar w:fldCharType="separate"/>
          </w:r>
          <w:r>
            <w:rPr>
              <w:rFonts w:hint="eastAsia" w:ascii="宋体" w:hAnsi="宋体" w:cs="宋体"/>
              <w:color w:val="auto"/>
              <w:sz w:val="32"/>
              <w:szCs w:val="28"/>
              <w:highlight w:val="none"/>
            </w:rPr>
            <w:t>第二部分 投标人须知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_Toc29324 \h </w:instrText>
          </w:r>
          <w:r>
            <w:rPr>
              <w:color w:val="auto"/>
              <w:sz w:val="32"/>
              <w:szCs w:val="40"/>
              <w:highlight w:val="none"/>
            </w:rPr>
            <w:fldChar w:fldCharType="separate"/>
          </w:r>
          <w:r>
            <w:rPr>
              <w:color w:val="auto"/>
              <w:sz w:val="32"/>
              <w:szCs w:val="40"/>
              <w:highlight w:val="none"/>
            </w:rPr>
            <w:t>5</w:t>
          </w:r>
          <w:r>
            <w:rPr>
              <w:color w:val="auto"/>
              <w:sz w:val="32"/>
              <w:szCs w:val="40"/>
              <w:highlight w:val="none"/>
            </w:rPr>
            <w:fldChar w:fldCharType="end"/>
          </w:r>
          <w:r>
            <w:rPr>
              <w:color w:val="auto"/>
              <w:sz w:val="32"/>
              <w:szCs w:val="40"/>
              <w:highlight w:val="none"/>
            </w:rPr>
            <w:fldChar w:fldCharType="end"/>
          </w:r>
        </w:p>
        <w:p w14:paraId="64FC1B4D">
          <w:pPr>
            <w:pStyle w:val="45"/>
            <w:tabs>
              <w:tab w:val="right" w:leader="dot" w:pos="9071"/>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_Toc922 </w:instrText>
          </w:r>
          <w:r>
            <w:rPr>
              <w:color w:val="auto"/>
              <w:sz w:val="32"/>
              <w:szCs w:val="40"/>
              <w:highlight w:val="none"/>
            </w:rPr>
            <w:fldChar w:fldCharType="separate"/>
          </w:r>
          <w:r>
            <w:rPr>
              <w:rFonts w:hint="eastAsia" w:ascii="宋体" w:hAnsi="宋体" w:cs="宋体"/>
              <w:color w:val="auto"/>
              <w:sz w:val="32"/>
              <w:szCs w:val="52"/>
              <w:highlight w:val="none"/>
            </w:rPr>
            <w:t>第三部分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_Toc922 \h </w:instrText>
          </w:r>
          <w:r>
            <w:rPr>
              <w:color w:val="auto"/>
              <w:sz w:val="32"/>
              <w:szCs w:val="40"/>
              <w:highlight w:val="none"/>
            </w:rPr>
            <w:fldChar w:fldCharType="separate"/>
          </w:r>
          <w:r>
            <w:rPr>
              <w:color w:val="auto"/>
              <w:sz w:val="32"/>
              <w:szCs w:val="40"/>
              <w:highlight w:val="none"/>
            </w:rPr>
            <w:t>19</w:t>
          </w:r>
          <w:r>
            <w:rPr>
              <w:color w:val="auto"/>
              <w:sz w:val="32"/>
              <w:szCs w:val="40"/>
              <w:highlight w:val="none"/>
            </w:rPr>
            <w:fldChar w:fldCharType="end"/>
          </w:r>
          <w:r>
            <w:rPr>
              <w:color w:val="auto"/>
              <w:sz w:val="32"/>
              <w:szCs w:val="40"/>
              <w:highlight w:val="none"/>
            </w:rPr>
            <w:fldChar w:fldCharType="end"/>
          </w:r>
        </w:p>
        <w:p w14:paraId="6856907C">
          <w:pPr>
            <w:pStyle w:val="45"/>
            <w:tabs>
              <w:tab w:val="right" w:leader="dot" w:pos="9071"/>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_Toc496 </w:instrText>
          </w:r>
          <w:r>
            <w:rPr>
              <w:color w:val="auto"/>
              <w:sz w:val="32"/>
              <w:szCs w:val="40"/>
              <w:highlight w:val="none"/>
            </w:rPr>
            <w:fldChar w:fldCharType="separate"/>
          </w:r>
          <w:r>
            <w:rPr>
              <w:rFonts w:hint="eastAsia" w:ascii="宋体" w:hAnsi="宋体" w:cs="宋体"/>
              <w:color w:val="auto"/>
              <w:sz w:val="32"/>
              <w:szCs w:val="52"/>
              <w:highlight w:val="none"/>
            </w:rPr>
            <w:t>第四部分 评标办法</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_Toc496 \h </w:instrText>
          </w:r>
          <w:r>
            <w:rPr>
              <w:color w:val="auto"/>
              <w:sz w:val="32"/>
              <w:szCs w:val="40"/>
              <w:highlight w:val="none"/>
            </w:rPr>
            <w:fldChar w:fldCharType="separate"/>
          </w:r>
          <w:r>
            <w:rPr>
              <w:color w:val="auto"/>
              <w:sz w:val="32"/>
              <w:szCs w:val="40"/>
              <w:highlight w:val="none"/>
            </w:rPr>
            <w:t>21</w:t>
          </w:r>
          <w:r>
            <w:rPr>
              <w:color w:val="auto"/>
              <w:sz w:val="32"/>
              <w:szCs w:val="40"/>
              <w:highlight w:val="none"/>
            </w:rPr>
            <w:fldChar w:fldCharType="end"/>
          </w:r>
          <w:r>
            <w:rPr>
              <w:color w:val="auto"/>
              <w:sz w:val="32"/>
              <w:szCs w:val="40"/>
              <w:highlight w:val="none"/>
            </w:rPr>
            <w:fldChar w:fldCharType="end"/>
          </w:r>
        </w:p>
        <w:p w14:paraId="4173108E">
          <w:pPr>
            <w:pStyle w:val="45"/>
            <w:tabs>
              <w:tab w:val="right" w:leader="dot" w:pos="9071"/>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_Toc7902 </w:instrText>
          </w:r>
          <w:r>
            <w:rPr>
              <w:color w:val="auto"/>
              <w:sz w:val="32"/>
              <w:szCs w:val="40"/>
              <w:highlight w:val="none"/>
            </w:rPr>
            <w:fldChar w:fldCharType="separate"/>
          </w:r>
          <w:r>
            <w:rPr>
              <w:rFonts w:hint="eastAsia" w:ascii="宋体" w:hAnsi="宋体" w:cs="宋体"/>
              <w:color w:val="auto"/>
              <w:sz w:val="32"/>
              <w:szCs w:val="52"/>
              <w:highlight w:val="none"/>
            </w:rPr>
            <w:t>第五部分 拟签订的合同文本</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_Toc7902 \h </w:instrText>
          </w:r>
          <w:r>
            <w:rPr>
              <w:color w:val="auto"/>
              <w:sz w:val="32"/>
              <w:szCs w:val="40"/>
              <w:highlight w:val="none"/>
            </w:rPr>
            <w:fldChar w:fldCharType="separate"/>
          </w:r>
          <w:r>
            <w:rPr>
              <w:color w:val="auto"/>
              <w:sz w:val="32"/>
              <w:szCs w:val="40"/>
              <w:highlight w:val="none"/>
            </w:rPr>
            <w:t>30</w:t>
          </w:r>
          <w:r>
            <w:rPr>
              <w:color w:val="auto"/>
              <w:sz w:val="32"/>
              <w:szCs w:val="40"/>
              <w:highlight w:val="none"/>
            </w:rPr>
            <w:fldChar w:fldCharType="end"/>
          </w:r>
          <w:r>
            <w:rPr>
              <w:color w:val="auto"/>
              <w:sz w:val="32"/>
              <w:szCs w:val="40"/>
              <w:highlight w:val="none"/>
            </w:rPr>
            <w:fldChar w:fldCharType="end"/>
          </w:r>
        </w:p>
        <w:p w14:paraId="324EBD01">
          <w:pPr>
            <w:pStyle w:val="45"/>
            <w:tabs>
              <w:tab w:val="right" w:leader="dot" w:pos="9071"/>
            </w:tabs>
            <w:spacing w:line="360" w:lineRule="auto"/>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_Toc15094 </w:instrText>
          </w:r>
          <w:r>
            <w:rPr>
              <w:color w:val="auto"/>
              <w:sz w:val="32"/>
              <w:szCs w:val="40"/>
              <w:highlight w:val="none"/>
            </w:rPr>
            <w:fldChar w:fldCharType="separate"/>
          </w:r>
          <w:r>
            <w:rPr>
              <w:rFonts w:hint="eastAsia" w:ascii="宋体" w:hAnsi="宋体" w:cs="宋体"/>
              <w:color w:val="auto"/>
              <w:sz w:val="32"/>
              <w:szCs w:val="28"/>
              <w:highlight w:val="none"/>
            </w:rPr>
            <w:t>第六部分 应提交的有关格式范例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_Toc15094 \h </w:instrText>
          </w:r>
          <w:r>
            <w:rPr>
              <w:color w:val="auto"/>
              <w:sz w:val="32"/>
              <w:szCs w:val="40"/>
              <w:highlight w:val="none"/>
            </w:rPr>
            <w:fldChar w:fldCharType="separate"/>
          </w:r>
          <w:r>
            <w:rPr>
              <w:color w:val="auto"/>
              <w:sz w:val="32"/>
              <w:szCs w:val="40"/>
              <w:highlight w:val="none"/>
            </w:rPr>
            <w:t>60</w:t>
          </w:r>
          <w:r>
            <w:rPr>
              <w:color w:val="auto"/>
              <w:sz w:val="32"/>
              <w:szCs w:val="40"/>
              <w:highlight w:val="none"/>
            </w:rPr>
            <w:fldChar w:fldCharType="end"/>
          </w:r>
          <w:r>
            <w:rPr>
              <w:color w:val="auto"/>
              <w:sz w:val="32"/>
              <w:szCs w:val="40"/>
              <w:highlight w:val="none"/>
            </w:rPr>
            <w:fldChar w:fldCharType="end"/>
          </w:r>
        </w:p>
        <w:p w14:paraId="7E4119ED">
          <w:pPr>
            <w:pStyle w:val="81"/>
            <w:spacing w:line="360" w:lineRule="auto"/>
            <w:rPr>
              <w:rFonts w:ascii="Times New Roman" w:hAnsi="Times New Roman" w:eastAsia="楷体_GB2312" w:cs="Lucida Sans"/>
              <w:color w:val="auto"/>
              <w:kern w:val="2"/>
              <w:sz w:val="24"/>
              <w:szCs w:val="24"/>
              <w:highlight w:val="none"/>
              <w:lang w:val="en-US" w:eastAsia="zh-CN" w:bidi="ar-SA"/>
            </w:rPr>
          </w:pPr>
          <w:r>
            <w:rPr>
              <w:color w:val="auto"/>
              <w:sz w:val="40"/>
              <w:szCs w:val="40"/>
              <w:highlight w:val="none"/>
            </w:rPr>
            <w:fldChar w:fldCharType="end"/>
          </w:r>
        </w:p>
      </w:sdtContent>
    </w:sdt>
    <w:p w14:paraId="7E0EC478">
      <w:pPr>
        <w:pStyle w:val="81"/>
        <w:rPr>
          <w:rFonts w:ascii="Times New Roman" w:hAnsi="Times New Roman" w:eastAsia="楷体_GB2312" w:cs="Lucida Sans"/>
          <w:color w:val="auto"/>
          <w:kern w:val="2"/>
          <w:sz w:val="24"/>
          <w:szCs w:val="24"/>
          <w:highlight w:val="none"/>
          <w:lang w:val="en-US" w:eastAsia="zh-CN" w:bidi="ar-SA"/>
        </w:rPr>
      </w:pPr>
    </w:p>
    <w:p w14:paraId="1C6A9879">
      <w:pPr>
        <w:spacing w:line="360" w:lineRule="auto"/>
        <w:ind w:firstLine="549" w:firstLineChars="229"/>
        <w:rPr>
          <w:rFonts w:ascii="宋体" w:hAnsi="宋体" w:cs="宋体"/>
          <w:color w:val="auto"/>
          <w:sz w:val="24"/>
          <w:highlight w:val="none"/>
        </w:rPr>
      </w:pPr>
    </w:p>
    <w:p w14:paraId="32A08720">
      <w:pPr>
        <w:spacing w:line="360" w:lineRule="auto"/>
        <w:ind w:firstLine="549" w:firstLineChars="229"/>
        <w:rPr>
          <w:rFonts w:ascii="宋体" w:hAnsi="宋体" w:cs="宋体"/>
          <w:color w:val="auto"/>
          <w:sz w:val="24"/>
          <w:highlight w:val="none"/>
        </w:rPr>
      </w:pPr>
    </w:p>
    <w:p w14:paraId="2D044371">
      <w:pPr>
        <w:spacing w:line="360" w:lineRule="auto"/>
        <w:ind w:firstLine="549" w:firstLineChars="229"/>
        <w:rPr>
          <w:rFonts w:ascii="宋体" w:hAnsi="宋体" w:cs="宋体"/>
          <w:color w:val="auto"/>
          <w:sz w:val="24"/>
          <w:highlight w:val="none"/>
        </w:rPr>
      </w:pPr>
    </w:p>
    <w:p w14:paraId="140F32D6">
      <w:pPr>
        <w:spacing w:line="360" w:lineRule="auto"/>
        <w:ind w:firstLine="549" w:firstLineChars="229"/>
        <w:rPr>
          <w:rFonts w:ascii="宋体" w:hAnsi="宋体" w:cs="宋体"/>
          <w:color w:val="auto"/>
          <w:sz w:val="24"/>
          <w:highlight w:val="none"/>
        </w:rPr>
      </w:pPr>
    </w:p>
    <w:p w14:paraId="07CDD376">
      <w:pPr>
        <w:spacing w:line="360" w:lineRule="auto"/>
        <w:ind w:firstLine="549" w:firstLineChars="229"/>
        <w:rPr>
          <w:rFonts w:ascii="宋体" w:hAnsi="宋体" w:cs="宋体"/>
          <w:color w:val="auto"/>
          <w:sz w:val="24"/>
          <w:highlight w:val="none"/>
        </w:rPr>
      </w:pPr>
    </w:p>
    <w:p w14:paraId="04D54DC2">
      <w:pPr>
        <w:spacing w:line="360" w:lineRule="auto"/>
        <w:ind w:firstLine="549" w:firstLineChars="229"/>
        <w:rPr>
          <w:rFonts w:ascii="宋体" w:hAnsi="宋体" w:cs="宋体"/>
          <w:color w:val="auto"/>
          <w:sz w:val="24"/>
          <w:highlight w:val="none"/>
        </w:rPr>
      </w:pPr>
    </w:p>
    <w:p w14:paraId="17E30289">
      <w:pPr>
        <w:spacing w:line="360" w:lineRule="auto"/>
        <w:ind w:firstLine="549" w:firstLineChars="229"/>
        <w:rPr>
          <w:rFonts w:ascii="宋体" w:hAnsi="宋体" w:cs="宋体"/>
          <w:color w:val="auto"/>
          <w:sz w:val="24"/>
          <w:highlight w:val="none"/>
        </w:rPr>
      </w:pPr>
    </w:p>
    <w:p w14:paraId="5EADDA16">
      <w:pPr>
        <w:spacing w:line="360" w:lineRule="auto"/>
        <w:ind w:firstLine="549" w:firstLineChars="229"/>
        <w:rPr>
          <w:rFonts w:ascii="宋体" w:hAnsi="宋体" w:cs="宋体"/>
          <w:color w:val="auto"/>
          <w:sz w:val="24"/>
          <w:highlight w:val="none"/>
        </w:rPr>
      </w:pPr>
    </w:p>
    <w:p w14:paraId="524FCCFB">
      <w:pPr>
        <w:spacing w:line="360" w:lineRule="auto"/>
        <w:ind w:firstLine="549" w:firstLineChars="229"/>
        <w:rPr>
          <w:rFonts w:ascii="宋体" w:hAnsi="宋体" w:cs="宋体"/>
          <w:color w:val="auto"/>
          <w:sz w:val="24"/>
          <w:highlight w:val="none"/>
        </w:rPr>
      </w:pPr>
    </w:p>
    <w:p w14:paraId="661F99BC">
      <w:pPr>
        <w:spacing w:line="360" w:lineRule="auto"/>
        <w:ind w:firstLine="549" w:firstLineChars="229"/>
        <w:rPr>
          <w:rFonts w:ascii="宋体" w:hAnsi="宋体" w:cs="宋体"/>
          <w:color w:val="auto"/>
          <w:sz w:val="24"/>
          <w:highlight w:val="none"/>
        </w:rPr>
      </w:pPr>
    </w:p>
    <w:p w14:paraId="3B504B72">
      <w:pPr>
        <w:spacing w:line="360" w:lineRule="auto"/>
        <w:ind w:firstLine="549" w:firstLineChars="229"/>
        <w:rPr>
          <w:rFonts w:ascii="宋体" w:hAnsi="宋体" w:cs="宋体"/>
          <w:color w:val="auto"/>
          <w:sz w:val="24"/>
          <w:highlight w:val="none"/>
        </w:rPr>
      </w:pPr>
    </w:p>
    <w:p w14:paraId="602B36E2">
      <w:pPr>
        <w:spacing w:line="360" w:lineRule="auto"/>
        <w:ind w:firstLine="549" w:firstLineChars="229"/>
        <w:rPr>
          <w:rFonts w:ascii="宋体" w:hAnsi="宋体" w:cs="宋体"/>
          <w:color w:val="auto"/>
          <w:sz w:val="24"/>
          <w:highlight w:val="none"/>
        </w:rPr>
      </w:pPr>
    </w:p>
    <w:p w14:paraId="4E09A3C8">
      <w:pPr>
        <w:spacing w:line="360" w:lineRule="auto"/>
        <w:rPr>
          <w:rFonts w:ascii="宋体" w:hAnsi="宋体" w:cs="宋体"/>
          <w:color w:val="auto"/>
          <w:sz w:val="24"/>
          <w:highlight w:val="none"/>
        </w:rPr>
      </w:pPr>
    </w:p>
    <w:p w14:paraId="70410A65">
      <w:pPr>
        <w:adjustRightInd/>
        <w:spacing w:line="360" w:lineRule="auto"/>
        <w:jc w:val="center"/>
        <w:outlineLvl w:val="0"/>
        <w:rPr>
          <w:rStyle w:val="285"/>
          <w:rFonts w:hint="eastAsia"/>
          <w:color w:val="auto"/>
          <w:highlight w:val="none"/>
        </w:rPr>
        <w:sectPr>
          <w:headerReference r:id="rId4" w:type="first"/>
          <w:headerReference r:id="rId3"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3" w:name="_Hlt74729822"/>
      <w:bookmarkEnd w:id="3"/>
      <w:bookmarkStart w:id="4" w:name="_Hlt74728647"/>
      <w:bookmarkEnd w:id="4"/>
      <w:bookmarkStart w:id="5" w:name="_Hlt74649545"/>
      <w:bookmarkEnd w:id="5"/>
      <w:bookmarkStart w:id="6" w:name="_Hlt74707423"/>
      <w:bookmarkEnd w:id="6"/>
      <w:bookmarkStart w:id="7" w:name="_Toc15656"/>
      <w:bookmarkStart w:id="8" w:name="_Toc32263"/>
      <w:bookmarkStart w:id="9" w:name="第二部分"/>
      <w:bookmarkStart w:id="10" w:name="_Toc91899870"/>
      <w:bookmarkStart w:id="11" w:name="_Toc91899871"/>
    </w:p>
    <w:p w14:paraId="742C0B31">
      <w:pPr>
        <w:adjustRightInd/>
        <w:spacing w:line="360" w:lineRule="auto"/>
        <w:jc w:val="center"/>
        <w:outlineLvl w:val="0"/>
        <w:rPr>
          <w:rFonts w:ascii="宋体" w:hAnsi="宋体" w:cs="宋体"/>
          <w:b/>
          <w:color w:val="auto"/>
          <w:sz w:val="36"/>
          <w:szCs w:val="20"/>
          <w:highlight w:val="none"/>
        </w:rPr>
      </w:pPr>
      <w:bookmarkStart w:id="12" w:name="_Toc12584"/>
      <w:bookmarkStart w:id="13" w:name="_Toc25857"/>
      <w:r>
        <w:rPr>
          <w:rStyle w:val="285"/>
          <w:rFonts w:hint="eastAsia"/>
          <w:color w:val="auto"/>
          <w:highlight w:val="none"/>
        </w:rPr>
        <w:t>第一部分 招标公告</w:t>
      </w:r>
      <w:bookmarkEnd w:id="7"/>
      <w:bookmarkEnd w:id="8"/>
      <w:bookmarkEnd w:id="12"/>
      <w:bookmarkEnd w:id="13"/>
    </w:p>
    <w:p w14:paraId="5E2EF89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项目概况</w:t>
      </w:r>
    </w:p>
    <w:p w14:paraId="1205735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eastAsiaTheme="minorEastAsia"/>
          <w:bCs/>
          <w:color w:val="auto"/>
          <w:sz w:val="24"/>
          <w:szCs w:val="24"/>
          <w:highlight w:val="none"/>
          <w:u w:val="single"/>
          <w:lang w:eastAsia="zh-CN"/>
        </w:rPr>
        <w:t>嵊泗县原天成化工厂地块一（原天成化工厂东侧主厂区）土壤污染修复项目</w:t>
      </w:r>
      <w:r>
        <w:rPr>
          <w:rFonts w:hint="eastAsia" w:asciiTheme="minorEastAsia" w:hAnsiTheme="minorEastAsia" w:eastAsiaTheme="minorEastAsia"/>
          <w:color w:val="auto"/>
          <w:sz w:val="24"/>
          <w:szCs w:val="24"/>
          <w:highlight w:val="none"/>
        </w:rPr>
        <w:t>招</w:t>
      </w:r>
      <w:r>
        <w:rPr>
          <w:rFonts w:hint="eastAsia" w:asciiTheme="minorEastAsia" w:hAnsiTheme="minorEastAsia" w:eastAsiaTheme="minorEastAsia"/>
          <w:color w:val="auto"/>
          <w:sz w:val="24"/>
          <w:highlight w:val="none"/>
        </w:rPr>
        <w:t>标项目的潜在投标人应在政采云平台（</w:t>
      </w:r>
      <w:r>
        <w:rPr>
          <w:rFonts w:cs="Times New Roman" w:asciiTheme="minorEastAsia" w:hAnsiTheme="minorEastAsia" w:eastAsiaTheme="minorEastAsia"/>
          <w:snapToGrid/>
          <w:color w:val="auto"/>
          <w:kern w:val="2"/>
          <w:sz w:val="24"/>
          <w:szCs w:val="24"/>
          <w:highlight w:val="none"/>
          <w:u w:val="none"/>
        </w:rPr>
        <w:t>https://www.zcygov.cn/）获取（下载）招标文件，并于</w:t>
      </w:r>
      <w:r>
        <w:rPr>
          <w:rFonts w:hint="eastAsia" w:ascii="宋体" w:hAnsi="宋体" w:cs="宋体"/>
          <w:b w:val="0"/>
          <w:bCs/>
          <w:color w:val="auto"/>
          <w:sz w:val="24"/>
          <w:highlight w:val="none"/>
          <w:u w:val="single"/>
          <w:lang w:val="en-US" w:eastAsia="zh-CN"/>
        </w:rPr>
        <w:t>2025年6月24日14</w:t>
      </w:r>
      <w:r>
        <w:rPr>
          <w:rFonts w:hint="eastAsia" w:ascii="宋体" w:hAnsi="宋体" w:eastAsia="宋体" w:cs="宋体"/>
          <w:b w:val="0"/>
          <w:bCs/>
          <w:color w:val="auto"/>
          <w:sz w:val="24"/>
          <w:highlight w:val="none"/>
          <w:u w:val="single"/>
          <w:lang w:val="en-US" w:eastAsia="zh-CN"/>
        </w:rPr>
        <w:t>点</w:t>
      </w:r>
      <w:r>
        <w:rPr>
          <w:rFonts w:hint="eastAsia" w:ascii="宋体" w:hAnsi="宋体" w:cs="宋体"/>
          <w:b w:val="0"/>
          <w:bCs/>
          <w:color w:val="auto"/>
          <w:sz w:val="24"/>
          <w:highlight w:val="none"/>
          <w:u w:val="single"/>
          <w:lang w:val="en-US" w:eastAsia="zh-CN"/>
        </w:rPr>
        <w:t>30</w:t>
      </w:r>
      <w:r>
        <w:rPr>
          <w:rFonts w:hint="eastAsia" w:ascii="宋体" w:hAnsi="宋体" w:eastAsia="宋体" w:cs="宋体"/>
          <w:b w:val="0"/>
          <w:bCs/>
          <w:color w:val="auto"/>
          <w:sz w:val="24"/>
          <w:highlight w:val="none"/>
          <w:u w:val="single"/>
          <w:lang w:val="en-US" w:eastAsia="zh-CN"/>
        </w:rPr>
        <w:t>分</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E16B41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480E908">
      <w:pPr>
        <w:spacing w:line="360" w:lineRule="auto"/>
        <w:outlineLvl w:val="9"/>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u w:val="none"/>
        </w:rPr>
        <w:t xml:space="preserve">  </w:t>
      </w:r>
      <w:bookmarkStart w:id="14" w:name="_Toc23734"/>
      <w:r>
        <w:rPr>
          <w:rFonts w:hint="eastAsia" w:ascii="宋体" w:hAnsi="宋体" w:cs="宋体"/>
          <w:b/>
          <w:color w:val="auto"/>
          <w:sz w:val="24"/>
          <w:highlight w:val="none"/>
          <w:u w:val="none"/>
        </w:rPr>
        <w:t>项目编号：</w:t>
      </w:r>
      <w:bookmarkEnd w:id="14"/>
      <w:r>
        <w:rPr>
          <w:rFonts w:hint="eastAsia" w:ascii="宋体" w:hAnsi="宋体" w:cs="宋体"/>
          <w:bCs/>
          <w:color w:val="auto"/>
          <w:sz w:val="24"/>
          <w:szCs w:val="24"/>
          <w:highlight w:val="none"/>
          <w:u w:val="none"/>
          <w:lang w:eastAsia="zh-CN"/>
        </w:rPr>
        <w:t>科信建代字[2025]101147号</w:t>
      </w:r>
    </w:p>
    <w:p w14:paraId="2EA49177">
      <w:pPr>
        <w:spacing w:line="360" w:lineRule="auto"/>
        <w:ind w:firstLine="480"/>
        <w:outlineLvl w:val="9"/>
        <w:rPr>
          <w:rFonts w:hint="eastAsia" w:ascii="宋体" w:hAnsi="宋体" w:eastAsia="宋体" w:cs="宋体"/>
          <w:bCs/>
          <w:color w:val="auto"/>
          <w:sz w:val="24"/>
          <w:szCs w:val="24"/>
          <w:highlight w:val="none"/>
          <w:u w:val="none"/>
          <w:lang w:eastAsia="zh-CN"/>
        </w:rPr>
      </w:pPr>
      <w:r>
        <w:rPr>
          <w:rFonts w:hint="eastAsia" w:ascii="宋体" w:hAnsi="宋体" w:cs="宋体"/>
          <w:b/>
          <w:color w:val="auto"/>
          <w:sz w:val="24"/>
          <w:highlight w:val="none"/>
          <w:u w:val="none"/>
        </w:rPr>
        <w:t>项目名称：</w:t>
      </w:r>
      <w:r>
        <w:rPr>
          <w:rFonts w:hint="eastAsia" w:ascii="宋体" w:hAnsi="宋体" w:cs="宋体"/>
          <w:bCs/>
          <w:color w:val="auto"/>
          <w:sz w:val="24"/>
          <w:szCs w:val="24"/>
          <w:highlight w:val="none"/>
          <w:u w:val="none"/>
          <w:lang w:eastAsia="zh-CN"/>
        </w:rPr>
        <w:t>嵊泗县原天成化工厂地块一（原天成化工厂东侧主厂区）土壤污染修复项目</w:t>
      </w:r>
    </w:p>
    <w:p w14:paraId="3FF4FCA1">
      <w:pPr>
        <w:spacing w:line="360" w:lineRule="auto"/>
        <w:ind w:firstLine="480"/>
        <w:outlineLvl w:val="9"/>
        <w:rPr>
          <w:rFonts w:hint="default"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预算金额（</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rPr>
        <w:t>）：</w:t>
      </w:r>
      <w:r>
        <w:rPr>
          <w:rFonts w:hint="eastAsia" w:ascii="宋体" w:hAnsi="宋体" w:cs="宋体"/>
          <w:b w:val="0"/>
          <w:bCs w:val="0"/>
          <w:color w:val="auto"/>
          <w:sz w:val="24"/>
          <w:highlight w:val="none"/>
          <w:lang w:val="en-US" w:eastAsia="zh-CN"/>
        </w:rPr>
        <w:t>16147270.00</w:t>
      </w:r>
    </w:p>
    <w:p w14:paraId="23652612">
      <w:pPr>
        <w:spacing w:line="360" w:lineRule="auto"/>
        <w:ind w:firstLine="480"/>
        <w:outlineLvl w:val="9"/>
        <w:rPr>
          <w:rFonts w:hint="default"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rPr>
        <w:t>）：</w:t>
      </w:r>
      <w:r>
        <w:rPr>
          <w:rFonts w:hint="eastAsia" w:ascii="宋体" w:hAnsi="宋体" w:cs="宋体"/>
          <w:b w:val="0"/>
          <w:bCs w:val="0"/>
          <w:color w:val="auto"/>
          <w:sz w:val="24"/>
          <w:highlight w:val="none"/>
          <w:lang w:val="en-US" w:eastAsia="zh-CN"/>
        </w:rPr>
        <w:t>16147270.00</w:t>
      </w:r>
    </w:p>
    <w:p w14:paraId="631A98D6">
      <w:pPr>
        <w:spacing w:line="360" w:lineRule="auto"/>
        <w:ind w:firstLine="480" w:firstLineChars="200"/>
        <w:outlineLvl w:val="9"/>
        <w:rPr>
          <w:rFonts w:hint="default"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宋体" w:hAnsi="宋体" w:cs="宋体"/>
          <w:bCs/>
          <w:color w:val="auto"/>
          <w:sz w:val="24"/>
          <w:szCs w:val="24"/>
          <w:highlight w:val="none"/>
          <w:u w:val="none"/>
          <w:lang w:eastAsia="zh-CN"/>
        </w:rPr>
        <w:t>嵊泗县原天成化工厂地块一（原天成化工厂东侧主厂区）土壤污染修复项目</w:t>
      </w:r>
    </w:p>
    <w:p w14:paraId="2C048FBF">
      <w:pPr>
        <w:spacing w:line="360" w:lineRule="auto"/>
        <w:ind w:firstLine="480" w:firstLineChars="200"/>
        <w:outlineLvl w:val="9"/>
        <w:rPr>
          <w:rFonts w:hint="default"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数量:</w:t>
      </w:r>
      <w:r>
        <w:rPr>
          <w:rFonts w:hint="eastAsia" w:asciiTheme="minorEastAsia" w:hAnsiTheme="minorEastAsia" w:eastAsiaTheme="minorEastAsia"/>
          <w:snapToGrid/>
          <w:color w:val="auto"/>
          <w:kern w:val="2"/>
          <w:sz w:val="24"/>
          <w:szCs w:val="24"/>
          <w:highlight w:val="none"/>
          <w:lang w:val="en-US" w:eastAsia="zh-CN"/>
        </w:rPr>
        <w:t>1项</w:t>
      </w:r>
    </w:p>
    <w:p w14:paraId="53BB1473">
      <w:pPr>
        <w:spacing w:line="360" w:lineRule="auto"/>
        <w:ind w:firstLine="480" w:firstLineChars="200"/>
        <w:outlineLvl w:val="9"/>
        <w:rPr>
          <w:rFonts w:hint="default"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预算金额（</w:t>
      </w:r>
      <w:r>
        <w:rPr>
          <w:rFonts w:hint="eastAsia" w:ascii="宋体" w:hAnsi="宋体" w:cs="宋体" w:eastAsiaTheme="minorEastAsia"/>
          <w:b w:val="0"/>
          <w:bCs w:val="0"/>
          <w:color w:val="auto"/>
          <w:sz w:val="24"/>
          <w:highlight w:val="none"/>
          <w:lang w:eastAsia="zh-CN"/>
        </w:rPr>
        <w:t>元</w:t>
      </w:r>
      <w:r>
        <w:rPr>
          <w:rFonts w:hint="eastAsia" w:asciiTheme="minorEastAsia" w:hAnsiTheme="minorEastAsia" w:eastAsiaTheme="minorEastAsia"/>
          <w:snapToGrid/>
          <w:color w:val="auto"/>
          <w:kern w:val="2"/>
          <w:sz w:val="24"/>
          <w:szCs w:val="24"/>
          <w:highlight w:val="none"/>
        </w:rPr>
        <w:t>）:</w:t>
      </w:r>
      <w:r>
        <w:rPr>
          <w:rFonts w:hint="eastAsia" w:ascii="宋体" w:hAnsi="宋体" w:cs="宋体"/>
          <w:b w:val="0"/>
          <w:bCs w:val="0"/>
          <w:color w:val="auto"/>
          <w:sz w:val="24"/>
          <w:highlight w:val="none"/>
          <w:lang w:val="en-US" w:eastAsia="zh-CN"/>
        </w:rPr>
        <w:t>16147270.00</w:t>
      </w:r>
    </w:p>
    <w:p w14:paraId="4B23D89B">
      <w:pPr>
        <w:pStyle w:val="25"/>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2EE1ACE9">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outlineLvl w:val="9"/>
        <w:rPr>
          <w:rFonts w:hint="default" w:eastAsiaTheme="minorEastAsia"/>
          <w:color w:val="auto"/>
          <w:highlight w:val="none"/>
          <w:lang w:val="en-US" w:eastAsia="zh-CN"/>
        </w:rPr>
      </w:pPr>
      <w:r>
        <w:rPr>
          <w:rFonts w:hint="eastAsia" w:asciiTheme="minorEastAsia" w:hAnsiTheme="minorEastAsia" w:eastAsiaTheme="minorEastAsia"/>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lang w:val="en-US" w:eastAsia="zh-CN"/>
        </w:rPr>
        <w:t>联合体成员（含联合体牵头人）个数不得超过2个。</w:t>
      </w:r>
    </w:p>
    <w:p w14:paraId="29834F29">
      <w:pPr>
        <w:pStyle w:val="135"/>
        <w:keepNext w:val="0"/>
        <w:keepLines w:val="0"/>
        <w:pageBreakBefore w:val="0"/>
        <w:kinsoku/>
        <w:wordWrap/>
        <w:overflowPunct/>
        <w:topLinePunct w:val="0"/>
        <w:autoSpaceDE/>
        <w:autoSpaceDN/>
        <w:bidi w:val="0"/>
        <w:adjustRightInd w:val="0"/>
        <w:snapToGrid w:val="0"/>
        <w:spacing w:before="0"/>
        <w:ind w:firstLine="482"/>
        <w:textAlignment w:val="auto"/>
        <w:outlineLvl w:val="9"/>
        <w:rPr>
          <w:rFonts w:ascii="宋体" w:hAnsi="宋体" w:cs="宋体"/>
          <w:color w:val="auto"/>
          <w:highlight w:val="none"/>
        </w:rPr>
      </w:pPr>
      <w:bookmarkStart w:id="15" w:name="_Toc27797"/>
      <w:r>
        <w:rPr>
          <w:rFonts w:hint="eastAsia" w:ascii="宋体" w:hAnsi="宋体" w:cs="宋体"/>
          <w:b w:val="0"/>
          <w:bCs/>
          <w:color w:val="auto"/>
          <w:highlight w:val="none"/>
        </w:rPr>
        <w:t>合同履约期限：</w:t>
      </w:r>
      <w:bookmarkEnd w:id="15"/>
      <w:r>
        <w:rPr>
          <w:rFonts w:hint="eastAsia" w:ascii="宋体" w:hAnsi="宋体" w:cs="宋体"/>
          <w:b/>
          <w:color w:val="auto"/>
          <w:sz w:val="24"/>
          <w:szCs w:val="24"/>
          <w:highlight w:val="none"/>
          <w:lang w:val="en-US" w:eastAsia="zh-CN"/>
        </w:rPr>
        <w:t>180</w:t>
      </w:r>
      <w:r>
        <w:rPr>
          <w:rFonts w:hint="eastAsia" w:ascii="宋体" w:hAnsi="宋体" w:cs="宋体"/>
          <w:b/>
          <w:color w:val="auto"/>
          <w:sz w:val="24"/>
          <w:szCs w:val="24"/>
          <w:highlight w:val="none"/>
        </w:rPr>
        <w:t>日历天</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其中施工准备阶段至污染土壤清挖、转运和处置阶段需在150日历天内完工</w:t>
      </w:r>
      <w:r>
        <w:rPr>
          <w:rFonts w:hint="eastAsia" w:ascii="宋体" w:hAnsi="宋体" w:cs="宋体"/>
          <w:b/>
          <w:color w:val="auto"/>
          <w:sz w:val="24"/>
          <w:szCs w:val="24"/>
          <w:highlight w:val="none"/>
        </w:rPr>
        <w:t>。（</w:t>
      </w:r>
      <w:r>
        <w:rPr>
          <w:rFonts w:hint="eastAsia"/>
          <w:color w:val="auto"/>
          <w:sz w:val="24"/>
          <w:szCs w:val="24"/>
          <w:highlight w:val="none"/>
        </w:rPr>
        <w:t>时间自开工报告载明的开工之日起，至土壤及地下水达到修复目标值并通过项目验收会止</w:t>
      </w:r>
      <w:r>
        <w:rPr>
          <w:rFonts w:hint="eastAsia" w:ascii="宋体" w:hAnsi="宋体" w:cs="宋体"/>
          <w:b/>
          <w:color w:val="auto"/>
          <w:sz w:val="24"/>
          <w:szCs w:val="24"/>
          <w:highlight w:val="none"/>
        </w:rPr>
        <w:t>）。</w:t>
      </w:r>
    </w:p>
    <w:p w14:paraId="6B2CBC4A">
      <w:pPr>
        <w:pStyle w:val="2"/>
        <w:spacing w:line="360" w:lineRule="auto"/>
        <w:ind w:firstLine="480"/>
        <w:outlineLvl w:val="9"/>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r>
        <w:rPr>
          <w:rFonts w:hint="eastAsia" w:hAnsi="宋体" w:cs="宋体"/>
          <w:b/>
          <w:color w:val="auto"/>
          <w:sz w:val="24"/>
          <w:highlight w:val="none"/>
          <w:lang w:eastAsia="zh-CN"/>
        </w:rPr>
        <w:t>。</w:t>
      </w:r>
    </w:p>
    <w:p w14:paraId="46F9FA3A">
      <w:pPr>
        <w:spacing w:line="360" w:lineRule="auto"/>
        <w:outlineLvl w:val="9"/>
        <w:rPr>
          <w:rFonts w:ascii="宋体" w:hAnsi="宋体" w:cs="宋体"/>
          <w:b/>
          <w:color w:val="auto"/>
          <w:sz w:val="24"/>
          <w:highlight w:val="none"/>
        </w:rPr>
      </w:pPr>
      <w:bookmarkStart w:id="16" w:name="_Toc23184"/>
      <w:r>
        <w:rPr>
          <w:rFonts w:hint="eastAsia" w:ascii="宋体" w:hAnsi="宋体" w:cs="宋体"/>
          <w:b/>
          <w:color w:val="auto"/>
          <w:sz w:val="24"/>
          <w:highlight w:val="none"/>
        </w:rPr>
        <w:t>二、</w:t>
      </w:r>
      <w:bookmarkStart w:id="17" w:name="_Hlk101132948"/>
      <w:r>
        <w:rPr>
          <w:rFonts w:hint="eastAsia" w:ascii="宋体" w:hAnsi="宋体" w:cs="宋体"/>
          <w:b/>
          <w:color w:val="auto"/>
          <w:sz w:val="24"/>
          <w:highlight w:val="none"/>
        </w:rPr>
        <w:t>申请人的资格要求</w:t>
      </w:r>
      <w:bookmarkEnd w:id="17"/>
      <w:r>
        <w:rPr>
          <w:rFonts w:hint="eastAsia" w:ascii="宋体" w:hAnsi="宋体" w:cs="宋体"/>
          <w:b/>
          <w:color w:val="auto"/>
          <w:sz w:val="24"/>
          <w:highlight w:val="none"/>
        </w:rPr>
        <w:t>：</w:t>
      </w:r>
      <w:bookmarkEnd w:id="16"/>
    </w:p>
    <w:p w14:paraId="0A8D0C45">
      <w:pPr>
        <w:spacing w:line="360" w:lineRule="auto"/>
        <w:ind w:firstLine="480"/>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color w:val="auto"/>
          <w:sz w:val="24"/>
          <w:highlight w:val="none"/>
          <w:lang w:val="en-US"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530BFD47">
      <w:pPr>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w:t>
      </w:r>
      <w:r>
        <w:rPr>
          <w:rFonts w:hint="eastAsia" w:ascii="宋体" w:hAnsi="宋体" w:eastAsia="宋体" w:cs="宋体"/>
          <w:snapToGrid w:val="0"/>
          <w:color w:val="auto"/>
          <w:kern w:val="28"/>
          <w:sz w:val="24"/>
          <w:szCs w:val="20"/>
          <w:highlight w:val="none"/>
        </w:rPr>
        <w:t>要求：标项1：无。</w:t>
      </w:r>
    </w:p>
    <w:p w14:paraId="11601FE1">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.本项目的特定资格要求：供应商须具有环保工程专业承包二级及以上资质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且具有有效期内的安全生产许可证</w:t>
      </w:r>
      <w:r>
        <w:rPr>
          <w:rFonts w:hint="eastAsia" w:ascii="宋体" w:hAnsi="宋体" w:cs="宋体"/>
          <w:color w:val="auto"/>
          <w:sz w:val="24"/>
          <w:highlight w:val="none"/>
          <w:lang w:eastAsia="zh-CN"/>
        </w:rPr>
        <w:t>。</w:t>
      </w:r>
    </w:p>
    <w:p w14:paraId="57BE6551">
      <w:pPr>
        <w:snapToGrid w:val="0"/>
        <w:spacing w:line="360" w:lineRule="auto"/>
        <w:ind w:firstLine="480" w:firstLineChars="200"/>
        <w:outlineLvl w:val="9"/>
        <w:rPr>
          <w:rFonts w:hint="eastAsia" w:ascii="宋体" w:hAnsi="宋体" w:cs="宋体"/>
          <w:b/>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8" w:name="_Toc15435"/>
    </w:p>
    <w:p w14:paraId="521F22B6">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三、获取招标文件</w:t>
      </w:r>
      <w:bookmarkEnd w:id="18"/>
      <w:r>
        <w:rPr>
          <w:rFonts w:hint="eastAsia" w:ascii="宋体" w:hAnsi="宋体" w:cs="宋体"/>
          <w:b/>
          <w:color w:val="auto"/>
          <w:sz w:val="24"/>
          <w:highlight w:val="none"/>
        </w:rPr>
        <w:t xml:space="preserve"> </w:t>
      </w:r>
    </w:p>
    <w:p w14:paraId="0AF82B22">
      <w:pPr>
        <w:spacing w:line="360" w:lineRule="auto"/>
        <w:ind w:firstLine="480" w:firstLineChars="200"/>
        <w:outlineLvl w:val="9"/>
        <w:rPr>
          <w:rFonts w:ascii="宋体" w:hAnsi="宋体" w:cs="宋体"/>
          <w:b w:val="0"/>
          <w:bCs/>
          <w:color w:val="auto"/>
          <w:sz w:val="24"/>
          <w:highlight w:val="none"/>
        </w:rPr>
      </w:pPr>
      <w:r>
        <w:rPr>
          <w:rFonts w:hint="eastAsia" w:ascii="宋体" w:hAnsi="宋体" w:cs="宋体"/>
          <w:b w:val="0"/>
          <w:bCs/>
          <w:color w:val="auto"/>
          <w:sz w:val="24"/>
          <w:highlight w:val="none"/>
        </w:rPr>
        <w:t>时间：</w:t>
      </w:r>
      <w:r>
        <w:rPr>
          <w:rFonts w:hint="eastAsia" w:ascii="宋体" w:hAnsi="宋体" w:cs="宋体"/>
          <w:b w:val="0"/>
          <w:bCs/>
          <w:color w:val="auto"/>
          <w:sz w:val="24"/>
          <w:highlight w:val="none"/>
          <w:u w:val="single"/>
          <w:lang w:val="en-US" w:eastAsia="zh-CN"/>
        </w:rPr>
        <w:t>/</w:t>
      </w:r>
      <w:r>
        <w:rPr>
          <w:rFonts w:hint="eastAsia" w:ascii="宋体" w:hAnsi="宋体" w:cs="宋体"/>
          <w:b w:val="0"/>
          <w:bCs/>
          <w:color w:val="auto"/>
          <w:sz w:val="24"/>
          <w:highlight w:val="none"/>
        </w:rPr>
        <w:t>至</w:t>
      </w:r>
      <w:r>
        <w:rPr>
          <w:rFonts w:hint="eastAsia" w:ascii="宋体" w:hAnsi="宋体" w:cs="宋体"/>
          <w:b w:val="0"/>
          <w:bCs/>
          <w:color w:val="auto"/>
          <w:sz w:val="24"/>
          <w:highlight w:val="none"/>
          <w:u w:val="single"/>
          <w:lang w:eastAsia="zh-CN"/>
        </w:rPr>
        <w:t>2025年</w:t>
      </w:r>
      <w:r>
        <w:rPr>
          <w:rFonts w:hint="eastAsia" w:ascii="宋体" w:hAnsi="宋体" w:cs="宋体"/>
          <w:b w:val="0"/>
          <w:bCs/>
          <w:color w:val="auto"/>
          <w:sz w:val="24"/>
          <w:highlight w:val="none"/>
          <w:u w:val="single"/>
          <w:lang w:val="en-US" w:eastAsia="zh-CN"/>
        </w:rPr>
        <w:t>6月24日</w:t>
      </w:r>
      <w:r>
        <w:rPr>
          <w:rFonts w:hint="eastAsia" w:ascii="宋体" w:hAnsi="宋体" w:cs="宋体"/>
          <w:b w:val="0"/>
          <w:bCs/>
          <w:color w:val="auto"/>
          <w:sz w:val="24"/>
          <w:highlight w:val="none"/>
        </w:rPr>
        <w:t>，每天上午00:00至12:00 ，下午12:00至23:59（北京时间，线上获取法定节假日均可，线下获取文件法定节假日除外）</w:t>
      </w:r>
    </w:p>
    <w:p w14:paraId="1F0DF3CF">
      <w:pPr>
        <w:spacing w:line="360" w:lineRule="auto"/>
        <w:ind w:firstLine="480" w:firstLineChars="200"/>
        <w:outlineLvl w:val="9"/>
        <w:rPr>
          <w:rFonts w:ascii="宋体" w:hAnsi="宋体" w:cs="宋体"/>
          <w:b w:val="0"/>
          <w:bCs/>
          <w:color w:val="auto"/>
          <w:sz w:val="24"/>
          <w:highlight w:val="none"/>
        </w:rPr>
      </w:pPr>
      <w:r>
        <w:rPr>
          <w:rFonts w:hint="eastAsia" w:ascii="宋体" w:hAnsi="宋体" w:cs="宋体"/>
          <w:b w:val="0"/>
          <w:bCs/>
          <w:color w:val="auto"/>
          <w:sz w:val="24"/>
          <w:highlight w:val="none"/>
        </w:rPr>
        <w:t xml:space="preserve">地点（网址）：政采云平台（https://www.zcygov.cn/） </w:t>
      </w:r>
    </w:p>
    <w:p w14:paraId="3A6F7ED5">
      <w:pPr>
        <w:spacing w:line="360" w:lineRule="auto"/>
        <w:ind w:firstLine="480" w:firstLineChars="200"/>
        <w:outlineLvl w:val="9"/>
        <w:rPr>
          <w:rFonts w:ascii="宋体" w:hAnsi="宋体" w:cs="宋体"/>
          <w:b w:val="0"/>
          <w:bCs/>
          <w:color w:val="auto"/>
          <w:sz w:val="24"/>
          <w:highlight w:val="none"/>
        </w:rPr>
      </w:pPr>
      <w:r>
        <w:rPr>
          <w:rFonts w:hint="eastAsia" w:ascii="宋体" w:hAnsi="宋体" w:cs="宋体"/>
          <w:b w:val="0"/>
          <w:bCs/>
          <w:color w:val="auto"/>
          <w:sz w:val="24"/>
          <w:highlight w:val="none"/>
        </w:rPr>
        <w:t xml:space="preserve">方式：供应商登录政采云平台https://www.zcygov.cn/在线申请获取采购文件（进入“项目采购”应用，在获取采购文件菜单中选择项目，申请获取采购文件）。 </w:t>
      </w:r>
    </w:p>
    <w:p w14:paraId="23BDD4C9">
      <w:pPr>
        <w:spacing w:line="360" w:lineRule="auto"/>
        <w:ind w:firstLine="480" w:firstLineChars="200"/>
        <w:outlineLvl w:val="9"/>
        <w:rPr>
          <w:rFonts w:ascii="宋体" w:hAnsi="宋体" w:cs="宋体"/>
          <w:b w:val="0"/>
          <w:bCs/>
          <w:color w:val="auto"/>
          <w:sz w:val="24"/>
          <w:highlight w:val="none"/>
        </w:rPr>
      </w:pPr>
      <w:r>
        <w:rPr>
          <w:rFonts w:hint="eastAsia" w:ascii="宋体" w:hAnsi="宋体" w:cs="宋体"/>
          <w:b w:val="0"/>
          <w:bCs/>
          <w:color w:val="auto"/>
          <w:sz w:val="24"/>
          <w:highlight w:val="none"/>
        </w:rPr>
        <w:t xml:space="preserve">售价（元）：0 </w:t>
      </w:r>
      <w:r>
        <w:rPr>
          <w:rFonts w:hint="eastAsia" w:ascii="宋体" w:hAnsi="宋体" w:cs="宋体"/>
          <w:b w:val="0"/>
          <w:bCs/>
          <w:color w:val="auto"/>
          <w:sz w:val="24"/>
          <w:highlight w:val="none"/>
        </w:rPr>
        <w:tab/>
      </w:r>
    </w:p>
    <w:p w14:paraId="54E19465">
      <w:pPr>
        <w:spacing w:line="360" w:lineRule="auto"/>
        <w:outlineLvl w:val="9"/>
        <w:rPr>
          <w:rFonts w:ascii="宋体" w:hAnsi="宋体" w:cs="宋体"/>
          <w:b/>
          <w:bCs w:val="0"/>
          <w:color w:val="auto"/>
          <w:sz w:val="24"/>
          <w:highlight w:val="none"/>
        </w:rPr>
      </w:pPr>
      <w:bookmarkStart w:id="19" w:name="_Toc18115"/>
      <w:r>
        <w:rPr>
          <w:rFonts w:hint="eastAsia" w:ascii="宋体" w:hAnsi="宋体" w:cs="宋体"/>
          <w:b/>
          <w:bCs w:val="0"/>
          <w:color w:val="auto"/>
          <w:sz w:val="24"/>
          <w:highlight w:val="none"/>
        </w:rPr>
        <w:t>四、提交投标文件截止时间、开标时间和地点</w:t>
      </w:r>
      <w:bookmarkEnd w:id="19"/>
    </w:p>
    <w:p w14:paraId="4FB06F44">
      <w:pPr>
        <w:spacing w:line="360" w:lineRule="auto"/>
        <w:ind w:firstLine="480" w:firstLineChars="200"/>
        <w:outlineLvl w:val="9"/>
        <w:rPr>
          <w:rFonts w:ascii="宋体" w:hAnsi="宋体" w:cs="宋体"/>
          <w:b w:val="0"/>
          <w:bCs/>
          <w:color w:val="auto"/>
          <w:sz w:val="24"/>
          <w:highlight w:val="none"/>
        </w:rPr>
      </w:pPr>
      <w:r>
        <w:rPr>
          <w:rFonts w:hint="eastAsia" w:ascii="宋体" w:hAnsi="宋体" w:cs="宋体"/>
          <w:b w:val="0"/>
          <w:bCs/>
          <w:color w:val="auto"/>
          <w:sz w:val="24"/>
          <w:highlight w:val="none"/>
        </w:rPr>
        <w:t>提交投标文件截止时间：</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eastAsia="zh-CN"/>
        </w:rPr>
        <w:t>2025年</w:t>
      </w:r>
      <w:r>
        <w:rPr>
          <w:rFonts w:hint="eastAsia" w:ascii="宋体" w:hAnsi="宋体" w:cs="宋体"/>
          <w:b w:val="0"/>
          <w:bCs/>
          <w:color w:val="auto"/>
          <w:sz w:val="24"/>
          <w:highlight w:val="none"/>
          <w:u w:val="single"/>
          <w:lang w:val="en-US" w:eastAsia="zh-CN"/>
        </w:rPr>
        <w:t>6月24日14</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30</w:t>
      </w:r>
      <w:r>
        <w:rPr>
          <w:rFonts w:hint="eastAsia" w:ascii="宋体" w:hAnsi="宋体" w:cs="宋体"/>
          <w:b w:val="0"/>
          <w:bCs/>
          <w:color w:val="auto"/>
          <w:sz w:val="24"/>
          <w:highlight w:val="none"/>
          <w:u w:val="single"/>
        </w:rPr>
        <w:t>分</w:t>
      </w:r>
      <w:r>
        <w:rPr>
          <w:rFonts w:hint="eastAsia" w:ascii="宋体" w:hAnsi="宋体" w:cs="宋体"/>
          <w:b w:val="0"/>
          <w:bCs/>
          <w:color w:val="auto"/>
          <w:sz w:val="24"/>
          <w:highlight w:val="none"/>
        </w:rPr>
        <w:t>（北京时间）</w:t>
      </w:r>
    </w:p>
    <w:p w14:paraId="27E6FA66">
      <w:pPr>
        <w:spacing w:line="360" w:lineRule="auto"/>
        <w:ind w:firstLine="480" w:firstLineChars="200"/>
        <w:outlineLvl w:val="9"/>
        <w:rPr>
          <w:rFonts w:ascii="宋体" w:hAnsi="宋体" w:cs="宋体"/>
          <w:b w:val="0"/>
          <w:bCs/>
          <w:color w:val="auto"/>
          <w:sz w:val="24"/>
          <w:highlight w:val="none"/>
        </w:rPr>
      </w:pPr>
      <w:r>
        <w:rPr>
          <w:rFonts w:hint="eastAsia" w:ascii="宋体" w:hAnsi="宋体" w:cs="宋体"/>
          <w:b w:val="0"/>
          <w:bCs/>
          <w:color w:val="auto"/>
          <w:sz w:val="24"/>
          <w:highlight w:val="none"/>
        </w:rPr>
        <w:t xml:space="preserve">投标地点（网址）：政采云平台（https://www.zcygov.cn/） </w:t>
      </w:r>
    </w:p>
    <w:p w14:paraId="33D4332A">
      <w:pPr>
        <w:spacing w:line="360" w:lineRule="auto"/>
        <w:ind w:firstLine="480" w:firstLineChars="200"/>
        <w:outlineLvl w:val="9"/>
        <w:rPr>
          <w:rFonts w:ascii="宋体" w:hAnsi="宋体" w:cs="宋体"/>
          <w:b w:val="0"/>
          <w:bCs/>
          <w:color w:val="auto"/>
          <w:sz w:val="24"/>
          <w:highlight w:val="none"/>
          <w:u w:val="single"/>
        </w:rPr>
      </w:pPr>
      <w:r>
        <w:rPr>
          <w:rFonts w:hint="eastAsia" w:ascii="宋体" w:hAnsi="宋体" w:cs="宋体"/>
          <w:b w:val="0"/>
          <w:bCs/>
          <w:color w:val="auto"/>
          <w:sz w:val="24"/>
          <w:highlight w:val="none"/>
        </w:rPr>
        <w:t>开标时间：</w:t>
      </w:r>
      <w:r>
        <w:rPr>
          <w:rFonts w:hint="eastAsia" w:ascii="宋体" w:hAnsi="宋体" w:cs="宋体"/>
          <w:b w:val="0"/>
          <w:bCs/>
          <w:color w:val="auto"/>
          <w:sz w:val="24"/>
          <w:highlight w:val="none"/>
          <w:u w:val="single"/>
          <w:lang w:eastAsia="zh-CN"/>
        </w:rPr>
        <w:t>2025年</w:t>
      </w:r>
      <w:r>
        <w:rPr>
          <w:rFonts w:hint="eastAsia" w:ascii="宋体" w:hAnsi="宋体" w:cs="宋体"/>
          <w:b w:val="0"/>
          <w:bCs/>
          <w:color w:val="auto"/>
          <w:sz w:val="24"/>
          <w:highlight w:val="none"/>
          <w:u w:val="single"/>
          <w:lang w:val="en-US" w:eastAsia="zh-CN"/>
        </w:rPr>
        <w:t>6月24日14</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30</w:t>
      </w:r>
      <w:r>
        <w:rPr>
          <w:rFonts w:hint="eastAsia" w:ascii="宋体" w:hAnsi="宋体" w:cs="宋体"/>
          <w:b w:val="0"/>
          <w:bCs/>
          <w:color w:val="auto"/>
          <w:sz w:val="24"/>
          <w:highlight w:val="none"/>
          <w:u w:val="single"/>
        </w:rPr>
        <w:t>分</w:t>
      </w:r>
      <w:r>
        <w:rPr>
          <w:rFonts w:hint="eastAsia" w:ascii="宋体" w:hAnsi="宋体" w:cs="宋体"/>
          <w:b w:val="0"/>
          <w:bCs/>
          <w:color w:val="auto"/>
          <w:sz w:val="24"/>
          <w:highlight w:val="none"/>
        </w:rPr>
        <w:t>（北京时间）</w:t>
      </w:r>
    </w:p>
    <w:p w14:paraId="0111E226">
      <w:pPr>
        <w:spacing w:line="360" w:lineRule="auto"/>
        <w:ind w:firstLine="480" w:firstLineChars="200"/>
        <w:outlineLvl w:val="9"/>
        <w:rPr>
          <w:rFonts w:ascii="宋体" w:hAnsi="宋体" w:cs="宋体"/>
          <w:b w:val="0"/>
          <w:bCs/>
          <w:color w:val="auto"/>
          <w:sz w:val="24"/>
          <w:highlight w:val="none"/>
        </w:rPr>
      </w:pPr>
      <w:r>
        <w:rPr>
          <w:rFonts w:hint="eastAsia" w:ascii="宋体" w:hAnsi="宋体" w:cs="宋体"/>
          <w:b w:val="0"/>
          <w:bCs/>
          <w:color w:val="auto"/>
          <w:sz w:val="24"/>
          <w:highlight w:val="none"/>
        </w:rPr>
        <w:t>开标地点（网址）：政采云平台（https://www.zcygov.cn/）</w:t>
      </w:r>
    </w:p>
    <w:p w14:paraId="7A020541">
      <w:pPr>
        <w:spacing w:line="360" w:lineRule="auto"/>
        <w:outlineLvl w:val="9"/>
        <w:rPr>
          <w:rFonts w:ascii="宋体" w:hAnsi="宋体" w:cs="宋体"/>
          <w:color w:val="auto"/>
          <w:sz w:val="24"/>
          <w:highlight w:val="none"/>
        </w:rPr>
      </w:pPr>
      <w:bookmarkStart w:id="20" w:name="_Toc16463"/>
      <w:r>
        <w:rPr>
          <w:rFonts w:hint="eastAsia" w:ascii="宋体" w:hAnsi="宋体" w:cs="宋体"/>
          <w:b/>
          <w:color w:val="auto"/>
          <w:sz w:val="24"/>
          <w:highlight w:val="none"/>
        </w:rPr>
        <w:t>五、公告期限</w:t>
      </w:r>
      <w:bookmarkEnd w:id="20"/>
      <w:r>
        <w:rPr>
          <w:rFonts w:hint="eastAsia" w:ascii="宋体" w:hAnsi="宋体" w:cs="宋体"/>
          <w:b/>
          <w:color w:val="auto"/>
          <w:sz w:val="24"/>
          <w:highlight w:val="none"/>
        </w:rPr>
        <w:t xml:space="preserve"> </w:t>
      </w:r>
    </w:p>
    <w:p w14:paraId="3B0C2936">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EA0F8D0">
      <w:pPr>
        <w:spacing w:line="360" w:lineRule="auto"/>
        <w:outlineLvl w:val="9"/>
        <w:rPr>
          <w:rFonts w:ascii="宋体" w:hAnsi="宋体" w:cs="宋体"/>
          <w:b/>
          <w:color w:val="auto"/>
          <w:sz w:val="24"/>
          <w:highlight w:val="none"/>
        </w:rPr>
      </w:pPr>
      <w:bookmarkStart w:id="21" w:name="_Toc20735"/>
      <w:r>
        <w:rPr>
          <w:rFonts w:hint="eastAsia" w:ascii="宋体" w:hAnsi="宋体" w:cs="宋体"/>
          <w:b/>
          <w:color w:val="auto"/>
          <w:sz w:val="24"/>
          <w:highlight w:val="none"/>
        </w:rPr>
        <w:t>六、其他补充事宜</w:t>
      </w:r>
      <w:bookmarkEnd w:id="21"/>
    </w:p>
    <w:p w14:paraId="39CFB3A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1135EBA9">
      <w:pPr>
        <w:spacing w:line="360" w:lineRule="auto"/>
        <w:ind w:firstLine="480" w:firstLineChars="200"/>
        <w:outlineLvl w:val="9"/>
        <w:rPr>
          <w:rFonts w:hint="eastAsia" w:ascii="宋体" w:hAnsi="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C6319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auto"/>
          <w:sz w:val="24"/>
          <w:highlight w:val="none"/>
        </w:rPr>
        <w:t>复的，可以在答复期满后十五个工作日内向同级政府采购监督管理部门投诉。质疑函范本、投诉书范本请到浙江政府采购网下载专区下载。</w:t>
      </w:r>
    </w:p>
    <w:p w14:paraId="19F4422D">
      <w:pPr>
        <w:spacing w:line="360" w:lineRule="auto"/>
        <w:ind w:firstLine="480" w:firstLineChars="20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其他事项：</w:t>
      </w:r>
    </w:p>
    <w:p w14:paraId="7C61188B">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需要落实的政府采购政策：包括节约资源、保护环境、支持创新、促进中小企业发展等。详见招标文件的第二部分总则。</w:t>
      </w:r>
    </w:p>
    <w:p w14:paraId="0B0A796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auto"/>
          <w:sz w:val="24"/>
          <w:highlight w:val="none"/>
          <w:lang w:val="en-US" w:eastAsia="zh-CN"/>
        </w:rPr>
        <w:t>寄</w:t>
      </w:r>
      <w:r>
        <w:rPr>
          <w:rFonts w:hint="eastAsia" w:ascii="宋体" w:hAnsi="宋体" w:cs="宋体"/>
          <w:color w:val="auto"/>
          <w:sz w:val="24"/>
          <w:highlight w:val="none"/>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auto"/>
          <w:sz w:val="24"/>
          <w:highlight w:val="none"/>
        </w:rPr>
        <w:t>中心-帮助文档-项目采购-操作流程-电子招投标-政府采购项目电子交易管理操作指南-供应商”。</w:t>
      </w:r>
    </w:p>
    <w:p w14:paraId="33DA728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）招标文件公告期限与招标公告的公告期限一致。</w:t>
      </w:r>
    </w:p>
    <w:p w14:paraId="14C46A15">
      <w:pPr>
        <w:spacing w:line="360" w:lineRule="auto"/>
        <w:outlineLvl w:val="9"/>
        <w:rPr>
          <w:rFonts w:ascii="宋体" w:hAnsi="宋体" w:cs="宋体"/>
          <w:b/>
          <w:color w:val="auto"/>
          <w:sz w:val="24"/>
          <w:highlight w:val="none"/>
        </w:rPr>
      </w:pPr>
      <w:bookmarkStart w:id="22" w:name="_Toc3685"/>
      <w:r>
        <w:rPr>
          <w:rFonts w:hint="eastAsia" w:ascii="宋体" w:hAnsi="宋体" w:cs="宋体"/>
          <w:b/>
          <w:color w:val="auto"/>
          <w:sz w:val="24"/>
          <w:highlight w:val="none"/>
        </w:rPr>
        <w:t>七、对本次采购提出询问、质疑、投诉，请按以下方式联系</w:t>
      </w:r>
      <w:bookmarkEnd w:id="22"/>
    </w:p>
    <w:p w14:paraId="3A500CE8">
      <w:pPr>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32145E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名称：嵊泗县自然资源和规划局  </w:t>
      </w:r>
    </w:p>
    <w:p w14:paraId="172A07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地址：浙江省嵊泗县菜园镇奇观路1号 </w:t>
      </w:r>
    </w:p>
    <w:p w14:paraId="7C444D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传真：/  </w:t>
      </w:r>
    </w:p>
    <w:p w14:paraId="35A551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项目联系人（询问）：翁先生 </w:t>
      </w:r>
    </w:p>
    <w:p w14:paraId="3B8831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项目联系方式（询问）：0580-5593552 </w:t>
      </w:r>
    </w:p>
    <w:p w14:paraId="04B587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质疑联系人：金女士     </w:t>
      </w:r>
    </w:p>
    <w:p w14:paraId="245729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质疑联系方式：0580-5593553</w:t>
      </w:r>
      <w:r>
        <w:rPr>
          <w:rFonts w:hint="eastAsia" w:ascii="宋体" w:hAnsi="宋体" w:eastAsia="宋体" w:cs="宋体"/>
          <w:color w:val="auto"/>
          <w:sz w:val="24"/>
          <w:highlight w:val="none"/>
        </w:rPr>
        <w:t> </w:t>
      </w:r>
    </w:p>
    <w:p w14:paraId="3B230F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p>
    <w:p w14:paraId="695392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            </w:t>
      </w:r>
    </w:p>
    <w:p w14:paraId="676E82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科信联合工程咨询有限公司</w:t>
      </w:r>
      <w:r>
        <w:rPr>
          <w:rFonts w:hint="eastAsia" w:ascii="宋体" w:hAnsi="宋体" w:eastAsia="宋体" w:cs="宋体"/>
          <w:color w:val="auto"/>
          <w:sz w:val="24"/>
          <w:highlight w:val="none"/>
        </w:rPr>
        <w:t>             </w:t>
      </w:r>
    </w:p>
    <w:p w14:paraId="68925F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地址：宁波市江南路598号九五国际A座</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楼</w:t>
      </w:r>
      <w:r>
        <w:rPr>
          <w:rFonts w:hint="eastAsia" w:ascii="宋体" w:hAnsi="宋体" w:cs="宋体"/>
          <w:color w:val="auto"/>
          <w:sz w:val="24"/>
          <w:highlight w:val="none"/>
          <w:lang w:val="en-US" w:eastAsia="zh-CN"/>
        </w:rPr>
        <w:t>1133</w:t>
      </w:r>
      <w:r>
        <w:rPr>
          <w:rFonts w:hint="eastAsia" w:ascii="宋体" w:hAnsi="宋体" w:eastAsia="宋体" w:cs="宋体"/>
          <w:color w:val="auto"/>
          <w:sz w:val="24"/>
          <w:highlight w:val="none"/>
        </w:rPr>
        <w:t>             </w:t>
      </w:r>
    </w:p>
    <w:p w14:paraId="37AC2C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eastAsia="zh-CN"/>
        </w:rPr>
        <w:t>0574-89076310</w:t>
      </w:r>
      <w:r>
        <w:rPr>
          <w:rFonts w:hint="eastAsia" w:ascii="宋体" w:hAnsi="宋体" w:eastAsia="宋体" w:cs="宋体"/>
          <w:color w:val="auto"/>
          <w:sz w:val="24"/>
          <w:highlight w:val="none"/>
        </w:rPr>
        <w:t>             </w:t>
      </w:r>
    </w:p>
    <w:p w14:paraId="334AE6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w w:val="80"/>
          <w:sz w:val="24"/>
          <w:highlight w:val="none"/>
          <w:lang w:val="en-US" w:eastAsia="zh-CN"/>
        </w:rPr>
        <w:t>杜振华、金连庆、苏秋霞、程学磊、金甜甜</w:t>
      </w:r>
      <w:r>
        <w:rPr>
          <w:rFonts w:hint="eastAsia" w:ascii="宋体" w:hAnsi="宋体" w:eastAsia="宋体" w:cs="宋体"/>
          <w:color w:val="auto"/>
          <w:sz w:val="24"/>
          <w:highlight w:val="none"/>
        </w:rPr>
        <w:t>              </w:t>
      </w:r>
    </w:p>
    <w:p w14:paraId="4B03B5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18258558072</w:t>
      </w:r>
    </w:p>
    <w:p w14:paraId="00F77D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质疑联系人：胡昌生             </w:t>
      </w:r>
    </w:p>
    <w:p w14:paraId="61369F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auto"/>
          <w:szCs w:val="21"/>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0574-87360849</w:t>
      </w:r>
      <w:r>
        <w:rPr>
          <w:rFonts w:hint="eastAsia" w:ascii="宋体" w:hAnsi="宋体" w:eastAsia="宋体" w:cs="宋体"/>
          <w:color w:val="auto"/>
          <w:sz w:val="24"/>
          <w:highlight w:val="none"/>
        </w:rPr>
        <w:t> 　　　</w:t>
      </w:r>
      <w:r>
        <w:rPr>
          <w:rFonts w:hint="eastAsia" w:ascii="宋体" w:hAnsi="宋体" w:cs="宋体"/>
          <w:color w:val="auto"/>
          <w:szCs w:val="21"/>
          <w:highlight w:val="none"/>
        </w:rPr>
        <w:t>　　　     </w:t>
      </w:r>
    </w:p>
    <w:p w14:paraId="226C69D5">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6977D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            </w:t>
      </w:r>
    </w:p>
    <w:p w14:paraId="2D07CA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名称：嵊泗县财政局政府采购监管科             </w:t>
      </w:r>
    </w:p>
    <w:p w14:paraId="39F85B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地址：嵊泗县菜园镇海滨中路136号             </w:t>
      </w:r>
    </w:p>
    <w:p w14:paraId="418B8C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传真：0580-5084056             </w:t>
      </w:r>
    </w:p>
    <w:p w14:paraId="2A4D1B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张伟</w:t>
      </w:r>
      <w:r>
        <w:rPr>
          <w:rFonts w:hint="eastAsia" w:ascii="宋体" w:hAnsi="宋体" w:eastAsia="宋体" w:cs="宋体"/>
          <w:color w:val="auto"/>
          <w:sz w:val="24"/>
          <w:highlight w:val="none"/>
        </w:rPr>
        <w:t>            </w:t>
      </w:r>
    </w:p>
    <w:p w14:paraId="11E1F8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highlight w:val="none"/>
        </w:rPr>
      </w:pPr>
      <w:bookmarkStart w:id="23" w:name="_Toc4479"/>
      <w:r>
        <w:rPr>
          <w:rFonts w:hint="eastAsia" w:ascii="宋体" w:hAnsi="宋体" w:eastAsia="宋体" w:cs="宋体"/>
          <w:color w:val="auto"/>
          <w:sz w:val="24"/>
          <w:highlight w:val="none"/>
        </w:rPr>
        <w:t>监督投诉电话：</w:t>
      </w:r>
      <w:bookmarkEnd w:id="23"/>
      <w:r>
        <w:rPr>
          <w:rFonts w:hint="eastAsia" w:ascii="宋体" w:hAnsi="宋体" w:eastAsia="宋体" w:cs="宋体"/>
          <w:color w:val="auto"/>
          <w:sz w:val="24"/>
          <w:highlight w:val="none"/>
        </w:rPr>
        <w:t>0580-5087363</w:t>
      </w:r>
    </w:p>
    <w:p w14:paraId="52FC7C36">
      <w:pPr>
        <w:pStyle w:val="24"/>
        <w:outlineLvl w:val="9"/>
        <w:rPr>
          <w:rFonts w:hint="eastAsia"/>
          <w:color w:val="auto"/>
          <w:highlight w:val="none"/>
          <w:lang w:val="en"/>
        </w:rPr>
      </w:pPr>
    </w:p>
    <w:p w14:paraId="3D45915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ascii="宋体" w:hAnsi="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w:t>
      </w:r>
      <w:r>
        <w:rPr>
          <w:rFonts w:hint="eastAsia" w:ascii="宋体" w:hAnsi="宋体" w:cs="宋体"/>
          <w:color w:val="auto"/>
          <w:sz w:val="21"/>
          <w:szCs w:val="21"/>
          <w:highlight w:val="none"/>
        </w:rPr>
        <w:t>（https://www.zcygov.cn/），点击右侧咨询小采，获取采小蜜智能服务管家帮助，或拨打政采云服务热线95763获取热线服务帮助。</w:t>
      </w:r>
    </w:p>
    <w:p w14:paraId="064A96DA">
      <w:pPr>
        <w:spacing w:line="360" w:lineRule="auto"/>
        <w:ind w:firstLine="420" w:firstLineChars="200"/>
        <w:outlineLvl w:val="9"/>
        <w:rPr>
          <w:rFonts w:hAnsi="宋体" w:cs="宋体"/>
          <w:b/>
          <w:color w:val="auto"/>
          <w:sz w:val="36"/>
          <w:szCs w:val="20"/>
          <w:highlight w:val="none"/>
        </w:rPr>
      </w:pPr>
      <w:r>
        <w:rPr>
          <w:rFonts w:hint="eastAsia" w:ascii="宋体" w:hAnsi="宋体" w:cs="宋体"/>
          <w:color w:val="auto"/>
          <w:sz w:val="21"/>
          <w:szCs w:val="21"/>
          <w:highlight w:val="none"/>
        </w:rPr>
        <w:t>CA问题联系电话（人工）：汇信CA 400-888-4636；天谷CA 400-087-8198。</w:t>
      </w:r>
      <w:r>
        <w:rPr>
          <w:rFonts w:hint="eastAsia" w:hAnsi="宋体" w:cs="宋体"/>
          <w:color w:val="auto"/>
          <w:sz w:val="21"/>
          <w:szCs w:val="21"/>
          <w:highlight w:val="none"/>
        </w:rPr>
        <w:t xml:space="preserve">  </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423E89F">
      <w:pPr>
        <w:pStyle w:val="4"/>
        <w:outlineLvl w:val="9"/>
        <w:rPr>
          <w:rFonts w:ascii="宋体"/>
          <w:snapToGrid w:val="0"/>
          <w:color w:val="auto"/>
          <w:highlight w:val="none"/>
        </w:rPr>
      </w:pPr>
      <w:r>
        <w:rPr>
          <w:color w:val="auto"/>
          <w:highlight w:val="none"/>
        </w:rPr>
        <w:br w:type="page"/>
      </w:r>
    </w:p>
    <w:p w14:paraId="26ED39CA">
      <w:pPr>
        <w:adjustRightInd/>
        <w:spacing w:line="360" w:lineRule="auto"/>
        <w:jc w:val="center"/>
        <w:outlineLvl w:val="0"/>
        <w:rPr>
          <w:rFonts w:ascii="宋体" w:hAnsi="宋体" w:cs="宋体"/>
          <w:b/>
          <w:color w:val="auto"/>
          <w:sz w:val="36"/>
          <w:szCs w:val="20"/>
          <w:highlight w:val="none"/>
        </w:rPr>
      </w:pPr>
      <w:bookmarkStart w:id="24" w:name="_Toc1745"/>
      <w:bookmarkStart w:id="25" w:name="_Toc19456"/>
      <w:bookmarkStart w:id="26" w:name="_Toc29324"/>
      <w:bookmarkStart w:id="27" w:name="_Toc31038"/>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24"/>
      <w:bookmarkEnd w:id="25"/>
      <w:bookmarkEnd w:id="26"/>
      <w:bookmarkEnd w:id="27"/>
    </w:p>
    <w:p w14:paraId="416905BD">
      <w:pPr>
        <w:adjustRightInd/>
        <w:spacing w:line="360" w:lineRule="auto"/>
        <w:ind w:firstLine="3845" w:firstLineChars="1197"/>
        <w:outlineLvl w:val="9"/>
        <w:rPr>
          <w:rFonts w:ascii="宋体" w:hAnsi="宋体" w:cs="宋体"/>
          <w:b/>
          <w:color w:val="auto"/>
          <w:sz w:val="32"/>
          <w:szCs w:val="20"/>
          <w:highlight w:val="none"/>
        </w:rPr>
      </w:pPr>
      <w:bookmarkStart w:id="28" w:name="_Toc17934"/>
      <w:r>
        <w:rPr>
          <w:rFonts w:hint="eastAsia" w:ascii="宋体" w:hAnsi="宋体" w:cs="宋体"/>
          <w:b/>
          <w:color w:val="auto"/>
          <w:sz w:val="32"/>
          <w:szCs w:val="20"/>
          <w:highlight w:val="none"/>
        </w:rPr>
        <w:t>前附表</w:t>
      </w:r>
      <w:bookmarkEnd w:id="28"/>
    </w:p>
    <w:tbl>
      <w:tblPr>
        <w:tblStyle w:val="64"/>
        <w:tblW w:w="10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227"/>
        <w:gridCol w:w="6870"/>
      </w:tblGrid>
      <w:tr w14:paraId="2C9A2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80" w:type="dxa"/>
            <w:tcBorders>
              <w:top w:val="single" w:color="auto" w:sz="4" w:space="0"/>
              <w:left w:val="single" w:color="auto" w:sz="4" w:space="0"/>
              <w:bottom w:val="single" w:color="auto" w:sz="4" w:space="0"/>
              <w:right w:val="single" w:color="auto" w:sz="4" w:space="0"/>
            </w:tcBorders>
          </w:tcPr>
          <w:p w14:paraId="116EEE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2227" w:type="dxa"/>
            <w:tcBorders>
              <w:top w:val="single" w:color="000000" w:sz="8" w:space="0"/>
              <w:left w:val="single" w:color="auto" w:sz="4" w:space="0"/>
              <w:bottom w:val="single" w:color="000000" w:sz="8" w:space="0"/>
              <w:right w:val="single" w:color="000000" w:sz="8" w:space="0"/>
            </w:tcBorders>
            <w:vAlign w:val="center"/>
          </w:tcPr>
          <w:p w14:paraId="3DC41D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870" w:type="dxa"/>
            <w:tcBorders>
              <w:top w:val="single" w:color="000000" w:sz="8" w:space="0"/>
              <w:left w:val="single" w:color="000000" w:sz="2" w:space="0"/>
              <w:bottom w:val="single" w:color="000000" w:sz="8" w:space="0"/>
              <w:right w:val="single" w:color="000000" w:sz="8" w:space="0"/>
            </w:tcBorders>
            <w:vAlign w:val="center"/>
          </w:tcPr>
          <w:p w14:paraId="2EAD5A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60FB6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14:paraId="0E83E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bCs/>
                <w:color w:val="auto"/>
                <w:sz w:val="24"/>
                <w:highlight w:val="none"/>
              </w:rPr>
            </w:pPr>
            <w:r>
              <w:rPr>
                <w:rFonts w:hint="eastAsia" w:ascii="宋体" w:hAnsi="宋体" w:cs="宋体"/>
                <w:b/>
                <w:bCs/>
                <w:color w:val="auto"/>
                <w:sz w:val="24"/>
                <w:highlight w:val="none"/>
              </w:rPr>
              <w:t>1</w:t>
            </w:r>
          </w:p>
        </w:tc>
        <w:tc>
          <w:tcPr>
            <w:tcW w:w="2227" w:type="dxa"/>
            <w:tcBorders>
              <w:top w:val="single" w:color="000000" w:sz="8" w:space="0"/>
              <w:left w:val="single" w:color="auto" w:sz="4" w:space="0"/>
              <w:bottom w:val="single" w:color="000000" w:sz="8" w:space="0"/>
              <w:right w:val="single" w:color="000000" w:sz="8" w:space="0"/>
            </w:tcBorders>
            <w:vAlign w:val="center"/>
          </w:tcPr>
          <w:p w14:paraId="030D2A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627A90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w:t>
            </w:r>
          </w:p>
        </w:tc>
      </w:tr>
      <w:tr w14:paraId="1511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14:paraId="51A718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bCs/>
                <w:color w:val="auto"/>
                <w:sz w:val="24"/>
                <w:highlight w:val="none"/>
              </w:rPr>
            </w:pPr>
            <w:r>
              <w:rPr>
                <w:rFonts w:hint="eastAsia" w:ascii="宋体" w:hAnsi="宋体" w:cs="宋体"/>
                <w:b/>
                <w:bCs/>
                <w:color w:val="auto"/>
                <w:sz w:val="24"/>
                <w:highlight w:val="none"/>
              </w:rPr>
              <w:t>2</w:t>
            </w:r>
          </w:p>
        </w:tc>
        <w:tc>
          <w:tcPr>
            <w:tcW w:w="2227" w:type="dxa"/>
            <w:tcBorders>
              <w:top w:val="single" w:color="000000" w:sz="8" w:space="0"/>
              <w:left w:val="single" w:color="auto" w:sz="4" w:space="0"/>
              <w:bottom w:val="single" w:color="000000" w:sz="8" w:space="0"/>
              <w:right w:val="single" w:color="000000" w:sz="8" w:space="0"/>
            </w:tcBorders>
            <w:vAlign w:val="center"/>
          </w:tcPr>
          <w:p w14:paraId="66BF4B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70" w:type="dxa"/>
            <w:tcBorders>
              <w:top w:val="single" w:color="000000" w:sz="8" w:space="0"/>
              <w:left w:val="single" w:color="000000" w:sz="2" w:space="0"/>
              <w:bottom w:val="single" w:color="000000" w:sz="8" w:space="0"/>
              <w:right w:val="single" w:color="000000" w:sz="8" w:space="0"/>
            </w:tcBorders>
            <w:vAlign w:val="center"/>
          </w:tcPr>
          <w:p w14:paraId="0C0E567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u w:val="single"/>
                <w:lang w:val="en-US" w:eastAsia="zh-CN"/>
              </w:rPr>
              <w:t>嵊泗县原天成化工厂地块一（原天成化工厂东侧主厂区）土壤污染修复项目</w:t>
            </w:r>
            <w:r>
              <w:rPr>
                <w:rFonts w:hint="eastAsia" w:ascii="宋体" w:hAnsi="宋体" w:cs="宋体"/>
                <w:color w:val="auto"/>
                <w:kern w:val="0"/>
                <w:sz w:val="24"/>
                <w:highlight w:val="none"/>
                <w:u w:val="none"/>
              </w:rPr>
              <w:t>，</w:t>
            </w:r>
            <w:r>
              <w:rPr>
                <w:rFonts w:hint="eastAsia" w:ascii="宋体" w:hAnsi="宋体" w:cs="宋体"/>
                <w:color w:val="auto"/>
                <w:kern w:val="0"/>
                <w:sz w:val="24"/>
                <w:szCs w:val="24"/>
                <w:highlight w:val="none"/>
              </w:rPr>
              <w:t>属于</w:t>
            </w:r>
            <w:r>
              <w:rPr>
                <w:rFonts w:hint="eastAsia" w:ascii="宋体" w:hAnsi="宋体" w:cs="宋体"/>
                <w:b/>
                <w:bCs/>
                <w:color w:val="auto"/>
                <w:sz w:val="24"/>
                <w:szCs w:val="24"/>
                <w:highlight w:val="none"/>
                <w:u w:val="single"/>
                <w:lang w:bidi="ar"/>
              </w:rPr>
              <w:t>其他未列明行业</w:t>
            </w:r>
            <w:r>
              <w:rPr>
                <w:rFonts w:hint="eastAsia" w:ascii="宋体" w:hAnsi="宋体" w:cs="宋体"/>
                <w:color w:val="auto"/>
                <w:kern w:val="0"/>
                <w:sz w:val="24"/>
                <w:highlight w:val="none"/>
              </w:rPr>
              <w:t>；</w:t>
            </w:r>
          </w:p>
          <w:p w14:paraId="052CA9F6">
            <w:pPr>
              <w:keepNext/>
              <w:keepLines/>
              <w:pageBreakBefore w:val="0"/>
              <w:widowControl w:val="0"/>
              <w:suppressLineNumbers w:val="0"/>
              <w:tabs>
                <w:tab w:val="left" w:pos="432"/>
              </w:tabs>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outlineLvl w:val="9"/>
              <w:rPr>
                <w:rFonts w:hint="eastAsia" w:ascii="宋体" w:hAnsi="宋体" w:eastAsia="宋体" w:cs="宋体"/>
                <w:b w:val="0"/>
                <w:bCs w:val="0"/>
                <w:color w:val="auto"/>
                <w:kern w:val="28"/>
                <w:sz w:val="24"/>
                <w:szCs w:val="24"/>
                <w:highlight w:val="none"/>
                <w:lang w:val="en-US" w:eastAsia="zh-CN" w:bidi="ar-SA"/>
              </w:rPr>
            </w:pPr>
            <w:bookmarkStart w:id="29" w:name="_Toc15395"/>
            <w:r>
              <w:rPr>
                <w:rFonts w:hint="eastAsia" w:ascii="宋体" w:hAnsi="宋体" w:eastAsia="宋体" w:cs="宋体"/>
                <w:b w:val="0"/>
                <w:bCs w:val="0"/>
                <w:color w:val="auto"/>
                <w:kern w:val="28"/>
                <w:sz w:val="24"/>
                <w:szCs w:val="24"/>
                <w:highlight w:val="none"/>
                <w:lang w:val="en-US" w:eastAsia="zh-CN" w:bidi="ar-SA"/>
              </w:rPr>
              <w:t>备注：《关于印发中小企业划型标准规定的通知》（工信</w:t>
            </w:r>
            <w:bookmarkEnd w:id="29"/>
            <w:bookmarkStart w:id="30" w:name="_Toc11782"/>
            <w:r>
              <w:rPr>
                <w:rFonts w:hint="eastAsia" w:ascii="宋体" w:hAnsi="宋体" w:eastAsia="宋体" w:cs="宋体"/>
                <w:b w:val="0"/>
                <w:bCs w:val="0"/>
                <w:color w:val="auto"/>
                <w:kern w:val="28"/>
                <w:sz w:val="24"/>
                <w:szCs w:val="24"/>
                <w:highlight w:val="none"/>
                <w:lang w:val="en-US" w:eastAsia="zh-CN" w:bidi="ar-SA"/>
              </w:rPr>
              <w:t>部联企业〔2011〕300）：</w:t>
            </w:r>
            <w:bookmarkEnd w:id="30"/>
          </w:p>
          <w:p w14:paraId="47910060">
            <w:pPr>
              <w:keepNext/>
              <w:keepLines/>
              <w:pageBreakBefore w:val="0"/>
              <w:widowControl w:val="0"/>
              <w:suppressLineNumbers w:val="0"/>
              <w:tabs>
                <w:tab w:val="left" w:pos="432"/>
              </w:tabs>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outlineLvl w:val="9"/>
              <w:rPr>
                <w:rFonts w:hint="default" w:ascii="宋体" w:hAnsi="宋体" w:eastAsia="宋体" w:cs="宋体"/>
                <w:color w:val="auto"/>
                <w:highlight w:val="none"/>
                <w:lang w:val="en-US"/>
              </w:rPr>
            </w:pPr>
            <w:r>
              <w:rPr>
                <w:rFonts w:hint="eastAsia" w:cs="宋体" w:asciiTheme="minorEastAsia" w:hAnsiTheme="minorEastAsia" w:eastAsiaTheme="minorEastAsia"/>
                <w:color w:val="auto"/>
                <w:kern w:val="0"/>
                <w:sz w:val="24"/>
                <w:highlight w:val="none"/>
              </w:rPr>
              <w:t>其他未列明行业。从业人员300人以下的为中小微型企业。其中，从业人员100人及以上的为中型企业；从业人员10人及以上的为小型企业；从业人员10人以下的为微型企业。</w:t>
            </w:r>
          </w:p>
        </w:tc>
      </w:tr>
      <w:tr w14:paraId="7C85A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14:paraId="44B307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bCs/>
                <w:color w:val="auto"/>
                <w:sz w:val="24"/>
                <w:highlight w:val="none"/>
              </w:rPr>
            </w:pPr>
            <w:r>
              <w:rPr>
                <w:rFonts w:hint="eastAsia" w:ascii="宋体" w:hAnsi="宋体" w:cs="宋体"/>
                <w:b/>
                <w:bCs/>
                <w:color w:val="auto"/>
                <w:sz w:val="24"/>
                <w:highlight w:val="none"/>
              </w:rPr>
              <w:t>3</w:t>
            </w:r>
          </w:p>
        </w:tc>
        <w:tc>
          <w:tcPr>
            <w:tcW w:w="2227" w:type="dxa"/>
            <w:tcBorders>
              <w:top w:val="single" w:color="000000" w:sz="8" w:space="0"/>
              <w:left w:val="single" w:color="auto" w:sz="4" w:space="0"/>
              <w:bottom w:val="single" w:color="000000" w:sz="8" w:space="0"/>
              <w:right w:val="single" w:color="000000" w:sz="8" w:space="0"/>
            </w:tcBorders>
            <w:vAlign w:val="center"/>
          </w:tcPr>
          <w:p w14:paraId="6C2E41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是否允许</w:t>
            </w:r>
          </w:p>
          <w:p w14:paraId="5A24B7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采购进口产品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10A63F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1AEDACA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Theme="minorEastAsia" w:hAnsiTheme="minorEastAsia" w:eastAsiaTheme="minorEastAsia"/>
                <w:snapToGrid/>
                <w:color w:val="auto"/>
                <w:kern w:val="2"/>
                <w:sz w:val="24"/>
                <w:szCs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4A25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14:paraId="40D22D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bCs/>
                <w:color w:val="auto"/>
                <w:sz w:val="24"/>
                <w:highlight w:val="none"/>
              </w:rPr>
            </w:pPr>
            <w:r>
              <w:rPr>
                <w:rFonts w:hint="eastAsia" w:ascii="宋体" w:hAnsi="宋体" w:cs="宋体"/>
                <w:b/>
                <w:bCs/>
                <w:color w:val="auto"/>
                <w:sz w:val="24"/>
                <w:highlight w:val="none"/>
              </w:rPr>
              <w:t>4</w:t>
            </w:r>
          </w:p>
        </w:tc>
        <w:tc>
          <w:tcPr>
            <w:tcW w:w="2227" w:type="dxa"/>
            <w:tcBorders>
              <w:top w:val="single" w:color="000000" w:sz="8" w:space="0"/>
              <w:left w:val="single" w:color="auto" w:sz="4" w:space="0"/>
              <w:bottom w:val="single" w:color="000000" w:sz="8" w:space="0"/>
              <w:right w:val="single" w:color="000000" w:sz="8" w:space="0"/>
            </w:tcBorders>
            <w:vAlign w:val="center"/>
          </w:tcPr>
          <w:p w14:paraId="11125D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870" w:type="dxa"/>
            <w:tcBorders>
              <w:top w:val="single" w:color="000000" w:sz="8" w:space="0"/>
              <w:left w:val="single" w:color="000000" w:sz="2" w:space="0"/>
              <w:bottom w:val="single" w:color="000000" w:sz="8" w:space="0"/>
              <w:right w:val="single" w:color="000000" w:sz="8" w:space="0"/>
            </w:tcBorders>
            <w:vAlign w:val="center"/>
          </w:tcPr>
          <w:p w14:paraId="1425392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075FFF5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8A25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80" w:type="dxa"/>
            <w:tcBorders>
              <w:top w:val="single" w:color="auto" w:sz="4" w:space="0"/>
              <w:left w:val="single" w:color="auto" w:sz="4" w:space="0"/>
              <w:bottom w:val="single" w:color="auto" w:sz="4" w:space="0"/>
              <w:right w:val="single" w:color="auto" w:sz="4" w:space="0"/>
            </w:tcBorders>
          </w:tcPr>
          <w:p w14:paraId="67070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bCs/>
                <w:color w:val="auto"/>
                <w:sz w:val="24"/>
                <w:highlight w:val="none"/>
              </w:rPr>
            </w:pPr>
          </w:p>
          <w:p w14:paraId="3D3DB7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bCs/>
                <w:color w:val="auto"/>
                <w:sz w:val="24"/>
                <w:highlight w:val="none"/>
              </w:rPr>
            </w:pPr>
            <w:r>
              <w:rPr>
                <w:rFonts w:hint="eastAsia" w:ascii="宋体" w:hAnsi="宋体" w:cs="宋体"/>
                <w:b/>
                <w:bCs/>
                <w:color w:val="auto"/>
                <w:sz w:val="24"/>
                <w:highlight w:val="none"/>
              </w:rPr>
              <w:t>5</w:t>
            </w:r>
          </w:p>
        </w:tc>
        <w:tc>
          <w:tcPr>
            <w:tcW w:w="2227" w:type="dxa"/>
            <w:tcBorders>
              <w:top w:val="single" w:color="000000" w:sz="8" w:space="0"/>
              <w:left w:val="single" w:color="auto" w:sz="4" w:space="0"/>
              <w:bottom w:val="single" w:color="000000" w:sz="8" w:space="0"/>
              <w:right w:val="single" w:color="000000" w:sz="8" w:space="0"/>
            </w:tcBorders>
            <w:vAlign w:val="center"/>
          </w:tcPr>
          <w:p w14:paraId="3F98FC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现场考察</w:t>
            </w:r>
          </w:p>
        </w:tc>
        <w:tc>
          <w:tcPr>
            <w:tcW w:w="6870" w:type="dxa"/>
            <w:tcBorders>
              <w:top w:val="single" w:color="000000" w:sz="8" w:space="0"/>
              <w:left w:val="single" w:color="000000" w:sz="2" w:space="0"/>
              <w:bottom w:val="single" w:color="000000" w:sz="8" w:space="0"/>
              <w:right w:val="single" w:color="000000" w:sz="8" w:space="0"/>
            </w:tcBorders>
            <w:vAlign w:val="center"/>
          </w:tcPr>
          <w:p w14:paraId="0B984B3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val="en-US" w:eastAsia="zh-CN"/>
              </w:rPr>
              <w:t>建议投标人自行前往踏勘，踏勘过程中一切费用均由投标人自行承担。</w:t>
            </w:r>
          </w:p>
          <w:p w14:paraId="16BF452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eastAsia="宋体" w:cs="宋体"/>
                <w:color w:val="auto"/>
                <w:sz w:val="24"/>
                <w:szCs w:val="20"/>
                <w:highlight w:val="none"/>
                <w:lang w:val="en-US" w:eastAsia="zh-CN"/>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tc>
      </w:tr>
      <w:tr w14:paraId="1B73F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3"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14:paraId="7CC36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6</w:t>
            </w:r>
          </w:p>
        </w:tc>
        <w:tc>
          <w:tcPr>
            <w:tcW w:w="2227" w:type="dxa"/>
            <w:tcBorders>
              <w:top w:val="single" w:color="000000" w:sz="8" w:space="0"/>
              <w:left w:val="single" w:color="auto" w:sz="4" w:space="0"/>
              <w:bottom w:val="single" w:color="000000" w:sz="8" w:space="0"/>
              <w:right w:val="single" w:color="000000" w:sz="8" w:space="0"/>
            </w:tcBorders>
            <w:vAlign w:val="center"/>
          </w:tcPr>
          <w:p w14:paraId="41561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870" w:type="dxa"/>
            <w:tcBorders>
              <w:top w:val="single" w:color="000000" w:sz="8" w:space="0"/>
              <w:left w:val="single" w:color="000000" w:sz="2" w:space="0"/>
              <w:bottom w:val="single" w:color="000000" w:sz="8" w:space="0"/>
              <w:right w:val="single" w:color="000000" w:sz="8" w:space="0"/>
            </w:tcBorders>
            <w:vAlign w:val="center"/>
          </w:tcPr>
          <w:p w14:paraId="15AC1E6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C1A4A3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93D432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05D2C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E99C4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99B64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245E2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71A0E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08A30D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C629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14:paraId="720CFF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p>
        </w:tc>
        <w:tc>
          <w:tcPr>
            <w:tcW w:w="2227" w:type="dxa"/>
            <w:tcBorders>
              <w:top w:val="single" w:color="000000" w:sz="8" w:space="0"/>
              <w:left w:val="single" w:color="auto" w:sz="4" w:space="0"/>
              <w:bottom w:val="single" w:color="000000" w:sz="8" w:space="0"/>
              <w:right w:val="single" w:color="000000" w:sz="8" w:space="0"/>
            </w:tcBorders>
            <w:vAlign w:val="center"/>
          </w:tcPr>
          <w:p w14:paraId="355362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870" w:type="dxa"/>
            <w:tcBorders>
              <w:top w:val="single" w:color="000000" w:sz="8" w:space="0"/>
              <w:left w:val="single" w:color="000000" w:sz="2" w:space="0"/>
              <w:bottom w:val="single" w:color="000000" w:sz="8" w:space="0"/>
              <w:right w:val="single" w:color="000000" w:sz="8" w:space="0"/>
            </w:tcBorders>
            <w:vAlign w:val="center"/>
          </w:tcPr>
          <w:p w14:paraId="5593D7F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842253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569AF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人。讲解演示结束后按要求解答评标委员会提问。</w:t>
            </w:r>
          </w:p>
          <w:p w14:paraId="16CA3F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11353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29EFE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69F4E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ED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980" w:type="dxa"/>
            <w:vMerge w:val="restart"/>
            <w:tcBorders>
              <w:top w:val="single" w:color="auto" w:sz="4" w:space="0"/>
              <w:left w:val="single" w:color="auto" w:sz="4" w:space="0"/>
              <w:right w:val="single" w:color="auto" w:sz="4" w:space="0"/>
            </w:tcBorders>
          </w:tcPr>
          <w:p w14:paraId="38C989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p w14:paraId="45755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p w14:paraId="0D1457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r>
              <w:rPr>
                <w:rFonts w:hint="eastAsia" w:ascii="宋体" w:hAnsi="宋体" w:cs="宋体"/>
                <w:b/>
                <w:bCs/>
                <w:color w:val="auto"/>
                <w:sz w:val="24"/>
                <w:highlight w:val="none"/>
              </w:rPr>
              <w:t>8</w:t>
            </w:r>
          </w:p>
        </w:tc>
        <w:tc>
          <w:tcPr>
            <w:tcW w:w="2227" w:type="dxa"/>
            <w:vMerge w:val="restart"/>
            <w:tcBorders>
              <w:top w:val="single" w:color="000000" w:sz="8" w:space="0"/>
              <w:left w:val="single" w:color="auto" w:sz="4" w:space="0"/>
              <w:right w:val="single" w:color="000000" w:sz="8" w:space="0"/>
            </w:tcBorders>
            <w:vAlign w:val="center"/>
          </w:tcPr>
          <w:p w14:paraId="739AD6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70" w:type="dxa"/>
            <w:tcBorders>
              <w:top w:val="single" w:color="000000" w:sz="8" w:space="0"/>
              <w:left w:val="single" w:color="000000" w:sz="2" w:space="0"/>
              <w:bottom w:val="single" w:color="auto" w:sz="4" w:space="0"/>
              <w:right w:val="single" w:color="000000" w:sz="8" w:space="0"/>
            </w:tcBorders>
            <w:vAlign w:val="center"/>
          </w:tcPr>
          <w:p w14:paraId="7F3B80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jc w:val="both"/>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718DA9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jc w:val="both"/>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650E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980" w:type="dxa"/>
            <w:vMerge w:val="continue"/>
            <w:tcBorders>
              <w:left w:val="single" w:color="auto" w:sz="4" w:space="0"/>
              <w:bottom w:val="single" w:color="auto" w:sz="4" w:space="0"/>
              <w:right w:val="single" w:color="auto" w:sz="4" w:space="0"/>
            </w:tcBorders>
          </w:tcPr>
          <w:p w14:paraId="5C65F3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227" w:type="dxa"/>
            <w:vMerge w:val="continue"/>
            <w:tcBorders>
              <w:left w:val="single" w:color="auto" w:sz="4" w:space="0"/>
              <w:bottom w:val="single" w:color="000000" w:sz="8" w:space="0"/>
              <w:right w:val="single" w:color="000000" w:sz="8" w:space="0"/>
            </w:tcBorders>
            <w:vAlign w:val="center"/>
          </w:tcPr>
          <w:p w14:paraId="0729A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6870" w:type="dxa"/>
            <w:tcBorders>
              <w:top w:val="single" w:color="auto" w:sz="4" w:space="0"/>
              <w:left w:val="single" w:color="000000" w:sz="2" w:space="0"/>
              <w:bottom w:val="single" w:color="000000" w:sz="8" w:space="0"/>
              <w:right w:val="single" w:color="000000" w:sz="8" w:space="0"/>
            </w:tcBorders>
            <w:vAlign w:val="center"/>
          </w:tcPr>
          <w:p w14:paraId="334D16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0" w:lineRule="exact"/>
              <w:ind w:left="0" w:right="0"/>
              <w:jc w:val="both"/>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D1F3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80" w:type="dxa"/>
            <w:tcBorders>
              <w:top w:val="single" w:color="auto" w:sz="4" w:space="0"/>
              <w:left w:val="single" w:color="000000" w:sz="8" w:space="0"/>
              <w:bottom w:val="single" w:color="auto" w:sz="4" w:space="0"/>
              <w:right w:val="single" w:color="000000" w:sz="2" w:space="0"/>
            </w:tcBorders>
          </w:tcPr>
          <w:p w14:paraId="097BD0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p w14:paraId="21A877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p w14:paraId="43B9CE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r>
              <w:rPr>
                <w:rFonts w:hint="eastAsia" w:ascii="宋体" w:hAnsi="宋体" w:cs="宋体"/>
                <w:b/>
                <w:bCs/>
                <w:color w:val="auto"/>
                <w:sz w:val="24"/>
                <w:highlight w:val="none"/>
              </w:rPr>
              <w:t>9</w:t>
            </w:r>
          </w:p>
        </w:tc>
        <w:tc>
          <w:tcPr>
            <w:tcW w:w="2227" w:type="dxa"/>
            <w:tcBorders>
              <w:top w:val="single" w:color="000000" w:sz="8" w:space="0"/>
              <w:left w:val="single" w:color="000000" w:sz="2" w:space="0"/>
              <w:bottom w:val="single" w:color="000000" w:sz="8" w:space="0"/>
              <w:right w:val="single" w:color="000000" w:sz="8" w:space="0"/>
            </w:tcBorders>
            <w:vAlign w:val="center"/>
          </w:tcPr>
          <w:p w14:paraId="22E081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节能产品、</w:t>
            </w:r>
          </w:p>
          <w:p w14:paraId="341372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环境标志产品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2723BB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510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3B77F4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bCs/>
                <w:color w:val="auto"/>
                <w:sz w:val="24"/>
                <w:highlight w:val="none"/>
              </w:rPr>
            </w:pPr>
            <w:r>
              <w:rPr>
                <w:rFonts w:hint="eastAsia" w:ascii="宋体" w:hAnsi="宋体" w:cs="宋体"/>
                <w:b/>
                <w:bCs/>
                <w:color w:val="auto"/>
                <w:sz w:val="24"/>
                <w:highlight w:val="none"/>
              </w:rPr>
              <w:t>10</w:t>
            </w:r>
          </w:p>
        </w:tc>
        <w:tc>
          <w:tcPr>
            <w:tcW w:w="2227" w:type="dxa"/>
            <w:tcBorders>
              <w:top w:val="single" w:color="000000" w:sz="8" w:space="0"/>
              <w:left w:val="single" w:color="000000" w:sz="2" w:space="0"/>
              <w:bottom w:val="single" w:color="000000" w:sz="8" w:space="0"/>
              <w:right w:val="single" w:color="000000" w:sz="8" w:space="0"/>
            </w:tcBorders>
            <w:vAlign w:val="center"/>
          </w:tcPr>
          <w:p w14:paraId="419D94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870" w:type="dxa"/>
            <w:tcBorders>
              <w:top w:val="single" w:color="000000" w:sz="8" w:space="0"/>
              <w:left w:val="single" w:color="000000" w:sz="2" w:space="0"/>
              <w:bottom w:val="single" w:color="000000" w:sz="8" w:space="0"/>
              <w:right w:val="single" w:color="000000" w:sz="8" w:space="0"/>
            </w:tcBorders>
            <w:vAlign w:val="center"/>
          </w:tcPr>
          <w:p w14:paraId="06EA2456">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623AD442">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493AD11E">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投标文件中价格全部采用人民币报价，包括但不限于实施本</w:t>
            </w:r>
            <w:r>
              <w:rPr>
                <w:rFonts w:hint="eastAsia" w:ascii="宋体" w:hAnsi="宋体" w:cs="宋体"/>
                <w:color w:val="auto"/>
                <w:kern w:val="0"/>
                <w:sz w:val="24"/>
                <w:highlight w:val="none"/>
                <w:lang w:val="zh-CN" w:eastAsia="zh-CN"/>
              </w:rPr>
              <w:t>地块</w:t>
            </w:r>
            <w:r>
              <w:rPr>
                <w:rFonts w:hint="eastAsia" w:ascii="宋体" w:hAnsi="宋体" w:cs="宋体"/>
                <w:color w:val="auto"/>
                <w:kern w:val="0"/>
                <w:sz w:val="24"/>
                <w:highlight w:val="none"/>
                <w:lang w:val="zh-CN"/>
              </w:rPr>
              <w:t>移出建设用地土壤污染风险管控和修复名录后所需的人工费、机械费、材料费、管理费、止水帷幕设计费、利润、措施费、规费、税金、交易服务费、公证费、二次污染防治费、施工过程中可能发生的其他费用。</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应考虑企业自身实力、经验及项目实施过程中的各种因素，在合同价中应充分考虑所有可能发生的费用。</w:t>
            </w:r>
          </w:p>
          <w:p w14:paraId="168930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4、本项目采购预算金额:1614.7270万元，投标报价超过采购预算金额的作无效标处理。</w:t>
            </w:r>
          </w:p>
          <w:p w14:paraId="6DCE07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lang w:val="zh-CN"/>
              </w:rPr>
              <w:t>投标报价出现下列情形的，投标无效：</w:t>
            </w:r>
          </w:p>
          <w:p w14:paraId="196FA4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lang w:val="zh-CN"/>
              </w:rPr>
              <w:t>投标文件出现不是唯一的、有选择性投标报价的；</w:t>
            </w:r>
          </w:p>
          <w:p w14:paraId="4A65A2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lang w:val="zh-CN"/>
              </w:rPr>
              <w:t>投标报价超过招标文件中规定的预算金额或者最高限价的；</w:t>
            </w:r>
          </w:p>
          <w:p w14:paraId="0292A05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B85C51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51F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51F14B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p>
        </w:tc>
        <w:tc>
          <w:tcPr>
            <w:tcW w:w="2227" w:type="dxa"/>
            <w:tcBorders>
              <w:top w:val="single" w:color="000000" w:sz="8" w:space="0"/>
              <w:left w:val="single" w:color="000000" w:sz="2" w:space="0"/>
              <w:bottom w:val="single" w:color="000000" w:sz="8" w:space="0"/>
              <w:right w:val="single" w:color="000000" w:sz="8" w:space="0"/>
            </w:tcBorders>
            <w:vAlign w:val="center"/>
          </w:tcPr>
          <w:p w14:paraId="59B157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70" w:type="dxa"/>
            <w:tcBorders>
              <w:top w:val="single" w:color="000000" w:sz="8" w:space="0"/>
              <w:left w:val="single" w:color="000000" w:sz="2" w:space="0"/>
              <w:bottom w:val="single" w:color="000000" w:sz="8" w:space="0"/>
              <w:right w:val="single" w:color="000000" w:sz="8" w:space="0"/>
            </w:tcBorders>
            <w:vAlign w:val="center"/>
          </w:tcPr>
          <w:p w14:paraId="2D7D8D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供应商如提供备份投标文件的，可采用邮寄方式或直接提交方式递交备份投标文件</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供应商需</w:t>
            </w:r>
            <w:r>
              <w:rPr>
                <w:rFonts w:hint="eastAsia" w:ascii="宋体" w:hAnsi="宋体" w:eastAsia="宋体" w:cs="宋体"/>
                <w:snapToGrid w:val="0"/>
                <w:color w:val="auto"/>
                <w:kern w:val="28"/>
                <w:sz w:val="24"/>
                <w:highlight w:val="none"/>
              </w:rPr>
              <w:t>将以U盘存储的备份投标文件密封递交，逾期送达或未密封将予以拒收。</w:t>
            </w:r>
          </w:p>
          <w:p w14:paraId="684AF59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rPr>
              <w:t>采用邮寄方式递交备份投标文件，需按以下要求递交：</w:t>
            </w:r>
          </w:p>
          <w:p w14:paraId="142A18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供应商应在</w:t>
            </w:r>
            <w:r>
              <w:rPr>
                <w:rFonts w:hint="eastAsia" w:ascii="宋体" w:hAnsi="宋体" w:eastAsia="宋体" w:cs="宋体"/>
                <w:snapToGrid w:val="0"/>
                <w:color w:val="auto"/>
                <w:kern w:val="28"/>
                <w:sz w:val="24"/>
                <w:highlight w:val="none"/>
                <w:lang w:val="en-US" w:eastAsia="zh-CN"/>
              </w:rPr>
              <w:t>开标</w:t>
            </w:r>
            <w:r>
              <w:rPr>
                <w:rFonts w:hint="eastAsia" w:ascii="宋体" w:hAnsi="宋体" w:eastAsia="宋体" w:cs="宋体"/>
                <w:snapToGrid w:val="0"/>
                <w:color w:val="auto"/>
                <w:kern w:val="28"/>
                <w:sz w:val="24"/>
                <w:highlight w:val="none"/>
              </w:rPr>
              <w:t>前</w:t>
            </w:r>
            <w:r>
              <w:rPr>
                <w:rFonts w:hint="eastAsia" w:ascii="宋体" w:hAnsi="宋体" w:eastAsia="宋体" w:cs="宋体"/>
                <w:snapToGrid w:val="0"/>
                <w:color w:val="auto"/>
                <w:kern w:val="28"/>
                <w:sz w:val="24"/>
                <w:highlight w:val="none"/>
                <w:lang w:val="en-US" w:eastAsia="zh-CN"/>
              </w:rPr>
              <w:t>一日</w:t>
            </w:r>
            <w:r>
              <w:rPr>
                <w:rFonts w:hint="eastAsia" w:ascii="宋体" w:hAnsi="宋体" w:eastAsia="宋体" w:cs="宋体"/>
                <w:snapToGrid w:val="0"/>
                <w:color w:val="auto"/>
                <w:kern w:val="28"/>
                <w:sz w:val="24"/>
                <w:highlight w:val="none"/>
              </w:rPr>
              <w:t>17：00（含）前将备份</w:t>
            </w:r>
            <w:r>
              <w:rPr>
                <w:rFonts w:hint="eastAsia" w:ascii="宋体" w:hAnsi="宋体" w:eastAsia="宋体" w:cs="宋体"/>
                <w:snapToGrid w:val="0"/>
                <w:color w:val="auto"/>
                <w:kern w:val="28"/>
                <w:sz w:val="24"/>
                <w:highlight w:val="none"/>
                <w:lang w:val="en-US" w:eastAsia="zh-CN"/>
              </w:rPr>
              <w:t>投标文件</w:t>
            </w:r>
            <w:r>
              <w:rPr>
                <w:rFonts w:hint="eastAsia" w:ascii="宋体" w:hAnsi="宋体" w:eastAsia="宋体" w:cs="宋体"/>
                <w:snapToGrid w:val="0"/>
                <w:color w:val="auto"/>
                <w:kern w:val="28"/>
                <w:sz w:val="24"/>
                <w:highlight w:val="none"/>
              </w:rPr>
              <w:t>邮寄至规定地点，邮寄地址为：</w:t>
            </w:r>
            <w:r>
              <w:rPr>
                <w:rFonts w:hint="eastAsia" w:ascii="Arial" w:hAnsi="Arial" w:cs="宋体"/>
                <w:color w:val="auto"/>
                <w:kern w:val="28"/>
                <w:highlight w:val="none"/>
              </w:rPr>
              <w:t>科信联合工程咨询有限公司（宁波市江南路598号九五国际A座</w:t>
            </w:r>
            <w:r>
              <w:rPr>
                <w:rFonts w:hint="eastAsia" w:ascii="Arial" w:hAnsi="Arial" w:cs="宋体"/>
                <w:color w:val="auto"/>
                <w:kern w:val="28"/>
                <w:highlight w:val="none"/>
                <w:lang w:val="en-US" w:eastAsia="zh-CN"/>
              </w:rPr>
              <w:t>11</w:t>
            </w:r>
            <w:r>
              <w:rPr>
                <w:rFonts w:hint="eastAsia" w:ascii="Arial" w:hAnsi="Arial" w:cs="宋体"/>
                <w:color w:val="auto"/>
                <w:kern w:val="28"/>
                <w:highlight w:val="none"/>
              </w:rPr>
              <w:t>楼</w:t>
            </w:r>
            <w:r>
              <w:rPr>
                <w:rFonts w:hint="eastAsia" w:ascii="Arial" w:hAnsi="Arial" w:cs="宋体"/>
                <w:color w:val="auto"/>
                <w:kern w:val="28"/>
                <w:highlight w:val="none"/>
                <w:lang w:val="en-US" w:eastAsia="zh-CN"/>
              </w:rPr>
              <w:t>1133</w:t>
            </w:r>
            <w:r>
              <w:rPr>
                <w:rFonts w:hint="eastAsia" w:ascii="Arial" w:hAnsi="Arial" w:cs="宋体"/>
                <w:color w:val="auto"/>
                <w:kern w:val="28"/>
                <w:highlight w:val="none"/>
              </w:rPr>
              <w:t>）</w:t>
            </w:r>
            <w:r>
              <w:rPr>
                <w:rFonts w:hint="eastAsia" w:ascii="宋体" w:hAnsi="宋体" w:eastAsia="宋体" w:cs="宋体"/>
                <w:snapToGrid w:val="0"/>
                <w:color w:val="auto"/>
                <w:kern w:val="28"/>
                <w:sz w:val="24"/>
                <w:highlight w:val="none"/>
              </w:rPr>
              <w:t>，收件人</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杜振华</w:t>
            </w:r>
            <w:r>
              <w:rPr>
                <w:rFonts w:hint="eastAsia" w:ascii="宋体" w:hAnsi="宋体" w:eastAsia="宋体" w:cs="宋体"/>
                <w:snapToGrid w:val="0"/>
                <w:color w:val="auto"/>
                <w:kern w:val="28"/>
                <w:sz w:val="24"/>
                <w:highlight w:val="none"/>
              </w:rPr>
              <w:t>，联系方式：</w:t>
            </w:r>
            <w:r>
              <w:rPr>
                <w:rFonts w:hint="eastAsia" w:ascii="宋体" w:hAnsi="宋体" w:cs="宋体"/>
                <w:snapToGrid w:val="0"/>
                <w:color w:val="auto"/>
                <w:kern w:val="28"/>
                <w:sz w:val="24"/>
                <w:highlight w:val="none"/>
                <w:lang w:eastAsia="zh-CN"/>
              </w:rPr>
              <w:t>18258558072</w:t>
            </w:r>
            <w:r>
              <w:rPr>
                <w:rFonts w:hint="eastAsia" w:ascii="宋体" w:hAnsi="宋体" w:eastAsia="宋体" w:cs="宋体"/>
                <w:snapToGrid w:val="0"/>
                <w:color w:val="auto"/>
                <w:kern w:val="28"/>
                <w:sz w:val="24"/>
                <w:highlight w:val="none"/>
                <w:lang w:val="en-US" w:eastAsia="zh-CN"/>
              </w:rPr>
              <w:t xml:space="preserve"> </w:t>
            </w:r>
            <w:r>
              <w:rPr>
                <w:rFonts w:hint="eastAsia" w:ascii="宋体" w:hAnsi="宋体" w:eastAsia="宋体" w:cs="宋体"/>
                <w:snapToGrid w:val="0"/>
                <w:color w:val="auto"/>
                <w:kern w:val="28"/>
                <w:sz w:val="24"/>
                <w:highlight w:val="none"/>
              </w:rPr>
              <w:t>。由采购代理工作人员进行签收，各供应商自行考虑邮寄在途时间，邮寄过程中无论何种因素导致备份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文件未按时递交的后果，均由供应商自行负责。备份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文件递交时间以采购代理实际收到备份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文件的时间为准。</w:t>
            </w:r>
          </w:p>
          <w:p w14:paraId="3DB9EB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（3）采用直接提交方式递交备份投标文件，需按以下要求递交：在投标截止时间前将备份投标文件送至</w:t>
            </w:r>
            <w:r>
              <w:rPr>
                <w:rFonts w:hint="eastAsia" w:ascii="宋体" w:hAnsi="宋体" w:eastAsia="宋体" w:cs="宋体"/>
                <w:snapToGrid w:val="0"/>
                <w:color w:val="auto"/>
                <w:kern w:val="28"/>
                <w:sz w:val="24"/>
                <w:highlight w:val="none"/>
                <w:u w:val="single"/>
                <w:lang w:val="en-US" w:eastAsia="zh-CN"/>
              </w:rPr>
              <w:t xml:space="preserve"> 科信联合工程咨询有限公司（宁波市江南路598号九五国际A座11楼1133）</w:t>
            </w:r>
            <w:r>
              <w:rPr>
                <w:rFonts w:hint="eastAsia" w:ascii="宋体" w:hAnsi="宋体" w:eastAsia="宋体" w:cs="宋体"/>
                <w:snapToGrid w:val="0"/>
                <w:color w:val="auto"/>
                <w:kern w:val="28"/>
                <w:sz w:val="24"/>
                <w:highlight w:val="none"/>
                <w:lang w:val="en-US" w:eastAsia="zh-CN"/>
              </w:rPr>
              <w:t xml:space="preserve">。       </w:t>
            </w:r>
          </w:p>
          <w:p w14:paraId="421AE0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eastAsia="宋体"/>
                <w:color w:val="auto"/>
                <w:highlight w:val="none"/>
                <w:lang w:eastAsia="zh-CN"/>
              </w:rPr>
            </w:pPr>
            <w:r>
              <w:rPr>
                <w:rFonts w:hint="eastAsia" w:ascii="宋体" w:hAnsi="宋体" w:eastAsia="宋体" w:cs="宋体"/>
                <w:b/>
                <w:bCs/>
                <w:snapToGrid w:val="0"/>
                <w:color w:val="auto"/>
                <w:kern w:val="28"/>
                <w:sz w:val="24"/>
                <w:highlight w:val="none"/>
              </w:rPr>
              <w:t>采购人、</w:t>
            </w:r>
            <w:r>
              <w:rPr>
                <w:rFonts w:hint="eastAsia" w:ascii="宋体" w:hAnsi="宋体" w:eastAsia="宋体" w:cs="宋体"/>
                <w:b/>
                <w:bCs/>
                <w:snapToGrid w:val="0"/>
                <w:color w:val="auto"/>
                <w:kern w:val="28"/>
                <w:sz w:val="24"/>
                <w:highlight w:val="none"/>
                <w:lang w:eastAsia="zh-CN"/>
              </w:rPr>
              <w:t>采购代理机构</w:t>
            </w:r>
            <w:r>
              <w:rPr>
                <w:rFonts w:hint="eastAsia" w:ascii="宋体" w:hAnsi="宋体" w:eastAsia="宋体" w:cs="宋体"/>
                <w:b/>
                <w:bCs/>
                <w:snapToGrid w:val="0"/>
                <w:color w:val="auto"/>
                <w:kern w:val="28"/>
                <w:sz w:val="24"/>
                <w:highlight w:val="none"/>
              </w:rPr>
              <w:t>不强制投标人提交备份投标文件</w:t>
            </w:r>
            <w:r>
              <w:rPr>
                <w:rFonts w:hint="eastAsia" w:ascii="宋体" w:hAnsi="宋体" w:eastAsia="宋体" w:cs="宋体"/>
                <w:b/>
                <w:bCs/>
                <w:snapToGrid w:val="0"/>
                <w:color w:val="auto"/>
                <w:kern w:val="28"/>
                <w:sz w:val="24"/>
                <w:highlight w:val="none"/>
                <w:lang w:eastAsia="zh-CN"/>
              </w:rPr>
              <w:t>。</w:t>
            </w:r>
          </w:p>
        </w:tc>
      </w:tr>
      <w:tr w14:paraId="4DD48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980" w:type="dxa"/>
            <w:vMerge w:val="restart"/>
            <w:tcBorders>
              <w:top w:val="single" w:color="auto" w:sz="4" w:space="0"/>
              <w:left w:val="single" w:color="000000" w:sz="8" w:space="0"/>
              <w:right w:val="single" w:color="000000" w:sz="2" w:space="0"/>
            </w:tcBorders>
            <w:vAlign w:val="center"/>
          </w:tcPr>
          <w:p w14:paraId="7EF02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2</w:t>
            </w:r>
          </w:p>
        </w:tc>
        <w:tc>
          <w:tcPr>
            <w:tcW w:w="2227" w:type="dxa"/>
            <w:vMerge w:val="restart"/>
            <w:tcBorders>
              <w:top w:val="single" w:color="000000" w:sz="8" w:space="0"/>
              <w:left w:val="single" w:color="000000" w:sz="2" w:space="0"/>
              <w:right w:val="single" w:color="000000" w:sz="8" w:space="0"/>
            </w:tcBorders>
            <w:vAlign w:val="center"/>
          </w:tcPr>
          <w:p w14:paraId="67C832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870" w:type="dxa"/>
            <w:tcBorders>
              <w:top w:val="single" w:color="000000" w:sz="8" w:space="0"/>
              <w:left w:val="single" w:color="000000" w:sz="2" w:space="0"/>
              <w:bottom w:val="single" w:color="000000" w:sz="8" w:space="0"/>
              <w:right w:val="single" w:color="000000" w:sz="8" w:space="0"/>
            </w:tcBorders>
            <w:vAlign w:val="center"/>
          </w:tcPr>
          <w:p w14:paraId="13B6BDC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szCs w:val="24"/>
                <w:highlight w:val="none"/>
                <w:lang w:val="en-US" w:eastAsia="zh-CN" w:bidi="ar-SA"/>
              </w:rPr>
              <w:t>本项目接受联合体投标。</w:t>
            </w:r>
          </w:p>
        </w:tc>
      </w:tr>
      <w:tr w14:paraId="062A5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80" w:type="dxa"/>
            <w:vMerge w:val="continue"/>
            <w:tcBorders>
              <w:left w:val="single" w:color="000000" w:sz="8" w:space="0"/>
              <w:bottom w:val="single" w:color="auto" w:sz="4" w:space="0"/>
              <w:right w:val="single" w:color="000000" w:sz="2" w:space="0"/>
            </w:tcBorders>
          </w:tcPr>
          <w:p w14:paraId="21A661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cs="宋体"/>
                <w:color w:val="auto"/>
                <w:sz w:val="24"/>
                <w:highlight w:val="none"/>
              </w:rPr>
            </w:pPr>
          </w:p>
        </w:tc>
        <w:tc>
          <w:tcPr>
            <w:tcW w:w="2227" w:type="dxa"/>
            <w:vMerge w:val="continue"/>
            <w:tcBorders>
              <w:left w:val="single" w:color="000000" w:sz="2" w:space="0"/>
              <w:bottom w:val="single" w:color="000000" w:sz="8" w:space="0"/>
              <w:right w:val="single" w:color="000000" w:sz="8" w:space="0"/>
            </w:tcBorders>
            <w:vAlign w:val="center"/>
          </w:tcPr>
          <w:p w14:paraId="726CDC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cs="宋体"/>
                <w:b/>
                <w:color w:val="auto"/>
                <w:sz w:val="24"/>
                <w:highlight w:val="none"/>
              </w:rPr>
            </w:pPr>
          </w:p>
        </w:tc>
        <w:tc>
          <w:tcPr>
            <w:tcW w:w="6870" w:type="dxa"/>
            <w:tcBorders>
              <w:top w:val="single" w:color="000000" w:sz="8" w:space="0"/>
              <w:left w:val="single" w:color="000000" w:sz="2" w:space="0"/>
              <w:bottom w:val="single" w:color="000000" w:sz="8" w:space="0"/>
              <w:right w:val="single" w:color="000000" w:sz="8" w:space="0"/>
            </w:tcBorders>
            <w:vAlign w:val="center"/>
          </w:tcPr>
          <w:p w14:paraId="286743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A42E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snapToGrid w:val="0"/>
                <w:color w:val="auto"/>
                <w:kern w:val="28"/>
                <w:sz w:val="24"/>
                <w:szCs w:val="24"/>
                <w:highlight w:val="none"/>
                <w:lang w:val="en-US" w:eastAsia="zh-CN" w:bidi="ar-SA"/>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9C7A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980" w:type="dxa"/>
            <w:tcBorders>
              <w:top w:val="single" w:color="auto" w:sz="4" w:space="0"/>
              <w:left w:val="single" w:color="000000" w:sz="8" w:space="0"/>
              <w:right w:val="single" w:color="000000" w:sz="2" w:space="0"/>
            </w:tcBorders>
            <w:vAlign w:val="center"/>
          </w:tcPr>
          <w:p w14:paraId="7F7A1A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3</w:t>
            </w:r>
          </w:p>
        </w:tc>
        <w:tc>
          <w:tcPr>
            <w:tcW w:w="2227" w:type="dxa"/>
            <w:tcBorders>
              <w:top w:val="single" w:color="000000" w:sz="8" w:space="0"/>
              <w:left w:val="single" w:color="000000" w:sz="2" w:space="0"/>
              <w:right w:val="single" w:color="000000" w:sz="8" w:space="0"/>
            </w:tcBorders>
            <w:vAlign w:val="center"/>
          </w:tcPr>
          <w:p w14:paraId="36A886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采购代理服务费</w:t>
            </w:r>
          </w:p>
        </w:tc>
        <w:tc>
          <w:tcPr>
            <w:tcW w:w="6870" w:type="dxa"/>
            <w:tcBorders>
              <w:top w:val="single" w:color="000000" w:sz="8" w:space="0"/>
              <w:left w:val="single" w:color="000000" w:sz="2" w:space="0"/>
              <w:bottom w:val="single" w:color="000000" w:sz="8" w:space="0"/>
              <w:right w:val="single" w:color="000000" w:sz="8" w:space="0"/>
            </w:tcBorders>
            <w:vAlign w:val="center"/>
          </w:tcPr>
          <w:p w14:paraId="1A9375D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（1）参照国家发改委发改办价格</w:t>
            </w:r>
            <w:r>
              <w:rPr>
                <w:rFonts w:hint="eastAsia" w:ascii="宋体" w:hAnsi="宋体" w:cs="宋体"/>
                <w:snapToGrid w:val="0"/>
                <w:color w:val="auto"/>
                <w:kern w:val="28"/>
                <w:sz w:val="24"/>
                <w:highlight w:val="none"/>
                <w:lang w:eastAsia="zh-CN"/>
              </w:rPr>
              <w:t>〔2003〕857号</w:t>
            </w:r>
            <w:r>
              <w:rPr>
                <w:rFonts w:hint="eastAsia" w:ascii="宋体" w:hAnsi="宋体" w:cs="宋体"/>
                <w:snapToGrid w:val="0"/>
                <w:color w:val="auto"/>
                <w:kern w:val="28"/>
                <w:sz w:val="24"/>
                <w:highlight w:val="none"/>
              </w:rPr>
              <w:t>通知和国家计委计价格</w:t>
            </w:r>
            <w:r>
              <w:rPr>
                <w:rFonts w:hint="eastAsia" w:ascii="宋体" w:hAnsi="宋体" w:cs="宋体"/>
                <w:snapToGrid w:val="0"/>
                <w:color w:val="auto"/>
                <w:kern w:val="28"/>
                <w:sz w:val="24"/>
                <w:highlight w:val="none"/>
                <w:lang w:eastAsia="zh-CN"/>
              </w:rPr>
              <w:t>〔2002〕1980号</w:t>
            </w:r>
            <w:r>
              <w:rPr>
                <w:rFonts w:hint="eastAsia" w:ascii="宋体" w:hAnsi="宋体" w:cs="宋体"/>
                <w:snapToGrid w:val="0"/>
                <w:color w:val="auto"/>
                <w:kern w:val="28"/>
                <w:sz w:val="24"/>
                <w:highlight w:val="none"/>
              </w:rPr>
              <w:t>文件标准的服务费率的</w:t>
            </w:r>
            <w:r>
              <w:rPr>
                <w:rFonts w:hint="eastAsia" w:ascii="宋体" w:hAnsi="宋体" w:cs="宋体"/>
                <w:snapToGrid w:val="0"/>
                <w:color w:val="auto"/>
                <w:kern w:val="28"/>
                <w:sz w:val="24"/>
                <w:highlight w:val="none"/>
                <w:lang w:val="en-US" w:eastAsia="zh-CN"/>
              </w:rPr>
              <w:t>80</w:t>
            </w:r>
            <w:r>
              <w:rPr>
                <w:rFonts w:hint="eastAsia" w:ascii="宋体" w:hAnsi="宋体" w:cs="宋体"/>
                <w:snapToGrid w:val="0"/>
                <w:color w:val="auto"/>
                <w:kern w:val="28"/>
                <w:sz w:val="24"/>
                <w:highlight w:val="none"/>
              </w:rPr>
              <w:t>%，向中标人按照中标通知书确定的中标总金额收取中标服务费：</w:t>
            </w:r>
          </w:p>
          <w:p w14:paraId="2AECA31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（2）中标服务费只收现金、银行票汇款、电汇款。</w:t>
            </w:r>
          </w:p>
          <w:p w14:paraId="588C50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开户名称：科信联合工程咨询有限公司</w:t>
            </w:r>
          </w:p>
          <w:p w14:paraId="2BED6C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开户银行：中信银行宁波高新区支行</w:t>
            </w:r>
          </w:p>
          <w:p w14:paraId="2D63EC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账号：7550110195700003212</w:t>
            </w:r>
          </w:p>
        </w:tc>
      </w:tr>
    </w:tbl>
    <w:p w14:paraId="2BB5705B">
      <w:pPr>
        <w:snapToGrid w:val="0"/>
        <w:spacing w:line="360" w:lineRule="auto"/>
        <w:jc w:val="center"/>
        <w:outlineLvl w:val="9"/>
        <w:rPr>
          <w:rFonts w:ascii="宋体" w:hAnsi="宋体" w:cs="宋体"/>
          <w:b/>
          <w:color w:val="auto"/>
          <w:sz w:val="32"/>
          <w:szCs w:val="20"/>
          <w:highlight w:val="none"/>
        </w:rPr>
      </w:pPr>
    </w:p>
    <w:bookmarkEnd w:id="11"/>
    <w:p w14:paraId="5450E7DA">
      <w:pPr>
        <w:outlineLvl w:val="9"/>
        <w:rPr>
          <w:rFonts w:hint="eastAsia" w:ascii="宋体" w:hAnsi="宋体" w:cs="宋体"/>
          <w:b/>
          <w:color w:val="auto"/>
          <w:sz w:val="32"/>
          <w:szCs w:val="20"/>
          <w:highlight w:val="none"/>
        </w:rPr>
      </w:pPr>
      <w:bookmarkStart w:id="31" w:name="_Toc164416483"/>
      <w:bookmarkStart w:id="32" w:name="第三部分"/>
      <w:r>
        <w:rPr>
          <w:rFonts w:hint="eastAsia" w:ascii="宋体" w:hAnsi="宋体" w:cs="宋体"/>
          <w:b/>
          <w:color w:val="auto"/>
          <w:sz w:val="32"/>
          <w:szCs w:val="20"/>
          <w:highlight w:val="none"/>
        </w:rPr>
        <w:br w:type="page"/>
      </w:r>
    </w:p>
    <w:p w14:paraId="3871B347">
      <w:pPr>
        <w:adjustRightInd/>
        <w:spacing w:line="360" w:lineRule="auto"/>
        <w:ind w:firstLine="3845" w:firstLineChars="1197"/>
        <w:outlineLvl w:val="9"/>
        <w:rPr>
          <w:rFonts w:ascii="宋体" w:hAnsi="宋体" w:cs="宋体"/>
          <w:b/>
          <w:color w:val="auto"/>
          <w:sz w:val="32"/>
          <w:szCs w:val="20"/>
          <w:highlight w:val="none"/>
        </w:rPr>
      </w:pPr>
      <w:bookmarkStart w:id="33" w:name="_Toc19896"/>
      <w:r>
        <w:rPr>
          <w:rFonts w:hint="eastAsia" w:ascii="宋体" w:hAnsi="宋体" w:cs="宋体"/>
          <w:b/>
          <w:color w:val="auto"/>
          <w:sz w:val="32"/>
          <w:szCs w:val="20"/>
          <w:highlight w:val="none"/>
        </w:rPr>
        <w:t>一、总则</w:t>
      </w:r>
      <w:bookmarkEnd w:id="33"/>
    </w:p>
    <w:p w14:paraId="5F3FCDF3">
      <w:pPr>
        <w:snapToGrid w:val="0"/>
        <w:spacing w:line="360" w:lineRule="auto"/>
        <w:ind w:firstLine="361" w:firstLineChars="150"/>
        <w:jc w:val="left"/>
        <w:outlineLvl w:val="9"/>
        <w:rPr>
          <w:rFonts w:ascii="宋体" w:hAnsi="宋体" w:cs="宋体"/>
          <w:b/>
          <w:color w:val="auto"/>
          <w:sz w:val="24"/>
          <w:highlight w:val="none"/>
        </w:rPr>
      </w:pPr>
      <w:bookmarkStart w:id="34" w:name="_Toc4803"/>
      <w:r>
        <w:rPr>
          <w:rFonts w:hint="eastAsia" w:ascii="宋体" w:hAnsi="宋体" w:cs="宋体"/>
          <w:b/>
          <w:color w:val="auto"/>
          <w:sz w:val="24"/>
          <w:highlight w:val="none"/>
        </w:rPr>
        <w:t>1. 适用范围</w:t>
      </w:r>
      <w:bookmarkEnd w:id="34"/>
    </w:p>
    <w:p w14:paraId="7408153E">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77E1B09D">
      <w:pPr>
        <w:snapToGrid w:val="0"/>
        <w:spacing w:line="360" w:lineRule="auto"/>
        <w:ind w:firstLine="361" w:firstLineChars="150"/>
        <w:jc w:val="left"/>
        <w:outlineLvl w:val="9"/>
        <w:rPr>
          <w:rFonts w:hint="eastAsia" w:ascii="宋体" w:hAnsi="宋体" w:eastAsia="宋体" w:cs="宋体"/>
          <w:b/>
          <w:color w:val="auto"/>
          <w:sz w:val="24"/>
          <w:highlight w:val="none"/>
        </w:rPr>
      </w:pPr>
      <w:bookmarkStart w:id="35" w:name="_Toc17533"/>
      <w:r>
        <w:rPr>
          <w:rFonts w:hint="eastAsia" w:ascii="宋体" w:hAnsi="宋体" w:eastAsia="宋体" w:cs="宋体"/>
          <w:b/>
          <w:color w:val="auto"/>
          <w:sz w:val="24"/>
          <w:highlight w:val="none"/>
        </w:rPr>
        <w:t>2.定义</w:t>
      </w:r>
      <w:bookmarkEnd w:id="35"/>
    </w:p>
    <w:p w14:paraId="6D202D79">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ABE2BCC">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4B46716">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30831BB">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7345271">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2.5“电子签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p w14:paraId="1548AAF7">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F8A9D71">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Cs/>
          <w:color w:val="auto"/>
          <w:szCs w:val="21"/>
          <w:highlight w:val="none"/>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A83FBBD">
      <w:pPr>
        <w:spacing w:line="360" w:lineRule="auto"/>
        <w:ind w:firstLine="241" w:firstLineChars="100"/>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DEE11D2">
      <w:pPr>
        <w:spacing w:line="360" w:lineRule="auto"/>
        <w:ind w:firstLine="240" w:firstLineChars="1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sz w:val="24"/>
          <w:highlight w:val="none"/>
          <w:lang w:eastAsia="zh-CN"/>
        </w:rPr>
        <w:t>。</w:t>
      </w:r>
    </w:p>
    <w:p w14:paraId="160E9F30">
      <w:pPr>
        <w:spacing w:line="360" w:lineRule="auto"/>
        <w:ind w:firstLine="240" w:firstLineChars="100"/>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2549BED1">
      <w:pPr>
        <w:spacing w:line="360" w:lineRule="auto"/>
        <w:ind w:firstLine="480" w:firstLineChars="200"/>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D1F9010">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w:t>
      </w:r>
      <w:bookmarkStart w:id="36" w:name="_Hlk107568539"/>
    </w:p>
    <w:p w14:paraId="3CA665B2">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鼓励供应商在参加政府采购过程中开展绿色设计、选择绿色材料、打造绿色制造工艺、开展绿色运输、做好废弃产品回收处理，实现产品全周期的绿色环保。</w:t>
      </w:r>
      <w:bookmarkEnd w:id="36"/>
    </w:p>
    <w:p w14:paraId="55028B15">
      <w:pPr>
        <w:spacing w:line="360" w:lineRule="auto"/>
        <w:ind w:firstLine="240" w:firstLineChars="100"/>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17781D98">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0BDCDD">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D8B770C">
      <w:pPr>
        <w:widowControl/>
        <w:spacing w:line="360" w:lineRule="auto"/>
        <w:ind w:firstLine="480" w:firstLineChars="200"/>
        <w:jc w:val="left"/>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D1F930">
      <w:pPr>
        <w:widowControl/>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5F23A10">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6D65AE7">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097DB0E">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）规定的监狱企业并提供由省级以上监狱管理局、戒毒管理局（含新疆生产建设兵团）出具的属于监狱企业证明文件的，视同为小型、微型企业。</w:t>
      </w:r>
    </w:p>
    <w:p w14:paraId="5FA15540">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551D53">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BCF38EE">
      <w:pPr>
        <w:spacing w:line="360" w:lineRule="auto"/>
        <w:ind w:firstLine="240" w:firstLineChars="100"/>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F896D5C">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3.4.1 采购人优先采购被认定为首台套产品的自主创新产品。</w:t>
      </w:r>
    </w:p>
    <w:p w14:paraId="32B2C9C1">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年内，自认定之日起2年内视同已具备相应销售业绩，参加政府采购活动时业绩分值为满分。</w:t>
      </w:r>
    </w:p>
    <w:p w14:paraId="6A769CE7">
      <w:pPr>
        <w:spacing w:line="360" w:lineRule="auto"/>
        <w:ind w:firstLine="240" w:firstLineChars="100"/>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33A11DD">
      <w:pPr>
        <w:spacing w:line="360" w:lineRule="auto"/>
        <w:ind w:firstLine="480" w:firstLineChars="200"/>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szCs w:val="24"/>
          <w:highlight w:val="none"/>
        </w:rPr>
        <w:t>4. 询问、质疑、投诉</w:t>
      </w:r>
    </w:p>
    <w:p w14:paraId="77C44027">
      <w:pPr>
        <w:autoSpaceDE w:val="0"/>
        <w:autoSpaceDN w:val="0"/>
        <w:spacing w:line="360" w:lineRule="auto"/>
        <w:ind w:firstLine="240" w:firstLineChars="1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0393862B">
      <w:pPr>
        <w:autoSpaceDE w:val="0"/>
        <w:autoSpaceDN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6126DC">
      <w:pPr>
        <w:autoSpaceDE w:val="0"/>
        <w:autoSpaceDN w:val="0"/>
        <w:spacing w:line="360" w:lineRule="auto"/>
        <w:ind w:firstLine="240" w:firstLineChars="1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5336A86C">
      <w:pPr>
        <w:pStyle w:val="33"/>
        <w:spacing w:line="360" w:lineRule="auto"/>
        <w:ind w:firstLine="480" w:firstLineChars="200"/>
        <w:outlineLvl w:val="9"/>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9377853">
      <w:pPr>
        <w:pStyle w:val="33"/>
        <w:spacing w:line="360" w:lineRule="auto"/>
        <w:ind w:firstLine="480" w:firstLineChars="200"/>
        <w:outlineLvl w:val="9"/>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007C818">
      <w:pPr>
        <w:pStyle w:val="2"/>
        <w:spacing w:line="360" w:lineRule="auto"/>
        <w:ind w:firstLine="480" w:firstLineChars="200"/>
        <w:outlineLvl w:val="9"/>
        <w:rPr>
          <w:rFonts w:hAnsi="宋体" w:cs="宋体"/>
          <w:snapToGrid/>
          <w:color w:val="auto"/>
          <w:kern w:val="2"/>
          <w:sz w:val="24"/>
          <w:highlight w:val="none"/>
        </w:rPr>
      </w:pPr>
      <w:r>
        <w:rPr>
          <w:rFonts w:hint="eastAsia" w:hAnsi="宋体" w:cs="宋体"/>
          <w:snapToGrid/>
          <w:color w:val="auto"/>
          <w:kern w:val="2"/>
          <w:sz w:val="24"/>
          <w:highlight w:val="none"/>
        </w:rPr>
        <w:t>4.</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w:t>
      </w:r>
      <w:r>
        <w:rPr>
          <w:rFonts w:hint="eastAsia" w:ascii="宋体" w:hAnsi="宋体" w:cs="宋体"/>
          <w:color w:val="auto"/>
          <w:sz w:val="24"/>
          <w:highlight w:val="none"/>
        </w:rPr>
        <w:t>（公告期限届满后获取招标文件的，以公告期限届满之日为准）</w:t>
      </w:r>
      <w:r>
        <w:rPr>
          <w:rFonts w:hint="eastAsia" w:hAnsi="宋体" w:cs="宋体"/>
          <w:snapToGrid/>
          <w:color w:val="auto"/>
          <w:kern w:val="2"/>
          <w:sz w:val="24"/>
          <w:highlight w:val="none"/>
        </w:rPr>
        <w:t>起计算。</w:t>
      </w:r>
    </w:p>
    <w:p w14:paraId="7626E5F9">
      <w:pPr>
        <w:pStyle w:val="33"/>
        <w:spacing w:line="360" w:lineRule="auto"/>
        <w:ind w:left="479" w:leftChars="228"/>
        <w:outlineLvl w:val="9"/>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.2.2对采购过程提出质疑的，质疑期限为各采购程序环节结束之日起计算。4.</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2516901E">
      <w:pPr>
        <w:pStyle w:val="33"/>
        <w:spacing w:line="360" w:lineRule="auto"/>
        <w:ind w:firstLine="480" w:firstLineChars="200"/>
        <w:outlineLvl w:val="9"/>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39ECEBBF">
      <w:pPr>
        <w:pStyle w:val="33"/>
        <w:spacing w:line="360" w:lineRule="auto"/>
        <w:ind w:firstLine="480" w:firstLineChars="200"/>
        <w:outlineLvl w:val="9"/>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528693B1">
      <w:pPr>
        <w:pStyle w:val="33"/>
        <w:spacing w:line="360" w:lineRule="auto"/>
        <w:ind w:firstLine="480" w:firstLineChars="200"/>
        <w:outlineLvl w:val="9"/>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0F59407E">
      <w:pPr>
        <w:pStyle w:val="33"/>
        <w:spacing w:line="360" w:lineRule="auto"/>
        <w:ind w:firstLine="480" w:firstLineChars="200"/>
        <w:outlineLvl w:val="9"/>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73111E1E">
      <w:pPr>
        <w:pStyle w:val="33"/>
        <w:spacing w:line="360" w:lineRule="auto"/>
        <w:ind w:firstLine="480" w:firstLineChars="200"/>
        <w:outlineLvl w:val="9"/>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348E9D21">
      <w:pPr>
        <w:pStyle w:val="33"/>
        <w:spacing w:line="360" w:lineRule="auto"/>
        <w:ind w:firstLine="480" w:firstLineChars="200"/>
        <w:outlineLvl w:val="9"/>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78EDACB4">
      <w:pPr>
        <w:pStyle w:val="33"/>
        <w:spacing w:line="360" w:lineRule="auto"/>
        <w:ind w:firstLine="960" w:firstLineChars="4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.3.6提出质疑的日期。</w:t>
      </w:r>
    </w:p>
    <w:p w14:paraId="5FFAEAB0">
      <w:pPr>
        <w:pStyle w:val="33"/>
        <w:spacing w:line="360" w:lineRule="auto"/>
        <w:ind w:firstLine="480" w:firstLineChars="2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3B91CFE">
      <w:pPr>
        <w:pStyle w:val="33"/>
        <w:spacing w:line="360" w:lineRule="auto"/>
        <w:ind w:firstLine="480" w:firstLineChars="200"/>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质疑函范本请到浙江政府采购网下载专区下载。</w:t>
      </w:r>
    </w:p>
    <w:p w14:paraId="62A1547E">
      <w:pPr>
        <w:pStyle w:val="33"/>
        <w:spacing w:line="360" w:lineRule="auto"/>
        <w:ind w:firstLine="480" w:firstLineChars="200"/>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4.2.4</w:t>
      </w:r>
      <w:r>
        <w:rPr>
          <w:rFonts w:hint="eastAsia" w:ascii="宋体" w:hAnsi="宋体" w:eastAsia="宋体" w:cs="宋体"/>
          <w:color w:val="auto"/>
          <w:kern w:val="0"/>
          <w:sz w:val="24"/>
          <w:highlight w:val="none"/>
          <w:lang w:val="zh-CN" w:eastAsia="zh-CN"/>
        </w:rPr>
        <w:t>对同一采购程序环节的质疑，供应商须在法定质疑期内一次性提出。</w:t>
      </w:r>
    </w:p>
    <w:p w14:paraId="624534CF">
      <w:pPr>
        <w:pStyle w:val="33"/>
        <w:spacing w:line="360" w:lineRule="auto"/>
        <w:ind w:firstLine="480" w:firstLineChars="200"/>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4.2.5</w:t>
      </w:r>
      <w:r>
        <w:rPr>
          <w:rFonts w:hint="eastAsia" w:ascii="宋体" w:hAnsi="宋体" w:eastAsia="宋体" w:cs="宋体"/>
          <w:color w:val="auto"/>
          <w:kern w:val="0"/>
          <w:sz w:val="24"/>
          <w:highlight w:val="none"/>
          <w:lang w:val="zh-CN"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highlight w:val="none"/>
          <w:lang w:val="en-US" w:eastAsia="zh-CN"/>
        </w:rPr>
        <w:t>浙江省财政厅关于进一步加强政府采购公平竞争打造最优营商环境的通知</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en-US" w:eastAsia="zh-CN"/>
        </w:rPr>
        <w:t>浙财</w:t>
      </w:r>
      <w:r>
        <w:rPr>
          <w:rFonts w:hint="eastAsia" w:ascii="宋体" w:hAnsi="宋体" w:eastAsia="宋体" w:cs="宋体"/>
          <w:color w:val="auto"/>
          <w:kern w:val="0"/>
          <w:sz w:val="24"/>
          <w:highlight w:val="none"/>
          <w:lang w:val="zh-CN" w:eastAsia="zh-CN"/>
        </w:rPr>
        <w:t>采监〔2021〕</w:t>
      </w:r>
      <w:r>
        <w:rPr>
          <w:rFonts w:hint="eastAsia" w:ascii="宋体" w:hAnsi="宋体" w:eastAsia="宋体" w:cs="宋体"/>
          <w:color w:val="auto"/>
          <w:kern w:val="0"/>
          <w:sz w:val="24"/>
          <w:highlight w:val="none"/>
          <w:lang w:val="en-US" w:eastAsia="zh-CN"/>
        </w:rPr>
        <w:t>2</w:t>
      </w:r>
      <w:r>
        <w:rPr>
          <w:rFonts w:hint="eastAsia"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号）,采购人或者采购代理机构在质疑回复后5个工作日内，在浙江政府采购网的“其他公告”栏目公开质疑答复，答复内容应当完整。质疑函作为附件上传。</w:t>
      </w:r>
    </w:p>
    <w:p w14:paraId="062018B7">
      <w:pPr>
        <w:pStyle w:val="33"/>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w:t>
      </w:r>
      <w:r>
        <w:rPr>
          <w:rFonts w:hint="eastAsia"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询问或者质疑事项可能影响采购结果的，采购人应当暂停签订合同，已经签订合同的，应当中止履行合同。</w:t>
      </w:r>
    </w:p>
    <w:p w14:paraId="3FB8D76C">
      <w:pPr>
        <w:pStyle w:val="33"/>
        <w:spacing w:line="360" w:lineRule="auto"/>
        <w:ind w:firstLine="480" w:firstLineChars="200"/>
        <w:outlineLvl w:val="9"/>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.3供应商投诉</w:t>
      </w:r>
    </w:p>
    <w:p w14:paraId="1BCFB73F">
      <w:pPr>
        <w:pStyle w:val="33"/>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4.3.1质疑供应商对采购人、采购代理机构的答复不满意或者采购人、采购代理机构未在规定的时间内作出答复的，可以在答复期满后十五个工作日内向同级政府采购监督管理部门提出投诉。</w:t>
      </w:r>
    </w:p>
    <w:p w14:paraId="42DA81E3">
      <w:pPr>
        <w:pStyle w:val="33"/>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供应商投诉的事项不得超出已质疑事项的范围，基于质疑答复内容提出的投诉事项除外。</w:t>
      </w:r>
    </w:p>
    <w:p w14:paraId="4D71CD33">
      <w:pPr>
        <w:pStyle w:val="33"/>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4.3.3供应商投诉应当有明确的请求和必要的证明材料。</w:t>
      </w:r>
    </w:p>
    <w:p w14:paraId="438E17F1">
      <w:pPr>
        <w:pStyle w:val="33"/>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4.3.5 以联合体形式参加政府采购活动的，其投诉应当由组成联合体的所有供应商共同提出。</w:t>
      </w:r>
    </w:p>
    <w:p w14:paraId="10237C5A">
      <w:pPr>
        <w:pStyle w:val="33"/>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投诉书范本请到浙江政府采购网下载专区下载。</w:t>
      </w:r>
    </w:p>
    <w:p w14:paraId="601A6027">
      <w:pPr>
        <w:pStyle w:val="135"/>
        <w:snapToGrid w:val="0"/>
        <w:spacing w:before="0"/>
        <w:ind w:firstLine="360"/>
        <w:outlineLvl w:val="9"/>
        <w:rPr>
          <w:rFonts w:ascii="宋体" w:hAnsi="宋体" w:cs="宋体"/>
          <w:color w:val="auto"/>
          <w:sz w:val="18"/>
          <w:szCs w:val="18"/>
          <w:highlight w:val="none"/>
        </w:rPr>
      </w:pPr>
    </w:p>
    <w:p w14:paraId="46B8BC4B">
      <w:pPr>
        <w:adjustRightInd/>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7" w:name="_Toc20717"/>
      <w:r>
        <w:rPr>
          <w:rFonts w:hint="eastAsia" w:ascii="宋体" w:hAnsi="宋体" w:cs="宋体"/>
          <w:b/>
          <w:color w:val="auto"/>
          <w:sz w:val="32"/>
          <w:szCs w:val="20"/>
          <w:highlight w:val="none"/>
        </w:rPr>
        <w:t>二、招标文件的构成、澄清、修改</w:t>
      </w:r>
      <w:bookmarkEnd w:id="37"/>
    </w:p>
    <w:p w14:paraId="401063CA">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64E240A5">
      <w:pPr>
        <w:pStyle w:val="33"/>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34641DE">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5193B27C">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5.1.2投标人须知；</w:t>
      </w:r>
    </w:p>
    <w:p w14:paraId="14AC0D87">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13350B8E">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4DB597DA">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109A9BC4">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CF95191">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C8CB124">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185760A">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7472F53">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64B9AB">
      <w:pPr>
        <w:pStyle w:val="23"/>
        <w:outlineLvl w:val="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74E82C6">
      <w:pPr>
        <w:adjustRightInd/>
        <w:spacing w:line="360" w:lineRule="auto"/>
        <w:jc w:val="center"/>
        <w:outlineLvl w:val="9"/>
        <w:rPr>
          <w:rFonts w:ascii="宋体" w:hAnsi="宋体" w:cs="宋体"/>
          <w:b/>
          <w:color w:val="auto"/>
          <w:sz w:val="30"/>
          <w:szCs w:val="20"/>
          <w:highlight w:val="none"/>
        </w:rPr>
      </w:pPr>
      <w:bookmarkStart w:id="38" w:name="_Toc6708"/>
      <w:r>
        <w:rPr>
          <w:rFonts w:hint="eastAsia" w:ascii="宋体" w:hAnsi="宋体" w:cs="宋体"/>
          <w:b/>
          <w:color w:val="auto"/>
          <w:sz w:val="30"/>
          <w:szCs w:val="20"/>
          <w:highlight w:val="none"/>
        </w:rPr>
        <w:t>三、投标</w:t>
      </w:r>
      <w:bookmarkEnd w:id="38"/>
    </w:p>
    <w:p w14:paraId="7E620850">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7. 招标文件的获取</w:t>
      </w:r>
    </w:p>
    <w:p w14:paraId="434F46EA">
      <w:pPr>
        <w:spacing w:line="360" w:lineRule="auto"/>
        <w:ind w:firstLine="480" w:firstLineChars="200"/>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B8C131F">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EB810AC">
      <w:pPr>
        <w:pStyle w:val="33"/>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B738CB">
      <w:pPr>
        <w:pStyle w:val="33"/>
        <w:spacing w:line="360" w:lineRule="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37D865D6">
      <w:pPr>
        <w:pStyle w:val="2"/>
        <w:spacing w:line="360" w:lineRule="auto"/>
        <w:ind w:firstLine="470" w:firstLineChars="196"/>
        <w:outlineLvl w:val="9"/>
        <w:rPr>
          <w:rFonts w:hAnsi="宋体" w:cs="宋体"/>
          <w:color w:val="auto"/>
          <w:sz w:val="24"/>
          <w:highlight w:val="none"/>
        </w:rPr>
      </w:pPr>
      <w:r>
        <w:rPr>
          <w:rFonts w:hint="eastAsia" w:hAnsi="宋体" w:cs="宋体"/>
          <w:color w:val="auto"/>
          <w:sz w:val="24"/>
          <w:highlight w:val="none"/>
        </w:rPr>
        <w:t>本项目不需缴纳投标保证金。</w:t>
      </w:r>
    </w:p>
    <w:p w14:paraId="48066283">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44FEED09">
      <w:pPr>
        <w:autoSpaceDE w:val="0"/>
        <w:autoSpaceDN w:val="0"/>
        <w:spacing w:line="360" w:lineRule="auto"/>
        <w:ind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E9AD619">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31E4F547">
      <w:pPr>
        <w:snapToGrid w:val="0"/>
        <w:spacing w:line="360" w:lineRule="auto"/>
        <w:ind w:firstLine="482" w:firstLineChars="200"/>
        <w:outlineLvl w:val="9"/>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F1834D9">
      <w:pPr>
        <w:snapToGrid w:val="0"/>
        <w:spacing w:line="360" w:lineRule="auto"/>
        <w:ind w:left="479" w:leftChars="228"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3AEB11A5">
      <w:pPr>
        <w:snapToGrid w:val="0"/>
        <w:spacing w:line="360" w:lineRule="auto"/>
        <w:ind w:firstLine="960" w:firstLineChars="4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w:t>
      </w:r>
      <w:r>
        <w:rPr>
          <w:rFonts w:hint="eastAsia" w:ascii="宋体" w:hAnsi="宋体" w:cs="宋体"/>
          <w:color w:val="auto"/>
          <w:sz w:val="24"/>
          <w:highlight w:val="none"/>
          <w:lang w:val="en-US" w:eastAsia="zh-CN"/>
        </w:rPr>
        <w:t>合参加政府采购活动应当具备的一般条件的承诺函；</w:t>
      </w:r>
    </w:p>
    <w:p w14:paraId="16192805">
      <w:pPr>
        <w:snapToGrid w:val="0"/>
        <w:spacing w:line="360" w:lineRule="auto"/>
        <w:ind w:firstLine="960" w:firstLineChars="4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w:t>
      </w:r>
      <w:bookmarkStart w:id="39" w:name="_Hlk101259339"/>
      <w:r>
        <w:rPr>
          <w:rFonts w:hint="eastAsia" w:ascii="宋体" w:hAnsi="宋体" w:cs="宋体"/>
          <w:color w:val="auto"/>
          <w:sz w:val="24"/>
          <w:highlight w:val="none"/>
          <w:lang w:val="en-US" w:eastAsia="zh-CN"/>
        </w:rPr>
        <w:t>3联合协议</w:t>
      </w:r>
      <w:bookmarkEnd w:id="39"/>
      <w:r>
        <w:rPr>
          <w:rFonts w:hint="eastAsia" w:ascii="宋体" w:hAnsi="宋体" w:cs="宋体"/>
          <w:color w:val="auto"/>
          <w:sz w:val="24"/>
          <w:highlight w:val="none"/>
          <w:lang w:val="en-US" w:eastAsia="zh-CN"/>
        </w:rPr>
        <w:t>（如适用）；</w:t>
      </w:r>
    </w:p>
    <w:p w14:paraId="1230587C">
      <w:pPr>
        <w:snapToGrid w:val="0"/>
        <w:spacing w:line="360" w:lineRule="auto"/>
        <w:ind w:firstLine="960" w:firstLineChars="400"/>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11.1.4落实政府采购政策需满足的资格要求</w:t>
      </w:r>
      <w:r>
        <w:rPr>
          <w:rFonts w:hint="eastAsia" w:ascii="宋体" w:hAnsi="宋体" w:eastAsia="宋体" w:cs="宋体"/>
          <w:color w:val="auto"/>
          <w:sz w:val="24"/>
          <w:highlight w:val="none"/>
        </w:rPr>
        <w:t>（提供以下资料之一）</w:t>
      </w:r>
      <w:r>
        <w:rPr>
          <w:rFonts w:hint="eastAsia" w:ascii="宋体" w:hAnsi="宋体" w:cs="宋体"/>
          <w:color w:val="auto"/>
          <w:sz w:val="24"/>
          <w:highlight w:val="none"/>
          <w:lang w:eastAsia="zh-CN"/>
        </w:rPr>
        <w:t>：</w:t>
      </w:r>
    </w:p>
    <w:p w14:paraId="28208A84">
      <w:pPr>
        <w:snapToGrid w:val="0"/>
        <w:spacing w:line="360" w:lineRule="auto"/>
        <w:ind w:firstLine="960" w:firstLineChars="4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11.1.4-1中小企业声明函（如有）；</w:t>
      </w:r>
    </w:p>
    <w:p w14:paraId="3F81229B">
      <w:pPr>
        <w:snapToGrid w:val="0"/>
        <w:spacing w:line="360" w:lineRule="auto"/>
        <w:ind w:firstLine="960" w:firstLineChars="4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11.1.4-2残疾人福利性单位声明函(如有）；</w:t>
      </w:r>
    </w:p>
    <w:p w14:paraId="684F548E">
      <w:pPr>
        <w:snapToGrid w:val="0"/>
        <w:spacing w:line="360" w:lineRule="auto"/>
        <w:ind w:firstLine="960" w:firstLineChars="400"/>
        <w:outlineLvl w:val="9"/>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11.1.4-3由省级以上监狱管理局、戒毒管理局（含新疆生产建设兵团）出具的属于监狱企业的证明文件（如有）。</w:t>
      </w:r>
    </w:p>
    <w:p w14:paraId="1D28D7CE">
      <w:pPr>
        <w:snapToGrid w:val="0"/>
        <w:spacing w:line="360" w:lineRule="auto"/>
        <w:ind w:firstLine="960" w:firstLineChars="400"/>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11.1.5本项目的特定资格要求：环保工程专业承包二级及以上资质复印件，且具有有效期内的安全生产许可证复印件；</w:t>
      </w:r>
    </w:p>
    <w:p w14:paraId="3743D09C">
      <w:pPr>
        <w:snapToGrid w:val="0"/>
        <w:spacing w:line="360" w:lineRule="auto"/>
        <w:ind w:firstLine="960" w:firstLineChars="400"/>
        <w:outlineLvl w:val="9"/>
        <w:rPr>
          <w:rFonts w:hint="eastAsia" w:ascii="宋体" w:hAnsi="宋体" w:cs="宋体"/>
          <w:b/>
          <w:bCs/>
          <w:color w:val="auto"/>
          <w:sz w:val="24"/>
          <w:highlight w:val="none"/>
          <w:lang w:val="zh-CN"/>
        </w:rPr>
      </w:pPr>
      <w:r>
        <w:rPr>
          <w:rFonts w:hint="eastAsia" w:ascii="宋体" w:hAnsi="宋体" w:cs="宋体"/>
          <w:color w:val="auto"/>
          <w:sz w:val="24"/>
          <w:highlight w:val="none"/>
          <w:lang w:val="en-US" w:eastAsia="zh-CN"/>
        </w:rPr>
        <w:t>11.1.6业务专用章使用说明函（如适用）。</w:t>
      </w:r>
    </w:p>
    <w:p w14:paraId="2DE4921A">
      <w:pPr>
        <w:pStyle w:val="23"/>
        <w:ind w:firstLine="964" w:firstLineChars="400"/>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165028FB">
      <w:pPr>
        <w:snapToGrid w:val="0"/>
        <w:spacing w:line="360" w:lineRule="auto"/>
        <w:ind w:firstLine="960" w:firstLineChars="400"/>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11.2.1投标函</w:t>
      </w:r>
      <w:r>
        <w:rPr>
          <w:rFonts w:hint="eastAsia" w:ascii="宋体" w:hAnsi="宋体" w:cs="宋体"/>
          <w:color w:val="auto"/>
          <w:sz w:val="24"/>
          <w:highlight w:val="none"/>
          <w:lang w:val="en-US" w:eastAsia="zh-CN"/>
        </w:rPr>
        <w:t>；</w:t>
      </w:r>
    </w:p>
    <w:p w14:paraId="090EF541">
      <w:pPr>
        <w:snapToGrid w:val="0"/>
        <w:spacing w:line="360" w:lineRule="auto"/>
        <w:ind w:left="958" w:leftChars="456" w:firstLine="0" w:firstLineChars="0"/>
        <w:outlineLvl w:val="9"/>
        <w:rPr>
          <w:rFonts w:hint="eastAsia" w:ascii="宋体" w:hAnsi="宋体" w:cs="宋体"/>
          <w:color w:val="auto"/>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lang w:val="en-US" w:eastAsia="zh-CN"/>
        </w:rPr>
        <w:t>；</w:t>
      </w:r>
    </w:p>
    <w:p w14:paraId="4A68A9B4">
      <w:pPr>
        <w:snapToGrid w:val="0"/>
        <w:spacing w:line="360" w:lineRule="auto"/>
        <w:ind w:left="958" w:leftChars="456" w:firstLine="0" w:firstLineChars="0"/>
        <w:outlineLvl w:val="9"/>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分包意向协议</w:t>
      </w:r>
      <w:r>
        <w:rPr>
          <w:rFonts w:hint="eastAsia" w:hAnsi="宋体"/>
          <w:color w:val="auto"/>
          <w:kern w:val="0"/>
          <w:sz w:val="24"/>
          <w:highlight w:val="none"/>
        </w:rPr>
        <w:t>（如适用）</w:t>
      </w:r>
      <w:r>
        <w:rPr>
          <w:rFonts w:hint="eastAsia" w:ascii="宋体" w:hAnsi="宋体" w:cs="宋体"/>
          <w:snapToGrid w:val="0"/>
          <w:color w:val="auto"/>
          <w:kern w:val="28"/>
          <w:sz w:val="24"/>
          <w:szCs w:val="20"/>
          <w:highlight w:val="none"/>
          <w:lang w:val="en-US" w:eastAsia="zh-CN"/>
        </w:rPr>
        <w:t>；</w:t>
      </w:r>
    </w:p>
    <w:p w14:paraId="28745755">
      <w:pPr>
        <w:snapToGrid w:val="0"/>
        <w:spacing w:line="360" w:lineRule="auto"/>
        <w:ind w:firstLine="960" w:firstLineChars="400"/>
        <w:outlineLvl w:val="9"/>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sz w:val="24"/>
          <w:highlight w:val="none"/>
          <w:lang w:val="en-US" w:eastAsia="zh-CN"/>
        </w:rPr>
        <w:t>；</w:t>
      </w:r>
    </w:p>
    <w:p w14:paraId="123B96BA">
      <w:pPr>
        <w:snapToGrid w:val="0"/>
        <w:spacing w:line="360" w:lineRule="auto"/>
        <w:ind w:firstLine="960" w:firstLineChars="4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lang w:val="en-US" w:eastAsia="zh-CN"/>
        </w:rPr>
        <w:t>；</w:t>
      </w:r>
    </w:p>
    <w:p w14:paraId="6BD33A41">
      <w:pPr>
        <w:snapToGrid w:val="0"/>
        <w:spacing w:line="360" w:lineRule="auto"/>
        <w:ind w:firstLine="960" w:firstLineChars="400"/>
        <w:outlineLvl w:val="9"/>
        <w:rPr>
          <w:rFonts w:hint="eastAsia" w:ascii="宋体" w:hAnsi="宋体" w:eastAsia="宋体" w:cs="宋体"/>
          <w:color w:val="auto"/>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lang w:val="en-US" w:eastAsia="zh-CN"/>
        </w:rPr>
        <w:t>；</w:t>
      </w:r>
    </w:p>
    <w:p w14:paraId="4523241B">
      <w:pPr>
        <w:pStyle w:val="23"/>
        <w:ind w:firstLine="960" w:firstLineChars="400"/>
        <w:outlineLvl w:val="9"/>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eastAsia="宋体" w:cs="宋体"/>
          <w:snapToGrid/>
          <w:color w:val="auto"/>
          <w:kern w:val="2"/>
          <w:sz w:val="24"/>
          <w:szCs w:val="24"/>
          <w:highlight w:val="none"/>
          <w:lang w:val="en-US" w:eastAsia="zh-CN" w:bidi="ar-SA"/>
        </w:rPr>
        <w:t>1.2.7评标标准相应的商务技术资料</w:t>
      </w:r>
      <w:r>
        <w:rPr>
          <w:rFonts w:hint="eastAsia" w:hAnsi="宋体" w:cs="宋体"/>
          <w:snapToGrid/>
          <w:color w:val="auto"/>
          <w:kern w:val="2"/>
          <w:sz w:val="24"/>
          <w:szCs w:val="24"/>
          <w:highlight w:val="none"/>
          <w:lang w:val="en-US" w:eastAsia="zh-CN" w:bidi="ar-SA"/>
        </w:rPr>
        <w:t>：</w:t>
      </w:r>
    </w:p>
    <w:p w14:paraId="656770D8">
      <w:pPr>
        <w:snapToGrid w:val="0"/>
        <w:spacing w:line="360" w:lineRule="auto"/>
        <w:ind w:firstLine="964" w:firstLineChars="400"/>
        <w:outlineLvl w:val="9"/>
        <w:rPr>
          <w:rFonts w:hint="eastAsia" w:ascii="宋体" w:hAnsi="宋体" w:cs="宋体"/>
          <w:b/>
          <w:bCs/>
          <w:color w:val="auto"/>
          <w:kern w:val="0"/>
          <w:sz w:val="24"/>
          <w:highlight w:val="none"/>
          <w:lang w:val="zh-CN"/>
        </w:rPr>
      </w:pPr>
    </w:p>
    <w:p w14:paraId="3BF67648">
      <w:pPr>
        <w:snapToGrid w:val="0"/>
        <w:spacing w:line="360" w:lineRule="auto"/>
        <w:ind w:firstLine="964" w:firstLineChars="400"/>
        <w:outlineLvl w:val="9"/>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6A78552">
      <w:pPr>
        <w:snapToGrid w:val="0"/>
        <w:spacing w:line="360" w:lineRule="auto"/>
        <w:ind w:firstLine="960" w:firstLineChars="4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w:t>
      </w:r>
      <w:r>
        <w:rPr>
          <w:rFonts w:hint="eastAsia" w:ascii="宋体" w:hAnsi="宋体" w:cs="宋体"/>
          <w:color w:val="auto"/>
          <w:sz w:val="24"/>
          <w:highlight w:val="none"/>
          <w:lang w:eastAsia="zh-CN"/>
        </w:rPr>
        <w:t>；</w:t>
      </w:r>
    </w:p>
    <w:p w14:paraId="2FC055B1">
      <w:pPr>
        <w:snapToGrid w:val="0"/>
        <w:spacing w:line="360" w:lineRule="auto"/>
        <w:ind w:firstLine="960" w:firstLineChars="40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11.3.2分项报价表。</w:t>
      </w:r>
    </w:p>
    <w:p w14:paraId="63693483">
      <w:pPr>
        <w:spacing w:line="360" w:lineRule="auto"/>
        <w:ind w:firstLine="723" w:firstLineChars="300"/>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705848C">
      <w:pPr>
        <w:spacing w:line="360" w:lineRule="auto"/>
        <w:ind w:firstLine="723" w:firstLineChars="300"/>
        <w:outlineLvl w:val="9"/>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CD3D1AD">
      <w:pPr>
        <w:snapToGrid w:val="0"/>
        <w:spacing w:line="360" w:lineRule="auto"/>
        <w:outlineLvl w:val="9"/>
        <w:rPr>
          <w:rFonts w:hint="eastAsia" w:ascii="宋体" w:hAnsi="宋体" w:eastAsia="宋体" w:cs="宋体"/>
          <w:b/>
          <w:color w:val="auto"/>
          <w:sz w:val="24"/>
          <w:highlight w:val="none"/>
        </w:rPr>
      </w:pPr>
      <w:bookmarkStart w:id="40" w:name="_Toc1441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40"/>
    </w:p>
    <w:p w14:paraId="61B4B0D8">
      <w:pPr>
        <w:spacing w:line="360" w:lineRule="auto"/>
        <w:ind w:firstLine="480" w:firstLineChars="200"/>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53CBC6">
      <w:pPr>
        <w:spacing w:line="360" w:lineRule="auto"/>
        <w:ind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719B57">
      <w:pPr>
        <w:spacing w:line="360" w:lineRule="auto"/>
        <w:ind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EC4F39C">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46256B0">
      <w:pPr>
        <w:pStyle w:val="135"/>
        <w:snapToGrid w:val="0"/>
        <w:spacing w:before="0"/>
        <w:ind w:firstLine="480"/>
        <w:outlineLvl w:val="9"/>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10F37703">
      <w:pPr>
        <w:pStyle w:val="135"/>
        <w:snapToGrid w:val="0"/>
        <w:spacing w:before="0"/>
        <w:ind w:firstLine="480"/>
        <w:outlineLvl w:val="9"/>
        <w:rPr>
          <w:rFonts w:ascii="宋体" w:hAnsi="宋体" w:cs="宋体"/>
          <w:b/>
          <w:color w:val="auto"/>
          <w:highlight w:val="none"/>
        </w:rPr>
      </w:pPr>
      <w:r>
        <w:rPr>
          <w:rFonts w:hint="eastAsia" w:ascii="宋体" w:hAnsi="宋体" w:cs="宋体"/>
          <w:bCs/>
          <w:color w:val="auto"/>
          <w:szCs w:val="21"/>
          <w:highlight w:val="none"/>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9FBC34C">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auto"/>
          <w:highlight w:val="none"/>
          <w:lang w:val="en-US" w:eastAsia="zh-CN"/>
        </w:rPr>
        <w:t>章</w:t>
      </w:r>
      <w:r>
        <w:rPr>
          <w:rFonts w:hint="eastAsia" w:ascii="宋体" w:hAnsi="宋体" w:cs="宋体"/>
          <w:color w:val="auto"/>
          <w:highlight w:val="none"/>
        </w:rPr>
        <w:t>。</w:t>
      </w:r>
    </w:p>
    <w:p w14:paraId="7BF39888">
      <w:pPr>
        <w:pStyle w:val="135"/>
        <w:snapToGrid w:val="0"/>
        <w:spacing w:before="0"/>
        <w:ind w:firstLine="480"/>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w:t>
      </w:r>
      <w:r>
        <w:rPr>
          <w:rFonts w:hint="eastAsia" w:ascii="宋体" w:hAnsi="宋体" w:cs="宋体"/>
          <w:color w:val="auto"/>
          <w:highlight w:val="none"/>
          <w:lang w:val="en-US" w:eastAsia="zh-CN"/>
        </w:rPr>
        <w:t>章</w:t>
      </w:r>
      <w:r>
        <w:rPr>
          <w:rFonts w:hint="eastAsia" w:ascii="宋体" w:hAnsi="宋体" w:cs="宋体"/>
          <w:color w:val="auto"/>
          <w:highlight w:val="none"/>
        </w:rPr>
        <w:t>。</w:t>
      </w:r>
    </w:p>
    <w:p w14:paraId="633D1A66">
      <w:pPr>
        <w:pStyle w:val="135"/>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2F2F6D3">
      <w:pPr>
        <w:pStyle w:val="135"/>
        <w:ind w:firstLine="480"/>
        <w:outlineLvl w:val="9"/>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516556">
      <w:pPr>
        <w:pStyle w:val="135"/>
        <w:spacing w:before="0"/>
        <w:ind w:firstLine="480"/>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009D401">
      <w:pPr>
        <w:pStyle w:val="135"/>
        <w:spacing w:before="0"/>
        <w:ind w:firstLine="480"/>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5E49185">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15.备份投标文件</w:t>
      </w:r>
    </w:p>
    <w:p w14:paraId="7BB7903D">
      <w:pPr>
        <w:pStyle w:val="33"/>
        <w:spacing w:line="360" w:lineRule="auto"/>
        <w:ind w:firstLine="360" w:firstLineChars="150"/>
        <w:outlineLvl w:val="9"/>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w:t>
      </w:r>
      <w:r>
        <w:rPr>
          <w:rFonts w:hint="eastAsia" w:hAnsi="宋体" w:cs="宋体"/>
          <w:color w:val="auto"/>
          <w:sz w:val="24"/>
          <w:szCs w:val="24"/>
          <w:highlight w:val="none"/>
          <w:lang w:val="en-US" w:eastAsia="zh-CN"/>
        </w:rPr>
        <w:t>寄</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不强制投标人提交备份投标文件。</w:t>
      </w:r>
    </w:p>
    <w:p w14:paraId="79CDD92C">
      <w:pPr>
        <w:pStyle w:val="33"/>
        <w:spacing w:line="360" w:lineRule="auto"/>
        <w:ind w:firstLine="480" w:firstLineChars="200"/>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ascii="宋体" w:hAnsi="宋体" w:eastAsia="宋体" w:cs="宋体"/>
          <w:snapToGrid w:val="0"/>
          <w:color w:val="auto"/>
          <w:kern w:val="28"/>
          <w:sz w:val="24"/>
          <w:highlight w:val="none"/>
        </w:rPr>
        <w:t>U盘存储</w:t>
      </w:r>
      <w:r>
        <w:rPr>
          <w:rFonts w:hint="eastAsia" w:hAnsi="宋体" w:cs="宋体"/>
          <w:color w:val="auto"/>
          <w:sz w:val="24"/>
          <w:highlight w:val="none"/>
          <w:lang w:val="en-US" w:eastAsia="zh-CN"/>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256BE94">
      <w:pPr>
        <w:pStyle w:val="33"/>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15.3直接提交备份投标文件的，投标人应于投标截止时间前在招标文件第二部分投标人须知前附表载明地点将备份投标文件提交给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1D1CBB4">
      <w:pPr>
        <w:pStyle w:val="33"/>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15.4以</w:t>
      </w:r>
      <w:r>
        <w:rPr>
          <w:rFonts w:hint="eastAsia" w:hAnsi="宋体" w:cs="宋体"/>
          <w:color w:val="auto"/>
          <w:sz w:val="24"/>
          <w:szCs w:val="24"/>
          <w:highlight w:val="none"/>
          <w:lang w:val="en-US" w:eastAsia="zh-CN"/>
        </w:rPr>
        <w:t>邮寄</w:t>
      </w:r>
      <w:r>
        <w:rPr>
          <w:rFonts w:hint="eastAsia" w:hAnsi="宋体" w:cs="宋体"/>
          <w:color w:val="auto"/>
          <w:sz w:val="24"/>
          <w:szCs w:val="24"/>
          <w:highlight w:val="none"/>
        </w:rPr>
        <w:t>方式递交备份投标文件的，投标人应先将备份投标文件按要求密封和标记，再进行</w:t>
      </w:r>
      <w:r>
        <w:rPr>
          <w:rFonts w:hint="eastAsia" w:hAnsi="宋体" w:cs="宋体"/>
          <w:color w:val="auto"/>
          <w:sz w:val="24"/>
          <w:szCs w:val="24"/>
          <w:highlight w:val="none"/>
          <w:lang w:val="en-US" w:eastAsia="zh-CN"/>
        </w:rPr>
        <w:t>邮件外</w:t>
      </w:r>
      <w:r>
        <w:rPr>
          <w:rFonts w:hint="eastAsia" w:hAnsi="宋体" w:cs="宋体"/>
          <w:color w:val="auto"/>
          <w:sz w:val="24"/>
          <w:szCs w:val="24"/>
          <w:highlight w:val="none"/>
        </w:rPr>
        <w:t>包装后邮寄。备份投标文件须在招标文件第二部分投标人须知前附表规定截止时间之前送达到规定的地点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7E0814F">
      <w:pPr>
        <w:pStyle w:val="33"/>
        <w:spacing w:line="360" w:lineRule="auto"/>
        <w:ind w:firstLine="479" w:firstLineChars="199"/>
        <w:outlineLvl w:val="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5E3549A">
      <w:pPr>
        <w:pStyle w:val="135"/>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5ACE495">
      <w:pPr>
        <w:pStyle w:val="24"/>
        <w:spacing w:line="360" w:lineRule="auto"/>
        <w:ind w:firstLine="360" w:firstLineChars="150"/>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BAA565F">
      <w:pPr>
        <w:pStyle w:val="135"/>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14FFE06A">
      <w:pPr>
        <w:spacing w:line="360" w:lineRule="auto"/>
        <w:ind w:firstLine="480" w:firstLineChars="200"/>
        <w:outlineLvl w:val="9"/>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58CAFD7A">
      <w:pPr>
        <w:spacing w:line="360" w:lineRule="auto"/>
        <w:ind w:firstLine="420" w:firstLineChars="200"/>
        <w:outlineLvl w:val="9"/>
        <w:rPr>
          <w:rFonts w:ascii="宋体" w:hAnsi="宋体" w:cs="宋体"/>
          <w:b/>
          <w:color w:val="auto"/>
          <w:sz w:val="24"/>
          <w:szCs w:val="21"/>
          <w:highlight w:val="none"/>
        </w:rPr>
      </w:pPr>
      <w:r>
        <w:rPr>
          <w:rFonts w:hint="eastAsia" w:ascii="宋体" w:hAnsi="宋体" w:cs="宋体"/>
          <w:bCs/>
          <w:color w:val="auto"/>
          <w:szCs w:val="21"/>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F0EE627">
      <w:pPr>
        <w:pStyle w:val="135"/>
        <w:spacing w:before="0"/>
        <w:ind w:firstLine="480"/>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4BA380D">
      <w:pPr>
        <w:pStyle w:val="135"/>
        <w:spacing w:before="0"/>
        <w:ind w:firstLine="480"/>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FAE6FC2">
      <w:pPr>
        <w:pStyle w:val="135"/>
        <w:spacing w:before="0"/>
        <w:ind w:firstLine="643"/>
        <w:outlineLvl w:val="9"/>
        <w:rPr>
          <w:rFonts w:ascii="宋体" w:hAnsi="宋体" w:cs="宋体"/>
          <w:b/>
          <w:color w:val="auto"/>
          <w:sz w:val="32"/>
          <w:highlight w:val="none"/>
        </w:rPr>
      </w:pPr>
    </w:p>
    <w:p w14:paraId="4BEB010B">
      <w:pPr>
        <w:pStyle w:val="135"/>
        <w:spacing w:before="0"/>
        <w:ind w:firstLine="1928" w:firstLineChars="600"/>
        <w:outlineLvl w:val="9"/>
        <w:rPr>
          <w:rFonts w:ascii="宋体" w:hAnsi="宋体" w:cs="宋体"/>
          <w:b/>
          <w:color w:val="auto"/>
          <w:sz w:val="32"/>
          <w:highlight w:val="none"/>
        </w:rPr>
      </w:pPr>
      <w:bookmarkStart w:id="41" w:name="_Toc24357"/>
      <w:r>
        <w:rPr>
          <w:rFonts w:hint="eastAsia" w:ascii="宋体" w:hAnsi="宋体" w:cs="宋体"/>
          <w:b/>
          <w:color w:val="auto"/>
          <w:sz w:val="32"/>
          <w:highlight w:val="none"/>
        </w:rPr>
        <w:t>四、开标、资格审查与信用信息查询</w:t>
      </w:r>
      <w:bookmarkEnd w:id="41"/>
    </w:p>
    <w:p w14:paraId="28B8E708">
      <w:pPr>
        <w:pStyle w:val="557"/>
        <w:spacing w:before="0" w:line="360" w:lineRule="auto"/>
        <w:ind w:left="0" w:firstLine="241" w:firstLineChars="100"/>
        <w:contextualSpacing/>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38E1D99">
      <w:pPr>
        <w:pStyle w:val="557"/>
        <w:spacing w:before="0" w:line="360" w:lineRule="auto"/>
        <w:ind w:left="0" w:firstLine="480" w:firstLineChars="200"/>
        <w:contextualSpacing/>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1FB4B5F">
      <w:pPr>
        <w:pStyle w:val="557"/>
        <w:spacing w:before="0" w:line="360" w:lineRule="auto"/>
        <w:ind w:left="0" w:firstLine="240" w:firstLineChars="100"/>
        <w:contextualSpacing/>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D9237C">
      <w:pPr>
        <w:pStyle w:val="557"/>
        <w:spacing w:before="0" w:line="360" w:lineRule="auto"/>
        <w:ind w:left="0" w:firstLine="241" w:firstLineChars="100"/>
        <w:contextualSpacing/>
        <w:outlineLvl w:val="9"/>
        <w:rPr>
          <w:rFonts w:ascii="宋体" w:hAnsi="宋体" w:cs="宋体"/>
          <w:b/>
          <w:color w:val="auto"/>
          <w:sz w:val="24"/>
          <w:highlight w:val="none"/>
        </w:rPr>
      </w:pPr>
      <w:r>
        <w:rPr>
          <w:rFonts w:hint="eastAsia" w:ascii="宋体" w:hAnsi="宋体" w:cs="宋体"/>
          <w:b/>
          <w:bCs/>
          <w:color w:val="auto"/>
          <w:sz w:val="24"/>
          <w:highlight w:val="none"/>
        </w:rPr>
        <w:t>　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14:paraId="2F9FCA27">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28CB5674">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E7CABF6">
      <w:pPr>
        <w:pStyle w:val="135"/>
        <w:spacing w:before="0"/>
        <w:ind w:firstLine="480"/>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20A09EB">
      <w:pPr>
        <w:pStyle w:val="135"/>
        <w:spacing w:before="0"/>
        <w:ind w:firstLine="480"/>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921CB7F">
      <w:pPr>
        <w:pStyle w:val="135"/>
        <w:spacing w:before="0"/>
        <w:ind w:firstLine="480"/>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3FE060C">
      <w:pPr>
        <w:pStyle w:val="135"/>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7F1D9009">
      <w:pPr>
        <w:pStyle w:val="135"/>
        <w:spacing w:before="0"/>
        <w:ind w:firstLine="495" w:firstLineChars="0"/>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r>
        <w:rPr>
          <w:rFonts w:hint="eastAsia" w:ascii="宋体" w:hAnsi="宋体" w:cs="宋体"/>
          <w:color w:val="auto"/>
          <w:kern w:val="0"/>
          <w:szCs w:val="24"/>
          <w:highlight w:val="none"/>
          <w:lang w:val="en-US" w:eastAsia="zh-CN"/>
        </w:rPr>
        <w:t>如存在失信履约风险的应询标确认，并作详细记录</w:t>
      </w:r>
      <w:r>
        <w:rPr>
          <w:rFonts w:hint="eastAsia" w:ascii="宋体" w:hAnsi="宋体" w:cs="宋体"/>
          <w:color w:val="auto"/>
          <w:kern w:val="0"/>
          <w:szCs w:val="24"/>
          <w:highlight w:val="none"/>
        </w:rPr>
        <w:t>。</w:t>
      </w:r>
    </w:p>
    <w:p w14:paraId="3F2BDB6D">
      <w:pPr>
        <w:pStyle w:val="135"/>
        <w:spacing w:before="0"/>
        <w:ind w:firstLine="495" w:firstLineChars="0"/>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8B701CE">
      <w:pPr>
        <w:pStyle w:val="135"/>
        <w:spacing w:before="0"/>
        <w:ind w:firstLine="495" w:firstLineChars="0"/>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eastAsia="宋体" w:cs="宋体"/>
          <w:color w:val="auto"/>
          <w:sz w:val="24"/>
          <w:highlight w:val="none"/>
          <w:lang w:val="en-US"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5740B2CE">
      <w:pPr>
        <w:pStyle w:val="135"/>
        <w:spacing w:before="0"/>
        <w:ind w:firstLine="480"/>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801DDC7">
      <w:pPr>
        <w:pStyle w:val="135"/>
        <w:spacing w:before="0"/>
        <w:ind w:firstLine="0" w:firstLineChars="0"/>
        <w:outlineLvl w:val="9"/>
        <w:rPr>
          <w:rFonts w:ascii="宋体" w:hAnsi="宋体" w:cs="宋体"/>
          <w:color w:val="auto"/>
          <w:kern w:val="0"/>
          <w:szCs w:val="24"/>
          <w:highlight w:val="none"/>
        </w:rPr>
      </w:pPr>
    </w:p>
    <w:p w14:paraId="20D68674">
      <w:pPr>
        <w:snapToGrid w:val="0"/>
        <w:spacing w:line="360" w:lineRule="auto"/>
        <w:jc w:val="center"/>
        <w:outlineLvl w:val="9"/>
        <w:rPr>
          <w:rFonts w:ascii="宋体" w:hAnsi="宋体" w:cs="宋体"/>
          <w:b/>
          <w:color w:val="auto"/>
          <w:sz w:val="36"/>
          <w:szCs w:val="36"/>
          <w:highlight w:val="none"/>
        </w:rPr>
      </w:pPr>
      <w:bookmarkStart w:id="42" w:name="_Toc23139"/>
      <w:r>
        <w:rPr>
          <w:rFonts w:hint="eastAsia" w:ascii="宋体" w:hAnsi="宋体" w:cs="宋体"/>
          <w:b/>
          <w:color w:val="auto"/>
          <w:sz w:val="36"/>
          <w:szCs w:val="36"/>
          <w:highlight w:val="none"/>
        </w:rPr>
        <w:t>五、评标</w:t>
      </w:r>
      <w:bookmarkEnd w:id="42"/>
    </w:p>
    <w:p w14:paraId="191BAAF3">
      <w:pPr>
        <w:spacing w:line="360" w:lineRule="auto"/>
        <w:outlineLvl w:val="9"/>
        <w:rPr>
          <w:rFonts w:hint="eastAsia" w:ascii="宋体" w:hAnsi="宋体" w:cs="宋体"/>
          <w:color w:val="auto"/>
          <w:sz w:val="24"/>
          <w:highlight w:val="none"/>
        </w:rPr>
      </w:pPr>
      <w:bookmarkStart w:id="43" w:name="_Toc91899903"/>
      <w:r>
        <w:rPr>
          <w:rFonts w:hint="eastAsia" w:ascii="宋体" w:hAnsi="宋体" w:cs="宋体"/>
          <w:b w:val="0"/>
          <w:bCs/>
          <w:color w:val="auto"/>
          <w:sz w:val="24"/>
          <w:highlight w:val="none"/>
        </w:rPr>
        <w:t>21.</w:t>
      </w:r>
      <w:r>
        <w:rPr>
          <w:rFonts w:hint="eastAsia" w:ascii="宋体" w:hAnsi="宋体" w:cs="宋体"/>
          <w:b w:val="0"/>
          <w:bCs/>
          <w:color w:val="auto"/>
          <w:highlight w:val="none"/>
        </w:rPr>
        <w:t xml:space="preserve"> </w:t>
      </w:r>
      <w:r>
        <w:rPr>
          <w:rFonts w:hint="eastAsia" w:ascii="宋体" w:hAnsi="宋体" w:cs="宋体"/>
          <w:b w:val="0"/>
          <w:bCs/>
          <w:color w:val="auto"/>
          <w:sz w:val="24"/>
          <w:highlight w:val="none"/>
        </w:rPr>
        <w:t>评</w:t>
      </w:r>
      <w:r>
        <w:rPr>
          <w:rFonts w:hint="eastAsia" w:ascii="宋体" w:hAnsi="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0D1D582">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详见招标文件第四部分评标办法。</w:t>
      </w:r>
    </w:p>
    <w:p w14:paraId="35DD006F">
      <w:pPr>
        <w:spacing w:line="360" w:lineRule="auto"/>
        <w:outlineLvl w:val="9"/>
        <w:rPr>
          <w:rFonts w:ascii="宋体" w:hAnsi="宋体" w:cs="宋体"/>
          <w:b/>
          <w:color w:val="auto"/>
          <w:sz w:val="24"/>
          <w:highlight w:val="none"/>
        </w:rPr>
      </w:pPr>
    </w:p>
    <w:p w14:paraId="26827872">
      <w:pPr>
        <w:snapToGrid w:val="0"/>
        <w:spacing w:line="360" w:lineRule="auto"/>
        <w:jc w:val="center"/>
        <w:outlineLvl w:val="9"/>
        <w:rPr>
          <w:rFonts w:ascii="宋体" w:hAnsi="宋体" w:cs="宋体"/>
          <w:b/>
          <w:color w:val="auto"/>
          <w:sz w:val="36"/>
          <w:szCs w:val="36"/>
          <w:highlight w:val="none"/>
        </w:rPr>
      </w:pPr>
      <w:bookmarkStart w:id="44" w:name="_Toc32708"/>
      <w:r>
        <w:rPr>
          <w:rFonts w:hint="eastAsia" w:ascii="宋体" w:hAnsi="宋体" w:cs="宋体"/>
          <w:b/>
          <w:color w:val="auto"/>
          <w:sz w:val="36"/>
          <w:szCs w:val="36"/>
          <w:highlight w:val="none"/>
        </w:rPr>
        <w:t>六、定 标</w:t>
      </w:r>
      <w:bookmarkEnd w:id="44"/>
    </w:p>
    <w:p w14:paraId="18D3CFCE">
      <w:pPr>
        <w:pStyle w:val="24"/>
        <w:spacing w:line="360" w:lineRule="auto"/>
        <w:ind w:left="479" w:hanging="479" w:hangingChars="199"/>
        <w:outlineLvl w:val="9"/>
        <w:rPr>
          <w:rFonts w:cs="宋体"/>
          <w:b/>
          <w:color w:val="auto"/>
          <w:highlight w:val="none"/>
        </w:rPr>
      </w:pPr>
      <w:r>
        <w:rPr>
          <w:rFonts w:hint="eastAsia" w:cs="宋体"/>
          <w:b/>
          <w:color w:val="auto"/>
          <w:highlight w:val="none"/>
        </w:rPr>
        <w:t>22. 确定中标供应商</w:t>
      </w:r>
    </w:p>
    <w:p w14:paraId="5B440937">
      <w:pPr>
        <w:pStyle w:val="135"/>
        <w:snapToGrid w:val="0"/>
        <w:spacing w:before="0"/>
        <w:ind w:firstLine="480"/>
        <w:outlineLvl w:val="9"/>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686502FE">
      <w:pPr>
        <w:pStyle w:val="135"/>
        <w:numPr>
          <w:ilvl w:val="0"/>
          <w:numId w:val="2"/>
        </w:numPr>
        <w:snapToGrid w:val="0"/>
        <w:spacing w:before="0"/>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中标通知与中标结果公告</w:t>
      </w:r>
    </w:p>
    <w:p w14:paraId="082C092A">
      <w:pPr>
        <w:pStyle w:val="135"/>
        <w:snapToGrid w:val="0"/>
        <w:spacing w:before="0"/>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.1自中标人确定之日起2个工作日内，采购代理机构通过电子交易平台向中标人发出中标通知书，同时编制发布采购结果公告。采购代理机构也可以以纸质形式进行中标通知。</w:t>
      </w:r>
    </w:p>
    <w:p w14:paraId="2436AA00">
      <w:pPr>
        <w:pStyle w:val="135"/>
        <w:snapToGrid w:val="0"/>
        <w:spacing w:before="0"/>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.2中标结果公告内容包括采购人及其委托的采购代理机构的名称、地址、联系方式，项目名称和项目编号，中标人名称、地址和中标金额，主要中标标的的名称、</w:t>
      </w:r>
      <w:r>
        <w:rPr>
          <w:rFonts w:hint="eastAsia" w:ascii="宋体" w:hAnsi="宋体" w:cs="宋体"/>
          <w:color w:val="auto"/>
          <w:szCs w:val="24"/>
          <w:highlight w:val="none"/>
          <w:lang w:val="en-US" w:eastAsia="zh-CN"/>
        </w:rPr>
        <w:t>服务要求</w:t>
      </w:r>
      <w:r>
        <w:rPr>
          <w:rFonts w:hint="eastAsia" w:ascii="宋体" w:hAnsi="宋体" w:eastAsia="宋体" w:cs="宋体"/>
          <w:color w:val="auto"/>
          <w:szCs w:val="24"/>
          <w:highlight w:val="none"/>
          <w:lang w:val="en-US" w:eastAsia="zh-CN"/>
        </w:rPr>
        <w:t>或者标的基本概况</w:t>
      </w:r>
      <w:r>
        <w:rPr>
          <w:rFonts w:hint="eastAsia" w:ascii="宋体" w:hAnsi="宋体" w:cs="宋体"/>
          <w:color w:val="auto"/>
          <w:szCs w:val="24"/>
          <w:highlight w:val="none"/>
          <w:lang w:val="en-US" w:eastAsia="zh-CN"/>
        </w:rPr>
        <w:t>等</w:t>
      </w:r>
      <w:r>
        <w:rPr>
          <w:rFonts w:hint="eastAsia" w:ascii="宋体" w:hAnsi="宋体" w:eastAsia="宋体" w:cs="宋体"/>
          <w:color w:val="auto"/>
          <w:szCs w:val="24"/>
          <w:highlight w:val="none"/>
        </w:rPr>
        <w:t>、中标公告期限以及评审专家名单、评分汇总及明细。</w:t>
      </w:r>
    </w:p>
    <w:p w14:paraId="3BD8F6FB">
      <w:pPr>
        <w:pStyle w:val="135"/>
        <w:snapToGrid w:val="0"/>
        <w:spacing w:before="0"/>
        <w:ind w:firstLine="48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.3公告期限为1个工作日。</w:t>
      </w:r>
    </w:p>
    <w:p w14:paraId="25EEAA4F">
      <w:pPr>
        <w:snapToGrid w:val="0"/>
        <w:spacing w:line="360" w:lineRule="auto"/>
        <w:ind w:left="120" w:leftChars="57" w:firstLine="482" w:firstLineChars="150"/>
        <w:jc w:val="center"/>
        <w:outlineLvl w:val="9"/>
        <w:rPr>
          <w:rFonts w:ascii="宋体" w:hAnsi="宋体" w:cs="宋体"/>
          <w:b/>
          <w:color w:val="auto"/>
          <w:sz w:val="32"/>
          <w:highlight w:val="none"/>
        </w:rPr>
      </w:pPr>
    </w:p>
    <w:p w14:paraId="2C643354">
      <w:pPr>
        <w:snapToGrid w:val="0"/>
        <w:spacing w:line="360" w:lineRule="auto"/>
        <w:ind w:left="120" w:leftChars="57" w:firstLine="482" w:firstLineChars="150"/>
        <w:jc w:val="center"/>
        <w:outlineLvl w:val="9"/>
        <w:rPr>
          <w:rFonts w:ascii="宋体" w:hAnsi="宋体" w:cs="宋体"/>
          <w:b/>
          <w:color w:val="auto"/>
          <w:sz w:val="32"/>
          <w:highlight w:val="none"/>
        </w:rPr>
      </w:pPr>
      <w:bookmarkStart w:id="45" w:name="_Toc22272"/>
      <w:r>
        <w:rPr>
          <w:rFonts w:hint="eastAsia" w:ascii="宋体" w:hAnsi="宋体" w:cs="宋体"/>
          <w:b/>
          <w:color w:val="auto"/>
          <w:sz w:val="32"/>
          <w:highlight w:val="none"/>
        </w:rPr>
        <w:t>七、合同授予</w:t>
      </w:r>
      <w:bookmarkEnd w:id="45"/>
    </w:p>
    <w:p w14:paraId="67437F9A">
      <w:pPr>
        <w:pStyle w:val="24"/>
        <w:spacing w:line="360" w:lineRule="auto"/>
        <w:ind w:left="479" w:hanging="479" w:hangingChars="199"/>
        <w:outlineLvl w:val="9"/>
        <w:rPr>
          <w:rFonts w:cs="宋体"/>
          <w:b/>
          <w:bCs w:val="0"/>
          <w:color w:val="auto"/>
          <w:highlight w:val="none"/>
        </w:rPr>
      </w:pPr>
      <w:r>
        <w:rPr>
          <w:rFonts w:hint="eastAsia" w:cs="宋体"/>
          <w:b/>
          <w:bCs w:val="0"/>
          <w:color w:val="auto"/>
          <w:highlight w:val="none"/>
        </w:rPr>
        <w:t>24. 合同主要条款详见第五部分拟签订的合同文本。</w:t>
      </w:r>
    </w:p>
    <w:p w14:paraId="3F76BE39">
      <w:pPr>
        <w:pStyle w:val="24"/>
        <w:spacing w:line="360" w:lineRule="auto"/>
        <w:ind w:left="479" w:hanging="479" w:hangingChars="199"/>
        <w:outlineLvl w:val="9"/>
        <w:rPr>
          <w:rFonts w:hint="eastAsia" w:cs="宋体"/>
          <w:b/>
          <w:color w:val="auto"/>
          <w:highlight w:val="none"/>
        </w:rPr>
      </w:pPr>
      <w:r>
        <w:rPr>
          <w:rFonts w:hint="eastAsia" w:cs="宋体"/>
          <w:b/>
          <w:color w:val="auto"/>
          <w:highlight w:val="none"/>
        </w:rPr>
        <w:t>25. 合同的签订</w:t>
      </w:r>
    </w:p>
    <w:p w14:paraId="14957360">
      <w:pPr>
        <w:pStyle w:val="135"/>
        <w:spacing w:before="0"/>
        <w:ind w:firstLine="48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9B0657C">
      <w:pPr>
        <w:pStyle w:val="135"/>
        <w:snapToGrid w:val="0"/>
        <w:spacing w:before="0"/>
        <w:ind w:firstLine="480"/>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82F5548">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4721BD6">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893E7C">
      <w:pPr>
        <w:pStyle w:val="135"/>
        <w:snapToGrid w:val="0"/>
        <w:spacing w:before="0" w:after="120"/>
        <w:ind w:firstLine="480"/>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761F953">
      <w:pPr>
        <w:outlineLvl w:val="9"/>
        <w:rPr>
          <w:color w:val="auto"/>
          <w:highlight w:val="none"/>
        </w:rPr>
      </w:pPr>
    </w:p>
    <w:p w14:paraId="1C925ABB">
      <w:pPr>
        <w:outlineLvl w:val="9"/>
        <w:rPr>
          <w:rFonts w:hint="eastAsia" w:ascii="宋体" w:hAnsi="宋体" w:cs="宋体"/>
          <w:b/>
          <w:color w:val="auto"/>
          <w:sz w:val="32"/>
          <w:highlight w:val="none"/>
        </w:rPr>
      </w:pPr>
      <w:bookmarkStart w:id="46" w:name="_Toc362"/>
    </w:p>
    <w:p w14:paraId="3BD2A8D4">
      <w:pPr>
        <w:snapToGrid w:val="0"/>
        <w:spacing w:line="360" w:lineRule="auto"/>
        <w:jc w:val="center"/>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bookmarkEnd w:id="46"/>
    </w:p>
    <w:p w14:paraId="551E3CA2">
      <w:pPr>
        <w:pStyle w:val="135"/>
        <w:snapToGrid w:val="0"/>
        <w:spacing w:before="0"/>
        <w:ind w:firstLine="0" w:firstLineChars="0"/>
        <w:outlineLvl w:val="9"/>
        <w:rPr>
          <w:rFonts w:ascii="宋体" w:hAnsi="宋体" w:cs="宋体"/>
          <w:color w:val="auto"/>
          <w:highlight w:val="none"/>
        </w:rPr>
      </w:pPr>
      <w:r>
        <w:rPr>
          <w:rFonts w:hint="eastAsia" w:ascii="宋体" w:hAnsi="宋体" w:cs="宋体"/>
          <w:b/>
          <w:bCs/>
          <w:color w:val="auto"/>
          <w:kern w:val="2"/>
          <w:sz w:val="24"/>
          <w:szCs w:val="20"/>
          <w:highlight w:val="none"/>
          <w:lang w:val="en-US" w:eastAsia="zh-CN"/>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802D04">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7E5ECA26">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27B814C0">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1C535659">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463C8200">
      <w:pPr>
        <w:pStyle w:val="135"/>
        <w:snapToGrid w:val="0"/>
        <w:spacing w:before="0"/>
        <w:ind w:firstLine="48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4D3C5F89">
      <w:pPr>
        <w:pStyle w:val="135"/>
        <w:snapToGrid w:val="0"/>
        <w:spacing w:before="0"/>
        <w:ind w:firstLine="0" w:firstLineChars="0"/>
        <w:outlineLvl w:val="9"/>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C9161B">
      <w:pPr>
        <w:tabs>
          <w:tab w:val="left" w:pos="0"/>
        </w:tabs>
        <w:spacing w:line="360" w:lineRule="auto"/>
        <w:ind w:firstLine="480"/>
        <w:outlineLvl w:val="9"/>
        <w:rPr>
          <w:rFonts w:ascii="宋体" w:hAnsi="宋体" w:cs="宋体"/>
          <w:color w:val="auto"/>
          <w:sz w:val="24"/>
          <w:highlight w:val="none"/>
        </w:rPr>
      </w:pPr>
    </w:p>
    <w:p w14:paraId="53D5A3BB">
      <w:pPr>
        <w:snapToGrid w:val="0"/>
        <w:spacing w:line="360" w:lineRule="auto"/>
        <w:ind w:left="120" w:leftChars="57" w:firstLine="482" w:firstLineChars="150"/>
        <w:jc w:val="center"/>
        <w:outlineLvl w:val="9"/>
        <w:rPr>
          <w:rFonts w:ascii="宋体" w:hAnsi="宋体" w:cs="宋体"/>
          <w:b/>
          <w:color w:val="auto"/>
          <w:sz w:val="32"/>
          <w:highlight w:val="none"/>
        </w:rPr>
      </w:pPr>
      <w:bookmarkStart w:id="47" w:name="_Toc12798"/>
      <w:r>
        <w:rPr>
          <w:rFonts w:hint="eastAsia" w:ascii="宋体" w:hAnsi="宋体" w:cs="宋体"/>
          <w:b/>
          <w:color w:val="auto"/>
          <w:sz w:val="32"/>
          <w:highlight w:val="none"/>
        </w:rPr>
        <w:t>九、验收</w:t>
      </w:r>
      <w:bookmarkEnd w:id="47"/>
    </w:p>
    <w:p w14:paraId="2CC33D1C">
      <w:pPr>
        <w:pStyle w:val="24"/>
        <w:spacing w:line="360" w:lineRule="auto"/>
        <w:ind w:firstLine="0" w:firstLineChars="0"/>
        <w:outlineLvl w:val="9"/>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0470209C">
      <w:pPr>
        <w:tabs>
          <w:tab w:val="left" w:pos="0"/>
        </w:tabs>
        <w:spacing w:line="360" w:lineRule="auto"/>
        <w:ind w:firstLine="480"/>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3BD613">
      <w:pPr>
        <w:tabs>
          <w:tab w:val="left" w:pos="0"/>
        </w:tabs>
        <w:spacing w:line="360" w:lineRule="auto"/>
        <w:ind w:firstLine="480"/>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89D68D6">
      <w:pPr>
        <w:tabs>
          <w:tab w:val="left" w:pos="0"/>
        </w:tabs>
        <w:spacing w:line="360" w:lineRule="auto"/>
        <w:ind w:firstLine="480"/>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21B9BA">
      <w:pPr>
        <w:tabs>
          <w:tab w:val="left" w:pos="0"/>
        </w:tabs>
        <w:spacing w:line="360" w:lineRule="auto"/>
        <w:ind w:firstLine="480"/>
        <w:outlineLvl w:val="9"/>
        <w:rPr>
          <w:rFonts w:ascii="宋体" w:hAnsi="宋体" w:cs="宋体"/>
          <w:color w:val="auto"/>
          <w:kern w:val="0"/>
          <w:sz w:val="24"/>
          <w:highlight w:val="none"/>
        </w:rPr>
        <w:sectPr>
          <w:footerReference r:id="rId6" w:type="first"/>
          <w:footerReference r:id="rId5" w:type="default"/>
          <w:pgSz w:w="11905" w:h="16838"/>
          <w:pgMar w:top="1134" w:right="1417" w:bottom="1134" w:left="141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3"/>
      <w:bookmarkStart w:id="48" w:name="_Hlt75236101"/>
      <w:bookmarkEnd w:id="48"/>
      <w:bookmarkStart w:id="49" w:name="_Hlt68072990"/>
      <w:bookmarkEnd w:id="49"/>
      <w:bookmarkStart w:id="50" w:name="_Hlt75236011"/>
      <w:bookmarkEnd w:id="50"/>
      <w:bookmarkStart w:id="51" w:name="_Hlt74730295"/>
      <w:bookmarkEnd w:id="51"/>
      <w:bookmarkStart w:id="52" w:name="_Hlt68072998"/>
      <w:bookmarkEnd w:id="52"/>
      <w:bookmarkStart w:id="53" w:name="_Hlt75236290"/>
      <w:bookmarkEnd w:id="53"/>
      <w:bookmarkStart w:id="54" w:name="_Hlt74714665"/>
      <w:bookmarkEnd w:id="54"/>
      <w:bookmarkStart w:id="55" w:name="_Hlt74729768"/>
      <w:bookmarkEnd w:id="55"/>
      <w:bookmarkStart w:id="56" w:name="_Hlt74707468"/>
      <w:bookmarkEnd w:id="56"/>
      <w:bookmarkStart w:id="57" w:name="_Hlt68057669"/>
      <w:bookmarkEnd w:id="57"/>
      <w:bookmarkStart w:id="58" w:name="_Hlt68403820"/>
      <w:bookmarkEnd w:id="58"/>
      <w:bookmarkStart w:id="59" w:name="_Hlt68073093"/>
      <w:bookmarkEnd w:id="59"/>
    </w:p>
    <w:bookmarkEnd w:id="31"/>
    <w:bookmarkEnd w:id="32"/>
    <w:p w14:paraId="641E455C">
      <w:pPr>
        <w:spacing w:line="360" w:lineRule="auto"/>
        <w:jc w:val="center"/>
        <w:outlineLvl w:val="0"/>
        <w:rPr>
          <w:rFonts w:ascii="宋体" w:hAnsi="宋体" w:cs="宋体"/>
          <w:b/>
          <w:color w:val="auto"/>
          <w:sz w:val="36"/>
          <w:szCs w:val="36"/>
          <w:highlight w:val="none"/>
        </w:rPr>
      </w:pPr>
      <w:bookmarkStart w:id="60" w:name="_Toc14251"/>
      <w:bookmarkStart w:id="61" w:name="_Toc922"/>
      <w:bookmarkStart w:id="62" w:name="_Toc9424"/>
      <w:bookmarkStart w:id="63" w:name="_Toc17321"/>
      <w:bookmarkStart w:id="64" w:name="第四部分"/>
      <w:r>
        <w:rPr>
          <w:rFonts w:hint="eastAsia" w:ascii="宋体" w:hAnsi="宋体" w:cs="宋体"/>
          <w:b/>
          <w:color w:val="auto"/>
          <w:sz w:val="36"/>
          <w:szCs w:val="36"/>
          <w:highlight w:val="none"/>
        </w:rPr>
        <w:t>第三部分 采购需求</w:t>
      </w:r>
      <w:bookmarkEnd w:id="60"/>
      <w:bookmarkEnd w:id="61"/>
      <w:bookmarkEnd w:id="62"/>
      <w:bookmarkEnd w:id="63"/>
    </w:p>
    <w:p w14:paraId="41739E77">
      <w:pPr>
        <w:spacing w:line="360" w:lineRule="auto"/>
        <w:ind w:firstLine="480"/>
        <w:rPr>
          <w:rFonts w:hint="eastAsia" w:ascii="宋体" w:hAnsi="宋体" w:cs="宋体"/>
          <w:b/>
          <w:bCs/>
          <w:color w:val="auto"/>
          <w:kern w:val="0"/>
          <w:sz w:val="24"/>
          <w:szCs w:val="24"/>
          <w:highlight w:val="none"/>
        </w:rPr>
      </w:pPr>
      <w:bookmarkStart w:id="65" w:name="_Toc22878"/>
      <w:bookmarkStart w:id="66" w:name="_Toc22578"/>
      <w:r>
        <w:rPr>
          <w:rFonts w:hint="eastAsia" w:ascii="宋体" w:hAnsi="宋体" w:cs="宋体"/>
          <w:b/>
          <w:bCs/>
          <w:color w:val="auto"/>
          <w:kern w:val="0"/>
          <w:sz w:val="24"/>
          <w:szCs w:val="24"/>
          <w:highlight w:val="none"/>
        </w:rPr>
        <w:t>一、技术要求：</w:t>
      </w:r>
    </w:p>
    <w:p w14:paraId="26A30C94">
      <w:pPr>
        <w:spacing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1、修复目标值：</w:t>
      </w:r>
      <w:r>
        <w:rPr>
          <w:rFonts w:hint="eastAsia" w:ascii="宋体" w:hAnsi="宋体" w:cs="宋体"/>
          <w:b w:val="0"/>
          <w:bCs w:val="0"/>
          <w:color w:val="auto"/>
          <w:sz w:val="24"/>
          <w:szCs w:val="24"/>
          <w:highlight w:val="none"/>
        </w:rPr>
        <w:t>修复目标值详见修复技术方案，修复技术方案另册提供。</w:t>
      </w:r>
    </w:p>
    <w:p w14:paraId="79E90CE1">
      <w:pPr>
        <w:widowControl/>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2、质量要求：满足修复目标值要求，通过第三方的检测和验收。</w:t>
      </w:r>
    </w:p>
    <w:p w14:paraId="213215C4">
      <w:pPr>
        <w:widowControl/>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3、安全要求：无安全生产责任事故。</w:t>
      </w:r>
    </w:p>
    <w:p w14:paraId="23A1FC9D">
      <w:pPr>
        <w:widowControl/>
        <w:spacing w:line="360" w:lineRule="auto"/>
        <w:ind w:firstLine="480" w:firstLineChars="200"/>
        <w:jc w:val="left"/>
        <w:rPr>
          <w:rFonts w:hint="eastAsia" w:ascii="宋体" w:hAnsi="宋体" w:cs="宋体"/>
          <w:b/>
          <w:color w:val="auto"/>
          <w:sz w:val="24"/>
          <w:szCs w:val="24"/>
          <w:highlight w:val="none"/>
        </w:rPr>
      </w:pPr>
      <w:r>
        <w:rPr>
          <w:rFonts w:hint="eastAsia" w:ascii="宋体" w:hAnsi="宋体" w:cs="宋体"/>
          <w:b w:val="0"/>
          <w:bCs/>
          <w:color w:val="auto"/>
          <w:sz w:val="24"/>
          <w:szCs w:val="24"/>
          <w:highlight w:val="none"/>
        </w:rPr>
        <w:t>4、工期：</w:t>
      </w:r>
      <w:r>
        <w:rPr>
          <w:rFonts w:hint="eastAsia" w:ascii="宋体" w:hAnsi="宋体" w:cs="宋体"/>
          <w:b/>
          <w:color w:val="auto"/>
          <w:sz w:val="24"/>
          <w:szCs w:val="24"/>
          <w:highlight w:val="none"/>
          <w:lang w:val="en-US" w:eastAsia="zh-CN"/>
        </w:rPr>
        <w:t>180</w:t>
      </w:r>
      <w:r>
        <w:rPr>
          <w:rFonts w:hint="eastAsia" w:ascii="宋体" w:hAnsi="宋体" w:cs="宋体"/>
          <w:b/>
          <w:color w:val="auto"/>
          <w:sz w:val="24"/>
          <w:szCs w:val="24"/>
          <w:highlight w:val="none"/>
        </w:rPr>
        <w:t>日历天</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其中施工准备阶段至污染土壤清挖、转运和处置阶段需在150日历天内完工</w:t>
      </w:r>
      <w:r>
        <w:rPr>
          <w:rFonts w:hint="eastAsia" w:ascii="宋体" w:hAnsi="宋体" w:cs="宋体"/>
          <w:b/>
          <w:color w:val="auto"/>
          <w:sz w:val="24"/>
          <w:szCs w:val="24"/>
          <w:highlight w:val="none"/>
        </w:rPr>
        <w:t>。（</w:t>
      </w:r>
      <w:r>
        <w:rPr>
          <w:rFonts w:hint="eastAsia"/>
          <w:color w:val="auto"/>
          <w:sz w:val="24"/>
          <w:szCs w:val="24"/>
          <w:highlight w:val="none"/>
        </w:rPr>
        <w:t>时间自开工报告载明的开工之日起，至土壤及地下水达到修复目标值并通过项目验收会止</w:t>
      </w:r>
      <w:r>
        <w:rPr>
          <w:rFonts w:hint="eastAsia" w:ascii="宋体" w:hAnsi="宋体" w:cs="宋体"/>
          <w:b/>
          <w:color w:val="auto"/>
          <w:sz w:val="24"/>
          <w:szCs w:val="24"/>
          <w:highlight w:val="none"/>
        </w:rPr>
        <w:t>）。</w:t>
      </w:r>
    </w:p>
    <w:p w14:paraId="0CBBDFA4">
      <w:pPr>
        <w:widowControl/>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5、招标范围：</w:t>
      </w:r>
      <w:r>
        <w:rPr>
          <w:rFonts w:hint="eastAsia" w:ascii="宋体" w:hAnsi="宋体" w:cs="宋体"/>
          <w:b w:val="0"/>
          <w:bCs/>
          <w:color w:val="auto"/>
          <w:sz w:val="24"/>
          <w:szCs w:val="24"/>
          <w:highlight w:val="none"/>
          <w:lang w:val="en-US" w:eastAsia="zh-CN"/>
        </w:rPr>
        <w:t>嵊泗县原天成化工厂地块一(原天成化工厂东侧主厂区) 土壤污染修复，主要包括临时设施建设、施工大棚建设及尾气处理配套设施、基坑支护及降排水、土壤清挖、土壤暂存及预处理、土壤外运、土壤工业窑炉协同处理、基坑回填、施工废水处理，以及土壤鉴定、施工二次污染防治、开挖范围内土壤异味治理、质量检测等。具体详见本项目修复技术方案附件。</w:t>
      </w:r>
    </w:p>
    <w:p w14:paraId="31E8D3A5">
      <w:pPr>
        <w:spacing w:line="360" w:lineRule="auto"/>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rPr>
        <w:t>6、本服务项目工程量清单，具体详见本项目</w:t>
      </w:r>
      <w:r>
        <w:rPr>
          <w:rFonts w:hint="eastAsia" w:ascii="宋体" w:hAnsi="宋体" w:cs="宋体"/>
          <w:b w:val="0"/>
          <w:bCs/>
          <w:color w:val="auto"/>
          <w:sz w:val="24"/>
          <w:szCs w:val="24"/>
          <w:highlight w:val="none"/>
          <w:lang w:val="en-US" w:eastAsia="zh-CN"/>
        </w:rPr>
        <w:t>工程量清单附件。</w:t>
      </w:r>
    </w:p>
    <w:p w14:paraId="5A26B8DA">
      <w:pPr>
        <w:spacing w:line="360" w:lineRule="auto"/>
        <w:ind w:firstLine="480" w:firstLineChars="20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★7、项目管理机构人员配备要求</w:t>
      </w:r>
    </w:p>
    <w:p w14:paraId="74935221">
      <w:pPr>
        <w:pStyle w:val="25"/>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项目经理</w:t>
      </w:r>
      <w:r>
        <w:rPr>
          <w:rFonts w:hint="eastAsia" w:cs="宋体"/>
          <w:bCs/>
          <w:color w:val="auto"/>
          <w:sz w:val="24"/>
          <w:szCs w:val="24"/>
          <w:highlight w:val="none"/>
          <w:lang w:val="en-US" w:eastAsia="zh-CN"/>
        </w:rPr>
        <w:t>（如为联合体投标的，项目经理需由联合体牵头人拟派）</w:t>
      </w:r>
      <w:r>
        <w:rPr>
          <w:rFonts w:hint="eastAsia" w:ascii="宋体" w:hAnsi="宋体" w:cs="宋体"/>
          <w:bCs/>
          <w:color w:val="auto"/>
          <w:sz w:val="24"/>
          <w:szCs w:val="24"/>
          <w:highlight w:val="none"/>
          <w:lang w:val="en-US" w:eastAsia="zh-CN"/>
        </w:rPr>
        <w:t>：具备市政公用工程二级</w:t>
      </w:r>
      <w:r>
        <w:rPr>
          <w:rFonts w:hint="eastAsia" w:cs="宋体"/>
          <w:bCs/>
          <w:color w:val="auto"/>
          <w:sz w:val="24"/>
          <w:szCs w:val="24"/>
          <w:highlight w:val="none"/>
          <w:lang w:val="en-US" w:eastAsia="zh-CN"/>
        </w:rPr>
        <w:t>及</w:t>
      </w:r>
      <w:r>
        <w:rPr>
          <w:rFonts w:hint="eastAsia" w:ascii="宋体" w:hAnsi="宋体" w:cs="宋体"/>
          <w:bCs/>
          <w:color w:val="auto"/>
          <w:sz w:val="24"/>
          <w:szCs w:val="24"/>
          <w:highlight w:val="none"/>
          <w:lang w:val="en-US" w:eastAsia="zh-CN"/>
        </w:rPr>
        <w:t>以上注册建造师证书，具有有效的安全生产考核合格证（B证）；</w:t>
      </w:r>
    </w:p>
    <w:p w14:paraId="224DA306">
      <w:pPr>
        <w:pStyle w:val="25"/>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施工员：不少于1人，</w:t>
      </w:r>
      <w:r>
        <w:rPr>
          <w:rFonts w:hint="eastAsia" w:ascii="宋体" w:hAnsi="宋体" w:cs="宋体"/>
          <w:bCs/>
          <w:color w:val="auto"/>
          <w:sz w:val="24"/>
          <w:szCs w:val="24"/>
          <w:highlight w:val="none"/>
        </w:rPr>
        <w:t>具有施工员岗位证书（培训合格证）</w:t>
      </w:r>
      <w:r>
        <w:rPr>
          <w:rFonts w:hint="eastAsia" w:ascii="宋体" w:hAnsi="宋体" w:cs="宋体"/>
          <w:bCs/>
          <w:color w:val="auto"/>
          <w:sz w:val="24"/>
          <w:szCs w:val="24"/>
          <w:highlight w:val="none"/>
          <w:lang w:eastAsia="zh-CN"/>
        </w:rPr>
        <w:t>；</w:t>
      </w:r>
    </w:p>
    <w:p w14:paraId="752E8701">
      <w:pPr>
        <w:pStyle w:val="25"/>
        <w:rPr>
          <w:rFonts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质量员：不少于1人，具有质量员岗位证书（培训合格证）；</w:t>
      </w:r>
    </w:p>
    <w:p w14:paraId="3B264A02">
      <w:pPr>
        <w:widowControl/>
        <w:overflowPunct w:val="0"/>
        <w:autoSpaceDE w:val="0"/>
        <w:autoSpaceDN w:val="0"/>
        <w:spacing w:line="360" w:lineRule="auto"/>
        <w:ind w:firstLine="960" w:firstLineChars="400"/>
        <w:contextualSpacing/>
        <w:jc w:val="left"/>
        <w:textAlignment w:val="baseline"/>
        <w:rPr>
          <w:rFonts w:hint="eastAsia" w:ascii="宋体" w:hAnsi="宋体" w:cs="宋体"/>
          <w:b/>
          <w:color w:val="auto"/>
          <w:sz w:val="24"/>
          <w:szCs w:val="24"/>
          <w:highlight w:val="none"/>
        </w:rPr>
      </w:pPr>
      <w:r>
        <w:rPr>
          <w:rFonts w:hint="eastAsia" w:ascii="宋体" w:hAnsi="宋体" w:cs="宋体"/>
          <w:bCs/>
          <w:color w:val="auto"/>
          <w:sz w:val="24"/>
          <w:szCs w:val="24"/>
          <w:highlight w:val="none"/>
          <w:lang w:val="en-US" w:eastAsia="zh-CN"/>
        </w:rPr>
        <w:t>安全员：不少于1人，具</w:t>
      </w:r>
      <w:r>
        <w:rPr>
          <w:rFonts w:hint="eastAsia" w:ascii="宋体" w:hAnsi="宋体" w:cs="宋体"/>
          <w:bCs/>
          <w:color w:val="auto"/>
          <w:sz w:val="24"/>
          <w:szCs w:val="24"/>
          <w:highlight w:val="none"/>
        </w:rPr>
        <w:t>有效的安全生产考核合格证（C证）</w:t>
      </w:r>
      <w:r>
        <w:rPr>
          <w:rFonts w:hint="eastAsia" w:ascii="宋体" w:hAnsi="宋体" w:cs="宋体"/>
          <w:bCs/>
          <w:color w:val="auto"/>
          <w:sz w:val="24"/>
          <w:szCs w:val="24"/>
          <w:highlight w:val="none"/>
          <w:lang w:eastAsia="zh-CN"/>
        </w:rPr>
        <w:t>；</w:t>
      </w:r>
    </w:p>
    <w:p w14:paraId="097D0E4E">
      <w:pPr>
        <w:widowControl/>
        <w:overflowPunct w:val="0"/>
        <w:autoSpaceDE w:val="0"/>
        <w:autoSpaceDN w:val="0"/>
        <w:spacing w:line="360" w:lineRule="auto"/>
        <w:ind w:firstLine="960" w:firstLineChars="400"/>
        <w:contextualSpacing/>
        <w:jc w:val="left"/>
        <w:textAlignment w:val="baseline"/>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资料员：不少于1人，具有资料员</w:t>
      </w:r>
      <w:bookmarkStart w:id="486" w:name="_GoBack"/>
      <w:bookmarkEnd w:id="486"/>
      <w:r>
        <w:rPr>
          <w:rFonts w:hint="eastAsia" w:ascii="宋体" w:hAnsi="宋体" w:cs="宋体"/>
          <w:b w:val="0"/>
          <w:bCs/>
          <w:color w:val="auto"/>
          <w:sz w:val="24"/>
          <w:szCs w:val="24"/>
          <w:highlight w:val="none"/>
          <w:lang w:val="en-US" w:eastAsia="zh-CN"/>
        </w:rPr>
        <w:t>岗位证书（培训合格证）；</w:t>
      </w:r>
    </w:p>
    <w:p w14:paraId="4617BA5E">
      <w:pPr>
        <w:widowControl/>
        <w:overflowPunct w:val="0"/>
        <w:autoSpaceDE w:val="0"/>
        <w:autoSpaceDN w:val="0"/>
        <w:spacing w:line="360" w:lineRule="auto"/>
        <w:ind w:firstLine="480" w:firstLineChars="200"/>
        <w:contextualSpacing/>
        <w:jc w:val="left"/>
        <w:textAlignment w:val="baseline"/>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注：以上所列专业岗位和数量要求均为低限，供应商可按工程实际需要增设。投标时所配备的人员需提供相关证书复印件、并提供</w:t>
      </w:r>
      <w:r>
        <w:rPr>
          <w:rFonts w:hint="eastAsia" w:ascii="宋体" w:hAnsi="宋体" w:cs="宋体"/>
          <w:b w:val="0"/>
          <w:bCs/>
          <w:color w:val="auto"/>
          <w:sz w:val="24"/>
          <w:szCs w:val="24"/>
          <w:highlight w:val="none"/>
          <w:lang w:val="en-US" w:eastAsia="zh-CN"/>
        </w:rPr>
        <w:t>2025年3月、4月、5月</w:t>
      </w:r>
      <w:r>
        <w:rPr>
          <w:rFonts w:hint="eastAsia" w:ascii="宋体" w:hAnsi="宋体" w:cs="宋体"/>
          <w:b w:val="0"/>
          <w:bCs/>
          <w:color w:val="auto"/>
          <w:sz w:val="24"/>
          <w:szCs w:val="24"/>
          <w:highlight w:val="none"/>
        </w:rPr>
        <w:t>供应商为其缴纳社保的证明资料。</w:t>
      </w:r>
    </w:p>
    <w:p w14:paraId="42A8C576">
      <w:pPr>
        <w:spacing w:line="360" w:lineRule="auto"/>
        <w:ind w:firstLine="482" w:firstLineChars="200"/>
        <w:rPr>
          <w:rFonts w:ascii="宋体" w:hAnsi="宋体" w:cs="宋体"/>
          <w:b/>
          <w:bCs w:val="0"/>
          <w:color w:val="auto"/>
          <w:szCs w:val="21"/>
          <w:highlight w:val="none"/>
        </w:rPr>
      </w:pPr>
      <w:r>
        <w:rPr>
          <w:rFonts w:hint="eastAsia" w:ascii="宋体" w:hAnsi="宋体" w:cs="宋体"/>
          <w:b/>
          <w:bCs w:val="0"/>
          <w:color w:val="auto"/>
          <w:sz w:val="24"/>
          <w:szCs w:val="24"/>
          <w:highlight w:val="none"/>
          <w:lang w:val="en-US" w:eastAsia="zh-CN"/>
        </w:rPr>
        <w:t>8</w:t>
      </w:r>
      <w:r>
        <w:rPr>
          <w:rFonts w:hint="eastAsia" w:ascii="宋体" w:hAnsi="宋体" w:cs="宋体"/>
          <w:b/>
          <w:bCs w:val="0"/>
          <w:color w:val="auto"/>
          <w:sz w:val="24"/>
          <w:szCs w:val="24"/>
          <w:highlight w:val="none"/>
        </w:rPr>
        <w:t>、修复技术方案</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风险评估报告、图纸、工程量清单</w:t>
      </w:r>
      <w:r>
        <w:rPr>
          <w:rFonts w:hint="eastAsia" w:ascii="宋体" w:hAnsi="宋体" w:cs="宋体"/>
          <w:b/>
          <w:bCs w:val="0"/>
          <w:color w:val="auto"/>
          <w:sz w:val="24"/>
          <w:szCs w:val="24"/>
          <w:highlight w:val="none"/>
        </w:rPr>
        <w:t>另册提供。</w:t>
      </w:r>
    </w:p>
    <w:p w14:paraId="1FFCC50C">
      <w:pPr>
        <w:keepNext w:val="0"/>
        <w:keepLines w:val="0"/>
        <w:pageBreakBefore w:val="0"/>
        <w:widowControl w:val="0"/>
        <w:wordWrap/>
        <w:topLinePunct w:val="0"/>
        <w:bidi w:val="0"/>
        <w:adjustRightInd w:val="0"/>
        <w:snapToGrid w:val="0"/>
        <w:spacing w:line="360" w:lineRule="auto"/>
        <w:jc w:val="both"/>
        <w:textAlignment w:val="auto"/>
        <w:rPr>
          <w:rFonts w:hint="eastAsia" w:ascii="宋体" w:hAnsi="宋体" w:cs="宋体"/>
          <w:b/>
          <w:color w:val="auto"/>
          <w:sz w:val="24"/>
          <w:szCs w:val="24"/>
          <w:highlight w:val="none"/>
          <w:lang w:val="en-US" w:eastAsia="zh-CN"/>
        </w:rPr>
      </w:pPr>
    </w:p>
    <w:p w14:paraId="0D0843B3">
      <w:pPr>
        <w:rPr>
          <w:color w:val="auto"/>
          <w:highlight w:val="none"/>
        </w:rPr>
      </w:pPr>
    </w:p>
    <w:p w14:paraId="46E3CDA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C3BE614">
      <w:pPr>
        <w:rPr>
          <w:rFonts w:hint="eastAsia" w:ascii="宋体" w:hAnsi="宋体" w:cs="宋体"/>
          <w:b/>
          <w:bCs/>
          <w:color w:val="auto"/>
          <w:sz w:val="24"/>
          <w:szCs w:val="24"/>
          <w:highlight w:val="none"/>
        </w:rPr>
      </w:pPr>
    </w:p>
    <w:p w14:paraId="565AB22D">
      <w:pPr>
        <w:keepNext w:val="0"/>
        <w:keepLines w:val="0"/>
        <w:pageBreakBefore w:val="0"/>
        <w:widowControl w:val="0"/>
        <w:wordWrap/>
        <w:topLinePunct w:val="0"/>
        <w:bidi w:val="0"/>
        <w:adjustRightInd w:val="0"/>
        <w:snapToGrid w:val="0"/>
        <w:spacing w:line="360" w:lineRule="auto"/>
        <w:jc w:val="both"/>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二、商务需求</w:t>
      </w:r>
    </w:p>
    <w:tbl>
      <w:tblPr>
        <w:tblStyle w:val="64"/>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51"/>
        <w:gridCol w:w="1515"/>
        <w:gridCol w:w="6814"/>
      </w:tblGrid>
      <w:tr w14:paraId="0F5F9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2" w:type="pct"/>
            <w:tcBorders>
              <w:tl2br w:val="nil"/>
              <w:tr2bl w:val="nil"/>
            </w:tcBorders>
            <w:vAlign w:val="center"/>
          </w:tcPr>
          <w:p w14:paraId="0FF87DA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序号</w:t>
            </w:r>
          </w:p>
        </w:tc>
        <w:tc>
          <w:tcPr>
            <w:tcW w:w="816" w:type="pct"/>
            <w:tcBorders>
              <w:tl2br w:val="nil"/>
              <w:tr2bl w:val="nil"/>
            </w:tcBorders>
            <w:vAlign w:val="center"/>
          </w:tcPr>
          <w:p w14:paraId="5C9194E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w:t>
            </w:r>
          </w:p>
        </w:tc>
        <w:tc>
          <w:tcPr>
            <w:tcW w:w="3670" w:type="pct"/>
            <w:tcBorders>
              <w:tl2br w:val="nil"/>
              <w:tr2bl w:val="nil"/>
            </w:tcBorders>
            <w:vAlign w:val="center"/>
          </w:tcPr>
          <w:p w14:paraId="50F74B89">
            <w:pPr>
              <w:keepNext w:val="0"/>
              <w:keepLines w:val="0"/>
              <w:suppressLineNumbers w:val="0"/>
              <w:spacing w:before="0" w:beforeAutospacing="0" w:after="0" w:afterAutospacing="0" w:line="400" w:lineRule="exact"/>
              <w:ind w:left="0" w:right="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具体要求</w:t>
            </w:r>
          </w:p>
        </w:tc>
      </w:tr>
      <w:tr w14:paraId="7D9A5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2" w:type="pct"/>
            <w:tcBorders>
              <w:tl2br w:val="nil"/>
              <w:tr2bl w:val="nil"/>
            </w:tcBorders>
            <w:vAlign w:val="center"/>
          </w:tcPr>
          <w:p w14:paraId="711E926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16" w:type="pct"/>
            <w:tcBorders>
              <w:tl2br w:val="nil"/>
              <w:tr2bl w:val="nil"/>
            </w:tcBorders>
            <w:vAlign w:val="center"/>
          </w:tcPr>
          <w:p w14:paraId="2A37ABC7">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3670" w:type="pct"/>
            <w:tcBorders>
              <w:tl2br w:val="nil"/>
              <w:tr2bl w:val="nil"/>
            </w:tcBorders>
            <w:shd w:val="clear" w:color="auto" w:fill="auto"/>
            <w:vAlign w:val="center"/>
          </w:tcPr>
          <w:p w14:paraId="5FCBDE2B">
            <w:pPr>
              <w:keepNext w:val="0"/>
              <w:keepLines w:val="0"/>
              <w:suppressLineNumbers w:val="0"/>
              <w:spacing w:before="0" w:beforeAutospacing="0" w:after="0" w:afterAutospacing="0" w:line="360" w:lineRule="auto"/>
              <w:ind w:left="0" w:right="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180日历天，其中施工准备阶段至污染土壤清挖、转运和处置阶段需在150日历天内完工。（时间自开工报告载明的开工之日起，至土壤及地下水达到修复目标值并通过项目验收会止）。</w:t>
            </w:r>
          </w:p>
        </w:tc>
      </w:tr>
      <w:tr w14:paraId="3F6127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2" w:type="pct"/>
            <w:tcBorders>
              <w:tl2br w:val="nil"/>
              <w:tr2bl w:val="nil"/>
            </w:tcBorders>
            <w:vAlign w:val="center"/>
          </w:tcPr>
          <w:p w14:paraId="0A98510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b w:val="0"/>
                <w:bCs w:val="0"/>
                <w:color w:val="auto"/>
                <w:szCs w:val="21"/>
                <w:highlight w:val="none"/>
              </w:rPr>
              <w:t>★</w:t>
            </w:r>
            <w:r>
              <w:rPr>
                <w:rFonts w:hint="eastAsia" w:ascii="宋体" w:hAnsi="宋体" w:cs="宋体"/>
                <w:color w:val="auto"/>
                <w:szCs w:val="21"/>
                <w:highlight w:val="none"/>
                <w:lang w:val="en-US" w:eastAsia="zh-CN"/>
              </w:rPr>
              <w:t>2</w:t>
            </w:r>
          </w:p>
        </w:tc>
        <w:tc>
          <w:tcPr>
            <w:tcW w:w="816" w:type="pct"/>
            <w:tcBorders>
              <w:tl2br w:val="nil"/>
              <w:tr2bl w:val="nil"/>
            </w:tcBorders>
            <w:vAlign w:val="center"/>
          </w:tcPr>
          <w:p w14:paraId="620861EB">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3670" w:type="pct"/>
            <w:tcBorders>
              <w:tl2br w:val="nil"/>
              <w:tr2bl w:val="nil"/>
            </w:tcBorders>
            <w:vAlign w:val="center"/>
          </w:tcPr>
          <w:p w14:paraId="1BB38B72">
            <w:pPr>
              <w:keepNext w:val="0"/>
              <w:keepLines w:val="0"/>
              <w:suppressLineNumbers w:val="0"/>
              <w:spacing w:before="0" w:beforeAutospacing="0" w:after="0" w:afterAutospacing="0" w:line="400" w:lineRule="exact"/>
              <w:ind w:left="0" w:right="0"/>
              <w:rPr>
                <w:rFonts w:hint="eastAsia" w:ascii="宋体" w:hAnsi="宋体"/>
                <w:color w:val="auto"/>
                <w:szCs w:val="21"/>
                <w:highlight w:val="none"/>
              </w:rPr>
            </w:pPr>
            <w:r>
              <w:rPr>
                <w:rFonts w:hint="eastAsia" w:ascii="宋体" w:hAnsi="宋体"/>
                <w:color w:val="auto"/>
                <w:szCs w:val="21"/>
                <w:highlight w:val="none"/>
              </w:rPr>
              <w:t>①合同生效后且具备实施条件后7个工作日内，采购人支付合同价款的40%。</w:t>
            </w:r>
          </w:p>
          <w:p w14:paraId="05629DEB">
            <w:pPr>
              <w:keepNext w:val="0"/>
              <w:keepLines w:val="0"/>
              <w:suppressLineNumbers w:val="0"/>
              <w:spacing w:before="0" w:beforeAutospacing="0" w:after="0" w:afterAutospacing="0" w:line="400" w:lineRule="exact"/>
              <w:ind w:left="0" w:right="0"/>
              <w:rPr>
                <w:rFonts w:hint="eastAsia" w:ascii="宋体" w:hAnsi="宋体"/>
                <w:color w:val="auto"/>
                <w:szCs w:val="21"/>
                <w:highlight w:val="none"/>
              </w:rPr>
            </w:pPr>
            <w:r>
              <w:rPr>
                <w:rFonts w:hint="eastAsia" w:ascii="宋体" w:hAnsi="宋体"/>
                <w:color w:val="auto"/>
                <w:szCs w:val="21"/>
                <w:highlight w:val="none"/>
              </w:rPr>
              <w:t>②</w:t>
            </w:r>
            <w:r>
              <w:rPr>
                <w:rFonts w:hint="eastAsia" w:ascii="宋体" w:hAnsi="宋体"/>
                <w:color w:val="auto"/>
                <w:szCs w:val="21"/>
                <w:highlight w:val="none"/>
                <w:lang w:val="en-US" w:eastAsia="zh-CN"/>
              </w:rPr>
              <w:t>污染土壤处置完成并通过效果评估，经</w:t>
            </w:r>
            <w:r>
              <w:rPr>
                <w:rFonts w:hint="eastAsia" w:ascii="宋体" w:hAnsi="宋体"/>
                <w:color w:val="auto"/>
                <w:szCs w:val="21"/>
                <w:highlight w:val="none"/>
              </w:rPr>
              <w:t>监理工程师确认</w:t>
            </w:r>
            <w:r>
              <w:rPr>
                <w:rFonts w:hint="eastAsia" w:ascii="宋体" w:hAnsi="宋体"/>
                <w:color w:val="auto"/>
                <w:szCs w:val="21"/>
                <w:highlight w:val="none"/>
                <w:lang w:eastAsia="zh-CN"/>
              </w:rPr>
              <w:t>，</w:t>
            </w:r>
            <w:r>
              <w:rPr>
                <w:rFonts w:hint="eastAsia" w:ascii="宋体" w:hAnsi="宋体"/>
                <w:color w:val="auto"/>
                <w:szCs w:val="21"/>
                <w:highlight w:val="none"/>
              </w:rPr>
              <w:t>采购人代表审核无误后</w:t>
            </w:r>
            <w:r>
              <w:rPr>
                <w:rFonts w:hint="eastAsia" w:ascii="宋体" w:hAnsi="宋体"/>
                <w:color w:val="auto"/>
                <w:szCs w:val="21"/>
                <w:highlight w:val="none"/>
                <w:lang w:eastAsia="zh-CN"/>
              </w:rPr>
              <w:t>，</w:t>
            </w:r>
            <w:r>
              <w:rPr>
                <w:rFonts w:hint="eastAsia" w:ascii="宋体" w:hAnsi="宋体"/>
                <w:color w:val="auto"/>
                <w:szCs w:val="21"/>
                <w:highlight w:val="none"/>
              </w:rPr>
              <w:t>由采购人支付至合同价款的</w:t>
            </w:r>
            <w:r>
              <w:rPr>
                <w:rFonts w:hint="eastAsia" w:ascii="宋体" w:hAnsi="宋体"/>
                <w:color w:val="auto"/>
                <w:szCs w:val="21"/>
                <w:highlight w:val="none"/>
                <w:lang w:val="en-US" w:eastAsia="zh-CN"/>
              </w:rPr>
              <w:t>80</w:t>
            </w:r>
            <w:r>
              <w:rPr>
                <w:rFonts w:hint="eastAsia" w:ascii="宋体" w:hAnsi="宋体"/>
                <w:color w:val="auto"/>
                <w:szCs w:val="21"/>
                <w:highlight w:val="none"/>
              </w:rPr>
              <w:t>%；</w:t>
            </w:r>
          </w:p>
          <w:p w14:paraId="7E526CB9">
            <w:pPr>
              <w:keepNext w:val="0"/>
              <w:keepLines w:val="0"/>
              <w:suppressLineNumbers w:val="0"/>
              <w:spacing w:before="0" w:beforeAutospacing="0" w:after="0" w:afterAutospacing="0" w:line="400" w:lineRule="exact"/>
              <w:ind w:left="0" w:right="0"/>
              <w:rPr>
                <w:rFonts w:hint="eastAsia" w:ascii="宋体" w:hAnsi="宋体"/>
                <w:color w:val="auto"/>
                <w:szCs w:val="21"/>
                <w:highlight w:val="none"/>
              </w:rPr>
            </w:pPr>
            <w:r>
              <w:rPr>
                <w:rFonts w:hint="eastAsia" w:ascii="宋体" w:hAnsi="宋体"/>
                <w:color w:val="auto"/>
                <w:szCs w:val="21"/>
                <w:highlight w:val="none"/>
              </w:rPr>
              <w:t>③完成结算审核后且采购人收到承包人开具的全额增值税发票后支付至合同价款的98.5%，余款在地块移出建设用地土壤污染风险管控和修复名录后支付。</w:t>
            </w:r>
          </w:p>
          <w:p w14:paraId="4A263E70">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每次采购人在向承包人支付工程款前，承包人应向采购人提供经采购人财务认可的同等数额增值税发票。如遇国家税率政策发生变化，以不含税价不变为原则，增值税按国家税率政策调整。</w:t>
            </w:r>
          </w:p>
        </w:tc>
      </w:tr>
      <w:tr w14:paraId="2FADB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2" w:type="pct"/>
            <w:tcBorders>
              <w:tl2br w:val="nil"/>
              <w:tr2bl w:val="nil"/>
            </w:tcBorders>
            <w:vAlign w:val="center"/>
          </w:tcPr>
          <w:p w14:paraId="7660904C">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p>
        </w:tc>
        <w:tc>
          <w:tcPr>
            <w:tcW w:w="1515" w:type="dxa"/>
            <w:tcBorders>
              <w:tl2br w:val="nil"/>
              <w:tr2bl w:val="nil"/>
            </w:tcBorders>
            <w:vAlign w:val="center"/>
          </w:tcPr>
          <w:p w14:paraId="7AA9EAE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预付款担保</w:t>
            </w:r>
          </w:p>
        </w:tc>
        <w:tc>
          <w:tcPr>
            <w:tcW w:w="6814" w:type="dxa"/>
            <w:tcBorders>
              <w:tl2br w:val="nil"/>
              <w:tr2bl w:val="nil"/>
            </w:tcBorders>
            <w:vAlign w:val="center"/>
          </w:tcPr>
          <w:p w14:paraId="60D03F9F">
            <w:pPr>
              <w:pStyle w:val="19"/>
              <w:widowControl/>
              <w:spacing w:line="360" w:lineRule="auto"/>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rPr>
              <w:t>预付款担保</w:t>
            </w:r>
          </w:p>
          <w:p w14:paraId="056ED9C5">
            <w:pPr>
              <w:pStyle w:val="19"/>
              <w:widowControl/>
              <w:spacing w:line="360" w:lineRule="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①</w:t>
            </w:r>
            <w:r>
              <w:rPr>
                <w:rFonts w:hint="eastAsia" w:ascii="宋体" w:hAnsi="宋体" w:eastAsia="宋体" w:cs="宋体"/>
                <w:color w:val="auto"/>
                <w:kern w:val="2"/>
                <w:sz w:val="21"/>
                <w:szCs w:val="21"/>
                <w:highlight w:val="none"/>
              </w:rPr>
              <w:t>预付款担保金额：同预付款相等金额；</w:t>
            </w:r>
          </w:p>
          <w:p w14:paraId="5B5F071F">
            <w:pPr>
              <w:pStyle w:val="19"/>
              <w:widowControl/>
              <w:spacing w:line="360" w:lineRule="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②</w:t>
            </w:r>
            <w:r>
              <w:rPr>
                <w:rFonts w:hint="eastAsia" w:ascii="宋体" w:hAnsi="宋体" w:eastAsia="宋体" w:cs="宋体"/>
                <w:color w:val="auto"/>
                <w:kern w:val="2"/>
                <w:sz w:val="21"/>
                <w:szCs w:val="21"/>
                <w:highlight w:val="none"/>
              </w:rPr>
              <w:t>预付款担保形式：银行或保险公司出具的保函；</w:t>
            </w:r>
          </w:p>
          <w:p w14:paraId="74D87486">
            <w:pPr>
              <w:pStyle w:val="19"/>
              <w:widowControl/>
              <w:spacing w:line="360" w:lineRule="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③</w:t>
            </w:r>
            <w:r>
              <w:rPr>
                <w:rFonts w:hint="eastAsia" w:ascii="宋体" w:hAnsi="宋体" w:eastAsia="宋体" w:cs="宋体"/>
                <w:color w:val="auto"/>
                <w:kern w:val="2"/>
                <w:sz w:val="21"/>
                <w:szCs w:val="21"/>
                <w:highlight w:val="none"/>
              </w:rPr>
              <w:t>预付款担保提交时间：合同生效以及具备实施条件后</w:t>
            </w:r>
            <w:r>
              <w:rPr>
                <w:rFonts w:hint="default" w:ascii="Times New Roman" w:hAnsi="Times New Roman" w:eastAsia="宋体" w:cs="Times New Roman"/>
                <w:color w:val="auto"/>
                <w:kern w:val="2"/>
                <w:sz w:val="21"/>
                <w:szCs w:val="21"/>
                <w:highlight w:val="none"/>
              </w:rPr>
              <w:t>7</w:t>
            </w:r>
            <w:r>
              <w:rPr>
                <w:rFonts w:hint="eastAsia" w:ascii="宋体" w:hAnsi="宋体" w:eastAsia="宋体" w:cs="宋体"/>
                <w:color w:val="auto"/>
                <w:kern w:val="2"/>
                <w:sz w:val="21"/>
                <w:szCs w:val="21"/>
                <w:highlight w:val="none"/>
              </w:rPr>
              <w:t>个工作日内；</w:t>
            </w:r>
          </w:p>
          <w:p w14:paraId="46825DDF">
            <w:pPr>
              <w:pStyle w:val="19"/>
              <w:widowControl/>
              <w:spacing w:line="360" w:lineRule="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④</w:t>
            </w:r>
            <w:r>
              <w:rPr>
                <w:rFonts w:hint="eastAsia" w:ascii="宋体" w:hAnsi="宋体" w:eastAsia="宋体" w:cs="宋体"/>
                <w:color w:val="auto"/>
                <w:kern w:val="2"/>
                <w:sz w:val="21"/>
                <w:szCs w:val="21"/>
                <w:highlight w:val="none"/>
              </w:rPr>
              <w:t>预付款担保期限：自采购人支付预付款之日至预付款抵扣之日止；</w:t>
            </w:r>
          </w:p>
          <w:p w14:paraId="20D90E34">
            <w:pPr>
              <w:pStyle w:val="19"/>
              <w:widowControl/>
              <w:spacing w:line="360" w:lineRule="auto"/>
              <w:ind w:left="0" w:leftChars="0" w:right="0" w:rightChars="0"/>
              <w:rPr>
                <w:rFonts w:hint="eastAsia" w:ascii="宋体" w:hAnsi="宋体"/>
                <w:color w:val="auto"/>
                <w:szCs w:val="21"/>
                <w:highlight w:val="none"/>
              </w:rPr>
            </w:pPr>
            <w:r>
              <w:rPr>
                <w:rFonts w:hint="default" w:ascii="Times New Roman" w:hAnsi="Times New Roman" w:eastAsia="宋体" w:cs="Times New Roman"/>
                <w:color w:val="auto"/>
                <w:kern w:val="2"/>
                <w:sz w:val="21"/>
                <w:szCs w:val="21"/>
                <w:highlight w:val="none"/>
              </w:rPr>
              <w:t>⑤</w:t>
            </w:r>
            <w:r>
              <w:rPr>
                <w:rFonts w:hint="eastAsia" w:ascii="宋体" w:hAnsi="宋体" w:eastAsia="宋体" w:cs="宋体"/>
                <w:color w:val="auto"/>
                <w:kern w:val="2"/>
                <w:sz w:val="21"/>
                <w:szCs w:val="21"/>
                <w:highlight w:val="none"/>
              </w:rPr>
              <w:t>预付款担保的退还：预付款抵扣后退还预付款担保。</w:t>
            </w:r>
          </w:p>
        </w:tc>
      </w:tr>
      <w:tr w14:paraId="5D515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2" w:type="pct"/>
            <w:tcBorders>
              <w:tl2br w:val="nil"/>
              <w:tr2bl w:val="nil"/>
            </w:tcBorders>
            <w:vAlign w:val="center"/>
          </w:tcPr>
          <w:p w14:paraId="688F6DB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b w:val="0"/>
                <w:bCs w:val="0"/>
                <w:color w:val="auto"/>
                <w:szCs w:val="21"/>
                <w:highlight w:val="none"/>
              </w:rPr>
              <w:t>★</w:t>
            </w:r>
            <w:r>
              <w:rPr>
                <w:rFonts w:hint="eastAsia" w:ascii="宋体" w:hAnsi="宋体" w:cs="宋体"/>
                <w:color w:val="auto"/>
                <w:szCs w:val="21"/>
                <w:highlight w:val="none"/>
                <w:lang w:val="en-US" w:eastAsia="zh-CN"/>
              </w:rPr>
              <w:t>4</w:t>
            </w:r>
          </w:p>
        </w:tc>
        <w:tc>
          <w:tcPr>
            <w:tcW w:w="816" w:type="pct"/>
            <w:tcBorders>
              <w:tl2br w:val="nil"/>
              <w:tr2bl w:val="nil"/>
            </w:tcBorders>
            <w:vAlign w:val="center"/>
          </w:tcPr>
          <w:p w14:paraId="772A0CDD">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3670" w:type="pct"/>
            <w:tcBorders>
              <w:tl2br w:val="nil"/>
              <w:tr2bl w:val="nil"/>
            </w:tcBorders>
          </w:tcPr>
          <w:p w14:paraId="61E61711">
            <w:pPr>
              <w:keepNext w:val="0"/>
              <w:keepLines w:val="0"/>
              <w:suppressLineNumbers w:val="0"/>
              <w:spacing w:before="0" w:beforeAutospacing="0" w:after="0" w:afterAutospacing="0" w:line="400" w:lineRule="exact"/>
              <w:ind w:left="0" w:righ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金额：合同金额的1%。</w:t>
            </w:r>
          </w:p>
          <w:p w14:paraId="5DFE1D6D">
            <w:pPr>
              <w:keepNext w:val="0"/>
              <w:keepLines w:val="0"/>
              <w:suppressLineNumbers w:val="0"/>
              <w:spacing w:before="0" w:beforeAutospacing="0" w:after="0" w:afterAutospacing="0" w:line="40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缴纳形式：</w:t>
            </w:r>
            <w:r>
              <w:rPr>
                <w:rFonts w:hint="eastAsia" w:ascii="宋体" w:hAnsi="宋体"/>
                <w:color w:val="auto"/>
                <w:szCs w:val="21"/>
                <w:highlight w:val="none"/>
              </w:rPr>
              <w:t>电汇、转账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保险公司或银行出具的保函等非现金形式</w:t>
            </w:r>
            <w:r>
              <w:rPr>
                <w:rFonts w:hint="eastAsia" w:ascii="宋体" w:hAnsi="宋体"/>
                <w:color w:val="auto"/>
                <w:szCs w:val="21"/>
                <w:highlight w:val="none"/>
              </w:rPr>
              <w:t>。</w:t>
            </w:r>
          </w:p>
          <w:p w14:paraId="71A0F539">
            <w:pPr>
              <w:keepNext w:val="0"/>
              <w:keepLines w:val="0"/>
              <w:suppressLineNumbers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lang w:val="en-US" w:eastAsia="zh-CN"/>
              </w:rPr>
              <w:t>履约保证金的缴纳及退还：在签订合同后支付给采购人，在服务期满后退还（除违反招标文件中规定的供应商应尽的义务造成履约保证金被罚没的情况外）。</w:t>
            </w:r>
          </w:p>
        </w:tc>
      </w:tr>
      <w:tr w14:paraId="417AA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2" w:type="pct"/>
            <w:tcBorders>
              <w:tl2br w:val="nil"/>
              <w:tr2bl w:val="nil"/>
            </w:tcBorders>
            <w:vAlign w:val="center"/>
          </w:tcPr>
          <w:p w14:paraId="2DACFC1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16" w:type="pct"/>
            <w:tcBorders>
              <w:tl2br w:val="nil"/>
              <w:tr2bl w:val="nil"/>
            </w:tcBorders>
            <w:vAlign w:val="center"/>
          </w:tcPr>
          <w:p w14:paraId="2CD2D425">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合同终止</w:t>
            </w:r>
          </w:p>
        </w:tc>
        <w:tc>
          <w:tcPr>
            <w:tcW w:w="3670" w:type="pct"/>
            <w:tcBorders>
              <w:tl2br w:val="nil"/>
              <w:tr2bl w:val="nil"/>
            </w:tcBorders>
          </w:tcPr>
          <w:p w14:paraId="1222F7A0">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未能在合同规定的期限（或采购人同意延长的最终期限）内完成采购人要求的服务的；</w:t>
            </w:r>
          </w:p>
          <w:p w14:paraId="26919DB2">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未能履行合同规定的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义务。</w:t>
            </w:r>
          </w:p>
        </w:tc>
      </w:tr>
    </w:tbl>
    <w:p w14:paraId="0F840C61">
      <w:pPr>
        <w:pStyle w:val="23"/>
        <w:rPr>
          <w:rFonts w:hint="eastAsia"/>
          <w:color w:val="auto"/>
          <w:highlight w:val="none"/>
        </w:rPr>
      </w:pPr>
    </w:p>
    <w:p w14:paraId="1FC92066">
      <w:pPr>
        <w:rPr>
          <w:rFonts w:hint="eastAsia" w:ascii="宋体" w:hAnsi="宋体" w:cs="宋体"/>
          <w:b/>
          <w:color w:val="auto"/>
          <w:sz w:val="36"/>
          <w:szCs w:val="36"/>
          <w:highlight w:val="none"/>
        </w:rPr>
      </w:pPr>
    </w:p>
    <w:p w14:paraId="3667E7CA">
      <w:pPr>
        <w:spacing w:line="360" w:lineRule="auto"/>
        <w:jc w:val="center"/>
        <w:outlineLvl w:val="9"/>
        <w:rPr>
          <w:rFonts w:hint="eastAsia" w:ascii="宋体" w:hAnsi="宋体" w:cs="宋体"/>
          <w:b/>
          <w:color w:val="auto"/>
          <w:sz w:val="36"/>
          <w:szCs w:val="36"/>
          <w:highlight w:val="none"/>
        </w:rPr>
      </w:pPr>
      <w:bookmarkStart w:id="67" w:name="_Toc1575"/>
      <w:bookmarkStart w:id="68" w:name="_Toc496"/>
    </w:p>
    <w:p w14:paraId="74B34D02">
      <w:pPr>
        <w:spacing w:line="360" w:lineRule="auto"/>
        <w:jc w:val="center"/>
        <w:outlineLvl w:val="9"/>
        <w:rPr>
          <w:rFonts w:hint="eastAsia" w:ascii="宋体" w:hAnsi="宋体" w:cs="宋体"/>
          <w:b/>
          <w:color w:val="auto"/>
          <w:sz w:val="36"/>
          <w:szCs w:val="36"/>
          <w:highlight w:val="none"/>
        </w:rPr>
      </w:pPr>
    </w:p>
    <w:p w14:paraId="24BEF31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9" w:name="_Toc184312134"/>
      <w:bookmarkEnd w:id="69"/>
      <w:bookmarkStart w:id="70" w:name="_Toc184310332"/>
      <w:bookmarkEnd w:id="70"/>
      <w:bookmarkStart w:id="71" w:name="_Toc184310325"/>
      <w:bookmarkEnd w:id="71"/>
      <w:bookmarkStart w:id="72" w:name="_Toc184310320"/>
      <w:bookmarkEnd w:id="72"/>
      <w:bookmarkStart w:id="73" w:name="_Toc184310331"/>
      <w:bookmarkEnd w:id="73"/>
      <w:bookmarkStart w:id="74" w:name="_Toc184313262"/>
      <w:bookmarkEnd w:id="74"/>
      <w:bookmarkStart w:id="75" w:name="_Toc184314433"/>
      <w:bookmarkEnd w:id="75"/>
      <w:bookmarkStart w:id="76" w:name="_Toc184314429"/>
      <w:bookmarkEnd w:id="76"/>
      <w:bookmarkStart w:id="77" w:name="_Toc184313282"/>
      <w:bookmarkEnd w:id="77"/>
      <w:bookmarkStart w:id="78" w:name="_Toc184314460"/>
      <w:bookmarkEnd w:id="78"/>
      <w:bookmarkStart w:id="79" w:name="_Toc184312136"/>
      <w:bookmarkEnd w:id="79"/>
      <w:bookmarkStart w:id="80" w:name="_Toc184310307"/>
      <w:bookmarkEnd w:id="80"/>
      <w:bookmarkStart w:id="81" w:name="_Toc184310338"/>
      <w:bookmarkEnd w:id="81"/>
      <w:bookmarkStart w:id="82" w:name="_Toc184313307"/>
      <w:bookmarkEnd w:id="82"/>
      <w:bookmarkStart w:id="83" w:name="_Toc184312098"/>
      <w:bookmarkEnd w:id="83"/>
      <w:bookmarkStart w:id="84" w:name="_Toc184313288"/>
      <w:bookmarkEnd w:id="84"/>
      <w:bookmarkStart w:id="85" w:name="_Toc184312129"/>
      <w:bookmarkEnd w:id="85"/>
      <w:bookmarkStart w:id="86" w:name="_Toc184312104"/>
      <w:bookmarkEnd w:id="86"/>
      <w:bookmarkStart w:id="87" w:name="_Toc184308075"/>
      <w:bookmarkEnd w:id="87"/>
      <w:bookmarkStart w:id="88" w:name="_Toc184310312"/>
      <w:bookmarkEnd w:id="88"/>
      <w:bookmarkStart w:id="89" w:name="_Toc184313271"/>
      <w:bookmarkEnd w:id="89"/>
      <w:bookmarkStart w:id="90" w:name="_Toc184310343"/>
      <w:bookmarkEnd w:id="90"/>
      <w:bookmarkStart w:id="91" w:name="_Toc184310317"/>
      <w:bookmarkEnd w:id="91"/>
      <w:bookmarkStart w:id="92" w:name="_Toc184314450"/>
      <w:bookmarkEnd w:id="92"/>
      <w:bookmarkStart w:id="93" w:name="_Toc184310315"/>
      <w:bookmarkEnd w:id="93"/>
      <w:bookmarkStart w:id="94" w:name="_Toc184310298"/>
      <w:bookmarkEnd w:id="94"/>
      <w:bookmarkStart w:id="95" w:name="_Toc184313285"/>
      <w:bookmarkEnd w:id="95"/>
      <w:bookmarkStart w:id="96" w:name="_Toc184314464"/>
      <w:bookmarkEnd w:id="96"/>
      <w:bookmarkStart w:id="97" w:name="_Toc184313298"/>
      <w:bookmarkEnd w:id="97"/>
      <w:bookmarkStart w:id="98" w:name="_Toc184313267"/>
      <w:bookmarkEnd w:id="98"/>
      <w:bookmarkStart w:id="99" w:name="_Toc184314457"/>
      <w:bookmarkEnd w:id="99"/>
      <w:bookmarkStart w:id="100" w:name="_Toc184308058"/>
      <w:bookmarkEnd w:id="100"/>
      <w:bookmarkStart w:id="101" w:name="_Toc184308045"/>
      <w:bookmarkEnd w:id="101"/>
      <w:bookmarkStart w:id="102" w:name="_Toc184308090"/>
      <w:bookmarkEnd w:id="102"/>
      <w:bookmarkStart w:id="103" w:name="_Toc184312100"/>
      <w:bookmarkEnd w:id="103"/>
      <w:bookmarkStart w:id="104" w:name="_Toc184312127"/>
      <w:bookmarkEnd w:id="104"/>
      <w:bookmarkStart w:id="105" w:name="_Toc184310294"/>
      <w:bookmarkEnd w:id="105"/>
      <w:bookmarkStart w:id="106" w:name="_Toc184308071"/>
      <w:bookmarkEnd w:id="106"/>
      <w:bookmarkStart w:id="107" w:name="_Toc184313301"/>
      <w:bookmarkEnd w:id="107"/>
      <w:bookmarkStart w:id="108" w:name="_Toc184312078"/>
      <w:bookmarkEnd w:id="108"/>
      <w:bookmarkStart w:id="109" w:name="_Toc184313310"/>
      <w:bookmarkEnd w:id="109"/>
      <w:bookmarkStart w:id="110" w:name="_Toc184314413"/>
      <w:bookmarkEnd w:id="110"/>
      <w:bookmarkStart w:id="111" w:name="_Toc184310301"/>
      <w:bookmarkEnd w:id="111"/>
      <w:bookmarkStart w:id="112" w:name="_Toc184312087"/>
      <w:bookmarkEnd w:id="112"/>
      <w:bookmarkStart w:id="113" w:name="_Toc184312121"/>
      <w:bookmarkEnd w:id="113"/>
      <w:bookmarkStart w:id="114" w:name="_Toc184313278"/>
      <w:bookmarkEnd w:id="114"/>
      <w:bookmarkStart w:id="115" w:name="_Toc184313246"/>
      <w:bookmarkEnd w:id="115"/>
      <w:bookmarkStart w:id="116" w:name="_Toc184313263"/>
      <w:bookmarkEnd w:id="116"/>
      <w:bookmarkStart w:id="117" w:name="_Toc184308089"/>
      <w:bookmarkEnd w:id="117"/>
      <w:bookmarkStart w:id="118" w:name="_Toc184312094"/>
      <w:bookmarkEnd w:id="118"/>
      <w:bookmarkStart w:id="119" w:name="_Toc184313248"/>
      <w:bookmarkEnd w:id="119"/>
      <w:bookmarkStart w:id="120" w:name="_Toc184308107"/>
      <w:bookmarkEnd w:id="120"/>
      <w:bookmarkStart w:id="121" w:name="_Toc184310304"/>
      <w:bookmarkEnd w:id="121"/>
      <w:bookmarkStart w:id="122" w:name="_Toc184310309"/>
      <w:bookmarkEnd w:id="122"/>
      <w:bookmarkStart w:id="123" w:name="_Toc184313300"/>
      <w:bookmarkEnd w:id="123"/>
      <w:bookmarkStart w:id="124" w:name="_Toc184312067"/>
      <w:bookmarkEnd w:id="124"/>
      <w:bookmarkStart w:id="125" w:name="_Toc184314442"/>
      <w:bookmarkEnd w:id="125"/>
      <w:bookmarkStart w:id="126" w:name="_Toc184310291"/>
      <w:bookmarkEnd w:id="126"/>
      <w:bookmarkStart w:id="127" w:name="_Toc184312113"/>
      <w:bookmarkEnd w:id="127"/>
      <w:bookmarkStart w:id="128" w:name="_Toc184310337"/>
      <w:bookmarkEnd w:id="128"/>
      <w:bookmarkStart w:id="129" w:name="_Toc184312074"/>
      <w:bookmarkEnd w:id="129"/>
      <w:bookmarkStart w:id="130" w:name="_Toc184313289"/>
      <w:bookmarkEnd w:id="130"/>
      <w:bookmarkStart w:id="131" w:name="_Toc184308061"/>
      <w:bookmarkEnd w:id="131"/>
      <w:bookmarkStart w:id="132" w:name="_Toc184312125"/>
      <w:bookmarkEnd w:id="132"/>
      <w:bookmarkStart w:id="133" w:name="_Toc184313299"/>
      <w:bookmarkEnd w:id="133"/>
      <w:bookmarkStart w:id="134" w:name="_Toc184308082"/>
      <w:bookmarkEnd w:id="134"/>
      <w:bookmarkStart w:id="135" w:name="_Toc184310342"/>
      <w:bookmarkEnd w:id="135"/>
      <w:bookmarkStart w:id="136" w:name="_Toc184310281"/>
      <w:bookmarkEnd w:id="136"/>
      <w:bookmarkStart w:id="137" w:name="_Toc184312114"/>
      <w:bookmarkEnd w:id="137"/>
      <w:bookmarkStart w:id="138" w:name="_Toc184310289"/>
      <w:bookmarkEnd w:id="138"/>
      <w:bookmarkStart w:id="139" w:name="_Toc184314421"/>
      <w:bookmarkEnd w:id="139"/>
      <w:bookmarkStart w:id="140" w:name="_Toc184310323"/>
      <w:bookmarkEnd w:id="140"/>
      <w:bookmarkStart w:id="141" w:name="_Toc184313264"/>
      <w:bookmarkEnd w:id="141"/>
      <w:bookmarkStart w:id="142" w:name="_Toc184312139"/>
      <w:bookmarkEnd w:id="142"/>
      <w:bookmarkStart w:id="143" w:name="_Toc184308078"/>
      <w:bookmarkEnd w:id="143"/>
      <w:bookmarkStart w:id="144" w:name="_Toc184308086"/>
      <w:bookmarkEnd w:id="144"/>
      <w:bookmarkStart w:id="145" w:name="_Toc184310290"/>
      <w:bookmarkEnd w:id="145"/>
      <w:bookmarkStart w:id="146" w:name="_Toc184308039"/>
      <w:bookmarkEnd w:id="146"/>
      <w:bookmarkStart w:id="147" w:name="_Toc184312068"/>
      <w:bookmarkEnd w:id="147"/>
      <w:bookmarkStart w:id="148" w:name="_Toc184312073"/>
      <w:bookmarkEnd w:id="148"/>
      <w:bookmarkStart w:id="149" w:name="_Toc184313304"/>
      <w:bookmarkEnd w:id="149"/>
      <w:bookmarkStart w:id="150" w:name="_Toc184314470"/>
      <w:bookmarkEnd w:id="150"/>
      <w:bookmarkStart w:id="151" w:name="_Toc184314471"/>
      <w:bookmarkEnd w:id="151"/>
      <w:bookmarkStart w:id="152" w:name="_Toc184310299"/>
      <w:bookmarkEnd w:id="152"/>
      <w:bookmarkStart w:id="153" w:name="_Toc184313239"/>
      <w:bookmarkEnd w:id="153"/>
      <w:bookmarkStart w:id="154" w:name="_Toc184308094"/>
      <w:bookmarkEnd w:id="154"/>
      <w:bookmarkStart w:id="155" w:name="_Toc184308099"/>
      <w:bookmarkEnd w:id="155"/>
      <w:bookmarkStart w:id="156" w:name="_Toc184312080"/>
      <w:bookmarkEnd w:id="156"/>
      <w:bookmarkStart w:id="157" w:name="_Toc184313260"/>
      <w:bookmarkEnd w:id="157"/>
      <w:bookmarkStart w:id="158" w:name="_Toc184312120"/>
      <w:bookmarkEnd w:id="158"/>
      <w:bookmarkStart w:id="159" w:name="_Toc184314482"/>
      <w:bookmarkEnd w:id="159"/>
      <w:bookmarkStart w:id="160" w:name="_Toc184308054"/>
      <w:bookmarkEnd w:id="160"/>
      <w:bookmarkStart w:id="161" w:name="_Toc184312069"/>
      <w:bookmarkEnd w:id="161"/>
      <w:bookmarkStart w:id="162" w:name="_Toc184314479"/>
      <w:bookmarkEnd w:id="162"/>
      <w:bookmarkStart w:id="163" w:name="_Toc184314453"/>
      <w:bookmarkEnd w:id="163"/>
      <w:bookmarkStart w:id="164" w:name="_Toc184308060"/>
      <w:bookmarkEnd w:id="164"/>
      <w:bookmarkStart w:id="165" w:name="_Toc184308055"/>
      <w:bookmarkEnd w:id="165"/>
      <w:bookmarkStart w:id="166" w:name="_Toc184312119"/>
      <w:bookmarkEnd w:id="166"/>
      <w:bookmarkStart w:id="167" w:name="_Toc184313284"/>
      <w:bookmarkEnd w:id="167"/>
      <w:bookmarkStart w:id="168" w:name="_Toc184308091"/>
      <w:bookmarkEnd w:id="168"/>
      <w:bookmarkStart w:id="169" w:name="_Toc184310316"/>
      <w:bookmarkEnd w:id="169"/>
      <w:bookmarkStart w:id="170" w:name="_Toc184312071"/>
      <w:bookmarkEnd w:id="170"/>
      <w:bookmarkStart w:id="171" w:name="_Toc184312107"/>
      <w:bookmarkEnd w:id="171"/>
      <w:bookmarkStart w:id="172" w:name="_Toc184314436"/>
      <w:bookmarkEnd w:id="172"/>
      <w:bookmarkStart w:id="173" w:name="_Toc184310310"/>
      <w:bookmarkEnd w:id="173"/>
      <w:bookmarkStart w:id="174" w:name="_Toc184312086"/>
      <w:bookmarkEnd w:id="174"/>
      <w:bookmarkStart w:id="175" w:name="_Toc184308037"/>
      <w:bookmarkEnd w:id="175"/>
      <w:bookmarkStart w:id="176" w:name="_Toc184313261"/>
      <w:bookmarkEnd w:id="176"/>
      <w:bookmarkStart w:id="177" w:name="_Toc184314446"/>
      <w:bookmarkEnd w:id="177"/>
      <w:bookmarkStart w:id="178" w:name="_Toc184313244"/>
      <w:bookmarkEnd w:id="178"/>
      <w:bookmarkStart w:id="179" w:name="_Toc184313254"/>
      <w:bookmarkEnd w:id="179"/>
      <w:bookmarkStart w:id="180" w:name="_Toc184308101"/>
      <w:bookmarkEnd w:id="180"/>
      <w:bookmarkStart w:id="181" w:name="_Toc184308081"/>
      <w:bookmarkEnd w:id="181"/>
      <w:bookmarkStart w:id="182" w:name="_Toc184308096"/>
      <w:bookmarkEnd w:id="182"/>
      <w:bookmarkStart w:id="183" w:name="_Toc184314473"/>
      <w:bookmarkEnd w:id="183"/>
      <w:bookmarkStart w:id="184" w:name="_Toc184314462"/>
      <w:bookmarkEnd w:id="184"/>
      <w:bookmarkStart w:id="185" w:name="_Toc184310286"/>
      <w:bookmarkEnd w:id="185"/>
      <w:bookmarkStart w:id="186" w:name="_Toc184313255"/>
      <w:bookmarkEnd w:id="186"/>
      <w:bookmarkStart w:id="187" w:name="_Toc184314410"/>
      <w:bookmarkEnd w:id="187"/>
      <w:bookmarkStart w:id="188" w:name="_Toc184310322"/>
      <w:bookmarkEnd w:id="188"/>
      <w:bookmarkStart w:id="189" w:name="_Toc184308051"/>
      <w:bookmarkEnd w:id="189"/>
      <w:bookmarkStart w:id="190" w:name="_Toc184310292"/>
      <w:bookmarkEnd w:id="190"/>
      <w:bookmarkStart w:id="191" w:name="_Toc184313286"/>
      <w:bookmarkEnd w:id="191"/>
      <w:bookmarkStart w:id="192" w:name="_Toc184308097"/>
      <w:bookmarkEnd w:id="192"/>
      <w:bookmarkStart w:id="193" w:name="_Toc184314469"/>
      <w:bookmarkEnd w:id="193"/>
      <w:bookmarkStart w:id="194" w:name="_Toc184314458"/>
      <w:bookmarkEnd w:id="194"/>
      <w:bookmarkStart w:id="195" w:name="_Toc184308056"/>
      <w:bookmarkEnd w:id="195"/>
      <w:bookmarkStart w:id="196" w:name="_Toc184314443"/>
      <w:bookmarkEnd w:id="196"/>
      <w:bookmarkStart w:id="197" w:name="_Toc184314459"/>
      <w:bookmarkEnd w:id="197"/>
      <w:bookmarkStart w:id="198" w:name="_Toc184313293"/>
      <w:bookmarkEnd w:id="198"/>
      <w:bookmarkStart w:id="199" w:name="_Toc184308067"/>
      <w:bookmarkEnd w:id="199"/>
      <w:bookmarkStart w:id="200" w:name="_Toc184312137"/>
      <w:bookmarkEnd w:id="200"/>
      <w:bookmarkStart w:id="201" w:name="_Toc184312106"/>
      <w:bookmarkEnd w:id="201"/>
      <w:bookmarkStart w:id="202" w:name="_Toc184313309"/>
      <w:bookmarkEnd w:id="202"/>
      <w:bookmarkStart w:id="203" w:name="_Toc184314431"/>
      <w:bookmarkEnd w:id="203"/>
      <w:bookmarkStart w:id="204" w:name="_Toc184308064"/>
      <w:bookmarkEnd w:id="204"/>
      <w:bookmarkStart w:id="205" w:name="_Toc184313259"/>
      <w:bookmarkEnd w:id="205"/>
      <w:bookmarkStart w:id="206" w:name="_Toc184312138"/>
      <w:bookmarkEnd w:id="206"/>
      <w:bookmarkStart w:id="207" w:name="_Toc184308083"/>
      <w:bookmarkEnd w:id="207"/>
      <w:bookmarkStart w:id="208" w:name="_Toc184310297"/>
      <w:bookmarkEnd w:id="208"/>
      <w:bookmarkStart w:id="209" w:name="_Toc184308038"/>
      <w:bookmarkEnd w:id="209"/>
      <w:bookmarkStart w:id="210" w:name="_Toc184313251"/>
      <w:bookmarkEnd w:id="210"/>
      <w:bookmarkStart w:id="211" w:name="_Toc184314426"/>
      <w:bookmarkEnd w:id="211"/>
      <w:bookmarkStart w:id="212" w:name="_Toc184314456"/>
      <w:bookmarkEnd w:id="212"/>
      <w:bookmarkStart w:id="213" w:name="_Toc184314425"/>
      <w:bookmarkEnd w:id="213"/>
      <w:bookmarkStart w:id="214" w:name="_Toc184308095"/>
      <w:bookmarkEnd w:id="214"/>
      <w:bookmarkStart w:id="215" w:name="_Toc184308085"/>
      <w:bookmarkEnd w:id="215"/>
      <w:bookmarkStart w:id="216" w:name="_Toc184314451"/>
      <w:bookmarkEnd w:id="216"/>
      <w:bookmarkStart w:id="217" w:name="_Toc184314420"/>
      <w:bookmarkEnd w:id="217"/>
      <w:bookmarkStart w:id="218" w:name="_Toc184310328"/>
      <w:bookmarkEnd w:id="218"/>
      <w:bookmarkStart w:id="219" w:name="_Toc184312132"/>
      <w:bookmarkEnd w:id="219"/>
      <w:bookmarkStart w:id="220" w:name="_Toc184312124"/>
      <w:bookmarkEnd w:id="220"/>
      <w:bookmarkStart w:id="221" w:name="_Toc184310300"/>
      <w:bookmarkEnd w:id="221"/>
      <w:bookmarkStart w:id="222" w:name="_Toc184312076"/>
      <w:bookmarkEnd w:id="222"/>
      <w:bookmarkStart w:id="223" w:name="_Toc184312090"/>
      <w:bookmarkEnd w:id="223"/>
      <w:bookmarkStart w:id="224" w:name="_Toc184312115"/>
      <w:bookmarkEnd w:id="224"/>
      <w:bookmarkStart w:id="225" w:name="_Toc184313272"/>
      <w:bookmarkEnd w:id="225"/>
      <w:bookmarkStart w:id="226" w:name="_Toc184310329"/>
      <w:bookmarkEnd w:id="226"/>
      <w:bookmarkStart w:id="227" w:name="_Toc184314461"/>
      <w:bookmarkEnd w:id="227"/>
      <w:bookmarkStart w:id="228" w:name="_Toc184310334"/>
      <w:bookmarkEnd w:id="228"/>
      <w:bookmarkStart w:id="229" w:name="_Toc184312102"/>
      <w:bookmarkEnd w:id="229"/>
      <w:bookmarkStart w:id="230" w:name="_Toc184313303"/>
      <w:bookmarkEnd w:id="230"/>
      <w:bookmarkStart w:id="231" w:name="_Toc184310283"/>
      <w:bookmarkEnd w:id="231"/>
      <w:bookmarkStart w:id="232" w:name="_Toc184312122"/>
      <w:bookmarkEnd w:id="232"/>
      <w:bookmarkStart w:id="233" w:name="_Toc184310272"/>
      <w:bookmarkEnd w:id="233"/>
      <w:bookmarkStart w:id="234" w:name="_Toc184312092"/>
      <w:bookmarkEnd w:id="234"/>
      <w:bookmarkStart w:id="235" w:name="_Toc184313287"/>
      <w:bookmarkEnd w:id="235"/>
      <w:bookmarkStart w:id="236" w:name="_Toc184310288"/>
      <w:bookmarkEnd w:id="236"/>
      <w:bookmarkStart w:id="237" w:name="_Toc184310295"/>
      <w:bookmarkEnd w:id="237"/>
      <w:bookmarkStart w:id="238" w:name="_Toc184308103"/>
      <w:bookmarkEnd w:id="238"/>
      <w:bookmarkStart w:id="239" w:name="_Toc184313281"/>
      <w:bookmarkEnd w:id="239"/>
      <w:bookmarkStart w:id="240" w:name="_Toc184310293"/>
      <w:bookmarkEnd w:id="240"/>
      <w:bookmarkStart w:id="241" w:name="_Toc184310305"/>
      <w:bookmarkEnd w:id="241"/>
      <w:bookmarkStart w:id="242" w:name="_Toc184312093"/>
      <w:bookmarkEnd w:id="242"/>
      <w:bookmarkStart w:id="243" w:name="_Toc184308050"/>
      <w:bookmarkEnd w:id="243"/>
      <w:bookmarkStart w:id="244" w:name="_Toc184312096"/>
      <w:bookmarkEnd w:id="244"/>
      <w:bookmarkStart w:id="245" w:name="_Toc184314414"/>
      <w:bookmarkEnd w:id="245"/>
      <w:bookmarkStart w:id="246" w:name="_Toc184308047"/>
      <w:bookmarkEnd w:id="246"/>
      <w:bookmarkStart w:id="247" w:name="_Toc184310278"/>
      <w:bookmarkEnd w:id="247"/>
      <w:bookmarkStart w:id="248" w:name="_Toc184308063"/>
      <w:bookmarkEnd w:id="248"/>
      <w:bookmarkStart w:id="249" w:name="_Toc184313294"/>
      <w:bookmarkEnd w:id="249"/>
      <w:bookmarkStart w:id="250" w:name="_Toc184310274"/>
      <w:bookmarkEnd w:id="250"/>
      <w:bookmarkStart w:id="251" w:name="_Toc184312101"/>
      <w:bookmarkEnd w:id="251"/>
      <w:bookmarkStart w:id="252" w:name="_Toc184308093"/>
      <w:bookmarkEnd w:id="252"/>
      <w:bookmarkStart w:id="253" w:name="_Toc184312077"/>
      <w:bookmarkEnd w:id="253"/>
      <w:bookmarkStart w:id="254" w:name="_Toc184313238"/>
      <w:bookmarkEnd w:id="254"/>
      <w:bookmarkStart w:id="255" w:name="_Toc184312131"/>
      <w:bookmarkEnd w:id="255"/>
      <w:bookmarkStart w:id="256" w:name="_Toc184313305"/>
      <w:bookmarkEnd w:id="256"/>
      <w:bookmarkStart w:id="257" w:name="_Toc184312103"/>
      <w:bookmarkEnd w:id="257"/>
      <w:bookmarkStart w:id="258" w:name="_Toc184313277"/>
      <w:bookmarkEnd w:id="258"/>
      <w:bookmarkStart w:id="259" w:name="_Toc184314437"/>
      <w:bookmarkEnd w:id="259"/>
      <w:bookmarkStart w:id="260" w:name="_Toc184312110"/>
      <w:bookmarkEnd w:id="260"/>
      <w:bookmarkStart w:id="261" w:name="_Toc184313265"/>
      <w:bookmarkEnd w:id="261"/>
      <w:bookmarkStart w:id="262" w:name="_Toc184310339"/>
      <w:bookmarkEnd w:id="262"/>
      <w:bookmarkStart w:id="263" w:name="_Toc184314465"/>
      <w:bookmarkEnd w:id="263"/>
      <w:bookmarkStart w:id="264" w:name="_Toc184314411"/>
      <w:bookmarkEnd w:id="264"/>
      <w:bookmarkStart w:id="265" w:name="_Toc184313276"/>
      <w:bookmarkEnd w:id="265"/>
      <w:bookmarkStart w:id="266" w:name="_Toc184312081"/>
      <w:bookmarkEnd w:id="266"/>
      <w:bookmarkStart w:id="267" w:name="_Toc184312133"/>
      <w:bookmarkEnd w:id="267"/>
      <w:bookmarkStart w:id="268" w:name="_Toc184313302"/>
      <w:bookmarkEnd w:id="268"/>
      <w:bookmarkStart w:id="269" w:name="_Toc184314478"/>
      <w:bookmarkEnd w:id="269"/>
      <w:bookmarkStart w:id="270" w:name="_Toc184313308"/>
      <w:bookmarkEnd w:id="270"/>
      <w:bookmarkStart w:id="271" w:name="_Toc184310319"/>
      <w:bookmarkEnd w:id="271"/>
      <w:bookmarkStart w:id="272" w:name="_Toc184312109"/>
      <w:bookmarkEnd w:id="272"/>
      <w:bookmarkStart w:id="273" w:name="_Toc184310330"/>
      <w:bookmarkEnd w:id="273"/>
      <w:bookmarkStart w:id="274" w:name="_Toc184310321"/>
      <w:bookmarkEnd w:id="274"/>
      <w:bookmarkStart w:id="275" w:name="_Toc184310308"/>
      <w:bookmarkEnd w:id="275"/>
      <w:bookmarkStart w:id="276" w:name="_Toc184308108"/>
      <w:bookmarkEnd w:id="276"/>
      <w:bookmarkStart w:id="277" w:name="_Toc184313297"/>
      <w:bookmarkEnd w:id="277"/>
      <w:bookmarkStart w:id="278" w:name="_Toc184314412"/>
      <w:bookmarkEnd w:id="278"/>
      <w:bookmarkStart w:id="279" w:name="_Toc184312126"/>
      <w:bookmarkEnd w:id="279"/>
      <w:bookmarkStart w:id="280" w:name="_Toc184308104"/>
      <w:bookmarkEnd w:id="280"/>
      <w:bookmarkStart w:id="281" w:name="_Toc184308069"/>
      <w:bookmarkEnd w:id="281"/>
      <w:bookmarkStart w:id="282" w:name="_Toc184312095"/>
      <w:bookmarkEnd w:id="282"/>
      <w:bookmarkStart w:id="283" w:name="_Toc184314476"/>
      <w:bookmarkEnd w:id="283"/>
      <w:bookmarkStart w:id="284" w:name="_Toc184312135"/>
      <w:bookmarkEnd w:id="284"/>
      <w:bookmarkStart w:id="285" w:name="_Toc184312088"/>
      <w:bookmarkEnd w:id="285"/>
      <w:bookmarkStart w:id="286" w:name="_Toc184314452"/>
      <w:bookmarkEnd w:id="286"/>
      <w:bookmarkStart w:id="287" w:name="_Toc184313249"/>
      <w:bookmarkEnd w:id="287"/>
      <w:bookmarkStart w:id="288" w:name="_Toc184313296"/>
      <w:bookmarkEnd w:id="288"/>
      <w:bookmarkStart w:id="289" w:name="_Toc184308080"/>
      <w:bookmarkEnd w:id="289"/>
      <w:bookmarkStart w:id="290" w:name="_Toc184313291"/>
      <w:bookmarkEnd w:id="290"/>
      <w:bookmarkStart w:id="291" w:name="_Toc184313266"/>
      <w:bookmarkEnd w:id="291"/>
      <w:bookmarkStart w:id="292" w:name="_Toc184310326"/>
      <w:bookmarkEnd w:id="292"/>
      <w:bookmarkStart w:id="293" w:name="_Toc184310324"/>
      <w:bookmarkEnd w:id="293"/>
      <w:bookmarkStart w:id="294" w:name="_Toc184313290"/>
      <w:bookmarkEnd w:id="294"/>
      <w:bookmarkStart w:id="295" w:name="_Toc184314445"/>
      <w:bookmarkEnd w:id="295"/>
      <w:bookmarkStart w:id="296" w:name="_Toc184314447"/>
      <w:bookmarkEnd w:id="296"/>
      <w:bookmarkStart w:id="297" w:name="_Toc184314415"/>
      <w:bookmarkEnd w:id="297"/>
      <w:bookmarkStart w:id="298" w:name="_Toc184312116"/>
      <w:bookmarkEnd w:id="298"/>
      <w:bookmarkStart w:id="299" w:name="_Toc184308077"/>
      <w:bookmarkEnd w:id="299"/>
      <w:bookmarkStart w:id="300" w:name="_Toc184308072"/>
      <w:bookmarkEnd w:id="300"/>
      <w:bookmarkStart w:id="301" w:name="_Toc184314466"/>
      <w:bookmarkEnd w:id="301"/>
      <w:bookmarkStart w:id="302" w:name="_Toc184310279"/>
      <w:bookmarkEnd w:id="302"/>
      <w:bookmarkStart w:id="303" w:name="_Toc184310302"/>
      <w:bookmarkEnd w:id="303"/>
      <w:bookmarkStart w:id="304" w:name="_Toc184312083"/>
      <w:bookmarkEnd w:id="304"/>
      <w:bookmarkStart w:id="305" w:name="_Toc184313268"/>
      <w:bookmarkEnd w:id="305"/>
      <w:bookmarkStart w:id="306" w:name="_Toc184308042"/>
      <w:bookmarkEnd w:id="306"/>
      <w:bookmarkStart w:id="307" w:name="_Toc184313280"/>
      <w:bookmarkEnd w:id="307"/>
      <w:bookmarkStart w:id="308" w:name="_Toc184314418"/>
      <w:bookmarkEnd w:id="308"/>
      <w:bookmarkStart w:id="309" w:name="_Toc184313274"/>
      <w:bookmarkEnd w:id="309"/>
      <w:bookmarkStart w:id="310" w:name="_Toc184310318"/>
      <w:bookmarkEnd w:id="310"/>
      <w:bookmarkStart w:id="311" w:name="_Toc184312118"/>
      <w:bookmarkEnd w:id="311"/>
      <w:bookmarkStart w:id="312" w:name="_Toc184310327"/>
      <w:bookmarkEnd w:id="312"/>
      <w:bookmarkStart w:id="313" w:name="_Toc184313269"/>
      <w:bookmarkEnd w:id="313"/>
      <w:bookmarkStart w:id="314" w:name="_Toc184314468"/>
      <w:bookmarkEnd w:id="314"/>
      <w:bookmarkStart w:id="315" w:name="_Toc184313252"/>
      <w:bookmarkEnd w:id="315"/>
      <w:bookmarkStart w:id="316" w:name="_Toc184312123"/>
      <w:bookmarkEnd w:id="316"/>
      <w:bookmarkStart w:id="317" w:name="_Toc184310273"/>
      <w:bookmarkEnd w:id="317"/>
      <w:bookmarkStart w:id="318" w:name="_Toc184313242"/>
      <w:bookmarkEnd w:id="318"/>
      <w:bookmarkStart w:id="319" w:name="_Toc184312097"/>
      <w:bookmarkEnd w:id="319"/>
      <w:bookmarkStart w:id="320" w:name="_Toc184312085"/>
      <w:bookmarkEnd w:id="320"/>
      <w:bookmarkStart w:id="321" w:name="_Toc184312108"/>
      <w:bookmarkEnd w:id="321"/>
      <w:bookmarkStart w:id="322" w:name="_Toc184312075"/>
      <w:bookmarkEnd w:id="322"/>
      <w:bookmarkStart w:id="323" w:name="_Toc184308068"/>
      <w:bookmarkEnd w:id="323"/>
      <w:bookmarkStart w:id="324" w:name="_Toc184312105"/>
      <w:bookmarkEnd w:id="324"/>
      <w:bookmarkStart w:id="325" w:name="_Toc184313257"/>
      <w:bookmarkEnd w:id="325"/>
      <w:bookmarkStart w:id="326" w:name="_Toc184314432"/>
      <w:bookmarkEnd w:id="326"/>
      <w:bookmarkStart w:id="327" w:name="_Toc184312082"/>
      <w:bookmarkEnd w:id="327"/>
      <w:bookmarkStart w:id="328" w:name="_Toc184308076"/>
      <w:bookmarkEnd w:id="328"/>
      <w:bookmarkStart w:id="329" w:name="_Toc184308087"/>
      <w:bookmarkEnd w:id="329"/>
      <w:bookmarkStart w:id="330" w:name="_Toc184308062"/>
      <w:bookmarkEnd w:id="330"/>
      <w:bookmarkStart w:id="331" w:name="_Toc184314454"/>
      <w:bookmarkEnd w:id="331"/>
      <w:bookmarkStart w:id="332" w:name="_Toc184310280"/>
      <w:bookmarkEnd w:id="332"/>
      <w:bookmarkStart w:id="333" w:name="_Toc184310340"/>
      <w:bookmarkEnd w:id="333"/>
      <w:bookmarkStart w:id="334" w:name="_Toc184313250"/>
      <w:bookmarkEnd w:id="334"/>
      <w:bookmarkStart w:id="335" w:name="_Toc184312112"/>
      <w:bookmarkEnd w:id="335"/>
      <w:bookmarkStart w:id="336" w:name="_Toc184310314"/>
      <w:bookmarkEnd w:id="336"/>
      <w:bookmarkStart w:id="337" w:name="_Toc184308049"/>
      <w:bookmarkEnd w:id="337"/>
      <w:bookmarkStart w:id="338" w:name="_Toc184314430"/>
      <w:bookmarkEnd w:id="338"/>
      <w:bookmarkStart w:id="339" w:name="_Toc184308070"/>
      <w:bookmarkEnd w:id="339"/>
      <w:bookmarkStart w:id="340" w:name="_Toc184313240"/>
      <w:bookmarkEnd w:id="340"/>
      <w:bookmarkStart w:id="341" w:name="_Toc184314477"/>
      <w:bookmarkEnd w:id="341"/>
      <w:bookmarkStart w:id="342" w:name="_Toc184314419"/>
      <w:bookmarkEnd w:id="342"/>
      <w:bookmarkStart w:id="343" w:name="_Toc184314440"/>
      <w:bookmarkEnd w:id="343"/>
      <w:bookmarkStart w:id="344" w:name="_Toc184312070"/>
      <w:bookmarkEnd w:id="344"/>
      <w:bookmarkStart w:id="345" w:name="_Toc184310333"/>
      <w:bookmarkEnd w:id="345"/>
      <w:bookmarkStart w:id="346" w:name="_Toc184313295"/>
      <w:bookmarkEnd w:id="346"/>
      <w:bookmarkStart w:id="347" w:name="_Toc184314455"/>
      <w:bookmarkEnd w:id="347"/>
      <w:bookmarkStart w:id="348" w:name="_Toc184313241"/>
      <w:bookmarkEnd w:id="348"/>
      <w:bookmarkStart w:id="349" w:name="_Toc184308100"/>
      <w:bookmarkEnd w:id="349"/>
      <w:bookmarkStart w:id="350" w:name="_Toc184314474"/>
      <w:bookmarkEnd w:id="350"/>
      <w:bookmarkStart w:id="351" w:name="_Toc184314441"/>
      <w:bookmarkEnd w:id="351"/>
      <w:bookmarkStart w:id="352" w:name="_Toc184314444"/>
      <w:bookmarkEnd w:id="352"/>
      <w:bookmarkStart w:id="353" w:name="_Toc184314417"/>
      <w:bookmarkEnd w:id="353"/>
      <w:bookmarkStart w:id="354" w:name="_Toc184308059"/>
      <w:bookmarkEnd w:id="354"/>
      <w:bookmarkStart w:id="355" w:name="_Toc184308040"/>
      <w:bookmarkEnd w:id="355"/>
      <w:bookmarkStart w:id="356" w:name="_Toc184314463"/>
      <w:bookmarkEnd w:id="356"/>
      <w:bookmarkStart w:id="357" w:name="_Toc184312111"/>
      <w:bookmarkEnd w:id="357"/>
      <w:bookmarkStart w:id="358" w:name="_Toc184314475"/>
      <w:bookmarkEnd w:id="358"/>
      <w:bookmarkStart w:id="359" w:name="_Toc184310275"/>
      <w:bookmarkEnd w:id="359"/>
      <w:bookmarkStart w:id="360" w:name="_Toc184313292"/>
      <w:bookmarkEnd w:id="360"/>
      <w:bookmarkStart w:id="361" w:name="_Toc184314481"/>
      <w:bookmarkEnd w:id="361"/>
      <w:bookmarkStart w:id="362" w:name="_Toc184310277"/>
      <w:bookmarkEnd w:id="362"/>
      <w:bookmarkStart w:id="363" w:name="_Toc184313253"/>
      <w:bookmarkEnd w:id="363"/>
      <w:bookmarkStart w:id="364" w:name="_Toc184312072"/>
      <w:bookmarkEnd w:id="364"/>
      <w:bookmarkStart w:id="365" w:name="_Toc184308102"/>
      <w:bookmarkEnd w:id="365"/>
      <w:bookmarkStart w:id="366" w:name="_Toc184314449"/>
      <w:bookmarkEnd w:id="366"/>
      <w:bookmarkStart w:id="367" w:name="_Toc184314428"/>
      <w:bookmarkEnd w:id="367"/>
      <w:bookmarkStart w:id="368" w:name="_Toc184314467"/>
      <w:bookmarkEnd w:id="368"/>
      <w:bookmarkStart w:id="369" w:name="_Toc184313270"/>
      <w:bookmarkEnd w:id="369"/>
      <w:bookmarkStart w:id="370" w:name="_Toc184310311"/>
      <w:bookmarkEnd w:id="370"/>
      <w:bookmarkStart w:id="371" w:name="_Toc184308057"/>
      <w:bookmarkEnd w:id="371"/>
      <w:bookmarkStart w:id="372" w:name="_Toc184310303"/>
      <w:bookmarkEnd w:id="372"/>
      <w:bookmarkStart w:id="373" w:name="_Toc184310276"/>
      <w:bookmarkEnd w:id="373"/>
      <w:bookmarkStart w:id="374" w:name="_Toc184314427"/>
      <w:bookmarkEnd w:id="374"/>
      <w:bookmarkStart w:id="375" w:name="_Toc184308079"/>
      <w:bookmarkEnd w:id="375"/>
      <w:bookmarkStart w:id="376" w:name="_Toc184308065"/>
      <w:bookmarkEnd w:id="376"/>
      <w:bookmarkStart w:id="377" w:name="_Toc184314480"/>
      <w:bookmarkEnd w:id="377"/>
      <w:bookmarkStart w:id="378" w:name="_Toc184314434"/>
      <w:bookmarkEnd w:id="378"/>
      <w:bookmarkStart w:id="379" w:name="_Toc184313275"/>
      <w:bookmarkEnd w:id="379"/>
      <w:bookmarkStart w:id="380" w:name="_Toc184312117"/>
      <w:bookmarkEnd w:id="380"/>
      <w:bookmarkStart w:id="381" w:name="_Toc184314424"/>
      <w:bookmarkEnd w:id="381"/>
      <w:bookmarkStart w:id="382" w:name="_Toc184308066"/>
      <w:bookmarkEnd w:id="382"/>
      <w:bookmarkStart w:id="383" w:name="_Toc184313247"/>
      <w:bookmarkEnd w:id="383"/>
      <w:bookmarkStart w:id="384" w:name="_Toc184310287"/>
      <w:bookmarkEnd w:id="384"/>
      <w:bookmarkStart w:id="385" w:name="_Toc184310335"/>
      <w:bookmarkEnd w:id="385"/>
      <w:bookmarkStart w:id="386" w:name="_Toc184313279"/>
      <w:bookmarkEnd w:id="386"/>
      <w:bookmarkStart w:id="387" w:name="_Toc184313243"/>
      <w:bookmarkEnd w:id="387"/>
      <w:bookmarkStart w:id="388" w:name="_Toc184310313"/>
      <w:bookmarkEnd w:id="388"/>
      <w:bookmarkStart w:id="389" w:name="_Toc184314448"/>
      <w:bookmarkEnd w:id="389"/>
      <w:bookmarkStart w:id="390" w:name="_Toc184308046"/>
      <w:bookmarkEnd w:id="390"/>
      <w:bookmarkStart w:id="391" w:name="_Toc184314472"/>
      <w:bookmarkEnd w:id="391"/>
      <w:bookmarkStart w:id="392" w:name="_Toc184310341"/>
      <w:bookmarkEnd w:id="392"/>
      <w:bookmarkStart w:id="393" w:name="_Toc184312089"/>
      <w:bookmarkEnd w:id="393"/>
      <w:bookmarkStart w:id="394" w:name="_Toc184310306"/>
      <w:bookmarkEnd w:id="394"/>
      <w:bookmarkStart w:id="395" w:name="_Toc184308106"/>
      <w:bookmarkEnd w:id="395"/>
      <w:bookmarkStart w:id="396" w:name="_Toc184308084"/>
      <w:bookmarkEnd w:id="396"/>
      <w:bookmarkStart w:id="397" w:name="_Toc184313256"/>
      <w:bookmarkEnd w:id="397"/>
      <w:bookmarkStart w:id="398" w:name="_Toc184308073"/>
      <w:bookmarkEnd w:id="398"/>
      <w:bookmarkStart w:id="399" w:name="_Toc184313273"/>
      <w:bookmarkEnd w:id="399"/>
      <w:bookmarkStart w:id="400" w:name="_Toc184314422"/>
      <w:bookmarkEnd w:id="400"/>
      <w:bookmarkStart w:id="401" w:name="_Toc184308036"/>
      <w:bookmarkEnd w:id="401"/>
      <w:bookmarkStart w:id="402" w:name="_Toc184312130"/>
      <w:bookmarkEnd w:id="402"/>
      <w:bookmarkStart w:id="403" w:name="_Toc184310285"/>
      <w:bookmarkEnd w:id="403"/>
      <w:bookmarkStart w:id="404" w:name="_Toc184308053"/>
      <w:bookmarkEnd w:id="404"/>
      <w:bookmarkStart w:id="405" w:name="_Toc184308074"/>
      <w:bookmarkEnd w:id="405"/>
      <w:bookmarkStart w:id="406" w:name="_Toc184312084"/>
      <w:bookmarkEnd w:id="406"/>
      <w:bookmarkStart w:id="407" w:name="_Toc184314416"/>
      <w:bookmarkEnd w:id="407"/>
      <w:bookmarkStart w:id="408" w:name="_Toc184308105"/>
      <w:bookmarkEnd w:id="408"/>
      <w:bookmarkStart w:id="409" w:name="_Toc184308041"/>
      <w:bookmarkEnd w:id="409"/>
      <w:bookmarkStart w:id="410" w:name="_Toc184308088"/>
      <w:bookmarkEnd w:id="410"/>
      <w:bookmarkStart w:id="411" w:name="_Toc184314423"/>
      <w:bookmarkEnd w:id="411"/>
      <w:bookmarkStart w:id="412" w:name="_Toc184312128"/>
      <w:bookmarkEnd w:id="412"/>
      <w:bookmarkStart w:id="413" w:name="_Toc184310344"/>
      <w:bookmarkEnd w:id="413"/>
      <w:bookmarkStart w:id="414" w:name="_Toc184312091"/>
      <w:bookmarkEnd w:id="414"/>
      <w:bookmarkStart w:id="415" w:name="_Toc184310336"/>
      <w:bookmarkEnd w:id="415"/>
      <w:bookmarkStart w:id="416" w:name="_Toc184312079"/>
      <w:bookmarkEnd w:id="416"/>
      <w:bookmarkStart w:id="417" w:name="_Toc184313306"/>
      <w:bookmarkEnd w:id="417"/>
      <w:bookmarkStart w:id="418" w:name="_Toc184313258"/>
      <w:bookmarkEnd w:id="418"/>
      <w:bookmarkStart w:id="419" w:name="_Toc184308092"/>
      <w:bookmarkEnd w:id="419"/>
      <w:bookmarkStart w:id="420" w:name="_Toc184308048"/>
      <w:bookmarkEnd w:id="420"/>
      <w:bookmarkStart w:id="421" w:name="_Toc184308044"/>
      <w:bookmarkEnd w:id="421"/>
      <w:bookmarkStart w:id="422" w:name="_Toc184310282"/>
      <w:bookmarkEnd w:id="422"/>
      <w:bookmarkStart w:id="423" w:name="_Toc184312099"/>
      <w:bookmarkEnd w:id="423"/>
      <w:bookmarkStart w:id="424" w:name="_Toc184310284"/>
      <w:bookmarkEnd w:id="424"/>
      <w:bookmarkStart w:id="425" w:name="_Toc184308098"/>
      <w:bookmarkEnd w:id="425"/>
      <w:bookmarkStart w:id="426" w:name="_Toc184314435"/>
      <w:bookmarkEnd w:id="426"/>
      <w:bookmarkStart w:id="427" w:name="_Toc184313283"/>
      <w:bookmarkEnd w:id="427"/>
      <w:bookmarkStart w:id="428" w:name="_Toc184308043"/>
      <w:bookmarkEnd w:id="428"/>
      <w:bookmarkStart w:id="429" w:name="_Toc184314439"/>
      <w:bookmarkEnd w:id="429"/>
      <w:bookmarkStart w:id="430" w:name="_Toc184308052"/>
      <w:bookmarkEnd w:id="430"/>
      <w:bookmarkStart w:id="431" w:name="_Toc184314438"/>
      <w:bookmarkEnd w:id="431"/>
      <w:bookmarkStart w:id="432" w:name="_Toc184310296"/>
      <w:bookmarkEnd w:id="432"/>
      <w:bookmarkStart w:id="433" w:name="_Toc184313245"/>
      <w:bookmarkEnd w:id="433"/>
      <w:r>
        <w:rPr>
          <w:rFonts w:hint="eastAsia" w:ascii="宋体" w:hAnsi="宋体" w:cs="宋体"/>
          <w:b/>
          <w:color w:val="auto"/>
          <w:sz w:val="36"/>
          <w:szCs w:val="36"/>
          <w:highlight w:val="none"/>
        </w:rPr>
        <w:t>评标办法</w:t>
      </w:r>
      <w:bookmarkEnd w:id="65"/>
      <w:bookmarkEnd w:id="66"/>
      <w:bookmarkEnd w:id="67"/>
      <w:bookmarkEnd w:id="68"/>
    </w:p>
    <w:p w14:paraId="15B8FA16">
      <w:pPr>
        <w:snapToGrid w:val="0"/>
        <w:spacing w:line="360" w:lineRule="auto"/>
        <w:jc w:val="center"/>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评标办法前附表</w:t>
      </w:r>
    </w:p>
    <w:tbl>
      <w:tblPr>
        <w:tblStyle w:val="6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077"/>
        <w:gridCol w:w="5606"/>
        <w:gridCol w:w="1084"/>
      </w:tblGrid>
      <w:tr w14:paraId="2C1C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782" w:type="dxa"/>
            <w:gridSpan w:val="3"/>
            <w:vAlign w:val="center"/>
          </w:tcPr>
          <w:p w14:paraId="7B1EE267">
            <w:pPr>
              <w:keepNext w:val="0"/>
              <w:keepLines w:val="0"/>
              <w:suppressLineNumbers w:val="0"/>
              <w:spacing w:before="0" w:beforeAutospacing="0" w:after="0" w:afterAutospacing="0"/>
              <w:ind w:left="0" w:right="0"/>
              <w:jc w:val="center"/>
              <w:outlineLvl w:val="9"/>
              <w:rPr>
                <w:rFonts w:hint="default" w:ascii="宋体"/>
                <w:color w:val="auto"/>
                <w:szCs w:val="21"/>
                <w:highlight w:val="none"/>
                <w:lang w:val="ru-RU"/>
              </w:rPr>
            </w:pPr>
            <w:r>
              <w:rPr>
                <w:rFonts w:hint="eastAsia" w:ascii="宋体" w:hAnsi="宋体" w:cs="宋体"/>
                <w:b/>
                <w:color w:val="auto"/>
                <w:sz w:val="24"/>
                <w:szCs w:val="24"/>
                <w:highlight w:val="none"/>
              </w:rPr>
              <w:br w:type="page"/>
            </w:r>
            <w:r>
              <w:rPr>
                <w:rFonts w:hint="eastAsia" w:ascii="宋体" w:hAnsi="宋体" w:eastAsia="宋体" w:cs="宋体"/>
                <w:b/>
                <w:bCs/>
                <w:color w:val="auto"/>
                <w:szCs w:val="21"/>
                <w:highlight w:val="none"/>
              </w:rPr>
              <w:t>评分项及分值</w:t>
            </w:r>
          </w:p>
        </w:tc>
        <w:tc>
          <w:tcPr>
            <w:tcW w:w="1084" w:type="dxa"/>
            <w:vAlign w:val="center"/>
          </w:tcPr>
          <w:p w14:paraId="2B08DA64">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lang w:val="ru-RU"/>
              </w:rPr>
            </w:pPr>
            <w:r>
              <w:rPr>
                <w:rFonts w:hint="eastAsia" w:ascii="宋体" w:hAnsi="宋体" w:eastAsia="宋体" w:cs="宋体"/>
                <w:b/>
                <w:bCs/>
                <w:color w:val="auto"/>
                <w:szCs w:val="21"/>
                <w:highlight w:val="none"/>
                <w:lang w:val="en-US" w:eastAsia="zh-CN"/>
              </w:rPr>
              <w:t>评审类型</w:t>
            </w:r>
          </w:p>
        </w:tc>
      </w:tr>
      <w:tr w14:paraId="382C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9" w:type="dxa"/>
            <w:vMerge w:val="restart"/>
            <w:vAlign w:val="center"/>
          </w:tcPr>
          <w:p w14:paraId="25687A6C">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r>
              <w:rPr>
                <w:rFonts w:hint="eastAsia" w:ascii="宋体" w:hAnsi="宋体"/>
                <w:b/>
                <w:bCs/>
                <w:color w:val="auto"/>
                <w:szCs w:val="21"/>
                <w:highlight w:val="none"/>
              </w:rPr>
              <w:t>技术商务分</w:t>
            </w:r>
            <w:r>
              <w:rPr>
                <w:rFonts w:hint="eastAsia" w:ascii="宋体" w:hAnsi="宋体"/>
                <w:b/>
                <w:bCs/>
                <w:color w:val="auto"/>
                <w:szCs w:val="21"/>
                <w:highlight w:val="none"/>
                <w:lang w:val="en-US" w:eastAsia="zh-CN"/>
              </w:rPr>
              <w:t>90</w:t>
            </w:r>
            <w:r>
              <w:rPr>
                <w:rFonts w:hint="eastAsia" w:ascii="宋体" w:hAnsi="宋体"/>
                <w:b/>
                <w:bCs/>
                <w:color w:val="auto"/>
                <w:szCs w:val="21"/>
                <w:highlight w:val="none"/>
              </w:rPr>
              <w:t>分</w:t>
            </w:r>
          </w:p>
        </w:tc>
        <w:tc>
          <w:tcPr>
            <w:tcW w:w="7683" w:type="dxa"/>
            <w:gridSpan w:val="2"/>
            <w:vAlign w:val="center"/>
          </w:tcPr>
          <w:p w14:paraId="735B334E">
            <w:pPr>
              <w:keepNext w:val="0"/>
              <w:keepLines w:val="0"/>
              <w:suppressLineNumbers w:val="0"/>
              <w:spacing w:before="0" w:beforeAutospacing="0" w:after="0" w:afterAutospacing="0" w:line="360" w:lineRule="auto"/>
              <w:ind w:left="0" w:right="0"/>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项目理解</w:t>
            </w:r>
            <w:r>
              <w:rPr>
                <w:rFonts w:hint="eastAsia" w:ascii="宋体" w:hAnsi="宋体" w:cs="宋体"/>
                <w:bCs/>
                <w:color w:val="auto"/>
                <w:szCs w:val="21"/>
                <w:highlight w:val="none"/>
                <w:lang w:eastAsia="zh-CN"/>
              </w:rPr>
              <w:t>：</w:t>
            </w:r>
          </w:p>
          <w:p w14:paraId="5132B19C">
            <w:pPr>
              <w:keepNext w:val="0"/>
              <w:keepLines w:val="0"/>
              <w:suppressLineNumbers w:val="0"/>
              <w:spacing w:before="0" w:beforeAutospacing="0" w:after="0" w:afterAutospacing="0" w:line="360" w:lineRule="auto"/>
              <w:ind w:left="0" w:right="0"/>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根据供应商对本项目背景、相关标准及规范的掌握情况进行评议，最高得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分：</w:t>
            </w:r>
          </w:p>
          <w:p w14:paraId="6CCC74B0">
            <w:pPr>
              <w:keepNext w:val="0"/>
              <w:keepLines w:val="0"/>
              <w:suppressLineNumbers w:val="0"/>
              <w:spacing w:before="0" w:beforeAutospacing="0" w:after="0" w:afterAutospacing="0" w:line="360" w:lineRule="auto"/>
              <w:ind w:left="0" w:right="0"/>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1）对本项目背景、相关标准及规范理解透彻、分析到位的得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分；</w:t>
            </w:r>
          </w:p>
          <w:p w14:paraId="696AC5EC">
            <w:pPr>
              <w:keepNext w:val="0"/>
              <w:keepLines w:val="0"/>
              <w:suppressLineNumbers w:val="0"/>
              <w:spacing w:before="0" w:beforeAutospacing="0" w:after="0" w:afterAutospacing="0" w:line="360" w:lineRule="auto"/>
              <w:ind w:left="0" w:right="0"/>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2）对本项目背景、相关标准及规范理解较透彻、分析较到位的得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分；</w:t>
            </w:r>
          </w:p>
          <w:p w14:paraId="59A243AA">
            <w:pPr>
              <w:keepNext w:val="0"/>
              <w:keepLines w:val="0"/>
              <w:suppressLineNumbers w:val="0"/>
              <w:spacing w:before="0" w:beforeAutospacing="0" w:after="0" w:afterAutospacing="0" w:line="360" w:lineRule="auto"/>
              <w:ind w:left="0" w:right="0"/>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3）对本项目背景、相关标准及规范理解欠透彻、分析欠到位的得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分；</w:t>
            </w:r>
          </w:p>
          <w:p w14:paraId="0573F6F1">
            <w:pPr>
              <w:keepNext w:val="0"/>
              <w:keepLines w:val="0"/>
              <w:suppressLineNumbers w:val="0"/>
              <w:spacing w:before="0" w:beforeAutospacing="0" w:after="0" w:afterAutospacing="0" w:line="360" w:lineRule="auto"/>
              <w:ind w:left="0" w:right="0"/>
              <w:outlineLvl w:val="9"/>
              <w:rPr>
                <w:rFonts w:hint="eastAsia" w:ascii="宋体" w:eastAsia="宋体" w:cs="宋体"/>
                <w:color w:val="auto"/>
                <w:szCs w:val="21"/>
                <w:highlight w:val="none"/>
                <w:lang w:val="en-US" w:eastAsia="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未提供的本项不得分。</w:t>
            </w:r>
          </w:p>
        </w:tc>
        <w:tc>
          <w:tcPr>
            <w:tcW w:w="1084" w:type="dxa"/>
            <w:vAlign w:val="center"/>
          </w:tcPr>
          <w:p w14:paraId="47EB46AF">
            <w:pPr>
              <w:keepNext w:val="0"/>
              <w:keepLines w:val="0"/>
              <w:suppressLineNumbers w:val="0"/>
              <w:spacing w:before="0" w:beforeAutospacing="0" w:after="0" w:afterAutospacing="0" w:line="360" w:lineRule="exact"/>
              <w:ind w:left="0" w:right="0"/>
              <w:jc w:val="center"/>
              <w:outlineLvl w:val="9"/>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主观分</w:t>
            </w:r>
          </w:p>
        </w:tc>
      </w:tr>
      <w:tr w14:paraId="5D7C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99" w:type="dxa"/>
            <w:vMerge w:val="continue"/>
            <w:vAlign w:val="center"/>
          </w:tcPr>
          <w:p w14:paraId="7B5166E6">
            <w:pPr>
              <w:keepNext w:val="0"/>
              <w:keepLines w:val="0"/>
              <w:suppressLineNumbers w:val="0"/>
              <w:spacing w:before="0" w:beforeAutospacing="0" w:after="0" w:afterAutospacing="0" w:line="360" w:lineRule="exact"/>
              <w:ind w:left="0" w:right="0"/>
              <w:jc w:val="center"/>
              <w:outlineLvl w:val="9"/>
              <w:rPr>
                <w:rFonts w:hint="default" w:ascii="宋体"/>
                <w:b/>
                <w:bCs/>
                <w:color w:val="auto"/>
                <w:szCs w:val="21"/>
                <w:highlight w:val="none"/>
              </w:rPr>
            </w:pPr>
          </w:p>
        </w:tc>
        <w:tc>
          <w:tcPr>
            <w:tcW w:w="7683" w:type="dxa"/>
            <w:gridSpan w:val="2"/>
            <w:vAlign w:val="center"/>
          </w:tcPr>
          <w:p w14:paraId="4B88EF8D">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总体思路</w:t>
            </w:r>
            <w:r>
              <w:rPr>
                <w:rFonts w:hint="eastAsia" w:ascii="宋体" w:hAnsi="宋体" w:cs="宋体"/>
                <w:color w:val="auto"/>
                <w:highlight w:val="none"/>
                <w:lang w:eastAsia="zh-CN"/>
              </w:rPr>
              <w:t>：</w:t>
            </w:r>
          </w:p>
          <w:p w14:paraId="7E6F0AE5">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eastAsia="zh-CN"/>
              </w:rPr>
            </w:pPr>
            <w:r>
              <w:rPr>
                <w:rFonts w:hint="eastAsia" w:ascii="宋体" w:hAnsi="宋体" w:cs="宋体"/>
                <w:color w:val="auto"/>
                <w:highlight w:val="none"/>
                <w:lang w:eastAsia="zh-CN"/>
              </w:rPr>
              <w:t>根据供应商针对本项目实施的总体思路（包含但不限于项目总体实施安排以及实施规范性布置）内容进行评议，最高得</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分：</w:t>
            </w:r>
          </w:p>
          <w:p w14:paraId="34B5F606">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eastAsia="zh-CN"/>
              </w:rPr>
            </w:pPr>
            <w:r>
              <w:rPr>
                <w:rFonts w:hint="eastAsia" w:ascii="宋体" w:hAnsi="宋体" w:cs="宋体"/>
                <w:color w:val="auto"/>
                <w:highlight w:val="none"/>
                <w:lang w:eastAsia="zh-CN"/>
              </w:rPr>
              <w:t>1）项目总体实施安排有序、实施规范性布置有条理的得</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分；</w:t>
            </w:r>
          </w:p>
          <w:p w14:paraId="230989E4">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eastAsia="zh-CN"/>
              </w:rPr>
            </w:pPr>
            <w:r>
              <w:rPr>
                <w:rFonts w:hint="eastAsia" w:ascii="宋体" w:hAnsi="宋体" w:cs="宋体"/>
                <w:color w:val="auto"/>
                <w:highlight w:val="none"/>
                <w:lang w:eastAsia="zh-CN"/>
              </w:rPr>
              <w:t>2）项目总体实施安排较有序、实施规范性布置较有条理的得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w:t>
            </w:r>
          </w:p>
          <w:p w14:paraId="4AA1E58C">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eastAsia="zh-CN"/>
              </w:rPr>
            </w:pPr>
            <w:r>
              <w:rPr>
                <w:rFonts w:hint="eastAsia" w:ascii="宋体" w:hAnsi="宋体" w:cs="宋体"/>
                <w:color w:val="auto"/>
                <w:highlight w:val="none"/>
                <w:lang w:eastAsia="zh-CN"/>
              </w:rPr>
              <w:t>3）项目总体实施安排欠有序、实施规范性布置欠有条理的得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w:t>
            </w:r>
          </w:p>
          <w:p w14:paraId="51E67E5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未提供的本项不得分。</w:t>
            </w:r>
          </w:p>
        </w:tc>
        <w:tc>
          <w:tcPr>
            <w:tcW w:w="1084" w:type="dxa"/>
            <w:vAlign w:val="center"/>
          </w:tcPr>
          <w:p w14:paraId="70B86CF5">
            <w:pPr>
              <w:keepNext w:val="0"/>
              <w:keepLines w:val="0"/>
              <w:suppressLineNumbers w:val="0"/>
              <w:spacing w:before="0" w:beforeAutospacing="0" w:after="0" w:afterAutospacing="0" w:line="360" w:lineRule="exact"/>
              <w:ind w:left="0" w:right="0"/>
              <w:jc w:val="center"/>
              <w:outlineLvl w:val="9"/>
              <w:rPr>
                <w:rFonts w:hint="eastAsia" w:ascii="宋体" w:eastAsia="宋体"/>
                <w:color w:val="auto"/>
                <w:szCs w:val="21"/>
                <w:highlight w:val="none"/>
                <w:lang w:eastAsia="zh-CN"/>
              </w:rPr>
            </w:pPr>
            <w:r>
              <w:rPr>
                <w:rFonts w:hint="eastAsia" w:ascii="宋体" w:cs="宋体"/>
                <w:color w:val="auto"/>
                <w:szCs w:val="21"/>
                <w:highlight w:val="none"/>
                <w:lang w:val="en-US" w:eastAsia="zh-CN"/>
              </w:rPr>
              <w:t>主观分</w:t>
            </w:r>
          </w:p>
        </w:tc>
      </w:tr>
      <w:tr w14:paraId="3384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1099" w:type="dxa"/>
            <w:vMerge w:val="continue"/>
            <w:vAlign w:val="center"/>
          </w:tcPr>
          <w:p w14:paraId="21B44587">
            <w:pPr>
              <w:keepNext w:val="0"/>
              <w:keepLines w:val="0"/>
              <w:suppressLineNumbers w:val="0"/>
              <w:spacing w:before="0" w:beforeAutospacing="0" w:after="0" w:afterAutospacing="0" w:line="360" w:lineRule="exact"/>
              <w:ind w:left="0" w:right="0"/>
              <w:jc w:val="center"/>
              <w:outlineLvl w:val="9"/>
              <w:rPr>
                <w:rFonts w:hint="default" w:ascii="宋体"/>
                <w:b/>
                <w:bCs/>
                <w:color w:val="auto"/>
                <w:szCs w:val="21"/>
                <w:highlight w:val="none"/>
              </w:rPr>
            </w:pPr>
          </w:p>
        </w:tc>
        <w:tc>
          <w:tcPr>
            <w:tcW w:w="2077" w:type="dxa"/>
            <w:vMerge w:val="restart"/>
            <w:vAlign w:val="center"/>
          </w:tcPr>
          <w:p w14:paraId="5BC32A9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技术方案</w:t>
            </w:r>
          </w:p>
        </w:tc>
        <w:tc>
          <w:tcPr>
            <w:tcW w:w="5606" w:type="dxa"/>
            <w:vAlign w:val="center"/>
          </w:tcPr>
          <w:p w14:paraId="41D9D01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根据供应商针对本项目拟定施工准备实施方案（包含但不限于场地交接实施方案、</w:t>
            </w:r>
            <w:r>
              <w:rPr>
                <w:rFonts w:hint="eastAsia" w:ascii="宋体" w:hAnsi="宋体" w:eastAsia="宋体" w:cs="宋体"/>
                <w:color w:val="auto"/>
                <w:highlight w:val="none"/>
                <w:lang w:val="en-US" w:eastAsia="zh-CN"/>
              </w:rPr>
              <w:t>临时设施搭建</w:t>
            </w:r>
            <w:r>
              <w:rPr>
                <w:rFonts w:hint="eastAsia" w:ascii="宋体" w:hAnsi="宋体" w:eastAsia="宋体" w:cs="宋体"/>
                <w:color w:val="auto"/>
                <w:highlight w:val="none"/>
              </w:rPr>
              <w:t>实施方案）内容进行综合评议，最高得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14:paraId="1622B49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1）实施方案详实、措施得力，可执行力度高的得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14:paraId="6CC53B2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2）实施方案较详实、措施得力，可执行力度较高的得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478BC51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3）技术方案内容简单，可执行力低的得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rPr>
              <w:t>分</w:t>
            </w:r>
            <w:r>
              <w:rPr>
                <w:rFonts w:hint="eastAsia" w:ascii="宋体" w:hAnsi="宋体" w:eastAsia="宋体" w:cs="宋体"/>
                <w:color w:val="auto"/>
                <w:highlight w:val="none"/>
              </w:rPr>
              <w:t>；</w:t>
            </w:r>
          </w:p>
          <w:p w14:paraId="09336E7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4）</w:t>
            </w:r>
            <w:r>
              <w:rPr>
                <w:rFonts w:hint="eastAsia" w:ascii="宋体" w:hAnsi="宋体" w:eastAsia="宋体" w:cs="宋体"/>
                <w:color w:val="auto"/>
                <w:highlight w:val="none"/>
              </w:rPr>
              <w:t>未提供的本项不得分。</w:t>
            </w:r>
          </w:p>
        </w:tc>
        <w:tc>
          <w:tcPr>
            <w:tcW w:w="1084" w:type="dxa"/>
            <w:vMerge w:val="restart"/>
            <w:vAlign w:val="center"/>
          </w:tcPr>
          <w:p w14:paraId="7299D832">
            <w:pPr>
              <w:keepNext w:val="0"/>
              <w:keepLines w:val="0"/>
              <w:suppressLineNumbers w:val="0"/>
              <w:spacing w:before="0" w:beforeAutospacing="0" w:after="0" w:afterAutospacing="0" w:line="360" w:lineRule="exact"/>
              <w:ind w:left="0" w:right="0"/>
              <w:jc w:val="center"/>
              <w:outlineLvl w:val="9"/>
              <w:rPr>
                <w:rFonts w:hint="eastAsia" w:ascii="宋体" w:eastAsia="宋体"/>
                <w:color w:val="auto"/>
                <w:szCs w:val="21"/>
                <w:highlight w:val="none"/>
                <w:lang w:eastAsia="zh-CN"/>
              </w:rPr>
            </w:pPr>
            <w:r>
              <w:rPr>
                <w:rFonts w:hint="eastAsia" w:ascii="宋体" w:cs="宋体"/>
                <w:color w:val="auto"/>
                <w:szCs w:val="21"/>
                <w:highlight w:val="none"/>
                <w:lang w:val="en-US" w:eastAsia="zh-CN"/>
              </w:rPr>
              <w:t>主观分</w:t>
            </w:r>
          </w:p>
        </w:tc>
      </w:tr>
      <w:tr w14:paraId="4623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1099" w:type="dxa"/>
            <w:vMerge w:val="continue"/>
            <w:vAlign w:val="center"/>
          </w:tcPr>
          <w:p w14:paraId="03B44B3F">
            <w:pPr>
              <w:keepNext w:val="0"/>
              <w:keepLines w:val="0"/>
              <w:suppressLineNumbers w:val="0"/>
              <w:spacing w:before="0" w:beforeAutospacing="0" w:after="0" w:afterAutospacing="0" w:line="360" w:lineRule="auto"/>
              <w:ind w:left="0" w:right="0"/>
              <w:outlineLvl w:val="9"/>
              <w:rPr>
                <w:rFonts w:hint="default"/>
                <w:color w:val="auto"/>
                <w:highlight w:val="none"/>
              </w:rPr>
            </w:pPr>
          </w:p>
        </w:tc>
        <w:tc>
          <w:tcPr>
            <w:tcW w:w="2077" w:type="dxa"/>
            <w:vMerge w:val="continue"/>
            <w:vAlign w:val="center"/>
          </w:tcPr>
          <w:p w14:paraId="2159B8F1">
            <w:pPr>
              <w:keepNext w:val="0"/>
              <w:keepLines w:val="0"/>
              <w:suppressLineNumbers w:val="0"/>
              <w:spacing w:before="0" w:beforeAutospacing="0" w:after="0" w:afterAutospacing="0" w:line="360" w:lineRule="auto"/>
              <w:ind w:left="0" w:right="0"/>
              <w:outlineLvl w:val="9"/>
              <w:rPr>
                <w:rFonts w:hint="default"/>
                <w:color w:val="auto"/>
                <w:highlight w:val="none"/>
              </w:rPr>
            </w:pPr>
          </w:p>
        </w:tc>
        <w:tc>
          <w:tcPr>
            <w:tcW w:w="5606" w:type="dxa"/>
            <w:vAlign w:val="center"/>
          </w:tcPr>
          <w:p w14:paraId="573CDF8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根据供应商针对本项目拟定的</w:t>
            </w:r>
            <w:r>
              <w:rPr>
                <w:rFonts w:hint="eastAsia" w:ascii="宋体" w:hAnsi="宋体" w:eastAsia="宋体" w:cs="宋体"/>
                <w:color w:val="auto"/>
                <w:highlight w:val="none"/>
                <w:lang w:val="en-US" w:eastAsia="zh-CN"/>
              </w:rPr>
              <w:t>挖土</w:t>
            </w:r>
            <w:r>
              <w:rPr>
                <w:rFonts w:hint="eastAsia" w:ascii="宋体" w:hAnsi="宋体" w:eastAsia="宋体" w:cs="宋体"/>
                <w:color w:val="auto"/>
                <w:highlight w:val="none"/>
              </w:rPr>
              <w:t>实施方案及</w:t>
            </w:r>
            <w:r>
              <w:rPr>
                <w:rFonts w:hint="eastAsia" w:ascii="宋体" w:hAnsi="宋体" w:eastAsia="宋体" w:cs="宋体"/>
                <w:color w:val="auto"/>
                <w:highlight w:val="none"/>
                <w:lang w:val="en-US" w:eastAsia="zh-CN"/>
              </w:rPr>
              <w:t>土壤场内运输</w:t>
            </w:r>
            <w:r>
              <w:rPr>
                <w:rFonts w:hint="eastAsia" w:ascii="宋体" w:hAnsi="宋体" w:eastAsia="宋体" w:cs="宋体"/>
                <w:color w:val="auto"/>
                <w:highlight w:val="none"/>
              </w:rPr>
              <w:t>实施方案等内容进行综合评议，最高得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14:paraId="7C006DE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1）实施方案详实、措施得力，可执行力度高的</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14:paraId="2328D68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2）实施方案较详实、措施得力，可执行力度较高的得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4F42E32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3）技术方案内容简单，可执行力低的得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rPr>
              <w:t>分</w:t>
            </w:r>
            <w:r>
              <w:rPr>
                <w:rFonts w:hint="eastAsia" w:ascii="宋体" w:hAnsi="宋体" w:eastAsia="宋体" w:cs="宋体"/>
                <w:color w:val="auto"/>
                <w:highlight w:val="none"/>
              </w:rPr>
              <w:t>；</w:t>
            </w:r>
          </w:p>
          <w:p w14:paraId="760D428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4）</w:t>
            </w:r>
            <w:r>
              <w:rPr>
                <w:rFonts w:hint="eastAsia" w:ascii="宋体" w:hAnsi="宋体" w:eastAsia="宋体" w:cs="宋体"/>
                <w:color w:val="auto"/>
                <w:highlight w:val="none"/>
              </w:rPr>
              <w:t>未提供的本项不得分。</w:t>
            </w:r>
          </w:p>
        </w:tc>
        <w:tc>
          <w:tcPr>
            <w:tcW w:w="1084" w:type="dxa"/>
            <w:vMerge w:val="continue"/>
            <w:vAlign w:val="center"/>
          </w:tcPr>
          <w:p w14:paraId="68F74EA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p>
        </w:tc>
      </w:tr>
      <w:tr w14:paraId="6E25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1099" w:type="dxa"/>
            <w:vMerge w:val="continue"/>
            <w:vAlign w:val="center"/>
          </w:tcPr>
          <w:p w14:paraId="19B317B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p>
        </w:tc>
        <w:tc>
          <w:tcPr>
            <w:tcW w:w="2077" w:type="dxa"/>
            <w:vMerge w:val="continue"/>
            <w:vAlign w:val="center"/>
          </w:tcPr>
          <w:p w14:paraId="7E0E66F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p>
        </w:tc>
        <w:tc>
          <w:tcPr>
            <w:tcW w:w="5606" w:type="dxa"/>
            <w:vAlign w:val="center"/>
          </w:tcPr>
          <w:p w14:paraId="3FA0E38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根据供应商针对本项目拟定的</w:t>
            </w:r>
            <w:r>
              <w:rPr>
                <w:rFonts w:hint="eastAsia" w:ascii="宋体" w:hAnsi="宋体" w:cs="宋体"/>
                <w:color w:val="auto"/>
                <w:highlight w:val="none"/>
                <w:lang w:val="en-US" w:eastAsia="zh-CN"/>
              </w:rPr>
              <w:t>基坑支护</w:t>
            </w:r>
            <w:r>
              <w:rPr>
                <w:rFonts w:hint="eastAsia" w:ascii="宋体" w:hAnsi="宋体" w:eastAsia="宋体" w:cs="宋体"/>
                <w:color w:val="auto"/>
                <w:highlight w:val="none"/>
              </w:rPr>
              <w:t>实施方案及化学氧化实施方案等内容进行综合评议，最高得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01F117B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1）实施方案详实、措施得力，可执行力度高的得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54D2DA5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2）实施方案较详实、措施得力，可执行力度较高的得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1318E28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3）技术方案内容简单，可执行力低的得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rPr>
              <w:t>分</w:t>
            </w:r>
            <w:r>
              <w:rPr>
                <w:rFonts w:hint="eastAsia" w:ascii="宋体" w:hAnsi="宋体" w:eastAsia="宋体" w:cs="宋体"/>
                <w:color w:val="auto"/>
                <w:highlight w:val="none"/>
              </w:rPr>
              <w:t>；</w:t>
            </w:r>
          </w:p>
          <w:p w14:paraId="6C43D66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4）</w:t>
            </w:r>
            <w:r>
              <w:rPr>
                <w:rFonts w:hint="eastAsia" w:ascii="宋体" w:hAnsi="宋体" w:eastAsia="宋体" w:cs="宋体"/>
                <w:color w:val="auto"/>
                <w:highlight w:val="none"/>
              </w:rPr>
              <w:t>未提供的本项不得分。</w:t>
            </w:r>
          </w:p>
        </w:tc>
        <w:tc>
          <w:tcPr>
            <w:tcW w:w="1084" w:type="dxa"/>
            <w:vMerge w:val="continue"/>
            <w:vAlign w:val="center"/>
          </w:tcPr>
          <w:p w14:paraId="5D6C966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p>
        </w:tc>
      </w:tr>
      <w:tr w14:paraId="248B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1099" w:type="dxa"/>
            <w:vMerge w:val="continue"/>
            <w:vAlign w:val="center"/>
          </w:tcPr>
          <w:p w14:paraId="6DE1ABB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p>
        </w:tc>
        <w:tc>
          <w:tcPr>
            <w:tcW w:w="2077" w:type="dxa"/>
            <w:vMerge w:val="continue"/>
            <w:vAlign w:val="center"/>
          </w:tcPr>
          <w:p w14:paraId="4ECE31A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p>
        </w:tc>
        <w:tc>
          <w:tcPr>
            <w:tcW w:w="5606" w:type="dxa"/>
            <w:vAlign w:val="center"/>
          </w:tcPr>
          <w:p w14:paraId="07269F5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根据</w:t>
            </w:r>
            <w:r>
              <w:rPr>
                <w:rFonts w:hint="eastAsia" w:ascii="宋体" w:hAnsi="宋体" w:eastAsia="宋体" w:cs="宋体"/>
                <w:color w:val="auto"/>
                <w:highlight w:val="none"/>
              </w:rPr>
              <w:t>供应商针对</w:t>
            </w:r>
            <w:r>
              <w:rPr>
                <w:rFonts w:hint="eastAsia" w:ascii="宋体" w:hAnsi="宋体" w:eastAsia="宋体" w:cs="宋体"/>
                <w:color w:val="auto"/>
                <w:highlight w:val="none"/>
                <w:lang w:val="en-US"/>
              </w:rPr>
              <w:t>本项目</w:t>
            </w:r>
            <w:r>
              <w:rPr>
                <w:rFonts w:hint="eastAsia" w:ascii="宋体" w:hAnsi="宋体" w:eastAsia="宋体" w:cs="宋体"/>
                <w:color w:val="auto"/>
                <w:highlight w:val="none"/>
              </w:rPr>
              <w:t>拟定的二次污染防治措施进行</w:t>
            </w:r>
            <w:r>
              <w:rPr>
                <w:rFonts w:hint="eastAsia" w:ascii="宋体" w:hAnsi="宋体" w:eastAsia="宋体" w:cs="宋体"/>
                <w:color w:val="auto"/>
                <w:highlight w:val="none"/>
                <w:lang w:val="en-US"/>
              </w:rPr>
              <w:t>综合评议，最高得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rPr>
              <w:t>分：</w:t>
            </w:r>
          </w:p>
          <w:p w14:paraId="338E8FA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1）</w:t>
            </w:r>
            <w:r>
              <w:rPr>
                <w:rFonts w:hint="eastAsia" w:ascii="宋体" w:hAnsi="宋体" w:eastAsia="宋体" w:cs="宋体"/>
                <w:color w:val="auto"/>
                <w:highlight w:val="none"/>
              </w:rPr>
              <w:t>二次污染防治措施</w:t>
            </w:r>
            <w:r>
              <w:rPr>
                <w:rFonts w:hint="eastAsia" w:ascii="宋体" w:hAnsi="宋体" w:eastAsia="宋体" w:cs="宋体"/>
                <w:color w:val="auto"/>
                <w:highlight w:val="none"/>
                <w:lang w:val="en-US"/>
              </w:rPr>
              <w:t>详实、措施得力，可执行力度高的得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14:paraId="567C66F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2）</w:t>
            </w:r>
            <w:r>
              <w:rPr>
                <w:rFonts w:hint="eastAsia" w:ascii="宋体" w:hAnsi="宋体" w:eastAsia="宋体" w:cs="宋体"/>
                <w:color w:val="auto"/>
                <w:highlight w:val="none"/>
              </w:rPr>
              <w:t>二次污染防治措施</w:t>
            </w:r>
            <w:r>
              <w:rPr>
                <w:rFonts w:hint="eastAsia" w:ascii="宋体" w:hAnsi="宋体" w:eastAsia="宋体" w:cs="宋体"/>
                <w:color w:val="auto"/>
                <w:highlight w:val="none"/>
                <w:lang w:val="en-US"/>
              </w:rPr>
              <w:t>较详实、措施得力，可执行力度较高的得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7648347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3）</w:t>
            </w:r>
            <w:r>
              <w:rPr>
                <w:rFonts w:hint="eastAsia" w:ascii="宋体" w:hAnsi="宋体" w:eastAsia="宋体" w:cs="宋体"/>
                <w:color w:val="auto"/>
                <w:highlight w:val="none"/>
              </w:rPr>
              <w:t>二次污染防治措施</w:t>
            </w:r>
            <w:r>
              <w:rPr>
                <w:rFonts w:hint="eastAsia" w:ascii="宋体" w:hAnsi="宋体" w:eastAsia="宋体" w:cs="宋体"/>
                <w:color w:val="auto"/>
                <w:highlight w:val="none"/>
                <w:lang w:val="en-US"/>
              </w:rPr>
              <w:t>内容简单，可执行力低的得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rPr>
              <w:t>分</w:t>
            </w:r>
            <w:r>
              <w:rPr>
                <w:rFonts w:hint="eastAsia" w:ascii="宋体" w:hAnsi="宋体" w:eastAsia="宋体" w:cs="宋体"/>
                <w:color w:val="auto"/>
                <w:highlight w:val="none"/>
              </w:rPr>
              <w:t>；</w:t>
            </w:r>
          </w:p>
          <w:p w14:paraId="0A5C341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4）</w:t>
            </w:r>
            <w:r>
              <w:rPr>
                <w:rFonts w:hint="eastAsia" w:ascii="宋体" w:hAnsi="宋体" w:eastAsia="宋体" w:cs="宋体"/>
                <w:color w:val="auto"/>
                <w:highlight w:val="none"/>
              </w:rPr>
              <w:t>未提供的本项不得分。</w:t>
            </w:r>
          </w:p>
        </w:tc>
        <w:tc>
          <w:tcPr>
            <w:tcW w:w="1084" w:type="dxa"/>
            <w:vMerge w:val="continue"/>
            <w:vAlign w:val="center"/>
          </w:tcPr>
          <w:p w14:paraId="109DE2F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p>
        </w:tc>
      </w:tr>
      <w:tr w14:paraId="4873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99" w:type="dxa"/>
            <w:vMerge w:val="continue"/>
            <w:vAlign w:val="center"/>
          </w:tcPr>
          <w:p w14:paraId="5B56B7E8">
            <w:pPr>
              <w:keepNext w:val="0"/>
              <w:keepLines w:val="0"/>
              <w:suppressLineNumbers w:val="0"/>
              <w:spacing w:before="0" w:beforeAutospacing="0" w:after="0" w:afterAutospacing="0" w:line="360" w:lineRule="exact"/>
              <w:ind w:left="0" w:right="0"/>
              <w:jc w:val="center"/>
              <w:outlineLvl w:val="9"/>
              <w:rPr>
                <w:rFonts w:hint="default" w:ascii="宋体"/>
                <w:b/>
                <w:bCs/>
                <w:color w:val="auto"/>
                <w:szCs w:val="21"/>
                <w:highlight w:val="none"/>
              </w:rPr>
            </w:pPr>
          </w:p>
        </w:tc>
        <w:tc>
          <w:tcPr>
            <w:tcW w:w="7683" w:type="dxa"/>
            <w:gridSpan w:val="2"/>
            <w:vAlign w:val="center"/>
          </w:tcPr>
          <w:p w14:paraId="36D211B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rPr>
              <w:t>进度计划</w:t>
            </w:r>
          </w:p>
          <w:p w14:paraId="0402436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根据供应商针对本项目工作安排及计划、工作流程等内容进行评议，最高得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rPr>
              <w:t>分：</w:t>
            </w:r>
          </w:p>
          <w:p w14:paraId="1C24B5B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1）工作安排及计划合理、工作流程清晰的得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rPr>
              <w:t>分；</w:t>
            </w:r>
          </w:p>
          <w:p w14:paraId="5F6F294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2）工作安排及计划较合理、工作流程较清晰较可行的得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rPr>
              <w:t>分；</w:t>
            </w:r>
          </w:p>
          <w:p w14:paraId="3AD4A52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3）工作安排及计划欠合理、工作流程欠清晰欠可行的得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rPr>
              <w:t>分；</w:t>
            </w:r>
          </w:p>
          <w:p w14:paraId="4C4920E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rPr>
              <w:t>4）未提供的本项不得分。</w:t>
            </w:r>
          </w:p>
        </w:tc>
        <w:tc>
          <w:tcPr>
            <w:tcW w:w="1084" w:type="dxa"/>
            <w:vAlign w:val="center"/>
          </w:tcPr>
          <w:p w14:paraId="242630D2">
            <w:pPr>
              <w:keepNext w:val="0"/>
              <w:keepLines w:val="0"/>
              <w:suppressLineNumbers w:val="0"/>
              <w:spacing w:before="0" w:beforeAutospacing="0" w:after="0" w:afterAutospacing="0" w:line="360" w:lineRule="exact"/>
              <w:ind w:left="0" w:right="0"/>
              <w:jc w:val="center"/>
              <w:outlineLvl w:val="9"/>
              <w:rPr>
                <w:rFonts w:hint="eastAsia" w:ascii="宋体" w:hAnsi="宋体"/>
                <w:color w:val="auto"/>
                <w:szCs w:val="21"/>
                <w:highlight w:val="none"/>
                <w:lang w:val="en-US" w:eastAsia="zh-CN"/>
              </w:rPr>
            </w:pPr>
            <w:r>
              <w:rPr>
                <w:rFonts w:hint="eastAsia" w:ascii="宋体" w:cs="宋体"/>
                <w:color w:val="auto"/>
                <w:szCs w:val="21"/>
                <w:highlight w:val="none"/>
                <w:lang w:val="en-US" w:eastAsia="zh-CN"/>
              </w:rPr>
              <w:t>主观分</w:t>
            </w:r>
          </w:p>
        </w:tc>
      </w:tr>
      <w:tr w14:paraId="05EA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99" w:type="dxa"/>
            <w:vMerge w:val="continue"/>
            <w:vAlign w:val="center"/>
          </w:tcPr>
          <w:p w14:paraId="0B640506">
            <w:pPr>
              <w:keepNext w:val="0"/>
              <w:keepLines w:val="0"/>
              <w:suppressLineNumbers w:val="0"/>
              <w:spacing w:before="0" w:beforeAutospacing="0" w:after="0" w:afterAutospacing="0" w:line="360" w:lineRule="exact"/>
              <w:ind w:left="0" w:right="0"/>
              <w:jc w:val="center"/>
              <w:outlineLvl w:val="9"/>
              <w:rPr>
                <w:rFonts w:hint="default" w:ascii="宋体"/>
                <w:b/>
                <w:bCs/>
                <w:color w:val="auto"/>
                <w:szCs w:val="21"/>
                <w:highlight w:val="none"/>
              </w:rPr>
            </w:pPr>
          </w:p>
        </w:tc>
        <w:tc>
          <w:tcPr>
            <w:tcW w:w="7683" w:type="dxa"/>
            <w:gridSpan w:val="2"/>
            <w:vAlign w:val="center"/>
          </w:tcPr>
          <w:p w14:paraId="5D8BEC21">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5.劳动力计划及保证措施</w:t>
            </w:r>
          </w:p>
          <w:p w14:paraId="6D4C9755">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根据对项目劳动力计划措施方案（包含但不限于各阶段工种配置、作业人员数量及劳动力保证措施）进行综合评议，最高得5分：</w:t>
            </w:r>
          </w:p>
          <w:p w14:paraId="1BC36765">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1）作业人员工种及人数可确保修复按期完成、劳动力保证措施完善的得5分；</w:t>
            </w:r>
          </w:p>
          <w:p w14:paraId="5C5B8E96">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2）作业人员工种及人数与进度计划匹配、劳动力保证措施较完善的得3分；</w:t>
            </w:r>
          </w:p>
          <w:p w14:paraId="1DF3792E">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3）作业人员工种及人数不足、劳动力保证措施不完善的得1分；</w:t>
            </w:r>
          </w:p>
          <w:p w14:paraId="236294F7">
            <w:pPr>
              <w:keepNext w:val="0"/>
              <w:keepLines w:val="0"/>
              <w:suppressLineNumbers w:val="0"/>
              <w:spacing w:before="0" w:beforeAutospacing="0" w:after="0" w:afterAutospacing="0" w:line="360" w:lineRule="auto"/>
              <w:ind w:left="0" w:right="0"/>
              <w:outlineLvl w:val="9"/>
              <w:rPr>
                <w:rFonts w:hint="default"/>
                <w:color w:val="auto"/>
                <w:highlight w:val="none"/>
                <w:lang w:val="en-US" w:eastAsia="zh-CN"/>
              </w:rPr>
            </w:pPr>
            <w:r>
              <w:rPr>
                <w:rFonts w:hint="eastAsia" w:ascii="宋体" w:hAnsi="宋体" w:cs="宋体"/>
                <w:color w:val="auto"/>
                <w:highlight w:val="none"/>
                <w:lang w:val="en-US" w:eastAsia="zh-CN"/>
              </w:rPr>
              <w:t>4）未提供的本项不得分。</w:t>
            </w:r>
          </w:p>
        </w:tc>
        <w:tc>
          <w:tcPr>
            <w:tcW w:w="1084" w:type="dxa"/>
            <w:vAlign w:val="center"/>
          </w:tcPr>
          <w:p w14:paraId="53347EF9">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s="宋体"/>
                <w:color w:val="auto"/>
                <w:szCs w:val="21"/>
                <w:highlight w:val="none"/>
                <w:lang w:val="en-US" w:eastAsia="zh-CN"/>
              </w:rPr>
              <w:t>主观分</w:t>
            </w:r>
          </w:p>
        </w:tc>
      </w:tr>
      <w:tr w14:paraId="031B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2DE80C4D">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440E89CA">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6.安全文明措施根据</w:t>
            </w:r>
          </w:p>
          <w:p w14:paraId="764B9279">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安全文明措施（包含但不限于安全管理制度、安全监督措施、安全教育培训、安全预防措施、临时用电防护措施）进行综合评议，最高得6分：</w:t>
            </w:r>
          </w:p>
          <w:p w14:paraId="549308B4">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1）安全保障措施齐全、目标明确、各项内容符合修复规范要求的得6分；</w:t>
            </w:r>
          </w:p>
          <w:p w14:paraId="60058BEA">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2）安全保障措施完整、各子项内容有欠缺的得4分；</w:t>
            </w:r>
          </w:p>
          <w:p w14:paraId="1A2FC53B">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3）安全保障措施不全或各子项内容不符合规范要求的得2分；</w:t>
            </w:r>
          </w:p>
          <w:p w14:paraId="556E65BA">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4）未提供的本项不得分。</w:t>
            </w:r>
          </w:p>
        </w:tc>
        <w:tc>
          <w:tcPr>
            <w:tcW w:w="1084" w:type="dxa"/>
            <w:vAlign w:val="center"/>
          </w:tcPr>
          <w:p w14:paraId="3F09589F">
            <w:pPr>
              <w:keepNext w:val="0"/>
              <w:keepLines w:val="0"/>
              <w:suppressLineNumbers w:val="0"/>
              <w:spacing w:before="0" w:beforeAutospacing="0" w:after="0" w:afterAutospacing="0" w:line="360" w:lineRule="exact"/>
              <w:ind w:left="0" w:right="0"/>
              <w:jc w:val="center"/>
              <w:outlineLvl w:val="9"/>
              <w:rPr>
                <w:rFonts w:hint="eastAsia" w:ascii="宋体" w:eastAsia="宋体"/>
                <w:color w:val="auto"/>
                <w:szCs w:val="21"/>
                <w:highlight w:val="none"/>
                <w:lang w:eastAsia="zh-CN"/>
              </w:rPr>
            </w:pPr>
            <w:r>
              <w:rPr>
                <w:rFonts w:hint="eastAsia" w:ascii="宋体" w:cs="宋体"/>
                <w:color w:val="auto"/>
                <w:szCs w:val="21"/>
                <w:highlight w:val="none"/>
                <w:lang w:val="en-US" w:eastAsia="zh-CN"/>
              </w:rPr>
              <w:t>主观分</w:t>
            </w:r>
          </w:p>
        </w:tc>
      </w:tr>
      <w:tr w14:paraId="531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25DD6C9D">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38F5A0FB">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7.环境保护措施</w:t>
            </w:r>
          </w:p>
          <w:p w14:paraId="3CA8EA80">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根据环境保护措施（包含但不限于防大气污染、防噪声、防扬尘、防刺鼻气味等修复环境维护保障措施）进行综合评议，最高得6分：</w:t>
            </w:r>
          </w:p>
          <w:p w14:paraId="5A4439B2">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1）防大气污染、</w:t>
            </w:r>
            <w:r>
              <w:rPr>
                <w:rFonts w:hint="eastAsia" w:ascii="宋体" w:hAnsi="宋体" w:cs="宋体"/>
                <w:color w:val="auto"/>
                <w:highlight w:val="none"/>
                <w:lang w:val="zh-CN" w:eastAsia="zh-CN"/>
              </w:rPr>
              <w:t>防噪声、防扬尘、防刺鼻气味等修复环境维护保障措施可行</w:t>
            </w:r>
            <w:r>
              <w:rPr>
                <w:rFonts w:hint="eastAsia" w:ascii="宋体" w:hAnsi="宋体" w:cs="宋体"/>
                <w:color w:val="auto"/>
                <w:highlight w:val="none"/>
                <w:lang w:val="en-US" w:eastAsia="zh-CN"/>
              </w:rPr>
              <w:t>的得6分；</w:t>
            </w:r>
          </w:p>
          <w:p w14:paraId="51DF8836">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2）防大气污染、</w:t>
            </w:r>
            <w:r>
              <w:rPr>
                <w:rFonts w:hint="eastAsia" w:ascii="宋体" w:hAnsi="宋体" w:cs="宋体"/>
                <w:color w:val="auto"/>
                <w:highlight w:val="none"/>
                <w:lang w:val="zh-CN" w:eastAsia="zh-CN"/>
              </w:rPr>
              <w:t>防噪声、防扬尘、防刺鼻气味等修复环境维护保障措施</w:t>
            </w:r>
            <w:r>
              <w:rPr>
                <w:rFonts w:hint="eastAsia" w:ascii="宋体" w:hAnsi="宋体" w:cs="宋体"/>
                <w:color w:val="auto"/>
                <w:highlight w:val="none"/>
                <w:lang w:val="en-US" w:eastAsia="zh-CN"/>
              </w:rPr>
              <w:t>基本</w:t>
            </w:r>
            <w:r>
              <w:rPr>
                <w:rFonts w:hint="eastAsia" w:ascii="宋体" w:hAnsi="宋体" w:cs="宋体"/>
                <w:color w:val="auto"/>
                <w:highlight w:val="none"/>
                <w:lang w:val="zh-CN" w:eastAsia="zh-CN"/>
              </w:rPr>
              <w:t>可行</w:t>
            </w:r>
            <w:r>
              <w:rPr>
                <w:rFonts w:hint="eastAsia" w:ascii="宋体" w:hAnsi="宋体" w:cs="宋体"/>
                <w:color w:val="auto"/>
                <w:highlight w:val="none"/>
                <w:lang w:val="en-US" w:eastAsia="zh-CN"/>
              </w:rPr>
              <w:t>的得4分；</w:t>
            </w:r>
          </w:p>
          <w:p w14:paraId="16EE30F1">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3）防大气污染、</w:t>
            </w:r>
            <w:r>
              <w:rPr>
                <w:rFonts w:hint="eastAsia" w:ascii="宋体" w:hAnsi="宋体" w:cs="宋体"/>
                <w:color w:val="auto"/>
                <w:highlight w:val="none"/>
                <w:lang w:val="zh-CN" w:eastAsia="zh-CN"/>
              </w:rPr>
              <w:t>防噪声、防扬尘、防刺鼻气味等修复环境维护保障措施</w:t>
            </w:r>
            <w:r>
              <w:rPr>
                <w:rFonts w:hint="eastAsia" w:ascii="宋体" w:hAnsi="宋体" w:cs="宋体"/>
                <w:color w:val="auto"/>
                <w:highlight w:val="none"/>
                <w:lang w:val="en-US" w:eastAsia="zh-CN"/>
              </w:rPr>
              <w:t>不</w:t>
            </w:r>
            <w:r>
              <w:rPr>
                <w:rFonts w:hint="eastAsia" w:ascii="宋体" w:hAnsi="宋体" w:cs="宋体"/>
                <w:color w:val="auto"/>
                <w:highlight w:val="none"/>
                <w:lang w:val="zh-CN" w:eastAsia="zh-CN"/>
              </w:rPr>
              <w:t>可行</w:t>
            </w:r>
            <w:r>
              <w:rPr>
                <w:rFonts w:hint="eastAsia" w:ascii="宋体" w:hAnsi="宋体" w:cs="宋体"/>
                <w:color w:val="auto"/>
                <w:highlight w:val="none"/>
                <w:lang w:val="en-US" w:eastAsia="zh-CN"/>
              </w:rPr>
              <w:t>的得2分；</w:t>
            </w:r>
          </w:p>
          <w:p w14:paraId="5BD1AB42">
            <w:pPr>
              <w:keepNext w:val="0"/>
              <w:keepLines w:val="0"/>
              <w:suppressLineNumbers w:val="0"/>
              <w:spacing w:before="0" w:beforeAutospacing="0" w:after="0" w:afterAutospacing="0" w:line="360" w:lineRule="auto"/>
              <w:ind w:left="0" w:right="0"/>
              <w:outlineLvl w:val="9"/>
              <w:rPr>
                <w:rFonts w:hint="default"/>
                <w:color w:val="auto"/>
                <w:highlight w:val="none"/>
                <w:lang w:val="en-US" w:eastAsia="zh-CN"/>
              </w:rPr>
            </w:pPr>
            <w:r>
              <w:rPr>
                <w:rFonts w:hint="eastAsia" w:ascii="宋体" w:hAnsi="宋体" w:cs="宋体"/>
                <w:color w:val="auto"/>
                <w:highlight w:val="none"/>
                <w:lang w:val="en-US" w:eastAsia="zh-CN"/>
              </w:rPr>
              <w:t>4）未提供的</w:t>
            </w:r>
            <w:r>
              <w:rPr>
                <w:rFonts w:hint="eastAsia" w:ascii="宋体" w:hAnsi="宋体" w:cs="宋体"/>
                <w:color w:val="auto"/>
                <w:highlight w:val="none"/>
                <w:lang w:val="zh-CN" w:eastAsia="zh-CN"/>
              </w:rPr>
              <w:t>本项不得分。</w:t>
            </w:r>
          </w:p>
        </w:tc>
        <w:tc>
          <w:tcPr>
            <w:tcW w:w="1084" w:type="dxa"/>
            <w:vAlign w:val="center"/>
          </w:tcPr>
          <w:p w14:paraId="0C188E1A">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s="宋体"/>
                <w:color w:val="auto"/>
                <w:szCs w:val="21"/>
                <w:highlight w:val="none"/>
                <w:lang w:val="en-US" w:eastAsia="zh-CN"/>
              </w:rPr>
              <w:t>主观分</w:t>
            </w:r>
          </w:p>
        </w:tc>
      </w:tr>
      <w:tr w14:paraId="5D64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215B3C4B">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7EC1F65F">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8.机械配备计划及保证措施</w:t>
            </w:r>
          </w:p>
          <w:p w14:paraId="7034EF02">
            <w:pPr>
              <w:keepNext w:val="0"/>
              <w:keepLines w:val="0"/>
              <w:suppressLineNumbers w:val="0"/>
              <w:spacing w:before="0" w:beforeAutospacing="0" w:after="0" w:afterAutospacing="0" w:line="360" w:lineRule="auto"/>
              <w:ind w:left="0" w:right="0"/>
              <w:outlineLvl w:val="9"/>
              <w:rPr>
                <w:rFonts w:hint="default" w:ascii="宋体" w:hAnsi="宋体" w:cs="宋体"/>
                <w:color w:val="auto"/>
                <w:highlight w:val="none"/>
                <w:lang w:val="en-US" w:eastAsia="zh-CN"/>
              </w:rPr>
            </w:pPr>
            <w:r>
              <w:rPr>
                <w:rFonts w:hint="default" w:ascii="宋体" w:hAnsi="宋体" w:cs="宋体"/>
                <w:color w:val="auto"/>
                <w:highlight w:val="none"/>
                <w:lang w:val="en-US" w:eastAsia="zh-CN"/>
              </w:rPr>
              <w:t>机械配备计划及保证措施（包含但不仅限于机械设备配置计划、设备管理制度及机械配备保证措施）等内容进行综合评议，最高得5分：</w:t>
            </w:r>
          </w:p>
          <w:p w14:paraId="6798D2E5">
            <w:pPr>
              <w:keepNext w:val="0"/>
              <w:keepLines w:val="0"/>
              <w:suppressLineNumbers w:val="0"/>
              <w:spacing w:before="0" w:beforeAutospacing="0" w:after="0" w:afterAutospacing="0" w:line="360" w:lineRule="auto"/>
              <w:ind w:left="0" w:right="0"/>
              <w:outlineLvl w:val="9"/>
              <w:rPr>
                <w:rFonts w:hint="default" w:ascii="宋体" w:hAnsi="宋体" w:cs="宋体"/>
                <w:color w:val="auto"/>
                <w:highlight w:val="none"/>
                <w:lang w:val="en-US" w:eastAsia="zh-CN"/>
              </w:rPr>
            </w:pPr>
            <w:r>
              <w:rPr>
                <w:rFonts w:hint="default" w:ascii="宋体" w:hAnsi="宋体" w:cs="宋体"/>
                <w:color w:val="auto"/>
                <w:highlight w:val="none"/>
                <w:lang w:val="en-US" w:eastAsia="zh-CN"/>
              </w:rPr>
              <w:t>1）机械设备配置计划详细周密，设备管理制度合理，机械配备保证措施完善的得5分；</w:t>
            </w:r>
          </w:p>
          <w:p w14:paraId="05A1933C">
            <w:pPr>
              <w:keepNext w:val="0"/>
              <w:keepLines w:val="0"/>
              <w:suppressLineNumbers w:val="0"/>
              <w:spacing w:before="0" w:beforeAutospacing="0" w:after="0" w:afterAutospacing="0" w:line="360" w:lineRule="auto"/>
              <w:ind w:left="0" w:right="0"/>
              <w:outlineLvl w:val="9"/>
              <w:rPr>
                <w:rFonts w:hint="default" w:ascii="宋体" w:hAnsi="宋体" w:cs="宋体"/>
                <w:color w:val="auto"/>
                <w:highlight w:val="none"/>
                <w:lang w:val="en-US" w:eastAsia="zh-CN"/>
              </w:rPr>
            </w:pPr>
            <w:r>
              <w:rPr>
                <w:rFonts w:hint="default" w:ascii="宋体" w:hAnsi="宋体" w:cs="宋体"/>
                <w:color w:val="auto"/>
                <w:highlight w:val="none"/>
                <w:lang w:val="en-US" w:eastAsia="zh-CN"/>
              </w:rPr>
              <w:t>2）机械设备配置计划较完善，设备管理制度基本符合要求，机械配备保证措施较完善的得3分；</w:t>
            </w:r>
          </w:p>
          <w:p w14:paraId="51FC41D0">
            <w:pPr>
              <w:keepNext w:val="0"/>
              <w:keepLines w:val="0"/>
              <w:suppressLineNumbers w:val="0"/>
              <w:spacing w:before="0" w:beforeAutospacing="0" w:after="0" w:afterAutospacing="0" w:line="360" w:lineRule="auto"/>
              <w:ind w:left="0" w:right="0"/>
              <w:outlineLvl w:val="9"/>
              <w:rPr>
                <w:rFonts w:hint="default" w:ascii="宋体" w:hAnsi="宋体" w:cs="宋体"/>
                <w:color w:val="auto"/>
                <w:highlight w:val="none"/>
                <w:lang w:val="en-US" w:eastAsia="zh-CN"/>
              </w:rPr>
            </w:pPr>
            <w:r>
              <w:rPr>
                <w:rFonts w:hint="default" w:ascii="宋体" w:hAnsi="宋体" w:cs="宋体"/>
                <w:color w:val="auto"/>
                <w:highlight w:val="none"/>
                <w:lang w:val="en-US" w:eastAsia="zh-CN"/>
              </w:rPr>
              <w:t>3）机械设备配置计划及设备管理制度不合理，机械配备保证措施不完善的得1分；</w:t>
            </w:r>
          </w:p>
          <w:p w14:paraId="51DFE1EB">
            <w:pPr>
              <w:keepNext w:val="0"/>
              <w:keepLines w:val="0"/>
              <w:suppressLineNumbers w:val="0"/>
              <w:spacing w:before="0" w:beforeAutospacing="0" w:after="0" w:afterAutospacing="0" w:line="360" w:lineRule="auto"/>
              <w:ind w:left="0" w:right="0"/>
              <w:outlineLvl w:val="9"/>
              <w:rPr>
                <w:rFonts w:hint="default"/>
                <w:color w:val="auto"/>
                <w:highlight w:val="none"/>
                <w:lang w:val="en-US" w:eastAsia="zh-CN"/>
              </w:rPr>
            </w:pPr>
            <w:r>
              <w:rPr>
                <w:rFonts w:hint="default" w:ascii="宋体" w:hAnsi="宋体" w:cs="宋体"/>
                <w:color w:val="auto"/>
                <w:highlight w:val="none"/>
                <w:lang w:val="en-US" w:eastAsia="zh-CN"/>
              </w:rPr>
              <w:t>4）未提供的本项不得分。</w:t>
            </w:r>
          </w:p>
        </w:tc>
        <w:tc>
          <w:tcPr>
            <w:tcW w:w="1084" w:type="dxa"/>
            <w:vAlign w:val="center"/>
          </w:tcPr>
          <w:p w14:paraId="472A78A5">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s="宋体"/>
                <w:color w:val="auto"/>
                <w:szCs w:val="21"/>
                <w:highlight w:val="none"/>
                <w:lang w:val="en-US" w:eastAsia="zh-CN"/>
              </w:rPr>
              <w:t>主观分</w:t>
            </w:r>
          </w:p>
        </w:tc>
      </w:tr>
      <w:tr w14:paraId="0255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36C491FF">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13204C33">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9.修复后土壤的处置方案</w:t>
            </w:r>
          </w:p>
          <w:p w14:paraId="64314A6B">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结合本项目所在地区，本项目实际情况，提出切实可行、符合实际情况的修复后土壤处置方案</w:t>
            </w:r>
            <w:r>
              <w:rPr>
                <w:rFonts w:hint="default" w:ascii="宋体" w:hAnsi="宋体" w:cs="宋体"/>
                <w:color w:val="auto"/>
                <w:highlight w:val="none"/>
                <w:lang w:val="en-US" w:eastAsia="zh-CN"/>
              </w:rPr>
              <w:t>等内容进行综合评议，最高得5分</w:t>
            </w:r>
            <w:r>
              <w:rPr>
                <w:rFonts w:hint="eastAsia" w:ascii="宋体" w:hAnsi="宋体" w:cs="宋体"/>
                <w:color w:val="auto"/>
                <w:highlight w:val="none"/>
                <w:lang w:val="en-US" w:eastAsia="zh-CN"/>
              </w:rPr>
              <w:t>。</w:t>
            </w:r>
          </w:p>
          <w:p w14:paraId="361A9E65">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场地选择充分考虑土壤处置需求、周边环境敏感点、交通便利性等因素，符合国家及地方关于土壤处置场地选址的法律法规和标准要求，场地条件（如地质结构、水文地质条件等）适宜土壤处置，能有效防止土壤污染对地下水和周边土壤的二次污染的得5分；</w:t>
            </w:r>
          </w:p>
          <w:p w14:paraId="313BA5AB">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场地选择在一定程度上能满足土壤处置需求，但未完全符合所有相关标准和规范，可能存在一定的环境风险，如与周边环境敏感点距离较近，但采取了一定的防护措施的得3分；</w:t>
            </w:r>
          </w:p>
          <w:p w14:paraId="305D6AB3">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场地选择明显不符合土壤处置要求，存在严重环境安全隐患，如位于饮用水源保护区、基本农田保护区等环境敏感区域，或场地条件不利于土壤处置，可能导致土壤污染扩散的得1分。</w:t>
            </w:r>
          </w:p>
          <w:p w14:paraId="3A0A3F21">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注：供应商根据处置方案的内容需提供场地选择的相关证明材料。</w:t>
            </w:r>
          </w:p>
        </w:tc>
        <w:tc>
          <w:tcPr>
            <w:tcW w:w="1084" w:type="dxa"/>
            <w:vAlign w:val="center"/>
          </w:tcPr>
          <w:p w14:paraId="35E03679">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lang w:val="en-US" w:eastAsia="zh-CN"/>
              </w:rPr>
            </w:pPr>
            <w:r>
              <w:rPr>
                <w:rFonts w:hint="eastAsia" w:ascii="宋体"/>
                <w:color w:val="auto"/>
                <w:szCs w:val="21"/>
                <w:highlight w:val="none"/>
                <w:lang w:val="en-US" w:eastAsia="zh-CN"/>
              </w:rPr>
              <w:t>主观分</w:t>
            </w:r>
          </w:p>
        </w:tc>
      </w:tr>
      <w:tr w14:paraId="2B82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64F0D93E">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6306867C">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10.现场踏勘</w:t>
            </w:r>
          </w:p>
          <w:p w14:paraId="11BDD503">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eastAsia="宋体" w:cs="宋体"/>
                <w:color w:val="auto"/>
                <w:highlight w:val="none"/>
              </w:rPr>
              <w:t>供应商</w:t>
            </w:r>
            <w:r>
              <w:rPr>
                <w:rFonts w:hint="eastAsia" w:ascii="宋体" w:hAnsi="宋体" w:cs="宋体"/>
                <w:color w:val="auto"/>
                <w:highlight w:val="none"/>
                <w:lang w:val="en-US" w:eastAsia="zh-CN"/>
              </w:rPr>
              <w:t>是否进行现场踏勘，踏勘得2分。</w:t>
            </w:r>
          </w:p>
          <w:p w14:paraId="15408C7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cs="宋体"/>
                <w:color w:val="auto"/>
                <w:highlight w:val="none"/>
                <w:lang w:val="en-US" w:eastAsia="zh-CN"/>
              </w:rPr>
              <w:t>投标文件中提供现场踏勘证明材料（现场踏勘证明材料包括现场照片和投标人（来往船票或其他佐证材料））复印件并加盖投标人公章，不提供不得分。</w:t>
            </w:r>
          </w:p>
        </w:tc>
        <w:tc>
          <w:tcPr>
            <w:tcW w:w="1084" w:type="dxa"/>
            <w:vAlign w:val="center"/>
          </w:tcPr>
          <w:p w14:paraId="62FF3EEE">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olor w:val="auto"/>
                <w:szCs w:val="21"/>
                <w:highlight w:val="none"/>
                <w:lang w:val="en-US" w:eastAsia="zh-CN"/>
              </w:rPr>
              <w:t>客观分</w:t>
            </w:r>
          </w:p>
        </w:tc>
      </w:tr>
      <w:tr w14:paraId="79EB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4220FC4D">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71ADC497">
            <w:pPr>
              <w:keepNext w:val="0"/>
              <w:keepLines w:val="0"/>
              <w:numPr>
                <w:ilvl w:val="0"/>
                <w:numId w:val="0"/>
              </w:numPr>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类似项目经验</w:t>
            </w:r>
          </w:p>
          <w:p w14:paraId="0CB4E9C4">
            <w:pPr>
              <w:keepNext w:val="0"/>
              <w:keepLines w:val="0"/>
              <w:numPr>
                <w:ilvl w:val="0"/>
                <w:numId w:val="0"/>
              </w:numPr>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供应商近3年以来（自202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年1月1日起）完成过土壤污染修复</w:t>
            </w:r>
            <w:r>
              <w:rPr>
                <w:rFonts w:hint="eastAsia" w:ascii="宋体" w:hAnsi="宋体" w:cs="宋体"/>
                <w:color w:val="auto"/>
                <w:highlight w:val="none"/>
                <w:lang w:val="en-US" w:eastAsia="zh-CN"/>
              </w:rPr>
              <w:t>或</w:t>
            </w:r>
            <w:r>
              <w:rPr>
                <w:rFonts w:hint="eastAsia" w:ascii="宋体" w:hAnsi="宋体" w:cs="宋体"/>
                <w:color w:val="auto"/>
                <w:szCs w:val="21"/>
                <w:highlight w:val="none"/>
              </w:rPr>
              <w:t>地下水污染修复</w:t>
            </w:r>
            <w:r>
              <w:rPr>
                <w:rFonts w:hint="eastAsia" w:ascii="宋体" w:hAnsi="宋体" w:eastAsia="宋体" w:cs="宋体"/>
                <w:color w:val="auto"/>
                <w:highlight w:val="none"/>
              </w:rPr>
              <w:t>业绩的，提供一个项目业绩得</w:t>
            </w:r>
            <w:r>
              <w:rPr>
                <w:rFonts w:hint="eastAsia" w:ascii="宋体" w:hAnsi="宋体" w:cs="宋体"/>
                <w:color w:val="auto"/>
                <w:highlight w:val="none"/>
                <w:lang w:val="en-US" w:eastAsia="zh-CN"/>
              </w:rPr>
              <w:t>0.5</w:t>
            </w:r>
            <w:r>
              <w:rPr>
                <w:rFonts w:hint="eastAsia" w:ascii="宋体" w:hAnsi="宋体" w:eastAsia="宋体" w:cs="宋体"/>
                <w:color w:val="auto"/>
                <w:highlight w:val="none"/>
              </w:rPr>
              <w:t>分，最高得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14:paraId="5180A595">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注：完成时间以竣工验收时间为准，证明材料包括合同及竣工验收资料。若在合同或竣工验收资料中均不能体现评审因素，可提供以下其中一种证明资料：①环保主管部门证明，②建设单位证明。</w:t>
            </w:r>
          </w:p>
          <w:p w14:paraId="2C15AE2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以上资料提供不全或不符合要求的项目不予认可。</w:t>
            </w:r>
          </w:p>
        </w:tc>
        <w:tc>
          <w:tcPr>
            <w:tcW w:w="1084" w:type="dxa"/>
            <w:vAlign w:val="center"/>
          </w:tcPr>
          <w:p w14:paraId="1216A2BA">
            <w:pPr>
              <w:keepNext w:val="0"/>
              <w:keepLines w:val="0"/>
              <w:suppressLineNumbers w:val="0"/>
              <w:spacing w:before="0" w:beforeAutospacing="0" w:after="0" w:afterAutospacing="0" w:line="360" w:lineRule="exact"/>
              <w:ind w:left="0" w:right="0"/>
              <w:jc w:val="center"/>
              <w:outlineLvl w:val="9"/>
              <w:rPr>
                <w:rFonts w:hint="default" w:ascii="宋体" w:eastAsia="宋体"/>
                <w:color w:val="auto"/>
                <w:szCs w:val="21"/>
                <w:highlight w:val="none"/>
                <w:lang w:val="en-US" w:eastAsia="zh-CN"/>
              </w:rPr>
            </w:pPr>
            <w:r>
              <w:rPr>
                <w:rFonts w:hint="eastAsia" w:ascii="宋体"/>
                <w:color w:val="auto"/>
                <w:szCs w:val="21"/>
                <w:highlight w:val="none"/>
                <w:lang w:val="en-US" w:eastAsia="zh-CN"/>
              </w:rPr>
              <w:t>客观分</w:t>
            </w:r>
          </w:p>
        </w:tc>
      </w:tr>
      <w:tr w14:paraId="6B37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5A207E5C">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19A4A337">
            <w:pPr>
              <w:keepNext w:val="0"/>
              <w:keepLines w:val="0"/>
              <w:numPr>
                <w:ilvl w:val="0"/>
                <w:numId w:val="0"/>
              </w:numPr>
              <w:suppressLineNumbers w:val="0"/>
              <w:spacing w:before="0" w:beforeAutospacing="0" w:after="0" w:afterAutospacing="0" w:line="360" w:lineRule="auto"/>
              <w:ind w:left="0" w:leftChars="0" w:right="0"/>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12.认证证书</w:t>
            </w:r>
          </w:p>
          <w:p w14:paraId="66A4E237">
            <w:pPr>
              <w:keepNext w:val="0"/>
              <w:keepLines w:val="0"/>
              <w:numPr>
                <w:ilvl w:val="0"/>
                <w:numId w:val="0"/>
              </w:numPr>
              <w:suppressLineNumbers w:val="0"/>
              <w:spacing w:before="0" w:beforeAutospacing="0" w:after="0" w:afterAutospacing="0" w:line="360" w:lineRule="auto"/>
              <w:ind w:left="0" w:leftChars="0" w:right="0"/>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供应商具有有效内的质量管理体系认证证书的得1分；</w:t>
            </w:r>
          </w:p>
          <w:p w14:paraId="2E3D8146">
            <w:pPr>
              <w:keepNext w:val="0"/>
              <w:keepLines w:val="0"/>
              <w:numPr>
                <w:ilvl w:val="0"/>
                <w:numId w:val="0"/>
              </w:numPr>
              <w:suppressLineNumbers w:val="0"/>
              <w:spacing w:before="0" w:beforeAutospacing="0" w:after="0" w:afterAutospacing="0" w:line="360" w:lineRule="auto"/>
              <w:ind w:left="0" w:leftChars="0" w:right="0"/>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供应商具有有效内的环境管理体系认证证书的得1分；</w:t>
            </w:r>
          </w:p>
          <w:p w14:paraId="15C967A4">
            <w:pPr>
              <w:keepNext w:val="0"/>
              <w:keepLines w:val="0"/>
              <w:numPr>
                <w:ilvl w:val="0"/>
                <w:numId w:val="0"/>
              </w:numPr>
              <w:suppressLineNumbers w:val="0"/>
              <w:spacing w:before="0" w:beforeAutospacing="0" w:after="0" w:afterAutospacing="0" w:line="360" w:lineRule="auto"/>
              <w:ind w:left="0" w:leftChars="0" w:right="0"/>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供应商具有有效内的职业健康安全管理体系认证证书的得1分；</w:t>
            </w:r>
          </w:p>
          <w:p w14:paraId="2557CC48">
            <w:pPr>
              <w:keepNext w:val="0"/>
              <w:keepLines w:val="0"/>
              <w:numPr>
                <w:ilvl w:val="0"/>
                <w:numId w:val="0"/>
              </w:numPr>
              <w:suppressLineNumbers w:val="0"/>
              <w:spacing w:before="0" w:beforeAutospacing="0" w:after="0" w:afterAutospacing="0" w:line="360" w:lineRule="auto"/>
              <w:ind w:left="0" w:leftChars="0" w:right="0"/>
              <w:outlineLvl w:val="9"/>
              <w:rPr>
                <w:rFonts w:hint="default" w:ascii="宋体" w:hAnsi="宋体" w:eastAsia="宋体" w:cs="宋体"/>
                <w:color w:val="auto"/>
                <w:szCs w:val="21"/>
                <w:highlight w:val="none"/>
                <w:lang w:val="en-US" w:eastAsia="zh-CN"/>
              </w:rPr>
            </w:pPr>
            <w:r>
              <w:rPr>
                <w:rFonts w:hint="eastAsia" w:ascii="宋体" w:hAnsi="宋体" w:cs="宋体"/>
                <w:b w:val="0"/>
                <w:bCs w:val="0"/>
                <w:color w:val="auto"/>
                <w:szCs w:val="21"/>
                <w:highlight w:val="none"/>
              </w:rPr>
              <w:t>注：</w:t>
            </w:r>
            <w:r>
              <w:rPr>
                <w:rFonts w:hint="eastAsia" w:ascii="宋体" w:hAnsi="宋体" w:eastAsia="宋体" w:cs="宋体"/>
                <w:b w:val="0"/>
                <w:bCs w:val="0"/>
                <w:color w:val="auto"/>
                <w:szCs w:val="21"/>
                <w:highlight w:val="none"/>
              </w:rPr>
              <w:t>投标文件中需提供有效的认证证书扫描件或复印件，认证范围应包含不限于</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土壤和</w:t>
            </w:r>
            <w:r>
              <w:rPr>
                <w:rFonts w:hint="eastAsia" w:ascii="宋体" w:hAnsi="宋体" w:cs="宋体"/>
                <w:b w:val="0"/>
                <w:bCs w:val="0"/>
                <w:color w:val="auto"/>
                <w:szCs w:val="21"/>
                <w:highlight w:val="none"/>
                <w:lang w:val="en-US" w:eastAsia="zh-CN"/>
              </w:rPr>
              <w:t>地下水</w:t>
            </w:r>
            <w:r>
              <w:rPr>
                <w:rFonts w:hint="eastAsia" w:ascii="宋体" w:hAnsi="宋体" w:eastAsia="宋体" w:cs="宋体"/>
                <w:b w:val="0"/>
                <w:bCs w:val="0"/>
                <w:color w:val="auto"/>
                <w:szCs w:val="21"/>
                <w:highlight w:val="none"/>
                <w:lang w:val="en-US" w:eastAsia="zh-CN"/>
              </w:rPr>
              <w:t>、污染治理修复工程等相关内容”描述，</w:t>
            </w:r>
            <w:r>
              <w:rPr>
                <w:rFonts w:hint="eastAsia" w:ascii="宋体" w:hAnsi="宋体" w:eastAsia="宋体" w:cs="宋体"/>
                <w:b w:val="0"/>
                <w:bCs w:val="0"/>
                <w:color w:val="auto"/>
                <w:szCs w:val="21"/>
                <w:highlight w:val="none"/>
              </w:rPr>
              <w:t>以及证书在“全国认证认可信息公共服务平台”查询状态为“有效”的网页截图扫描件加盖供应商公章。</w:t>
            </w:r>
          </w:p>
        </w:tc>
        <w:tc>
          <w:tcPr>
            <w:tcW w:w="1084" w:type="dxa"/>
            <w:vAlign w:val="center"/>
          </w:tcPr>
          <w:p w14:paraId="3B109B31">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olor w:val="auto"/>
                <w:szCs w:val="21"/>
                <w:highlight w:val="none"/>
                <w:lang w:val="en-US" w:eastAsia="zh-CN"/>
              </w:rPr>
              <w:t>客观分</w:t>
            </w:r>
          </w:p>
        </w:tc>
      </w:tr>
      <w:tr w14:paraId="40B3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39AE6641">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20DCD66C">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13.项目经理</w:t>
            </w:r>
          </w:p>
          <w:p w14:paraId="25C07EB2">
            <w:pPr>
              <w:keepNext w:val="0"/>
              <w:keepLines w:val="0"/>
              <w:suppressLineNumbers w:val="0"/>
              <w:spacing w:before="0" w:beforeAutospacing="0" w:after="0" w:afterAutospacing="0" w:line="360" w:lineRule="auto"/>
              <w:ind w:left="0" w:right="0"/>
              <w:outlineLvl w:val="9"/>
              <w:rPr>
                <w:rFonts w:hint="eastAsia" w:ascii="宋体" w:hAnsi="宋体" w:cs="宋体"/>
                <w:color w:val="auto"/>
                <w:szCs w:val="21"/>
                <w:highlight w:val="none"/>
              </w:rPr>
            </w:pPr>
            <w:r>
              <w:rPr>
                <w:rFonts w:hint="eastAsia" w:ascii="宋体" w:hAnsi="宋体" w:cs="宋体"/>
                <w:color w:val="auto"/>
                <w:szCs w:val="21"/>
                <w:highlight w:val="none"/>
              </w:rPr>
              <w:t>供应商拟派本项目的</w:t>
            </w:r>
            <w:r>
              <w:rPr>
                <w:rFonts w:hint="eastAsia" w:ascii="宋体" w:hAnsi="宋体" w:cs="宋体"/>
                <w:color w:val="auto"/>
                <w:szCs w:val="21"/>
                <w:highlight w:val="none"/>
                <w:lang w:val="en-US" w:eastAsia="zh-CN"/>
              </w:rPr>
              <w:t>项目经理</w:t>
            </w: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环保类</w:t>
            </w:r>
            <w:r>
              <w:rPr>
                <w:rFonts w:hint="eastAsia" w:ascii="宋体" w:hAnsi="宋体" w:cs="宋体"/>
                <w:color w:val="auto"/>
                <w:szCs w:val="21"/>
                <w:highlight w:val="none"/>
              </w:rPr>
              <w:t>相关专业工程师的得1分，具有</w:t>
            </w:r>
            <w:r>
              <w:rPr>
                <w:rFonts w:hint="eastAsia" w:ascii="宋体" w:hAnsi="宋体" w:cs="宋体"/>
                <w:color w:val="auto"/>
                <w:szCs w:val="21"/>
                <w:highlight w:val="none"/>
                <w:lang w:val="en-US" w:eastAsia="zh-CN"/>
              </w:rPr>
              <w:t>环保类</w:t>
            </w:r>
            <w:r>
              <w:rPr>
                <w:rFonts w:hint="eastAsia" w:ascii="宋体" w:hAnsi="宋体" w:cs="宋体"/>
                <w:color w:val="auto"/>
                <w:szCs w:val="21"/>
                <w:highlight w:val="none"/>
              </w:rPr>
              <w:t>相关专业高级工程师</w:t>
            </w:r>
            <w:r>
              <w:rPr>
                <w:rFonts w:hint="eastAsia" w:ascii="宋体" w:hAnsi="宋体" w:cs="宋体"/>
                <w:color w:val="auto"/>
                <w:szCs w:val="21"/>
                <w:highlight w:val="none"/>
                <w:lang w:val="en-US" w:eastAsia="zh-CN"/>
              </w:rPr>
              <w:t>及以上职称</w:t>
            </w:r>
            <w:r>
              <w:rPr>
                <w:rFonts w:hint="eastAsia" w:ascii="宋体" w:hAnsi="宋体" w:cs="宋体"/>
                <w:color w:val="auto"/>
                <w:szCs w:val="21"/>
                <w:highlight w:val="none"/>
              </w:rPr>
              <w:t>的得3分，不累计得分，本项最高得3分。</w:t>
            </w:r>
          </w:p>
          <w:p w14:paraId="33F7012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eastAsia="zh-CN"/>
              </w:rPr>
            </w:pPr>
            <w:r>
              <w:rPr>
                <w:rFonts w:hint="eastAsia" w:ascii="宋体" w:hAnsi="宋体" w:cs="宋体"/>
                <w:color w:val="auto"/>
                <w:szCs w:val="21"/>
                <w:highlight w:val="none"/>
              </w:rPr>
              <w:t>注：投标文件附职称证书复印件，并提供</w:t>
            </w:r>
            <w:r>
              <w:rPr>
                <w:rFonts w:hint="eastAsia" w:ascii="宋体" w:hAnsi="宋体" w:cs="宋体"/>
                <w:color w:val="auto"/>
                <w:szCs w:val="21"/>
                <w:highlight w:val="none"/>
                <w:lang w:val="en-US" w:eastAsia="zh-CN"/>
              </w:rPr>
              <w:t>2025年3月、4月、5月</w:t>
            </w:r>
            <w:r>
              <w:rPr>
                <w:rFonts w:hint="eastAsia" w:ascii="宋体" w:hAnsi="宋体" w:cs="宋体"/>
                <w:color w:val="auto"/>
                <w:szCs w:val="21"/>
                <w:highlight w:val="none"/>
              </w:rPr>
              <w:t>供应商为其缴纳社保的证明资料，未按要求提供的不得分。</w:t>
            </w:r>
          </w:p>
        </w:tc>
        <w:tc>
          <w:tcPr>
            <w:tcW w:w="1084" w:type="dxa"/>
            <w:vAlign w:val="center"/>
          </w:tcPr>
          <w:p w14:paraId="0374103F">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olor w:val="auto"/>
                <w:szCs w:val="21"/>
                <w:highlight w:val="none"/>
                <w:lang w:val="en-US" w:eastAsia="zh-CN"/>
              </w:rPr>
              <w:t>客观分</w:t>
            </w:r>
          </w:p>
        </w:tc>
      </w:tr>
      <w:tr w14:paraId="14F3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4E1D9884">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062F568B">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项目经理答辩</w:t>
            </w:r>
          </w:p>
          <w:p w14:paraId="0C6D7F2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评标委员会就工程管理及施工组织等方面对供应商</w:t>
            </w:r>
            <w:r>
              <w:rPr>
                <w:rFonts w:hint="eastAsia" w:ascii="宋体" w:hAnsi="宋体" w:cs="宋体"/>
                <w:color w:val="auto"/>
                <w:szCs w:val="21"/>
                <w:highlight w:val="none"/>
                <w:lang w:val="en-US" w:eastAsia="zh-CN"/>
              </w:rPr>
              <w:t>拟派项目经理</w:t>
            </w:r>
            <w:r>
              <w:rPr>
                <w:rFonts w:hint="eastAsia" w:ascii="宋体" w:hAnsi="宋体" w:eastAsia="宋体" w:cs="宋体"/>
                <w:color w:val="auto"/>
                <w:szCs w:val="21"/>
                <w:highlight w:val="none"/>
                <w:lang w:val="en-US" w:eastAsia="zh-CN"/>
              </w:rPr>
              <w:t>进行问询，根据供应商</w:t>
            </w:r>
            <w:r>
              <w:rPr>
                <w:rFonts w:hint="eastAsia" w:ascii="宋体" w:hAnsi="宋体" w:cs="宋体"/>
                <w:color w:val="auto"/>
                <w:szCs w:val="21"/>
                <w:highlight w:val="none"/>
                <w:lang w:val="en-US" w:eastAsia="zh-CN"/>
              </w:rPr>
              <w:t>拟派项目经理</w:t>
            </w:r>
            <w:r>
              <w:rPr>
                <w:rFonts w:hint="eastAsia" w:ascii="宋体" w:hAnsi="宋体" w:eastAsia="宋体" w:cs="宋体"/>
                <w:color w:val="auto"/>
                <w:szCs w:val="21"/>
                <w:highlight w:val="none"/>
                <w:lang w:val="en-US" w:eastAsia="zh-CN"/>
              </w:rPr>
              <w:t>答辩情况（专业性、对项目的了解及逻辑清晰度等方面）酌情打分，满分为5分。</w:t>
            </w:r>
          </w:p>
          <w:p w14:paraId="78A87ED8">
            <w:pPr>
              <w:keepNext w:val="0"/>
              <w:keepLines w:val="0"/>
              <w:suppressLineNumbers w:val="0"/>
              <w:spacing w:before="0" w:beforeAutospacing="0" w:after="0" w:afterAutospacing="0" w:line="360" w:lineRule="auto"/>
              <w:ind w:left="0" w:right="0"/>
              <w:outlineLvl w:val="9"/>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cs="宋体"/>
                <w:color w:val="auto"/>
                <w:szCs w:val="21"/>
                <w:highlight w:val="none"/>
                <w:lang w:val="en-US" w:eastAsia="zh-CN"/>
              </w:rPr>
              <w:t>拟派项目经理需携带身份证和投标人为其缴纳的2025年3月、4月、5月</w:t>
            </w:r>
            <w:r>
              <w:rPr>
                <w:rFonts w:hint="eastAsia" w:ascii="宋体" w:hAnsi="宋体" w:cs="宋体"/>
                <w:color w:val="auto"/>
                <w:szCs w:val="21"/>
                <w:highlight w:val="none"/>
              </w:rPr>
              <w:t>社保证明资料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拟派项目经理</w:t>
            </w:r>
            <w:r>
              <w:rPr>
                <w:rFonts w:hint="eastAsia" w:ascii="宋体" w:hAnsi="宋体" w:eastAsia="宋体" w:cs="宋体"/>
                <w:color w:val="auto"/>
                <w:szCs w:val="21"/>
                <w:highlight w:val="none"/>
                <w:lang w:val="en-US" w:eastAsia="zh-CN"/>
              </w:rPr>
              <w:t>未参加答辩的不得分</w:t>
            </w:r>
            <w:r>
              <w:rPr>
                <w:rFonts w:hint="eastAsia" w:ascii="宋体" w:hAnsi="宋体" w:cs="宋体"/>
                <w:color w:val="auto"/>
                <w:szCs w:val="21"/>
                <w:highlight w:val="none"/>
                <w:lang w:val="en-US" w:eastAsia="zh-CN"/>
              </w:rPr>
              <w:t>。</w:t>
            </w:r>
          </w:p>
          <w:p w14:paraId="08AAA4C8">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答辩地点：浙江省舟山市嵊泗县农贸市场5楼开标室（二），供应商拟派项目经理应于开标截止时间前到指定地点（浙江省舟山市嵊泗县农贸市场5楼开标室（二））签到，未签到或是投标截止时间后抵达答辩地点的本项不得分。</w:t>
            </w:r>
          </w:p>
        </w:tc>
        <w:tc>
          <w:tcPr>
            <w:tcW w:w="1084" w:type="dxa"/>
            <w:vAlign w:val="center"/>
          </w:tcPr>
          <w:p w14:paraId="01C0BB8E">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s="宋体"/>
                <w:color w:val="auto"/>
                <w:szCs w:val="21"/>
                <w:highlight w:val="none"/>
                <w:lang w:val="en-US" w:eastAsia="zh-CN"/>
              </w:rPr>
              <w:t>主观分</w:t>
            </w:r>
          </w:p>
        </w:tc>
      </w:tr>
      <w:tr w14:paraId="3B16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2B64FD83">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0FBEB9C0">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15.项目组成员</w:t>
            </w:r>
          </w:p>
          <w:p w14:paraId="5363FE4B">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供应商拟派本项目组</w:t>
            </w:r>
            <w:r>
              <w:rPr>
                <w:rFonts w:hint="eastAsia" w:ascii="宋体" w:hAnsi="宋体" w:cs="宋体"/>
                <w:color w:val="auto"/>
                <w:highlight w:val="none"/>
                <w:lang w:val="en-US" w:eastAsia="zh-CN"/>
              </w:rPr>
              <w:t>成员</w:t>
            </w:r>
            <w:r>
              <w:rPr>
                <w:rFonts w:hint="default" w:ascii="宋体" w:hAnsi="宋体" w:eastAsia="宋体" w:cs="宋体"/>
                <w:color w:val="auto"/>
                <w:highlight w:val="none"/>
                <w:lang w:val="en-US" w:eastAsia="zh-CN"/>
              </w:rPr>
              <w:t>（</w:t>
            </w:r>
            <w:r>
              <w:rPr>
                <w:rFonts w:hint="eastAsia" w:ascii="宋体" w:hAnsi="宋体" w:cs="宋体"/>
                <w:color w:val="auto"/>
                <w:szCs w:val="21"/>
                <w:highlight w:val="none"/>
                <w:lang w:val="en-US" w:eastAsia="zh-CN"/>
              </w:rPr>
              <w:t>项目经理</w:t>
            </w:r>
            <w:r>
              <w:rPr>
                <w:rFonts w:hint="default" w:ascii="宋体" w:hAnsi="宋体" w:eastAsia="宋体" w:cs="宋体"/>
                <w:color w:val="auto"/>
                <w:highlight w:val="none"/>
                <w:lang w:val="en-US" w:eastAsia="zh-CN"/>
              </w:rPr>
              <w:t>除外）具有</w:t>
            </w:r>
            <w:r>
              <w:rPr>
                <w:rFonts w:hint="eastAsia" w:ascii="宋体" w:hAnsi="宋体" w:cs="宋体"/>
                <w:color w:val="auto"/>
                <w:szCs w:val="21"/>
                <w:highlight w:val="none"/>
                <w:lang w:val="en-US" w:eastAsia="zh-CN"/>
              </w:rPr>
              <w:t>环保类</w:t>
            </w:r>
            <w:r>
              <w:rPr>
                <w:rFonts w:hint="eastAsia" w:ascii="宋体" w:hAnsi="宋体" w:cs="宋体"/>
                <w:color w:val="auto"/>
                <w:szCs w:val="21"/>
                <w:highlight w:val="none"/>
              </w:rPr>
              <w:t>相关专业</w:t>
            </w:r>
            <w:r>
              <w:rPr>
                <w:rFonts w:hint="default" w:ascii="宋体" w:hAnsi="宋体" w:eastAsia="宋体" w:cs="宋体"/>
                <w:color w:val="auto"/>
                <w:highlight w:val="none"/>
                <w:lang w:val="en-US" w:eastAsia="zh-CN"/>
              </w:rPr>
              <w:t>工程师及以上的，每提供一位的得1分，本项最高得</w:t>
            </w:r>
            <w:r>
              <w:rPr>
                <w:rFonts w:hint="eastAsia" w:ascii="宋体" w:hAnsi="宋体" w:cs="宋体"/>
                <w:color w:val="auto"/>
                <w:highlight w:val="none"/>
                <w:lang w:val="en-US" w:eastAsia="zh-CN"/>
              </w:rPr>
              <w:t>3</w:t>
            </w:r>
            <w:r>
              <w:rPr>
                <w:rFonts w:hint="default" w:ascii="宋体" w:hAnsi="宋体" w:eastAsia="宋体" w:cs="宋体"/>
                <w:color w:val="auto"/>
                <w:highlight w:val="none"/>
                <w:lang w:val="en-US" w:eastAsia="zh-CN"/>
              </w:rPr>
              <w:t>分。</w:t>
            </w:r>
          </w:p>
          <w:p w14:paraId="030B5769">
            <w:pPr>
              <w:keepNext w:val="0"/>
              <w:keepLines w:val="0"/>
              <w:suppressLineNumbers w:val="0"/>
              <w:spacing w:before="0" w:beforeAutospacing="0" w:after="0" w:afterAutospacing="0" w:line="360" w:lineRule="auto"/>
              <w:ind w:left="0" w:right="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注：投标文件附职称证书复印件，并提供</w:t>
            </w:r>
            <w:r>
              <w:rPr>
                <w:rFonts w:hint="eastAsia" w:ascii="宋体" w:hAnsi="宋体" w:cs="宋体"/>
                <w:color w:val="auto"/>
                <w:szCs w:val="21"/>
                <w:highlight w:val="none"/>
                <w:lang w:val="en-US" w:eastAsia="zh-CN"/>
              </w:rPr>
              <w:t>2025年3月、4月、5月</w:t>
            </w:r>
            <w:r>
              <w:rPr>
                <w:rFonts w:hint="eastAsia" w:ascii="宋体" w:hAnsi="宋体" w:cs="宋体"/>
                <w:color w:val="auto"/>
                <w:szCs w:val="21"/>
                <w:highlight w:val="none"/>
              </w:rPr>
              <w:t>供应商为其缴纳社保的证明资料</w:t>
            </w:r>
            <w:r>
              <w:rPr>
                <w:rFonts w:hint="default" w:ascii="宋体" w:hAnsi="宋体" w:eastAsia="宋体" w:cs="宋体"/>
                <w:color w:val="auto"/>
                <w:highlight w:val="none"/>
                <w:lang w:val="en-US" w:eastAsia="zh-CN"/>
              </w:rPr>
              <w:t>，未按要求提供的不得分。拟派本项目组</w:t>
            </w:r>
            <w:r>
              <w:rPr>
                <w:rFonts w:hint="eastAsia" w:ascii="宋体" w:hAnsi="宋体" w:cs="宋体"/>
                <w:color w:val="auto"/>
                <w:highlight w:val="none"/>
                <w:lang w:val="en-US" w:eastAsia="zh-CN"/>
              </w:rPr>
              <w:t>成员指：与本项目需求配备相一致的</w:t>
            </w:r>
            <w:r>
              <w:rPr>
                <w:rFonts w:hint="eastAsia" w:ascii="宋体" w:hAnsi="宋体" w:cs="宋体"/>
                <w:bCs/>
                <w:color w:val="auto"/>
                <w:highlight w:val="none"/>
                <w:lang w:val="en-US" w:eastAsia="zh-CN"/>
              </w:rPr>
              <w:t>施工员、质量员、</w:t>
            </w:r>
            <w:r>
              <w:rPr>
                <w:rFonts w:hint="eastAsia" w:ascii="宋体" w:hAnsi="宋体" w:cs="宋体"/>
                <w:bCs/>
                <w:color w:val="auto"/>
                <w:szCs w:val="21"/>
                <w:highlight w:val="none"/>
                <w:lang w:val="en-US" w:eastAsia="zh-CN"/>
              </w:rPr>
              <w:t>安全员、</w:t>
            </w:r>
            <w:r>
              <w:rPr>
                <w:rFonts w:hint="eastAsia" w:ascii="宋体" w:hAnsi="宋体" w:cs="宋体"/>
                <w:b w:val="0"/>
                <w:bCs/>
                <w:color w:val="auto"/>
                <w:szCs w:val="21"/>
                <w:highlight w:val="none"/>
                <w:lang w:val="en-US" w:eastAsia="zh-CN"/>
              </w:rPr>
              <w:t>资料员。</w:t>
            </w:r>
          </w:p>
        </w:tc>
        <w:tc>
          <w:tcPr>
            <w:tcW w:w="1084" w:type="dxa"/>
            <w:vAlign w:val="center"/>
          </w:tcPr>
          <w:p w14:paraId="4FC39BAD">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olor w:val="auto"/>
                <w:szCs w:val="21"/>
                <w:highlight w:val="none"/>
                <w:lang w:val="en-US" w:eastAsia="zh-CN"/>
              </w:rPr>
              <w:t>客观分</w:t>
            </w:r>
          </w:p>
        </w:tc>
      </w:tr>
      <w:tr w14:paraId="24B1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2472F20F">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02CB227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项目实施保障措施与建议</w:t>
            </w:r>
            <w:r>
              <w:rPr>
                <w:rFonts w:hint="eastAsia" w:ascii="宋体" w:hAnsi="宋体" w:cs="宋体"/>
                <w:color w:val="auto"/>
                <w:szCs w:val="21"/>
                <w:highlight w:val="none"/>
                <w:lang w:eastAsia="zh-CN"/>
              </w:rPr>
              <w:t>：</w:t>
            </w:r>
          </w:p>
          <w:p w14:paraId="0DD77829">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对供应商针对本项目提出的实施保障措施与建议进行评议，最高得3分：</w:t>
            </w:r>
          </w:p>
          <w:p w14:paraId="26A7C8ED">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1）实施保障措施与建议科学合理、措施完善，切实可行，并能充分满足采购需求的得3分；</w:t>
            </w:r>
          </w:p>
          <w:p w14:paraId="7F159574">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2）实施保障措施与建议较完整、具有一定的针对性，无明显缺陷的得2分；</w:t>
            </w:r>
          </w:p>
          <w:p w14:paraId="5DED60CD">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3）实施保障措施与建议笼统、可行性低、保障不足的得1分；</w:t>
            </w:r>
          </w:p>
          <w:p w14:paraId="449D998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4）未提供不得分。</w:t>
            </w:r>
          </w:p>
        </w:tc>
        <w:tc>
          <w:tcPr>
            <w:tcW w:w="1084" w:type="dxa"/>
            <w:vAlign w:val="center"/>
          </w:tcPr>
          <w:p w14:paraId="534F3E31">
            <w:pPr>
              <w:keepNext w:val="0"/>
              <w:keepLines w:val="0"/>
              <w:suppressLineNumbers w:val="0"/>
              <w:spacing w:before="0" w:beforeAutospacing="0" w:after="0" w:afterAutospacing="0" w:line="360" w:lineRule="exact"/>
              <w:ind w:left="0" w:right="0"/>
              <w:jc w:val="center"/>
              <w:outlineLvl w:val="9"/>
              <w:rPr>
                <w:rFonts w:hint="eastAsia" w:ascii="宋体" w:eastAsia="宋体"/>
                <w:color w:val="auto"/>
                <w:szCs w:val="21"/>
                <w:highlight w:val="none"/>
                <w:lang w:eastAsia="zh-CN"/>
              </w:rPr>
            </w:pPr>
            <w:r>
              <w:rPr>
                <w:rFonts w:hint="eastAsia" w:ascii="宋体" w:cs="宋体"/>
                <w:color w:val="auto"/>
                <w:szCs w:val="21"/>
                <w:highlight w:val="none"/>
                <w:lang w:val="en-US" w:eastAsia="zh-CN"/>
              </w:rPr>
              <w:t>主观分</w:t>
            </w:r>
          </w:p>
        </w:tc>
      </w:tr>
      <w:tr w14:paraId="437C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99" w:type="dxa"/>
            <w:vMerge w:val="continue"/>
            <w:vAlign w:val="center"/>
          </w:tcPr>
          <w:p w14:paraId="2DF19EFB">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p>
        </w:tc>
        <w:tc>
          <w:tcPr>
            <w:tcW w:w="7683" w:type="dxa"/>
            <w:gridSpan w:val="2"/>
            <w:vAlign w:val="center"/>
          </w:tcPr>
          <w:p w14:paraId="08735572">
            <w:pPr>
              <w:keepNext w:val="0"/>
              <w:keepLines w:val="0"/>
              <w:suppressLineNumbers w:val="0"/>
              <w:spacing w:before="0" w:beforeAutospacing="0" w:after="0" w:afterAutospacing="0" w:line="360" w:lineRule="auto"/>
              <w:ind w:left="0" w:right="0"/>
              <w:outlineLvl w:val="9"/>
              <w:rPr>
                <w:rFonts w:hint="default" w:ascii="宋体" w:hAnsi="宋体" w:cs="宋体"/>
                <w:color w:val="auto"/>
                <w:highlight w:val="none"/>
                <w:lang w:val="en-US" w:eastAsia="zh-CN"/>
              </w:rPr>
            </w:pPr>
            <w:r>
              <w:rPr>
                <w:rFonts w:hint="eastAsia" w:ascii="宋体" w:hAnsi="宋体" w:cs="宋体"/>
                <w:color w:val="auto"/>
                <w:highlight w:val="none"/>
                <w:lang w:val="en-US" w:eastAsia="zh-CN"/>
              </w:rPr>
              <w:t>17.</w:t>
            </w:r>
            <w:r>
              <w:rPr>
                <w:rFonts w:hint="eastAsia" w:ascii="宋体" w:hAnsi="宋体" w:cs="宋体"/>
                <w:color w:val="auto"/>
                <w:highlight w:val="none"/>
                <w:lang w:val="en-US"/>
              </w:rPr>
              <w:t>应急预案</w:t>
            </w:r>
          </w:p>
          <w:p w14:paraId="76D819B5">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对供应商针对本项目提出的应急预案（包含但不限于安全事故应急预案、现场污染事故应急预案、重大自然灾害应急预案）进行评议，最高得3分：</w:t>
            </w:r>
          </w:p>
          <w:p w14:paraId="2556BD62">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1）应急预案科学合理、切实可行的得3分；</w:t>
            </w:r>
          </w:p>
          <w:p w14:paraId="24EEEAC8">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2）应急预案较完整，无明显缺陷的得2分；</w:t>
            </w:r>
          </w:p>
          <w:p w14:paraId="7C02A709">
            <w:pPr>
              <w:keepNext w:val="0"/>
              <w:keepLines w:val="0"/>
              <w:suppressLineNumbers w:val="0"/>
              <w:spacing w:before="0" w:beforeAutospacing="0" w:after="0" w:afterAutospacing="0" w:line="360" w:lineRule="auto"/>
              <w:ind w:left="0" w:right="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3）应急预案笼统、可行性低、保障不足的得1分；</w:t>
            </w:r>
          </w:p>
          <w:p w14:paraId="6AE00801">
            <w:pPr>
              <w:keepNext w:val="0"/>
              <w:keepLines w:val="0"/>
              <w:suppressLineNumbers w:val="0"/>
              <w:spacing w:before="0" w:beforeAutospacing="0" w:after="0" w:afterAutospacing="0" w:line="360" w:lineRule="auto"/>
              <w:ind w:left="0" w:right="0"/>
              <w:outlineLvl w:val="9"/>
              <w:rPr>
                <w:rFonts w:hint="eastAsia" w:ascii="宋体" w:hAnsi="宋体"/>
                <w:b w:val="0"/>
                <w:bCs w:val="0"/>
                <w:color w:val="auto"/>
                <w:szCs w:val="21"/>
                <w:highlight w:val="none"/>
                <w:lang w:val="en-US" w:eastAsia="zh-CN"/>
              </w:rPr>
            </w:pPr>
            <w:r>
              <w:rPr>
                <w:rFonts w:hint="eastAsia" w:ascii="宋体" w:hAnsi="宋体" w:cs="宋体"/>
                <w:color w:val="auto"/>
                <w:highlight w:val="none"/>
                <w:lang w:val="en-US" w:eastAsia="zh-CN"/>
              </w:rPr>
              <w:t>4）未提供不得分。</w:t>
            </w:r>
          </w:p>
        </w:tc>
        <w:tc>
          <w:tcPr>
            <w:tcW w:w="1084" w:type="dxa"/>
            <w:vAlign w:val="center"/>
          </w:tcPr>
          <w:p w14:paraId="2DE035B4">
            <w:pPr>
              <w:keepNext w:val="0"/>
              <w:keepLines w:val="0"/>
              <w:suppressLineNumbers w:val="0"/>
              <w:spacing w:before="0" w:beforeAutospacing="0" w:after="0" w:afterAutospacing="0" w:line="360" w:lineRule="exact"/>
              <w:ind w:left="0" w:right="0"/>
              <w:jc w:val="center"/>
              <w:outlineLvl w:val="9"/>
              <w:rPr>
                <w:rFonts w:hint="eastAsia" w:ascii="宋体"/>
                <w:color w:val="auto"/>
                <w:szCs w:val="21"/>
                <w:highlight w:val="none"/>
                <w:lang w:val="en-US" w:eastAsia="zh-CN"/>
              </w:rPr>
            </w:pPr>
            <w:r>
              <w:rPr>
                <w:rFonts w:hint="eastAsia" w:ascii="宋体" w:cs="宋体"/>
                <w:color w:val="auto"/>
                <w:szCs w:val="21"/>
                <w:highlight w:val="none"/>
                <w:lang w:val="en-US" w:eastAsia="zh-CN"/>
              </w:rPr>
              <w:t>主观分</w:t>
            </w:r>
          </w:p>
        </w:tc>
      </w:tr>
      <w:tr w14:paraId="5E52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99" w:type="dxa"/>
            <w:vAlign w:val="center"/>
          </w:tcPr>
          <w:p w14:paraId="035CAB2D">
            <w:pPr>
              <w:keepNext w:val="0"/>
              <w:keepLines w:val="0"/>
              <w:suppressLineNumbers w:val="0"/>
              <w:spacing w:before="0" w:beforeAutospacing="0" w:after="0" w:afterAutospacing="0" w:line="360" w:lineRule="exact"/>
              <w:ind w:left="0" w:right="0"/>
              <w:jc w:val="center"/>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价格分</w:t>
            </w:r>
          </w:p>
          <w:p w14:paraId="762088F0">
            <w:pPr>
              <w:keepNext w:val="0"/>
              <w:keepLines w:val="0"/>
              <w:suppressLineNumbers w:val="0"/>
              <w:spacing w:before="0" w:beforeAutospacing="0" w:after="0" w:afterAutospacing="0" w:line="360" w:lineRule="exact"/>
              <w:ind w:left="0" w:right="0"/>
              <w:jc w:val="center"/>
              <w:outlineLvl w:val="9"/>
              <w:rPr>
                <w:rFonts w:hint="default" w:ascii="宋体" w:cs="宋体"/>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p>
        </w:tc>
        <w:tc>
          <w:tcPr>
            <w:tcW w:w="7683" w:type="dxa"/>
            <w:gridSpan w:val="2"/>
            <w:vAlign w:val="center"/>
          </w:tcPr>
          <w:p w14:paraId="40BCC6BD">
            <w:pPr>
              <w:keepNext w:val="0"/>
              <w:keepLines w:val="0"/>
              <w:suppressLineNumbers w:val="0"/>
              <w:adjustRightInd/>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color w:val="auto"/>
                <w:highlight w:val="none"/>
              </w:rPr>
              <w:t>评标基准价指的是满足</w:t>
            </w:r>
            <w:r>
              <w:rPr>
                <w:rFonts w:hint="eastAsia"/>
                <w:color w:val="auto"/>
                <w:highlight w:val="none"/>
                <w:lang w:eastAsia="zh-CN"/>
              </w:rPr>
              <w:t>招标文件</w:t>
            </w:r>
            <w:r>
              <w:rPr>
                <w:rFonts w:hint="eastAsia" w:ascii="宋体" w:hAnsi="宋体" w:eastAsia="宋体" w:cs="宋体"/>
                <w:color w:val="auto"/>
                <w:highlight w:val="none"/>
              </w:rPr>
              <w:t>要求且最低的参与评审的价格。</w:t>
            </w:r>
          </w:p>
          <w:p w14:paraId="1BC4EC65">
            <w:pPr>
              <w:keepNext w:val="0"/>
              <w:keepLines w:val="0"/>
              <w:suppressLineNumbers w:val="0"/>
              <w:adjustRightInd/>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参与评审的价格为评标基准价的其价格</w:t>
            </w:r>
            <w:r>
              <w:rPr>
                <w:rFonts w:hint="eastAsia" w:ascii="宋体" w:hAnsi="宋体" w:cs="宋体"/>
                <w:color w:val="auto"/>
                <w:highlight w:val="none"/>
                <w:lang w:eastAsia="zh-CN"/>
              </w:rPr>
              <w:t>得分</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4B357647">
            <w:pPr>
              <w:keepNext w:val="0"/>
              <w:keepLines w:val="0"/>
              <w:suppressLineNumbers w:val="0"/>
              <w:adjustRightInd/>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highlight w:val="none"/>
              </w:rPr>
              <w:t>其他供应商价格得分按照下列公式计算：</w:t>
            </w:r>
          </w:p>
          <w:p w14:paraId="4CD3D03F">
            <w:pPr>
              <w:keepNext w:val="0"/>
              <w:keepLines w:val="0"/>
              <w:suppressLineNumbers w:val="0"/>
              <w:spacing w:before="0" w:beforeAutospacing="0" w:after="0" w:afterAutospacing="0" w:line="360" w:lineRule="auto"/>
              <w:ind w:left="0" w:right="0"/>
              <w:outlineLvl w:val="9"/>
              <w:rPr>
                <w:rFonts w:hint="default" w:ascii="宋体" w:cs="宋体"/>
                <w:color w:val="auto"/>
                <w:szCs w:val="21"/>
                <w:highlight w:val="none"/>
              </w:rPr>
            </w:pPr>
            <w:r>
              <w:rPr>
                <w:rFonts w:hint="eastAsia" w:ascii="宋体" w:hAnsi="宋体" w:eastAsia="宋体" w:cs="宋体"/>
                <w:color w:val="auto"/>
                <w:highlight w:val="none"/>
              </w:rPr>
              <w:t>价格得分=（评标基准价/参与评审的价格）×</w:t>
            </w:r>
            <w:r>
              <w:rPr>
                <w:rFonts w:hint="eastAsia" w:ascii="宋体" w:hAnsi="宋体" w:cs="宋体"/>
                <w:color w:val="auto"/>
                <w:highlight w:val="none"/>
                <w:lang w:val="en-US" w:eastAsia="zh-CN"/>
              </w:rPr>
              <w:t>10</w:t>
            </w:r>
            <w:r>
              <w:rPr>
                <w:rFonts w:hint="eastAsia" w:ascii="宋体" w:hAnsi="宋体" w:eastAsia="宋体" w:cs="宋体"/>
                <w:color w:val="auto"/>
                <w:highlight w:val="none"/>
              </w:rPr>
              <w:t>%×100。</w:t>
            </w:r>
          </w:p>
        </w:tc>
        <w:tc>
          <w:tcPr>
            <w:tcW w:w="1084" w:type="dxa"/>
            <w:vAlign w:val="center"/>
          </w:tcPr>
          <w:p w14:paraId="44951E5E">
            <w:pPr>
              <w:keepNext w:val="0"/>
              <w:keepLines w:val="0"/>
              <w:suppressLineNumbers w:val="0"/>
              <w:spacing w:before="0" w:beforeAutospacing="0" w:after="0" w:afterAutospacing="0" w:line="360" w:lineRule="exact"/>
              <w:ind w:left="0" w:right="0"/>
              <w:jc w:val="center"/>
              <w:outlineLvl w:val="9"/>
              <w:rPr>
                <w:rFonts w:hint="default" w:ascii="宋体" w:eastAsia="宋体" w:cs="宋体"/>
                <w:bCs/>
                <w:color w:val="auto"/>
                <w:szCs w:val="21"/>
                <w:highlight w:val="none"/>
                <w:lang w:val="en-US" w:eastAsia="zh-CN"/>
              </w:rPr>
            </w:pPr>
            <w:r>
              <w:rPr>
                <w:rFonts w:hint="eastAsia" w:ascii="宋体"/>
                <w:color w:val="auto"/>
                <w:szCs w:val="21"/>
                <w:highlight w:val="none"/>
                <w:lang w:val="en-US" w:eastAsia="zh-CN"/>
              </w:rPr>
              <w:t>客观分</w:t>
            </w:r>
          </w:p>
        </w:tc>
      </w:tr>
      <w:tr w14:paraId="2459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782" w:type="dxa"/>
            <w:gridSpan w:val="3"/>
            <w:vAlign w:val="center"/>
          </w:tcPr>
          <w:p w14:paraId="32A94F0F">
            <w:pPr>
              <w:keepNext w:val="0"/>
              <w:keepLines w:val="0"/>
              <w:suppressLineNumbers w:val="0"/>
              <w:spacing w:before="0" w:beforeAutospacing="0" w:after="0" w:afterAutospacing="0" w:line="360" w:lineRule="exact"/>
              <w:ind w:left="0" w:right="0"/>
              <w:jc w:val="center"/>
              <w:outlineLvl w:val="9"/>
              <w:rPr>
                <w:rFonts w:hint="default" w:ascii="宋体"/>
                <w:b/>
                <w:color w:val="auto"/>
                <w:szCs w:val="21"/>
                <w:highlight w:val="none"/>
              </w:rPr>
            </w:pPr>
            <w:r>
              <w:rPr>
                <w:rFonts w:hint="eastAsia" w:ascii="宋体" w:hAnsi="宋体"/>
                <w:b/>
                <w:snapToGrid w:val="0"/>
                <w:color w:val="auto"/>
                <w:szCs w:val="21"/>
                <w:highlight w:val="none"/>
              </w:rPr>
              <w:t>综合得分（</w:t>
            </w:r>
            <w:r>
              <w:rPr>
                <w:rFonts w:hint="default" w:ascii="宋体" w:hAnsi="宋体"/>
                <w:b/>
                <w:snapToGrid w:val="0"/>
                <w:color w:val="auto"/>
                <w:szCs w:val="21"/>
                <w:highlight w:val="none"/>
              </w:rPr>
              <w:t>100</w:t>
            </w:r>
            <w:r>
              <w:rPr>
                <w:rFonts w:hint="eastAsia" w:ascii="宋体" w:hAnsi="宋体"/>
                <w:b/>
                <w:snapToGrid w:val="0"/>
                <w:color w:val="auto"/>
                <w:szCs w:val="21"/>
                <w:highlight w:val="none"/>
              </w:rPr>
              <w:t>分）</w:t>
            </w:r>
          </w:p>
        </w:tc>
        <w:tc>
          <w:tcPr>
            <w:tcW w:w="1084" w:type="dxa"/>
            <w:vAlign w:val="center"/>
          </w:tcPr>
          <w:p w14:paraId="37CFCB27">
            <w:pPr>
              <w:keepNext w:val="0"/>
              <w:keepLines w:val="0"/>
              <w:suppressLineNumbers w:val="0"/>
              <w:spacing w:before="0" w:beforeAutospacing="0" w:after="0" w:afterAutospacing="0" w:line="360" w:lineRule="exact"/>
              <w:ind w:left="0" w:right="0"/>
              <w:jc w:val="center"/>
              <w:outlineLvl w:val="9"/>
              <w:rPr>
                <w:rFonts w:hint="default" w:ascii="宋体"/>
                <w:color w:val="auto"/>
                <w:szCs w:val="21"/>
                <w:highlight w:val="none"/>
              </w:rPr>
            </w:pPr>
            <w:r>
              <w:rPr>
                <w:rFonts w:hint="default" w:ascii="宋体" w:hAnsi="宋体"/>
                <w:color w:val="auto"/>
                <w:szCs w:val="21"/>
                <w:highlight w:val="none"/>
              </w:rPr>
              <w:t>100</w:t>
            </w:r>
          </w:p>
        </w:tc>
      </w:tr>
    </w:tbl>
    <w:p w14:paraId="12665579">
      <w:pPr>
        <w:snapToGrid w:val="0"/>
        <w:spacing w:line="240" w:lineRule="auto"/>
        <w:outlineLvl w:val="9"/>
        <w:rPr>
          <w:rFonts w:hint="eastAsia" w:ascii="宋体" w:hAnsi="宋体" w:cs="宋体"/>
          <w:color w:val="auto"/>
          <w:sz w:val="21"/>
          <w:szCs w:val="21"/>
          <w:highlight w:val="none"/>
        </w:rPr>
      </w:pPr>
      <w:r>
        <w:rPr>
          <w:rFonts w:hint="eastAsia" w:ascii="宋体" w:hAnsi="宋体" w:cs="宋体"/>
          <w:b/>
          <w:bCs w:val="0"/>
          <w:color w:val="auto"/>
          <w:sz w:val="21"/>
          <w:szCs w:val="21"/>
          <w:highlight w:val="none"/>
        </w:rPr>
        <w:t>备注：</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1）</w:t>
      </w:r>
      <w:r>
        <w:rPr>
          <w:rFonts w:hint="eastAsia" w:ascii="宋体" w:hAnsi="宋体" w:cs="宋体"/>
          <w:b/>
          <w:bCs w:val="0"/>
          <w:color w:val="auto"/>
          <w:sz w:val="21"/>
          <w:szCs w:val="21"/>
          <w:highlight w:val="none"/>
        </w:rPr>
        <w:t>投标人编制投标文件（商务技术文件部分）时，建议按此目录（序号和</w:t>
      </w:r>
      <w:r>
        <w:rPr>
          <w:rFonts w:hint="eastAsia" w:ascii="宋体" w:hAnsi="宋体" w:eastAsia="宋体" w:cs="宋体"/>
          <w:b/>
          <w:bCs w:val="0"/>
          <w:color w:val="auto"/>
          <w:sz w:val="21"/>
          <w:szCs w:val="21"/>
          <w:highlight w:val="none"/>
        </w:rPr>
        <w:t>内容）提供评标标准相应的商务技术资料。</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评委在上表设定的分值范围内打分(四舍五入保留两位小数)，平均分值计算四舍五入保留两位小数点。</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3</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若供应商为联合体投标的，则上述“评标办法前附表”所列客观评审内容均以联合体牵头人的为准。</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4</w:t>
      </w:r>
      <w:r>
        <w:rPr>
          <w:rFonts w:hint="eastAsia" w:ascii="宋体" w:hAnsi="宋体" w:cs="宋体"/>
          <w:b/>
          <w:bCs w:val="0"/>
          <w:color w:val="auto"/>
          <w:sz w:val="21"/>
          <w:szCs w:val="21"/>
          <w:highlight w:val="none"/>
          <w:lang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1"/>
          <w:szCs w:val="21"/>
          <w:highlight w:val="none"/>
        </w:rPr>
        <w:t> </w:t>
      </w:r>
    </w:p>
    <w:p w14:paraId="234A1AF8">
      <w:pPr>
        <w:outlineLvl w:val="9"/>
        <w:rPr>
          <w:rFonts w:hint="eastAsia" w:ascii="宋体" w:hAnsi="宋体" w:eastAsia="宋体" w:cs="宋体"/>
          <w:b/>
          <w:color w:val="auto"/>
          <w:sz w:val="24"/>
          <w:szCs w:val="24"/>
          <w:highlight w:val="none"/>
          <w:lang w:val="en-US" w:eastAsia="zh-CN"/>
        </w:rPr>
      </w:pPr>
      <w:bookmarkStart w:id="434" w:name="_Toc22860"/>
      <w:r>
        <w:rPr>
          <w:rFonts w:hint="eastAsia" w:ascii="宋体" w:hAnsi="宋体" w:eastAsia="宋体" w:cs="宋体"/>
          <w:b/>
          <w:color w:val="auto"/>
          <w:sz w:val="24"/>
          <w:szCs w:val="24"/>
          <w:highlight w:val="none"/>
          <w:lang w:val="en-US" w:eastAsia="zh-CN"/>
        </w:rPr>
        <w:br w:type="page"/>
      </w:r>
    </w:p>
    <w:p w14:paraId="37D16FA2">
      <w:pPr>
        <w:spacing w:line="360" w:lineRule="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一、评标方法</w:t>
      </w:r>
      <w:bookmarkEnd w:id="434"/>
    </w:p>
    <w:p w14:paraId="51AA6A86">
      <w:pPr>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64A54A9">
      <w:pPr>
        <w:spacing w:line="360" w:lineRule="auto"/>
        <w:outlineLvl w:val="9"/>
        <w:rPr>
          <w:rFonts w:hint="eastAsia" w:ascii="宋体" w:hAnsi="宋体" w:eastAsia="宋体" w:cs="宋体"/>
          <w:b/>
          <w:color w:val="auto"/>
          <w:sz w:val="24"/>
          <w:szCs w:val="24"/>
          <w:highlight w:val="none"/>
          <w:lang w:val="en-US" w:eastAsia="zh-CN"/>
        </w:rPr>
      </w:pPr>
      <w:bookmarkStart w:id="435" w:name="_Toc29389"/>
      <w:r>
        <w:rPr>
          <w:rFonts w:hint="eastAsia" w:ascii="宋体" w:hAnsi="宋体" w:eastAsia="宋体" w:cs="宋体"/>
          <w:b/>
          <w:color w:val="auto"/>
          <w:sz w:val="24"/>
          <w:szCs w:val="24"/>
          <w:highlight w:val="none"/>
          <w:lang w:val="en-US" w:eastAsia="zh-CN"/>
        </w:rPr>
        <w:t>二、评标标准</w:t>
      </w:r>
      <w:bookmarkEnd w:id="435"/>
    </w:p>
    <w:p w14:paraId="201F62FD">
      <w:pPr>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D76C098">
      <w:pPr>
        <w:spacing w:line="360" w:lineRule="auto"/>
        <w:outlineLvl w:val="9"/>
        <w:rPr>
          <w:rFonts w:hint="eastAsia" w:ascii="宋体" w:hAnsi="宋体" w:eastAsia="宋体" w:cs="宋体"/>
          <w:b/>
          <w:color w:val="auto"/>
          <w:sz w:val="24"/>
          <w:szCs w:val="24"/>
          <w:highlight w:val="none"/>
          <w:lang w:val="en-US" w:eastAsia="zh-CN"/>
        </w:rPr>
      </w:pPr>
      <w:bookmarkStart w:id="436" w:name="_Toc1306"/>
      <w:r>
        <w:rPr>
          <w:rFonts w:hint="eastAsia" w:ascii="宋体" w:hAnsi="宋体" w:eastAsia="宋体" w:cs="宋体"/>
          <w:b/>
          <w:color w:val="auto"/>
          <w:sz w:val="24"/>
          <w:szCs w:val="24"/>
          <w:highlight w:val="none"/>
          <w:lang w:val="en-US" w:eastAsia="zh-CN"/>
        </w:rPr>
        <w:t>三、评标程序</w:t>
      </w:r>
      <w:bookmarkEnd w:id="436"/>
    </w:p>
    <w:p w14:paraId="65E5F415">
      <w:pPr>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4CFC225">
      <w:pPr>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0234C2">
      <w:pPr>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4F4FCFD">
      <w:pPr>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81EC923">
      <w:pPr>
        <w:pStyle w:val="135"/>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10D9850">
      <w:pPr>
        <w:pStyle w:val="135"/>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8651567">
      <w:pPr>
        <w:pStyle w:val="135"/>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255B55DB">
      <w:pPr>
        <w:pStyle w:val="135"/>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399FC08">
      <w:pPr>
        <w:pStyle w:val="135"/>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2551F6">
      <w:pPr>
        <w:pStyle w:val="135"/>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698E8A">
      <w:pPr>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16AE1F6">
      <w:pPr>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57E3006">
      <w:pPr>
        <w:pStyle w:val="135"/>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887AAED">
      <w:pPr>
        <w:pStyle w:val="135"/>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F8CA45">
      <w:pPr>
        <w:spacing w:line="360" w:lineRule="auto"/>
        <w:ind w:firstLine="482" w:firstLineChars="200"/>
        <w:outlineLvl w:val="9"/>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家。</w:t>
      </w:r>
    </w:p>
    <w:p w14:paraId="57F68B99">
      <w:pPr>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A079E5">
      <w:pPr>
        <w:spacing w:line="360" w:lineRule="auto"/>
        <w:ind w:firstLine="472" w:firstLineChars="196"/>
        <w:outlineLvl w:val="9"/>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FE1D12">
      <w:pPr>
        <w:spacing w:line="360" w:lineRule="auto"/>
        <w:outlineLvl w:val="9"/>
        <w:rPr>
          <w:rFonts w:hint="eastAsia" w:ascii="宋体" w:hAnsi="宋体" w:eastAsia="宋体" w:cs="宋体"/>
          <w:b/>
          <w:color w:val="auto"/>
          <w:sz w:val="24"/>
          <w:szCs w:val="24"/>
          <w:highlight w:val="none"/>
        </w:rPr>
      </w:pPr>
      <w:bookmarkStart w:id="437" w:name="_Toc29108"/>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评标中的其他事项</w:t>
      </w:r>
      <w:bookmarkEnd w:id="437"/>
    </w:p>
    <w:p w14:paraId="6E3B0C58">
      <w:pPr>
        <w:pStyle w:val="135"/>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auto"/>
          <w:kern w:val="0"/>
          <w:szCs w:val="24"/>
          <w:highlight w:val="none"/>
          <w:lang w:val="en-US" w:eastAsia="zh-CN"/>
        </w:rPr>
        <w:t>章</w:t>
      </w:r>
      <w:r>
        <w:rPr>
          <w:rFonts w:hint="eastAsia" w:ascii="宋体" w:hAnsi="宋体" w:cs="宋体"/>
          <w:color w:val="auto"/>
          <w:kern w:val="0"/>
          <w:szCs w:val="24"/>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D4D0AB">
      <w:pPr>
        <w:pStyle w:val="24"/>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E11758A">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CB27BD2">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9E08778">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投标文件含有采购人不能接受的附加条件的；</w:t>
      </w:r>
    </w:p>
    <w:p w14:paraId="2B7B85E5">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投标文件中承诺的投标有效期少于招标文件中载明的投标有效期的；</w:t>
      </w:r>
    </w:p>
    <w:p w14:paraId="6E12D3A2">
      <w:pPr>
        <w:snapToGrid w:val="0"/>
        <w:spacing w:line="360" w:lineRule="auto"/>
        <w:ind w:firstLine="120" w:firstLineChars="5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投标文件出现不是唯一的、有选择性投标报价的;</w:t>
      </w:r>
    </w:p>
    <w:p w14:paraId="2B9BFCE5">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投标报价超过招标文件中规定的预算金额或者最高限价的;</w:t>
      </w:r>
    </w:p>
    <w:p w14:paraId="5B7D28EA">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819729B">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F8C929F">
      <w:pPr>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A416613">
      <w:pPr>
        <w:spacing w:line="360" w:lineRule="auto"/>
        <w:ind w:firstLine="480" w:firstLineChars="200"/>
        <w:outlineLvl w:val="9"/>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当“</w:t>
      </w:r>
      <w:r>
        <w:rPr>
          <w:rFonts w:hint="eastAsia" w:ascii="宋体" w:hAnsi="宋体" w:cs="宋体"/>
          <w:color w:val="auto"/>
          <w:kern w:val="0"/>
          <w:sz w:val="24"/>
          <w:highlight w:val="none"/>
          <w:lang w:val="en-US" w:eastAsia="zh-CN"/>
        </w:rPr>
        <w:t>需求响应性</w:t>
      </w:r>
      <w:r>
        <w:rPr>
          <w:rFonts w:hint="eastAsia" w:ascii="宋体" w:hAnsi="宋体" w:cs="宋体"/>
          <w:color w:val="auto"/>
          <w:kern w:val="0"/>
          <w:sz w:val="24"/>
          <w:highlight w:val="none"/>
        </w:rPr>
        <w:t>”评分项扣减至0分（或以下）时，投标无效；</w:t>
      </w:r>
    </w:p>
    <w:p w14:paraId="7ED3BB4E">
      <w:pPr>
        <w:spacing w:line="360" w:lineRule="auto"/>
        <w:ind w:firstLine="240" w:firstLineChars="100"/>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A774278">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E15CD3B">
      <w:pPr>
        <w:tabs>
          <w:tab w:val="left" w:pos="432"/>
        </w:tabs>
        <w:ind w:left="430" w:leftChars="205"/>
        <w:outlineLvl w:val="9"/>
        <w:rPr>
          <w:rFonts w:ascii="宋体" w:hAnsi="宋体" w:eastAsia="宋体" w:cs="宋体"/>
          <w:b w:val="0"/>
          <w:bCs w:val="0"/>
          <w:color w:val="auto"/>
          <w:kern w:val="0"/>
          <w:sz w:val="24"/>
          <w:szCs w:val="24"/>
          <w:highlight w:val="none"/>
          <w:lang w:val="en-US"/>
        </w:rPr>
      </w:pPr>
      <w:bookmarkStart w:id="438" w:name="_Toc16784"/>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投标文件不满足招标文件的</w:t>
      </w:r>
      <w:r>
        <w:rPr>
          <w:rFonts w:hint="eastAsia" w:ascii="宋体" w:hAnsi="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bookmarkEnd w:id="438"/>
    </w:p>
    <w:p w14:paraId="1F2AB24A">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4法律法规</w:t>
      </w:r>
      <w:r>
        <w:rPr>
          <w:rFonts w:hint="eastAsia" w:ascii="宋体" w:hAnsi="宋体" w:cs="宋体"/>
          <w:color w:val="auto"/>
          <w:kern w:val="0"/>
          <w:sz w:val="24"/>
          <w:highlight w:val="none"/>
        </w:rPr>
        <w:t>、规章（适用本市的）及省级以上规范性文件（适用本市的）规定的其他无效情形。</w:t>
      </w:r>
    </w:p>
    <w:p w14:paraId="350EF249">
      <w:pPr>
        <w:pStyle w:val="24"/>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1BBF3A0">
      <w:pPr>
        <w:pStyle w:val="24"/>
        <w:snapToGrid w:val="0"/>
        <w:spacing w:line="360" w:lineRule="auto"/>
        <w:outlineLvl w:val="9"/>
        <w:rPr>
          <w:rFonts w:cs="宋体"/>
          <w:color w:val="auto"/>
          <w:highlight w:val="none"/>
        </w:rPr>
      </w:pPr>
      <w:r>
        <w:rPr>
          <w:rFonts w:hint="eastAsia" w:cs="宋体"/>
          <w:color w:val="auto"/>
          <w:highlight w:val="none"/>
        </w:rPr>
        <w:t>5.1符合专业条件的供应商或者对招标文件</w:t>
      </w:r>
      <w:r>
        <w:rPr>
          <w:rFonts w:hint="eastAsia" w:cs="宋体"/>
          <w:color w:val="auto"/>
          <w:highlight w:val="none"/>
          <w:lang w:eastAsia="zh-CN"/>
        </w:rPr>
        <w:t>做</w:t>
      </w:r>
      <w:r>
        <w:rPr>
          <w:rFonts w:hint="eastAsia" w:cs="宋体"/>
          <w:color w:val="auto"/>
          <w:highlight w:val="none"/>
        </w:rPr>
        <w:t>实质响应的供应商不足3家的；</w:t>
      </w:r>
    </w:p>
    <w:p w14:paraId="2AB43B26">
      <w:pPr>
        <w:pStyle w:val="24"/>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6566702A">
      <w:pPr>
        <w:pStyle w:val="24"/>
        <w:snapToGrid w:val="0"/>
        <w:spacing w:line="360" w:lineRule="auto"/>
        <w:outlineLvl w:val="9"/>
        <w:rPr>
          <w:rFonts w:cs="宋体"/>
          <w:color w:val="auto"/>
          <w:highlight w:val="none"/>
        </w:rPr>
      </w:pPr>
      <w:r>
        <w:rPr>
          <w:rFonts w:hint="eastAsia" w:cs="宋体"/>
          <w:color w:val="auto"/>
          <w:highlight w:val="none"/>
        </w:rPr>
        <w:t>5.3投标人的报价均超过了采购预算，采购人不能支付的；</w:t>
      </w:r>
    </w:p>
    <w:p w14:paraId="19DDE955">
      <w:pPr>
        <w:pStyle w:val="24"/>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12D7FB66">
      <w:pPr>
        <w:pStyle w:val="24"/>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DEEE335">
      <w:pPr>
        <w:pStyle w:val="24"/>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7DD922B">
      <w:pPr>
        <w:pStyle w:val="24"/>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77F7A7">
      <w:pPr>
        <w:pStyle w:val="24"/>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4E9842DC">
      <w:pPr>
        <w:pStyle w:val="24"/>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D969E56">
      <w:pPr>
        <w:pStyle w:val="24"/>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E8F185F">
      <w:pPr>
        <w:pStyle w:val="24"/>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7F14EA0A">
      <w:pPr>
        <w:pStyle w:val="24"/>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4"/>
    <w:p w14:paraId="7F499E11">
      <w:pPr>
        <w:rPr>
          <w:color w:val="auto"/>
          <w:highlight w:val="none"/>
        </w:rPr>
      </w:pPr>
      <w:bookmarkStart w:id="439" w:name="第五部分"/>
      <w:bookmarkStart w:id="440" w:name="_Toc86217003"/>
      <w:r>
        <w:rPr>
          <w:color w:val="auto"/>
          <w:highlight w:val="none"/>
        </w:rPr>
        <w:br w:type="page"/>
      </w:r>
    </w:p>
    <w:p w14:paraId="72E5B8B0">
      <w:pPr>
        <w:rPr>
          <w:color w:val="auto"/>
          <w:highlight w:val="none"/>
        </w:rPr>
      </w:pPr>
    </w:p>
    <w:p w14:paraId="5DF54D85">
      <w:pPr>
        <w:numPr>
          <w:ilvl w:val="0"/>
          <w:numId w:val="3"/>
        </w:numPr>
        <w:spacing w:line="360" w:lineRule="auto"/>
        <w:jc w:val="center"/>
        <w:outlineLvl w:val="0"/>
        <w:rPr>
          <w:rFonts w:hint="eastAsia" w:ascii="宋体" w:hAnsi="宋体" w:cs="宋体"/>
          <w:b/>
          <w:color w:val="auto"/>
          <w:sz w:val="36"/>
          <w:szCs w:val="36"/>
          <w:highlight w:val="none"/>
        </w:rPr>
      </w:pPr>
      <w:bookmarkStart w:id="441" w:name="_Toc12957"/>
      <w:bookmarkStart w:id="442" w:name="_Toc20593"/>
      <w:r>
        <w:rPr>
          <w:rFonts w:hint="eastAsia" w:ascii="宋体" w:hAnsi="宋体" w:cs="宋体"/>
          <w:b/>
          <w:color w:val="auto"/>
          <w:sz w:val="36"/>
          <w:szCs w:val="36"/>
          <w:highlight w:val="none"/>
          <w:lang w:val="en-US" w:eastAsia="zh-CN"/>
        </w:rPr>
        <w:t xml:space="preserve"> </w:t>
      </w:r>
      <w:bookmarkStart w:id="443" w:name="_Toc7902"/>
      <w:bookmarkStart w:id="444" w:name="_Toc19433"/>
      <w:r>
        <w:rPr>
          <w:rFonts w:hint="eastAsia" w:ascii="宋体" w:hAnsi="宋体" w:cs="宋体"/>
          <w:b/>
          <w:color w:val="auto"/>
          <w:sz w:val="36"/>
          <w:szCs w:val="36"/>
          <w:highlight w:val="none"/>
        </w:rPr>
        <w:t>拟签订的合同文本</w:t>
      </w:r>
      <w:bookmarkEnd w:id="441"/>
      <w:bookmarkEnd w:id="442"/>
      <w:bookmarkEnd w:id="443"/>
      <w:bookmarkEnd w:id="444"/>
    </w:p>
    <w:p w14:paraId="147AC252">
      <w:pPr>
        <w:spacing w:line="500" w:lineRule="exact"/>
        <w:jc w:val="center"/>
        <w:rPr>
          <w:rFonts w:hint="eastAsia" w:ascii="宋体" w:hAnsi="宋体" w:cs="宋体"/>
          <w:b/>
          <w:color w:val="auto"/>
          <w:kern w:val="0"/>
          <w:szCs w:val="21"/>
          <w:highlight w:val="none"/>
        </w:rPr>
      </w:pPr>
      <w:bookmarkStart w:id="445" w:name="_Toc267251476"/>
      <w:bookmarkStart w:id="446" w:name="_Toc267251471"/>
      <w:bookmarkStart w:id="447" w:name="_Toc27049"/>
      <w:bookmarkStart w:id="448" w:name="_Toc267251475"/>
      <w:bookmarkStart w:id="449" w:name="_Toc267251470"/>
      <w:bookmarkStart w:id="450" w:name="_Toc498589606"/>
      <w:bookmarkStart w:id="451" w:name="_Toc267251472"/>
      <w:bookmarkStart w:id="452" w:name="_Toc267251473"/>
      <w:bookmarkStart w:id="453" w:name="_Toc280868709"/>
      <w:bookmarkStart w:id="454" w:name="_Toc267251474"/>
      <w:r>
        <w:rPr>
          <w:rFonts w:hint="eastAsia" w:ascii="宋体" w:hAnsi="宋体" w:cs="宋体"/>
          <w:b/>
          <w:color w:val="auto"/>
          <w:kern w:val="0"/>
          <w:szCs w:val="21"/>
          <w:highlight w:val="none"/>
        </w:rPr>
        <w:t>第一部分 合同协议书</w:t>
      </w:r>
    </w:p>
    <w:p w14:paraId="00FD2161">
      <w:pPr>
        <w:spacing w:line="500" w:lineRule="exact"/>
        <w:jc w:val="center"/>
        <w:rPr>
          <w:rFonts w:hint="eastAsia" w:ascii="宋体" w:hAnsi="宋体" w:cs="宋体"/>
          <w:b/>
          <w:color w:val="auto"/>
          <w:kern w:val="0"/>
          <w:szCs w:val="21"/>
          <w:highlight w:val="none"/>
        </w:rPr>
      </w:pPr>
    </w:p>
    <w:p w14:paraId="46014A37">
      <w:pPr>
        <w:spacing w:line="360" w:lineRule="auto"/>
        <w:rPr>
          <w:rFonts w:hint="eastAsia" w:ascii="宋体" w:hAnsi="宋体" w:cs="宋体"/>
          <w:color w:val="auto"/>
          <w:szCs w:val="21"/>
          <w:highlight w:val="none"/>
          <w:u w:val="single"/>
        </w:rPr>
      </w:pPr>
      <w:r>
        <w:rPr>
          <w:rFonts w:hint="eastAsia" w:ascii="宋体" w:hAnsi="宋体" w:cs="宋体"/>
          <w:b/>
          <w:color w:val="auto"/>
          <w:szCs w:val="21"/>
          <w:highlight w:val="none"/>
        </w:rPr>
        <w:t>发包人（采购人）：</w:t>
      </w:r>
      <w:r>
        <w:rPr>
          <w:rFonts w:hint="eastAsia" w:ascii="宋体" w:hAnsi="宋体" w:cs="宋体"/>
          <w:color w:val="auto"/>
          <w:szCs w:val="21"/>
          <w:highlight w:val="none"/>
          <w:u w:val="single"/>
        </w:rPr>
        <w:t xml:space="preserve">                                  </w:t>
      </w:r>
    </w:p>
    <w:p w14:paraId="66B21C30">
      <w:pPr>
        <w:tabs>
          <w:tab w:val="left" w:pos="2843"/>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承包人（中标人）：</w:t>
      </w:r>
      <w:r>
        <w:rPr>
          <w:rFonts w:hint="eastAsia" w:ascii="宋体" w:hAnsi="宋体" w:cs="宋体"/>
          <w:b/>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 xml:space="preserve"> </w:t>
      </w:r>
    </w:p>
    <w:p w14:paraId="5EB875B7">
      <w:pPr>
        <w:spacing w:before="120" w:after="12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根据《中华人民共和国民法典</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中华人民共和国建筑法》及有关法律规定，遵循平等、自愿、公平和诚实信用的原则，双方就</w:t>
      </w:r>
      <w:r>
        <w:rPr>
          <w:rFonts w:hint="eastAsia" w:ascii="宋体" w:hAnsi="宋体" w:cs="宋体"/>
          <w:b/>
          <w:color w:val="auto"/>
          <w:szCs w:val="21"/>
          <w:highlight w:val="none"/>
          <w:u w:val="single"/>
          <w:lang w:eastAsia="zh-CN"/>
        </w:rPr>
        <w:t>嵊泗县原天成化工厂地块一（原天成化工厂东侧主厂区）土壤污染修复项目</w:t>
      </w:r>
      <w:r>
        <w:rPr>
          <w:rFonts w:hint="eastAsia" w:ascii="宋体" w:hAnsi="宋体" w:cs="宋体"/>
          <w:b/>
          <w:color w:val="auto"/>
          <w:szCs w:val="21"/>
          <w:highlight w:val="none"/>
        </w:rPr>
        <w:t>及有关事项协商一致，共同达成如下协议：</w:t>
      </w:r>
    </w:p>
    <w:p w14:paraId="578BDDC3">
      <w:pPr>
        <w:spacing w:before="120" w:after="120"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一、工程概况</w:t>
      </w:r>
      <w:r>
        <w:rPr>
          <w:rFonts w:hint="eastAsia" w:ascii="宋体" w:hAnsi="宋体" w:cs="宋体"/>
          <w:b/>
          <w:color w:val="auto"/>
          <w:szCs w:val="21"/>
          <w:highlight w:val="none"/>
          <w:lang w:eastAsia="zh-CN"/>
        </w:rPr>
        <w:t>，</w:t>
      </w:r>
    </w:p>
    <w:p w14:paraId="262566EA">
      <w:pPr>
        <w:spacing w:line="360" w:lineRule="auto"/>
        <w:ind w:firstLine="411" w:firstLineChars="196"/>
        <w:rPr>
          <w:rFonts w:hint="eastAsia" w:ascii="宋体" w:hAnsi="宋体" w:cs="宋体"/>
          <w:color w:val="auto"/>
          <w:szCs w:val="21"/>
          <w:highlight w:val="none"/>
          <w:u w:val="single"/>
          <w:lang w:val="zh-CN"/>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u w:val="single"/>
          <w:lang w:eastAsia="zh-CN"/>
        </w:rPr>
        <w:t>嵊泗县原天成化工厂地块一（原天成化工厂东侧主厂区）土壤污染修复项目</w:t>
      </w:r>
    </w:p>
    <w:p w14:paraId="08EB5CCD">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 xml:space="preserve"> </w:t>
      </w:r>
    </w:p>
    <w:p w14:paraId="78DF2F3F">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5961D15B">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color w:val="auto"/>
          <w:szCs w:val="21"/>
          <w:highlight w:val="none"/>
          <w:u w:val="single"/>
        </w:rPr>
        <w:t>财政资金。</w:t>
      </w:r>
    </w:p>
    <w:p w14:paraId="3BFB0B1E">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嵊泗县原天成化工厂地块一（原天成化工厂东侧主厂区）土壤污染修复项目</w:t>
      </w:r>
      <w:r>
        <w:rPr>
          <w:rFonts w:hint="eastAsia" w:ascii="宋体" w:hAnsi="宋体" w:cs="宋体"/>
          <w:color w:val="auto"/>
          <w:szCs w:val="21"/>
          <w:highlight w:val="none"/>
          <w:u w:val="single"/>
        </w:rPr>
        <w:t xml:space="preserve"> 。</w:t>
      </w:r>
    </w:p>
    <w:p w14:paraId="33DEAE99">
      <w:pPr>
        <w:spacing w:line="360" w:lineRule="auto"/>
        <w:ind w:firstLine="411" w:firstLineChars="196"/>
        <w:rPr>
          <w:rFonts w:hint="eastAsia" w:ascii="宋体" w:hAnsi="宋体" w:cs="宋体"/>
          <w:color w:val="auto"/>
          <w:szCs w:val="21"/>
          <w:highlight w:val="none"/>
        </w:rPr>
      </w:pPr>
      <w:r>
        <w:rPr>
          <w:rFonts w:hint="eastAsia" w:ascii="宋体" w:hAnsi="宋体" w:cs="宋体"/>
          <w:bCs/>
          <w:color w:val="auto"/>
          <w:szCs w:val="21"/>
          <w:highlight w:val="none"/>
        </w:rPr>
        <w:t>6.工程承包范围：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嵊泗县原天成化工厂地块一（原天成化工厂东侧主厂区）土壤污染修复项目</w:t>
      </w:r>
      <w:r>
        <w:rPr>
          <w:rFonts w:hint="eastAsia" w:ascii="宋体" w:hAnsi="宋体" w:cs="宋体"/>
          <w:color w:val="auto"/>
          <w:szCs w:val="21"/>
          <w:highlight w:val="none"/>
          <w:u w:val="single"/>
        </w:rPr>
        <w:t>，包含施工准备、修复实施、自检、验收及场地清退，具体详见本项目修复技术方案。</w:t>
      </w:r>
    </w:p>
    <w:p w14:paraId="3FE09BAA">
      <w:pPr>
        <w:spacing w:before="120" w:after="120"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   二、合同工期</w:t>
      </w:r>
    </w:p>
    <w:p w14:paraId="39545E67">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计划开工日期：具体日期</w:t>
      </w:r>
      <w:r>
        <w:rPr>
          <w:rFonts w:hint="eastAsia" w:ascii="宋体" w:hAnsi="宋体" w:cs="宋体"/>
          <w:color w:val="auto"/>
          <w:szCs w:val="21"/>
          <w:highlight w:val="none"/>
          <w:u w:val="single"/>
        </w:rPr>
        <w:t>以发出的开工报告为准。</w:t>
      </w:r>
    </w:p>
    <w:p w14:paraId="7ADDC2F3">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其中施工准备阶段至污染土壤清挖、转运和处置阶段需在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日历天内完工</w:t>
      </w:r>
      <w:r>
        <w:rPr>
          <w:rFonts w:hint="eastAsia" w:ascii="宋体" w:hAnsi="宋体" w:cs="宋体"/>
          <w:color w:val="auto"/>
          <w:szCs w:val="21"/>
          <w:highlight w:val="none"/>
        </w:rPr>
        <w:t>。（时间自开工报告载明的开工之日起，至土壤及地下水达到修复目标值并通过项目验收会止）。</w:t>
      </w:r>
    </w:p>
    <w:p w14:paraId="6113D263">
      <w:pPr>
        <w:spacing w:line="360" w:lineRule="auto"/>
        <w:ind w:firstLine="459"/>
        <w:rPr>
          <w:rFonts w:hint="eastAsia" w:ascii="宋体" w:hAnsi="宋体" w:cs="宋体"/>
          <w:bCs/>
          <w:color w:val="auto"/>
          <w:szCs w:val="21"/>
          <w:highlight w:val="none"/>
        </w:rPr>
      </w:pPr>
      <w:r>
        <w:rPr>
          <w:rFonts w:hint="eastAsia" w:ascii="宋体" w:hAnsi="宋体" w:cs="宋体"/>
          <w:color w:val="auto"/>
          <w:szCs w:val="21"/>
          <w:highlight w:val="none"/>
        </w:rPr>
        <w:t xml:space="preserve">三、质量标准 </w:t>
      </w:r>
    </w:p>
    <w:p w14:paraId="7F267837">
      <w:pPr>
        <w:spacing w:line="360" w:lineRule="auto"/>
        <w:ind w:firstLine="459"/>
        <w:jc w:val="left"/>
        <w:rPr>
          <w:rFonts w:hint="eastAsia" w:ascii="宋体" w:hAnsi="宋体" w:cs="宋体"/>
          <w:color w:val="auto"/>
          <w:szCs w:val="21"/>
          <w:highlight w:val="none"/>
        </w:rPr>
      </w:pPr>
      <w:r>
        <w:rPr>
          <w:rFonts w:hint="eastAsia" w:ascii="宋体" w:hAnsi="宋体" w:cs="宋体"/>
          <w:color w:val="auto"/>
          <w:szCs w:val="21"/>
          <w:highlight w:val="none"/>
        </w:rPr>
        <w:t>工程质量符合标准：</w:t>
      </w:r>
      <w:r>
        <w:rPr>
          <w:rFonts w:hint="eastAsia" w:ascii="宋体" w:hAnsi="宋体" w:cs="宋体"/>
          <w:color w:val="auto"/>
          <w:szCs w:val="21"/>
          <w:highlight w:val="none"/>
          <w:u w:val="single"/>
        </w:rPr>
        <w:t xml:space="preserve"> 满足修复目标值要求，通过第三方的检测和验收</w:t>
      </w:r>
      <w:r>
        <w:rPr>
          <w:rFonts w:hint="eastAsia" w:ascii="宋体" w:hAnsi="宋体" w:cs="宋体"/>
          <w:color w:val="auto"/>
          <w:szCs w:val="21"/>
          <w:highlight w:val="none"/>
        </w:rPr>
        <w:t>。</w:t>
      </w:r>
    </w:p>
    <w:p w14:paraId="6E1F83AF">
      <w:pPr>
        <w:spacing w:before="120" w:after="1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四、签约合同价与合同价格形式</w:t>
      </w:r>
      <w:r>
        <w:rPr>
          <w:rFonts w:hint="eastAsia" w:ascii="宋体" w:hAnsi="宋体" w:cs="宋体"/>
          <w:b/>
          <w:color w:val="auto"/>
          <w:szCs w:val="21"/>
          <w:highlight w:val="none"/>
        </w:rPr>
        <w:tab/>
      </w:r>
    </w:p>
    <w:p w14:paraId="006CA65F">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1. 签约合同价（含税价）：</w:t>
      </w:r>
      <w:r>
        <w:rPr>
          <w:rFonts w:hint="eastAsia" w:ascii="宋体" w:hAnsi="宋体" w:cs="宋体"/>
          <w:color w:val="auto"/>
          <w:szCs w:val="21"/>
          <w:highlight w:val="none"/>
          <w:u w:val="single"/>
        </w:rPr>
        <w:t>人民币（大写）      元整(¥      元)，其中金额：人民币（大写）      元整(¥     元)，税额：人民币（大写）      元整(¥    元) ；税率：  %，乙方需出具增值税发票给甲方，并保证发票的真实性。</w:t>
      </w:r>
    </w:p>
    <w:p w14:paraId="04B5FA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lang w:val="en-US" w:eastAsia="zh-CN"/>
        </w:rPr>
        <w:t>总价包干（除规定可调外，其余按图纸、工程量清单、技术修复方案内容一次性包干）</w:t>
      </w:r>
      <w:r>
        <w:rPr>
          <w:rFonts w:hint="eastAsia" w:ascii="宋体" w:hAnsi="宋体" w:cs="宋体"/>
          <w:color w:val="auto"/>
          <w:szCs w:val="21"/>
          <w:highlight w:val="none"/>
          <w:u w:val="single"/>
        </w:rPr>
        <w:t>。</w:t>
      </w:r>
    </w:p>
    <w:p w14:paraId="2D407F2A">
      <w:pPr>
        <w:spacing w:before="120" w:after="120" w:line="360" w:lineRule="auto"/>
        <w:rPr>
          <w:rFonts w:hint="eastAsia" w:ascii="宋体" w:hAnsi="宋体" w:cs="宋体"/>
          <w:b/>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五、项目经理</w:t>
      </w:r>
    </w:p>
    <w:p w14:paraId="7361B5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E681C1">
      <w:pPr>
        <w:spacing w:before="120" w:after="1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六、合同文件构成</w:t>
      </w:r>
    </w:p>
    <w:p w14:paraId="06F1C64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下列文件一起构成合同文件及解释顺序：</w:t>
      </w:r>
    </w:p>
    <w:p w14:paraId="0228A2D7">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本协议书</w:t>
      </w:r>
    </w:p>
    <w:p w14:paraId="65DB439D">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（2）中标通知书；</w:t>
      </w:r>
    </w:p>
    <w:p w14:paraId="187BE5E9">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（3）专用合同条款及其附件； </w:t>
      </w:r>
    </w:p>
    <w:p w14:paraId="60D4D99E">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（4）投标文件；</w:t>
      </w:r>
    </w:p>
    <w:p w14:paraId="5BAECA97">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（5）采购文件；</w:t>
      </w:r>
    </w:p>
    <w:p w14:paraId="4BEBA85E">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（6）通用合同条款；</w:t>
      </w:r>
    </w:p>
    <w:p w14:paraId="46095F17">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（7）技术标准和要求；</w:t>
      </w:r>
    </w:p>
    <w:p w14:paraId="1729A7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（8）其他合同文件</w:t>
      </w:r>
      <w:r>
        <w:rPr>
          <w:rFonts w:hint="eastAsia" w:ascii="宋体" w:hAnsi="宋体" w:cs="宋体"/>
          <w:color w:val="auto"/>
          <w:szCs w:val="21"/>
          <w:highlight w:val="none"/>
          <w:lang w:eastAsia="zh-CN"/>
        </w:rPr>
        <w:t>；</w:t>
      </w:r>
    </w:p>
    <w:p w14:paraId="19A1F8D3">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9）修复技术方案。</w:t>
      </w:r>
    </w:p>
    <w:p w14:paraId="2580779B">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09D98B4">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上述各项合同文件包括合同当事人就该项合同文件所作出的补充和修改，属于同一类内容的文件，应以最新签署的为准。专用合同条款及其附件须经合同双方签字或盖章。</w:t>
      </w:r>
    </w:p>
    <w:p w14:paraId="13E698CA">
      <w:pPr>
        <w:spacing w:before="120" w:after="12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 xml:space="preserve"> 七、承诺</w:t>
      </w:r>
    </w:p>
    <w:p w14:paraId="40BF48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290F316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2.承包人承诺按照法律规定及合同约定组织完成工程施工，确保工程质量和安全，不得转包、分包及挂靠，并在缺陷责任期及保修期内承担相应的工程维修责任。</w:t>
      </w:r>
    </w:p>
    <w:p w14:paraId="5C6E7E2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14:paraId="69DCCBE6">
      <w:pPr>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八、词语含义</w:t>
      </w:r>
    </w:p>
    <w:p w14:paraId="4FBBC0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759758DC">
      <w:pPr>
        <w:spacing w:before="120" w:after="1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九、签订时间</w:t>
      </w:r>
    </w:p>
    <w:p w14:paraId="466A9E6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1C05EEB5">
      <w:pPr>
        <w:spacing w:before="120" w:after="1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十、签订地点</w:t>
      </w:r>
    </w:p>
    <w:p w14:paraId="66E8DD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7CEE054E">
      <w:pPr>
        <w:spacing w:before="120" w:after="1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十一、补充协议</w:t>
      </w:r>
    </w:p>
    <w:p w14:paraId="7BEC39E1">
      <w:pPr>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合同未尽事宜，双方另行签订补充协议，补充协议是合同的组成部分。</w:t>
      </w:r>
    </w:p>
    <w:p w14:paraId="30641FDE">
      <w:pPr>
        <w:spacing w:before="120" w:after="1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十二、合同生效</w:t>
      </w:r>
    </w:p>
    <w:p w14:paraId="1FEFC80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承包人提交足额的履约保函，且双方签字或盖章后 </w:t>
      </w:r>
      <w:r>
        <w:rPr>
          <w:rFonts w:hint="eastAsia" w:ascii="宋体" w:hAnsi="宋体" w:cs="宋体"/>
          <w:bCs/>
          <w:color w:val="auto"/>
          <w:szCs w:val="21"/>
          <w:highlight w:val="none"/>
        </w:rPr>
        <w:t>生效。</w:t>
      </w:r>
    </w:p>
    <w:p w14:paraId="0ED9D88F">
      <w:pPr>
        <w:spacing w:before="120" w:after="1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十三、合同份数</w:t>
      </w:r>
    </w:p>
    <w:p w14:paraId="774A84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514AB3B5">
      <w:pPr>
        <w:spacing w:line="360" w:lineRule="auto"/>
        <w:rPr>
          <w:rFonts w:hint="eastAsia" w:ascii="宋体" w:hAnsi="宋体" w:cs="宋体"/>
          <w:color w:val="auto"/>
          <w:szCs w:val="21"/>
          <w:highlight w:val="none"/>
        </w:rPr>
      </w:pPr>
    </w:p>
    <w:p w14:paraId="1E05D0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  (盖章)                              承包人：  (盖章)</w:t>
      </w:r>
    </w:p>
    <w:p w14:paraId="5E38BE0C">
      <w:pPr>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5F86C3E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704DA8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（签字或盖章）                                （签字或盖章）</w:t>
      </w:r>
    </w:p>
    <w:p w14:paraId="6E04BCF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 </w:t>
      </w:r>
      <w:r>
        <w:rPr>
          <w:rFonts w:hint="eastAsia" w:ascii="宋体" w:hAnsi="宋体" w:cs="宋体"/>
          <w:color w:val="auto"/>
          <w:szCs w:val="21"/>
          <w:highlight w:val="none"/>
          <w:u w:val="single"/>
        </w:rPr>
        <w:t xml:space="preserve">                  </w:t>
      </w:r>
    </w:p>
    <w:p w14:paraId="627819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 </w:t>
      </w:r>
      <w:r>
        <w:rPr>
          <w:rFonts w:hint="eastAsia" w:ascii="宋体" w:hAnsi="宋体" w:cs="宋体"/>
          <w:color w:val="auto"/>
          <w:szCs w:val="21"/>
          <w:highlight w:val="none"/>
          <w:u w:val="single"/>
        </w:rPr>
        <w:t xml:space="preserve">               </w:t>
      </w:r>
    </w:p>
    <w:p w14:paraId="5C3898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 </w:t>
      </w:r>
      <w:r>
        <w:rPr>
          <w:rFonts w:hint="eastAsia" w:ascii="宋体" w:hAnsi="宋体" w:cs="宋体"/>
          <w:color w:val="auto"/>
          <w:szCs w:val="21"/>
          <w:highlight w:val="none"/>
          <w:u w:val="single"/>
        </w:rPr>
        <w:t xml:space="preserve">                  </w:t>
      </w:r>
    </w:p>
    <w:p w14:paraId="374791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2982602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7465718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                  </w:t>
      </w:r>
    </w:p>
    <w:p w14:paraId="235E63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7E528D0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账  号：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729C5114">
      <w:pPr>
        <w:spacing w:line="390" w:lineRule="exact"/>
        <w:rPr>
          <w:rFonts w:hint="eastAsia" w:ascii="宋体" w:hAnsi="宋体" w:cs="宋体"/>
          <w:color w:val="auto"/>
          <w:szCs w:val="21"/>
          <w:highlight w:val="none"/>
        </w:rPr>
      </w:pPr>
    </w:p>
    <w:p w14:paraId="2AA4D803">
      <w:pPr>
        <w:spacing w:after="240" w:afterLines="100" w:line="400" w:lineRule="exact"/>
        <w:jc w:val="center"/>
        <w:rPr>
          <w:rFonts w:hint="eastAsia" w:ascii="宋体" w:hAnsi="宋体" w:cs="宋体"/>
          <w:b/>
          <w:color w:val="auto"/>
          <w:szCs w:val="21"/>
          <w:highlight w:val="none"/>
        </w:rPr>
      </w:pPr>
    </w:p>
    <w:p w14:paraId="6CABF784">
      <w:pPr>
        <w:spacing w:after="240" w:afterLines="100" w:line="400" w:lineRule="exact"/>
        <w:jc w:val="center"/>
        <w:rPr>
          <w:rFonts w:hint="eastAsia" w:ascii="宋体" w:hAnsi="宋体" w:cs="宋体"/>
          <w:b/>
          <w:color w:val="auto"/>
          <w:szCs w:val="21"/>
          <w:highlight w:val="none"/>
        </w:rPr>
      </w:pPr>
    </w:p>
    <w:p w14:paraId="599D0F55">
      <w:pPr>
        <w:spacing w:after="240" w:afterLines="100" w:line="400" w:lineRule="exact"/>
        <w:jc w:val="center"/>
        <w:rPr>
          <w:rFonts w:hint="eastAsia" w:ascii="宋体" w:hAnsi="宋体" w:cs="宋体"/>
          <w:b/>
          <w:color w:val="auto"/>
          <w:szCs w:val="21"/>
          <w:highlight w:val="none"/>
        </w:rPr>
      </w:pPr>
    </w:p>
    <w:p w14:paraId="5BCD9BC6">
      <w:pPr>
        <w:spacing w:after="240" w:afterLines="100" w:line="400" w:lineRule="exact"/>
        <w:jc w:val="center"/>
        <w:rPr>
          <w:rFonts w:hint="eastAsia" w:ascii="宋体" w:hAnsi="宋体" w:cs="宋体"/>
          <w:b/>
          <w:color w:val="auto"/>
          <w:szCs w:val="21"/>
          <w:highlight w:val="none"/>
        </w:rPr>
      </w:pPr>
    </w:p>
    <w:p w14:paraId="0074F425">
      <w:pPr>
        <w:spacing w:after="240" w:afterLines="100" w:line="400" w:lineRule="exact"/>
        <w:jc w:val="center"/>
        <w:rPr>
          <w:rFonts w:hint="eastAsia" w:ascii="宋体" w:hAnsi="宋体" w:cs="宋体"/>
          <w:b/>
          <w:color w:val="auto"/>
          <w:szCs w:val="21"/>
          <w:highlight w:val="none"/>
        </w:rPr>
      </w:pPr>
    </w:p>
    <w:p w14:paraId="057EFABA">
      <w:pPr>
        <w:spacing w:after="240" w:afterLines="100" w:line="400" w:lineRule="exact"/>
        <w:jc w:val="center"/>
        <w:rPr>
          <w:rFonts w:hint="eastAsia" w:ascii="宋体" w:hAnsi="宋体" w:cs="宋体"/>
          <w:b/>
          <w:color w:val="auto"/>
          <w:szCs w:val="21"/>
          <w:highlight w:val="none"/>
        </w:rPr>
      </w:pPr>
    </w:p>
    <w:p w14:paraId="2DBDA9A6">
      <w:pPr>
        <w:spacing w:after="240" w:afterLines="100" w:line="400" w:lineRule="exact"/>
        <w:rPr>
          <w:rFonts w:hint="eastAsia" w:ascii="宋体" w:hAnsi="宋体" w:cs="宋体"/>
          <w:b/>
          <w:color w:val="auto"/>
          <w:szCs w:val="21"/>
          <w:highlight w:val="none"/>
        </w:rPr>
      </w:pPr>
    </w:p>
    <w:p w14:paraId="2CE13455">
      <w:pPr>
        <w:pageBreakBefore/>
        <w:spacing w:after="240" w:afterLines="100"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第二部分 通用合同条款</w:t>
      </w:r>
    </w:p>
    <w:p w14:paraId="5ADE1B81">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通用合同条款直接引用《建设工程施工合同（示范文本）</w:t>
      </w:r>
      <w:r>
        <w:rPr>
          <w:rFonts w:hint="eastAsia" w:ascii="宋体" w:hAnsi="宋体" w:cs="宋体"/>
          <w:color w:val="auto"/>
          <w:szCs w:val="21"/>
          <w:highlight w:val="none"/>
          <w:lang w:eastAsia="zh-CN"/>
        </w:rPr>
        <w:t>》</w:t>
      </w:r>
      <w:r>
        <w:rPr>
          <w:rFonts w:hint="eastAsia" w:ascii="宋体" w:hAnsi="宋体" w:cs="宋体"/>
          <w:color w:val="auto"/>
          <w:szCs w:val="21"/>
          <w:highlight w:val="none"/>
        </w:rPr>
        <w:t>（GF-2017-0201）第二部分“通用合同条款”内容。</w:t>
      </w:r>
    </w:p>
    <w:p w14:paraId="32230B3A">
      <w:pPr>
        <w:spacing w:after="240" w:afterLines="100" w:line="400" w:lineRule="exact"/>
        <w:jc w:val="center"/>
        <w:rPr>
          <w:rFonts w:hint="eastAsia" w:ascii="宋体" w:hAnsi="宋体" w:cs="宋体"/>
          <w:b/>
          <w:color w:val="auto"/>
          <w:szCs w:val="21"/>
          <w:highlight w:val="none"/>
        </w:rPr>
      </w:pPr>
    </w:p>
    <w:p w14:paraId="5464546B">
      <w:pPr>
        <w:spacing w:after="240" w:afterLines="100" w:line="400" w:lineRule="exact"/>
        <w:jc w:val="center"/>
        <w:rPr>
          <w:rFonts w:hint="eastAsia" w:ascii="宋体" w:hAnsi="宋体" w:cs="宋体"/>
          <w:b/>
          <w:color w:val="auto"/>
          <w:szCs w:val="21"/>
          <w:highlight w:val="none"/>
        </w:rPr>
      </w:pPr>
    </w:p>
    <w:p w14:paraId="6894D124">
      <w:pPr>
        <w:spacing w:after="240" w:afterLines="100" w:line="400" w:lineRule="exact"/>
        <w:jc w:val="center"/>
        <w:rPr>
          <w:rFonts w:hint="eastAsia" w:ascii="宋体" w:hAnsi="宋体" w:cs="宋体"/>
          <w:b/>
          <w:color w:val="auto"/>
          <w:szCs w:val="21"/>
          <w:highlight w:val="none"/>
        </w:rPr>
      </w:pPr>
    </w:p>
    <w:p w14:paraId="3A046A68">
      <w:pPr>
        <w:spacing w:after="240" w:afterLines="100" w:line="400" w:lineRule="exact"/>
        <w:jc w:val="center"/>
        <w:rPr>
          <w:rFonts w:hint="eastAsia" w:ascii="宋体" w:hAnsi="宋体" w:cs="宋体"/>
          <w:b/>
          <w:color w:val="auto"/>
          <w:szCs w:val="21"/>
          <w:highlight w:val="none"/>
        </w:rPr>
      </w:pPr>
    </w:p>
    <w:p w14:paraId="186D201A">
      <w:pPr>
        <w:spacing w:after="240" w:afterLines="100" w:line="400" w:lineRule="exact"/>
        <w:jc w:val="center"/>
        <w:rPr>
          <w:rFonts w:hint="eastAsia" w:ascii="宋体" w:hAnsi="宋体" w:cs="宋体"/>
          <w:b/>
          <w:color w:val="auto"/>
          <w:szCs w:val="21"/>
          <w:highlight w:val="none"/>
        </w:rPr>
      </w:pPr>
    </w:p>
    <w:p w14:paraId="4FD81742">
      <w:pPr>
        <w:spacing w:after="240" w:afterLines="100" w:line="400" w:lineRule="exact"/>
        <w:jc w:val="center"/>
        <w:rPr>
          <w:rFonts w:hint="eastAsia" w:ascii="宋体" w:hAnsi="宋体" w:cs="宋体"/>
          <w:b/>
          <w:color w:val="auto"/>
          <w:szCs w:val="21"/>
          <w:highlight w:val="none"/>
        </w:rPr>
      </w:pPr>
    </w:p>
    <w:p w14:paraId="10C219CD">
      <w:pPr>
        <w:spacing w:after="240" w:afterLines="100" w:line="400" w:lineRule="exact"/>
        <w:jc w:val="center"/>
        <w:rPr>
          <w:rFonts w:hint="eastAsia" w:ascii="宋体" w:hAnsi="宋体" w:cs="宋体"/>
          <w:b/>
          <w:color w:val="auto"/>
          <w:szCs w:val="21"/>
          <w:highlight w:val="none"/>
        </w:rPr>
      </w:pPr>
    </w:p>
    <w:p w14:paraId="35EA6B3D">
      <w:pPr>
        <w:spacing w:after="240" w:afterLines="100" w:line="400" w:lineRule="exact"/>
        <w:jc w:val="center"/>
        <w:rPr>
          <w:rFonts w:hint="eastAsia" w:ascii="宋体" w:hAnsi="宋体" w:cs="宋体"/>
          <w:b/>
          <w:color w:val="auto"/>
          <w:szCs w:val="21"/>
          <w:highlight w:val="none"/>
        </w:rPr>
      </w:pPr>
    </w:p>
    <w:p w14:paraId="5C864F59">
      <w:pPr>
        <w:spacing w:after="240" w:afterLines="100" w:line="400" w:lineRule="exact"/>
        <w:jc w:val="center"/>
        <w:rPr>
          <w:rFonts w:hint="eastAsia" w:ascii="宋体" w:hAnsi="宋体" w:cs="宋体"/>
          <w:b/>
          <w:color w:val="auto"/>
          <w:szCs w:val="21"/>
          <w:highlight w:val="none"/>
        </w:rPr>
      </w:pPr>
    </w:p>
    <w:p w14:paraId="07471E96">
      <w:pPr>
        <w:spacing w:after="240" w:afterLines="100" w:line="400" w:lineRule="exact"/>
        <w:jc w:val="center"/>
        <w:rPr>
          <w:rFonts w:hint="eastAsia" w:ascii="宋体" w:hAnsi="宋体" w:cs="宋体"/>
          <w:b/>
          <w:color w:val="auto"/>
          <w:szCs w:val="21"/>
          <w:highlight w:val="none"/>
        </w:rPr>
      </w:pPr>
    </w:p>
    <w:p w14:paraId="48951F9B">
      <w:pPr>
        <w:spacing w:after="240" w:afterLines="100" w:line="400" w:lineRule="exact"/>
        <w:jc w:val="center"/>
        <w:rPr>
          <w:rFonts w:hint="eastAsia" w:ascii="宋体" w:hAnsi="宋体" w:cs="宋体"/>
          <w:b/>
          <w:color w:val="auto"/>
          <w:szCs w:val="21"/>
          <w:highlight w:val="none"/>
        </w:rPr>
      </w:pPr>
    </w:p>
    <w:p w14:paraId="08584574">
      <w:pPr>
        <w:spacing w:after="240" w:afterLines="100" w:line="400" w:lineRule="exact"/>
        <w:jc w:val="center"/>
        <w:rPr>
          <w:rFonts w:hint="eastAsia" w:ascii="宋体" w:hAnsi="宋体" w:cs="宋体"/>
          <w:b/>
          <w:color w:val="auto"/>
          <w:szCs w:val="21"/>
          <w:highlight w:val="none"/>
        </w:rPr>
      </w:pPr>
    </w:p>
    <w:p w14:paraId="312CAF3C">
      <w:pPr>
        <w:spacing w:after="240" w:afterLines="100" w:line="400" w:lineRule="exact"/>
        <w:jc w:val="center"/>
        <w:rPr>
          <w:rFonts w:hint="eastAsia" w:ascii="宋体" w:hAnsi="宋体" w:cs="宋体"/>
          <w:b/>
          <w:color w:val="auto"/>
          <w:szCs w:val="21"/>
          <w:highlight w:val="none"/>
        </w:rPr>
      </w:pPr>
    </w:p>
    <w:p w14:paraId="7C06967D">
      <w:pPr>
        <w:spacing w:after="240" w:afterLines="100" w:line="400" w:lineRule="exact"/>
        <w:jc w:val="center"/>
        <w:rPr>
          <w:rFonts w:hint="eastAsia" w:ascii="宋体" w:hAnsi="宋体" w:cs="宋体"/>
          <w:b/>
          <w:color w:val="auto"/>
          <w:szCs w:val="21"/>
          <w:highlight w:val="none"/>
        </w:rPr>
      </w:pPr>
    </w:p>
    <w:p w14:paraId="38F0895C">
      <w:pPr>
        <w:spacing w:after="240" w:afterLines="100" w:line="400" w:lineRule="exact"/>
        <w:jc w:val="center"/>
        <w:rPr>
          <w:rFonts w:hint="eastAsia" w:ascii="宋体" w:hAnsi="宋体" w:cs="宋体"/>
          <w:b/>
          <w:color w:val="auto"/>
          <w:szCs w:val="21"/>
          <w:highlight w:val="none"/>
        </w:rPr>
      </w:pPr>
    </w:p>
    <w:p w14:paraId="6222243E">
      <w:pPr>
        <w:spacing w:after="240" w:afterLines="100" w:line="400" w:lineRule="exact"/>
        <w:jc w:val="center"/>
        <w:rPr>
          <w:rFonts w:hint="eastAsia" w:ascii="宋体" w:hAnsi="宋体" w:cs="宋体"/>
          <w:b/>
          <w:color w:val="auto"/>
          <w:szCs w:val="21"/>
          <w:highlight w:val="none"/>
        </w:rPr>
      </w:pPr>
    </w:p>
    <w:p w14:paraId="7A5256D1">
      <w:pPr>
        <w:spacing w:after="240" w:afterLines="100" w:line="400" w:lineRule="exact"/>
        <w:jc w:val="center"/>
        <w:rPr>
          <w:rFonts w:hint="eastAsia" w:ascii="宋体" w:hAnsi="宋体" w:cs="宋体"/>
          <w:b/>
          <w:color w:val="auto"/>
          <w:szCs w:val="21"/>
          <w:highlight w:val="none"/>
        </w:rPr>
      </w:pPr>
    </w:p>
    <w:p w14:paraId="5BFB851D">
      <w:pPr>
        <w:spacing w:after="240" w:afterLines="100" w:line="400" w:lineRule="exact"/>
        <w:jc w:val="center"/>
        <w:rPr>
          <w:rFonts w:hint="eastAsia" w:ascii="宋体" w:hAnsi="宋体" w:cs="宋体"/>
          <w:b/>
          <w:color w:val="auto"/>
          <w:szCs w:val="21"/>
          <w:highlight w:val="none"/>
        </w:rPr>
      </w:pPr>
    </w:p>
    <w:p w14:paraId="4CAC9B31">
      <w:pPr>
        <w:pageBreakBefore/>
        <w:spacing w:after="240" w:afterLines="100"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第三部分 专用合同条款</w:t>
      </w:r>
    </w:p>
    <w:p w14:paraId="13093AC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以下主要专用合同条款根据《建设工程施工合同（示范文本）</w:t>
      </w:r>
      <w:r>
        <w:rPr>
          <w:rFonts w:hint="eastAsia" w:ascii="宋体" w:hAnsi="宋体" w:cs="宋体"/>
          <w:color w:val="auto"/>
          <w:szCs w:val="21"/>
          <w:highlight w:val="none"/>
          <w:lang w:eastAsia="zh-CN"/>
        </w:rPr>
        <w:t>》</w:t>
      </w:r>
      <w:r>
        <w:rPr>
          <w:rFonts w:hint="eastAsia" w:ascii="宋体" w:hAnsi="宋体" w:cs="宋体"/>
          <w:color w:val="auto"/>
          <w:szCs w:val="21"/>
          <w:highlight w:val="none"/>
        </w:rPr>
        <w:t>（GF-2017-0201）第三部分“专用合同条款”的格式与内容确定，除招标人和中标人在合同谈判期间有补充约定外，本合同的专用合同条款按以下条款执行。</w:t>
      </w:r>
    </w:p>
    <w:p w14:paraId="7F93987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 一般约定</w:t>
      </w:r>
    </w:p>
    <w:p w14:paraId="6F58F8CA">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 词语定义</w:t>
      </w:r>
    </w:p>
    <w:p w14:paraId="1C2E1DD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1.1.1合同</w:t>
      </w:r>
    </w:p>
    <w:p w14:paraId="07B5260B">
      <w:pPr>
        <w:spacing w:line="400" w:lineRule="exact"/>
        <w:rPr>
          <w:rFonts w:hint="eastAsia" w:ascii="宋体" w:hAnsi="宋体" w:cs="宋体"/>
          <w:color w:val="auto"/>
          <w:szCs w:val="21"/>
          <w:highlight w:val="none"/>
          <w:u w:val="single"/>
        </w:rPr>
      </w:pPr>
      <w:r>
        <w:rPr>
          <w:rFonts w:hint="eastAsia" w:ascii="宋体" w:hAnsi="宋体" w:cs="宋体"/>
          <w:color w:val="auto"/>
          <w:kern w:val="0"/>
          <w:szCs w:val="21"/>
          <w:highlight w:val="none"/>
        </w:rPr>
        <w:t xml:space="preserve">    1.1.1.10其他合同文件包括：</w:t>
      </w:r>
      <w:r>
        <w:rPr>
          <w:rFonts w:hint="eastAsia" w:ascii="宋体" w:hAnsi="宋体" w:cs="宋体"/>
          <w:color w:val="auto"/>
          <w:szCs w:val="21"/>
          <w:highlight w:val="none"/>
          <w:u w:val="single"/>
        </w:rPr>
        <w:t>/。</w:t>
      </w:r>
    </w:p>
    <w:p w14:paraId="619EB3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14:paraId="4A45F8D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1.1.2.4监理人：</w:t>
      </w:r>
    </w:p>
    <w:p w14:paraId="6F6B3A89">
      <w:pPr>
        <w:pStyle w:val="783"/>
        <w:snapToGrid w:val="0"/>
        <w:spacing w:line="520" w:lineRule="exact"/>
        <w:rPr>
          <w:rFonts w:hint="eastAsia" w:ascii="宋体" w:hAnsi="宋体" w:cs="宋体"/>
          <w:color w:val="auto"/>
          <w:highlight w:val="none"/>
        </w:rPr>
      </w:pPr>
      <w:r>
        <w:rPr>
          <w:rFonts w:hint="eastAsia" w:ascii="宋体" w:hAnsi="宋体" w:cs="宋体"/>
          <w:color w:val="auto"/>
          <w:highlight w:val="none"/>
        </w:rPr>
        <w:t xml:space="preserve">    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B36EE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4A027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47025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8613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3A711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2BEAE87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永久占地</w:t>
      </w:r>
      <w:r>
        <w:rPr>
          <w:rFonts w:hint="eastAsia" w:ascii="宋体" w:hAnsi="宋体" w:cs="宋体"/>
          <w:color w:val="auto"/>
          <w:szCs w:val="21"/>
          <w:highlight w:val="none"/>
        </w:rPr>
        <w:t>。</w:t>
      </w:r>
    </w:p>
    <w:p w14:paraId="5ECB9FD1">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待修复地块范围内的土地 </w:t>
      </w:r>
      <w:r>
        <w:rPr>
          <w:rFonts w:hint="eastAsia" w:ascii="宋体" w:hAnsi="宋体" w:cs="宋体"/>
          <w:color w:val="auto"/>
          <w:kern w:val="0"/>
          <w:szCs w:val="21"/>
          <w:highlight w:val="none"/>
        </w:rPr>
        <w:t>。</w:t>
      </w:r>
    </w:p>
    <w:p w14:paraId="1E934AE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发包人不提供临时用地  </w:t>
      </w:r>
      <w:r>
        <w:rPr>
          <w:rFonts w:hint="eastAsia" w:ascii="宋体" w:hAnsi="宋体" w:cs="宋体"/>
          <w:color w:val="auto"/>
          <w:kern w:val="0"/>
          <w:szCs w:val="21"/>
          <w:highlight w:val="none"/>
        </w:rPr>
        <w:t>。</w:t>
      </w:r>
    </w:p>
    <w:p w14:paraId="55316553">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6D73149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适用于合同的其他规范性文件：现行国家、住建部、环保部、浙江省、</w:t>
      </w:r>
      <w:r>
        <w:rPr>
          <w:rFonts w:hint="eastAsia" w:ascii="宋体" w:hAnsi="宋体" w:cs="宋体"/>
          <w:color w:val="auto"/>
          <w:szCs w:val="21"/>
          <w:highlight w:val="none"/>
          <w:lang w:eastAsia="zh-CN"/>
        </w:rPr>
        <w:t>舟山市</w:t>
      </w:r>
      <w:r>
        <w:rPr>
          <w:rFonts w:hint="eastAsia" w:ascii="宋体" w:hAnsi="宋体" w:cs="宋体"/>
          <w:color w:val="auto"/>
          <w:szCs w:val="21"/>
          <w:highlight w:val="none"/>
        </w:rPr>
        <w:t>有关的法律法规、规章及规范性文件（如有冲突，按就高原则处理）。</w:t>
      </w:r>
    </w:p>
    <w:p w14:paraId="2E9EA529">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296B5E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1.4.1适用于工程的标准规范包括：现行国家、住建部、环保部、浙江省、</w:t>
      </w:r>
      <w:r>
        <w:rPr>
          <w:rFonts w:hint="eastAsia" w:ascii="宋体" w:hAnsi="宋体" w:cs="宋体"/>
          <w:color w:val="auto"/>
          <w:szCs w:val="21"/>
          <w:highlight w:val="none"/>
          <w:lang w:eastAsia="zh-CN"/>
        </w:rPr>
        <w:t>舟山市</w:t>
      </w:r>
      <w:r>
        <w:rPr>
          <w:rFonts w:hint="eastAsia" w:ascii="宋体" w:hAnsi="宋体" w:cs="宋体"/>
          <w:color w:val="auto"/>
          <w:szCs w:val="21"/>
          <w:highlight w:val="none"/>
        </w:rPr>
        <w:t>相关的施工及验收规范和标准。（如有冲突，按就高原则处理）。</w:t>
      </w:r>
    </w:p>
    <w:p w14:paraId="5B6D0D4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1.4.2 发包人提供国外标准、规范的名称：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025955C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0531F6D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1.4.3发包人对工程的技术标准和功能要求的特殊要求：</w:t>
      </w:r>
      <w:r>
        <w:rPr>
          <w:rFonts w:hint="eastAsia" w:ascii="宋体" w:hAnsi="宋体" w:cs="宋体"/>
          <w:color w:val="auto"/>
          <w:szCs w:val="21"/>
          <w:highlight w:val="none"/>
          <w:u w:val="single"/>
        </w:rPr>
        <w:t xml:space="preserve"> 相关标准、规范由承包人根据工程施工要求自备。没有相应标准、规范时，采用国际相关标准、规范。</w:t>
      </w:r>
    </w:p>
    <w:p w14:paraId="7932A758">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301A93B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合同文件的优先解释顺序执行合同协议书相应条款。</w:t>
      </w:r>
    </w:p>
    <w:p w14:paraId="16B32CDE">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5076720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1.6.1图纸的提供</w:t>
      </w:r>
    </w:p>
    <w:p w14:paraId="28F6441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发包人提供经环保部门备案的修复方案。</w:t>
      </w:r>
    </w:p>
    <w:p w14:paraId="05B64B9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2657D9FB">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工程总进度计划、总资金使用计划、年度资金使用计划。</w:t>
      </w:r>
    </w:p>
    <w:p w14:paraId="104D280D">
      <w:pPr>
        <w:spacing w:line="400" w:lineRule="exact"/>
        <w:ind w:firstLine="359" w:firstLineChars="171"/>
        <w:rPr>
          <w:rFonts w:hint="eastAsia" w:ascii="宋体" w:hAnsi="宋体" w:cs="宋体"/>
          <w:color w:val="auto"/>
          <w:szCs w:val="21"/>
          <w:highlight w:val="none"/>
          <w:u w:val="singl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承包人应在中标公示结束后</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日内向发包人提供符合发包人要求的工程总进度计划、总资金使用计划、年度资金使用计划。每月25日之前提交本月工程进度表、下月进度计划及下月资金使用计划，并上报监理与发包人；</w:t>
      </w:r>
    </w:p>
    <w:p w14:paraId="4891397B">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一式八套；</w:t>
      </w:r>
    </w:p>
    <w:p w14:paraId="34E02298">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监理工程师应在收到此计划后的14天内审核并转报发包人核备。</w:t>
      </w:r>
    </w:p>
    <w:p w14:paraId="63D8943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16A8240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关于现场图纸准备的约定：承包人在施工现场保存至少一套完整的图纸和承包人文件。</w:t>
      </w:r>
    </w:p>
    <w:p w14:paraId="7BF1AF82">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1.7联络</w:t>
      </w:r>
    </w:p>
    <w:p w14:paraId="2B40054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color w:val="auto"/>
          <w:szCs w:val="21"/>
          <w:highlight w:val="none"/>
          <w:u w:val="single"/>
        </w:rPr>
        <w:t>3</w:t>
      </w:r>
      <w:r>
        <w:rPr>
          <w:rFonts w:hint="eastAsia" w:ascii="宋体" w:hAnsi="宋体" w:cs="宋体"/>
          <w:color w:val="auto"/>
          <w:szCs w:val="21"/>
          <w:highlight w:val="none"/>
        </w:rPr>
        <w:t>天内将与合同有关的通知、批准、证明、证书、指示、指令、要求、请求、同意、意见、确定和决定等书面函件送达对方当事人。</w:t>
      </w:r>
    </w:p>
    <w:p w14:paraId="1262765E">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1.7.2发包人接收文件的地点：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0EB53F">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ED3FFE">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承包人接收文件的地点：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9040D1">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3311FD">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A9C40B0">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06B729">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77C2975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 出入现场的权利：</w:t>
      </w:r>
      <w:r>
        <w:rPr>
          <w:rFonts w:hint="eastAsia" w:ascii="宋体" w:hAnsi="宋体" w:cs="宋体"/>
          <w:color w:val="auto"/>
          <w:szCs w:val="21"/>
          <w:highlight w:val="none"/>
          <w:u w:val="single"/>
        </w:rPr>
        <w:t>执行通用条款。</w:t>
      </w:r>
    </w:p>
    <w:p w14:paraId="109285CC">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1.10.3 关于场外交通和场内交通边界的约定：</w:t>
      </w:r>
      <w:r>
        <w:rPr>
          <w:rFonts w:hint="eastAsia" w:ascii="宋体" w:hAnsi="宋体" w:cs="宋体"/>
          <w:color w:val="auto"/>
          <w:szCs w:val="21"/>
          <w:highlight w:val="none"/>
          <w:u w:val="single"/>
        </w:rPr>
        <w:t>以本合同工程修复地块为界。</w:t>
      </w:r>
    </w:p>
    <w:p w14:paraId="7E81CC0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发包人已经使施工现场具备施工条件，后续工作由承包人自行负责解决，费用由承包人承担。工程完工前承包人应对因施工造成的原有道路、排水等设施的损坏进行修缮，恢复原有使用功能（不降低原使用标准）。若承包人不及时修复的，发包人有权自行或委托第三方进行修缮，产生的费用或损失由承包人承担，发包人可在工程款项中扣除。</w:t>
      </w:r>
    </w:p>
    <w:p w14:paraId="172943E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1.10.4 超大件和超重件的运输</w:t>
      </w:r>
    </w:p>
    <w:p w14:paraId="7003670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承包人</w:t>
      </w:r>
      <w:r>
        <w:rPr>
          <w:rFonts w:hint="eastAsia" w:ascii="宋体" w:hAnsi="宋体" w:cs="宋体"/>
          <w:color w:val="auto"/>
          <w:szCs w:val="21"/>
          <w:highlight w:val="none"/>
        </w:rPr>
        <w:t>承担；相关报批手续由</w:t>
      </w:r>
      <w:r>
        <w:rPr>
          <w:rFonts w:hint="eastAsia" w:ascii="宋体" w:hAnsi="宋体" w:cs="宋体"/>
          <w:color w:val="auto"/>
          <w:szCs w:val="21"/>
          <w:highlight w:val="none"/>
          <w:u w:val="single"/>
        </w:rPr>
        <w:t>承包人</w:t>
      </w:r>
      <w:r>
        <w:rPr>
          <w:rFonts w:hint="eastAsia" w:ascii="宋体" w:hAnsi="宋体" w:cs="宋体"/>
          <w:color w:val="auto"/>
          <w:szCs w:val="21"/>
          <w:highlight w:val="none"/>
        </w:rPr>
        <w:t xml:space="preserve">自行办理。 </w:t>
      </w:r>
    </w:p>
    <w:p w14:paraId="2E638C5F">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6B4DBA6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归属发包人</w:t>
      </w:r>
      <w:r>
        <w:rPr>
          <w:rFonts w:hint="eastAsia" w:ascii="宋体" w:hAnsi="宋体" w:cs="宋体"/>
          <w:color w:val="auto"/>
          <w:szCs w:val="21"/>
          <w:highlight w:val="none"/>
        </w:rPr>
        <w:t>。</w:t>
      </w:r>
    </w:p>
    <w:p w14:paraId="42E40E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承包单位必须对本工程相关资料进行保密，如果因承包单位原因导致相关资料对外泄漏，由承包人承担给发包单位及其他相关单位造成的全部直接、间接损失。</w:t>
      </w:r>
    </w:p>
    <w:p w14:paraId="3DF82C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归属发包人 </w:t>
      </w:r>
      <w:r>
        <w:rPr>
          <w:rFonts w:hint="eastAsia" w:ascii="宋体" w:hAnsi="宋体" w:cs="宋体"/>
          <w:color w:val="auto"/>
          <w:szCs w:val="21"/>
          <w:highlight w:val="none"/>
        </w:rPr>
        <w:t>。</w:t>
      </w:r>
    </w:p>
    <w:p w14:paraId="3927150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不能用于与合同无关的其他事项 </w:t>
      </w:r>
      <w:r>
        <w:rPr>
          <w:rFonts w:hint="eastAsia" w:ascii="宋体" w:hAnsi="宋体" w:cs="宋体"/>
          <w:color w:val="auto"/>
          <w:szCs w:val="21"/>
          <w:highlight w:val="none"/>
        </w:rPr>
        <w:t>。</w:t>
      </w:r>
    </w:p>
    <w:p w14:paraId="25043CD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：已包含在合同价中，发包人不再另行支付   </w:t>
      </w:r>
      <w:r>
        <w:rPr>
          <w:rFonts w:hint="eastAsia" w:ascii="宋体" w:hAnsi="宋体" w:cs="宋体"/>
          <w:color w:val="auto"/>
          <w:szCs w:val="21"/>
          <w:highlight w:val="none"/>
        </w:rPr>
        <w:t>。</w:t>
      </w:r>
    </w:p>
    <w:p w14:paraId="2277468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 发包人</w:t>
      </w:r>
    </w:p>
    <w:p w14:paraId="1BF4C546">
      <w:pPr>
        <w:spacing w:after="120"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 许可或批准</w:t>
      </w:r>
    </w:p>
    <w:p w14:paraId="6950FDCE">
      <w:pPr>
        <w:spacing w:after="120"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2.1.1发包人按时办理法律规定由其办理的许可、批准或备案，若因发包人原因未能及时办理完毕相关许可、批准或备案，工期相应顺延，但因工期延误引起的费用承包人不得向发包人索赔。</w:t>
      </w:r>
    </w:p>
    <w:p w14:paraId="0AB024F3">
      <w:pPr>
        <w:spacing w:after="120"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施工过程中需要使用的临时场地根据场地实际情况，由承包人自行解决，并自行解决因采取施工措施须借用的本地块外临时用地。承包人在退还使用过的临时用地前应自费恢复该临时用地原有的使用功能，如因承包人撤离前未按要求进行恢复或未达到使用标准，将由发包人委托第三方对其进行恢复，所产生的费用将从应付给承包人的任何款项中扣除。</w:t>
      </w:r>
    </w:p>
    <w:p w14:paraId="26724E0B">
      <w:pPr>
        <w:spacing w:after="120"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 发包人代表</w:t>
      </w:r>
    </w:p>
    <w:p w14:paraId="69CE81B8">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14:paraId="68FD9C1B">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476C08F">
      <w:pPr>
        <w:spacing w:line="400" w:lineRule="atLeast"/>
        <w:ind w:firstLine="420"/>
        <w:rPr>
          <w:rFonts w:hint="eastAsia" w:ascii="宋体" w:hAnsi="宋体" w:cs="宋体"/>
          <w:color w:val="auto"/>
          <w:szCs w:val="21"/>
          <w:highlight w:val="none"/>
          <w:u w:val="single"/>
        </w:rPr>
      </w:pPr>
      <w:bookmarkStart w:id="455" w:name="OLE_LINK1"/>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按发包人内部管理规定执行。</w:t>
      </w:r>
    </w:p>
    <w:bookmarkEnd w:id="455"/>
    <w:p w14:paraId="1A233535">
      <w:pPr>
        <w:spacing w:after="120"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2.4 施工现场、施工条件和基础资料的提供</w:t>
      </w:r>
    </w:p>
    <w:p w14:paraId="0B9FCF84">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42FB0939">
      <w:pPr>
        <w:spacing w:line="40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开工日期7天前向承包人移交施工现场。</w:t>
      </w:r>
    </w:p>
    <w:p w14:paraId="522C6EAB">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55697E77">
      <w:pPr>
        <w:spacing w:line="400" w:lineRule="atLeas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施工用水、电由发包人在开工前申请接至工地，提供水源、电源接口各一个。承包人负责将水电线路接至施工、生活所需的地点，相关材料及人工费用由承包人承担；承包人负责保管发包人移交的水电线路及设备，费用由承包人承担；电讯设施由承包人自行解决，费用由承包人承担。用水、用电装表按实计量，费用由承包人承担，由发包人在每次进度款付款时扣回。接电柜必须有电表，漏电保护器等安全设施。</w:t>
      </w:r>
    </w:p>
    <w:p w14:paraId="05259595">
      <w:pPr>
        <w:spacing w:line="400" w:lineRule="atLeas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2.4.3 </w:t>
      </w:r>
      <w:r>
        <w:rPr>
          <w:rFonts w:hint="eastAsia" w:ascii="宋体" w:hAnsi="宋体" w:cs="宋体"/>
          <w:color w:val="auto"/>
          <w:szCs w:val="21"/>
          <w:highlight w:val="none"/>
          <w:u w:val="single"/>
        </w:rPr>
        <w:t>发包人依据工程实际情况，在移交施工现场前向承包人提供施工现场及工程施工所</w:t>
      </w:r>
      <w:r>
        <w:rPr>
          <w:rFonts w:hint="eastAsia" w:ascii="宋体" w:hAnsi="宋体" w:cs="宋体"/>
          <w:color w:val="auto"/>
          <w:szCs w:val="21"/>
          <w:highlight w:val="none"/>
          <w:u w:val="single"/>
          <w:lang w:eastAsia="zh-CN"/>
        </w:rPr>
        <w:t>必需</w:t>
      </w:r>
      <w:r>
        <w:rPr>
          <w:rFonts w:hint="eastAsia" w:ascii="宋体" w:hAnsi="宋体" w:cs="宋体"/>
          <w:color w:val="auto"/>
          <w:szCs w:val="21"/>
          <w:highlight w:val="none"/>
          <w:u w:val="single"/>
        </w:rPr>
        <w:t>的部分有关基础资料，发包人对所提供资料的真实性、准确性负责，承包人在收到资料的7天内应向发包人提出书面确认或资料补充的书面要求（并附上资料的合理用途）；承包人逾期未发出书面确认的，视为承包人认可基础资料的完整性。</w:t>
      </w:r>
    </w:p>
    <w:p w14:paraId="7F8061FD">
      <w:pPr>
        <w:spacing w:line="400" w:lineRule="atLeas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2.4.4</w:t>
      </w:r>
      <w:r>
        <w:rPr>
          <w:rFonts w:hint="eastAsia" w:ascii="宋体" w:hAnsi="宋体" w:cs="宋体"/>
          <w:color w:val="auto"/>
          <w:szCs w:val="21"/>
          <w:highlight w:val="none"/>
          <w:u w:val="single"/>
        </w:rPr>
        <w:t>若因发包人原因未能及时向承包人提供施工现场、施工条件、基础资料，工期按现场实际情况签证，承包人不得以此为由进行费用及利润的索赔。</w:t>
      </w:r>
    </w:p>
    <w:p w14:paraId="4BDBBDA1">
      <w:pPr>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 资金来源证明及支付担保</w:t>
      </w:r>
    </w:p>
    <w:p w14:paraId="66EEDA55">
      <w:pPr>
        <w:spacing w:line="400" w:lineRule="atLeas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不提供     。</w:t>
      </w:r>
    </w:p>
    <w:p w14:paraId="293D7BA9">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发包人是否提供支付担保：  </w:t>
      </w:r>
      <w:r>
        <w:rPr>
          <w:rFonts w:hint="eastAsia" w:ascii="宋体" w:hAnsi="宋体" w:cs="宋体"/>
          <w:color w:val="auto"/>
          <w:szCs w:val="21"/>
          <w:highlight w:val="none"/>
          <w:u w:val="single"/>
        </w:rPr>
        <w:t xml:space="preserve">  不提供     </w:t>
      </w:r>
      <w:r>
        <w:rPr>
          <w:rFonts w:hint="eastAsia" w:ascii="宋体" w:hAnsi="宋体" w:cs="宋体"/>
          <w:color w:val="auto"/>
          <w:szCs w:val="21"/>
          <w:highlight w:val="none"/>
        </w:rPr>
        <w:t>。</w:t>
      </w:r>
    </w:p>
    <w:p w14:paraId="510C357C">
      <w:pPr>
        <w:spacing w:line="400" w:lineRule="atLeas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BD87A87">
      <w:pPr>
        <w:spacing w:before="200" w:after="200" w:line="400" w:lineRule="exact"/>
        <w:rPr>
          <w:rFonts w:hint="eastAsia" w:ascii="宋体" w:hAnsi="宋体" w:cs="宋体"/>
          <w:color w:val="auto"/>
          <w:szCs w:val="21"/>
          <w:highlight w:val="none"/>
        </w:rPr>
      </w:pPr>
      <w:r>
        <w:rPr>
          <w:rFonts w:hint="eastAsia" w:ascii="宋体" w:hAnsi="宋体" w:cs="宋体"/>
          <w:color w:val="auto"/>
          <w:szCs w:val="21"/>
          <w:highlight w:val="none"/>
        </w:rPr>
        <w:t>3. 承包人</w:t>
      </w:r>
    </w:p>
    <w:p w14:paraId="457F3082">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6B95B87A">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（5）</w:t>
      </w:r>
      <w:r>
        <w:rPr>
          <w:rFonts w:hint="eastAsia" w:ascii="宋体" w:hAnsi="宋体" w:cs="宋体"/>
          <w:color w:val="auto"/>
          <w:szCs w:val="21"/>
          <w:highlight w:val="none"/>
        </w:rPr>
        <w:t>承包人提交的竣工资料的内容</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承包人应按发包人及环保主管部门的规定及时收集、整理相关工程资料，工程竣工验收之前需提交8套完整的工程竣工资料及2套电子资料，编制工程竣工资料的费用由承包人承担。</w:t>
      </w:r>
    </w:p>
    <w:p w14:paraId="25249B2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kern w:val="0"/>
          <w:szCs w:val="21"/>
          <w:highlight w:val="none"/>
          <w:u w:val="single"/>
        </w:rPr>
        <w:t>8</w:t>
      </w:r>
      <w:r>
        <w:rPr>
          <w:rFonts w:hint="eastAsia" w:ascii="宋体" w:hAnsi="宋体" w:cs="宋体"/>
          <w:color w:val="auto"/>
          <w:szCs w:val="21"/>
          <w:highlight w:val="none"/>
          <w:u w:val="single"/>
        </w:rPr>
        <w:t xml:space="preserve">套。 </w:t>
      </w:r>
      <w:r>
        <w:rPr>
          <w:rFonts w:hint="eastAsia" w:ascii="宋体" w:hAnsi="宋体" w:cs="宋体"/>
          <w:color w:val="auto"/>
          <w:szCs w:val="21"/>
          <w:highlight w:val="none"/>
        </w:rPr>
        <w:t xml:space="preserve">  </w:t>
      </w:r>
    </w:p>
    <w:p w14:paraId="5BF5140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费用由承包人承担。</w:t>
      </w:r>
    </w:p>
    <w:p w14:paraId="3991E2B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本工程竣工前。</w:t>
      </w:r>
    </w:p>
    <w:p w14:paraId="48CC7152">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8</w:t>
      </w:r>
      <w:r>
        <w:rPr>
          <w:rFonts w:hint="eastAsia" w:ascii="宋体" w:hAnsi="宋体" w:cs="宋体"/>
          <w:color w:val="auto"/>
          <w:szCs w:val="21"/>
          <w:highlight w:val="none"/>
          <w:u w:val="single"/>
        </w:rPr>
        <w:t>套文本及2套电子资料。</w:t>
      </w:r>
    </w:p>
    <w:p w14:paraId="231C61F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（10）应履行的其他义务：</w:t>
      </w:r>
    </w:p>
    <w:p w14:paraId="23442228">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①承担施工安全保卫工作及施工照明、现场用水用电用气的责任和要求：承包人按相关部门的要求，做好安全保卫工作（如警卫）和提供相应设施（如护板、围墙、围栏），以保护公共安全，并提供方便；施工场地必须做好封闭围护，需做施工场地围护的应不影响道路通畅为前提。施工期间施工人员只能在规定的施工区域内操作，在规定地方休息，严禁进入无关的生产区域活动或任意操作生产设施设备</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承包人应自备发电机组，满足工程施工需要。以上费用包含在合同价中，不另单独支付。如承包人的修复实施方案需使用燃气的，必须使用管道天然气并根据承包人自身要求自行解决，以上费用包含在合同价中，不另单独支付。</w:t>
      </w:r>
    </w:p>
    <w:p w14:paraId="5C25BCF7">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②需承包人办理的有关施工场地交通、环卫、施工噪声及污染异味控制管理等手续：由承包人按市相关行政管理部门要求自行办理相关手续，并负担相关费用。</w:t>
      </w:r>
    </w:p>
    <w:p w14:paraId="250F433E">
      <w:pPr>
        <w:pStyle w:val="24"/>
        <w:spacing w:line="400" w:lineRule="exact"/>
        <w:ind w:firstLineChars="2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fldChar w:fldCharType="begin"/>
      </w:r>
      <w:r>
        <w:rPr>
          <w:rFonts w:hint="eastAsia" w:ascii="宋体" w:hAnsi="宋体" w:cs="宋体"/>
          <w:color w:val="auto"/>
          <w:kern w:val="0"/>
          <w:sz w:val="21"/>
          <w:szCs w:val="21"/>
          <w:highlight w:val="none"/>
          <w:u w:val="single"/>
        </w:rPr>
        <w:instrText xml:space="preserve"> = 3 \* GB3 </w:instrText>
      </w:r>
      <w:r>
        <w:rPr>
          <w:rFonts w:hint="eastAsia" w:ascii="宋体" w:hAnsi="宋体" w:cs="宋体"/>
          <w:color w:val="auto"/>
          <w:kern w:val="0"/>
          <w:sz w:val="21"/>
          <w:szCs w:val="21"/>
          <w:highlight w:val="none"/>
          <w:u w:val="single"/>
        </w:rPr>
        <w:fldChar w:fldCharType="separate"/>
      </w:r>
      <w:r>
        <w:rPr>
          <w:rFonts w:hint="eastAsia" w:ascii="宋体" w:hAnsi="宋体" w:cs="宋体"/>
          <w:color w:val="auto"/>
          <w:kern w:val="0"/>
          <w:sz w:val="21"/>
          <w:szCs w:val="21"/>
          <w:highlight w:val="none"/>
          <w:u w:val="single"/>
        </w:rPr>
        <w:t>③</w:t>
      </w:r>
      <w:r>
        <w:rPr>
          <w:rFonts w:hint="eastAsia" w:ascii="宋体" w:hAnsi="宋体" w:cs="宋体"/>
          <w:color w:val="auto"/>
          <w:kern w:val="0"/>
          <w:sz w:val="21"/>
          <w:szCs w:val="21"/>
          <w:highlight w:val="none"/>
          <w:u w:val="single"/>
        </w:rPr>
        <w:fldChar w:fldCharType="end"/>
      </w:r>
      <w:r>
        <w:rPr>
          <w:rFonts w:hint="eastAsia" w:ascii="宋体" w:hAnsi="宋体" w:cs="宋体"/>
          <w:color w:val="auto"/>
          <w:kern w:val="0"/>
          <w:sz w:val="21"/>
          <w:szCs w:val="21"/>
          <w:highlight w:val="none"/>
          <w:u w:val="single"/>
        </w:rPr>
        <w:t>已完工程成品保护的特殊要求及费用承担：在竣工验收前由承包人负责承担。竣工验收后，承包人应将各项设备、设施列出详细清单与发包方进行交接，否则视同承包人继续对设备、设施负责保管并承担相应保管责任。</w:t>
      </w:r>
    </w:p>
    <w:p w14:paraId="5871089D">
      <w:pPr>
        <w:pStyle w:val="24"/>
        <w:spacing w:line="400" w:lineRule="exact"/>
        <w:ind w:firstLine="417" w:firstLineChars="199"/>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fldChar w:fldCharType="begin"/>
      </w:r>
      <w:r>
        <w:rPr>
          <w:rFonts w:hint="eastAsia" w:ascii="宋体" w:hAnsi="宋体" w:cs="宋体"/>
          <w:color w:val="auto"/>
          <w:kern w:val="0"/>
          <w:sz w:val="21"/>
          <w:szCs w:val="21"/>
          <w:highlight w:val="none"/>
          <w:u w:val="single"/>
        </w:rPr>
        <w:instrText xml:space="preserve"> = 4 \* GB3 </w:instrText>
      </w:r>
      <w:r>
        <w:rPr>
          <w:rFonts w:hint="eastAsia" w:ascii="宋体" w:hAnsi="宋体" w:cs="宋体"/>
          <w:color w:val="auto"/>
          <w:kern w:val="0"/>
          <w:sz w:val="21"/>
          <w:szCs w:val="21"/>
          <w:highlight w:val="none"/>
          <w:u w:val="single"/>
        </w:rPr>
        <w:fldChar w:fldCharType="separate"/>
      </w:r>
      <w:r>
        <w:rPr>
          <w:rFonts w:hint="eastAsia" w:ascii="宋体" w:hAnsi="宋体" w:cs="宋体"/>
          <w:color w:val="auto"/>
          <w:kern w:val="0"/>
          <w:sz w:val="21"/>
          <w:szCs w:val="21"/>
          <w:highlight w:val="none"/>
          <w:u w:val="single"/>
        </w:rPr>
        <w:t>④</w:t>
      </w:r>
      <w:r>
        <w:rPr>
          <w:rFonts w:hint="eastAsia" w:ascii="宋体" w:hAnsi="宋体" w:cs="宋体"/>
          <w:color w:val="auto"/>
          <w:kern w:val="0"/>
          <w:sz w:val="21"/>
          <w:szCs w:val="21"/>
          <w:highlight w:val="none"/>
          <w:u w:val="single"/>
        </w:rPr>
        <w:fldChar w:fldCharType="end"/>
      </w:r>
      <w:r>
        <w:rPr>
          <w:rFonts w:hint="eastAsia" w:ascii="宋体" w:hAnsi="宋体" w:cs="宋体"/>
          <w:color w:val="auto"/>
          <w:kern w:val="0"/>
          <w:sz w:val="21"/>
          <w:szCs w:val="21"/>
          <w:highlight w:val="none"/>
          <w:u w:val="single"/>
        </w:rPr>
        <w:t>施工场地周围地下管线和文物保护建筑、古树名木的保护要求及费用承担：承包人按发包人要求做好施工场地周围地下管线、邻近建筑物、构筑物（含文物保护建筑）及古树名木的保护工作。地上的构筑物（含文物保护建筑）、古树名木的保护及施工场地周围地上、地下管线的保护费用，包含在合同总价中。承包人应进一步做好核实调查，并在施工中应充分考虑地下、地上管线及其他建筑物、构筑物的不确定因素，而采用有效的施工措施来避免损坏事件发生，相关费用由承包人承担，一旦发生，承包人承担由此造成的所有直接、间接损失，若承包人不加以修复赔偿，则发包人将指派他人进行修复工作，由此发生的费用，发包人将从应支付给承包人的款项中扣除。</w:t>
      </w:r>
    </w:p>
    <w:p w14:paraId="56D8AE86">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 w:val="21"/>
          <w:szCs w:val="21"/>
          <w:highlight w:val="none"/>
          <w:u w:val="single"/>
        </w:rPr>
        <w:fldChar w:fldCharType="begin"/>
      </w:r>
      <w:r>
        <w:rPr>
          <w:rFonts w:hint="eastAsia" w:ascii="宋体" w:hAnsi="宋体" w:cs="宋体"/>
          <w:color w:val="auto"/>
          <w:kern w:val="0"/>
          <w:sz w:val="21"/>
          <w:szCs w:val="21"/>
          <w:highlight w:val="none"/>
          <w:u w:val="single"/>
        </w:rPr>
        <w:instrText xml:space="preserve"> = 5 \* GB3 </w:instrText>
      </w:r>
      <w:r>
        <w:rPr>
          <w:rFonts w:hint="eastAsia" w:ascii="宋体" w:hAnsi="宋体" w:cs="宋体"/>
          <w:color w:val="auto"/>
          <w:kern w:val="0"/>
          <w:sz w:val="21"/>
          <w:szCs w:val="21"/>
          <w:highlight w:val="none"/>
          <w:u w:val="single"/>
        </w:rPr>
        <w:fldChar w:fldCharType="separate"/>
      </w:r>
      <w:r>
        <w:rPr>
          <w:rFonts w:hint="eastAsia" w:ascii="宋体" w:hAnsi="宋体" w:cs="宋体"/>
          <w:color w:val="auto"/>
          <w:kern w:val="0"/>
          <w:sz w:val="21"/>
          <w:szCs w:val="21"/>
          <w:highlight w:val="none"/>
          <w:u w:val="single"/>
        </w:rPr>
        <w:t>⑤</w:t>
      </w:r>
      <w:r>
        <w:rPr>
          <w:rFonts w:hint="eastAsia" w:ascii="宋体" w:hAnsi="宋体" w:cs="宋体"/>
          <w:color w:val="auto"/>
          <w:kern w:val="0"/>
          <w:sz w:val="21"/>
          <w:szCs w:val="21"/>
          <w:highlight w:val="none"/>
          <w:u w:val="single"/>
        </w:rPr>
        <w:fldChar w:fldCharType="end"/>
      </w:r>
      <w:r>
        <w:rPr>
          <w:rFonts w:hint="eastAsia" w:ascii="宋体" w:hAnsi="宋体" w:cs="宋体"/>
          <w:color w:val="auto"/>
          <w:kern w:val="0"/>
          <w:sz w:val="21"/>
          <w:szCs w:val="21"/>
          <w:highlight w:val="none"/>
          <w:u w:val="single"/>
        </w:rPr>
        <w:t>施工现场清洁卫生的要求：①达到相关部门规定的文明施工要求；②禁止向河道排放杂物、污水、泥浆等，如有违反，承包人承担所有责任。</w:t>
      </w:r>
      <w:r>
        <w:rPr>
          <w:rFonts w:hint="eastAsia" w:ascii="宋体" w:hAnsi="宋体" w:cs="宋体"/>
          <w:color w:val="auto"/>
          <w:kern w:val="0"/>
          <w:sz w:val="21"/>
          <w:szCs w:val="21"/>
          <w:highlight w:val="none"/>
          <w:u w:val="single"/>
        </w:rPr>
        <w:fldChar w:fldCharType="begin"/>
      </w:r>
      <w:r>
        <w:rPr>
          <w:rFonts w:hint="eastAsia" w:ascii="宋体" w:hAnsi="宋体" w:cs="宋体"/>
          <w:color w:val="auto"/>
          <w:kern w:val="0"/>
          <w:sz w:val="21"/>
          <w:szCs w:val="21"/>
          <w:highlight w:val="none"/>
          <w:u w:val="single"/>
        </w:rPr>
        <w:instrText xml:space="preserve"> = 3 \* GB3 </w:instrText>
      </w:r>
      <w:r>
        <w:rPr>
          <w:rFonts w:hint="eastAsia" w:ascii="宋体" w:hAnsi="宋体" w:cs="宋体"/>
          <w:color w:val="auto"/>
          <w:kern w:val="0"/>
          <w:sz w:val="21"/>
          <w:szCs w:val="21"/>
          <w:highlight w:val="none"/>
          <w:u w:val="single"/>
        </w:rPr>
        <w:fldChar w:fldCharType="separate"/>
      </w:r>
      <w:r>
        <w:rPr>
          <w:rFonts w:hint="eastAsia" w:ascii="宋体" w:hAnsi="宋体" w:cs="宋体"/>
          <w:color w:val="auto"/>
          <w:kern w:val="0"/>
          <w:sz w:val="21"/>
          <w:szCs w:val="21"/>
          <w:highlight w:val="none"/>
          <w:u w:val="single"/>
        </w:rPr>
        <w:t>③</w:t>
      </w:r>
      <w:r>
        <w:rPr>
          <w:rFonts w:hint="eastAsia" w:ascii="宋体" w:hAnsi="宋体" w:cs="宋体"/>
          <w:color w:val="auto"/>
          <w:kern w:val="0"/>
          <w:sz w:val="21"/>
          <w:szCs w:val="21"/>
          <w:highlight w:val="none"/>
          <w:u w:val="single"/>
        </w:rPr>
        <w:fldChar w:fldCharType="end"/>
      </w:r>
      <w:r>
        <w:rPr>
          <w:rFonts w:hint="eastAsia" w:ascii="宋体" w:hAnsi="宋体" w:cs="宋体"/>
          <w:color w:val="auto"/>
          <w:kern w:val="0"/>
          <w:sz w:val="21"/>
          <w:szCs w:val="21"/>
          <w:highlight w:val="none"/>
          <w:u w:val="single"/>
        </w:rPr>
        <w:t>交工前，承包人应自行清运、清理完毕发包人提供场地范围内的所有机械、建筑垃圾、生活设施等所有发包人认为应该清理、清运的物品，以上费用在投标报价时综合考虑，包含在合同价中，不另单独支付。</w:t>
      </w:r>
    </w:p>
    <w:p w14:paraId="01AEFD82">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⑥双方约定承包人应做的其他工作：</w:t>
      </w:r>
    </w:p>
    <w:p w14:paraId="3FB29F55">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1、通往指定区域的通道、场地内临时及出入通道的修建、养护及相关费用由承包人负责，工程施工期间及完工前承包人须对施工造成的原有道路等损坏的进行修缮，恢复其原有的使用功能</w:t>
      </w:r>
      <w:r>
        <w:rPr>
          <w:rFonts w:hint="eastAsia" w:ascii="宋体" w:hAnsi="宋体" w:cs="宋体"/>
          <w:color w:val="auto"/>
          <w:szCs w:val="21"/>
          <w:highlight w:val="none"/>
          <w:u w:val="single"/>
        </w:rPr>
        <w:t>（不降低原使用标准）</w:t>
      </w:r>
      <w:r>
        <w:rPr>
          <w:rFonts w:hint="eastAsia" w:ascii="宋体" w:hAnsi="宋体" w:cs="宋体"/>
          <w:color w:val="auto"/>
          <w:kern w:val="0"/>
          <w:szCs w:val="21"/>
          <w:highlight w:val="none"/>
          <w:u w:val="single"/>
        </w:rPr>
        <w:t>，并自行承担相关费用。</w:t>
      </w:r>
    </w:p>
    <w:p w14:paraId="46DCF5C0">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承包人应做好施工场地及场地周边的交通组织、疏导工作，为因施工而中断的原有交通线路应事先取得相关行业主管部门的审批并提供临时通行道路，并在本工程施工结束后对破坏的原有道路及设施予以恢复，费用（含相关行政审批费用）由承包人承担。</w:t>
      </w:r>
    </w:p>
    <w:p w14:paraId="01C4453B">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施工过程中需要使用的临时场地根据场地实际情况，搭设场地由承包人自行解决。发包人不承担提供场地的责任和义务,临时设施应符合招标人的要求。因施工需要使用红线外临时用地的，由承包人自行解决。涉及临时设施重复搭建等费用已包括在合同价款中，发包人不再另行支付。承包人在退还使用过的临时用地前应自费恢复该临时用地原有的使用功能，如因承包人撤离前未按要求进行恢复或未达到使用标准，将由发包人委托第三方对其进行恢复，所产生的费用将从应付给承包人的任何款项中扣除。</w:t>
      </w:r>
    </w:p>
    <w:p w14:paraId="55531BA5">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4、如果因工程建设需要，必须拆除的临设，承包人必须在规定时间内完成拆除。</w:t>
      </w:r>
    </w:p>
    <w:p w14:paraId="5CA111AF">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承包人应在整个承包工程中进行全过程控制，对可能会影响到工地安全和正常施工秩序的事件制定预先防止发生措施，负责做好施工期间社会治安管理及维护社会稳定工作。若发生民工因承包人拖欠工资等事宜而聚众闹事、占领工地、妨碍工程或发包人正常工作类事件，承包人须立刻采取措施妥善处理解决，以确保本工程的进行不会受到影响。若承包人在有关事件发生后3天内仍不能处理完毕，发包人有权采取包括但不限于直接发放工资给民工等一切必要措施控制发生事态的状况，直至解决纠纷事件。在上述事件发生情况下，视为承包人没有尽到合同文件所要求的管理责任，承包人须承担工期延误、额外费用增加及法律上和诉讼上的一切责任，而发包人有权将所述的直接支付民工款项，从按合同应支付给承包人的款项内全部扣除，或作为债项而向承包人追讨。</w:t>
      </w:r>
    </w:p>
    <w:p w14:paraId="20C54D6B">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6、做好施工过程中有关书面、影像等资料的要求：对于工程结算中各类联系单中描述不清的事项，承包人应提供有关原始书面、影像等资料，否则，不计入结算内容。承包人发现施工技术资料任何错误或异常，应及时通知监理人和发包人。发现错误和异常隐瞒不报仍继续施工给发包人造成损失的，发包人有权追究承包人责任。</w:t>
      </w:r>
    </w:p>
    <w:p w14:paraId="71F23D76">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7、本工程施工过程中涉及到的临时围墙、场内垃圾清运处理、地下障碍物清除等项目费用均由承包人自行承担，发包人不另行支付。</w:t>
      </w:r>
    </w:p>
    <w:p w14:paraId="7FDB1590">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8、承包人在开工前向监理人提供有关人员的上岗证及有关设备的年检合格证。</w:t>
      </w:r>
    </w:p>
    <w:p w14:paraId="15DC147D">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9、承包人配合第三方或相关政府职能部门进行所承包内容的工程验收。</w:t>
      </w:r>
    </w:p>
    <w:p w14:paraId="521E6BCA">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10、承包人应合理确定作业方案及安全保障方案，确保作业职工及财产的安全，若作业现场发生安全事故由承包人负责处理并承担全部相应的责任。</w:t>
      </w:r>
    </w:p>
    <w:p w14:paraId="2A7FA04E">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承包人应制定完备的二次污染防护方案、周边环境保护方案和社会维稳应急预案，做好实施过程中的社会维稳工作。因承包人未做好二次污染防护、周边环境保护及维稳工作，致使发生群体事件，承包人应及时妥善处理，若发生处理不力甚至被相关部门勒令停工等情况的，合同工期不作调整。同时发包人将视情况严重程度保留对承包人作出进一步惩罚措施的权力。</w:t>
      </w:r>
    </w:p>
    <w:p w14:paraId="1DAE46B0">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、承包人应落实管理部门提出的意见和要求，承包人因落实管理部门提出的意见和要求而产生的费用均包含在合同总价内。</w:t>
      </w:r>
    </w:p>
    <w:p w14:paraId="71CFDE2F">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、根据工程实际需要，若发包人需要实施招标范围以外的施工任务，发包人指定承包人完成的，承包人必须无条件完成施工。工程款按本合同相应条款进行结算。</w:t>
      </w:r>
    </w:p>
    <w:p w14:paraId="4143613E">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、开工后发包人因计划变更，引起不能继续施工或发包人</w:t>
      </w:r>
      <w:r>
        <w:rPr>
          <w:rFonts w:hint="eastAsia" w:ascii="宋体" w:hAnsi="宋体" w:cs="宋体"/>
          <w:color w:val="auto"/>
          <w:szCs w:val="21"/>
          <w:highlight w:val="none"/>
          <w:u w:val="single"/>
          <w:lang w:eastAsia="zh-CN"/>
        </w:rPr>
        <w:t>其他</w:t>
      </w:r>
      <w:r>
        <w:rPr>
          <w:rFonts w:hint="eastAsia" w:ascii="宋体" w:hAnsi="宋体" w:cs="宋体"/>
          <w:color w:val="auto"/>
          <w:szCs w:val="21"/>
          <w:highlight w:val="none"/>
          <w:u w:val="single"/>
        </w:rPr>
        <w:t>原因产生停建、缓建或减少工作量等情况，发包方按承包方实际完成工程量按合同条款进行清算，承包人不得再因此索赔其他费用。</w:t>
      </w:r>
    </w:p>
    <w:p w14:paraId="52FC46FB">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、在施工过程中，因承包人原因导致被行政部门处罚的，由承包人承担；如发包人由此受到处罚，其结果也应由承包人承担。</w:t>
      </w:r>
    </w:p>
    <w:p w14:paraId="2AE7CB1B">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3.2 项目经理</w:t>
      </w:r>
    </w:p>
    <w:p w14:paraId="265B1C3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p>
    <w:p w14:paraId="11E83E5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                      </w:t>
      </w:r>
    </w:p>
    <w:p w14:paraId="0385B5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p>
    <w:p w14:paraId="173273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p>
    <w:p w14:paraId="6BFDCA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p>
    <w:p w14:paraId="0198F71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3B022AA">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3.2.1承包人委派的项目经理违反约定的，按本专用条款约定，承担违约责任。</w:t>
      </w:r>
    </w:p>
    <w:p w14:paraId="66DA2E27">
      <w:pPr>
        <w:numPr>
          <w:ilvl w:val="0"/>
          <w:numId w:val="4"/>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承包人项目经理必须与承包人投标时所承诺的人员一致，并在根据本合同约定的开工日期前到任。项目经理不得违反本市行政主管部门对项目经理的管理规定。未经发包人书面许可，承包人不得更换项目经理。</w:t>
      </w:r>
    </w:p>
    <w:p w14:paraId="2D4C4556">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（2）承包人对项目经理的授权范围如下：在承包人授权范围内履行承包人的职权，对工程建设的质量、安全、工期以及工程造价控制负责，所有上报给发包人的文件均需项目经理签字。</w:t>
      </w:r>
    </w:p>
    <w:p w14:paraId="505783D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（3）承包人未提交劳动合同，以及没有为项目经理缴纳社会保险证明的违约责任：发包人有权解除合同，由此造成的费用增加和工期延误损失均由承包人承担。</w:t>
      </w:r>
    </w:p>
    <w:p w14:paraId="53EE1782">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（4）关于项目经理每月在施工现场的时间要求：每月在施工现场时间不得少于</w:t>
      </w:r>
      <w:r>
        <w:rPr>
          <w:rFonts w:hint="eastAsia" w:ascii="宋体" w:hAnsi="宋体" w:cs="宋体"/>
          <w:color w:val="auto"/>
          <w:kern w:val="0"/>
          <w:szCs w:val="21"/>
          <w:highlight w:val="none"/>
          <w:u w:val="single"/>
        </w:rPr>
        <w:t xml:space="preserve"> 22天  </w:t>
      </w:r>
      <w:r>
        <w:rPr>
          <w:rFonts w:hint="eastAsia" w:ascii="宋体" w:hAnsi="宋体" w:cs="宋体"/>
          <w:color w:val="auto"/>
          <w:kern w:val="0"/>
          <w:szCs w:val="21"/>
          <w:highlight w:val="none"/>
        </w:rPr>
        <w:t>，每天工作时间不得少于</w:t>
      </w:r>
      <w:r>
        <w:rPr>
          <w:rFonts w:hint="eastAsia" w:ascii="宋体" w:hAnsi="宋体" w:cs="宋体"/>
          <w:color w:val="auto"/>
          <w:kern w:val="0"/>
          <w:szCs w:val="21"/>
          <w:highlight w:val="none"/>
          <w:u w:val="single"/>
        </w:rPr>
        <w:t xml:space="preserve">  8 </w:t>
      </w:r>
      <w:r>
        <w:rPr>
          <w:rFonts w:hint="eastAsia" w:ascii="宋体" w:hAnsi="宋体" w:cs="宋体"/>
          <w:color w:val="auto"/>
          <w:kern w:val="0"/>
          <w:szCs w:val="21"/>
          <w:highlight w:val="none"/>
        </w:rPr>
        <w:t>小时，且重要工程例会及验收环节等必须由项目经理参加，项目经理缺勤扣罚10000元/天，扣罚先从履约担保中扣除，履约担保不足时，发包人在工程进度款中扣除，</w:t>
      </w:r>
    </w:p>
    <w:p w14:paraId="6C36AC75">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（5）项目经理未经批准，擅自离开施工现场的违约责任：处违约金</w:t>
      </w:r>
      <w:r>
        <w:rPr>
          <w:rFonts w:hint="eastAsia" w:ascii="宋体" w:hAnsi="宋体" w:cs="宋体"/>
          <w:color w:val="auto"/>
          <w:kern w:val="0"/>
          <w:szCs w:val="21"/>
          <w:highlight w:val="none"/>
          <w:u w:val="single"/>
        </w:rPr>
        <w:t xml:space="preserve"> 10000  </w:t>
      </w:r>
      <w:r>
        <w:rPr>
          <w:rFonts w:hint="eastAsia" w:ascii="宋体" w:hAnsi="宋体" w:cs="宋体"/>
          <w:color w:val="auto"/>
          <w:kern w:val="0"/>
          <w:szCs w:val="21"/>
          <w:highlight w:val="none"/>
        </w:rPr>
        <w:t>元/次，违约金先从履约担保中扣除，履约担保不足时，发包人在工程进度款中扣除。</w:t>
      </w:r>
    </w:p>
    <w:p w14:paraId="25506AE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发包人对项目经理擅自离开施工现场的违约处理，应根据监理人对项目经理的考勤结果进行。</w:t>
      </w:r>
    </w:p>
    <w:p w14:paraId="0FBBC38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3.2.3承包人擅自更换项目经理的违约责任：处违约金</w:t>
      </w:r>
      <w:r>
        <w:rPr>
          <w:rFonts w:hint="eastAsia" w:ascii="宋体" w:hAnsi="宋体" w:cs="宋体"/>
          <w:color w:val="auto"/>
          <w:kern w:val="0"/>
          <w:szCs w:val="21"/>
          <w:highlight w:val="none"/>
          <w:u w:val="single"/>
        </w:rPr>
        <w:t xml:space="preserve"> 50万元/次</w:t>
      </w:r>
      <w:r>
        <w:rPr>
          <w:rFonts w:hint="eastAsia" w:ascii="宋体" w:hAnsi="宋体" w:cs="宋体"/>
          <w:color w:val="auto"/>
          <w:kern w:val="0"/>
          <w:szCs w:val="21"/>
          <w:highlight w:val="none"/>
        </w:rPr>
        <w:t>，违约金先从履约担保中扣除，履约担保不足时，发包人在工程进度款中扣除，且有权拒绝接受其擅自更换的项目经理。</w:t>
      </w:r>
    </w:p>
    <w:p w14:paraId="40F77E65">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3.2.4 承包人无正当理由拒绝更换项目经理的违约责任：如果承包人的项目经理不能胜任本项目工作，发包人要求更换的，承包人拒绝更换或未在发包人要求期限内更换的，发包人可以按3.2.3中标准追究违约责任。情节严重的，发包人有权解除合同，由此造成的一切损失由承包人承担。</w:t>
      </w:r>
    </w:p>
    <w:p w14:paraId="61088546">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077989CA">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3.3.1承包人应接到开工通知后7天内提交与</w:t>
      </w:r>
      <w:r>
        <w:rPr>
          <w:rFonts w:hint="eastAsia" w:ascii="宋体" w:hAnsi="宋体" w:cs="宋体"/>
          <w:color w:val="auto"/>
          <w:szCs w:val="21"/>
          <w:highlight w:val="none"/>
        </w:rPr>
        <w:t>投标时所承诺的人员一致的</w:t>
      </w:r>
      <w:r>
        <w:rPr>
          <w:rFonts w:hint="eastAsia" w:ascii="宋体" w:hAnsi="宋体" w:cs="宋体"/>
          <w:color w:val="auto"/>
          <w:kern w:val="0"/>
          <w:szCs w:val="21"/>
          <w:highlight w:val="none"/>
        </w:rPr>
        <w:t>项目管理机构及施工现场管理人员安排报告。</w:t>
      </w:r>
    </w:p>
    <w:p w14:paraId="459FF192">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3.3.2 承包人无正当理由拒绝撤换主要施工管理人员的违约责任：发包人认为主要施工管理人员无法履行职责的，应提供相关证明材料，并签发《整改通知书》。承包人在收到《整改通知书》后仍无改善的，发包人有权要求承包人更换管理人员。承包人无正当理由拒绝更换的，发包人可以按3.3.4中标准追究违约责任。</w:t>
      </w:r>
    </w:p>
    <w:p w14:paraId="00A3A7AB">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承包人主要施工管理人员离开施工现场的批准要求：安全员、施工员及其他主要施工管理人员每月在施工管理现场不得少于22天，有特殊情况少于上述时间的，批准要求按通用条款执行。承包人主要施工管理人员缺勤扣罚5000元/天，违约金先从履约担保中扣除，履约担保不足时，发包人在工程进度款中扣除。</w:t>
      </w:r>
    </w:p>
    <w:p w14:paraId="10A8B5E3">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3.3.4 承包人擅自更换主要施工管理人员的违约责任：处违约金10万元/人/次，违约金先从履约担保中扣除，履约担保不足时，发包人在工程进度款中扣除，且有权拒绝接受其擅自更换的主要施工管理人员。</w:t>
      </w:r>
    </w:p>
    <w:p w14:paraId="44AFF98C">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承包人主要施工管理人员擅自离开施工现场的违约责任：处违约金5000元/人/次，违约金先从履约担保中扣除，履约担保不足时，发包人在工程进度款中扣除。</w:t>
      </w:r>
    </w:p>
    <w:p w14:paraId="0DA1887A">
      <w:pPr>
        <w:spacing w:line="400" w:lineRule="exact"/>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3.4承包人现场查勘</w:t>
      </w:r>
    </w:p>
    <w:p w14:paraId="519B6180">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承包人在招投标过程中自行对修复场地进行现场详细踏勘，在投标报价中综合考虑相关费用。若未踏勘或踏勘不详而引起的相关风险及费用由承包人承担。</w:t>
      </w:r>
    </w:p>
    <w:p w14:paraId="1F120AB2">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06CA753C">
      <w:pPr>
        <w:pStyle w:val="970"/>
        <w:spacing w:line="400" w:lineRule="exact"/>
        <w:ind w:firstLine="399" w:firstLineChars="190"/>
        <w:rPr>
          <w:rFonts w:hint="eastAsia" w:hAnsi="宋体" w:cs="宋体"/>
          <w:b w:val="0"/>
          <w:bCs/>
          <w:color w:val="auto"/>
          <w:sz w:val="21"/>
          <w:szCs w:val="21"/>
          <w:highlight w:val="none"/>
        </w:rPr>
      </w:pPr>
      <w:r>
        <w:rPr>
          <w:rFonts w:hint="eastAsia" w:hAnsi="宋体" w:cs="宋体"/>
          <w:b w:val="0"/>
          <w:bCs/>
          <w:color w:val="auto"/>
          <w:sz w:val="21"/>
          <w:szCs w:val="21"/>
          <w:highlight w:val="none"/>
        </w:rPr>
        <w:t>本项目不得转包、分包及挂靠。</w:t>
      </w:r>
    </w:p>
    <w:p w14:paraId="31BE8473">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6D262E85">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工程照管与成品、半成品保护有关约定：执行通用条款。</w:t>
      </w:r>
    </w:p>
    <w:p w14:paraId="26C8CEE8">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3.7 履约担保</w:t>
      </w:r>
    </w:p>
    <w:p w14:paraId="7E8E2DEB">
      <w:pPr>
        <w:spacing w:line="400" w:lineRule="exact"/>
        <w:ind w:firstLine="441" w:firstLineChars="210"/>
        <w:rPr>
          <w:rFonts w:hint="eastAsia" w:ascii="宋体" w:hAnsi="宋体" w:cs="宋体"/>
          <w:color w:val="auto"/>
          <w:szCs w:val="21"/>
          <w:highlight w:val="none"/>
          <w:u w:val="single"/>
        </w:rPr>
      </w:pPr>
      <w:r>
        <w:rPr>
          <w:rFonts w:hint="eastAsia" w:ascii="宋体" w:hAnsi="宋体" w:cs="宋体"/>
          <w:color w:val="auto"/>
          <w:kern w:val="0"/>
          <w:szCs w:val="21"/>
          <w:highlight w:val="none"/>
        </w:rPr>
        <w:t>（1）承包人提供的履约担保形式及金额：</w:t>
      </w:r>
      <w:r>
        <w:rPr>
          <w:rFonts w:hint="eastAsia" w:ascii="宋体" w:hAnsi="宋体" w:cs="宋体"/>
          <w:color w:val="auto"/>
          <w:kern w:val="0"/>
          <w:szCs w:val="21"/>
          <w:highlight w:val="none"/>
          <w:u w:val="single"/>
        </w:rPr>
        <w:t>应当以电汇、转账</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保险公司或银行出具的保函等非现金</w:t>
      </w:r>
      <w:r>
        <w:rPr>
          <w:rFonts w:hint="eastAsia" w:ascii="宋体" w:hAnsi="宋体" w:cs="宋体"/>
          <w:color w:val="auto"/>
          <w:kern w:val="0"/>
          <w:szCs w:val="21"/>
          <w:highlight w:val="none"/>
          <w:u w:val="single"/>
        </w:rPr>
        <w:t>形式提交</w:t>
      </w:r>
      <w:r>
        <w:rPr>
          <w:rFonts w:hint="eastAsia" w:ascii="宋体" w:hAnsi="宋体" w:cs="宋体"/>
          <w:color w:val="auto"/>
          <w:szCs w:val="21"/>
          <w:highlight w:val="none"/>
          <w:u w:val="single"/>
        </w:rPr>
        <w:t>，中标后履约担保额度为</w:t>
      </w:r>
      <w:r>
        <w:rPr>
          <w:rFonts w:hint="eastAsia" w:ascii="宋体" w:hAnsi="宋体" w:cs="宋体"/>
          <w:color w:val="auto"/>
          <w:szCs w:val="21"/>
          <w:highlight w:val="none"/>
        </w:rPr>
        <w:t>合同总价</w:t>
      </w:r>
      <w:r>
        <w:rPr>
          <w:rFonts w:hint="eastAsia" w:ascii="宋体" w:hAnsi="宋体" w:cs="宋体"/>
          <w:color w:val="auto"/>
          <w:szCs w:val="21"/>
          <w:highlight w:val="none"/>
          <w:u w:val="single"/>
        </w:rPr>
        <w:t>的  1 %。</w:t>
      </w:r>
    </w:p>
    <w:p w14:paraId="4187D37A">
      <w:pPr>
        <w:spacing w:line="400" w:lineRule="exact"/>
        <w:ind w:firstLine="441" w:firstLineChars="210"/>
        <w:rPr>
          <w:rFonts w:hint="eastAsia" w:ascii="宋体" w:hAnsi="宋体" w:cs="宋体"/>
          <w:color w:val="auto"/>
          <w:szCs w:val="21"/>
          <w:highlight w:val="none"/>
          <w:u w:val="single"/>
        </w:rPr>
      </w:pPr>
      <w:r>
        <w:rPr>
          <w:rFonts w:hint="eastAsia" w:ascii="宋体" w:hAnsi="宋体" w:cs="宋体"/>
          <w:color w:val="auto"/>
          <w:szCs w:val="21"/>
          <w:highlight w:val="none"/>
        </w:rPr>
        <w:t>（2）履约担保提供时间：</w:t>
      </w:r>
      <w:r>
        <w:rPr>
          <w:rFonts w:hint="eastAsia" w:ascii="宋体" w:hAnsi="宋体" w:cs="宋体"/>
          <w:color w:val="auto"/>
          <w:szCs w:val="21"/>
          <w:highlight w:val="none"/>
          <w:u w:val="single"/>
        </w:rPr>
        <w:t>需在合同签订后7日内提供有效的履约担保。</w:t>
      </w:r>
    </w:p>
    <w:p w14:paraId="1BB0E3D1">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）因承包人原因或其他承包人应承担责任的事由导致工期延长的，继续提供履约担保所增加的费用由承包人承担。</w:t>
      </w:r>
    </w:p>
    <w:p w14:paraId="193A421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4. 监理人</w:t>
      </w:r>
    </w:p>
    <w:p w14:paraId="50F71A28">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0C4454EC">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关于监理人的监理内容：工程建设监理合同授予监理人的权利。</w:t>
      </w:r>
    </w:p>
    <w:p w14:paraId="595B8892">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关于监理人的监理权限：涉及费用、工期、方案更改等工程变更指令和付款、暂停工程施工指令的下达权需取得发包人书面批准方可执行。 </w:t>
      </w:r>
    </w:p>
    <w:p w14:paraId="2C55BDA3">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关于监理人在施工现场的办公场所、生活场所的提供和费用承担的约定：承包人应向监理人提供2间办公用房，提供的办公用房及办公设施应满足监理人的工作需要，相关费用已包括在承包人投标报价中。</w:t>
      </w:r>
    </w:p>
    <w:p w14:paraId="1C4EBE4C">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4.2 监理人员</w:t>
      </w:r>
    </w:p>
    <w:p w14:paraId="7297AC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14:paraId="550EC1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2D19CC2">
      <w:pPr>
        <w:spacing w:line="400" w:lineRule="exact"/>
        <w:ind w:firstLine="420" w:firstLineChars="200"/>
        <w:rPr>
          <w:rFonts w:hint="eastAsia" w:ascii="宋体" w:hAnsi="宋体" w:cs="宋体"/>
          <w:strike/>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330F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436A10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按本项目发包人与监理人签订的合同 </w:t>
      </w:r>
      <w:r>
        <w:rPr>
          <w:rFonts w:hint="eastAsia" w:ascii="宋体" w:hAnsi="宋体" w:cs="宋体"/>
          <w:color w:val="auto"/>
          <w:szCs w:val="21"/>
          <w:highlight w:val="none"/>
        </w:rPr>
        <w:t>。</w:t>
      </w:r>
    </w:p>
    <w:p w14:paraId="791F8424">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062D305B">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当合同当事人对需要商定或确定的事项不能达成一致时，总监理工程师应按照合同约定作出公正确定，应在合同当事人会商之日起</w:t>
      </w:r>
      <w:r>
        <w:rPr>
          <w:rFonts w:hint="eastAsia" w:ascii="宋体" w:hAnsi="宋体" w:cs="宋体"/>
          <w:color w:val="auto"/>
          <w:kern w:val="0"/>
          <w:szCs w:val="21"/>
          <w:highlight w:val="none"/>
          <w:u w:val="single"/>
        </w:rPr>
        <w:t xml:space="preserve"> 7</w:t>
      </w:r>
      <w:r>
        <w:rPr>
          <w:rFonts w:hint="eastAsia" w:ascii="宋体" w:hAnsi="宋体" w:cs="宋体"/>
          <w:color w:val="auto"/>
          <w:kern w:val="0"/>
          <w:szCs w:val="21"/>
          <w:highlight w:val="none"/>
        </w:rPr>
        <w:t>天内提供书面确定意见。</w:t>
      </w:r>
    </w:p>
    <w:p w14:paraId="5E3982D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 工程质量</w:t>
      </w:r>
    </w:p>
    <w:p w14:paraId="600426E0">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5.1 质量要求</w:t>
      </w:r>
    </w:p>
    <w:p w14:paraId="1ECBDECF">
      <w:pPr>
        <w:spacing w:line="400" w:lineRule="exact"/>
        <w:ind w:firstLine="441" w:firstLineChars="210"/>
        <w:rPr>
          <w:rFonts w:hint="eastAsia" w:ascii="宋体" w:hAnsi="宋体" w:cs="宋体"/>
          <w:color w:val="auto"/>
          <w:szCs w:val="21"/>
          <w:highlight w:val="none"/>
          <w:u w:val="single"/>
        </w:rPr>
      </w:pPr>
      <w:r>
        <w:rPr>
          <w:rFonts w:hint="eastAsia" w:ascii="宋体" w:hAnsi="宋体" w:cs="宋体"/>
          <w:color w:val="auto"/>
          <w:kern w:val="0"/>
          <w:szCs w:val="21"/>
          <w:highlight w:val="none"/>
        </w:rPr>
        <w:t>5.1.1 质量要求：</w:t>
      </w:r>
      <w:r>
        <w:rPr>
          <w:rFonts w:hint="eastAsia" w:ascii="宋体" w:hAnsi="宋体" w:cs="宋体"/>
          <w:color w:val="auto"/>
          <w:szCs w:val="21"/>
          <w:highlight w:val="none"/>
          <w:u w:val="single"/>
        </w:rPr>
        <w:t>满足修复目标值要求，通过第三方的检测和验收。</w:t>
      </w:r>
    </w:p>
    <w:p w14:paraId="10E35EAE">
      <w:pPr>
        <w:spacing w:line="400" w:lineRule="exact"/>
        <w:ind w:firstLine="441" w:firstLineChars="21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关于工程奖项的约定：</w:t>
      </w:r>
      <w:r>
        <w:rPr>
          <w:rFonts w:hint="eastAsia" w:ascii="宋体" w:hAnsi="宋体" w:cs="宋体"/>
          <w:color w:val="auto"/>
          <w:kern w:val="0"/>
          <w:szCs w:val="21"/>
          <w:highlight w:val="none"/>
          <w:u w:val="single"/>
        </w:rPr>
        <w:t xml:space="preserve"> 本合同发包人没有优质工程获奖要求。</w:t>
      </w:r>
    </w:p>
    <w:p w14:paraId="09DD8D78">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5.3 隐蔽工程检查</w:t>
      </w:r>
    </w:p>
    <w:p w14:paraId="6C9D1487">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5.3.2承包人提前通知监理人隐蔽工程检查的期限的约定：承包人应在共同检查前</w:t>
      </w:r>
      <w:r>
        <w:rPr>
          <w:rFonts w:hint="eastAsia" w:ascii="宋体" w:hAnsi="宋体" w:cs="宋体"/>
          <w:color w:val="auto"/>
          <w:kern w:val="0"/>
          <w:szCs w:val="21"/>
          <w:highlight w:val="none"/>
          <w:u w:val="single"/>
        </w:rPr>
        <w:t xml:space="preserve"> 24 </w:t>
      </w:r>
      <w:r>
        <w:rPr>
          <w:rFonts w:hint="eastAsia" w:ascii="宋体" w:hAnsi="宋体" w:cs="宋体"/>
          <w:color w:val="auto"/>
          <w:kern w:val="0"/>
          <w:szCs w:val="21"/>
          <w:highlight w:val="none"/>
        </w:rPr>
        <w:t>小时书面通知监理人检查。</w:t>
      </w:r>
    </w:p>
    <w:p w14:paraId="5E126EEC">
      <w:pPr>
        <w:spacing w:line="400" w:lineRule="exact"/>
        <w:ind w:left="109" w:leftChars="52" w:firstLine="336" w:firstLineChars="160"/>
        <w:rPr>
          <w:rFonts w:hint="eastAsia" w:ascii="宋体" w:hAnsi="宋体" w:cs="宋体"/>
          <w:color w:val="auto"/>
          <w:kern w:val="0"/>
          <w:szCs w:val="21"/>
          <w:highlight w:val="none"/>
        </w:rPr>
      </w:pPr>
      <w:r>
        <w:rPr>
          <w:rFonts w:hint="eastAsia" w:ascii="宋体" w:hAnsi="宋体" w:cs="宋体"/>
          <w:color w:val="auto"/>
          <w:kern w:val="0"/>
          <w:szCs w:val="21"/>
          <w:highlight w:val="none"/>
        </w:rPr>
        <w:t>监理人不能按时进行检查时，应提前</w:t>
      </w:r>
      <w:r>
        <w:rPr>
          <w:rFonts w:hint="eastAsia" w:ascii="宋体" w:hAnsi="宋体" w:cs="宋体"/>
          <w:color w:val="auto"/>
          <w:kern w:val="0"/>
          <w:szCs w:val="21"/>
          <w:highlight w:val="none"/>
          <w:u w:val="single"/>
        </w:rPr>
        <w:t>24</w:t>
      </w:r>
      <w:r>
        <w:rPr>
          <w:rFonts w:hint="eastAsia" w:ascii="宋体" w:hAnsi="宋体" w:cs="宋体"/>
          <w:color w:val="auto"/>
          <w:kern w:val="0"/>
          <w:szCs w:val="21"/>
          <w:highlight w:val="none"/>
        </w:rPr>
        <w:t>小时提交书面延期要求。延期最长不得超过：</w:t>
      </w:r>
      <w:r>
        <w:rPr>
          <w:rFonts w:hint="eastAsia" w:ascii="宋体" w:hAnsi="宋体" w:cs="宋体"/>
          <w:color w:val="auto"/>
          <w:kern w:val="0"/>
          <w:szCs w:val="21"/>
          <w:highlight w:val="none"/>
          <w:u w:val="single"/>
        </w:rPr>
        <w:t>24</w:t>
      </w:r>
      <w:r>
        <w:rPr>
          <w:rFonts w:hint="eastAsia" w:ascii="宋体" w:hAnsi="宋体" w:cs="宋体"/>
          <w:color w:val="auto"/>
          <w:kern w:val="0"/>
          <w:szCs w:val="21"/>
          <w:highlight w:val="none"/>
        </w:rPr>
        <w:t xml:space="preserve"> 小时。</w:t>
      </w:r>
    </w:p>
    <w:p w14:paraId="4D12BF50">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6. 安全文明施工与环境保护</w:t>
      </w:r>
    </w:p>
    <w:p w14:paraId="5BAC61DA">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6.1安全文明施工</w:t>
      </w:r>
    </w:p>
    <w:p w14:paraId="5559EFBC">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6.1.1 项目安全生产的达标目标及相应事项的约定：</w:t>
      </w:r>
      <w:r>
        <w:rPr>
          <w:rFonts w:hint="eastAsia" w:ascii="宋体" w:hAnsi="宋体" w:cs="宋体"/>
          <w:color w:val="auto"/>
          <w:kern w:val="0"/>
          <w:szCs w:val="21"/>
          <w:highlight w:val="none"/>
          <w:u w:val="single"/>
        </w:rPr>
        <w:t>无安全生产责任事故</w:t>
      </w:r>
      <w:r>
        <w:rPr>
          <w:rFonts w:hint="eastAsia" w:ascii="宋体" w:hAnsi="宋体" w:cs="宋体"/>
          <w:color w:val="auto"/>
          <w:kern w:val="0"/>
          <w:szCs w:val="21"/>
          <w:highlight w:val="none"/>
        </w:rPr>
        <w:t>。</w:t>
      </w:r>
    </w:p>
    <w:p w14:paraId="6D8015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6.1.4 关于治安保卫的特别约定</w:t>
      </w:r>
      <w:r>
        <w:rPr>
          <w:rFonts w:hint="eastAsia" w:ascii="宋体" w:hAnsi="宋体" w:cs="宋体"/>
          <w:color w:val="auto"/>
          <w:szCs w:val="21"/>
          <w:highlight w:val="none"/>
        </w:rPr>
        <w:t>：</w:t>
      </w:r>
      <w:r>
        <w:rPr>
          <w:rFonts w:hint="eastAsia" w:ascii="宋体" w:hAnsi="宋体" w:cs="宋体"/>
          <w:bCs/>
          <w:color w:val="auto"/>
          <w:szCs w:val="21"/>
          <w:highlight w:val="none"/>
          <w:u w:val="single"/>
        </w:rPr>
        <w:t>①承包人按建设行政管理部门和相关部门的要求，自费承担安全保卫工作（如警卫、并按业主要求安装电子视频监控系统）和提供相应设施（如护板、围栏），以保护公共安全，并提供方便。②承包人应加强安全生产管理，制定安全操作规程，保证工程施工的安全。承包人应教育其职工进行文明施工，配备必要的安全生产设施和劳动保护用具。③承包人应负责做好其所辖人员的工作场所和居住区的日常治安管理和安全保护工作。</w:t>
      </w:r>
      <w:r>
        <w:rPr>
          <w:rFonts w:hint="eastAsia" w:ascii="宋体" w:hAnsi="宋体" w:cs="宋体"/>
          <w:color w:val="auto"/>
          <w:szCs w:val="21"/>
          <w:highlight w:val="none"/>
          <w:u w:val="single"/>
        </w:rPr>
        <w:t>承包人须加强施工区域范围内的安全管理工作，禁止本工程以外的闲杂人员进入，若发生安全事故，责任和由此发生的费用由承包人承担</w:t>
      </w:r>
      <w:r>
        <w:rPr>
          <w:rFonts w:hint="eastAsia" w:ascii="宋体" w:hAnsi="宋体" w:cs="宋体"/>
          <w:bCs/>
          <w:color w:val="auto"/>
          <w:szCs w:val="21"/>
          <w:highlight w:val="none"/>
          <w:u w:val="single"/>
        </w:rPr>
        <w:t>。④承包人必须对施工现场的用电安全负责。施工现场用电必须遵照</w:t>
      </w:r>
      <w:r>
        <w:rPr>
          <w:rFonts w:hint="eastAsia" w:ascii="宋体" w:hAnsi="宋体" w:cs="宋体"/>
          <w:bCs/>
          <w:color w:val="auto"/>
          <w:szCs w:val="21"/>
          <w:highlight w:val="none"/>
          <w:u w:val="single"/>
          <w:lang w:eastAsia="zh-CN"/>
        </w:rPr>
        <w:t>舟山市</w:t>
      </w:r>
      <w:r>
        <w:rPr>
          <w:rFonts w:hint="eastAsia" w:ascii="宋体" w:hAnsi="宋体" w:cs="宋体"/>
          <w:bCs/>
          <w:color w:val="auto"/>
          <w:szCs w:val="21"/>
          <w:highlight w:val="none"/>
          <w:u w:val="single"/>
        </w:rPr>
        <w:t>建委颁布的施工现场用电管理的相关规定执行。承包人按GB50720-2011《建设工程施工现场消防安全技术规范》做好现场各项工作，设置必要的消防水源和消防器材及设备。⑤承包人必须对施工现场的用气安全负责，施工现场用气必须遵照相关部门的规定。⑥承包人必须对施工现场的二次污染防护和周边环境保护负责，确保不发生环境安全事件。</w:t>
      </w:r>
    </w:p>
    <w:p w14:paraId="52CE61C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承包人应根据工程特点和现场实际情况编制临时用电、用气施工方案、安全生产管理办法、各项安全防范应急预案。</w:t>
      </w:r>
    </w:p>
    <w:p w14:paraId="4D572CB2">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6.1.5文明施工应按《</w:t>
      </w:r>
      <w:r>
        <w:rPr>
          <w:rFonts w:hint="eastAsia" w:ascii="宋体" w:hAnsi="宋体" w:cs="宋体"/>
          <w:color w:val="auto"/>
          <w:kern w:val="0"/>
          <w:szCs w:val="21"/>
          <w:highlight w:val="none"/>
          <w:lang w:val="en-US" w:eastAsia="zh-CN"/>
        </w:rPr>
        <w:t>舟山市</w:t>
      </w:r>
      <w:r>
        <w:rPr>
          <w:rFonts w:hint="eastAsia" w:ascii="宋体" w:hAnsi="宋体" w:cs="宋体"/>
          <w:color w:val="auto"/>
          <w:kern w:val="0"/>
          <w:szCs w:val="21"/>
          <w:highlight w:val="none"/>
        </w:rPr>
        <w:t>文明施工管理规定》文件及其他相关规定要求执行。</w:t>
      </w:r>
    </w:p>
    <w:p w14:paraId="4724BE2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7. 工期和进度</w:t>
      </w:r>
    </w:p>
    <w:p w14:paraId="1F9B4BAC">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修复实施方案</w:t>
      </w:r>
    </w:p>
    <w:p w14:paraId="7B73A954">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7.1.1 合同当事人约定的修复实施方案应包括的其他内容：</w:t>
      </w:r>
      <w:r>
        <w:rPr>
          <w:rFonts w:hint="eastAsia" w:ascii="宋体" w:hAnsi="宋体" w:cs="宋体"/>
          <w:color w:val="auto"/>
          <w:kern w:val="0"/>
          <w:szCs w:val="21"/>
          <w:highlight w:val="none"/>
          <w:u w:val="single"/>
        </w:rPr>
        <w:t xml:space="preserve">  符合环保部门的要求 </w:t>
      </w:r>
      <w:r>
        <w:rPr>
          <w:rFonts w:hint="eastAsia" w:ascii="宋体" w:hAnsi="宋体" w:cs="宋体"/>
          <w:color w:val="auto"/>
          <w:kern w:val="0"/>
          <w:szCs w:val="21"/>
          <w:highlight w:val="none"/>
        </w:rPr>
        <w:t>。</w:t>
      </w:r>
    </w:p>
    <w:p w14:paraId="15B5C466">
      <w:pPr>
        <w:spacing w:line="400" w:lineRule="exact"/>
        <w:ind w:firstLine="441" w:firstLineChars="210"/>
        <w:rPr>
          <w:rFonts w:hint="eastAsia" w:ascii="宋体" w:hAnsi="宋体" w:cs="宋体"/>
          <w:color w:val="auto"/>
          <w:kern w:val="0"/>
          <w:szCs w:val="21"/>
          <w:highlight w:val="none"/>
        </w:rPr>
      </w:pPr>
      <w:r>
        <w:rPr>
          <w:rFonts w:hint="eastAsia" w:ascii="宋体" w:hAnsi="宋体" w:cs="宋体"/>
          <w:color w:val="auto"/>
          <w:kern w:val="0"/>
          <w:szCs w:val="21"/>
          <w:highlight w:val="none"/>
        </w:rPr>
        <w:t>7.1.2 修复实施方案的提交和修改：</w:t>
      </w:r>
      <w:r>
        <w:rPr>
          <w:rFonts w:hint="eastAsia" w:ascii="宋体" w:hAnsi="宋体" w:cs="宋体"/>
          <w:color w:val="auto"/>
          <w:kern w:val="0"/>
          <w:szCs w:val="21"/>
          <w:highlight w:val="none"/>
          <w:u w:val="single"/>
        </w:rPr>
        <w:t>符合环保部门的要求。</w:t>
      </w:r>
    </w:p>
    <w:p w14:paraId="4EE23779">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617C389C">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施工进度计划的编制和修订：按通用条款约定执行。</w:t>
      </w:r>
    </w:p>
    <w:p w14:paraId="6BFED07F">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7C0743B4">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7.3.1 开工准备</w:t>
      </w:r>
    </w:p>
    <w:p w14:paraId="0B58FFA7">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关于发包人应完成的其他开工准备工作及期限：满足工程进度要求。</w:t>
      </w:r>
    </w:p>
    <w:p w14:paraId="375FE741">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关于承包人应完成的其他开工准备工作及期限：满足工程进度要求。</w:t>
      </w:r>
    </w:p>
    <w:p w14:paraId="324BA4EE">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7.3.2 开工通知</w:t>
      </w:r>
    </w:p>
    <w:p w14:paraId="1205273E">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因发包人原因未能在通用条款规定的期限内发出开工通知的，承包人可以选择继续履行合同，合同总价不作调整，也可经双方协商解除合同。</w:t>
      </w:r>
    </w:p>
    <w:p w14:paraId="7A3CCF53">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48E0C857">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7.4.1 发包人通过监理人向承包人提供测量基准点、基准线和水准点及其书面资料的期限：</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71E9B13B">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2FDC9E1D">
      <w:pPr>
        <w:pStyle w:val="970"/>
        <w:spacing w:line="40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18C0FD6D">
      <w:pPr>
        <w:spacing w:line="400" w:lineRule="exact"/>
        <w:ind w:firstLine="420" w:firstLineChars="200"/>
        <w:jc w:val="left"/>
        <w:rPr>
          <w:rFonts w:hint="eastAsia" w:ascii="宋体" w:hAnsi="宋体" w:cs="宋体"/>
          <w:color w:val="auto"/>
          <w:szCs w:val="21"/>
          <w:highlight w:val="none"/>
        </w:rPr>
      </w:pPr>
      <w:r>
        <w:rPr>
          <w:rFonts w:ascii="宋体" w:hAnsi="宋体" w:eastAsia="宋体" w:cs="宋体"/>
          <w:color w:val="auto"/>
          <w:szCs w:val="21"/>
          <w:highlight w:val="none"/>
        </w:rPr>
        <w:t>双方约定工期顺延的其他情况:</w:t>
      </w:r>
      <w:r>
        <w:rPr>
          <w:rFonts w:hint="eastAsia" w:ascii="宋体" w:hAnsi="宋体" w:eastAsia="宋体" w:cs="宋体"/>
          <w:color w:val="auto"/>
          <w:szCs w:val="21"/>
          <w:highlight w:val="none"/>
        </w:rPr>
        <w:t>除遇不可抗力因素及发包人现场签证同意外不得因其他任何原因延误工期</w:t>
      </w:r>
      <w:r>
        <w:rPr>
          <w:rFonts w:hint="eastAsia" w:ascii="宋体" w:hAnsi="宋体" w:cs="宋体"/>
          <w:color w:val="auto"/>
          <w:szCs w:val="21"/>
          <w:highlight w:val="none"/>
        </w:rPr>
        <w:t>。</w:t>
      </w:r>
    </w:p>
    <w:p w14:paraId="7D338763">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456" w:name="_Toc312678012"/>
      <w:bookmarkStart w:id="457" w:name="_Toc297216177"/>
      <w:bookmarkStart w:id="458" w:name="_Toc303539127"/>
      <w:bookmarkStart w:id="459" w:name="_Toc318581169"/>
      <w:bookmarkStart w:id="460" w:name="_Toc312677486"/>
      <w:bookmarkStart w:id="461" w:name="_Toc304295548"/>
      <w:bookmarkStart w:id="462" w:name="_Toc300934970"/>
      <w:bookmarkStart w:id="463" w:name="_Toc297123518"/>
      <w:r>
        <w:rPr>
          <w:rFonts w:hint="eastAsia" w:ascii="宋体" w:hAnsi="宋体" w:cs="宋体"/>
          <w:color w:val="auto"/>
          <w:szCs w:val="21"/>
          <w:highlight w:val="none"/>
        </w:rPr>
        <w:t>.5.2 因承包人原因导致工期延误</w:t>
      </w:r>
    </w:p>
    <w:p w14:paraId="0137834A">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承包人不能按合同约定的时间竣工（包括不能按合同约定及修复技术方案中时间完成阶段控制时点），</w:t>
      </w:r>
      <w:bookmarkEnd w:id="456"/>
      <w:bookmarkEnd w:id="457"/>
      <w:bookmarkEnd w:id="458"/>
      <w:bookmarkEnd w:id="459"/>
      <w:bookmarkEnd w:id="460"/>
      <w:bookmarkEnd w:id="461"/>
      <w:bookmarkEnd w:id="462"/>
      <w:bookmarkEnd w:id="463"/>
      <w:bookmarkStart w:id="464" w:name="_Toc318581171"/>
      <w:bookmarkStart w:id="465" w:name="_Toc312678014"/>
      <w:r>
        <w:rPr>
          <w:rFonts w:hint="eastAsia" w:ascii="宋体" w:hAnsi="宋体" w:cs="宋体"/>
          <w:color w:val="auto"/>
          <w:szCs w:val="21"/>
          <w:highlight w:val="none"/>
        </w:rPr>
        <w:t>应向发包人支付</w:t>
      </w:r>
      <w:r>
        <w:rPr>
          <w:rFonts w:hint="eastAsia" w:ascii="宋体" w:hAnsi="宋体" w:cs="宋体"/>
          <w:color w:val="auto"/>
          <w:kern w:val="0"/>
          <w:szCs w:val="21"/>
          <w:highlight w:val="none"/>
        </w:rPr>
        <w:t>投标文件中</w:t>
      </w:r>
      <w:r>
        <w:rPr>
          <w:rFonts w:hint="eastAsia" w:ascii="宋体" w:hAnsi="宋体" w:cs="宋体"/>
          <w:color w:val="auto"/>
          <w:szCs w:val="21"/>
          <w:highlight w:val="none"/>
        </w:rPr>
        <w:t>承诺标准的工期延误费。</w:t>
      </w:r>
    </w:p>
    <w:p w14:paraId="43D5CD2D">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因承包人原因造成工期延误，逾期竣工违约金的计算方法为：</w:t>
      </w:r>
    </w:p>
    <w:p w14:paraId="05A0583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工期每逾期一日，承包人应支付合同价款的千分之一作为逾期违约金。延误合同工期的赔偿首先从履约担保中扣除；若履约担保金额不足，发包人有权从工程进度款中扣除相应金额。但无论何种情况，逾期违约金的扣罚最高限额为合同价款的3%。</w:t>
      </w:r>
    </w:p>
    <w:p w14:paraId="5B50423D">
      <w:pPr>
        <w:spacing w:line="400" w:lineRule="exact"/>
        <w:ind w:firstLine="405"/>
        <w:jc w:val="left"/>
        <w:rPr>
          <w:rFonts w:hint="eastAsia" w:ascii="宋体" w:hAnsi="宋体" w:cs="宋体"/>
          <w:color w:val="auto"/>
          <w:szCs w:val="21"/>
          <w:highlight w:val="none"/>
        </w:rPr>
      </w:pPr>
      <w:r>
        <w:rPr>
          <w:rFonts w:hint="eastAsia" w:ascii="宋体" w:hAnsi="宋体" w:cs="宋体"/>
          <w:color w:val="auto"/>
          <w:szCs w:val="21"/>
          <w:highlight w:val="none"/>
        </w:rPr>
        <w:t>（2）合同工期延误30日以上的，发包人有权解除合同。</w:t>
      </w:r>
    </w:p>
    <w:bookmarkEnd w:id="464"/>
    <w:bookmarkEnd w:id="465"/>
    <w:p w14:paraId="0D4C317C">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7D8FD885">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本条不适用，删除合同通用条款7.6条。</w:t>
      </w:r>
    </w:p>
    <w:p w14:paraId="62222472">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21F4B5B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发包人和承包人同意以下情形视为异常恶劣的气候条件：</w:t>
      </w:r>
    </w:p>
    <w:p w14:paraId="19C573A0">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（1）12小时内降雨量达到50mm以上；</w:t>
      </w:r>
    </w:p>
    <w:p w14:paraId="57D4B85E">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（2）风速达到</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级及以上的热带风暴（或台风）；</w:t>
      </w:r>
    </w:p>
    <w:p w14:paraId="17AB5160">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（3）日最高气温超过38度或低于零下10度；</w:t>
      </w:r>
    </w:p>
    <w:p w14:paraId="025A2C07">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（4）造成工程损坏的冰雹和12小时内降雪量达到4mm及以上的大雪灾害。</w:t>
      </w:r>
    </w:p>
    <w:p w14:paraId="47366487">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（5）政府有关部门通知停工的</w:t>
      </w:r>
      <w:r>
        <w:rPr>
          <w:rFonts w:hint="eastAsia" w:ascii="宋体" w:hAnsi="宋体" w:cs="宋体"/>
          <w:color w:val="auto"/>
          <w:kern w:val="0"/>
          <w:szCs w:val="21"/>
          <w:highlight w:val="none"/>
          <w:lang w:eastAsia="zh-CN"/>
        </w:rPr>
        <w:t>其他</w:t>
      </w:r>
      <w:r>
        <w:rPr>
          <w:rFonts w:hint="eastAsia" w:ascii="宋体" w:hAnsi="宋体" w:cs="宋体"/>
          <w:color w:val="auto"/>
          <w:kern w:val="0"/>
          <w:szCs w:val="21"/>
          <w:highlight w:val="none"/>
        </w:rPr>
        <w:t>恶劣气候条件。</w:t>
      </w:r>
    </w:p>
    <w:p w14:paraId="12FC3A94">
      <w:pPr>
        <w:autoSpaceDE w:val="0"/>
        <w:autoSpaceDN w:val="0"/>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上述异常恶劣的气候条件所涉及数据以当地政府气象部门公布为准。</w:t>
      </w:r>
    </w:p>
    <w:p w14:paraId="430C43BB">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03AC631A">
      <w:pPr>
        <w:autoSpaceDE w:val="0"/>
        <w:autoSpaceDN w:val="0"/>
        <w:adjustRightInd w:val="0"/>
        <w:spacing w:line="400" w:lineRule="exact"/>
        <w:ind w:left="630" w:leftChars="200" w:hanging="210" w:hangingChars="100"/>
        <w:rPr>
          <w:rFonts w:hint="eastAsia" w:ascii="宋体" w:hAnsi="宋体" w:cs="宋体"/>
          <w:color w:val="auto"/>
          <w:kern w:val="0"/>
          <w:szCs w:val="21"/>
          <w:highlight w:val="none"/>
        </w:rPr>
      </w:pPr>
      <w:r>
        <w:rPr>
          <w:rFonts w:hint="eastAsia" w:ascii="宋体" w:hAnsi="宋体" w:cs="宋体"/>
          <w:color w:val="auto"/>
          <w:kern w:val="0"/>
          <w:szCs w:val="21"/>
          <w:highlight w:val="none"/>
        </w:rPr>
        <w:t>7.9.2 提前竣工的奖励：</w:t>
      </w:r>
      <w:r>
        <w:rPr>
          <w:rFonts w:hint="eastAsia" w:ascii="宋体" w:hAnsi="宋体" w:cs="宋体"/>
          <w:color w:val="auto"/>
          <w:szCs w:val="21"/>
          <w:highlight w:val="none"/>
          <w:u w:val="single"/>
        </w:rPr>
        <w:t xml:space="preserve">  / 。</w:t>
      </w:r>
    </w:p>
    <w:p w14:paraId="23F2489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8. 材料与设备</w:t>
      </w:r>
    </w:p>
    <w:p w14:paraId="6412F72B">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8.2 承包人供应材料与设备：</w:t>
      </w:r>
    </w:p>
    <w:p w14:paraId="1C773B4D">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8.2.1承包人采购的材料、设备采购计划应满足工程需要。</w:t>
      </w:r>
    </w:p>
    <w:p w14:paraId="1BCD72F3">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8.2.2任何材料、设备进场前都须经发包人和监理工程师验收后方能进场使用。</w:t>
      </w:r>
    </w:p>
    <w:p w14:paraId="067C6F24">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3B179EC2">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8.8.1 承包人提供的施工设备和临时设施</w:t>
      </w:r>
    </w:p>
    <w:p w14:paraId="77B1B38E">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关于修建临时设施费用承担的约定： </w:t>
      </w:r>
      <w:r>
        <w:rPr>
          <w:rFonts w:hint="eastAsia" w:ascii="宋体" w:hAnsi="宋体" w:cs="宋体"/>
          <w:color w:val="auto"/>
          <w:kern w:val="0"/>
          <w:szCs w:val="21"/>
          <w:highlight w:val="none"/>
          <w:u w:val="single"/>
        </w:rPr>
        <w:t>因施工需要而必须搭设临时设施时，搭设场地由承包人自行解决，发包人不承担提供场地的责任和义务。</w:t>
      </w:r>
      <w:r>
        <w:rPr>
          <w:rFonts w:hint="eastAsia" w:ascii="宋体" w:hAnsi="宋体" w:cs="宋体"/>
          <w:color w:val="auto"/>
          <w:szCs w:val="21"/>
          <w:highlight w:val="none"/>
          <w:u w:val="single"/>
        </w:rPr>
        <w:t xml:space="preserve">临时设施应符合发包人的要求 </w:t>
      </w:r>
      <w:r>
        <w:rPr>
          <w:rFonts w:hint="eastAsia" w:ascii="宋体" w:hAnsi="宋体" w:cs="宋体"/>
          <w:color w:val="auto"/>
          <w:kern w:val="0"/>
          <w:szCs w:val="21"/>
          <w:highlight w:val="none"/>
        </w:rPr>
        <w:t>。</w:t>
      </w:r>
    </w:p>
    <w:p w14:paraId="2454638D">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8.8.2承包人所使用的主要施工设备须按承包人投标文件中承诺的要求进场。设备规格、设备性能、设备参数、工艺流程等须与投标文件上所描述的内容一致，若与投标文件不一致，监理及发包人有权要求退场，由此对发包人造成的一切经济损失均由承包人承担。</w:t>
      </w:r>
    </w:p>
    <w:p w14:paraId="2DD3C5D4">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8.8.3承包人所使用的主要施工设备如需变更，必须经发包人和监理人同意，但合同价款不作调整。</w:t>
      </w:r>
    </w:p>
    <w:p w14:paraId="329645B2">
      <w:pPr>
        <w:spacing w:line="400" w:lineRule="exact"/>
        <w:rPr>
          <w:rFonts w:hint="eastAsia" w:ascii="宋体" w:hAnsi="宋体" w:cs="宋体"/>
          <w:b/>
          <w:color w:val="auto"/>
          <w:kern w:val="0"/>
          <w:szCs w:val="21"/>
          <w:highlight w:val="none"/>
        </w:rPr>
      </w:pPr>
      <w:r>
        <w:rPr>
          <w:rFonts w:hint="eastAsia" w:ascii="宋体" w:hAnsi="宋体" w:cs="宋体"/>
          <w:b/>
          <w:color w:val="auto"/>
          <w:kern w:val="0"/>
          <w:szCs w:val="21"/>
          <w:highlight w:val="none"/>
        </w:rPr>
        <w:t>9、试验与检验</w:t>
      </w:r>
    </w:p>
    <w:p w14:paraId="39577BAF">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9.1承包人应委托具有专业资质的单位进行检测，检测报告须提交发包人和监理人。</w:t>
      </w:r>
    </w:p>
    <w:p w14:paraId="2E78C83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10. 变更</w:t>
      </w:r>
    </w:p>
    <w:p w14:paraId="493EC80A">
      <w:pPr>
        <w:pStyle w:val="970"/>
        <w:spacing w:line="400" w:lineRule="exact"/>
        <w:ind w:firstLine="401" w:firstLineChars="190"/>
        <w:rPr>
          <w:rFonts w:hint="eastAsia" w:hAnsi="宋体" w:eastAsia="宋体" w:cs="宋体"/>
          <w:color w:val="auto"/>
          <w:sz w:val="21"/>
          <w:szCs w:val="21"/>
          <w:highlight w:val="none"/>
          <w:lang w:eastAsia="zh-CN"/>
        </w:rPr>
      </w:pPr>
      <w:r>
        <w:rPr>
          <w:rFonts w:hint="eastAsia" w:hAnsi="宋体" w:cs="宋体"/>
          <w:color w:val="auto"/>
          <w:sz w:val="21"/>
          <w:szCs w:val="21"/>
          <w:highlight w:val="none"/>
        </w:rPr>
        <w:t>10.1变更的范围</w:t>
      </w:r>
      <w:r>
        <w:rPr>
          <w:rFonts w:hint="eastAsia" w:hAnsi="宋体" w:cs="宋体"/>
          <w:color w:val="auto"/>
          <w:sz w:val="21"/>
          <w:szCs w:val="21"/>
          <w:highlight w:val="none"/>
          <w:lang w:eastAsia="zh-CN"/>
        </w:rPr>
        <w:t>：</w:t>
      </w:r>
    </w:p>
    <w:p w14:paraId="7802EBDA">
      <w:pPr>
        <w:spacing w:line="400" w:lineRule="exact"/>
        <w:ind w:firstLine="420" w:firstLineChars="200"/>
        <w:rPr>
          <w:rFonts w:hint="eastAsia" w:ascii="宋体" w:hAnsi="宋体" w:cs="宋体"/>
          <w:kern w:val="0"/>
          <w:szCs w:val="21"/>
          <w:u w:val="single"/>
        </w:rPr>
      </w:pPr>
      <w:r>
        <w:rPr>
          <w:rFonts w:hint="eastAsia" w:ascii="宋体" w:hAnsi="宋体" w:cs="宋体"/>
          <w:kern w:val="0"/>
          <w:szCs w:val="21"/>
        </w:rPr>
        <w:t>合同双方当事人约定：合同履行过程中发生以下情形发生的，应按照本条约定进行合同变更。</w:t>
      </w:r>
    </w:p>
    <w:p w14:paraId="418EB015">
      <w:pPr>
        <w:autoSpaceDE w:val="0"/>
        <w:autoSpaceDN w:val="0"/>
        <w:adjustRightInd w:val="0"/>
        <w:spacing w:line="400" w:lineRule="exact"/>
        <w:ind w:left="524" w:right="-20"/>
        <w:rPr>
          <w:rFonts w:hint="eastAsia" w:ascii="宋体" w:hAnsi="宋体" w:cs="宋体"/>
          <w:kern w:val="0"/>
          <w:szCs w:val="21"/>
        </w:rPr>
      </w:pPr>
      <w:r>
        <w:rPr>
          <w:rFonts w:hint="eastAsia" w:ascii="宋体" w:hAnsi="宋体" w:cs="宋体"/>
          <w:kern w:val="0"/>
          <w:szCs w:val="21"/>
        </w:rPr>
        <w:t>（1）土壤修复范围和深度变更（</w:t>
      </w:r>
      <w:r>
        <w:rPr>
          <w:rFonts w:hint="eastAsia" w:ascii="宋体" w:hAnsi="宋体" w:cs="宋体"/>
          <w:bCs/>
          <w:szCs w:val="21"/>
        </w:rPr>
        <w:t>需经相关部门同意或专家论证认可</w:t>
      </w:r>
      <w:r>
        <w:rPr>
          <w:rFonts w:hint="eastAsia" w:ascii="宋体" w:hAnsi="宋体" w:cs="宋体"/>
          <w:kern w:val="0"/>
          <w:szCs w:val="21"/>
        </w:rPr>
        <w:t>）；</w:t>
      </w:r>
    </w:p>
    <w:p w14:paraId="3806E972">
      <w:pPr>
        <w:autoSpaceDE w:val="0"/>
        <w:autoSpaceDN w:val="0"/>
        <w:adjustRightInd w:val="0"/>
        <w:spacing w:line="400" w:lineRule="exact"/>
        <w:ind w:left="524" w:right="-20"/>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spacing w:val="-2"/>
          <w:kern w:val="0"/>
          <w:szCs w:val="21"/>
        </w:rPr>
        <w:t>不</w:t>
      </w:r>
      <w:r>
        <w:rPr>
          <w:rFonts w:hint="eastAsia" w:ascii="宋体" w:hAnsi="宋体" w:cs="宋体"/>
          <w:kern w:val="0"/>
          <w:szCs w:val="21"/>
        </w:rPr>
        <w:t>可</w:t>
      </w:r>
      <w:r>
        <w:rPr>
          <w:rFonts w:hint="eastAsia" w:ascii="宋体" w:hAnsi="宋体" w:cs="宋体"/>
          <w:spacing w:val="-2"/>
          <w:kern w:val="0"/>
          <w:szCs w:val="21"/>
        </w:rPr>
        <w:t>抗</w:t>
      </w:r>
      <w:r>
        <w:rPr>
          <w:rFonts w:hint="eastAsia" w:ascii="宋体" w:hAnsi="宋体" w:cs="宋体"/>
          <w:kern w:val="0"/>
          <w:szCs w:val="21"/>
        </w:rPr>
        <w:t>力</w:t>
      </w:r>
      <w:r>
        <w:rPr>
          <w:rFonts w:hint="eastAsia" w:ascii="宋体" w:hAnsi="宋体" w:cs="宋体"/>
          <w:kern w:val="0"/>
          <w:szCs w:val="21"/>
          <w:lang w:eastAsia="zh-CN"/>
        </w:rPr>
        <w:t>；</w:t>
      </w:r>
    </w:p>
    <w:p w14:paraId="57608862">
      <w:pPr>
        <w:autoSpaceDE w:val="0"/>
        <w:autoSpaceDN w:val="0"/>
        <w:adjustRightInd w:val="0"/>
        <w:spacing w:line="400" w:lineRule="exact"/>
        <w:ind w:left="524" w:right="-20"/>
        <w:rPr>
          <w:rFonts w:hint="default" w:ascii="宋体" w:hAnsi="宋体" w:eastAsia="宋体" w:cs="宋体"/>
          <w:kern w:val="0"/>
          <w:szCs w:val="21"/>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lang w:val="en-US" w:eastAsia="zh-CN"/>
        </w:rPr>
        <w:t>经发包人认定的其他情形。</w:t>
      </w:r>
    </w:p>
    <w:p w14:paraId="648EA2A9">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10.</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承包人的合理化建议</w:t>
      </w:r>
    </w:p>
    <w:p w14:paraId="798ABB02">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监理人审查承包人合理化建议的期限：执行通用条款。</w:t>
      </w:r>
    </w:p>
    <w:p w14:paraId="0B5AB5C1">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发包人审批承包人合理化建议的期限：执行通用条款。</w:t>
      </w:r>
    </w:p>
    <w:p w14:paraId="5993C6B4">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承包人提出的合理化建议降低了合同价格或者提高了工程经济效益的奖励的方法和金额为：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 xml:space="preserve"> </w:t>
      </w:r>
    </w:p>
    <w:p w14:paraId="7BC45832">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10.</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暂列金额</w:t>
      </w:r>
    </w:p>
    <w:p w14:paraId="3DC4D03B">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014EE84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11.价格的结算</w:t>
      </w:r>
    </w:p>
    <w:p w14:paraId="22CDEA7C">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市场价格波动引起的调整</w:t>
      </w:r>
    </w:p>
    <w:p w14:paraId="2EECA9A7">
      <w:pPr>
        <w:adjustRightInd w:val="0"/>
        <w:snapToGrid w:val="0"/>
        <w:spacing w:line="400" w:lineRule="exact"/>
        <w:ind w:firstLine="482"/>
        <w:rPr>
          <w:rFonts w:hint="eastAsia" w:ascii="宋体" w:hAnsi="宋体" w:cs="宋体"/>
          <w:b/>
          <w:bCs/>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b/>
          <w:bCs/>
          <w:color w:val="auto"/>
          <w:szCs w:val="21"/>
          <w:highlight w:val="none"/>
        </w:rPr>
        <w:t>不调整。</w:t>
      </w:r>
    </w:p>
    <w:p w14:paraId="47F34DA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12. 合同价格、计量与支付</w:t>
      </w:r>
    </w:p>
    <w:p w14:paraId="4D8B368E">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12.1 合同价格形式</w:t>
      </w:r>
    </w:p>
    <w:p w14:paraId="3A5A4BFE">
      <w:pPr>
        <w:pStyle w:val="322"/>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12.1 合同价格形式</w:t>
      </w:r>
    </w:p>
    <w:p w14:paraId="68A7A21E">
      <w:pPr>
        <w:pStyle w:val="322"/>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12.1.1本合同采用合同当事人签订的合同协议书中约定的价格形式，即：总价包干（包括但不限于按图纸施工、工程量清单范围内的工作以及技术修复方案所确定的工作）均采用一次性包干方式。若承包人在施工过程中未按照图纸、工程量清单或技术修复方案的要求完成</w:t>
      </w:r>
      <w:r>
        <w:rPr>
          <w:rFonts w:hint="eastAsia" w:hAnsi="宋体" w:cs="宋体"/>
          <w:color w:val="auto"/>
          <w:kern w:val="0"/>
          <w:szCs w:val="21"/>
          <w:highlight w:val="none"/>
          <w:lang w:val="en-US" w:eastAsia="zh-CN"/>
        </w:rPr>
        <w:t>全部</w:t>
      </w:r>
      <w:r>
        <w:rPr>
          <w:rFonts w:hint="eastAsia" w:ascii="宋体" w:hAnsi="宋体" w:cs="宋体"/>
          <w:color w:val="auto"/>
          <w:kern w:val="0"/>
          <w:szCs w:val="21"/>
          <w:highlight w:val="none"/>
        </w:rPr>
        <w:t>工作，发包人有权予以扣回相应</w:t>
      </w:r>
      <w:r>
        <w:rPr>
          <w:rFonts w:hint="eastAsia" w:hAnsi="宋体" w:cs="宋体"/>
          <w:color w:val="auto"/>
          <w:kern w:val="0"/>
          <w:szCs w:val="21"/>
          <w:highlight w:val="none"/>
          <w:lang w:val="en-US" w:eastAsia="zh-CN"/>
        </w:rPr>
        <w:t>未完成</w:t>
      </w:r>
      <w:r>
        <w:rPr>
          <w:rFonts w:hint="eastAsia" w:ascii="宋体" w:hAnsi="宋体" w:cs="宋体"/>
          <w:color w:val="auto"/>
          <w:kern w:val="0"/>
          <w:szCs w:val="21"/>
          <w:highlight w:val="none"/>
        </w:rPr>
        <w:t>款项。</w:t>
      </w:r>
    </w:p>
    <w:p w14:paraId="6551362D">
      <w:pPr>
        <w:pStyle w:val="322"/>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合同价包括但不限于实施本</w:t>
      </w:r>
      <w:r>
        <w:rPr>
          <w:rFonts w:hint="eastAsia" w:hAnsi="宋体" w:cs="宋体"/>
          <w:color w:val="auto"/>
          <w:kern w:val="0"/>
          <w:szCs w:val="21"/>
          <w:highlight w:val="none"/>
          <w:lang w:val="en-US" w:eastAsia="zh-CN"/>
        </w:rPr>
        <w:t>地块</w:t>
      </w:r>
      <w:r>
        <w:rPr>
          <w:rFonts w:hint="eastAsia" w:ascii="宋体" w:hAnsi="宋体"/>
          <w:color w:val="auto"/>
          <w:szCs w:val="21"/>
          <w:highlight w:val="none"/>
        </w:rPr>
        <w:t>移出建设用地土壤污染风险管控和修复名录后</w:t>
      </w:r>
      <w:r>
        <w:rPr>
          <w:rFonts w:hint="eastAsia" w:ascii="宋体" w:hAnsi="宋体" w:cs="宋体"/>
          <w:color w:val="auto"/>
          <w:kern w:val="0"/>
          <w:szCs w:val="21"/>
          <w:highlight w:val="none"/>
        </w:rPr>
        <w:t>所需的人工费、机械费、材料费、管理费、止水帷幕设计费、利润、措施费、规费、税金、交易服务费、公证费、二次污染防治费、施工过程中可能发生的其他费用。乙方应考虑企业自身实力、经验及项目实施过程中的各种因素，在合同价中应充分考虑所有可能发生的费用。</w:t>
      </w:r>
    </w:p>
    <w:p w14:paraId="6DFA1C93">
      <w:pPr>
        <w:pStyle w:val="322"/>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12.1.2合同价款中包括的风险范围：</w:t>
      </w:r>
    </w:p>
    <w:p w14:paraId="19817AAB">
      <w:pPr>
        <w:pStyle w:val="322"/>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合同价包含的风险范围：市场材料价格波动、方案调整。</w:t>
      </w:r>
    </w:p>
    <w:p w14:paraId="142A828C">
      <w:pPr>
        <w:pStyle w:val="322"/>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风险费用的计算方法：市场材料价格波动不予调整。</w:t>
      </w:r>
    </w:p>
    <w:p w14:paraId="5818BCCE">
      <w:pPr>
        <w:pStyle w:val="322"/>
        <w:spacing w:line="400" w:lineRule="exact"/>
        <w:ind w:firstLine="420"/>
        <w:rPr>
          <w:rFonts w:hint="eastAsia" w:hAnsi="宋体" w:cs="宋体"/>
          <w:color w:val="auto"/>
          <w:kern w:val="0"/>
          <w:szCs w:val="21"/>
          <w:highlight w:val="none"/>
          <w:u w:val="single"/>
        </w:rPr>
      </w:pPr>
      <w:r>
        <w:rPr>
          <w:rFonts w:hint="eastAsia" w:ascii="宋体" w:hAnsi="宋体" w:cs="宋体"/>
          <w:color w:val="auto"/>
          <w:kern w:val="0"/>
          <w:szCs w:val="21"/>
          <w:highlight w:val="none"/>
        </w:rPr>
        <w:t>12.1.3风险范围以外合同价格的调整方法：不予调整。</w:t>
      </w:r>
    </w:p>
    <w:p w14:paraId="36D5D909">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12.2 预付款</w:t>
      </w:r>
    </w:p>
    <w:p w14:paraId="3EE6A280">
      <w:pPr>
        <w:pStyle w:val="322"/>
        <w:spacing w:line="400" w:lineRule="exact"/>
        <w:ind w:firstLine="420"/>
        <w:rPr>
          <w:rFonts w:hint="eastAsia" w:hAnsi="宋体" w:cs="宋体"/>
          <w:color w:val="auto"/>
          <w:szCs w:val="21"/>
          <w:highlight w:val="none"/>
        </w:rPr>
      </w:pPr>
      <w:r>
        <w:rPr>
          <w:rFonts w:hint="eastAsia" w:hAnsi="宋体" w:cs="宋体"/>
          <w:color w:val="auto"/>
          <w:szCs w:val="21"/>
          <w:highlight w:val="none"/>
        </w:rPr>
        <w:t>12.2.1 预付款的支付</w:t>
      </w:r>
    </w:p>
    <w:p w14:paraId="177938D0">
      <w:pPr>
        <w:spacing w:line="400" w:lineRule="atLeas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预付款支付比例约定：</w:t>
      </w:r>
      <w:r>
        <w:rPr>
          <w:rFonts w:hint="eastAsia" w:ascii="宋体" w:hAnsi="宋体" w:cs="宋体"/>
          <w:color w:val="auto"/>
          <w:szCs w:val="21"/>
          <w:highlight w:val="none"/>
          <w:u w:val="single"/>
        </w:rPr>
        <w:t>工程预付款为合同价款的40%。</w:t>
      </w:r>
    </w:p>
    <w:p w14:paraId="08EDFA20">
      <w:pPr>
        <w:spacing w:line="40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合同生效后且具备实施条件后7个工作日内，发包人支付合同价款的40%。承包人须上报切实可行的项目资金使用计划，并经发包人、监理人审核，否则发包人将暂不支付预付款。</w:t>
      </w:r>
    </w:p>
    <w:p w14:paraId="5808C935">
      <w:pPr>
        <w:spacing w:line="400" w:lineRule="atLeast"/>
        <w:ind w:firstLine="420" w:firstLineChars="200"/>
        <w:jc w:val="left"/>
        <w:rPr>
          <w:rFonts w:hint="eastAsia" w:ascii="宋体" w:hAnsi="宋体" w:cs="宋体"/>
          <w:b/>
          <w:color w:val="auto"/>
          <w:szCs w:val="21"/>
          <w:highlight w:val="none"/>
          <w:u w:val="single"/>
        </w:rPr>
      </w:pPr>
      <w:r>
        <w:rPr>
          <w:rFonts w:hint="eastAsia" w:ascii="宋体" w:hAnsi="宋体" w:cs="宋体"/>
          <w:color w:val="auto"/>
          <w:szCs w:val="21"/>
          <w:highlight w:val="none"/>
        </w:rPr>
        <w:t>预付款扣回的方式：</w:t>
      </w:r>
      <w:r>
        <w:rPr>
          <w:rFonts w:hint="eastAsia" w:ascii="宋体" w:hAnsi="宋体" w:cs="宋体"/>
          <w:b/>
          <w:color w:val="auto"/>
          <w:szCs w:val="21"/>
          <w:highlight w:val="none"/>
          <w:u w:val="single"/>
        </w:rPr>
        <w:t>不扣回。</w:t>
      </w:r>
    </w:p>
    <w:p w14:paraId="6DDD62B5">
      <w:pPr>
        <w:spacing w:line="40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639EF060">
      <w:pPr>
        <w:spacing w:line="400" w:lineRule="atLeast"/>
        <w:ind w:firstLine="420" w:firstLineChars="200"/>
        <w:jc w:val="left"/>
        <w:rPr>
          <w:rFonts w:hint="eastAsia" w:cs="宋体"/>
          <w:b w:val="0"/>
          <w:bCs/>
          <w:color w:val="auto"/>
          <w:highlight w:val="none"/>
        </w:rPr>
      </w:pPr>
      <w:r>
        <w:rPr>
          <w:rFonts w:hint="eastAsia" w:cs="宋体"/>
          <w:b w:val="0"/>
          <w:bCs/>
          <w:color w:val="auto"/>
          <w:highlight w:val="none"/>
        </w:rPr>
        <w:t>预付款担保金额：同预付款相等金额；</w:t>
      </w:r>
    </w:p>
    <w:p w14:paraId="281D1C88">
      <w:pPr>
        <w:spacing w:line="400" w:lineRule="atLeast"/>
        <w:ind w:firstLine="420" w:firstLineChars="200"/>
        <w:jc w:val="left"/>
        <w:rPr>
          <w:rFonts w:hint="eastAsia" w:cs="宋体"/>
          <w:b w:val="0"/>
          <w:bCs/>
          <w:color w:val="auto"/>
          <w:highlight w:val="none"/>
        </w:rPr>
      </w:pPr>
      <w:r>
        <w:rPr>
          <w:rFonts w:hint="eastAsia" w:cs="宋体"/>
          <w:b w:val="0"/>
          <w:bCs/>
          <w:color w:val="auto"/>
          <w:highlight w:val="none"/>
        </w:rPr>
        <w:t>预付款担保形式：银行或保险公司出具的保函；</w:t>
      </w:r>
    </w:p>
    <w:p w14:paraId="48E92F21">
      <w:pPr>
        <w:spacing w:line="400" w:lineRule="atLeast"/>
        <w:ind w:firstLine="420" w:firstLineChars="200"/>
        <w:jc w:val="left"/>
        <w:rPr>
          <w:rFonts w:hint="eastAsia" w:cs="宋体"/>
          <w:b w:val="0"/>
          <w:bCs/>
          <w:color w:val="auto"/>
          <w:highlight w:val="none"/>
        </w:rPr>
      </w:pPr>
      <w:r>
        <w:rPr>
          <w:rFonts w:hint="eastAsia" w:cs="宋体"/>
          <w:b w:val="0"/>
          <w:bCs/>
          <w:color w:val="auto"/>
          <w:highlight w:val="none"/>
        </w:rPr>
        <w:t>预付款担保提交时间：合同生效以及具备实施条件后7个工作日内；</w:t>
      </w:r>
    </w:p>
    <w:p w14:paraId="70410A23">
      <w:pPr>
        <w:spacing w:line="400" w:lineRule="atLeast"/>
        <w:ind w:firstLine="420" w:firstLineChars="200"/>
        <w:jc w:val="left"/>
        <w:rPr>
          <w:rFonts w:hint="eastAsia" w:cs="宋体"/>
          <w:b w:val="0"/>
          <w:bCs/>
          <w:color w:val="auto"/>
          <w:highlight w:val="none"/>
        </w:rPr>
      </w:pPr>
      <w:r>
        <w:rPr>
          <w:rFonts w:hint="eastAsia" w:cs="宋体"/>
          <w:b w:val="0"/>
          <w:bCs/>
          <w:color w:val="auto"/>
          <w:highlight w:val="none"/>
        </w:rPr>
        <w:t>预付款担保期限：自</w:t>
      </w:r>
      <w:r>
        <w:rPr>
          <w:rFonts w:hint="eastAsia" w:cs="宋体"/>
          <w:b w:val="0"/>
          <w:bCs/>
          <w:color w:val="auto"/>
          <w:highlight w:val="none"/>
          <w:lang w:val="en-US" w:eastAsia="zh-CN"/>
        </w:rPr>
        <w:t>发包人</w:t>
      </w:r>
      <w:r>
        <w:rPr>
          <w:rFonts w:hint="eastAsia" w:cs="宋体"/>
          <w:b w:val="0"/>
          <w:bCs/>
          <w:color w:val="auto"/>
          <w:highlight w:val="none"/>
        </w:rPr>
        <w:t>支付预付款之日至预付款抵扣之日止；</w:t>
      </w:r>
    </w:p>
    <w:p w14:paraId="02C3CBA7">
      <w:pPr>
        <w:spacing w:line="400" w:lineRule="atLeast"/>
        <w:ind w:firstLine="420" w:firstLineChars="200"/>
        <w:jc w:val="left"/>
        <w:rPr>
          <w:rFonts w:hint="eastAsia" w:cs="宋体"/>
          <w:b w:val="0"/>
          <w:bCs/>
          <w:color w:val="auto"/>
          <w:highlight w:val="none"/>
        </w:rPr>
      </w:pPr>
      <w:r>
        <w:rPr>
          <w:rFonts w:hint="eastAsia" w:cs="宋体"/>
          <w:b w:val="0"/>
          <w:bCs/>
          <w:color w:val="auto"/>
          <w:highlight w:val="none"/>
        </w:rPr>
        <w:t>预付款担保的退还：预付款抵扣后退还预付款担保。</w:t>
      </w:r>
    </w:p>
    <w:p w14:paraId="58B8E659">
      <w:pPr>
        <w:spacing w:line="400" w:lineRule="atLeast"/>
        <w:ind w:firstLine="420" w:firstLineChars="200"/>
        <w:jc w:val="left"/>
        <w:rPr>
          <w:rFonts w:hint="eastAsia" w:cs="宋体"/>
          <w:b w:val="0"/>
          <w:bCs/>
          <w:color w:val="auto"/>
          <w:highlight w:val="none"/>
        </w:rPr>
      </w:pPr>
      <w:r>
        <w:rPr>
          <w:rFonts w:hint="eastAsia" w:cs="宋体"/>
          <w:b w:val="0"/>
          <w:bCs/>
          <w:color w:val="auto"/>
          <w:highlight w:val="none"/>
        </w:rPr>
        <w:t>（1）承包人应当在预付款支付前向发包人提供符合本合同附件《预付</w:t>
      </w:r>
      <w:r>
        <w:rPr>
          <w:rFonts w:hint="eastAsia" w:cs="宋体"/>
          <w:b w:val="0"/>
          <w:bCs/>
          <w:color w:val="auto"/>
          <w:highlight w:val="none"/>
          <w:lang w:val="en-US" w:eastAsia="zh-CN"/>
        </w:rPr>
        <w:t>款担保</w:t>
      </w:r>
      <w:r>
        <w:rPr>
          <w:rFonts w:hint="eastAsia" w:cs="宋体"/>
          <w:b w:val="0"/>
          <w:bCs/>
          <w:color w:val="auto"/>
          <w:highlight w:val="none"/>
        </w:rPr>
        <w:t>》格式的银行保函一份或保险公司等金融机构出具的保函。</w:t>
      </w:r>
    </w:p>
    <w:p w14:paraId="24353C16">
      <w:pPr>
        <w:spacing w:line="400" w:lineRule="atLeast"/>
        <w:ind w:firstLine="420" w:firstLineChars="200"/>
        <w:jc w:val="left"/>
        <w:rPr>
          <w:rFonts w:hint="eastAsia" w:cs="宋体"/>
          <w:b w:val="0"/>
          <w:bCs/>
          <w:color w:val="auto"/>
          <w:highlight w:val="none"/>
        </w:rPr>
      </w:pPr>
      <w:r>
        <w:rPr>
          <w:rFonts w:hint="eastAsia" w:cs="宋体"/>
          <w:b w:val="0"/>
          <w:bCs/>
          <w:color w:val="auto"/>
          <w:highlight w:val="none"/>
        </w:rPr>
        <w:t>（2）承包人与预付款担保有关的任何利息或</w:t>
      </w:r>
      <w:r>
        <w:rPr>
          <w:rFonts w:hint="eastAsia" w:cs="宋体"/>
          <w:b w:val="0"/>
          <w:bCs/>
          <w:color w:val="auto"/>
          <w:highlight w:val="none"/>
          <w:lang w:eastAsia="zh-CN"/>
        </w:rPr>
        <w:t>其他类似的</w:t>
      </w:r>
      <w:r>
        <w:rPr>
          <w:rFonts w:hint="eastAsia" w:cs="宋体"/>
          <w:b w:val="0"/>
          <w:bCs/>
          <w:color w:val="auto"/>
          <w:highlight w:val="none"/>
        </w:rPr>
        <w:t>费用或者收益由承包人承担</w:t>
      </w:r>
      <w:r>
        <w:rPr>
          <w:rFonts w:hint="eastAsia" w:cs="宋体"/>
          <w:b w:val="0"/>
          <w:bCs/>
          <w:color w:val="auto"/>
          <w:highlight w:val="none"/>
          <w:lang w:eastAsia="zh-CN"/>
        </w:rPr>
        <w:t>。</w:t>
      </w:r>
      <w:r>
        <w:rPr>
          <w:rFonts w:hint="eastAsia" w:cs="宋体"/>
          <w:b w:val="0"/>
          <w:bCs/>
          <w:color w:val="auto"/>
          <w:highlight w:val="none"/>
        </w:rPr>
        <w:t>若采用保函形式的，保函为见索即付保函：即在承包人没有实施合同或者未履行合同义务时或因涉及相关司法案件导致预付款被采取查封、冻结或扣划等处置时，</w:t>
      </w:r>
      <w:r>
        <w:rPr>
          <w:rFonts w:hint="eastAsia" w:cs="宋体"/>
          <w:b w:val="0"/>
          <w:bCs/>
          <w:color w:val="auto"/>
          <w:highlight w:val="none"/>
          <w:lang w:val="en-US" w:eastAsia="zh-CN"/>
        </w:rPr>
        <w:t>发包人</w:t>
      </w:r>
      <w:r>
        <w:rPr>
          <w:rFonts w:hint="eastAsia" w:cs="宋体"/>
          <w:b w:val="0"/>
          <w:bCs/>
          <w:color w:val="auto"/>
          <w:highlight w:val="none"/>
        </w:rPr>
        <w:t>不需要出具任何证明和理由，只要看到承包人违约，就可对保函进行收兑；</w:t>
      </w:r>
    </w:p>
    <w:p w14:paraId="09A646AC">
      <w:pPr>
        <w:spacing w:line="400" w:lineRule="atLeast"/>
        <w:ind w:firstLine="420" w:firstLineChars="200"/>
        <w:jc w:val="left"/>
        <w:rPr>
          <w:rFonts w:hint="eastAsia"/>
          <w:b w:val="0"/>
          <w:bCs/>
          <w:color w:val="auto"/>
          <w:highlight w:val="none"/>
        </w:rPr>
      </w:pPr>
      <w:r>
        <w:rPr>
          <w:rFonts w:hint="eastAsia" w:cs="宋体"/>
          <w:b w:val="0"/>
          <w:bCs/>
          <w:color w:val="auto"/>
          <w:highlight w:val="none"/>
          <w:lang w:eastAsia="zh-CN"/>
        </w:rPr>
        <w:t>（</w:t>
      </w:r>
      <w:r>
        <w:rPr>
          <w:rFonts w:hint="eastAsia" w:cs="宋体"/>
          <w:b w:val="0"/>
          <w:bCs/>
          <w:color w:val="auto"/>
          <w:highlight w:val="none"/>
          <w:lang w:val="en-US" w:eastAsia="zh-CN"/>
        </w:rPr>
        <w:t>3</w:t>
      </w:r>
      <w:r>
        <w:rPr>
          <w:rFonts w:hint="eastAsia" w:cs="宋体"/>
          <w:b w:val="0"/>
          <w:bCs/>
          <w:color w:val="auto"/>
          <w:highlight w:val="none"/>
          <w:lang w:eastAsia="zh-CN"/>
        </w:rPr>
        <w:t>）</w:t>
      </w:r>
      <w:r>
        <w:rPr>
          <w:rFonts w:hint="eastAsia" w:cs="宋体"/>
          <w:b w:val="0"/>
          <w:bCs/>
          <w:color w:val="auto"/>
          <w:highlight w:val="none"/>
        </w:rPr>
        <w:t>在</w:t>
      </w:r>
      <w:r>
        <w:rPr>
          <w:rFonts w:hint="eastAsia" w:cs="宋体"/>
          <w:b w:val="0"/>
          <w:bCs/>
          <w:color w:val="auto"/>
          <w:highlight w:val="none"/>
          <w:lang w:val="en-US" w:eastAsia="zh-CN"/>
        </w:rPr>
        <w:t>本</w:t>
      </w:r>
      <w:r>
        <w:rPr>
          <w:rFonts w:hint="eastAsia" w:cs="宋体"/>
          <w:b w:val="0"/>
          <w:bCs/>
          <w:color w:val="auto"/>
          <w:highlight w:val="none"/>
        </w:rPr>
        <w:t>地块移出建设用地土壤污染风险管控和修复名录之前，</w:t>
      </w:r>
      <w:r>
        <w:rPr>
          <w:rFonts w:hint="eastAsia" w:cs="宋体"/>
          <w:b w:val="0"/>
          <w:bCs/>
          <w:color w:val="auto"/>
          <w:highlight w:val="none"/>
          <w:lang w:val="en-US" w:eastAsia="zh-CN"/>
        </w:rPr>
        <w:t>承包人</w:t>
      </w:r>
      <w:r>
        <w:rPr>
          <w:rFonts w:hint="eastAsia" w:cs="宋体"/>
          <w:b w:val="0"/>
          <w:bCs/>
          <w:color w:val="auto"/>
          <w:highlight w:val="none"/>
        </w:rPr>
        <w:t>应保证预付款担保持续有效。</w:t>
      </w:r>
    </w:p>
    <w:p w14:paraId="38333E8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计量</w:t>
      </w:r>
    </w:p>
    <w:p w14:paraId="437B960C">
      <w:pPr>
        <w:pStyle w:val="33"/>
        <w:spacing w:line="400" w:lineRule="exact"/>
        <w:ind w:firstLine="420" w:firstLineChars="200"/>
        <w:rPr>
          <w:rFonts w:hint="eastAsia" w:cs="宋体"/>
          <w:color w:val="auto"/>
          <w:highlight w:val="none"/>
        </w:rPr>
      </w:pPr>
      <w:r>
        <w:rPr>
          <w:rFonts w:hint="eastAsia" w:cs="宋体"/>
          <w:color w:val="auto"/>
          <w:highlight w:val="none"/>
        </w:rPr>
        <w:t>关于工程量计算原则约定：</w:t>
      </w:r>
      <w:r>
        <w:rPr>
          <w:rFonts w:hint="eastAsia" w:cs="宋体"/>
          <w:color w:val="auto"/>
          <w:highlight w:val="none"/>
          <w:lang w:val="en-US" w:eastAsia="zh-CN"/>
        </w:rPr>
        <w:t>嵊泗县原天成化工厂地块一（原天成化工厂东侧主厂区）土壤污染修复项目实施方案</w:t>
      </w:r>
      <w:r>
        <w:rPr>
          <w:rFonts w:hint="eastAsia" w:cs="宋体"/>
          <w:color w:val="auto"/>
          <w:highlight w:val="none"/>
        </w:rPr>
        <w:t>以及现行相关文件、综合解释等。</w:t>
      </w:r>
    </w:p>
    <w:p w14:paraId="71DFE53B">
      <w:pPr>
        <w:pStyle w:val="33"/>
        <w:spacing w:line="400" w:lineRule="exact"/>
        <w:ind w:firstLine="420" w:firstLineChars="200"/>
        <w:rPr>
          <w:rFonts w:hint="eastAsia" w:cs="宋体"/>
          <w:color w:val="auto"/>
          <w:highlight w:val="none"/>
        </w:rPr>
      </w:pPr>
      <w:r>
        <w:rPr>
          <w:rFonts w:hint="eastAsia" w:cs="宋体"/>
          <w:color w:val="auto"/>
          <w:highlight w:val="none"/>
        </w:rPr>
        <w:t>关于计量周期及本合同计量方式和程序的约定：承包人向工程师提交已</w:t>
      </w:r>
      <w:r>
        <w:rPr>
          <w:rFonts w:hint="eastAsia" w:cs="宋体"/>
          <w:color w:val="auto"/>
          <w:highlight w:val="none"/>
          <w:lang w:eastAsia="zh-CN"/>
        </w:rPr>
        <w:t>完成</w:t>
      </w:r>
      <w:r>
        <w:rPr>
          <w:rFonts w:hint="eastAsia" w:cs="宋体"/>
          <w:color w:val="auto"/>
          <w:highlight w:val="none"/>
        </w:rPr>
        <w:t>工程量报告的时间：每月25日前。</w:t>
      </w:r>
    </w:p>
    <w:p w14:paraId="2EFEDD95">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12.4 工程进度款支付</w:t>
      </w:r>
    </w:p>
    <w:p w14:paraId="0722C233">
      <w:pPr>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12.4.1支付方式：</w:t>
      </w:r>
    </w:p>
    <w:p w14:paraId="50316B0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a.</w:t>
      </w:r>
      <w:r>
        <w:rPr>
          <w:rFonts w:hint="eastAsia" w:ascii="宋体" w:hAnsi="宋体" w:cs="宋体"/>
          <w:color w:val="auto"/>
          <w:szCs w:val="21"/>
          <w:highlight w:val="none"/>
        </w:rPr>
        <w:t>合同生效后且具备实施条件后7个工作日内，发包人支付合同价款的40%。</w:t>
      </w:r>
    </w:p>
    <w:p w14:paraId="48C12B4F">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b.污染土壤处置完成并通过效果评估，经监理工程师确认，</w:t>
      </w:r>
      <w:r>
        <w:rPr>
          <w:rFonts w:hint="eastAsia" w:ascii="宋体" w:hAnsi="宋体" w:cs="宋体"/>
          <w:color w:val="auto"/>
          <w:szCs w:val="21"/>
          <w:highlight w:val="none"/>
        </w:rPr>
        <w:t>发包人</w:t>
      </w:r>
      <w:r>
        <w:rPr>
          <w:rFonts w:hint="eastAsia" w:ascii="宋体" w:hAnsi="宋体" w:cs="宋体"/>
          <w:color w:val="auto"/>
          <w:szCs w:val="21"/>
          <w:highlight w:val="none"/>
          <w:lang w:val="en-US" w:eastAsia="zh-CN"/>
        </w:rPr>
        <w:t>代表审核无误后，由</w:t>
      </w:r>
      <w:r>
        <w:rPr>
          <w:rFonts w:hint="eastAsia" w:ascii="宋体" w:hAnsi="宋体" w:cs="宋体"/>
          <w:color w:val="auto"/>
          <w:szCs w:val="21"/>
          <w:highlight w:val="none"/>
        </w:rPr>
        <w:t>发包人</w:t>
      </w:r>
      <w:r>
        <w:rPr>
          <w:rFonts w:hint="eastAsia" w:ascii="宋体" w:hAnsi="宋体" w:cs="宋体"/>
          <w:color w:val="auto"/>
          <w:szCs w:val="21"/>
          <w:highlight w:val="none"/>
          <w:lang w:val="en-US" w:eastAsia="zh-CN"/>
        </w:rPr>
        <w:t>支付至</w:t>
      </w:r>
      <w:r>
        <w:rPr>
          <w:rFonts w:hint="eastAsia" w:ascii="宋体" w:hAnsi="宋体"/>
          <w:color w:val="auto"/>
          <w:szCs w:val="21"/>
          <w:highlight w:val="none"/>
        </w:rPr>
        <w:t>合同价款</w:t>
      </w:r>
      <w:r>
        <w:rPr>
          <w:rFonts w:hint="eastAsia" w:ascii="宋体" w:hAnsi="宋体" w:cs="宋体"/>
          <w:color w:val="auto"/>
          <w:szCs w:val="21"/>
          <w:highlight w:val="none"/>
          <w:lang w:val="en-US" w:eastAsia="zh-CN"/>
        </w:rPr>
        <w:t>的80%</w:t>
      </w:r>
      <w:r>
        <w:rPr>
          <w:rFonts w:hint="eastAsia" w:ascii="宋体" w:hAnsi="宋体"/>
          <w:color w:val="auto"/>
          <w:szCs w:val="21"/>
          <w:highlight w:val="none"/>
          <w:lang w:eastAsia="zh-CN"/>
        </w:rPr>
        <w:t>；</w:t>
      </w:r>
    </w:p>
    <w:p w14:paraId="27DA4F5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.完成结算审核后且发包人收到承包人开具的全额增值税发票后支付至</w:t>
      </w:r>
      <w:r>
        <w:rPr>
          <w:rFonts w:hint="eastAsia" w:ascii="宋体" w:hAnsi="宋体"/>
          <w:color w:val="auto"/>
          <w:szCs w:val="21"/>
          <w:highlight w:val="none"/>
        </w:rPr>
        <w:t>合同价款</w:t>
      </w:r>
      <w:r>
        <w:rPr>
          <w:rFonts w:hint="eastAsia" w:ascii="宋体" w:hAnsi="宋体" w:cs="宋体"/>
          <w:color w:val="auto"/>
          <w:szCs w:val="21"/>
          <w:highlight w:val="none"/>
        </w:rPr>
        <w:t>的98.5%，余款在地块移出建设用地土壤污染风险管控和修复名录后支付。</w:t>
      </w:r>
    </w:p>
    <w:p w14:paraId="52941386">
      <w:pPr>
        <w:spacing w:line="360" w:lineRule="auto"/>
        <w:ind w:firstLine="420" w:firstLineChars="200"/>
        <w:jc w:val="left"/>
        <w:rPr>
          <w:rFonts w:hint="eastAsia" w:hAnsi="宋体" w:cs="宋体"/>
          <w:color w:val="auto"/>
          <w:szCs w:val="21"/>
          <w:highlight w:val="none"/>
        </w:rPr>
      </w:pPr>
      <w:r>
        <w:rPr>
          <w:rFonts w:hint="eastAsia" w:hAnsi="宋体" w:cs="宋体"/>
          <w:color w:val="auto"/>
          <w:szCs w:val="21"/>
          <w:highlight w:val="none"/>
        </w:rPr>
        <w:t>每次发包人在向承包人支付工程款前，承包人应向发包人提供经发包人财务认可的同等数额增值税发票。</w:t>
      </w:r>
    </w:p>
    <w:p w14:paraId="2859DA24">
      <w:pPr>
        <w:spacing w:line="360" w:lineRule="auto"/>
        <w:ind w:firstLine="420" w:firstLineChars="200"/>
        <w:jc w:val="left"/>
        <w:rPr>
          <w:rFonts w:hint="eastAsia" w:hAnsi="宋体" w:cs="宋体"/>
          <w:color w:val="auto"/>
          <w:szCs w:val="21"/>
          <w:highlight w:val="none"/>
        </w:rPr>
      </w:pPr>
      <w:r>
        <w:rPr>
          <w:rFonts w:hint="eastAsia" w:hAnsi="宋体" w:cs="宋体"/>
          <w:color w:val="auto"/>
          <w:szCs w:val="21"/>
          <w:highlight w:val="none"/>
        </w:rPr>
        <w:t>如遇国家税率政策发生变化，以不含税价不变为原则，增值税按国家税率政策调整。</w:t>
      </w:r>
    </w:p>
    <w:p w14:paraId="375A5AEC">
      <w:pPr>
        <w:pStyle w:val="322"/>
        <w:spacing w:line="400" w:lineRule="exact"/>
        <w:ind w:firstLine="420"/>
        <w:rPr>
          <w:rFonts w:hint="eastAsia" w:hAnsi="宋体" w:cs="宋体"/>
          <w:color w:val="auto"/>
          <w:szCs w:val="21"/>
          <w:highlight w:val="none"/>
        </w:rPr>
      </w:pPr>
      <w:r>
        <w:rPr>
          <w:rFonts w:hint="eastAsia" w:hAnsi="宋体" w:cs="宋体"/>
          <w:color w:val="auto"/>
          <w:szCs w:val="21"/>
          <w:highlight w:val="none"/>
        </w:rPr>
        <w:t>（2）不可抗力。</w:t>
      </w:r>
    </w:p>
    <w:p w14:paraId="06E8D747">
      <w:pPr>
        <w:pStyle w:val="322"/>
        <w:spacing w:line="400" w:lineRule="exact"/>
        <w:ind w:firstLine="420"/>
        <w:rPr>
          <w:rFonts w:hint="eastAsia" w:hAnsi="宋体" w:cs="宋体"/>
          <w:color w:val="auto"/>
          <w:szCs w:val="21"/>
          <w:highlight w:val="none"/>
        </w:rPr>
      </w:pPr>
      <w:r>
        <w:rPr>
          <w:rFonts w:hint="eastAsia" w:hAnsi="宋体" w:cs="宋体"/>
          <w:color w:val="auto"/>
          <w:szCs w:val="21"/>
          <w:highlight w:val="none"/>
        </w:rPr>
        <w:t>12.4.2如承包人未及时上报已完工程量月报表（附预算书）、工程形象进度报表和拨款申请表，发包人有权延期拨付工程进度款。</w:t>
      </w:r>
    </w:p>
    <w:p w14:paraId="7777E1E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13. 验收和工程试车</w:t>
      </w:r>
    </w:p>
    <w:p w14:paraId="7589712D">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13.1 分部分项工程验收</w:t>
      </w:r>
    </w:p>
    <w:p w14:paraId="20346D3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13.1.2 承包人向发包人申请进行验收，发包人应及时组织相关单位进行验收。</w:t>
      </w:r>
    </w:p>
    <w:p w14:paraId="0F984F8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13.1.3本合同分部分项工程验收指符合环保主管部门相关规定进行的中间验收。</w:t>
      </w:r>
    </w:p>
    <w:p w14:paraId="1591BC9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13.1.4检测验收：检测验收费用由承包人承担。</w:t>
      </w:r>
    </w:p>
    <w:p w14:paraId="6D320EF1">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13.2 竣工验收</w:t>
      </w:r>
    </w:p>
    <w:p w14:paraId="03D868CA">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13.2.2 竣工验收程序</w:t>
      </w:r>
    </w:p>
    <w:p w14:paraId="6139AB7E">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关于竣工验收程序的约定：符合环保主管部门相关规定。</w:t>
      </w:r>
    </w:p>
    <w:p w14:paraId="7B65A542">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发包人收到承包人提交的竣工验收报告及验收资料后，认为工程尚不具备竣工验收条件或承包人提交的验收资料不完整的，有权不组织验收，直至工程符合工程竣工验收条件或验收资料完整。若工程验收时，竣工验收资料尚不完整，或不完全符合主管部门要求的，工程验收通过后，乙方仍应按要求提交完整的符合要求的施工资料。</w:t>
      </w:r>
    </w:p>
    <w:p w14:paraId="000A4D69">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发包人因承包人原因不能按照本项约定组织竣工验收、颁发工程接收证书的违约金的计算方法：</w:t>
      </w:r>
    </w:p>
    <w:p w14:paraId="76A790BF">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第一次验收未通过的将扣除合同价款的1%；</w:t>
      </w:r>
    </w:p>
    <w:p w14:paraId="32002982">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第二次验收未通过的将扣除合同价款的3%；</w:t>
      </w:r>
    </w:p>
    <w:p w14:paraId="7ADEA1F9">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第三次验收未通过的，发包人有权解除合同，并且剩余合同价款不再支付。</w:t>
      </w:r>
    </w:p>
    <w:p w14:paraId="31250C34">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检测验收：检测验收费用由承包人承担。</w:t>
      </w:r>
    </w:p>
    <w:p w14:paraId="49D55AE1">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13.2.5　移交、接收全部与部分工程</w:t>
      </w:r>
    </w:p>
    <w:p w14:paraId="0293EEED">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承包人向发包人移交工程的期限：在颁发工程接收证书后</w:t>
      </w:r>
      <w:r>
        <w:rPr>
          <w:rFonts w:hint="eastAsia" w:ascii="宋体" w:hAnsi="宋体" w:cs="宋体"/>
          <w:color w:val="auto"/>
          <w:szCs w:val="21"/>
          <w:highlight w:val="none"/>
          <w:u w:val="single"/>
        </w:rPr>
        <w:t xml:space="preserve"> 14</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天内完成工程的移交。</w:t>
      </w:r>
    </w:p>
    <w:p w14:paraId="5F0B54BE">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highlight w:val="none"/>
        </w:rPr>
        <w:t>包人支付逾期移交工程的违约金。</w:t>
      </w:r>
    </w:p>
    <w:p w14:paraId="60055AFF">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13.3 工程试车（本项不适用）</w:t>
      </w:r>
    </w:p>
    <w:p w14:paraId="70AB8611">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13.6 竣工退场</w:t>
      </w:r>
    </w:p>
    <w:p w14:paraId="395D658E">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13.6.1 竣工退场</w:t>
      </w:r>
    </w:p>
    <w:p w14:paraId="2E50DAAE">
      <w:pPr>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承包人应当在发包人颁发工程接收证书后</w:t>
      </w:r>
      <w:r>
        <w:rPr>
          <w:rFonts w:hint="eastAsia" w:ascii="宋体" w:hAnsi="宋体" w:cs="宋体"/>
          <w:color w:val="auto"/>
          <w:szCs w:val="21"/>
          <w:highlight w:val="none"/>
          <w:u w:val="single"/>
        </w:rPr>
        <w:t xml:space="preserve"> 14</w:t>
      </w:r>
      <w:r>
        <w:rPr>
          <w:rFonts w:hint="eastAsia" w:ascii="宋体" w:hAnsi="宋体" w:cs="宋体"/>
          <w:color w:val="auto"/>
          <w:kern w:val="0"/>
          <w:szCs w:val="21"/>
          <w:highlight w:val="none"/>
        </w:rPr>
        <w:t xml:space="preserve"> 天</w:t>
      </w:r>
      <w:r>
        <w:rPr>
          <w:rFonts w:hint="eastAsia" w:ascii="宋体" w:hAnsi="宋体" w:cs="宋体"/>
          <w:color w:val="auto"/>
          <w:szCs w:val="21"/>
          <w:highlight w:val="none"/>
        </w:rPr>
        <w:t>内完成竣工退场，逾期未完成的，按通用条款执行。</w:t>
      </w:r>
    </w:p>
    <w:p w14:paraId="4F5D9B5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14. 竣工结算</w:t>
      </w:r>
    </w:p>
    <w:p w14:paraId="03130C87">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通用条款14竣工结算修改为以下条款：</w:t>
      </w:r>
    </w:p>
    <w:p w14:paraId="6E697ED0">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14.1 竣工付款申请</w:t>
      </w:r>
    </w:p>
    <w:p w14:paraId="279BFA02">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14.1.1承包人提交竣工付款申请单的期限：</w:t>
      </w:r>
      <w:r>
        <w:rPr>
          <w:rFonts w:hint="eastAsia" w:ascii="宋体" w:hAnsi="宋体" w:cs="宋体"/>
          <w:color w:val="auto"/>
          <w:szCs w:val="21"/>
          <w:highlight w:val="none"/>
          <w:u w:val="single"/>
        </w:rPr>
        <w:t>本工程地块通过工程竣工验收专家评审会评审后</w:t>
      </w:r>
      <w:r>
        <w:rPr>
          <w:rFonts w:hint="eastAsia" w:ascii="宋体" w:hAnsi="宋体" w:cs="宋体"/>
          <w:color w:val="auto"/>
          <w:szCs w:val="21"/>
          <w:highlight w:val="none"/>
          <w:u w:val="single"/>
          <w:lang w:eastAsia="zh-CN"/>
        </w:rPr>
        <w:t>一个</w:t>
      </w:r>
      <w:r>
        <w:rPr>
          <w:rFonts w:hint="eastAsia" w:ascii="宋体" w:hAnsi="宋体" w:cs="宋体"/>
          <w:color w:val="auto"/>
          <w:szCs w:val="21"/>
          <w:highlight w:val="none"/>
          <w:u w:val="single"/>
        </w:rPr>
        <w:t>月内 。</w:t>
      </w:r>
    </w:p>
    <w:p w14:paraId="4FE0236F">
      <w:pPr>
        <w:spacing w:line="400" w:lineRule="exact"/>
        <w:ind w:firstLine="480"/>
        <w:rPr>
          <w:rFonts w:hint="eastAsia"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竣工资料8套，电子资料2套，并符合环保部门的要求。如因资料不符合有关部门的要求，而产生的资料整理费用由承包人承担。</w:t>
      </w:r>
    </w:p>
    <w:p w14:paraId="44FE123D">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14.2 竣工结算审核</w:t>
      </w:r>
    </w:p>
    <w:p w14:paraId="5E4646F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14.2.1发包人审批竣工付款申请单的期限：</w:t>
      </w:r>
      <w:r>
        <w:rPr>
          <w:rFonts w:hint="eastAsia" w:ascii="宋体" w:hAnsi="宋体" w:cs="宋体"/>
          <w:color w:val="auto"/>
          <w:szCs w:val="21"/>
          <w:highlight w:val="none"/>
          <w:u w:val="single"/>
        </w:rPr>
        <w:t xml:space="preserve">  本工程地块通过工程竣工验收专家评审会评审后3个月内，承包人向发包人递交竣工结算报告及完整的结算资料。竣工结算报告和结算资料经发包人认可并核实后，由发包人委托的咨询单位或政府部门进行工程竣工结算审核，审核期间承包人应予以配合。竣工结算报告和结算资料在核实、修改和补充过程中，发包人与承包人未达成一致，导致</w:t>
      </w:r>
      <w:r>
        <w:rPr>
          <w:rFonts w:hint="eastAsia" w:ascii="宋体" w:hAnsi="宋体" w:cs="宋体"/>
          <w:color w:val="auto"/>
          <w:szCs w:val="21"/>
          <w:highlight w:val="none"/>
          <w:u w:val="single"/>
          <w:lang w:val="en-US" w:eastAsia="zh-CN"/>
        </w:rPr>
        <w:t>剩余款项</w:t>
      </w:r>
      <w:r>
        <w:rPr>
          <w:rFonts w:hint="eastAsia" w:ascii="宋体" w:hAnsi="宋体" w:cs="宋体"/>
          <w:color w:val="auto"/>
          <w:szCs w:val="21"/>
          <w:highlight w:val="none"/>
          <w:u w:val="single"/>
        </w:rPr>
        <w:t>不能支付，承包人不得以此为由拒绝向发包人移交工程。 承包人未能按规定要求向发包人递交竣工结算书及完整的工程结算资料（除特殊情况经发包人同意外），则本工程所有地块通过工程竣工验收专家评审会评审后发包人停付</w:t>
      </w:r>
      <w:r>
        <w:rPr>
          <w:rFonts w:hint="eastAsia" w:ascii="宋体" w:hAnsi="宋体" w:cs="宋体"/>
          <w:color w:val="auto"/>
          <w:szCs w:val="21"/>
          <w:highlight w:val="none"/>
          <w:u w:val="single"/>
          <w:lang w:val="en-US" w:eastAsia="zh-CN"/>
        </w:rPr>
        <w:t>剩余款项</w:t>
      </w:r>
      <w:r>
        <w:rPr>
          <w:rFonts w:hint="eastAsia" w:ascii="宋体" w:hAnsi="宋体" w:cs="宋体"/>
          <w:color w:val="auto"/>
          <w:szCs w:val="21"/>
          <w:highlight w:val="none"/>
          <w:u w:val="single"/>
        </w:rPr>
        <w:t>。</w:t>
      </w:r>
    </w:p>
    <w:p w14:paraId="23715AB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14.2.2结算基本编制原则：</w:t>
      </w:r>
      <w:r>
        <w:rPr>
          <w:rFonts w:hint="eastAsia" w:ascii="宋体" w:hAnsi="宋体" w:cs="宋体"/>
          <w:color w:val="auto"/>
          <w:szCs w:val="21"/>
          <w:highlight w:val="none"/>
          <w:u w:val="single"/>
        </w:rPr>
        <w:t>承包人按本合同专用条款“12.合同价格、计量与支付”中的相关规定及以下条款的约定编制工程结算书，经审核后方可办理工程结算。工程结算以审计部门审定结果为准。</w:t>
      </w:r>
    </w:p>
    <w:p w14:paraId="4C74E228">
      <w:pPr>
        <w:spacing w:line="400" w:lineRule="exact"/>
        <w:ind w:firstLine="480"/>
        <w:rPr>
          <w:rFonts w:hint="eastAsia" w:ascii="宋体" w:hAnsi="宋体" w:cs="宋体"/>
          <w:color w:val="auto"/>
          <w:szCs w:val="21"/>
          <w:highlight w:val="none"/>
          <w:u w:val="single"/>
        </w:rPr>
      </w:pPr>
      <w:r>
        <w:rPr>
          <w:rFonts w:hint="eastAsia" w:ascii="宋体" w:hAnsi="宋体" w:cs="宋体"/>
          <w:color w:val="auto"/>
          <w:szCs w:val="21"/>
          <w:highlight w:val="none"/>
        </w:rPr>
        <w:t>14.2.2.1甲供材料、设备（即发包人供应的材料设备）结算原则：</w:t>
      </w:r>
      <w:r>
        <w:rPr>
          <w:rFonts w:hint="eastAsia" w:ascii="宋体" w:hAnsi="宋体" w:cs="宋体"/>
          <w:color w:val="auto"/>
          <w:szCs w:val="21"/>
          <w:highlight w:val="none"/>
          <w:u w:val="single"/>
        </w:rPr>
        <w:t>无</w:t>
      </w:r>
    </w:p>
    <w:p w14:paraId="35A8385E">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14.2.4工程造价审计或审核</w:t>
      </w:r>
      <w:r>
        <w:rPr>
          <w:rFonts w:hint="eastAsia" w:ascii="宋体" w:hAnsi="宋体" w:cs="宋体"/>
          <w:b/>
          <w:color w:val="auto"/>
          <w:szCs w:val="21"/>
          <w:highlight w:val="none"/>
        </w:rPr>
        <w:t>：</w:t>
      </w:r>
      <w:r>
        <w:rPr>
          <w:rFonts w:hint="eastAsia" w:ascii="宋体" w:hAnsi="宋体" w:cs="宋体"/>
          <w:color w:val="auto"/>
          <w:szCs w:val="21"/>
          <w:highlight w:val="none"/>
          <w:u w:val="single"/>
        </w:rPr>
        <w:t>承包人同意具有合格的造价咨询单位进行审计并认可其审计结论，并根据浙江省物价局【浙价服</w:t>
      </w:r>
      <w:r>
        <w:rPr>
          <w:rFonts w:hint="eastAsia" w:ascii="宋体" w:hAnsi="宋体" w:cs="宋体"/>
          <w:color w:val="auto"/>
          <w:szCs w:val="21"/>
          <w:highlight w:val="none"/>
          <w:u w:val="single"/>
          <w:lang w:eastAsia="zh-CN"/>
        </w:rPr>
        <w:t>〔2009〕84号</w:t>
      </w:r>
      <w:r>
        <w:rPr>
          <w:rFonts w:hint="eastAsia" w:ascii="宋体" w:hAnsi="宋体" w:cs="宋体"/>
          <w:color w:val="auto"/>
          <w:szCs w:val="21"/>
          <w:highlight w:val="none"/>
          <w:u w:val="single"/>
        </w:rPr>
        <w:t>】关于进一步完善工程造价咨询服务收费的通知规定，基本费由发包人承担，追加审核费用由承包人承担，具体为：核减追加审核费=（核减额-送审造价*5%）*5% ，核增追加审核费=核增额*5%。承包人需在盖审定表或咨询单位出具审计报告的同时向咨询单位付清审计费用，否则发包人有权从承包人</w:t>
      </w:r>
      <w:r>
        <w:rPr>
          <w:rFonts w:hint="eastAsia" w:ascii="宋体" w:hAnsi="宋体" w:cs="宋体"/>
          <w:color w:val="auto"/>
          <w:szCs w:val="21"/>
          <w:highlight w:val="none"/>
          <w:u w:val="single"/>
          <w:lang w:val="en-US" w:eastAsia="zh-CN"/>
        </w:rPr>
        <w:t>合同款项</w:t>
      </w:r>
      <w:r>
        <w:rPr>
          <w:rFonts w:hint="eastAsia" w:ascii="宋体" w:hAnsi="宋体" w:cs="宋体"/>
          <w:color w:val="auto"/>
          <w:szCs w:val="21"/>
          <w:highlight w:val="none"/>
          <w:u w:val="single"/>
        </w:rPr>
        <w:t>中代扣支付结算审计追加费用。</w:t>
      </w:r>
    </w:p>
    <w:p w14:paraId="0C76708F">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14.2.5</w:t>
      </w:r>
      <w:r>
        <w:rPr>
          <w:rFonts w:hint="eastAsia" w:ascii="宋体" w:hAnsi="宋体" w:cs="宋体"/>
          <w:color w:val="auto"/>
          <w:szCs w:val="21"/>
          <w:highlight w:val="none"/>
          <w:u w:val="single"/>
        </w:rPr>
        <w:t>承包人未按约定的时间向发包人提交竣工结算报告和资料的，发包人有权根据</w:t>
      </w:r>
      <w:r>
        <w:rPr>
          <w:rFonts w:hint="eastAsia" w:ascii="宋体" w:hAnsi="宋体" w:cs="宋体"/>
          <w:color w:val="auto"/>
          <w:szCs w:val="21"/>
          <w:highlight w:val="none"/>
          <w:u w:val="single"/>
          <w:lang w:eastAsia="zh-CN"/>
        </w:rPr>
        <w:t>已有</w:t>
      </w:r>
      <w:r>
        <w:rPr>
          <w:rFonts w:hint="eastAsia" w:ascii="宋体" w:hAnsi="宋体" w:cs="宋体"/>
          <w:color w:val="auto"/>
          <w:szCs w:val="21"/>
          <w:highlight w:val="none"/>
          <w:u w:val="single"/>
        </w:rPr>
        <w:t>资料进行审查，责任由承包人自行承担。</w:t>
      </w:r>
    </w:p>
    <w:p w14:paraId="6193357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15. 缺陷责任期与保修</w:t>
      </w:r>
    </w:p>
    <w:p w14:paraId="2F770FA7">
      <w:pPr>
        <w:pStyle w:val="970"/>
        <w:spacing w:line="400" w:lineRule="exact"/>
        <w:ind w:firstLine="401" w:firstLineChars="190"/>
        <w:rPr>
          <w:rFonts w:hAnsi="宋体" w:cs="宋体"/>
          <w:color w:val="auto"/>
          <w:sz w:val="21"/>
          <w:szCs w:val="21"/>
          <w:highlight w:val="none"/>
        </w:rPr>
      </w:pPr>
      <w:r>
        <w:rPr>
          <w:rFonts w:hint="eastAsia" w:hAnsi="宋体" w:cs="宋体"/>
          <w:color w:val="auto"/>
          <w:sz w:val="21"/>
          <w:szCs w:val="21"/>
          <w:highlight w:val="none"/>
        </w:rPr>
        <w:t>15.</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质量保证金：</w:t>
      </w:r>
      <w:r>
        <w:rPr>
          <w:rFonts w:hint="eastAsia" w:hAnsi="宋体" w:cs="宋体"/>
          <w:color w:val="auto"/>
          <w:sz w:val="21"/>
          <w:szCs w:val="21"/>
          <w:highlight w:val="none"/>
          <w:u w:val="single"/>
        </w:rPr>
        <w:t>/</w:t>
      </w:r>
    </w:p>
    <w:p w14:paraId="7536788B">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保修</w:t>
      </w:r>
    </w:p>
    <w:p w14:paraId="3D5BA5E9">
      <w:pPr>
        <w:spacing w:line="400" w:lineRule="exact"/>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 保修责任</w:t>
      </w:r>
    </w:p>
    <w:p w14:paraId="63D23713">
      <w:pPr>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.1.1 工程保修期：</w:t>
      </w:r>
      <w:r>
        <w:rPr>
          <w:rFonts w:hint="eastAsia"/>
          <w:color w:val="auto"/>
          <w:highlight w:val="none"/>
          <w:u w:val="single"/>
        </w:rPr>
        <w:t>至本地块所有基础工程完成</w:t>
      </w:r>
      <w:r>
        <w:rPr>
          <w:rFonts w:hint="eastAsia"/>
          <w:color w:val="auto"/>
          <w:highlight w:val="none"/>
        </w:rPr>
        <w:t>。</w:t>
      </w:r>
    </w:p>
    <w:p w14:paraId="3A2407A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.1.2保修责任：</w:t>
      </w:r>
    </w:p>
    <w:p w14:paraId="22BC0B2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保修期内土壤不应发生异味和危害本项目四周人身安全等事件，否则承包人须承担一切责任。在保修期内，属于承包人责任的工程质量问题，承包人应负责无偿修补，并对由此给发包人造成的损失予以赔偿。</w:t>
      </w:r>
    </w:p>
    <w:p w14:paraId="091CB3D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属于保修范围、内容的项目，承包人应在接到保修通知之日起在发包人要求的时间内派人修复完成；如承包人不在约定期限内派人保修或同一问题两次修理不好的，发包人有权委托他人修理，所产生的一切费用及因此给发包人造成的损失包括但不限于发包人因此支付的各项违约金、损害赔偿金、罚金、费用等均由承包人承担。发生紧急抢修事故的，承包人应在接到事故通知后，2小时内到达事故现场抢修，否则发包人有权委托他人抢修，费用由承包人全部承担。</w:t>
      </w:r>
    </w:p>
    <w:p w14:paraId="1F4BA89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（3）不属于保修范围、内容的项目，承包人也应在接到发包人通知后及时派人进行维修，费用则由责任方负责。</w:t>
      </w:r>
    </w:p>
    <w:p w14:paraId="2F9BD73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（4）保修期内发生的非人为造成的故障，由承包人无条件修复，所产生的一切费用由承包人承担。</w:t>
      </w:r>
    </w:p>
    <w:p w14:paraId="1D834DC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（5）如因施工质量原因维修后，保修期相应顺延。承包人须修补在保修期内发现的任何因材料或技术不符合本合同规定的不合格工程。</w:t>
      </w:r>
    </w:p>
    <w:p w14:paraId="2F524F4D">
      <w:pPr>
        <w:spacing w:line="400" w:lineRule="exact"/>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 修复通知</w:t>
      </w:r>
    </w:p>
    <w:p w14:paraId="6D171952">
      <w:pPr>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24小时   </w:t>
      </w:r>
      <w:r>
        <w:rPr>
          <w:rFonts w:hint="eastAsia" w:ascii="宋体" w:hAnsi="宋体" w:cs="宋体"/>
          <w:color w:val="auto"/>
          <w:kern w:val="0"/>
          <w:szCs w:val="21"/>
          <w:highlight w:val="none"/>
        </w:rPr>
        <w:t>。</w:t>
      </w:r>
    </w:p>
    <w:p w14:paraId="4F5F829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16. 违约</w:t>
      </w:r>
    </w:p>
    <w:p w14:paraId="26B39797">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16.1 发包人违约</w:t>
      </w:r>
    </w:p>
    <w:p w14:paraId="3675196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16.1.1发包人违约的情形按通用条款确定。</w:t>
      </w:r>
    </w:p>
    <w:p w14:paraId="2C0024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发包人违约的责任</w:t>
      </w:r>
    </w:p>
    <w:p w14:paraId="435E2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承担其违约造成承包人增加的费用和（或）延误工期。发包人未按合同约定、逾期支付合同款项的，按照中国人民银行发布的同期同类贷款基准利率支付违约金；逾期支付超过56天的，超过部分按照中国人民银行发布的同期同类贷款基准利率和两倍支付违约金。</w:t>
      </w:r>
    </w:p>
    <w:p w14:paraId="7EF6E1C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关于发包人违约解除合同的约定：执行通用条款。</w:t>
      </w:r>
    </w:p>
    <w:p w14:paraId="3810C374">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16.2 承包人违约</w:t>
      </w:r>
    </w:p>
    <w:p w14:paraId="0463E81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16.2.1 承包人违约的情形按通用条款确定。</w:t>
      </w:r>
    </w:p>
    <w:p w14:paraId="51FF4D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16.2.2承包人违约的责任</w:t>
      </w:r>
    </w:p>
    <w:p w14:paraId="7A1AB262">
      <w:pPr>
        <w:spacing w:line="400" w:lineRule="exact"/>
        <w:ind w:firstLine="462" w:firstLineChars="220"/>
        <w:rPr>
          <w:rFonts w:hint="eastAsia" w:ascii="宋体" w:hAnsi="宋体" w:cs="宋体"/>
          <w:color w:val="auto"/>
          <w:kern w:val="0"/>
          <w:szCs w:val="21"/>
          <w:highlight w:val="none"/>
        </w:rPr>
      </w:pPr>
      <w:r>
        <w:rPr>
          <w:rFonts w:hint="eastAsia" w:ascii="宋体" w:hAnsi="宋体" w:cs="宋体"/>
          <w:color w:val="auto"/>
          <w:kern w:val="0"/>
          <w:szCs w:val="21"/>
          <w:highlight w:val="none"/>
        </w:rPr>
        <w:t>未履行安全文明施工承诺、未履行项目经理及主要施工管理人员到场承诺、未履行主要机械设备到场承诺、未达到质量承诺标准、延误合同工期赔偿以及其他经发包人、监理认为应当判定违约的，在扣除履约保证金后以上全部违约赔偿总额累计不超过合同价款的20%；</w:t>
      </w:r>
    </w:p>
    <w:p w14:paraId="03683CE6">
      <w:pPr>
        <w:spacing w:line="400" w:lineRule="exact"/>
        <w:ind w:firstLine="462" w:firstLineChars="220"/>
        <w:rPr>
          <w:rFonts w:hint="eastAsia" w:ascii="宋体" w:hAnsi="宋体" w:cs="宋体"/>
          <w:color w:val="auto"/>
          <w:szCs w:val="21"/>
          <w:highlight w:val="none"/>
        </w:rPr>
      </w:pPr>
      <w:r>
        <w:rPr>
          <w:rFonts w:hint="eastAsia" w:ascii="宋体" w:hAnsi="宋体" w:cs="宋体"/>
          <w:color w:val="auto"/>
          <w:kern w:val="0"/>
          <w:szCs w:val="21"/>
          <w:highlight w:val="none"/>
        </w:rPr>
        <w:t>双方约定的承包人其他违约责任</w:t>
      </w:r>
      <w:r>
        <w:rPr>
          <w:rFonts w:hint="eastAsia" w:ascii="宋体" w:hAnsi="宋体" w:cs="宋体"/>
          <w:color w:val="auto"/>
          <w:szCs w:val="21"/>
          <w:highlight w:val="none"/>
        </w:rPr>
        <w:t>：</w:t>
      </w:r>
    </w:p>
    <w:p w14:paraId="2F2A6E28">
      <w:pPr>
        <w:spacing w:line="400" w:lineRule="exact"/>
        <w:ind w:firstLine="405" w:firstLineChars="193"/>
        <w:rPr>
          <w:rFonts w:hint="eastAsia" w:ascii="宋体" w:hAnsi="宋体" w:cs="宋体"/>
          <w:color w:val="auto"/>
          <w:kern w:val="0"/>
          <w:szCs w:val="21"/>
          <w:highlight w:val="none"/>
          <w:u w:val="single"/>
        </w:rPr>
      </w:pPr>
      <w:r>
        <w:rPr>
          <w:rFonts w:hint="eastAsia" w:ascii="宋体" w:hAnsi="宋体" w:cs="宋体"/>
          <w:color w:val="auto"/>
          <w:szCs w:val="21"/>
          <w:highlight w:val="none"/>
        </w:rPr>
        <w:t>（1）本工程供应商一旦中标，不允许承包的工程有挂靠、转包、分包现象出现，一旦发现有此情况发生，发包人有权终止合同，罚没履约保证金，承包人负担由于终止合同而造成的一切费用。</w:t>
      </w:r>
    </w:p>
    <w:p w14:paraId="714FF4D1">
      <w:pPr>
        <w:spacing w:line="400" w:lineRule="exact"/>
        <w:ind w:firstLine="405" w:firstLineChars="193"/>
        <w:rPr>
          <w:rFonts w:hint="eastAsia" w:ascii="宋体" w:hAnsi="宋体" w:cs="宋体"/>
          <w:color w:val="auto"/>
          <w:szCs w:val="21"/>
          <w:highlight w:val="none"/>
        </w:rPr>
      </w:pPr>
      <w:r>
        <w:rPr>
          <w:rFonts w:hint="eastAsia" w:ascii="宋体" w:hAnsi="宋体" w:cs="宋体"/>
          <w:color w:val="auto"/>
          <w:szCs w:val="21"/>
          <w:highlight w:val="none"/>
        </w:rPr>
        <w:t>（2）承包人在施工过程中无论遇到何种困难（经发包人同意除外）均不得以任何理由（如发包人未签证费用等）擅自停工或变相停工，否则由此造成的一切经济损失均由承包人承担，同时发包人有权对承包人处以一定的经济处罚（每停工一次支付给发包人50万元违约金）。</w:t>
      </w:r>
    </w:p>
    <w:p w14:paraId="639B586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16.2.3 关于因承包人违约解除合同的约定：执行通用条款。</w:t>
      </w:r>
    </w:p>
    <w:p w14:paraId="46654B1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16.2.4</w:t>
      </w:r>
      <w:r>
        <w:rPr>
          <w:rFonts w:hint="eastAsia" w:ascii="宋体" w:hAnsi="宋体" w:cs="宋体"/>
          <w:color w:val="auto"/>
          <w:szCs w:val="21"/>
          <w:highlight w:val="none"/>
        </w:rPr>
        <w:t>合同履行过程中，若因承包人自身原因（包括但不限于施工操作不当、管理不善、未采取有效防护措施等），致使项目周边区域出现污染、噪音超标或刺鼻气味等影响周边居民正常生活和环境质量的不良情况，且因此引发周边群众上访，当上访次数累计达到五次（含五次）以上时，发包人有权对承包人处以</w:t>
      </w:r>
      <w:r>
        <w:rPr>
          <w:rFonts w:hint="eastAsia" w:ascii="宋体" w:hAnsi="宋体" w:cs="宋体"/>
          <w:color w:val="auto"/>
          <w:szCs w:val="21"/>
          <w:highlight w:val="none"/>
          <w:lang w:val="en-US" w:eastAsia="zh-CN"/>
        </w:rPr>
        <w:t>5万元</w:t>
      </w:r>
      <w:r>
        <w:rPr>
          <w:rFonts w:hint="eastAsia" w:ascii="宋体" w:hAnsi="宋体" w:cs="宋体"/>
          <w:color w:val="auto"/>
          <w:szCs w:val="21"/>
          <w:highlight w:val="none"/>
        </w:rPr>
        <w:t>的扣罚。</w:t>
      </w:r>
    </w:p>
    <w:p w14:paraId="7613575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17. 不可抗力 </w:t>
      </w:r>
    </w:p>
    <w:p w14:paraId="2E6572AE">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55839404">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除通用合同条款约定的不可抗力事件之外，视为不可抗力的其他情形：火灾、洪水、社会性罢工、政府征用、非针对本项目的政府禁止令等。</w:t>
      </w:r>
    </w:p>
    <w:p w14:paraId="24C3564C">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17.4 因不可抗力解除合同</w:t>
      </w:r>
    </w:p>
    <w:p w14:paraId="0CFE0AF2">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合同解除后，发包人应在商定或确定发包人应支付款项后28天内完成款项的支付。</w:t>
      </w:r>
    </w:p>
    <w:p w14:paraId="0E9FA66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18. 保险</w:t>
      </w:r>
    </w:p>
    <w:p w14:paraId="49F2D588">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4E7F348F">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rPr>
        <w:t>。</w:t>
      </w:r>
    </w:p>
    <w:p w14:paraId="679E4AE6">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18.3 其他保险</w:t>
      </w:r>
    </w:p>
    <w:p w14:paraId="3EA14FD4">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关于其他保险的约定：</w:t>
      </w:r>
      <w:r>
        <w:rPr>
          <w:rFonts w:hint="eastAsia" w:ascii="宋体" w:hAnsi="宋体" w:cs="宋体"/>
          <w:color w:val="auto"/>
          <w:kern w:val="0"/>
          <w:szCs w:val="21"/>
          <w:highlight w:val="none"/>
          <w:u w:val="single"/>
        </w:rPr>
        <w:t xml:space="preserve">  按通用条款执行  </w:t>
      </w:r>
      <w:r>
        <w:rPr>
          <w:rFonts w:hint="eastAsia" w:ascii="宋体" w:hAnsi="宋体" w:cs="宋体"/>
          <w:color w:val="auto"/>
          <w:kern w:val="0"/>
          <w:szCs w:val="21"/>
          <w:highlight w:val="none"/>
        </w:rPr>
        <w:t>。</w:t>
      </w:r>
    </w:p>
    <w:p w14:paraId="686CE535">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承包人是否应为其施工设备等办理财产保险：</w:t>
      </w:r>
      <w:r>
        <w:rPr>
          <w:rFonts w:hint="eastAsia" w:ascii="宋体" w:hAnsi="宋体" w:cs="宋体"/>
          <w:color w:val="auto"/>
          <w:kern w:val="0"/>
          <w:szCs w:val="21"/>
          <w:highlight w:val="none"/>
          <w:u w:val="single"/>
        </w:rPr>
        <w:t xml:space="preserve"> 是 。</w:t>
      </w:r>
    </w:p>
    <w:p w14:paraId="565CE0FB">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18.7 通知义务</w:t>
      </w:r>
    </w:p>
    <w:p w14:paraId="017523A9">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关于变更保险合同时的通知义务的约定：执行通用条款。</w:t>
      </w:r>
    </w:p>
    <w:p w14:paraId="2D836B7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20. 争议解决</w:t>
      </w:r>
    </w:p>
    <w:p w14:paraId="0AB8579A">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20.3 争议评审</w:t>
      </w:r>
    </w:p>
    <w:p w14:paraId="6EFDA6E8">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争议评审：</w:t>
      </w:r>
      <w:r>
        <w:rPr>
          <w:rFonts w:hint="eastAsia" w:ascii="宋体" w:hAnsi="宋体" w:cs="宋体"/>
          <w:color w:val="auto"/>
          <w:kern w:val="0"/>
          <w:szCs w:val="21"/>
          <w:highlight w:val="none"/>
          <w:u w:val="single"/>
        </w:rPr>
        <w:t xml:space="preserve">本项目不适用。 </w:t>
      </w:r>
      <w:r>
        <w:rPr>
          <w:rFonts w:hint="eastAsia" w:ascii="宋体" w:hAnsi="宋体" w:cs="宋体"/>
          <w:color w:val="auto"/>
          <w:kern w:val="0"/>
          <w:szCs w:val="21"/>
          <w:highlight w:val="none"/>
        </w:rPr>
        <w:t xml:space="preserve">   </w:t>
      </w:r>
    </w:p>
    <w:p w14:paraId="3AC4A09E">
      <w:pPr>
        <w:pStyle w:val="970"/>
        <w:spacing w:line="40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20.4仲裁或诉讼</w:t>
      </w:r>
    </w:p>
    <w:p w14:paraId="2306D438">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因合同及合同有关事项发生的争议，按下列第</w:t>
      </w:r>
      <w:r>
        <w:rPr>
          <w:rFonts w:hint="eastAsia" w:ascii="宋体" w:hAnsi="宋体" w:cs="宋体"/>
          <w:color w:val="auto"/>
          <w:kern w:val="0"/>
          <w:szCs w:val="21"/>
          <w:highlight w:val="none"/>
          <w:u w:val="single"/>
        </w:rPr>
        <w:t xml:space="preserve"> 2 </w:t>
      </w:r>
      <w:r>
        <w:rPr>
          <w:rFonts w:hint="eastAsia" w:ascii="宋体" w:hAnsi="宋体" w:cs="宋体"/>
          <w:color w:val="auto"/>
          <w:kern w:val="0"/>
          <w:szCs w:val="21"/>
          <w:highlight w:val="none"/>
        </w:rPr>
        <w:t>种方式解决：</w:t>
      </w:r>
    </w:p>
    <w:p w14:paraId="4EA8CEA3">
      <w:pPr>
        <w:adjustRightIn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（1）向</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仲裁委员会申请仲裁；</w:t>
      </w:r>
    </w:p>
    <w:p w14:paraId="0C17FC88">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（2）向</w:t>
      </w:r>
      <w:r>
        <w:rPr>
          <w:rFonts w:hint="eastAsia" w:ascii="宋体" w:hAnsi="宋体" w:cs="宋体"/>
          <w:color w:val="auto"/>
          <w:kern w:val="0"/>
          <w:szCs w:val="21"/>
          <w:highlight w:val="none"/>
          <w:u w:val="single"/>
        </w:rPr>
        <w:t xml:space="preserve"> 工程所在地</w:t>
      </w:r>
      <w:r>
        <w:rPr>
          <w:rFonts w:hint="eastAsia" w:ascii="宋体" w:hAnsi="宋体" w:cs="宋体"/>
          <w:color w:val="auto"/>
          <w:kern w:val="0"/>
          <w:szCs w:val="21"/>
          <w:highlight w:val="none"/>
        </w:rPr>
        <w:t>人民法院起诉。</w:t>
      </w:r>
    </w:p>
    <w:p w14:paraId="0AE8D3B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21补充条款：</w:t>
      </w:r>
    </w:p>
    <w:p w14:paraId="08AD5580">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承包人在项目开工前，应向发包人提交</w:t>
      </w:r>
      <w:r>
        <w:rPr>
          <w:rFonts w:hint="eastAsia"/>
          <w:color w:val="auto"/>
          <w:kern w:val="0"/>
          <w:szCs w:val="21"/>
          <w:highlight w:val="none"/>
        </w:rPr>
        <w:t>工业炉窑厂签订的工业炉窑处置意向协议书（后附环保主管部门发布的《协同处置危险废物经营许可证》）</w:t>
      </w:r>
      <w:r>
        <w:rPr>
          <w:rFonts w:hint="eastAsia"/>
          <w:color w:val="auto"/>
          <w:kern w:val="0"/>
          <w:szCs w:val="21"/>
          <w:highlight w:val="none"/>
          <w:lang w:eastAsia="zh-CN"/>
        </w:rPr>
        <w:t>。</w:t>
      </w:r>
    </w:p>
    <w:p w14:paraId="1D7FA9C2">
      <w:pPr>
        <w:spacing w:line="400" w:lineRule="exact"/>
        <w:ind w:firstLine="420" w:firstLineChars="200"/>
        <w:rPr>
          <w:rFonts w:ascii="宋体" w:hAnsi="宋体" w:cs="宋体"/>
          <w:color w:val="auto"/>
          <w:szCs w:val="21"/>
          <w:highlight w:val="none"/>
        </w:rPr>
      </w:pPr>
    </w:p>
    <w:p w14:paraId="11D5F0AE">
      <w:pPr>
        <w:pageBreakBefore/>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w:t>
      </w:r>
    </w:p>
    <w:p w14:paraId="4693CB94">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工程质量保修书</w:t>
      </w:r>
    </w:p>
    <w:p w14:paraId="1C1BDD29">
      <w:pPr>
        <w:spacing w:line="320" w:lineRule="exact"/>
        <w:ind w:firstLine="420" w:firstLineChars="200"/>
        <w:rPr>
          <w:rFonts w:hint="eastAsia" w:ascii="宋体" w:hAnsi="宋体" w:cs="宋体"/>
          <w:color w:val="auto"/>
          <w:szCs w:val="21"/>
          <w:highlight w:val="none"/>
        </w:rPr>
      </w:pPr>
    </w:p>
    <w:p w14:paraId="585D32A3">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发包人（全称）：  </w:t>
      </w:r>
      <w:r>
        <w:rPr>
          <w:rFonts w:hint="eastAsia" w:ascii="宋体" w:hAnsi="宋体" w:cs="宋体"/>
          <w:color w:val="auto"/>
          <w:szCs w:val="21"/>
          <w:highlight w:val="none"/>
          <w:u w:val="single"/>
        </w:rPr>
        <w:t xml:space="preserve">                                    </w:t>
      </w:r>
    </w:p>
    <w:p w14:paraId="3DB20C06">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承包人（全称）：  </w:t>
      </w:r>
      <w:r>
        <w:rPr>
          <w:rFonts w:hint="eastAsia" w:ascii="宋体" w:hAnsi="宋体" w:cs="宋体"/>
          <w:color w:val="auto"/>
          <w:szCs w:val="21"/>
          <w:highlight w:val="none"/>
          <w:u w:val="single"/>
        </w:rPr>
        <w:t xml:space="preserve">                                    </w:t>
      </w:r>
    </w:p>
    <w:p w14:paraId="0553B74D">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6F52C1C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一、工程质量保修范围和内容</w:t>
      </w:r>
    </w:p>
    <w:p w14:paraId="22D45823">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103C4A6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质量保修范围为整个土壤及地下水修复工程。具体保修的内容如下：</w:t>
      </w:r>
    </w:p>
    <w:p w14:paraId="22A4C43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1、在保修期内土壤及地下水不应发生危害本项目四周人身安全等事件。</w:t>
      </w:r>
    </w:p>
    <w:p w14:paraId="53A4B353">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2、在保修期内，工程范围内的土壤及地下水应做到无异色，无异味。</w:t>
      </w:r>
    </w:p>
    <w:p w14:paraId="1862AE8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二、质量保修期</w:t>
      </w:r>
    </w:p>
    <w:p w14:paraId="57FA1321">
      <w:pP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本工程保修期为</w:t>
      </w:r>
      <w:r>
        <w:rPr>
          <w:rFonts w:hint="eastAsia" w:ascii="宋体" w:hAnsi="宋体" w:cs="宋体"/>
          <w:color w:val="auto"/>
          <w:szCs w:val="21"/>
          <w:highlight w:val="none"/>
          <w:u w:val="single"/>
        </w:rPr>
        <w:t>至本地块所有基础工程完成。</w:t>
      </w:r>
    </w:p>
    <w:p w14:paraId="5289A77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对承包人责任引起的工程质量问题，应负责在24小时内无偿修补，逾期未维修或维修后验收未通过的，发包人有权委托第三方维修，费用由承包人承担。</w:t>
      </w:r>
    </w:p>
    <w:p w14:paraId="7850A76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7C10F8DD">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至本地块所有基础工程完成</w:t>
      </w:r>
      <w:r>
        <w:rPr>
          <w:rFonts w:hint="eastAsia" w:ascii="宋体" w:hAnsi="宋体" w:cs="宋体"/>
          <w:color w:val="auto"/>
          <w:szCs w:val="21"/>
          <w:highlight w:val="none"/>
        </w:rPr>
        <w:t>。</w:t>
      </w:r>
    </w:p>
    <w:p w14:paraId="3258BCC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四、质量保修责任</w:t>
      </w:r>
    </w:p>
    <w:p w14:paraId="25407C69">
      <w:pPr>
        <w:adjustRightInd w:val="0"/>
        <w:snapToGrid w:val="0"/>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在保修期内土壤不应发生异味和危害本项目四周人身安全等事件，否则承包人须承担一切责任。在保修期内，属于承包人责任的工程质量问题，承包人应负责无偿修补，并对由此给发包人造成的损失予以赔偿。</w:t>
      </w:r>
    </w:p>
    <w:p w14:paraId="15CC24A9">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属于保修范围、内容的项目，承包人应在接到保修通知之日起在发包人要求的时间内派人修复完成；如承包人不在约定期限内派人保修或同一问题两次修理不好的，发包人有权委托他人修理，所产生的一切费用及因此给发包人造成的损失包括但不限于发包人因此支付的各项违约金、损害赔偿金、罚金、费用等均由承包人承担。发生紧急抢修事故的，承包人应在接到事故通知后，2小时内到达事故现场抢修，否则发包人有权委托他人抢修，费用由承包人全部承担。</w:t>
      </w:r>
    </w:p>
    <w:p w14:paraId="26D6B115">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3、不属于保修范围、内容的项目，承包人也应在接到发包人通知后及时派人进行维修，费用则由责任方负责。</w:t>
      </w:r>
    </w:p>
    <w:p w14:paraId="0CC9889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4、保修期内发生的非人为造成的故障，由承包人无条件修复，所产生的一切费用由承包人承担。</w:t>
      </w:r>
    </w:p>
    <w:p w14:paraId="238DB734">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5、如因施工质量原因维修后，保修期相应顺延，返还时间亦相应顺延。承包人须修补在保修期内发现的任何因材料或技术不符合本合同规定的不合格工程。</w:t>
      </w:r>
    </w:p>
    <w:p w14:paraId="222B6CC9">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五、保修费用</w:t>
      </w:r>
    </w:p>
    <w:p w14:paraId="68812CF7">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3333ACFD">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六、双方约定的其他工程质量保修事项：由于质量原因及保修不及时而引起的客户索赔等给发包人带来的损失由承包人承担。  </w:t>
      </w:r>
    </w:p>
    <w:p w14:paraId="75A9B0E5">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372BEE9E">
      <w:pPr>
        <w:adjustRightInd w:val="0"/>
        <w:snapToGrid w:val="0"/>
        <w:spacing w:line="400" w:lineRule="exact"/>
        <w:ind w:firstLine="420" w:firstLineChars="200"/>
        <w:rPr>
          <w:rFonts w:hint="eastAsia" w:ascii="宋体" w:hAnsi="宋体" w:cs="宋体"/>
          <w:color w:val="auto"/>
          <w:szCs w:val="21"/>
          <w:highlight w:val="none"/>
        </w:rPr>
      </w:pPr>
    </w:p>
    <w:p w14:paraId="59E826D2">
      <w:pPr>
        <w:adjustRightInd w:val="0"/>
        <w:snapToGrid w:val="0"/>
        <w:spacing w:line="400" w:lineRule="exact"/>
        <w:ind w:firstLine="420" w:firstLineChars="200"/>
        <w:rPr>
          <w:rFonts w:hint="eastAsia" w:ascii="宋体" w:hAnsi="宋体" w:cs="宋体"/>
          <w:color w:val="auto"/>
          <w:szCs w:val="21"/>
          <w:highlight w:val="none"/>
        </w:rPr>
      </w:pPr>
    </w:p>
    <w:p w14:paraId="4929ADDB">
      <w:pPr>
        <w:adjustRightInd w:val="0"/>
        <w:snapToGrid w:val="0"/>
        <w:spacing w:line="400" w:lineRule="exact"/>
        <w:ind w:firstLine="420" w:firstLineChars="200"/>
        <w:rPr>
          <w:rFonts w:hint="eastAsia" w:ascii="宋体" w:hAnsi="宋体" w:cs="宋体"/>
          <w:color w:val="auto"/>
          <w:szCs w:val="21"/>
          <w:highlight w:val="none"/>
        </w:rPr>
      </w:pPr>
    </w:p>
    <w:p w14:paraId="1811AE9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  (盖章)                              承包人：  (盖章)</w:t>
      </w:r>
    </w:p>
    <w:p w14:paraId="31526C75">
      <w:pPr>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72A4A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46C662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（签字或盖章）                                （签字或盖章）</w:t>
      </w:r>
    </w:p>
    <w:p w14:paraId="33EAA6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 </w:t>
      </w:r>
      <w:r>
        <w:rPr>
          <w:rFonts w:hint="eastAsia" w:ascii="宋体" w:hAnsi="宋体" w:cs="宋体"/>
          <w:color w:val="auto"/>
          <w:szCs w:val="21"/>
          <w:highlight w:val="none"/>
          <w:u w:val="single"/>
        </w:rPr>
        <w:t xml:space="preserve">                  </w:t>
      </w:r>
    </w:p>
    <w:p w14:paraId="35C636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 </w:t>
      </w:r>
      <w:r>
        <w:rPr>
          <w:rFonts w:hint="eastAsia" w:ascii="宋体" w:hAnsi="宋体" w:cs="宋体"/>
          <w:color w:val="auto"/>
          <w:szCs w:val="21"/>
          <w:highlight w:val="none"/>
          <w:u w:val="single"/>
        </w:rPr>
        <w:t xml:space="preserve">               </w:t>
      </w:r>
    </w:p>
    <w:p w14:paraId="168AA7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 </w:t>
      </w:r>
      <w:r>
        <w:rPr>
          <w:rFonts w:hint="eastAsia" w:ascii="宋体" w:hAnsi="宋体" w:cs="宋体"/>
          <w:color w:val="auto"/>
          <w:szCs w:val="21"/>
          <w:highlight w:val="none"/>
          <w:u w:val="single"/>
        </w:rPr>
        <w:t xml:space="preserve">                  </w:t>
      </w:r>
    </w:p>
    <w:p w14:paraId="0AF0A8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315409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37ECDAD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                  </w:t>
      </w:r>
    </w:p>
    <w:p w14:paraId="3000B0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31134D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账  号：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2C8458CF">
      <w:pPr>
        <w:adjustRightInd w:val="0"/>
        <w:snapToGrid w:val="0"/>
        <w:spacing w:line="400" w:lineRule="exact"/>
        <w:ind w:firstLine="420" w:firstLineChars="200"/>
        <w:rPr>
          <w:rFonts w:hint="eastAsia" w:ascii="宋体" w:hAnsi="宋体" w:cs="宋体"/>
          <w:color w:val="auto"/>
          <w:szCs w:val="21"/>
          <w:highlight w:val="none"/>
        </w:rPr>
      </w:pPr>
    </w:p>
    <w:p w14:paraId="2FE24B91">
      <w:pPr>
        <w:rPr>
          <w:rFonts w:hint="eastAsia" w:ascii="宋体" w:hAnsi="宋体" w:cs="宋体"/>
          <w:color w:val="auto"/>
          <w:szCs w:val="21"/>
          <w:highlight w:val="none"/>
        </w:rPr>
      </w:pPr>
    </w:p>
    <w:p w14:paraId="3F4C181A">
      <w:pPr>
        <w:pStyle w:val="971"/>
        <w:rPr>
          <w:rFonts w:hint="eastAsia" w:cs="宋体"/>
          <w:color w:val="auto"/>
          <w:sz w:val="21"/>
          <w:szCs w:val="21"/>
          <w:highlight w:val="none"/>
        </w:rPr>
      </w:pPr>
      <w:r>
        <w:rPr>
          <w:rFonts w:hint="eastAsia" w:cs="宋体"/>
          <w:bCs/>
          <w:color w:val="auto"/>
          <w:sz w:val="21"/>
          <w:szCs w:val="21"/>
          <w:highlight w:val="none"/>
        </w:rPr>
        <w:t xml:space="preserve">            </w:t>
      </w:r>
    </w:p>
    <w:p w14:paraId="30CAA5CA">
      <w:pPr>
        <w:rPr>
          <w:rFonts w:hint="eastAsia" w:ascii="宋体" w:hAnsi="宋体" w:cs="宋体"/>
          <w:color w:val="auto"/>
          <w:szCs w:val="21"/>
          <w:highlight w:val="none"/>
        </w:rPr>
      </w:pPr>
    </w:p>
    <w:p w14:paraId="5A579A97">
      <w:pPr>
        <w:rPr>
          <w:rFonts w:hint="eastAsia" w:ascii="宋体" w:hAnsi="宋体" w:cs="宋体"/>
          <w:color w:val="auto"/>
          <w:szCs w:val="21"/>
          <w:highlight w:val="none"/>
        </w:rPr>
      </w:pPr>
    </w:p>
    <w:p w14:paraId="19CD52AA">
      <w:pPr>
        <w:rPr>
          <w:rFonts w:hint="eastAsia" w:ascii="宋体" w:hAnsi="宋体" w:cs="宋体"/>
          <w:color w:val="auto"/>
          <w:szCs w:val="21"/>
          <w:highlight w:val="none"/>
        </w:rPr>
      </w:pPr>
    </w:p>
    <w:p w14:paraId="346F6D91">
      <w:pPr>
        <w:rPr>
          <w:rFonts w:hint="eastAsia" w:ascii="宋体" w:hAnsi="宋体" w:cs="宋体"/>
          <w:color w:val="auto"/>
          <w:szCs w:val="21"/>
          <w:highlight w:val="none"/>
        </w:rPr>
      </w:pPr>
    </w:p>
    <w:p w14:paraId="19B7D428">
      <w:pPr>
        <w:rPr>
          <w:rFonts w:hint="eastAsia" w:ascii="宋体" w:hAnsi="宋体" w:cs="宋体"/>
          <w:color w:val="auto"/>
          <w:szCs w:val="21"/>
          <w:highlight w:val="none"/>
        </w:rPr>
      </w:pPr>
    </w:p>
    <w:p w14:paraId="770D0C06">
      <w:pPr>
        <w:rPr>
          <w:rFonts w:hint="eastAsia" w:ascii="宋体" w:hAnsi="宋体" w:cs="宋体"/>
          <w:color w:val="auto"/>
          <w:szCs w:val="21"/>
          <w:highlight w:val="none"/>
        </w:rPr>
      </w:pPr>
    </w:p>
    <w:p w14:paraId="79A225EB">
      <w:pPr>
        <w:rPr>
          <w:rFonts w:hint="eastAsia" w:ascii="宋体" w:hAnsi="宋体" w:cs="宋体"/>
          <w:color w:val="auto"/>
          <w:szCs w:val="21"/>
          <w:highlight w:val="none"/>
        </w:rPr>
      </w:pPr>
    </w:p>
    <w:p w14:paraId="36DD1025">
      <w:pPr>
        <w:rPr>
          <w:rFonts w:hint="eastAsia" w:ascii="宋体" w:hAnsi="宋体" w:cs="宋体"/>
          <w:color w:val="auto"/>
          <w:szCs w:val="21"/>
          <w:highlight w:val="none"/>
        </w:rPr>
      </w:pPr>
    </w:p>
    <w:p w14:paraId="61B66A0F">
      <w:pPr>
        <w:rPr>
          <w:rFonts w:hint="eastAsia" w:ascii="宋体" w:hAnsi="宋体" w:cs="宋体"/>
          <w:color w:val="auto"/>
          <w:szCs w:val="21"/>
          <w:highlight w:val="none"/>
        </w:rPr>
      </w:pPr>
    </w:p>
    <w:p w14:paraId="0F62E967">
      <w:pPr>
        <w:pageBreakBefore/>
        <w:rPr>
          <w:rFonts w:hint="eastAsia" w:ascii="宋体" w:hAnsi="宋体" w:cs="宋体"/>
          <w:color w:val="auto"/>
          <w:szCs w:val="21"/>
          <w:highlight w:val="none"/>
        </w:rPr>
      </w:pPr>
      <w:r>
        <w:rPr>
          <w:rFonts w:hint="eastAsia" w:ascii="宋体" w:hAnsi="宋体" w:cs="宋体"/>
          <w:color w:val="auto"/>
          <w:szCs w:val="21"/>
          <w:highlight w:val="none"/>
        </w:rPr>
        <w:t>附件2：</w:t>
      </w:r>
    </w:p>
    <w:p w14:paraId="275B3A30">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廉政合同</w:t>
      </w:r>
    </w:p>
    <w:p w14:paraId="3048C8C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工程项目名称：</w:t>
      </w:r>
      <w:r>
        <w:rPr>
          <w:rFonts w:hint="eastAsia" w:ascii="宋体" w:hAnsi="宋体" w:cs="宋体"/>
          <w:color w:val="auto"/>
          <w:szCs w:val="21"/>
          <w:highlight w:val="none"/>
          <w:u w:val="single"/>
        </w:rPr>
        <w:t xml:space="preserve">                                               </w:t>
      </w:r>
    </w:p>
    <w:p w14:paraId="296A7AD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工程项目地址：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p>
    <w:p w14:paraId="7E2A189E">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发包单位名称（以下称甲方）：</w:t>
      </w:r>
      <w:r>
        <w:rPr>
          <w:rFonts w:hint="eastAsia" w:ascii="宋体" w:hAnsi="宋体" w:cs="宋体"/>
          <w:color w:val="auto"/>
          <w:szCs w:val="21"/>
          <w:highlight w:val="none"/>
          <w:u w:val="single"/>
        </w:rPr>
        <w:t xml:space="preserve">                                  </w:t>
      </w:r>
    </w:p>
    <w:p w14:paraId="7532A08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承包单位名称（以下称乙方）：</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p>
    <w:p w14:paraId="56DB009D">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为加强工程项目建设中的廉政建设，规范工程建设承包、发包双方的各项活动，防止发生各种谋取不正当利益的</w:t>
      </w:r>
      <w:r>
        <w:rPr>
          <w:rFonts w:hint="eastAsia" w:ascii="宋体" w:hAnsi="宋体" w:cs="宋体"/>
          <w:color w:val="auto"/>
          <w:szCs w:val="21"/>
          <w:highlight w:val="none"/>
          <w:lang w:eastAsia="zh-CN"/>
        </w:rPr>
        <w:t>违法</w:t>
      </w:r>
      <w:r>
        <w:rPr>
          <w:rFonts w:hint="eastAsia" w:ascii="宋体" w:hAnsi="宋体" w:cs="宋体"/>
          <w:color w:val="auto"/>
          <w:szCs w:val="21"/>
          <w:highlight w:val="none"/>
        </w:rPr>
        <w:t>违纪行为，保护国家、集体和当事人的合法权益，根据国家有关工程建设的法律法规和廉政建设规定，特订立本廉政合同。</w:t>
      </w:r>
    </w:p>
    <w:p w14:paraId="14017A04">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第一条  甲乙双方的权利和义务</w:t>
      </w:r>
    </w:p>
    <w:p w14:paraId="44A18F66">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（一）严格遵守国家关于市场准入、勘测设计、施工监理、招标投标、工程施工、设备安装和市场经营活动等有关法律法规和相关政策，以及廉政建设和各项规定。</w:t>
      </w:r>
    </w:p>
    <w:p w14:paraId="3E2359DC">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（二）严格执行本项目发包人承包人双方签订的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（施工合同、监理合同、勘测设计合同、采购合同、代理合同等）合同文件，自觉按合同办事。</w:t>
      </w:r>
    </w:p>
    <w:p w14:paraId="75A67300">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（三）业务活动必须坚持公开、公平、公正、诚信、透明的原则（除法律法规认定的商业秘密和合同文件另有规定者除外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，双方人员不得为获取不正当的利益，就工程费用、材料供应、工程量变动、工程验收、工程质量等问题进行私下商谈或达成默契，不得损害国家利益，违反工程建设管理规章制度。</w:t>
      </w:r>
    </w:p>
    <w:p w14:paraId="74758F50">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1EF2A96F">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第二条  甲方的责任</w:t>
      </w:r>
    </w:p>
    <w:p w14:paraId="0049F11B">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甲方的领导和从事该工程项目的工作人员，在工程项目的事前、事中、事后应遵守以下规定：</w:t>
      </w:r>
    </w:p>
    <w:p w14:paraId="6F6C585A">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（一）不准向乙方索要或接受回扣、礼金、有价证券、贵重物品和好处费、感谢费等；不准在乙方报销任何应由甲方或个人支付的费用。</w:t>
      </w:r>
    </w:p>
    <w:p w14:paraId="1319B4C0">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（二）不准参加乙方安排的超标准的宴请及健身、娱乐等活动；不得接受乙方提供的通讯工具、交通工具、高档办公用品等。</w:t>
      </w:r>
    </w:p>
    <w:p w14:paraId="5EC5B951">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（三）不准要求、暗示和接受乙方为个人装修住房、婚丧嫁娶、配偶子女的工作安排以及出国（境）、旅游等提供方便。</w:t>
      </w:r>
    </w:p>
    <w:p w14:paraId="6A5C3DFC">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（四）配偶、子女不得从事与乙方承包本工程有关的设备材料供应、工程分包、劳务等经济活动。</w:t>
      </w:r>
    </w:p>
    <w:p w14:paraId="206BDC7C">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（五）不得以任何理由向乙方推荐分包单位或要求乙方购买项目合同规定以外的材料、设备和服务等。</w:t>
      </w:r>
    </w:p>
    <w:p w14:paraId="74EAFAF2">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第三条  乙方的责任</w:t>
      </w:r>
    </w:p>
    <w:p w14:paraId="36787A53">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乙方应与甲方保持正常的业务交往，按照有关法律法规和程序开展业务工作，严格执行工程建设的有关方针、政策，尤其是有关强制标准和规范，并遵守以下规定：</w:t>
      </w:r>
    </w:p>
    <w:p w14:paraId="3FC47C0E">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（一）不准以任何理由向甲方及其工作人员行贿或赠送礼金、有价证券、贵重物品。</w:t>
      </w:r>
    </w:p>
    <w:p w14:paraId="02F02372">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（二）不准以任何名义为甲方及其工作人员报销应由对方或个人支付的费用。</w:t>
      </w:r>
    </w:p>
    <w:p w14:paraId="282402FB">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（三）不准以任何理由安排甲方工作人员参加超标准宴请及健身、娱乐和旅游等活动。</w:t>
      </w:r>
    </w:p>
    <w:p w14:paraId="24BE7AE0">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（四）不准为甲方单位和工作人员购置或提供通讯工具、交通工具、高档办公用品和装修住房等。</w:t>
      </w:r>
    </w:p>
    <w:p w14:paraId="578A80ED">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第四条  违约责任</w:t>
      </w:r>
    </w:p>
    <w:p w14:paraId="615477ED">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一）甲方工作人员有违反本合同第一、二条责任行为的，按照管理权限，依据有关法律法规和规定给予党纪、政纪处分或组织处理；涉嫌犯罪的，移交司法机关追究刑事责任；给乙方单位造成经济损失的，应予以赔偿。</w:t>
      </w:r>
    </w:p>
    <w:p w14:paraId="7367DF60">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二）乙方工作人员有违反本合同第一、三条责任行为的，按照管理权限，依据有关法律法规和规定给予党纪、政纪处分或组织处理；涉嫌犯罪的，移交司法机关追究刑事责任；给甲方单位造成经济损失的，应予以赔偿。情节严重的，甲方可以建议项目主管部门或相应行政主管部门给予乙方一至三年内不得承包环保工程的处罚。</w:t>
      </w:r>
    </w:p>
    <w:p w14:paraId="5051F5E7">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第五条  双方约定：本合同由甲、乙双方的监察部门或主管单位负责监督实施，并对本合同履行情况进行检查。</w:t>
      </w:r>
    </w:p>
    <w:p w14:paraId="25FCEA53">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第六条  本合同作为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工程合同的附件，与主合同具有同等法律效力。甲乙双方签署后立即生效。</w:t>
      </w:r>
    </w:p>
    <w:p w14:paraId="5DB48AEA">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第七条 本合同的有效期为双方签署之日起至</w:t>
      </w:r>
      <w:r>
        <w:rPr>
          <w:rFonts w:hint="eastAsia" w:ascii="宋体" w:hAnsi="宋体" w:cs="宋体"/>
          <w:color w:val="auto"/>
          <w:szCs w:val="21"/>
          <w:highlight w:val="none"/>
          <w:u w:val="single"/>
        </w:rPr>
        <w:t>本地块所有基础工程完成</w:t>
      </w:r>
      <w:r>
        <w:rPr>
          <w:rFonts w:hint="eastAsia" w:ascii="宋体" w:hAnsi="宋体" w:cs="宋体"/>
          <w:color w:val="auto"/>
          <w:szCs w:val="21"/>
          <w:highlight w:val="none"/>
        </w:rPr>
        <w:t>止。</w:t>
      </w:r>
    </w:p>
    <w:p w14:paraId="7E4EE0CF">
      <w:pPr>
        <w:spacing w:line="40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第八条 本合同一式拾叁份，均具有同等法律效力，发包人执陆份，承包人执陆份，招投标监督部门和公证机构各壹份。</w:t>
      </w:r>
    </w:p>
    <w:p w14:paraId="6D51D9D1">
      <w:pPr>
        <w:rPr>
          <w:rFonts w:hint="eastAsia" w:ascii="宋体" w:hAnsi="宋体" w:cs="宋体"/>
          <w:color w:val="auto"/>
          <w:szCs w:val="21"/>
          <w:highlight w:val="none"/>
        </w:rPr>
      </w:pPr>
    </w:p>
    <w:p w14:paraId="3A5DEF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 xml:space="preserve">：  (盖章)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承包人：  (盖章)</w:t>
      </w:r>
    </w:p>
    <w:p w14:paraId="0448276F">
      <w:pPr>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08CCD1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7D15003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（签字或盖章）                                （签字或盖章）</w:t>
      </w:r>
    </w:p>
    <w:p w14:paraId="17E945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 </w:t>
      </w:r>
      <w:r>
        <w:rPr>
          <w:rFonts w:hint="eastAsia" w:ascii="宋体" w:hAnsi="宋体" w:cs="宋体"/>
          <w:color w:val="auto"/>
          <w:szCs w:val="21"/>
          <w:highlight w:val="none"/>
          <w:u w:val="single"/>
        </w:rPr>
        <w:t xml:space="preserve">                  </w:t>
      </w:r>
    </w:p>
    <w:p w14:paraId="3DAE6EF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 </w:t>
      </w:r>
      <w:r>
        <w:rPr>
          <w:rFonts w:hint="eastAsia" w:ascii="宋体" w:hAnsi="宋体" w:cs="宋体"/>
          <w:color w:val="auto"/>
          <w:szCs w:val="21"/>
          <w:highlight w:val="none"/>
          <w:u w:val="single"/>
        </w:rPr>
        <w:t xml:space="preserve">               </w:t>
      </w:r>
    </w:p>
    <w:p w14:paraId="2BA889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 </w:t>
      </w:r>
      <w:r>
        <w:rPr>
          <w:rFonts w:hint="eastAsia" w:ascii="宋体" w:hAnsi="宋体" w:cs="宋体"/>
          <w:color w:val="auto"/>
          <w:szCs w:val="21"/>
          <w:highlight w:val="none"/>
          <w:u w:val="single"/>
        </w:rPr>
        <w:t xml:space="preserve">                  </w:t>
      </w:r>
    </w:p>
    <w:p w14:paraId="744D4A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263ABE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77F378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                  </w:t>
      </w:r>
    </w:p>
    <w:p w14:paraId="2575F8C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3DFB28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账  号：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bookmarkEnd w:id="445"/>
      <w:bookmarkEnd w:id="446"/>
      <w:bookmarkEnd w:id="447"/>
      <w:bookmarkEnd w:id="448"/>
      <w:bookmarkEnd w:id="449"/>
      <w:bookmarkEnd w:id="450"/>
      <w:bookmarkEnd w:id="451"/>
      <w:bookmarkEnd w:id="452"/>
      <w:bookmarkEnd w:id="453"/>
      <w:bookmarkEnd w:id="454"/>
    </w:p>
    <w:p w14:paraId="308D3AED">
      <w:pPr>
        <w:pageBreakBefore/>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附件3：</w:t>
      </w:r>
    </w:p>
    <w:p w14:paraId="5C2297C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安全生产协议书</w:t>
      </w:r>
    </w:p>
    <w:p w14:paraId="421F8709">
      <w:p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pacing w:val="-2"/>
          <w:szCs w:val="21"/>
          <w:highlight w:val="none"/>
        </w:rPr>
        <w:t>施工合同的实施过程中创造安全、高效的施工环境，</w:t>
      </w:r>
      <w:r>
        <w:rPr>
          <w:rFonts w:hint="eastAsia" w:ascii="宋体" w:hAnsi="宋体" w:cs="宋体"/>
          <w:color w:val="auto"/>
          <w:spacing w:val="-2"/>
          <w:szCs w:val="21"/>
          <w:highlight w:val="none"/>
          <w:lang w:eastAsia="zh-CN"/>
        </w:rPr>
        <w:t>切实做好</w:t>
      </w:r>
      <w:r>
        <w:rPr>
          <w:rFonts w:hint="eastAsia" w:ascii="宋体" w:hAnsi="宋体" w:cs="宋体"/>
          <w:color w:val="auto"/>
          <w:spacing w:val="-2"/>
          <w:szCs w:val="21"/>
          <w:highlight w:val="none"/>
        </w:rPr>
        <w:t>本项目的安全管理工作，本项目的建设单位</w:t>
      </w:r>
      <w:r>
        <w:rPr>
          <w:rFonts w:hint="eastAsia" w:ascii="宋体" w:hAnsi="宋体" w:cs="宋体"/>
          <w:color w:val="auto"/>
          <w:szCs w:val="21"/>
          <w:highlight w:val="none"/>
          <w:u w:val="single"/>
        </w:rPr>
        <w:t xml:space="preserve">                </w:t>
      </w:r>
      <w:r>
        <w:rPr>
          <w:rFonts w:hint="eastAsia" w:ascii="宋体" w:hAnsi="宋体" w:cs="宋体"/>
          <w:color w:val="auto"/>
          <w:spacing w:val="-2"/>
          <w:szCs w:val="21"/>
          <w:highlight w:val="none"/>
        </w:rPr>
        <w:t>（以下简称“甲方”）与施工单位</w:t>
      </w:r>
      <w:r>
        <w:rPr>
          <w:rFonts w:hint="eastAsia" w:ascii="宋体" w:hAnsi="宋体" w:cs="宋体"/>
          <w:color w:val="auto"/>
          <w:szCs w:val="21"/>
          <w:highlight w:val="none"/>
          <w:u w:val="single"/>
        </w:rPr>
        <w:t xml:space="preserve">             </w:t>
      </w:r>
      <w:r>
        <w:rPr>
          <w:rFonts w:hint="eastAsia" w:ascii="宋体" w:hAnsi="宋体" w:cs="宋体"/>
          <w:color w:val="auto"/>
          <w:spacing w:val="-2"/>
          <w:szCs w:val="21"/>
          <w:highlight w:val="none"/>
        </w:rPr>
        <w:t>（以下简称“乙方”），特此签订安全生产协议书：</w:t>
      </w:r>
    </w:p>
    <w:p w14:paraId="4A7D70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第一条  甲方职责</w:t>
      </w:r>
    </w:p>
    <w:p w14:paraId="67D22C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（一）遵守国家有关安全生产的法律法规，认真执行工程承包合同中的有关安全要求。</w:t>
      </w:r>
    </w:p>
    <w:p w14:paraId="6813C1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（二）按照“安全第一、预防为主”和坚持“管生产必须管安全”的原则进行安全生产管理，做到生产与安全工作同时计划、布置、检查、总结和评比。</w:t>
      </w:r>
    </w:p>
    <w:p w14:paraId="0FF54E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（三）重要的安全设施必须坚持与主体工程“三同时”的原则，即：同时设计、审批，同时施工，同时验收、投入使用。</w:t>
      </w:r>
    </w:p>
    <w:p w14:paraId="7D0B1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（四）定期召开安全生产调度会，及时传达</w:t>
      </w:r>
      <w:r>
        <w:rPr>
          <w:rFonts w:hint="eastAsia" w:ascii="宋体" w:hAnsi="宋体" w:cs="宋体"/>
          <w:color w:val="auto"/>
          <w:szCs w:val="21"/>
          <w:highlight w:val="none"/>
          <w:lang w:eastAsia="zh-CN"/>
        </w:rPr>
        <w:t>中央和地方</w:t>
      </w:r>
      <w:r>
        <w:rPr>
          <w:rFonts w:hint="eastAsia" w:ascii="宋体" w:hAnsi="宋体" w:cs="宋体"/>
          <w:color w:val="auto"/>
          <w:szCs w:val="21"/>
          <w:highlight w:val="none"/>
        </w:rPr>
        <w:t>有关安全生产的精神。</w:t>
      </w:r>
    </w:p>
    <w:p w14:paraId="6EB0FE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（五）组织对乙方施工现场安全生产检查，监督乙方及时处理发现的各种安全隐患。</w:t>
      </w:r>
    </w:p>
    <w:p w14:paraId="37D371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第二条  乙方职责</w:t>
      </w:r>
    </w:p>
    <w:p w14:paraId="3AC40E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（一）严格遵守国家有关安全生产的法律法规、建设部颁发的有关工程施工安全技术规程的安全生产规定，认真执行工程承包合同中的有关安全要求。</w:t>
      </w:r>
    </w:p>
    <w:p w14:paraId="6090C7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坚持“安全第一、预防为主”和坚持“管生产必须管安全”的原则，加强安全生产宣传教育，增强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6D984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建立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1190B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（四）乙方在任何时候都应采取各种合理的预防措施，防止其员工发生任何违法、违禁、暴力或妨碍治安的行为。</w:t>
      </w:r>
    </w:p>
    <w:p w14:paraId="4590AA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乙方必须具有劳动安全管理部门颁发的安全生产许可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项目负责人）必须承担管理责任。</w:t>
      </w:r>
    </w:p>
    <w:p w14:paraId="3A0D2F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308293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（七）操作人员上岗，必须按规定穿戴防护用品。施工负责人和安全检查员应随时检查劳动防护用品的穿戴情况，不按规定穿戴防护用品的人员不得上岗。</w:t>
      </w:r>
    </w:p>
    <w:p w14:paraId="2E6871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（八）所有施工机具设备和高空作业的设备均应定期检查，并有安全员的签字记录，保证其经常处于完好状态；不合格的机具、设备和劳动保护用品严禁使用。</w:t>
      </w:r>
    </w:p>
    <w:p w14:paraId="68B845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（九）所有施工中采用新技术，新工艺、新设备、新材料时，必须制定相应的安全技术措施，施工现场必须具有相关的安全标志牌。</w:t>
      </w:r>
    </w:p>
    <w:p w14:paraId="4465AD36">
      <w:pPr>
        <w:spacing w:line="360" w:lineRule="auto"/>
        <w:ind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十）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4F2E01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第三条  违约责任</w:t>
      </w:r>
    </w:p>
    <w:p w14:paraId="1A4AFD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如因甲方或乙方违约造成的安全事故，将依法追究责任，并视事故轻重扣除一定比例的安全保证金。</w:t>
      </w:r>
    </w:p>
    <w:p w14:paraId="74D589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本合同一式壹拾份，由甲方执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份。由双方法定代表人或其授权的代理人签署与加盖公章后生效，全部工程竣工验收后失效。</w:t>
      </w:r>
    </w:p>
    <w:p w14:paraId="7D0AD531">
      <w:pPr>
        <w:spacing w:line="360" w:lineRule="auto"/>
        <w:ind w:firstLine="420" w:firstLineChars="200"/>
        <w:rPr>
          <w:rFonts w:hint="eastAsia" w:ascii="宋体" w:hAnsi="宋体" w:cs="宋体"/>
          <w:color w:val="auto"/>
          <w:szCs w:val="21"/>
          <w:highlight w:val="none"/>
        </w:rPr>
      </w:pPr>
    </w:p>
    <w:p w14:paraId="5E8C7F6D">
      <w:pPr>
        <w:spacing w:line="360" w:lineRule="auto"/>
        <w:ind w:firstLine="420" w:firstLineChars="200"/>
        <w:rPr>
          <w:rFonts w:hint="eastAsia" w:ascii="宋体" w:hAnsi="宋体" w:cs="宋体"/>
          <w:color w:val="auto"/>
          <w:szCs w:val="21"/>
          <w:highlight w:val="none"/>
        </w:rPr>
      </w:pPr>
    </w:p>
    <w:p w14:paraId="2C8EFDE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（盖章）                  </w:t>
      </w:r>
      <w:r>
        <w:rPr>
          <w:rFonts w:hint="eastAsia" w:ascii="宋体" w:hAnsi="宋体" w:cs="宋体"/>
          <w:color w:val="auto"/>
          <w:szCs w:val="21"/>
          <w:highlight w:val="none"/>
        </w:rPr>
        <w:t xml:space="preserve">    乙方：</w:t>
      </w:r>
      <w:r>
        <w:rPr>
          <w:rFonts w:hint="eastAsia" w:ascii="宋体" w:hAnsi="宋体" w:cs="宋体"/>
          <w:color w:val="auto"/>
          <w:szCs w:val="21"/>
          <w:highlight w:val="none"/>
          <w:u w:val="single"/>
        </w:rPr>
        <w:t xml:space="preserve">（盖章）                   </w:t>
      </w:r>
    </w:p>
    <w:p w14:paraId="51F5598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4BA9944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或其授权的代理人：</w:t>
      </w:r>
      <w:r>
        <w:rPr>
          <w:rFonts w:hint="eastAsia" w:ascii="宋体" w:hAnsi="宋体" w:cs="宋体"/>
          <w:color w:val="auto"/>
          <w:szCs w:val="21"/>
          <w:highlight w:val="none"/>
          <w:u w:val="single"/>
        </w:rPr>
        <w:t xml:space="preserve">（职务）      </w:t>
      </w:r>
      <w:r>
        <w:rPr>
          <w:rFonts w:hint="eastAsia" w:ascii="宋体" w:hAnsi="宋体" w:cs="宋体"/>
          <w:color w:val="auto"/>
          <w:szCs w:val="21"/>
          <w:highlight w:val="none"/>
        </w:rPr>
        <w:t xml:space="preserve">    或其授权的代理人：</w:t>
      </w:r>
      <w:r>
        <w:rPr>
          <w:rFonts w:hint="eastAsia" w:ascii="宋体" w:hAnsi="宋体" w:cs="宋体"/>
          <w:color w:val="auto"/>
          <w:szCs w:val="21"/>
          <w:highlight w:val="none"/>
          <w:u w:val="single"/>
        </w:rPr>
        <w:t xml:space="preserve">（职务）       </w:t>
      </w:r>
    </w:p>
    <w:p w14:paraId="4AFDD78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（签字）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（签字）                         </w:t>
      </w:r>
    </w:p>
    <w:p w14:paraId="408DFA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A0D8D4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428506E">
      <w:pPr>
        <w:spacing w:line="360" w:lineRule="auto"/>
        <w:jc w:val="center"/>
        <w:rPr>
          <w:rFonts w:hint="eastAsia" w:ascii="宋体" w:hAnsi="宋体" w:cs="宋体"/>
          <w:color w:val="auto"/>
          <w:szCs w:val="21"/>
          <w:highlight w:val="none"/>
        </w:rPr>
      </w:pPr>
    </w:p>
    <w:p w14:paraId="39B35CC4">
      <w:pPr>
        <w:spacing w:line="360" w:lineRule="auto"/>
        <w:jc w:val="center"/>
        <w:rPr>
          <w:rFonts w:hint="eastAsia" w:ascii="宋体" w:hAnsi="宋体" w:cs="宋体"/>
          <w:color w:val="auto"/>
          <w:szCs w:val="21"/>
          <w:highlight w:val="none"/>
        </w:rPr>
      </w:pPr>
    </w:p>
    <w:p w14:paraId="51614A54">
      <w:pPr>
        <w:spacing w:line="360" w:lineRule="auto"/>
        <w:jc w:val="center"/>
        <w:rPr>
          <w:rFonts w:hint="eastAsia" w:ascii="宋体" w:hAnsi="宋体" w:cs="宋体"/>
          <w:color w:val="auto"/>
          <w:szCs w:val="21"/>
          <w:highlight w:val="none"/>
        </w:rPr>
      </w:pPr>
    </w:p>
    <w:p w14:paraId="4AA9176C">
      <w:pPr>
        <w:spacing w:line="360" w:lineRule="auto"/>
        <w:jc w:val="center"/>
        <w:rPr>
          <w:rFonts w:hint="eastAsia" w:ascii="宋体" w:hAnsi="宋体" w:cs="宋体"/>
          <w:color w:val="auto"/>
          <w:szCs w:val="21"/>
          <w:highlight w:val="none"/>
        </w:rPr>
      </w:pPr>
    </w:p>
    <w:p w14:paraId="026E186D">
      <w:pPr>
        <w:pStyle w:val="23"/>
        <w:tabs>
          <w:tab w:val="left" w:pos="2397"/>
          <w:tab w:val="left" w:pos="3837"/>
          <w:tab w:val="left" w:pos="5397"/>
        </w:tabs>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BE0C414">
      <w:pPr>
        <w:pageBreakBefore/>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p>
    <w:p w14:paraId="1F9FE52C">
      <w:pPr>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预付款担保</w:t>
      </w:r>
    </w:p>
    <w:p w14:paraId="2F71C4EE">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u w:val="single"/>
        </w:rPr>
        <w:t xml:space="preserve">  （发包人名称）    </w:t>
      </w:r>
      <w:r>
        <w:rPr>
          <w:rFonts w:hint="eastAsia" w:ascii="宋体" w:hAnsi="宋体" w:cs="宋体"/>
          <w:color w:val="auto"/>
          <w:szCs w:val="21"/>
          <w:highlight w:val="none"/>
        </w:rPr>
        <w:t xml:space="preserve">： </w:t>
      </w:r>
    </w:p>
    <w:p w14:paraId="51B3851B">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AEDE3E1">
      <w:pPr>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（承包人名称）   </w:t>
      </w:r>
      <w:r>
        <w:rPr>
          <w:rFonts w:hint="eastAsia" w:ascii="宋体" w:hAnsi="宋体" w:cs="宋体"/>
          <w:color w:val="auto"/>
          <w:szCs w:val="21"/>
          <w:highlight w:val="none"/>
        </w:rPr>
        <w:t>（以下称“承包人”）与</w:t>
      </w:r>
      <w:r>
        <w:rPr>
          <w:rFonts w:hint="eastAsia" w:ascii="宋体" w:hAnsi="宋体" w:cs="宋体"/>
          <w:color w:val="auto"/>
          <w:szCs w:val="21"/>
          <w:highlight w:val="none"/>
          <w:u w:val="single"/>
        </w:rPr>
        <w:t xml:space="preserve">    （发包人名称）  </w:t>
      </w:r>
      <w:r>
        <w:rPr>
          <w:rFonts w:hint="eastAsia" w:ascii="宋体" w:hAnsi="宋体" w:cs="宋体"/>
          <w:color w:val="auto"/>
          <w:szCs w:val="21"/>
          <w:highlight w:val="none"/>
        </w:rPr>
        <w:t>（以下简称“发包人”） 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（工程名称）    </w:t>
      </w:r>
      <w:r>
        <w:rPr>
          <w:rFonts w:hint="eastAsia" w:ascii="宋体" w:hAnsi="宋体" w:cs="宋体"/>
          <w:color w:val="auto"/>
          <w:szCs w:val="21"/>
          <w:highlight w:val="none"/>
        </w:rPr>
        <w:t xml:space="preserve">《建设工程施工合同》，承包人按约定的金额向你方提交一份预付款担保，即有权得到你方支付相等金额的预付款。我方愿意就你方提供给承包人的预付款为承包人提供连带责任担保。 </w:t>
      </w:r>
    </w:p>
    <w:p w14:paraId="4FA92B9F">
      <w:pPr>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49EF385">
      <w:pPr>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2、 担保有效期自预付款支付给承包人起生效，至本地块移出建设用地土壤污染风险管控和修复名录。 </w:t>
      </w:r>
    </w:p>
    <w:p w14:paraId="02A78EA2">
      <w:pPr>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 </w:t>
      </w:r>
    </w:p>
    <w:p w14:paraId="7EA31E4C">
      <w:pPr>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4、你方和承包人按合同约定变更合同时，我方承担本保函规定的义务不变。 </w:t>
      </w:r>
    </w:p>
    <w:p w14:paraId="6996E4FF">
      <w:pPr>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5、因本保函发生的纠纷，可由双方协商解决，协商不成的，任何一方均可提请工程所在地法院诉讼。 </w:t>
      </w:r>
    </w:p>
    <w:p w14:paraId="2BCF49F5">
      <w:pPr>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6、本保函自我方法定代表人（或其授权代理人）签字并加盖公章之日起生效。 </w:t>
      </w:r>
    </w:p>
    <w:p w14:paraId="5B74E5D4">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9036D06">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46D72C9">
      <w:pPr>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（盖单位章）    </w:t>
      </w:r>
    </w:p>
    <w:p w14:paraId="364B662E">
      <w:pPr>
        <w:spacing w:line="360" w:lineRule="auto"/>
        <w:jc w:val="left"/>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    </w:t>
      </w:r>
    </w:p>
    <w:p w14:paraId="661A9B51">
      <w:pPr>
        <w:spacing w:line="360" w:lineRule="auto"/>
        <w:jc w:val="left"/>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 xml:space="preserve">地 址： </w:t>
      </w:r>
      <w:r>
        <w:rPr>
          <w:rFonts w:hint="eastAsia" w:ascii="宋体" w:hAnsi="宋体" w:cs="宋体"/>
          <w:color w:val="auto"/>
          <w:szCs w:val="21"/>
          <w:highlight w:val="none"/>
          <w:u w:val="single"/>
        </w:rPr>
        <w:t xml:space="preserve">                                      </w:t>
      </w:r>
    </w:p>
    <w:p w14:paraId="7E02A74A">
      <w:pPr>
        <w:spacing w:line="360" w:lineRule="auto"/>
        <w:jc w:val="left"/>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 xml:space="preserve">邮政编码： </w:t>
      </w:r>
      <w:r>
        <w:rPr>
          <w:rFonts w:hint="eastAsia" w:ascii="宋体" w:hAnsi="宋体" w:cs="宋体"/>
          <w:color w:val="auto"/>
          <w:szCs w:val="21"/>
          <w:highlight w:val="none"/>
          <w:u w:val="single"/>
        </w:rPr>
        <w:t xml:space="preserve">                                   </w:t>
      </w:r>
    </w:p>
    <w:p w14:paraId="16431FF0">
      <w:pPr>
        <w:spacing w:line="360" w:lineRule="auto"/>
        <w:jc w:val="left"/>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p>
    <w:p w14:paraId="0DBAEF97">
      <w:pPr>
        <w:spacing w:line="360" w:lineRule="auto"/>
        <w:jc w:val="left"/>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 xml:space="preserve">传 真： </w:t>
      </w:r>
      <w:r>
        <w:rPr>
          <w:rFonts w:hint="eastAsia" w:ascii="宋体" w:hAnsi="宋体" w:cs="宋体"/>
          <w:color w:val="auto"/>
          <w:szCs w:val="21"/>
          <w:highlight w:val="none"/>
          <w:u w:val="single"/>
        </w:rPr>
        <w:t xml:space="preserve">                                      </w:t>
      </w:r>
    </w:p>
    <w:p w14:paraId="29585D74">
      <w:pPr>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p>
    <w:p w14:paraId="588CF9C8">
      <w:pPr>
        <w:spacing w:line="360" w:lineRule="auto"/>
        <w:jc w:val="left"/>
        <w:textAlignment w:val="baseline"/>
        <w:rPr>
          <w:rFonts w:hint="eastAsia" w:ascii="宋体" w:hAnsi="宋体" w:cs="宋体"/>
          <w:bCs/>
          <w:color w:val="auto"/>
          <w:kern w:val="0"/>
          <w:szCs w:val="21"/>
          <w:highlight w:val="none"/>
        </w:rPr>
      </w:pPr>
    </w:p>
    <w:p w14:paraId="3BE3DF37">
      <w:pPr>
        <w:spacing w:line="360" w:lineRule="auto"/>
        <w:jc w:val="left"/>
        <w:textAlignment w:val="baseline"/>
        <w:rPr>
          <w:rFonts w:hint="eastAsia" w:ascii="宋体" w:hAnsi="宋体" w:cs="宋体"/>
          <w:bCs/>
          <w:color w:val="auto"/>
          <w:kern w:val="0"/>
          <w:szCs w:val="21"/>
          <w:highlight w:val="none"/>
        </w:rPr>
      </w:pPr>
    </w:p>
    <w:p w14:paraId="708CCE06">
      <w:pPr>
        <w:pageBreakBefore/>
        <w:spacing w:line="276" w:lineRule="auto"/>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p>
    <w:p w14:paraId="1ABA149A">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承包人用于本工程施工的机械设备表</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461"/>
        <w:gridCol w:w="913"/>
        <w:gridCol w:w="730"/>
        <w:gridCol w:w="730"/>
        <w:gridCol w:w="913"/>
        <w:gridCol w:w="1096"/>
        <w:gridCol w:w="730"/>
        <w:gridCol w:w="913"/>
        <w:gridCol w:w="761"/>
      </w:tblGrid>
      <w:tr w14:paraId="144CC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44790953">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38D8757">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设    备</w:t>
            </w:r>
          </w:p>
          <w:p w14:paraId="76502DED">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34570AF2">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型 号规 格</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37A67DA">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28906685">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国别</w:t>
            </w:r>
          </w:p>
          <w:p w14:paraId="47AA6856">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产地</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C8B8F4E">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制造</w:t>
            </w:r>
          </w:p>
          <w:p w14:paraId="7D3A2545">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年份</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6726F24">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定额功率</w:t>
            </w:r>
          </w:p>
          <w:p w14:paraId="6EF11403">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kW</w:t>
            </w:r>
            <w:r>
              <w:rPr>
                <w:rFonts w:hint="eastAsia" w:ascii="宋体" w:hAnsi="宋体" w:cs="宋体"/>
                <w:color w:val="auto"/>
                <w:kern w:val="0"/>
                <w:szCs w:val="21"/>
                <w:highlight w:val="none"/>
              </w:rPr>
              <w:t>）</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28BC042A">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生产能力</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172B667B">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用于施工部位</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6F86259">
            <w:pPr>
              <w:keepNext w:val="0"/>
              <w:keepLines w:val="0"/>
              <w:suppressLineNumbers w:val="0"/>
              <w:adjustRightInd w:val="0"/>
              <w:spacing w:before="0" w:beforeAutospacing="0" w:after="0" w:afterAutospacing="0" w:line="0" w:lineRule="atLeast"/>
              <w:ind w:left="0" w:right="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16751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225329A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59A6DFF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959FA3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5E18060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558ECD4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DC8B2C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4837539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27E2D85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ACB667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3C0673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23952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20DD3D7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7AFBC2B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71FA92F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1B7D303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3DA87DD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E722C8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285C40A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1DE1D7E7">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2653BE1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8341F53">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7411F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0682218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45BE009D">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DBEC9E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775B283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C6C135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69D880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1A8176D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07C8D9E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7F3E3F8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FCDDE4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4DB80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6F11A56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76101BF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25B294B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7315CF6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AA11EE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518426BF">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3092E41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2FF3201F">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98F725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13027E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19F31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057156A3">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3AB6575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219404F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31DB2DB">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29E481F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C984FD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201959C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7E832F4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27D3CCD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52B5CB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60D02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7188C41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2CA022C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17D11C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5E0C6E5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3A0932D">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5D3041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437472C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B6759C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A2B1293">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44F7FA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44168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13AC61E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1765D4F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F913CD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30E7982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262C2DEB">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08195B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593A39A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E299B0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9E0165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A27F5C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13D13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38A546E7">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1C2DEAD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D8598F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A103A1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5E689F8B">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BE71FB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333E1A2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332FBFD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7F8CFE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8244CF3">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51477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27F64EE7">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79CE864D">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341E04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50C30A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75FF0B4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CF4993D">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19ECB38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0E58FDAB">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328017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19205D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0EEFE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04107C7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3FE721B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18420DB">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05A23D5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0FFD99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6352DB23">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5E8977F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24664A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BAA708D">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502519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06694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5291811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77FABE27">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2B6F57F7">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575DC247">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3C8817D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F0C4DA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3539BF2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C0C3417">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67EF7B9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23A2A0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12A4F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24FBACC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1BB2F88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0206D22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183182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399F8B5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553660DB">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64C38C7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5B0CFC6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63D2B6E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0BE0AE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39B63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0245B253">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458163A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3C41B27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69DD6B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89A7FC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3E4F5EE">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7ABB476D">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6AEFA4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3B311D1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6486FB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1A80C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68E269A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24F1AFE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A2BB81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086DCDAB">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2C9F306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CD457C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609073C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3CCA851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385AF5A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221DFC1">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52AA4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4F0E02A2">
            <w:pPr>
              <w:keepNext w:val="0"/>
              <w:keepLines w:val="0"/>
              <w:suppressLineNumbers w:val="0"/>
              <w:adjustRightInd w:val="0"/>
              <w:spacing w:before="0" w:beforeAutospacing="0" w:after="0" w:afterAutospacing="0" w:line="560" w:lineRule="exact"/>
              <w:ind w:left="0" w:right="0"/>
              <w:jc w:val="left"/>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0CAF8F2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3D7DEE5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714CA7B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42D60EB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7B94A9D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07470459">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43AE443">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7976853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8A74E75">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r w14:paraId="43AEE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55" w:type="dxa"/>
            <w:tcBorders>
              <w:top w:val="single" w:color="auto" w:sz="4" w:space="0"/>
              <w:left w:val="single" w:color="auto" w:sz="4" w:space="0"/>
              <w:bottom w:val="single" w:color="auto" w:sz="4" w:space="0"/>
              <w:right w:val="single" w:color="auto" w:sz="4" w:space="0"/>
            </w:tcBorders>
            <w:noWrap w:val="0"/>
            <w:vAlign w:val="top"/>
          </w:tcPr>
          <w:p w14:paraId="76B6CD1C">
            <w:pPr>
              <w:keepNext w:val="0"/>
              <w:keepLines w:val="0"/>
              <w:suppressLineNumbers w:val="0"/>
              <w:adjustRightInd w:val="0"/>
              <w:spacing w:before="0" w:beforeAutospacing="0" w:after="0" w:afterAutospacing="0" w:line="560" w:lineRule="exact"/>
              <w:ind w:left="0" w:right="0"/>
              <w:jc w:val="left"/>
              <w:textAlignment w:val="baseline"/>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0AFA61C6">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72C2EA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6E9E8448">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0CE85D2A">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4EDAFD62">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52B31854">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0"/>
            <w:vAlign w:val="top"/>
          </w:tcPr>
          <w:p w14:paraId="0AA592AD">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top"/>
          </w:tcPr>
          <w:p w14:paraId="17EFBCEC">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5987DC0">
            <w:pPr>
              <w:keepNext w:val="0"/>
              <w:keepLines w:val="0"/>
              <w:suppressLineNumbers w:val="0"/>
              <w:adjustRightInd w:val="0"/>
              <w:spacing w:before="0" w:beforeAutospacing="0" w:after="0" w:afterAutospacing="0" w:line="560" w:lineRule="exact"/>
              <w:ind w:left="0" w:right="0"/>
              <w:jc w:val="center"/>
              <w:textAlignment w:val="baseline"/>
              <w:rPr>
                <w:rFonts w:hint="eastAsia" w:ascii="宋体" w:hAnsi="宋体" w:cs="宋体"/>
                <w:b/>
                <w:color w:val="auto"/>
                <w:kern w:val="0"/>
                <w:szCs w:val="21"/>
                <w:highlight w:val="none"/>
              </w:rPr>
            </w:pPr>
          </w:p>
        </w:tc>
      </w:tr>
    </w:tbl>
    <w:p w14:paraId="7999ABC0">
      <w:pPr>
        <w:pageBreakBefore/>
        <w:spacing w:line="276" w:lineRule="auto"/>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p>
    <w:p w14:paraId="76A7DECC">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承包人主要施工管理人员表</w:t>
      </w:r>
    </w:p>
    <w:p w14:paraId="0D0896A6">
      <w:pPr>
        <w:spacing w:line="360" w:lineRule="auto"/>
        <w:jc w:val="center"/>
        <w:textAlignment w:val="baseline"/>
        <w:rPr>
          <w:rFonts w:hint="eastAsia" w:ascii="宋体" w:hAnsi="宋体" w:cs="宋体"/>
          <w:b/>
          <w:color w:val="auto"/>
          <w:kern w:val="0"/>
          <w:szCs w:val="21"/>
          <w:highlight w:val="none"/>
        </w:rPr>
      </w:pPr>
    </w:p>
    <w:tbl>
      <w:tblPr>
        <w:tblStyle w:val="64"/>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08"/>
        <w:gridCol w:w="726"/>
        <w:gridCol w:w="1451"/>
        <w:gridCol w:w="900"/>
        <w:gridCol w:w="1080"/>
        <w:gridCol w:w="1286"/>
        <w:gridCol w:w="1328"/>
        <w:gridCol w:w="1069"/>
      </w:tblGrid>
      <w:tr w14:paraId="2F30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5" w:type="dxa"/>
            <w:vMerge w:val="restart"/>
            <w:noWrap w:val="0"/>
            <w:vAlign w:val="center"/>
          </w:tcPr>
          <w:p w14:paraId="3D9E89B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708" w:type="dxa"/>
            <w:vMerge w:val="restart"/>
            <w:noWrap w:val="0"/>
            <w:vAlign w:val="center"/>
          </w:tcPr>
          <w:p w14:paraId="3FA7F07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726" w:type="dxa"/>
            <w:vMerge w:val="restart"/>
            <w:noWrap w:val="0"/>
            <w:vAlign w:val="center"/>
          </w:tcPr>
          <w:p w14:paraId="6F6B7C8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noWrap w:val="0"/>
            <w:vAlign w:val="center"/>
          </w:tcPr>
          <w:p w14:paraId="3CB08D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noWrap w:val="0"/>
            <w:vAlign w:val="center"/>
          </w:tcPr>
          <w:p w14:paraId="3BC412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A82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95" w:type="dxa"/>
            <w:vMerge w:val="continue"/>
            <w:noWrap w:val="0"/>
            <w:vAlign w:val="top"/>
          </w:tcPr>
          <w:p w14:paraId="7C89594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8" w:type="dxa"/>
            <w:vMerge w:val="continue"/>
            <w:noWrap w:val="0"/>
            <w:vAlign w:val="top"/>
          </w:tcPr>
          <w:p w14:paraId="6B636FD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vMerge w:val="continue"/>
            <w:noWrap w:val="0"/>
            <w:vAlign w:val="top"/>
          </w:tcPr>
          <w:p w14:paraId="2DEFC58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center"/>
          </w:tcPr>
          <w:p w14:paraId="0DF5B3B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900" w:type="dxa"/>
            <w:noWrap w:val="0"/>
            <w:vAlign w:val="center"/>
          </w:tcPr>
          <w:p w14:paraId="4248533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1080" w:type="dxa"/>
            <w:noWrap w:val="0"/>
            <w:vAlign w:val="center"/>
          </w:tcPr>
          <w:p w14:paraId="4FB5EE8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1286" w:type="dxa"/>
            <w:noWrap w:val="0"/>
            <w:vAlign w:val="center"/>
          </w:tcPr>
          <w:p w14:paraId="4853C4D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1328" w:type="dxa"/>
            <w:noWrap w:val="0"/>
            <w:vAlign w:val="center"/>
          </w:tcPr>
          <w:p w14:paraId="21FE077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noWrap w:val="0"/>
            <w:vAlign w:val="top"/>
          </w:tcPr>
          <w:p w14:paraId="3FD923E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E03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5" w:type="dxa"/>
            <w:noWrap w:val="0"/>
            <w:vAlign w:val="top"/>
          </w:tcPr>
          <w:p w14:paraId="612F7AC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w:t>
            </w:r>
          </w:p>
          <w:p w14:paraId="5D6BFB6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经理</w:t>
            </w:r>
          </w:p>
        </w:tc>
        <w:tc>
          <w:tcPr>
            <w:tcW w:w="708" w:type="dxa"/>
            <w:noWrap w:val="0"/>
            <w:vAlign w:val="top"/>
          </w:tcPr>
          <w:p w14:paraId="538B43B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5D8D4A7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5B39B0C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53E7F45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46F1A1A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0C50079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45C97AA1">
            <w:pPr>
              <w:keepNext w:val="0"/>
              <w:keepLines w:val="0"/>
              <w:suppressLineNumbers w:val="0"/>
              <w:spacing w:before="0" w:beforeAutospacing="0" w:after="0" w:afterAutospacing="0"/>
              <w:ind w:left="0" w:right="0" w:firstLine="420" w:firstLineChars="200"/>
              <w:rPr>
                <w:rFonts w:hint="eastAsia" w:ascii="宋体" w:hAnsi="宋体" w:cs="宋体"/>
                <w:color w:val="auto"/>
                <w:szCs w:val="21"/>
                <w:highlight w:val="none"/>
              </w:rPr>
            </w:pPr>
          </w:p>
        </w:tc>
        <w:tc>
          <w:tcPr>
            <w:tcW w:w="1069" w:type="dxa"/>
            <w:noWrap w:val="0"/>
            <w:vAlign w:val="top"/>
          </w:tcPr>
          <w:p w14:paraId="7831722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040A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95" w:type="dxa"/>
            <w:noWrap w:val="0"/>
            <w:vAlign w:val="center"/>
          </w:tcPr>
          <w:p w14:paraId="64B30B1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施工员</w:t>
            </w:r>
          </w:p>
        </w:tc>
        <w:tc>
          <w:tcPr>
            <w:tcW w:w="708" w:type="dxa"/>
            <w:noWrap w:val="0"/>
            <w:vAlign w:val="top"/>
          </w:tcPr>
          <w:p w14:paraId="1B2D079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6279105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1D3FEFE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5E3E3A5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473C2B7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45129FF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2C5F778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5C37E70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B2B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5" w:type="dxa"/>
            <w:noWrap w:val="0"/>
            <w:vAlign w:val="center"/>
          </w:tcPr>
          <w:p w14:paraId="1B6F2D0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质量员</w:t>
            </w:r>
          </w:p>
        </w:tc>
        <w:tc>
          <w:tcPr>
            <w:tcW w:w="708" w:type="dxa"/>
            <w:noWrap w:val="0"/>
            <w:vAlign w:val="top"/>
          </w:tcPr>
          <w:p w14:paraId="1EFB883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5C880A5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60231AB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54CD9A7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1509631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6AC4619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541F47F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63A8970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89E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95" w:type="dxa"/>
            <w:noWrap w:val="0"/>
            <w:vAlign w:val="center"/>
          </w:tcPr>
          <w:p w14:paraId="59C156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安全员</w:t>
            </w:r>
          </w:p>
        </w:tc>
        <w:tc>
          <w:tcPr>
            <w:tcW w:w="708" w:type="dxa"/>
            <w:noWrap w:val="0"/>
            <w:vAlign w:val="top"/>
          </w:tcPr>
          <w:p w14:paraId="194BB6A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5CD628F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2F3B541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0746F9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5110300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559E277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781A6A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1181F3A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5A2B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95" w:type="dxa"/>
            <w:noWrap w:val="0"/>
            <w:vAlign w:val="center"/>
          </w:tcPr>
          <w:p w14:paraId="533E1F70">
            <w:pPr>
              <w:keepNext w:val="0"/>
              <w:keepLines w:val="0"/>
              <w:suppressLineNumbers w:val="0"/>
              <w:tabs>
                <w:tab w:val="left" w:pos="884"/>
              </w:tabs>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资料员</w:t>
            </w:r>
          </w:p>
        </w:tc>
        <w:tc>
          <w:tcPr>
            <w:tcW w:w="708" w:type="dxa"/>
            <w:noWrap w:val="0"/>
            <w:vAlign w:val="top"/>
          </w:tcPr>
          <w:p w14:paraId="3B38A0F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21D509B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74E6F53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59E43FC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65DF6CF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5810C31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405633C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7D55FEC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67C9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5" w:type="dxa"/>
            <w:noWrap w:val="0"/>
            <w:vAlign w:val="center"/>
          </w:tcPr>
          <w:p w14:paraId="0281EC59">
            <w:pPr>
              <w:keepNext w:val="0"/>
              <w:keepLines w:val="0"/>
              <w:suppressLineNumbers w:val="0"/>
              <w:tabs>
                <w:tab w:val="left" w:pos="884"/>
              </w:tabs>
              <w:spacing w:before="0" w:beforeAutospacing="0" w:after="0" w:afterAutospacing="0"/>
              <w:ind w:left="0" w:right="0"/>
              <w:jc w:val="center"/>
              <w:rPr>
                <w:rFonts w:hint="eastAsia" w:ascii="宋体" w:hAnsi="宋体" w:cs="宋体"/>
                <w:color w:val="auto"/>
                <w:szCs w:val="21"/>
                <w:highlight w:val="none"/>
              </w:rPr>
            </w:pPr>
          </w:p>
        </w:tc>
        <w:tc>
          <w:tcPr>
            <w:tcW w:w="708" w:type="dxa"/>
            <w:noWrap w:val="0"/>
            <w:vAlign w:val="top"/>
          </w:tcPr>
          <w:p w14:paraId="24A343A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1E1C65E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657027D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4448351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405E4AC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5DE869D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538DC6A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43BC1D8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1DB0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95" w:type="dxa"/>
            <w:noWrap w:val="0"/>
            <w:vAlign w:val="center"/>
          </w:tcPr>
          <w:p w14:paraId="4094623F">
            <w:pPr>
              <w:keepNext w:val="0"/>
              <w:keepLines w:val="0"/>
              <w:suppressLineNumbers w:val="0"/>
              <w:tabs>
                <w:tab w:val="left" w:pos="884"/>
              </w:tabs>
              <w:spacing w:before="0" w:beforeAutospacing="0" w:after="0" w:afterAutospacing="0"/>
              <w:ind w:left="0" w:right="0"/>
              <w:jc w:val="center"/>
              <w:rPr>
                <w:rFonts w:hint="eastAsia" w:ascii="宋体" w:hAnsi="宋体" w:cs="宋体"/>
                <w:color w:val="auto"/>
                <w:szCs w:val="21"/>
                <w:highlight w:val="none"/>
              </w:rPr>
            </w:pPr>
          </w:p>
        </w:tc>
        <w:tc>
          <w:tcPr>
            <w:tcW w:w="708" w:type="dxa"/>
            <w:noWrap w:val="0"/>
            <w:vAlign w:val="top"/>
          </w:tcPr>
          <w:p w14:paraId="41A8521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68775E1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0C113BF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658012E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4AA13E2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5F552DF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77D499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075CF71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0D2D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5" w:type="dxa"/>
            <w:noWrap w:val="0"/>
            <w:vAlign w:val="top"/>
          </w:tcPr>
          <w:p w14:paraId="5917DB2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8" w:type="dxa"/>
            <w:noWrap w:val="0"/>
            <w:vAlign w:val="top"/>
          </w:tcPr>
          <w:p w14:paraId="674951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0A0BC16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7A72704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5478DF1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646696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7FD588E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064F9AD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5A52B48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2B4A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95" w:type="dxa"/>
            <w:noWrap w:val="0"/>
            <w:vAlign w:val="top"/>
          </w:tcPr>
          <w:p w14:paraId="743797B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8" w:type="dxa"/>
            <w:noWrap w:val="0"/>
            <w:vAlign w:val="top"/>
          </w:tcPr>
          <w:p w14:paraId="70A6DCD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1C983BF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3AB4F38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45F3A11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363C999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578900E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5D9F43E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0FF8608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74F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95" w:type="dxa"/>
            <w:noWrap w:val="0"/>
            <w:vAlign w:val="top"/>
          </w:tcPr>
          <w:p w14:paraId="1806A7D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8" w:type="dxa"/>
            <w:noWrap w:val="0"/>
            <w:vAlign w:val="top"/>
          </w:tcPr>
          <w:p w14:paraId="5870D95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7D24772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307382D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20772D6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490FE3D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23F8D36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6C806A1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715B997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23C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95" w:type="dxa"/>
            <w:noWrap w:val="0"/>
            <w:vAlign w:val="top"/>
          </w:tcPr>
          <w:p w14:paraId="1CED158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8" w:type="dxa"/>
            <w:noWrap w:val="0"/>
            <w:vAlign w:val="top"/>
          </w:tcPr>
          <w:p w14:paraId="3327456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26" w:type="dxa"/>
            <w:noWrap w:val="0"/>
            <w:vAlign w:val="top"/>
          </w:tcPr>
          <w:p w14:paraId="23975C2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1" w:type="dxa"/>
            <w:noWrap w:val="0"/>
            <w:vAlign w:val="top"/>
          </w:tcPr>
          <w:p w14:paraId="49B6179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00" w:type="dxa"/>
            <w:noWrap w:val="0"/>
            <w:vAlign w:val="top"/>
          </w:tcPr>
          <w:p w14:paraId="155D175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80" w:type="dxa"/>
            <w:noWrap w:val="0"/>
            <w:vAlign w:val="top"/>
          </w:tcPr>
          <w:p w14:paraId="4F4EC0F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86" w:type="dxa"/>
            <w:noWrap w:val="0"/>
            <w:vAlign w:val="top"/>
          </w:tcPr>
          <w:p w14:paraId="30C6946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328" w:type="dxa"/>
            <w:noWrap w:val="0"/>
            <w:vAlign w:val="top"/>
          </w:tcPr>
          <w:p w14:paraId="4A4A026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69" w:type="dxa"/>
            <w:noWrap w:val="0"/>
            <w:vAlign w:val="top"/>
          </w:tcPr>
          <w:p w14:paraId="295F1F5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7A525AA3">
      <w:pPr>
        <w:pStyle w:val="81"/>
        <w:rPr>
          <w:rFonts w:hint="eastAsia"/>
          <w:color w:val="auto"/>
          <w:highlight w:val="none"/>
        </w:rPr>
      </w:pPr>
    </w:p>
    <w:p w14:paraId="5D19307B">
      <w:pPr>
        <w:spacing w:line="420" w:lineRule="exact"/>
        <w:rPr>
          <w:rFonts w:hint="eastAsia" w:ascii="宋体" w:hAnsi="宋体" w:eastAsia="宋体" w:cs="宋体"/>
          <w:color w:val="auto"/>
          <w:sz w:val="24"/>
          <w:szCs w:val="24"/>
          <w:highlight w:val="none"/>
        </w:rPr>
      </w:pPr>
    </w:p>
    <w:p w14:paraId="295EAD9B">
      <w:pPr>
        <w:widowControl/>
        <w:spacing w:line="360" w:lineRule="auto"/>
        <w:ind w:firstLine="480" w:firstLineChars="200"/>
        <w:jc w:val="left"/>
        <w:rPr>
          <w:rFonts w:hint="eastAsia" w:ascii="宋体" w:hAnsi="宋体" w:eastAsia="宋体" w:cs="宋体"/>
          <w:color w:val="auto"/>
          <w:sz w:val="24"/>
          <w:szCs w:val="24"/>
          <w:highlight w:val="none"/>
        </w:rPr>
      </w:pPr>
    </w:p>
    <w:p w14:paraId="066B9450">
      <w:pPr>
        <w:pStyle w:val="63"/>
        <w:numPr>
          <w:ilvl w:val="0"/>
          <w:numId w:val="0"/>
        </w:numPr>
        <w:rPr>
          <w:color w:val="auto"/>
          <w:highlight w:val="none"/>
        </w:rPr>
      </w:pPr>
    </w:p>
    <w:p w14:paraId="06A59AF8">
      <w:pPr>
        <w:rPr>
          <w:rFonts w:hint="eastAsia" w:ascii="宋体" w:hAnsi="宋体" w:cs="宋体"/>
          <w:b/>
          <w:color w:val="auto"/>
          <w:sz w:val="36"/>
          <w:szCs w:val="20"/>
          <w:highlight w:val="none"/>
        </w:rPr>
      </w:pPr>
      <w:bookmarkStart w:id="466" w:name="_Toc14949"/>
      <w:bookmarkStart w:id="467" w:name="_Toc12182"/>
      <w:r>
        <w:rPr>
          <w:rFonts w:hint="eastAsia" w:ascii="宋体" w:hAnsi="宋体" w:cs="宋体"/>
          <w:b/>
          <w:color w:val="auto"/>
          <w:sz w:val="36"/>
          <w:szCs w:val="20"/>
          <w:highlight w:val="none"/>
        </w:rPr>
        <w:br w:type="page"/>
      </w:r>
    </w:p>
    <w:p w14:paraId="5B2527B7">
      <w:pPr>
        <w:spacing w:line="360" w:lineRule="auto"/>
        <w:jc w:val="center"/>
        <w:outlineLvl w:val="0"/>
        <w:rPr>
          <w:rFonts w:ascii="宋体" w:hAnsi="宋体" w:cs="宋体"/>
          <w:b/>
          <w:color w:val="auto"/>
          <w:sz w:val="36"/>
          <w:szCs w:val="20"/>
          <w:highlight w:val="none"/>
        </w:rPr>
      </w:pPr>
      <w:bookmarkStart w:id="468" w:name="_Toc15094"/>
      <w:bookmarkStart w:id="469" w:name="_Toc30192"/>
      <w:r>
        <w:rPr>
          <w:rFonts w:hint="eastAsia" w:ascii="宋体" w:hAnsi="宋体" w:cs="宋体"/>
          <w:b/>
          <w:color w:val="auto"/>
          <w:sz w:val="36"/>
          <w:szCs w:val="20"/>
          <w:highlight w:val="none"/>
        </w:rPr>
        <w:t>第六部分</w:t>
      </w:r>
      <w:bookmarkEnd w:id="439"/>
      <w:r>
        <w:rPr>
          <w:rFonts w:hint="eastAsia" w:ascii="宋体" w:hAnsi="宋体" w:cs="宋体"/>
          <w:b/>
          <w:color w:val="auto"/>
          <w:sz w:val="36"/>
          <w:szCs w:val="20"/>
          <w:highlight w:val="none"/>
        </w:rPr>
        <w:t xml:space="preserve"> </w:t>
      </w:r>
      <w:bookmarkEnd w:id="440"/>
      <w:r>
        <w:rPr>
          <w:rFonts w:hint="eastAsia" w:ascii="宋体" w:hAnsi="宋体" w:cs="宋体"/>
          <w:b/>
          <w:color w:val="auto"/>
          <w:sz w:val="36"/>
          <w:szCs w:val="20"/>
          <w:highlight w:val="none"/>
        </w:rPr>
        <w:t>应提交的有关格式范例</w:t>
      </w:r>
      <w:bookmarkEnd w:id="466"/>
      <w:bookmarkEnd w:id="467"/>
      <w:bookmarkEnd w:id="468"/>
      <w:bookmarkEnd w:id="469"/>
    </w:p>
    <w:p w14:paraId="42CC4254">
      <w:pPr>
        <w:spacing w:line="360" w:lineRule="auto"/>
        <w:jc w:val="center"/>
        <w:outlineLvl w:val="9"/>
        <w:rPr>
          <w:rFonts w:ascii="宋体" w:hAnsi="宋体" w:cs="宋体"/>
          <w:b/>
          <w:color w:val="auto"/>
          <w:kern w:val="0"/>
          <w:sz w:val="36"/>
          <w:szCs w:val="36"/>
          <w:highlight w:val="none"/>
        </w:rPr>
      </w:pPr>
    </w:p>
    <w:p w14:paraId="36651FB1">
      <w:pPr>
        <w:spacing w:line="360" w:lineRule="auto"/>
        <w:jc w:val="center"/>
        <w:outlineLvl w:val="9"/>
        <w:rPr>
          <w:rFonts w:ascii="宋体" w:hAnsi="宋体" w:cs="宋体"/>
          <w:b/>
          <w:color w:val="auto"/>
          <w:kern w:val="0"/>
          <w:sz w:val="36"/>
          <w:szCs w:val="36"/>
          <w:highlight w:val="none"/>
        </w:rPr>
      </w:pPr>
      <w:bookmarkStart w:id="470" w:name="_Toc29848"/>
      <w:r>
        <w:rPr>
          <w:rFonts w:hint="eastAsia" w:ascii="宋体" w:hAnsi="宋体" w:cs="宋体"/>
          <w:b/>
          <w:color w:val="auto"/>
          <w:kern w:val="0"/>
          <w:sz w:val="36"/>
          <w:szCs w:val="36"/>
          <w:highlight w:val="none"/>
        </w:rPr>
        <w:t>资格文件部分</w:t>
      </w:r>
      <w:bookmarkEnd w:id="470"/>
    </w:p>
    <w:p w14:paraId="4133551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w:t>
      </w:r>
      <w:r>
        <w:rPr>
          <w:rFonts w:hint="eastAsia" w:ascii="宋体" w:hAnsi="宋体" w:cs="宋体"/>
          <w:b/>
          <w:color w:val="auto"/>
          <w:kern w:val="0"/>
          <w:sz w:val="32"/>
          <w:szCs w:val="32"/>
          <w:highlight w:val="none"/>
          <w:lang w:val="en-US" w:eastAsia="zh-CN"/>
        </w:rPr>
        <w:t xml:space="preserve"> </w:t>
      </w:r>
    </w:p>
    <w:p w14:paraId="5175160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EDFB5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40D48547">
      <w:pPr>
        <w:snapToGrid w:val="0"/>
        <w:spacing w:line="360" w:lineRule="auto"/>
        <w:rPr>
          <w:rFonts w:hint="eastAsia" w:ascii="宋体" w:hAnsi="宋体" w:cs="宋体"/>
          <w:color w:val="auto"/>
          <w:sz w:val="24"/>
          <w:highlight w:val="none"/>
          <w:lang w:val="en-US" w:eastAsia="zh-CN"/>
        </w:rPr>
      </w:pPr>
    </w:p>
    <w:p w14:paraId="65288739">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3B1B39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sz w:val="24"/>
          <w:highlight w:val="none"/>
          <w:lang w:val="en-US" w:eastAsia="zh-CN"/>
        </w:rPr>
        <w:t xml:space="preserve">的 </w:t>
      </w:r>
      <w:r>
        <w:rPr>
          <w:rFonts w:hint="eastAsia" w:ascii="宋体" w:hAnsi="宋体" w:cs="宋体"/>
          <w:color w:val="auto"/>
          <w:sz w:val="24"/>
          <w:highlight w:val="none"/>
        </w:rPr>
        <w:t>政府采购活动，郑重承诺：</w:t>
      </w:r>
    </w:p>
    <w:p w14:paraId="0FD075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FA7B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74FF5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33446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7D29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A3B6E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00553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AAB0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val="en-US" w:eastAsia="zh-CN"/>
        </w:rPr>
        <w:t>重大税收违法失信主体</w:t>
      </w:r>
      <w:r>
        <w:rPr>
          <w:rFonts w:hint="eastAsia" w:ascii="宋体" w:hAnsi="宋体" w:cs="宋体"/>
          <w:color w:val="auto"/>
          <w:sz w:val="24"/>
          <w:highlight w:val="none"/>
        </w:rPr>
        <w:t>、政府采购严重违法失信行为记录名单。</w:t>
      </w:r>
    </w:p>
    <w:p w14:paraId="382243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E6AA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DDAB7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E819CC0">
      <w:pPr>
        <w:snapToGrid w:val="0"/>
        <w:spacing w:line="360" w:lineRule="auto"/>
        <w:ind w:firstLine="5520" w:firstLineChars="2300"/>
        <w:rPr>
          <w:rFonts w:hint="eastAsia" w:ascii="宋体" w:hAnsi="宋体" w:cs="宋体"/>
          <w:color w:val="auto"/>
          <w:kern w:val="0"/>
          <w:sz w:val="24"/>
          <w:highlight w:val="none"/>
          <w:lang w:val="zh-CN"/>
        </w:rPr>
      </w:pPr>
    </w:p>
    <w:p w14:paraId="47F5D8F3">
      <w:pPr>
        <w:snapToGrid w:val="0"/>
        <w:spacing w:line="360" w:lineRule="auto"/>
        <w:ind w:firstLine="5520" w:firstLineChars="2300"/>
        <w:rPr>
          <w:rFonts w:hint="eastAsia" w:ascii="宋体" w:hAnsi="宋体" w:cs="宋体"/>
          <w:color w:val="auto"/>
          <w:kern w:val="0"/>
          <w:sz w:val="24"/>
          <w:highlight w:val="none"/>
          <w:lang w:val="zh-CN"/>
        </w:rPr>
      </w:pPr>
    </w:p>
    <w:p w14:paraId="02B0308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签章</w:t>
      </w:r>
      <w:r>
        <w:rPr>
          <w:rFonts w:hint="eastAsia" w:ascii="宋体" w:hAnsi="宋体" w:eastAsia="宋体" w:cs="宋体"/>
          <w:color w:val="auto"/>
          <w:kern w:val="0"/>
          <w:sz w:val="24"/>
          <w:highlight w:val="none"/>
          <w:lang w:val="zh-CN"/>
        </w:rPr>
        <w:t>)：</w:t>
      </w:r>
    </w:p>
    <w:p w14:paraId="255C8F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259D16">
      <w:pPr>
        <w:snapToGrid w:val="0"/>
        <w:spacing w:line="360" w:lineRule="auto"/>
        <w:ind w:right="480"/>
        <w:jc w:val="center"/>
        <w:rPr>
          <w:rFonts w:ascii="宋体" w:hAnsi="宋体" w:cs="宋体"/>
          <w:b/>
          <w:color w:val="auto"/>
          <w:kern w:val="0"/>
          <w:sz w:val="32"/>
          <w:szCs w:val="32"/>
          <w:highlight w:val="none"/>
        </w:rPr>
      </w:pPr>
    </w:p>
    <w:p w14:paraId="75F8E5A0">
      <w:pPr>
        <w:snapToGrid w:val="0"/>
        <w:spacing w:line="360" w:lineRule="auto"/>
        <w:ind w:right="480"/>
        <w:jc w:val="center"/>
        <w:rPr>
          <w:rFonts w:ascii="宋体" w:hAnsi="宋体" w:cs="宋体"/>
          <w:b/>
          <w:color w:val="auto"/>
          <w:kern w:val="0"/>
          <w:sz w:val="32"/>
          <w:szCs w:val="32"/>
          <w:highlight w:val="none"/>
        </w:rPr>
      </w:pPr>
    </w:p>
    <w:p w14:paraId="5EF98C3F">
      <w:pPr>
        <w:snapToGrid w:val="0"/>
        <w:spacing w:line="360" w:lineRule="auto"/>
        <w:ind w:right="480"/>
        <w:jc w:val="center"/>
        <w:rPr>
          <w:rFonts w:ascii="宋体" w:hAnsi="宋体" w:cs="宋体"/>
          <w:b/>
          <w:color w:val="auto"/>
          <w:kern w:val="0"/>
          <w:sz w:val="32"/>
          <w:szCs w:val="32"/>
          <w:highlight w:val="none"/>
        </w:rPr>
      </w:pPr>
    </w:p>
    <w:p w14:paraId="387B60F3">
      <w:pPr>
        <w:rPr>
          <w:rFonts w:ascii="宋体" w:hAnsi="宋体" w:cs="宋体"/>
          <w:color w:val="auto"/>
          <w:highlight w:val="none"/>
        </w:rPr>
      </w:pPr>
    </w:p>
    <w:p w14:paraId="2FC3BB92">
      <w:pPr>
        <w:snapToGrid w:val="0"/>
        <w:spacing w:line="360" w:lineRule="auto"/>
        <w:ind w:right="480"/>
        <w:jc w:val="center"/>
        <w:rPr>
          <w:rFonts w:ascii="宋体" w:hAnsi="宋体" w:cs="宋体"/>
          <w:b/>
          <w:color w:val="auto"/>
          <w:kern w:val="0"/>
          <w:sz w:val="32"/>
          <w:szCs w:val="32"/>
          <w:highlight w:val="none"/>
        </w:rPr>
      </w:pPr>
    </w:p>
    <w:p w14:paraId="5367E2E5">
      <w:pPr>
        <w:snapToGrid w:val="0"/>
        <w:spacing w:line="360" w:lineRule="auto"/>
        <w:ind w:right="480"/>
        <w:jc w:val="center"/>
        <w:rPr>
          <w:rFonts w:ascii="宋体" w:hAnsi="宋体" w:cs="宋体"/>
          <w:b/>
          <w:color w:val="auto"/>
          <w:kern w:val="0"/>
          <w:sz w:val="32"/>
          <w:szCs w:val="32"/>
          <w:highlight w:val="none"/>
        </w:rPr>
      </w:pPr>
    </w:p>
    <w:p w14:paraId="330983D8">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2A12143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、联合协议（如有）</w:t>
      </w:r>
    </w:p>
    <w:p w14:paraId="2806E7D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）；本项目不接受联合体投标或者投标人不以联合体形式投标的，则不需要提供]</w:t>
      </w:r>
    </w:p>
    <w:p w14:paraId="3BA20BEB">
      <w:pPr>
        <w:snapToGrid w:val="0"/>
        <w:spacing w:line="360" w:lineRule="auto"/>
        <w:ind w:right="480"/>
        <w:jc w:val="center"/>
        <w:rPr>
          <w:rFonts w:ascii="宋体" w:hAnsi="宋体" w:cs="宋体"/>
          <w:b/>
          <w:color w:val="auto"/>
          <w:kern w:val="0"/>
          <w:sz w:val="32"/>
          <w:szCs w:val="32"/>
          <w:highlight w:val="none"/>
        </w:rPr>
      </w:pPr>
    </w:p>
    <w:p w14:paraId="6987881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58D3213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76D1136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w:t>
      </w:r>
    </w:p>
    <w:p w14:paraId="607EB594">
      <w:pPr>
        <w:widowControl/>
        <w:spacing w:line="360" w:lineRule="auto"/>
        <w:ind w:firstLine="480"/>
        <w:jc w:val="left"/>
        <w:rPr>
          <w:rFonts w:ascii="宋体" w:hAnsi="宋体" w:cs="宋体"/>
          <w:color w:val="auto"/>
          <w:sz w:val="24"/>
          <w:highlight w:val="none"/>
        </w:rPr>
      </w:pPr>
    </w:p>
    <w:p w14:paraId="7A6D609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0EE3E3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31E08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E74ABF5">
      <w:pPr>
        <w:widowControl/>
        <w:spacing w:line="360" w:lineRule="auto"/>
        <w:ind w:left="150"/>
        <w:jc w:val="center"/>
        <w:rPr>
          <w:rFonts w:ascii="宋体" w:hAnsi="宋体" w:cs="宋体"/>
          <w:b/>
          <w:color w:val="auto"/>
          <w:kern w:val="0"/>
          <w:sz w:val="32"/>
          <w:szCs w:val="32"/>
          <w:highlight w:val="none"/>
        </w:rPr>
      </w:pPr>
    </w:p>
    <w:p w14:paraId="4C94CEA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324899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269C81D">
      <w:pPr>
        <w:rPr>
          <w:rFonts w:ascii="宋体" w:hAnsi="宋体" w:cs="宋体"/>
          <w:color w:val="auto"/>
          <w:highlight w:val="none"/>
        </w:rPr>
      </w:pPr>
    </w:p>
    <w:p w14:paraId="1548BBF4">
      <w:pPr>
        <w:widowControl/>
        <w:numPr>
          <w:ilvl w:val="0"/>
          <w:numId w:val="5"/>
        </w:numPr>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业务专用章使用说明函</w:t>
      </w:r>
    </w:p>
    <w:p w14:paraId="5EA5FD48">
      <w:pPr>
        <w:pStyle w:val="25"/>
        <w:numPr>
          <w:ilvl w:val="0"/>
          <w:numId w:val="0"/>
        </w:numPr>
        <w:ind w:leftChars="400"/>
        <w:jc w:val="center"/>
        <w:rPr>
          <w:rFonts w:hint="eastAsia" w:eastAsia="宋体"/>
          <w:b w:val="0"/>
          <w:bCs/>
          <w:color w:val="auto"/>
          <w:highlight w:val="none"/>
          <w:lang w:val="en-US" w:eastAsia="zh-CN"/>
        </w:rPr>
      </w:pPr>
      <w:r>
        <w:rPr>
          <w:rFonts w:hint="eastAsia" w:ascii="宋体" w:hAnsi="宋体" w:cs="宋体"/>
          <w:b w:val="0"/>
          <w:bCs/>
          <w:color w:val="auto"/>
          <w:sz w:val="24"/>
          <w:highlight w:val="none"/>
          <w:lang w:val="en-US" w:eastAsia="zh-CN"/>
        </w:rPr>
        <w:t>[如适用，</w:t>
      </w:r>
      <w:r>
        <w:rPr>
          <w:rFonts w:hint="eastAsia" w:ascii="宋体" w:hAnsi="宋体" w:cs="宋体"/>
          <w:b w:val="0"/>
          <w:bCs/>
          <w:color w:val="auto"/>
          <w:sz w:val="24"/>
          <w:highlight w:val="none"/>
        </w:rPr>
        <w:t>提供业务专用章使用说明函（附件</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w:t>
      </w:r>
    </w:p>
    <w:p w14:paraId="11675F05">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74E61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50F79D">
      <w:pPr>
        <w:snapToGrid w:val="0"/>
        <w:spacing w:line="360" w:lineRule="auto"/>
        <w:jc w:val="center"/>
        <w:rPr>
          <w:rFonts w:ascii="宋体" w:hAnsi="宋体" w:cs="宋体"/>
          <w:b/>
          <w:color w:val="auto"/>
          <w:kern w:val="0"/>
          <w:sz w:val="32"/>
          <w:szCs w:val="32"/>
          <w:highlight w:val="none"/>
          <w:lang w:val="zh-CN"/>
        </w:rPr>
      </w:pPr>
    </w:p>
    <w:p w14:paraId="37C5482D">
      <w:pPr>
        <w:numPr>
          <w:ilvl w:val="0"/>
          <w:numId w:val="6"/>
        </w:numPr>
        <w:bidi w:val="0"/>
        <w:ind w:left="3360" w:leftChars="0" w:firstLineChars="0"/>
        <w:jc w:val="left"/>
        <w:rPr>
          <w:rFonts w:hint="eastAsia"/>
          <w:b/>
          <w:bCs/>
          <w:color w:val="auto"/>
          <w:sz w:val="32"/>
          <w:szCs w:val="32"/>
          <w:highlight w:val="none"/>
        </w:rPr>
      </w:pPr>
      <w:bookmarkStart w:id="471" w:name="_Toc2704"/>
      <w:r>
        <w:rPr>
          <w:rFonts w:hint="eastAsia"/>
          <w:b/>
          <w:bCs/>
          <w:color w:val="auto"/>
          <w:sz w:val="32"/>
          <w:szCs w:val="32"/>
          <w:highlight w:val="none"/>
        </w:rPr>
        <w:t>投标函</w:t>
      </w:r>
      <w:bookmarkEnd w:id="471"/>
    </w:p>
    <w:p w14:paraId="07FB5831">
      <w:pPr>
        <w:pStyle w:val="25"/>
        <w:numPr>
          <w:ilvl w:val="0"/>
          <w:numId w:val="0"/>
        </w:numPr>
        <w:ind w:leftChars="400"/>
        <w:rPr>
          <w:color w:val="auto"/>
          <w:highlight w:val="none"/>
        </w:rPr>
      </w:pPr>
    </w:p>
    <w:p w14:paraId="7680C7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337A54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招标的有关活动，并对此项目进行投标。为此：</w:t>
      </w:r>
    </w:p>
    <w:p w14:paraId="1F932E14">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7206E32">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4D4960A">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4B4D892">
      <w:pPr>
        <w:adjustRightInd/>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37E1C70D">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4B88E49">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B4F2350">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EB2030F">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5A081AB">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C43D580">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4C23ED3F">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20C8604">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CB8EAC">
      <w:pPr>
        <w:spacing w:line="360" w:lineRule="auto"/>
        <w:ind w:firstLine="3840" w:firstLineChars="1600"/>
        <w:rPr>
          <w:rFonts w:hint="eastAsia" w:ascii="宋体" w:hAnsi="宋体" w:eastAsia="宋体" w:cs="宋体"/>
          <w:color w:val="auto"/>
          <w:sz w:val="24"/>
          <w:highlight w:val="none"/>
        </w:rPr>
      </w:pPr>
    </w:p>
    <w:p w14:paraId="22F76A28">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362A34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1932352">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E14DDF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B91765">
      <w:pPr>
        <w:jc w:val="center"/>
        <w:rPr>
          <w:rFonts w:hint="eastAsia" w:ascii="宋体" w:hAnsi="宋体" w:cs="宋体"/>
          <w:b/>
          <w:color w:val="auto"/>
          <w:kern w:val="0"/>
          <w:sz w:val="32"/>
          <w:szCs w:val="32"/>
          <w:highlight w:val="none"/>
          <w:lang w:val="zh-CN"/>
        </w:rPr>
      </w:pPr>
    </w:p>
    <w:p w14:paraId="3F3F9E4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6D591A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0BB9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10AC2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46723C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3A9B206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kern w:val="0"/>
          <w:sz w:val="24"/>
          <w:highlight w:val="none"/>
          <w:lang w:val="zh-CN"/>
        </w:rPr>
        <w:t>政府采购投标的一切事项，其法律后果由我方承担。</w:t>
      </w:r>
    </w:p>
    <w:p w14:paraId="2964AC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CD6C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54F6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 xml:space="preserve">）：  </w:t>
      </w:r>
    </w:p>
    <w:p w14:paraId="0E9CF78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F90FF20">
      <w:pPr>
        <w:snapToGrid w:val="0"/>
        <w:spacing w:line="360" w:lineRule="auto"/>
        <w:rPr>
          <w:rFonts w:ascii="宋体" w:hAnsi="宋体" w:cs="宋体"/>
          <w:color w:val="auto"/>
          <w:sz w:val="24"/>
          <w:highlight w:val="none"/>
        </w:rPr>
      </w:pPr>
    </w:p>
    <w:p w14:paraId="5D099353">
      <w:pPr>
        <w:snapToGrid w:val="0"/>
        <w:spacing w:line="360" w:lineRule="auto"/>
        <w:rPr>
          <w:rFonts w:ascii="宋体" w:hAnsi="宋体" w:cs="宋体"/>
          <w:color w:val="auto"/>
          <w:sz w:val="24"/>
          <w:highlight w:val="none"/>
        </w:rPr>
      </w:pPr>
    </w:p>
    <w:p w14:paraId="4523A7F5">
      <w:pPr>
        <w:snapToGrid w:val="0"/>
        <w:spacing w:line="360" w:lineRule="auto"/>
        <w:rPr>
          <w:rFonts w:ascii="宋体" w:hAnsi="宋体" w:cs="宋体"/>
          <w:color w:val="auto"/>
          <w:sz w:val="24"/>
          <w:highlight w:val="none"/>
        </w:rPr>
      </w:pPr>
    </w:p>
    <w:p w14:paraId="308BB891">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36E70BC">
      <w:pPr>
        <w:pStyle w:val="63"/>
        <w:rPr>
          <w:color w:val="auto"/>
          <w:highlight w:val="none"/>
        </w:rPr>
      </w:pPr>
    </w:p>
    <w:p w14:paraId="7E1D1EF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0573FDD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kern w:val="0"/>
          <w:sz w:val="24"/>
          <w:highlight w:val="none"/>
          <w:lang w:val="zh-CN"/>
        </w:rPr>
        <w:t>政府采购投标的一切事项，其法律后果由我方承担。</w:t>
      </w:r>
    </w:p>
    <w:p w14:paraId="6BF6CB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F590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7EB7280">
      <w:pPr>
        <w:jc w:val="center"/>
        <w:rPr>
          <w:rFonts w:ascii="宋体" w:hAnsi="宋体" w:cs="宋体"/>
          <w:b/>
          <w:color w:val="auto"/>
          <w:kern w:val="0"/>
          <w:sz w:val="32"/>
          <w:szCs w:val="32"/>
          <w:highlight w:val="none"/>
        </w:rPr>
      </w:pPr>
    </w:p>
    <w:p w14:paraId="772CC4F4">
      <w:pPr>
        <w:jc w:val="center"/>
        <w:rPr>
          <w:rFonts w:ascii="宋体" w:hAnsi="宋体" w:cs="宋体"/>
          <w:b/>
          <w:color w:val="auto"/>
          <w:kern w:val="0"/>
          <w:sz w:val="32"/>
          <w:szCs w:val="32"/>
          <w:highlight w:val="none"/>
        </w:rPr>
      </w:pPr>
    </w:p>
    <w:p w14:paraId="13B58361">
      <w:pPr>
        <w:jc w:val="center"/>
        <w:rPr>
          <w:rFonts w:ascii="宋体" w:hAnsi="宋体" w:cs="宋体"/>
          <w:b/>
          <w:color w:val="auto"/>
          <w:kern w:val="0"/>
          <w:sz w:val="32"/>
          <w:szCs w:val="32"/>
          <w:highlight w:val="none"/>
        </w:rPr>
      </w:pPr>
    </w:p>
    <w:p w14:paraId="17C0913D">
      <w:pPr>
        <w:rPr>
          <w:rFonts w:ascii="宋体" w:hAnsi="宋体" w:cs="宋体"/>
          <w:color w:val="auto"/>
          <w:highlight w:val="none"/>
        </w:rPr>
      </w:pPr>
    </w:p>
    <w:p w14:paraId="3F67DF0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w:t>
      </w:r>
    </w:p>
    <w:p w14:paraId="00FC9C5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w:t>
      </w:r>
    </w:p>
    <w:p w14:paraId="7DD9A3B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1B6089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2FAFED">
      <w:pPr>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w:t>
      </w:r>
    </w:p>
    <w:p w14:paraId="2AA7DEA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30"/>
          <w:szCs w:val="30"/>
          <w:highlight w:val="none"/>
        </w:rPr>
        <w:t>（适用于法定代表人、单位负责人或者自然人本人代表投标人参加投标）</w:t>
      </w:r>
    </w:p>
    <w:p w14:paraId="002B2A29">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07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EFA138">
            <w:pPr>
              <w:pStyle w:val="153"/>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78EFAFBE">
            <w:pPr>
              <w:pStyle w:val="153"/>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09A4BED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A5B35D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 xml:space="preserve">)：                              </w:t>
      </w:r>
    </w:p>
    <w:p w14:paraId="05041BE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219CBE06">
      <w:pPr>
        <w:jc w:val="center"/>
        <w:rPr>
          <w:rFonts w:ascii="宋体" w:hAnsi="宋体" w:cs="宋体"/>
          <w:b/>
          <w:color w:val="auto"/>
          <w:kern w:val="0"/>
          <w:sz w:val="32"/>
          <w:szCs w:val="32"/>
          <w:highlight w:val="none"/>
        </w:rPr>
      </w:pPr>
    </w:p>
    <w:p w14:paraId="2D546BF6">
      <w:pPr>
        <w:jc w:val="center"/>
        <w:rPr>
          <w:rFonts w:ascii="宋体" w:hAnsi="宋体" w:cs="宋体"/>
          <w:b/>
          <w:color w:val="auto"/>
          <w:kern w:val="0"/>
          <w:sz w:val="32"/>
          <w:szCs w:val="32"/>
          <w:highlight w:val="none"/>
        </w:rPr>
      </w:pPr>
    </w:p>
    <w:p w14:paraId="6AED235F">
      <w:pPr>
        <w:jc w:val="center"/>
        <w:rPr>
          <w:rFonts w:ascii="宋体" w:hAnsi="宋体" w:cs="宋体"/>
          <w:b/>
          <w:color w:val="auto"/>
          <w:kern w:val="0"/>
          <w:sz w:val="32"/>
          <w:szCs w:val="32"/>
          <w:highlight w:val="none"/>
        </w:rPr>
      </w:pPr>
    </w:p>
    <w:p w14:paraId="72EC3D52">
      <w:pPr>
        <w:jc w:val="center"/>
        <w:rPr>
          <w:rFonts w:ascii="宋体" w:hAnsi="宋体" w:cs="宋体"/>
          <w:b/>
          <w:color w:val="auto"/>
          <w:kern w:val="0"/>
          <w:sz w:val="32"/>
          <w:szCs w:val="32"/>
          <w:highlight w:val="none"/>
        </w:rPr>
      </w:pPr>
    </w:p>
    <w:p w14:paraId="626D6B7B">
      <w:pPr>
        <w:jc w:val="center"/>
        <w:rPr>
          <w:rFonts w:ascii="宋体" w:hAnsi="宋体" w:cs="宋体"/>
          <w:b/>
          <w:color w:val="auto"/>
          <w:kern w:val="0"/>
          <w:sz w:val="32"/>
          <w:szCs w:val="32"/>
          <w:highlight w:val="none"/>
        </w:rPr>
      </w:pPr>
    </w:p>
    <w:p w14:paraId="1941BA74">
      <w:pPr>
        <w:jc w:val="center"/>
        <w:rPr>
          <w:rFonts w:ascii="宋体" w:hAnsi="宋体" w:cs="宋体"/>
          <w:b/>
          <w:color w:val="auto"/>
          <w:kern w:val="0"/>
          <w:sz w:val="32"/>
          <w:szCs w:val="32"/>
          <w:highlight w:val="none"/>
        </w:rPr>
      </w:pPr>
    </w:p>
    <w:p w14:paraId="5C846D63">
      <w:pPr>
        <w:jc w:val="center"/>
        <w:rPr>
          <w:rFonts w:ascii="宋体" w:hAnsi="宋体" w:cs="宋体"/>
          <w:b/>
          <w:color w:val="auto"/>
          <w:kern w:val="0"/>
          <w:sz w:val="32"/>
          <w:szCs w:val="32"/>
          <w:highlight w:val="none"/>
        </w:rPr>
      </w:pPr>
    </w:p>
    <w:p w14:paraId="2F12E106">
      <w:pPr>
        <w:jc w:val="center"/>
        <w:rPr>
          <w:rFonts w:ascii="宋体" w:hAnsi="宋体" w:cs="宋体"/>
          <w:b/>
          <w:color w:val="auto"/>
          <w:kern w:val="0"/>
          <w:sz w:val="32"/>
          <w:szCs w:val="32"/>
          <w:highlight w:val="none"/>
        </w:rPr>
      </w:pPr>
    </w:p>
    <w:p w14:paraId="739317AC">
      <w:pPr>
        <w:jc w:val="center"/>
        <w:rPr>
          <w:rFonts w:ascii="宋体" w:hAnsi="宋体" w:cs="宋体"/>
          <w:b/>
          <w:color w:val="auto"/>
          <w:kern w:val="0"/>
          <w:sz w:val="32"/>
          <w:szCs w:val="32"/>
          <w:highlight w:val="none"/>
        </w:rPr>
      </w:pPr>
    </w:p>
    <w:p w14:paraId="5429A53B">
      <w:pPr>
        <w:jc w:val="center"/>
        <w:rPr>
          <w:rFonts w:ascii="宋体" w:hAnsi="宋体" w:cs="宋体"/>
          <w:b/>
          <w:color w:val="auto"/>
          <w:kern w:val="0"/>
          <w:sz w:val="32"/>
          <w:szCs w:val="32"/>
          <w:highlight w:val="none"/>
        </w:rPr>
      </w:pPr>
    </w:p>
    <w:p w14:paraId="1C8EB85F">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5" w:h="16838"/>
          <w:pgMar w:top="1134" w:right="1417" w:bottom="1134"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3DC0A5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如有</w:t>
      </w:r>
      <w:r>
        <w:rPr>
          <w:rFonts w:hint="eastAsia" w:ascii="宋体" w:hAnsi="宋体" w:cs="宋体"/>
          <w:b/>
          <w:color w:val="auto"/>
          <w:kern w:val="0"/>
          <w:sz w:val="32"/>
          <w:szCs w:val="32"/>
          <w:highlight w:val="none"/>
        </w:rPr>
        <w:t>）</w:t>
      </w:r>
    </w:p>
    <w:p w14:paraId="7CE2A3F2">
      <w:pPr>
        <w:widowControl/>
        <w:spacing w:line="360" w:lineRule="auto"/>
        <w:ind w:firstLine="120" w:firstLineChars="50"/>
        <w:jc w:val="left"/>
        <w:rPr>
          <w:rFonts w:ascii="宋体" w:hAnsi="宋体" w:cs="宋体"/>
          <w:color w:val="auto"/>
          <w:sz w:val="24"/>
          <w:highlight w:val="none"/>
        </w:rPr>
      </w:pPr>
      <w:bookmarkStart w:id="47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b/>
          <w:color w:val="auto"/>
          <w:sz w:val="24"/>
          <w:highlight w:val="none"/>
          <w:lang w:eastAsia="zh-CN"/>
        </w:rPr>
        <w:t>]</w:t>
      </w:r>
    </w:p>
    <w:bookmarkEnd w:id="472"/>
    <w:p w14:paraId="2677B496">
      <w:pPr>
        <w:snapToGrid w:val="0"/>
        <w:spacing w:line="360" w:lineRule="auto"/>
        <w:rPr>
          <w:rFonts w:ascii="宋体" w:hAnsi="宋体" w:cs="宋体"/>
          <w:color w:val="auto"/>
          <w:kern w:val="0"/>
          <w:sz w:val="24"/>
          <w:highlight w:val="none"/>
        </w:rPr>
      </w:pPr>
    </w:p>
    <w:p w14:paraId="20909B3F">
      <w:pPr>
        <w:jc w:val="center"/>
        <w:rPr>
          <w:rFonts w:ascii="宋体" w:hAnsi="宋体" w:cs="宋体"/>
          <w:b/>
          <w:color w:val="auto"/>
          <w:kern w:val="0"/>
          <w:sz w:val="32"/>
          <w:szCs w:val="32"/>
          <w:highlight w:val="none"/>
        </w:rPr>
      </w:pPr>
    </w:p>
    <w:p w14:paraId="2D4117C4">
      <w:pPr>
        <w:pStyle w:val="4"/>
        <w:outlineLvl w:val="9"/>
        <w:rPr>
          <w:color w:val="auto"/>
          <w:highlight w:val="none"/>
          <w:lang w:val="en-US"/>
        </w:rPr>
      </w:pPr>
    </w:p>
    <w:p w14:paraId="1A2704F5">
      <w:pPr>
        <w:rPr>
          <w:color w:val="auto"/>
          <w:highlight w:val="none"/>
        </w:rPr>
      </w:pPr>
    </w:p>
    <w:p w14:paraId="48522556">
      <w:pPr>
        <w:pStyle w:val="4"/>
        <w:outlineLvl w:val="9"/>
        <w:rPr>
          <w:color w:val="auto"/>
          <w:highlight w:val="none"/>
          <w:lang w:val="en-US"/>
        </w:rPr>
      </w:pPr>
    </w:p>
    <w:p w14:paraId="697C58FD">
      <w:pPr>
        <w:jc w:val="center"/>
        <w:rPr>
          <w:rFonts w:ascii="宋体" w:hAnsi="宋体" w:cs="宋体"/>
          <w:b/>
          <w:color w:val="auto"/>
          <w:kern w:val="0"/>
          <w:sz w:val="32"/>
          <w:szCs w:val="32"/>
          <w:highlight w:val="none"/>
        </w:rPr>
      </w:pPr>
    </w:p>
    <w:p w14:paraId="26B4D95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96CCE5">
      <w:pPr>
        <w:jc w:val="center"/>
        <w:rPr>
          <w:rFonts w:ascii="宋体" w:hAnsi="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6E0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5146F38C">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14:paraId="76FB5A4B">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14:paraId="5BCD23A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14:paraId="2D5C6907">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5814A337">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3D81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72ED58A6">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14:paraId="55FB51D0">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14:paraId="3167F1C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或者签字盖章的投标文件的组成部分</w:t>
            </w:r>
          </w:p>
        </w:tc>
        <w:tc>
          <w:tcPr>
            <w:tcW w:w="2250" w:type="dxa"/>
            <w:vAlign w:val="center"/>
          </w:tcPr>
          <w:p w14:paraId="42AF53B0">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hAnsi="宋体"/>
                <w:color w:val="auto"/>
                <w:sz w:val="24"/>
                <w:highlight w:val="none"/>
              </w:rPr>
              <w:t>见投标文件需要签字盖章的各页。</w:t>
            </w:r>
          </w:p>
        </w:tc>
      </w:tr>
      <w:tr w14:paraId="6C67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357EB29">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14:paraId="115318F9">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14:paraId="2E4AC89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14:paraId="19CAC36A">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2B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4861ADC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14:paraId="74F672C1">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3323" w:type="dxa"/>
            <w:vAlign w:val="center"/>
          </w:tcPr>
          <w:p w14:paraId="102014A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w:t>
            </w:r>
            <w:r>
              <w:rPr>
                <w:rFonts w:hint="eastAsia" w:ascii="宋体" w:hAnsi="宋体" w:cs="宋体"/>
                <w:bCs/>
                <w:color w:val="auto"/>
                <w:szCs w:val="21"/>
                <w:highlight w:val="none"/>
              </w:rPr>
              <w:t>★</w:t>
            </w:r>
            <w:r>
              <w:rPr>
                <w:rFonts w:hint="eastAsia" w:ascii="宋体" w:hAnsi="宋体" w:cs="宋体"/>
                <w:color w:val="auto"/>
                <w:kern w:val="0"/>
                <w:sz w:val="24"/>
                <w:highlight w:val="none"/>
              </w:rPr>
              <w:t>”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2250" w:type="dxa"/>
            <w:vAlign w:val="center"/>
          </w:tcPr>
          <w:p w14:paraId="391BBB72">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132C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67466B">
      <w:pPr>
        <w:jc w:val="center"/>
        <w:rPr>
          <w:rFonts w:ascii="宋体" w:hAnsi="宋体" w:cs="宋体"/>
          <w:b/>
          <w:color w:val="auto"/>
          <w:kern w:val="0"/>
          <w:sz w:val="32"/>
          <w:szCs w:val="32"/>
          <w:highlight w:val="none"/>
        </w:rPr>
      </w:pPr>
    </w:p>
    <w:p w14:paraId="0B4D66B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E5D4C4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F9D851F">
      <w:pPr>
        <w:snapToGrid w:val="0"/>
        <w:spacing w:line="360" w:lineRule="auto"/>
        <w:rPr>
          <w:rFonts w:ascii="宋体" w:hAnsi="宋体" w:cs="宋体"/>
          <w:color w:val="auto"/>
          <w:sz w:val="24"/>
          <w:highlight w:val="none"/>
        </w:rPr>
      </w:pPr>
    </w:p>
    <w:p w14:paraId="40F663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（致采购人）       </w:t>
      </w:r>
      <w:r>
        <w:rPr>
          <w:rFonts w:hint="eastAsia" w:ascii="宋体" w:hAnsi="宋体" w:cs="宋体"/>
          <w:color w:val="auto"/>
          <w:sz w:val="24"/>
          <w:highlight w:val="none"/>
        </w:rPr>
        <w:t>：</w:t>
      </w:r>
    </w:p>
    <w:p w14:paraId="571864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A4699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72484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2946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D434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A8EA2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D0512E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48C0F3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8F823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E6C3075">
      <w:pPr>
        <w:autoSpaceDE w:val="0"/>
        <w:autoSpaceDN w:val="0"/>
        <w:spacing w:line="360" w:lineRule="auto"/>
        <w:ind w:left="2"/>
        <w:jc w:val="left"/>
        <w:rPr>
          <w:rFonts w:ascii="宋体" w:hAnsi="宋体" w:cs="宋体"/>
          <w:color w:val="auto"/>
          <w:kern w:val="0"/>
          <w:sz w:val="24"/>
          <w:highlight w:val="none"/>
          <w:lang w:val="zh-CN"/>
        </w:rPr>
      </w:pPr>
    </w:p>
    <w:p w14:paraId="0D9D1C49">
      <w:pPr>
        <w:autoSpaceDE w:val="0"/>
        <w:autoSpaceDN w:val="0"/>
        <w:spacing w:line="360" w:lineRule="auto"/>
        <w:ind w:left="2"/>
        <w:jc w:val="left"/>
        <w:rPr>
          <w:rFonts w:ascii="宋体" w:hAnsi="宋体" w:cs="宋体"/>
          <w:color w:val="auto"/>
          <w:kern w:val="0"/>
          <w:sz w:val="24"/>
          <w:highlight w:val="none"/>
          <w:lang w:val="zh-CN"/>
        </w:rPr>
      </w:pPr>
    </w:p>
    <w:p w14:paraId="5E15022D">
      <w:pPr>
        <w:autoSpaceDE w:val="0"/>
        <w:autoSpaceDN w:val="0"/>
        <w:spacing w:line="360" w:lineRule="auto"/>
        <w:ind w:left="2"/>
        <w:jc w:val="left"/>
        <w:rPr>
          <w:rFonts w:ascii="宋体" w:hAnsi="宋体" w:cs="宋体"/>
          <w:color w:val="auto"/>
          <w:kern w:val="0"/>
          <w:sz w:val="24"/>
          <w:highlight w:val="none"/>
          <w:lang w:val="zh-CN"/>
        </w:rPr>
      </w:pPr>
    </w:p>
    <w:p w14:paraId="248601D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 xml:space="preserve">)：                                                                                                                                                                                                               </w:t>
      </w:r>
    </w:p>
    <w:p w14:paraId="65956A5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47B114">
      <w:pPr>
        <w:spacing w:line="360" w:lineRule="auto"/>
        <w:jc w:val="center"/>
        <w:rPr>
          <w:rFonts w:ascii="宋体" w:hAnsi="宋体" w:cs="宋体"/>
          <w:b/>
          <w:bCs/>
          <w:color w:val="auto"/>
          <w:sz w:val="24"/>
          <w:highlight w:val="none"/>
        </w:rPr>
      </w:pPr>
    </w:p>
    <w:p w14:paraId="57DF7EF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F59A5C">
      <w:pPr>
        <w:rPr>
          <w:rFonts w:ascii="宋体" w:hAnsi="宋体" w:cs="宋体"/>
          <w:b/>
          <w:bCs/>
          <w:color w:val="auto"/>
          <w:sz w:val="24"/>
          <w:highlight w:val="none"/>
        </w:rPr>
      </w:pPr>
      <w:r>
        <w:rPr>
          <w:rFonts w:ascii="宋体" w:hAnsi="宋体" w:cs="宋体"/>
          <w:b/>
          <w:bCs/>
          <w:color w:val="auto"/>
          <w:sz w:val="24"/>
          <w:highlight w:val="none"/>
        </w:rPr>
        <w:br w:type="page"/>
      </w:r>
    </w:p>
    <w:p w14:paraId="7123E2C5">
      <w:pPr>
        <w:jc w:val="center"/>
        <w:rPr>
          <w:rFonts w:hint="eastAsia" w:ascii="宋体" w:hAnsi="宋体" w:cs="宋体"/>
          <w:b/>
          <w:color w:val="auto"/>
          <w:kern w:val="0"/>
          <w:sz w:val="32"/>
          <w:szCs w:val="32"/>
          <w:highlight w:val="none"/>
        </w:rPr>
      </w:pPr>
    </w:p>
    <w:p w14:paraId="057E389F">
      <w:pPr>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六、投标标的清单</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不适用</w:t>
      </w:r>
      <w:r>
        <w:rPr>
          <w:rFonts w:hint="eastAsia" w:ascii="宋体" w:hAnsi="宋体" w:cs="宋体"/>
          <w:b/>
          <w:color w:val="auto"/>
          <w:kern w:val="0"/>
          <w:sz w:val="32"/>
          <w:szCs w:val="32"/>
          <w:highlight w:val="none"/>
          <w:lang w:eastAsia="zh-CN"/>
        </w:rPr>
        <w:t>）</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68FC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55BA9">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117D47">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5E49F29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7ABEDE6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517721A8">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3449A19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w:t>
            </w:r>
          </w:p>
        </w:tc>
      </w:tr>
      <w:tr w14:paraId="4747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296AD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B3377C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3AE4E38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109BB2F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6B28FEE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5226E6C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228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5F7BF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92FD0B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6BAAA7A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B6F705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B0784A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1B26AC2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7ABA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04018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297CD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35E6FAC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36FAC69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53FDB4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36DA70B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577836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1E749A">
      <w:pPr>
        <w:jc w:val="center"/>
        <w:rPr>
          <w:rFonts w:ascii="宋体" w:hAnsi="宋体" w:cs="宋体"/>
          <w:b/>
          <w:color w:val="auto"/>
          <w:kern w:val="0"/>
          <w:sz w:val="32"/>
          <w:szCs w:val="32"/>
          <w:highlight w:val="none"/>
        </w:rPr>
      </w:pPr>
    </w:p>
    <w:p w14:paraId="5F6CBF6D">
      <w:pPr>
        <w:jc w:val="center"/>
        <w:rPr>
          <w:rFonts w:ascii="宋体" w:hAnsi="宋体" w:cs="宋体"/>
          <w:b/>
          <w:color w:val="auto"/>
          <w:kern w:val="0"/>
          <w:sz w:val="32"/>
          <w:szCs w:val="32"/>
          <w:highlight w:val="none"/>
        </w:rPr>
      </w:pPr>
    </w:p>
    <w:p w14:paraId="3971AD1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649C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A20FF5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14:paraId="0A01AB16">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14:paraId="0CEE24F9">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14:paraId="22431925">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26A6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42E9645">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14:paraId="2198835A">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87" w:type="dxa"/>
          </w:tcPr>
          <w:p w14:paraId="01B69619">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5" w:type="dxa"/>
          </w:tcPr>
          <w:p w14:paraId="7C181E5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7C22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CE8FF56">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14:paraId="53396BC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87" w:type="dxa"/>
          </w:tcPr>
          <w:p w14:paraId="14DB016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5" w:type="dxa"/>
          </w:tcPr>
          <w:p w14:paraId="799F9D95">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0B0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C595EF8">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14:paraId="2AC3C936">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287" w:type="dxa"/>
          </w:tcPr>
          <w:p w14:paraId="4A09BBB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425" w:type="dxa"/>
          </w:tcPr>
          <w:p w14:paraId="36508B59">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5D5FA82B">
      <w:pPr>
        <w:jc w:val="center"/>
        <w:rPr>
          <w:rFonts w:ascii="宋体" w:hAnsi="宋体" w:cs="宋体"/>
          <w:b/>
          <w:color w:val="auto"/>
          <w:kern w:val="0"/>
          <w:sz w:val="32"/>
          <w:szCs w:val="32"/>
          <w:highlight w:val="none"/>
        </w:rPr>
      </w:pPr>
    </w:p>
    <w:p w14:paraId="45DCAA58">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『编制说明』：</w:t>
      </w:r>
    </w:p>
    <w:p w14:paraId="3E0AA449">
      <w:pPr>
        <w:numPr>
          <w:ilvl w:val="0"/>
          <w:numId w:val="7"/>
        </w:numPr>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投标人需按“第三部分  采购需求”中各项要求（包含技术需求及商务、其他要求）对应,在本表中如实填写具体响应(有技术参数的提供响应的技术参数)，未按要求填写的，有可能作负偏离处理。</w:t>
      </w:r>
    </w:p>
    <w:p w14:paraId="350F1493">
      <w:pPr>
        <w:numPr>
          <w:ilvl w:val="0"/>
          <w:numId w:val="7"/>
        </w:num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偏离说明是指对</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文件要求存在不同之处的解释说明。偏离系指：正偏离（高于采购需求）、负偏离（低于采购需求）、无偏离（满足采购需求）</w:t>
      </w:r>
    </w:p>
    <w:p w14:paraId="3F09252A">
      <w:pPr>
        <w:widowControl/>
        <w:spacing w:line="360" w:lineRule="auto"/>
        <w:jc w:val="left"/>
        <w:outlineLvl w:val="9"/>
        <w:rPr>
          <w:rFonts w:hint="eastAsia" w:ascii="宋体" w:hAnsi="宋体" w:eastAsia="宋体" w:cs="宋体"/>
          <w:b/>
          <w:bCs/>
          <w:color w:val="auto"/>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技术指标若有要求供应商提供相应佐证材料的，供应商未提供相应佐证材料或者供应商的响应承诺与其佐证材料不一致的，评审小组会将以不利于供应商的内容为准进行评审（负偏离）。</w:t>
      </w:r>
    </w:p>
    <w:p w14:paraId="51D8FEF0">
      <w:pPr>
        <w:pStyle w:val="25"/>
        <w:rPr>
          <w:color w:val="auto"/>
          <w:highlight w:val="none"/>
        </w:rPr>
      </w:pPr>
    </w:p>
    <w:p w14:paraId="23CAF4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92E5E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D2CE58D">
      <w:pPr>
        <w:snapToGrid w:val="0"/>
        <w:spacing w:line="360" w:lineRule="auto"/>
        <w:ind w:firstLine="964" w:firstLineChars="400"/>
        <w:jc w:val="center"/>
        <w:rPr>
          <w:rFonts w:hint="eastAsia" w:ascii="宋体" w:hAnsi="宋体" w:eastAsia="宋体" w:cs="宋体"/>
          <w:b/>
          <w:bCs/>
          <w:color w:val="auto"/>
          <w:sz w:val="24"/>
          <w:highlight w:val="none"/>
        </w:rPr>
      </w:pPr>
    </w:p>
    <w:p w14:paraId="7E17124B">
      <w:pPr>
        <w:rPr>
          <w:rFonts w:hint="eastAsia" w:ascii="宋体" w:hAnsi="宋体" w:cs="宋体"/>
          <w:b/>
          <w:color w:val="auto"/>
          <w:kern w:val="0"/>
          <w:sz w:val="32"/>
          <w:szCs w:val="32"/>
          <w:highlight w:val="none"/>
          <w:lang w:val="en-US" w:eastAsia="zh-CN"/>
        </w:rPr>
      </w:pPr>
    </w:p>
    <w:p w14:paraId="12A991B8">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、评标标准相应的商务技术资料</w:t>
      </w:r>
    </w:p>
    <w:p w14:paraId="4F532060">
      <w:pPr>
        <w:snapToGrid w:val="0"/>
        <w:spacing w:line="360" w:lineRule="auto"/>
        <w:ind w:firstLine="960" w:firstLineChars="400"/>
        <w:rPr>
          <w:rFonts w:hint="eastAsia" w:ascii="宋体" w:hAnsi="宋体" w:eastAsia="宋体" w:cs="宋体"/>
          <w:color w:val="auto"/>
          <w:sz w:val="24"/>
          <w:highlight w:val="none"/>
          <w:lang w:val="en-US" w:eastAsia="zh-CN"/>
        </w:rPr>
      </w:pPr>
    </w:p>
    <w:p w14:paraId="0799B6D2">
      <w:pPr>
        <w:rPr>
          <w:color w:val="auto"/>
          <w:highlight w:val="none"/>
        </w:rPr>
      </w:pPr>
    </w:p>
    <w:p w14:paraId="6DEFB882">
      <w:pPr>
        <w:snapToGrid w:val="0"/>
        <w:spacing w:line="360" w:lineRule="auto"/>
        <w:ind w:left="958" w:leftChars="456" w:firstLine="0" w:firstLineChars="0"/>
        <w:rPr>
          <w:rFonts w:hint="default" w:ascii="宋体" w:hAnsi="宋体" w:eastAsia="宋体" w:cs="宋体"/>
          <w:snapToGrid/>
          <w:color w:val="auto"/>
          <w:kern w:val="2"/>
          <w:sz w:val="24"/>
          <w:szCs w:val="24"/>
          <w:highlight w:val="none"/>
          <w:lang w:val="en-US" w:eastAsia="zh-CN" w:bidi="ar-SA"/>
        </w:rPr>
      </w:pPr>
    </w:p>
    <w:p w14:paraId="3C6409F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3DAB6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35D4B71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FB9C6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noWrap w:val="0"/>
            <w:vAlign w:val="center"/>
          </w:tcPr>
          <w:p w14:paraId="6FE1346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CF3762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7066F41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709874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FFBEB9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合同签订时间</w:t>
            </w:r>
          </w:p>
        </w:tc>
      </w:tr>
      <w:tr w14:paraId="4B7B2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0FD7EA4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034FB2A">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411E1F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BDDED5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0B12CE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851ABC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3D490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2F4E82E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FACA3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2C01F92">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5135B09">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E6DA517">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A832EDC">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44782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74F6D01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62AA6D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B69F7B3">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AAF84BC">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B1065C9">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290DC5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31AC5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39100FE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03DDCA9">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E69544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39F709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D86E9CC">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DDA06E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r w14:paraId="0DB40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0A782FD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44E583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D17939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C9A3FE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5A213D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62A9991">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0"/>
                <w:sz w:val="24"/>
                <w:highlight w:val="none"/>
              </w:rPr>
            </w:pPr>
          </w:p>
        </w:tc>
      </w:tr>
    </w:tbl>
    <w:p w14:paraId="7F098FE4">
      <w:pPr>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附合同扫描件加盖公章</w:t>
      </w:r>
    </w:p>
    <w:p w14:paraId="4FB2F070">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 xml:space="preserve">         </w:t>
      </w:r>
    </w:p>
    <w:p w14:paraId="00A45EB1">
      <w:pPr>
        <w:pStyle w:val="24"/>
        <w:rPr>
          <w:rFonts w:hint="eastAsia"/>
          <w:color w:val="auto"/>
          <w:highlight w:val="none"/>
        </w:rPr>
      </w:pPr>
      <w:r>
        <w:rPr>
          <w:rFonts w:hint="eastAsia" w:ascii="宋体" w:hAnsi="宋体" w:eastAsia="宋体" w:cs="宋体"/>
          <w:color w:val="auto"/>
          <w:kern w:val="0"/>
          <w:sz w:val="24"/>
          <w:highlight w:val="none"/>
        </w:rPr>
        <w:t>日  期：</w:t>
      </w:r>
    </w:p>
    <w:p w14:paraId="0DA2F306">
      <w:pPr>
        <w:bidi w:val="0"/>
        <w:jc w:val="center"/>
        <w:rPr>
          <w:rFonts w:hint="eastAsia"/>
          <w:b/>
          <w:bCs/>
          <w:color w:val="auto"/>
          <w:sz w:val="36"/>
          <w:szCs w:val="36"/>
          <w:highlight w:val="none"/>
        </w:rPr>
      </w:pPr>
      <w:bookmarkStart w:id="473" w:name="_Toc16712"/>
    </w:p>
    <w:p w14:paraId="32D65A48">
      <w:pPr>
        <w:bidi w:val="0"/>
        <w:jc w:val="center"/>
        <w:rPr>
          <w:rFonts w:hint="eastAsia"/>
          <w:b/>
          <w:bCs/>
          <w:color w:val="auto"/>
          <w:sz w:val="36"/>
          <w:szCs w:val="36"/>
          <w:highlight w:val="none"/>
        </w:rPr>
      </w:pPr>
    </w:p>
    <w:p w14:paraId="6B8E9B84">
      <w:pPr>
        <w:bidi w:val="0"/>
        <w:jc w:val="center"/>
        <w:rPr>
          <w:rFonts w:hint="eastAsia"/>
          <w:b/>
          <w:bCs/>
          <w:color w:val="auto"/>
          <w:sz w:val="36"/>
          <w:szCs w:val="36"/>
          <w:highlight w:val="none"/>
        </w:rPr>
      </w:pPr>
    </w:p>
    <w:p w14:paraId="7B68F47D">
      <w:pPr>
        <w:bidi w:val="0"/>
        <w:jc w:val="center"/>
        <w:rPr>
          <w:rFonts w:hint="eastAsia"/>
          <w:b/>
          <w:bCs/>
          <w:color w:val="auto"/>
          <w:sz w:val="36"/>
          <w:szCs w:val="36"/>
          <w:highlight w:val="none"/>
        </w:rPr>
      </w:pPr>
    </w:p>
    <w:p w14:paraId="663367D9">
      <w:pPr>
        <w:bidi w:val="0"/>
        <w:jc w:val="center"/>
        <w:rPr>
          <w:rFonts w:hint="eastAsia"/>
          <w:b/>
          <w:bCs/>
          <w:color w:val="auto"/>
          <w:sz w:val="36"/>
          <w:szCs w:val="36"/>
          <w:highlight w:val="none"/>
        </w:rPr>
      </w:pPr>
    </w:p>
    <w:p w14:paraId="78047A20">
      <w:pPr>
        <w:bidi w:val="0"/>
        <w:jc w:val="center"/>
        <w:rPr>
          <w:rFonts w:hint="eastAsia"/>
          <w:b/>
          <w:bCs/>
          <w:color w:val="auto"/>
          <w:sz w:val="36"/>
          <w:szCs w:val="36"/>
          <w:highlight w:val="none"/>
        </w:rPr>
      </w:pPr>
    </w:p>
    <w:p w14:paraId="0E781828">
      <w:pPr>
        <w:bidi w:val="0"/>
        <w:jc w:val="center"/>
        <w:rPr>
          <w:rFonts w:hint="eastAsia"/>
          <w:b/>
          <w:bCs/>
          <w:color w:val="auto"/>
          <w:sz w:val="36"/>
          <w:szCs w:val="36"/>
          <w:highlight w:val="none"/>
        </w:rPr>
      </w:pPr>
    </w:p>
    <w:p w14:paraId="71D028A1">
      <w:pPr>
        <w:bidi w:val="0"/>
        <w:jc w:val="center"/>
        <w:rPr>
          <w:rFonts w:hint="eastAsia"/>
          <w:b/>
          <w:bCs/>
          <w:color w:val="auto"/>
          <w:sz w:val="36"/>
          <w:szCs w:val="36"/>
          <w:highlight w:val="none"/>
        </w:rPr>
      </w:pPr>
    </w:p>
    <w:p w14:paraId="2FE86E0F">
      <w:pPr>
        <w:bidi w:val="0"/>
        <w:jc w:val="center"/>
        <w:rPr>
          <w:rFonts w:hint="eastAsia"/>
          <w:b/>
          <w:bCs/>
          <w:color w:val="auto"/>
          <w:sz w:val="36"/>
          <w:szCs w:val="36"/>
          <w:highlight w:val="none"/>
        </w:rPr>
      </w:pPr>
    </w:p>
    <w:p w14:paraId="49E796F4">
      <w:pPr>
        <w:bidi w:val="0"/>
        <w:jc w:val="center"/>
        <w:rPr>
          <w:rFonts w:hint="eastAsia"/>
          <w:b/>
          <w:bCs/>
          <w:color w:val="auto"/>
          <w:sz w:val="36"/>
          <w:szCs w:val="36"/>
          <w:highlight w:val="none"/>
        </w:rPr>
      </w:pPr>
    </w:p>
    <w:p w14:paraId="3EFFCAE7">
      <w:pPr>
        <w:bidi w:val="0"/>
        <w:jc w:val="center"/>
        <w:rPr>
          <w:rFonts w:hint="eastAsia"/>
          <w:b/>
          <w:bCs/>
          <w:color w:val="auto"/>
          <w:sz w:val="36"/>
          <w:szCs w:val="36"/>
          <w:highlight w:val="none"/>
        </w:rPr>
      </w:pPr>
    </w:p>
    <w:p w14:paraId="6C2CABCA">
      <w:pPr>
        <w:bidi w:val="0"/>
        <w:jc w:val="center"/>
        <w:rPr>
          <w:rFonts w:hint="eastAsia"/>
          <w:b/>
          <w:bCs/>
          <w:color w:val="auto"/>
          <w:sz w:val="36"/>
          <w:szCs w:val="36"/>
          <w:highlight w:val="none"/>
        </w:rPr>
      </w:pPr>
    </w:p>
    <w:p w14:paraId="3CBE291F">
      <w:pPr>
        <w:bidi w:val="0"/>
        <w:jc w:val="center"/>
        <w:rPr>
          <w:rFonts w:hint="eastAsia"/>
          <w:b/>
          <w:bCs/>
          <w:color w:val="auto"/>
          <w:sz w:val="36"/>
          <w:szCs w:val="36"/>
          <w:highlight w:val="none"/>
        </w:rPr>
      </w:pPr>
    </w:p>
    <w:p w14:paraId="461EB316">
      <w:pPr>
        <w:bidi w:val="0"/>
        <w:jc w:val="center"/>
        <w:rPr>
          <w:rFonts w:hint="eastAsia"/>
          <w:b/>
          <w:bCs/>
          <w:color w:val="auto"/>
          <w:sz w:val="36"/>
          <w:szCs w:val="36"/>
          <w:highlight w:val="none"/>
        </w:rPr>
      </w:pPr>
    </w:p>
    <w:p w14:paraId="5BC4818C">
      <w:pPr>
        <w:bidi w:val="0"/>
        <w:jc w:val="center"/>
        <w:rPr>
          <w:rFonts w:hint="eastAsia"/>
          <w:b/>
          <w:bCs/>
          <w:color w:val="auto"/>
          <w:sz w:val="36"/>
          <w:szCs w:val="36"/>
          <w:highlight w:val="none"/>
        </w:rPr>
      </w:pPr>
    </w:p>
    <w:p w14:paraId="454A1841">
      <w:pPr>
        <w:bidi w:val="0"/>
        <w:jc w:val="center"/>
        <w:rPr>
          <w:rFonts w:hint="eastAsia"/>
          <w:b/>
          <w:bCs/>
          <w:color w:val="auto"/>
          <w:sz w:val="36"/>
          <w:szCs w:val="36"/>
          <w:highlight w:val="none"/>
        </w:rPr>
      </w:pPr>
    </w:p>
    <w:p w14:paraId="2C05C1B3">
      <w:pPr>
        <w:bidi w:val="0"/>
        <w:jc w:val="center"/>
        <w:rPr>
          <w:rFonts w:hint="eastAsia"/>
          <w:b/>
          <w:bCs/>
          <w:color w:val="auto"/>
          <w:sz w:val="36"/>
          <w:szCs w:val="36"/>
          <w:highlight w:val="none"/>
        </w:rPr>
        <w:sectPr>
          <w:headerReference r:id="rId12" w:type="first"/>
          <w:footerReference r:id="rId15" w:type="first"/>
          <w:headerReference r:id="rId11" w:type="default"/>
          <w:footerReference r:id="rId13" w:type="default"/>
          <w:footerReference r:id="rId14" w:type="even"/>
          <w:pgSz w:w="11905" w:h="16838"/>
          <w:pgMar w:top="1134" w:right="1417" w:bottom="1134"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FBEF259">
      <w:pPr>
        <w:bidi w:val="0"/>
        <w:jc w:val="center"/>
        <w:rPr>
          <w:b/>
          <w:bCs/>
          <w:color w:val="auto"/>
          <w:sz w:val="36"/>
          <w:szCs w:val="36"/>
          <w:highlight w:val="none"/>
        </w:rPr>
      </w:pPr>
      <w:r>
        <w:rPr>
          <w:rFonts w:hint="eastAsia"/>
          <w:b/>
          <w:bCs/>
          <w:color w:val="auto"/>
          <w:sz w:val="36"/>
          <w:szCs w:val="36"/>
          <w:highlight w:val="none"/>
        </w:rPr>
        <w:t>报价文件部分</w:t>
      </w:r>
      <w:bookmarkEnd w:id="473"/>
    </w:p>
    <w:p w14:paraId="375F86C7">
      <w:pPr>
        <w:spacing w:line="360" w:lineRule="auto"/>
        <w:jc w:val="center"/>
        <w:outlineLvl w:val="9"/>
        <w:rPr>
          <w:rFonts w:hint="eastAsia" w:ascii="宋体" w:hAnsi="宋体" w:cs="宋体"/>
          <w:b/>
          <w:color w:val="auto"/>
          <w:kern w:val="0"/>
          <w:sz w:val="36"/>
          <w:szCs w:val="36"/>
          <w:highlight w:val="none"/>
        </w:rPr>
      </w:pPr>
      <w:bookmarkStart w:id="474" w:name="_Toc31513"/>
    </w:p>
    <w:bookmarkEnd w:id="474"/>
    <w:p w14:paraId="4E1AF174">
      <w:pPr>
        <w:bidi w:val="0"/>
        <w:jc w:val="center"/>
        <w:rPr>
          <w:rFonts w:hint="eastAsia" w:eastAsia="宋体"/>
          <w:b/>
          <w:bCs/>
          <w:color w:val="auto"/>
          <w:sz w:val="30"/>
          <w:szCs w:val="30"/>
          <w:highlight w:val="none"/>
          <w:lang w:eastAsia="zh-CN"/>
        </w:rPr>
      </w:pPr>
      <w:bookmarkStart w:id="475" w:name="_Toc21159"/>
      <w:r>
        <w:rPr>
          <w:rFonts w:hint="eastAsia"/>
          <w:b/>
          <w:bCs/>
          <w:color w:val="auto"/>
          <w:sz w:val="30"/>
          <w:szCs w:val="30"/>
          <w:highlight w:val="none"/>
          <w:lang w:val="en-US" w:eastAsia="zh-CN"/>
        </w:rPr>
        <w:t>一、</w:t>
      </w:r>
      <w:r>
        <w:rPr>
          <w:rFonts w:hint="eastAsia"/>
          <w:b/>
          <w:bCs/>
          <w:color w:val="auto"/>
          <w:sz w:val="30"/>
          <w:szCs w:val="30"/>
          <w:highlight w:val="none"/>
        </w:rPr>
        <w:t>开标一览表</w:t>
      </w:r>
      <w:bookmarkEnd w:id="475"/>
    </w:p>
    <w:p w14:paraId="509D7970">
      <w:pPr>
        <w:snapToGrid w:val="0"/>
        <w:spacing w:before="50" w:after="50" w:line="360" w:lineRule="auto"/>
        <w:ind w:firstLine="630" w:firstLineChars="300"/>
        <w:rPr>
          <w:rFonts w:hint="eastAsia" w:ascii="宋体" w:hAnsi="宋体" w:cs="宋体"/>
          <w:color w:val="auto"/>
          <w:szCs w:val="21"/>
          <w:highlight w:val="none"/>
        </w:rPr>
      </w:pPr>
    </w:p>
    <w:tbl>
      <w:tblPr>
        <w:tblStyle w:val="64"/>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9"/>
        <w:gridCol w:w="2260"/>
        <w:gridCol w:w="2198"/>
        <w:gridCol w:w="3933"/>
      </w:tblGrid>
      <w:tr w14:paraId="6076C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79" w:type="pct"/>
            <w:noWrap w:val="0"/>
            <w:vAlign w:val="center"/>
          </w:tcPr>
          <w:p w14:paraId="2F4BE180">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标项号</w:t>
            </w:r>
          </w:p>
        </w:tc>
        <w:tc>
          <w:tcPr>
            <w:tcW w:w="1217" w:type="pct"/>
            <w:noWrap w:val="0"/>
            <w:vAlign w:val="center"/>
          </w:tcPr>
          <w:p w14:paraId="3FDA123D">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采购内容</w:t>
            </w:r>
          </w:p>
        </w:tc>
        <w:tc>
          <w:tcPr>
            <w:tcW w:w="1184" w:type="pct"/>
            <w:noWrap w:val="0"/>
            <w:vAlign w:val="center"/>
          </w:tcPr>
          <w:p w14:paraId="1FCE7677">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服务期限</w:t>
            </w:r>
          </w:p>
        </w:tc>
        <w:tc>
          <w:tcPr>
            <w:tcW w:w="2118" w:type="pct"/>
            <w:noWrap w:val="0"/>
            <w:vAlign w:val="center"/>
          </w:tcPr>
          <w:p w14:paraId="388F950B">
            <w:pPr>
              <w:keepNext w:val="0"/>
              <w:keepLines w:val="0"/>
              <w:suppressLineNumbers w:val="0"/>
              <w:spacing w:before="0" w:beforeAutospacing="0" w:after="0" w:afterAutospacing="0" w:line="400" w:lineRule="exact"/>
              <w:ind w:left="0" w:right="0"/>
              <w:jc w:val="center"/>
              <w:rPr>
                <w:rFonts w:hint="eastAsia" w:ascii="宋体" w:hAnsi="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rPr>
              <w:t>投标</w:t>
            </w:r>
            <w:r>
              <w:rPr>
                <w:rFonts w:hint="eastAsia" w:ascii="宋体" w:hAnsi="宋体" w:cs="宋体"/>
                <w:b/>
                <w:color w:val="auto"/>
                <w:sz w:val="24"/>
                <w:szCs w:val="24"/>
                <w:highlight w:val="none"/>
                <w:shd w:val="clear" w:color="auto" w:fill="auto"/>
                <w:lang w:val="en-US" w:eastAsia="zh-CN"/>
              </w:rPr>
              <w:t>总价</w:t>
            </w:r>
          </w:p>
          <w:p w14:paraId="5FE4A209">
            <w:pPr>
              <w:keepNext w:val="0"/>
              <w:keepLines w:val="0"/>
              <w:suppressLineNumbers w:val="0"/>
              <w:spacing w:before="0" w:beforeAutospacing="0" w:after="0" w:afterAutospacing="0" w:line="400" w:lineRule="exact"/>
              <w:ind w:left="0" w:right="0"/>
              <w:jc w:val="center"/>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元</w:t>
            </w:r>
            <w:r>
              <w:rPr>
                <w:rFonts w:hint="eastAsia" w:ascii="宋体" w:hAnsi="宋体" w:cs="宋体"/>
                <w:b/>
                <w:color w:val="auto"/>
                <w:sz w:val="24"/>
                <w:szCs w:val="24"/>
                <w:highlight w:val="none"/>
                <w:shd w:val="clear" w:color="auto" w:fill="auto"/>
              </w:rPr>
              <w:t>）</w:t>
            </w:r>
          </w:p>
        </w:tc>
      </w:tr>
      <w:tr w14:paraId="38AE0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479" w:type="pct"/>
            <w:noWrap w:val="0"/>
            <w:vAlign w:val="center"/>
          </w:tcPr>
          <w:p w14:paraId="3556A4F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一</w:t>
            </w:r>
          </w:p>
        </w:tc>
        <w:tc>
          <w:tcPr>
            <w:tcW w:w="1217" w:type="pct"/>
            <w:noWrap w:val="0"/>
            <w:vAlign w:val="center"/>
          </w:tcPr>
          <w:p w14:paraId="7DEE903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shd w:val="clear" w:color="auto" w:fill="auto"/>
                <w:lang w:val="en-US" w:eastAsia="zh-CN"/>
              </w:rPr>
            </w:pPr>
          </w:p>
        </w:tc>
        <w:tc>
          <w:tcPr>
            <w:tcW w:w="1184" w:type="pct"/>
            <w:noWrap w:val="0"/>
            <w:vAlign w:val="center"/>
          </w:tcPr>
          <w:p w14:paraId="7729787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shd w:val="clear" w:color="auto" w:fill="auto"/>
                <w:lang w:val="en-US" w:eastAsia="zh-CN"/>
              </w:rPr>
            </w:pPr>
          </w:p>
        </w:tc>
        <w:tc>
          <w:tcPr>
            <w:tcW w:w="2118" w:type="pct"/>
            <w:noWrap w:val="0"/>
            <w:vAlign w:val="center"/>
          </w:tcPr>
          <w:p w14:paraId="1F913460">
            <w:pPr>
              <w:keepNext w:val="0"/>
              <w:keepLines w:val="0"/>
              <w:suppressLineNumbers w:val="0"/>
              <w:spacing w:before="0" w:beforeAutospacing="0" w:after="0" w:afterAutospacing="0" w:line="400" w:lineRule="exact"/>
              <w:ind w:left="0" w:right="0"/>
              <w:jc w:val="both"/>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大写：</w:t>
            </w:r>
          </w:p>
          <w:p w14:paraId="7DABB3FB">
            <w:pPr>
              <w:keepNext w:val="0"/>
              <w:keepLines w:val="0"/>
              <w:suppressLineNumbers w:val="0"/>
              <w:spacing w:before="0" w:beforeAutospacing="0" w:after="0" w:afterAutospacing="0" w:line="400" w:lineRule="exact"/>
              <w:ind w:left="0" w:right="0"/>
              <w:jc w:val="both"/>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小写：</w:t>
            </w:r>
          </w:p>
        </w:tc>
      </w:tr>
    </w:tbl>
    <w:p w14:paraId="273448A6">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370725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 报价一经涂改，应在涂改处加盖单位公章</w:t>
      </w:r>
      <w:r>
        <w:rPr>
          <w:rFonts w:hint="eastAsia" w:ascii="宋体" w:hAnsi="宋体" w:cs="宋体"/>
          <w:color w:val="auto"/>
          <w:szCs w:val="21"/>
          <w:highlight w:val="none"/>
          <w:lang w:eastAsia="zh-CN"/>
        </w:rPr>
        <w:t>或</w:t>
      </w:r>
      <w:r>
        <w:rPr>
          <w:rFonts w:hint="eastAsia" w:ascii="宋体" w:hAnsi="宋体" w:cs="宋体"/>
          <w:color w:val="auto"/>
          <w:szCs w:val="21"/>
          <w:highlight w:val="none"/>
        </w:rPr>
        <w:t>由法定代表人或授权委托人签字或盖章，否则其投标作无效标处理。</w:t>
      </w:r>
    </w:p>
    <w:p w14:paraId="7912FA92">
      <w:pPr>
        <w:snapToGrid w:val="0"/>
        <w:spacing w:line="360" w:lineRule="auto"/>
        <w:ind w:left="-21" w:leftChars="-72" w:right="-817" w:rightChars="-389" w:hanging="130" w:hangingChars="62"/>
        <w:rPr>
          <w:rFonts w:hint="eastAsia" w:ascii="宋体" w:hAnsi="宋体" w:cs="宋体"/>
          <w:color w:val="auto"/>
          <w:szCs w:val="21"/>
          <w:highlight w:val="none"/>
        </w:rPr>
      </w:pPr>
    </w:p>
    <w:p w14:paraId="3BF4C9C4">
      <w:pPr>
        <w:snapToGrid w:val="0"/>
        <w:spacing w:line="360" w:lineRule="auto"/>
        <w:ind w:left="-21" w:leftChars="-72" w:right="-817" w:rightChars="-389" w:hanging="130" w:hangingChars="62"/>
        <w:rPr>
          <w:rFonts w:hint="eastAsia" w:ascii="宋体" w:hAnsi="宋体" w:cs="宋体"/>
          <w:color w:val="auto"/>
          <w:szCs w:val="21"/>
          <w:highlight w:val="none"/>
        </w:rPr>
      </w:pPr>
    </w:p>
    <w:p w14:paraId="7967AFCB">
      <w:pPr>
        <w:pStyle w:val="33"/>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投标人名称(</w:t>
      </w:r>
      <w:r>
        <w:rPr>
          <w:rFonts w:hint="eastAsia" w:hAnsi="宋体" w:cs="宋体"/>
          <w:color w:val="auto"/>
          <w:sz w:val="21"/>
          <w:szCs w:val="21"/>
          <w:highlight w:val="none"/>
          <w:lang w:val="en-US" w:eastAsia="zh-CN"/>
        </w:rPr>
        <w:t>电子</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章</w:t>
      </w:r>
      <w:r>
        <w:rPr>
          <w:rFonts w:hint="eastAsia" w:hAnsi="宋体" w:cs="宋体"/>
          <w:color w:val="auto"/>
          <w:sz w:val="21"/>
          <w:szCs w:val="21"/>
          <w:highlight w:val="none"/>
        </w:rPr>
        <w:t>):___________________</w:t>
      </w:r>
    </w:p>
    <w:p w14:paraId="3E01329C">
      <w:pPr>
        <w:pStyle w:val="33"/>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 xml:space="preserve">                </w:t>
      </w:r>
    </w:p>
    <w:p w14:paraId="54E793C0">
      <w:pPr>
        <w:pStyle w:val="33"/>
        <w:snapToGrid w:val="0"/>
        <w:spacing w:before="295" w:beforeLines="0" w:after="295" w:afterLines="0" w:line="240" w:lineRule="auto"/>
        <w:rPr>
          <w:rFonts w:hint="eastAsia" w:hAnsi="宋体" w:cs="宋体"/>
          <w:color w:val="auto"/>
          <w:sz w:val="21"/>
          <w:szCs w:val="21"/>
          <w:highlight w:val="none"/>
        </w:rPr>
      </w:pPr>
      <w:r>
        <w:rPr>
          <w:rFonts w:hint="eastAsia" w:hAnsi="宋体" w:cs="宋体"/>
          <w:color w:val="auto"/>
          <w:sz w:val="21"/>
          <w:szCs w:val="21"/>
          <w:highlight w:val="none"/>
        </w:rPr>
        <w:t>日期:_____年___月___日</w:t>
      </w:r>
    </w:p>
    <w:p w14:paraId="05766B8C">
      <w:pPr>
        <w:rPr>
          <w:rFonts w:hint="eastAsia"/>
          <w:color w:val="auto"/>
          <w:highlight w:val="none"/>
        </w:rPr>
      </w:pPr>
    </w:p>
    <w:p w14:paraId="15D69D71">
      <w:pPr>
        <w:rPr>
          <w:rFonts w:hint="eastAsia" w:hAnsi="宋体" w:cs="宋体"/>
          <w:b/>
          <w:color w:val="auto"/>
          <w:sz w:val="21"/>
          <w:szCs w:val="21"/>
          <w:highlight w:val="none"/>
        </w:rPr>
      </w:pPr>
      <w:r>
        <w:rPr>
          <w:rFonts w:hint="eastAsia" w:hAnsi="宋体" w:cs="宋体"/>
          <w:b/>
          <w:color w:val="auto"/>
          <w:sz w:val="21"/>
          <w:szCs w:val="21"/>
          <w:highlight w:val="none"/>
        </w:rPr>
        <w:br w:type="page"/>
      </w:r>
    </w:p>
    <w:p w14:paraId="31B20045">
      <w:pPr>
        <w:pStyle w:val="33"/>
        <w:snapToGrid w:val="0"/>
        <w:spacing w:before="295" w:beforeLines="0" w:after="295" w:afterLines="0" w:line="240" w:lineRule="auto"/>
        <w:jc w:val="center"/>
        <w:rPr>
          <w:rFonts w:hint="eastAsia"/>
          <w:b/>
          <w:bCs/>
          <w:color w:val="auto"/>
          <w:sz w:val="32"/>
          <w:szCs w:val="32"/>
          <w:highlight w:val="none"/>
          <w:lang w:val="en-US" w:eastAsia="zh-CN"/>
        </w:rPr>
      </w:pPr>
      <w:bookmarkStart w:id="476" w:name="_Toc8239"/>
      <w:r>
        <w:rPr>
          <w:rFonts w:hint="eastAsia"/>
          <w:b/>
          <w:bCs/>
          <w:color w:val="auto"/>
          <w:sz w:val="32"/>
          <w:szCs w:val="32"/>
          <w:highlight w:val="none"/>
          <w:lang w:val="en-US" w:eastAsia="zh-CN"/>
        </w:rPr>
        <w:t>二、投标报价明细表</w:t>
      </w:r>
    </w:p>
    <w:p w14:paraId="5F039FF5">
      <w:pPr>
        <w:snapToGrid w:val="0"/>
        <w:spacing w:line="360" w:lineRule="auto"/>
        <w:ind w:firstLine="420" w:firstLineChars="200"/>
        <w:jc w:val="left"/>
        <w:rPr>
          <w:rFonts w:hint="eastAsia" w:ascii="宋体" w:hAnsi="宋体" w:cs="宋体"/>
          <w:color w:val="auto"/>
          <w:szCs w:val="21"/>
          <w:highlight w:val="none"/>
          <w:shd w:val="clear" w:color="auto" w:fill="auto"/>
        </w:rPr>
      </w:pPr>
    </w:p>
    <w:p w14:paraId="478AFE18">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供应商根据附件上传的工程量清单进行报价。</w:t>
      </w:r>
    </w:p>
    <w:p w14:paraId="6EA797A9">
      <w:pPr>
        <w:snapToGrid w:val="0"/>
        <w:spacing w:line="360" w:lineRule="auto"/>
        <w:jc w:val="center"/>
        <w:rPr>
          <w:rFonts w:hint="eastAsia" w:ascii="宋体" w:hAnsi="宋体" w:eastAsia="宋体" w:cs="宋体"/>
          <w:color w:val="auto"/>
          <w:szCs w:val="21"/>
          <w:highlight w:val="none"/>
          <w:lang w:val="en-US" w:eastAsia="zh-CN"/>
        </w:rPr>
      </w:pPr>
    </w:p>
    <w:p w14:paraId="3E870B70">
      <w:pPr>
        <w:snapToGrid w:val="0"/>
        <w:spacing w:line="360" w:lineRule="auto"/>
        <w:jc w:val="both"/>
        <w:rPr>
          <w:rFonts w:hint="default" w:ascii="宋体" w:hAnsi="宋体" w:eastAsia="宋体" w:cs="宋体"/>
          <w:b/>
          <w:bCs/>
          <w:color w:val="auto"/>
          <w:spacing w:val="20"/>
          <w:szCs w:val="21"/>
          <w:highlight w:val="none"/>
          <w:u w:val="single"/>
          <w:shd w:val="clear" w:color="auto" w:fill="auto"/>
          <w:lang w:val="en-US" w:eastAsia="zh-CN"/>
        </w:rPr>
      </w:pPr>
      <w:r>
        <w:rPr>
          <w:rFonts w:hint="eastAsia" w:ascii="宋体" w:hAnsi="宋体" w:eastAsia="宋体" w:cs="宋体"/>
          <w:b/>
          <w:bCs/>
          <w:color w:val="auto"/>
          <w:szCs w:val="21"/>
          <w:highlight w:val="none"/>
          <w:lang w:val="en-US" w:eastAsia="zh-CN"/>
        </w:rPr>
        <w:t>注：如未按附件上传的工程量清单进行报价的，作无效标处理。</w:t>
      </w:r>
    </w:p>
    <w:p w14:paraId="29B281D3">
      <w:pPr>
        <w:pStyle w:val="85"/>
        <w:rPr>
          <w:rFonts w:hint="eastAsia"/>
          <w:color w:val="auto"/>
          <w:highlight w:val="none"/>
        </w:rPr>
      </w:pPr>
    </w:p>
    <w:p w14:paraId="640E8D1D">
      <w:pPr>
        <w:rPr>
          <w:rFonts w:hint="eastAsia" w:ascii="宋体" w:hAnsi="宋体" w:cs="宋体"/>
          <w:color w:val="auto"/>
          <w:highlight w:val="none"/>
          <w:shd w:val="clear" w:color="auto" w:fill="auto"/>
        </w:rPr>
      </w:pPr>
    </w:p>
    <w:p w14:paraId="1C28A082">
      <w:pPr>
        <w:pStyle w:val="33"/>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投标人名称(</w:t>
      </w:r>
      <w:r>
        <w:rPr>
          <w:rFonts w:hint="eastAsia" w:hAnsi="宋体" w:cs="宋体"/>
          <w:color w:val="auto"/>
          <w:sz w:val="21"/>
          <w:szCs w:val="21"/>
          <w:highlight w:val="none"/>
          <w:lang w:val="en-US" w:eastAsia="zh-CN"/>
        </w:rPr>
        <w:t>电子</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章</w:t>
      </w:r>
      <w:r>
        <w:rPr>
          <w:rFonts w:hint="eastAsia" w:hAnsi="宋体" w:cs="宋体"/>
          <w:color w:val="auto"/>
          <w:sz w:val="21"/>
          <w:szCs w:val="21"/>
          <w:highlight w:val="none"/>
        </w:rPr>
        <w:t>):___________________</w:t>
      </w:r>
    </w:p>
    <w:p w14:paraId="73F55AE4">
      <w:pPr>
        <w:pStyle w:val="33"/>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 xml:space="preserve">                </w:t>
      </w:r>
    </w:p>
    <w:p w14:paraId="66468FFD">
      <w:pPr>
        <w:pStyle w:val="33"/>
        <w:snapToGrid w:val="0"/>
        <w:spacing w:before="295" w:beforeLines="0" w:after="295" w:afterLines="0" w:line="240" w:lineRule="auto"/>
        <w:rPr>
          <w:rFonts w:hint="eastAsia" w:hAnsi="宋体" w:cs="宋体"/>
          <w:color w:val="auto"/>
          <w:sz w:val="21"/>
          <w:szCs w:val="21"/>
          <w:highlight w:val="none"/>
        </w:rPr>
      </w:pPr>
      <w:r>
        <w:rPr>
          <w:rFonts w:hint="eastAsia" w:hAnsi="宋体" w:cs="宋体"/>
          <w:color w:val="auto"/>
          <w:sz w:val="21"/>
          <w:szCs w:val="21"/>
          <w:highlight w:val="none"/>
        </w:rPr>
        <w:t>日期:_____年___月___日</w:t>
      </w:r>
    </w:p>
    <w:p w14:paraId="7891E1A3">
      <w:pPr>
        <w:pStyle w:val="33"/>
        <w:snapToGrid w:val="0"/>
        <w:spacing w:before="295" w:beforeLines="0" w:after="295" w:afterLines="0" w:line="240" w:lineRule="auto"/>
        <w:jc w:val="center"/>
        <w:rPr>
          <w:rFonts w:hint="eastAsia"/>
          <w:b/>
          <w:bCs/>
          <w:color w:val="auto"/>
          <w:sz w:val="32"/>
          <w:szCs w:val="32"/>
          <w:highlight w:val="none"/>
          <w:lang w:val="en-US" w:eastAsia="zh-CN"/>
        </w:rPr>
      </w:pPr>
    </w:p>
    <w:p w14:paraId="12CEB994">
      <w:pPr>
        <w:pStyle w:val="33"/>
        <w:snapToGrid w:val="0"/>
        <w:spacing w:before="295" w:beforeLines="0" w:after="295" w:afterLines="0" w:line="240" w:lineRule="auto"/>
        <w:jc w:val="center"/>
        <w:rPr>
          <w:rFonts w:hint="eastAsia"/>
          <w:b/>
          <w:bCs/>
          <w:color w:val="auto"/>
          <w:sz w:val="32"/>
          <w:szCs w:val="32"/>
          <w:highlight w:val="none"/>
          <w:lang w:val="en-US" w:eastAsia="zh-CN"/>
        </w:rPr>
        <w:sectPr>
          <w:pgSz w:w="11905" w:h="16838"/>
          <w:pgMar w:top="1134" w:right="1417" w:bottom="1134"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A7381F1">
      <w:pPr>
        <w:pStyle w:val="33"/>
        <w:snapToGrid w:val="0"/>
        <w:spacing w:before="295" w:beforeLines="0" w:after="295" w:afterLines="0" w:line="240" w:lineRule="auto"/>
        <w:jc w:val="center"/>
        <w:rPr>
          <w:rFonts w:hint="eastAsia"/>
          <w:b/>
          <w:bCs/>
          <w:color w:val="auto"/>
          <w:sz w:val="32"/>
          <w:szCs w:val="32"/>
          <w:highlight w:val="none"/>
        </w:rPr>
      </w:pPr>
      <w:r>
        <w:rPr>
          <w:rFonts w:hint="eastAsia"/>
          <w:b/>
          <w:bCs/>
          <w:color w:val="auto"/>
          <w:sz w:val="32"/>
          <w:szCs w:val="32"/>
          <w:highlight w:val="none"/>
          <w:lang w:val="en-US" w:eastAsia="zh-CN"/>
        </w:rPr>
        <w:t>三、</w:t>
      </w:r>
      <w:r>
        <w:rPr>
          <w:rFonts w:hint="eastAsia"/>
          <w:b/>
          <w:bCs/>
          <w:color w:val="auto"/>
          <w:sz w:val="32"/>
          <w:szCs w:val="32"/>
          <w:highlight w:val="none"/>
        </w:rPr>
        <w:t>中小企业声明函</w:t>
      </w:r>
      <w:bookmarkEnd w:id="476"/>
    </w:p>
    <w:p w14:paraId="0E4C3805">
      <w:pPr>
        <w:pStyle w:val="695"/>
        <w:numPr>
          <w:ilvl w:val="0"/>
          <w:numId w:val="0"/>
        </w:numPr>
        <w:bidi w:val="0"/>
        <w:ind w:leftChars="0"/>
        <w:jc w:val="both"/>
        <w:rPr>
          <w:rFonts w:hint="eastAsia"/>
          <w:b/>
          <w:bCs/>
          <w:color w:val="auto"/>
          <w:sz w:val="32"/>
          <w:szCs w:val="32"/>
          <w:highlight w:val="none"/>
        </w:rPr>
      </w:pPr>
    </w:p>
    <w:p w14:paraId="3DE2DC13">
      <w:pPr>
        <w:widowControl/>
        <w:spacing w:line="360" w:lineRule="auto"/>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提供中小企业声明函（</w:t>
      </w:r>
      <w:r>
        <w:rPr>
          <w:rFonts w:hint="eastAsia" w:ascii="宋体" w:hAnsi="宋体" w:cs="宋体"/>
          <w:b/>
          <w:color w:val="auto"/>
          <w:sz w:val="24"/>
          <w:highlight w:val="none"/>
          <w:lang w:val="en-US" w:eastAsia="zh-CN"/>
        </w:rPr>
        <w:t>格式见</w:t>
      </w: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14:paraId="1FEFDD3D">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3DA6C96">
      <w:pPr>
        <w:spacing w:line="360" w:lineRule="auto"/>
        <w:ind w:right="420" w:firstLine="3614" w:firstLineChars="1000"/>
        <w:rPr>
          <w:rFonts w:ascii="宋体" w:hAnsi="宋体" w:cs="宋体"/>
          <w:b/>
          <w:color w:val="auto"/>
          <w:kern w:val="0"/>
          <w:sz w:val="36"/>
          <w:szCs w:val="36"/>
          <w:highlight w:val="none"/>
        </w:rPr>
      </w:pPr>
    </w:p>
    <w:p w14:paraId="141803FB">
      <w:pPr>
        <w:spacing w:line="360" w:lineRule="auto"/>
        <w:ind w:right="420" w:firstLine="3614" w:firstLineChars="1000"/>
        <w:rPr>
          <w:rFonts w:ascii="宋体" w:hAnsi="宋体" w:cs="宋体"/>
          <w:b/>
          <w:color w:val="auto"/>
          <w:kern w:val="0"/>
          <w:sz w:val="36"/>
          <w:szCs w:val="36"/>
          <w:highlight w:val="none"/>
        </w:rPr>
      </w:pPr>
    </w:p>
    <w:p w14:paraId="06F0E4E8">
      <w:pPr>
        <w:spacing w:line="360" w:lineRule="auto"/>
        <w:ind w:right="420" w:firstLine="3614" w:firstLineChars="1000"/>
        <w:rPr>
          <w:rFonts w:ascii="宋体" w:hAnsi="宋体" w:cs="宋体"/>
          <w:b/>
          <w:color w:val="auto"/>
          <w:kern w:val="0"/>
          <w:sz w:val="36"/>
          <w:szCs w:val="36"/>
          <w:highlight w:val="none"/>
        </w:rPr>
      </w:pPr>
    </w:p>
    <w:p w14:paraId="74E38198">
      <w:pPr>
        <w:spacing w:line="360" w:lineRule="auto"/>
        <w:ind w:right="420" w:firstLine="3614" w:firstLineChars="1000"/>
        <w:rPr>
          <w:rFonts w:ascii="宋体" w:hAnsi="宋体" w:cs="宋体"/>
          <w:b/>
          <w:color w:val="auto"/>
          <w:kern w:val="0"/>
          <w:sz w:val="36"/>
          <w:szCs w:val="36"/>
          <w:highlight w:val="none"/>
        </w:rPr>
      </w:pPr>
    </w:p>
    <w:p w14:paraId="6D8DB4B3">
      <w:pPr>
        <w:spacing w:line="360" w:lineRule="auto"/>
        <w:ind w:right="420" w:firstLine="3614" w:firstLineChars="1000"/>
        <w:rPr>
          <w:rFonts w:ascii="宋体" w:hAnsi="宋体" w:cs="宋体"/>
          <w:b/>
          <w:color w:val="auto"/>
          <w:kern w:val="0"/>
          <w:sz w:val="36"/>
          <w:szCs w:val="36"/>
          <w:highlight w:val="none"/>
        </w:rPr>
      </w:pPr>
    </w:p>
    <w:p w14:paraId="5533B9C4">
      <w:pPr>
        <w:spacing w:line="360" w:lineRule="auto"/>
        <w:ind w:right="420" w:firstLine="3614" w:firstLineChars="1000"/>
        <w:rPr>
          <w:rFonts w:ascii="宋体" w:hAnsi="宋体" w:cs="宋体"/>
          <w:b/>
          <w:color w:val="auto"/>
          <w:kern w:val="0"/>
          <w:sz w:val="36"/>
          <w:szCs w:val="36"/>
          <w:highlight w:val="none"/>
        </w:rPr>
      </w:pPr>
    </w:p>
    <w:p w14:paraId="647E9A75">
      <w:pPr>
        <w:spacing w:line="360" w:lineRule="auto"/>
        <w:ind w:right="420" w:firstLine="3614" w:firstLineChars="1000"/>
        <w:rPr>
          <w:rFonts w:ascii="宋体" w:hAnsi="宋体" w:cs="宋体"/>
          <w:b/>
          <w:color w:val="auto"/>
          <w:kern w:val="0"/>
          <w:sz w:val="36"/>
          <w:szCs w:val="36"/>
          <w:highlight w:val="none"/>
        </w:rPr>
      </w:pPr>
    </w:p>
    <w:p w14:paraId="6CD8C41C">
      <w:pPr>
        <w:spacing w:line="360" w:lineRule="auto"/>
        <w:ind w:right="420" w:firstLine="3614" w:firstLineChars="1000"/>
        <w:rPr>
          <w:rFonts w:ascii="宋体" w:hAnsi="宋体" w:cs="宋体"/>
          <w:b/>
          <w:color w:val="auto"/>
          <w:kern w:val="0"/>
          <w:sz w:val="36"/>
          <w:szCs w:val="36"/>
          <w:highlight w:val="none"/>
        </w:rPr>
      </w:pPr>
    </w:p>
    <w:p w14:paraId="19C1B482">
      <w:pPr>
        <w:spacing w:line="360" w:lineRule="auto"/>
        <w:ind w:right="420" w:firstLine="3614" w:firstLineChars="1000"/>
        <w:rPr>
          <w:rFonts w:ascii="宋体" w:hAnsi="宋体" w:cs="宋体"/>
          <w:b/>
          <w:color w:val="auto"/>
          <w:kern w:val="0"/>
          <w:sz w:val="36"/>
          <w:szCs w:val="36"/>
          <w:highlight w:val="none"/>
        </w:rPr>
      </w:pPr>
    </w:p>
    <w:p w14:paraId="77420A6E">
      <w:pPr>
        <w:spacing w:line="360" w:lineRule="auto"/>
        <w:ind w:right="420" w:firstLine="3614" w:firstLineChars="1000"/>
        <w:rPr>
          <w:rFonts w:ascii="宋体" w:hAnsi="宋体" w:cs="宋体"/>
          <w:b/>
          <w:color w:val="auto"/>
          <w:kern w:val="0"/>
          <w:sz w:val="36"/>
          <w:szCs w:val="36"/>
          <w:highlight w:val="none"/>
        </w:rPr>
      </w:pPr>
    </w:p>
    <w:p w14:paraId="0A7A1744">
      <w:pPr>
        <w:spacing w:line="360" w:lineRule="auto"/>
        <w:ind w:right="420" w:firstLine="3614" w:firstLineChars="1000"/>
        <w:rPr>
          <w:rFonts w:ascii="宋体" w:hAnsi="宋体" w:cs="宋体"/>
          <w:b/>
          <w:color w:val="auto"/>
          <w:kern w:val="0"/>
          <w:sz w:val="36"/>
          <w:szCs w:val="36"/>
          <w:highlight w:val="none"/>
        </w:rPr>
      </w:pPr>
    </w:p>
    <w:p w14:paraId="38AE685E">
      <w:pPr>
        <w:spacing w:line="360" w:lineRule="auto"/>
        <w:ind w:right="420" w:firstLine="3614" w:firstLineChars="1000"/>
        <w:rPr>
          <w:rFonts w:ascii="宋体" w:hAnsi="宋体" w:cs="宋体"/>
          <w:b/>
          <w:color w:val="auto"/>
          <w:kern w:val="0"/>
          <w:sz w:val="36"/>
          <w:szCs w:val="36"/>
          <w:highlight w:val="none"/>
        </w:rPr>
      </w:pPr>
    </w:p>
    <w:p w14:paraId="5258C61B">
      <w:pPr>
        <w:spacing w:line="360" w:lineRule="auto"/>
        <w:ind w:right="420" w:firstLine="3614" w:firstLineChars="1000"/>
        <w:rPr>
          <w:rFonts w:ascii="宋体" w:hAnsi="宋体" w:cs="宋体"/>
          <w:b/>
          <w:color w:val="auto"/>
          <w:kern w:val="0"/>
          <w:sz w:val="36"/>
          <w:szCs w:val="36"/>
          <w:highlight w:val="none"/>
        </w:rPr>
      </w:pPr>
    </w:p>
    <w:p w14:paraId="745C9A04">
      <w:pPr>
        <w:spacing w:line="360" w:lineRule="auto"/>
        <w:ind w:right="420" w:firstLine="3614" w:firstLineChars="1000"/>
        <w:rPr>
          <w:rFonts w:ascii="宋体" w:hAnsi="宋体" w:cs="宋体"/>
          <w:b/>
          <w:color w:val="auto"/>
          <w:kern w:val="0"/>
          <w:sz w:val="36"/>
          <w:szCs w:val="36"/>
          <w:highlight w:val="none"/>
        </w:rPr>
      </w:pPr>
    </w:p>
    <w:p w14:paraId="7FD2AEFC">
      <w:pPr>
        <w:spacing w:line="360" w:lineRule="auto"/>
        <w:ind w:right="420" w:firstLine="3614" w:firstLineChars="1000"/>
        <w:rPr>
          <w:rFonts w:ascii="宋体" w:hAnsi="宋体" w:cs="宋体"/>
          <w:b/>
          <w:color w:val="auto"/>
          <w:kern w:val="0"/>
          <w:sz w:val="36"/>
          <w:szCs w:val="36"/>
          <w:highlight w:val="none"/>
        </w:rPr>
      </w:pPr>
    </w:p>
    <w:p w14:paraId="6B716F4A">
      <w:pPr>
        <w:spacing w:line="360" w:lineRule="auto"/>
        <w:ind w:right="420" w:firstLine="3614" w:firstLineChars="1000"/>
        <w:rPr>
          <w:rFonts w:ascii="宋体" w:hAnsi="宋体" w:cs="宋体"/>
          <w:b/>
          <w:color w:val="auto"/>
          <w:kern w:val="0"/>
          <w:sz w:val="36"/>
          <w:szCs w:val="36"/>
          <w:highlight w:val="none"/>
        </w:rPr>
      </w:pPr>
    </w:p>
    <w:p w14:paraId="4ED8830B">
      <w:pPr>
        <w:rPr>
          <w:rFonts w:hint="eastAsia"/>
          <w:b/>
          <w:bCs/>
          <w:color w:val="auto"/>
          <w:sz w:val="44"/>
          <w:szCs w:val="44"/>
          <w:highlight w:val="none"/>
        </w:rPr>
      </w:pPr>
      <w:bookmarkStart w:id="477" w:name="_Toc20847"/>
      <w:bookmarkStart w:id="478" w:name="_Toc465665161"/>
      <w:r>
        <w:rPr>
          <w:rFonts w:hint="eastAsia"/>
          <w:b/>
          <w:bCs/>
          <w:color w:val="auto"/>
          <w:sz w:val="44"/>
          <w:szCs w:val="44"/>
          <w:highlight w:val="none"/>
        </w:rPr>
        <w:br w:type="page"/>
      </w:r>
    </w:p>
    <w:p w14:paraId="2B902418">
      <w:pPr>
        <w:bidi w:val="0"/>
        <w:jc w:val="center"/>
        <w:rPr>
          <w:b/>
          <w:bCs/>
          <w:color w:val="auto"/>
          <w:sz w:val="44"/>
          <w:szCs w:val="44"/>
          <w:highlight w:val="none"/>
        </w:rPr>
      </w:pPr>
      <w:r>
        <w:rPr>
          <w:rFonts w:hint="eastAsia"/>
          <w:b/>
          <w:bCs/>
          <w:color w:val="auto"/>
          <w:sz w:val="44"/>
          <w:szCs w:val="44"/>
          <w:highlight w:val="none"/>
        </w:rPr>
        <w:t>附件</w:t>
      </w:r>
      <w:bookmarkEnd w:id="477"/>
      <w:bookmarkEnd w:id="478"/>
    </w:p>
    <w:p w14:paraId="38DE4CFA">
      <w:pPr>
        <w:spacing w:line="360" w:lineRule="auto"/>
        <w:rPr>
          <w:rFonts w:hint="eastAsia" w:ascii="宋体" w:hAnsi="宋体" w:cs="宋体"/>
          <w:b/>
          <w:color w:val="auto"/>
          <w:spacing w:val="6"/>
          <w:sz w:val="32"/>
          <w:szCs w:val="32"/>
          <w:highlight w:val="none"/>
        </w:rPr>
      </w:pPr>
    </w:p>
    <w:p w14:paraId="3426710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652085E">
      <w:pPr>
        <w:spacing w:line="360" w:lineRule="auto"/>
        <w:jc w:val="center"/>
        <w:rPr>
          <w:rFonts w:ascii="宋体" w:hAnsi="宋体" w:cs="宋体"/>
          <w:b/>
          <w:color w:val="auto"/>
          <w:spacing w:val="6"/>
          <w:sz w:val="32"/>
          <w:szCs w:val="32"/>
          <w:highlight w:val="none"/>
        </w:rPr>
      </w:pPr>
      <w:bookmarkStart w:id="479" w:name="OLE_LINK13"/>
      <w:bookmarkStart w:id="480" w:name="OLE_LINK14"/>
      <w:r>
        <w:rPr>
          <w:rFonts w:hint="eastAsia" w:ascii="宋体" w:hAnsi="宋体" w:cs="宋体"/>
          <w:b/>
          <w:color w:val="auto"/>
          <w:spacing w:val="6"/>
          <w:sz w:val="32"/>
          <w:szCs w:val="32"/>
          <w:highlight w:val="none"/>
        </w:rPr>
        <w:t>残疾人福利性单位声明函</w:t>
      </w:r>
    </w:p>
    <w:bookmarkEnd w:id="479"/>
    <w:bookmarkEnd w:id="480"/>
    <w:p w14:paraId="61363128">
      <w:pPr>
        <w:spacing w:line="360" w:lineRule="auto"/>
        <w:rPr>
          <w:rFonts w:ascii="宋体" w:hAnsi="宋体" w:cs="宋体"/>
          <w:b/>
          <w:color w:val="auto"/>
          <w:spacing w:val="6"/>
          <w:sz w:val="30"/>
          <w:szCs w:val="30"/>
          <w:highlight w:val="none"/>
        </w:rPr>
      </w:pPr>
    </w:p>
    <w:p w14:paraId="5CA66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EA521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81E726B">
      <w:pPr>
        <w:spacing w:line="360" w:lineRule="auto"/>
        <w:ind w:firstLine="480" w:firstLineChars="200"/>
        <w:rPr>
          <w:rFonts w:ascii="宋体" w:hAnsi="宋体" w:cs="宋体"/>
          <w:color w:val="auto"/>
          <w:sz w:val="24"/>
          <w:highlight w:val="none"/>
        </w:rPr>
      </w:pPr>
    </w:p>
    <w:p w14:paraId="559C6305">
      <w:pPr>
        <w:spacing w:line="360" w:lineRule="auto"/>
        <w:ind w:firstLine="480" w:firstLineChars="200"/>
        <w:rPr>
          <w:rFonts w:ascii="宋体" w:hAnsi="宋体" w:cs="宋体"/>
          <w:color w:val="auto"/>
          <w:sz w:val="24"/>
          <w:highlight w:val="none"/>
        </w:rPr>
      </w:pPr>
    </w:p>
    <w:p w14:paraId="67522CF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电子盖章</w:t>
      </w:r>
      <w:r>
        <w:rPr>
          <w:rFonts w:hint="eastAsia" w:ascii="宋体" w:hAnsi="宋体" w:cs="宋体"/>
          <w:color w:val="auto"/>
          <w:kern w:val="0"/>
          <w:sz w:val="24"/>
          <w:highlight w:val="none"/>
          <w:lang w:val="zh-CN"/>
        </w:rPr>
        <w:t>）：</w:t>
      </w:r>
    </w:p>
    <w:p w14:paraId="4DC756F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720673A">
      <w:pPr>
        <w:spacing w:line="360" w:lineRule="auto"/>
        <w:ind w:firstLine="480" w:firstLineChars="200"/>
        <w:rPr>
          <w:rFonts w:ascii="宋体" w:hAnsi="宋体" w:cs="宋体"/>
          <w:color w:val="auto"/>
          <w:sz w:val="24"/>
          <w:highlight w:val="none"/>
        </w:rPr>
      </w:pPr>
    </w:p>
    <w:p w14:paraId="7B42F05B">
      <w:pPr>
        <w:spacing w:line="360" w:lineRule="auto"/>
        <w:ind w:firstLine="420" w:firstLineChars="200"/>
        <w:rPr>
          <w:rFonts w:ascii="宋体" w:hAnsi="宋体" w:cs="宋体"/>
          <w:color w:val="auto"/>
          <w:highlight w:val="none"/>
        </w:rPr>
      </w:pPr>
    </w:p>
    <w:p w14:paraId="4EE848D4">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7E49B1FB">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379DC527">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555D581A">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2FB254EA">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7810EA24">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4F2871AE">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53FF77">
      <w:pPr>
        <w:spacing w:line="360" w:lineRule="auto"/>
        <w:ind w:firstLine="420" w:firstLineChars="200"/>
        <w:rPr>
          <w:rFonts w:ascii="宋体" w:hAnsi="宋体" w:cs="宋体"/>
          <w:color w:val="auto"/>
          <w:highlight w:val="none"/>
        </w:rPr>
      </w:pPr>
    </w:p>
    <w:p w14:paraId="52D20FD8">
      <w:pPr>
        <w:spacing w:line="360" w:lineRule="auto"/>
        <w:ind w:firstLine="420" w:firstLineChars="200"/>
        <w:rPr>
          <w:rFonts w:ascii="宋体" w:hAnsi="宋体" w:cs="宋体"/>
          <w:color w:val="auto"/>
          <w:highlight w:val="none"/>
        </w:rPr>
      </w:pPr>
    </w:p>
    <w:p w14:paraId="4A63C986">
      <w:pPr>
        <w:spacing w:line="360" w:lineRule="auto"/>
        <w:rPr>
          <w:rFonts w:ascii="宋体" w:hAnsi="宋体" w:cs="宋体"/>
          <w:b/>
          <w:color w:val="auto"/>
          <w:sz w:val="24"/>
          <w:highlight w:val="none"/>
        </w:rPr>
      </w:pPr>
    </w:p>
    <w:p w14:paraId="28311C97">
      <w:pPr>
        <w:autoSpaceDE w:val="0"/>
        <w:autoSpaceDN w:val="0"/>
        <w:jc w:val="center"/>
        <w:rPr>
          <w:rFonts w:ascii="宋体" w:hAnsi="宋体" w:cs="宋体"/>
          <w:b/>
          <w:color w:val="auto"/>
          <w:spacing w:val="6"/>
          <w:sz w:val="32"/>
          <w:szCs w:val="32"/>
          <w:highlight w:val="none"/>
        </w:rPr>
      </w:pPr>
    </w:p>
    <w:p w14:paraId="4A7DBBC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579038C1">
      <w:pPr>
        <w:spacing w:line="360" w:lineRule="auto"/>
        <w:rPr>
          <w:rFonts w:ascii="宋体" w:hAnsi="宋体" w:cs="宋体"/>
          <w:color w:val="auto"/>
          <w:sz w:val="24"/>
          <w:highlight w:val="none"/>
          <w:u w:val="single"/>
        </w:rPr>
      </w:pPr>
    </w:p>
    <w:p w14:paraId="60FC19E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AD1105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FCC2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EFDAA77">
      <w:pPr>
        <w:spacing w:line="360" w:lineRule="auto"/>
        <w:ind w:firstLine="494"/>
        <w:rPr>
          <w:rFonts w:ascii="宋体" w:hAnsi="宋体" w:cs="宋体"/>
          <w:color w:val="auto"/>
          <w:sz w:val="24"/>
          <w:highlight w:val="none"/>
        </w:rPr>
      </w:pPr>
    </w:p>
    <w:p w14:paraId="1A395D05">
      <w:pPr>
        <w:spacing w:line="360" w:lineRule="auto"/>
        <w:ind w:firstLine="494"/>
        <w:rPr>
          <w:rFonts w:ascii="宋体" w:hAnsi="宋体" w:cs="宋体"/>
          <w:color w:val="auto"/>
          <w:sz w:val="24"/>
          <w:highlight w:val="none"/>
        </w:rPr>
      </w:pPr>
    </w:p>
    <w:p w14:paraId="5A2FD9DD">
      <w:pPr>
        <w:spacing w:line="360" w:lineRule="auto"/>
        <w:ind w:firstLine="494"/>
        <w:rPr>
          <w:rFonts w:ascii="宋体" w:hAnsi="宋体" w:cs="宋体"/>
          <w:color w:val="auto"/>
          <w:sz w:val="24"/>
          <w:highlight w:val="none"/>
        </w:rPr>
      </w:pPr>
    </w:p>
    <w:p w14:paraId="38C54BFC">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w:t>
      </w:r>
      <w:r>
        <w:rPr>
          <w:rFonts w:hint="eastAsia" w:ascii="宋体" w:hAnsi="宋体" w:cs="宋体"/>
          <w:color w:val="auto"/>
          <w:sz w:val="24"/>
          <w:highlight w:val="none"/>
          <w:lang w:val="en-US" w:eastAsia="zh-CN"/>
        </w:rPr>
        <w:t>电子盖章</w:t>
      </w:r>
      <w:r>
        <w:rPr>
          <w:rFonts w:hint="eastAsia" w:ascii="宋体" w:hAnsi="宋体" w:cs="宋体"/>
          <w:color w:val="auto"/>
          <w:sz w:val="24"/>
          <w:highlight w:val="none"/>
        </w:rPr>
        <w:t>）：</w:t>
      </w:r>
    </w:p>
    <w:p w14:paraId="66A36FA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F49DAA8">
      <w:pPr>
        <w:rPr>
          <w:rFonts w:ascii="宋体" w:hAnsi="宋体" w:cs="宋体"/>
          <w:color w:val="auto"/>
          <w:sz w:val="24"/>
          <w:highlight w:val="none"/>
        </w:rPr>
      </w:pPr>
      <w:r>
        <w:rPr>
          <w:rFonts w:hint="eastAsia" w:ascii="宋体" w:hAnsi="宋体" w:cs="宋体"/>
          <w:b/>
          <w:bCs/>
          <w:color w:val="auto"/>
          <w:sz w:val="24"/>
          <w:highlight w:val="none"/>
        </w:rPr>
        <w:t>附：</w:t>
      </w:r>
    </w:p>
    <w:p w14:paraId="7DD708C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5B2CF51">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5B2CF51">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EF2B41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EF2B418">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09352F5">
      <w:pPr>
        <w:autoSpaceDE w:val="0"/>
        <w:autoSpaceDN w:val="0"/>
        <w:jc w:val="center"/>
        <w:rPr>
          <w:rFonts w:ascii="宋体" w:hAnsi="宋体" w:cs="宋体"/>
          <w:b/>
          <w:color w:val="auto"/>
          <w:spacing w:val="6"/>
          <w:sz w:val="32"/>
          <w:szCs w:val="32"/>
          <w:highlight w:val="none"/>
        </w:rPr>
      </w:pPr>
    </w:p>
    <w:p w14:paraId="609125ED">
      <w:pPr>
        <w:autoSpaceDE w:val="0"/>
        <w:autoSpaceDN w:val="0"/>
        <w:jc w:val="center"/>
        <w:rPr>
          <w:rFonts w:ascii="宋体" w:hAnsi="宋体" w:cs="宋体"/>
          <w:b/>
          <w:color w:val="auto"/>
          <w:spacing w:val="6"/>
          <w:sz w:val="32"/>
          <w:szCs w:val="32"/>
          <w:highlight w:val="none"/>
        </w:rPr>
      </w:pPr>
    </w:p>
    <w:p w14:paraId="6BE2A000">
      <w:pPr>
        <w:autoSpaceDE w:val="0"/>
        <w:autoSpaceDN w:val="0"/>
        <w:jc w:val="center"/>
        <w:rPr>
          <w:rFonts w:ascii="宋体" w:hAnsi="宋体" w:cs="宋体"/>
          <w:b/>
          <w:color w:val="auto"/>
          <w:spacing w:val="6"/>
          <w:sz w:val="32"/>
          <w:szCs w:val="32"/>
          <w:highlight w:val="none"/>
        </w:rPr>
      </w:pPr>
    </w:p>
    <w:p w14:paraId="5A2986F6">
      <w:pPr>
        <w:autoSpaceDE w:val="0"/>
        <w:autoSpaceDN w:val="0"/>
        <w:jc w:val="center"/>
        <w:rPr>
          <w:rFonts w:ascii="宋体" w:hAnsi="宋体" w:cs="宋体"/>
          <w:b/>
          <w:color w:val="auto"/>
          <w:spacing w:val="6"/>
          <w:sz w:val="32"/>
          <w:szCs w:val="32"/>
          <w:highlight w:val="none"/>
        </w:rPr>
      </w:pPr>
    </w:p>
    <w:p w14:paraId="2EAEA6D8">
      <w:pPr>
        <w:autoSpaceDE w:val="0"/>
        <w:autoSpaceDN w:val="0"/>
        <w:jc w:val="center"/>
        <w:rPr>
          <w:rFonts w:ascii="宋体" w:hAnsi="宋体" w:cs="宋体"/>
          <w:b/>
          <w:color w:val="auto"/>
          <w:spacing w:val="6"/>
          <w:sz w:val="32"/>
          <w:szCs w:val="32"/>
          <w:highlight w:val="none"/>
        </w:rPr>
      </w:pPr>
    </w:p>
    <w:p w14:paraId="791EE058">
      <w:pPr>
        <w:autoSpaceDE w:val="0"/>
        <w:autoSpaceDN w:val="0"/>
        <w:jc w:val="center"/>
        <w:rPr>
          <w:rFonts w:ascii="宋体" w:hAnsi="宋体" w:cs="宋体"/>
          <w:b/>
          <w:color w:val="auto"/>
          <w:spacing w:val="6"/>
          <w:sz w:val="32"/>
          <w:szCs w:val="32"/>
          <w:highlight w:val="none"/>
        </w:rPr>
      </w:pPr>
    </w:p>
    <w:p w14:paraId="079F595C">
      <w:pPr>
        <w:autoSpaceDE w:val="0"/>
        <w:autoSpaceDN w:val="0"/>
        <w:jc w:val="center"/>
        <w:rPr>
          <w:rFonts w:ascii="宋体" w:hAnsi="宋体" w:cs="宋体"/>
          <w:b/>
          <w:color w:val="auto"/>
          <w:spacing w:val="6"/>
          <w:sz w:val="32"/>
          <w:szCs w:val="32"/>
          <w:highlight w:val="none"/>
        </w:rPr>
      </w:pPr>
    </w:p>
    <w:p w14:paraId="3E5D03E4">
      <w:pPr>
        <w:autoSpaceDE w:val="0"/>
        <w:autoSpaceDN w:val="0"/>
        <w:jc w:val="center"/>
        <w:rPr>
          <w:rFonts w:ascii="宋体" w:hAnsi="宋体" w:cs="宋体"/>
          <w:b/>
          <w:color w:val="auto"/>
          <w:spacing w:val="6"/>
          <w:sz w:val="32"/>
          <w:szCs w:val="32"/>
          <w:highlight w:val="none"/>
        </w:rPr>
      </w:pPr>
    </w:p>
    <w:p w14:paraId="54A6F715">
      <w:pPr>
        <w:autoSpaceDE w:val="0"/>
        <w:autoSpaceDN w:val="0"/>
        <w:jc w:val="center"/>
        <w:rPr>
          <w:rFonts w:ascii="宋体" w:hAnsi="宋体" w:cs="宋体"/>
          <w:b/>
          <w:color w:val="auto"/>
          <w:spacing w:val="6"/>
          <w:sz w:val="32"/>
          <w:szCs w:val="32"/>
          <w:highlight w:val="none"/>
        </w:rPr>
      </w:pPr>
    </w:p>
    <w:p w14:paraId="7FBAE79C">
      <w:pPr>
        <w:autoSpaceDE w:val="0"/>
        <w:autoSpaceDN w:val="0"/>
        <w:jc w:val="center"/>
        <w:rPr>
          <w:rFonts w:ascii="宋体" w:hAnsi="宋体" w:cs="宋体"/>
          <w:b/>
          <w:color w:val="auto"/>
          <w:spacing w:val="6"/>
          <w:sz w:val="32"/>
          <w:szCs w:val="32"/>
          <w:highlight w:val="none"/>
        </w:rPr>
      </w:pPr>
    </w:p>
    <w:p w14:paraId="0DCCF120">
      <w:pPr>
        <w:autoSpaceDE w:val="0"/>
        <w:autoSpaceDN w:val="0"/>
        <w:jc w:val="center"/>
        <w:rPr>
          <w:rFonts w:ascii="宋体" w:hAnsi="宋体" w:cs="宋体"/>
          <w:b/>
          <w:color w:val="auto"/>
          <w:spacing w:val="6"/>
          <w:sz w:val="32"/>
          <w:szCs w:val="32"/>
          <w:highlight w:val="none"/>
        </w:rPr>
      </w:pPr>
    </w:p>
    <w:p w14:paraId="2F047FF3">
      <w:pPr>
        <w:autoSpaceDE w:val="0"/>
        <w:autoSpaceDN w:val="0"/>
        <w:jc w:val="center"/>
        <w:rPr>
          <w:rFonts w:ascii="宋体" w:hAnsi="宋体" w:cs="宋体"/>
          <w:b/>
          <w:color w:val="auto"/>
          <w:spacing w:val="6"/>
          <w:sz w:val="32"/>
          <w:szCs w:val="32"/>
          <w:highlight w:val="none"/>
        </w:rPr>
      </w:pPr>
    </w:p>
    <w:p w14:paraId="4211A835">
      <w:pPr>
        <w:autoSpaceDE w:val="0"/>
        <w:autoSpaceDN w:val="0"/>
        <w:jc w:val="center"/>
        <w:rPr>
          <w:rFonts w:ascii="宋体" w:hAnsi="宋体" w:cs="宋体"/>
          <w:b/>
          <w:color w:val="auto"/>
          <w:spacing w:val="6"/>
          <w:sz w:val="32"/>
          <w:szCs w:val="32"/>
          <w:highlight w:val="none"/>
        </w:rPr>
      </w:pPr>
    </w:p>
    <w:p w14:paraId="37516CB4">
      <w:pPr>
        <w:autoSpaceDE w:val="0"/>
        <w:autoSpaceDN w:val="0"/>
        <w:jc w:val="center"/>
        <w:rPr>
          <w:rFonts w:ascii="宋体" w:hAnsi="宋体" w:cs="宋体"/>
          <w:b/>
          <w:color w:val="auto"/>
          <w:spacing w:val="6"/>
          <w:sz w:val="32"/>
          <w:szCs w:val="32"/>
          <w:highlight w:val="none"/>
        </w:rPr>
      </w:pPr>
    </w:p>
    <w:p w14:paraId="40993CDC">
      <w:pPr>
        <w:autoSpaceDE w:val="0"/>
        <w:autoSpaceDN w:val="0"/>
        <w:jc w:val="center"/>
        <w:rPr>
          <w:rFonts w:ascii="宋体" w:hAnsi="宋体" w:cs="宋体"/>
          <w:b/>
          <w:color w:val="auto"/>
          <w:spacing w:val="6"/>
          <w:sz w:val="32"/>
          <w:szCs w:val="32"/>
          <w:highlight w:val="none"/>
        </w:rPr>
      </w:pPr>
    </w:p>
    <w:p w14:paraId="3D72CDCA">
      <w:pPr>
        <w:autoSpaceDE w:val="0"/>
        <w:autoSpaceDN w:val="0"/>
        <w:jc w:val="center"/>
        <w:rPr>
          <w:rFonts w:ascii="宋体" w:hAnsi="宋体" w:cs="宋体"/>
          <w:b/>
          <w:color w:val="auto"/>
          <w:spacing w:val="6"/>
          <w:sz w:val="32"/>
          <w:szCs w:val="32"/>
          <w:highlight w:val="none"/>
        </w:rPr>
      </w:pPr>
    </w:p>
    <w:p w14:paraId="1283F8CE">
      <w:pPr>
        <w:autoSpaceDE w:val="0"/>
        <w:autoSpaceDN w:val="0"/>
        <w:jc w:val="center"/>
        <w:rPr>
          <w:rFonts w:ascii="宋体" w:hAnsi="宋体" w:cs="宋体"/>
          <w:b/>
          <w:color w:val="auto"/>
          <w:spacing w:val="6"/>
          <w:sz w:val="32"/>
          <w:szCs w:val="32"/>
          <w:highlight w:val="none"/>
        </w:rPr>
      </w:pPr>
    </w:p>
    <w:p w14:paraId="60AE5565">
      <w:pPr>
        <w:rPr>
          <w:rFonts w:hint="eastAsia"/>
          <w:b/>
          <w:bCs/>
          <w:color w:val="auto"/>
          <w:sz w:val="32"/>
          <w:szCs w:val="32"/>
          <w:highlight w:val="none"/>
        </w:rPr>
      </w:pPr>
      <w:bookmarkStart w:id="481" w:name="_Toc27865"/>
      <w:r>
        <w:rPr>
          <w:rFonts w:hint="eastAsia"/>
          <w:b/>
          <w:bCs/>
          <w:color w:val="auto"/>
          <w:sz w:val="32"/>
          <w:szCs w:val="32"/>
          <w:highlight w:val="none"/>
        </w:rPr>
        <w:br w:type="page"/>
      </w:r>
    </w:p>
    <w:p w14:paraId="5289F06C">
      <w:pPr>
        <w:bidi w:val="0"/>
        <w:jc w:val="center"/>
        <w:rPr>
          <w:rFonts w:hint="eastAsia" w:eastAsia="宋体"/>
          <w:b/>
          <w:bCs/>
          <w:color w:val="auto"/>
          <w:sz w:val="32"/>
          <w:szCs w:val="32"/>
          <w:highlight w:val="none"/>
          <w:lang w:eastAsia="zh-CN"/>
        </w:rPr>
      </w:pPr>
      <w:r>
        <w:rPr>
          <w:rFonts w:hint="eastAsia"/>
          <w:b/>
          <w:bCs/>
          <w:color w:val="auto"/>
          <w:sz w:val="32"/>
          <w:szCs w:val="32"/>
          <w:highlight w:val="none"/>
        </w:rPr>
        <w:t>附件</w:t>
      </w:r>
      <w:r>
        <w:rPr>
          <w:rFonts w:hint="eastAsia"/>
          <w:b/>
          <w:bCs/>
          <w:color w:val="auto"/>
          <w:sz w:val="32"/>
          <w:szCs w:val="32"/>
          <w:highlight w:val="none"/>
          <w:lang w:val="en-US" w:eastAsia="zh-CN"/>
        </w:rPr>
        <w:t>3</w:t>
      </w:r>
      <w:r>
        <w:rPr>
          <w:rFonts w:hint="eastAsia"/>
          <w:b/>
          <w:bCs/>
          <w:color w:val="auto"/>
          <w:sz w:val="32"/>
          <w:szCs w:val="32"/>
          <w:highlight w:val="none"/>
        </w:rPr>
        <w:t>：联合协议</w:t>
      </w:r>
      <w:bookmarkEnd w:id="481"/>
      <w:r>
        <w:rPr>
          <w:rFonts w:hint="eastAsia"/>
          <w:b/>
          <w:bCs/>
          <w:color w:val="auto"/>
          <w:sz w:val="32"/>
          <w:szCs w:val="32"/>
          <w:highlight w:val="none"/>
          <w:lang w:eastAsia="zh-CN"/>
        </w:rPr>
        <w:t>（</w:t>
      </w:r>
      <w:r>
        <w:rPr>
          <w:rFonts w:hint="eastAsia"/>
          <w:b/>
          <w:bCs/>
          <w:color w:val="auto"/>
          <w:sz w:val="32"/>
          <w:szCs w:val="32"/>
          <w:highlight w:val="none"/>
          <w:lang w:val="en-US" w:eastAsia="zh-CN"/>
        </w:rPr>
        <w:t>如适用</w:t>
      </w:r>
      <w:r>
        <w:rPr>
          <w:rFonts w:hint="eastAsia"/>
          <w:b/>
          <w:bCs/>
          <w:color w:val="auto"/>
          <w:sz w:val="32"/>
          <w:szCs w:val="32"/>
          <w:highlight w:val="none"/>
          <w:lang w:eastAsia="zh-CN"/>
        </w:rPr>
        <w:t>）</w:t>
      </w:r>
    </w:p>
    <w:p w14:paraId="4CACDB1A">
      <w:pPr>
        <w:pStyle w:val="25"/>
        <w:rPr>
          <w:color w:val="auto"/>
          <w:highlight w:val="none"/>
        </w:rPr>
      </w:pPr>
    </w:p>
    <w:p w14:paraId="1F14168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D141D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48FDE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D0281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2B362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80908AF">
      <w:pPr>
        <w:snapToGrid w:val="0"/>
        <w:spacing w:line="360" w:lineRule="auto"/>
        <w:ind w:firstLine="576"/>
        <w:rPr>
          <w:rFonts w:ascii="宋体" w:hAnsi="宋体" w:cs="宋体"/>
          <w:color w:val="auto"/>
          <w:kern w:val="0"/>
          <w:sz w:val="24"/>
          <w:highlight w:val="none"/>
          <w:lang w:val="zh-CN"/>
        </w:rPr>
      </w:pPr>
      <w:bookmarkStart w:id="48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E4F8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1A43F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82"/>
    <w:p w14:paraId="0FC1E5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705CB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w:t>
      </w:r>
      <w:r>
        <w:rPr>
          <w:rFonts w:hint="eastAsia" w:ascii="宋体" w:hAnsi="宋体" w:cs="宋体"/>
          <w:color w:val="auto"/>
          <w:kern w:val="0"/>
          <w:sz w:val="24"/>
          <w:highlight w:val="none"/>
          <w:lang w:val="en-US" w:eastAsia="zh-CN"/>
        </w:rPr>
        <w:t>部服务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736B6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B8B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30B5A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C5F32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9BDDE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ECF3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A74AC4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602BD00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37DF0D3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92947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DA3C7E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85DC20">
      <w:pPr>
        <w:autoSpaceDE w:val="0"/>
        <w:autoSpaceDN w:val="0"/>
        <w:jc w:val="center"/>
        <w:rPr>
          <w:rFonts w:ascii="宋体" w:hAnsi="宋体" w:cs="宋体"/>
          <w:b/>
          <w:color w:val="auto"/>
          <w:spacing w:val="6"/>
          <w:sz w:val="32"/>
          <w:szCs w:val="32"/>
          <w:highlight w:val="none"/>
        </w:rPr>
      </w:pPr>
    </w:p>
    <w:p w14:paraId="55CC3EB8">
      <w:pPr>
        <w:autoSpaceDE w:val="0"/>
        <w:autoSpaceDN w:val="0"/>
        <w:jc w:val="center"/>
        <w:rPr>
          <w:rFonts w:ascii="宋体" w:hAnsi="宋体" w:cs="宋体"/>
          <w:b/>
          <w:color w:val="auto"/>
          <w:spacing w:val="6"/>
          <w:sz w:val="32"/>
          <w:szCs w:val="32"/>
          <w:highlight w:val="none"/>
        </w:rPr>
      </w:pPr>
    </w:p>
    <w:p w14:paraId="5F5FCF1A">
      <w:pPr>
        <w:autoSpaceDE w:val="0"/>
        <w:autoSpaceDN w:val="0"/>
        <w:jc w:val="center"/>
        <w:rPr>
          <w:rFonts w:ascii="宋体" w:hAnsi="宋体" w:cs="宋体"/>
          <w:b/>
          <w:color w:val="auto"/>
          <w:spacing w:val="6"/>
          <w:sz w:val="32"/>
          <w:szCs w:val="32"/>
          <w:highlight w:val="none"/>
        </w:rPr>
      </w:pPr>
    </w:p>
    <w:p w14:paraId="7FCAE0E6">
      <w:pPr>
        <w:autoSpaceDE w:val="0"/>
        <w:autoSpaceDN w:val="0"/>
        <w:jc w:val="center"/>
        <w:rPr>
          <w:rFonts w:ascii="宋体" w:hAnsi="宋体" w:cs="宋体"/>
          <w:b/>
          <w:color w:val="auto"/>
          <w:spacing w:val="6"/>
          <w:sz w:val="32"/>
          <w:szCs w:val="32"/>
          <w:highlight w:val="none"/>
        </w:rPr>
      </w:pPr>
    </w:p>
    <w:p w14:paraId="0FE63144">
      <w:pPr>
        <w:autoSpaceDE w:val="0"/>
        <w:autoSpaceDN w:val="0"/>
        <w:jc w:val="center"/>
        <w:rPr>
          <w:rFonts w:ascii="宋体" w:hAnsi="宋体" w:cs="宋体"/>
          <w:b/>
          <w:color w:val="auto"/>
          <w:spacing w:val="6"/>
          <w:sz w:val="32"/>
          <w:szCs w:val="32"/>
          <w:highlight w:val="none"/>
        </w:rPr>
      </w:pPr>
    </w:p>
    <w:p w14:paraId="4C0EAA52">
      <w:pPr>
        <w:autoSpaceDE w:val="0"/>
        <w:autoSpaceDN w:val="0"/>
        <w:jc w:val="center"/>
        <w:rPr>
          <w:rFonts w:ascii="宋体" w:hAnsi="宋体" w:cs="宋体"/>
          <w:b/>
          <w:color w:val="auto"/>
          <w:spacing w:val="6"/>
          <w:sz w:val="32"/>
          <w:szCs w:val="32"/>
          <w:highlight w:val="none"/>
        </w:rPr>
      </w:pPr>
    </w:p>
    <w:p w14:paraId="63709D79">
      <w:pPr>
        <w:autoSpaceDE w:val="0"/>
        <w:autoSpaceDN w:val="0"/>
        <w:jc w:val="center"/>
        <w:rPr>
          <w:rFonts w:ascii="宋体" w:hAnsi="宋体" w:cs="宋体"/>
          <w:b/>
          <w:color w:val="auto"/>
          <w:spacing w:val="6"/>
          <w:sz w:val="32"/>
          <w:szCs w:val="32"/>
          <w:highlight w:val="none"/>
        </w:rPr>
      </w:pPr>
    </w:p>
    <w:p w14:paraId="43B55B41">
      <w:pPr>
        <w:autoSpaceDE w:val="0"/>
        <w:autoSpaceDN w:val="0"/>
        <w:jc w:val="center"/>
        <w:rPr>
          <w:rFonts w:ascii="宋体" w:hAnsi="宋体" w:cs="宋体"/>
          <w:b/>
          <w:color w:val="auto"/>
          <w:spacing w:val="6"/>
          <w:sz w:val="32"/>
          <w:szCs w:val="32"/>
          <w:highlight w:val="none"/>
        </w:rPr>
      </w:pPr>
    </w:p>
    <w:p w14:paraId="0B0ACF0E">
      <w:pPr>
        <w:autoSpaceDE w:val="0"/>
        <w:autoSpaceDN w:val="0"/>
        <w:jc w:val="center"/>
        <w:rPr>
          <w:rFonts w:ascii="宋体" w:hAnsi="宋体" w:cs="宋体"/>
          <w:b/>
          <w:color w:val="auto"/>
          <w:spacing w:val="6"/>
          <w:sz w:val="32"/>
          <w:szCs w:val="32"/>
          <w:highlight w:val="none"/>
        </w:rPr>
      </w:pPr>
    </w:p>
    <w:p w14:paraId="0542A07D">
      <w:pPr>
        <w:autoSpaceDE w:val="0"/>
        <w:autoSpaceDN w:val="0"/>
        <w:jc w:val="center"/>
        <w:rPr>
          <w:rFonts w:ascii="宋体" w:hAnsi="宋体" w:cs="宋体"/>
          <w:b/>
          <w:color w:val="auto"/>
          <w:spacing w:val="6"/>
          <w:sz w:val="32"/>
          <w:szCs w:val="32"/>
          <w:highlight w:val="none"/>
        </w:rPr>
      </w:pPr>
    </w:p>
    <w:p w14:paraId="2F3E3163">
      <w:pPr>
        <w:autoSpaceDE w:val="0"/>
        <w:autoSpaceDN w:val="0"/>
        <w:jc w:val="center"/>
        <w:rPr>
          <w:rFonts w:ascii="宋体" w:hAnsi="宋体" w:cs="宋体"/>
          <w:b/>
          <w:color w:val="auto"/>
          <w:spacing w:val="6"/>
          <w:sz w:val="32"/>
          <w:szCs w:val="32"/>
          <w:highlight w:val="none"/>
        </w:rPr>
      </w:pPr>
    </w:p>
    <w:p w14:paraId="29C811DC">
      <w:pPr>
        <w:autoSpaceDE w:val="0"/>
        <w:autoSpaceDN w:val="0"/>
        <w:jc w:val="center"/>
        <w:rPr>
          <w:rFonts w:ascii="宋体" w:hAnsi="宋体" w:cs="宋体"/>
          <w:b/>
          <w:color w:val="auto"/>
          <w:spacing w:val="6"/>
          <w:sz w:val="32"/>
          <w:szCs w:val="32"/>
          <w:highlight w:val="none"/>
        </w:rPr>
      </w:pPr>
    </w:p>
    <w:p w14:paraId="56DF6C3C">
      <w:pPr>
        <w:autoSpaceDE w:val="0"/>
        <w:autoSpaceDN w:val="0"/>
        <w:jc w:val="center"/>
        <w:rPr>
          <w:rFonts w:ascii="宋体" w:hAnsi="宋体" w:cs="宋体"/>
          <w:b/>
          <w:color w:val="auto"/>
          <w:spacing w:val="6"/>
          <w:sz w:val="32"/>
          <w:szCs w:val="32"/>
          <w:highlight w:val="none"/>
        </w:rPr>
      </w:pPr>
    </w:p>
    <w:p w14:paraId="21D7FDCE">
      <w:pPr>
        <w:autoSpaceDE w:val="0"/>
        <w:autoSpaceDN w:val="0"/>
        <w:jc w:val="center"/>
        <w:rPr>
          <w:rFonts w:ascii="宋体" w:hAnsi="宋体" w:cs="宋体"/>
          <w:b/>
          <w:color w:val="auto"/>
          <w:spacing w:val="6"/>
          <w:sz w:val="32"/>
          <w:szCs w:val="32"/>
          <w:highlight w:val="none"/>
        </w:rPr>
      </w:pPr>
    </w:p>
    <w:p w14:paraId="3F8DFEDE">
      <w:pPr>
        <w:autoSpaceDE w:val="0"/>
        <w:autoSpaceDN w:val="0"/>
        <w:jc w:val="center"/>
        <w:rPr>
          <w:rFonts w:ascii="宋体" w:hAnsi="宋体" w:cs="宋体"/>
          <w:b/>
          <w:color w:val="auto"/>
          <w:spacing w:val="6"/>
          <w:sz w:val="32"/>
          <w:szCs w:val="32"/>
          <w:highlight w:val="none"/>
        </w:rPr>
      </w:pPr>
    </w:p>
    <w:p w14:paraId="1B97536E">
      <w:pPr>
        <w:autoSpaceDE w:val="0"/>
        <w:autoSpaceDN w:val="0"/>
        <w:jc w:val="center"/>
        <w:rPr>
          <w:rFonts w:ascii="宋体" w:hAnsi="宋体" w:cs="宋体"/>
          <w:b/>
          <w:color w:val="auto"/>
          <w:spacing w:val="6"/>
          <w:sz w:val="32"/>
          <w:szCs w:val="32"/>
          <w:highlight w:val="none"/>
        </w:rPr>
      </w:pPr>
    </w:p>
    <w:p w14:paraId="7C0C6C1E">
      <w:pPr>
        <w:autoSpaceDE w:val="0"/>
        <w:autoSpaceDN w:val="0"/>
        <w:jc w:val="center"/>
        <w:rPr>
          <w:rFonts w:ascii="宋体" w:hAnsi="宋体" w:cs="宋体"/>
          <w:b/>
          <w:color w:val="auto"/>
          <w:spacing w:val="6"/>
          <w:sz w:val="32"/>
          <w:szCs w:val="32"/>
          <w:highlight w:val="none"/>
        </w:rPr>
      </w:pPr>
    </w:p>
    <w:p w14:paraId="0BF611E6">
      <w:pPr>
        <w:autoSpaceDE w:val="0"/>
        <w:autoSpaceDN w:val="0"/>
        <w:jc w:val="center"/>
        <w:rPr>
          <w:rFonts w:ascii="宋体" w:hAnsi="宋体" w:cs="宋体"/>
          <w:b/>
          <w:color w:val="auto"/>
          <w:spacing w:val="6"/>
          <w:sz w:val="32"/>
          <w:szCs w:val="32"/>
          <w:highlight w:val="none"/>
        </w:rPr>
      </w:pPr>
    </w:p>
    <w:p w14:paraId="3F4A32EB">
      <w:pPr>
        <w:autoSpaceDE w:val="0"/>
        <w:autoSpaceDN w:val="0"/>
        <w:jc w:val="center"/>
        <w:rPr>
          <w:rFonts w:ascii="宋体" w:hAnsi="宋体" w:cs="宋体"/>
          <w:b/>
          <w:color w:val="auto"/>
          <w:spacing w:val="6"/>
          <w:sz w:val="32"/>
          <w:szCs w:val="32"/>
          <w:highlight w:val="none"/>
        </w:rPr>
      </w:pPr>
    </w:p>
    <w:p w14:paraId="68A79A00">
      <w:pPr>
        <w:autoSpaceDE w:val="0"/>
        <w:autoSpaceDN w:val="0"/>
        <w:jc w:val="center"/>
        <w:rPr>
          <w:rFonts w:ascii="宋体" w:hAnsi="宋体" w:cs="宋体"/>
          <w:b/>
          <w:color w:val="auto"/>
          <w:spacing w:val="6"/>
          <w:sz w:val="32"/>
          <w:szCs w:val="32"/>
          <w:highlight w:val="none"/>
        </w:rPr>
      </w:pPr>
    </w:p>
    <w:p w14:paraId="19E0E9B5">
      <w:pPr>
        <w:autoSpaceDE w:val="0"/>
        <w:autoSpaceDN w:val="0"/>
        <w:jc w:val="center"/>
        <w:rPr>
          <w:rFonts w:ascii="宋体" w:hAnsi="宋体" w:cs="宋体"/>
          <w:b/>
          <w:color w:val="auto"/>
          <w:spacing w:val="6"/>
          <w:sz w:val="32"/>
          <w:szCs w:val="32"/>
          <w:highlight w:val="none"/>
        </w:rPr>
      </w:pPr>
    </w:p>
    <w:p w14:paraId="7BBD1FC9">
      <w:pPr>
        <w:autoSpaceDE w:val="0"/>
        <w:autoSpaceDN w:val="0"/>
        <w:jc w:val="center"/>
        <w:rPr>
          <w:rFonts w:ascii="宋体" w:hAnsi="宋体" w:cs="宋体"/>
          <w:b/>
          <w:color w:val="auto"/>
          <w:spacing w:val="6"/>
          <w:sz w:val="32"/>
          <w:szCs w:val="32"/>
          <w:highlight w:val="none"/>
        </w:rPr>
      </w:pPr>
    </w:p>
    <w:p w14:paraId="4C299F8C">
      <w:pPr>
        <w:autoSpaceDE w:val="0"/>
        <w:autoSpaceDN w:val="0"/>
        <w:jc w:val="center"/>
        <w:rPr>
          <w:rFonts w:ascii="宋体" w:hAnsi="宋体" w:cs="宋体"/>
          <w:b/>
          <w:color w:val="auto"/>
          <w:spacing w:val="6"/>
          <w:sz w:val="32"/>
          <w:szCs w:val="32"/>
          <w:highlight w:val="none"/>
        </w:rPr>
      </w:pPr>
    </w:p>
    <w:p w14:paraId="6F19B878">
      <w:pPr>
        <w:autoSpaceDE w:val="0"/>
        <w:autoSpaceDN w:val="0"/>
        <w:jc w:val="center"/>
        <w:rPr>
          <w:rFonts w:ascii="宋体" w:hAnsi="宋体" w:cs="宋体"/>
          <w:b/>
          <w:color w:val="auto"/>
          <w:spacing w:val="6"/>
          <w:sz w:val="32"/>
          <w:szCs w:val="32"/>
          <w:highlight w:val="none"/>
        </w:rPr>
      </w:pPr>
    </w:p>
    <w:p w14:paraId="6898B4A5">
      <w:pPr>
        <w:autoSpaceDE w:val="0"/>
        <w:autoSpaceDN w:val="0"/>
        <w:jc w:val="center"/>
        <w:rPr>
          <w:rFonts w:ascii="宋体" w:hAnsi="宋体" w:cs="宋体"/>
          <w:b/>
          <w:color w:val="auto"/>
          <w:spacing w:val="6"/>
          <w:sz w:val="32"/>
          <w:szCs w:val="32"/>
          <w:highlight w:val="none"/>
        </w:rPr>
      </w:pPr>
    </w:p>
    <w:p w14:paraId="4F740B02">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7135B31">
      <w:pPr>
        <w:bidi w:val="0"/>
        <w:jc w:val="center"/>
        <w:rPr>
          <w:rFonts w:hint="eastAsia" w:eastAsia="宋体"/>
          <w:b/>
          <w:bCs/>
          <w:color w:val="auto"/>
          <w:sz w:val="32"/>
          <w:szCs w:val="32"/>
          <w:highlight w:val="none"/>
          <w:lang w:eastAsia="zh-CN"/>
        </w:rPr>
      </w:pPr>
      <w:bookmarkStart w:id="483" w:name="_Toc22286"/>
      <w:r>
        <w:rPr>
          <w:rFonts w:hint="eastAsia"/>
          <w:b/>
          <w:bCs/>
          <w:color w:val="auto"/>
          <w:sz w:val="32"/>
          <w:szCs w:val="32"/>
          <w:highlight w:val="none"/>
        </w:rPr>
        <w:t>附件</w:t>
      </w:r>
      <w:r>
        <w:rPr>
          <w:rFonts w:hint="eastAsia"/>
          <w:b/>
          <w:bCs/>
          <w:color w:val="auto"/>
          <w:sz w:val="32"/>
          <w:szCs w:val="32"/>
          <w:highlight w:val="none"/>
          <w:lang w:val="en-US" w:eastAsia="zh-CN"/>
        </w:rPr>
        <w:t>4</w:t>
      </w:r>
      <w:r>
        <w:rPr>
          <w:rFonts w:hint="eastAsia"/>
          <w:b/>
          <w:bCs/>
          <w:color w:val="auto"/>
          <w:sz w:val="32"/>
          <w:szCs w:val="32"/>
          <w:highlight w:val="none"/>
        </w:rPr>
        <w:t>：分包意向协议</w:t>
      </w:r>
      <w:bookmarkEnd w:id="483"/>
      <w:r>
        <w:rPr>
          <w:rFonts w:hint="eastAsia"/>
          <w:b/>
          <w:bCs/>
          <w:color w:val="auto"/>
          <w:sz w:val="32"/>
          <w:szCs w:val="32"/>
          <w:highlight w:val="none"/>
          <w:lang w:eastAsia="zh-CN"/>
        </w:rPr>
        <w:t>（</w:t>
      </w:r>
      <w:r>
        <w:rPr>
          <w:rFonts w:hint="eastAsia"/>
          <w:b/>
          <w:bCs/>
          <w:color w:val="auto"/>
          <w:sz w:val="32"/>
          <w:szCs w:val="32"/>
          <w:highlight w:val="none"/>
          <w:lang w:val="en-US" w:eastAsia="zh-CN"/>
        </w:rPr>
        <w:t>如有</w:t>
      </w:r>
      <w:r>
        <w:rPr>
          <w:rFonts w:hint="eastAsia"/>
          <w:b/>
          <w:bCs/>
          <w:color w:val="auto"/>
          <w:sz w:val="32"/>
          <w:szCs w:val="32"/>
          <w:highlight w:val="none"/>
          <w:lang w:eastAsia="zh-CN"/>
        </w:rPr>
        <w:t>）</w:t>
      </w:r>
    </w:p>
    <w:p w14:paraId="5AFDDD1B">
      <w:pPr>
        <w:pStyle w:val="25"/>
        <w:rPr>
          <w:color w:val="auto"/>
          <w:highlight w:val="none"/>
        </w:rPr>
      </w:pPr>
    </w:p>
    <w:p w14:paraId="015A88E2">
      <w:pPr>
        <w:widowControl/>
        <w:spacing w:line="360" w:lineRule="auto"/>
        <w:ind w:firstLine="120" w:firstLineChars="50"/>
        <w:jc w:val="left"/>
        <w:rPr>
          <w:rFonts w:ascii="宋体" w:hAnsi="宋体" w:cs="宋体"/>
          <w:color w:val="auto"/>
          <w:sz w:val="24"/>
          <w:highlight w:val="none"/>
        </w:rPr>
      </w:pPr>
      <w:bookmarkStart w:id="484" w:name="_Toc346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FF95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8F23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387B8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994B6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B7C1B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07D1B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8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85"/>
    </w:p>
    <w:p w14:paraId="7052ED83">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E8454B0">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ABBC75">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7E0D666">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A8BC14">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9C19677">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D3FDDF">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B2FC7D8">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B3EAEA">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FAC45F6">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8276D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14:paraId="29329881">
      <w:pPr>
        <w:snapToGrid w:val="0"/>
        <w:spacing w:line="360" w:lineRule="auto"/>
        <w:ind w:left="5746" w:leftChars="273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14:paraId="6992ED5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C08680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ECED5B">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1458F0A6">
      <w:pPr>
        <w:bidi w:val="0"/>
        <w:jc w:val="center"/>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附件</w:t>
      </w:r>
      <w:r>
        <w:rPr>
          <w:rFonts w:hint="eastAsia" w:ascii="Times New Roman" w:hAnsi="Times New Roman" w:eastAsia="宋体" w:cs="Times New Roman"/>
          <w:b/>
          <w:bCs/>
          <w:color w:val="auto"/>
          <w:sz w:val="32"/>
          <w:szCs w:val="32"/>
          <w:highlight w:val="none"/>
          <w:lang w:val="en-US" w:eastAsia="zh-CN"/>
        </w:rPr>
        <w:t>5</w:t>
      </w:r>
      <w:r>
        <w:rPr>
          <w:rFonts w:hint="eastAsia" w:ascii="Times New Roman" w:hAnsi="Times New Roman" w:eastAsia="宋体" w:cs="Times New Roman"/>
          <w:b/>
          <w:bCs/>
          <w:color w:val="auto"/>
          <w:sz w:val="32"/>
          <w:szCs w:val="32"/>
          <w:highlight w:val="none"/>
        </w:rPr>
        <w:t>：中小企业声明函</w:t>
      </w:r>
      <w:bookmarkEnd w:id="484"/>
    </w:p>
    <w:p w14:paraId="4F3460B8">
      <w:pPr>
        <w:spacing w:line="360" w:lineRule="auto"/>
        <w:jc w:val="center"/>
        <w:rPr>
          <w:rFonts w:ascii="宋体" w:hAnsi="宋体" w:cs="宋体"/>
          <w:color w:val="auto"/>
          <w:sz w:val="24"/>
          <w:highlight w:val="none"/>
          <w:u w:val="single"/>
        </w:rPr>
      </w:pPr>
    </w:p>
    <w:p w14:paraId="74356291">
      <w:pPr>
        <w:jc w:val="center"/>
        <w:rPr>
          <w:rFonts w:hint="eastAsia" w:ascii="宋体" w:cs="宋体"/>
          <w:b/>
          <w:color w:val="auto"/>
          <w:kern w:val="0"/>
          <w:sz w:val="32"/>
          <w:szCs w:val="32"/>
          <w:highlight w:val="none"/>
        </w:rPr>
      </w:pPr>
      <w:r>
        <w:rPr>
          <w:rFonts w:hint="eastAsia" w:ascii="宋体" w:cs="宋体"/>
          <w:b/>
          <w:color w:val="auto"/>
          <w:kern w:val="0"/>
          <w:sz w:val="32"/>
          <w:szCs w:val="32"/>
          <w:highlight w:val="none"/>
        </w:rPr>
        <w:t>中小企业声明函（服务）</w:t>
      </w:r>
    </w:p>
    <w:p w14:paraId="29787FED">
      <w:pPr>
        <w:jc w:val="center"/>
        <w:rPr>
          <w:rFonts w:hint="eastAsia" w:ascii="宋体" w:cs="宋体"/>
          <w:b/>
          <w:color w:val="auto"/>
          <w:kern w:val="0"/>
          <w:sz w:val="28"/>
          <w:szCs w:val="28"/>
          <w:highlight w:val="none"/>
        </w:rPr>
      </w:pPr>
    </w:p>
    <w:p w14:paraId="3E8401CE">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3A7311A">
      <w:pPr>
        <w:snapToGrid w:val="0"/>
        <w:spacing w:line="360" w:lineRule="auto"/>
        <w:ind w:firstLine="632" w:firstLineChars="300"/>
        <w:rPr>
          <w:rFonts w:hint="eastAsia" w:ascii="宋体" w:hAnsi="宋体" w:cs="宋体"/>
          <w:bCs/>
          <w:color w:val="auto"/>
          <w:szCs w:val="21"/>
          <w:highlight w:val="none"/>
        </w:rPr>
      </w:pPr>
      <w:r>
        <w:rPr>
          <w:rFonts w:hint="eastAsia" w:ascii="宋体" w:hAnsi="宋体" w:cs="宋体"/>
          <w:b/>
          <w:bCs w:val="0"/>
          <w:color w:val="auto"/>
          <w:szCs w:val="21"/>
          <w:highlight w:val="none"/>
        </w:rPr>
        <w:t xml:space="preserve">1. </w:t>
      </w:r>
      <w:r>
        <w:rPr>
          <w:rFonts w:hint="eastAsia" w:ascii="宋体" w:hAnsi="宋体" w:cs="宋体"/>
          <w:b/>
          <w:bCs w:val="0"/>
          <w:color w:val="auto"/>
          <w:szCs w:val="21"/>
          <w:highlight w:val="none"/>
          <w:u w:val="single"/>
          <w:lang w:eastAsia="zh-CN"/>
        </w:rPr>
        <w:t>嵊泗县原天成化工厂地块一（原天成化工厂东侧主厂区）土壤污染修复项目</w:t>
      </w:r>
      <w:r>
        <w:rPr>
          <w:rFonts w:hint="eastAsia" w:ascii="宋体" w:hAnsi="宋体" w:cs="宋体"/>
          <w:bCs/>
          <w:color w:val="auto"/>
          <w:szCs w:val="21"/>
          <w:highlight w:val="none"/>
        </w:rPr>
        <w:t>，</w:t>
      </w:r>
      <w:r>
        <w:rPr>
          <w:rFonts w:hint="eastAsia" w:ascii="宋体" w:hAnsi="宋体" w:eastAsia="宋体" w:cs="宋体"/>
          <w:b/>
          <w:bCs w:val="0"/>
          <w:color w:val="auto"/>
          <w:szCs w:val="21"/>
          <w:highlight w:val="none"/>
          <w:u w:val="single"/>
          <w:lang w:val="en-US" w:eastAsia="zh-CN"/>
        </w:rPr>
        <w:t>属于其他未列明行业</w:t>
      </w:r>
      <w:r>
        <w:rPr>
          <w:rFonts w:hint="eastAsia" w:ascii="宋体" w:hAnsi="宋体" w:cs="宋体"/>
          <w:bCs/>
          <w:color w:val="auto"/>
          <w:szCs w:val="21"/>
          <w:highlight w:val="none"/>
        </w:rPr>
        <w:t>；承接企业为</w:t>
      </w:r>
      <w:r>
        <w:rPr>
          <w:rFonts w:hint="eastAsia" w:ascii="宋体" w:hAnsi="宋体" w:cs="宋体"/>
          <w:bCs/>
          <w:color w:val="auto"/>
          <w:szCs w:val="21"/>
          <w:highlight w:val="none"/>
          <w:u w:val="single"/>
        </w:rPr>
        <w:t xml:space="preserve">（企业名称）     </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中型企业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小型企业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微型企业</w:t>
      </w:r>
      <w:r>
        <w:rPr>
          <w:rFonts w:hint="eastAsia" w:ascii="宋体" w:hAnsi="宋体" w:cs="宋体"/>
          <w:bCs/>
          <w:color w:val="auto"/>
          <w:szCs w:val="21"/>
          <w:highlight w:val="none"/>
        </w:rPr>
        <w:t>）；</w:t>
      </w:r>
    </w:p>
    <w:p w14:paraId="49F0471C">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以上企业，不属于大企业的分支机构，不存在控股股东为大企业的情形，也不存在与大企业的负责人为同一人的情形。</w:t>
      </w:r>
    </w:p>
    <w:p w14:paraId="577C5B60">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本企业对上述声明内容的真实性负责。如有虚假，将依法承担相应责任。</w:t>
      </w:r>
    </w:p>
    <w:p w14:paraId="0E9EBC4F">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 xml:space="preserve">                        企业名称（盖章）：</w:t>
      </w:r>
    </w:p>
    <w:p w14:paraId="2BC86618">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 xml:space="preserve">                        日期：</w:t>
      </w:r>
    </w:p>
    <w:p w14:paraId="6B975D5A">
      <w:pPr>
        <w:spacing w:line="500" w:lineRule="exact"/>
        <w:rPr>
          <w:rFonts w:hint="eastAsia" w:ascii="仿宋" w:hAnsi="仿宋" w:eastAsia="仿宋"/>
          <w:color w:val="auto"/>
          <w:sz w:val="32"/>
          <w:szCs w:val="32"/>
          <w:highlight w:val="none"/>
          <w:u w:val="single"/>
        </w:rPr>
      </w:pPr>
    </w:p>
    <w:p w14:paraId="59BBDE12">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 xml:space="preserve">                                                 </w:t>
      </w:r>
    </w:p>
    <w:p w14:paraId="1F9E671B">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1.从业人员、营业收入、资产总额填报上一年度数据，无上一年度数据的新成立企业可不填报。</w:t>
      </w:r>
    </w:p>
    <w:p w14:paraId="41EB1313">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kern w:val="0"/>
          <w:sz w:val="21"/>
          <w:szCs w:val="21"/>
          <w:highlight w:val="none"/>
        </w:rPr>
        <w:t>其他未列明行业。从业人员300人以下的为中小微型企业。其中，从业人员100人及以上的为中型企业；从业人员10人及以上的为小型企业；从业人员10人以下的为微型企业。</w:t>
      </w:r>
    </w:p>
    <w:p w14:paraId="6AE72C42">
      <w:pPr>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风险提示：</w:t>
      </w:r>
    </w:p>
    <w:p w14:paraId="7841E543">
      <w:pPr>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1.对于非面向联合体的项目。</w:t>
      </w:r>
    </w:p>
    <w:p w14:paraId="2ED2FE73">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7BF2592A">
      <w:pPr>
        <w:snapToGrid w:val="0"/>
        <w:spacing w:line="360" w:lineRule="auto"/>
        <w:ind w:firstLine="630" w:firstLineChars="300"/>
        <w:rPr>
          <w:rFonts w:hint="eastAsia" w:ascii="宋体" w:hAnsi="宋体" w:cs="宋体"/>
          <w:bCs/>
          <w:color w:val="auto"/>
          <w:szCs w:val="21"/>
          <w:highlight w:val="none"/>
        </w:rPr>
      </w:pPr>
    </w:p>
    <w:p w14:paraId="182A54C8">
      <w:pPr>
        <w:pStyle w:val="63"/>
        <w:ind w:left="0" w:leftChars="0" w:firstLine="0" w:firstLineChars="0"/>
        <w:rPr>
          <w:rFonts w:hint="eastAsia" w:eastAsia="宋体"/>
          <w:color w:val="auto"/>
          <w:highlight w:val="none"/>
          <w:lang w:val="en-US" w:eastAsia="zh-CN"/>
        </w:rPr>
      </w:pPr>
    </w:p>
    <w:p w14:paraId="6271C6F2">
      <w:pPr>
        <w:spacing w:line="360" w:lineRule="auto"/>
        <w:jc w:val="center"/>
        <w:rPr>
          <w:rFonts w:ascii="宋体" w:hAnsi="宋体" w:cs="宋体"/>
          <w:b/>
          <w:color w:val="auto"/>
          <w:sz w:val="32"/>
          <w:szCs w:val="32"/>
          <w:highlight w:val="none"/>
        </w:rPr>
      </w:pPr>
    </w:p>
    <w:sectPr>
      <w:pgSz w:w="11905" w:h="16838"/>
      <w:pgMar w:top="1134" w:right="1417" w:bottom="1134"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仿宋GB_2312">
    <w:altName w:val="仿宋"/>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F500">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C9503">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AC9503">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21FB">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25FE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D25FE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F21C">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49055">
                          <w:pPr>
                            <w:pStyle w:val="4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B49055">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6EF9">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5CF86">
                          <w:pPr>
                            <w:pStyle w:val="4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75CF86">
                    <w:pPr>
                      <w:pStyle w:val="4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0D38">
    <w:pPr>
      <w:pStyle w:val="40"/>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BF681">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2DBF681">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9D0A">
    <w:pPr>
      <w:pStyle w:val="40"/>
      <w:framePr w:wrap="around" w:vAnchor="text" w:hAnchor="margin" w:xAlign="right" w:y="1"/>
      <w:rPr>
        <w:rStyle w:val="74"/>
      </w:rPr>
    </w:pPr>
    <w:r>
      <w:fldChar w:fldCharType="begin"/>
    </w:r>
    <w:r>
      <w:rPr>
        <w:rStyle w:val="74"/>
      </w:rPr>
      <w:instrText xml:space="preserve">PAGE  </w:instrText>
    </w:r>
    <w:r>
      <w:fldChar w:fldCharType="end"/>
    </w:r>
  </w:p>
  <w:p w14:paraId="6EDC94B0">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9039">
    <w:pPr>
      <w:pStyle w:val="40"/>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0B0C9">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40B0C9">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802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3092">
    <w:pPr>
      <w:pStyle w:val="42"/>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6DD9">
    <w:pPr>
      <w:pStyle w:val="42"/>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FA18">
    <w:pPr>
      <w:pStyle w:val="42"/>
      <w:pBdr>
        <w:bottom w:val="none" w:color="auto" w:sz="0" w:space="1"/>
      </w:pBdr>
    </w:pPr>
    <w:r>
      <w:t></w:t>
    </w:r>
    <w:r>
      <w:rPr>
        <w:rFonts w:hint="eastAsia"/>
      </w:rPr>
      <w:t xml:space="preserve">         </w:t>
    </w:r>
  </w:p>
  <w:p w14:paraId="1687A121">
    <w:pPr>
      <w:pStyle w:val="42"/>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E745A">
    <w:pPr>
      <w:pStyle w:val="42"/>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3439">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4">
    <w:nsid w:val="0EB22CDC"/>
    <w:multiLevelType w:val="singleLevel"/>
    <w:tmpl w:val="0EB22CDC"/>
    <w:lvl w:ilvl="0" w:tentative="0">
      <w:start w:val="1"/>
      <w:numFmt w:val="decimal"/>
      <w:suff w:val="nothing"/>
      <w:lvlText w:val="%1、"/>
      <w:lvlJc w:val="left"/>
      <w:rPr>
        <w:rFonts w:hint="default"/>
        <w:b w:val="0"/>
        <w:bCs w:val="0"/>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5679F8DB"/>
    <w:multiLevelType w:val="singleLevel"/>
    <w:tmpl w:val="5679F8DB"/>
    <w:lvl w:ilvl="0" w:tentative="0">
      <w:start w:val="1"/>
      <w:numFmt w:val="decimal"/>
      <w:suff w:val="nothing"/>
      <w:lvlText w:val="（%1）"/>
      <w:lvlJc w:val="left"/>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GI0NjlkZmFlNzZlMDdhNmM3MTMzYThkY2I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12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44"/>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2DE"/>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956A1"/>
    <w:rsid w:val="011F6449"/>
    <w:rsid w:val="01236AFB"/>
    <w:rsid w:val="01307612"/>
    <w:rsid w:val="01873158"/>
    <w:rsid w:val="019F7441"/>
    <w:rsid w:val="01B37585"/>
    <w:rsid w:val="01C17A5F"/>
    <w:rsid w:val="01D55165"/>
    <w:rsid w:val="01DF6BF8"/>
    <w:rsid w:val="01EC2C57"/>
    <w:rsid w:val="021C53FE"/>
    <w:rsid w:val="025F0711"/>
    <w:rsid w:val="026B2E25"/>
    <w:rsid w:val="02824D4D"/>
    <w:rsid w:val="02B17AA1"/>
    <w:rsid w:val="02C80459"/>
    <w:rsid w:val="02DC4B10"/>
    <w:rsid w:val="02DD76CE"/>
    <w:rsid w:val="02F36323"/>
    <w:rsid w:val="02F5619C"/>
    <w:rsid w:val="02FE29D1"/>
    <w:rsid w:val="0326446A"/>
    <w:rsid w:val="032D5555"/>
    <w:rsid w:val="032D66F7"/>
    <w:rsid w:val="036634D2"/>
    <w:rsid w:val="03772E0C"/>
    <w:rsid w:val="03DD35E4"/>
    <w:rsid w:val="04076900"/>
    <w:rsid w:val="041A5A3B"/>
    <w:rsid w:val="042311BA"/>
    <w:rsid w:val="042B157A"/>
    <w:rsid w:val="045E39DC"/>
    <w:rsid w:val="048F763B"/>
    <w:rsid w:val="049F330E"/>
    <w:rsid w:val="04AA775C"/>
    <w:rsid w:val="04AF1889"/>
    <w:rsid w:val="04D357BF"/>
    <w:rsid w:val="04F66F48"/>
    <w:rsid w:val="05251E14"/>
    <w:rsid w:val="05684DD5"/>
    <w:rsid w:val="05842FE2"/>
    <w:rsid w:val="05A16594"/>
    <w:rsid w:val="05A66D95"/>
    <w:rsid w:val="05A7762D"/>
    <w:rsid w:val="060E2E9D"/>
    <w:rsid w:val="060E5941"/>
    <w:rsid w:val="06110FAF"/>
    <w:rsid w:val="061D17DF"/>
    <w:rsid w:val="063637E1"/>
    <w:rsid w:val="06493CA7"/>
    <w:rsid w:val="065A6178"/>
    <w:rsid w:val="066F1CF3"/>
    <w:rsid w:val="067D77AC"/>
    <w:rsid w:val="06930BB8"/>
    <w:rsid w:val="06BD60A6"/>
    <w:rsid w:val="06C831BB"/>
    <w:rsid w:val="06E01764"/>
    <w:rsid w:val="07245D42"/>
    <w:rsid w:val="07264C62"/>
    <w:rsid w:val="075221B7"/>
    <w:rsid w:val="0779354C"/>
    <w:rsid w:val="07992466"/>
    <w:rsid w:val="07E37F3A"/>
    <w:rsid w:val="08061376"/>
    <w:rsid w:val="08452D77"/>
    <w:rsid w:val="086401F8"/>
    <w:rsid w:val="08751CAA"/>
    <w:rsid w:val="087E4C40"/>
    <w:rsid w:val="08831882"/>
    <w:rsid w:val="08926E32"/>
    <w:rsid w:val="08A871D0"/>
    <w:rsid w:val="08C77EDE"/>
    <w:rsid w:val="08D66AD6"/>
    <w:rsid w:val="08DA33A3"/>
    <w:rsid w:val="08E80F13"/>
    <w:rsid w:val="091A1B16"/>
    <w:rsid w:val="091C680C"/>
    <w:rsid w:val="09335624"/>
    <w:rsid w:val="093F1568"/>
    <w:rsid w:val="0944690F"/>
    <w:rsid w:val="09535675"/>
    <w:rsid w:val="095F057D"/>
    <w:rsid w:val="09642282"/>
    <w:rsid w:val="09733572"/>
    <w:rsid w:val="09772C16"/>
    <w:rsid w:val="097A31CE"/>
    <w:rsid w:val="098353B5"/>
    <w:rsid w:val="099F6887"/>
    <w:rsid w:val="09A92330"/>
    <w:rsid w:val="09B06B87"/>
    <w:rsid w:val="09C13146"/>
    <w:rsid w:val="09DA2693"/>
    <w:rsid w:val="09E04166"/>
    <w:rsid w:val="09FA185B"/>
    <w:rsid w:val="0A056C33"/>
    <w:rsid w:val="0A1826CD"/>
    <w:rsid w:val="0A1C0718"/>
    <w:rsid w:val="0A2B5B87"/>
    <w:rsid w:val="0A3E7710"/>
    <w:rsid w:val="0A5B7E63"/>
    <w:rsid w:val="0A631A57"/>
    <w:rsid w:val="0A8E72E2"/>
    <w:rsid w:val="0AA374A5"/>
    <w:rsid w:val="0AAB7649"/>
    <w:rsid w:val="0ABC5606"/>
    <w:rsid w:val="0B1E1CDD"/>
    <w:rsid w:val="0B30404E"/>
    <w:rsid w:val="0B4C6C14"/>
    <w:rsid w:val="0B547599"/>
    <w:rsid w:val="0B631A88"/>
    <w:rsid w:val="0B683D45"/>
    <w:rsid w:val="0B7F3F11"/>
    <w:rsid w:val="0B884417"/>
    <w:rsid w:val="0BAF46EE"/>
    <w:rsid w:val="0BC007F0"/>
    <w:rsid w:val="0BD80945"/>
    <w:rsid w:val="0BEE69CD"/>
    <w:rsid w:val="0BF6188C"/>
    <w:rsid w:val="0BF73C91"/>
    <w:rsid w:val="0C170175"/>
    <w:rsid w:val="0C1E1FC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1F7D83"/>
    <w:rsid w:val="0D3D2277"/>
    <w:rsid w:val="0D4A7419"/>
    <w:rsid w:val="0D4C5232"/>
    <w:rsid w:val="0D50643D"/>
    <w:rsid w:val="0D827401"/>
    <w:rsid w:val="0D84094E"/>
    <w:rsid w:val="0D8A00E9"/>
    <w:rsid w:val="0D8D589E"/>
    <w:rsid w:val="0DA01C73"/>
    <w:rsid w:val="0DD63300"/>
    <w:rsid w:val="0DF50604"/>
    <w:rsid w:val="0DF702FE"/>
    <w:rsid w:val="0E060E51"/>
    <w:rsid w:val="0E4C16E7"/>
    <w:rsid w:val="0E5604B2"/>
    <w:rsid w:val="0E6D5D79"/>
    <w:rsid w:val="0E8B2236"/>
    <w:rsid w:val="0E9D0089"/>
    <w:rsid w:val="0EB672EF"/>
    <w:rsid w:val="0EB803EE"/>
    <w:rsid w:val="0EF94D4B"/>
    <w:rsid w:val="0F4958DC"/>
    <w:rsid w:val="0F515DF7"/>
    <w:rsid w:val="0F541AE2"/>
    <w:rsid w:val="0F596BA8"/>
    <w:rsid w:val="0F6248D2"/>
    <w:rsid w:val="0F693536"/>
    <w:rsid w:val="0F7B0511"/>
    <w:rsid w:val="0F7B76D9"/>
    <w:rsid w:val="0F816ACD"/>
    <w:rsid w:val="0F9832DB"/>
    <w:rsid w:val="0F9D054E"/>
    <w:rsid w:val="0FBF3FD2"/>
    <w:rsid w:val="0FBF7FF3"/>
    <w:rsid w:val="0FCE5613"/>
    <w:rsid w:val="0FD6688C"/>
    <w:rsid w:val="101D2C5F"/>
    <w:rsid w:val="101E2C79"/>
    <w:rsid w:val="105F1059"/>
    <w:rsid w:val="10601B53"/>
    <w:rsid w:val="1060245B"/>
    <w:rsid w:val="10646583"/>
    <w:rsid w:val="107D4B15"/>
    <w:rsid w:val="108A3C80"/>
    <w:rsid w:val="10C26171"/>
    <w:rsid w:val="10F33360"/>
    <w:rsid w:val="10FC16EA"/>
    <w:rsid w:val="110F1D40"/>
    <w:rsid w:val="11266F33"/>
    <w:rsid w:val="11507751"/>
    <w:rsid w:val="118963A1"/>
    <w:rsid w:val="11BC24C2"/>
    <w:rsid w:val="11C6522A"/>
    <w:rsid w:val="11E104CC"/>
    <w:rsid w:val="11E20309"/>
    <w:rsid w:val="12255233"/>
    <w:rsid w:val="12530213"/>
    <w:rsid w:val="1265440D"/>
    <w:rsid w:val="127723A9"/>
    <w:rsid w:val="12862074"/>
    <w:rsid w:val="12883966"/>
    <w:rsid w:val="129E45B4"/>
    <w:rsid w:val="12CD0D21"/>
    <w:rsid w:val="12D559AE"/>
    <w:rsid w:val="12D81596"/>
    <w:rsid w:val="13072A44"/>
    <w:rsid w:val="1332653D"/>
    <w:rsid w:val="133E70C5"/>
    <w:rsid w:val="135F4BE2"/>
    <w:rsid w:val="137B2A7B"/>
    <w:rsid w:val="13817A34"/>
    <w:rsid w:val="139B1A0A"/>
    <w:rsid w:val="139D25C7"/>
    <w:rsid w:val="13A9275F"/>
    <w:rsid w:val="13BF3CE4"/>
    <w:rsid w:val="141008D8"/>
    <w:rsid w:val="14125FE6"/>
    <w:rsid w:val="141A5CE0"/>
    <w:rsid w:val="146D271E"/>
    <w:rsid w:val="14982588"/>
    <w:rsid w:val="149A5AD9"/>
    <w:rsid w:val="14A60507"/>
    <w:rsid w:val="14A7619D"/>
    <w:rsid w:val="14E13025"/>
    <w:rsid w:val="14FC70FE"/>
    <w:rsid w:val="150536C3"/>
    <w:rsid w:val="150C1963"/>
    <w:rsid w:val="151447A0"/>
    <w:rsid w:val="1526274C"/>
    <w:rsid w:val="153E5FA5"/>
    <w:rsid w:val="154A6454"/>
    <w:rsid w:val="15762120"/>
    <w:rsid w:val="16052C80"/>
    <w:rsid w:val="16A8729C"/>
    <w:rsid w:val="16B33777"/>
    <w:rsid w:val="16BC70A7"/>
    <w:rsid w:val="16C6339E"/>
    <w:rsid w:val="16EB09AA"/>
    <w:rsid w:val="16ED4CEC"/>
    <w:rsid w:val="172F2D79"/>
    <w:rsid w:val="17557BEF"/>
    <w:rsid w:val="178C285E"/>
    <w:rsid w:val="17D1049D"/>
    <w:rsid w:val="17D349C1"/>
    <w:rsid w:val="17D35ABA"/>
    <w:rsid w:val="17D44A24"/>
    <w:rsid w:val="18244F26"/>
    <w:rsid w:val="1830729E"/>
    <w:rsid w:val="1870062C"/>
    <w:rsid w:val="18817102"/>
    <w:rsid w:val="18830A15"/>
    <w:rsid w:val="18852B28"/>
    <w:rsid w:val="188B5321"/>
    <w:rsid w:val="18AE2F08"/>
    <w:rsid w:val="19932372"/>
    <w:rsid w:val="19A20DD5"/>
    <w:rsid w:val="19AE03F1"/>
    <w:rsid w:val="19BE19F2"/>
    <w:rsid w:val="1A071A03"/>
    <w:rsid w:val="1A1F16AE"/>
    <w:rsid w:val="1A3B5C77"/>
    <w:rsid w:val="1A984BAD"/>
    <w:rsid w:val="1AA10CD0"/>
    <w:rsid w:val="1AB8220E"/>
    <w:rsid w:val="1AE4166C"/>
    <w:rsid w:val="1AEE7901"/>
    <w:rsid w:val="1AF06CFB"/>
    <w:rsid w:val="1AF11B8D"/>
    <w:rsid w:val="1B11359C"/>
    <w:rsid w:val="1B1A44C5"/>
    <w:rsid w:val="1B2A271F"/>
    <w:rsid w:val="1B530544"/>
    <w:rsid w:val="1B713184"/>
    <w:rsid w:val="1B86304B"/>
    <w:rsid w:val="1BA209CF"/>
    <w:rsid w:val="1BB456C9"/>
    <w:rsid w:val="1BB4777D"/>
    <w:rsid w:val="1BD6378F"/>
    <w:rsid w:val="1BD75AB8"/>
    <w:rsid w:val="1C0459C2"/>
    <w:rsid w:val="1C1B3B4A"/>
    <w:rsid w:val="1C243679"/>
    <w:rsid w:val="1C784846"/>
    <w:rsid w:val="1C88086E"/>
    <w:rsid w:val="1CBF31A7"/>
    <w:rsid w:val="1CE7157E"/>
    <w:rsid w:val="1D13244B"/>
    <w:rsid w:val="1D266CE1"/>
    <w:rsid w:val="1D3872E5"/>
    <w:rsid w:val="1D3963AF"/>
    <w:rsid w:val="1D3D55C7"/>
    <w:rsid w:val="1D4A31E4"/>
    <w:rsid w:val="1D4A664D"/>
    <w:rsid w:val="1D6A673C"/>
    <w:rsid w:val="1D772CCF"/>
    <w:rsid w:val="1D9247AE"/>
    <w:rsid w:val="1DB567EC"/>
    <w:rsid w:val="1DF15F99"/>
    <w:rsid w:val="1DF51A98"/>
    <w:rsid w:val="1DF5520E"/>
    <w:rsid w:val="1E051CD9"/>
    <w:rsid w:val="1E3D060F"/>
    <w:rsid w:val="1E3F7D2E"/>
    <w:rsid w:val="1E4134E4"/>
    <w:rsid w:val="1E456D76"/>
    <w:rsid w:val="1E5062B3"/>
    <w:rsid w:val="1E523514"/>
    <w:rsid w:val="1E714A66"/>
    <w:rsid w:val="1E802593"/>
    <w:rsid w:val="1E8B6156"/>
    <w:rsid w:val="1EA703CC"/>
    <w:rsid w:val="1EAD11F7"/>
    <w:rsid w:val="1EB7330C"/>
    <w:rsid w:val="1EBF0131"/>
    <w:rsid w:val="1F0A0FF3"/>
    <w:rsid w:val="1F5771FF"/>
    <w:rsid w:val="1F744118"/>
    <w:rsid w:val="1FAD4AB0"/>
    <w:rsid w:val="1FB87851"/>
    <w:rsid w:val="1FD52574"/>
    <w:rsid w:val="1FE868A9"/>
    <w:rsid w:val="20034907"/>
    <w:rsid w:val="20173E4B"/>
    <w:rsid w:val="204E48BC"/>
    <w:rsid w:val="208921B3"/>
    <w:rsid w:val="20936298"/>
    <w:rsid w:val="20973DEB"/>
    <w:rsid w:val="20B26522"/>
    <w:rsid w:val="20B44310"/>
    <w:rsid w:val="20D83414"/>
    <w:rsid w:val="211116EB"/>
    <w:rsid w:val="21316635"/>
    <w:rsid w:val="213170F5"/>
    <w:rsid w:val="216133FC"/>
    <w:rsid w:val="21A66EFA"/>
    <w:rsid w:val="21D56769"/>
    <w:rsid w:val="21E52EF3"/>
    <w:rsid w:val="21FB5D7B"/>
    <w:rsid w:val="22015E94"/>
    <w:rsid w:val="220B1C3D"/>
    <w:rsid w:val="2210005C"/>
    <w:rsid w:val="221D1D20"/>
    <w:rsid w:val="22334A87"/>
    <w:rsid w:val="225B2CCF"/>
    <w:rsid w:val="22BE6801"/>
    <w:rsid w:val="22C3162D"/>
    <w:rsid w:val="22F43BF4"/>
    <w:rsid w:val="233500BF"/>
    <w:rsid w:val="23377FF7"/>
    <w:rsid w:val="236B425F"/>
    <w:rsid w:val="23836192"/>
    <w:rsid w:val="23901F29"/>
    <w:rsid w:val="239C0061"/>
    <w:rsid w:val="23B87492"/>
    <w:rsid w:val="23B908A4"/>
    <w:rsid w:val="23E95BEF"/>
    <w:rsid w:val="23E96F21"/>
    <w:rsid w:val="23F00C4C"/>
    <w:rsid w:val="23FD0064"/>
    <w:rsid w:val="245375B0"/>
    <w:rsid w:val="24642C0A"/>
    <w:rsid w:val="24970DA1"/>
    <w:rsid w:val="24AD788B"/>
    <w:rsid w:val="24B22173"/>
    <w:rsid w:val="24B95AD9"/>
    <w:rsid w:val="24BE24DA"/>
    <w:rsid w:val="24CF5825"/>
    <w:rsid w:val="24D663E6"/>
    <w:rsid w:val="24D77F2B"/>
    <w:rsid w:val="25433633"/>
    <w:rsid w:val="25607675"/>
    <w:rsid w:val="2585779A"/>
    <w:rsid w:val="258B00E2"/>
    <w:rsid w:val="25A416A2"/>
    <w:rsid w:val="25A73215"/>
    <w:rsid w:val="25A917A6"/>
    <w:rsid w:val="25BE27CC"/>
    <w:rsid w:val="25E70F75"/>
    <w:rsid w:val="25F74A5C"/>
    <w:rsid w:val="2628662C"/>
    <w:rsid w:val="262D45DE"/>
    <w:rsid w:val="265741DE"/>
    <w:rsid w:val="265C7550"/>
    <w:rsid w:val="26871DC8"/>
    <w:rsid w:val="26A53EF9"/>
    <w:rsid w:val="26A94201"/>
    <w:rsid w:val="26AC274F"/>
    <w:rsid w:val="26AE6CBB"/>
    <w:rsid w:val="26E2540C"/>
    <w:rsid w:val="27044A29"/>
    <w:rsid w:val="271C7216"/>
    <w:rsid w:val="271D34C8"/>
    <w:rsid w:val="273F7692"/>
    <w:rsid w:val="276142BF"/>
    <w:rsid w:val="27616FE8"/>
    <w:rsid w:val="27735025"/>
    <w:rsid w:val="27783712"/>
    <w:rsid w:val="27836C56"/>
    <w:rsid w:val="27907362"/>
    <w:rsid w:val="27C543F8"/>
    <w:rsid w:val="27D45255"/>
    <w:rsid w:val="28333E1D"/>
    <w:rsid w:val="28454BD6"/>
    <w:rsid w:val="28455253"/>
    <w:rsid w:val="28551971"/>
    <w:rsid w:val="285B1C53"/>
    <w:rsid w:val="2881374C"/>
    <w:rsid w:val="289F7086"/>
    <w:rsid w:val="28C32028"/>
    <w:rsid w:val="28CC490F"/>
    <w:rsid w:val="28D95FBA"/>
    <w:rsid w:val="28DE40AA"/>
    <w:rsid w:val="292439B7"/>
    <w:rsid w:val="29345E77"/>
    <w:rsid w:val="294C65AD"/>
    <w:rsid w:val="29806583"/>
    <w:rsid w:val="298B3C4C"/>
    <w:rsid w:val="29AB54D8"/>
    <w:rsid w:val="29F26D24"/>
    <w:rsid w:val="2A0F4F1C"/>
    <w:rsid w:val="2A15033F"/>
    <w:rsid w:val="2A1662C1"/>
    <w:rsid w:val="2A1B5D79"/>
    <w:rsid w:val="2A1C7367"/>
    <w:rsid w:val="2A2815FA"/>
    <w:rsid w:val="2A495000"/>
    <w:rsid w:val="2A6D6092"/>
    <w:rsid w:val="2A7D76B4"/>
    <w:rsid w:val="2AC22910"/>
    <w:rsid w:val="2AD61801"/>
    <w:rsid w:val="2AFE3ECA"/>
    <w:rsid w:val="2B09293F"/>
    <w:rsid w:val="2B437463"/>
    <w:rsid w:val="2B7807EE"/>
    <w:rsid w:val="2BA50BF7"/>
    <w:rsid w:val="2BA73253"/>
    <w:rsid w:val="2BBF00EC"/>
    <w:rsid w:val="2BC37CFD"/>
    <w:rsid w:val="2BCC1892"/>
    <w:rsid w:val="2BD5237F"/>
    <w:rsid w:val="2BE536CE"/>
    <w:rsid w:val="2BE758D9"/>
    <w:rsid w:val="2BF346BB"/>
    <w:rsid w:val="2C09049E"/>
    <w:rsid w:val="2C092A4A"/>
    <w:rsid w:val="2C0A653C"/>
    <w:rsid w:val="2C191F85"/>
    <w:rsid w:val="2C29420A"/>
    <w:rsid w:val="2CE82D6F"/>
    <w:rsid w:val="2CEA3381"/>
    <w:rsid w:val="2D052664"/>
    <w:rsid w:val="2D343236"/>
    <w:rsid w:val="2D394C12"/>
    <w:rsid w:val="2D575011"/>
    <w:rsid w:val="2D9D779E"/>
    <w:rsid w:val="2DBD4B32"/>
    <w:rsid w:val="2DD15014"/>
    <w:rsid w:val="2DF72DE4"/>
    <w:rsid w:val="2E0220AF"/>
    <w:rsid w:val="2E3330F9"/>
    <w:rsid w:val="2E4B082A"/>
    <w:rsid w:val="2E5D4E86"/>
    <w:rsid w:val="2E5D790B"/>
    <w:rsid w:val="2E9A3C18"/>
    <w:rsid w:val="2EBB0FEE"/>
    <w:rsid w:val="2EC63002"/>
    <w:rsid w:val="2F0A6B38"/>
    <w:rsid w:val="2F5B0C0F"/>
    <w:rsid w:val="2F633E2C"/>
    <w:rsid w:val="2F946CCB"/>
    <w:rsid w:val="2F991602"/>
    <w:rsid w:val="2F9E23BE"/>
    <w:rsid w:val="2FD25781"/>
    <w:rsid w:val="2FDC745C"/>
    <w:rsid w:val="2FFD7934"/>
    <w:rsid w:val="303A50D1"/>
    <w:rsid w:val="30671032"/>
    <w:rsid w:val="30733ACD"/>
    <w:rsid w:val="308C3862"/>
    <w:rsid w:val="309379D8"/>
    <w:rsid w:val="30A270F7"/>
    <w:rsid w:val="30DF1478"/>
    <w:rsid w:val="30EC586F"/>
    <w:rsid w:val="318554D0"/>
    <w:rsid w:val="319C6071"/>
    <w:rsid w:val="31AC537E"/>
    <w:rsid w:val="31DF06E9"/>
    <w:rsid w:val="31E3679B"/>
    <w:rsid w:val="31E732FD"/>
    <w:rsid w:val="31E879A5"/>
    <w:rsid w:val="32517576"/>
    <w:rsid w:val="328E3B09"/>
    <w:rsid w:val="329A7EE9"/>
    <w:rsid w:val="32B23C2D"/>
    <w:rsid w:val="32BE5C2C"/>
    <w:rsid w:val="32CD7542"/>
    <w:rsid w:val="32FB6478"/>
    <w:rsid w:val="330000BB"/>
    <w:rsid w:val="3306278A"/>
    <w:rsid w:val="33072F8F"/>
    <w:rsid w:val="33263B3F"/>
    <w:rsid w:val="334E7547"/>
    <w:rsid w:val="33577E8F"/>
    <w:rsid w:val="336437E1"/>
    <w:rsid w:val="336963EB"/>
    <w:rsid w:val="337E29D9"/>
    <w:rsid w:val="33810A0F"/>
    <w:rsid w:val="33816EEB"/>
    <w:rsid w:val="33EB55CD"/>
    <w:rsid w:val="33EC4C02"/>
    <w:rsid w:val="340D2360"/>
    <w:rsid w:val="3410665D"/>
    <w:rsid w:val="34211214"/>
    <w:rsid w:val="34230270"/>
    <w:rsid w:val="342E63AB"/>
    <w:rsid w:val="34787EAB"/>
    <w:rsid w:val="347C28F2"/>
    <w:rsid w:val="34950E68"/>
    <w:rsid w:val="34986E94"/>
    <w:rsid w:val="34AF62C9"/>
    <w:rsid w:val="34C678E1"/>
    <w:rsid w:val="34CB4388"/>
    <w:rsid w:val="34D74719"/>
    <w:rsid w:val="34FA6E12"/>
    <w:rsid w:val="354D7158"/>
    <w:rsid w:val="358D5588"/>
    <w:rsid w:val="36085571"/>
    <w:rsid w:val="363A3B40"/>
    <w:rsid w:val="365302AE"/>
    <w:rsid w:val="3655745F"/>
    <w:rsid w:val="36607A0A"/>
    <w:rsid w:val="366E227C"/>
    <w:rsid w:val="366F2E0D"/>
    <w:rsid w:val="367B6A5C"/>
    <w:rsid w:val="36A74ADA"/>
    <w:rsid w:val="36AD60D5"/>
    <w:rsid w:val="36B224F9"/>
    <w:rsid w:val="36C11399"/>
    <w:rsid w:val="36CB3A41"/>
    <w:rsid w:val="36EA608B"/>
    <w:rsid w:val="36EC0CC9"/>
    <w:rsid w:val="373F410B"/>
    <w:rsid w:val="37604B4E"/>
    <w:rsid w:val="37AF5C6D"/>
    <w:rsid w:val="37B55BDD"/>
    <w:rsid w:val="37E364F6"/>
    <w:rsid w:val="37EE7094"/>
    <w:rsid w:val="37EF629C"/>
    <w:rsid w:val="38296C89"/>
    <w:rsid w:val="383002EB"/>
    <w:rsid w:val="38586797"/>
    <w:rsid w:val="385D15DF"/>
    <w:rsid w:val="38BC0149"/>
    <w:rsid w:val="38D87D1C"/>
    <w:rsid w:val="38E66546"/>
    <w:rsid w:val="39094CCC"/>
    <w:rsid w:val="39353233"/>
    <w:rsid w:val="395A5D22"/>
    <w:rsid w:val="39636459"/>
    <w:rsid w:val="396B7F6C"/>
    <w:rsid w:val="39B417A9"/>
    <w:rsid w:val="39FC5695"/>
    <w:rsid w:val="3A006D8E"/>
    <w:rsid w:val="3A085499"/>
    <w:rsid w:val="3A112797"/>
    <w:rsid w:val="3A3651E5"/>
    <w:rsid w:val="3A744481"/>
    <w:rsid w:val="3A8C7BEF"/>
    <w:rsid w:val="3A906246"/>
    <w:rsid w:val="3AC930A0"/>
    <w:rsid w:val="3B103F10"/>
    <w:rsid w:val="3B1918E3"/>
    <w:rsid w:val="3B2349B7"/>
    <w:rsid w:val="3B317746"/>
    <w:rsid w:val="3B616CFF"/>
    <w:rsid w:val="3B6259F6"/>
    <w:rsid w:val="3B6B7BD7"/>
    <w:rsid w:val="3B976654"/>
    <w:rsid w:val="3BC01EFC"/>
    <w:rsid w:val="3BCA786A"/>
    <w:rsid w:val="3BD31E2F"/>
    <w:rsid w:val="3BE42827"/>
    <w:rsid w:val="3BF15831"/>
    <w:rsid w:val="3C105946"/>
    <w:rsid w:val="3C471448"/>
    <w:rsid w:val="3C5F759A"/>
    <w:rsid w:val="3C6C525A"/>
    <w:rsid w:val="3C99739B"/>
    <w:rsid w:val="3CB218AA"/>
    <w:rsid w:val="3CCE23CB"/>
    <w:rsid w:val="3CD17D17"/>
    <w:rsid w:val="3D316705"/>
    <w:rsid w:val="3D3C7F39"/>
    <w:rsid w:val="3D440F09"/>
    <w:rsid w:val="3D4504A0"/>
    <w:rsid w:val="3D4879E8"/>
    <w:rsid w:val="3D8734BB"/>
    <w:rsid w:val="3D9A11D4"/>
    <w:rsid w:val="3DA16D89"/>
    <w:rsid w:val="3DA364BE"/>
    <w:rsid w:val="3DE041CB"/>
    <w:rsid w:val="3DEB41E3"/>
    <w:rsid w:val="3E0D48F6"/>
    <w:rsid w:val="3E1868B4"/>
    <w:rsid w:val="3E323047"/>
    <w:rsid w:val="3E377251"/>
    <w:rsid w:val="3E42664B"/>
    <w:rsid w:val="3E515F44"/>
    <w:rsid w:val="3E5A7334"/>
    <w:rsid w:val="3E7B5D6B"/>
    <w:rsid w:val="3E843E66"/>
    <w:rsid w:val="3E8E6348"/>
    <w:rsid w:val="3E8F51FE"/>
    <w:rsid w:val="3E926F87"/>
    <w:rsid w:val="3E9A59DE"/>
    <w:rsid w:val="3EAF4836"/>
    <w:rsid w:val="3EC30CF1"/>
    <w:rsid w:val="3EC33DFA"/>
    <w:rsid w:val="3EDF77F7"/>
    <w:rsid w:val="3EEF0E2E"/>
    <w:rsid w:val="3F060E16"/>
    <w:rsid w:val="3F1D1096"/>
    <w:rsid w:val="3F2F0234"/>
    <w:rsid w:val="3F6363FE"/>
    <w:rsid w:val="3F736254"/>
    <w:rsid w:val="3F756B8F"/>
    <w:rsid w:val="3F95482B"/>
    <w:rsid w:val="3FBE3490"/>
    <w:rsid w:val="3FCB05C2"/>
    <w:rsid w:val="40045C0D"/>
    <w:rsid w:val="4019356B"/>
    <w:rsid w:val="402E1412"/>
    <w:rsid w:val="403121F2"/>
    <w:rsid w:val="40592157"/>
    <w:rsid w:val="405E36EA"/>
    <w:rsid w:val="40666B67"/>
    <w:rsid w:val="406E1CAE"/>
    <w:rsid w:val="408449BE"/>
    <w:rsid w:val="40A0133A"/>
    <w:rsid w:val="40C31A53"/>
    <w:rsid w:val="40FF545D"/>
    <w:rsid w:val="410067C8"/>
    <w:rsid w:val="418F0D2A"/>
    <w:rsid w:val="41C25D13"/>
    <w:rsid w:val="41D01505"/>
    <w:rsid w:val="41E6297B"/>
    <w:rsid w:val="42250FCB"/>
    <w:rsid w:val="422F26B1"/>
    <w:rsid w:val="42302EB4"/>
    <w:rsid w:val="42474939"/>
    <w:rsid w:val="424C3C57"/>
    <w:rsid w:val="425B2D8F"/>
    <w:rsid w:val="42613FF3"/>
    <w:rsid w:val="42660D96"/>
    <w:rsid w:val="428667D2"/>
    <w:rsid w:val="42A5185C"/>
    <w:rsid w:val="42CD1CE0"/>
    <w:rsid w:val="42E1381E"/>
    <w:rsid w:val="42ED6459"/>
    <w:rsid w:val="42FE58DD"/>
    <w:rsid w:val="43145402"/>
    <w:rsid w:val="43174B3D"/>
    <w:rsid w:val="434B790E"/>
    <w:rsid w:val="4360274F"/>
    <w:rsid w:val="43611437"/>
    <w:rsid w:val="43977AB6"/>
    <w:rsid w:val="43A3342B"/>
    <w:rsid w:val="43C77C27"/>
    <w:rsid w:val="43DE09EE"/>
    <w:rsid w:val="44002FAD"/>
    <w:rsid w:val="442B349E"/>
    <w:rsid w:val="449101DD"/>
    <w:rsid w:val="44DE1391"/>
    <w:rsid w:val="451B225C"/>
    <w:rsid w:val="452410C9"/>
    <w:rsid w:val="45317DFB"/>
    <w:rsid w:val="456D3CE4"/>
    <w:rsid w:val="4579042C"/>
    <w:rsid w:val="457F0571"/>
    <w:rsid w:val="45851176"/>
    <w:rsid w:val="45B70D25"/>
    <w:rsid w:val="45C63B94"/>
    <w:rsid w:val="45D9702B"/>
    <w:rsid w:val="460E7DA5"/>
    <w:rsid w:val="46422483"/>
    <w:rsid w:val="465054AF"/>
    <w:rsid w:val="4659254A"/>
    <w:rsid w:val="465B0637"/>
    <w:rsid w:val="465E3F0D"/>
    <w:rsid w:val="466A16E6"/>
    <w:rsid w:val="46754AF4"/>
    <w:rsid w:val="46893F2B"/>
    <w:rsid w:val="46C4686E"/>
    <w:rsid w:val="46F838C8"/>
    <w:rsid w:val="46FD241A"/>
    <w:rsid w:val="477B778F"/>
    <w:rsid w:val="478203EC"/>
    <w:rsid w:val="47B025FA"/>
    <w:rsid w:val="4809698F"/>
    <w:rsid w:val="4811697D"/>
    <w:rsid w:val="48383CC7"/>
    <w:rsid w:val="48472A7B"/>
    <w:rsid w:val="487A3E25"/>
    <w:rsid w:val="488B5503"/>
    <w:rsid w:val="489035D0"/>
    <w:rsid w:val="48937E21"/>
    <w:rsid w:val="489A0361"/>
    <w:rsid w:val="48A13A10"/>
    <w:rsid w:val="48B30FDF"/>
    <w:rsid w:val="48B94FF3"/>
    <w:rsid w:val="48C00AB0"/>
    <w:rsid w:val="48D21567"/>
    <w:rsid w:val="48E37AAB"/>
    <w:rsid w:val="48E9697A"/>
    <w:rsid w:val="48F82C53"/>
    <w:rsid w:val="48FD4B4C"/>
    <w:rsid w:val="490A68E0"/>
    <w:rsid w:val="491055FE"/>
    <w:rsid w:val="49276041"/>
    <w:rsid w:val="49367BE6"/>
    <w:rsid w:val="495F5B3E"/>
    <w:rsid w:val="496E2804"/>
    <w:rsid w:val="496F77D7"/>
    <w:rsid w:val="497654FD"/>
    <w:rsid w:val="49B00A5E"/>
    <w:rsid w:val="49B64211"/>
    <w:rsid w:val="49F6167F"/>
    <w:rsid w:val="4A064FA0"/>
    <w:rsid w:val="4A0D5242"/>
    <w:rsid w:val="4A16615C"/>
    <w:rsid w:val="4A2E5D5F"/>
    <w:rsid w:val="4A4424D7"/>
    <w:rsid w:val="4A6D6E2B"/>
    <w:rsid w:val="4A8810AE"/>
    <w:rsid w:val="4AB82D0F"/>
    <w:rsid w:val="4AEB7664"/>
    <w:rsid w:val="4AFD7C19"/>
    <w:rsid w:val="4B0567D1"/>
    <w:rsid w:val="4B236AAE"/>
    <w:rsid w:val="4B707271"/>
    <w:rsid w:val="4B9207B6"/>
    <w:rsid w:val="4B9739F7"/>
    <w:rsid w:val="4BA77C3C"/>
    <w:rsid w:val="4BE331D9"/>
    <w:rsid w:val="4BE85FBF"/>
    <w:rsid w:val="4BEE2503"/>
    <w:rsid w:val="4C245A30"/>
    <w:rsid w:val="4CB6685F"/>
    <w:rsid w:val="4CC367FE"/>
    <w:rsid w:val="4CE75EFE"/>
    <w:rsid w:val="4D077F3C"/>
    <w:rsid w:val="4D123355"/>
    <w:rsid w:val="4D2A3B31"/>
    <w:rsid w:val="4D312C52"/>
    <w:rsid w:val="4D905305"/>
    <w:rsid w:val="4D964A72"/>
    <w:rsid w:val="4D9C1254"/>
    <w:rsid w:val="4DAA3D9C"/>
    <w:rsid w:val="4DCF29BF"/>
    <w:rsid w:val="4E6151E4"/>
    <w:rsid w:val="4E793892"/>
    <w:rsid w:val="4E800872"/>
    <w:rsid w:val="4EC569ED"/>
    <w:rsid w:val="4ED50EA1"/>
    <w:rsid w:val="4EEC050C"/>
    <w:rsid w:val="4F104EC3"/>
    <w:rsid w:val="4F1E2C3E"/>
    <w:rsid w:val="4F2F7C7D"/>
    <w:rsid w:val="4F47354A"/>
    <w:rsid w:val="4F911C54"/>
    <w:rsid w:val="4FE625E0"/>
    <w:rsid w:val="4FED6EB1"/>
    <w:rsid w:val="5021480F"/>
    <w:rsid w:val="50962ECB"/>
    <w:rsid w:val="509C7D99"/>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24605"/>
    <w:rsid w:val="51FF1C91"/>
    <w:rsid w:val="520D35A5"/>
    <w:rsid w:val="522E4CC3"/>
    <w:rsid w:val="523023A9"/>
    <w:rsid w:val="5244713B"/>
    <w:rsid w:val="524C741A"/>
    <w:rsid w:val="52615633"/>
    <w:rsid w:val="526F4DE4"/>
    <w:rsid w:val="52977FD4"/>
    <w:rsid w:val="52A25790"/>
    <w:rsid w:val="52A96B6F"/>
    <w:rsid w:val="52B45975"/>
    <w:rsid w:val="52D94AA4"/>
    <w:rsid w:val="52EA3A62"/>
    <w:rsid w:val="52F50BB8"/>
    <w:rsid w:val="53097272"/>
    <w:rsid w:val="530974C5"/>
    <w:rsid w:val="531427E9"/>
    <w:rsid w:val="533B2940"/>
    <w:rsid w:val="53544462"/>
    <w:rsid w:val="53571E7F"/>
    <w:rsid w:val="5397158E"/>
    <w:rsid w:val="54013861"/>
    <w:rsid w:val="54487265"/>
    <w:rsid w:val="544D6070"/>
    <w:rsid w:val="54605E1E"/>
    <w:rsid w:val="54706A10"/>
    <w:rsid w:val="54A518FC"/>
    <w:rsid w:val="54B01994"/>
    <w:rsid w:val="54B3506A"/>
    <w:rsid w:val="54CA0D16"/>
    <w:rsid w:val="54DD4057"/>
    <w:rsid w:val="54E7490F"/>
    <w:rsid w:val="550764A4"/>
    <w:rsid w:val="550B2BF6"/>
    <w:rsid w:val="55214EB5"/>
    <w:rsid w:val="55364EFD"/>
    <w:rsid w:val="55545149"/>
    <w:rsid w:val="555D4828"/>
    <w:rsid w:val="55606172"/>
    <w:rsid w:val="55692FCB"/>
    <w:rsid w:val="557A4C8B"/>
    <w:rsid w:val="558931E1"/>
    <w:rsid w:val="55923347"/>
    <w:rsid w:val="55925180"/>
    <w:rsid w:val="55983B1B"/>
    <w:rsid w:val="55A8376B"/>
    <w:rsid w:val="55C4047F"/>
    <w:rsid w:val="55DC29B6"/>
    <w:rsid w:val="55DD4241"/>
    <w:rsid w:val="55EE0202"/>
    <w:rsid w:val="566B6D1E"/>
    <w:rsid w:val="567B4E54"/>
    <w:rsid w:val="56FF3160"/>
    <w:rsid w:val="57032A2C"/>
    <w:rsid w:val="570F5219"/>
    <w:rsid w:val="575D12B5"/>
    <w:rsid w:val="57610A87"/>
    <w:rsid w:val="577B1140"/>
    <w:rsid w:val="577B7F21"/>
    <w:rsid w:val="577F181B"/>
    <w:rsid w:val="578942F7"/>
    <w:rsid w:val="57921984"/>
    <w:rsid w:val="579737F0"/>
    <w:rsid w:val="57AB7B30"/>
    <w:rsid w:val="57AF5251"/>
    <w:rsid w:val="57B26373"/>
    <w:rsid w:val="57B63F04"/>
    <w:rsid w:val="57CD20C2"/>
    <w:rsid w:val="57D675AB"/>
    <w:rsid w:val="57D73717"/>
    <w:rsid w:val="57D95FDD"/>
    <w:rsid w:val="5835229E"/>
    <w:rsid w:val="58917D2F"/>
    <w:rsid w:val="5894085C"/>
    <w:rsid w:val="58AE4F0C"/>
    <w:rsid w:val="58B85899"/>
    <w:rsid w:val="58BC7C67"/>
    <w:rsid w:val="58E363A9"/>
    <w:rsid w:val="59166304"/>
    <w:rsid w:val="595263FD"/>
    <w:rsid w:val="595E1678"/>
    <w:rsid w:val="596D5BD4"/>
    <w:rsid w:val="597E3DD8"/>
    <w:rsid w:val="59F80043"/>
    <w:rsid w:val="5A023D98"/>
    <w:rsid w:val="5A09252F"/>
    <w:rsid w:val="5A0B2778"/>
    <w:rsid w:val="5A2A7C7B"/>
    <w:rsid w:val="5A3E2560"/>
    <w:rsid w:val="5A4411FB"/>
    <w:rsid w:val="5A5D3B6E"/>
    <w:rsid w:val="5A637A76"/>
    <w:rsid w:val="5A6D33BA"/>
    <w:rsid w:val="5A792B1F"/>
    <w:rsid w:val="5A874767"/>
    <w:rsid w:val="5A9C1B97"/>
    <w:rsid w:val="5AA85BE2"/>
    <w:rsid w:val="5AAD6F28"/>
    <w:rsid w:val="5AD63A24"/>
    <w:rsid w:val="5B2E1A1D"/>
    <w:rsid w:val="5B611EA2"/>
    <w:rsid w:val="5B6F4A8B"/>
    <w:rsid w:val="5B843A1C"/>
    <w:rsid w:val="5B873E3F"/>
    <w:rsid w:val="5B97620A"/>
    <w:rsid w:val="5BDF44D5"/>
    <w:rsid w:val="5BFF7BE7"/>
    <w:rsid w:val="5C02690E"/>
    <w:rsid w:val="5C187D7E"/>
    <w:rsid w:val="5C196DA7"/>
    <w:rsid w:val="5C2A048C"/>
    <w:rsid w:val="5C435E21"/>
    <w:rsid w:val="5C80234E"/>
    <w:rsid w:val="5C8A680C"/>
    <w:rsid w:val="5CF5334C"/>
    <w:rsid w:val="5D0C4701"/>
    <w:rsid w:val="5D0F0395"/>
    <w:rsid w:val="5D221076"/>
    <w:rsid w:val="5D361092"/>
    <w:rsid w:val="5D397964"/>
    <w:rsid w:val="5D597720"/>
    <w:rsid w:val="5D5A391C"/>
    <w:rsid w:val="5D5F10C0"/>
    <w:rsid w:val="5D634689"/>
    <w:rsid w:val="5D891B7B"/>
    <w:rsid w:val="5D920C30"/>
    <w:rsid w:val="5D990983"/>
    <w:rsid w:val="5DAD38EE"/>
    <w:rsid w:val="5DB85AE5"/>
    <w:rsid w:val="5E006862"/>
    <w:rsid w:val="5E0207B9"/>
    <w:rsid w:val="5E1834A1"/>
    <w:rsid w:val="5E231DE5"/>
    <w:rsid w:val="5E261785"/>
    <w:rsid w:val="5E4A7017"/>
    <w:rsid w:val="5E552BBA"/>
    <w:rsid w:val="5E611C10"/>
    <w:rsid w:val="5E7A0F3F"/>
    <w:rsid w:val="5E7C0951"/>
    <w:rsid w:val="5EC11E59"/>
    <w:rsid w:val="5EFC7377"/>
    <w:rsid w:val="5F06174D"/>
    <w:rsid w:val="5F194EA9"/>
    <w:rsid w:val="5F1F524E"/>
    <w:rsid w:val="5F353186"/>
    <w:rsid w:val="5F3A3602"/>
    <w:rsid w:val="5F3A658C"/>
    <w:rsid w:val="5F45733B"/>
    <w:rsid w:val="5F463D55"/>
    <w:rsid w:val="5F6277C6"/>
    <w:rsid w:val="5F6D0B1D"/>
    <w:rsid w:val="5F8D0B82"/>
    <w:rsid w:val="5FCC5339"/>
    <w:rsid w:val="5FE34A5B"/>
    <w:rsid w:val="5FFE1E36"/>
    <w:rsid w:val="602008F6"/>
    <w:rsid w:val="60232584"/>
    <w:rsid w:val="607330CE"/>
    <w:rsid w:val="60825176"/>
    <w:rsid w:val="609556F8"/>
    <w:rsid w:val="609F2AC4"/>
    <w:rsid w:val="60FA2EE8"/>
    <w:rsid w:val="61054A27"/>
    <w:rsid w:val="610A52BC"/>
    <w:rsid w:val="611B58BF"/>
    <w:rsid w:val="611D2366"/>
    <w:rsid w:val="61421856"/>
    <w:rsid w:val="615227C4"/>
    <w:rsid w:val="6158253D"/>
    <w:rsid w:val="61654E3F"/>
    <w:rsid w:val="6182292A"/>
    <w:rsid w:val="61864411"/>
    <w:rsid w:val="619F7F92"/>
    <w:rsid w:val="61E81EE3"/>
    <w:rsid w:val="61F94C26"/>
    <w:rsid w:val="61FB3293"/>
    <w:rsid w:val="62000E56"/>
    <w:rsid w:val="621D3884"/>
    <w:rsid w:val="624F3E49"/>
    <w:rsid w:val="62632286"/>
    <w:rsid w:val="627E4805"/>
    <w:rsid w:val="62885958"/>
    <w:rsid w:val="62886D4B"/>
    <w:rsid w:val="62D42564"/>
    <w:rsid w:val="62D47A8F"/>
    <w:rsid w:val="62F40B65"/>
    <w:rsid w:val="62FC2CFE"/>
    <w:rsid w:val="63024505"/>
    <w:rsid w:val="631808D5"/>
    <w:rsid w:val="631D2C08"/>
    <w:rsid w:val="635600A5"/>
    <w:rsid w:val="635B1DB5"/>
    <w:rsid w:val="63711FED"/>
    <w:rsid w:val="63880DDC"/>
    <w:rsid w:val="638D750D"/>
    <w:rsid w:val="63AC6CC0"/>
    <w:rsid w:val="64055776"/>
    <w:rsid w:val="641B4F98"/>
    <w:rsid w:val="64240056"/>
    <w:rsid w:val="643E143A"/>
    <w:rsid w:val="64491666"/>
    <w:rsid w:val="648B6EEF"/>
    <w:rsid w:val="64C158BF"/>
    <w:rsid w:val="64CE2EAA"/>
    <w:rsid w:val="653C3090"/>
    <w:rsid w:val="65854376"/>
    <w:rsid w:val="658767BE"/>
    <w:rsid w:val="65892531"/>
    <w:rsid w:val="65A04A50"/>
    <w:rsid w:val="65BE3902"/>
    <w:rsid w:val="65C23955"/>
    <w:rsid w:val="65C4632A"/>
    <w:rsid w:val="66195831"/>
    <w:rsid w:val="662E75B1"/>
    <w:rsid w:val="66342C2E"/>
    <w:rsid w:val="663E784C"/>
    <w:rsid w:val="664452C4"/>
    <w:rsid w:val="668B6A45"/>
    <w:rsid w:val="671372D5"/>
    <w:rsid w:val="672F3F24"/>
    <w:rsid w:val="673E055F"/>
    <w:rsid w:val="67442BA1"/>
    <w:rsid w:val="67551CE3"/>
    <w:rsid w:val="67774EE5"/>
    <w:rsid w:val="67A22552"/>
    <w:rsid w:val="67B22DCC"/>
    <w:rsid w:val="67BE71AA"/>
    <w:rsid w:val="67CA58A9"/>
    <w:rsid w:val="67CB2A06"/>
    <w:rsid w:val="67D90273"/>
    <w:rsid w:val="67DE5875"/>
    <w:rsid w:val="67E55852"/>
    <w:rsid w:val="67EB1AB4"/>
    <w:rsid w:val="67FA1285"/>
    <w:rsid w:val="68551F4F"/>
    <w:rsid w:val="687C10C9"/>
    <w:rsid w:val="68840C16"/>
    <w:rsid w:val="68876EFB"/>
    <w:rsid w:val="68884654"/>
    <w:rsid w:val="68926A8C"/>
    <w:rsid w:val="689F444F"/>
    <w:rsid w:val="68B96DBB"/>
    <w:rsid w:val="68CA2805"/>
    <w:rsid w:val="68E00250"/>
    <w:rsid w:val="68E937A3"/>
    <w:rsid w:val="693E15D3"/>
    <w:rsid w:val="69623E63"/>
    <w:rsid w:val="69627681"/>
    <w:rsid w:val="6977531D"/>
    <w:rsid w:val="69C15E0F"/>
    <w:rsid w:val="69CC2BFF"/>
    <w:rsid w:val="69FD55B8"/>
    <w:rsid w:val="6A0B1C62"/>
    <w:rsid w:val="6A1D56B2"/>
    <w:rsid w:val="6A2406C8"/>
    <w:rsid w:val="6A610B11"/>
    <w:rsid w:val="6AC4172D"/>
    <w:rsid w:val="6AD306CA"/>
    <w:rsid w:val="6ADE0BD1"/>
    <w:rsid w:val="6AE84C3A"/>
    <w:rsid w:val="6AE96859"/>
    <w:rsid w:val="6AFD3CA4"/>
    <w:rsid w:val="6B0E35F5"/>
    <w:rsid w:val="6B147746"/>
    <w:rsid w:val="6B24787C"/>
    <w:rsid w:val="6B573233"/>
    <w:rsid w:val="6B5B6274"/>
    <w:rsid w:val="6B5E1C25"/>
    <w:rsid w:val="6B71025C"/>
    <w:rsid w:val="6B935D53"/>
    <w:rsid w:val="6C196F71"/>
    <w:rsid w:val="6C226FCB"/>
    <w:rsid w:val="6C23202A"/>
    <w:rsid w:val="6C31226F"/>
    <w:rsid w:val="6C552F0B"/>
    <w:rsid w:val="6C8C67B7"/>
    <w:rsid w:val="6C9D744C"/>
    <w:rsid w:val="6D167928"/>
    <w:rsid w:val="6D26299B"/>
    <w:rsid w:val="6D4772EC"/>
    <w:rsid w:val="6D9078AF"/>
    <w:rsid w:val="6DAA3FEF"/>
    <w:rsid w:val="6DB2721F"/>
    <w:rsid w:val="6DC0172B"/>
    <w:rsid w:val="6DCB690C"/>
    <w:rsid w:val="6DD41A5B"/>
    <w:rsid w:val="6DF43C2E"/>
    <w:rsid w:val="6DF51CA3"/>
    <w:rsid w:val="6E0732C3"/>
    <w:rsid w:val="6E464BC5"/>
    <w:rsid w:val="6E8335BD"/>
    <w:rsid w:val="6E8E12EF"/>
    <w:rsid w:val="6E972936"/>
    <w:rsid w:val="6EC66EAA"/>
    <w:rsid w:val="6ED446C5"/>
    <w:rsid w:val="6EF22D92"/>
    <w:rsid w:val="6F1E43C5"/>
    <w:rsid w:val="6F2A7D94"/>
    <w:rsid w:val="6F5E5E93"/>
    <w:rsid w:val="6F79786C"/>
    <w:rsid w:val="6F8331F1"/>
    <w:rsid w:val="6FAE1A09"/>
    <w:rsid w:val="6FAE56A5"/>
    <w:rsid w:val="6FB252F7"/>
    <w:rsid w:val="6FD75BF8"/>
    <w:rsid w:val="707723D0"/>
    <w:rsid w:val="708F76B1"/>
    <w:rsid w:val="70DC2853"/>
    <w:rsid w:val="70F5661B"/>
    <w:rsid w:val="71360107"/>
    <w:rsid w:val="713B688E"/>
    <w:rsid w:val="71C0067F"/>
    <w:rsid w:val="71D43752"/>
    <w:rsid w:val="71D9315A"/>
    <w:rsid w:val="71E34B1B"/>
    <w:rsid w:val="71F1796A"/>
    <w:rsid w:val="72154626"/>
    <w:rsid w:val="72262B5D"/>
    <w:rsid w:val="72283FF7"/>
    <w:rsid w:val="722E7212"/>
    <w:rsid w:val="723A0474"/>
    <w:rsid w:val="723E2EE4"/>
    <w:rsid w:val="725923E4"/>
    <w:rsid w:val="72864BF7"/>
    <w:rsid w:val="729023FC"/>
    <w:rsid w:val="72D23FA5"/>
    <w:rsid w:val="72E03217"/>
    <w:rsid w:val="739B5A85"/>
    <w:rsid w:val="73B77248"/>
    <w:rsid w:val="73C0646E"/>
    <w:rsid w:val="73E63C72"/>
    <w:rsid w:val="73EA2589"/>
    <w:rsid w:val="74015934"/>
    <w:rsid w:val="742222F5"/>
    <w:rsid w:val="74476126"/>
    <w:rsid w:val="74706664"/>
    <w:rsid w:val="747F3682"/>
    <w:rsid w:val="74876886"/>
    <w:rsid w:val="749C4185"/>
    <w:rsid w:val="74CF2F1B"/>
    <w:rsid w:val="75067759"/>
    <w:rsid w:val="752E6DCD"/>
    <w:rsid w:val="75311A61"/>
    <w:rsid w:val="7551380D"/>
    <w:rsid w:val="75600BE5"/>
    <w:rsid w:val="7564475C"/>
    <w:rsid w:val="756B5E6B"/>
    <w:rsid w:val="7583797F"/>
    <w:rsid w:val="7593281F"/>
    <w:rsid w:val="75C45967"/>
    <w:rsid w:val="75D20F1D"/>
    <w:rsid w:val="75DA2C18"/>
    <w:rsid w:val="75F54412"/>
    <w:rsid w:val="76005B51"/>
    <w:rsid w:val="761D08E0"/>
    <w:rsid w:val="765D347C"/>
    <w:rsid w:val="76826699"/>
    <w:rsid w:val="76B03CE2"/>
    <w:rsid w:val="76C87133"/>
    <w:rsid w:val="76CD08D5"/>
    <w:rsid w:val="76DB4B92"/>
    <w:rsid w:val="77052AA4"/>
    <w:rsid w:val="77136511"/>
    <w:rsid w:val="77340A39"/>
    <w:rsid w:val="77351FD0"/>
    <w:rsid w:val="77472422"/>
    <w:rsid w:val="777E5AED"/>
    <w:rsid w:val="777F31F2"/>
    <w:rsid w:val="77D1700D"/>
    <w:rsid w:val="77EC04CC"/>
    <w:rsid w:val="77F02FE1"/>
    <w:rsid w:val="78412EB3"/>
    <w:rsid w:val="78775729"/>
    <w:rsid w:val="78A42DB0"/>
    <w:rsid w:val="78A656AB"/>
    <w:rsid w:val="78B2245C"/>
    <w:rsid w:val="78E172CC"/>
    <w:rsid w:val="78EA1D1F"/>
    <w:rsid w:val="78F30566"/>
    <w:rsid w:val="78F63C78"/>
    <w:rsid w:val="7904172F"/>
    <w:rsid w:val="790F7E27"/>
    <w:rsid w:val="792A231A"/>
    <w:rsid w:val="79316829"/>
    <w:rsid w:val="796B468C"/>
    <w:rsid w:val="79721CFB"/>
    <w:rsid w:val="797E66A9"/>
    <w:rsid w:val="798518A4"/>
    <w:rsid w:val="79A97383"/>
    <w:rsid w:val="79AC4DA5"/>
    <w:rsid w:val="79D7022F"/>
    <w:rsid w:val="79E15B84"/>
    <w:rsid w:val="79E27E8B"/>
    <w:rsid w:val="79F850CE"/>
    <w:rsid w:val="79FD443C"/>
    <w:rsid w:val="7A1D1975"/>
    <w:rsid w:val="7A282137"/>
    <w:rsid w:val="7A2A6CA4"/>
    <w:rsid w:val="7A2C34D2"/>
    <w:rsid w:val="7A3B2D3F"/>
    <w:rsid w:val="7A3E5150"/>
    <w:rsid w:val="7A4670D6"/>
    <w:rsid w:val="7A4F4A5A"/>
    <w:rsid w:val="7A534B63"/>
    <w:rsid w:val="7A615382"/>
    <w:rsid w:val="7A67303B"/>
    <w:rsid w:val="7A724C9A"/>
    <w:rsid w:val="7A82280C"/>
    <w:rsid w:val="7AAB1D04"/>
    <w:rsid w:val="7ABA4368"/>
    <w:rsid w:val="7AD05746"/>
    <w:rsid w:val="7B032B03"/>
    <w:rsid w:val="7B257FFD"/>
    <w:rsid w:val="7B343476"/>
    <w:rsid w:val="7B5A2978"/>
    <w:rsid w:val="7B5A7E4C"/>
    <w:rsid w:val="7B667AF9"/>
    <w:rsid w:val="7B7468F8"/>
    <w:rsid w:val="7B8435A7"/>
    <w:rsid w:val="7BEE0103"/>
    <w:rsid w:val="7BF35E86"/>
    <w:rsid w:val="7C0A0FE4"/>
    <w:rsid w:val="7C0C65A0"/>
    <w:rsid w:val="7C254906"/>
    <w:rsid w:val="7C4B01F4"/>
    <w:rsid w:val="7C590818"/>
    <w:rsid w:val="7C651E12"/>
    <w:rsid w:val="7C7C10F6"/>
    <w:rsid w:val="7C853BEA"/>
    <w:rsid w:val="7C881368"/>
    <w:rsid w:val="7C8B1CD8"/>
    <w:rsid w:val="7CE27788"/>
    <w:rsid w:val="7D0C32F1"/>
    <w:rsid w:val="7D0F408D"/>
    <w:rsid w:val="7D26527A"/>
    <w:rsid w:val="7D491C6C"/>
    <w:rsid w:val="7D5429C0"/>
    <w:rsid w:val="7D6E6D43"/>
    <w:rsid w:val="7D9365DF"/>
    <w:rsid w:val="7DA01411"/>
    <w:rsid w:val="7DB57A34"/>
    <w:rsid w:val="7DC6485A"/>
    <w:rsid w:val="7DE60973"/>
    <w:rsid w:val="7DEF0916"/>
    <w:rsid w:val="7E1E5218"/>
    <w:rsid w:val="7E896697"/>
    <w:rsid w:val="7E9A4E1F"/>
    <w:rsid w:val="7EA7723A"/>
    <w:rsid w:val="7EB81432"/>
    <w:rsid w:val="7EBC5825"/>
    <w:rsid w:val="7EE53E9B"/>
    <w:rsid w:val="7EEA32B5"/>
    <w:rsid w:val="7EF56FBB"/>
    <w:rsid w:val="7F0768EB"/>
    <w:rsid w:val="7F0F634D"/>
    <w:rsid w:val="7F143BEC"/>
    <w:rsid w:val="7F715AF2"/>
    <w:rsid w:val="7F805DBA"/>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6"/>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styleId="25">
    <w:name w:val="Body Text First Indent 2"/>
    <w:basedOn w:val="24"/>
    <w:link w:val="125"/>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394"/>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00"/>
    <w:qFormat/>
    <w:uiPriority w:val="0"/>
    <w:rPr>
      <w:b/>
      <w:bCs/>
    </w:rPr>
  </w:style>
  <w:style w:type="paragraph" w:styleId="63">
    <w:name w:val="Body Text First Indent"/>
    <w:basedOn w:val="23"/>
    <w:link w:val="323"/>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paragraph" w:customStyle="1" w:styleId="8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样式3"/>
    <w:basedOn w:val="33"/>
    <w:next w:val="1"/>
    <w:qFormat/>
    <w:uiPriority w:val="0"/>
    <w:pPr>
      <w:tabs>
        <w:tab w:val="left" w:pos="2790"/>
        <w:tab w:val="left" w:pos="4230"/>
      </w:tabs>
      <w:spacing w:before="312" w:beforeLines="100"/>
      <w:jc w:val="left"/>
    </w:pPr>
  </w:style>
  <w:style w:type="paragraph" w:customStyle="1" w:styleId="8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5">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2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5"/>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1"/>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basedOn w:val="71"/>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5"/>
    <w:next w:val="8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5"/>
    <w:next w:val="8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3"/>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1"/>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 w:type="paragraph" w:customStyle="1" w:styleId="965">
    <w:name w:val="WPSOffice手动目录 2"/>
    <w:qFormat/>
    <w:uiPriority w:val="0"/>
    <w:pPr>
      <w:ind w:leftChars="200"/>
    </w:pPr>
    <w:rPr>
      <w:rFonts w:ascii="Times New Roman" w:hAnsi="Times New Roman" w:eastAsia="宋体" w:cs="Times New Roman"/>
      <w:sz w:val="20"/>
      <w:szCs w:val="20"/>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flname8"/>
    <w:qFormat/>
    <w:uiPriority w:val="99"/>
    <w:rPr>
      <w:rFonts w:hint="default" w:ascii="Times New Roman" w:hAnsi="Times New Roman" w:cs="Times New Roman"/>
    </w:rPr>
  </w:style>
  <w:style w:type="paragraph" w:customStyle="1" w:styleId="969">
    <w:name w:val="图表文字"/>
    <w:basedOn w:val="1"/>
    <w:qFormat/>
    <w:uiPriority w:val="0"/>
    <w:pPr>
      <w:spacing w:line="300" w:lineRule="exact"/>
      <w:jc w:val="center"/>
    </w:pPr>
    <w:rPr>
      <w:rFonts w:ascii="Times New Roman" w:hAnsi="Times New Roman" w:eastAsia="仿宋GB_2312"/>
      <w:bCs/>
      <w:sz w:val="28"/>
      <w:szCs w:val="20"/>
    </w:rPr>
  </w:style>
  <w:style w:type="paragraph" w:customStyle="1" w:styleId="970">
    <w:name w:val="须知二级小标题"/>
    <w:basedOn w:val="1"/>
    <w:qFormat/>
    <w:uiPriority w:val="0"/>
    <w:pPr>
      <w:spacing w:line="500" w:lineRule="exact"/>
    </w:pPr>
    <w:rPr>
      <w:rFonts w:ascii="宋体"/>
      <w:b/>
      <w:sz w:val="24"/>
    </w:rPr>
  </w:style>
  <w:style w:type="paragraph" w:customStyle="1" w:styleId="971">
    <w:name w:val="前附表"/>
    <w:basedOn w:val="1"/>
    <w:qFormat/>
    <w:uiPriority w:val="99"/>
    <w:pPr>
      <w:jc w:val="center"/>
    </w:pPr>
    <w:rPr>
      <w:rFonts w:ascii="宋体" w:hAnsi="宋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846</Words>
  <Characters>978</Characters>
  <Lines>1</Lines>
  <Paragraphs>1</Paragraphs>
  <TotalTime>0</TotalTime>
  <ScaleCrop>false</ScaleCrop>
  <LinksUpToDate>false</LinksUpToDate>
  <CharactersWithSpaces>1043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asa</dc:creator>
  <cp:lastModifiedBy>杜鱼乐_Dzh</cp:lastModifiedBy>
  <cp:lastPrinted>2024-06-18T08:31:00Z</cp:lastPrinted>
  <dcterms:modified xsi:type="dcterms:W3CDTF">2025-06-10T13:07:16Z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F8DCE22C890A4B04AC0357503853862C_13</vt:lpwstr>
  </property>
  <property fmtid="{D5CDD505-2E9C-101B-9397-08002B2CF9AE}" pid="5" name="KSOTemplateDocerSaveRecord">
    <vt:lpwstr>eyJoZGlkIjoiYTExMDg5NGM5ZDljNDgyZjZkN2NmNzY5ODZhYjFjYTgiLCJ1c2VySWQiOiI2Njc2NDU0NTQifQ==</vt:lpwstr>
  </property>
</Properties>
</file>