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pacing w:before="0" w:beforeAutospacing="0" w:after="0" w:afterAutospacing="0" w:line="520" w:lineRule="exact"/>
        <w:ind w:left="0" w:right="0" w:firstLine="0"/>
        <w:jc w:val="center"/>
        <w:rPr>
          <w:rFonts w:hint="eastAsia" w:ascii="宋体" w:hAnsi="宋体" w:eastAsia="宋体"/>
          <w:b/>
          <w:bCs/>
          <w:color w:val="auto"/>
          <w:sz w:val="32"/>
          <w:szCs w:val="32"/>
          <w:lang w:val="en-US" w:eastAsia="zh-CN" w:bidi="ar"/>
        </w:rPr>
      </w:pPr>
      <w:bookmarkStart w:id="0" w:name="bookmark4"/>
      <w:bookmarkStart w:id="1" w:name="bookmark3"/>
      <w:bookmarkStart w:id="2" w:name="bookmark5"/>
      <w:r>
        <w:rPr>
          <w:rFonts w:hint="eastAsia" w:ascii="宋体" w:hAnsi="宋体" w:eastAsia="宋体"/>
          <w:b/>
          <w:bCs/>
          <w:color w:val="auto"/>
          <w:sz w:val="32"/>
          <w:szCs w:val="32"/>
          <w:lang w:val="en-US" w:eastAsia="zh-CN" w:bidi="ar"/>
        </w:rPr>
        <w:t>第十五届中国（温州）国际园林博览会宁波园项目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pacing w:before="0" w:beforeAutospacing="0" w:after="0" w:afterAutospacing="0" w:line="520" w:lineRule="exact"/>
        <w:ind w:left="0" w:right="0" w:firstLine="0"/>
        <w:jc w:val="center"/>
        <w:rPr>
          <w:rFonts w:hint="eastAsia" w:ascii="宋体" w:hAnsi="宋体" w:eastAsia="宋体"/>
          <w:b/>
          <w:bCs/>
          <w:color w:val="auto"/>
          <w:sz w:val="32"/>
          <w:szCs w:val="32"/>
          <w:lang w:eastAsia="zh-CN" w:bidi="ar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lang w:val="en-US" w:eastAsia="zh-CN" w:bidi="ar"/>
        </w:rPr>
        <w:t>清单</w:t>
      </w:r>
      <w:r>
        <w:rPr>
          <w:rFonts w:hint="eastAsia" w:ascii="宋体" w:hAnsi="宋体" w:eastAsia="宋体"/>
          <w:b/>
          <w:bCs/>
          <w:color w:val="auto"/>
          <w:sz w:val="32"/>
          <w:szCs w:val="32"/>
          <w:lang w:eastAsia="zh-CN" w:bidi="ar"/>
        </w:rPr>
        <w:t>编制说明</w:t>
      </w:r>
      <w:bookmarkEnd w:id="0"/>
      <w:bookmarkEnd w:id="1"/>
      <w:bookmarkEnd w:id="2"/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pacing w:before="0" w:beforeAutospacing="0" w:after="0" w:afterAutospacing="0" w:line="520" w:lineRule="exact"/>
        <w:ind w:left="0" w:right="0" w:firstLine="0"/>
        <w:jc w:val="center"/>
        <w:rPr>
          <w:rFonts w:hint="eastAsia" w:ascii="宋体" w:hAnsi="宋体" w:eastAsia="宋体"/>
          <w:b/>
          <w:bCs/>
          <w:color w:val="auto"/>
          <w:sz w:val="32"/>
          <w:szCs w:val="32"/>
          <w:lang w:eastAsia="zh-CN" w:bidi="ar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520" w:lineRule="exact"/>
        <w:ind w:leftChars="0" w:firstLine="482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 w:bidi="ar-SA"/>
        </w:rPr>
        <w:t>工程概况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right="-48" w:rightChars="-20" w:firstLine="600" w:firstLineChars="250"/>
        <w:rPr>
          <w:rFonts w:hint="eastAsia" w:hAnsi="宋体"/>
          <w:sz w:val="24"/>
          <w:lang w:val="zh-CN"/>
        </w:rPr>
      </w:pPr>
      <w:r>
        <w:rPr>
          <w:rFonts w:hint="eastAsia" w:hAnsi="宋体"/>
          <w:sz w:val="24"/>
          <w:lang w:val="zh-CN"/>
        </w:rPr>
        <w:t>第十五届中国（温州）国际园林博览会宁波园项目，位于温州园博园浙山浙水园区，项目红线面积约</w:t>
      </w:r>
      <w:r>
        <w:rPr>
          <w:rFonts w:hint="eastAsia" w:hAnsi="宋体"/>
          <w:sz w:val="24"/>
          <w:lang w:val="en-US" w:eastAsia="zh-CN"/>
        </w:rPr>
        <w:t>3580平方米。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 w:bidi="ar-SA"/>
        </w:rPr>
        <w:t>二、编制范围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right="-48" w:rightChars="-20" w:firstLine="600" w:firstLineChars="250"/>
        <w:rPr>
          <w:rFonts w:hint="eastAsia" w:hAnsi="宋体"/>
          <w:sz w:val="24"/>
          <w:lang w:val="zh-CN"/>
        </w:rPr>
      </w:pPr>
      <w:r>
        <w:rPr>
          <w:rFonts w:hint="eastAsia" w:hAnsi="宋体"/>
          <w:sz w:val="24"/>
          <w:lang w:val="en-US" w:eastAsia="zh-CN"/>
        </w:rPr>
        <w:t>工程内容包括红线内的景观小品、水系假山、绿化、给排水、电气、智能化、建筑及室内装修等</w:t>
      </w:r>
      <w:r>
        <w:rPr>
          <w:rFonts w:hint="eastAsia" w:hAnsi="宋体"/>
          <w:sz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 w:bidi="ar-SA"/>
        </w:rPr>
        <w:t>三、编制依据：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bookmarkStart w:id="3" w:name="bookmark7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</w:t>
      </w:r>
      <w:bookmarkEnd w:id="3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、由浙江恒合智业规划设计有限公司设计的《第十四届中国(温州)国际园林博览会宁波园》 （2025.5电子版）及设计回复等。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bookmarkStart w:id="4" w:name="bookmark15"/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计算规则：《建设工程工程量清单计价规范》（GB50500-2013）、《市政工程工程量计算规范》（GB50857-2013）、《园林绿化工程工程量计算规范》（GB50858-2013）、《通用安装工程工程量计算规范》(GB50856-2013)、《房屋建筑与装饰工程工程量计算规范》（GB50854-2013）及有关规范、图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计价依据：《浙江省市政工程预算定额》（2018版）、《浙江省园林绿化及仿古建筑工程预算定额》（2018版）、《浙江省房屋建筑与装饰工程预算定额》（2018版）、《浙江省通用安装工程预算定额》（2018版）、《浙江省建设工程计价规则》（2018版）、《浙江省建设工程施工机械台班费用定额》（2018版）及其他省、市有关造价文件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 w:bidi="ar-SA"/>
        </w:rPr>
        <w:t>四、编制原则及办法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3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line="520" w:lineRule="exact"/>
        <w:ind w:left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en-US"/>
        </w:rPr>
        <w:t>1、计价模式：国标清单。</w:t>
      </w:r>
    </w:p>
    <w:bookmarkEnd w:id="4"/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3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line="520" w:lineRule="exact"/>
        <w:ind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eastAsia="宋体" w:asciiTheme="minorEastAsia" w:hAnsi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/>
          <w:sz w:val="24"/>
          <w:szCs w:val="24"/>
        </w:rPr>
        <w:t>取费标准: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0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 w:bidi="en-US"/>
        </w:rPr>
      </w:pPr>
      <w:r>
        <w:rPr>
          <w:rFonts w:hint="eastAsia" w:eastAsia="宋体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eastAsia="宋体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eastAsia="宋体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>企业管理费及利润：</w:t>
      </w:r>
      <w:r>
        <w:rPr>
          <w:rFonts w:hint="eastAsia" w:ascii="宋体" w:hAnsi="宋体" w:eastAsia="宋体" w:cs="宋体"/>
          <w:sz w:val="24"/>
          <w:szCs w:val="24"/>
          <w:lang w:val="en-US" w:eastAsia="zh-CN" w:bidi="en-US"/>
        </w:rPr>
        <w:t>景</w:t>
      </w:r>
      <w:r>
        <w:rPr>
          <w:rFonts w:hint="eastAsia" w:ascii="宋体" w:hAnsi="宋体" w:eastAsia="宋体" w:cs="宋体"/>
          <w:sz w:val="24"/>
          <w:szCs w:val="24"/>
          <w:lang w:val="zh-CN" w:eastAsia="zh-CN" w:bidi="en-US"/>
        </w:rPr>
        <w:t>观绿</w:t>
      </w:r>
      <w:r>
        <w:rPr>
          <w:rFonts w:hint="eastAsia" w:ascii="宋体" w:hAnsi="宋体" w:eastAsia="宋体" w:cs="宋体"/>
          <w:sz w:val="24"/>
          <w:szCs w:val="24"/>
          <w:lang w:val="en-US" w:eastAsia="zh-CN" w:bidi="en-US"/>
        </w:rPr>
        <w:t>化工程按园林绿化及景观工程中值计取：景观电气、景观给水工程按水、电、暖通、消防、智能、自控及通信安装工程中值计取；</w:t>
      </w:r>
      <w:r>
        <w:rPr>
          <w:rFonts w:hint="eastAsia" w:ascii="宋体" w:hAnsi="宋体" w:eastAsia="宋体" w:cs="宋体"/>
          <w:sz w:val="24"/>
          <w:szCs w:val="24"/>
          <w:lang w:val="en-US" w:eastAsia="zh" w:bidi="en-US"/>
        </w:rPr>
        <w:t>装修工程按单独装修工程中值计取</w:t>
      </w:r>
      <w:r>
        <w:rPr>
          <w:rFonts w:hint="eastAsia" w:ascii="宋体" w:hAnsi="宋体" w:eastAsia="宋体" w:cs="宋体"/>
          <w:sz w:val="24"/>
          <w:szCs w:val="24"/>
          <w:lang w:val="en-US" w:eastAsia="zh-CN" w:bidi="en-US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0" w:leftChars="5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"/>
        </w:rPr>
        <w:t>安全生产责任保险费用根据市建管〔2024〕12号文件计取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0" w:leftChars="5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（3）施工组织措施费：按相应专业计取安全文明施工基本费</w:t>
      </w:r>
      <w:r>
        <w:rPr>
          <w:rFonts w:hint="eastAsia" w:asciiTheme="minorEastAsia" w:hAnsiTheme="minorEastAsia"/>
          <w:sz w:val="24"/>
          <w:szCs w:val="24"/>
        </w:rPr>
        <w:t>（按</w:t>
      </w:r>
      <w:r>
        <w:rPr>
          <w:rFonts w:hint="eastAsia" w:asciiTheme="minorEastAsia" w:hAnsiTheme="minorEastAsia"/>
          <w:sz w:val="24"/>
          <w:szCs w:val="24"/>
          <w:lang w:val="zh-CN"/>
        </w:rPr>
        <w:t>市区</w:t>
      </w:r>
      <w:r>
        <w:rPr>
          <w:rFonts w:hint="eastAsia" w:asciiTheme="minorEastAsia" w:hAnsiTheme="minorEastAsia"/>
          <w:sz w:val="24"/>
          <w:szCs w:val="24"/>
        </w:rPr>
        <w:t>工程计取</w:t>
      </w:r>
      <w:r>
        <w:rPr>
          <w:rFonts w:hint="eastAsia" w:asciiTheme="minorEastAsia" w:hAnsiTheme="minorEastAsia"/>
          <w:sz w:val="24"/>
          <w:szCs w:val="24"/>
          <w:lang w:val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、冬雨季施工增加费，</w:t>
      </w:r>
      <w:r>
        <w:rPr>
          <w:rFonts w:hint="eastAsia" w:asciiTheme="minorEastAsia" w:hAnsiTheme="minorEastAsia"/>
          <w:sz w:val="24"/>
          <w:szCs w:val="24"/>
        </w:rPr>
        <w:t>费率按</w:t>
      </w:r>
      <w:r>
        <w:rPr>
          <w:rFonts w:hint="eastAsia" w:asciiTheme="minorEastAsia" w:hAnsiTheme="minorEastAsia"/>
          <w:sz w:val="24"/>
          <w:szCs w:val="24"/>
          <w:lang w:val="zh-CN"/>
        </w:rPr>
        <w:t>中值</w:t>
      </w:r>
      <w:r>
        <w:rPr>
          <w:rFonts w:hint="eastAsia" w:asciiTheme="minorEastAsia" w:hAnsiTheme="minorEastAsia"/>
          <w:sz w:val="24"/>
          <w:szCs w:val="24"/>
        </w:rPr>
        <w:t>计取</w:t>
      </w:r>
      <w:r>
        <w:rPr>
          <w:rFonts w:hint="eastAsia" w:eastAsia="宋体" w:asciiTheme="minorEastAsia" w:hAnsiTheme="minorEastAsia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不计二次搬运费、提前竣工增加费、行车、行人干扰增加费；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0" w:leftChars="5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（4）安全文明施工基本费根据《省建设厅关于调整建筑工程安全文明施工费的通知》(浙建建发(2022)37号)调整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0" w:leftChars="5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Times New Roman"/>
          <w:color w:val="000000"/>
          <w:sz w:val="24"/>
          <w:lang w:val="en-US" w:eastAsia="zh-CN"/>
        </w:rPr>
        <w:t>（5）规费费率：根据《浙江省建设工程计价规则》（2018版）相应专业规定费率的30%计取；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0" w:leftChars="5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（6）采用一般计税法，税金按9%计取。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20" w:lineRule="exact"/>
        <w:ind w:left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bookmarkStart w:id="5" w:name="bookmark18"/>
      <w:r>
        <w:rPr>
          <w:rFonts w:hint="eastAsia" w:eastAsia="宋体" w:asciiTheme="minorEastAsia" w:hAnsi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/>
          <w:sz w:val="24"/>
          <w:szCs w:val="24"/>
        </w:rPr>
        <w:t>人工、材料市场信息价的计取：</w:t>
      </w:r>
    </w:p>
    <w:bookmarkEnd w:id="5"/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120" w:leftChars="50" w:right="0" w:firstLine="480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人工（含机械人工）、材料价格（含机械燃油动力费）：依次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按《宁波建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设工程造价信息》综合版（2025年4月刊）市区信息价、《温州工程造价信息》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、《浙江造价信息》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；苗木信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息价依次按《宁波建设工程造价信息》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2025年3月刊园林苗木版信息价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、《温州工程造价信息》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计取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lang w:val="en-US" w:eastAsia="zh-CN"/>
        </w:rPr>
        <w:t>；以上均无的材料按除税市场价取定。上述材料价均为除税价。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20" w:leftChars="5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-SA"/>
        </w:rPr>
        <w:t>综合说明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本工程土方优先考虑场内平衡，多余土方外运处置，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运距由投标单位自行考虑，运距结算不做调整。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土方外运及消纳必须符合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相关要求。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、本工程混凝土按商品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砼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考虑，砂浆采用预拌干混砂浆；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、模板工程量均按混凝土与模板接触面积计算；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、钢筋工程除注明包含于某个清单中外，钢筋工程均单列清单，钢筋搭接费用已考虑在综合单价中；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5、原地坪标高按业主提供的按黄海标高5.5m考虑；结算时按实调整；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Chars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6、应业主要求，本工程暂列金额按1240000元（除税价）计入园林景观工程。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 w:val="0"/>
        <w:spacing w:line="520" w:lineRule="exact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其他说明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en-US"/>
        </w:rPr>
        <w:t>（一）景观绿化工程：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1、本工程绿化养护期按一年计取；苗木若出现反季节种植，则反季节种植措施费由投标单位在投标报价中自行</w:t>
      </w:r>
      <w:bookmarkStart w:id="7" w:name="_GoBack"/>
      <w:bookmarkEnd w:id="7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考虑，结算时不作调整；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2、经询设计，水池边的黑太湖石暂按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400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t考虑；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3、成品桌椅无详细图纸，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按暂估价计入，详见专业工程暂估价表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4、不锈钢卷轴因需专业厂家二次深化，按暂估价计入，详见专业工程暂估价表；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、经业主要求，毛笔雕塑不在本次招标范围。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、本工程椽子、望板按杉木考虑，花格按梢木考虑，其余均按山樟木考虑；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、本工程石板按老石板考虑，其余石作按青石考虑；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、水泥搅拌桩空搅长度按0.5m考虑；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、碧沚书院内墙装饰优先根据仿古建筑图纸实施，在仿古建筑图纸做法基础上，增加防霉工程涂料饰面一底两面，2厚面层耐水腻子找平层；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10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、壁纸书院建筑内地面做法按装修图纸调整，面层老石板计入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园林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工程，其余内容计入装修工程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1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、排水管道砂垫层及砂回填中的砂按机制砂考虑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default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12、本工程地面老石板厚度按80mm考虑；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13、本工程清水墙青砖尺寸按220*105*42mm考虑；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14、经询设计，碧沚书院、门厅、长廊、水榭、六角亭碎石垫层下部塘渣垫层按400mm考虑；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15、本工程一年二换、一年四换、一年六换的花卉主材及换花费用均已包含在综合单价中；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default" w:eastAsia="宋体" w:cs="宋体"/>
          <w:color w:val="000000"/>
          <w:sz w:val="24"/>
          <w:szCs w:val="24"/>
          <w:lang w:val="en-US" w:eastAsia="zh-CN" w:bidi="en-US"/>
        </w:rPr>
      </w:pPr>
      <w:r>
        <w:rPr>
          <w:rFonts w:hint="eastAsia" w:cs="宋体"/>
          <w:color w:val="000000"/>
          <w:sz w:val="24"/>
          <w:szCs w:val="24"/>
          <w:lang w:val="en-US" w:eastAsia="zh-CN" w:bidi="en-US"/>
        </w:rPr>
        <w:t>16、因</w:t>
      </w:r>
      <w:r>
        <w:t>青铜浇筑</w:t>
      </w:r>
      <w:r>
        <w:rPr>
          <w:rFonts w:hint="eastAsia"/>
          <w:lang w:val="en-US" w:eastAsia="zh-CN"/>
        </w:rPr>
        <w:t>需厂家二次深化，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按暂估价计入，详见专业工程暂估价表。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" w:bidi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" w:bidi="en-US"/>
        </w:rPr>
        <w:t>（</w:t>
      </w:r>
      <w:r>
        <w:rPr>
          <w:rFonts w:hint="eastAsia" w:cs="宋体"/>
          <w:b/>
          <w:bCs/>
          <w:sz w:val="24"/>
          <w:szCs w:val="24"/>
          <w:lang w:val="en-US" w:eastAsia="zh-CN" w:bidi="en-US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" w:bidi="en-US"/>
        </w:rPr>
        <w:t>）装修工程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1、室内展陈内容由专业单位深化制作，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按暂估价计入，详见专业工程暂估价表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2、电子屏展示柜由于参数不详，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按暂估价计入，详见专业工程暂估价表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3、1400*1400mm定制书本雕塑，含基础由于参数不详，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按暂估价计入，详见专业工程暂估价表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4、壁纸书院建筑内地面做法按装修图纸调整，面层老石板计入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园林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工程，其余内容计入装修工程；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" w:bidi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" w:bidi="en-US"/>
        </w:rPr>
        <w:t>（</w:t>
      </w:r>
      <w:r>
        <w:rPr>
          <w:rFonts w:hint="eastAsia" w:cs="宋体"/>
          <w:b/>
          <w:bCs/>
          <w:sz w:val="24"/>
          <w:szCs w:val="24"/>
          <w:lang w:val="en-US" w:eastAsia="zh-CN" w:bidi="en-US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" w:bidi="en-US"/>
        </w:rPr>
        <w:t>）</w:t>
      </w:r>
      <w:r>
        <w:rPr>
          <w:rFonts w:hint="eastAsia" w:cs="宋体"/>
          <w:b/>
          <w:bCs/>
          <w:sz w:val="24"/>
          <w:szCs w:val="24"/>
          <w:lang w:val="en-US" w:eastAsia="zh-CN" w:bidi="en-US"/>
        </w:rPr>
        <w:t>安装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" w:bidi="en-US"/>
        </w:rPr>
        <w:t>工程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1、本项目室外配电箱AL进线电缆接入点不明确，本次编制中进线电缆及配管工程量暂按100m考虑计入，结算时按实调整；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2、本项目配电箱ALE应急集中电源参数不明确，本次编制暂按200W考虑计入，结算时按实调整；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3、本项目室内配电箱AL进线电缆接入点不明确，本次编制中进线电缆及配管工程量暂按100m考虑计入，结算时按实调整；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4、经询设计，本项目防雷接地图纸中未涉及避雷网及引下线等内容，本次编制按图纸计量到位，结算时按实调整；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5、本项目户内给排水系统按图纸预留到位；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6、室外视频监控系统因电源引入点位置不明确，本次编制中监控电源进线按40m考虑计入，结算时按实调整；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before="0" w:beforeAutospacing="0" w:after="0" w:afterAutospacing="0" w:line="520" w:lineRule="exact"/>
        <w:ind w:left="0" w:leftChars="0" w:right="0" w:firstLine="480" w:firstLineChars="200"/>
        <w:jc w:val="left"/>
        <w:rPr>
          <w:rFonts w:hint="default" w:ascii="Times New Roman" w:hAnsi="Times New Roman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7、因设计未明确，本次编制中400W红外枪式摄像机</w:t>
      </w:r>
      <w:r>
        <w:rPr>
          <w:rFonts w:hint="eastAsia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400W人脸识别摄像机</w:t>
      </w:r>
      <w:r>
        <w:rPr>
          <w:rFonts w:hint="eastAsia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24口POE交换机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" w:bidi="en-US"/>
        </w:rPr>
        <w:t>，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按暂估价计入，详见附件二暂定主材价表</w:t>
      </w:r>
      <w:r>
        <w:rPr>
          <w:rFonts w:hint="default" w:ascii="Times New Roman" w:hAnsi="Times New Roma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8、因设计未明确，本次编制中投影仪及配套幕布等内容</w:t>
      </w:r>
      <w:r>
        <w:rPr>
          <w:rFonts w:hint="eastAsia" w:cs="宋体"/>
          <w:color w:val="000000"/>
          <w:sz w:val="24"/>
          <w:szCs w:val="24"/>
          <w:lang w:val="en-US" w:eastAsia="zh-CN" w:bidi="en-US"/>
        </w:rPr>
        <w:t>按暂估价计入，详见专业工程暂估价表</w:t>
      </w:r>
      <w:r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9、本项目户内给水自水表第一个阀门后（不含水表组）开始计量；</w:t>
      </w:r>
    </w:p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leftChars="0"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10、本项目户内智能化系统自信息箱后（含信息箱）开始计量，信息箱进线光缆及配管未计入。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 w:val="0"/>
        <w:spacing w:line="520" w:lineRule="exact"/>
        <w:ind w:firstLine="0"/>
        <w:rPr>
          <w:rFonts w:hint="default" w:ascii="宋体" w:hAnsi="宋体" w:eastAsia="宋体" w:cs="宋体"/>
          <w:b/>
          <w:bCs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  <w:t>附件一: 主要材料品牌表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  <w:t>附件二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en-US"/>
        </w:rPr>
        <w:t>: 暂定主材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  <w:t>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  <w:t>附件三: 专业工程暂估价表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  <w:t>附件四: 暂列金额表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firstLine="48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jc w:val="both"/>
        <w:rPr>
          <w:rFonts w:hint="eastAsia" w:ascii="宋体" w:hAnsi="宋体" w:eastAsia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="0" w:leftChars="0"/>
        <w:jc w:val="left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附件一：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520" w:lineRule="exact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2"/>
          <w:szCs w:val="32"/>
          <w:lang w:val="en-US" w:eastAsia="zh-CN" w:bidi="ar"/>
        </w:rPr>
        <w:t>主要材料品牌表</w:t>
      </w:r>
    </w:p>
    <w:tbl>
      <w:tblPr>
        <w:tblStyle w:val="5"/>
        <w:tblW w:w="5000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2"/>
        <w:gridCol w:w="1949"/>
        <w:gridCol w:w="1949"/>
        <w:gridCol w:w="1949"/>
        <w:gridCol w:w="19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品牌一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品牌二</w:t>
            </w:r>
          </w:p>
        </w:tc>
        <w:tc>
          <w:tcPr>
            <w:tcW w:w="117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品牌三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视频监控系统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海康威视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大华</w:t>
            </w:r>
          </w:p>
        </w:tc>
        <w:tc>
          <w:tcPr>
            <w:tcW w:w="117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宇视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配电箱元器件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西门子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施耐德</w:t>
            </w:r>
          </w:p>
        </w:tc>
        <w:tc>
          <w:tcPr>
            <w:tcW w:w="117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ABB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景观灯具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升谱光电</w:t>
            </w:r>
          </w:p>
        </w:tc>
        <w:tc>
          <w:tcPr>
            <w:tcW w:w="116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中山文和照明</w:t>
            </w:r>
          </w:p>
        </w:tc>
        <w:tc>
          <w:tcPr>
            <w:tcW w:w="117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深圳多氟多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napToGrid w:val="0"/>
        <w:spacing w:line="520" w:lineRule="exact"/>
        <w:ind w:left="0" w:firstLine="0" w:firstLineChars="0"/>
        <w:jc w:val="both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 xml:space="preserve">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="0" w:leftChars="0"/>
        <w:jc w:val="left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附件二：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  <w:r>
        <w:rPr>
          <w:rFonts w:hint="eastAsia" w:cs="宋体"/>
          <w:b/>
          <w:bCs/>
          <w:sz w:val="32"/>
          <w:szCs w:val="32"/>
          <w:lang w:val="en-US" w:eastAsia="zh-CN" w:bidi="en-US"/>
        </w:rPr>
        <w:t>暂定主材价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  <w:t>表</w:t>
      </w:r>
    </w:p>
    <w:tbl>
      <w:tblPr>
        <w:tblStyle w:val="6"/>
        <w:tblW w:w="8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803"/>
        <w:gridCol w:w="507"/>
        <w:gridCol w:w="976"/>
        <w:gridCol w:w="1244"/>
        <w:gridCol w:w="1244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序号</w:t>
            </w:r>
          </w:p>
        </w:tc>
        <w:tc>
          <w:tcPr>
            <w:tcW w:w="280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名称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单位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工程量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单价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（元）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合价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（元）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bookmarkStart w:id="6" w:name="OLE_LINK1" w:colFirst="5" w:colLast="5"/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  <w:r>
              <w:rPr>
                <w:rFonts w:hint="eastAsia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瓦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红外枪式摄像机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台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5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800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4000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  <w:r>
              <w:rPr>
                <w:rFonts w:hint="eastAsia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瓦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人脸识别摄像机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台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4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1300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5200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3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24口POE交换机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台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3000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3000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4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小计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12200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5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税金9%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1098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6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合计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13298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</w:tbl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="0" w:leftChars="0"/>
        <w:jc w:val="left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附件三：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  <w:r>
        <w:rPr>
          <w:rFonts w:hint="eastAsia" w:cs="宋体"/>
          <w:b/>
          <w:bCs/>
          <w:sz w:val="32"/>
          <w:szCs w:val="32"/>
          <w:lang w:val="en-US" w:eastAsia="zh-CN" w:bidi="en-US"/>
        </w:rPr>
        <w:t>专业工程暂估价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  <w:t>表</w:t>
      </w:r>
    </w:p>
    <w:tbl>
      <w:tblPr>
        <w:tblStyle w:val="6"/>
        <w:tblW w:w="8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803"/>
        <w:gridCol w:w="507"/>
        <w:gridCol w:w="976"/>
        <w:gridCol w:w="1244"/>
        <w:gridCol w:w="1244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序号</w:t>
            </w:r>
          </w:p>
        </w:tc>
        <w:tc>
          <w:tcPr>
            <w:tcW w:w="280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名称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单位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工程量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单价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（元）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合价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（元）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一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园林工程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成品桌椅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套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3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5000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15000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</w:t>
            </w:r>
          </w:p>
        </w:tc>
        <w:tc>
          <w:tcPr>
            <w:tcW w:w="2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"/>
              </w:rPr>
              <w:t>不锈钢卷轴</w:t>
            </w:r>
          </w:p>
        </w:tc>
        <w:tc>
          <w:tcPr>
            <w:tcW w:w="5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个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50000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100000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79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3</w:t>
            </w:r>
          </w:p>
        </w:tc>
        <w:tc>
          <w:tcPr>
            <w:tcW w:w="2803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en-US"/>
              </w:rPr>
            </w:pPr>
            <w:r>
              <w:t>青铜浇筑，厂家二次深化</w:t>
            </w:r>
          </w:p>
        </w:tc>
        <w:tc>
          <w:tcPr>
            <w:tcW w:w="507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套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250000</w:t>
            </w: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250000</w:t>
            </w: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二</w:t>
            </w:r>
          </w:p>
        </w:tc>
        <w:tc>
          <w:tcPr>
            <w:tcW w:w="2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"/>
              </w:rPr>
              <w:t>装修工程</w:t>
            </w:r>
          </w:p>
        </w:tc>
        <w:tc>
          <w:tcPr>
            <w:tcW w:w="5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2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"/>
              </w:rPr>
              <w:t>室内展陈内容由专业单位深化制作</w:t>
            </w:r>
          </w:p>
        </w:tc>
        <w:tc>
          <w:tcPr>
            <w:tcW w:w="5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项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50000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50000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</w:t>
            </w:r>
          </w:p>
        </w:tc>
        <w:tc>
          <w:tcPr>
            <w:tcW w:w="2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"/>
              </w:rPr>
              <w:t>1200*400*2200定制电子屏展示柜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套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120000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240000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3</w:t>
            </w:r>
          </w:p>
        </w:tc>
        <w:tc>
          <w:tcPr>
            <w:tcW w:w="2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4"/>
                <w:szCs w:val="24"/>
                <w:lang w:val="en-US" w:eastAsia="zh-CN" w:bidi="ar"/>
              </w:rPr>
              <w:t>1400*1400mm定制书本雕塑，含基础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个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70000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70000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三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智能化工程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投影仪及配套幕布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项</w:t>
            </w: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20000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四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小计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745000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五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税金9%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67050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六</w:t>
            </w:r>
          </w:p>
        </w:tc>
        <w:tc>
          <w:tcPr>
            <w:tcW w:w="280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合计</w:t>
            </w:r>
          </w:p>
        </w:tc>
        <w:tc>
          <w:tcPr>
            <w:tcW w:w="50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812050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</w:tbl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left="0" w:leftChars="0"/>
        <w:jc w:val="left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附件四：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  <w:r>
        <w:rPr>
          <w:rFonts w:hint="eastAsia" w:cs="宋体"/>
          <w:b/>
          <w:bCs/>
          <w:sz w:val="32"/>
          <w:szCs w:val="32"/>
          <w:lang w:val="en-US" w:eastAsia="zh-CN" w:bidi="en-US"/>
        </w:rPr>
        <w:t>暂列金额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  <w:t>表</w:t>
      </w:r>
    </w:p>
    <w:tbl>
      <w:tblPr>
        <w:tblStyle w:val="6"/>
        <w:tblW w:w="8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397"/>
        <w:gridCol w:w="532"/>
        <w:gridCol w:w="990"/>
        <w:gridCol w:w="1463"/>
        <w:gridCol w:w="1486"/>
        <w:gridCol w:w="1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序号</w:t>
            </w:r>
          </w:p>
        </w:tc>
        <w:tc>
          <w:tcPr>
            <w:tcW w:w="2397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名称</w:t>
            </w:r>
          </w:p>
        </w:tc>
        <w:tc>
          <w:tcPr>
            <w:tcW w:w="53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单位</w:t>
            </w:r>
          </w:p>
        </w:tc>
        <w:tc>
          <w:tcPr>
            <w:tcW w:w="99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工程量</w:t>
            </w:r>
          </w:p>
        </w:tc>
        <w:tc>
          <w:tcPr>
            <w:tcW w:w="146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单价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（元）</w:t>
            </w:r>
          </w:p>
        </w:tc>
        <w:tc>
          <w:tcPr>
            <w:tcW w:w="148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合价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（元）</w:t>
            </w:r>
          </w:p>
        </w:tc>
        <w:tc>
          <w:tcPr>
            <w:tcW w:w="115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239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right="0" w:firstLine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暂列金额</w:t>
            </w:r>
          </w:p>
        </w:tc>
        <w:tc>
          <w:tcPr>
            <w:tcW w:w="53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项</w:t>
            </w:r>
          </w:p>
        </w:tc>
        <w:tc>
          <w:tcPr>
            <w:tcW w:w="99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</w:t>
            </w:r>
          </w:p>
        </w:tc>
        <w:tc>
          <w:tcPr>
            <w:tcW w:w="146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1240000</w:t>
            </w:r>
          </w:p>
        </w:tc>
        <w:tc>
          <w:tcPr>
            <w:tcW w:w="148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1240000</w:t>
            </w:r>
          </w:p>
        </w:tc>
        <w:tc>
          <w:tcPr>
            <w:tcW w:w="115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2</w:t>
            </w:r>
          </w:p>
        </w:tc>
        <w:tc>
          <w:tcPr>
            <w:tcW w:w="239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税金9%</w:t>
            </w:r>
          </w:p>
        </w:tc>
        <w:tc>
          <w:tcPr>
            <w:tcW w:w="53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9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46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48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  <w:t>111600</w:t>
            </w:r>
          </w:p>
        </w:tc>
        <w:tc>
          <w:tcPr>
            <w:tcW w:w="115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3</w:t>
            </w:r>
          </w:p>
        </w:tc>
        <w:tc>
          <w:tcPr>
            <w:tcW w:w="2397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20" w:lineRule="exac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 w:bidi="en-US"/>
              </w:rPr>
              <w:t>合计</w:t>
            </w:r>
          </w:p>
        </w:tc>
        <w:tc>
          <w:tcPr>
            <w:tcW w:w="53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99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46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  <w:tc>
          <w:tcPr>
            <w:tcW w:w="148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 w:bidi="en-US"/>
              </w:rPr>
              <w:t>1351600</w:t>
            </w:r>
          </w:p>
        </w:tc>
        <w:tc>
          <w:tcPr>
            <w:tcW w:w="115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vertAlign w:val="baseline"/>
                <w:lang w:val="en-US" w:eastAsia="zh-CN" w:bidi="en-US"/>
              </w:rPr>
            </w:pPr>
          </w:p>
        </w:tc>
      </w:tr>
    </w:tbl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ascii="仿宋_GB2312" w:hAnsi="仿宋_GB2312" w:eastAsia="仿宋_GB2312" w:cs="仿宋_GB2312"/>
          <w:sz w:val="28"/>
          <w:szCs w:val="28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  <w:t>中冠工程管理咨询有限公司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ind w:firstLine="560" w:firstLineChars="200"/>
        <w:jc w:val="right"/>
        <w:rPr>
          <w:rFonts w:hint="eastAsia" w:ascii="宋体" w:hAnsi="宋体" w:eastAsia="宋体" w:cs="宋体"/>
          <w:b/>
          <w:bCs/>
          <w:sz w:val="32"/>
          <w:szCs w:val="32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" w:bidi="en-US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 w:bidi="en-US"/>
        </w:rPr>
        <w:t>年6月6日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rPr>
          <w:rFonts w:ascii="仿宋_GB2312" w:hAnsi="仿宋_GB2312" w:eastAsia="仿宋_GB2312" w:cs="仿宋_GB2312"/>
          <w:sz w:val="28"/>
          <w:szCs w:val="28"/>
          <w:lang w:val="en-US" w:eastAsia="zh-CN" w:bidi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494C6"/>
    <w:multiLevelType w:val="singleLevel"/>
    <w:tmpl w:val="84D494C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253FC51"/>
    <w:multiLevelType w:val="singleLevel"/>
    <w:tmpl w:val="E253FC51"/>
    <w:lvl w:ilvl="0" w:tentative="0">
      <w:start w:val="5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2">
    <w:nsid w:val="3EEDE61B"/>
    <w:multiLevelType w:val="singleLevel"/>
    <w:tmpl w:val="3EEDE6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FlZjhmZmJkNGVlNDI1ZDc3YmRkYzdiZjY4YWE1MjQifQ=="/>
  </w:docVars>
  <w:rsids>
    <w:rsidRoot w:val="65525090"/>
    <w:rsid w:val="000E5377"/>
    <w:rsid w:val="00113B90"/>
    <w:rsid w:val="00282F35"/>
    <w:rsid w:val="004C194C"/>
    <w:rsid w:val="005539A0"/>
    <w:rsid w:val="005E4116"/>
    <w:rsid w:val="006E2ED0"/>
    <w:rsid w:val="008A6863"/>
    <w:rsid w:val="009321CF"/>
    <w:rsid w:val="00E97615"/>
    <w:rsid w:val="00FF4B68"/>
    <w:rsid w:val="05C3312D"/>
    <w:rsid w:val="07467A85"/>
    <w:rsid w:val="07D8631B"/>
    <w:rsid w:val="08C276F9"/>
    <w:rsid w:val="097B35B7"/>
    <w:rsid w:val="09E3201C"/>
    <w:rsid w:val="0D3F0A59"/>
    <w:rsid w:val="0D675C8F"/>
    <w:rsid w:val="0EAD2672"/>
    <w:rsid w:val="13764352"/>
    <w:rsid w:val="14145347"/>
    <w:rsid w:val="14841688"/>
    <w:rsid w:val="14AA1DA3"/>
    <w:rsid w:val="16925DEF"/>
    <w:rsid w:val="1BF1083C"/>
    <w:rsid w:val="1DD41F50"/>
    <w:rsid w:val="1DF95513"/>
    <w:rsid w:val="23A6621C"/>
    <w:rsid w:val="23BA0F9C"/>
    <w:rsid w:val="23D24AE3"/>
    <w:rsid w:val="244F0582"/>
    <w:rsid w:val="246105E2"/>
    <w:rsid w:val="2505598D"/>
    <w:rsid w:val="250627F1"/>
    <w:rsid w:val="256055AE"/>
    <w:rsid w:val="271E3B1B"/>
    <w:rsid w:val="27830354"/>
    <w:rsid w:val="2AD67953"/>
    <w:rsid w:val="2ADD3A5F"/>
    <w:rsid w:val="2B1E34F0"/>
    <w:rsid w:val="2B45448D"/>
    <w:rsid w:val="2B4724E6"/>
    <w:rsid w:val="2BA76001"/>
    <w:rsid w:val="2DA240AC"/>
    <w:rsid w:val="2EAD0406"/>
    <w:rsid w:val="301E6559"/>
    <w:rsid w:val="30EB4505"/>
    <w:rsid w:val="327C38A5"/>
    <w:rsid w:val="32816D3B"/>
    <w:rsid w:val="35DE26D7"/>
    <w:rsid w:val="36E243D1"/>
    <w:rsid w:val="370276D6"/>
    <w:rsid w:val="37F42091"/>
    <w:rsid w:val="3848634F"/>
    <w:rsid w:val="39DC29F3"/>
    <w:rsid w:val="3B043EA1"/>
    <w:rsid w:val="3B6C0897"/>
    <w:rsid w:val="3CA54B71"/>
    <w:rsid w:val="3CBE43D8"/>
    <w:rsid w:val="3E054BCB"/>
    <w:rsid w:val="3E2B1C3E"/>
    <w:rsid w:val="3E2B3B9D"/>
    <w:rsid w:val="3EB56FC3"/>
    <w:rsid w:val="408A3049"/>
    <w:rsid w:val="42CF3B1D"/>
    <w:rsid w:val="42E94E4B"/>
    <w:rsid w:val="481B671D"/>
    <w:rsid w:val="48BF324A"/>
    <w:rsid w:val="4B257098"/>
    <w:rsid w:val="4CDB2A3E"/>
    <w:rsid w:val="4DAF69C7"/>
    <w:rsid w:val="4E896886"/>
    <w:rsid w:val="4EA465CE"/>
    <w:rsid w:val="4EAC1637"/>
    <w:rsid w:val="4ECF241D"/>
    <w:rsid w:val="525F6FAF"/>
    <w:rsid w:val="52DD4360"/>
    <w:rsid w:val="53774C4D"/>
    <w:rsid w:val="56791015"/>
    <w:rsid w:val="5765363E"/>
    <w:rsid w:val="5A250E62"/>
    <w:rsid w:val="5AA601F5"/>
    <w:rsid w:val="5E3B5EA7"/>
    <w:rsid w:val="5FBD4ED9"/>
    <w:rsid w:val="605F40E2"/>
    <w:rsid w:val="611840DD"/>
    <w:rsid w:val="62A96FD3"/>
    <w:rsid w:val="643A5A13"/>
    <w:rsid w:val="65525090"/>
    <w:rsid w:val="67D94A64"/>
    <w:rsid w:val="68BA3B98"/>
    <w:rsid w:val="69161574"/>
    <w:rsid w:val="6AD00976"/>
    <w:rsid w:val="6B5C220A"/>
    <w:rsid w:val="6BBB3A20"/>
    <w:rsid w:val="6C672BCE"/>
    <w:rsid w:val="6CA449CE"/>
    <w:rsid w:val="6F1D06BC"/>
    <w:rsid w:val="6F4D33A3"/>
    <w:rsid w:val="6F564EA2"/>
    <w:rsid w:val="70E27BC0"/>
    <w:rsid w:val="715E6D46"/>
    <w:rsid w:val="717C3606"/>
    <w:rsid w:val="733D4258"/>
    <w:rsid w:val="73460F58"/>
    <w:rsid w:val="73A849C3"/>
    <w:rsid w:val="756E770A"/>
    <w:rsid w:val="76745EC4"/>
    <w:rsid w:val="76CDFA83"/>
    <w:rsid w:val="76D83538"/>
    <w:rsid w:val="772A798F"/>
    <w:rsid w:val="78650950"/>
    <w:rsid w:val="7A187882"/>
    <w:rsid w:val="7B5D75B8"/>
    <w:rsid w:val="7D24777A"/>
    <w:rsid w:val="7DD5CE91"/>
    <w:rsid w:val="7E264293"/>
    <w:rsid w:val="7E854631"/>
    <w:rsid w:val="7F9F508F"/>
    <w:rsid w:val="AFAEFC2B"/>
    <w:rsid w:val="E7D714EA"/>
    <w:rsid w:val="F63F3F1F"/>
    <w:rsid w:val="FFFF5DD5"/>
    <w:rsid w:val="FFFF8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line="360" w:lineRule="auto"/>
      <w:ind w:firstLine="549" w:firstLineChars="200"/>
    </w:pPr>
    <w:rPr>
      <w:sz w:val="28"/>
      <w:szCs w:val="20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autoRedefine/>
    <w:unhideWhenUsed/>
    <w:qFormat/>
    <w:uiPriority w:val="0"/>
    <w:pPr>
      <w:ind w:firstLine="420"/>
    </w:pPr>
    <w:rPr>
      <w:lang w:val="zh-CN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Heading #1|1"/>
    <w:basedOn w:val="1"/>
    <w:autoRedefine/>
    <w:qFormat/>
    <w:uiPriority w:val="0"/>
    <w:pPr>
      <w:spacing w:after="660" w:line="677" w:lineRule="exact"/>
      <w:jc w:val="center"/>
      <w:outlineLvl w:val="0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4" w:lineRule="auto"/>
      <w:ind w:firstLine="400"/>
    </w:pPr>
    <w:rPr>
      <w:rFonts w:ascii="宋体" w:hAnsi="宋体" w:eastAsia="宋体" w:cs="宋体"/>
      <w:sz w:val="26"/>
      <w:szCs w:val="26"/>
      <w:lang w:val="zh-TW" w:eastAsia="zh-TW" w:bidi="zh-TW"/>
    </w:rPr>
  </w:style>
  <w:style w:type="paragraph" w:customStyle="1" w:styleId="11">
    <w:name w:val="列表段落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15"/>
    <w:basedOn w:val="7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2702</Words>
  <Characters>3029</Characters>
  <Lines>1</Lines>
  <Paragraphs>1</Paragraphs>
  <TotalTime>9</TotalTime>
  <ScaleCrop>false</ScaleCrop>
  <LinksUpToDate>false</LinksUpToDate>
  <CharactersWithSpaces>3034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2022-05-10T04:00:00Z</dcterms:created>
  <dc:creator>六年</dc:creator>
  <cp:lastModifiedBy>沈佳佳</cp:lastModifiedBy>
  <cp:lastPrinted>2025-06-09T10:10:00Z</cp:lastPrinted>
  <dcterms:modified xsi:type="dcterms:W3CDTF">2025-06-24T08:22:51Z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91A64CD7CB8D4828936D47C8917FB71F_13</vt:lpwstr>
  </property>
  <property fmtid="{D5CDD505-2E9C-101B-9397-08002B2CF9AE}" pid="4" name="KSOTemplateDocerSaveRecord">
    <vt:lpwstr>eyJoZGlkIjoiNTM1ZTdmZGZhYjMwMjMwNTY3YWRmMzY2ZmQ3YzQ5NTUiLCJ1c2VySWQiOiI1NTEyNTYyMDYifQ==</vt:lpwstr>
  </property>
</Properties>
</file>