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13083"/>
    <w:bookmarkStart w:id="1" w:name="_Toc10462"/>
    <w:bookmarkStart w:id="2" w:name="_Toc15735"/>
    <w:bookmarkStart w:id="3" w:name="_Toc6241"/>
    <w:bookmarkStart w:id="4" w:name="_Toc15145"/>
    <w:bookmarkStart w:id="5" w:name="_Toc16946"/>
    <w:p w:rsidR="00753999" w:rsidRDefault="00753999" w:rsidP="00753999">
      <w:pPr>
        <w:pageBreakBefore/>
        <w:spacing w:line="480" w:lineRule="auto"/>
        <w:jc w:val="center"/>
        <w:outlineLvl w:val="0"/>
        <w:rPr>
          <w:rFonts w:asciiTheme="minorEastAsia" w:hAnsiTheme="minorEastAsia"/>
          <w:b/>
          <w:sz w:val="32"/>
          <w:szCs w:val="32"/>
        </w:rPr>
      </w:pPr>
      <w:r w:rsidRPr="00743B63"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</w:rPr>
        <w:instrText xml:space="preserve"> HYPERLINK "file:///F:\\微信\\WeChat%20Files\\a29023143\\FileStorage\\File\\2021-11\\台州市公安局特警支队最小作战单元装备建设采购项目10.28.docx" \l "●评分标准"</w:instrText>
      </w:r>
      <w:r w:rsidRPr="00743B63">
        <w:rPr>
          <w:rFonts w:asciiTheme="minorEastAsia" w:hAnsiTheme="minorEastAsia"/>
          <w:szCs w:val="24"/>
        </w:rPr>
        <w:fldChar w:fldCharType="separate"/>
      </w:r>
      <w:r>
        <w:rPr>
          <w:rFonts w:asciiTheme="minorEastAsia" w:hAnsiTheme="minorEastAsia" w:hint="eastAsia"/>
          <w:b/>
          <w:sz w:val="32"/>
          <w:szCs w:val="32"/>
        </w:rPr>
        <w:t>第五部分</w:t>
      </w:r>
      <w:r>
        <w:rPr>
          <w:rFonts w:asciiTheme="minorEastAsia" w:hAnsiTheme="minorEastAsia"/>
          <w:b/>
          <w:sz w:val="32"/>
          <w:szCs w:val="32"/>
        </w:rPr>
        <w:fldChar w:fldCharType="end"/>
      </w:r>
      <w:r>
        <w:rPr>
          <w:rFonts w:asciiTheme="minorEastAsia" w:hAnsiTheme="minorEastAsia" w:hint="eastAsia"/>
          <w:b/>
          <w:sz w:val="32"/>
          <w:szCs w:val="32"/>
        </w:rPr>
        <w:t xml:space="preserve">  采购内容及要求</w:t>
      </w:r>
      <w:bookmarkEnd w:id="0"/>
      <w:bookmarkEnd w:id="1"/>
      <w:bookmarkEnd w:id="2"/>
      <w:bookmarkEnd w:id="3"/>
      <w:bookmarkEnd w:id="4"/>
      <w:bookmarkEnd w:id="5"/>
    </w:p>
    <w:p w:rsidR="00753999" w:rsidRDefault="00753999" w:rsidP="00753999">
      <w:pPr>
        <w:tabs>
          <w:tab w:val="left" w:pos="8280"/>
        </w:tabs>
        <w:spacing w:line="460" w:lineRule="exact"/>
        <w:ind w:right="25"/>
        <w:outlineLvl w:val="1"/>
        <w:rPr>
          <w:rFonts w:asciiTheme="minorEastAsia" w:hAnsiTheme="minorEastAsia" w:cs="仿宋"/>
          <w:b/>
          <w:szCs w:val="21"/>
        </w:rPr>
      </w:pPr>
      <w:r>
        <w:rPr>
          <w:rFonts w:asciiTheme="minorEastAsia" w:hAnsiTheme="minorEastAsia" w:cs="仿宋" w:hint="eastAsia"/>
          <w:b/>
          <w:bCs/>
          <w:kern w:val="0"/>
          <w:szCs w:val="21"/>
        </w:rPr>
        <w:t>一、</w:t>
      </w:r>
      <w:r>
        <w:rPr>
          <w:rFonts w:asciiTheme="minorEastAsia" w:hAnsiTheme="minorEastAsia" w:cs="仿宋" w:hint="eastAsia"/>
          <w:b/>
          <w:szCs w:val="21"/>
        </w:rPr>
        <w:t>招标项目一览表</w:t>
      </w:r>
    </w:p>
    <w:p w:rsidR="00753999" w:rsidRDefault="00753999" w:rsidP="00753999">
      <w:pPr>
        <w:widowControl/>
        <w:tabs>
          <w:tab w:val="left" w:pos="8280"/>
        </w:tabs>
        <w:spacing w:line="460" w:lineRule="exact"/>
        <w:ind w:right="25" w:firstLine="28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本次招标共</w:t>
      </w:r>
      <w:r>
        <w:rPr>
          <w:rFonts w:asciiTheme="minorEastAsia" w:hAnsiTheme="minorEastAsia" w:cs="宋体" w:hint="eastAsia"/>
          <w:b/>
          <w:szCs w:val="21"/>
          <w:u w:val="single"/>
        </w:rPr>
        <w:t>3</w:t>
      </w:r>
      <w:r>
        <w:rPr>
          <w:rFonts w:asciiTheme="minorEastAsia" w:hAnsiTheme="minorEastAsia" w:cs="宋体" w:hint="eastAsia"/>
          <w:szCs w:val="21"/>
        </w:rPr>
        <w:t>个标段，具体内容如下表：</w:t>
      </w:r>
    </w:p>
    <w:tbl>
      <w:tblPr>
        <w:tblStyle w:val="a7"/>
        <w:tblW w:w="0" w:type="auto"/>
        <w:tblLook w:val="04A0"/>
      </w:tblPr>
      <w:tblGrid>
        <w:gridCol w:w="736"/>
        <w:gridCol w:w="763"/>
        <w:gridCol w:w="2159"/>
        <w:gridCol w:w="3218"/>
        <w:gridCol w:w="1030"/>
        <w:gridCol w:w="622"/>
      </w:tblGrid>
      <w:tr w:rsidR="00753999" w:rsidTr="00A53C1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标项号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采购内容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预算金额</w:t>
            </w:r>
          </w:p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753999" w:rsidTr="00A53C12">
        <w:tc>
          <w:tcPr>
            <w:tcW w:w="817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标项1</w:t>
            </w:r>
          </w:p>
        </w:tc>
        <w:tc>
          <w:tcPr>
            <w:tcW w:w="2551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强检购买服务经费（强检工作计量器具、计量主标准器强制检定）</w:t>
            </w:r>
          </w:p>
        </w:tc>
        <w:tc>
          <w:tcPr>
            <w:tcW w:w="3827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强检工作计量器具(超声波燃气表、气体超声流量计、听力计等)、计量主标准器(标准测力仪、扭矩扳子检定仪、砝码、光谱光度计标准滤光器等)</w:t>
            </w:r>
          </w:p>
        </w:tc>
        <w:tc>
          <w:tcPr>
            <w:tcW w:w="1134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60</w:t>
            </w:r>
          </w:p>
        </w:tc>
        <w:tc>
          <w:tcPr>
            <w:tcW w:w="674" w:type="dxa"/>
            <w:vAlign w:val="center"/>
          </w:tcPr>
          <w:p w:rsidR="00753999" w:rsidRDefault="00753999" w:rsidP="00A53C12">
            <w:pPr>
              <w:tabs>
                <w:tab w:val="left" w:pos="8280"/>
              </w:tabs>
              <w:spacing w:line="460" w:lineRule="exact"/>
              <w:ind w:right="25"/>
              <w:jc w:val="center"/>
              <w:outlineLvl w:val="1"/>
              <w:rPr>
                <w:rFonts w:asciiTheme="minorEastAsia" w:hAnsiTheme="minorEastAsia" w:cs="仿宋"/>
                <w:b/>
                <w:szCs w:val="21"/>
              </w:rPr>
            </w:pPr>
          </w:p>
        </w:tc>
      </w:tr>
      <w:tr w:rsidR="00753999" w:rsidTr="00A53C12">
        <w:tc>
          <w:tcPr>
            <w:tcW w:w="817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标项2</w:t>
            </w:r>
          </w:p>
        </w:tc>
        <w:tc>
          <w:tcPr>
            <w:tcW w:w="2551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强检购买服务经费（液化天然气加气机计量器具强制检定）</w:t>
            </w:r>
          </w:p>
        </w:tc>
        <w:tc>
          <w:tcPr>
            <w:tcW w:w="3827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液化天然气加气机等工作计量器具强制检定</w:t>
            </w:r>
          </w:p>
        </w:tc>
        <w:tc>
          <w:tcPr>
            <w:tcW w:w="1134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30</w:t>
            </w:r>
          </w:p>
        </w:tc>
        <w:tc>
          <w:tcPr>
            <w:tcW w:w="674" w:type="dxa"/>
            <w:vAlign w:val="center"/>
          </w:tcPr>
          <w:p w:rsidR="00753999" w:rsidRDefault="00753999" w:rsidP="00A53C12">
            <w:pPr>
              <w:tabs>
                <w:tab w:val="left" w:pos="8280"/>
              </w:tabs>
              <w:spacing w:line="460" w:lineRule="exact"/>
              <w:ind w:right="25"/>
              <w:jc w:val="center"/>
              <w:outlineLvl w:val="1"/>
              <w:rPr>
                <w:rFonts w:asciiTheme="minorEastAsia" w:hAnsiTheme="minorEastAsia" w:cs="仿宋"/>
                <w:b/>
                <w:szCs w:val="21"/>
              </w:rPr>
            </w:pPr>
          </w:p>
        </w:tc>
      </w:tr>
      <w:tr w:rsidR="00753999" w:rsidTr="00A53C12">
        <w:tc>
          <w:tcPr>
            <w:tcW w:w="817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标项3</w:t>
            </w:r>
          </w:p>
        </w:tc>
        <w:tc>
          <w:tcPr>
            <w:tcW w:w="2551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强检购买服务经费（动态汽车衡（非高速）计量器具强制检）</w:t>
            </w:r>
          </w:p>
        </w:tc>
        <w:tc>
          <w:tcPr>
            <w:tcW w:w="3827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动态汽车衡（非高速） 等工作计量器具强制检定</w:t>
            </w:r>
          </w:p>
        </w:tc>
        <w:tc>
          <w:tcPr>
            <w:tcW w:w="1134" w:type="dxa"/>
            <w:vAlign w:val="center"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60</w:t>
            </w:r>
          </w:p>
        </w:tc>
        <w:tc>
          <w:tcPr>
            <w:tcW w:w="674" w:type="dxa"/>
            <w:vAlign w:val="center"/>
          </w:tcPr>
          <w:p w:rsidR="00753999" w:rsidRDefault="00753999" w:rsidP="00A53C12">
            <w:pPr>
              <w:tabs>
                <w:tab w:val="left" w:pos="8280"/>
              </w:tabs>
              <w:spacing w:line="460" w:lineRule="exact"/>
              <w:ind w:right="25"/>
              <w:jc w:val="center"/>
              <w:outlineLvl w:val="1"/>
              <w:rPr>
                <w:rFonts w:asciiTheme="minorEastAsia" w:hAnsiTheme="minorEastAsia" w:cs="仿宋"/>
                <w:b/>
                <w:szCs w:val="21"/>
              </w:rPr>
            </w:pPr>
          </w:p>
        </w:tc>
      </w:tr>
    </w:tbl>
    <w:p w:rsidR="00753999" w:rsidRDefault="00753999" w:rsidP="00753999">
      <w:pPr>
        <w:numPr>
          <w:ilvl w:val="0"/>
          <w:numId w:val="1"/>
        </w:numPr>
        <w:tabs>
          <w:tab w:val="left" w:pos="1440"/>
        </w:tabs>
        <w:adjustRightInd w:val="0"/>
        <w:snapToGrid w:val="0"/>
        <w:spacing w:line="460" w:lineRule="exact"/>
        <w:jc w:val="left"/>
        <w:rPr>
          <w:rFonts w:asciiTheme="minorEastAsia" w:hAnsiTheme="minorEastAsia" w:cs="宋体"/>
          <w:b/>
          <w:bCs/>
          <w:szCs w:val="21"/>
        </w:rPr>
      </w:pPr>
      <w:r>
        <w:rPr>
          <w:rFonts w:asciiTheme="minorEastAsia" w:hAnsiTheme="minorEastAsia" w:cs="宋体" w:hint="eastAsia"/>
          <w:b/>
          <w:bCs/>
          <w:szCs w:val="21"/>
        </w:rPr>
        <w:t>项目概况及内容:</w:t>
      </w:r>
    </w:p>
    <w:p w:rsidR="00753999" w:rsidRDefault="00753999" w:rsidP="00753999">
      <w:pPr>
        <w:pStyle w:val="20"/>
        <w:spacing w:line="460" w:lineRule="exact"/>
        <w:ind w:leftChars="0" w:left="0" w:firstLineChars="0" w:firstLine="0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（一）标项1：强检购买服务经费（强检工作计量器具、计量主标准器强制检定）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2231"/>
      </w:tblGrid>
      <w:tr w:rsidR="00753999" w:rsidTr="001A41E2">
        <w:trPr>
          <w:trHeight w:val="567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强制检定项目名称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预计数量（台）</w:t>
            </w:r>
          </w:p>
        </w:tc>
      </w:tr>
      <w:tr w:rsidR="00753999" w:rsidTr="001A41E2">
        <w:trPr>
          <w:trHeight w:val="567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强检工作计量器具（超声波燃气表、气体超声流量计、听力计等）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</w:rPr>
              <w:t>120</w:t>
            </w:r>
          </w:p>
        </w:tc>
      </w:tr>
      <w:tr w:rsidR="00753999" w:rsidTr="001A41E2">
        <w:trPr>
          <w:trHeight w:val="567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计量主标准器(标准测力仪、扭矩扳子检定仪、砝码、光谱光度计标准滤光器等)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</w:rPr>
              <w:t>250</w:t>
            </w:r>
          </w:p>
        </w:tc>
      </w:tr>
    </w:tbl>
    <w:p w:rsidR="00753999" w:rsidRDefault="00753999" w:rsidP="00753999">
      <w:pPr>
        <w:pStyle w:val="20"/>
        <w:spacing w:line="460" w:lineRule="exact"/>
        <w:ind w:leftChars="0" w:left="0" w:firstLineChars="0" w:firstLine="0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（二）标项2：强检购买服务经费（液化天然气加气机计量器具强制检定） </w:t>
      </w:r>
    </w:p>
    <w:tbl>
      <w:tblPr>
        <w:tblW w:w="8603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7"/>
        <w:gridCol w:w="1876"/>
      </w:tblGrid>
      <w:tr w:rsidR="00753999" w:rsidTr="0014410C">
        <w:trPr>
          <w:trHeight w:val="567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强制检定项目名称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预计数量（台）</w:t>
            </w:r>
          </w:p>
        </w:tc>
      </w:tr>
      <w:tr w:rsidR="00753999" w:rsidTr="0014410C">
        <w:trPr>
          <w:trHeight w:val="567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液化天然气加气机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</w:rPr>
              <w:t>26</w:t>
            </w:r>
            <w:bookmarkStart w:id="6" w:name="_GoBack"/>
            <w:bookmarkEnd w:id="6"/>
          </w:p>
        </w:tc>
      </w:tr>
    </w:tbl>
    <w:p w:rsidR="00753999" w:rsidRDefault="00753999" w:rsidP="00753999">
      <w:pPr>
        <w:pStyle w:val="20"/>
        <w:spacing w:line="460" w:lineRule="exact"/>
        <w:ind w:leftChars="0" w:left="0" w:firstLineChars="0" w:firstLine="0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（三）标项3: 强检购买服务经费（动态汽车衡（非高速）计量器具强制检）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2"/>
        <w:gridCol w:w="2371"/>
      </w:tblGrid>
      <w:tr w:rsidR="00753999" w:rsidTr="00501F9D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强制检定项目名称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预计数量（台）</w:t>
            </w:r>
          </w:p>
        </w:tc>
      </w:tr>
      <w:tr w:rsidR="00753999" w:rsidTr="00501F9D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动态汽车衡（非高速）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9" w:rsidRDefault="00753999" w:rsidP="00A53C12">
            <w:pPr>
              <w:spacing w:line="460" w:lineRule="exact"/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240</w:t>
            </w:r>
          </w:p>
        </w:tc>
      </w:tr>
    </w:tbl>
    <w:p w:rsidR="00753999" w:rsidRDefault="00753999" w:rsidP="00753999">
      <w:pPr>
        <w:pStyle w:val="20"/>
        <w:spacing w:line="460" w:lineRule="exact"/>
        <w:ind w:leftChars="0" w:left="0" w:firstLineChars="0" w:firstLine="0"/>
        <w:rPr>
          <w:rFonts w:asciiTheme="minorEastAsia" w:eastAsiaTheme="minorEastAsia" w:hAnsiTheme="minorEastAsia" w:cs="宋体"/>
          <w:szCs w:val="21"/>
          <w:highlight w:val="yellow"/>
        </w:rPr>
      </w:pPr>
    </w:p>
    <w:p w:rsidR="00753999" w:rsidRDefault="00753999" w:rsidP="00753999">
      <w:pPr>
        <w:widowControl/>
        <w:spacing w:line="460" w:lineRule="exact"/>
        <w:jc w:val="left"/>
        <w:rPr>
          <w:rFonts w:asciiTheme="minorEastAsia" w:hAnsiTheme="minorEastAsia" w:cs="宋体"/>
          <w:b/>
          <w:bCs/>
          <w:szCs w:val="21"/>
        </w:rPr>
      </w:pPr>
      <w:r>
        <w:rPr>
          <w:rFonts w:asciiTheme="minorEastAsia" w:hAnsiTheme="minorEastAsia" w:cs="宋体" w:hint="eastAsia"/>
          <w:b/>
          <w:bCs/>
          <w:szCs w:val="21"/>
        </w:rPr>
        <w:t>三、商务需求</w:t>
      </w:r>
    </w:p>
    <w:p w:rsidR="00753999" w:rsidRDefault="00753999" w:rsidP="00753999">
      <w:pPr>
        <w:widowControl/>
        <w:spacing w:line="460" w:lineRule="exact"/>
        <w:ind w:firstLineChars="200" w:firstLine="420"/>
        <w:jc w:val="left"/>
        <w:rPr>
          <w:rFonts w:asciiTheme="minorEastAsia" w:hAnsiTheme="minorEastAsia" w:cs="宋体"/>
          <w:color w:val="00000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1、合同履行期限：</w:t>
      </w:r>
      <w:r>
        <w:rPr>
          <w:rFonts w:asciiTheme="minorEastAsia" w:hAnsiTheme="minorEastAsia" w:cs="宋体" w:hint="eastAsia"/>
          <w:color w:val="000000"/>
          <w:szCs w:val="21"/>
        </w:rPr>
        <w:t>自合同签订生效之日起至2024年12月31日止。</w:t>
      </w:r>
    </w:p>
    <w:p w:rsidR="00753999" w:rsidRDefault="00753999" w:rsidP="00753999">
      <w:pPr>
        <w:widowControl/>
        <w:spacing w:line="460" w:lineRule="exac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2、服务地点：采购人指定地点</w:t>
      </w:r>
    </w:p>
    <w:p w:rsidR="00753999" w:rsidRDefault="00753999" w:rsidP="00753999">
      <w:pPr>
        <w:spacing w:line="460" w:lineRule="exact"/>
        <w:ind w:right="26"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3、款项支付</w:t>
      </w:r>
    </w:p>
    <w:p w:rsidR="00753999" w:rsidRDefault="00753999" w:rsidP="00753999">
      <w:pPr>
        <w:spacing w:line="460" w:lineRule="exact"/>
        <w:ind w:right="26"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（1）付款方式：合同签订生效后，可支付签约合同价的40%预付款，采购人根据中标人提供</w:t>
      </w:r>
      <w:r>
        <w:rPr>
          <w:rFonts w:asciiTheme="minorEastAsia" w:hAnsiTheme="minorEastAsia" w:cs="仿宋_GB2312" w:hint="eastAsia"/>
          <w:szCs w:val="21"/>
        </w:rPr>
        <w:t>正规等额税务发票后</w:t>
      </w:r>
      <w:r>
        <w:rPr>
          <w:rFonts w:asciiTheme="minorEastAsia" w:hAnsiTheme="minorEastAsia" w:cs="宋体" w:hint="eastAsia"/>
          <w:kern w:val="0"/>
          <w:szCs w:val="21"/>
        </w:rPr>
        <w:t>在7个工作日内付清。中标人每月（采购数量按实结算）提供服务清单及</w:t>
      </w:r>
      <w:r>
        <w:rPr>
          <w:rFonts w:asciiTheme="minorEastAsia" w:hAnsiTheme="minorEastAsia" w:cs="仿宋_GB2312" w:hint="eastAsia"/>
          <w:szCs w:val="21"/>
        </w:rPr>
        <w:t>正规等额税务发票</w:t>
      </w:r>
      <w:r>
        <w:rPr>
          <w:rFonts w:asciiTheme="minorEastAsia" w:hAnsiTheme="minorEastAsia" w:cs="宋体" w:hint="eastAsia"/>
          <w:kern w:val="0"/>
          <w:szCs w:val="21"/>
        </w:rPr>
        <w:t>，采购人经确认后在7个工作日内付清。</w:t>
      </w:r>
    </w:p>
    <w:p w:rsidR="00753999" w:rsidRDefault="00753999" w:rsidP="00753999">
      <w:pPr>
        <w:spacing w:line="460" w:lineRule="exact"/>
        <w:ind w:right="26" w:firstLineChars="200" w:firstLine="420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szCs w:val="21"/>
          <w:lang w:val="zh-CN"/>
        </w:rPr>
        <w:t>（</w:t>
      </w:r>
      <w:r>
        <w:rPr>
          <w:rFonts w:asciiTheme="minorEastAsia" w:hAnsiTheme="minorEastAsia" w:cs="宋体" w:hint="eastAsia"/>
          <w:kern w:val="0"/>
          <w:szCs w:val="21"/>
        </w:rPr>
        <w:t>2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）当实际</w:t>
      </w:r>
      <w:r>
        <w:rPr>
          <w:rFonts w:asciiTheme="minorEastAsia" w:hAnsiTheme="minorEastAsia" w:cs="宋体" w:hint="eastAsia"/>
          <w:kern w:val="0"/>
          <w:szCs w:val="21"/>
        </w:rPr>
        <w:t>检测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数量</w:t>
      </w:r>
      <w:r>
        <w:rPr>
          <w:rFonts w:asciiTheme="minorEastAsia" w:hAnsiTheme="minorEastAsia" w:cs="宋体" w:hint="eastAsia"/>
          <w:kern w:val="0"/>
          <w:szCs w:val="21"/>
        </w:rPr>
        <w:t>与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采购数量不一致时，合同的最终结算金额按实际</w:t>
      </w:r>
      <w:r>
        <w:rPr>
          <w:rFonts w:asciiTheme="minorEastAsia" w:hAnsiTheme="minorEastAsia" w:cs="宋体" w:hint="eastAsia"/>
          <w:kern w:val="0"/>
          <w:szCs w:val="21"/>
        </w:rPr>
        <w:t>检测数量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乘以</w:t>
      </w:r>
      <w:r>
        <w:rPr>
          <w:rFonts w:asciiTheme="minorEastAsia" w:hAnsiTheme="minorEastAsia" w:cs="宋体" w:hint="eastAsia"/>
          <w:kern w:val="0"/>
          <w:szCs w:val="21"/>
        </w:rPr>
        <w:t>投标时承诺的固定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单价进行</w:t>
      </w:r>
      <w:r>
        <w:rPr>
          <w:rFonts w:asciiTheme="minorEastAsia" w:hAnsiTheme="minorEastAsia" w:cs="宋体" w:hint="eastAsia"/>
          <w:kern w:val="0"/>
          <w:szCs w:val="21"/>
        </w:rPr>
        <w:t>按实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计算。</w:t>
      </w:r>
    </w:p>
    <w:p w:rsidR="00753999" w:rsidRDefault="00753999" w:rsidP="00753999">
      <w:pPr>
        <w:pStyle w:val="a5"/>
        <w:widowControl w:val="0"/>
        <w:snapToGrid w:val="0"/>
        <w:spacing w:before="120" w:beforeAutospacing="0" w:after="120" w:afterAutospacing="0" w:line="4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（3）当实际检测费用超过中标金额时，采购人将支付不超过中标金额的费用。中标人将完成合同期限内的强制检定任务，不得另行收取费用。</w:t>
      </w:r>
    </w:p>
    <w:p w:rsidR="00753999" w:rsidRDefault="00753999" w:rsidP="00753999">
      <w:pPr>
        <w:pStyle w:val="20"/>
        <w:spacing w:line="460" w:lineRule="exact"/>
        <w:jc w:val="lef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4、服务要求：</w:t>
      </w:r>
    </w:p>
    <w:p w:rsidR="00753999" w:rsidRDefault="00753999" w:rsidP="00753999">
      <w:pPr>
        <w:widowControl/>
        <w:spacing w:line="460" w:lineRule="exac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（1）中标人应有独立、固定的检测场地，能满足采购人日常加急检测需求等情况，提供可靠的售后服务保障，能提供正常的技术、足够的检测设备执行检</w:t>
      </w:r>
      <w:r>
        <w:rPr>
          <w:rFonts w:asciiTheme="minorEastAsia" w:hAnsiTheme="minorEastAsia" w:cs="宋体" w:hint="eastAsia"/>
          <w:kern w:val="0"/>
          <w:szCs w:val="21"/>
        </w:rPr>
        <w:t>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服务。</w:t>
      </w:r>
      <w:r>
        <w:rPr>
          <w:rFonts w:asciiTheme="minorEastAsia" w:hAnsiTheme="minorEastAsia" w:cs="宋体" w:hint="eastAsia"/>
          <w:kern w:val="0"/>
          <w:szCs w:val="21"/>
        </w:rPr>
        <w:t>当发生突发状况时，中标人在接到采购单位通知后，能在最短时间内回应并最短时间内解决问题。</w:t>
      </w:r>
    </w:p>
    <w:p w:rsidR="00753999" w:rsidRDefault="00753999" w:rsidP="00753999">
      <w:pPr>
        <w:widowControl/>
        <w:spacing w:line="460" w:lineRule="exac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（2）中标人服务检测人员均经过良好的系统技术培训，并有丰富的现场检测经验。</w:t>
      </w:r>
    </w:p>
    <w:p w:rsidR="00753999" w:rsidRDefault="00753999" w:rsidP="00753999">
      <w:pPr>
        <w:widowControl/>
        <w:spacing w:line="460" w:lineRule="exac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（3）中标人应严格遵守国家法律、法规，严格按照国家标准、检定技术规范执行，保证和维护检定工作的科学性、 公正性、诚实性、判断独立性，确保向社会提供高质量的服务。</w:t>
      </w:r>
    </w:p>
    <w:p w:rsidR="00753999" w:rsidRDefault="00753999" w:rsidP="00753999">
      <w:pPr>
        <w:widowControl/>
        <w:spacing w:line="460" w:lineRule="exac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（4）若中标人未能满足上述售后服务要求中的任何一条，采购人有权委托第三方单位提供售后服务，由此产生的一切费用由中标人承担。</w:t>
      </w:r>
    </w:p>
    <w:p w:rsidR="00753999" w:rsidRDefault="00753999" w:rsidP="00753999">
      <w:pPr>
        <w:pStyle w:val="a5"/>
        <w:widowControl w:val="0"/>
        <w:spacing w:before="0" w:beforeAutospacing="0" w:after="0" w:afterAutospacing="0" w:line="460" w:lineRule="exac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753999" w:rsidRDefault="00753999" w:rsidP="00753999">
      <w:pPr>
        <w:snapToGrid w:val="0"/>
        <w:spacing w:line="460" w:lineRule="exact"/>
        <w:ind w:firstLineChars="100" w:firstLine="211"/>
        <w:outlineLvl w:val="0"/>
        <w:rPr>
          <w:rFonts w:asciiTheme="minorEastAsia" w:hAnsiTheme="minorEastAsia" w:cs="宋体"/>
          <w:b/>
          <w:bCs/>
          <w:szCs w:val="21"/>
        </w:rPr>
      </w:pPr>
      <w:r>
        <w:rPr>
          <w:rFonts w:asciiTheme="minorEastAsia" w:hAnsiTheme="minorEastAsia" w:cs="宋体" w:hint="eastAsia"/>
          <w:b/>
          <w:bCs/>
          <w:szCs w:val="21"/>
        </w:rPr>
        <w:t>四、其他要求</w:t>
      </w:r>
    </w:p>
    <w:p w:rsidR="00753999" w:rsidRDefault="00753999" w:rsidP="00753999">
      <w:pPr>
        <w:snapToGrid w:val="0"/>
        <w:spacing w:line="460" w:lineRule="exact"/>
        <w:ind w:firstLineChars="198" w:firstLine="416"/>
        <w:outlineLvl w:val="0"/>
        <w:rPr>
          <w:rFonts w:ascii="仿宋" w:eastAsia="仿宋" w:hAnsi="仿宋" w:cs="仿宋"/>
          <w:b/>
          <w:bCs/>
          <w:sz w:val="24"/>
        </w:rPr>
      </w:pPr>
      <w:r>
        <w:rPr>
          <w:rFonts w:asciiTheme="minorEastAsia" w:hAnsiTheme="minorEastAsia" w:cs="宋体" w:hint="eastAsia"/>
          <w:kern w:val="0"/>
          <w:szCs w:val="21"/>
        </w:rPr>
        <w:t>本项目的采购单价不得高于《浙江省物价局 浙江省财政厅关于降低部分计量检定收费标准及有关问题的通知》（浙价费〔2008〕333号）中附件2：《浙江省计量检定收费标准》。如有最新标准，按最新标准执行。</w:t>
      </w:r>
    </w:p>
    <w:p w:rsidR="007C73A9" w:rsidRDefault="007C73A9"/>
    <w:sectPr w:rsidR="007C73A9" w:rsidSect="00B460BB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A9" w:rsidRDefault="007C73A9" w:rsidP="00753999">
      <w:r>
        <w:separator/>
      </w:r>
    </w:p>
  </w:endnote>
  <w:endnote w:type="continuationSeparator" w:id="1">
    <w:p w:rsidR="007C73A9" w:rsidRDefault="007C73A9" w:rsidP="0075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等线">
    <w:altName w:val="汉仪仿宋S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A9" w:rsidRDefault="007C73A9" w:rsidP="00753999">
      <w:r>
        <w:separator/>
      </w:r>
    </w:p>
  </w:footnote>
  <w:footnote w:type="continuationSeparator" w:id="1">
    <w:p w:rsidR="007C73A9" w:rsidRDefault="007C73A9" w:rsidP="00753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6208"/>
    <w:multiLevelType w:val="singleLevel"/>
    <w:tmpl w:val="5379620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999"/>
    <w:rsid w:val="0014410C"/>
    <w:rsid w:val="001A41E2"/>
    <w:rsid w:val="00501F9D"/>
    <w:rsid w:val="005A431D"/>
    <w:rsid w:val="00753999"/>
    <w:rsid w:val="007C73A9"/>
    <w:rsid w:val="00B4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9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999"/>
    <w:rPr>
      <w:sz w:val="18"/>
      <w:szCs w:val="18"/>
    </w:rPr>
  </w:style>
  <w:style w:type="paragraph" w:styleId="a5">
    <w:name w:val="Normal (Web)"/>
    <w:basedOn w:val="a"/>
    <w:next w:val="2"/>
    <w:link w:val="Char1"/>
    <w:uiPriority w:val="99"/>
    <w:qFormat/>
    <w:rsid w:val="00753999"/>
    <w:pPr>
      <w:widowControl/>
      <w:spacing w:before="100" w:beforeAutospacing="1" w:after="100" w:afterAutospacing="1"/>
      <w:jc w:val="left"/>
    </w:pPr>
    <w:rPr>
      <w:rFonts w:ascii="??" w:eastAsia="??" w:hAnsi="??" w:cs="宋体"/>
      <w:kern w:val="0"/>
      <w:sz w:val="24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75399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753999"/>
  </w:style>
  <w:style w:type="paragraph" w:styleId="20">
    <w:name w:val="Body Text First Indent 2"/>
    <w:basedOn w:val="a6"/>
    <w:link w:val="2Char"/>
    <w:unhideWhenUsed/>
    <w:qFormat/>
    <w:rsid w:val="00753999"/>
    <w:pPr>
      <w:ind w:firstLineChars="200" w:firstLine="420"/>
    </w:pPr>
    <w:rPr>
      <w:rFonts w:ascii="等线" w:eastAsia="宋体" w:hAnsi="等线" w:cs="Times New Roman"/>
      <w:szCs w:val="24"/>
    </w:rPr>
  </w:style>
  <w:style w:type="character" w:customStyle="1" w:styleId="2Char">
    <w:name w:val="正文首行缩进 2 Char"/>
    <w:basedOn w:val="Char2"/>
    <w:link w:val="20"/>
    <w:qFormat/>
    <w:rsid w:val="00753999"/>
    <w:rPr>
      <w:rFonts w:ascii="等线" w:eastAsia="宋体" w:hAnsi="等线" w:cs="Times New Roman"/>
      <w:szCs w:val="24"/>
    </w:rPr>
  </w:style>
  <w:style w:type="table" w:styleId="a7">
    <w:name w:val="Table Grid"/>
    <w:basedOn w:val="a1"/>
    <w:qFormat/>
    <w:rsid w:val="007539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普通(网站) Char"/>
    <w:link w:val="a5"/>
    <w:uiPriority w:val="99"/>
    <w:qFormat/>
    <w:rsid w:val="00753999"/>
    <w:rPr>
      <w:rFonts w:ascii="??" w:eastAsia="??" w:hAnsi="??" w:cs="宋体"/>
      <w:kern w:val="0"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753999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戴艳燕</dc:creator>
  <cp:keywords/>
  <dc:description/>
  <cp:lastModifiedBy>戴艳燕</cp:lastModifiedBy>
  <cp:revision>7</cp:revision>
  <dcterms:created xsi:type="dcterms:W3CDTF">2024-04-19T05:14:00Z</dcterms:created>
  <dcterms:modified xsi:type="dcterms:W3CDTF">2024-04-19T05:16:00Z</dcterms:modified>
</cp:coreProperties>
</file>