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ascii="宋体" w:hAnsi="宋体"/>
          <w:b/>
          <w:color w:val="auto"/>
          <w:sz w:val="52"/>
          <w:szCs w:val="52"/>
          <w:highlight w:val="none"/>
        </w:rPr>
      </w:pPr>
      <w:bookmarkStart w:id="37" w:name="_GoBack"/>
      <w:bookmarkEnd w:id="37"/>
    </w:p>
    <w:p>
      <w:pPr>
        <w:autoSpaceDE w:val="0"/>
        <w:autoSpaceDN w:val="0"/>
        <w:spacing w:line="360" w:lineRule="auto"/>
        <w:jc w:val="center"/>
        <w:textAlignment w:val="bottom"/>
        <w:outlineLvl w:val="0"/>
        <w:rPr>
          <w:rFonts w:ascii="宋体" w:hAnsi="宋体"/>
          <w:b/>
          <w:color w:val="auto"/>
          <w:sz w:val="84"/>
          <w:highlight w:val="none"/>
        </w:rPr>
      </w:pPr>
    </w:p>
    <w:p>
      <w:pPr>
        <w:autoSpaceDE w:val="0"/>
        <w:autoSpaceDN w:val="0"/>
        <w:spacing w:after="312" w:afterLines="100" w:line="360" w:lineRule="auto"/>
        <w:jc w:val="center"/>
        <w:textAlignment w:val="bottom"/>
        <w:outlineLvl w:val="0"/>
        <w:rPr>
          <w:rFonts w:ascii="宋体" w:hAnsi="宋体"/>
          <w:b/>
          <w:color w:val="auto"/>
          <w:sz w:val="84"/>
          <w:szCs w:val="84"/>
          <w:highlight w:val="none"/>
        </w:rPr>
      </w:pPr>
      <w:bookmarkStart w:id="0" w:name="_Toc65753660"/>
      <w:bookmarkStart w:id="1" w:name="_Toc65510675"/>
      <w:r>
        <w:rPr>
          <w:rFonts w:hint="eastAsia" w:ascii="宋体" w:hAnsi="宋体"/>
          <w:b/>
          <w:color w:val="auto"/>
          <w:sz w:val="84"/>
          <w:szCs w:val="84"/>
          <w:highlight w:val="none"/>
        </w:rPr>
        <w:t>政府采购</w:t>
      </w:r>
      <w:bookmarkEnd w:id="0"/>
      <w:bookmarkEnd w:id="1"/>
    </w:p>
    <w:p>
      <w:pPr>
        <w:autoSpaceDE w:val="0"/>
        <w:autoSpaceDN w:val="0"/>
        <w:spacing w:after="312" w:afterLines="100" w:line="360" w:lineRule="auto"/>
        <w:jc w:val="center"/>
        <w:textAlignment w:val="bottom"/>
        <w:outlineLvl w:val="0"/>
        <w:rPr>
          <w:rFonts w:ascii="宋体" w:hAnsi="宋体"/>
          <w:b/>
          <w:color w:val="auto"/>
          <w:sz w:val="84"/>
          <w:szCs w:val="84"/>
          <w:highlight w:val="none"/>
        </w:rPr>
      </w:pPr>
      <w:bookmarkStart w:id="2" w:name="_Toc65510676"/>
      <w:bookmarkStart w:id="3" w:name="_Toc65753661"/>
      <w:r>
        <w:rPr>
          <w:rFonts w:hint="eastAsia" w:ascii="宋体" w:hAnsi="宋体"/>
          <w:b/>
          <w:color w:val="auto"/>
          <w:sz w:val="84"/>
          <w:szCs w:val="84"/>
          <w:highlight w:val="none"/>
        </w:rPr>
        <w:t>国内公开招标文件</w:t>
      </w:r>
      <w:bookmarkEnd w:id="2"/>
      <w:bookmarkEnd w:id="3"/>
    </w:p>
    <w:p>
      <w:pPr>
        <w:autoSpaceDE w:val="0"/>
        <w:autoSpaceDN w:val="0"/>
        <w:spacing w:line="360" w:lineRule="auto"/>
        <w:jc w:val="center"/>
        <w:textAlignment w:val="bottom"/>
        <w:outlineLvl w:val="0"/>
        <w:rPr>
          <w:rFonts w:ascii="宋体" w:hAnsi="宋体"/>
          <w:b/>
          <w:bCs/>
          <w:color w:val="auto"/>
          <w:sz w:val="32"/>
          <w:szCs w:val="32"/>
          <w:highlight w:val="none"/>
        </w:rPr>
      </w:pPr>
    </w:p>
    <w:p>
      <w:pPr>
        <w:autoSpaceDE w:val="0"/>
        <w:autoSpaceDN w:val="0"/>
        <w:spacing w:line="360" w:lineRule="auto"/>
        <w:jc w:val="center"/>
        <w:textAlignment w:val="bottom"/>
        <w:outlineLvl w:val="0"/>
        <w:rPr>
          <w:rFonts w:ascii="宋体" w:hAnsi="宋体"/>
          <w:b/>
          <w:bCs/>
          <w:color w:val="auto"/>
          <w:sz w:val="32"/>
          <w:szCs w:val="32"/>
          <w:highlight w:val="none"/>
        </w:rPr>
      </w:pPr>
    </w:p>
    <w:p>
      <w:pPr>
        <w:autoSpaceDE w:val="0"/>
        <w:autoSpaceDN w:val="0"/>
        <w:spacing w:line="360" w:lineRule="auto"/>
        <w:jc w:val="center"/>
        <w:textAlignment w:val="bottom"/>
        <w:outlineLvl w:val="0"/>
        <w:rPr>
          <w:rFonts w:ascii="宋体" w:hAnsi="宋体"/>
          <w:b/>
          <w:bCs/>
          <w:color w:val="auto"/>
          <w:sz w:val="32"/>
          <w:szCs w:val="32"/>
          <w:highlight w:val="none"/>
        </w:rPr>
      </w:pPr>
    </w:p>
    <w:p>
      <w:pPr>
        <w:autoSpaceDE w:val="0"/>
        <w:autoSpaceDN w:val="0"/>
        <w:spacing w:line="360" w:lineRule="auto"/>
        <w:jc w:val="center"/>
        <w:textAlignment w:val="bottom"/>
        <w:outlineLvl w:val="0"/>
        <w:rPr>
          <w:rFonts w:ascii="宋体" w:hAnsi="宋体"/>
          <w:b/>
          <w:bCs/>
          <w:color w:val="auto"/>
          <w:sz w:val="32"/>
          <w:szCs w:val="32"/>
          <w:highlight w:val="none"/>
        </w:rPr>
      </w:pPr>
    </w:p>
    <w:p>
      <w:pPr>
        <w:autoSpaceDE w:val="0"/>
        <w:autoSpaceDN w:val="0"/>
        <w:spacing w:after="312" w:afterLines="100" w:line="480" w:lineRule="auto"/>
        <w:textAlignment w:val="bottom"/>
        <w:outlineLvl w:val="0"/>
        <w:rPr>
          <w:rFonts w:ascii="宋体" w:hAnsi="宋体"/>
          <w:b/>
          <w:bCs/>
          <w:color w:val="auto"/>
          <w:sz w:val="32"/>
          <w:szCs w:val="32"/>
          <w:highlight w:val="none"/>
          <w:u w:val="single"/>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w:t>
      </w:r>
    </w:p>
    <w:p>
      <w:pPr>
        <w:autoSpaceDE w:val="0"/>
        <w:autoSpaceDN w:val="0"/>
        <w:spacing w:line="360" w:lineRule="auto"/>
        <w:jc w:val="left"/>
        <w:textAlignment w:val="bottom"/>
        <w:rPr>
          <w:rFonts w:ascii="宋体" w:hAnsi="宋体"/>
          <w:b/>
          <w:bCs/>
          <w:color w:val="auto"/>
          <w:sz w:val="32"/>
          <w:szCs w:val="32"/>
          <w:highlight w:val="none"/>
        </w:rPr>
      </w:pPr>
      <w:r>
        <w:rPr>
          <w:rFonts w:hint="eastAsia" w:ascii="宋体" w:hAnsi="宋体"/>
          <w:b/>
          <w:bCs/>
          <w:color w:val="auto"/>
          <w:sz w:val="32"/>
          <w:szCs w:val="32"/>
          <w:highlight w:val="none"/>
        </w:rPr>
        <w:t xml:space="preserve">     项目编号：TC【2022】CG1057号</w:t>
      </w:r>
    </w:p>
    <w:p>
      <w:pPr>
        <w:autoSpaceDE w:val="0"/>
        <w:autoSpaceDN w:val="0"/>
        <w:spacing w:line="360" w:lineRule="auto"/>
        <w:ind w:left="2249" w:hanging="2249" w:hangingChars="700"/>
        <w:jc w:val="left"/>
        <w:textAlignment w:val="bottom"/>
        <w:rPr>
          <w:rFonts w:hint="eastAsia" w:ascii="宋体" w:hAnsi="宋体"/>
          <w:b/>
          <w:bCs/>
          <w:color w:val="auto"/>
          <w:spacing w:val="-6"/>
          <w:sz w:val="32"/>
          <w:szCs w:val="32"/>
          <w:highlight w:val="none"/>
        </w:rPr>
      </w:pPr>
      <w:r>
        <w:rPr>
          <w:rFonts w:hint="eastAsia" w:ascii="宋体" w:hAnsi="宋体"/>
          <w:b/>
          <w:bCs/>
          <w:color w:val="auto"/>
          <w:sz w:val="32"/>
          <w:szCs w:val="32"/>
          <w:highlight w:val="none"/>
        </w:rPr>
        <w:t xml:space="preserve">     </w:t>
      </w:r>
      <w:r>
        <w:rPr>
          <w:rFonts w:hint="eastAsia" w:ascii="宋体" w:hAnsi="宋体"/>
          <w:b/>
          <w:bCs/>
          <w:color w:val="auto"/>
          <w:spacing w:val="-6"/>
          <w:sz w:val="32"/>
          <w:szCs w:val="32"/>
          <w:highlight w:val="none"/>
        </w:rPr>
        <w:t>项目名称：</w:t>
      </w:r>
      <w:r>
        <w:rPr>
          <w:rFonts w:hint="eastAsia" w:ascii="宋体" w:hAnsi="宋体"/>
          <w:b/>
          <w:bCs/>
          <w:color w:val="auto"/>
          <w:spacing w:val="-6"/>
          <w:w w:val="95"/>
          <w:sz w:val="32"/>
          <w:szCs w:val="32"/>
          <w:highlight w:val="none"/>
        </w:rPr>
        <w:t>淮河小学东校区新建工程智能化采购项目</w:t>
      </w:r>
    </w:p>
    <w:p>
      <w:pPr>
        <w:autoSpaceDE w:val="0"/>
        <w:autoSpaceDN w:val="0"/>
        <w:spacing w:line="360" w:lineRule="auto"/>
        <w:jc w:val="left"/>
        <w:textAlignment w:val="bottom"/>
        <w:rPr>
          <w:rFonts w:ascii="宋体" w:hAnsi="宋体"/>
          <w:b/>
          <w:bCs/>
          <w:color w:val="auto"/>
          <w:sz w:val="32"/>
          <w:szCs w:val="32"/>
          <w:highlight w:val="none"/>
        </w:rPr>
      </w:pPr>
      <w:r>
        <w:rPr>
          <w:rFonts w:hint="eastAsia" w:ascii="宋体" w:hAnsi="宋体"/>
          <w:b/>
          <w:bCs/>
          <w:color w:val="auto"/>
          <w:sz w:val="32"/>
          <w:szCs w:val="32"/>
          <w:highlight w:val="none"/>
        </w:rPr>
        <w:t xml:space="preserve">     采 购 人：</w:t>
      </w:r>
      <w:bookmarkStart w:id="4" w:name="OLE_LINK4"/>
      <w:bookmarkStart w:id="5" w:name="OLE_LINK5"/>
      <w:r>
        <w:rPr>
          <w:rFonts w:hint="eastAsia" w:ascii="宋体" w:hAnsi="宋体"/>
          <w:b/>
          <w:bCs/>
          <w:color w:val="auto"/>
          <w:sz w:val="32"/>
          <w:szCs w:val="32"/>
          <w:highlight w:val="none"/>
        </w:rPr>
        <w:t>宁波市北仑区公共项目建设管理中心</w:t>
      </w:r>
      <w:bookmarkEnd w:id="4"/>
      <w:bookmarkEnd w:id="5"/>
    </w:p>
    <w:p>
      <w:pPr>
        <w:autoSpaceDE w:val="0"/>
        <w:autoSpaceDN w:val="0"/>
        <w:spacing w:line="360" w:lineRule="auto"/>
        <w:jc w:val="left"/>
        <w:textAlignment w:val="bottom"/>
        <w:rPr>
          <w:rFonts w:hint="eastAsia" w:ascii="宋体" w:hAnsi="宋体"/>
          <w:b/>
          <w:bCs/>
          <w:color w:val="auto"/>
          <w:sz w:val="32"/>
          <w:szCs w:val="32"/>
          <w:highlight w:val="none"/>
        </w:rPr>
      </w:pPr>
      <w:r>
        <w:rPr>
          <w:rFonts w:hint="eastAsia" w:ascii="宋体" w:hAnsi="宋体"/>
          <w:b/>
          <w:bCs/>
          <w:color w:val="auto"/>
          <w:sz w:val="32"/>
          <w:szCs w:val="32"/>
          <w:highlight w:val="none"/>
        </w:rPr>
        <w:t xml:space="preserve">     采购机构：浙江天诚工程咨询有限公司</w:t>
      </w:r>
    </w:p>
    <w:p>
      <w:pPr>
        <w:autoSpaceDE w:val="0"/>
        <w:autoSpaceDN w:val="0"/>
        <w:spacing w:line="360" w:lineRule="auto"/>
        <w:jc w:val="center"/>
        <w:textAlignment w:val="bottom"/>
        <w:rPr>
          <w:rFonts w:ascii="宋体" w:hAnsi="宋体"/>
          <w:b/>
          <w:color w:val="auto"/>
          <w:sz w:val="36"/>
          <w:highlight w:val="none"/>
        </w:rPr>
      </w:pPr>
    </w:p>
    <w:p>
      <w:pPr>
        <w:autoSpaceDE w:val="0"/>
        <w:autoSpaceDN w:val="0"/>
        <w:spacing w:line="360" w:lineRule="auto"/>
        <w:jc w:val="center"/>
        <w:textAlignment w:val="bottom"/>
        <w:rPr>
          <w:rFonts w:ascii="宋体" w:hAnsi="宋体"/>
          <w:b/>
          <w:color w:val="auto"/>
          <w:sz w:val="36"/>
          <w:highlight w:val="none"/>
        </w:rPr>
      </w:pPr>
    </w:p>
    <w:p>
      <w:pPr>
        <w:autoSpaceDE w:val="0"/>
        <w:autoSpaceDN w:val="0"/>
        <w:spacing w:line="360" w:lineRule="auto"/>
        <w:jc w:val="center"/>
        <w:textAlignment w:val="bottom"/>
        <w:outlineLvl w:val="0"/>
        <w:rPr>
          <w:rFonts w:ascii="宋体" w:hAnsi="宋体"/>
          <w:b/>
          <w:bCs/>
          <w:color w:val="auto"/>
          <w:sz w:val="36"/>
          <w:highlight w:val="none"/>
        </w:rPr>
      </w:pPr>
      <w:bookmarkStart w:id="6" w:name="_Toc65753662"/>
      <w:bookmarkStart w:id="7" w:name="_Toc65510677"/>
      <w:r>
        <w:rPr>
          <w:rFonts w:hint="eastAsia" w:ascii="宋体" w:hAnsi="宋体"/>
          <w:b/>
          <w:bCs/>
          <w:color w:val="auto"/>
          <w:sz w:val="36"/>
          <w:highlight w:val="none"/>
        </w:rPr>
        <w:t>二〇二二年七月</w:t>
      </w:r>
      <w:bookmarkEnd w:id="6"/>
      <w:bookmarkEnd w:id="7"/>
    </w:p>
    <w:p>
      <w:pPr>
        <w:rPr>
          <w:rFonts w:ascii="宋体" w:hAnsi="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27" w:right="1179" w:bottom="1213" w:left="1179" w:header="851" w:footer="850" w:gutter="0"/>
          <w:cols w:space="720"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宋体" w:hAnsi="宋体"/>
          <w:color w:val="auto"/>
          <w:sz w:val="44"/>
          <w:highlight w:val="none"/>
        </w:rPr>
      </w:pPr>
      <w:r>
        <w:rPr>
          <w:rFonts w:hint="eastAsia" w:ascii="宋体" w:hAnsi="宋体"/>
          <w:color w:val="auto"/>
          <w:sz w:val="44"/>
          <w:highlight w:val="none"/>
        </w:rPr>
        <w:t>目   录</w:t>
      </w:r>
    </w:p>
    <w:p>
      <w:pPr>
        <w:pStyle w:val="11"/>
        <w:tabs>
          <w:tab w:val="right" w:leader="dot" w:pos="8834"/>
        </w:tabs>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"1-3" \h \z \u </w:instrText>
      </w:r>
      <w:r>
        <w:rPr>
          <w:rFonts w:ascii="宋体" w:hAnsi="宋体"/>
          <w:color w:val="auto"/>
          <w:sz w:val="28"/>
          <w:szCs w:val="28"/>
          <w:highlight w:val="none"/>
        </w:rPr>
        <w:fldChar w:fldCharType="separate"/>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"_Toc65753663" </w:instrText>
      </w:r>
      <w:r>
        <w:rPr>
          <w:color w:val="auto"/>
          <w:highlight w:val="none"/>
        </w:rPr>
        <w:fldChar w:fldCharType="separate"/>
      </w:r>
      <w:r>
        <w:rPr>
          <w:rStyle w:val="17"/>
          <w:rFonts w:hint="eastAsia" w:ascii="宋体" w:hAnsi="宋体"/>
          <w:color w:val="auto"/>
          <w:sz w:val="28"/>
          <w:szCs w:val="28"/>
          <w:highlight w:val="none"/>
        </w:rPr>
        <w:t>第一部分</w:t>
      </w:r>
      <w:r>
        <w:rPr>
          <w:rStyle w:val="17"/>
          <w:rFonts w:ascii="宋体" w:hAnsi="宋体"/>
          <w:color w:val="auto"/>
          <w:sz w:val="28"/>
          <w:szCs w:val="28"/>
          <w:highlight w:val="none"/>
        </w:rPr>
        <w:t xml:space="preserve">  </w:t>
      </w:r>
      <w:r>
        <w:rPr>
          <w:rStyle w:val="17"/>
          <w:rFonts w:hint="eastAsia" w:ascii="宋体" w:hAnsi="宋体"/>
          <w:color w:val="auto"/>
          <w:sz w:val="28"/>
          <w:szCs w:val="28"/>
          <w:highlight w:val="none"/>
        </w:rPr>
        <w:t>招标公告</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_Toc65753663 \h </w:instrText>
      </w:r>
      <w:r>
        <w:rPr>
          <w:rFonts w:ascii="宋体" w:hAnsi="宋体"/>
          <w:color w:val="auto"/>
          <w:sz w:val="28"/>
          <w:szCs w:val="28"/>
          <w:highlight w:val="none"/>
        </w:rPr>
        <w:fldChar w:fldCharType="separate"/>
      </w:r>
      <w:r>
        <w:rPr>
          <w:rFonts w:ascii="宋体" w:hAnsi="宋体"/>
          <w:color w:val="auto"/>
          <w:sz w:val="28"/>
          <w:szCs w:val="28"/>
          <w:highlight w:val="none"/>
        </w:rPr>
        <w:t>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"_Toc65753664" </w:instrText>
      </w:r>
      <w:r>
        <w:rPr>
          <w:color w:val="auto"/>
          <w:highlight w:val="none"/>
        </w:rPr>
        <w:fldChar w:fldCharType="separate"/>
      </w:r>
      <w:r>
        <w:rPr>
          <w:rStyle w:val="17"/>
          <w:rFonts w:hint="eastAsia" w:ascii="宋体" w:hAnsi="宋体"/>
          <w:color w:val="auto"/>
          <w:sz w:val="28"/>
          <w:szCs w:val="28"/>
          <w:highlight w:val="none"/>
        </w:rPr>
        <w:t>第二部分</w:t>
      </w:r>
      <w:r>
        <w:rPr>
          <w:rStyle w:val="17"/>
          <w:rFonts w:ascii="宋体" w:hAnsi="宋体"/>
          <w:color w:val="auto"/>
          <w:sz w:val="28"/>
          <w:szCs w:val="28"/>
          <w:highlight w:val="none"/>
        </w:rPr>
        <w:t xml:space="preserve">  </w:t>
      </w:r>
      <w:r>
        <w:rPr>
          <w:rStyle w:val="17"/>
          <w:rFonts w:hint="eastAsia" w:ascii="宋体" w:hAnsi="宋体"/>
          <w:color w:val="auto"/>
          <w:sz w:val="28"/>
          <w:szCs w:val="28"/>
          <w:highlight w:val="none"/>
        </w:rPr>
        <w:t>投标人须知及前附表</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_Toc65753664 \h </w:instrText>
      </w:r>
      <w:r>
        <w:rPr>
          <w:rFonts w:ascii="宋体" w:hAnsi="宋体"/>
          <w:color w:val="auto"/>
          <w:sz w:val="28"/>
          <w:szCs w:val="28"/>
          <w:highlight w:val="none"/>
        </w:rPr>
        <w:fldChar w:fldCharType="separate"/>
      </w:r>
      <w:r>
        <w:rPr>
          <w:rFonts w:ascii="宋体" w:hAnsi="宋体"/>
          <w:color w:val="auto"/>
          <w:sz w:val="28"/>
          <w:szCs w:val="28"/>
          <w:highlight w:val="none"/>
        </w:rPr>
        <w:t>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"_Toc65753668" </w:instrText>
      </w:r>
      <w:r>
        <w:rPr>
          <w:color w:val="auto"/>
          <w:highlight w:val="none"/>
        </w:rPr>
        <w:fldChar w:fldCharType="separate"/>
      </w:r>
      <w:r>
        <w:rPr>
          <w:rStyle w:val="17"/>
          <w:rFonts w:hint="eastAsia" w:ascii="宋体" w:hAnsi="宋体"/>
          <w:color w:val="auto"/>
          <w:sz w:val="28"/>
          <w:szCs w:val="28"/>
          <w:highlight w:val="none"/>
        </w:rPr>
        <w:t>第三部分</w:t>
      </w:r>
      <w:r>
        <w:rPr>
          <w:rStyle w:val="17"/>
          <w:rFonts w:ascii="宋体" w:hAnsi="宋体"/>
          <w:color w:val="auto"/>
          <w:sz w:val="28"/>
          <w:szCs w:val="28"/>
          <w:highlight w:val="none"/>
        </w:rPr>
        <w:t xml:space="preserve">  </w:t>
      </w:r>
      <w:r>
        <w:rPr>
          <w:rStyle w:val="17"/>
          <w:rFonts w:hint="eastAsia" w:ascii="宋体" w:hAnsi="宋体"/>
          <w:color w:val="auto"/>
          <w:sz w:val="28"/>
          <w:szCs w:val="28"/>
          <w:highlight w:val="none"/>
        </w:rPr>
        <w:t>项目内容及要求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_Toc65753668 \h </w:instrText>
      </w:r>
      <w:r>
        <w:rPr>
          <w:rFonts w:ascii="宋体" w:hAnsi="宋体"/>
          <w:color w:val="auto"/>
          <w:sz w:val="28"/>
          <w:szCs w:val="28"/>
          <w:highlight w:val="none"/>
        </w:rPr>
        <w:fldChar w:fldCharType="separate"/>
      </w:r>
      <w:r>
        <w:rPr>
          <w:rFonts w:ascii="宋体" w:hAnsi="宋体"/>
          <w:color w:val="auto"/>
          <w:sz w:val="28"/>
          <w:szCs w:val="28"/>
          <w:highlight w:val="none"/>
        </w:rPr>
        <w:t>19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"_Toc65753669" </w:instrText>
      </w:r>
      <w:r>
        <w:rPr>
          <w:color w:val="auto"/>
          <w:highlight w:val="none"/>
        </w:rPr>
        <w:fldChar w:fldCharType="separate"/>
      </w:r>
      <w:r>
        <w:rPr>
          <w:rStyle w:val="17"/>
          <w:rFonts w:hint="eastAsia" w:ascii="宋体" w:hAnsi="宋体"/>
          <w:color w:val="auto"/>
          <w:sz w:val="28"/>
          <w:szCs w:val="28"/>
          <w:highlight w:val="none"/>
        </w:rPr>
        <w:t>第四部分</w:t>
      </w:r>
      <w:r>
        <w:rPr>
          <w:rStyle w:val="17"/>
          <w:rFonts w:ascii="宋体" w:hAnsi="宋体"/>
          <w:color w:val="auto"/>
          <w:sz w:val="28"/>
          <w:szCs w:val="28"/>
          <w:highlight w:val="none"/>
        </w:rPr>
        <w:t xml:space="preserve">  </w:t>
      </w:r>
      <w:r>
        <w:rPr>
          <w:rStyle w:val="17"/>
          <w:rFonts w:hint="eastAsia" w:ascii="宋体" w:hAnsi="宋体"/>
          <w:color w:val="auto"/>
          <w:sz w:val="28"/>
          <w:szCs w:val="28"/>
          <w:highlight w:val="none"/>
        </w:rPr>
        <w:t>评标办法及评分标准</w:t>
      </w:r>
      <w:bookmarkStart w:id="8" w:name="_Hlt67057350"/>
      <w:bookmarkStart w:id="9" w:name="_Hlt65855291"/>
      <w:bookmarkStart w:id="10" w:name="_Hlt65855292"/>
      <w:r>
        <w:rPr>
          <w:rFonts w:ascii="宋体" w:hAnsi="宋体"/>
          <w:color w:val="auto"/>
          <w:sz w:val="28"/>
          <w:szCs w:val="28"/>
          <w:highlight w:val="none"/>
        </w:rPr>
        <w:tab/>
      </w:r>
      <w:bookmarkEnd w:id="8"/>
      <w:bookmarkEnd w:id="9"/>
      <w:bookmarkEnd w:id="10"/>
      <w:r>
        <w:rPr>
          <w:rFonts w:ascii="宋体" w:hAnsi="宋体"/>
          <w:color w:val="auto"/>
          <w:sz w:val="28"/>
          <w:szCs w:val="28"/>
          <w:highlight w:val="none"/>
        </w:rPr>
        <w:fldChar w:fldCharType="end"/>
      </w:r>
      <w:r>
        <w:rPr>
          <w:rFonts w:hint="eastAsia" w:ascii="宋体" w:hAnsi="宋体"/>
          <w:color w:val="auto"/>
          <w:sz w:val="28"/>
          <w:szCs w:val="28"/>
          <w:highlight w:val="none"/>
        </w:rPr>
        <w:t>116</w:t>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"_Toc65753670" </w:instrText>
      </w:r>
      <w:r>
        <w:rPr>
          <w:color w:val="auto"/>
          <w:highlight w:val="none"/>
        </w:rPr>
        <w:fldChar w:fldCharType="separate"/>
      </w:r>
      <w:r>
        <w:rPr>
          <w:rStyle w:val="17"/>
          <w:rFonts w:hint="eastAsia" w:ascii="宋体" w:hAnsi="宋体"/>
          <w:color w:val="auto"/>
          <w:sz w:val="28"/>
          <w:szCs w:val="28"/>
          <w:highlight w:val="none"/>
        </w:rPr>
        <w:t>第五部分</w:t>
      </w:r>
      <w:r>
        <w:rPr>
          <w:rStyle w:val="17"/>
          <w:rFonts w:ascii="宋体" w:hAnsi="宋体"/>
          <w:color w:val="auto"/>
          <w:sz w:val="28"/>
          <w:szCs w:val="28"/>
          <w:highlight w:val="none"/>
        </w:rPr>
        <w:t xml:space="preserve">  </w:t>
      </w:r>
      <w:r>
        <w:rPr>
          <w:rStyle w:val="17"/>
          <w:rFonts w:hint="eastAsia" w:ascii="宋体" w:hAnsi="宋体"/>
          <w:color w:val="auto"/>
          <w:sz w:val="28"/>
          <w:szCs w:val="28"/>
          <w:highlight w:val="none"/>
        </w:rPr>
        <w:t>合同主要条款及格式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_Toc65753670 \h </w:instrText>
      </w:r>
      <w:r>
        <w:rPr>
          <w:rFonts w:ascii="宋体" w:hAnsi="宋体"/>
          <w:color w:val="auto"/>
          <w:sz w:val="28"/>
          <w:szCs w:val="28"/>
          <w:highlight w:val="none"/>
        </w:rPr>
        <w:fldChar w:fldCharType="separate"/>
      </w:r>
      <w:r>
        <w:rPr>
          <w:rFonts w:ascii="宋体" w:hAnsi="宋体"/>
          <w:color w:val="auto"/>
          <w:sz w:val="28"/>
          <w:szCs w:val="28"/>
          <w:highlight w:val="none"/>
        </w:rPr>
        <w:t>146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11"/>
        <w:tabs>
          <w:tab w:val="right" w:leader="dot" w:pos="8834"/>
        </w:tabs>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"_Toc65753671" </w:instrText>
      </w:r>
      <w:r>
        <w:rPr>
          <w:color w:val="auto"/>
          <w:highlight w:val="none"/>
        </w:rPr>
        <w:fldChar w:fldCharType="separate"/>
      </w:r>
      <w:r>
        <w:rPr>
          <w:rStyle w:val="17"/>
          <w:rFonts w:hint="eastAsia" w:ascii="宋体" w:hAnsi="宋体"/>
          <w:color w:val="auto"/>
          <w:sz w:val="28"/>
          <w:szCs w:val="28"/>
          <w:highlight w:val="none"/>
        </w:rPr>
        <w:t>第六部分</w:t>
      </w:r>
      <w:r>
        <w:rPr>
          <w:rStyle w:val="17"/>
          <w:rFonts w:ascii="宋体" w:hAnsi="宋体"/>
          <w:color w:val="auto"/>
          <w:sz w:val="28"/>
          <w:szCs w:val="28"/>
          <w:highlight w:val="none"/>
        </w:rPr>
        <w:t xml:space="preserve">  </w:t>
      </w:r>
      <w:r>
        <w:rPr>
          <w:rStyle w:val="17"/>
          <w:rFonts w:hint="eastAsia" w:ascii="宋体" w:hAnsi="宋体"/>
          <w:color w:val="auto"/>
          <w:sz w:val="28"/>
          <w:szCs w:val="28"/>
          <w:highlight w:val="none"/>
        </w:rPr>
        <w:t>投标文件格式</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_Toc65753671 \h </w:instrText>
      </w:r>
      <w:r>
        <w:rPr>
          <w:rFonts w:ascii="宋体" w:hAnsi="宋体"/>
          <w:color w:val="auto"/>
          <w:sz w:val="28"/>
          <w:szCs w:val="28"/>
          <w:highlight w:val="none"/>
        </w:rPr>
        <w:fldChar w:fldCharType="separate"/>
      </w:r>
      <w:r>
        <w:rPr>
          <w:rFonts w:ascii="宋体" w:hAnsi="宋体"/>
          <w:color w:val="auto"/>
          <w:sz w:val="28"/>
          <w:szCs w:val="28"/>
          <w:highlight w:val="none"/>
        </w:rPr>
        <w:t>156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rPr>
          <w:color w:val="auto"/>
          <w:highlight w:val="none"/>
        </w:rPr>
      </w:pPr>
      <w:r>
        <w:rPr>
          <w:rFonts w:ascii="宋体" w:hAnsi="宋体"/>
          <w:color w:val="auto"/>
          <w:sz w:val="28"/>
          <w:szCs w:val="28"/>
          <w:highlight w:val="none"/>
        </w:rPr>
        <w:fldChar w:fldCharType="end"/>
      </w:r>
    </w:p>
    <w:p>
      <w:pPr>
        <w:spacing w:line="360" w:lineRule="auto"/>
        <w:jc w:val="left"/>
        <w:rPr>
          <w:rFonts w:ascii="黑体" w:hAnsi="黑体" w:eastAsia="黑体"/>
          <w:b/>
          <w:color w:val="auto"/>
          <w:sz w:val="24"/>
          <w:highlight w:val="none"/>
        </w:rPr>
      </w:pP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720" w:num="1"/>
          <w:docGrid w:type="lines" w:linePitch="312" w:charSpace="0"/>
        </w:sectPr>
      </w:pPr>
    </w:p>
    <w:p>
      <w:pPr>
        <w:pStyle w:val="3"/>
        <w:rPr>
          <w:color w:val="auto"/>
          <w:szCs w:val="36"/>
          <w:highlight w:val="none"/>
        </w:rPr>
      </w:pPr>
      <w:bookmarkStart w:id="11" w:name="_Toc65753663"/>
      <w:bookmarkStart w:id="12" w:name="OLE_LINK1"/>
      <w:r>
        <w:rPr>
          <w:rFonts w:hint="eastAsia"/>
          <w:color w:val="auto"/>
          <w:szCs w:val="36"/>
          <w:highlight w:val="none"/>
        </w:rPr>
        <w:t>第一部分  招标公告</w:t>
      </w:r>
      <w:bookmarkEnd w:id="11"/>
    </w:p>
    <w:p>
      <w:pPr>
        <w:rPr>
          <w:color w:val="auto"/>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9464" w:type="dxa"/>
            <w:noWrap w:val="0"/>
            <w:vAlign w:val="top"/>
          </w:tcPr>
          <w:p>
            <w:pPr>
              <w:snapToGrid w:val="0"/>
              <w:spacing w:line="400" w:lineRule="exact"/>
              <w:ind w:left="11"/>
              <w:rPr>
                <w:rFonts w:ascii="宋体" w:hAnsi="宋体" w:cs="宋体"/>
                <w:color w:val="auto"/>
                <w:szCs w:val="21"/>
                <w:highlight w:val="none"/>
              </w:rPr>
            </w:pPr>
            <w:r>
              <w:rPr>
                <w:rFonts w:hint="eastAsia" w:ascii="宋体" w:hAnsi="宋体" w:cs="宋体"/>
                <w:color w:val="auto"/>
                <w:szCs w:val="21"/>
                <w:highlight w:val="none"/>
              </w:rPr>
              <w:t>项目概况：</w:t>
            </w:r>
          </w:p>
          <w:p>
            <w:pPr>
              <w:spacing w:line="400" w:lineRule="exact"/>
              <w:ind w:left="11" w:right="-94" w:rightChars="-45" w:firstLine="420" w:firstLineChars="200"/>
              <w:rPr>
                <w:rFonts w:ascii="宋体" w:hAnsi="宋体" w:cs="宋体"/>
                <w:color w:val="auto"/>
                <w:sz w:val="24"/>
                <w:szCs w:val="24"/>
                <w:highlight w:val="none"/>
              </w:rPr>
            </w:pPr>
            <w:r>
              <w:rPr>
                <w:rFonts w:hint="eastAsia" w:ascii="宋体" w:hAnsi="宋体"/>
                <w:color w:val="auto"/>
                <w:kern w:val="0"/>
                <w:szCs w:val="21"/>
                <w:highlight w:val="none"/>
              </w:rPr>
              <w:t>淮河小学东校区新建工程智能化采购项目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浙江政府采购云平台（</w:t>
            </w:r>
            <w:r>
              <w:rPr>
                <w:color w:val="auto"/>
                <w:highlight w:val="none"/>
              </w:rPr>
              <w:fldChar w:fldCharType="begin"/>
            </w:r>
            <w:r>
              <w:rPr>
                <w:color w:val="auto"/>
                <w:highlight w:val="none"/>
              </w:rPr>
              <w:instrText xml:space="preserve"> HYPERLINK "http://www.zcy.gov.cn/）获取招标文件，并于2021年" </w:instrText>
            </w:r>
            <w:r>
              <w:rPr>
                <w:color w:val="auto"/>
                <w:highlight w:val="none"/>
              </w:rPr>
              <w:fldChar w:fldCharType="separate"/>
            </w:r>
            <w:r>
              <w:rPr>
                <w:rStyle w:val="17"/>
                <w:rFonts w:hint="eastAsia" w:ascii="宋体" w:hAnsi="宋体" w:cs="宋体"/>
                <w:color w:val="auto"/>
                <w:szCs w:val="21"/>
                <w:highlight w:val="none"/>
              </w:rPr>
              <w:t>http://www.zcygov.cn/）获取招标文件，并于2022年</w:t>
            </w:r>
            <w:r>
              <w:rPr>
                <w:rFonts w:hint="eastAsia" w:ascii="宋体" w:hAnsi="宋体" w:cs="宋体"/>
                <w:color w:val="auto"/>
                <w:szCs w:val="21"/>
                <w:highlight w:val="none"/>
              </w:rPr>
              <w:fldChar w:fldCharType="end"/>
            </w:r>
            <w:r>
              <w:rPr>
                <w:rFonts w:hint="eastAsia" w:ascii="宋体" w:hAnsi="宋体" w:cs="宋体"/>
                <w:color w:val="auto"/>
                <w:szCs w:val="21"/>
                <w:highlight w:val="none"/>
                <w:u w:val="single"/>
              </w:rPr>
              <w:t>月日9点00分（北京时间，下同）</w:t>
            </w:r>
            <w:r>
              <w:rPr>
                <w:rFonts w:hint="eastAsia" w:ascii="宋体" w:hAnsi="宋体" w:cs="宋体"/>
                <w:color w:val="auto"/>
                <w:szCs w:val="21"/>
                <w:highlight w:val="none"/>
              </w:rPr>
              <w:t>前递交投标文件。</w:t>
            </w:r>
          </w:p>
        </w:tc>
      </w:tr>
    </w:tbl>
    <w:p>
      <w:pPr>
        <w:spacing w:line="360" w:lineRule="exact"/>
        <w:ind w:right="-94" w:rightChars="-45"/>
        <w:rPr>
          <w:rFonts w:ascii="宋体" w:hAnsi="宋体"/>
          <w:color w:val="auto"/>
          <w:sz w:val="24"/>
          <w:szCs w:val="24"/>
          <w:highlight w:val="none"/>
        </w:rPr>
      </w:pPr>
    </w:p>
    <w:p>
      <w:pPr>
        <w:snapToGrid w:val="0"/>
        <w:spacing w:line="360" w:lineRule="auto"/>
        <w:rPr>
          <w:rFonts w:ascii="宋体" w:hAnsi="宋体" w:cs="宋体"/>
          <w:b/>
          <w:bCs/>
          <w:color w:val="auto"/>
          <w:highlight w:val="none"/>
        </w:rPr>
      </w:pPr>
      <w:r>
        <w:rPr>
          <w:rFonts w:hint="eastAsia" w:ascii="Arial" w:hAnsi="Arial" w:cs="Arial"/>
          <w:color w:val="auto"/>
          <w:szCs w:val="21"/>
          <w:highlight w:val="none"/>
        </w:rPr>
        <w:t xml:space="preserve">    </w:t>
      </w:r>
      <w:r>
        <w:rPr>
          <w:rFonts w:hint="eastAsia" w:ascii="宋体" w:hAnsi="宋体" w:cs="宋体"/>
          <w:b/>
          <w:bCs/>
          <w:color w:val="auto"/>
          <w:highlight w:val="none"/>
        </w:rPr>
        <w:t>一、项目基本情况：</w:t>
      </w:r>
    </w:p>
    <w:p>
      <w:pPr>
        <w:snapToGrid w:val="0"/>
        <w:spacing w:line="360" w:lineRule="auto"/>
        <w:ind w:firstLine="420" w:firstLineChars="200"/>
        <w:rPr>
          <w:rFonts w:ascii="宋体" w:cs="宋体"/>
          <w:color w:val="auto"/>
          <w:highlight w:val="none"/>
        </w:rPr>
      </w:pPr>
      <w:r>
        <w:rPr>
          <w:rFonts w:hint="eastAsia" w:ascii="宋体" w:hAnsi="宋体" w:cs="宋体"/>
          <w:color w:val="auto"/>
          <w:highlight w:val="none"/>
        </w:rPr>
        <w:t>项目编号：TC【2022】CG1057号</w:t>
      </w:r>
    </w:p>
    <w:p>
      <w:pPr>
        <w:snapToGrid w:val="0"/>
        <w:spacing w:line="360" w:lineRule="auto"/>
        <w:ind w:firstLine="420" w:firstLineChars="200"/>
        <w:rPr>
          <w:rFonts w:hint="eastAsia" w:ascii="宋体" w:cs="宋体"/>
          <w:color w:val="auto"/>
          <w:highlight w:val="none"/>
        </w:rPr>
      </w:pPr>
      <w:r>
        <w:rPr>
          <w:rFonts w:hint="eastAsia" w:ascii="宋体" w:hAnsi="宋体" w:cs="宋体"/>
          <w:color w:val="auto"/>
          <w:highlight w:val="none"/>
        </w:rPr>
        <w:t>项目名称：</w:t>
      </w:r>
      <w:r>
        <w:rPr>
          <w:rFonts w:hint="eastAsia" w:ascii="宋体" w:hAnsi="宋体" w:cs="宋体"/>
          <w:color w:val="auto"/>
          <w:w w:val="95"/>
          <w:highlight w:val="none"/>
        </w:rPr>
        <w:t>淮河小学东校区新建工程智能化采购项目</w:t>
      </w:r>
    </w:p>
    <w:p>
      <w:pPr>
        <w:snapToGrid w:val="0"/>
        <w:spacing w:line="360" w:lineRule="auto"/>
        <w:ind w:firstLine="420" w:firstLineChars="200"/>
        <w:rPr>
          <w:rFonts w:ascii="宋体" w:cs="宋体"/>
          <w:color w:val="auto"/>
          <w:highlight w:val="none"/>
        </w:rPr>
      </w:pPr>
      <w:r>
        <w:rPr>
          <w:rFonts w:hint="eastAsia" w:ascii="宋体" w:hAnsi="宋体" w:cs="宋体"/>
          <w:color w:val="auto"/>
          <w:highlight w:val="none"/>
        </w:rPr>
        <w:t xml:space="preserve">预算金额（元）：6115000元     </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最高限价（元）：6115000元</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招标需求：</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标项名称：</w:t>
      </w:r>
      <w:r>
        <w:rPr>
          <w:rFonts w:hint="eastAsia" w:ascii="宋体" w:hAnsi="宋体" w:cs="宋体"/>
          <w:color w:val="auto"/>
          <w:w w:val="95"/>
          <w:highlight w:val="none"/>
        </w:rPr>
        <w:t>淮河小学东校区新建工程智能化</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数量：1批</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预算金额（元）：6115000元</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简要规格描述或项目基本概况介绍、用途：主要包括1.综合布线系统（SCS）：a) 语音通信系统；b) 数据通信系统（校园网）；c) 移动通信系统（运营商考虑）；2.计算机网络系统（校园网、安防网）；3.校园广播系统；4.安全防范系统(SAS)：a) 视频监视系统（含透明厨房）；b) 入侵报警系统；c）电子巡更系统；d）出入口管理系统（人行出入口管理系统和车行出入口系统）；e）一卡通门禁系统；5.信息发布系统；6.多媒体会议系统；7.多媒体教学系统；8.录播系统；9.电子班牌系统；10监控室建设系统；11网络机房建设系统；12.五方通话系统；13.综合管路等子系统。详见第三部分项目内容及要求。</w:t>
      </w:r>
    </w:p>
    <w:p>
      <w:pPr>
        <w:snapToGrid w:val="0"/>
        <w:spacing w:line="360" w:lineRule="auto"/>
        <w:ind w:firstLine="420" w:firstLineChars="200"/>
        <w:rPr>
          <w:rFonts w:ascii="宋体" w:hAnsi="宋体"/>
          <w:color w:val="auto"/>
          <w:highlight w:val="none"/>
        </w:rPr>
      </w:pPr>
      <w:r>
        <w:rPr>
          <w:rFonts w:hint="eastAsia" w:ascii="宋体" w:hAnsi="宋体" w:cs="宋体"/>
          <w:color w:val="auto"/>
          <w:highlight w:val="none"/>
        </w:rPr>
        <w:t>合同履约期限：</w:t>
      </w:r>
      <w:r>
        <w:rPr>
          <w:rFonts w:hint="eastAsia" w:ascii="宋体" w:hAnsi="宋体"/>
          <w:color w:val="auto"/>
          <w:highlight w:val="none"/>
        </w:rPr>
        <w:t>配合</w:t>
      </w:r>
      <w:r>
        <w:rPr>
          <w:rFonts w:hint="eastAsia" w:ascii="宋体" w:hAnsi="宋体" w:cs="宋体"/>
          <w:color w:val="auto"/>
          <w:highlight w:val="none"/>
        </w:rPr>
        <w:t>土建施工进度要求，并在2024年4月30日前完成安装调试工作，并通过初验进入试运行，试运行期满后进行终验。</w:t>
      </w:r>
      <w:r>
        <w:rPr>
          <w:rFonts w:hint="eastAsia" w:ascii="宋体" w:hAnsi="宋体"/>
          <w:color w:val="auto"/>
          <w:highlight w:val="none"/>
        </w:rPr>
        <w:t>若总包工期延期，则智能化施工工期相应顺延，合同总价不予调整。</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本项目（否）接受联合体投标。</w:t>
      </w:r>
    </w:p>
    <w:p>
      <w:pPr>
        <w:snapToGrid w:val="0"/>
        <w:spacing w:line="360" w:lineRule="auto"/>
        <w:rPr>
          <w:rFonts w:ascii="宋体" w:hAnsi="宋体"/>
          <w:b/>
          <w:color w:val="auto"/>
          <w:highlight w:val="none"/>
        </w:rPr>
      </w:pPr>
      <w:r>
        <w:rPr>
          <w:rFonts w:hint="eastAsia" w:ascii="Arial" w:hAnsi="Arial" w:cs="Arial"/>
          <w:b/>
          <w:color w:val="auto"/>
          <w:szCs w:val="21"/>
          <w:highlight w:val="none"/>
        </w:rPr>
        <w:t xml:space="preserve">    二、申请人的</w:t>
      </w:r>
      <w:r>
        <w:rPr>
          <w:rFonts w:hint="eastAsia" w:ascii="宋体" w:hAnsi="宋体"/>
          <w:b/>
          <w:color w:val="auto"/>
          <w:highlight w:val="none"/>
        </w:rPr>
        <w:t>资格条件：</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符合《中华人民共和国政府采购法》第22条规定；未被“信用中国”（www.creditchina.gov.cn)、中国政府采购网（www.ccgp.gov.cn）列入失信被执行人、重大税收违法案件当事人名单（税收违法黑名单）、政府采购严重违法失信行为记录名单。</w:t>
      </w:r>
    </w:p>
    <w:p>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2.落实政府采购政策需满足的资格要求：无。</w:t>
      </w:r>
    </w:p>
    <w:p>
      <w:pPr>
        <w:snapToGrid w:val="0"/>
        <w:spacing w:line="360" w:lineRule="auto"/>
        <w:ind w:firstLine="420" w:firstLineChars="200"/>
        <w:rPr>
          <w:rFonts w:ascii="宋体" w:hAnsi="宋体"/>
          <w:color w:val="auto"/>
          <w:highlight w:val="none"/>
        </w:rPr>
      </w:pPr>
      <w:r>
        <w:rPr>
          <w:rFonts w:hint="eastAsia" w:ascii="宋体" w:hAnsi="宋体" w:cs="宋体"/>
          <w:color w:val="auto"/>
          <w:highlight w:val="none"/>
        </w:rPr>
        <w:t>3.本项目特定资格条件为：标项1：（1）具有独立法人资格；（2）具有建设行政主管部门颁发的电</w:t>
      </w:r>
      <w:r>
        <w:rPr>
          <w:rFonts w:hint="eastAsia" w:ascii="宋体" w:hAnsi="宋体"/>
          <w:color w:val="auto"/>
          <w:highlight w:val="none"/>
        </w:rPr>
        <w:t>子与智能化工程专业承包二级及以上资质证书。</w:t>
      </w:r>
    </w:p>
    <w:p>
      <w:pPr>
        <w:spacing w:line="360" w:lineRule="auto"/>
        <w:rPr>
          <w:rFonts w:ascii="Arial" w:hAnsi="Arial" w:cs="Arial"/>
          <w:b/>
          <w:color w:val="auto"/>
          <w:szCs w:val="21"/>
          <w:highlight w:val="none"/>
        </w:rPr>
      </w:pPr>
      <w:r>
        <w:rPr>
          <w:rFonts w:hint="eastAsia" w:ascii="宋体" w:hAnsi="宋体"/>
          <w:color w:val="auto"/>
          <w:highlight w:val="none"/>
        </w:rPr>
        <w:t xml:space="preserve">    </w:t>
      </w:r>
      <w:r>
        <w:rPr>
          <w:rFonts w:hint="eastAsia" w:ascii="Arial" w:hAnsi="Arial" w:cs="Arial"/>
          <w:b/>
          <w:color w:val="auto"/>
          <w:szCs w:val="21"/>
          <w:highlight w:val="none"/>
        </w:rPr>
        <w:t>三、获取招标文件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时间：</w:t>
      </w:r>
      <w:r>
        <w:rPr>
          <w:rFonts w:ascii="宋体" w:hAnsi="宋体" w:cs="Arial"/>
          <w:color w:val="auto"/>
          <w:kern w:val="0"/>
          <w:szCs w:val="21"/>
          <w:highlight w:val="none"/>
        </w:rPr>
        <w:t>/至202</w:t>
      </w:r>
      <w:r>
        <w:rPr>
          <w:rFonts w:hint="eastAsia" w:ascii="宋体" w:hAnsi="宋体" w:cs="Arial"/>
          <w:color w:val="auto"/>
          <w:kern w:val="0"/>
          <w:szCs w:val="21"/>
          <w:highlight w:val="none"/>
        </w:rPr>
        <w:t>2</w:t>
      </w:r>
      <w:r>
        <w:rPr>
          <w:rFonts w:ascii="宋体" w:hAnsi="宋体" w:cs="Arial"/>
          <w:color w:val="auto"/>
          <w:kern w:val="0"/>
          <w:szCs w:val="21"/>
          <w:highlight w:val="none"/>
        </w:rPr>
        <w:t>年月日，每天上午00:00至12:00，下午12:00至23:59（北京时间，线上获取法定节假日均可，线下获取文件法定节假日除外）</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2、地点（网址）：浙江政府采购云平台（http://www.zcygov.cn/）。</w:t>
      </w:r>
    </w:p>
    <w:p>
      <w:pPr>
        <w:spacing w:line="360" w:lineRule="auto"/>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3、方式：</w:t>
      </w:r>
      <w:r>
        <w:rPr>
          <w:rFonts w:ascii="宋体" w:hAnsi="宋体" w:cs="Arial"/>
          <w:color w:val="auto"/>
          <w:kern w:val="0"/>
          <w:szCs w:val="21"/>
          <w:highlight w:val="none"/>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35"/>
          <w:rFonts w:ascii="宋体" w:hAnsi="宋体" w:cs="Arial"/>
          <w:color w:val="auto"/>
          <w:szCs w:val="21"/>
          <w:highlight w:val="none"/>
        </w:rPr>
        <w:t>如有疑问请及时咨询网站客服，咨询电话：4008817190。</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售价：0元。 </w:t>
      </w:r>
    </w:p>
    <w:p>
      <w:pP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四、提交投标文件截止时间、开标时间和地点</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提交投标文件截止时间</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2022</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日</w:t>
      </w:r>
      <w:r>
        <w:rPr>
          <w:rFonts w:hint="eastAsia" w:ascii="宋体" w:hAnsi="宋体" w:cs="宋体"/>
          <w:b/>
          <w:bCs/>
          <w:color w:val="auto"/>
          <w:szCs w:val="21"/>
          <w:highlight w:val="none"/>
          <w:u w:val="single"/>
        </w:rPr>
        <w:t xml:space="preserve"> 9 : 00 </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投标地点（网址）：</w:t>
      </w:r>
      <w:r>
        <w:rPr>
          <w:rFonts w:hint="eastAsia" w:ascii="宋体" w:hAnsi="宋体" w:cs="宋体"/>
          <w:color w:val="auto"/>
          <w:spacing w:val="-2"/>
          <w:szCs w:val="21"/>
          <w:highlight w:val="none"/>
        </w:rPr>
        <w:t>（1）“电子加密</w:t>
      </w:r>
      <w:r>
        <w:rPr>
          <w:rFonts w:hint="eastAsia" w:ascii="宋体" w:hAnsi="宋体" w:cs="宋体"/>
          <w:bCs/>
          <w:color w:val="auto"/>
          <w:spacing w:val="-2"/>
          <w:szCs w:val="21"/>
          <w:highlight w:val="none"/>
        </w:rPr>
        <w:t>投标文件”：</w:t>
      </w:r>
      <w:r>
        <w:rPr>
          <w:color w:val="auto"/>
          <w:highlight w:val="none"/>
        </w:rPr>
        <w:fldChar w:fldCharType="begin"/>
      </w:r>
      <w:r>
        <w:rPr>
          <w:color w:val="auto"/>
          <w:highlight w:val="none"/>
        </w:rPr>
        <w:instrText xml:space="preserve"> HYPERLINK "https://www.zcygov.cn在线提交；" </w:instrText>
      </w:r>
      <w:r>
        <w:rPr>
          <w:color w:val="auto"/>
          <w:highlight w:val="none"/>
        </w:rPr>
        <w:fldChar w:fldCharType="separate"/>
      </w:r>
      <w:r>
        <w:rPr>
          <w:rFonts w:hint="eastAsia" w:ascii="宋体" w:hAnsi="宋体" w:cs="宋体"/>
          <w:color w:val="auto"/>
          <w:spacing w:val="-2"/>
          <w:szCs w:val="21"/>
          <w:highlight w:val="none"/>
        </w:rPr>
        <w:t>政采云平台（www.zcygov.cn）</w:t>
      </w:r>
      <w:r>
        <w:rPr>
          <w:rStyle w:val="17"/>
          <w:rFonts w:hint="eastAsia" w:ascii="宋体" w:hAnsi="宋体" w:cs="宋体"/>
          <w:bCs/>
          <w:color w:val="auto"/>
          <w:spacing w:val="-2"/>
          <w:highlight w:val="none"/>
        </w:rPr>
        <w:t>在线提交；</w:t>
      </w:r>
      <w:r>
        <w:rPr>
          <w:rFonts w:hint="eastAsia" w:ascii="宋体" w:hAnsi="宋体" w:cs="宋体"/>
          <w:bCs/>
          <w:color w:val="auto"/>
          <w:spacing w:val="-2"/>
          <w:highlight w:val="none"/>
        </w:rPr>
        <w:fldChar w:fldCharType="end"/>
      </w:r>
      <w:r>
        <w:rPr>
          <w:rFonts w:hint="eastAsia" w:ascii="宋体" w:hAnsi="宋体" w:cs="宋体"/>
          <w:color w:val="auto"/>
          <w:spacing w:val="-2"/>
          <w:szCs w:val="21"/>
          <w:highlight w:val="none"/>
        </w:rPr>
        <w:t>（2）现场递交备份投标文件（以U盘存储的电子备份投标文件）：</w:t>
      </w:r>
      <w:r>
        <w:rPr>
          <w:rFonts w:hint="eastAsia" w:ascii="宋体" w:hAnsi="宋体" w:cs="宋体"/>
          <w:color w:val="auto"/>
          <w:highlight w:val="none"/>
        </w:rPr>
        <w:t>北仑区公共资源交易中心（</w:t>
      </w:r>
      <w:r>
        <w:rPr>
          <w:rFonts w:hint="eastAsia" w:ascii="宋体" w:hAnsi="宋体"/>
          <w:color w:val="auto"/>
          <w:szCs w:val="21"/>
          <w:highlight w:val="none"/>
        </w:rPr>
        <w:t>宁波市北仑区长江路1166号北仑行政大楼B座三楼招投标中心交易厅，具体场所安排详见电子指示屏幕</w:t>
      </w:r>
      <w:r>
        <w:rPr>
          <w:rFonts w:hint="eastAsia" w:ascii="宋体" w:hAnsi="宋体" w:cs="宋体"/>
          <w:color w:val="auto"/>
          <w:highlight w:val="none"/>
        </w:rPr>
        <w:t>）</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3、开标时间：</w:t>
      </w:r>
      <w:r>
        <w:rPr>
          <w:rFonts w:hint="eastAsia" w:ascii="宋体" w:hAnsi="宋体" w:cs="宋体"/>
          <w:b/>
          <w:bCs/>
          <w:color w:val="auto"/>
          <w:szCs w:val="21"/>
          <w:highlight w:val="none"/>
          <w:u w:val="single"/>
        </w:rPr>
        <w:t>2022</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日</w:t>
      </w:r>
      <w:r>
        <w:rPr>
          <w:rFonts w:hint="eastAsia" w:ascii="宋体" w:hAnsi="宋体" w:cs="宋体"/>
          <w:b/>
          <w:bCs/>
          <w:color w:val="auto"/>
          <w:szCs w:val="21"/>
          <w:highlight w:val="none"/>
          <w:u w:val="single"/>
        </w:rPr>
        <w:t xml:space="preserve"> 9 : 00  </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4、开标地点（网址）：政府采购云平台（www.zcygov.cn）</w:t>
      </w:r>
    </w:p>
    <w:p>
      <w:pP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五、公告期限</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自本公告发布之日起5个工作日。</w:t>
      </w:r>
    </w:p>
    <w:p>
      <w:pPr>
        <w:spacing w:line="360" w:lineRule="auto"/>
        <w:ind w:firstLine="420" w:firstLineChars="200"/>
        <w:rPr>
          <w:rFonts w:ascii="宋体" w:hAnsi="宋体" w:cs="宋体"/>
          <w:bCs/>
          <w:color w:val="auto"/>
          <w:szCs w:val="21"/>
          <w:highlight w:val="none"/>
        </w:rPr>
      </w:pPr>
      <w:r>
        <w:rPr>
          <w:rFonts w:hint="eastAsia" w:ascii="宋体" w:hAnsi="宋体" w:cs="宋体"/>
          <w:b/>
          <w:color w:val="auto"/>
          <w:szCs w:val="21"/>
          <w:highlight w:val="none"/>
        </w:rPr>
        <w:t>六、其他补充事宜</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其他事项：</w:t>
      </w:r>
      <w:r>
        <w:rPr>
          <w:rFonts w:hint="eastAsia" w:ascii="宋体" w:hAnsi="宋体" w:cs="宋体"/>
          <w:color w:val="auto"/>
          <w:szCs w:val="21"/>
          <w:highlight w:val="none"/>
        </w:rPr>
        <w:t>2.1本次政府采购活动有关信息在“浙江政府采购网（https://zfcg.czt.zj.gov.cn/）”、“宁波政府采购网（http://www.nbzfcg.cn）”、“宁波公共资源交易网北仑区分网网站（</w:t>
      </w:r>
      <w:r>
        <w:rPr>
          <w:color w:val="auto"/>
          <w:highlight w:val="none"/>
        </w:rPr>
        <w:fldChar w:fldCharType="begin"/>
      </w:r>
      <w:r>
        <w:rPr>
          <w:color w:val="auto"/>
          <w:highlight w:val="none"/>
        </w:rPr>
        <w:instrText xml:space="preserve"> HYPERLINK "http://www.blztb.gov.cn" </w:instrText>
      </w:r>
      <w:r>
        <w:rPr>
          <w:color w:val="auto"/>
          <w:highlight w:val="none"/>
        </w:rPr>
        <w:fldChar w:fldCharType="separate"/>
      </w:r>
      <w:r>
        <w:rPr>
          <w:rFonts w:hint="eastAsia" w:ascii="宋体" w:hAnsi="宋体" w:cs="宋体"/>
          <w:color w:val="auto"/>
          <w:szCs w:val="21"/>
          <w:highlight w:val="none"/>
        </w:rPr>
        <w:t>http://beilun.nbggzy.cn/</w:t>
      </w:r>
      <w:r>
        <w:rPr>
          <w:rFonts w:hint="eastAsia" w:ascii="宋体" w:hAnsi="宋体" w:cs="宋体"/>
          <w:color w:val="auto"/>
          <w:szCs w:val="21"/>
          <w:highlight w:val="none"/>
        </w:rPr>
        <w:fldChar w:fldCharType="end"/>
      </w:r>
      <w:r>
        <w:rPr>
          <w:rFonts w:hint="eastAsia" w:ascii="宋体" w:hAnsi="宋体" w:cs="宋体"/>
          <w:color w:val="auto"/>
          <w:szCs w:val="21"/>
          <w:highlight w:val="none"/>
        </w:rPr>
        <w:t>）”网站上公布，公布信息视同送达所有潜在投标人。2.2落实的政策：《关于促进残疾人就业政府采购政策的通知》（财库[2017]141号）、《政府采购促进中小企业发展管理办法》（财库[2020]46号）、《关于政府采购支持监狱企业发展有关问题的通知》(财库[2014]68号)。2.3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w:t>
      </w:r>
      <w:r>
        <w:rPr>
          <w:rFonts w:hint="eastAsia" w:ascii="宋体" w:hAnsi="宋体" w:cs="Arial"/>
          <w:bCs/>
          <w:color w:val="auto"/>
          <w:szCs w:val="21"/>
          <w:highlight w:val="none"/>
        </w:rPr>
        <w:t>400-881-7190。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color w:val="auto"/>
          <w:szCs w:val="21"/>
          <w:highlight w:val="none"/>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2.4</w:t>
      </w:r>
      <w:r>
        <w:rPr>
          <w:rFonts w:hint="eastAsia" w:ascii="宋体" w:hAnsi="宋体" w:cs="Arial"/>
          <w:bCs/>
          <w:color w:val="auto"/>
          <w:szCs w:val="21"/>
          <w:highlight w:val="none"/>
        </w:rPr>
        <w:t>疫情期间特别提醒事项： 供应商递交备份电子投标文件方式：1）采用邮寄方式递交投标文件，需按以下要求递交： 供应商须在2022年月日16:00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color w:val="auto"/>
          <w:kern w:val="58"/>
          <w:szCs w:val="21"/>
          <w:highlight w:val="none"/>
        </w:rPr>
        <w:t>宁波市江南路599号科技大厦4楼</w:t>
      </w:r>
      <w:r>
        <w:rPr>
          <w:rFonts w:hint="eastAsia" w:ascii="宋体" w:hAnsi="宋体"/>
          <w:color w:val="auto"/>
          <w:szCs w:val="21"/>
          <w:highlight w:val="none"/>
        </w:rPr>
        <w:t>，</w:t>
      </w:r>
      <w:r>
        <w:rPr>
          <w:rFonts w:hint="eastAsia" w:ascii="宋体" w:hAnsi="宋体" w:cs="Arial"/>
          <w:bCs/>
          <w:color w:val="auto"/>
          <w:szCs w:val="21"/>
          <w:highlight w:val="none"/>
        </w:rPr>
        <w:t>收件人：彭秀雅，联系方式：13566303628。2）采用</w:t>
      </w:r>
      <w:r>
        <w:rPr>
          <w:rFonts w:hint="eastAsia" w:ascii="宋体" w:hAnsi="宋体" w:cs="宋体"/>
          <w:color w:val="auto"/>
          <w:szCs w:val="21"/>
          <w:highlight w:val="none"/>
        </w:rPr>
        <w:t>现场递交投标文件，供应商代表（原则上不超过1名）需持绿色“甬行码”、“行程码”、佩戴口罩且体温测量正常（以开标当日测量为准）后方可进入开标现场（宁波市北仑区长江路1166号行政大楼B座三楼招投标中心交易厅，具体场所安排详见电子指示屏幕）递交</w:t>
      </w:r>
      <w:r>
        <w:rPr>
          <w:rFonts w:hint="eastAsia" w:ascii="宋体" w:hAnsi="宋体" w:cs="Arial"/>
          <w:bCs/>
          <w:color w:val="auto"/>
          <w:szCs w:val="21"/>
          <w:highlight w:val="none"/>
        </w:rPr>
        <w:t>备份电子投标文件</w:t>
      </w:r>
      <w:r>
        <w:rPr>
          <w:rFonts w:hint="eastAsia" w:ascii="宋体" w:hAnsi="宋体" w:cs="宋体"/>
          <w:color w:val="auto"/>
          <w:szCs w:val="21"/>
          <w:highlight w:val="none"/>
        </w:rPr>
        <w:t>，参与现场开标活动的人员应严格遵守防疫规定，自觉遵守和服从交易现场管理。</w:t>
      </w:r>
    </w:p>
    <w:p>
      <w:pPr>
        <w:spacing w:line="300" w:lineRule="exact"/>
        <w:ind w:firstLine="420" w:firstLineChars="200"/>
        <w:rPr>
          <w:color w:val="auto"/>
          <w:highlight w:val="none"/>
        </w:rPr>
      </w:pPr>
      <w:r>
        <w:rPr>
          <w:rFonts w:hint="eastAsia" w:ascii="宋体" w:hAnsi="宋体" w:cs="Arial"/>
          <w:color w:val="auto"/>
          <w:kern w:val="0"/>
          <w:szCs w:val="21"/>
          <w:highlight w:val="none"/>
        </w:rPr>
        <w:t>3.</w:t>
      </w:r>
      <w:r>
        <w:rPr>
          <w:rFonts w:hint="eastAsia" w:ascii="宋体" w:hAnsi="宋体" w:cs="Arial"/>
          <w:color w:val="auto"/>
          <w:kern w:val="0"/>
          <w:szCs w:val="21"/>
          <w:highlight w:val="none"/>
          <w:lang w:val="en"/>
        </w:rPr>
        <w:t>单位负责人为同一人或者存在直接控股、管理关系的不同供应商，不得参加同一</w:t>
      </w:r>
      <w:r>
        <w:rPr>
          <w:rFonts w:hint="eastAsia" w:ascii="宋体" w:hAnsi="宋体" w:cs="Arial"/>
          <w:color w:val="auto"/>
          <w:kern w:val="0"/>
          <w:szCs w:val="21"/>
          <w:highlight w:val="none"/>
        </w:rPr>
        <w:t>标</w:t>
      </w:r>
      <w:r>
        <w:rPr>
          <w:rFonts w:hint="eastAsia" w:ascii="宋体" w:hAnsi="宋体" w:cs="Arial"/>
          <w:color w:val="auto"/>
          <w:kern w:val="0"/>
          <w:szCs w:val="21"/>
          <w:highlight w:val="none"/>
          <w:lang w:val="en"/>
        </w:rPr>
        <w:t>项的</w:t>
      </w:r>
      <w:r>
        <w:rPr>
          <w:rFonts w:hint="eastAsia" w:ascii="宋体" w:hAnsi="宋体" w:cs="Arial"/>
          <w:color w:val="auto"/>
          <w:kern w:val="0"/>
          <w:szCs w:val="21"/>
          <w:highlight w:val="none"/>
        </w:rPr>
        <w:t>投标</w:t>
      </w:r>
      <w:r>
        <w:rPr>
          <w:rFonts w:hint="eastAsia" w:ascii="宋体" w:hAnsi="宋体" w:cs="Arial"/>
          <w:color w:val="auto"/>
          <w:kern w:val="0"/>
          <w:szCs w:val="21"/>
          <w:highlight w:val="none"/>
          <w:lang w:val="en"/>
        </w:rPr>
        <w:t>。为采购项目提供整体设计、规范编制或者项目管理、监理、检测等服务的供应商，不得再参加本项目投标。</w:t>
      </w:r>
    </w:p>
    <w:p>
      <w:pPr>
        <w:ind w:firstLine="420"/>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名称：宁波市北仑区公共项目建设管理中心</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地址：北仑区长江路1166号行政大楼B座7楼</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传真：/</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项目联系人（询问）：徐喆</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项目联系方式（询问）：0574-89384041</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质疑联系人：姚飞英</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质疑联系方式：0574-89384040</w:t>
      </w:r>
    </w:p>
    <w:p>
      <w:pPr>
        <w:ind w:firstLine="420" w:firstLineChars="200"/>
        <w:jc w:val="left"/>
        <w:rPr>
          <w:rFonts w:ascii="宋体" w:hAnsi="宋体" w:cs="宋体"/>
          <w:color w:val="auto"/>
          <w:szCs w:val="21"/>
          <w:highlight w:val="none"/>
        </w:rPr>
      </w:pP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名称：浙江天诚工程咨询有限公司</w:t>
      </w:r>
    </w:p>
    <w:p>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地址：宁波市江南路599号科技大厦4楼</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传真：/</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项目联系人（询问）：彭秀雅</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项目联系方式（询问）：13566303628</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质疑联系人：张燕平</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质疑联系方式：13157499807</w:t>
      </w:r>
    </w:p>
    <w:p>
      <w:pPr>
        <w:ind w:firstLine="420" w:firstLineChars="200"/>
        <w:jc w:val="left"/>
        <w:rPr>
          <w:rFonts w:ascii="宋体" w:hAnsi="宋体" w:cs="宋体"/>
          <w:color w:val="auto"/>
          <w:szCs w:val="21"/>
          <w:highlight w:val="none"/>
        </w:rPr>
      </w:pP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3.同级政府采购监督管理部门</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名称：宁波市北仑区财政局采购办</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地址：宁波市北仑区长江路1166号</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 ：严老师</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监督投诉电话：0574-89383756</w:t>
      </w:r>
    </w:p>
    <w:p>
      <w:pPr>
        <w:spacing w:line="360" w:lineRule="auto"/>
        <w:ind w:firstLine="405"/>
        <w:rPr>
          <w:rFonts w:ascii="宋体" w:hAnsi="宋体"/>
          <w:color w:val="auto"/>
          <w:highlight w:val="none"/>
        </w:rPr>
      </w:pPr>
    </w:p>
    <w:p>
      <w:pPr>
        <w:spacing w:line="360" w:lineRule="auto"/>
        <w:ind w:firstLine="405"/>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 xml:space="preserve">   </w:t>
      </w:r>
    </w:p>
    <w:p>
      <w:pPr>
        <w:spacing w:line="360" w:lineRule="auto"/>
        <w:rPr>
          <w:rFonts w:ascii="宋体" w:hAnsi="宋体"/>
          <w:color w:val="auto"/>
          <w:highlight w:val="none"/>
        </w:rPr>
      </w:pPr>
      <w:r>
        <w:rPr>
          <w:rFonts w:hint="eastAsia" w:ascii="宋体" w:hAnsi="宋体"/>
          <w:color w:val="auto"/>
          <w:highlight w:val="none"/>
        </w:rPr>
        <w:t xml:space="preserve">                                                     </w:t>
      </w:r>
    </w:p>
    <w:p>
      <w:pPr>
        <w:pStyle w:val="3"/>
        <w:rPr>
          <w:rFonts w:ascii="宋体" w:hAnsi="宋体"/>
          <w:color w:val="auto"/>
          <w:highlight w:val="none"/>
        </w:rPr>
      </w:pPr>
      <w:r>
        <w:rPr>
          <w:rFonts w:ascii="宋体" w:hAnsi="宋体"/>
          <w:color w:val="auto"/>
          <w:highlight w:val="none"/>
        </w:rPr>
        <w:br w:type="page"/>
      </w:r>
      <w:bookmarkStart w:id="13" w:name="_Toc65753664"/>
      <w:r>
        <w:rPr>
          <w:color w:val="auto"/>
          <w:highlight w:val="none"/>
        </w:rPr>
        <w:t>第</w:t>
      </w:r>
      <w:r>
        <w:rPr>
          <w:rFonts w:hint="eastAsia"/>
          <w:color w:val="auto"/>
          <w:highlight w:val="none"/>
        </w:rPr>
        <w:t>二</w:t>
      </w:r>
      <w:r>
        <w:rPr>
          <w:color w:val="auto"/>
          <w:highlight w:val="none"/>
        </w:rPr>
        <w:t xml:space="preserve">部分  </w:t>
      </w:r>
      <w:r>
        <w:rPr>
          <w:rFonts w:hint="eastAsia"/>
          <w:color w:val="auto"/>
          <w:highlight w:val="none"/>
        </w:rPr>
        <w:t>投标人须知及前附表</w:t>
      </w:r>
      <w:bookmarkEnd w:id="13"/>
    </w:p>
    <w:p>
      <w:pPr>
        <w:pStyle w:val="3"/>
        <w:rPr>
          <w:rFonts w:ascii="宋体" w:hAnsi="宋体"/>
          <w:color w:val="auto"/>
          <w:highlight w:val="none"/>
        </w:rPr>
      </w:pPr>
      <w:bookmarkStart w:id="14" w:name="_Toc65510680"/>
      <w:bookmarkStart w:id="15" w:name="_Toc65753665"/>
      <w:r>
        <w:rPr>
          <w:rFonts w:hint="eastAsia" w:ascii="宋体" w:hAnsi="宋体"/>
          <w:color w:val="auto"/>
          <w:highlight w:val="none"/>
        </w:rPr>
        <w:t>前 附 表</w:t>
      </w:r>
      <w:bookmarkEnd w:id="14"/>
      <w:bookmarkEnd w:id="15"/>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8225"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w:t>
            </w:r>
          </w:p>
        </w:tc>
        <w:tc>
          <w:tcPr>
            <w:tcW w:w="8225" w:type="dxa"/>
            <w:noWrap w:val="0"/>
            <w:tcMar>
              <w:top w:w="113" w:type="dxa"/>
              <w:bottom w:w="113" w:type="dxa"/>
            </w:tcMar>
            <w:vAlign w:val="center"/>
          </w:tcPr>
          <w:p>
            <w:pPr>
              <w:rPr>
                <w:rFonts w:hint="eastAsia" w:ascii="宋体" w:hAnsi="宋体"/>
                <w:color w:val="auto"/>
                <w:highlight w:val="none"/>
              </w:rPr>
            </w:pPr>
            <w:r>
              <w:rPr>
                <w:rFonts w:hint="eastAsia" w:ascii="宋体" w:hAnsi="宋体"/>
                <w:color w:val="auto"/>
                <w:highlight w:val="none"/>
              </w:rPr>
              <w:t>项目名称：淮河小学东校区新建工程智能化采购项目</w:t>
            </w:r>
          </w:p>
          <w:p>
            <w:pPr>
              <w:rPr>
                <w:rFonts w:ascii="宋体" w:hAnsi="宋体"/>
                <w:color w:val="auto"/>
                <w:highlight w:val="none"/>
              </w:rPr>
            </w:pPr>
            <w:r>
              <w:rPr>
                <w:rFonts w:hint="eastAsia" w:ascii="宋体" w:hAnsi="宋体"/>
                <w:color w:val="auto"/>
                <w:highlight w:val="none"/>
              </w:rPr>
              <w:t>项目编号：TC【2022】CG1057号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2</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采购人：宁波市北仑区公共项目建设管理中心</w:t>
            </w:r>
          </w:p>
          <w:p>
            <w:pPr>
              <w:rPr>
                <w:rFonts w:ascii="宋体" w:hAnsi="宋体"/>
                <w:color w:val="auto"/>
                <w:highlight w:val="none"/>
              </w:rPr>
            </w:pPr>
            <w:r>
              <w:rPr>
                <w:rFonts w:hint="eastAsia" w:ascii="宋体" w:hAnsi="宋体"/>
                <w:color w:val="auto"/>
                <w:highlight w:val="none"/>
              </w:rPr>
              <w:t>联系人：</w:t>
            </w:r>
            <w:r>
              <w:rPr>
                <w:rFonts w:hint="eastAsia" w:ascii="宋体" w:hAnsi="宋体" w:cs="宋体"/>
                <w:color w:val="auto"/>
                <w:szCs w:val="21"/>
                <w:highlight w:val="none"/>
              </w:rPr>
              <w:t>徐喆</w:t>
            </w:r>
            <w:r>
              <w:rPr>
                <w:rFonts w:hint="eastAsia" w:ascii="宋体" w:hAnsi="宋体"/>
                <w:color w:val="auto"/>
                <w:highlight w:val="none"/>
              </w:rPr>
              <w:t xml:space="preserve">    </w:t>
            </w:r>
          </w:p>
          <w:p>
            <w:pPr>
              <w:rPr>
                <w:rFonts w:ascii="宋体" w:hAnsi="宋体"/>
                <w:color w:val="auto"/>
                <w:highlight w:val="none"/>
              </w:rPr>
            </w:pPr>
            <w:r>
              <w:rPr>
                <w:rFonts w:hint="eastAsia" w:ascii="宋体" w:hAnsi="宋体"/>
                <w:color w:val="auto"/>
                <w:highlight w:val="none"/>
              </w:rPr>
              <w:t>电话：</w:t>
            </w:r>
            <w:r>
              <w:rPr>
                <w:rFonts w:hint="eastAsia" w:ascii="宋体" w:hAnsi="宋体" w:cs="宋体"/>
                <w:color w:val="auto"/>
                <w:szCs w:val="21"/>
                <w:highlight w:val="none"/>
              </w:rPr>
              <w:t>0574-89384041</w:t>
            </w:r>
          </w:p>
          <w:p>
            <w:pPr>
              <w:rPr>
                <w:rFonts w:ascii="宋体" w:hAnsi="宋体"/>
                <w:color w:val="auto"/>
                <w:highlight w:val="none"/>
              </w:rPr>
            </w:pPr>
            <w:r>
              <w:rPr>
                <w:rFonts w:hint="eastAsia" w:ascii="宋体" w:hAnsi="宋体"/>
                <w:color w:val="auto"/>
                <w:highlight w:val="none"/>
              </w:rPr>
              <w:t>地址：北仑区四明山路773号行政大楼B座7楼</w:t>
            </w:r>
          </w:p>
          <w:p>
            <w:pPr>
              <w:rPr>
                <w:rFonts w:ascii="宋体" w:hAnsi="宋体"/>
                <w:color w:val="auto"/>
                <w:highlight w:val="none"/>
              </w:rPr>
            </w:pPr>
          </w:p>
          <w:p>
            <w:pPr>
              <w:rPr>
                <w:rFonts w:hint="eastAsia" w:ascii="宋体" w:hAnsi="宋体"/>
                <w:color w:val="auto"/>
                <w:highlight w:val="none"/>
              </w:rPr>
            </w:pPr>
            <w:r>
              <w:rPr>
                <w:rFonts w:hint="eastAsia" w:ascii="宋体" w:hAnsi="宋体"/>
                <w:color w:val="auto"/>
                <w:highlight w:val="none"/>
              </w:rPr>
              <w:t>采购代理机构：浙江天诚工程咨询有限公司</w:t>
            </w:r>
          </w:p>
          <w:p>
            <w:pPr>
              <w:rPr>
                <w:rFonts w:ascii="宋体" w:hAnsi="宋体"/>
                <w:color w:val="auto"/>
                <w:highlight w:val="none"/>
              </w:rPr>
            </w:pPr>
            <w:r>
              <w:rPr>
                <w:rFonts w:hint="eastAsia" w:ascii="宋体" w:hAnsi="宋体"/>
                <w:color w:val="auto"/>
                <w:highlight w:val="none"/>
              </w:rPr>
              <w:t xml:space="preserve">联系人：彭秀雅     </w:t>
            </w:r>
          </w:p>
          <w:p>
            <w:pPr>
              <w:rPr>
                <w:rFonts w:ascii="宋体" w:hAnsi="宋体"/>
                <w:color w:val="auto"/>
                <w:highlight w:val="none"/>
              </w:rPr>
            </w:pPr>
            <w:r>
              <w:rPr>
                <w:rFonts w:hint="eastAsia" w:ascii="宋体" w:hAnsi="宋体"/>
                <w:color w:val="auto"/>
                <w:highlight w:val="none"/>
              </w:rPr>
              <w:t>电话：13566303628</w:t>
            </w:r>
          </w:p>
          <w:p>
            <w:pPr>
              <w:rPr>
                <w:rFonts w:ascii="宋体" w:hAnsi="宋体"/>
                <w:color w:val="auto"/>
                <w:highlight w:val="none"/>
              </w:rPr>
            </w:pPr>
            <w:r>
              <w:rPr>
                <w:rFonts w:hint="eastAsia" w:ascii="宋体" w:hAnsi="宋体"/>
                <w:color w:val="auto"/>
                <w:highlight w:val="none"/>
              </w:rPr>
              <w:t>地址：</w:t>
            </w:r>
            <w:r>
              <w:rPr>
                <w:rFonts w:hint="eastAsia" w:ascii="宋体" w:hAnsi="宋体" w:cs="宋体"/>
                <w:color w:val="auto"/>
                <w:szCs w:val="21"/>
                <w:highlight w:val="none"/>
              </w:rPr>
              <w:t>宁波市江南路599号科技大厦4楼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3</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4</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5</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采购预算：</w:t>
            </w:r>
            <w:r>
              <w:rPr>
                <w:rFonts w:hint="eastAsia" w:ascii="宋体" w:hAnsi="宋体" w:cs="宋体"/>
                <w:color w:val="auto"/>
                <w:highlight w:val="none"/>
              </w:rPr>
              <w:t>6115000元</w:t>
            </w:r>
          </w:p>
          <w:p>
            <w:pPr>
              <w:rPr>
                <w:rFonts w:ascii="宋体" w:hAnsi="宋体"/>
                <w:color w:val="auto"/>
                <w:highlight w:val="none"/>
              </w:rPr>
            </w:pPr>
            <w:r>
              <w:rPr>
                <w:rFonts w:hint="eastAsia" w:ascii="宋体" w:hAnsi="宋体"/>
                <w:color w:val="auto"/>
                <w:highlight w:val="none"/>
              </w:rPr>
              <w:t>最高限价（元）：</w:t>
            </w:r>
            <w:r>
              <w:rPr>
                <w:rFonts w:hint="eastAsia" w:ascii="宋体" w:hAnsi="宋体" w:cs="宋体"/>
                <w:color w:val="auto"/>
                <w:highlight w:val="none"/>
              </w:rPr>
              <w:t>6115000</w:t>
            </w:r>
            <w:r>
              <w:rPr>
                <w:rFonts w:hint="eastAsia" w:ascii="宋体" w:hAnsi="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6</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是否接受进口产品投标：不接受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7</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8</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是否为专门面向小微企业的采购项目：否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9</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是否允许投标人将项目非主体、非关键性工作交由他人完成：否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10</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现场踏勘：供应商如有需要，请自行踏勘现场。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11</w:t>
            </w:r>
          </w:p>
        </w:tc>
        <w:tc>
          <w:tcPr>
            <w:tcW w:w="8225" w:type="dxa"/>
            <w:noWrap w:val="0"/>
            <w:tcMar>
              <w:top w:w="113" w:type="dxa"/>
              <w:bottom w:w="113" w:type="dxa"/>
            </w:tcMar>
            <w:vAlign w:val="center"/>
          </w:tcPr>
          <w:p>
            <w:pPr>
              <w:rPr>
                <w:rFonts w:ascii="宋体" w:hAnsi="宋体"/>
                <w:color w:val="auto"/>
                <w:highlight w:val="none"/>
              </w:rPr>
            </w:pPr>
            <w:r>
              <w:rPr>
                <w:rFonts w:ascii="宋体" w:hAnsi="宋体"/>
                <w:color w:val="auto"/>
                <w:highlight w:val="none"/>
              </w:rPr>
              <w:t>投标报价：</w:t>
            </w:r>
          </w:p>
          <w:p>
            <w:pPr>
              <w:rPr>
                <w:rFonts w:ascii="宋体" w:hAnsi="宋体"/>
                <w:color w:val="auto"/>
                <w:highlight w:val="none"/>
              </w:rPr>
            </w:pPr>
            <w:r>
              <w:rPr>
                <w:rFonts w:hint="eastAsia" w:ascii="宋体" w:hAnsi="宋体"/>
                <w:color w:val="auto"/>
                <w:highlight w:val="none"/>
              </w:rPr>
              <w:t>1、报总价，详见《开标一览表》和《投标报价明细表》中要求</w:t>
            </w:r>
          </w:p>
          <w:p>
            <w:pPr>
              <w:rPr>
                <w:rFonts w:ascii="宋体" w:hAnsi="宋体"/>
                <w:color w:val="auto"/>
                <w:highlight w:val="none"/>
              </w:rPr>
            </w:pPr>
            <w:r>
              <w:rPr>
                <w:rFonts w:hint="eastAsia" w:ascii="宋体" w:hAnsi="宋体"/>
                <w:color w:val="auto"/>
                <w:highlight w:val="none"/>
              </w:rPr>
              <w:t>2、本项目采购预算及最高限价详见《招标公告》，投标报价超过最高限价的作无效标处理。</w:t>
            </w:r>
          </w:p>
          <w:p>
            <w:pPr>
              <w:rPr>
                <w:rFonts w:ascii="宋体" w:hAnsi="宋体"/>
                <w:color w:val="auto"/>
                <w:highlight w:val="none"/>
              </w:rPr>
            </w:pPr>
            <w:r>
              <w:rPr>
                <w:rFonts w:hint="eastAsia" w:ascii="宋体" w:hAnsi="宋体"/>
                <w:color w:val="auto"/>
                <w:highlight w:val="none"/>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12</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投标截止时间及地点：详见第一部分招标公告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13</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开标时间及地点：详见第一部分招标公告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14</w:t>
            </w:r>
          </w:p>
        </w:tc>
        <w:tc>
          <w:tcPr>
            <w:tcW w:w="8225" w:type="dxa"/>
            <w:noWrap w:val="0"/>
            <w:tcMar>
              <w:top w:w="113" w:type="dxa"/>
              <w:bottom w:w="113" w:type="dxa"/>
            </w:tcMar>
            <w:vAlign w:val="center"/>
          </w:tcPr>
          <w:p>
            <w:pPr>
              <w:rPr>
                <w:color w:val="auto"/>
                <w:highlight w:val="none"/>
              </w:rPr>
            </w:pPr>
            <w:r>
              <w:rPr>
                <w:rFonts w:hint="eastAsia"/>
                <w:color w:val="auto"/>
                <w:highlight w:val="none"/>
              </w:rPr>
              <w:t>投标文件份数：</w:t>
            </w:r>
          </w:p>
          <w:p>
            <w:pPr>
              <w:rPr>
                <w:rFonts w:ascii="Times New Roman" w:hAnsi="Times New Roman" w:eastAsia="宋体" w:cs="Times New Roman"/>
                <w:color w:val="auto"/>
                <w:highlight w:val="none"/>
              </w:rPr>
            </w:pPr>
            <w:r>
              <w:rPr>
                <w:rFonts w:hint="eastAsia"/>
                <w:color w:val="auto"/>
                <w:highlight w:val="none"/>
              </w:rPr>
              <w:t>（1）上传到政府采购云平台的电子投标文件（含资格证明文件、商务技术文件、报价文</w:t>
            </w:r>
            <w:r>
              <w:rPr>
                <w:rFonts w:hint="eastAsia" w:ascii="Times New Roman" w:hAnsi="Times New Roman" w:eastAsia="宋体" w:cs="Times New Roman"/>
                <w:color w:val="auto"/>
                <w:highlight w:val="none"/>
              </w:rPr>
              <w:t>件）1份。</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（2）以U盘存储的电子备份投标文件（含资格证明文件、商务技术文件、报价文件）1份。</w:t>
            </w:r>
          </w:p>
          <w:p>
            <w:pPr>
              <w:rPr>
                <w:rFonts w:hint="eastAsia" w:eastAsia="宋体"/>
                <w:color w:val="auto"/>
                <w:highlight w:val="none"/>
                <w:lang w:eastAsia="zh-CN"/>
              </w:rPr>
            </w:pPr>
            <w:r>
              <w:rPr>
                <w:rFonts w:hint="eastAsia"/>
                <w:color w:val="auto"/>
                <w:highlight w:val="none"/>
              </w:rPr>
              <w:t>注：中标供应商领取中标通知书前补交纸质投标文件（电子投标文件的打印件并加盖公章）（含资格证明文件、商务技术文件、报价文件）</w:t>
            </w:r>
            <w:r>
              <w:rPr>
                <w:rFonts w:hint="eastAsia"/>
                <w:color w:val="auto"/>
                <w:highlight w:val="none"/>
                <w:lang w:val="en-US" w:eastAsia="zh-CN"/>
              </w:rPr>
              <w:t>3</w:t>
            </w:r>
            <w:r>
              <w:rPr>
                <w:rFonts w:hint="eastAsia"/>
                <w:color w:val="auto"/>
                <w:highlight w:val="none"/>
              </w:rPr>
              <w:t>份，并加盖公章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15</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投标有效期：开标之日起90日历天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16</w:t>
            </w:r>
          </w:p>
        </w:tc>
        <w:tc>
          <w:tcPr>
            <w:tcW w:w="8225" w:type="dxa"/>
            <w:noWrap w:val="0"/>
            <w:tcMar>
              <w:top w:w="113" w:type="dxa"/>
              <w:bottom w:w="113" w:type="dxa"/>
            </w:tcMar>
            <w:vAlign w:val="center"/>
          </w:tcPr>
          <w:p>
            <w:pPr>
              <w:rPr>
                <w:b/>
                <w:color w:val="auto"/>
                <w:highlight w:val="none"/>
              </w:rPr>
            </w:pPr>
            <w:r>
              <w:rPr>
                <w:rFonts w:hint="eastAsia" w:ascii="宋体" w:hAnsi="宋体"/>
                <w:color w:val="auto"/>
                <w:highlight w:val="none"/>
              </w:rPr>
              <w:t>投标保证金：本项目不收取投标保证金。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17</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履约保证金：本项目不收取履约保证金。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18</w:t>
            </w:r>
          </w:p>
        </w:tc>
        <w:tc>
          <w:tcPr>
            <w:tcW w:w="8225" w:type="dxa"/>
            <w:noWrap w:val="0"/>
            <w:tcMar>
              <w:top w:w="113" w:type="dxa"/>
              <w:bottom w:w="113" w:type="dxa"/>
            </w:tcMar>
            <w:vAlign w:val="center"/>
          </w:tcPr>
          <w:p>
            <w:pPr>
              <w:rPr>
                <w:rFonts w:hint="eastAsia" w:ascii="宋体" w:hAnsi="宋体"/>
                <w:color w:val="auto"/>
                <w:highlight w:val="none"/>
              </w:rPr>
            </w:pPr>
            <w:r>
              <w:rPr>
                <w:rFonts w:hint="eastAsia" w:ascii="宋体" w:hAnsi="宋体"/>
                <w:color w:val="auto"/>
                <w:highlight w:val="none"/>
              </w:rPr>
              <w:t>付款方式：</w:t>
            </w:r>
            <w:r>
              <w:rPr>
                <w:rFonts w:hint="eastAsia" w:ascii="宋体" w:hAnsi="宋体"/>
                <w:color w:val="auto"/>
                <w:highlight w:val="none"/>
              </w:rPr>
              <w:br w:type="textWrapping"/>
            </w:r>
            <w:r>
              <w:rPr>
                <w:rFonts w:hint="eastAsia" w:ascii="宋体" w:hAnsi="宋体"/>
                <w:color w:val="auto"/>
                <w:highlight w:val="none"/>
              </w:rPr>
              <w:t>（1）合同生效并具备实施条件后7个工作日内，</w:t>
            </w:r>
            <w:r>
              <w:rPr>
                <w:rFonts w:hint="eastAsia" w:ascii="宋体" w:hAnsi="宋体"/>
                <w:color w:val="auto"/>
                <w:highlight w:val="none"/>
                <w:lang w:val="en-US" w:eastAsia="zh-CN"/>
              </w:rPr>
              <w:t>买方</w:t>
            </w:r>
            <w:r>
              <w:rPr>
                <w:rFonts w:hint="eastAsia" w:ascii="宋体" w:hAnsi="宋体"/>
                <w:color w:val="auto"/>
                <w:highlight w:val="none"/>
              </w:rPr>
              <w:t>收到</w:t>
            </w:r>
            <w:r>
              <w:rPr>
                <w:rFonts w:hint="eastAsia" w:ascii="宋体" w:hAnsi="宋体"/>
                <w:color w:val="auto"/>
                <w:highlight w:val="none"/>
                <w:lang w:val="en-US" w:eastAsia="zh-CN"/>
              </w:rPr>
              <w:t>卖方</w:t>
            </w:r>
            <w:r>
              <w:rPr>
                <w:rFonts w:hint="eastAsia" w:ascii="宋体" w:hAnsi="宋体"/>
                <w:color w:val="auto"/>
                <w:highlight w:val="none"/>
              </w:rPr>
              <w:t>开具的发票及预付款保函后，出资方支付合同金额的40%的货款；预付款保函由银行、保险公司等金融机构出具且与预付款等同金额。</w:t>
            </w:r>
          </w:p>
          <w:p>
            <w:pPr>
              <w:rPr>
                <w:rFonts w:hint="eastAsia" w:ascii="宋体" w:hAnsi="宋体"/>
                <w:color w:val="auto"/>
                <w:highlight w:val="none"/>
              </w:rPr>
            </w:pPr>
            <w:r>
              <w:rPr>
                <w:rFonts w:hint="eastAsia" w:ascii="宋体" w:hAnsi="宋体"/>
                <w:color w:val="auto"/>
                <w:highlight w:val="none"/>
              </w:rPr>
              <w:t>（2）各子系统的主要关键设备到位后，承包人及时向发包人提出到货验收申请，通过发包人验收后，出资人向承包人支付合同总价的20%。</w:t>
            </w:r>
          </w:p>
          <w:p>
            <w:pPr>
              <w:rPr>
                <w:rFonts w:hint="eastAsia" w:ascii="宋体" w:hAnsi="宋体"/>
                <w:color w:val="auto"/>
                <w:highlight w:val="none"/>
              </w:rPr>
            </w:pPr>
            <w:r>
              <w:rPr>
                <w:rFonts w:hint="eastAsia" w:ascii="宋体" w:hAnsi="宋体"/>
                <w:color w:val="auto"/>
                <w:highlight w:val="none"/>
              </w:rPr>
              <w:t>（3）安装调试完成后，承包人及时向发包人提出初步验收申请，经发包人初步验收合格，出资人向承包人支付合同总价的20%。</w:t>
            </w:r>
          </w:p>
          <w:p>
            <w:pPr>
              <w:rPr>
                <w:rFonts w:hint="eastAsia" w:ascii="宋体" w:hAnsi="宋体"/>
                <w:color w:val="auto"/>
                <w:highlight w:val="none"/>
              </w:rPr>
            </w:pPr>
            <w:r>
              <w:rPr>
                <w:rFonts w:hint="eastAsia" w:ascii="宋体" w:hAnsi="宋体"/>
                <w:color w:val="auto"/>
                <w:highlight w:val="none"/>
              </w:rPr>
              <w:t>（4）初步验收合格，全部系统试运行满1个月后，承包人及时向发包人提出最终验收申请，最终验收通过后，出资人向承包人支付余款，且在承包人出具由使用单位书面签字盖章确认的设备正常运行函后退还预付款保函。</w:t>
            </w:r>
          </w:p>
          <w:p>
            <w:pPr>
              <w:rPr>
                <w:rFonts w:ascii="宋体" w:hAnsi="宋体"/>
                <w:color w:val="auto"/>
                <w:highlight w:val="none"/>
              </w:rPr>
            </w:pPr>
            <w:r>
              <w:rPr>
                <w:rFonts w:hint="eastAsia" w:ascii="宋体" w:hAnsi="宋体"/>
                <w:color w:val="auto"/>
                <w:highlight w:val="none"/>
              </w:rPr>
              <w:t>（5）承包人不按规定提出验收申请的，当次支付申请不予受理，相关验收内容延至下一道验收程序中进行。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19</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投标人信用信息查询：资格审查时，通过“信用中国”网站（www.creditchina.gov.cn）、中国政府采购网（www.ccgp.gov.cn）渠道查询投标人信用记录，经查询列入失信被执行人、重大税收违法案件当事人名单</w:t>
            </w:r>
            <w:r>
              <w:rPr>
                <w:rFonts w:hint="eastAsia" w:ascii="宋体" w:hAnsi="宋体" w:cs="宋体"/>
                <w:color w:val="auto"/>
                <w:szCs w:val="21"/>
                <w:highlight w:val="none"/>
              </w:rPr>
              <w:t>（税收违法黑名单）</w:t>
            </w:r>
            <w:r>
              <w:rPr>
                <w:rFonts w:hint="eastAsia" w:ascii="宋体" w:hAnsi="宋体"/>
                <w:color w:val="auto"/>
                <w:highlight w:val="none"/>
              </w:rPr>
              <w:t>、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w:t>
            </w:r>
            <w:r>
              <w:rPr>
                <w:rFonts w:hint="eastAsia" w:ascii="宋体" w:hAnsi="宋体" w:cs="宋体"/>
                <w:color w:val="auto"/>
                <w:szCs w:val="21"/>
                <w:highlight w:val="none"/>
              </w:rPr>
              <w:t>（税收违法黑名单）</w:t>
            </w:r>
            <w:r>
              <w:rPr>
                <w:rFonts w:hint="eastAsia" w:ascii="宋体" w:hAnsi="宋体"/>
                <w:color w:val="auto"/>
                <w:highlight w:val="none"/>
              </w:rPr>
              <w:t>、政府采购严重违法失信行为记录名单的，采购单位将依法取消其中标资格）。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20</w:t>
            </w:r>
          </w:p>
        </w:tc>
        <w:tc>
          <w:tcPr>
            <w:tcW w:w="8225" w:type="dxa"/>
            <w:noWrap w:val="0"/>
            <w:tcMar>
              <w:top w:w="113" w:type="dxa"/>
              <w:bottom w:w="113" w:type="dxa"/>
            </w:tcMar>
            <w:vAlign w:val="center"/>
          </w:tcPr>
          <w:p>
            <w:pPr>
              <w:rPr>
                <w:rFonts w:ascii="宋体" w:hAnsi="宋体"/>
                <w:b/>
                <w:color w:val="auto"/>
                <w:highlight w:val="none"/>
              </w:rPr>
            </w:pPr>
            <w:r>
              <w:rPr>
                <w:rFonts w:hint="eastAsia" w:ascii="宋体" w:hAnsi="宋体"/>
                <w:color w:val="auto"/>
                <w:highlight w:val="none"/>
              </w:rPr>
              <w:t>其他说明：对于招标文件中提及的复印件要求，照片件、扫描件与其具有同等效力。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3" w:hRule="atLeast"/>
        </w:trPr>
        <w:tc>
          <w:tcPr>
            <w:tcW w:w="824" w:type="dxa"/>
            <w:noWrap w:val="0"/>
            <w:vAlign w:val="center"/>
          </w:tcPr>
          <w:p>
            <w:pPr>
              <w:jc w:val="center"/>
              <w:rPr>
                <w:rFonts w:ascii="宋体" w:hAnsi="宋体"/>
                <w:b/>
                <w:color w:val="auto"/>
                <w:highlight w:val="none"/>
              </w:rPr>
            </w:pPr>
            <w:r>
              <w:rPr>
                <w:rFonts w:hint="eastAsia" w:ascii="宋体" w:hAnsi="宋体"/>
                <w:b/>
                <w:color w:val="auto"/>
                <w:highlight w:val="none"/>
              </w:rPr>
              <w:t>21</w:t>
            </w:r>
          </w:p>
        </w:tc>
        <w:tc>
          <w:tcPr>
            <w:tcW w:w="8225" w:type="dxa"/>
            <w:noWrap w:val="0"/>
            <w:tcMar>
              <w:top w:w="113" w:type="dxa"/>
              <w:bottom w:w="113" w:type="dxa"/>
            </w:tcMar>
            <w:vAlign w:val="center"/>
          </w:tcPr>
          <w:p>
            <w:pPr>
              <w:rPr>
                <w:rFonts w:ascii="宋体" w:hAnsi="宋体"/>
                <w:color w:val="auto"/>
                <w:highlight w:val="none"/>
              </w:rPr>
            </w:pPr>
            <w:r>
              <w:rPr>
                <w:rFonts w:hint="eastAsia" w:ascii="宋体" w:hAnsi="宋体"/>
                <w:color w:val="auto"/>
                <w:highlight w:val="none"/>
              </w:rPr>
              <w:t>中标服务费：</w:t>
            </w:r>
          </w:p>
          <w:p>
            <w:pPr>
              <w:numPr>
                <w:ilvl w:val="0"/>
                <w:numId w:val="2"/>
              </w:numPr>
              <w:rPr>
                <w:color w:val="auto"/>
                <w:highlight w:val="none"/>
              </w:rPr>
            </w:pPr>
            <w:r>
              <w:rPr>
                <w:rFonts w:hint="eastAsia" w:ascii="宋体" w:hAnsi="宋体"/>
                <w:color w:val="auto"/>
                <w:highlight w:val="none"/>
              </w:rPr>
              <w:t>中标服务费的收取标准：</w:t>
            </w:r>
          </w:p>
          <w:p>
            <w:pPr>
              <w:rPr>
                <w:color w:val="auto"/>
                <w:highlight w:val="none"/>
              </w:rPr>
            </w:pPr>
            <w:r>
              <w:rPr>
                <w:rFonts w:hint="eastAsia" w:ascii="宋体" w:hAnsi="宋体"/>
                <w:color w:val="auto"/>
                <w:highlight w:val="none"/>
              </w:rPr>
              <w:t>本招标公司根据中标通知书中的中标总金额按照下表中货物的收费标准下浮23%，向中标人收取中标服务费；</w:t>
            </w:r>
          </w:p>
          <w:p>
            <w:pPr>
              <w:rPr>
                <w:rFonts w:ascii="宋体" w:hAnsi="宋体"/>
                <w:color w:val="auto"/>
                <w:highlight w:val="none"/>
              </w:rPr>
            </w:pPr>
            <w:r>
              <w:rPr>
                <w:rFonts w:ascii="宋体" w:hAnsi="宋体"/>
                <w:color w:val="auto"/>
                <w:highlight w:val="none"/>
              </w:rPr>
              <w:drawing>
                <wp:inline distT="0" distB="0" distL="114300" distR="114300">
                  <wp:extent cx="4093210" cy="1893570"/>
                  <wp:effectExtent l="0" t="0" r="2540" b="11430"/>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
                          <pic:cNvPicPr>
                            <a:picLocks noChangeAspect="1"/>
                          </pic:cNvPicPr>
                        </pic:nvPicPr>
                        <pic:blipFill>
                          <a:blip r:embed="rId10"/>
                          <a:stretch>
                            <a:fillRect/>
                          </a:stretch>
                        </pic:blipFill>
                        <pic:spPr>
                          <a:xfrm>
                            <a:off x="0" y="0"/>
                            <a:ext cx="4093210" cy="1893570"/>
                          </a:xfrm>
                          <a:prstGeom prst="rect">
                            <a:avLst/>
                          </a:prstGeom>
                          <a:noFill/>
                          <a:ln>
                            <a:noFill/>
                          </a:ln>
                        </pic:spPr>
                      </pic:pic>
                    </a:graphicData>
                  </a:graphic>
                </wp:inline>
              </w:drawing>
            </w:r>
          </w:p>
          <w:p>
            <w:pPr>
              <w:rPr>
                <w:rFonts w:ascii="宋体" w:hAnsi="宋体"/>
                <w:color w:val="auto"/>
                <w:highlight w:val="none"/>
              </w:rPr>
            </w:pPr>
            <w:r>
              <w:rPr>
                <w:rFonts w:hint="eastAsia" w:ascii="宋体" w:hAnsi="宋体"/>
                <w:color w:val="auto"/>
                <w:highlight w:val="none"/>
              </w:rPr>
              <w:t>（2）中标供应商应在中标通知书发出后5个工作日内向本招标公司支付中标服务费。</w:t>
            </w:r>
          </w:p>
        </w:tc>
      </w:tr>
    </w:tbl>
    <w:p>
      <w:pPr>
        <w:spacing w:line="520" w:lineRule="exact"/>
        <w:jc w:val="center"/>
        <w:rPr>
          <w:rFonts w:ascii="宋体" w:hAnsi="宋体"/>
          <w:b/>
          <w:bCs/>
          <w:color w:val="auto"/>
          <w:sz w:val="32"/>
          <w:highlight w:val="none"/>
        </w:rPr>
      </w:pPr>
      <w:r>
        <w:rPr>
          <w:rFonts w:hint="eastAsia" w:ascii="宋体" w:hAnsi="宋体"/>
          <w:b/>
          <w:bCs/>
          <w:color w:val="auto"/>
          <w:sz w:val="32"/>
          <w:highlight w:val="none"/>
        </w:rPr>
        <w:t>一、总</w:t>
      </w:r>
      <w:r>
        <w:rPr>
          <w:rFonts w:ascii="宋体" w:hAnsi="宋体"/>
          <w:b/>
          <w:bCs/>
          <w:color w:val="auto"/>
          <w:sz w:val="32"/>
          <w:highlight w:val="none"/>
        </w:rPr>
        <w:t xml:space="preserve">  </w:t>
      </w:r>
      <w:r>
        <w:rPr>
          <w:rFonts w:hint="eastAsia" w:ascii="宋体" w:hAnsi="宋体"/>
          <w:b/>
          <w:bCs/>
          <w:color w:val="auto"/>
          <w:sz w:val="32"/>
          <w:highlight w:val="none"/>
        </w:rPr>
        <w:t>则</w:t>
      </w:r>
    </w:p>
    <w:p>
      <w:pPr>
        <w:spacing w:line="400" w:lineRule="exact"/>
        <w:rPr>
          <w:rFonts w:ascii="宋体" w:hAnsi="宋体"/>
          <w:b/>
          <w:bCs/>
          <w:color w:val="auto"/>
          <w:sz w:val="24"/>
          <w:highlight w:val="none"/>
        </w:rPr>
      </w:pPr>
      <w:r>
        <w:rPr>
          <w:rFonts w:hint="eastAsia" w:ascii="宋体" w:hAnsi="宋体"/>
          <w:b/>
          <w:bCs/>
          <w:color w:val="auto"/>
          <w:sz w:val="24"/>
          <w:highlight w:val="none"/>
        </w:rPr>
        <w:t>（一）适用范围</w:t>
      </w:r>
    </w:p>
    <w:p>
      <w:pPr>
        <w:spacing w:line="400" w:lineRule="exact"/>
        <w:ind w:firstLine="420" w:firstLineChars="200"/>
        <w:rPr>
          <w:rFonts w:ascii="宋体" w:hAnsi="宋体"/>
          <w:color w:val="auto"/>
          <w:highlight w:val="none"/>
        </w:rPr>
      </w:pPr>
      <w:r>
        <w:rPr>
          <w:rFonts w:hint="eastAsia" w:ascii="宋体" w:hAnsi="宋体"/>
          <w:color w:val="auto"/>
          <w:highlight w:val="none"/>
        </w:rPr>
        <w:t>本招标文件适用于</w:t>
      </w:r>
      <w:r>
        <w:rPr>
          <w:rFonts w:hint="eastAsia" w:hAnsi="宋体"/>
          <w:color w:val="auto"/>
          <w:highlight w:val="none"/>
        </w:rPr>
        <w:t>招标公告中所述</w:t>
      </w:r>
      <w:r>
        <w:rPr>
          <w:rFonts w:hint="eastAsia" w:ascii="宋体" w:hAnsi="宋体"/>
          <w:color w:val="auto"/>
          <w:highlight w:val="none"/>
        </w:rPr>
        <w:t>项目的招标、投标、评标、定标、验收、合同履约、付款等行为（法律、法规另有规定的，从其规定）。</w:t>
      </w:r>
    </w:p>
    <w:p>
      <w:pPr>
        <w:spacing w:line="400" w:lineRule="exact"/>
        <w:rPr>
          <w:rFonts w:ascii="宋体" w:hAnsi="宋体"/>
          <w:b/>
          <w:bCs/>
          <w:color w:val="auto"/>
          <w:sz w:val="24"/>
          <w:highlight w:val="none"/>
        </w:rPr>
      </w:pPr>
      <w:r>
        <w:rPr>
          <w:rFonts w:hint="eastAsia" w:ascii="宋体" w:hAnsi="宋体"/>
          <w:b/>
          <w:bCs/>
          <w:color w:val="auto"/>
          <w:sz w:val="24"/>
          <w:highlight w:val="none"/>
        </w:rPr>
        <w:t>（二）定义</w:t>
      </w:r>
    </w:p>
    <w:p>
      <w:pPr>
        <w:spacing w:line="400" w:lineRule="exact"/>
        <w:ind w:firstLine="420" w:firstLineChars="200"/>
        <w:rPr>
          <w:rFonts w:ascii="宋体" w:hAnsi="宋体"/>
          <w:color w:val="auto"/>
          <w:highlight w:val="none"/>
        </w:rPr>
      </w:pPr>
      <w:r>
        <w:rPr>
          <w:rFonts w:hint="eastAsia" w:ascii="宋体" w:hAnsi="宋体"/>
          <w:color w:val="auto"/>
          <w:highlight w:val="none"/>
        </w:rPr>
        <w:t>1.“招标采购单位”系指组织本次招标的代理机构和采购单位（“采购人”）。</w:t>
      </w:r>
    </w:p>
    <w:p>
      <w:pPr>
        <w:spacing w:line="400" w:lineRule="exact"/>
        <w:ind w:firstLine="420" w:firstLineChars="200"/>
        <w:rPr>
          <w:rFonts w:ascii="宋体" w:hAnsi="宋体"/>
          <w:color w:val="auto"/>
          <w:highlight w:val="none"/>
        </w:rPr>
      </w:pPr>
      <w:r>
        <w:rPr>
          <w:rFonts w:hint="eastAsia" w:ascii="宋体" w:hAnsi="宋体"/>
          <w:color w:val="auto"/>
          <w:highlight w:val="none"/>
        </w:rPr>
        <w:t>2.“投标人”系指向招标方提交投标文件的单位。</w:t>
      </w:r>
    </w:p>
    <w:p>
      <w:pPr>
        <w:spacing w:line="400" w:lineRule="exact"/>
        <w:ind w:firstLine="420" w:firstLineChars="200"/>
        <w:rPr>
          <w:rFonts w:ascii="宋体" w:hAnsi="宋体"/>
          <w:color w:val="auto"/>
          <w:highlight w:val="none"/>
        </w:rPr>
      </w:pPr>
      <w:r>
        <w:rPr>
          <w:rFonts w:hint="eastAsia" w:ascii="宋体" w:hAnsi="宋体"/>
          <w:color w:val="auto"/>
          <w:highlight w:val="none"/>
        </w:rPr>
        <w:t>3. 产品”系指供方按招标文件规定，须向采购人提供的一切设备、保险、税金、备品备件、工具、手册及其它有关技术资料和材料。</w:t>
      </w:r>
    </w:p>
    <w:p>
      <w:pPr>
        <w:spacing w:line="400" w:lineRule="exact"/>
        <w:ind w:firstLine="420" w:firstLineChars="200"/>
        <w:rPr>
          <w:rFonts w:ascii="宋体" w:hAnsi="宋体"/>
          <w:color w:val="auto"/>
          <w:highlight w:val="none"/>
        </w:rPr>
      </w:pPr>
      <w:r>
        <w:rPr>
          <w:rFonts w:hint="eastAsia" w:ascii="宋体" w:hAnsi="宋体"/>
          <w:color w:val="auto"/>
          <w:highlight w:val="none"/>
        </w:rPr>
        <w:t>4.“服务”系指招标文件规定投标人须承担的安装、调试、技术协助、校准、培训、技术指导以及其他类似的义务。</w:t>
      </w:r>
    </w:p>
    <w:p>
      <w:pPr>
        <w:spacing w:line="400" w:lineRule="exact"/>
        <w:ind w:firstLine="420" w:firstLineChars="200"/>
        <w:rPr>
          <w:rFonts w:ascii="宋体" w:hAnsi="宋体"/>
          <w:color w:val="auto"/>
          <w:highlight w:val="none"/>
        </w:rPr>
      </w:pPr>
      <w:r>
        <w:rPr>
          <w:rFonts w:hint="eastAsia" w:ascii="宋体" w:hAnsi="宋体"/>
          <w:color w:val="auto"/>
          <w:highlight w:val="none"/>
        </w:rPr>
        <w:t>5.“项目”系指投标人按招标文件规定向采购人提供的产品和服务。</w:t>
      </w:r>
    </w:p>
    <w:p>
      <w:pPr>
        <w:spacing w:line="400" w:lineRule="exact"/>
        <w:ind w:firstLine="420" w:firstLineChars="200"/>
        <w:rPr>
          <w:rFonts w:ascii="宋体" w:hAnsi="宋体"/>
          <w:color w:val="auto"/>
          <w:highlight w:val="none"/>
        </w:rPr>
      </w:pPr>
      <w:r>
        <w:rPr>
          <w:rFonts w:hint="eastAsia" w:ascii="宋体" w:hAnsi="宋体"/>
          <w:color w:val="auto"/>
          <w:highlight w:val="none"/>
        </w:rPr>
        <w:t>6.“书面形式”包括信函、传真、电报等。</w:t>
      </w:r>
    </w:p>
    <w:p>
      <w:pPr>
        <w:spacing w:line="400" w:lineRule="exact"/>
        <w:ind w:firstLine="420" w:firstLineChars="200"/>
        <w:rPr>
          <w:rFonts w:ascii="宋体" w:hAnsi="宋体"/>
          <w:color w:val="auto"/>
          <w:highlight w:val="none"/>
        </w:rPr>
      </w:pPr>
      <w:r>
        <w:rPr>
          <w:rFonts w:hint="eastAsia" w:ascii="宋体" w:hAnsi="宋体"/>
          <w:color w:val="auto"/>
          <w:highlight w:val="none"/>
        </w:rPr>
        <w:t>7.“★”系指实质性要求条款。</w:t>
      </w:r>
    </w:p>
    <w:p>
      <w:pPr>
        <w:spacing w:line="400" w:lineRule="exact"/>
        <w:rPr>
          <w:rFonts w:ascii="宋体" w:hAnsi="宋体"/>
          <w:b/>
          <w:bCs/>
          <w:color w:val="auto"/>
          <w:sz w:val="24"/>
          <w:highlight w:val="none"/>
        </w:rPr>
      </w:pPr>
      <w:bookmarkStart w:id="16" w:name="_Toc397325819"/>
      <w:r>
        <w:rPr>
          <w:rFonts w:hint="eastAsia" w:ascii="宋体" w:hAnsi="宋体"/>
          <w:b/>
          <w:bCs/>
          <w:color w:val="auto"/>
          <w:sz w:val="24"/>
          <w:highlight w:val="none"/>
        </w:rPr>
        <w:t>（三）招标方式</w:t>
      </w:r>
      <w:bookmarkEnd w:id="16"/>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本次招标采用公开招标方式进行。</w:t>
      </w:r>
    </w:p>
    <w:p>
      <w:pPr>
        <w:spacing w:line="400" w:lineRule="exact"/>
        <w:rPr>
          <w:rFonts w:ascii="宋体" w:hAnsi="宋体"/>
          <w:b/>
          <w:bCs/>
          <w:color w:val="auto"/>
          <w:sz w:val="24"/>
          <w:highlight w:val="none"/>
        </w:rPr>
      </w:pPr>
      <w:bookmarkStart w:id="17" w:name="_Toc397325820"/>
      <w:r>
        <w:rPr>
          <w:rFonts w:hint="eastAsia" w:ascii="宋体" w:hAnsi="宋体"/>
          <w:b/>
          <w:bCs/>
          <w:color w:val="auto"/>
          <w:sz w:val="24"/>
          <w:highlight w:val="none"/>
        </w:rPr>
        <w:t>（四）投标委托</w:t>
      </w:r>
      <w:bookmarkEnd w:id="17"/>
    </w:p>
    <w:p>
      <w:pPr>
        <w:spacing w:line="400" w:lineRule="exact"/>
        <w:ind w:firstLine="420" w:firstLineChars="200"/>
        <w:rPr>
          <w:rFonts w:ascii="宋体" w:hAnsi="宋体"/>
          <w:bCs/>
          <w:color w:val="auto"/>
          <w:szCs w:val="21"/>
          <w:highlight w:val="none"/>
        </w:rPr>
      </w:pPr>
      <w:bookmarkStart w:id="18" w:name="_Toc397325821"/>
      <w:r>
        <w:rPr>
          <w:rFonts w:hint="eastAsia" w:ascii="宋体" w:hAnsi="宋体"/>
          <w:bCs/>
          <w:color w:val="auto"/>
          <w:szCs w:val="21"/>
          <w:highlight w:val="none"/>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pPr>
        <w:spacing w:line="400" w:lineRule="exact"/>
        <w:rPr>
          <w:rFonts w:ascii="宋体" w:hAnsi="宋体"/>
          <w:b/>
          <w:bCs/>
          <w:color w:val="auto"/>
          <w:sz w:val="24"/>
          <w:highlight w:val="none"/>
        </w:rPr>
      </w:pPr>
      <w:r>
        <w:rPr>
          <w:rFonts w:hint="eastAsia" w:ascii="宋体" w:hAnsi="宋体"/>
          <w:b/>
          <w:bCs/>
          <w:color w:val="auto"/>
          <w:sz w:val="24"/>
          <w:highlight w:val="none"/>
        </w:rPr>
        <w:t>（五）投标费用</w:t>
      </w:r>
      <w:bookmarkEnd w:id="18"/>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不论投标结果如何，投标人均应自行承担所有与投标有关的全部费用（招标文件有相反规定除外）。</w:t>
      </w:r>
    </w:p>
    <w:p>
      <w:pPr>
        <w:spacing w:line="400" w:lineRule="exact"/>
        <w:rPr>
          <w:rFonts w:ascii="宋体" w:hAnsi="宋体"/>
          <w:b/>
          <w:bCs/>
          <w:color w:val="auto"/>
          <w:sz w:val="24"/>
          <w:highlight w:val="none"/>
        </w:rPr>
      </w:pPr>
      <w:r>
        <w:rPr>
          <w:rFonts w:hint="eastAsia" w:ascii="宋体" w:hAnsi="宋体"/>
          <w:b/>
          <w:bCs/>
          <w:color w:val="auto"/>
          <w:sz w:val="24"/>
          <w:highlight w:val="none"/>
        </w:rPr>
        <w:t>（六）联合体投标</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 xml:space="preserve">  本项目不接受联合体投标。</w:t>
      </w:r>
    </w:p>
    <w:p>
      <w:pPr>
        <w:spacing w:line="400" w:lineRule="exact"/>
        <w:rPr>
          <w:rFonts w:ascii="宋体" w:hAnsi="宋体"/>
          <w:b/>
          <w:bCs/>
          <w:color w:val="auto"/>
          <w:sz w:val="24"/>
          <w:highlight w:val="none"/>
        </w:rPr>
      </w:pPr>
      <w:r>
        <w:rPr>
          <w:rFonts w:hint="eastAsia" w:ascii="宋体" w:hAnsi="宋体"/>
          <w:b/>
          <w:bCs/>
          <w:color w:val="auto"/>
          <w:sz w:val="24"/>
          <w:highlight w:val="none"/>
        </w:rPr>
        <w:t>（七）转包与分包</w:t>
      </w:r>
      <w:bookmarkStart w:id="19" w:name="_Toc397325822"/>
    </w:p>
    <w:p>
      <w:pPr>
        <w:spacing w:line="400" w:lineRule="exact"/>
        <w:rPr>
          <w:rFonts w:ascii="宋体" w:hAnsi="宋体"/>
          <w:bCs/>
          <w:color w:val="auto"/>
          <w:szCs w:val="21"/>
          <w:highlight w:val="none"/>
        </w:rPr>
      </w:pPr>
      <w:r>
        <w:rPr>
          <w:rFonts w:hint="eastAsia" w:ascii="宋体" w:hAnsi="宋体"/>
          <w:b/>
          <w:bCs/>
          <w:color w:val="auto"/>
          <w:sz w:val="24"/>
          <w:highlight w:val="none"/>
        </w:rPr>
        <w:t xml:space="preserve">   </w:t>
      </w:r>
      <w:r>
        <w:rPr>
          <w:rFonts w:hint="eastAsia" w:ascii="宋体" w:hAnsi="宋体"/>
          <w:bCs/>
          <w:color w:val="auto"/>
          <w:szCs w:val="21"/>
          <w:highlight w:val="none"/>
        </w:rPr>
        <w:t>本项目不得转包，未经发包人书面同意不得分包。</w:t>
      </w:r>
    </w:p>
    <w:p>
      <w:pPr>
        <w:spacing w:line="400" w:lineRule="exact"/>
        <w:rPr>
          <w:rFonts w:ascii="宋体" w:hAnsi="宋体"/>
          <w:b/>
          <w:bCs/>
          <w:color w:val="auto"/>
          <w:sz w:val="24"/>
          <w:highlight w:val="none"/>
        </w:rPr>
      </w:pPr>
      <w:r>
        <w:rPr>
          <w:rFonts w:hint="eastAsia" w:ascii="宋体" w:hAnsi="宋体"/>
          <w:b/>
          <w:bCs/>
          <w:color w:val="auto"/>
          <w:sz w:val="24"/>
          <w:highlight w:val="none"/>
        </w:rPr>
        <w:t>（八）特别说明：</w:t>
      </w:r>
      <w:bookmarkEnd w:id="19"/>
      <w:bookmarkStart w:id="20" w:name="_Toc397325826"/>
    </w:p>
    <w:p>
      <w:pPr>
        <w:spacing w:line="400" w:lineRule="exact"/>
        <w:rPr>
          <w:rFonts w:ascii="宋体" w:hAnsi="宋体"/>
          <w:b/>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Cs w:val="21"/>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非单一产品采购项目，多家投标人提供的核心产品品牌相同的，按前款处理。</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★3.投标人在投标活动中提供任何虚假材料，其投标无效，并报监管部门查处。</w:t>
      </w:r>
    </w:p>
    <w:p>
      <w:pPr>
        <w:spacing w:line="400" w:lineRule="exact"/>
        <w:rPr>
          <w:rFonts w:ascii="宋体" w:hAnsi="宋体"/>
          <w:b/>
          <w:bCs/>
          <w:color w:val="auto"/>
          <w:sz w:val="24"/>
          <w:highlight w:val="none"/>
        </w:rPr>
      </w:pPr>
      <w:r>
        <w:rPr>
          <w:rFonts w:hint="eastAsia" w:ascii="宋体" w:hAnsi="宋体"/>
          <w:b/>
          <w:bCs/>
          <w:color w:val="auto"/>
          <w:sz w:val="24"/>
          <w:highlight w:val="none"/>
        </w:rPr>
        <w:t>（九）质疑和投诉</w:t>
      </w:r>
      <w:bookmarkEnd w:id="20"/>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（1）对可以质疑的招标文件提出质疑的，为获取招标文件之日（招标公告期限届满之日后获取招标文件的为招标公告期限届满之日）。</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（2）对招标过程提出质疑的，为各招标程序环节结束之日。</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（3）对中标结果提出质疑的，为中标结果公告期限届满之日。</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w:t>
      </w:r>
      <w:r>
        <w:rPr>
          <w:rFonts w:hint="eastAsia" w:ascii="宋体" w:hAnsi="宋体" w:cs="宋体"/>
          <w:color w:val="auto"/>
          <w:szCs w:val="21"/>
          <w:highlight w:val="none"/>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pPr>
        <w:spacing w:line="520" w:lineRule="exact"/>
        <w:jc w:val="center"/>
        <w:rPr>
          <w:rFonts w:ascii="宋体" w:hAnsi="宋体"/>
          <w:b/>
          <w:bCs/>
          <w:color w:val="auto"/>
          <w:sz w:val="32"/>
          <w:highlight w:val="none"/>
        </w:rPr>
      </w:pPr>
      <w:r>
        <w:rPr>
          <w:rFonts w:hint="eastAsia" w:ascii="宋体" w:hAnsi="宋体"/>
          <w:b/>
          <w:bCs/>
          <w:color w:val="auto"/>
          <w:sz w:val="32"/>
          <w:highlight w:val="none"/>
        </w:rPr>
        <w:t>二、招标文件</w:t>
      </w:r>
    </w:p>
    <w:p>
      <w:pPr>
        <w:spacing w:line="400" w:lineRule="exact"/>
        <w:rPr>
          <w:rFonts w:ascii="宋体" w:hAnsi="宋体"/>
          <w:b/>
          <w:bCs/>
          <w:color w:val="auto"/>
          <w:sz w:val="24"/>
          <w:highlight w:val="none"/>
        </w:rPr>
      </w:pPr>
      <w:r>
        <w:rPr>
          <w:rFonts w:hint="eastAsia" w:ascii="宋体" w:hAnsi="宋体"/>
          <w:b/>
          <w:bCs/>
          <w:color w:val="auto"/>
          <w:sz w:val="24"/>
          <w:highlight w:val="none"/>
        </w:rPr>
        <w:t>（一）招标文件的构成。本招标文件由以下部分组成：</w:t>
      </w:r>
    </w:p>
    <w:p>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一</w:t>
      </w:r>
      <w:r>
        <w:rPr>
          <w:rFonts w:ascii="宋体" w:hAnsi="宋体"/>
          <w:color w:val="auto"/>
          <w:highlight w:val="none"/>
        </w:rPr>
        <w:t xml:space="preserve">部分 </w:t>
      </w:r>
      <w:r>
        <w:rPr>
          <w:rFonts w:hint="eastAsia" w:ascii="宋体" w:hAnsi="宋体"/>
          <w:color w:val="auto"/>
          <w:highlight w:val="none"/>
        </w:rPr>
        <w:t xml:space="preserve"> 招标公告</w:t>
      </w:r>
    </w:p>
    <w:p>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 xml:space="preserve">部分 </w:t>
      </w:r>
      <w:r>
        <w:rPr>
          <w:rFonts w:hint="eastAsia" w:ascii="宋体" w:hAnsi="宋体"/>
          <w:color w:val="auto"/>
          <w:highlight w:val="none"/>
        </w:rPr>
        <w:t xml:space="preserve"> 投标人须知及前附表</w:t>
      </w:r>
    </w:p>
    <w:p>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三</w:t>
      </w:r>
      <w:r>
        <w:rPr>
          <w:rFonts w:ascii="宋体" w:hAnsi="宋体"/>
          <w:color w:val="auto"/>
          <w:highlight w:val="none"/>
        </w:rPr>
        <w:t xml:space="preserve">部分 </w:t>
      </w:r>
      <w:r>
        <w:rPr>
          <w:rFonts w:hint="eastAsia" w:ascii="宋体" w:hAnsi="宋体"/>
          <w:color w:val="auto"/>
          <w:highlight w:val="none"/>
        </w:rPr>
        <w:t xml:space="preserve"> 项目内容及要求</w:t>
      </w:r>
    </w:p>
    <w:p>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四</w:t>
      </w:r>
      <w:r>
        <w:rPr>
          <w:rFonts w:ascii="宋体" w:hAnsi="宋体"/>
          <w:color w:val="auto"/>
          <w:highlight w:val="none"/>
        </w:rPr>
        <w:t>部分</w:t>
      </w:r>
      <w:r>
        <w:rPr>
          <w:rFonts w:hint="eastAsia" w:ascii="宋体" w:hAnsi="宋体"/>
          <w:color w:val="auto"/>
          <w:highlight w:val="none"/>
        </w:rPr>
        <w:t xml:space="preserve">  </w:t>
      </w:r>
      <w:r>
        <w:rPr>
          <w:rFonts w:hint="eastAsia" w:ascii="宋体" w:hAnsi="宋体" w:cs="宋体"/>
          <w:color w:val="auto"/>
          <w:szCs w:val="21"/>
          <w:highlight w:val="none"/>
        </w:rPr>
        <w:t>评标办法及标准</w:t>
      </w:r>
    </w:p>
    <w:p>
      <w:pPr>
        <w:spacing w:line="400" w:lineRule="exact"/>
        <w:ind w:firstLine="420" w:firstLineChars="200"/>
        <w:rPr>
          <w:rFonts w:ascii="宋体" w:hAnsi="宋体"/>
          <w:color w:val="auto"/>
          <w:highlight w:val="none"/>
        </w:rPr>
      </w:pPr>
      <w:r>
        <w:rPr>
          <w:rFonts w:hint="eastAsia" w:ascii="宋体" w:hAnsi="宋体"/>
          <w:color w:val="auto"/>
          <w:highlight w:val="none"/>
        </w:rPr>
        <w:t>第五部分</w:t>
      </w:r>
      <w:r>
        <w:rPr>
          <w:rFonts w:ascii="宋体" w:hAnsi="宋体"/>
          <w:color w:val="auto"/>
          <w:highlight w:val="none"/>
        </w:rPr>
        <w:t xml:space="preserve">  </w:t>
      </w:r>
      <w:r>
        <w:rPr>
          <w:rFonts w:hint="eastAsia" w:ascii="宋体" w:hAnsi="宋体"/>
          <w:color w:val="auto"/>
          <w:highlight w:val="none"/>
        </w:rPr>
        <w:t>合同条款及合同格式</w:t>
      </w:r>
    </w:p>
    <w:p>
      <w:pPr>
        <w:spacing w:line="400" w:lineRule="exact"/>
        <w:ind w:firstLine="420" w:firstLineChars="200"/>
        <w:rPr>
          <w:rFonts w:ascii="宋体" w:hAnsi="宋体"/>
          <w:color w:val="auto"/>
          <w:highlight w:val="none"/>
        </w:rPr>
      </w:pPr>
      <w:r>
        <w:rPr>
          <w:rFonts w:hint="eastAsia" w:ascii="宋体" w:hAnsi="宋体"/>
          <w:color w:val="auto"/>
          <w:highlight w:val="none"/>
        </w:rPr>
        <w:t>第六部分  投标文件格式</w:t>
      </w:r>
    </w:p>
    <w:p>
      <w:pPr>
        <w:spacing w:line="400" w:lineRule="exact"/>
        <w:ind w:firstLine="420" w:firstLineChars="200"/>
        <w:rPr>
          <w:rFonts w:ascii="宋体" w:hAnsi="宋体"/>
          <w:color w:val="auto"/>
          <w:highlight w:val="none"/>
        </w:rPr>
      </w:pPr>
      <w:r>
        <w:rPr>
          <w:rFonts w:hint="eastAsia" w:ascii="宋体" w:hAnsi="宋体"/>
          <w:color w:val="auto"/>
          <w:highlight w:val="none"/>
        </w:rPr>
        <w:t>第七部分  本项目招标文件的澄清、答复、修改、补充的内容（如有）</w:t>
      </w:r>
    </w:p>
    <w:p>
      <w:pPr>
        <w:spacing w:line="400" w:lineRule="exact"/>
        <w:rPr>
          <w:rFonts w:ascii="宋体" w:hAnsi="宋体"/>
          <w:b/>
          <w:bCs/>
          <w:color w:val="auto"/>
          <w:sz w:val="24"/>
          <w:highlight w:val="none"/>
        </w:rPr>
      </w:pPr>
      <w:r>
        <w:rPr>
          <w:rFonts w:hint="eastAsia" w:ascii="宋体" w:hAnsi="宋体"/>
          <w:b/>
          <w:bCs/>
          <w:color w:val="auto"/>
          <w:sz w:val="24"/>
          <w:highlight w:val="none"/>
        </w:rPr>
        <w:t>（二）投标人的风险</w:t>
      </w:r>
    </w:p>
    <w:p>
      <w:pPr>
        <w:spacing w:line="400" w:lineRule="exact"/>
        <w:ind w:firstLine="420" w:firstLineChars="200"/>
        <w:rPr>
          <w:rFonts w:ascii="宋体" w:hAnsi="宋体"/>
          <w:color w:val="auto"/>
          <w:highlight w:val="none"/>
        </w:rPr>
      </w:pPr>
      <w:r>
        <w:rPr>
          <w:rFonts w:hint="eastAsia" w:ascii="宋体" w:hAnsi="宋体"/>
          <w:color w:val="auto"/>
          <w:highlight w:val="none"/>
        </w:rPr>
        <w:t>投标人没有按照招标文件要求提供全部资料，或者投标人没有对招标文件在各方面作出实质性响应是投标人的风险，并可能导致其投标被拒绝。</w:t>
      </w:r>
    </w:p>
    <w:p>
      <w:pPr>
        <w:spacing w:line="400" w:lineRule="exact"/>
        <w:rPr>
          <w:rFonts w:ascii="宋体" w:hAnsi="宋体"/>
          <w:b/>
          <w:bCs/>
          <w:color w:val="auto"/>
          <w:sz w:val="24"/>
          <w:highlight w:val="none"/>
        </w:rPr>
      </w:pPr>
      <w:r>
        <w:rPr>
          <w:rFonts w:hint="eastAsia" w:ascii="宋体" w:hAnsi="宋体"/>
          <w:b/>
          <w:bCs/>
          <w:color w:val="auto"/>
          <w:sz w:val="24"/>
          <w:highlight w:val="none"/>
        </w:rPr>
        <w:t>（三）招标文件的澄清与修改</w:t>
      </w:r>
    </w:p>
    <w:p>
      <w:pPr>
        <w:spacing w:line="400" w:lineRule="exact"/>
        <w:ind w:firstLine="420" w:firstLineChars="200"/>
        <w:rPr>
          <w:rFonts w:ascii="宋体" w:hAnsi="宋体"/>
          <w:color w:val="auto"/>
          <w:highlight w:val="none"/>
        </w:rPr>
      </w:pPr>
      <w:r>
        <w:rPr>
          <w:rFonts w:hint="eastAsia" w:ascii="宋体" w:hAnsi="宋体"/>
          <w:color w:val="auto"/>
          <w:highlight w:val="none"/>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pPr>
        <w:spacing w:line="400" w:lineRule="exact"/>
        <w:ind w:firstLine="420" w:firstLineChars="200"/>
        <w:rPr>
          <w:rFonts w:ascii="宋体" w:hAnsi="宋体"/>
          <w:color w:val="auto"/>
          <w:highlight w:val="none"/>
        </w:rPr>
      </w:pPr>
      <w:r>
        <w:rPr>
          <w:rFonts w:hint="eastAsia" w:ascii="宋体" w:hAnsi="宋体"/>
          <w:color w:val="auto"/>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spacing w:line="400" w:lineRule="exact"/>
        <w:ind w:firstLine="420" w:firstLineChars="200"/>
        <w:rPr>
          <w:rFonts w:ascii="宋体" w:hAnsi="宋体"/>
          <w:color w:val="auto"/>
          <w:highlight w:val="none"/>
        </w:rPr>
      </w:pPr>
      <w:r>
        <w:rPr>
          <w:rFonts w:hint="eastAsia" w:ascii="宋体" w:hAnsi="宋体"/>
          <w:color w:val="auto"/>
          <w:highlight w:val="none"/>
        </w:rPr>
        <w:t>3.招标文件澄清、答复、修改、补充的内容为招标文件的组成部分。当招标文件与招标文件的答复、澄清、修改、补充通知就同一内容的表述不一致时，以最后发出的书面文件为准。</w:t>
      </w:r>
    </w:p>
    <w:p>
      <w:pPr>
        <w:spacing w:line="400" w:lineRule="exact"/>
        <w:ind w:firstLine="420" w:firstLineChars="200"/>
        <w:rPr>
          <w:rFonts w:ascii="宋体" w:hAnsi="宋体"/>
          <w:color w:val="auto"/>
          <w:highlight w:val="none"/>
        </w:rPr>
      </w:pPr>
      <w:r>
        <w:rPr>
          <w:rFonts w:hint="eastAsia" w:ascii="宋体" w:hAnsi="宋体"/>
          <w:color w:val="auto"/>
          <w:highlight w:val="none"/>
        </w:rPr>
        <w:t>4.招标文件的澄清、答复、修改或补充都应该通过本代理机构以法定形式发布，采购人非通过本机构，不得擅自澄清、答复、修改或补充招标文件。</w:t>
      </w:r>
    </w:p>
    <w:p>
      <w:pPr>
        <w:spacing w:line="520" w:lineRule="exact"/>
        <w:jc w:val="center"/>
        <w:rPr>
          <w:rFonts w:ascii="宋体" w:hAnsi="宋体"/>
          <w:b/>
          <w:bCs/>
          <w:color w:val="auto"/>
          <w:sz w:val="32"/>
          <w:highlight w:val="none"/>
        </w:rPr>
      </w:pPr>
      <w:r>
        <w:rPr>
          <w:rFonts w:hint="eastAsia" w:ascii="宋体" w:hAnsi="宋体"/>
          <w:b/>
          <w:bCs/>
          <w:color w:val="auto"/>
          <w:sz w:val="32"/>
          <w:highlight w:val="none"/>
        </w:rPr>
        <w:t>三、投标文件的编制</w:t>
      </w:r>
    </w:p>
    <w:p>
      <w:pPr>
        <w:spacing w:line="400" w:lineRule="exact"/>
        <w:rPr>
          <w:rFonts w:ascii="宋体" w:hAnsi="宋体"/>
          <w:b/>
          <w:bCs/>
          <w:color w:val="auto"/>
          <w:sz w:val="24"/>
          <w:highlight w:val="none"/>
        </w:rPr>
      </w:pPr>
      <w:r>
        <w:rPr>
          <w:rFonts w:hint="eastAsia" w:ascii="宋体" w:hAnsi="宋体"/>
          <w:b/>
          <w:bCs/>
          <w:color w:val="auto"/>
          <w:sz w:val="24"/>
          <w:highlight w:val="none"/>
        </w:rPr>
        <w:t>（一）投标文件的组成（资格证明文件、报价及商务技术文件组成），其中电子投标文件中所须加盖公章部分均采用CA签章。</w:t>
      </w:r>
    </w:p>
    <w:p>
      <w:pPr>
        <w:spacing w:line="400" w:lineRule="exact"/>
        <w:rPr>
          <w:rFonts w:ascii="宋体" w:hAnsi="宋体"/>
          <w:b/>
          <w:color w:val="auto"/>
          <w:highlight w:val="none"/>
        </w:rPr>
      </w:pPr>
      <w:r>
        <w:rPr>
          <w:rFonts w:hint="eastAsia" w:ascii="宋体" w:hAnsi="宋体"/>
          <w:b/>
          <w:color w:val="auto"/>
          <w:highlight w:val="none"/>
        </w:rPr>
        <w:t>1.资格证明文件：</w:t>
      </w:r>
    </w:p>
    <w:p>
      <w:pPr>
        <w:spacing w:line="400" w:lineRule="exact"/>
        <w:rPr>
          <w:rFonts w:ascii="宋体" w:hAnsi="宋体"/>
          <w:color w:val="auto"/>
          <w:highlight w:val="none"/>
        </w:rPr>
      </w:pPr>
      <w:r>
        <w:rPr>
          <w:rFonts w:hint="eastAsia" w:ascii="宋体" w:hAnsi="宋体"/>
          <w:color w:val="auto"/>
          <w:highlight w:val="none"/>
        </w:rPr>
        <w:t>（1）投标人资格条件自查表（格式见附件1）；</w:t>
      </w:r>
    </w:p>
    <w:p>
      <w:pPr>
        <w:spacing w:line="400" w:lineRule="exact"/>
        <w:rPr>
          <w:rFonts w:ascii="宋体" w:hAnsi="宋体"/>
          <w:color w:val="auto"/>
          <w:highlight w:val="none"/>
        </w:rPr>
      </w:pPr>
      <w:r>
        <w:rPr>
          <w:rFonts w:hint="eastAsia" w:ascii="宋体" w:hAnsi="宋体"/>
          <w:color w:val="auto"/>
          <w:highlight w:val="none"/>
        </w:rPr>
        <w:t>（2）投标人资格声明函（格式见附件2）；</w:t>
      </w:r>
    </w:p>
    <w:p>
      <w:pPr>
        <w:spacing w:line="400" w:lineRule="exact"/>
        <w:rPr>
          <w:rFonts w:ascii="宋体" w:hAnsi="宋体"/>
          <w:color w:val="auto"/>
          <w:highlight w:val="none"/>
        </w:rPr>
      </w:pPr>
      <w:r>
        <w:rPr>
          <w:rFonts w:hint="eastAsia" w:ascii="宋体" w:hAnsi="宋体"/>
          <w:color w:val="auto"/>
          <w:highlight w:val="none"/>
        </w:rPr>
        <w:t>（3）法定代表人身份证明书或法定代表人授权书（格式见附件3）；</w:t>
      </w:r>
    </w:p>
    <w:p>
      <w:pPr>
        <w:spacing w:line="400" w:lineRule="exact"/>
        <w:rPr>
          <w:rFonts w:ascii="宋体" w:hAnsi="宋体"/>
          <w:color w:val="auto"/>
          <w:highlight w:val="none"/>
        </w:rPr>
      </w:pPr>
      <w:r>
        <w:rPr>
          <w:rFonts w:hint="eastAsia" w:ascii="宋体" w:hAnsi="宋体"/>
          <w:color w:val="auto"/>
          <w:highlight w:val="none"/>
        </w:rPr>
        <w:t>（4）投标人营业执照复印件（加盖公章）；</w:t>
      </w:r>
    </w:p>
    <w:p>
      <w:pPr>
        <w:spacing w:line="400" w:lineRule="exact"/>
        <w:rPr>
          <w:rFonts w:ascii="宋体" w:hAnsi="宋体"/>
          <w:color w:val="auto"/>
          <w:highlight w:val="none"/>
        </w:rPr>
      </w:pPr>
      <w:r>
        <w:rPr>
          <w:rFonts w:hint="eastAsia" w:ascii="宋体" w:hAnsi="宋体"/>
          <w:color w:val="auto"/>
          <w:highlight w:val="none"/>
        </w:rPr>
        <w:t>（5）近一年内投标人基本开户银行出具的资信证明或投标人近一年度（投标截止时间为上半年的，提供近两年度任一年度）经审计的财务报告（复印件加盖公章）；</w:t>
      </w:r>
    </w:p>
    <w:p>
      <w:pPr>
        <w:spacing w:line="400" w:lineRule="exact"/>
        <w:rPr>
          <w:rFonts w:ascii="宋体" w:hAnsi="宋体"/>
          <w:color w:val="auto"/>
          <w:highlight w:val="none"/>
        </w:rPr>
      </w:pPr>
      <w:r>
        <w:rPr>
          <w:rFonts w:hint="eastAsia" w:ascii="宋体" w:hAnsi="宋体"/>
          <w:color w:val="auto"/>
          <w:highlight w:val="none"/>
        </w:rPr>
        <w:t>（6）投标人由建设行政主管部门颁发的电子与智能化工程专业承包二级及以上资质证书复印件（加盖公章）；</w:t>
      </w:r>
    </w:p>
    <w:p>
      <w:pPr>
        <w:spacing w:line="400" w:lineRule="exact"/>
        <w:rPr>
          <w:rFonts w:ascii="宋体" w:hAnsi="宋体"/>
          <w:color w:val="auto"/>
          <w:highlight w:val="none"/>
        </w:rPr>
      </w:pPr>
      <w:r>
        <w:rPr>
          <w:rFonts w:hint="eastAsia" w:ascii="宋体" w:hAnsi="宋体"/>
          <w:color w:val="auto"/>
          <w:highlight w:val="none"/>
        </w:rPr>
        <w:t>（7）投标人认为需要提供的其他资格证明材料（复印件加盖公章）。</w:t>
      </w:r>
    </w:p>
    <w:p>
      <w:pPr>
        <w:spacing w:line="400" w:lineRule="exact"/>
        <w:rPr>
          <w:rFonts w:ascii="宋体" w:hAnsi="宋体"/>
          <w:b/>
          <w:color w:val="auto"/>
          <w:highlight w:val="none"/>
        </w:rPr>
      </w:pPr>
      <w:r>
        <w:rPr>
          <w:rFonts w:hint="eastAsia" w:ascii="宋体" w:hAnsi="宋体"/>
          <w:b/>
          <w:color w:val="auto"/>
          <w:highlight w:val="none"/>
        </w:rPr>
        <w:t>2.报价及商务技术文件：</w:t>
      </w:r>
    </w:p>
    <w:p>
      <w:pPr>
        <w:spacing w:line="400" w:lineRule="exact"/>
        <w:rPr>
          <w:rFonts w:ascii="宋体" w:hAnsi="宋体"/>
          <w:color w:val="auto"/>
          <w:highlight w:val="none"/>
        </w:rPr>
      </w:pPr>
      <w:r>
        <w:rPr>
          <w:rFonts w:hint="eastAsia" w:ascii="宋体" w:hAnsi="宋体"/>
          <w:b/>
          <w:color w:val="auto"/>
          <w:highlight w:val="none"/>
        </w:rPr>
        <w:t>2.1报价文件：</w:t>
      </w:r>
    </w:p>
    <w:p>
      <w:pPr>
        <w:spacing w:line="400" w:lineRule="exact"/>
        <w:rPr>
          <w:rFonts w:ascii="宋体" w:hAnsi="宋体"/>
          <w:color w:val="auto"/>
          <w:highlight w:val="none"/>
        </w:rPr>
      </w:pPr>
      <w:r>
        <w:rPr>
          <w:rFonts w:hint="eastAsia" w:ascii="宋体" w:hAnsi="宋体"/>
          <w:color w:val="auto"/>
          <w:highlight w:val="none"/>
        </w:rPr>
        <w:t>（1）投标函（格式见附件4）；</w:t>
      </w:r>
    </w:p>
    <w:p>
      <w:pPr>
        <w:spacing w:line="400" w:lineRule="exact"/>
        <w:rPr>
          <w:rFonts w:ascii="宋体" w:hAnsi="宋体"/>
          <w:color w:val="auto"/>
          <w:highlight w:val="none"/>
        </w:rPr>
      </w:pPr>
      <w:r>
        <w:rPr>
          <w:rFonts w:hint="eastAsia" w:ascii="宋体" w:hAnsi="宋体"/>
          <w:color w:val="auto"/>
          <w:highlight w:val="none"/>
        </w:rPr>
        <w:t>（2）开标一览表（格式见附件5）；</w:t>
      </w:r>
    </w:p>
    <w:p>
      <w:pPr>
        <w:spacing w:line="400" w:lineRule="exact"/>
        <w:rPr>
          <w:rFonts w:ascii="宋体" w:hAnsi="宋体"/>
          <w:color w:val="auto"/>
          <w:highlight w:val="none"/>
        </w:rPr>
      </w:pPr>
      <w:r>
        <w:rPr>
          <w:rFonts w:hint="eastAsia" w:ascii="宋体" w:hAnsi="宋体"/>
          <w:color w:val="auto"/>
          <w:highlight w:val="none"/>
        </w:rPr>
        <w:t>（3）投标报价明细表（格式见附件6）；</w:t>
      </w:r>
    </w:p>
    <w:p>
      <w:pPr>
        <w:spacing w:line="400" w:lineRule="exact"/>
        <w:rPr>
          <w:rFonts w:ascii="宋体" w:hAnsi="宋体"/>
          <w:color w:val="auto"/>
          <w:highlight w:val="none"/>
        </w:rPr>
      </w:pPr>
      <w:r>
        <w:rPr>
          <w:rFonts w:hint="eastAsia" w:ascii="宋体" w:hAnsi="宋体"/>
          <w:color w:val="auto"/>
          <w:highlight w:val="none"/>
        </w:rPr>
        <w:t>（4）备品备件清单（格式见附件7）；</w:t>
      </w:r>
    </w:p>
    <w:p>
      <w:pPr>
        <w:spacing w:line="400" w:lineRule="exact"/>
        <w:rPr>
          <w:rFonts w:ascii="宋体" w:hAnsi="宋体"/>
          <w:color w:val="auto"/>
          <w:highlight w:val="none"/>
        </w:rPr>
      </w:pPr>
      <w:r>
        <w:rPr>
          <w:rFonts w:hint="eastAsia" w:ascii="宋体" w:hAnsi="宋体"/>
          <w:color w:val="auto"/>
          <w:highlight w:val="none"/>
        </w:rPr>
        <w:t>（5）中小企业声明函（格式见附件8，如符合请提供）；</w:t>
      </w:r>
    </w:p>
    <w:p>
      <w:pPr>
        <w:spacing w:line="400" w:lineRule="exact"/>
        <w:rPr>
          <w:rFonts w:ascii="宋体" w:hAnsi="宋体"/>
          <w:color w:val="auto"/>
          <w:highlight w:val="none"/>
        </w:rPr>
      </w:pPr>
      <w:r>
        <w:rPr>
          <w:rFonts w:hint="eastAsia" w:ascii="宋体" w:hAnsi="宋体"/>
          <w:color w:val="auto"/>
          <w:highlight w:val="none"/>
        </w:rPr>
        <w:t>（6）残疾人福利性单位声明函（格式见附件9，如符合请提供）；</w:t>
      </w:r>
    </w:p>
    <w:p>
      <w:pPr>
        <w:spacing w:line="400" w:lineRule="exact"/>
        <w:rPr>
          <w:rFonts w:ascii="宋体" w:hAnsi="宋体"/>
          <w:color w:val="auto"/>
          <w:highlight w:val="none"/>
        </w:rPr>
      </w:pPr>
      <w:r>
        <w:rPr>
          <w:rFonts w:hint="eastAsia" w:ascii="宋体" w:hAnsi="宋体"/>
          <w:color w:val="auto"/>
          <w:highlight w:val="none"/>
        </w:rPr>
        <w:t>（7）投标人针对报价需要说明的其他文件和说明。</w:t>
      </w:r>
    </w:p>
    <w:p>
      <w:pPr>
        <w:spacing w:line="400" w:lineRule="exact"/>
        <w:rPr>
          <w:rFonts w:ascii="宋体" w:hAnsi="宋体"/>
          <w:color w:val="auto"/>
          <w:highlight w:val="none"/>
        </w:rPr>
      </w:pPr>
      <w:r>
        <w:rPr>
          <w:rFonts w:hint="eastAsia" w:ascii="宋体" w:hAnsi="宋体" w:cs="宋体"/>
          <w:b/>
          <w:bCs/>
          <w:color w:val="auto"/>
          <w:szCs w:val="21"/>
          <w:highlight w:val="none"/>
        </w:rPr>
        <w:t>2.2商务技术文件：</w:t>
      </w:r>
    </w:p>
    <w:p>
      <w:pPr>
        <w:spacing w:line="400" w:lineRule="exact"/>
        <w:rPr>
          <w:rFonts w:ascii="宋体" w:hAnsi="宋体"/>
          <w:color w:val="auto"/>
          <w:highlight w:val="none"/>
        </w:rPr>
      </w:pPr>
      <w:r>
        <w:rPr>
          <w:rFonts w:hint="eastAsia" w:ascii="宋体" w:hAnsi="宋体"/>
          <w:color w:val="auto"/>
          <w:highlight w:val="none"/>
        </w:rPr>
        <w:t>（1）</w:t>
      </w:r>
      <w:r>
        <w:rPr>
          <w:rFonts w:hint="eastAsia" w:ascii="宋体" w:hAnsi="宋体" w:cs="宋体"/>
          <w:color w:val="auto"/>
          <w:szCs w:val="21"/>
          <w:highlight w:val="none"/>
        </w:rPr>
        <w:t>投标人符合性自查表（</w:t>
      </w:r>
      <w:r>
        <w:rPr>
          <w:rFonts w:hint="eastAsia" w:ascii="宋体" w:hAnsi="宋体"/>
          <w:color w:val="auto"/>
          <w:highlight w:val="none"/>
        </w:rPr>
        <w:t>格式见附件10</w:t>
      </w:r>
      <w:r>
        <w:rPr>
          <w:rFonts w:hint="eastAsia" w:ascii="宋体" w:hAnsi="宋体" w:cs="宋体"/>
          <w:color w:val="auto"/>
          <w:szCs w:val="21"/>
          <w:highlight w:val="none"/>
        </w:rPr>
        <w:t>）；</w:t>
      </w:r>
    </w:p>
    <w:p>
      <w:pPr>
        <w:spacing w:line="400" w:lineRule="exact"/>
        <w:rPr>
          <w:rFonts w:ascii="宋体" w:hAnsi="宋体"/>
          <w:color w:val="auto"/>
          <w:highlight w:val="none"/>
        </w:rPr>
      </w:pPr>
      <w:r>
        <w:rPr>
          <w:rFonts w:hint="eastAsia" w:ascii="宋体" w:hAnsi="宋体"/>
          <w:color w:val="auto"/>
          <w:highlight w:val="none"/>
        </w:rPr>
        <w:t>（2）技术及服务条款偏离表（格式见附件11）；</w:t>
      </w:r>
    </w:p>
    <w:p>
      <w:pPr>
        <w:spacing w:line="400" w:lineRule="exact"/>
        <w:rPr>
          <w:rFonts w:ascii="宋体" w:hAnsi="宋体"/>
          <w:color w:val="auto"/>
          <w:highlight w:val="none"/>
        </w:rPr>
      </w:pPr>
      <w:r>
        <w:rPr>
          <w:rFonts w:hint="eastAsia" w:ascii="宋体" w:hAnsi="宋体"/>
          <w:color w:val="auto"/>
          <w:highlight w:val="none"/>
        </w:rPr>
        <w:t>（3）商务条款偏离表（格式见附件12）；</w:t>
      </w:r>
    </w:p>
    <w:p>
      <w:pPr>
        <w:spacing w:line="400" w:lineRule="exact"/>
        <w:rPr>
          <w:rFonts w:ascii="宋体" w:hAnsi="宋体"/>
          <w:color w:val="auto"/>
          <w:highlight w:val="none"/>
        </w:rPr>
      </w:pPr>
      <w:r>
        <w:rPr>
          <w:rFonts w:hint="eastAsia" w:ascii="宋体" w:hAnsi="宋体"/>
          <w:color w:val="auto"/>
          <w:highlight w:val="none"/>
        </w:rPr>
        <w:t>（4）投标货物（服务）清单（格式见附件13）；</w:t>
      </w:r>
    </w:p>
    <w:p>
      <w:pPr>
        <w:spacing w:line="400" w:lineRule="exact"/>
        <w:rPr>
          <w:rFonts w:ascii="宋体" w:hAnsi="宋体"/>
          <w:color w:val="auto"/>
          <w:highlight w:val="none"/>
        </w:rPr>
      </w:pPr>
      <w:r>
        <w:rPr>
          <w:rFonts w:hint="eastAsia" w:ascii="宋体" w:hAnsi="宋体"/>
          <w:color w:val="auto"/>
          <w:highlight w:val="none"/>
        </w:rPr>
        <w:t>（5）项目技术方案（格式自拟）；</w:t>
      </w:r>
    </w:p>
    <w:p>
      <w:pPr>
        <w:spacing w:line="400" w:lineRule="exact"/>
        <w:rPr>
          <w:rFonts w:ascii="宋体" w:hAnsi="宋体"/>
          <w:color w:val="auto"/>
          <w:highlight w:val="none"/>
        </w:rPr>
      </w:pPr>
      <w:r>
        <w:rPr>
          <w:rFonts w:hint="eastAsia" w:ascii="宋体" w:hAnsi="宋体"/>
          <w:color w:val="auto"/>
          <w:highlight w:val="none"/>
        </w:rPr>
        <w:t>（6）项目实施方案（格式自拟）；</w:t>
      </w:r>
    </w:p>
    <w:p>
      <w:pPr>
        <w:spacing w:line="400" w:lineRule="exact"/>
        <w:rPr>
          <w:rFonts w:ascii="宋体" w:hAnsi="宋体"/>
          <w:color w:val="auto"/>
          <w:highlight w:val="none"/>
        </w:rPr>
      </w:pPr>
      <w:r>
        <w:rPr>
          <w:rFonts w:hint="eastAsia" w:ascii="宋体" w:hAnsi="宋体"/>
          <w:color w:val="auto"/>
          <w:highlight w:val="none"/>
        </w:rPr>
        <w:t>（7）项目管理机构配备情况表（格式见附件14）；</w:t>
      </w:r>
    </w:p>
    <w:p>
      <w:pPr>
        <w:spacing w:line="400" w:lineRule="exact"/>
        <w:rPr>
          <w:rFonts w:ascii="宋体" w:hAnsi="宋体"/>
          <w:color w:val="auto"/>
          <w:highlight w:val="none"/>
        </w:rPr>
      </w:pPr>
      <w:r>
        <w:rPr>
          <w:rFonts w:hint="eastAsia" w:ascii="宋体" w:hAnsi="宋体"/>
          <w:color w:val="auto"/>
          <w:highlight w:val="none"/>
        </w:rPr>
        <w:t>（8）质量保证和售后服务方案（格式自拟）；</w:t>
      </w:r>
    </w:p>
    <w:p>
      <w:pPr>
        <w:spacing w:line="400" w:lineRule="exact"/>
        <w:rPr>
          <w:rFonts w:ascii="宋体" w:hAnsi="宋体"/>
          <w:color w:val="auto"/>
          <w:highlight w:val="none"/>
        </w:rPr>
      </w:pPr>
      <w:r>
        <w:rPr>
          <w:rFonts w:hint="eastAsia" w:ascii="宋体" w:hAnsi="宋体"/>
          <w:color w:val="auto"/>
          <w:highlight w:val="none"/>
        </w:rPr>
        <w:t>（9）技术培训方案（格式自拟）；</w:t>
      </w:r>
    </w:p>
    <w:p>
      <w:pPr>
        <w:spacing w:line="400" w:lineRule="exact"/>
        <w:rPr>
          <w:rFonts w:ascii="宋体" w:hAnsi="宋体"/>
          <w:color w:val="auto"/>
          <w:highlight w:val="none"/>
        </w:rPr>
      </w:pPr>
      <w:r>
        <w:rPr>
          <w:rFonts w:hint="eastAsia" w:ascii="宋体" w:hAnsi="宋体"/>
          <w:color w:val="auto"/>
          <w:highlight w:val="none"/>
        </w:rPr>
        <w:t>（10）优惠承诺及合理化建议（格式自拟）；</w:t>
      </w:r>
    </w:p>
    <w:p>
      <w:pPr>
        <w:spacing w:line="400" w:lineRule="exact"/>
        <w:rPr>
          <w:rFonts w:ascii="宋体" w:hAnsi="宋体"/>
          <w:color w:val="auto"/>
          <w:highlight w:val="none"/>
        </w:rPr>
      </w:pPr>
      <w:r>
        <w:rPr>
          <w:rFonts w:hint="eastAsia" w:ascii="宋体" w:hAnsi="宋体"/>
          <w:color w:val="auto"/>
          <w:highlight w:val="none"/>
        </w:rPr>
        <w:t>（11）类似项目业绩表（格式见附件15）；</w:t>
      </w:r>
    </w:p>
    <w:p>
      <w:pPr>
        <w:spacing w:line="400" w:lineRule="exact"/>
        <w:rPr>
          <w:rFonts w:ascii="宋体" w:hAnsi="宋体"/>
          <w:color w:val="auto"/>
          <w:highlight w:val="none"/>
        </w:rPr>
      </w:pPr>
      <w:r>
        <w:rPr>
          <w:rFonts w:hint="eastAsia" w:ascii="宋体" w:hAnsi="宋体"/>
          <w:color w:val="auto"/>
          <w:highlight w:val="none"/>
        </w:rPr>
        <w:t>（12）评分标准或采购文件需要提供的证明材料（具体详见评分标准）</w:t>
      </w:r>
    </w:p>
    <w:p>
      <w:pPr>
        <w:spacing w:line="400" w:lineRule="exact"/>
        <w:rPr>
          <w:rFonts w:ascii="宋体" w:hAnsi="宋体"/>
          <w:color w:val="auto"/>
          <w:highlight w:val="none"/>
        </w:rPr>
      </w:pPr>
      <w:r>
        <w:rPr>
          <w:rFonts w:hint="eastAsia" w:ascii="宋体" w:hAnsi="宋体"/>
          <w:color w:val="auto"/>
          <w:highlight w:val="none"/>
        </w:rPr>
        <w:t>（13）投标人认为需要提供的其他材料。</w:t>
      </w:r>
    </w:p>
    <w:p>
      <w:pPr>
        <w:spacing w:line="400" w:lineRule="exact"/>
        <w:rPr>
          <w:rFonts w:ascii="宋体" w:hAnsi="宋体"/>
          <w:b/>
          <w:color w:val="auto"/>
          <w:highlight w:val="none"/>
        </w:rPr>
      </w:pPr>
      <w:r>
        <w:rPr>
          <w:rFonts w:hint="eastAsia" w:ascii="宋体" w:hAnsi="宋体"/>
          <w:b/>
          <w:color w:val="auto"/>
          <w:highlight w:val="none"/>
        </w:rPr>
        <w:t>重要说明：商务技术中不得出现本项目的投标总价，否则为无效投标。</w:t>
      </w:r>
    </w:p>
    <w:p>
      <w:pPr>
        <w:spacing w:line="400" w:lineRule="exact"/>
        <w:rPr>
          <w:rFonts w:ascii="宋体" w:hAnsi="宋体"/>
          <w:b/>
          <w:bCs/>
          <w:color w:val="auto"/>
          <w:sz w:val="24"/>
          <w:highlight w:val="none"/>
        </w:rPr>
      </w:pPr>
      <w:r>
        <w:rPr>
          <w:rFonts w:hint="eastAsia" w:ascii="宋体" w:hAnsi="宋体"/>
          <w:b/>
          <w:bCs/>
          <w:color w:val="auto"/>
          <w:sz w:val="24"/>
          <w:highlight w:val="none"/>
        </w:rPr>
        <w:t>（二）投标文件的语言及计量</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★1.投标文件以及投标人与招标单位就有关投标事宜的所有来往函电，均应以中文汉语书写。除签名、盖章、专用名称等特殊情形外，以中文汉语以外的文字表述的投标文件视同未提供。</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★2.投标计量单位，招标文件已有明确规定的，使用招标文件规定的计量单位；招标文件没有规定的，应采用中华人民共和国法定计量单位（例如货币单位：人民币元），否则视同未响应。</w:t>
      </w:r>
    </w:p>
    <w:bookmarkEnd w:id="12"/>
    <w:p>
      <w:pPr>
        <w:spacing w:line="400" w:lineRule="exact"/>
        <w:rPr>
          <w:rFonts w:ascii="宋体" w:hAnsi="宋体"/>
          <w:b/>
          <w:bCs/>
          <w:color w:val="auto"/>
          <w:sz w:val="24"/>
          <w:highlight w:val="none"/>
        </w:rPr>
      </w:pPr>
      <w:bookmarkStart w:id="21" w:name="_Toc397325830"/>
      <w:r>
        <w:rPr>
          <w:rFonts w:hint="eastAsia" w:ascii="宋体" w:hAnsi="宋体"/>
          <w:b/>
          <w:bCs/>
          <w:color w:val="auto"/>
          <w:sz w:val="24"/>
          <w:highlight w:val="none"/>
        </w:rPr>
        <w:t>（三）投标报价</w:t>
      </w:r>
      <w:bookmarkEnd w:id="21"/>
    </w:p>
    <w:p>
      <w:pP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2" w:name="_Toc397325831"/>
      <w:r>
        <w:rPr>
          <w:rFonts w:hint="eastAsia" w:ascii="宋体" w:hAnsi="宋体" w:cs="宋体"/>
          <w:color w:val="auto"/>
          <w:szCs w:val="21"/>
          <w:highlight w:val="none"/>
        </w:rPr>
        <w:t>1.投标报价应按招标文件中相关附表格式填写。</w:t>
      </w:r>
      <w:bookmarkEnd w:id="22"/>
    </w:p>
    <w:p>
      <w:pP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3" w:name="_Toc397325832"/>
      <w:r>
        <w:rPr>
          <w:rFonts w:hint="eastAsia" w:ascii="宋体" w:hAnsi="宋体" w:cs="宋体"/>
          <w:color w:val="auto"/>
          <w:szCs w:val="21"/>
          <w:highlight w:val="none"/>
        </w:rPr>
        <w:t>★2.报价</w:t>
      </w:r>
      <w:bookmarkEnd w:id="23"/>
      <w:r>
        <w:rPr>
          <w:rFonts w:hint="eastAsia" w:ascii="宋体" w:hAnsi="宋体" w:cs="宋体"/>
          <w:color w:val="auto"/>
          <w:szCs w:val="21"/>
          <w:highlight w:val="none"/>
        </w:rPr>
        <w:t>要求：详见招标文第三部分投标人须知前附表。</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ab/>
      </w:r>
      <w:bookmarkStart w:id="24" w:name="_Toc397325833"/>
      <w:r>
        <w:rPr>
          <w:rFonts w:hint="eastAsia" w:ascii="宋体" w:hAnsi="宋体" w:cs="宋体"/>
          <w:color w:val="auto"/>
          <w:szCs w:val="21"/>
          <w:highlight w:val="none"/>
        </w:rPr>
        <w:t>★3.投标文件针对同一内容只允许有一个报价，有选择的或有条件的报价将不予接受。</w:t>
      </w:r>
      <w:bookmarkEnd w:id="24"/>
    </w:p>
    <w:p>
      <w:pPr>
        <w:spacing w:line="400" w:lineRule="exact"/>
        <w:rPr>
          <w:rFonts w:ascii="宋体" w:hAnsi="宋体"/>
          <w:b/>
          <w:bCs/>
          <w:color w:val="auto"/>
          <w:sz w:val="24"/>
          <w:highlight w:val="none"/>
        </w:rPr>
      </w:pPr>
      <w:bookmarkStart w:id="25" w:name="_Toc397325834"/>
      <w:r>
        <w:rPr>
          <w:rFonts w:hint="eastAsia" w:ascii="宋体" w:hAnsi="宋体"/>
          <w:b/>
          <w:bCs/>
          <w:color w:val="auto"/>
          <w:sz w:val="24"/>
          <w:highlight w:val="none"/>
        </w:rPr>
        <w:t>（四）投标文件的有效期</w:t>
      </w:r>
      <w:bookmarkEnd w:id="25"/>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★1.自投标截止日起90 天投标文件应保持有效。有效期不足的投标文件将被拒绝。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2.在特殊情况下，采购人可与投标人协商延长投标书的有效期，这种要求和答复均以书面形式进行。</w:t>
      </w:r>
    </w:p>
    <w:p>
      <w:pPr>
        <w:spacing w:line="400" w:lineRule="exact"/>
        <w:rPr>
          <w:rFonts w:ascii="宋体" w:hAnsi="宋体" w:cs="宋体"/>
          <w:color w:val="auto"/>
          <w:szCs w:val="21"/>
          <w:highlight w:val="none"/>
        </w:rPr>
      </w:pPr>
      <w:bookmarkStart w:id="26" w:name="_Toc397325836"/>
      <w:r>
        <w:rPr>
          <w:rFonts w:hint="eastAsia" w:ascii="宋体" w:hAnsi="宋体" w:cs="宋体"/>
          <w:color w:val="auto"/>
          <w:szCs w:val="21"/>
          <w:highlight w:val="none"/>
        </w:rPr>
        <w:t xml:space="preserve">    </w:t>
      </w:r>
      <w:r>
        <w:rPr>
          <w:rFonts w:ascii="宋体" w:hAnsi="宋体" w:cs="宋体"/>
          <w:color w:val="auto"/>
          <w:szCs w:val="21"/>
          <w:highlight w:val="none"/>
        </w:rPr>
        <w:t>3</w:t>
      </w:r>
      <w:r>
        <w:rPr>
          <w:rFonts w:hint="eastAsia" w:ascii="宋体" w:hAnsi="宋体" w:cs="宋体"/>
          <w:color w:val="auto"/>
          <w:szCs w:val="21"/>
          <w:highlight w:val="none"/>
        </w:rPr>
        <w:t>.中标人的投标文件自开标之日起至合同履行完毕止均应保持有效。</w:t>
      </w:r>
      <w:bookmarkEnd w:id="26"/>
      <w:bookmarkStart w:id="27" w:name="_Toc397325838"/>
    </w:p>
    <w:p>
      <w:pPr>
        <w:spacing w:line="400" w:lineRule="exact"/>
        <w:rPr>
          <w:rFonts w:ascii="宋体" w:hAnsi="宋体"/>
          <w:b/>
          <w:bCs/>
          <w:color w:val="auto"/>
          <w:sz w:val="24"/>
          <w:highlight w:val="none"/>
        </w:rPr>
      </w:pPr>
      <w:r>
        <w:rPr>
          <w:rFonts w:hint="eastAsia" w:ascii="宋体" w:hAnsi="宋体"/>
          <w:b/>
          <w:bCs/>
          <w:color w:val="auto"/>
          <w:sz w:val="24"/>
          <w:highlight w:val="none"/>
        </w:rPr>
        <w:t>（五）投标文件的签署和份数</w:t>
      </w:r>
      <w:bookmarkEnd w:id="27"/>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1.投标人应按本招标文件规定的格式和顺序编制、装订投标文件并标注页码，投标文件内容不完整、编排混乱导致投标文件被误读、漏读或者查找不到相关内容的，是投标人的责任。</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2.投标文件的份数：</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本项目实行网上投标，供应商应准备以下投标文件：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（1）上传到政府采购云平台的电子投标文件（含资格证明文件、商务技术文件、报价文件）1份。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（2）以U盘存储的电子备份投标文件（含资格证明文件、商务技术文件、报价文件）1份。</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3.电子投标文件：</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3.1供应商应根据政府采购云平台的要求及本招标文件规定的格式和顺序编制电子投标文件并进行关联定位。</w:t>
      </w:r>
    </w:p>
    <w:p>
      <w:pPr>
        <w:spacing w:line="400" w:lineRule="exact"/>
        <w:rPr>
          <w:rFonts w:ascii="宋体" w:hAnsi="宋体"/>
          <w:b/>
          <w:bCs/>
          <w:color w:val="auto"/>
          <w:sz w:val="24"/>
          <w:highlight w:val="none"/>
        </w:rPr>
      </w:pPr>
      <w:r>
        <w:rPr>
          <w:rFonts w:hint="eastAsia" w:ascii="宋体" w:hAnsi="宋体"/>
          <w:b/>
          <w:bCs/>
          <w:color w:val="auto"/>
          <w:sz w:val="24"/>
          <w:highlight w:val="none"/>
        </w:rPr>
        <w:t>（六）投标文件的包装、递交、修改和撤回</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1.以U盘存储的电子备份投标文件用封袋密封后递交。</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2.投标文件的包装封面上应注明供应商名称、供应商地址、投标文件名称(电子备份投标文件)、投标项目名称、项目编号、子包号（如有），并加盖供应商公章。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3.未按规定密封或标记的电子备份投标文件将被拒绝，由此造成电子备份投标文件被误投或提前拆封的风险由投标人承担。</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pPr>
        <w:spacing w:line="520" w:lineRule="exact"/>
        <w:jc w:val="center"/>
        <w:rPr>
          <w:rFonts w:ascii="宋体" w:hAnsi="宋体"/>
          <w:b/>
          <w:bCs/>
          <w:color w:val="auto"/>
          <w:sz w:val="32"/>
          <w:highlight w:val="none"/>
        </w:rPr>
      </w:pPr>
      <w:bookmarkStart w:id="28" w:name="_Toc397325839"/>
      <w:r>
        <w:rPr>
          <w:rFonts w:hint="eastAsia" w:ascii="宋体" w:hAnsi="宋体"/>
          <w:b/>
          <w:bCs/>
          <w:color w:val="auto"/>
          <w:sz w:val="32"/>
          <w:highlight w:val="none"/>
        </w:rPr>
        <w:t>四、开标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1、电子招投标开标程序：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（1）投标截止时间后，供应商登录政府采购云平台，用</w:t>
      </w:r>
      <w:r>
        <w:rPr>
          <w:rFonts w:ascii="宋体" w:hAnsi="宋体" w:cs="宋体"/>
          <w:color w:val="auto"/>
          <w:szCs w:val="21"/>
          <w:highlight w:val="none"/>
        </w:rPr>
        <w:t>“</w:t>
      </w:r>
      <w:r>
        <w:rPr>
          <w:rFonts w:hint="eastAsia" w:ascii="宋体" w:hAnsi="宋体" w:cs="宋体"/>
          <w:color w:val="auto"/>
          <w:szCs w:val="21"/>
          <w:highlight w:val="none"/>
        </w:rPr>
        <w:t>项目采购-开标评标</w:t>
      </w:r>
      <w:r>
        <w:rPr>
          <w:rFonts w:ascii="宋体" w:hAnsi="宋体" w:cs="宋体"/>
          <w:color w:val="auto"/>
          <w:szCs w:val="21"/>
          <w:highlight w:val="none"/>
        </w:rPr>
        <w:t>”</w:t>
      </w:r>
      <w:r>
        <w:rPr>
          <w:rFonts w:hint="eastAsia" w:ascii="宋体" w:hAnsi="宋体" w:cs="宋体"/>
          <w:color w:val="auto"/>
          <w:szCs w:val="21"/>
          <w:highlight w:val="none"/>
        </w:rPr>
        <w:t>功能对电子投标文件进行在线解密，在线解密电子投标文件时间为开标时间后30分钟内。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（2）在政府采购云平台开启已解密供应商的“资格证明文件、商务技术文件”，并做开标记录；</w:t>
      </w:r>
      <w:r>
        <w:rPr>
          <w:rFonts w:hint="eastAsia" w:ascii="宋体" w:hAnsi="宋体" w:cs="宋体"/>
          <w:b/>
          <w:bCs/>
          <w:color w:val="auto"/>
          <w:szCs w:val="21"/>
          <w:highlight w:val="none"/>
        </w:rPr>
        <w:t>投标人不足3家的，不得开标；</w:t>
      </w:r>
    </w:p>
    <w:p>
      <w:pPr>
        <w:spacing w:line="400" w:lineRule="exact"/>
        <w:ind w:firstLine="420" w:firstLineChars="200"/>
        <w:rPr>
          <w:color w:val="auto"/>
          <w:highlight w:val="none"/>
        </w:rPr>
      </w:pPr>
      <w:r>
        <w:rPr>
          <w:rFonts w:hint="eastAsia" w:ascii="宋体" w:hAnsi="宋体" w:cs="宋体"/>
          <w:color w:val="auto"/>
          <w:szCs w:val="21"/>
          <w:highlight w:val="none"/>
        </w:rPr>
        <w:t>（3）对资格和商务技术文件进行评审；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（4）在政府采购云平台宣告评审无效供应商名单、投标无效的原因及其他有效投标的评分结果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（5）在政府采购云平台开启已解密供应商的“报价文件”，并作开标记录。</w:t>
      </w:r>
      <w:r>
        <w:rPr>
          <w:rFonts w:hint="eastAsia" w:ascii="宋体" w:hAnsi="宋体" w:cs="宋体"/>
          <w:b/>
          <w:bCs/>
          <w:color w:val="auto"/>
          <w:szCs w:val="21"/>
          <w:highlight w:val="none"/>
        </w:rPr>
        <w:t>通过资格审查和</w:t>
      </w:r>
      <w:r>
        <w:rPr>
          <w:rFonts w:hint="eastAsia" w:ascii="宋体" w:hAnsi="宋体" w:cs="宋体"/>
          <w:color w:val="auto"/>
          <w:szCs w:val="21"/>
          <w:highlight w:val="none"/>
        </w:rPr>
        <w:t>符合性审查的投标人不足3家的，不得开标；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（6）对报价情况进行评审；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（7）在政府采购云平台上公布评审结果。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（8）开标会议结束。</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2、特别说明：政府采购云平台如对电子化开标及评审程序有调整的，按调整后的程序操作。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本项目原则上采用政采云电子招投标开标程序，但有以下情形之一的，按以下情况处理：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）若有供应商在规定时间内无法解密或解密失败，代理机构将开启该供应商递交的以U盘存储的电子备份投标文件，上传至政采云平台项目采购模块，以完成开标，电子投标文件自动失效。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1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①</w:t>
      </w:r>
      <w:r>
        <w:rPr>
          <w:rFonts w:ascii="宋体" w:hAnsi="宋体" w:cs="宋体"/>
          <w:color w:val="auto"/>
          <w:szCs w:val="21"/>
          <w:highlight w:val="none"/>
        </w:rPr>
        <w:fldChar w:fldCharType="end"/>
      </w:r>
      <w:r>
        <w:rPr>
          <w:rFonts w:hint="eastAsia" w:ascii="宋体" w:hAnsi="宋体" w:cs="宋体"/>
          <w:color w:val="auto"/>
          <w:szCs w:val="21"/>
          <w:highlight w:val="none"/>
        </w:rPr>
        <w:t xml:space="preserve">电子交易平台发生故障而无法登录访问的； </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2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②</w:t>
      </w:r>
      <w:r>
        <w:rPr>
          <w:rFonts w:ascii="宋体" w:hAnsi="宋体" w:cs="宋体"/>
          <w:color w:val="auto"/>
          <w:szCs w:val="21"/>
          <w:highlight w:val="none"/>
        </w:rPr>
        <w:fldChar w:fldCharType="end"/>
      </w:r>
      <w:r>
        <w:rPr>
          <w:rFonts w:hint="eastAsia" w:ascii="宋体" w:hAnsi="宋体" w:cs="宋体"/>
          <w:color w:val="auto"/>
          <w:szCs w:val="21"/>
          <w:highlight w:val="none"/>
        </w:rPr>
        <w:t>电子交易平台应用或数据库出现错误，不能进行正常操作的；</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3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③</w:t>
      </w:r>
      <w:r>
        <w:rPr>
          <w:rFonts w:ascii="宋体" w:hAnsi="宋体" w:cs="宋体"/>
          <w:color w:val="auto"/>
          <w:szCs w:val="21"/>
          <w:highlight w:val="none"/>
        </w:rPr>
        <w:fldChar w:fldCharType="end"/>
      </w:r>
      <w:r>
        <w:rPr>
          <w:rFonts w:hint="eastAsia" w:ascii="宋体" w:hAnsi="宋体" w:cs="宋体"/>
          <w:color w:val="auto"/>
          <w:szCs w:val="21"/>
          <w:highlight w:val="none"/>
        </w:rPr>
        <w:t>电子交易平台发现严重安全漏洞，有潜在泄密危险的；</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4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④</w:t>
      </w:r>
      <w:r>
        <w:rPr>
          <w:rFonts w:ascii="宋体" w:hAnsi="宋体" w:cs="宋体"/>
          <w:color w:val="auto"/>
          <w:szCs w:val="21"/>
          <w:highlight w:val="none"/>
        </w:rPr>
        <w:fldChar w:fldCharType="end"/>
      </w:r>
      <w:r>
        <w:rPr>
          <w:rFonts w:hint="eastAsia" w:ascii="宋体" w:hAnsi="宋体" w:cs="宋体"/>
          <w:color w:val="auto"/>
          <w:szCs w:val="21"/>
          <w:highlight w:val="none"/>
        </w:rPr>
        <w:t xml:space="preserve">病毒发作导致不能进行正常操作的； </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w:instrText>
      </w:r>
      <w:r>
        <w:rPr>
          <w:rFonts w:hint="eastAsia" w:ascii="宋体" w:hAnsi="宋体" w:cs="宋体"/>
          <w:color w:val="auto"/>
          <w:szCs w:val="21"/>
          <w:highlight w:val="none"/>
        </w:rPr>
        <w:instrText xml:space="preserve">= 5 \* GB3</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Fonts w:hint="eastAsia" w:ascii="宋体" w:hAnsi="宋体" w:cs="宋体"/>
          <w:color w:val="auto"/>
          <w:szCs w:val="21"/>
          <w:highlight w:val="none"/>
        </w:rPr>
        <w:t>⑤</w:t>
      </w:r>
      <w:r>
        <w:rPr>
          <w:rFonts w:ascii="宋体" w:hAnsi="宋体" w:cs="宋体"/>
          <w:color w:val="auto"/>
          <w:szCs w:val="21"/>
          <w:highlight w:val="none"/>
        </w:rPr>
        <w:fldChar w:fldCharType="end"/>
      </w:r>
      <w:r>
        <w:rPr>
          <w:rFonts w:hint="eastAsia" w:ascii="宋体" w:hAnsi="宋体" w:cs="宋体"/>
          <w:color w:val="auto"/>
          <w:szCs w:val="21"/>
          <w:highlight w:val="none"/>
        </w:rPr>
        <w:t>其他无法保证电子交易的公平、公正和安全的情况。</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出现前款规定情形，不影响采购公平、公正性的，采购人（或代理机构）可以待上述情形消除后继续组织电子交易活动。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（3）未开启的备份投标文件现场予以退还。</w:t>
      </w:r>
    </w:p>
    <w:p>
      <w:pPr>
        <w:spacing w:line="520" w:lineRule="exact"/>
        <w:jc w:val="center"/>
        <w:rPr>
          <w:rFonts w:ascii="宋体" w:hAnsi="宋体"/>
          <w:b/>
          <w:bCs/>
          <w:color w:val="auto"/>
          <w:sz w:val="32"/>
          <w:highlight w:val="none"/>
        </w:rPr>
      </w:pPr>
      <w:r>
        <w:rPr>
          <w:rFonts w:hint="eastAsia" w:ascii="宋体" w:hAnsi="宋体"/>
          <w:b/>
          <w:bCs/>
          <w:color w:val="auto"/>
          <w:sz w:val="32"/>
          <w:highlight w:val="none"/>
        </w:rPr>
        <w:t>五、评标</w:t>
      </w:r>
    </w:p>
    <w:p>
      <w:pPr>
        <w:pStyle w:val="6"/>
        <w:snapToGrid w:val="0"/>
        <w:spacing w:line="400" w:lineRule="exact"/>
        <w:ind w:left="688" w:leftChars="228" w:hanging="210" w:hangingChars="100"/>
        <w:jc w:val="left"/>
        <w:rPr>
          <w:rFonts w:hAnsi="宋体" w:cs="宋体"/>
          <w:b/>
          <w:color w:val="auto"/>
          <w:szCs w:val="21"/>
          <w:highlight w:val="none"/>
        </w:rPr>
      </w:pPr>
      <w:r>
        <w:rPr>
          <w:rFonts w:hint="eastAsia" w:hAnsi="宋体" w:cs="宋体"/>
          <w:b/>
          <w:color w:val="auto"/>
          <w:szCs w:val="21"/>
          <w:highlight w:val="none"/>
        </w:rPr>
        <w:t>（一）组建评标委员会</w:t>
      </w:r>
    </w:p>
    <w:p>
      <w:pPr>
        <w:pStyle w:val="6"/>
        <w:spacing w:line="400" w:lineRule="exact"/>
        <w:rPr>
          <w:rFonts w:hAnsi="宋体" w:cs="宋体"/>
          <w:color w:val="auto"/>
          <w:szCs w:val="21"/>
          <w:highlight w:val="none"/>
        </w:rPr>
      </w:pPr>
      <w:r>
        <w:rPr>
          <w:rFonts w:hint="eastAsia" w:hAnsi="宋体" w:cs="宋体"/>
          <w:b/>
          <w:color w:val="auto"/>
          <w:szCs w:val="21"/>
          <w:highlight w:val="none"/>
        </w:rPr>
        <w:t xml:space="preserve">    </w:t>
      </w:r>
      <w:r>
        <w:rPr>
          <w:rFonts w:hint="eastAsia" w:hAnsi="宋体" w:cs="宋体"/>
          <w:color w:val="auto"/>
          <w:szCs w:val="21"/>
          <w:highlight w:val="none"/>
        </w:rPr>
        <w:t>本项目评标委员会依法组建。</w:t>
      </w:r>
    </w:p>
    <w:p>
      <w:pPr>
        <w:pStyle w:val="6"/>
        <w:snapToGrid w:val="0"/>
        <w:spacing w:line="400" w:lineRule="exact"/>
        <w:ind w:left="688" w:leftChars="228" w:hanging="210" w:hangingChars="100"/>
        <w:jc w:val="left"/>
        <w:rPr>
          <w:rFonts w:hAnsi="宋体" w:cs="宋体"/>
          <w:b/>
          <w:color w:val="auto"/>
          <w:szCs w:val="21"/>
          <w:highlight w:val="none"/>
        </w:rPr>
      </w:pPr>
      <w:r>
        <w:rPr>
          <w:rFonts w:hint="eastAsia" w:hAnsi="宋体" w:cs="宋体"/>
          <w:b/>
          <w:color w:val="auto"/>
          <w:szCs w:val="21"/>
          <w:highlight w:val="none"/>
        </w:rPr>
        <w:t>（二）评标的方式</w:t>
      </w:r>
    </w:p>
    <w:p>
      <w:pPr>
        <w:pStyle w:val="6"/>
        <w:snapToGrid w:val="0"/>
        <w:spacing w:line="400" w:lineRule="exact"/>
        <w:ind w:left="688" w:leftChars="228" w:hanging="210" w:hangingChars="100"/>
        <w:jc w:val="left"/>
        <w:rPr>
          <w:rFonts w:hAnsi="宋体" w:cs="宋体"/>
          <w:color w:val="auto"/>
          <w:szCs w:val="21"/>
          <w:highlight w:val="none"/>
        </w:rPr>
      </w:pPr>
      <w:r>
        <w:rPr>
          <w:rFonts w:hint="eastAsia" w:hAnsi="宋体" w:cs="宋体"/>
          <w:color w:val="auto"/>
          <w:szCs w:val="21"/>
          <w:highlight w:val="none"/>
        </w:rPr>
        <w:t>本项目采用不公开方式评标，评标的依据为招标文件和投标文件。</w:t>
      </w:r>
    </w:p>
    <w:p>
      <w:pPr>
        <w:pStyle w:val="6"/>
        <w:snapToGrid w:val="0"/>
        <w:spacing w:line="400" w:lineRule="exact"/>
        <w:ind w:left="688" w:leftChars="228" w:hanging="210" w:hangingChars="100"/>
        <w:jc w:val="left"/>
        <w:rPr>
          <w:rFonts w:hAnsi="宋体" w:cs="宋体"/>
          <w:b/>
          <w:color w:val="auto"/>
          <w:szCs w:val="21"/>
          <w:highlight w:val="none"/>
        </w:rPr>
      </w:pPr>
      <w:r>
        <w:rPr>
          <w:rFonts w:hint="eastAsia" w:hAnsi="宋体" w:cs="宋体"/>
          <w:b/>
          <w:color w:val="auto"/>
          <w:szCs w:val="21"/>
          <w:highlight w:val="none"/>
        </w:rPr>
        <w:t>（三）</w:t>
      </w:r>
      <w:r>
        <w:rPr>
          <w:rFonts w:hint="eastAsia" w:hAnsi="宋体" w:cs="宋体"/>
          <w:b/>
          <w:bCs/>
          <w:color w:val="auto"/>
          <w:szCs w:val="21"/>
          <w:highlight w:val="none"/>
        </w:rPr>
        <w:t>评标程序</w:t>
      </w:r>
    </w:p>
    <w:p>
      <w:pPr>
        <w:pStyle w:val="6"/>
        <w:snapToGrid w:val="0"/>
        <w:spacing w:line="400" w:lineRule="exact"/>
        <w:ind w:left="688" w:leftChars="228" w:hanging="210" w:hangingChars="100"/>
        <w:jc w:val="left"/>
        <w:rPr>
          <w:rFonts w:hAnsi="宋体" w:cs="宋体"/>
          <w:color w:val="auto"/>
          <w:szCs w:val="21"/>
          <w:highlight w:val="none"/>
        </w:rPr>
      </w:pPr>
      <w:r>
        <w:rPr>
          <w:rFonts w:hint="eastAsia" w:hAnsi="宋体" w:cs="宋体"/>
          <w:color w:val="auto"/>
          <w:szCs w:val="21"/>
          <w:highlight w:val="none"/>
        </w:rPr>
        <w:t>按招标文件评标办法中规定的。</w:t>
      </w:r>
    </w:p>
    <w:p>
      <w:pPr>
        <w:spacing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（四）投标无效的情形</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实质上没有响应招标文件要求的投标将被视为无效投标。</w:t>
      </w:r>
    </w:p>
    <w:p>
      <w:pPr>
        <w:spacing w:line="400" w:lineRule="exact"/>
        <w:ind w:firstLine="411" w:firstLineChars="196"/>
        <w:rPr>
          <w:rFonts w:ascii="宋体" w:hAnsi="宋体" w:cs="宋体"/>
          <w:b/>
          <w:bCs/>
          <w:color w:val="auto"/>
          <w:szCs w:val="21"/>
          <w:highlight w:val="none"/>
        </w:rPr>
      </w:pPr>
      <w:r>
        <w:rPr>
          <w:rFonts w:hint="eastAsia" w:ascii="宋体" w:hAnsi="宋体" w:cs="宋体"/>
          <w:b/>
          <w:bCs/>
          <w:color w:val="auto"/>
          <w:szCs w:val="21"/>
          <w:highlight w:val="none"/>
        </w:rPr>
        <w:t>1、资格条件评审时，如发现下列情形之一的，投标文件将被视为无效：</w:t>
      </w:r>
    </w:p>
    <w:p>
      <w:pPr>
        <w:spacing w:line="40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资格证明文件不全的，或者不符合招标文件标明的资格要求的。</w:t>
      </w:r>
    </w:p>
    <w:p>
      <w:pPr>
        <w:spacing w:line="400" w:lineRule="exact"/>
        <w:ind w:firstLine="411" w:firstLineChars="196"/>
        <w:rPr>
          <w:rFonts w:ascii="宋体" w:hAnsi="宋体" w:cs="宋体"/>
          <w:b/>
          <w:bCs/>
          <w:color w:val="auto"/>
          <w:szCs w:val="21"/>
          <w:highlight w:val="none"/>
        </w:rPr>
      </w:pPr>
      <w:r>
        <w:rPr>
          <w:rFonts w:hint="eastAsia" w:ascii="宋体" w:hAnsi="宋体" w:cs="宋体"/>
          <w:b/>
          <w:bCs/>
          <w:color w:val="auto"/>
          <w:szCs w:val="21"/>
          <w:highlight w:val="none"/>
        </w:rPr>
        <w:t>2、在符合性审查评审时，如发现下列情形之一的，投标文件将被视为无效：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hint="eastAsia" w:hAnsi="宋体" w:cs="宋体"/>
          <w:bCs/>
          <w:color w:val="auto"/>
          <w:szCs w:val="21"/>
          <w:highlight w:val="none"/>
        </w:rPr>
        <w:t>投标文件未按招标文件要求签署、签章的；</w:t>
      </w:r>
      <w:r>
        <w:rPr>
          <w:rFonts w:hint="eastAsia" w:ascii="宋体" w:hAnsi="宋体" w:cs="宋体"/>
          <w:color w:val="auto"/>
          <w:szCs w:val="21"/>
          <w:highlight w:val="non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2.2投标代表人未能出具身份证明或与法定代表人（负责人）授权委托人身份不符的或委托人未提供法定代表人（负责人）授权委托书、填写项目不齐全的；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2.3投标文件项目不齐全或者内容虚假的；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2.4投标文件的实质性内容未使用中文表述、意思表述不明确、前后矛盾或者使用计量单位不符合招标文件要求的（经评标委员会认定并允许其当场更正的笔误除外）；</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2.5投标有效期等商务条款不能满足招标文件要求的；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2.6带“★”的条款不能满足招标文件要求、未实质性响应招标文件要求或者投标文件有采购方不能接受的附加条件的；</w:t>
      </w:r>
    </w:p>
    <w:p>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2.7投标文件标明的响应或偏离与事实不符或虚假投标的；</w:t>
      </w:r>
    </w:p>
    <w:p>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2.8与其他参加本次供应商的投标文件（技术文件）的文字表述内容差错相同3处以上的。</w:t>
      </w:r>
    </w:p>
    <w:p>
      <w:pPr>
        <w:spacing w:line="400" w:lineRule="exact"/>
        <w:ind w:firstLine="205" w:firstLineChars="98"/>
        <w:rPr>
          <w:rFonts w:ascii="宋体" w:hAnsi="宋体" w:cs="宋体"/>
          <w:b/>
          <w:bCs/>
          <w:color w:val="auto"/>
          <w:szCs w:val="21"/>
          <w:highlight w:val="none"/>
        </w:rPr>
      </w:pPr>
      <w:r>
        <w:rPr>
          <w:rFonts w:hint="eastAsia" w:ascii="宋体" w:hAnsi="宋体" w:cs="宋体"/>
          <w:b/>
          <w:bCs/>
          <w:color w:val="auto"/>
          <w:szCs w:val="21"/>
          <w:highlight w:val="none"/>
        </w:rPr>
        <w:t>3、在报价评审时，如发现下列情形之一的，投标文件将被视为无效：</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3.1未采用人民币报价或者未按照招标文件标明的币种报价的；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3.2报价超出最高限价，或者超出采购预算金额，采购人不能支付的；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3.3投标报价具有选择性的；</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3.4投标报价中出现重大缺项、漏项；</w:t>
      </w:r>
    </w:p>
    <w:p>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3.5评标委员会认为供应商的报价明显低于其他通过符合性审查供应商的报价，有可能影响产品质量或者不能诚信履约的，且不能在评标现场合理时间内提供相关证明材料说明其报价的合理性的。</w:t>
      </w:r>
    </w:p>
    <w:p>
      <w:pPr>
        <w:snapToGrid w:val="0"/>
        <w:spacing w:line="400" w:lineRule="exact"/>
        <w:ind w:firstLine="420" w:firstLineChars="200"/>
        <w:jc w:val="left"/>
        <w:rPr>
          <w:rFonts w:ascii="宋体" w:hAnsi="宋体" w:cs="宋体"/>
          <w:b/>
          <w:bCs/>
          <w:color w:val="auto"/>
          <w:szCs w:val="21"/>
          <w:highlight w:val="none"/>
        </w:rPr>
      </w:pPr>
      <w:r>
        <w:rPr>
          <w:rFonts w:hint="eastAsia" w:ascii="宋体" w:hAnsi="宋体" w:cs="宋体"/>
          <w:b/>
          <w:bCs/>
          <w:color w:val="auto"/>
          <w:szCs w:val="21"/>
          <w:highlight w:val="none"/>
        </w:rPr>
        <w:t>4、</w:t>
      </w:r>
      <w:r>
        <w:rPr>
          <w:rFonts w:ascii="宋体" w:hAnsi="宋体"/>
          <w:b/>
          <w:color w:val="auto"/>
          <w:szCs w:val="21"/>
          <w:highlight w:val="none"/>
        </w:rPr>
        <w:t>不同投标人的投标文件出自同一终端设备或在相同Internet主机分配地址（相同IP地址）网上报名投标</w:t>
      </w:r>
      <w:r>
        <w:rPr>
          <w:rFonts w:hint="eastAsia" w:ascii="宋体" w:hAnsi="宋体"/>
          <w:b/>
          <w:color w:val="auto"/>
          <w:szCs w:val="21"/>
          <w:highlight w:val="none"/>
        </w:rPr>
        <w:t>。</w:t>
      </w:r>
      <w:r>
        <w:rPr>
          <w:rFonts w:hint="eastAsia" w:ascii="宋体" w:hAnsi="宋体" w:cs="宋体"/>
          <w:b/>
          <w:bCs/>
          <w:color w:val="auto"/>
          <w:szCs w:val="21"/>
          <w:highlight w:val="none"/>
        </w:rPr>
        <w:t>法律、法规和招标文件规定的其他无效情形。</w:t>
      </w:r>
    </w:p>
    <w:p>
      <w:pPr>
        <w:snapToGrid w:val="0"/>
        <w:spacing w:line="400" w:lineRule="exact"/>
        <w:ind w:firstLine="420"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（五）澄清问题的形式</w:t>
      </w:r>
    </w:p>
    <w:p>
      <w:pPr>
        <w:widowControl/>
        <w:spacing w:line="400" w:lineRule="exact"/>
        <w:ind w:firstLine="420" w:firstLineChars="200"/>
        <w:jc w:val="left"/>
        <w:outlineLvl w:val="1"/>
        <w:rPr>
          <w:rFonts w:ascii="宋体" w:hAnsi="宋体" w:cs="宋体"/>
          <w:color w:val="auto"/>
          <w:szCs w:val="21"/>
          <w:highlight w:val="none"/>
        </w:rPr>
      </w:pPr>
      <w:bookmarkStart w:id="29" w:name="_Toc65753666"/>
      <w:r>
        <w:rPr>
          <w:rFonts w:hint="eastAsia" w:ascii="宋体" w:hAnsi="宋体" w:cs="宋体"/>
          <w:color w:val="auto"/>
          <w:szCs w:val="21"/>
          <w:highlight w:val="none"/>
        </w:rPr>
        <w:t>对于投标文件中含义不明确、同类问题表述不一致或者有明显文字和计算错误的内容，评标委员会可要求投标人以书面形式作出必要的澄清、说明或者补正。</w:t>
      </w:r>
      <w:bookmarkEnd w:id="29"/>
    </w:p>
    <w:p>
      <w:pPr>
        <w:widowControl/>
        <w:spacing w:line="400" w:lineRule="exact"/>
        <w:ind w:firstLine="420" w:firstLineChars="200"/>
        <w:jc w:val="left"/>
        <w:outlineLvl w:val="1"/>
        <w:rPr>
          <w:rFonts w:ascii="宋体" w:hAnsi="宋体" w:cs="宋体"/>
          <w:color w:val="auto"/>
          <w:szCs w:val="21"/>
          <w:highlight w:val="none"/>
        </w:rPr>
      </w:pPr>
      <w:bookmarkStart w:id="30" w:name="_Toc65753667"/>
      <w:r>
        <w:rPr>
          <w:rFonts w:hint="eastAsia" w:ascii="宋体" w:hAnsi="宋体" w:cs="宋体"/>
          <w:color w:val="auto"/>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30"/>
    </w:p>
    <w:p>
      <w:pPr>
        <w:snapToGrid w:val="0"/>
        <w:spacing w:line="400" w:lineRule="exact"/>
        <w:ind w:firstLine="420"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（六）错误修正</w:t>
      </w:r>
    </w:p>
    <w:p>
      <w:pPr>
        <w:pStyle w:val="39"/>
        <w:widowControl/>
        <w:spacing w:before="156" w:beforeLines="0" w:after="156" w:afterLines="0"/>
        <w:ind w:left="688" w:leftChars="228" w:hanging="210" w:hangingChars="100"/>
        <w:jc w:val="left"/>
        <w:rPr>
          <w:rFonts w:hAnsi="宋体" w:cs="宋体"/>
          <w:color w:val="auto"/>
          <w:sz w:val="21"/>
          <w:szCs w:val="21"/>
          <w:highlight w:val="none"/>
        </w:rPr>
      </w:pPr>
      <w:r>
        <w:rPr>
          <w:rFonts w:hint="eastAsia" w:hAnsi="宋体" w:cs="宋体"/>
          <w:color w:val="auto"/>
          <w:sz w:val="21"/>
          <w:szCs w:val="21"/>
          <w:highlight w:val="none"/>
        </w:rPr>
        <w:t>投标文件报价出现前后不一致的，除招标文件另有规定外，按照下列规定修正：</w:t>
      </w:r>
    </w:p>
    <w:p>
      <w:pPr>
        <w:widowControl/>
        <w:numPr>
          <w:ilvl w:val="0"/>
          <w:numId w:val="3"/>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widowControl/>
        <w:numPr>
          <w:ilvl w:val="0"/>
          <w:numId w:val="3"/>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政采云平台填报的开标一览表中的价格与上传的报价文件中开标一览表的报价不一致的，以上传的报价文件为准；</w:t>
      </w:r>
    </w:p>
    <w:p>
      <w:pPr>
        <w:widowControl/>
        <w:numPr>
          <w:ilvl w:val="0"/>
          <w:numId w:val="3"/>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widowControl/>
        <w:numPr>
          <w:ilvl w:val="0"/>
          <w:numId w:val="3"/>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widowControl/>
        <w:numPr>
          <w:ilvl w:val="0"/>
          <w:numId w:val="3"/>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pStyle w:val="39"/>
        <w:widowControl/>
        <w:spacing w:beforeLines="0" w:afterLines="0"/>
        <w:ind w:firstLine="420" w:firstLineChars="200"/>
        <w:jc w:val="left"/>
        <w:rPr>
          <w:rFonts w:hAnsi="宋体" w:cs="宋体"/>
          <w:color w:val="auto"/>
          <w:sz w:val="21"/>
          <w:szCs w:val="21"/>
          <w:highlight w:val="none"/>
        </w:rPr>
      </w:pPr>
      <w:r>
        <w:rPr>
          <w:rFonts w:hint="eastAsia" w:hAnsi="宋体" w:cs="宋体"/>
          <w:b/>
          <w:bCs/>
          <w:color w:val="auto"/>
          <w:sz w:val="21"/>
          <w:szCs w:val="21"/>
          <w:highlight w:val="none"/>
        </w:rPr>
        <w:t>同时出现两种以上不一致的，按照前款规定的顺序修正。修正后的报价经投标人确认后具有约束力，若投标人不确认的，则其投标无效。</w:t>
      </w:r>
    </w:p>
    <w:p>
      <w:pPr>
        <w:pStyle w:val="6"/>
        <w:tabs>
          <w:tab w:val="left" w:pos="630"/>
        </w:tabs>
        <w:snapToGrid w:val="0"/>
        <w:spacing w:line="400" w:lineRule="exact"/>
        <w:ind w:firstLine="411" w:firstLineChars="196"/>
        <w:jc w:val="left"/>
        <w:rPr>
          <w:rFonts w:hAnsi="宋体" w:cs="宋体"/>
          <w:b/>
          <w:color w:val="auto"/>
          <w:szCs w:val="21"/>
          <w:highlight w:val="none"/>
        </w:rPr>
      </w:pPr>
      <w:r>
        <w:rPr>
          <w:rFonts w:hint="eastAsia" w:hAnsi="宋体" w:cs="宋体"/>
          <w:b/>
          <w:color w:val="auto"/>
          <w:szCs w:val="21"/>
          <w:highlight w:val="none"/>
        </w:rPr>
        <w:t>（六）评标原则和评标办法</w:t>
      </w:r>
    </w:p>
    <w:p>
      <w:pPr>
        <w:pStyle w:val="6"/>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6"/>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2.评标办法。本项目评标办法是</w:t>
      </w:r>
      <w:r>
        <w:rPr>
          <w:rFonts w:hint="eastAsia" w:hAnsi="宋体" w:cs="宋体"/>
          <w:color w:val="auto"/>
          <w:szCs w:val="21"/>
          <w:highlight w:val="none"/>
          <w:u w:val="single"/>
        </w:rPr>
        <w:t xml:space="preserve"> 综合评分法 </w:t>
      </w:r>
      <w:r>
        <w:rPr>
          <w:rFonts w:hint="eastAsia" w:hAnsi="宋体" w:cs="宋体"/>
          <w:color w:val="auto"/>
          <w:szCs w:val="21"/>
          <w:highlight w:val="none"/>
        </w:rPr>
        <w:t>，具体评标内容及评分标准等详见《第四部分：评标办法及评分标准》。</w:t>
      </w:r>
    </w:p>
    <w:p>
      <w:pPr>
        <w:pStyle w:val="6"/>
        <w:snapToGrid w:val="0"/>
        <w:spacing w:line="400" w:lineRule="exact"/>
        <w:ind w:firstLine="411" w:firstLineChars="196"/>
        <w:jc w:val="left"/>
        <w:rPr>
          <w:rFonts w:hAnsi="宋体" w:cs="宋体"/>
          <w:b/>
          <w:color w:val="auto"/>
          <w:szCs w:val="21"/>
          <w:highlight w:val="none"/>
        </w:rPr>
      </w:pPr>
      <w:r>
        <w:rPr>
          <w:rFonts w:hint="eastAsia" w:hAnsi="宋体" w:cs="宋体"/>
          <w:b/>
          <w:color w:val="auto"/>
          <w:szCs w:val="21"/>
          <w:highlight w:val="none"/>
        </w:rPr>
        <w:t>（七）评审专家有下列情形之一的，受到邀请应主动提出回避，采购当事人也可以要求该评审专家回避：</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1、本人、配偶或直系亲属3年内曾在参加该采购项目的供应商中任职（包括一般工作）或担任顾问，或与参加该采购项目的供应商发生过法律纠纷；</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2、任职单位与采购人或参加该采购项目供应商存在行政隶属关系；</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3、曾经参加过该采购项目的进口产品或招标文件、招标需求、采购方式的论证和咨询服务工作；</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4、是参加该采购项目供应商的上级主管部门、控股或参股单位的工作人员，或与该供应商存在其他经济利益关系；</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5、评审委员会成员之间具有配偶、近亲属关系；</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6、同一单位的评审专家在同一项目评审委员会成员中超过一名；</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7、法律、法规、规章规定应当回避以及其他可能影响公正评审的。</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（八）评标委员会判断投标文件的有效性、合格性和响应情况，仅依据供应商所递交一切文件的真实表述，不受与本项目无直接关联的外部信息、传言而影响自身的专业判断。</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b/>
          <w:color w:val="auto"/>
          <w:szCs w:val="21"/>
          <w:highlight w:val="none"/>
        </w:rPr>
        <w:t>（十）评标过程的监控与保密要求</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1.本项目评标过程实行全程录音、录像监控，供应商在评标过程中所进行的试图影响评标结果的不公正活动，可能导致其投标被拒绝。</w:t>
      </w:r>
    </w:p>
    <w:p>
      <w:pPr>
        <w:pStyle w:val="6"/>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spacing w:line="520" w:lineRule="exact"/>
        <w:jc w:val="center"/>
        <w:rPr>
          <w:rFonts w:ascii="宋体" w:hAnsi="宋体"/>
          <w:b/>
          <w:bCs/>
          <w:color w:val="auto"/>
          <w:sz w:val="32"/>
          <w:highlight w:val="none"/>
        </w:rPr>
      </w:pPr>
      <w:r>
        <w:rPr>
          <w:rFonts w:hint="eastAsia" w:ascii="宋体" w:hAnsi="宋体"/>
          <w:b/>
          <w:bCs/>
          <w:color w:val="auto"/>
          <w:sz w:val="32"/>
          <w:highlight w:val="none"/>
        </w:rPr>
        <w:t>六、定标</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1.确定中标人。本项目由评标委员会推荐中标候选人，采购人不得在评标委员会推荐的中标候选人以外确定中标候选人。</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3.采购代理机构自中标人确定之日起2个工作日内，采购代理机构以书面形式发出《中标通知书》,并同时在相关网站上发布中标公告。不在中标名单之列者即为落标人，采购代理机构不再以其它方式另行通知。</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4.凡发现中标人有下列行为之一的，将移交政府采购监督管理部门依法处理：</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ab/>
      </w:r>
      <w:r>
        <w:rPr>
          <w:rFonts w:hint="eastAsia" w:ascii="宋体" w:hAnsi="宋体" w:cs="宋体"/>
          <w:color w:val="auto"/>
          <w:szCs w:val="21"/>
          <w:highlight w:val="none"/>
        </w:rPr>
        <w:t>提供虚假材料谋取中标的；</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采取不正当手段诋毁、排挤其他投标人的；</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与采购人、其他投标人或者采购代理机构工作人员恶意串通的；</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向采购人或采购代理机构人员行贿或者提供其他不正当利益的；</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拒绝有关部门监督检查或者提供虚假情况的；</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有法律、法规规定的其他损害采购人利益和社会公共利益情形的。</w:t>
      </w:r>
    </w:p>
    <w:p>
      <w:pPr>
        <w:spacing w:line="520" w:lineRule="exact"/>
        <w:ind w:firstLine="403"/>
        <w:jc w:val="center"/>
        <w:rPr>
          <w:rFonts w:ascii="宋体" w:hAnsi="宋体" w:cs="宋体"/>
          <w:color w:val="auto"/>
          <w:szCs w:val="21"/>
          <w:highlight w:val="none"/>
        </w:rPr>
      </w:pPr>
      <w:r>
        <w:rPr>
          <w:rFonts w:hint="eastAsia" w:ascii="宋体" w:hAnsi="宋体"/>
          <w:b/>
          <w:bCs/>
          <w:color w:val="auto"/>
          <w:sz w:val="32"/>
          <w:highlight w:val="none"/>
        </w:rPr>
        <w:t>七、合同授予</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（一）签订合同</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采购人不得向中标人提出任何不合理的要求作为签订合同的条件。</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2.采购人在签订合同时，在合同金额变更范围内，如需审批的办理相关审批手续。有权变更采购项目的数量和服务内容，但不能对单价或其他条款和条件作任何改变。</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3.招标文件、中标供应商的投标文件及评标过程中有关的澄清文件均应作为合同签订的附件。</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4.中标或者成交供应商拒绝与采购人签订合同的，采购人应重新招标。</w:t>
      </w:r>
    </w:p>
    <w:p>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5.中标人无正当理由拖延、拒签合同的,将被取消中标资格并承担相应法律责任。给采购人造成的损失的还应当予以赔偿。</w:t>
      </w:r>
    </w:p>
    <w:p>
      <w:pPr>
        <w:spacing w:line="520" w:lineRule="exact"/>
        <w:jc w:val="center"/>
        <w:rPr>
          <w:rFonts w:ascii="宋体" w:hAnsi="宋体"/>
          <w:b/>
          <w:bCs/>
          <w:color w:val="auto"/>
          <w:sz w:val="32"/>
          <w:highlight w:val="none"/>
        </w:rPr>
      </w:pPr>
      <w:r>
        <w:rPr>
          <w:rFonts w:hint="eastAsia" w:ascii="宋体" w:hAnsi="宋体"/>
          <w:b/>
          <w:bCs/>
          <w:color w:val="auto"/>
          <w:sz w:val="32"/>
          <w:highlight w:val="none"/>
        </w:rPr>
        <w:t>八、履约验收</w:t>
      </w:r>
    </w:p>
    <w:p>
      <w:pPr>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采购人负责对中标供应商的履约行为进行验收。政府向社会公众提供的公共服务项目，验收时应当邀请服务对象参与并出具意见，验收结果应当向社会公告。</w:t>
      </w:r>
    </w:p>
    <w:p>
      <w:pPr>
        <w:numPr>
          <w:ilvl w:val="0"/>
          <w:numId w:val="4"/>
        </w:numPr>
        <w:spacing w:line="520" w:lineRule="exact"/>
        <w:jc w:val="center"/>
        <w:rPr>
          <w:rFonts w:ascii="宋体" w:hAnsi="宋体"/>
          <w:b/>
          <w:bCs/>
          <w:color w:val="auto"/>
          <w:sz w:val="32"/>
          <w:highlight w:val="none"/>
        </w:rPr>
      </w:pPr>
      <w:r>
        <w:rPr>
          <w:rFonts w:hint="eastAsia" w:ascii="宋体" w:hAnsi="宋体"/>
          <w:b/>
          <w:bCs/>
          <w:color w:val="auto"/>
          <w:sz w:val="32"/>
          <w:highlight w:val="none"/>
        </w:rPr>
        <w:t>特别说明</w:t>
      </w:r>
    </w:p>
    <w:p>
      <w:pPr>
        <w:pStyle w:val="6"/>
        <w:wordWrap w:val="0"/>
        <w:snapToGrid w:val="0"/>
        <w:spacing w:before="312" w:beforeLines="100"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1. 本项目非专门面向中小企业采购。采购标的对应的中小企业划分标准所属行业：</w:t>
      </w:r>
      <w:r>
        <w:rPr>
          <w:rFonts w:hint="eastAsia" w:hAnsi="宋体" w:cs="宋体"/>
          <w:b/>
          <w:color w:val="auto"/>
          <w:szCs w:val="21"/>
          <w:highlight w:val="none"/>
          <w:u w:val="single"/>
        </w:rPr>
        <w:t xml:space="preserve">工业 </w:t>
      </w:r>
      <w:r>
        <w:rPr>
          <w:rFonts w:hint="eastAsia" w:hAnsi="宋体" w:cs="宋体"/>
          <w:b/>
          <w:color w:val="auto"/>
          <w:szCs w:val="21"/>
          <w:highlight w:val="none"/>
        </w:rPr>
        <w:t>。本次评标将对中小企业声明函满足招标文件要求的制造商企业均为小微企业的价格给予20%的扣除，用扣除后的价格参与评审。价格扣除只用于评审过程，如中标，中标价格仍按照其投标价格进行公示。</w:t>
      </w:r>
    </w:p>
    <w:p>
      <w:pPr>
        <w:pStyle w:val="6"/>
        <w:numPr>
          <w:ilvl w:val="0"/>
          <w:numId w:val="5"/>
        </w:numPr>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执行财政部、工业和信息化部《政府采购促进中小企业发展管理办法》（财库〔2020〕46号）。政府采购活动中有关中小企业的相关规定如下：</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符合中小企业划分标准的个体工商户，在政府采购活动中视同中小企业。</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国务院批准的中小企业划分标准：具体见工信部联企业[2011]300号。</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2.2、在政府采购活动中，供应商提供的货物、工程或者服务符合下列情形的，享受《政府采购促进中小企业发展管理办法》规定的中小企业扶持政策：</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（1）、在货物采购项目中，货物由中小企业制造，即货物由中小企业生产且使用该中小企业商号或者注册商标；</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（2）、在工程采购项目中，工程由中小企业承建，即工程施工单位为中小企业；</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（3）、在服务采购项目中，服务由中小企业承接，即提供服务的人员为中小企业依照《中华人民共和国劳动合同法》订立劳动合同的从业人员。</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在货物采购项目中，供应商提供的货物既有中小企业制造货物，也有大型企业制造货物的，不享受《政府采购促进中小企业发展管理办法》规定的中小企业扶持政策。</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以联合体形式参加政府采购活动，联合体各方均为中小企业的，联合体视同中小企业。其中，联合体各方均为小微企业的，联合体视同小微企业。</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2.3、中小企业参加政府采购活动，应当出具《政府采购促进中小企业发展管理办法》规定的《中小企业声明函》（格式见本采购文件附件），否则不得享受相关中小企业扶持政策。</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供应商提供声明函内容不实的，属于提供虚假材料谋取中标、成交，依照《中华人民共和国政府采购法》等国家有关规定追究相应责任。</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适用招标投标法的政府采购工程建设项目，投标人提供声明函内容不实的，属于弄虚作假骗取中标，依照《中华人民共和国招标投标法》等国家有关规定追究相应责任。</w:t>
      </w:r>
    </w:p>
    <w:p>
      <w:pPr>
        <w:pStyle w:val="6"/>
        <w:wordWrap w:val="0"/>
        <w:snapToGrid w:val="0"/>
        <w:spacing w:line="360" w:lineRule="auto"/>
        <w:ind w:firstLine="420" w:firstLineChars="200"/>
        <w:jc w:val="left"/>
        <w:rPr>
          <w:rFonts w:hAnsi="宋体" w:cs="宋体"/>
          <w:b/>
          <w:color w:val="auto"/>
          <w:szCs w:val="21"/>
          <w:highlight w:val="none"/>
        </w:rPr>
      </w:pPr>
      <w:r>
        <w:rPr>
          <w:rFonts w:hint="eastAsia" w:hAnsi="宋体" w:cs="宋体"/>
          <w:b/>
          <w:color w:val="auto"/>
          <w:szCs w:val="21"/>
          <w:highlight w:val="none"/>
        </w:rPr>
        <w:t>2.5、《中小企业声明函》由参加投标的供应商提交，如供应商为代理商，须自行采集制造商的中小企业划分类型信息填入相应栏目并对其真实性负责。</w:t>
      </w:r>
    </w:p>
    <w:p>
      <w:pPr>
        <w:tabs>
          <w:tab w:val="left" w:pos="518"/>
        </w:tabs>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pPr>
        <w:tabs>
          <w:tab w:val="left" w:pos="518"/>
        </w:tabs>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pPr>
        <w:tabs>
          <w:tab w:val="left" w:pos="518"/>
        </w:tabs>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*5. 投标人应仔细阅读招标文件的所有内容，按照招标文件的要求提交投标文件，并对所提供的全部资料的真实性承担法律责任。</w:t>
      </w:r>
    </w:p>
    <w:p>
      <w:pPr>
        <w:spacing w:line="400" w:lineRule="exact"/>
        <w:ind w:firstLine="403"/>
        <w:jc w:val="left"/>
        <w:rPr>
          <w:rFonts w:ascii="宋体" w:hAnsi="宋体" w:cs="宋体"/>
          <w:b/>
          <w:color w:val="auto"/>
          <w:szCs w:val="21"/>
          <w:highlight w:val="none"/>
        </w:rPr>
      </w:pPr>
      <w:r>
        <w:rPr>
          <w:rFonts w:hint="eastAsia" w:ascii="宋体" w:hAnsi="宋体" w:cs="宋体"/>
          <w:b/>
          <w:color w:val="auto"/>
          <w:szCs w:val="21"/>
          <w:highlight w:val="none"/>
        </w:rPr>
        <w:t>*6. 投标人在投标活动中提供任何虚假材料，其投标无效。</w:t>
      </w:r>
    </w:p>
    <w:bookmarkEnd w:id="28"/>
    <w:p>
      <w:pPr>
        <w:pStyle w:val="3"/>
        <w:rPr>
          <w:rFonts w:ascii="宋体" w:hAnsi="宋体" w:cs="宋体"/>
          <w:color w:val="auto"/>
          <w:kern w:val="2"/>
          <w:sz w:val="21"/>
          <w:szCs w:val="21"/>
          <w:highlight w:val="none"/>
        </w:rPr>
        <w:sectPr>
          <w:pgSz w:w="11906" w:h="16838"/>
          <w:pgMar w:top="1474" w:right="1418" w:bottom="1418" w:left="1418" w:header="851" w:footer="851" w:gutter="0"/>
          <w:cols w:space="720" w:num="1"/>
          <w:docGrid w:type="linesAndChars" w:linePitch="312" w:charSpace="0"/>
        </w:sectPr>
      </w:pPr>
    </w:p>
    <w:p>
      <w:pPr>
        <w:pStyle w:val="3"/>
        <w:rPr>
          <w:color w:val="auto"/>
          <w:highlight w:val="none"/>
        </w:rPr>
      </w:pPr>
      <w:bookmarkStart w:id="31" w:name="_Toc65753668"/>
      <w:r>
        <w:rPr>
          <w:rFonts w:hint="eastAsia"/>
          <w:color w:val="auto"/>
          <w:highlight w:val="none"/>
        </w:rPr>
        <w:t>第三部分  项目内容及要求</w:t>
      </w:r>
      <w:bookmarkEnd w:id="31"/>
    </w:p>
    <w:p>
      <w:pPr>
        <w:spacing w:before="240" w:after="240" w:line="360" w:lineRule="auto"/>
        <w:jc w:val="center"/>
        <w:rPr>
          <w:rFonts w:ascii="宋体" w:hAnsi="宋体"/>
          <w:b/>
          <w:bCs/>
          <w:color w:val="auto"/>
          <w:sz w:val="32"/>
          <w:highlight w:val="none"/>
        </w:rPr>
      </w:pPr>
      <w:r>
        <w:rPr>
          <w:rFonts w:hint="eastAsia" w:ascii="宋体" w:hAnsi="宋体"/>
          <w:b/>
          <w:bCs/>
          <w:color w:val="auto"/>
          <w:sz w:val="32"/>
          <w:highlight w:val="none"/>
        </w:rPr>
        <w:t>A、项目内容</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1.采购内容</w:t>
      </w:r>
    </w:p>
    <w:p>
      <w:pPr>
        <w:spacing w:line="360" w:lineRule="auto"/>
        <w:rPr>
          <w:rFonts w:hint="eastAsia" w:ascii="宋体" w:hAnsi="宋体"/>
          <w:color w:val="auto"/>
          <w:highlight w:val="none"/>
        </w:rPr>
      </w:pPr>
      <w:r>
        <w:rPr>
          <w:rFonts w:hint="eastAsia" w:ascii="宋体" w:hAnsi="宋体"/>
          <w:color w:val="auto"/>
          <w:highlight w:val="none"/>
        </w:rPr>
        <w:t>项目名称：淮河小学东校区新建工程智能化采购项目</w:t>
      </w:r>
    </w:p>
    <w:p>
      <w:pPr>
        <w:spacing w:line="360" w:lineRule="auto"/>
        <w:rPr>
          <w:rFonts w:ascii="宋体" w:hAnsi="宋体"/>
          <w:color w:val="auto"/>
          <w:highlight w:val="none"/>
        </w:rPr>
      </w:pPr>
      <w:r>
        <w:rPr>
          <w:rFonts w:hint="eastAsia" w:ascii="宋体" w:hAnsi="宋体"/>
          <w:color w:val="auto"/>
          <w:highlight w:val="none"/>
        </w:rPr>
        <w:t>项目编号：</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2.项目范围</w:t>
      </w:r>
    </w:p>
    <w:p>
      <w:pPr>
        <w:spacing w:line="360" w:lineRule="auto"/>
        <w:ind w:left="210" w:leftChars="100"/>
        <w:rPr>
          <w:rFonts w:ascii="System" w:eastAsia="System" w:cs="System"/>
          <w:color w:val="auto"/>
          <w:kern w:val="0"/>
          <w:szCs w:val="21"/>
          <w:highlight w:val="none"/>
        </w:rPr>
      </w:pPr>
      <w:r>
        <w:rPr>
          <w:rFonts w:hint="eastAsia" w:ascii="宋体" w:hAnsi="宋体"/>
          <w:color w:val="auto"/>
          <w:highlight w:val="none"/>
        </w:rPr>
        <w:t>本项目位于淮河小学东侧地块,西至淮河路,东至规划绿 地,南至小山路,北至进港路。总建筑面积约28000平方米(其中地下建筑面积约1000平方米)，项目主要建设内容为普通教室、专用教室及辅助用房、公共教学用房、行政办公用房、生活服务用房及相关配套设施。详见本部分附件，供应商提供本项目采购范围内的货物和服务所需的一切费用均包含在报价中。</w:t>
      </w:r>
      <w:r>
        <w:rPr>
          <w:rFonts w:ascii="System" w:eastAsia="System" w:cs="System"/>
          <w:color w:val="auto"/>
          <w:kern w:val="0"/>
          <w:szCs w:val="21"/>
          <w:highlight w:val="none"/>
        </w:rPr>
        <w:t xml:space="preserve"> </w:t>
      </w:r>
    </w:p>
    <w:p>
      <w:pPr>
        <w:spacing w:before="240" w:after="240" w:line="360" w:lineRule="auto"/>
        <w:jc w:val="center"/>
        <w:rPr>
          <w:rFonts w:ascii="宋体" w:hAnsi="宋体"/>
          <w:b/>
          <w:bCs/>
          <w:color w:val="auto"/>
          <w:sz w:val="32"/>
          <w:highlight w:val="none"/>
        </w:rPr>
      </w:pPr>
      <w:r>
        <w:rPr>
          <w:rFonts w:hint="eastAsia" w:ascii="宋体" w:hAnsi="宋体"/>
          <w:b/>
          <w:bCs/>
          <w:color w:val="auto"/>
          <w:sz w:val="32"/>
          <w:highlight w:val="none"/>
        </w:rPr>
        <w:t>B、项目要求</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3.项目说明</w:t>
      </w:r>
    </w:p>
    <w:p>
      <w:pPr>
        <w:spacing w:line="360" w:lineRule="auto"/>
        <w:rPr>
          <w:rFonts w:ascii="宋体" w:hAnsi="宋体"/>
          <w:color w:val="auto"/>
          <w:highlight w:val="none"/>
        </w:rPr>
      </w:pPr>
      <w:r>
        <w:rPr>
          <w:rFonts w:hint="eastAsia" w:ascii="宋体" w:hAnsi="宋体"/>
          <w:color w:val="auto"/>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ascii="宋体" w:hAnsi="宋体"/>
          <w:color w:val="auto"/>
          <w:highlight w:val="none"/>
        </w:rPr>
      </w:pPr>
      <w:r>
        <w:rPr>
          <w:rFonts w:hint="eastAsia" w:ascii="宋体" w:hAnsi="宋体"/>
          <w:color w:val="auto"/>
          <w:highlight w:val="none"/>
        </w:rPr>
        <w:t>3.2本次招标项目应按国际标准或专业标准执行，最后按照国家有关规定及合同约定进行验收。</w:t>
      </w:r>
    </w:p>
    <w:p>
      <w:pPr>
        <w:spacing w:line="360" w:lineRule="auto"/>
        <w:rPr>
          <w:rFonts w:ascii="宋体" w:hAnsi="宋体"/>
          <w:color w:val="auto"/>
          <w:highlight w:val="none"/>
        </w:rPr>
      </w:pPr>
      <w:r>
        <w:rPr>
          <w:rFonts w:hint="eastAsia" w:ascii="宋体" w:hAnsi="宋体"/>
          <w:color w:val="auto"/>
          <w:highlight w:val="none"/>
        </w:rPr>
        <w:t>3.3本项目所有工作均由成交供应商负总责任。</w:t>
      </w:r>
    </w:p>
    <w:p>
      <w:pPr>
        <w:spacing w:line="360" w:lineRule="auto"/>
        <w:rPr>
          <w:rFonts w:ascii="宋体" w:hAnsi="宋体"/>
          <w:color w:val="auto"/>
          <w:highlight w:val="none"/>
        </w:rPr>
      </w:pPr>
      <w:r>
        <w:rPr>
          <w:rFonts w:hint="eastAsia" w:ascii="宋体" w:hAnsi="宋体"/>
          <w:color w:val="auto"/>
          <w:highlight w:val="none"/>
        </w:rPr>
        <w:t>3.4本项目要求使用的标准如与成交供应商所执行标准发生矛盾时，按较高标准执行。</w:t>
      </w:r>
    </w:p>
    <w:p>
      <w:pPr>
        <w:spacing w:line="360" w:lineRule="auto"/>
        <w:rPr>
          <w:rFonts w:hAnsi="宋体"/>
          <w:color w:val="auto"/>
          <w:highlight w:val="none"/>
        </w:rPr>
      </w:pPr>
      <w:r>
        <w:rPr>
          <w:rFonts w:hint="eastAsia" w:ascii="宋体" w:hAnsi="宋体"/>
          <w:color w:val="auto"/>
          <w:highlight w:val="none"/>
        </w:rPr>
        <w:t>3.5具体要求见本部分附件。</w:t>
      </w:r>
    </w:p>
    <w:p>
      <w:pPr>
        <w:spacing w:line="360" w:lineRule="auto"/>
        <w:rPr>
          <w:rFonts w:ascii="宋体" w:hAnsi="宋体"/>
          <w:b/>
          <w:bCs/>
          <w:color w:val="auto"/>
          <w:sz w:val="24"/>
          <w:highlight w:val="none"/>
        </w:rPr>
      </w:pPr>
      <w:r>
        <w:rPr>
          <w:rFonts w:hint="eastAsia" w:ascii="宋体" w:hAnsi="宋体"/>
          <w:b/>
          <w:bCs/>
          <w:color w:val="auto"/>
          <w:sz w:val="24"/>
          <w:highlight w:val="none"/>
        </w:rPr>
        <w:t>4.★交付地点与时间要求</w:t>
      </w:r>
    </w:p>
    <w:p>
      <w:pPr>
        <w:spacing w:line="360" w:lineRule="auto"/>
        <w:rPr>
          <w:rFonts w:ascii="宋体" w:hAnsi="宋体"/>
          <w:color w:val="auto"/>
          <w:highlight w:val="none"/>
        </w:rPr>
      </w:pPr>
      <w:r>
        <w:rPr>
          <w:rFonts w:hint="eastAsia" w:ascii="宋体" w:hAnsi="宋体"/>
          <w:color w:val="auto"/>
          <w:highlight w:val="none"/>
        </w:rPr>
        <w:t>4.1本项目交付（实施）地点：北仑区，采购人指定地点（淮河小学东校区新建工程工地）。</w:t>
      </w:r>
    </w:p>
    <w:p>
      <w:pPr>
        <w:spacing w:line="360" w:lineRule="auto"/>
        <w:rPr>
          <w:rFonts w:ascii="宋体" w:hAnsi="宋体"/>
          <w:color w:val="auto"/>
          <w:highlight w:val="none"/>
        </w:rPr>
      </w:pPr>
      <w:r>
        <w:rPr>
          <w:rFonts w:hint="eastAsia" w:ascii="宋体" w:hAnsi="宋体"/>
          <w:color w:val="auto"/>
          <w:highlight w:val="none"/>
        </w:rPr>
        <w:t>4.2本项目交付（服务）期限：配合土建施工进度要求，并在2024年4月30日前完成安装调试工作，并通过初验进入试运行，试运行期满后进行终验。若总包工期延期，则智能化施工工期相应顺延，合同总价不予调整。</w:t>
      </w:r>
    </w:p>
    <w:p>
      <w:pPr>
        <w:spacing w:line="360" w:lineRule="auto"/>
        <w:rPr>
          <w:rFonts w:ascii="宋体" w:hAnsi="宋体"/>
          <w:color w:val="auto"/>
          <w:highlight w:val="none"/>
        </w:rPr>
      </w:pPr>
      <w:r>
        <w:rPr>
          <w:rFonts w:hint="eastAsia" w:ascii="宋体" w:hAnsi="宋体"/>
          <w:color w:val="auto"/>
          <w:highlight w:val="none"/>
        </w:rPr>
        <w:t>4.3本项目质保期限：整体质保期为2年，从最终验收合格之日起算起。其中，设备的制造商若提供产品质保期大于两年的，则以制造商的质保期为准；设备的制造商若提供产品质保期小于二年的，则以二年为准（由供应商负责）。</w:t>
      </w:r>
    </w:p>
    <w:p>
      <w:pPr>
        <w:spacing w:line="360" w:lineRule="auto"/>
        <w:rPr>
          <w:rFonts w:ascii="宋体" w:hAnsi="宋体"/>
          <w:color w:val="auto"/>
          <w:highlight w:val="none"/>
        </w:rPr>
      </w:pPr>
      <w:r>
        <w:rPr>
          <w:rFonts w:hint="eastAsia" w:ascii="宋体" w:hAnsi="宋体"/>
          <w:color w:val="auto"/>
          <w:highlight w:val="none"/>
        </w:rPr>
        <w:t>4.4本项目服务响应要求：在接到用户的故障维修电话后1小时内响应，简单故障能通过电话予以解决，如用户提出需要上门服务，维修人员应在4小时内赶到现场，并在2个日历天内解决问题。如在规定时间内不能解决问题，应提供同规格的替代设备给用户代用，直至设备故障修复。具体要求详见本部分附件。</w:t>
      </w:r>
    </w:p>
    <w:p>
      <w:pPr>
        <w:spacing w:line="360" w:lineRule="auto"/>
        <w:rPr>
          <w:rFonts w:ascii="宋体" w:hAnsi="宋体"/>
          <w:b/>
          <w:bCs/>
          <w:color w:val="auto"/>
          <w:sz w:val="24"/>
          <w:highlight w:val="none"/>
        </w:rPr>
      </w:pPr>
      <w:r>
        <w:rPr>
          <w:rFonts w:hint="eastAsia" w:ascii="宋体" w:hAnsi="宋体"/>
          <w:b/>
          <w:bCs/>
          <w:color w:val="auto"/>
          <w:sz w:val="24"/>
          <w:highlight w:val="none"/>
        </w:rPr>
        <w:t>5.投标文件的编制要求</w:t>
      </w:r>
    </w:p>
    <w:p>
      <w:pPr>
        <w:spacing w:line="360" w:lineRule="auto"/>
        <w:rPr>
          <w:rFonts w:ascii="宋体" w:hAnsi="宋体"/>
          <w:color w:val="auto"/>
          <w:highlight w:val="none"/>
        </w:rPr>
      </w:pPr>
      <w:r>
        <w:rPr>
          <w:rFonts w:hint="eastAsia" w:ascii="宋体" w:hAnsi="宋体"/>
          <w:color w:val="auto"/>
          <w:highlight w:val="none"/>
        </w:rPr>
        <w:t>以下为投标人在投标文件中需要包含的最基本内容。若投标人提供的技术（服务）方案、设备（材料）性能参数与采购人要求不一致，必须在技术及服务条款偏离表中说明。</w:t>
      </w:r>
    </w:p>
    <w:p>
      <w:pPr>
        <w:spacing w:line="360" w:lineRule="auto"/>
        <w:rPr>
          <w:rFonts w:ascii="宋体" w:hAnsi="宋体"/>
          <w:b/>
          <w:color w:val="auto"/>
          <w:highlight w:val="none"/>
        </w:rPr>
      </w:pPr>
      <w:r>
        <w:rPr>
          <w:rFonts w:hint="eastAsia" w:ascii="宋体" w:hAnsi="宋体"/>
          <w:b/>
          <w:color w:val="auto"/>
          <w:highlight w:val="none"/>
        </w:rPr>
        <w:t>5.1货物技术性能</w:t>
      </w:r>
    </w:p>
    <w:p>
      <w:pPr>
        <w:spacing w:line="360" w:lineRule="auto"/>
        <w:rPr>
          <w:rFonts w:ascii="宋体" w:hAnsi="宋体"/>
          <w:color w:val="auto"/>
          <w:highlight w:val="none"/>
        </w:rPr>
      </w:pPr>
      <w:r>
        <w:rPr>
          <w:rFonts w:hint="eastAsia" w:ascii="宋体" w:hAnsi="宋体"/>
          <w:color w:val="auto"/>
          <w:highlight w:val="none"/>
        </w:rPr>
        <w:t>5.1.1货物规格：根据采购需求，详细列出符合要求的设备配置情况及设备各项指标对应情况。参照第六部分投标文件格式附件13：投标货物（服务）清单。</w:t>
      </w:r>
    </w:p>
    <w:p>
      <w:pPr>
        <w:spacing w:line="360" w:lineRule="auto"/>
        <w:rPr>
          <w:rFonts w:ascii="宋体" w:hAnsi="宋体"/>
          <w:color w:val="auto"/>
          <w:highlight w:val="none"/>
        </w:rPr>
      </w:pPr>
      <w:r>
        <w:rPr>
          <w:rFonts w:hint="eastAsia" w:ascii="宋体" w:hAnsi="宋体"/>
          <w:color w:val="auto"/>
          <w:highlight w:val="none"/>
        </w:rPr>
        <w:t>5.1.2品牌选择要求。为了便于维护，各子系统中应尽量使用同一品牌。</w:t>
      </w:r>
    </w:p>
    <w:p>
      <w:pPr>
        <w:spacing w:line="360" w:lineRule="auto"/>
        <w:rPr>
          <w:rFonts w:ascii="宋体" w:hAnsi="宋体"/>
          <w:color w:val="auto"/>
          <w:highlight w:val="none"/>
        </w:rPr>
      </w:pPr>
      <w:r>
        <w:rPr>
          <w:rFonts w:hint="eastAsia" w:ascii="宋体" w:hAnsi="宋体"/>
          <w:color w:val="auto"/>
          <w:highlight w:val="none"/>
        </w:rPr>
        <w:t>5.1.3具体要求详见本部分附件。</w:t>
      </w:r>
    </w:p>
    <w:p>
      <w:pPr>
        <w:spacing w:line="360" w:lineRule="auto"/>
        <w:rPr>
          <w:rFonts w:ascii="宋体" w:hAnsi="宋体"/>
          <w:b/>
          <w:color w:val="auto"/>
          <w:highlight w:val="none"/>
        </w:rPr>
      </w:pPr>
      <w:r>
        <w:rPr>
          <w:rFonts w:hint="eastAsia" w:ascii="宋体" w:hAnsi="宋体"/>
          <w:b/>
          <w:color w:val="auto"/>
          <w:highlight w:val="none"/>
        </w:rPr>
        <w:t>5.2项目技术方案</w:t>
      </w:r>
    </w:p>
    <w:p>
      <w:pPr>
        <w:spacing w:line="360" w:lineRule="auto"/>
        <w:rPr>
          <w:rFonts w:ascii="宋体" w:hAnsi="宋体"/>
          <w:color w:val="auto"/>
          <w:highlight w:val="none"/>
        </w:rPr>
      </w:pPr>
      <w:r>
        <w:rPr>
          <w:rFonts w:hint="eastAsia" w:ascii="宋体" w:hAnsi="宋体"/>
          <w:color w:val="auto"/>
          <w:highlight w:val="none"/>
        </w:rPr>
        <w:t>5.2.1深化设计。根据采购人的需求，针对本项目的特点，说明整个项目深化设计思路，以各子系统的功能要求为准，并做详细说明。深化设计必须全面满足采购人项目需求，不得降低项目规格或档次，出具施工图后，施工图必须由本工程设计单位审核、签发。</w:t>
      </w:r>
    </w:p>
    <w:p>
      <w:pPr>
        <w:spacing w:line="360" w:lineRule="auto"/>
        <w:rPr>
          <w:rFonts w:ascii="宋体" w:hAnsi="宋体"/>
          <w:color w:val="auto"/>
          <w:highlight w:val="none"/>
        </w:rPr>
      </w:pPr>
      <w:r>
        <w:rPr>
          <w:rFonts w:hint="eastAsia" w:ascii="宋体" w:hAnsi="宋体"/>
          <w:color w:val="auto"/>
          <w:highlight w:val="none"/>
        </w:rPr>
        <w:t>5.2.2项目的难点和重点分析。对本项目安装调试过程中的难点和重点实事做出分析，并说明解决办法。</w:t>
      </w:r>
    </w:p>
    <w:p>
      <w:pPr>
        <w:spacing w:line="360" w:lineRule="auto"/>
        <w:rPr>
          <w:rFonts w:ascii="宋体" w:hAnsi="宋体"/>
          <w:color w:val="auto"/>
          <w:highlight w:val="none"/>
        </w:rPr>
      </w:pPr>
      <w:r>
        <w:rPr>
          <w:rFonts w:hint="eastAsia" w:ascii="宋体" w:hAnsi="宋体"/>
          <w:color w:val="auto"/>
          <w:highlight w:val="none"/>
        </w:rPr>
        <w:t>5.2.3 测试方法。完成安装后，在采购人在场的情况下，由供应商负责一次全面测试，并把测试结果用测试报告的方式交给采购人，在方案中应有具体的测试内容和方法。</w:t>
      </w:r>
    </w:p>
    <w:p>
      <w:pPr>
        <w:spacing w:line="360" w:lineRule="auto"/>
        <w:rPr>
          <w:rFonts w:ascii="宋体" w:hAnsi="宋体"/>
          <w:color w:val="auto"/>
          <w:highlight w:val="none"/>
        </w:rPr>
      </w:pPr>
      <w:r>
        <w:rPr>
          <w:rFonts w:hint="eastAsia" w:ascii="宋体" w:hAnsi="宋体"/>
          <w:color w:val="auto"/>
          <w:highlight w:val="none"/>
        </w:rPr>
        <w:t>5.2.4具体要求详见本部分附件。</w:t>
      </w:r>
    </w:p>
    <w:p>
      <w:pPr>
        <w:spacing w:line="360" w:lineRule="auto"/>
        <w:rPr>
          <w:rFonts w:ascii="宋体" w:hAnsi="宋体"/>
          <w:b/>
          <w:color w:val="auto"/>
          <w:highlight w:val="none"/>
        </w:rPr>
      </w:pPr>
      <w:r>
        <w:rPr>
          <w:rFonts w:hint="eastAsia" w:ascii="宋体" w:hAnsi="宋体"/>
          <w:b/>
          <w:color w:val="auto"/>
          <w:highlight w:val="none"/>
        </w:rPr>
        <w:t>5.3项目实施方案</w:t>
      </w:r>
    </w:p>
    <w:p>
      <w:pPr>
        <w:spacing w:line="360" w:lineRule="auto"/>
        <w:rPr>
          <w:rFonts w:ascii="宋体" w:hAnsi="宋体"/>
          <w:color w:val="auto"/>
          <w:highlight w:val="none"/>
        </w:rPr>
      </w:pPr>
      <w:r>
        <w:rPr>
          <w:rFonts w:hint="eastAsia" w:ascii="宋体" w:hAnsi="宋体"/>
          <w:color w:val="auto"/>
          <w:highlight w:val="none"/>
        </w:rPr>
        <w:t>5.3.1项目实施方案包括施工组织设计，项目组成员介绍等，内容简洁实用。中标人应派技术好、经验丰富的专业技术人员进行深化设计、安装、调试，在合同签订后按要求进行现场查勘、设备采购、安装、调试、验收等工作。在项目验收交付买方前，负责对货物的保护。在交付前如果货物遇到损坏或丢失，所造成的损失由中标人承担。合同实施过程中，须与采购单位积极配合。</w:t>
      </w:r>
    </w:p>
    <w:p>
      <w:pPr>
        <w:spacing w:line="360" w:lineRule="auto"/>
        <w:rPr>
          <w:rFonts w:ascii="宋体" w:hAnsi="宋体"/>
          <w:color w:val="auto"/>
          <w:highlight w:val="none"/>
        </w:rPr>
      </w:pPr>
      <w:r>
        <w:rPr>
          <w:rFonts w:hint="eastAsia" w:ascii="宋体" w:hAnsi="宋体"/>
          <w:color w:val="auto"/>
          <w:highlight w:val="none"/>
        </w:rPr>
        <w:t xml:space="preserve">5.3.2项目执行计划。注明每个阶段的人员分工、负责人和完成时间。 </w:t>
      </w:r>
    </w:p>
    <w:p>
      <w:pPr>
        <w:spacing w:line="360" w:lineRule="auto"/>
        <w:rPr>
          <w:rFonts w:ascii="宋体" w:hAnsi="宋体"/>
          <w:color w:val="auto"/>
          <w:highlight w:val="none"/>
        </w:rPr>
      </w:pPr>
      <w:r>
        <w:rPr>
          <w:rFonts w:hint="eastAsia" w:ascii="宋体" w:hAnsi="宋体"/>
          <w:color w:val="auto"/>
          <w:highlight w:val="none"/>
        </w:rPr>
        <w:t>5.3.3 项目组成员介绍。要体现项目经理的具体情况，提供主要实施人员的相关资料，拟派本项目的主要实施人员未经采购人许可不得更换。</w:t>
      </w:r>
    </w:p>
    <w:p>
      <w:pPr>
        <w:spacing w:line="360" w:lineRule="auto"/>
        <w:rPr>
          <w:rFonts w:ascii="宋体" w:hAnsi="宋体"/>
          <w:color w:val="auto"/>
          <w:highlight w:val="none"/>
        </w:rPr>
      </w:pPr>
      <w:r>
        <w:rPr>
          <w:rFonts w:hint="eastAsia" w:ascii="宋体" w:hAnsi="宋体"/>
          <w:color w:val="auto"/>
          <w:highlight w:val="none"/>
        </w:rPr>
        <w:t>5.3.4具体要求详见本部分附件。</w:t>
      </w:r>
    </w:p>
    <w:p>
      <w:pPr>
        <w:spacing w:line="360" w:lineRule="auto"/>
        <w:rPr>
          <w:rFonts w:ascii="宋体" w:hAnsi="宋体"/>
          <w:b/>
          <w:color w:val="auto"/>
          <w:highlight w:val="none"/>
        </w:rPr>
      </w:pPr>
      <w:r>
        <w:rPr>
          <w:rFonts w:hint="eastAsia" w:ascii="宋体" w:hAnsi="宋体"/>
          <w:b/>
          <w:color w:val="auto"/>
          <w:highlight w:val="none"/>
        </w:rPr>
        <w:t>5.4质量保证和售后服务方案</w:t>
      </w:r>
    </w:p>
    <w:p>
      <w:pPr>
        <w:spacing w:line="360" w:lineRule="auto"/>
        <w:rPr>
          <w:rFonts w:ascii="宋体" w:hAnsi="宋体"/>
          <w:color w:val="auto"/>
          <w:highlight w:val="none"/>
        </w:rPr>
      </w:pPr>
      <w:r>
        <w:rPr>
          <w:rFonts w:hint="eastAsia" w:ascii="宋体" w:hAnsi="宋体"/>
          <w:color w:val="auto"/>
          <w:highlight w:val="none"/>
        </w:rPr>
        <w:t>5.4.1质量标准：达到国家相关质量验收标准，项目验收一次性通过，并配合总包确保“甬江建设杯”。</w:t>
      </w:r>
    </w:p>
    <w:p>
      <w:pPr>
        <w:spacing w:line="360" w:lineRule="auto"/>
        <w:rPr>
          <w:rFonts w:ascii="宋体" w:hAnsi="宋体"/>
          <w:color w:val="auto"/>
          <w:highlight w:val="none"/>
        </w:rPr>
      </w:pPr>
      <w:r>
        <w:rPr>
          <w:rFonts w:hint="eastAsia" w:ascii="宋体" w:hAnsi="宋体"/>
          <w:color w:val="auto"/>
          <w:highlight w:val="none"/>
        </w:rPr>
        <w:t>5.4.2供应商应保证本项目质量符合合同规定的要求，所提供的设备材料为未使用过的全新产品，安装施工方法符合国家标准、规范的要求。</w:t>
      </w:r>
    </w:p>
    <w:p>
      <w:pPr>
        <w:spacing w:line="360" w:lineRule="auto"/>
        <w:rPr>
          <w:rFonts w:ascii="宋体" w:hAnsi="宋体"/>
          <w:color w:val="auto"/>
          <w:highlight w:val="none"/>
        </w:rPr>
      </w:pPr>
      <w:r>
        <w:rPr>
          <w:rFonts w:hint="eastAsia" w:ascii="宋体" w:hAnsi="宋体"/>
          <w:color w:val="auto"/>
          <w:highlight w:val="none"/>
        </w:rPr>
        <w:t>5.4.3质量标准的评定以国家或行业的质量检验评定标准为依据。因供应商原因产品质量达不到约定的质量标准，供应商承担违约责任。</w:t>
      </w:r>
    </w:p>
    <w:p>
      <w:pPr>
        <w:spacing w:line="360" w:lineRule="auto"/>
        <w:rPr>
          <w:rFonts w:ascii="宋体" w:hAnsi="宋体"/>
          <w:color w:val="auto"/>
          <w:highlight w:val="none"/>
        </w:rPr>
      </w:pPr>
      <w:r>
        <w:rPr>
          <w:rFonts w:hint="eastAsia" w:ascii="宋体" w:hAnsi="宋体"/>
          <w:color w:val="auto"/>
          <w:highlight w:val="none"/>
        </w:rPr>
        <w:t>5.4.4项目验收要求。项目安装、调试完成后，应经过一个月的试运行期，试运行期后，由采购人进行统一验收。系统验收合格的条件必须至少满足以下要求：已提供了合同要求的全部设备和资料；性能测试和试运行验收时出现的问题已被解决。</w:t>
      </w:r>
    </w:p>
    <w:p>
      <w:pPr>
        <w:spacing w:line="360" w:lineRule="auto"/>
        <w:rPr>
          <w:rFonts w:ascii="宋体" w:hAnsi="宋体"/>
          <w:color w:val="auto"/>
          <w:highlight w:val="none"/>
        </w:rPr>
      </w:pPr>
      <w:r>
        <w:rPr>
          <w:rFonts w:hint="eastAsia" w:ascii="宋体" w:hAnsi="宋体"/>
          <w:color w:val="auto"/>
          <w:highlight w:val="none"/>
        </w:rPr>
        <w:t>5.4.5在质保期内，供应商须免费负责修理和替换任何由于产品自身的质量问题造成的损坏及故障。如果在短时内故障无法修复，则应提供同规格设备代用。供应商在质保期内的工作还应包括对货物的常规检查、调整。具体的操作程序和内容须在投标文件质量保证及售后服务方案中说明。</w:t>
      </w:r>
    </w:p>
    <w:p>
      <w:pPr>
        <w:spacing w:line="360" w:lineRule="auto"/>
        <w:rPr>
          <w:rFonts w:ascii="宋体" w:hAnsi="宋体"/>
          <w:color w:val="auto"/>
          <w:highlight w:val="none"/>
        </w:rPr>
      </w:pPr>
      <w:r>
        <w:rPr>
          <w:rFonts w:hint="eastAsia" w:ascii="宋体" w:hAnsi="宋体"/>
          <w:color w:val="auto"/>
          <w:highlight w:val="none"/>
        </w:rPr>
        <w:t>5.4.6技术服务。供应商应对本项目提供长期有效的技术支持，投标文件中应提供技术服务和售后服务的内容及措施承诺，并列出售后服务机构设置情况，包括人员数量、人员技术资格情况、办公地址、联系方式及负责人等。</w:t>
      </w:r>
    </w:p>
    <w:p>
      <w:pPr>
        <w:spacing w:line="360" w:lineRule="auto"/>
        <w:rPr>
          <w:rFonts w:ascii="宋体" w:hAnsi="宋体"/>
          <w:color w:val="auto"/>
          <w:highlight w:val="none"/>
        </w:rPr>
      </w:pPr>
      <w:r>
        <w:rPr>
          <w:rFonts w:hint="eastAsia" w:ascii="宋体" w:hAnsi="宋体"/>
          <w:color w:val="auto"/>
          <w:highlight w:val="none"/>
        </w:rPr>
        <w:t>5.4.7为保证能够及时维修维护，供应商应免费提供一些常用的、易损的备品备件，并放在用户处，这些备品备件列述在投标文件的备品备件清单中。参照第六部分投标文件格式附件7：备品备件清单。</w:t>
      </w:r>
    </w:p>
    <w:p>
      <w:pPr>
        <w:spacing w:line="360" w:lineRule="auto"/>
        <w:rPr>
          <w:rFonts w:ascii="宋体" w:hAnsi="宋体"/>
          <w:color w:val="auto"/>
          <w:highlight w:val="none"/>
        </w:rPr>
      </w:pPr>
      <w:r>
        <w:rPr>
          <w:rFonts w:hint="eastAsia" w:ascii="宋体" w:hAnsi="宋体"/>
          <w:color w:val="auto"/>
          <w:highlight w:val="none"/>
        </w:rPr>
        <w:t>5.4.8供应商应在质保期内免费提供每季度一次的对整个系统的维护和保养，记录系统各项运行数据。质保期结束前，须由供应商和用户的代表进行一次全面检查，属于本项目范围内的任何缺陷必须由供应商负责修理。在修复之后，供应商应将缺陷原因、修理内容、修复的时间和日期等报告给用户，报告一式两份。</w:t>
      </w:r>
    </w:p>
    <w:p>
      <w:pPr>
        <w:spacing w:line="360" w:lineRule="auto"/>
        <w:rPr>
          <w:rFonts w:ascii="宋体" w:hAnsi="宋体"/>
          <w:color w:val="auto"/>
          <w:highlight w:val="none"/>
        </w:rPr>
      </w:pPr>
      <w:r>
        <w:rPr>
          <w:rFonts w:hint="eastAsia" w:ascii="宋体" w:hAnsi="宋体"/>
          <w:color w:val="auto"/>
          <w:highlight w:val="none"/>
        </w:rPr>
        <w:t>5.4.9具体要求详见本部分附件。</w:t>
      </w:r>
    </w:p>
    <w:p>
      <w:pPr>
        <w:spacing w:line="360" w:lineRule="auto"/>
        <w:rPr>
          <w:rFonts w:ascii="宋体" w:hAnsi="宋体"/>
          <w:b/>
          <w:color w:val="auto"/>
          <w:highlight w:val="none"/>
        </w:rPr>
      </w:pPr>
      <w:r>
        <w:rPr>
          <w:rFonts w:hint="eastAsia" w:ascii="宋体" w:hAnsi="宋体"/>
          <w:b/>
          <w:color w:val="auto"/>
          <w:highlight w:val="none"/>
        </w:rPr>
        <w:t>5.5技术培训方案</w:t>
      </w:r>
    </w:p>
    <w:p>
      <w:pPr>
        <w:spacing w:line="360" w:lineRule="auto"/>
        <w:rPr>
          <w:rFonts w:ascii="宋体" w:hAnsi="宋体"/>
          <w:color w:val="auto"/>
          <w:highlight w:val="none"/>
        </w:rPr>
      </w:pPr>
      <w:r>
        <w:rPr>
          <w:rFonts w:hint="eastAsia" w:ascii="宋体" w:hAnsi="宋体"/>
          <w:color w:val="auto"/>
          <w:highlight w:val="none"/>
        </w:rPr>
        <w:t>5.5.1供应商须对使用方的操作人员及管理人员进行整个系统的使用、维护等内容的培训。在投标文件中提供培训方案，包括负责培训的人员、培训内容、培训时间等内容。</w:t>
      </w:r>
    </w:p>
    <w:p>
      <w:pPr>
        <w:spacing w:line="360" w:lineRule="auto"/>
        <w:rPr>
          <w:rFonts w:ascii="宋体" w:hAnsi="宋体"/>
          <w:color w:val="auto"/>
          <w:highlight w:val="none"/>
        </w:rPr>
      </w:pPr>
      <w:r>
        <w:rPr>
          <w:rFonts w:hint="eastAsia" w:ascii="宋体" w:hAnsi="宋体"/>
          <w:color w:val="auto"/>
          <w:highlight w:val="none"/>
        </w:rPr>
        <w:t>5.5.2具体要求详见本部分附件。</w:t>
      </w:r>
    </w:p>
    <w:p>
      <w:pPr>
        <w:spacing w:line="360" w:lineRule="auto"/>
        <w:rPr>
          <w:rFonts w:ascii="宋体" w:hAnsi="宋体"/>
          <w:b/>
          <w:color w:val="auto"/>
          <w:highlight w:val="none"/>
        </w:rPr>
      </w:pPr>
      <w:r>
        <w:rPr>
          <w:rFonts w:hint="eastAsia" w:ascii="宋体" w:hAnsi="宋体"/>
          <w:b/>
          <w:color w:val="auto"/>
          <w:highlight w:val="none"/>
        </w:rPr>
        <w:t>5.6优惠承诺及合理化建议</w:t>
      </w:r>
    </w:p>
    <w:p>
      <w:pPr>
        <w:spacing w:line="360" w:lineRule="auto"/>
        <w:rPr>
          <w:rFonts w:ascii="宋体" w:hAnsi="宋体"/>
          <w:color w:val="auto"/>
          <w:highlight w:val="none"/>
        </w:rPr>
      </w:pPr>
      <w:r>
        <w:rPr>
          <w:rFonts w:hint="eastAsia" w:ascii="宋体" w:hAnsi="宋体"/>
          <w:color w:val="auto"/>
          <w:highlight w:val="none"/>
        </w:rPr>
        <w:t>5.6.1根据采购人提供的清单和技术要求，提出具有可行性的合理化建议。</w:t>
      </w:r>
    </w:p>
    <w:p>
      <w:pPr>
        <w:spacing w:line="360" w:lineRule="auto"/>
        <w:rPr>
          <w:rFonts w:ascii="宋体" w:hAnsi="宋体"/>
          <w:color w:val="auto"/>
          <w:highlight w:val="none"/>
        </w:rPr>
      </w:pPr>
      <w:r>
        <w:rPr>
          <w:rFonts w:hint="eastAsia" w:ascii="宋体" w:hAnsi="宋体"/>
          <w:color w:val="auto"/>
          <w:highlight w:val="none"/>
        </w:rPr>
        <w:t>5.6.2供应商可以根据项目实际情况和自己的实力及意愿在投标文件中作出优于招标要求的保证或承诺。</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6.合同签订</w:t>
      </w:r>
    </w:p>
    <w:p>
      <w:pPr>
        <w:spacing w:line="360" w:lineRule="auto"/>
        <w:rPr>
          <w:rFonts w:ascii="宋体" w:hAnsi="宋体"/>
          <w:color w:val="auto"/>
          <w:highlight w:val="none"/>
        </w:rPr>
      </w:pPr>
      <w:r>
        <w:rPr>
          <w:rFonts w:hint="eastAsia" w:ascii="宋体" w:hAnsi="宋体"/>
          <w:color w:val="auto"/>
          <w:highlight w:val="none"/>
        </w:rPr>
        <w:t>6.1采购人和中标人应当自中标通知书发出之日起30 日内，根据招标文件和中标人的投标文件订立书面合同。</w:t>
      </w:r>
    </w:p>
    <w:p>
      <w:pPr>
        <w:spacing w:line="360" w:lineRule="auto"/>
        <w:rPr>
          <w:rFonts w:ascii="宋体" w:hAnsi="宋体"/>
          <w:b/>
          <w:bCs/>
          <w:color w:val="auto"/>
          <w:highlight w:val="none"/>
        </w:rPr>
      </w:pPr>
      <w:r>
        <w:rPr>
          <w:rFonts w:hint="eastAsia" w:ascii="宋体" w:hAnsi="宋体"/>
          <w:b/>
          <w:bCs/>
          <w:color w:val="auto"/>
          <w:highlight w:val="none"/>
        </w:rPr>
        <w:t>合同签订要求：合同按招标文件中提供的采购合同版本签订。</w:t>
      </w:r>
    </w:p>
    <w:p>
      <w:pPr>
        <w:spacing w:line="360" w:lineRule="auto"/>
        <w:rPr>
          <w:rFonts w:ascii="宋体" w:hAnsi="宋体"/>
          <w:color w:val="auto"/>
          <w:highlight w:val="none"/>
        </w:rPr>
      </w:pPr>
      <w:r>
        <w:rPr>
          <w:rFonts w:hint="eastAsia" w:ascii="宋体" w:hAnsi="宋体"/>
          <w:color w:val="auto"/>
          <w:highlight w:val="none"/>
        </w:rPr>
        <w:t>6.2如果供应商提供的货物或服务与投标文件、相关澄清文件和合同等内容中承诺的不一致，则供应商必须接受无条件退货并赔偿采购人合同总金额100%的赔款。</w:t>
      </w:r>
    </w:p>
    <w:p>
      <w:pPr>
        <w:spacing w:line="360" w:lineRule="auto"/>
        <w:rPr>
          <w:rFonts w:ascii="宋体" w:hAnsi="宋体"/>
          <w:color w:val="auto"/>
          <w:highlight w:val="none"/>
        </w:rPr>
      </w:pPr>
      <w:r>
        <w:rPr>
          <w:rFonts w:hint="eastAsia" w:ascii="宋体" w:hAnsi="宋体"/>
          <w:color w:val="auto"/>
          <w:highlight w:val="none"/>
        </w:rPr>
        <w:t>6.3合同履行过程中，若发现投标人的投标文件中有投标价错误的，按不利于投标人的原则修正、调整相关价格，合同总价有变化的签订补充协议后作相应调整。</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7.付款方式</w:t>
      </w:r>
    </w:p>
    <w:p>
      <w:pPr>
        <w:spacing w:line="360" w:lineRule="auto"/>
        <w:rPr>
          <w:rFonts w:ascii="宋体" w:hAnsi="宋体"/>
          <w:color w:val="auto"/>
          <w:highlight w:val="none"/>
        </w:rPr>
      </w:pPr>
      <w:r>
        <w:rPr>
          <w:rFonts w:hint="eastAsia" w:ascii="宋体" w:hAnsi="宋体"/>
          <w:color w:val="auto"/>
          <w:highlight w:val="none"/>
        </w:rPr>
        <w:t>具体核拨方式根据合同规定执行，详见本招标文件第五部分合同主要条款及格式。</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8.其他说明</w:t>
      </w:r>
    </w:p>
    <w:p>
      <w:pPr>
        <w:spacing w:line="360" w:lineRule="auto"/>
        <w:rPr>
          <w:rFonts w:ascii="宋体" w:hAnsi="宋体"/>
          <w:b/>
          <w:color w:val="auto"/>
          <w:highlight w:val="none"/>
        </w:rPr>
      </w:pPr>
      <w:r>
        <w:rPr>
          <w:rFonts w:hint="eastAsia" w:ascii="宋体" w:hAnsi="宋体"/>
          <w:b/>
          <w:color w:val="auto"/>
          <w:highlight w:val="none"/>
        </w:rPr>
        <w:t>8.1类似项目业绩</w:t>
      </w:r>
    </w:p>
    <w:p>
      <w:pPr>
        <w:spacing w:line="360" w:lineRule="auto"/>
        <w:rPr>
          <w:rFonts w:ascii="宋体" w:hAnsi="宋体"/>
          <w:color w:val="auto"/>
          <w:highlight w:val="none"/>
        </w:rPr>
      </w:pPr>
      <w:r>
        <w:rPr>
          <w:rFonts w:hint="eastAsia" w:ascii="宋体" w:hAnsi="宋体"/>
          <w:color w:val="auto"/>
          <w:highlight w:val="none"/>
        </w:rPr>
        <w:t>投标文件中提供投标人最近三年（时间计算以投标截止时间和合同签订时间为准）以来成功实施的同类项目的业绩或案例证明，格式参考第六部分投标文件格式附件15：类似项目业绩表，同类项目业绩要求详见评标办法。投标时提供合同和验收证明等相关资料，由评审委员会认定该合同是否属于同类项目业绩。</w:t>
      </w:r>
    </w:p>
    <w:p>
      <w:pPr>
        <w:spacing w:line="360" w:lineRule="auto"/>
        <w:rPr>
          <w:rFonts w:ascii="宋体" w:hAnsi="宋体"/>
          <w:color w:val="auto"/>
          <w:highlight w:val="none"/>
        </w:rPr>
      </w:pPr>
      <w:r>
        <w:rPr>
          <w:rFonts w:hint="eastAsia" w:ascii="宋体" w:hAnsi="宋体"/>
          <w:color w:val="auto"/>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ascii="宋体" w:hAnsi="宋体"/>
          <w:color w:val="auto"/>
          <w:highlight w:val="none"/>
        </w:rPr>
      </w:pPr>
      <w:r>
        <w:rPr>
          <w:rFonts w:hint="eastAsia" w:ascii="宋体" w:hAnsi="宋体"/>
          <w:b/>
          <w:color w:val="auto"/>
          <w:highlight w:val="none"/>
        </w:rPr>
        <w:t>8.2人员要求（包括并不限于以下人员）：</w:t>
      </w:r>
    </w:p>
    <w:p>
      <w:pPr>
        <w:spacing w:line="360" w:lineRule="auto"/>
        <w:rPr>
          <w:rFonts w:ascii="宋体" w:hAnsi="宋体"/>
          <w:color w:val="auto"/>
          <w:highlight w:val="none"/>
        </w:rPr>
      </w:pPr>
      <w:r>
        <w:rPr>
          <w:rFonts w:hint="eastAsia" w:ascii="宋体" w:hAnsi="宋体"/>
          <w:color w:val="auto"/>
          <w:highlight w:val="none"/>
        </w:rPr>
        <w:t>配备项目经理一名，要求具有建设行政主管部门颁发的机电工程专业注册建造师一级证书，同时还应具有安全生产考核合格证书（B证）；配备专职安全员一名，要求具有安全生产考核合格证书（C证）。投标文件中提供《项目管理机构配备情况表》（格式参考第六部分投标文件格式附件14），表后附拟派项目经理的建造师证书及安全生产考核合格证书（B证）、专职安全员的安全生产考核合格证书（C证）复印件加盖公章。</w:t>
      </w:r>
    </w:p>
    <w:p>
      <w:pPr>
        <w:spacing w:line="360" w:lineRule="auto"/>
        <w:rPr>
          <w:rFonts w:ascii="宋体" w:hAnsi="宋体"/>
          <w:b/>
          <w:color w:val="auto"/>
          <w:highlight w:val="none"/>
        </w:rPr>
      </w:pPr>
      <w:r>
        <w:rPr>
          <w:rFonts w:hint="eastAsia" w:ascii="宋体" w:hAnsi="宋体"/>
          <w:b/>
          <w:color w:val="auto"/>
          <w:highlight w:val="none"/>
        </w:rPr>
        <w:t>8.3本项目落实国家节能环保有关政策的规定</w:t>
      </w:r>
    </w:p>
    <w:p>
      <w:pPr>
        <w:spacing w:line="360" w:lineRule="auto"/>
        <w:rPr>
          <w:rFonts w:ascii="宋体" w:hAnsi="宋体"/>
          <w:b/>
          <w:bCs/>
          <w:color w:val="auto"/>
          <w:highlight w:val="none"/>
        </w:rPr>
      </w:pPr>
      <w:r>
        <w:rPr>
          <w:rFonts w:hint="eastAsia" w:ascii="宋体" w:hAnsi="宋体"/>
          <w:b/>
          <w:bCs/>
          <w:color w:val="auto"/>
          <w:highlight w:val="none"/>
        </w:rPr>
        <w:t>8.1.1根据《关于调整优化节能产品、环境标志产品政府采购执行机制的通知》（财库[2019]9号）文件要求，对拟采购的产品依据品目清单和认证证书实施政府优先采购和强制采购政策。</w:t>
      </w:r>
    </w:p>
    <w:p>
      <w:pPr>
        <w:spacing w:line="360" w:lineRule="auto"/>
        <w:rPr>
          <w:rFonts w:ascii="宋体" w:hAnsi="宋体"/>
          <w:b/>
          <w:bCs/>
          <w:color w:val="auto"/>
          <w:highlight w:val="none"/>
        </w:rPr>
      </w:pPr>
      <w:r>
        <w:rPr>
          <w:rFonts w:hint="eastAsia" w:ascii="宋体" w:hAnsi="宋体"/>
          <w:b/>
          <w:bCs/>
          <w:color w:val="auto"/>
          <w:highlight w:val="none"/>
        </w:rPr>
        <w:t>8.1.2根据现行政府采购节能环保政策，台式计算机、便携式计算机、平板式微型计算机、激光打印机、针式打印机、液晶显示器等为政府强制采购产品政府强制采购产品，施行强制采购政策。节能产品（环境标志产品）政府采购品目清单查询网址：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b/>
          <w:bCs/>
          <w:color w:val="auto"/>
          <w:highlight w:val="none"/>
        </w:rPr>
        <w:t>www.ccgp.gov.cn</w:t>
      </w:r>
      <w:r>
        <w:rPr>
          <w:rFonts w:hint="eastAsia" w:ascii="宋体" w:hAnsi="宋体"/>
          <w:b/>
          <w:bCs/>
          <w:color w:val="auto"/>
          <w:highlight w:val="none"/>
        </w:rPr>
        <w:fldChar w:fldCharType="end"/>
      </w:r>
      <w:r>
        <w:rPr>
          <w:rFonts w:hint="eastAsia" w:ascii="宋体" w:hAnsi="宋体"/>
          <w:b/>
          <w:bCs/>
          <w:color w:val="auto"/>
          <w:highlight w:val="none"/>
        </w:rPr>
        <w:t>)。</w:t>
      </w:r>
    </w:p>
    <w:p>
      <w:pPr>
        <w:spacing w:line="360" w:lineRule="auto"/>
        <w:rPr>
          <w:rFonts w:ascii="宋体" w:hAnsi="宋体"/>
          <w:b/>
          <w:bCs/>
          <w:color w:val="auto"/>
          <w:highlight w:val="none"/>
        </w:rPr>
      </w:pPr>
      <w:r>
        <w:rPr>
          <w:rFonts w:hint="eastAsia" w:ascii="宋体" w:hAnsi="宋体"/>
          <w:b/>
          <w:bCs/>
          <w:color w:val="auto"/>
          <w:highlight w:val="none"/>
        </w:rPr>
        <w:t>8.1.3投标人应依据品目清单在投标文件中提供投标产品有效的节能产品（或环境标志产品）认证证书彩色扫描件或者提供投标产品在中国政府采购网（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b/>
          <w:bCs/>
          <w:color w:val="auto"/>
          <w:highlight w:val="none"/>
        </w:rPr>
        <w:t>www.ccgp.gov.cn</w:t>
      </w:r>
      <w:r>
        <w:rPr>
          <w:rFonts w:hint="eastAsia" w:ascii="宋体" w:hAnsi="宋体"/>
          <w:b/>
          <w:bCs/>
          <w:color w:val="auto"/>
          <w:highlight w:val="none"/>
        </w:rPr>
        <w:fldChar w:fldCharType="end"/>
      </w:r>
      <w:r>
        <w:rPr>
          <w:rFonts w:hint="eastAsia" w:ascii="宋体" w:hAnsi="宋体"/>
          <w:b/>
          <w:bCs/>
          <w:color w:val="auto"/>
          <w:highlight w:val="none"/>
        </w:rPr>
        <w:t>）节能产品（或环境标志产品）查询结果的网页截图的证明材料。</w:t>
      </w:r>
    </w:p>
    <w:p>
      <w:pPr>
        <w:spacing w:line="360" w:lineRule="auto"/>
        <w:rPr>
          <w:rFonts w:ascii="宋体" w:hAnsi="宋体"/>
          <w:color w:val="auto"/>
          <w:highlight w:val="none"/>
        </w:rPr>
      </w:pPr>
      <w:r>
        <w:rPr>
          <w:rFonts w:hint="eastAsia" w:ascii="宋体" w:hAnsi="宋体"/>
          <w:b/>
          <w:bCs/>
          <w:color w:val="auto"/>
          <w:highlight w:val="none"/>
        </w:rPr>
        <w:t>8.1.4施行强制采购的产品没有提供证明材料的，投标无效；非强制采购产品没有提供证明材料的，不予认定。</w:t>
      </w:r>
    </w:p>
    <w:p>
      <w:pPr>
        <w:spacing w:line="360" w:lineRule="auto"/>
        <w:rPr>
          <w:rFonts w:ascii="宋体" w:hAnsi="宋体"/>
          <w:color w:val="auto"/>
          <w:highlight w:val="none"/>
        </w:rPr>
      </w:pPr>
    </w:p>
    <w:p>
      <w:pPr>
        <w:spacing w:line="360" w:lineRule="auto"/>
        <w:rPr>
          <w:rFonts w:ascii="宋体" w:hAnsi="宋体"/>
          <w:b/>
          <w:color w:val="auto"/>
          <w:highlight w:val="none"/>
        </w:rPr>
      </w:pPr>
      <w:r>
        <w:rPr>
          <w:rFonts w:hint="eastAsia" w:ascii="宋体" w:hAnsi="宋体"/>
          <w:b/>
          <w:color w:val="auto"/>
          <w:highlight w:val="none"/>
        </w:rPr>
        <w:t>附件1：采购清单及要求</w:t>
      </w:r>
    </w:p>
    <w:p>
      <w:pPr>
        <w:spacing w:line="360" w:lineRule="auto"/>
        <w:rPr>
          <w:rFonts w:ascii="宋体" w:hAnsi="宋体"/>
          <w:b/>
          <w:color w:val="auto"/>
          <w:highlight w:val="none"/>
        </w:rPr>
      </w:pPr>
      <w:r>
        <w:rPr>
          <w:rFonts w:hint="eastAsia" w:ascii="宋体" w:hAnsi="宋体"/>
          <w:b/>
          <w:color w:val="auto"/>
          <w:highlight w:val="none"/>
        </w:rPr>
        <w:t>附件2：图纸（以电子文档方式提供）</w:t>
      </w:r>
    </w:p>
    <w:p>
      <w:pPr>
        <w:spacing w:line="360" w:lineRule="auto"/>
        <w:rPr>
          <w:rFonts w:ascii="宋体" w:hAnsi="宋体"/>
          <w:b/>
          <w:color w:val="auto"/>
          <w:highlight w:val="none"/>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b/>
          <w:color w:val="auto"/>
          <w:highlight w:val="none"/>
        </w:rPr>
      </w:pPr>
      <w:r>
        <w:rPr>
          <w:rFonts w:hint="eastAsia" w:ascii="宋体" w:hAnsi="宋体"/>
          <w:b/>
          <w:color w:val="auto"/>
          <w:highlight w:val="none"/>
        </w:rPr>
        <w:t>附件1：</w:t>
      </w:r>
    </w:p>
    <w:p>
      <w:pPr>
        <w:spacing w:before="240" w:after="240" w:line="360" w:lineRule="auto"/>
        <w:jc w:val="center"/>
        <w:rPr>
          <w:rFonts w:ascii="宋体" w:hAnsi="宋体"/>
          <w:b/>
          <w:bCs/>
          <w:color w:val="auto"/>
          <w:sz w:val="32"/>
          <w:highlight w:val="none"/>
        </w:rPr>
      </w:pPr>
      <w:r>
        <w:rPr>
          <w:rFonts w:hint="eastAsia" w:ascii="宋体" w:hAnsi="宋体"/>
          <w:b/>
          <w:bCs/>
          <w:color w:val="auto"/>
          <w:sz w:val="32"/>
          <w:highlight w:val="none"/>
        </w:rPr>
        <w:t>采购清单及要求</w:t>
      </w:r>
    </w:p>
    <w:p>
      <w:pPr>
        <w:spacing w:line="360" w:lineRule="auto"/>
        <w:rPr>
          <w:rFonts w:ascii="宋体" w:hAnsi="宋体"/>
          <w:b/>
          <w:bCs/>
          <w:color w:val="auto"/>
          <w:highlight w:val="none"/>
        </w:rPr>
      </w:pPr>
      <w:r>
        <w:rPr>
          <w:rFonts w:hint="eastAsia" w:ascii="宋体" w:hAnsi="宋体"/>
          <w:b/>
          <w:bCs/>
          <w:color w:val="auto"/>
          <w:highlight w:val="none"/>
        </w:rPr>
        <w:t>一、技术要求</w:t>
      </w:r>
    </w:p>
    <w:p>
      <w:pPr>
        <w:spacing w:line="360" w:lineRule="auto"/>
        <w:rPr>
          <w:rFonts w:ascii="宋体" w:hAnsi="宋体"/>
          <w:color w:val="auto"/>
          <w:highlight w:val="none"/>
        </w:rPr>
      </w:pPr>
      <w:r>
        <w:rPr>
          <w:rFonts w:hint="eastAsia" w:ascii="宋体" w:hAnsi="宋体"/>
          <w:b/>
          <w:bCs/>
          <w:color w:val="auto"/>
          <w:highlight w:val="none"/>
        </w:rPr>
        <w:t>（一）工程概况</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1.本项目为淮河小学东校区新建工程，总建筑面积：27236.44平方米，其中地上建筑面积：17716.5平方米，地下建筑面积：9519.94平方米。</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2.本项目的智能化弱电系统工程设计范围为：1.综合布线系统（SCS）：a) 语音通信系统；b) 数据通信系统（校园网）；c) 移动通信系统（运营商考虑）；2.计算机网络系统（校园网、安防网）；3.校园广播系统；4.安全防范系统(SAS)：a) 视频监视系统（含透明厨房）；b) 入侵报警系统；c）电子巡更系统；d）出入口管理系统（人行出入口管理系统和车行出入口系统）；e）一卡通门禁系统；5.信息发布系统；6.多媒体会议系统；7.多媒体教学系统；8.录播系统；9.电子班牌系统；10监控室建设系统；11网络机房建设系统；12.五方通话系统；13.综合管路等子系统。</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本次招标包含上述子系统的管线、桥架、过路盒、设备等所有系统内容。</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3.本工程网络中心机房设置在四层网络机房，放置核心交换机、包括无线控制器等设备。</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4.本工程监控机房设置在消控室，放置核心交换机、存储设备、管理服务器等设备。</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5.广播总控室设置在五层广播室，分控室位于体育馆二层广播室。</w:t>
      </w:r>
    </w:p>
    <w:p>
      <w:pPr>
        <w:spacing w:line="360" w:lineRule="auto"/>
        <w:rPr>
          <w:rFonts w:ascii="宋体" w:hAnsi="宋体"/>
          <w:color w:val="auto"/>
          <w:highlight w:val="none"/>
        </w:rPr>
      </w:pPr>
      <w:r>
        <w:rPr>
          <w:rFonts w:hint="eastAsia" w:ascii="宋体" w:hAnsi="宋体"/>
          <w:b/>
          <w:bCs/>
          <w:color w:val="auto"/>
          <w:highlight w:val="none"/>
        </w:rPr>
        <w:t>（二）设计依据</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1、建设单位对本工程的技术要求，有关单位对本工程设计方案的意见以及建设单位所提供的资料。</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2、国家现行的有关设计标准和规范。</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设计标准</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《智能建筑设计标准》 GB50314-2015；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《综合布线系统工程验收规范》 GB/T50312-2016；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《建筑机电工程抗震设计规范》GB50981-2014；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《综合布线系统工程设计规范》 GB50311-2016；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《民用闭路监视电视系统工程技术规范》 GB50198-2011；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《智能建筑工程质量验收规范》 GB50339-2013；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《入侵报警系统工程设计规范》GB50394-2007；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《智能建筑弱电工程设计施工图集》GJBT-47197X700；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《视频安防监控系统工程设计规范》 GB 50395-2007；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《建筑物防雷设计规范》 GB50057-2010；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《建筑物电子信息系统防雷技术规范》 GB50343-2012；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《民用建筑电气设计标准》 GB 51348-2019；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《安全防范工程技术标准》GB50348-2018；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《安全技术防范系统建设技术规范 第10部分:学校》DB33/T768.10-2009；</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《出入口控制系统工程设计规范》 GB50396-2007；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《安全防范系统验收规则》 GA 308-2001；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《教育建筑电气设计规范 》JGJ310-2013；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《中小学、幼儿园安全技术防范系统要求》GB/T29315—2012；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《电气装置安装工程 接地装置施工及验收规范》 GB50169-2016；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《公共广播系统工程技术规范》GB50526-2010；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《数据中心设计规范》GB50174-2017；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浙江省中小学心理辅导室建设标准和运行规范等其它有关的国家及地方现行最新的规程、规范。</w:t>
      </w:r>
    </w:p>
    <w:p>
      <w:pPr>
        <w:spacing w:line="360" w:lineRule="auto"/>
        <w:rPr>
          <w:rFonts w:hint="eastAsia" w:ascii="宋体" w:hAnsi="宋体"/>
          <w:b/>
          <w:bCs/>
          <w:color w:val="auto"/>
          <w:highlight w:val="none"/>
        </w:rPr>
      </w:pPr>
      <w:r>
        <w:rPr>
          <w:rFonts w:hint="eastAsia" w:ascii="宋体" w:hAnsi="宋体"/>
          <w:b/>
          <w:bCs/>
          <w:color w:val="auto"/>
          <w:highlight w:val="none"/>
        </w:rPr>
        <w:t>（三） 子系统设计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3.1、综合布线系统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综合布线系统为淮河小学东校区新建工程内的语音通信和数据通信提供可靠、稳定的传输线路。根据本栋楼每个楼层的房间功能的划分确定信息点位分布。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1、工作区子系统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据信息插座选用六类RJ45插口模块，语音信息插座选用六类RJ45插口模块，并采用86H暗盒及墙型面板，未特别标明的场合安装高度底距地0.3m，部分办公室点位设置铜地插，具体设置根据图纸标注内信息点布置。每个数据插座必须配置电源插座，且与电源插座外沿水平距离为0.2m以上，水平线缆至底盒后预留0.3m。</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2、水平子系统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水平子系统电缆采用六类数据、语音8芯非屏蔽双绞线（WDZ-CAT6 UTP），沿垂直、水平金属桥架（C型）及JDG管敷设。施工时，双绞线敷设至信息点位置后还需预留30cm。1根六类8芯UTP穿JDG20管，2~3根六类8芯LSZH UTP穿JDG25管，4根及以上分管敷设。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3、管理间子系统：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个IDF设备间内设置管理配线架，所有信息点汇集到相应的IDF设备间。每个IDF内分别有光纤连接装置、网络交换机，管理本区域内的数据点和语音点。每个IDF设备间机柜内设置UPS电源插座，由IDF设备间内的UPS电源线引入，楼层箱总配电由消控室安防UPS主机集中供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4、垂直干线子系统：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垂直干线分别沿各个设备间及走廊内垂直桥架、水平桥架敷设，数据校园网垂直干线均采用室内12芯单模光缆，设备网垂直干线采用室内12芯单模光缆，语音主干采用3类大对数通信铜缆。施工时，铜缆配线架等设备，分别管理各IDF内的信息点（具体详见综合布线平面图及系统图）。电缆引入机柜后还需预留3m。</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5、建筑群子系统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小学网络中心机房设置在四层网络机房，通过室外光缆及大对数通信电缆分别于各单体交换中心通信，进出建筑物的信息线缆应设置信号浪涌保护器。学校网络中心机房通过室外光缆互联互通，进行数据交换及统一管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3.2、计算机网络系统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本工程拟设计包括校园网、设备网两套计算机网络。其中，校园网作为办公网络、教学网络及远程教学、培训等功能。设备网将作为学校安防、智能化系统专用网络，为校园的智能化系统提供一个良好的路由平台。使智能化网络集中在一个网络当中，方便管理单位更便捷的，通过网络了解项目内智能化设备运行状态及控制。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1、计算机网络系统校园网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工程的校园网建设构架采用"核心层—接入层"的二层网络结构。核心层设在学校网络机房内，负责整个工程内的数据交换、路由转发，是整个项目网络的核心。核心层与接入层交换机单链路连接，配置单模光模块，主要功能是将核心网络与接入的数据的转发及终端用户接入网络，提供高速千兆上联，并完成接入安全控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为保障无线网络的使用，在大楼内功能区域设置无线网络接入点（AP），教室内采用高密度APz覆盖，教师办公室采用面板式无线APm，用于无线教学办公等应用，在每个的IDF管理设备间内设置POE以太网加电交换机。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主干网采用1000M网络上联，从IDF管理间到用户端采用1000M网络接入，按照千兆网络标准布线。整个结构采用星型网络拓扑，弱电机房可以分别管理各个IDF内的网络设备。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2、计算机网络系统安防网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本工程的安防网网络建设构架采用"核心层—接入层"的二层网络结构。核心层设在学校消控室，负责整个弱电（监控、门禁、建筑设备管理等）系统的数据交换、路由转发，是整个弱电系统正常运行的关键之一。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核心层与接入层主干网采用1000M网络上联，从IDF管理间到用户端采用1000M网络接入，按照千兆网络标准布线。整个结构采用星型网络拓扑，消控室可以分别管理各个IDF内的网络设备。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3.3、校园广播系统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校园广播总体采用IP广播系统，系统前端喇嘛设计分为两部分，第一部分公共区域分为综合楼室内、地下室走廊等功能区域喇叭；第二部分为教室区域，每间教室设置一个IP数字音箱，每间教室独立成一个分区；第三部分为室外草坪音箱；第四部分为操场独立扩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（1）广播总控室设置在五层广播室，。室外操场单独扩声系统管理中心设在体育馆二层分控广播室。广播设备等采用市电供电。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通过智能管理主机可设置实现自动开关机，可单独管理也可以配合软件集中管理。应用广播软件实现用中外名歌名曲（或音乐铃）代替上、下课铃声及眼保键操、广播操等，并能控制功放电源，能在作息前打开功放系统电源，在结束后关闭功放电源，保证系统的安全运行, 通过遥控器可控制播放系统。可强制运行临时程序、或不运行程序远程寻呼站可当分控点使用，可手动控制主控室的可控设备。可实现电话远程分区、分组、或全区广播。本地广播功能，可灵活的实现分区、分组、全区广播。可通过无线、有线话筒可对全校进行广播讲话，无线话筒在操场任何处能接收到稳定信号。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总的要求为：校园公共广播系统能满足学校作息音乐的全自动播出、英语听力训练及考试要求，具有远程控制广播和紧急广播功能，以及广播中心与广播分控站有机联动广播等，要求采用高可靠性适合远距离传输的定压广播系统。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1、系统声音的传输：系统要求采用高可靠性适合远距离传输的定压广播系统，将整个校园分成若干个区域，在每一个教室配置一个IP数字音箱，保证播出功率和语音的清晰度。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2、系统的自动播出与控制：采用节目自动播放与控制软件，可实现节目的自行编排、自动播出、自动控制设备电源、分区输出，使得在同一时间可向不同的区域播放不同的教学内容；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3、在主控制室配置广播工作站，工作站采用多声卡辅助播放软件，可实现同时自动（或手动）播出教学节目，用于外语辅导或教学考试；可任意设置播出时间表，既可按周循环播出，也可预设1-6个月的播出。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特别说明：与甲供设备的系统适配工作由投标单位完成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3.4、安全防范系统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在本次设计安全防范系统由视频监控系统、入侵报警系统、离线式电子巡更系统、出入口控制系统等组成。监控和报警系统联动。系统接入校园安防平台。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3.4.1视频监控系统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设计采用高清网络监控系统，系统依托设备网，系统管理中心设置在学校消控室；在系统管理中心内设置存储及管理等中心设备，在消控室设置操作台及电视墙等显示设备；摄像机前端图像采用低烟无卤六类线缆传输，并且采用UPS集中供电的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（1）本次工程闭路电视监控系统采用全数字IP网络监控系统。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（2）控制:监控室配置中心管理服务器、磁盘阵列存储单元、人脸识别服务器等设备，对全部前端摄像机进行切换控制。整个系统与报警子系统软件设置接口。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（3）显示:显示中心设置在小学消控室，系统通过视频综合平台使单画面或多画面图像24小时实时显示，由9块46寸拼接屏组成的电视墙以及8台22寸显示屏实现对全部视频图像的循环显示。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（4）记录:系统要求对所有监控视频进行实时录像，通过磁盘阵列调用存储图像，存储录像回放显示格式不低于1080P，配置90天以上全天候录像数据的存储容量。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（5）系统主要在楼栋的出入口、门厅、电梯厅、电梯轿箱、各层走廊、室外停车场、周界围墙、学校主要出入通道及周边主要道路等场所设监视摄像机。部分光线变换大的区域采用宽动态摄像机。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室外活动区域设置彩转黑枪式摄像机，操场、体育馆制高点处设置智能球摄像机设置高速球机摄像机；对外大门口处设置人脸全局摄像机，主要通道处设置室外枪式彩转黑高清网络摄像机，以对异常情况进行摄像。室外车行入口设置车脸识别摄像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特别说明：与甲供设备的系统适配工作由投标单位完成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3.4.2入侵报警系统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（1）本系统由室内入侵防盗报警系统及周界电子围栏系统组成。选用总线制报警主机，报警主机设置在消控室。系统预留与110联网接口。系统电源由UPS提供24小时不间断电源，保证系统的正常运行。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（2）防盗报警系统中的双鉴探测器主要设置在库房、财务室、档案室等重要房间。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（3）入侵报警系统不得有漏报警。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（4）入侵报警功能设计应符合下列规定：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1.紧急报警装置应设置为不可撤防状态，应有防误触发措施，被触发后应自锁。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2.当下列任何情况发生时，报警控制设备应发出声、光报警信息，报警信息应能保持到手动复位，报警信号应无丢失：</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1）在设防状态下，当探测器探测到有入侵发生或触动紧急报警装置时，报警控制设备应显示出报警发生的区域或地址；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2）在设防状态下，当多路探测器同时报警（含紧急报警装置报警）时，报警控制设备应依次显示出报警发生的区域或地址。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3.报警发生后，系统应能手动复位，不应自动复位。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4.在撤防状态下，系统不应对探测器的报警状态做出响应。</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特别说明：与甲供设备的系统适配工作由投标单位完成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3.4.3电子巡更系统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（1）本工程巡查系统采用离线式巡查系统，系统由管理电脑、巡查软件、数据采集变送器组成，电子巡查工作站设于监控值班室内。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（2）本工程在各层楼梯间，室外等处设置巡查点（结合学校管理需求），巡查人员在巡查时，需按时、按点的形式进行巡查。系统可对保安人员的大楼巡查工作进行监督。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（3）系统管理电脑设置在消控室。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特别说明：与甲供设备的系统适配工作由投标单位完成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3.4.4智慧阳光厨房系统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校园“智慧阳光厨房”建设是2020年省政府民生实事项目，根据《关于尽快落实全省中小学和等级幼儿园食堂“阳光厨房”建设工作的通知》（浙市监餐〔2020〕5号）等文件要求，建设“智慧阳光厨房”，系统监测数据对接到浙江省智慧餐饮信息数据总仓。</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主要在食堂出入口、面食间、各个烹饪操作间设置防油污摄像机，食堂设置55寸透明厨房显示器和独立NVR硬盘录像机，录像存储30天（食堂出入口录像存储90天），录像机设置2个网络接口同步传输至上级主管单位。须满足以下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备餐间附近铺设2.4G无线WIFI，不要有网页验证和实名验证，覆盖需要安放物联设备的位置，WiFi名称不能是中文名称，可以有无线密码。</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阳光厨房监控硬盘录像机需要能连接外网，需要有1个接口供使用。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特别说明：与甲供设备的系统适配工作由投标单位完成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3.4.5校园安全防控系统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本工程在**室设置访客人脸识别一体机，在校园正门口外侧及外两侧100米左右路段各安装1个具有智能抓拍功能的摄像机，同时配置人车结构化摄像机，满足校园安全防控要求。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3.4.6出入口管理系统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本次出入口管理系统主要分为人行出入口管理系统、车行出入口管理系统、出入口防冲撞系统3个子系统。控制中心位于消控室。系统接入校园安防平台。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人行出入口管理系统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系统通过在学校主次出入口、地下室家长接送区安装人脸识别通道系统，作为平常教师、学生进出的主要通道，同时作为平常家长接送学生进出的主要通道，具有自动复位功能。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人员通道子系统由闸机、人脸识别组件，工作站和发卡器等组成。根据出入口通道管理需要，选用网络型门禁控制主机，通过TCP/IP通讯方式进行与上层管理层通讯方式，支持联机或脱机独立运行，并可联动附近视频监控设备进行抓拍存储，门禁控制主机接入综合管理平台可实现设备资源、人员权限与配置的统一管理。网络远距离控制以满足用户的特殊需求及消防安全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车行出入口管理系统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停车场管理系统目的是为了实现车辆进出停车场的自动化管理，包括收费、判断车牌等。该系统集计算机网络、视频监控、图像识别与处理及自动控制技术于一体，来实现停车场的车辆全自动化管理，即对车辆出入控制、车位检索、核查、显示及校对车型、车牌有效地、科学地、可靠地管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在学校的地下车库出入口设置直臂式道闸及岗亭，用于家长接送、校内教职工车辆进出。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内设控制主机、手动开关等设备；在出入口处设置固定式彩色网络强光抑制摄像机、自动闸机、地感线圈、自动档杆等设备。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自动闸机信号线采用RVVP线缆，电源由现场电气AC～220V配电；摄像机信号线采用UTP Cat.6线缆，AC24V电源位于室外配电箱内，电源线采用RVV3x1.0线缆。采用SC钢管敷设，并在必要处设置手孔。</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出入口防冲撞系统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过在禁止行车路段安装气压升降柱，如校园主出入口处，可有效对车辆和人群隔离，防范校门口恶意或意外交通事故造成群体人身伤害事件，当有紧急情况发生需要车辆通行时（如消防车、急救车），保安人员可控制升降柱快速降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控制方式灵活机动，除常规线控（即手动按键盒）外，可采用近/远程遥控，适用于高频度、高安全车辆进出场所。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特别说明：与甲供设备的系统适配工作由投标单位完成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3.4.6一卡通门禁系统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门禁系统采用IP网络型，由非接触式人脸识别+射频读卡器、电锁、门磁开关、出入口控制器、管理工作站等设备组成。主要在计算机教室、重要库房、机房等区域设置相应的门禁设备；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系统接入校园安防平台，管理控制中心机房设置在消控室内。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门禁控制联动：当出现火灾等紧急疏散情况或其它特殊情况时，可以通过软件的预先设置或硬件联动直接控制强制打开或关闭某些指定的门，以便于达到人员逃生和保护重要的财务、文件等目的。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特别说明：与甲供设备的系统适配工作由投标单位完成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3.5、信息发布系统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立一个生动形象的多媒体演示系统具有如下好处：（1）构建了一个全方位的多媒体信息平台，避免了交流上的障碍；（2）成为向大众传递各类信息的有效平台；（3）软件具有多场地重复使用的特点，使得在同一时间，不同地点，实现统一宣传成为可能；（4）使得资料得到了电子化的存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具体信息显示屏设置如下：系统供电由强电施工方根据设备实际运行需要动力功率提供。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1.在食堂设置2块55寸信息发布屏，电源线由强电布设到位。管理中心设置在食堂管理办公室。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2.在学校室外设置1块室外P4全彩LED信息屏，尺寸：2.56mx1.44m；在学校报告厅设置1块室内P2.5全彩LED信息屏，尺寸：尺寸：6.4mx2.4m；LED信号线采用UTP Cat.6，电源线由强电布设到位。管理中心设置在消控室。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特别说明：与甲供设备的系统适配工作由投标单位完成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3.6、多媒体会议系统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本项目有多个场所需要配置多媒体会议系统。具体位置如下：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（1）5F会议室；（2）形体舞蹈教室；（3）体育馆；（4）报告厅。共计4个场所会议系统设计。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a、5F会议室主要设置了4个子系统，扩声子系统、会议发言子系统、显示系统、矩阵系统。</w:t>
      </w:r>
    </w:p>
    <w:p>
      <w:pPr>
        <w:numPr>
          <w:ilvl w:val="0"/>
          <w:numId w:val="6"/>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扩声子系统：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采用主席台两侧设置2只壁挂线性音柱主音箱，单元：6x5.6"全频喇叭，标称阻抗：6.3 ohm，额定功率：300W，节目功率：600W，峰值功率：1200W，最大声压级(1w/1m):125dB ；2只辅助线性音柱音箱，设置相应配套功率放大器。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系统设置了1台多媒体管控中心，ARM11 1GHZ CPU，1G内存，2G Flash闪存；支持TCP/IP控制模式，UDP控制协议；支持4路独立可编程RS-232/422/485控制接口，用户可编程设置多种控制协议和代码；8路独立可编程的红外发射接口，支持红外转串口，支持控制多台相同或不同的红外设备及串口设备；8路弱电继电器接口；8路数字输入/输出IO接口, 通过扩展以太网控制接口实现计算机远程控制；具备8通道平衡输入音频通道；具备8通道支持MIC输入，每路MIC输入支持48V幻象供电；具备8个平衡音频输出通道；具备8通道独立的自适应反馈抑制器；具备8通道自动混音；具备4进4出HDMI无缝切换矩阵功能，内部设备环通音频分离；支持USB2.0和以太网编程通讯；额定功率阻抗8Ω：4*300W数字功放。配套无线AP和触摸控制显示，控制音视频音量、信号切换等。</w:t>
      </w:r>
    </w:p>
    <w:p>
      <w:pPr>
        <w:numPr>
          <w:ilvl w:val="0"/>
          <w:numId w:val="6"/>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会议发言系统：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采用一套无线手持话筒和一套无线一拖四鹅颈话筒，用于培训等移动发言功能。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（3）显示系统：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考虑到本厅的大小及其要求，主席台设置1台6000流明投影机和1台150寸电动幕布，可接收显示Video、HDMI、高清720P、1080P信号，可提供便携电脑、幻灯片、资料的介绍活动。同时为了保证会议音视频的播放，在桌面安装1个音视频多媒体插座，所有的HDMI信号、音频信号、电脑音频信号分配到相应的设备上，实现音、视频信号的显示播放功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b、形体舞蹈教室主要设置了1个扩声子系统。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（1）扩声子系统：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主席台两侧设置2套有源超低音箱额定功率500W，功率输出1000W和配套线性音柱，额定功率200W。低音音箱包含数字功放，最高1000W额定输出功率，效率高，重量轻，内置高精度DSP芯片，音柱音箱特殊线怀技术设计，超宽音频，覆盖面积大，保证清晰自然的声音。</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系统设置了1台2进6出的数字音频媒体矩阵，双31段图示均衡器，输出延时共2000毫秒，每个输出都有限幅器，4 级保护；每路输出通道都配置有可达2000ms的延时；高精度96KHz/24bit数据处理，可达到极佳的110dB动态范围和高质数的声音品质；；配套12路调音台。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（2）会议发言系统：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采用一套无线手持话筒和，用于培训等移动发言功能。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c、体育馆主要设置了4个子系统，扩声子系统、会议发言子系统、矩阵切换系统、显示系统。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（1）扩声子系统：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采用场地内设置8只壁挂全频音箱，驱动单元：LF: 1×15″″，HF: 1×1.75″；最大声压：131dB（持续）138dB（峰值）；阻抗：8Ω；额定功率：400W；峰值功率:1600W；设置相应配套功率放大器。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设置1台12路调音台，1台4进16出数字音频媒体矩阵，系统主机支持双机热备份；插卡式设计，可根据现场需求配置数字或模拟输入、输出卡，通道数量可改变；内置SHARC高速浮点运算DSP芯片，24位数模的转换，96KHz采样频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模拟输入：插卡可配置成4~24路单通道（话筒/线路），本次配置4路输入接口；模拟输出：插卡可配置成4~16路单通道（线路），本次配置16路输出接口；带多话筒自动混音功能，具有权限设定，可实现会议讨论话筒数量管理及视频跟踪；</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嵌入式控制面板可对系统进行多分区预设和远程音量控制；支持APP、485、TCP控制；所有的编程通过软件平台完成。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（2）会议发言系统：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采用二套无线手持话筒，用于活动等移动发言功能。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（3）矩阵切换系统：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系统设置1套9进9出高清混插矩阵切换器，设备输入输出具有对应接口，可接收显示1080P信号，可提供便携电脑、幻灯片、资料的介绍活动。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（4）显示系统：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考虑到本厅的大小及其要求，设置1块室内P2.5全彩LED屏，可接收显示Video、HDMI、高清720P、1080P信号，可提供便携电脑、幻灯片、资料的介绍活动。同时为了保证会议音视频的播放，在舞台设置4套多功能信息插座，具有HDMI接口、音频接口、电源接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d、报告厅设置了6个系统包含扩声子系统，会议发言子系统，矩阵切换系统，显示系统，录播系统和舞台灯光机械系统。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（1）扩声系统：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主席台两侧吊装8台有源线阵列主扩音箱，额定功率：500W，峰值功率： 1000W，单元配置  LF低音单元 2* 10inch，HF高音单元 2*1.75inch，最大声压级:132dB，阻抗：16 Ohm，功放板：输出功率1 KHZ，立体声 8 Ω  1200 W，立体声 4 Ω  2000 W 和2台有源线阵列超低音箱采用2*15寸超低音4"音圈设计，额定功率：1200W ，峰值功率：2400W，单元配置  LF低音单元 2*15"，最大声压级  132dB，阻抗   4 Ohm，功放模块参数，输出功率1 KHZ；立体声 8 Ω 300W+800 W；立体声 4 Ω 450W+1200 W；</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设置1台16路调音台，1台16进16出数字音频媒体矩阵，具备16通道平衡输入音频通道；具备16通道支持MIC输入；每路MIC输入支持48V幻象供电；具备16个平衡音频输出通道；具备16通道独立的自适应反馈抑制器；具备16通道自动混音；输入31段PEQ可调，输出10段PEQ可调、增益（Gaina）电平范围：+-18dB,Q值：0.4-128，每段均支持直通（Bypass）；内置信号发生器：正弦波信号、粉红噪声、白噪声；输入通道的噪声门阀值、压缩器启动时间、恢复时间连续可调。拐点0-30连续可调，起控电平0-21dB连续可调，起控时间0-2895ms连续可调，释放时间0-2895ms连续可调；具备摄像跟踪控制功能，通过预设位可实现自动摄像联动功能；基于 Windows 操作平台的全新控制界面。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（2）发言系统：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会议发言采用7个有线鹅颈话筒，2个有线合唱话筒，2套无线手持话筒，2套头戴式无线话筒提供会议移动发言。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（3）显示系统：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考虑到本厅的大小及其要求，设置1块室内P2.5全彩LED屏，可接收显示Video、HDMI、高清720P、1080P信号，可提供便携电脑、幻灯片、资料的介绍活动。同时为了保证会议音视频的播放，在舞台设置4套多功能信息插座，具有HDMI接口、音频接口、电源接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在舞台上设置一台86寸移动一体机配套专用无线投屏器，可接收显示Video、HDMI、高清720P、1080P信号，可提供公开课使用。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（4）矩阵切换系统：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系统设置1套9进9出高清混插矩阵切换器，设备输入输出具有对应接口，可接收显示1080P信号，可提供便携电脑、幻灯片、资料的介绍活动。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（5）录播系统：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系统设置一台录播主机，支持3路视频同时输出，1路VGA-OUT、 HDMI-OUT，输出分辨率为1080P图像，输出内容可自定义为直播图像或导播界面，HDMI-OUT支持音视频同时输出，设置二台高清录播摄像头，供活动会议、公开课等进行录制播放。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（6）舞台灯光机械系统：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整个报告厅主席台顶部吊杆安装设置会议平板灯、摇头电脑灯、聚光灯等多种组合灯光系统；主席台前部顶层吊杆安装远程聚光灯电脑摇头灯做图案效果辅助等。控制中心设置调光台、专用硅箱。设置升降式前瞻幕及舞台对开大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3.7、多媒体教学系统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本次设计在学校内每个普通教室设置1套多媒体教学系统，仅预留管线，详见多媒体教学系统平面及系统图，具体设备甲供。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3.8、录播教室系统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本次设计在一层录播教室设置一套录播系统，按照录播教学要求设计，仅预留管线。详见微格教室平面、系统图，具体设备甲供。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3.9、电子班牌系统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本次设计在学校内每个普通教室门口预留一个电子班牌网络点，便于后期建设升级。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3.10、监控室建设系统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本次项目监控室设置在消控室。本次监控机房建设系统包括机房设备布置子系统、机房供配电子系统、防雷接地子系统及机房防静电地板系统等。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消控机房铺设600*600*35mm防静电地板。机房采用联合接地，接地电阻小于1欧姆，在防静电地板支架下铺设60*0.6mm铜带，在机房四周敷设40×4mm的铜排，并和局部等电位箱连接，机房内设备通过6平方毫米多股铜芯软导线和铜排连接；地板下作为桥架铺设、弱电防雷接地安装空间。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设备支架做承重处理，主要做法是采用角钢或者槽钢焊接承重支架代替地板支架。机柜下采用5#扁钢焊接，载荷应大于800kg/㎡；UPS主机及电池柜采用5#扁钢焊接。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消控机房设置1台30KVA三进三出UPS主机，对安防、设备间机柜等设备供电，配置3组32节12V 100AH电池满足UPS后备4小时供电。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消控机房设置1台2KVA单进单出UPS主机，对报警设备供电，配置2组18节12V 100AH电池满足UPS后备24小时供电。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3.11、网络机房建设系统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网络机房位于综合楼四层。主要技术参数及指标已达到国家C级机房为标准。信息中心机房（以下简称“机房”）主要为电子信息设备提供运行环境的场所，本次项目主要针对机房进行建设，其子项内容包括：机房装修系统、供配电系统、防雷接地系统、不间断电源系统（UPS）、综合布线系统（PDS）、机柜设备、动力、KVM切换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1、机房装饰装修工程（由装修专业考虑）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1）、管线隐蔽工程：所有线路（除桥架外）均必须通过金属桥架、Φ25金属软管、ΦJDG25金属管、86/120型金属盒、分线盒走线。标识清晰规范，标签纸采用防水、防擦中文热敏标签打印纸打印。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2）、墙面：所有机房四周的墙边、墙角均做防水处理，对墙面和天花板作防尘和防潮处理。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地板：地板用全钢防静电地板铺设，静电地板必须达到国标600*600*35mm，发泡水泥填充，静止载荷≥350Kg，极限载荷≥1500Kg；地板支架及横档壁厚应＞1mm。地板表层离地面高程不低于300mm，地板下作为桥架铺设、弱电防雷接地安装空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设备支架做承重处理，主要做法是采用角钢或者槽钢焊接承重支架代替地板支架。机柜底座采用5#角钢焊接，载荷应大于800kg/㎡；电池架底座采用8#角钢焊接，载荷应大于1600kg/㎡；</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4）、照明：由电气专业设计。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5）、维修插座：由电气专业设计。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6）、总体说明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于装饰工程中的隐蔽工程，应严格按照国家标准对隐蔽部分材料进行取舍，所有隐蔽用材必须符合机房用材性能指标，做到不起尘、阻燃、绝燃、不会产生静电、牢固耐用，各种涂料须符合环保要求。机房内整个地、顶面需做防尘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环保要求：通过GB/T18883-2002室内空气质量标GB 8580-2017甲醛释放限量标准获得国家环境分析测试中心的《分析测试报告》,地板的甲醛释放限量标准能达到欧洲有害气体排放量的标准，应属于安全无毒害环保绿色建材产品。装修由装修专业设计。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2、机房综合布线系统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智能微型机房一体机，在全封闭的标准机柜内，高度集成模块化空调、UPS、配电单元、PDU、应急散热装置、布线、照明以及综合管理平台系统等绿色智能机房基础设施，为所有IT设备提供稳定可靠的运行环境;一体机即是绿色智能微型一体化机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2）、机柜系统：采用全封闭机柜，前门中空钢化玻璃门，柜内设冷热通道气流循环，内置智能应急送风装置，感应照明系统以及局部空载密闭组件。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3）、制冷系统：采用机架式变频精密空调，置于机柜底部，R410A环保制冷剂。前送冷风后回热风，配合机柜内部的封闭冷热通道，提供源源不断的冷源。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4）、配电系统：机架式智能配电单元，完成柜内所有设施设备的供配电，可对其电气参数进行远程监测；双路PDU设计，满足IT设备安全用电。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5）、UPS系统：机架式UPS功率模块，15KVA三进单出机架式UPS，同时可自行设定输出电压200/208/220/230/240Vac，频率50Hz或60Hz；整机效率高达90%以上，ECO模式下整机效率为1，满足实际需求。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6）、动力环境监测系统：柜门上触摸显示屏实现对各类信息的实时本地化监控，同时支持远程管理；手机APP、短信、Email、手机APP等途径报告各种异常状况，实现无人值守。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3.12、五方通话系统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共有1部电梯，每座电梯井顶层敷设一根多方（五方）通话线至消控室室，顶层至电梯轿厢线缆使用电梯随行电缆，用于紧急情况或电梯故障时和监控室进行通讯。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3.13、能源计量系统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能源计量系统，简称AMRS（Automatic Meter Reading System），是一种不需要人员到达现场就能完成抄读用户消耗水、电等能耗状况的智能化管理系统。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远程抄表系统是自动化管理的一个重要手段和组成部分，它的最终目的是：自动、集中、定时地抄录各用户的水、电用量；按用量的峰、平、谷和季节自动高速复费率去核算每个用户的用量；管理部门通系统向各用户自动完成用量统计、费用结算、打印收据、收费管理。系统主要对学校的用电情况和用水情况进行分项计量，需支持RS485抄送功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水、电计量表选用：脉冲式发讯的远传表，由给排水、电气专业提供。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3.14、一氧化碳监测系统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地下车库公共区域设置若干CO浓度探测器并联动车库通风系统自动控制。，具体见电气及暖通专业图纸，已做相应设计。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3.15、智能化抗震设计专篇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1)抗震设防烈度为6度及6度以上地区的建筑智能化工程，抗震设计范围包括：内径≥60mm的智能化配管、重力≥150N/m的电缆梯架、重力≥1.8KN的设备、吊杆长度≥300mm的悬吊管道。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2)通信设备的安装螺栓或焊接强度应满足抗震要求。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3)靠墙安装的通信设备机柜底部安装应牢固。当底部安装螺栓或焊接强度不够时，应将顶部与墙壁进行连接。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4)当通信设备柜等非靠墙落地安装时，根部应采用金属膨胀螺栓或焊接的固定方式。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5)壁式安装的配电箱与墙壁之间应采用金属膨胀螺栓连接。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6)通信设备机柜内的元器件应考虑与支承结构件的相互作用，元器件之间采用软连接，接线处应做防震处理。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7)当金属导管、刚性塑料导管、电缆梯架或电缆槽盒穿越防火分区时，其缝隙应采用柔性防火封堵材料封堵，并应在贯穿部位附近设置抗震支撑。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8)其它未涉事宜按《建筑机电工程抗震设计规范》GB50981-2014规定执行。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9)抗震支架业主另行委托深化设计。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3.16、综合管、箱、柜、桥架系统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特殊情况外,本工程中弱电各子系统室外主干线缆敷设套管采用（SC管）埋于室外地坪-0.5m以下，管道敷设时为日后扩展提供足够冗余.遇转弯、分叉及与楼宇进户管连接时设置人手井，施工参照《通信电缆配线管道图集》及《建筑电气安装工程图集》。应做防渗水处理保证井内无积水，并应设置自动排水系统。室外各主干管道主干配线规格数量及走向详见各子系统图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1)室外进线由一个路由进入室内，室内进出本建筑物电缆穿墙套管应有防水措施。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2)室外管路采用SC管沿大楼周界及主要道路设置，间隔设置手孔。</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3)室外管路敷设采用直埋，具体施工方法参见智能建筑弱电工程设计施工图集 97X700。</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4)PE直埋管标高距地坪0.7M。</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5)弱电线路穿保护管与强电线缆穿保护管平行敷设时，平行净距为0.5M，交叉敷设时，交叉净距为0.25M；与水管平行敷设时，净距不小于1米，交叉敷设时，净距不小于0.25米。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6)室外电缆井大小除标明外均按照标准人孔，室外电缆井底部做自然渗水处理。所有电缆井盖均应有专业标志，电缆井盖强度要求能承载3T重量。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工程中各楼宇内工作区水平线缆(线径在0.5cm内)的护套管、槽设计：各子系统室内不同用途线缆穿放导管相应独立，低于24V（或低载流）的控制及信号传输线缆可以在同一电缆桥架或隔仓内布放（或同一室外管路穿放），高于24V电源线必须分单独隔仓布放（或单独管路穿放）。楼宇内导管均采用屏蔽性能较优的JDGФ20、JDGФ25导管预埋暗敷，按照现行国家标准规范施工；管、槽配置原则上横截面利用率保证在（40%～60%）以内，1根水平线缆选用JDG20导管，2~3根水平线缆选用JDG25导管，3根以上采取分管穿套敷设以此类推,线缆较多部位采用电缆桥架布放，具体详见施工图纸。敷设在潮湿的地方和在地下层采用镀锌钢管(SC管)敷设，其余地方采用套接紧定式镀锌钢导管(JDG管)敷设。背景音乐系统线缆必须独立穿路或电缆桥架，不得与其他系统同管及桥架施工。</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1)线缆的规格、型号应与设计规定相符，线路长度超过30M时，加装过路盒。</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2)线缆的布防应自然平直，不得产生扭绞、打圈接头等现象，不应受外力的挤压和损伤。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3)线缆两端应贴标签，应标明编号，标签书写应清晰、端正和正确。标签应选用不易损坏的材料。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4)线缆终端接头后，应有余量。交接间、设备间对绞线缆预留长度宜为0.5～1.0M，工作区为10～30MM；光缆布放宜盘留，预留长度宜为3M，间距应均匀，松紧适度。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5)穿线缆或导线铁管内部需平滑，不应有扁曲节痕，管口应锉光，电缆管曲率半径为外管管径的10倍，导线管曲半径为外管管径的6倍。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6)电缆伸入各线缆进线箱预留1M，导线伸入接线盒预留0.3M。</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3、穿放电缆或导线的钢管内部需光滑，不应有扁曲或折痕,钢管弯曲半径应大于外径6-10倍，弯扁程度不应大于管外径的10%。钢管两端管口需挫光，不管穿线与否，均应预置牵引钢丝。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4、电缆桥架设置在走廊顶及垂直弱电竖井内。除表明外均采用镀锌电缆桥架。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垂直安装时应保持垂直，偏差不应超过2mm/m（特殊情况除外）。水平槽式桥架安装时可用吊架吊装或用托臂支撑，托臂或支架设置距离为1.00m～2.00m由膨胀螺栓固定在附近侧墙或顶板上，遇空心砖或固定不牢靠的情况下需采取加固措施。水平度偏差不应超过2mm/m。线缆桥架安装横截面利用率保证在（60%～70%）以内，桥架规格详见施工平面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电缆桥架与楼宇进户管对接时应架设过渡连接箱，并应在桥架与桥架、管、箱等金属部件连接时按照现行规范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做好跨接及接地处理，具体规格根据现场实际情况决定，在本图纸中不再体现。</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吊架和支架安装应保持垂直，整齐牢固，无倾斜现象，托臂式支架用膨胀螺丝安装在附近侧墙板顶板上，每隔1.5米设支架。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线槽截断处及两线槽拼接处应平滑、无毛刺。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1)电缆线槽、桥架宜高出地面2.2M以上。线槽和桥架顶部距楼板不宜小于300MM；在过梁或其他障碍物处，不宜小于50MM。</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2)槽内缆线布放应顺直，尽量不交叉，在线缆进出线槽部分、转弯处应绑扎固定，其水平部分线缆可以不绑扎。垂直线槽布放缆线应每隔1.5M固定在线缆支架上。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3)电缆桥架内缆线垂直敷设时，在缆线的上端和每间隔1.5M处应固定在桥架的支架上；水平敷设时，在缆线的首尾转弯及每隔5～10M处进行固定。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4)对缆线进行绑扎时。对角线缆、光缆及其他信号电缆应根据缆线的类别、线径、缆线芯数分束绑扎。间距不宜大于1.5M，间距应均匀，松紧适度。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5)楼内光缆宜在金属线槽中敷设，在桥架敷设时应在绑扎固定段加装垫套。</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5、各设备箱、柜安装，垂直安装偏差不应超过2mm/m（特殊情况除外）。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除注明外，各信息插座盒嵌墙暗装时盒底离地0.30m，与邻近其它插座高度一致，与强电插座相邻距离0.20m安装。施工图中各种点位位置仅供参考，具体施工时根据装修图纸可进行适当调整。信息发布、监控网络等信息插座参考各子系统说明施工。</w:t>
      </w:r>
    </w:p>
    <w:p>
      <w:pPr>
        <w:rPr>
          <w:color w:val="auto"/>
          <w:highlight w:val="none"/>
        </w:rPr>
      </w:pPr>
    </w:p>
    <w:p>
      <w:pPr>
        <w:spacing w:line="360" w:lineRule="auto"/>
        <w:rPr>
          <w:rFonts w:ascii="宋体" w:hAnsi="宋体"/>
          <w:color w:val="auto"/>
          <w:highlight w:val="none"/>
        </w:rPr>
      </w:pPr>
      <w:r>
        <w:rPr>
          <w:rFonts w:hint="eastAsia" w:ascii="宋体" w:hAnsi="宋体"/>
          <w:b/>
          <w:bCs/>
          <w:color w:val="auto"/>
          <w:highlight w:val="none"/>
        </w:rPr>
        <w:t>特别说明：本项目目标为确保“甬江建设杯优质工程奖”，投标单位在投标报价中对项目为达到评杯标准所要增加的费用需做充分考虑！</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sectPr>
          <w:pgSz w:w="11906" w:h="16838"/>
          <w:pgMar w:top="1474" w:right="1191" w:bottom="1418" w:left="1191" w:header="851" w:footer="851" w:gutter="0"/>
          <w:cols w:space="720" w:num="1"/>
          <w:docGrid w:type="linesAndChars" w:linePitch="312" w:charSpace="0"/>
        </w:sectPr>
      </w:pPr>
    </w:p>
    <w:p>
      <w:pPr>
        <w:spacing w:line="360" w:lineRule="auto"/>
        <w:rPr>
          <w:rFonts w:ascii="宋体" w:hAnsi="宋体"/>
          <w:b/>
          <w:color w:val="auto"/>
          <w:highlight w:val="none"/>
        </w:rPr>
      </w:pPr>
      <w:r>
        <w:rPr>
          <w:rFonts w:hint="eastAsia" w:ascii="宋体" w:hAnsi="宋体"/>
          <w:b/>
          <w:color w:val="auto"/>
          <w:highlight w:val="none"/>
        </w:rPr>
        <w:t>二、采购清单</w:t>
      </w:r>
    </w:p>
    <w:p>
      <w:pPr>
        <w:rPr>
          <w:rFonts w:ascii="宋体" w:hAnsi="宋体"/>
          <w:color w:val="auto"/>
          <w:sz w:val="20"/>
          <w:szCs w:val="20"/>
          <w:highlight w:val="none"/>
        </w:rPr>
      </w:pPr>
    </w:p>
    <w:tbl>
      <w:tblPr>
        <w:tblStyle w:val="13"/>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452"/>
        <w:gridCol w:w="4013"/>
        <w:gridCol w:w="1064"/>
        <w:gridCol w:w="863"/>
        <w:gridCol w:w="661"/>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160" w:type="dxa"/>
            <w:gridSpan w:val="7"/>
            <w:noWrap/>
            <w:vAlign w:val="bottom"/>
          </w:tcPr>
          <w:p>
            <w:pPr>
              <w:widowControl/>
              <w:jc w:val="center"/>
              <w:textAlignment w:val="bottom"/>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综合布线系统设备清单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160" w:type="dxa"/>
            <w:gridSpan w:val="7"/>
            <w:noWrap/>
            <w:vAlign w:val="bottom"/>
          </w:tcPr>
          <w:p>
            <w:pPr>
              <w:widowControl/>
              <w:jc w:val="left"/>
              <w:textAlignment w:val="bottom"/>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子系统名称：综合布线系统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53" w:type="dxa"/>
            <w:vMerge w:val="restart"/>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1452" w:type="dxa"/>
            <w:vMerge w:val="restart"/>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设备名称</w:t>
            </w:r>
          </w:p>
        </w:tc>
        <w:tc>
          <w:tcPr>
            <w:tcW w:w="4013" w:type="dxa"/>
            <w:vMerge w:val="restart"/>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技术参数</w:t>
            </w:r>
          </w:p>
        </w:tc>
        <w:tc>
          <w:tcPr>
            <w:tcW w:w="1064" w:type="dxa"/>
            <w:vMerge w:val="restart"/>
            <w:noWrap w:val="0"/>
            <w:vAlign w:val="center"/>
          </w:tcPr>
          <w:p>
            <w:pPr>
              <w:widowControl/>
              <w:jc w:val="center"/>
              <w:textAlignment w:val="center"/>
              <w:rPr>
                <w:rFonts w:hint="eastAsia"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推荐</w:t>
            </w:r>
          </w:p>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品牌</w:t>
            </w:r>
          </w:p>
        </w:tc>
        <w:tc>
          <w:tcPr>
            <w:tcW w:w="863" w:type="dxa"/>
            <w:vMerge w:val="restart"/>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661" w:type="dxa"/>
            <w:vMerge w:val="restart"/>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xml:space="preserve">数量 </w:t>
            </w:r>
          </w:p>
        </w:tc>
        <w:tc>
          <w:tcPr>
            <w:tcW w:w="654" w:type="dxa"/>
            <w:vMerge w:val="restart"/>
            <w:noWrap/>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53" w:type="dxa"/>
            <w:vMerge w:val="continue"/>
            <w:noWrap w:val="0"/>
            <w:vAlign w:val="center"/>
          </w:tcPr>
          <w:p>
            <w:pPr>
              <w:jc w:val="center"/>
              <w:rPr>
                <w:rFonts w:hint="eastAsia" w:ascii="宋体" w:hAnsi="宋体" w:cs="宋体"/>
                <w:b/>
                <w:bCs/>
                <w:color w:val="auto"/>
                <w:sz w:val="20"/>
                <w:szCs w:val="20"/>
                <w:highlight w:val="none"/>
              </w:rPr>
            </w:pPr>
          </w:p>
        </w:tc>
        <w:tc>
          <w:tcPr>
            <w:tcW w:w="1452" w:type="dxa"/>
            <w:vMerge w:val="continue"/>
            <w:noWrap w:val="0"/>
            <w:vAlign w:val="center"/>
          </w:tcPr>
          <w:p>
            <w:pPr>
              <w:jc w:val="center"/>
              <w:rPr>
                <w:rFonts w:hint="eastAsia" w:ascii="宋体" w:hAnsi="宋体" w:cs="宋体"/>
                <w:b/>
                <w:bCs/>
                <w:color w:val="auto"/>
                <w:sz w:val="20"/>
                <w:szCs w:val="20"/>
                <w:highlight w:val="none"/>
              </w:rPr>
            </w:pPr>
          </w:p>
        </w:tc>
        <w:tc>
          <w:tcPr>
            <w:tcW w:w="4013" w:type="dxa"/>
            <w:vMerge w:val="continue"/>
            <w:noWrap w:val="0"/>
            <w:vAlign w:val="center"/>
          </w:tcPr>
          <w:p>
            <w:pPr>
              <w:jc w:val="center"/>
              <w:rPr>
                <w:rFonts w:hint="eastAsia" w:ascii="宋体" w:hAnsi="宋体" w:cs="宋体"/>
                <w:b/>
                <w:bCs/>
                <w:color w:val="auto"/>
                <w:sz w:val="20"/>
                <w:szCs w:val="20"/>
                <w:highlight w:val="none"/>
              </w:rPr>
            </w:pPr>
          </w:p>
        </w:tc>
        <w:tc>
          <w:tcPr>
            <w:tcW w:w="1064" w:type="dxa"/>
            <w:vMerge w:val="continue"/>
            <w:noWrap w:val="0"/>
            <w:vAlign w:val="center"/>
          </w:tcPr>
          <w:p>
            <w:pPr>
              <w:jc w:val="center"/>
              <w:rPr>
                <w:rFonts w:hint="eastAsia" w:ascii="宋体" w:hAnsi="宋体" w:cs="宋体"/>
                <w:b/>
                <w:bCs/>
                <w:color w:val="auto"/>
                <w:sz w:val="20"/>
                <w:szCs w:val="20"/>
                <w:highlight w:val="none"/>
              </w:rPr>
            </w:pPr>
          </w:p>
        </w:tc>
        <w:tc>
          <w:tcPr>
            <w:tcW w:w="863" w:type="dxa"/>
            <w:vMerge w:val="continue"/>
            <w:noWrap w:val="0"/>
            <w:vAlign w:val="center"/>
          </w:tcPr>
          <w:p>
            <w:pPr>
              <w:jc w:val="center"/>
              <w:rPr>
                <w:rFonts w:hint="eastAsia" w:ascii="宋体" w:hAnsi="宋体" w:cs="宋体"/>
                <w:b/>
                <w:bCs/>
                <w:color w:val="auto"/>
                <w:sz w:val="20"/>
                <w:szCs w:val="20"/>
                <w:highlight w:val="none"/>
              </w:rPr>
            </w:pPr>
          </w:p>
        </w:tc>
        <w:tc>
          <w:tcPr>
            <w:tcW w:w="661" w:type="dxa"/>
            <w:vMerge w:val="continue"/>
            <w:noWrap w:val="0"/>
            <w:vAlign w:val="center"/>
          </w:tcPr>
          <w:p>
            <w:pPr>
              <w:jc w:val="center"/>
              <w:rPr>
                <w:rFonts w:hint="eastAsia" w:ascii="宋体" w:hAnsi="宋体" w:cs="宋体"/>
                <w:b/>
                <w:bCs/>
                <w:color w:val="auto"/>
                <w:sz w:val="20"/>
                <w:szCs w:val="20"/>
                <w:highlight w:val="none"/>
              </w:rPr>
            </w:pPr>
          </w:p>
        </w:tc>
        <w:tc>
          <w:tcPr>
            <w:tcW w:w="654" w:type="dxa"/>
            <w:vMerge w:val="continue"/>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53" w:type="dxa"/>
            <w:noWrap w:val="0"/>
            <w:vAlign w:val="center"/>
          </w:tcPr>
          <w:p>
            <w:pPr>
              <w:jc w:val="center"/>
              <w:rPr>
                <w:rFonts w:hint="eastAsia" w:ascii="宋体" w:hAnsi="宋体" w:cs="宋体"/>
                <w:b/>
                <w:bCs/>
                <w:color w:val="auto"/>
                <w:sz w:val="20"/>
                <w:szCs w:val="20"/>
                <w:highlight w:val="none"/>
              </w:rPr>
            </w:pPr>
          </w:p>
        </w:tc>
        <w:tc>
          <w:tcPr>
            <w:tcW w:w="1452"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校园网布线</w:t>
            </w:r>
          </w:p>
        </w:tc>
        <w:tc>
          <w:tcPr>
            <w:tcW w:w="4013" w:type="dxa"/>
            <w:noWrap w:val="0"/>
            <w:vAlign w:val="center"/>
          </w:tcPr>
          <w:p>
            <w:pPr>
              <w:jc w:val="center"/>
              <w:rPr>
                <w:rFonts w:hint="eastAsia" w:ascii="宋体" w:hAnsi="宋体" w:cs="宋体"/>
                <w:b/>
                <w:bCs/>
                <w:color w:val="auto"/>
                <w:sz w:val="20"/>
                <w:szCs w:val="20"/>
                <w:highlight w:val="none"/>
              </w:rPr>
            </w:pPr>
          </w:p>
        </w:tc>
        <w:tc>
          <w:tcPr>
            <w:tcW w:w="1064" w:type="dxa"/>
            <w:noWrap w:val="0"/>
            <w:vAlign w:val="center"/>
          </w:tcPr>
          <w:p>
            <w:pPr>
              <w:jc w:val="center"/>
              <w:rPr>
                <w:rFonts w:hint="eastAsia" w:ascii="宋体" w:hAnsi="宋体" w:cs="宋体"/>
                <w:b/>
                <w:bCs/>
                <w:color w:val="auto"/>
                <w:sz w:val="20"/>
                <w:szCs w:val="20"/>
                <w:highlight w:val="none"/>
              </w:rPr>
            </w:pPr>
          </w:p>
        </w:tc>
        <w:tc>
          <w:tcPr>
            <w:tcW w:w="863" w:type="dxa"/>
            <w:noWrap w:val="0"/>
            <w:vAlign w:val="center"/>
          </w:tcPr>
          <w:p>
            <w:pPr>
              <w:jc w:val="center"/>
              <w:rPr>
                <w:rFonts w:hint="eastAsia" w:ascii="宋体" w:hAnsi="宋体" w:cs="宋体"/>
                <w:b/>
                <w:bCs/>
                <w:color w:val="auto"/>
                <w:sz w:val="20"/>
                <w:szCs w:val="20"/>
                <w:highlight w:val="none"/>
              </w:rPr>
            </w:pPr>
          </w:p>
        </w:tc>
        <w:tc>
          <w:tcPr>
            <w:tcW w:w="661" w:type="dxa"/>
            <w:noWrap w:val="0"/>
            <w:vAlign w:val="center"/>
          </w:tcPr>
          <w:p>
            <w:pPr>
              <w:jc w:val="center"/>
              <w:rPr>
                <w:rFonts w:hint="eastAsia" w:ascii="宋体" w:hAnsi="宋体" w:cs="宋体"/>
                <w:b/>
                <w:bCs/>
                <w:color w:val="auto"/>
                <w:sz w:val="20"/>
                <w:szCs w:val="20"/>
                <w:highlight w:val="none"/>
              </w:rPr>
            </w:pP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53" w:type="dxa"/>
            <w:noWrap w:val="0"/>
            <w:vAlign w:val="center"/>
          </w:tcPr>
          <w:p>
            <w:pPr>
              <w:jc w:val="center"/>
              <w:rPr>
                <w:rFonts w:hint="eastAsia" w:ascii="宋体" w:hAnsi="宋体" w:cs="宋体"/>
                <w:color w:val="auto"/>
                <w:sz w:val="20"/>
                <w:szCs w:val="20"/>
                <w:highlight w:val="none"/>
              </w:rPr>
            </w:pPr>
          </w:p>
        </w:tc>
        <w:tc>
          <w:tcPr>
            <w:tcW w:w="1452"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（一）工作区</w:t>
            </w:r>
          </w:p>
        </w:tc>
        <w:tc>
          <w:tcPr>
            <w:tcW w:w="4013" w:type="dxa"/>
            <w:noWrap w:val="0"/>
            <w:vAlign w:val="center"/>
          </w:tcPr>
          <w:p>
            <w:pPr>
              <w:jc w:val="center"/>
              <w:rPr>
                <w:rFonts w:hint="eastAsia" w:ascii="宋体" w:hAnsi="宋体" w:cs="宋体"/>
                <w:color w:val="auto"/>
                <w:sz w:val="20"/>
                <w:szCs w:val="20"/>
                <w:highlight w:val="none"/>
              </w:rPr>
            </w:pPr>
          </w:p>
        </w:tc>
        <w:tc>
          <w:tcPr>
            <w:tcW w:w="1064" w:type="dxa"/>
            <w:noWrap w:val="0"/>
            <w:vAlign w:val="center"/>
          </w:tcPr>
          <w:p>
            <w:pPr>
              <w:jc w:val="center"/>
              <w:rPr>
                <w:rFonts w:hint="eastAsia" w:ascii="宋体" w:hAnsi="宋体" w:cs="宋体"/>
                <w:color w:val="auto"/>
                <w:sz w:val="20"/>
                <w:szCs w:val="20"/>
                <w:highlight w:val="none"/>
              </w:rPr>
            </w:pPr>
          </w:p>
        </w:tc>
        <w:tc>
          <w:tcPr>
            <w:tcW w:w="863" w:type="dxa"/>
            <w:noWrap w:val="0"/>
            <w:vAlign w:val="center"/>
          </w:tcPr>
          <w:p>
            <w:pPr>
              <w:jc w:val="center"/>
              <w:rPr>
                <w:rFonts w:hint="eastAsia" w:ascii="宋体" w:hAnsi="宋体" w:cs="宋体"/>
                <w:color w:val="auto"/>
                <w:sz w:val="20"/>
                <w:szCs w:val="20"/>
                <w:highlight w:val="none"/>
              </w:rPr>
            </w:pPr>
          </w:p>
        </w:tc>
        <w:tc>
          <w:tcPr>
            <w:tcW w:w="661" w:type="dxa"/>
            <w:noWrap w:val="0"/>
            <w:vAlign w:val="center"/>
          </w:tcPr>
          <w:p>
            <w:pPr>
              <w:jc w:val="center"/>
              <w:rPr>
                <w:rFonts w:hint="eastAsia" w:ascii="宋体" w:hAnsi="宋体" w:cs="宋体"/>
                <w:color w:val="auto"/>
                <w:sz w:val="20"/>
                <w:szCs w:val="20"/>
                <w:highlight w:val="none"/>
              </w:rPr>
            </w:pP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六类模块</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DC触针镀金60μ，可连接线径0.4-0.6mm，卡接次数&gt;250次;插拔次数≥750次,材料：PC/PPO；前端自带可拆卸防尘门，压线端带防尘盖，多颜色可选。 </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738</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语音插座模块</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 产品性能超越TIA/EIA-568C.2 对超五类的硬件标准  2. 金针表面整体镀金，提高接触性能，防止表面氧化及延长使用寿命3. IDC端配有防尘盖,兼容110打线工具 4. 弧形金针设计，有效提升近端串音余量 5. 插头与插座的插合次数:≥1000次;6. RJ45端口金针:磷青铜、表面镀金，7. 导线端接次数:≥250 次;8. 卡接导体线规:22~26AWG</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99</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单口面板</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材料：采用优质工程塑料PC材料，具有高强度及阻燃性能；自带标签条，自带电脑电话标块，弹簧门。</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115</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双口面板</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材料：采用优质工程塑料PC材料，具有高强度及阻燃性能；自带标签条，自带电脑电话标块，弹簧门。</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139</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双位地板插座(带缓起功能)</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铜制地板插座盒，适宜安装各种8线式RJ45插座模块，可选安装1至2个RJ45数据模块，模块向下兼容RJ11语音模块，提供1至3个数据或语音端口，有防尘门结构设计，能有效防止灰尘对模块性能的影响</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296</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2米六类跳线</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标准：TIA/EIA-568B.2-1和ISO11801 2nd</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RJ45水晶头插拔次数&gt;1000 次；传输带宽≥250MHz, 阻抗: 100 ohms±15%。</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条</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837</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3" w:type="dxa"/>
            <w:noWrap w:val="0"/>
            <w:vAlign w:val="center"/>
          </w:tcPr>
          <w:p>
            <w:pPr>
              <w:jc w:val="center"/>
              <w:rPr>
                <w:rFonts w:hint="eastAsia" w:ascii="宋体" w:hAnsi="宋体" w:cs="宋体"/>
                <w:color w:val="auto"/>
                <w:sz w:val="20"/>
                <w:szCs w:val="20"/>
                <w:highlight w:val="none"/>
              </w:rPr>
            </w:pPr>
          </w:p>
        </w:tc>
        <w:tc>
          <w:tcPr>
            <w:tcW w:w="1452"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（二）水平子系统</w:t>
            </w:r>
          </w:p>
        </w:tc>
        <w:tc>
          <w:tcPr>
            <w:tcW w:w="4013" w:type="dxa"/>
            <w:noWrap w:val="0"/>
            <w:vAlign w:val="center"/>
          </w:tcPr>
          <w:p>
            <w:pPr>
              <w:jc w:val="left"/>
              <w:rPr>
                <w:rFonts w:hint="eastAsia" w:ascii="宋体" w:hAnsi="宋体" w:cs="宋体"/>
                <w:color w:val="auto"/>
                <w:sz w:val="20"/>
                <w:szCs w:val="20"/>
                <w:highlight w:val="none"/>
              </w:rPr>
            </w:pPr>
          </w:p>
        </w:tc>
        <w:tc>
          <w:tcPr>
            <w:tcW w:w="1064" w:type="dxa"/>
            <w:noWrap w:val="0"/>
            <w:vAlign w:val="center"/>
          </w:tcPr>
          <w:p>
            <w:pPr>
              <w:jc w:val="center"/>
              <w:rPr>
                <w:rFonts w:hint="eastAsia" w:ascii="宋体" w:hAnsi="宋体" w:cs="宋体"/>
                <w:color w:val="auto"/>
                <w:sz w:val="20"/>
                <w:szCs w:val="20"/>
                <w:highlight w:val="none"/>
              </w:rPr>
            </w:pPr>
          </w:p>
        </w:tc>
        <w:tc>
          <w:tcPr>
            <w:tcW w:w="863" w:type="dxa"/>
            <w:noWrap w:val="0"/>
            <w:vAlign w:val="center"/>
          </w:tcPr>
          <w:p>
            <w:pPr>
              <w:jc w:val="center"/>
              <w:rPr>
                <w:rFonts w:hint="eastAsia" w:ascii="宋体" w:hAnsi="宋体" w:cs="宋体"/>
                <w:color w:val="auto"/>
                <w:sz w:val="20"/>
                <w:szCs w:val="20"/>
                <w:highlight w:val="none"/>
              </w:rPr>
            </w:pPr>
          </w:p>
        </w:tc>
        <w:tc>
          <w:tcPr>
            <w:tcW w:w="661" w:type="dxa"/>
            <w:noWrap w:val="0"/>
            <w:vAlign w:val="center"/>
          </w:tcPr>
          <w:p>
            <w:pPr>
              <w:jc w:val="center"/>
              <w:rPr>
                <w:rFonts w:hint="eastAsia" w:ascii="宋体" w:hAnsi="宋体" w:cs="宋体"/>
                <w:color w:val="auto"/>
                <w:sz w:val="20"/>
                <w:szCs w:val="20"/>
                <w:highlight w:val="none"/>
              </w:rPr>
            </w:pP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六类非屏蔽双绞线</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芯线规格：23AWG实芯裸铜导体，内部须采用十字骨架分隔结构；</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护套：CM，印有电缆编码护套，有撕裂绳；标准：TIA/EIA568B，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带宽：≥250MHz；阻抗：100±15Ω</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305米/箱</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室外6芯单模光纤</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光纤芯径： 9/125µm单模光纤；零水峰技术，可在1280nm-1625nm全波段内传输；符合国际TIA/EIA-568-B.3和ITU-T G.652C的标准；13010nm衰减系数为0.7db/km,传输距离为10KM;1550nm衰减系数为0.5db/km，传输距离为40KM。</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3" w:type="dxa"/>
            <w:noWrap w:val="0"/>
            <w:vAlign w:val="center"/>
          </w:tcPr>
          <w:p>
            <w:pPr>
              <w:jc w:val="center"/>
              <w:rPr>
                <w:rFonts w:hint="eastAsia" w:ascii="宋体" w:hAnsi="宋体" w:cs="宋体"/>
                <w:color w:val="auto"/>
                <w:sz w:val="20"/>
                <w:szCs w:val="20"/>
                <w:highlight w:val="none"/>
              </w:rPr>
            </w:pPr>
          </w:p>
        </w:tc>
        <w:tc>
          <w:tcPr>
            <w:tcW w:w="1452"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（三）垂直/主干子系统</w:t>
            </w:r>
          </w:p>
        </w:tc>
        <w:tc>
          <w:tcPr>
            <w:tcW w:w="4013" w:type="dxa"/>
            <w:noWrap w:val="0"/>
            <w:vAlign w:val="center"/>
          </w:tcPr>
          <w:p>
            <w:pPr>
              <w:jc w:val="left"/>
              <w:rPr>
                <w:rFonts w:hint="eastAsia" w:ascii="宋体" w:hAnsi="宋体" w:cs="宋体"/>
                <w:color w:val="auto"/>
                <w:sz w:val="20"/>
                <w:szCs w:val="20"/>
                <w:highlight w:val="none"/>
              </w:rPr>
            </w:pPr>
          </w:p>
        </w:tc>
        <w:tc>
          <w:tcPr>
            <w:tcW w:w="1064" w:type="dxa"/>
            <w:noWrap w:val="0"/>
            <w:vAlign w:val="center"/>
          </w:tcPr>
          <w:p>
            <w:pPr>
              <w:jc w:val="center"/>
              <w:rPr>
                <w:rFonts w:hint="eastAsia" w:ascii="宋体" w:hAnsi="宋体" w:cs="宋体"/>
                <w:color w:val="auto"/>
                <w:sz w:val="20"/>
                <w:szCs w:val="20"/>
                <w:highlight w:val="none"/>
              </w:rPr>
            </w:pPr>
          </w:p>
        </w:tc>
        <w:tc>
          <w:tcPr>
            <w:tcW w:w="863" w:type="dxa"/>
            <w:noWrap w:val="0"/>
            <w:vAlign w:val="center"/>
          </w:tcPr>
          <w:p>
            <w:pPr>
              <w:jc w:val="center"/>
              <w:rPr>
                <w:rFonts w:hint="eastAsia" w:ascii="宋体" w:hAnsi="宋体" w:cs="宋体"/>
                <w:color w:val="auto"/>
                <w:sz w:val="20"/>
                <w:szCs w:val="20"/>
                <w:highlight w:val="none"/>
              </w:rPr>
            </w:pPr>
          </w:p>
        </w:tc>
        <w:tc>
          <w:tcPr>
            <w:tcW w:w="661" w:type="dxa"/>
            <w:noWrap w:val="0"/>
            <w:vAlign w:val="center"/>
          </w:tcPr>
          <w:p>
            <w:pPr>
              <w:jc w:val="center"/>
              <w:rPr>
                <w:rFonts w:hint="eastAsia" w:ascii="宋体" w:hAnsi="宋体" w:cs="宋体"/>
                <w:color w:val="auto"/>
                <w:sz w:val="20"/>
                <w:szCs w:val="20"/>
                <w:highlight w:val="none"/>
              </w:rPr>
            </w:pP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3类50对大对数电缆</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0.4MM单股纯铜丝导体，PE料绝缘，普通PVC外护套，100对双绞，符合并超过TIA/EIA568B关于三类测试标准要求</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室外12芯单模光纤</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光纤芯径： 9/125µm单模光纤；零水峰技术，可在1280nm-1625nm全波段内传输；符合国际TIA/EIA-568-B.3和ITU-T G.652C的标准；13010nm衰减系数为0.7db/km,传输距离为10KM;1550nm衰减系数为0.5db/km，传输距离为40KM。</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3" w:type="dxa"/>
            <w:noWrap w:val="0"/>
            <w:vAlign w:val="center"/>
          </w:tcPr>
          <w:p>
            <w:pPr>
              <w:jc w:val="center"/>
              <w:rPr>
                <w:rFonts w:hint="eastAsia" w:ascii="宋体" w:hAnsi="宋体" w:cs="宋体"/>
                <w:color w:val="auto"/>
                <w:sz w:val="20"/>
                <w:szCs w:val="20"/>
                <w:highlight w:val="none"/>
              </w:rPr>
            </w:pPr>
          </w:p>
        </w:tc>
        <w:tc>
          <w:tcPr>
            <w:tcW w:w="1452"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（四）配线间子系统</w:t>
            </w:r>
          </w:p>
        </w:tc>
        <w:tc>
          <w:tcPr>
            <w:tcW w:w="4013" w:type="dxa"/>
            <w:noWrap w:val="0"/>
            <w:vAlign w:val="center"/>
          </w:tcPr>
          <w:p>
            <w:pPr>
              <w:jc w:val="left"/>
              <w:rPr>
                <w:rFonts w:hint="eastAsia" w:ascii="宋体" w:hAnsi="宋体" w:cs="宋体"/>
                <w:color w:val="auto"/>
                <w:sz w:val="20"/>
                <w:szCs w:val="20"/>
                <w:highlight w:val="none"/>
              </w:rPr>
            </w:pPr>
          </w:p>
        </w:tc>
        <w:tc>
          <w:tcPr>
            <w:tcW w:w="1064" w:type="dxa"/>
            <w:noWrap w:val="0"/>
            <w:vAlign w:val="center"/>
          </w:tcPr>
          <w:p>
            <w:pPr>
              <w:jc w:val="center"/>
              <w:rPr>
                <w:rFonts w:hint="eastAsia" w:ascii="宋体" w:hAnsi="宋体" w:cs="宋体"/>
                <w:color w:val="auto"/>
                <w:sz w:val="20"/>
                <w:szCs w:val="20"/>
                <w:highlight w:val="none"/>
              </w:rPr>
            </w:pPr>
          </w:p>
        </w:tc>
        <w:tc>
          <w:tcPr>
            <w:tcW w:w="863" w:type="dxa"/>
            <w:noWrap w:val="0"/>
            <w:vAlign w:val="center"/>
          </w:tcPr>
          <w:p>
            <w:pPr>
              <w:jc w:val="center"/>
              <w:rPr>
                <w:rFonts w:hint="eastAsia" w:ascii="宋体" w:hAnsi="宋体" w:cs="宋体"/>
                <w:color w:val="auto"/>
                <w:sz w:val="20"/>
                <w:szCs w:val="20"/>
                <w:highlight w:val="none"/>
              </w:rPr>
            </w:pPr>
          </w:p>
        </w:tc>
        <w:tc>
          <w:tcPr>
            <w:tcW w:w="661" w:type="dxa"/>
            <w:noWrap w:val="0"/>
            <w:vAlign w:val="center"/>
          </w:tcPr>
          <w:p>
            <w:pPr>
              <w:jc w:val="center"/>
              <w:rPr>
                <w:rFonts w:hint="eastAsia" w:ascii="宋体" w:hAnsi="宋体" w:cs="宋体"/>
                <w:color w:val="auto"/>
                <w:sz w:val="20"/>
                <w:szCs w:val="20"/>
                <w:highlight w:val="none"/>
              </w:rPr>
            </w:pP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六类24口数据配线架</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 24口RJ45模块化结构，后面带背面理线盘。标准：ISO/IEC 11801:2002 Ed2.0，TIA/EIA-568-B.2-1；设计：提供符合T568A和T568B两种端接标准的可互换色标标签；配线架前端具有防尘保护。保证至少750次插接和20次的重复端接</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45</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六类非屏蔽跳线,2米</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标准：TIA/EIA-568B.2-1和ISO11801 2nd；RJ45水晶头插拔次数&gt;1000 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传输带宽≥250MHz，阻抗: 100 ohms±15%。</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条</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1080</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100对110语音配线架</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机架式110型，100对，含20只4对连接块和4只5对连接块</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12芯抽屉式光纤配线架</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规格：12芯SC光纤接入能力，适合19"标准机柜安装有足够空间保证光纤的盘绕、固定和接续，带有管理器及固定附件。标准：ISO/IEC 11801:2002 Ed2.0；19英寸机架式安装，要能提供各种形式的光纤耦合器（ST、SC、MTRJ、LC等）。</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SC适配器</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采用磷青铜套管材料</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条</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144</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SC单模尾纤,1米</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规格：单模9/125µm ，OS1级别连接到主干光缆及配线架的光纤尾纤应支持万兆以太网，采用SC接口;使用高磨光磷青铜插芯，耐拨插次数可达1000次以上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标准：ISO/IEC 11801:2002 Ed2.0；最大损耗：&lt; 0.75dB</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SC-LC双芯单模跳线,2米</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规格：单模9/125µm ，OS1级别连接到主干光缆及配线架的光纤尾纤应支持万兆以太网，采用SC、LC接口;使用高磨光磷青铜插芯，耐拨插次数可达1000次以上；标准：ISO/IEC 11801:2002 Ed2.0</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条</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1U水平理线器（19"机柜用）</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采用优质冷轧钢板材料，确保产品的坚固耐用。大容量设计，有助于布线的条理性；标准19英寸机架安装；</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64</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18U网络机柜（深度600mm，根据实装情况可调整高度）</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600(宽)*600(深)*1200mm(高)；应充分考虑机柜的容量，应为网络设备留有足够的空间，留有电源插座等。投标人所提供的机柜应为19英寸标准机柜，机柜深度为600mm。内备足够风扇、搁板、高档防雷防浪涌电源及门锁。符合ANSI/EIA RS-310-D、IEC297-2</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42U网络机柜（深度600mm，根据实装情况可调整高度）</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42U机柜，规格600*600*2000mm，前门 网孔前门带锁, 网孔双开后门带锁, 全钢侧门可快速装卸 带电源 风扇  符合ANSI/EIA RS-310-D、IEC297-2、DIN41491; PART1、DIN41494; PART7、 GB/T3047.2- 92标准;兼容ETSI标准.SPCC优质冷扎钢板制作；厚度：方孔条2.0mm，托盘2.0mm，骨架和安装梁1.5mm，其他1.2mm;</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3" w:type="dxa"/>
            <w:noWrap w:val="0"/>
            <w:vAlign w:val="center"/>
          </w:tcPr>
          <w:p>
            <w:pPr>
              <w:jc w:val="center"/>
              <w:rPr>
                <w:rFonts w:hint="eastAsia" w:ascii="宋体" w:hAnsi="宋体" w:cs="宋体"/>
                <w:color w:val="auto"/>
                <w:sz w:val="20"/>
                <w:szCs w:val="20"/>
                <w:highlight w:val="none"/>
              </w:rPr>
            </w:pPr>
          </w:p>
        </w:tc>
        <w:tc>
          <w:tcPr>
            <w:tcW w:w="1452"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（五）管理子系统</w:t>
            </w:r>
          </w:p>
        </w:tc>
        <w:tc>
          <w:tcPr>
            <w:tcW w:w="4013" w:type="dxa"/>
            <w:noWrap w:val="0"/>
            <w:vAlign w:val="center"/>
          </w:tcPr>
          <w:p>
            <w:pPr>
              <w:jc w:val="center"/>
              <w:rPr>
                <w:rFonts w:hint="eastAsia" w:ascii="宋体" w:hAnsi="宋体" w:cs="宋体"/>
                <w:color w:val="auto"/>
                <w:sz w:val="20"/>
                <w:szCs w:val="20"/>
                <w:highlight w:val="none"/>
              </w:rPr>
            </w:pPr>
          </w:p>
        </w:tc>
        <w:tc>
          <w:tcPr>
            <w:tcW w:w="1064" w:type="dxa"/>
            <w:noWrap w:val="0"/>
            <w:vAlign w:val="center"/>
          </w:tcPr>
          <w:p>
            <w:pPr>
              <w:jc w:val="center"/>
              <w:rPr>
                <w:rFonts w:hint="eastAsia" w:ascii="宋体" w:hAnsi="宋体" w:cs="宋体"/>
                <w:color w:val="auto"/>
                <w:sz w:val="20"/>
                <w:szCs w:val="20"/>
                <w:highlight w:val="none"/>
              </w:rPr>
            </w:pPr>
          </w:p>
        </w:tc>
        <w:tc>
          <w:tcPr>
            <w:tcW w:w="863" w:type="dxa"/>
            <w:noWrap w:val="0"/>
            <w:vAlign w:val="center"/>
          </w:tcPr>
          <w:p>
            <w:pPr>
              <w:jc w:val="center"/>
              <w:rPr>
                <w:rFonts w:hint="eastAsia" w:ascii="宋体" w:hAnsi="宋体" w:cs="宋体"/>
                <w:color w:val="auto"/>
                <w:sz w:val="20"/>
                <w:szCs w:val="20"/>
                <w:highlight w:val="none"/>
              </w:rPr>
            </w:pPr>
          </w:p>
        </w:tc>
        <w:tc>
          <w:tcPr>
            <w:tcW w:w="661" w:type="dxa"/>
            <w:noWrap w:val="0"/>
            <w:vAlign w:val="center"/>
          </w:tcPr>
          <w:p>
            <w:pPr>
              <w:jc w:val="center"/>
              <w:rPr>
                <w:rFonts w:hint="eastAsia" w:ascii="宋体" w:hAnsi="宋体" w:cs="宋体"/>
                <w:color w:val="auto"/>
                <w:sz w:val="20"/>
                <w:szCs w:val="20"/>
                <w:highlight w:val="none"/>
              </w:rPr>
            </w:pP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45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96芯ODF配线架（含适配器，尾纤）</w:t>
            </w:r>
          </w:p>
        </w:tc>
        <w:tc>
          <w:tcPr>
            <w:tcW w:w="401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96位ODF架（ST.SC.FC.LC双工） ANSI/TIA/EIA-568-C.3；YD/T778-2006 2.材料结构：金属框架，表面涂装静电喷塑，塑 料组件 3.进出光纤方便灵活，有充裕的光纤盘存空间，光纤和尾纤弯曲半径不小于 30mm 4.抽拉式设计，集熔接配线一体化的熔接配线配件，不含适配器 5. 每盘端口数量：12位 6. 端口类型：ST 、FC、SC、LC双工通用 7. 安装方式：19″机架式安装 8. 材料：优质钢板 9.表面颜色：白色 10.工作温度：-25℃～+60℃ 11.端口数量/高度：24位/2U，48位/3U，72位/4U，96位/5U，</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SC-LC双芯单模跳线,2米</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规格：单模9/125µm ，OS1级别连接到主干光缆及配线架的光纤尾纤应支持万兆以太网，采用SC、LC接口;使用高磨光磷青铜插芯，耐拨插次数可达1000次以上；标准：ISO/IEC 11801:2002 Ed2.0</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168</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100对110语音配线架</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机架式110型，100对，含20只4对连接块和4只5对连接块</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1U水平理线器（19"机柜用）</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采用优质冷轧钢板材料，确保产品的坚固耐用。大容量设计，有助于布线的条理性；标准19英寸机架安装；</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42U网络机柜（深度600mm，根据实装情况可调整高度）</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42U机柜，规格600*600*2000mm，前门 网孔前门带锁, 网孔双开后门带锁, 全钢侧门可快速装卸 带电源 风扇；SPCC优质冷扎钢板制作；厚度：方孔条2.0mm，托盘2.0mm，骨架和安装梁1.5mm，其他1.2mm;</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放置于模块化机房机柜</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0</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53" w:type="dxa"/>
            <w:noWrap w:val="0"/>
            <w:vAlign w:val="center"/>
          </w:tcPr>
          <w:p>
            <w:pPr>
              <w:jc w:val="center"/>
              <w:rPr>
                <w:rFonts w:hint="eastAsia" w:ascii="宋体" w:hAnsi="宋体" w:cs="宋体"/>
                <w:b/>
                <w:bCs/>
                <w:color w:val="auto"/>
                <w:sz w:val="20"/>
                <w:szCs w:val="20"/>
                <w:highlight w:val="none"/>
              </w:rPr>
            </w:pPr>
          </w:p>
        </w:tc>
        <w:tc>
          <w:tcPr>
            <w:tcW w:w="1452"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设备网布线</w:t>
            </w:r>
          </w:p>
        </w:tc>
        <w:tc>
          <w:tcPr>
            <w:tcW w:w="4013" w:type="dxa"/>
            <w:noWrap w:val="0"/>
            <w:vAlign w:val="center"/>
          </w:tcPr>
          <w:p>
            <w:pPr>
              <w:jc w:val="center"/>
              <w:rPr>
                <w:rFonts w:hint="eastAsia" w:ascii="宋体" w:hAnsi="宋体" w:cs="宋体"/>
                <w:b/>
                <w:bCs/>
                <w:color w:val="auto"/>
                <w:sz w:val="20"/>
                <w:szCs w:val="20"/>
                <w:highlight w:val="none"/>
              </w:rPr>
            </w:pPr>
          </w:p>
        </w:tc>
        <w:tc>
          <w:tcPr>
            <w:tcW w:w="1064" w:type="dxa"/>
            <w:noWrap w:val="0"/>
            <w:vAlign w:val="center"/>
          </w:tcPr>
          <w:p>
            <w:pPr>
              <w:jc w:val="center"/>
              <w:rPr>
                <w:rFonts w:hint="eastAsia" w:ascii="宋体" w:hAnsi="宋体" w:cs="宋体"/>
                <w:b/>
                <w:bCs/>
                <w:color w:val="auto"/>
                <w:sz w:val="20"/>
                <w:szCs w:val="20"/>
                <w:highlight w:val="none"/>
              </w:rPr>
            </w:pPr>
          </w:p>
        </w:tc>
        <w:tc>
          <w:tcPr>
            <w:tcW w:w="863" w:type="dxa"/>
            <w:noWrap w:val="0"/>
            <w:vAlign w:val="center"/>
          </w:tcPr>
          <w:p>
            <w:pPr>
              <w:jc w:val="center"/>
              <w:rPr>
                <w:rFonts w:hint="eastAsia" w:ascii="宋体" w:hAnsi="宋体" w:cs="宋体"/>
                <w:b/>
                <w:bCs/>
                <w:color w:val="auto"/>
                <w:sz w:val="20"/>
                <w:szCs w:val="20"/>
                <w:highlight w:val="none"/>
              </w:rPr>
            </w:pPr>
          </w:p>
        </w:tc>
        <w:tc>
          <w:tcPr>
            <w:tcW w:w="661" w:type="dxa"/>
            <w:noWrap w:val="0"/>
            <w:vAlign w:val="center"/>
          </w:tcPr>
          <w:p>
            <w:pPr>
              <w:jc w:val="center"/>
              <w:rPr>
                <w:rFonts w:hint="eastAsia" w:ascii="宋体" w:hAnsi="宋体" w:cs="宋体"/>
                <w:b/>
                <w:bCs/>
                <w:color w:val="auto"/>
                <w:sz w:val="20"/>
                <w:szCs w:val="20"/>
                <w:highlight w:val="none"/>
              </w:rPr>
            </w:pP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3" w:type="dxa"/>
            <w:noWrap w:val="0"/>
            <w:vAlign w:val="center"/>
          </w:tcPr>
          <w:p>
            <w:pPr>
              <w:jc w:val="center"/>
              <w:rPr>
                <w:rFonts w:hint="eastAsia" w:ascii="宋体" w:hAnsi="宋体" w:cs="宋体"/>
                <w:color w:val="auto"/>
                <w:sz w:val="20"/>
                <w:szCs w:val="20"/>
                <w:highlight w:val="none"/>
              </w:rPr>
            </w:pPr>
          </w:p>
        </w:tc>
        <w:tc>
          <w:tcPr>
            <w:tcW w:w="1452"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（二）水平子系统</w:t>
            </w:r>
          </w:p>
        </w:tc>
        <w:tc>
          <w:tcPr>
            <w:tcW w:w="4013" w:type="dxa"/>
            <w:noWrap w:val="0"/>
            <w:vAlign w:val="center"/>
          </w:tcPr>
          <w:p>
            <w:pPr>
              <w:jc w:val="left"/>
              <w:rPr>
                <w:rFonts w:hint="eastAsia" w:ascii="宋体" w:hAnsi="宋体" w:cs="宋体"/>
                <w:color w:val="auto"/>
                <w:sz w:val="20"/>
                <w:szCs w:val="20"/>
                <w:highlight w:val="none"/>
              </w:rPr>
            </w:pPr>
          </w:p>
        </w:tc>
        <w:tc>
          <w:tcPr>
            <w:tcW w:w="1064" w:type="dxa"/>
            <w:noWrap w:val="0"/>
            <w:vAlign w:val="center"/>
          </w:tcPr>
          <w:p>
            <w:pPr>
              <w:jc w:val="center"/>
              <w:rPr>
                <w:rFonts w:hint="eastAsia" w:ascii="宋体" w:hAnsi="宋体" w:cs="宋体"/>
                <w:color w:val="auto"/>
                <w:sz w:val="20"/>
                <w:szCs w:val="20"/>
                <w:highlight w:val="none"/>
              </w:rPr>
            </w:pPr>
          </w:p>
        </w:tc>
        <w:tc>
          <w:tcPr>
            <w:tcW w:w="863" w:type="dxa"/>
            <w:noWrap w:val="0"/>
            <w:vAlign w:val="center"/>
          </w:tcPr>
          <w:p>
            <w:pPr>
              <w:jc w:val="center"/>
              <w:rPr>
                <w:rFonts w:hint="eastAsia" w:ascii="宋体" w:hAnsi="宋体" w:cs="宋体"/>
                <w:color w:val="auto"/>
                <w:sz w:val="20"/>
                <w:szCs w:val="20"/>
                <w:highlight w:val="none"/>
              </w:rPr>
            </w:pPr>
          </w:p>
        </w:tc>
        <w:tc>
          <w:tcPr>
            <w:tcW w:w="661" w:type="dxa"/>
            <w:noWrap w:val="0"/>
            <w:vAlign w:val="center"/>
          </w:tcPr>
          <w:p>
            <w:pPr>
              <w:jc w:val="center"/>
              <w:rPr>
                <w:rFonts w:hint="eastAsia" w:ascii="宋体" w:hAnsi="宋体" w:cs="宋体"/>
                <w:color w:val="auto"/>
                <w:sz w:val="20"/>
                <w:szCs w:val="20"/>
                <w:highlight w:val="none"/>
              </w:rPr>
            </w:pP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六类非屏蔽双绞线</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芯线规格：23AWG实芯裸铜导体，内部须采用十字骨架分隔结构；</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护套：CM，印有电缆编码护套，有撕裂绳；标准：TIA/EIA568B，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带宽：≥250MHz；阻抗：100±15Ω</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305米/箱</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室外6芯单模光纤</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光纤芯径： 9/125µm单模光纤；零水峰技术，可在1280nm-1625nm全波段内传输；符合国际TIA/EIA-568-B.3和ITU-T G.652C的标准；13010nm衰减系数为0.7db/km,传输距离为10KM;1550nm衰减系数为0.5db/km，传输距离为40KM。</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3" w:type="dxa"/>
            <w:noWrap w:val="0"/>
            <w:vAlign w:val="center"/>
          </w:tcPr>
          <w:p>
            <w:pPr>
              <w:jc w:val="center"/>
              <w:rPr>
                <w:rFonts w:hint="eastAsia" w:ascii="宋体" w:hAnsi="宋体" w:cs="宋体"/>
                <w:color w:val="auto"/>
                <w:sz w:val="20"/>
                <w:szCs w:val="20"/>
                <w:highlight w:val="none"/>
              </w:rPr>
            </w:pPr>
          </w:p>
        </w:tc>
        <w:tc>
          <w:tcPr>
            <w:tcW w:w="1452"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（三）垂直/主干子系统</w:t>
            </w:r>
          </w:p>
        </w:tc>
        <w:tc>
          <w:tcPr>
            <w:tcW w:w="4013" w:type="dxa"/>
            <w:noWrap w:val="0"/>
            <w:vAlign w:val="center"/>
          </w:tcPr>
          <w:p>
            <w:pPr>
              <w:jc w:val="left"/>
              <w:rPr>
                <w:rFonts w:hint="eastAsia" w:ascii="宋体" w:hAnsi="宋体" w:cs="宋体"/>
                <w:color w:val="auto"/>
                <w:sz w:val="20"/>
                <w:szCs w:val="20"/>
                <w:highlight w:val="none"/>
              </w:rPr>
            </w:pPr>
          </w:p>
        </w:tc>
        <w:tc>
          <w:tcPr>
            <w:tcW w:w="1064" w:type="dxa"/>
            <w:noWrap w:val="0"/>
            <w:vAlign w:val="center"/>
          </w:tcPr>
          <w:p>
            <w:pPr>
              <w:jc w:val="center"/>
              <w:rPr>
                <w:rFonts w:hint="eastAsia" w:ascii="宋体" w:hAnsi="宋体" w:cs="宋体"/>
                <w:color w:val="auto"/>
                <w:sz w:val="20"/>
                <w:szCs w:val="20"/>
                <w:highlight w:val="none"/>
              </w:rPr>
            </w:pPr>
          </w:p>
        </w:tc>
        <w:tc>
          <w:tcPr>
            <w:tcW w:w="863" w:type="dxa"/>
            <w:noWrap w:val="0"/>
            <w:vAlign w:val="center"/>
          </w:tcPr>
          <w:p>
            <w:pPr>
              <w:jc w:val="center"/>
              <w:rPr>
                <w:rFonts w:hint="eastAsia" w:ascii="宋体" w:hAnsi="宋体" w:cs="宋体"/>
                <w:color w:val="auto"/>
                <w:sz w:val="20"/>
                <w:szCs w:val="20"/>
                <w:highlight w:val="none"/>
              </w:rPr>
            </w:pPr>
          </w:p>
        </w:tc>
        <w:tc>
          <w:tcPr>
            <w:tcW w:w="661" w:type="dxa"/>
            <w:noWrap w:val="0"/>
            <w:vAlign w:val="center"/>
          </w:tcPr>
          <w:p>
            <w:pPr>
              <w:jc w:val="center"/>
              <w:rPr>
                <w:rFonts w:hint="eastAsia" w:ascii="宋体" w:hAnsi="宋体" w:cs="宋体"/>
                <w:color w:val="auto"/>
                <w:sz w:val="20"/>
                <w:szCs w:val="20"/>
                <w:highlight w:val="none"/>
              </w:rPr>
            </w:pP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室外6芯单模光纤</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光纤芯径： 9/125µm单模光纤；零水峰技术，可在1280nm-1625nm全波段内传输；符合国际TIA/EIA-568-B.3和ITU-T G.652C的标准；13010nm衰减系数为0.7db/km,传输距离为10KM;1550nm衰减系数为0.5db/km，传输距离为40KM。</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53" w:type="dxa"/>
            <w:noWrap w:val="0"/>
            <w:vAlign w:val="center"/>
          </w:tcPr>
          <w:p>
            <w:pPr>
              <w:jc w:val="center"/>
              <w:rPr>
                <w:rFonts w:hint="eastAsia" w:ascii="宋体" w:hAnsi="宋体" w:cs="宋体"/>
                <w:color w:val="auto"/>
                <w:sz w:val="20"/>
                <w:szCs w:val="20"/>
                <w:highlight w:val="none"/>
              </w:rPr>
            </w:pPr>
          </w:p>
        </w:tc>
        <w:tc>
          <w:tcPr>
            <w:tcW w:w="1452"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（四）配线间子系统</w:t>
            </w:r>
          </w:p>
        </w:tc>
        <w:tc>
          <w:tcPr>
            <w:tcW w:w="4013" w:type="dxa"/>
            <w:noWrap w:val="0"/>
            <w:vAlign w:val="center"/>
          </w:tcPr>
          <w:p>
            <w:pPr>
              <w:jc w:val="left"/>
              <w:rPr>
                <w:rFonts w:hint="eastAsia" w:ascii="宋体" w:hAnsi="宋体" w:cs="宋体"/>
                <w:color w:val="auto"/>
                <w:sz w:val="20"/>
                <w:szCs w:val="20"/>
                <w:highlight w:val="none"/>
              </w:rPr>
            </w:pPr>
          </w:p>
        </w:tc>
        <w:tc>
          <w:tcPr>
            <w:tcW w:w="1064" w:type="dxa"/>
            <w:noWrap w:val="0"/>
            <w:vAlign w:val="center"/>
          </w:tcPr>
          <w:p>
            <w:pPr>
              <w:jc w:val="center"/>
              <w:rPr>
                <w:rFonts w:hint="eastAsia" w:ascii="宋体" w:hAnsi="宋体" w:cs="宋体"/>
                <w:color w:val="auto"/>
                <w:sz w:val="20"/>
                <w:szCs w:val="20"/>
                <w:highlight w:val="none"/>
              </w:rPr>
            </w:pPr>
          </w:p>
        </w:tc>
        <w:tc>
          <w:tcPr>
            <w:tcW w:w="863" w:type="dxa"/>
            <w:noWrap w:val="0"/>
            <w:vAlign w:val="center"/>
          </w:tcPr>
          <w:p>
            <w:pPr>
              <w:jc w:val="center"/>
              <w:rPr>
                <w:rFonts w:hint="eastAsia" w:ascii="宋体" w:hAnsi="宋体" w:cs="宋体"/>
                <w:color w:val="auto"/>
                <w:sz w:val="20"/>
                <w:szCs w:val="20"/>
                <w:highlight w:val="none"/>
              </w:rPr>
            </w:pPr>
          </w:p>
        </w:tc>
        <w:tc>
          <w:tcPr>
            <w:tcW w:w="661" w:type="dxa"/>
            <w:noWrap w:val="0"/>
            <w:vAlign w:val="center"/>
          </w:tcPr>
          <w:p>
            <w:pPr>
              <w:jc w:val="center"/>
              <w:rPr>
                <w:rFonts w:hint="eastAsia" w:ascii="宋体" w:hAnsi="宋体" w:cs="宋体"/>
                <w:color w:val="auto"/>
                <w:sz w:val="20"/>
                <w:szCs w:val="20"/>
                <w:highlight w:val="none"/>
              </w:rPr>
            </w:pP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六类24口数据配线架</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 24口RJ45模块化结构，后面带背面理线盘。标准：ISO/IEC 11801:2002 Ed2.0，TIA/EIA-568-B.2-1；设计：提供符合T568A和T568B两种端接标准的可互换色标标签；配线架前端具有防尘保护。保证至少750次插接和20次的重复端接</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六类非屏蔽跳线,2米</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标准：TIA/EIA-568B.2-1和ISO11801 2nd；RJ45水晶头插拔次数&gt;1000 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传输带宽≥250MHz，阻抗: 100 ohms±15%。</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条</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400</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8芯光纤终端盒</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规格：8芯SC光纤接入能力，保证光纤的盘绕、固定和接续。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标准：ISO/IEC 11801:2002 Ed2.0</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12芯抽屉式光纤配线架</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规格：12芯SC光纤接入能力，适合19"标准机柜安装有足够空间保证光纤的盘绕、固定和接续，带有管理器及固定附件。标准：ISO/IEC 11801:2002 Ed2.0；19英寸机架式安装，要能提供各种形式的光纤耦合器（ST、SC、MTRJ、LC等）。</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SC适配器</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采用磷青铜套管材料</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条</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144</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SC单模尾纤,1米</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规格：单模9/125µm ，OS1级别连接到主干光缆及配线架的光纤尾纤应支持万兆以太网，采用SC接口;使用高磨光磷青铜插芯，耐拨插次数可达1000次以上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标准：ISO/IEC 11801:2002 Ed2.0；最大损耗：&lt; 0.75dB</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SC-LC双芯单模跳线,2米</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规格：单模9/125µm ，OS1级别连接到主干光缆及配线架的光纤尾纤应支持万兆以太网，采用SC、LC接口;使用高磨光磷青铜插芯，耐拨插次数可达1000次以上；标准：ISO/IEC 11801:2002 Ed2.0</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条</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1U水平理线器（19"机柜用）</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采用优质冷轧钢板材料，确保产品的坚固耐用。大容量设计，有助于布线的条理性；标准19英寸机架安装；</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36</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42U网络机柜（深度600mm，根据实装情况可调整高度）</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42U机柜，规格600*600*2000mm，前门 网孔前门带锁, 网孔双开后门带锁, 全钢侧门可快速装卸 带电源 风扇  符合ANSI/EIA RS-310-D、IEC297-2、DIN41491; PART1、DIN41494; PART7、 GB/T3047.2- 92标准;兼容ETSI标准.SPCC优质冷扎钢板制作；厚度：方孔条2.0mm，托盘2.0mm，骨架和安装梁1.5mm，其他1.2mm;</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654"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3" w:type="dxa"/>
            <w:noWrap w:val="0"/>
            <w:vAlign w:val="center"/>
          </w:tcPr>
          <w:p>
            <w:pPr>
              <w:jc w:val="center"/>
              <w:rPr>
                <w:rFonts w:hint="eastAsia" w:ascii="宋体" w:hAnsi="宋体" w:cs="宋体"/>
                <w:color w:val="auto"/>
                <w:sz w:val="20"/>
                <w:szCs w:val="20"/>
                <w:highlight w:val="none"/>
              </w:rPr>
            </w:pPr>
          </w:p>
        </w:tc>
        <w:tc>
          <w:tcPr>
            <w:tcW w:w="1452"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（五）管理子系统</w:t>
            </w:r>
          </w:p>
        </w:tc>
        <w:tc>
          <w:tcPr>
            <w:tcW w:w="4013" w:type="dxa"/>
            <w:noWrap w:val="0"/>
            <w:vAlign w:val="center"/>
          </w:tcPr>
          <w:p>
            <w:pPr>
              <w:jc w:val="center"/>
              <w:rPr>
                <w:rFonts w:hint="eastAsia" w:ascii="宋体" w:hAnsi="宋体" w:cs="宋体"/>
                <w:color w:val="auto"/>
                <w:sz w:val="20"/>
                <w:szCs w:val="20"/>
                <w:highlight w:val="none"/>
              </w:rPr>
            </w:pPr>
          </w:p>
        </w:tc>
        <w:tc>
          <w:tcPr>
            <w:tcW w:w="1064" w:type="dxa"/>
            <w:noWrap w:val="0"/>
            <w:vAlign w:val="center"/>
          </w:tcPr>
          <w:p>
            <w:pPr>
              <w:jc w:val="center"/>
              <w:rPr>
                <w:rFonts w:hint="eastAsia" w:ascii="宋体" w:hAnsi="宋体" w:cs="宋体"/>
                <w:color w:val="auto"/>
                <w:sz w:val="20"/>
                <w:szCs w:val="20"/>
                <w:highlight w:val="none"/>
              </w:rPr>
            </w:pPr>
          </w:p>
        </w:tc>
        <w:tc>
          <w:tcPr>
            <w:tcW w:w="863" w:type="dxa"/>
            <w:noWrap w:val="0"/>
            <w:vAlign w:val="center"/>
          </w:tcPr>
          <w:p>
            <w:pPr>
              <w:jc w:val="center"/>
              <w:rPr>
                <w:rFonts w:hint="eastAsia" w:ascii="宋体" w:hAnsi="宋体" w:cs="宋体"/>
                <w:color w:val="auto"/>
                <w:sz w:val="20"/>
                <w:szCs w:val="20"/>
                <w:highlight w:val="none"/>
              </w:rPr>
            </w:pPr>
          </w:p>
        </w:tc>
        <w:tc>
          <w:tcPr>
            <w:tcW w:w="661" w:type="dxa"/>
            <w:noWrap w:val="0"/>
            <w:vAlign w:val="center"/>
          </w:tcPr>
          <w:p>
            <w:pPr>
              <w:jc w:val="center"/>
              <w:rPr>
                <w:rFonts w:hint="eastAsia" w:ascii="宋体" w:hAnsi="宋体" w:cs="宋体"/>
                <w:color w:val="auto"/>
                <w:sz w:val="20"/>
                <w:szCs w:val="20"/>
                <w:highlight w:val="none"/>
              </w:rPr>
            </w:pP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45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96芯ODF配线架（含适配器，尾纤）</w:t>
            </w:r>
          </w:p>
        </w:tc>
        <w:tc>
          <w:tcPr>
            <w:tcW w:w="401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96位ODF架（ST.SC.FC.LC双工） ANSI/TIA/EIA-568-C.3；YD/T778-2006 2.材料结构：金属框架，表面涂装静电喷塑，塑 料组件 3.进出光纤方便灵活，有充裕的光纤盘存空间，光纤和尾纤弯曲半径不小于 30mm 4.抽拉式设计，集熔接配线一体化的熔接配线配件，不含适配器 5. 每盘端口数量：12位 6. 端口类型：ST 、FC、SC、LC双工通用 7. 安装方式：19″机架式安装 8. 材料：优质钢板 9.表面颜色：白色 10.工作温度：-25℃～+60℃ 11.端口数量/高度：24位/2U，48位/3U，72位/4U，96位/5U，</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SC-LC双芯单模跳线,2米</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规格：单模9/125µm ，OS1级别连接到主干光缆及配线架的光纤尾纤应支持万兆以太网，采用SC、LC接口;使用高磨光磷青铜插芯，耐拨插次数可达1000次以上；标准：ISO/IEC 11801:2002 Ed2.0</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108</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1U水平理线器（19"机柜用）</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采用优质冷轧钢板材料，确保产品的坚固耐用。大容量设计，有助于布线的条理性；标准19英寸机架安装；</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六类24口数据配线架</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规格： 24口RJ45模块化结构，后面带背面理线盘。标准：ISO/IEC 11801:2002 Ed2.0，TIA/EIA-568-B.2-1；设计：提供符合T568A和T568B两种端接标准的可互换色标标签；配线架前端具有防尘保护。保证至少750次插接和20次的重复端接</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54"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45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452"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42U网络机柜（深度600mm，根据实装情况可调整高度）</w:t>
            </w:r>
          </w:p>
        </w:tc>
        <w:tc>
          <w:tcPr>
            <w:tcW w:w="401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42U机柜，规格600*600*2000mm，前门 网孔前门带锁, 网孔双开后门带锁, 全钢侧门可快速装卸 带电源 风扇；SPCC优质冷扎钢板制作；厚度：方孔条2.0mm，托盘2.0mm，骨架和安装梁1.5mm，其他1.2mm;</w:t>
            </w:r>
          </w:p>
        </w:tc>
        <w:tc>
          <w:tcPr>
            <w:tcW w:w="1064"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86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6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54" w:type="dxa"/>
            <w:noWrap/>
            <w:vAlign w:val="center"/>
          </w:tcPr>
          <w:p>
            <w:pPr>
              <w:rPr>
                <w:rFonts w:hint="eastAsia" w:ascii="宋体" w:hAnsi="宋体" w:cs="宋体"/>
                <w:color w:val="auto"/>
                <w:sz w:val="20"/>
                <w:szCs w:val="20"/>
                <w:highlight w:val="none"/>
              </w:rPr>
            </w:pPr>
          </w:p>
        </w:tc>
      </w:tr>
    </w:tbl>
    <w:p>
      <w:pPr>
        <w:pStyle w:val="4"/>
        <w:rPr>
          <w:rFonts w:ascii="宋体" w:hAnsi="宋体" w:eastAsia="宋体" w:cs="宋体"/>
          <w:color w:val="auto"/>
          <w:sz w:val="20"/>
          <w:szCs w:val="20"/>
          <w:highlight w:val="none"/>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cs="宋体"/>
          <w:b/>
          <w:color w:val="auto"/>
          <w:sz w:val="20"/>
          <w:szCs w:val="20"/>
          <w:highlight w:val="none"/>
        </w:rPr>
      </w:pPr>
    </w:p>
    <w:tbl>
      <w:tblPr>
        <w:tblStyle w:val="13"/>
        <w:tblW w:w="0" w:type="auto"/>
        <w:tblInd w:w="96" w:type="dxa"/>
        <w:tblLayout w:type="fixed"/>
        <w:tblCellMar>
          <w:top w:w="0" w:type="dxa"/>
          <w:left w:w="108" w:type="dxa"/>
          <w:bottom w:w="0" w:type="dxa"/>
          <w:right w:w="108" w:type="dxa"/>
        </w:tblCellMar>
      </w:tblPr>
      <w:tblGrid>
        <w:gridCol w:w="1220"/>
        <w:gridCol w:w="1328"/>
        <w:gridCol w:w="3611"/>
        <w:gridCol w:w="1398"/>
        <w:gridCol w:w="638"/>
        <w:gridCol w:w="671"/>
        <w:gridCol w:w="674"/>
      </w:tblGrid>
      <w:tr>
        <w:tblPrEx>
          <w:tblCellMar>
            <w:top w:w="0" w:type="dxa"/>
            <w:left w:w="108" w:type="dxa"/>
            <w:bottom w:w="0" w:type="dxa"/>
            <w:right w:w="108" w:type="dxa"/>
          </w:tblCellMar>
        </w:tblPrEx>
        <w:trPr>
          <w:trHeight w:val="499" w:hRule="atLeast"/>
        </w:trPr>
        <w:tc>
          <w:tcPr>
            <w:tcW w:w="9540" w:type="dxa"/>
            <w:gridSpan w:val="7"/>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auto"/>
                <w:sz w:val="24"/>
                <w:szCs w:val="24"/>
                <w:highlight w:val="none"/>
              </w:rPr>
            </w:pPr>
            <w:r>
              <w:rPr>
                <w:rFonts w:hint="eastAsia" w:ascii="宋体" w:hAnsi="宋体" w:cs="宋体"/>
                <w:b/>
                <w:bCs/>
                <w:color w:val="auto"/>
                <w:kern w:val="0"/>
                <w:sz w:val="20"/>
                <w:szCs w:val="20"/>
                <w:highlight w:val="none"/>
                <w:lang w:bidi="ar"/>
              </w:rPr>
              <w:t>计算机网络系统设备清单</w:t>
            </w:r>
          </w:p>
        </w:tc>
      </w:tr>
      <w:tr>
        <w:tblPrEx>
          <w:tblCellMar>
            <w:top w:w="0" w:type="dxa"/>
            <w:left w:w="108" w:type="dxa"/>
            <w:bottom w:w="0" w:type="dxa"/>
            <w:right w:w="108" w:type="dxa"/>
          </w:tblCellMar>
        </w:tblPrEx>
        <w:trPr>
          <w:trHeight w:val="499" w:hRule="atLeast"/>
        </w:trPr>
        <w:tc>
          <w:tcPr>
            <w:tcW w:w="9540" w:type="dxa"/>
            <w:gridSpan w:val="7"/>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auto"/>
                <w:sz w:val="24"/>
                <w:szCs w:val="24"/>
                <w:highlight w:val="none"/>
              </w:rPr>
            </w:pPr>
            <w:r>
              <w:rPr>
                <w:rFonts w:hint="eastAsia" w:ascii="宋体" w:hAnsi="宋体" w:cs="宋体"/>
                <w:b/>
                <w:bCs/>
                <w:color w:val="auto"/>
                <w:kern w:val="0"/>
                <w:sz w:val="20"/>
                <w:szCs w:val="20"/>
                <w:highlight w:val="none"/>
                <w:lang w:bidi="ar"/>
              </w:rPr>
              <w:t>子系统名称：计算机网络系统</w:t>
            </w:r>
          </w:p>
        </w:tc>
      </w:tr>
      <w:tr>
        <w:tblPrEx>
          <w:tblCellMar>
            <w:top w:w="0" w:type="dxa"/>
            <w:left w:w="108" w:type="dxa"/>
            <w:bottom w:w="0" w:type="dxa"/>
            <w:right w:w="108" w:type="dxa"/>
          </w:tblCellMar>
        </w:tblPrEx>
        <w:trPr>
          <w:trHeight w:val="434"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设备名称</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技术参数</w:t>
            </w:r>
          </w:p>
        </w:tc>
        <w:tc>
          <w:tcPr>
            <w:tcW w:w="1398"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推荐品牌</w:t>
            </w:r>
          </w:p>
        </w:tc>
        <w:tc>
          <w:tcPr>
            <w:tcW w:w="638"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67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xml:space="preserve">数量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b/>
                <w:bCs/>
                <w:color w:val="auto"/>
                <w:sz w:val="20"/>
                <w:szCs w:val="20"/>
                <w:highlight w:val="none"/>
              </w:rPr>
            </w:pPr>
            <w:r>
              <w:rPr>
                <w:rFonts w:hint="eastAsia"/>
                <w:b/>
                <w:bCs/>
                <w:color w:val="auto"/>
                <w:sz w:val="20"/>
                <w:szCs w:val="20"/>
                <w:highlight w:val="none"/>
              </w:rPr>
              <w:t>备注</w:t>
            </w: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校园网</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20"/>
                <w:szCs w:val="20"/>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防火墙</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0"/>
                <w:szCs w:val="20"/>
                <w:highlight w:val="none"/>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0"/>
                <w:szCs w:val="20"/>
                <w:highlight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防火墙交流主机</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不在本次招标范围内</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0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核心交换机</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核心交换机</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整机独立主控引擎插槽≥2个，独立业务插槽≥3个，风扇≥2个，电源槽位≥2个；交换容量≥162Tbps，包转发性能≥36760Mpps，若所投设备支持独立交换网板，需满配交换网板以保障其性能；支持能效以太网功能(EEE)， IEEE 802.3az；支持虚拟化技术，可将多台物理设备虚拟化为1台逻辑设备，虚拟组内设备具备统一的二层及三层转发表项，统一的管理界面；支持防雷等级≥6KV；为提高设备面板空间利用率，要求采用高密度端口设计，所投产品单张业务卡最大可用物理端口≥52个；支持多对一镜像,基于流的镜像，一对多镜像。支持SPAN、RSPAN远程镜像，支持VLAN的镜像；支持IPv6静态路由、RIPng、OSPF vBGP4+ 等路由协议；采用模块化操作系统，支持多进程备份及ISSU不中断业务升级特性；本次配置：双引擎双电源，72个千兆光口，48个千兆电口，12口万兆光口，12口电口复用</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千兆光模块</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单模模块-(1310nm,10km)</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16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接入交换机</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0"/>
                <w:szCs w:val="20"/>
                <w:highlight w:val="none"/>
              </w:rPr>
            </w:pPr>
          </w:p>
        </w:tc>
        <w:tc>
          <w:tcPr>
            <w:tcW w:w="6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Arial" w:hAnsi="Arial" w:cs="Arial"/>
                <w:color w:val="auto"/>
                <w:sz w:val="20"/>
                <w:szCs w:val="20"/>
                <w:highlight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24口千兆交换机</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交换容量≥3.36Tbps，转发性能≥126Mpps；固化10/100/1000M以太网端口≥24，非复用SFP千兆光接口≥4个；设备MAC地址≥16K；支持1对1对多、多对1和基于流的镜像；且支持RSPAN和ERSPAN；产品端口浪涌抗扰度≥10KV（即具备10KV的防雷能力），支持IEEE 802.3az标准的EEE节能技术</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48口千兆交换机</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交换容量≥4.32Tbps，转发性能≥166Mpps；固化10/100/1000M以太网端口≥48，非复用SFP千兆光接口≥4个；要求所投设备MAC地址≥16K；设备支持1对1对多、多对1和基于流的镜像；且支持RSPAN和ERSPAN；支持IEEE 802.3az标准的EEE节能技术；产品端口浪涌抗扰度≥10KV（即具备10KV的防雷能力）；</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16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24口千兆POE交换机</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交换容量≥3.36Tbps，转发性能≥126Mpps；固化10/100/1000M以太网端口≥24，非复用SFP千兆光接口≥4个；支持POE和POE+,同时可POE供电端口≥24个，POE最大输出功率≥370W；设备MAC地址≥16K；支持IEEE 802.3az标准的EEE节能技术；产品端口浪涌抗扰度≥8KV（即具备8KV的防雷能力）；</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7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8口千兆POE交换机</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固化10/100/1000M以太网电口≥8个，100/1000M SFP千兆光接口≥2个；交换容量≥256Gbps，包转发率≥30Mpps；产品支持POE和POE+远程供电，POE供电功率为125W，避免设备运行时产生噪声污染，设备采用静音设计，噪声指标＜35dB，</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5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千兆光模块</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单模模块-(1310nm,10km)</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16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堆叠电缆（含2个光模块）</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SFP+接口铜缆，长度1米，包含一根线缆+两个接口模块</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10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无线AP</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6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0"/>
                <w:szCs w:val="20"/>
                <w:highlight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0"/>
                <w:szCs w:val="20"/>
                <w:highlight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室内AP</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支持标准的802.11ax协议,采用双路双频设计，可同时工作在802.11ax和802.11a/b/g/n/ac模式，支持mu-mimo特性；支持4条空间流,单频最大接入速率1.2Gbps,整机最大接入速率1.775Gbps1个10/100/1000Base-T以太网口，支持PoE供电为保障设备受到外部机械碰撞仍可以保持结构完整、功能完备，室内无线接入点符合国标GB/T 20138-2006即《电器设备外壳对外界机械碰撞的防护等级（IK代码）》标准，产品具备NAT功能。</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35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室内高密AP</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支持802.11ax标准，采用硬件独立的三射频设计整机支持6条流，整机最大接入速率≥3.267Gbps2个以太网口，其中1个10/100/1000M/2.5GE电口，另一个1个10/100/1000M电口支持1个10/100/1000M以太网端口对外供电，扩展物联网模块支持蓝牙5.0（内置）。AP在5G频段VHT160 Wi-Fi 6时单用户上下行性能不低于2.2Gbps。</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64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室外定向AP</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射频设计双路双频设计，其中一路射频支持2.4G/5G频段灵活切换：Radio1：2.4G 11ax/5G 11ax：2*2 MIMORadio2：5G 11ax：2*2 MIMO传输协议支持标准的802.11ax协议，可同时工作在802.11ax和802.11a/b/g/n/ac模式工作频段；整机4条空间流，2.4G频段最高支持2条空间流，5G频段最高支持4条空间流传输速率整机最大接入速率2.4GbpsRadio1：5G 1.2GbpsRadio2：5G 1.2Gbps 2.4G + 5G工作模式时，整机最大接入速率1.775Gbps环境工作温度：-40°C～65°C存储温度：-40°C～85°C工作湿度：0％～100％（无凝结）存储湿度：0％～100％（无凝结）</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4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POE供电模块</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20"/>
                <w:szCs w:val="20"/>
                <w:highlight w:val="none"/>
              </w:rPr>
            </w:pPr>
            <w:r>
              <w:rPr>
                <w:rFonts w:ascii="宋体" w:hAnsi="宋体" w:cs="宋体"/>
                <w:color w:val="auto"/>
                <w:kern w:val="0"/>
                <w:sz w:val="20"/>
                <w:szCs w:val="20"/>
                <w:highlight w:val="none"/>
                <w:lang w:bidi="ar"/>
              </w:rPr>
              <w:t>单端口以太网供电适配器（千兆端口、支持802.3at协议标准供电）支持802.3at/802.3af供电；适用市场全品牌可802.3at/802.3af供电模式AP无线接入点；输入：110-240V~0.75A MAX 50/60Hz；输出：53V</w:t>
            </w:r>
            <w:r>
              <w:rPr>
                <w:rStyle w:val="25"/>
                <w:color w:val="auto"/>
                <w:highlight w:val="none"/>
                <w:lang w:bidi="ar"/>
              </w:rPr>
              <w:t>⎓</w:t>
            </w:r>
            <w:r>
              <w:rPr>
                <w:rStyle w:val="34"/>
                <w:color w:val="auto"/>
                <w:highlight w:val="none"/>
                <w:lang w:bidi="ar"/>
              </w:rPr>
              <w:t>0.6A +（4，5）pins，-（7，8）pins</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68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无线控制器（含112个授权）</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固化千兆电口≥8个，固化千兆光口≥1个，设备固化万兆光口≥1个，内部实配硬盘插槽，且实配硬盘容量≥1T；本次配置可管理AP数量≥112个，最大可管理AP数≥1000个；设备可配置AP的本地数据转发技术模式；支持内置portal认证页面定制，有专业知识的人员可以定义任何页面，做到完全自定义包上传；对Wall AP可支持的容量翻倍；</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 </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弱电设备网</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核心交换机主机</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整机独立主控引擎插槽≥2个，独立业务插槽≥3个，风扇≥2个，电源槽位≥2个；交换容量≥162Tbps，包转发性能≥36760Mpps，若所投设备支持独立交换网板，需满配交换网板以保障其性能；支持能效以太网功能(EEE)， IEEE 802.3az；支持虚拟化技术，可将多台物理设备虚拟化为1台逻辑设备，虚拟组内设备具备统一的二层及三层转发表项，统一的管理界面；所投产品支持防雷等级≥6KV；为提高设备面板空间利用率，要求采用高密度端口设计，单张业务卡最大可用物理端口≥52个；支持多对一镜像,基于流的镜像，一对多镜像。支持SPAN、RSPAN远程镜像，支持VLAN的镜像；支持IPv6静态路由、RIPng、OSPF vBGP4+ 等路由协议；采用模块化操作系统，支持多进程备份及ISSU不中断业务升级特性；本次配置：双引擎双电源，48光+48电+8万兆光</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主控引擎</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引擎模块</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交流电源模块</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电源模块（交流，300W）</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接口业务板卡</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≥24端口千兆以太网电口(RJ45)，≥24端口千兆以太网光口(SFP,LC)，≥4端口万兆以太网光口(SFP+,LC)，不包含引擎和交换板上的接口</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单模光模块</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单模模块-(1310nm,10km)</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34</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24口接入层交换机</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交换容量≥3.36Tbps，转发性能≥126Mpps；固化10/100/1000M以太网端口≥24，非复用SFP千兆光接口≥4个；设备MAC地址≥16K；支持1对1对多、多对1和基于流的镜像；且支持RSPAN和ERSPAN；产品端口浪涌抗扰度≥10KV（即具备10KV的防雷能力），支持IEEE 802.3az标准的EEE节能技术</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48口接入层交换机</w:t>
            </w:r>
          </w:p>
        </w:tc>
        <w:tc>
          <w:tcPr>
            <w:tcW w:w="36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交换容量≥4.32Tbps，转发性能≥166Mpps；固化10/100/1000M以太网端口≥48，非复用SFP千兆光接口≥4个；要求所投设备MAC地址≥16K；设备支持1对1对多、多对1和基于流的镜像；且支持RSPAN和ERSPAN；支持IEEE 802.3az标准的EEE节能技术；产品端口浪涌抗扰度≥10KV（即具备10KV的防雷能力）；</w:t>
            </w:r>
          </w:p>
        </w:tc>
        <w:tc>
          <w:tcPr>
            <w:tcW w:w="13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华为、华三、锐捷</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674"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bl>
    <w:p>
      <w:pPr>
        <w:spacing w:line="360" w:lineRule="auto"/>
        <w:rPr>
          <w:rFonts w:ascii="宋体" w:hAnsi="宋体" w:cs="宋体"/>
          <w:b/>
          <w:color w:val="auto"/>
          <w:sz w:val="20"/>
          <w:szCs w:val="20"/>
          <w:highlight w:val="none"/>
        </w:rPr>
        <w:sectPr>
          <w:pgSz w:w="11906" w:h="16838"/>
          <w:pgMar w:top="1247" w:right="1191" w:bottom="1134" w:left="1191" w:header="851" w:footer="851" w:gutter="0"/>
          <w:cols w:space="720" w:num="1"/>
          <w:docGrid w:type="linesAndChars" w:linePitch="312" w:charSpace="0"/>
        </w:sectPr>
      </w:pPr>
    </w:p>
    <w:tbl>
      <w:tblPr>
        <w:tblStyle w:val="13"/>
        <w:tblW w:w="0" w:type="auto"/>
        <w:tblInd w:w="96" w:type="dxa"/>
        <w:tblLayout w:type="fixed"/>
        <w:tblCellMar>
          <w:top w:w="0" w:type="dxa"/>
          <w:left w:w="108" w:type="dxa"/>
          <w:bottom w:w="0" w:type="dxa"/>
          <w:right w:w="108" w:type="dxa"/>
        </w:tblCellMar>
      </w:tblPr>
      <w:tblGrid>
        <w:gridCol w:w="633"/>
        <w:gridCol w:w="1567"/>
        <w:gridCol w:w="3893"/>
        <w:gridCol w:w="1061"/>
        <w:gridCol w:w="596"/>
        <w:gridCol w:w="598"/>
        <w:gridCol w:w="731"/>
      </w:tblGrid>
      <w:tr>
        <w:tblPrEx>
          <w:tblCellMar>
            <w:top w:w="0" w:type="dxa"/>
            <w:left w:w="108" w:type="dxa"/>
            <w:bottom w:w="0" w:type="dxa"/>
            <w:right w:w="108" w:type="dxa"/>
          </w:tblCellMar>
        </w:tblPrEx>
        <w:trPr>
          <w:trHeight w:val="273" w:hRule="atLeast"/>
        </w:trPr>
        <w:tc>
          <w:tcPr>
            <w:tcW w:w="9079" w:type="dxa"/>
            <w:gridSpan w:val="7"/>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auto"/>
                <w:sz w:val="24"/>
                <w:szCs w:val="24"/>
                <w:highlight w:val="none"/>
              </w:rPr>
            </w:pPr>
            <w:r>
              <w:rPr>
                <w:rFonts w:hint="eastAsia" w:ascii="宋体" w:hAnsi="宋体" w:cs="宋体"/>
                <w:b/>
                <w:bCs/>
                <w:color w:val="auto"/>
                <w:kern w:val="0"/>
                <w:sz w:val="18"/>
                <w:szCs w:val="18"/>
                <w:highlight w:val="none"/>
                <w:lang w:bidi="ar"/>
              </w:rPr>
              <w:t>数字化校园广播系统设备清单</w:t>
            </w:r>
          </w:p>
        </w:tc>
      </w:tr>
      <w:tr>
        <w:tblPrEx>
          <w:tblCellMar>
            <w:top w:w="0" w:type="dxa"/>
            <w:left w:w="108" w:type="dxa"/>
            <w:bottom w:w="0" w:type="dxa"/>
            <w:right w:w="108" w:type="dxa"/>
          </w:tblCellMar>
        </w:tblPrEx>
        <w:trPr>
          <w:trHeight w:val="383" w:hRule="atLeast"/>
        </w:trPr>
        <w:tc>
          <w:tcPr>
            <w:tcW w:w="9079" w:type="dxa"/>
            <w:gridSpan w:val="7"/>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4"/>
                <w:szCs w:val="24"/>
                <w:highlight w:val="none"/>
              </w:rPr>
            </w:pPr>
            <w:r>
              <w:rPr>
                <w:rFonts w:hint="eastAsia" w:ascii="宋体" w:hAnsi="宋体" w:cs="宋体"/>
                <w:b/>
                <w:bCs/>
                <w:color w:val="auto"/>
                <w:kern w:val="0"/>
                <w:sz w:val="18"/>
                <w:szCs w:val="18"/>
                <w:highlight w:val="none"/>
                <w:lang w:bidi="ar"/>
              </w:rPr>
              <w:t>子系统名称：数字化校园广播</w:t>
            </w:r>
          </w:p>
        </w:tc>
      </w:tr>
      <w:tr>
        <w:tblPrEx>
          <w:tblCellMar>
            <w:top w:w="0" w:type="dxa"/>
            <w:left w:w="108" w:type="dxa"/>
            <w:bottom w:w="0" w:type="dxa"/>
            <w:right w:w="108" w:type="dxa"/>
          </w:tblCellMar>
        </w:tblPrEx>
        <w:trPr>
          <w:trHeight w:val="20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设备名称</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技术参数</w:t>
            </w:r>
          </w:p>
        </w:tc>
        <w:tc>
          <w:tcPr>
            <w:tcW w:w="106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推荐品牌</w:t>
            </w:r>
          </w:p>
        </w:tc>
        <w:tc>
          <w:tcPr>
            <w:tcW w:w="596"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598"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 xml:space="preserve">数量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b/>
                <w:bCs/>
                <w:color w:val="auto"/>
                <w:sz w:val="20"/>
                <w:szCs w:val="20"/>
                <w:highlight w:val="none"/>
              </w:rPr>
            </w:pPr>
            <w:r>
              <w:rPr>
                <w:rFonts w:hint="eastAsia"/>
                <w:b/>
                <w:bCs/>
                <w:color w:val="auto"/>
                <w:sz w:val="20"/>
                <w:szCs w:val="20"/>
                <w:highlight w:val="none"/>
              </w:rPr>
              <w:t>备注</w:t>
            </w:r>
          </w:p>
        </w:tc>
      </w:tr>
      <w:tr>
        <w:tblPrEx>
          <w:tblCellMar>
            <w:top w:w="0" w:type="dxa"/>
            <w:left w:w="108" w:type="dxa"/>
            <w:bottom w:w="0" w:type="dxa"/>
            <w:right w:w="108" w:type="dxa"/>
          </w:tblCellMar>
        </w:tblPrEx>
        <w:trPr>
          <w:trHeight w:val="358" w:hRule="atLeast"/>
        </w:trPr>
        <w:tc>
          <w:tcPr>
            <w:tcW w:w="22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一、广播室设备</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bCs/>
                <w:color w:val="auto"/>
                <w:sz w:val="18"/>
                <w:szCs w:val="18"/>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54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网络远程寻呼站</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嵌入式互联网+智慧云音视频应急广播寻呼分控话筒软件配套使用；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10.1英寸真彩色屏，触控操作，人性化人机操作界面，简单快捷；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采用Linux系统，高端六核64位高性能ARM芯片，内存2GB，缓存8GB高速固态EMMC， 性能稳定，运行快捷；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电路设计多重保全功能：电源电压监控，电流限流，终端意外死机自动重启，多重防雷，防静电损坏，确保全天候无故障工作；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防电磁干扰设计，防潮工艺，器件严格选材，满足-20℃～70℃条件下工作；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具有红色紧急预警按钮，当有紧急突发事件时，按下此按钮就及时启动广播预警；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支持点播本媒体库节目，支持通过话筒广播呼叫功能，广播延时低于50毫秒；</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支持多种呼叫策略，包括呼叫等待、呼叫转移、无人接听提醒；自动接听、手动接听，支持自定义接听提示音，支持转移时间、无人接听时间、呼叫等待时间自定义；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支持监看终端绑定摄像头图像；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支持地图显示终端位置，状态；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具有与各终端、互联网+智慧云音视频应急广播寻呼分控话筒实现双向对讲功能；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内置高保真3W/8Ω全频监听喇叭，实现网络监听；</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具有采播本机U盘MP3、线路、话筒等音源向指定终端广播功能；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具有本机点播平台媒体库音源向指定终端广播功能；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具有实时时钟显示并支持自动校准时间功能；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具有设置、修改本机IP地址功能；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具有待机界面支持界面调节监听音量功能；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具有数字密码保护功能，输入密码才能进入菜单操作；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具有USB2.0/USB3.0插口，支持U盘播放；</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具有外接触摸设备接口，；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具有HDMI接口，可外接大尺寸屏幕，扩展显示区域；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具有RS232接口，方便外控外部设备；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具有1路3.5音频输入接口（可扩展外置节目源，支持采集播放功能）灵敏度可调和1路3.5音频输出接口（可接有源音箱，扩展监听功率）；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具有1路短路输出接口、1路短路输入接口（功能可编辑）；</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配置高指向拾音麦克风，保证通话清晰无干扰；（灯环提示，抗手机、电磁、高频干扰）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068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网络监听音箱</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内置5.5寸中低音+3寸高音高保真喇叭单元，额定功率：30W，音质清晰优美；</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内置高保真D类2*50W功放电路，音质细腻，功率强劲；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双电源设计：核心板单独电源供电，确保电源不受影响，彻底分开数字地与模拟地，极大提高信噪比；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电路设计多重保全功能：电源电压监控，电流限流，终端意外死机自动重启，多重防雷，防静电损坏，确保全天候无故障工作；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每个设备自带二维码身份信息，通过手机APP扫描后可直接现场修改设备设备名称，设备定位等操作（不需要把设备拉回机房一一配置，极大缩短设备调试周期）；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标配离线备份功能，内置2G EMMC内存,256M DDR闪存，定时点在网络空闲状态时自动下载至到内存，点播的节目边播放边存储，系统会根据播放的频率和最后一次播放的节目通过综合算法来保证内存有足够的空间，网络不通时正常播放定时点节目，保存内存后再次播放不再占用流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1路音频功率输出，外接1个30W定阻音箱；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设有一路RS232接口，方便控制外设；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内置一路短路输入接口（功能可编辑，可任意设置触发方案和触发终端数量，音乐播放，联动输出，显示等）；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内置一路短路输出接口（便于控制其他设备）；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标准RJ45接口，有以太网口的地方即可接入，支持跨网段和跨路由；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设备电源采用开关电源设计，AC100~240V电压都能正常工作；</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适用多种网络环境：采用TCP、UDP、单播组播混合传输协议，在不同的场景自动切换，所有终端可跨路由，跨Internet网，音频容错编码技术在丢包20%的情况下也能正常工作；</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833"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IP网络广播主机</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15.6寸高亮度液晶触摸屏,人机交互友好直观；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处理器：集成Intel  I5处理器；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千兆网口,6个USB，4个串口，最高扩展至6个串口；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1路线路输入，1路话筒输入，1路线路输出，输入音量可调；</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1路短路输入/输出；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十点触摸，电容触控；,支持软键盘和鼠标键操作；</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触摸反应时间：&lt;5ms；</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可外接VGA、HDMI大屏幕双屏显示应用；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支持系统windows2008/2012/2018，win7/win8/win10；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标准7U上架式安装、5mm工业铝面板机箱、防潮、抗震；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前 面 板：符合NEMA4/IP65防护等级；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材 质：高强度铝镁合金材质，坚固耐用，美观轻便；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表面处理：黑色，阳极氧化，拉丝工艺处理，散热效果佳。</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7118"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网络广播软件</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网络化设计，支持局域网，广域网，可跨路由，跨Internet，只要TCP/IP网络能到达的地方都可以使用；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支持windows2008/2012/win7/win10/LUNIX/国产麒麟系统；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单个区域服务器支持5000个终端同时在线，支持3000个以上终端同时播放不同的节目；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控制指令采用TCP传输，确保数据可靠接收不丢包，音视频流采用UDP传输，确保数据的实时性，实时音频延时&lt;50ms，视频延时&lt;80ms；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网络丢包率小于20%可正常使用。可自动处理掉包，重复包，乱序包等网络传输问题（而其它厂家产品对于复杂网络环境的容错处理比较少，网络丢包率大于5%就卡顿，无声，无法使用）；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寻呼、采播音频支持多种格式，最高可达CD音质，占用带宽最小可达20kbps，在局域网中达到最好的音视频质量，在INTERNET中占用最小带宽传输保证在恶劣的网络环境中正常使用；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支持第三方平台嵌入式开发：与监控系统配合，可由监控系统控制通话开关， 或通话时自动切换监控画面；实现与大系统、大平台的系统整合。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精确同步，各终端间播放误差&lt;50ms；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每个设备自带二维码身份信息，通过手机APP扫描后可直接现场修改设备设备名称，设备定位等操作（不需要把设备拉回机房一一配置，极大缩短设备调试周期）；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平台支持离线备份功能，内置2G EMMC内存,256M DDR闪存，定时点在网络空闲状态时自动下载至到终端内存，点播的节目边播放边存储，系统会根据播放的频率和最后一次播放的节目通过综合算法来保证内存有足够的空间，网络不通时正常播放定时点节目，保存内存后再次播放不再占用流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平台支持播放多种格式MP3/MP4/MKV/FLAC/WAV(原文件播放，音质达到CD级）；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节目直播：可通过IP播控台、本地模拟麦克风、电话、平板、手机播控APP等实现现场直播；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GIS地图操控：系统能直接接入GIS地图，直观地显示各广播终端所在的地理位置和设备工作状态的在线信息，能够快速精准查询定位广播终端位置及工作状态，并定时刷新显示节目；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视频指挥联动：兼容海康，大华第三方摄像头，接入视频平台，通过摄像头信号，联动控制广播终端，远程广播喊话、对讲；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支持远程点播设备点播服务器媒体库功能，远程寻呼话筒可对全区、分区或任意终端点播媒体库节目；</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支持Android操作系统手机APP管理和操作，简单方便；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平台支持全区、分区、分组实时广播音频，视频文件和图文编辑与发布功能；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平台支持消防报警联动功能，可根据应急实际需求预先设置应急广播音源和区域，广播指令下达（物理按键按下、触发信号接入等）时，对应终端广播联动报警；</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平台支持多套定时方案广播功能，对终端进行定时广播设置，系统自动执行已设置好的定时点，实现无人值守；</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平台支持远程等方式对本地服务器媒体库音源导入；支持模拟音源实时输入，将模拟音源实时数字化，实现任意多路实时采播；</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平台支持将传统音频资源转换成数字节目存储到系统服务器的节目库中，方便用户任意使用，可连续无重复播放。</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951"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数控DVD</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微电脑控制，轻触式按键操作；</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高亮度动态VFD屏显示，清晰醒目；</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采用进口数码机芯，系统+ESS解码方案，超强的纠错功能；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播放 DVD SVCD DVCD VCD CD MP3 MP4 等碟片；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设有地址拔码开关，设置本机地址，满足多台设备一起使用时的地址确认；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有通讯控制接口（RJ45），能受控于控制主机实现多种自动播放模式：播放单曲、全部循环、循环单曲、停止播放等；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电子抗震、防尘，支持USB盘MP3音乐播放。</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3892"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数控调谐器</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标准机箱设计，2U铝合金面板，人性化的抽手设计，美观实用；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微电脑控制，轻触式按键操作；</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采用LCD液晶屏显示美观大方；</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立体声调频收音，电台频率记忆存储可达99个；</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电台频率自动搜索存储功能，且有断电记忆功能；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采用全数字CMOS工艺单晶片IC模组，接收灵敏度高，中频选择性好。接收频率精确稳定；</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设有地址拔码开关，设置本机地址，满足多台设备一起使用时的地址确认；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有通讯控制接口（RJ45），能受控于控制主机实现自动选台播放等。</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874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节目定时器</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采用轻触式按键和一键飞梭操作，192*64大屏幕液晶显示，全中文与图形结合的操作菜单，操作简单方便;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带5进10出功率分区，每一个分区都设有独立的快捷控制键，实现编程自动或手动分区广播，可扩展分区到138路；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内置6路编程受控电源，每一路电源都设有独立的快捷控制键，实现编程自动或手动控制，可扩展外控电源时序器；定时执行系统会自动提前打开系统电源，做到准时准点播放;</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内置MP3播放器，采用U盘或SD作为存储介质；可以无限扩展存储容量，可扩展外部音源受控DVD/收音机到10套音源同时播放;</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设有春、夏、秋、冬四套定时方案，每套定时方案有99个定时点，按星期重复运行。每个定时点可控制分区的音源选择、内部MP3、外部9种周边音源（CD、调谐器、卡座、DVD播放器）,4套定时方案可方便切换;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实现消防联动，报警区域自动识别，即时激活报警系统，根据用户设置的消防触发点对应的分区或分组进行用户想要任何方式的自定义报警。报警复位转入正常广播;</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可与无线遥控接收器联机，遥控器预设12个可编程按键，可定制一键打开/关闭分区，选音源，选曲等。实现电源管理、分区控制、MP3播放等功能，遥控距离（开阔空间）可达1000米;</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可同时级联多台可远程寻呼话筒，实现远程分控及远程寻呼功能；通过远程寻呼话筒实现分区、全区、电源、音源的控制，并实现远程寻呼、通知、事务性广播;</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支持RS232电脑接口，所有功能由电脑直接控制；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电脑对主机编程、配制，再下载到主机，主机脱机运行，繁琐的编程变得简单方便；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停电自动保护，所有编辑程序内容不丢失，来电自动恢复运行；</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电脑对主机进行时间更新，使主机时间跟电脑时间保持同步。</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921"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前置放大器</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十路输入（5路话筒输入、3路线路输入、2路紧急输入），2个辅助输出口；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5单位LED 电平表，甚易监察工作状态；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各输入通道音量独立调节；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高音、低音独立调节；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具有三级优先权设计：MIC1为最高优先级，紧急音频信号（EMC）为第二级，MIC2、3、4、5和线路（AUX1、AUX2、AUX3）为第三级；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紧急音频信号输入时无音量调节，自动默音至-30d。</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324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桌面话筒</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外观美观实用，快速装拆式话筒插座，是为桌面及柜面使用而设计;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微电脑控制，轻触电源开关操作按健;</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底座采用铝合金+陶瓷工艺，美观大方;</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内置钟声发生器,采用专业级钟声提示音音效电路技术;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具体四声(西敏寺)前后奏音钟声提示功能;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具有电源（DC12V）与电池（DC9V）两种模式供电;</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可绕式电容麦克风杆，并具有发言指示光环;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抗手机、电磁干扰。</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3736"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网络语音编码终端</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2U标准机箱设计，豪华、高档的2U铝合金面板，美观实用；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内嵌数字网络广播模块软件和声频功率放大器软件配套使用；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采用liunx系统；高端4核ARM芯片，性能稳定，运行快捷；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支持广播系统对终端进行远程固件升级，无需到终端本地升级，减轻维护人员工作强度。</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支持混音功能：终端播放音乐的同时对终端喊话，音乐播放不会停止自动压低音乐音量；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采用PCM音频解码方案，高保真；</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接收平台指令和音频信号，支持平台远程控制音量；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支持平台对本机进行权限设置与管理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支持状态回传，可将本机播放、工作状态回传至平台；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支持平台对本机进行权限设置与管理；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内置一路短路输入接口（功能可编辑，可任意设置触发方案各触发终端数量，音乐播放，联动输出，显示等）；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两路话筒输入，独立音量调节（其中话筒1具有幻象电源开关，可以给幻象电源话筒供电）；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一路本地线路输入，独立音量调节（本地线路和蓝牙音量共用一个音量电位器）；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高，低音调节，根据现场环境需需求调节最适合的声音；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总音量调节，适用于本地广播功能；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三级优先功能：话筒1具有最高优先级（话筒讲话时完全优先本地线路输入，对网络信号衰10DB,防止在讲话过程中漏掉网络发布的重要通知），网络信号具有第二优先功能，本地线路，话筒2第三优先功能；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5段LED电平显示：可显示采播信号强度，失真状态；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809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网络报警矩阵</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高档铝质黑色拉丝面板，美观大方；</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采用Linux系统，性能稳定，运行快捷；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支持广播系统对终端进行远程固件升级，无需到终端本地升级，减轻维护人员工作强度；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32路网络报警输入，有信号输入时，相应通道指示灯亮；</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32+1路网络报警输出，低电平闭合信号，便于控制其它设备；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报警信号优先，自动强插；</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支持全开和全闭两种模式切换；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可级联，消防路数随意扩展；</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支持后台设置报警策略，可为每路短路信号输入端口配置报警策略，关联联动的终端及播放曲目等功能。可根据不同地点设置相应报警铃声，使灾情清晰明朗；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支持手动和自动报警功能；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支持N±0～N±4邻层报警功能；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自动发送报警信息到服务器，执行播放任务（支持邻层/全区报警）；</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消防警报智能化接口，紧急报警信号功能；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报警声音文件预存在服务器中，不需外接报警音源；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32分区自动激活，可任意扩展至无限区；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支持DHCP，兼容路由器、交换机、网桥网关、Internet、组播、单播等任意网络结构；</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74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24口千兆交换机</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交换容量≥335Gbps, 包转发率≥50Mpps，以官网最小值为准；千兆电口≥24个,千兆光口≥4个；配置标准USB接口，支持U盘快速开局；MAC地址表≥16K，支持ARP表项≥4K，支持IPv4 FIB表项≥4K；支持MUX VLAN功能，支持基于MAC/协议/IP子网/策略/端口的VLAN；支持RIP、RIPng、OSPF、OSPFv3；支持9KV业务端口防雷能力；支持G.8032以太环保护协议；支持能效以太网标准；支持MAC地址认证、Portal认证和802.1x认证，实现用户策略（VLAN、QoS、ACL）的动态下发；支持Telemetry技术，配合网络分析组件通过智能故障识别算法对网络数据进行分析，精准展现网络实时状态，并能及时有效地定界故障以及定位故障发生原因，发现影响用户体验的网络问题，精准保障用户体验；支持音视频业务的智能运维，将设备作为监控节点周期统计并上报音视频业务类指标参数至网络分析组件引擎，由网络分析组件引擎结合多个节点的监控结果，对音视频业务质量类故障进行快速界定；支持电口堆叠，提供官网说明；支持SVF／纵向虚拟化,以业务接口板的形式加入到核心设备中。</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华三、华为、锐捷</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86"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42U机柜</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1）、符合GB/T3047.2标准，兼容19〞国际标准全部采用优质冷轧钢板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2）、厚度：方孔条2.0mm，其他1.2mm，机柜表面采用先喷砂，后喷塑的表面处理工艺，保证机柜表面涂层的牢固可靠，耐酸碱、耐腐蚀、防静电</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3）、前门采用5mm厚钢化玻璃，高级旋把门锁，美观大方，可拆卸的左右侧门，方便安装调试，可同时安装脚轮和支撑脚，方便移动，结构坚固，承载达500Kg</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4）、风机单元的外壳采用一次成型技术，有效减少风机的震动，提高风机单元的使用寿命，风机单元采用独立电源线，方便维护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5）、增强型固定托盘，底部附有加强筋，承载达100Kg</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6）、高度：42U，深度：600mm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7）、颜色：黑色，门板：玻璃门。</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一舟、清华同方、德塔森特</w:t>
            </w:r>
          </w:p>
        </w:tc>
        <w:tc>
          <w:tcPr>
            <w:tcW w:w="5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383" w:hRule="atLeast"/>
        </w:trPr>
        <w:tc>
          <w:tcPr>
            <w:tcW w:w="22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二、分控室设备</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bCs/>
                <w:color w:val="auto"/>
                <w:sz w:val="18"/>
                <w:szCs w:val="18"/>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98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分控电脑</w:t>
            </w:r>
          </w:p>
        </w:tc>
        <w:tc>
          <w:tcPr>
            <w:tcW w:w="38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cs="宋体"/>
                <w:color w:val="auto"/>
                <w:sz w:val="18"/>
                <w:szCs w:val="18"/>
                <w:highlight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甲供，不在本次招标范围内，投标单位负责调试及系统适配</w:t>
            </w:r>
          </w:p>
        </w:tc>
        <w:tc>
          <w:tcPr>
            <w:tcW w:w="5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286"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网络远程寻呼站</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嵌入式互联网+智慧云音视频应急广播寻呼分控话筒软件配套使用；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10.1英寸真彩色屏，触控操作，人性化人机操作界面，简单快捷；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采用Linux系统，高端六核64位高性能ARM芯片，内存2GB，缓存8GB高速固态EMMC， 性能稳定，运行快捷；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电路设计多重保全功能：电源电压监控，电流限流，终端意外死机自动重启，多重防雷，防静电损坏，确保全天候无故障工作；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防电磁干扰设计，防潮工艺，器件严格选材，满足-20℃～70℃条件下工作；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具有红色紧急预警按钮，当有紧急突发事件时，按下此按钮就及时启动广播预警；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支持点播本媒体库节目，支持通过话筒广播呼叫功能，广播延时低于50毫秒；</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支持多种呼叫策略，包括呼叫等待、呼叫转移、无人接听提醒；自动接听、手动接听，支持自定义接听提示音，支持转移时间、无人接听时间、呼叫等待时间自定义；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支持监看终端绑定摄像头图像；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支持地图显示终端位置，状态；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具有与各终端、互联网+智慧云音视频应急广播寻呼分控话筒实现双向对讲功能；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内置高保真3W/8Ω全频监听喇叭，实现网络监听；</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具有采播本机U盘MP3、线路、话筒等音源向指定终端广播功能；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具有本机点播平台媒体库音源向指定终端广播功能；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具有实时时钟显示并支持自动校准时间功能；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具有设置、修改本机IP地址功能；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具有待机界面支持界面调节监听音量功能；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具有数字密码保护功能，输入密码才能进入菜单操作；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具有USB2.0/USB3.0插口，支持U盘播放；</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具有外接触摸设备接口，；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具有HDMI接口，可外接大尺寸屏幕，扩展显示区域；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具有RS232接口，方便外控外部设备；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具有1路3.5音频输入接口（可扩展外置节目源，支持采集播放功能）灵敏度可调和1路3.5音频输出接口（可接有源音箱，扩展监听功率）；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具有1路短路输出接口、1路短路输入接口（功能可编辑）；</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配置高指向拾音麦克风，保证通话清晰无干扰；（灯环提示，抗手机、电磁、高频干扰）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1009"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机架式网络音频终端</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2U标准机箱设计，豪华、高档的2U铝合金面板，美观实用；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内嵌数字网络广播模块软件和声频功率放大器软件配套使用；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采用liunx系统；高端4核ARM芯片，性能稳定，运行快捷；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电路设计多重保全功能：电源电压监控，电流限流，终端意外死机自动重启，多重防雷，防静电损坏，确保全天候无故障工作；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每个设备自带二维码身份信息，通过手机APP扫描后可直接现场修改设备设备名称，设备定位等操作（不需要把设备拉回机房一一配置，极大缩短设备调试周期）；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标配离线备份功能，内置2G EMMC内存,256M DDR闪存，定时点在网络空闲状态时自动下载至到内存，点播的节目边播放边存储，系统会根据播放的频率和最后一次播放的节目通过综合算法来保证内存有足够的空间，网络不通时正常播放定时点节目，保存内存后再次播放不再占用流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支持混音功能：终端播放音乐的同时对终端喊话，音乐播放不会停止自动压低音乐音量；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设有一路RS232接口，方便控制外设；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内置一路短路输入接口（功能可编辑，可任意设置触发方案各触发终端数量，音乐播放，联动输出，显示等）；                                                                                  两路话筒输入，独立音量调节（其中话筒1具有幻象电源开关，可以给幻象电源话筒供电）；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一路本地线路输入，独立音量调节（本地线路和蓝牙音量共用一个音量电位器）；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一路线路音频输出；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高，低音调节，根据现场环境需需求调节最适合的声音；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总音量调节，适用于本地广播功能；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27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IP网络功放200W</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内嵌数字网络广播模块软件和声频功率放大器软件配套使用；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采用liunx系统；高端4核ARM芯片，性能稳定，运行快捷；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每个设备自带二维码身份信息，通过手机APP扫描后可直接现场修改设备设备名称，设备定位等操作（不需要把设备拉回机房一一配置，极大缩短设备调试周期）；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标配离线备份功能，内置2G EMMC内存,256M DDR闪存，定时点在网络空闲状态时自动下载至到内存，点播的节目边播放边存储，系统会根据播放的频率和最后一次播放的节目通过综合算法来保证内存有足够的空间，网络不通时正常播放定时点节目，保存内存后再次播放不再占用流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支持平台对本机进行权限设置与管理；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支持平台对本机分区、分组广播功能；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设有一路RS232接口，方便控制外设；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内置一路短路输入接口（功能可编辑，可任意设置触发方案各触发终端数量，音乐播放，联动输出，显示等）；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选配两路三线制音控强切输出口，无需强切电源，同时兼容四线制消防强切；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选配蓝牙模块，与手机蓝牙配对使用，可将手机上的音乐通过功放播放出来；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两路话筒输入，独立音量调节（其中话筒1具有幻象电源开关，可以给幻象电源话筒供电）；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一路本地线路输入，独立音量调节（本地线路和蓝牙音量共用一个音量电位器）；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一路线路音频输出；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2768"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IP网络功放300W</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内嵌数字网络广播模块软件和声频功率放大器软件配套使用；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采用liunx系统；高端4核ARM芯片，性能稳定，运行快捷；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每个设备自带二维码身份信息，通过手机APP扫描后可直接现场修改设备设备名称，设备定位等操作（不需要把设备拉回机房一一配置，极大缩短设备调试周期）；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标配离线备份功能，内置2G EMMC内存,256M DDR闪存，定时点在网络空闲状态时自动下载至到内存，点播的节目边播放边存储，系统会根据播放的频率和最后一次播放的节目通过综合算法来保证内存有足够的空间，网络不通时正常播放定时点节目，保存内存后再次播放不再占用流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支持平台对本机进行权限设置与管理；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支持平台对本机分区、分组广播功能；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设有一路RS232接口，方便控制外设；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内置一路短路输入接口（功能可编辑，可任意设置触发方案各触发终端数量，音乐播放，联动输出，显示等）；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选配两路三线制音控强切输出口，无需强切电源，同时兼容四线制消防强切；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选配蓝牙模块，与手机蓝牙配对使用，可将手机上的音乐通过功放播放出来；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两路话筒输入，独立音量调节（其中话筒1具有幻象电源开关，可以给幻象电源话筒供电）；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一路本地线路输入，独立音量调节（本地线路和蓝牙音量共用一个音量电位器）；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一路线路音频输出；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3568"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合并式功率放大器</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五路信号输入（三路话筒输入、二路线路输入）, 一个辅助输出口；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具有500W定阻(4-16Ω)及定压（70V、100V）功率输出；；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各输入通道音量独立调节，高音、低音独立调节；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MIC1自动默音设有调节开关，可调节范围：0到-30dB；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5单位LED 电平表,甚易监察工作状态；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具有完善的输出直流，过载, 短路和超温保护功能并告警；</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散热风扇强制启动。</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2598"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纯后级功率放大器</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6.35mm插口和 XLR 插口可方便地实现环接；</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具有1000W定阻(4-16Ω)及定压（70V、100V）功率输出；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输出音量可调节；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7单位LED 电平表,甚易监察工作状态；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具有完善的输出直流，过载, 短路和超温保护功能并告警；</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散热风扇强制启动。</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5186"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12路调音台</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输入方式：8路话筒卡龙母，4路莲花;</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输出方式：主声道双声道平衡、6.35插座;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单声道输入配备高品质话筒放大器;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功能：高中低音调节，话筒48V供电选择，录音输出，2编组输出，2路辅助输出，数码混响;</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备有录音输入输出功能;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产品参数: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最大输出电平:19dBm(1KHz,THD=0.5%);</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剩余噪声：-75dB;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信噪比：71dB;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等效噪声源输入电动势：-12dBm;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均衡： 低频：80Hz±15dB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中频2.5KHz±15dB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高频：12KHz±15dB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增益控制：单声道：-55dB～0 dB。立体声：-10dB～0dB;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频率响应：80Hz～15KHz（+1dB,-3dB);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总谐波失真+噪声：≤0.05%（1KHz，0.775V）;</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输入电压： 220V；</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重量：5.57Kg；</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尺寸：443X400X45mm。</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5833"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无线手持话筒一拖二</w:t>
            </w:r>
          </w:p>
        </w:tc>
        <w:tc>
          <w:tcPr>
            <w:tcW w:w="38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采用世界先进的DPLL数字锁相环多信道频率合成技术及杂讯自动控制技术（带导频）。</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使用UHF630MHz~680MHz频段，避免干扰频率；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语音压缩扩展电路，极大地提高信噪比,独特的语音压限器设计，歌手使劲唱歌都不会出现裂音；</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采用最新型的高频声表面滤波器，最大限度地滤除带外干扰信号；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真分集式接收电路，保证有效距离内不断迅，消除死角；使用高增益天线，有效开阔使用距离可达100米完备的输入输出接口，方便连接各种设备；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装备高亮度LCD显示屏，可动态显示系统信号、音量、通道、频点数值；</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采用二次变频的高频电路设计，具有极高的灵敏度；</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语音压缩扩展电路，极大地提高信噪比，独特的语音压限器设计；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高保真音色,独特的干扰噪音静噪功能；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具有独立接收灵敏度调节功能，可对系统输出信号人性化调节，可初始化音频调节；</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6803"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信号放大器（防水）</w:t>
            </w:r>
          </w:p>
        </w:tc>
        <w:tc>
          <w:tcPr>
            <w:tcW w:w="38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专业无线放大器（无线天线放大器），是针对无线麦克风接收距离短而设计，具有接收距离远，信号稳定等功能。适合UHF无线麦500KHZ---950KHZ使用；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为UHF频段500-950MHz的无线系统提供2合1式的高增益的接收能力，而接收频带已覆盖整个UHF电视通道；</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对装式的定向天线设计，为分集式UHF无线话筒系统提供理想的远距离和稳定的接收表现；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设计于需要远距离接收和发射的应用，如体育场馆,演唱会、剧场、及大型演出场所；或一些会阻挡视线及接收的环境；</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另外，天线可轻易稳固的安装；同时亦可容易地拆除，方便携带；</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八通道低损耗天线分配电路设计，4套单频道自动选讯接收机可共同一对天线；TNC 接头，保证连接的可靠性；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低噪放大电路设计。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产品参数: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输入截断点+22dBm；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噪声比4.0dB Type(Center Band)；</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增益+6-9dB(Center Band)；</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输出阻抗15dB min；</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阻抗50Ω；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插座TNC femal；</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电源供应100-240V/50/60Hz；</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电源消耗170mA；</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天线放大器；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天线输入阻抗：50Ω；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天线输出阻抗：50Ω；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天线输入插座：TNC；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天线输出插座：TNC；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增益：13dB；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带宽：400MHz；</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259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有源指向性天线</w:t>
            </w:r>
          </w:p>
        </w:tc>
        <w:tc>
          <w:tcPr>
            <w:tcW w:w="38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指向性天线；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天线输入阻抗：50Ω；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天线输出阻抗：50Ω；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天线输入插座：TNC；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天线输出插座：TNC；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增益：3dB；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带宽：40MHz；</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供电电流:12-18V 100mA。</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52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室外60W防水音柱</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定压输入：70V/100V  额定功率：60W</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527"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室外120W防水音柱</w:t>
            </w:r>
          </w:p>
        </w:tc>
        <w:tc>
          <w:tcPr>
            <w:tcW w:w="38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定压输入：70V/100V  额定功率：120W</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52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草坪音箱</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定压输入：100V  额定功率：20W</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52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室外音柱立杆</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室外2.5米立杆</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根</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5509"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24口千兆交换机</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18"/>
                <w:szCs w:val="18"/>
                <w:highlight w:val="none"/>
                <w:lang w:bidi="ar"/>
              </w:rPr>
              <w:t>交换容量≥335Gbps, 包转发率≥50Mpps，以官网最小值为准；千兆电口≥24个,千兆光口≥4个；配置标准USB接口，支持U盘快速开局；MAC地址表≥16K，支持ARP表项≥4K，支持IPv4 FIB表项≥4K；支持MUX VLAN功能，支持基于MAC/协议/IP子网/策略/端口的VLAN；支持RIP、RIPng、OSPF、OSPFv3；支持9KV业务端口防雷能力；支持G.8032以太环保护协议；支持能效以太网标准；支持MAC地址认证、Portal认证和802.1x认证，实现用户策略（VLAN、QoS、ACL）的动态下发；支持Telemetry技术，配合网络分析组件通过智能故障识别算法对网络数据进行分析，精准展现网络实时状态，并能及时有效地定界故障以及定位故障发生原因，发现影响用户体验的网络问题，精准保障用户体验；支持音视频业务的智能运维，将设备作为监控节点周期统计并上报音视频业务类指标参数至网络分析组件引擎，由网络分析组件引擎结合多个节点的监控结果，对音视频业务质量类故障进行快速界定；支持电口堆叠，提供官网说明；支持SVF／纵向虚拟化,以业务接口板的形式加入到核心设备中。</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华三、华为、锐捷</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86"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42U机柜</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1）、符合GB/T3047.2标准，兼容19〞国际标准全部采用优质冷轧钢板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2）、厚度：方孔条2.0mm，其他1.2mm，机柜表面采用先喷砂，后喷塑的表面处理工艺，保证机柜表面涂层的牢固可靠，耐酸碱、耐腐蚀、防静电</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3）、前门采用5mm厚钢化玻璃，高级旋把门锁，美观大方，可拆卸的左右侧门，方便安装调试，可同时安装脚轮和支撑脚，方便移动，结构坚固，承载达500Kg</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4）、风机单元的外壳采用一次成型技术，有效减少风机的震动，提高风机单元的使用寿命，风机单元采用独立电源线，方便维护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5）、增强型固定托盘，底部附有加强筋，承载达100Kg</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6）、高度：42U，深度：600mm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7）、颜色：黑色，门板：玻璃门。</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一舟、清华同方、德塔森特</w:t>
            </w:r>
          </w:p>
        </w:tc>
        <w:tc>
          <w:tcPr>
            <w:tcW w:w="5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315" w:hRule="atLeast"/>
        </w:trPr>
        <w:tc>
          <w:tcPr>
            <w:tcW w:w="22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三、后端设备</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b/>
                <w:bCs/>
                <w:color w:val="auto"/>
                <w:sz w:val="18"/>
                <w:szCs w:val="18"/>
                <w:highlight w:val="none"/>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73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83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IP网络功放100W</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内嵌数字网络广播模块软件和声频功率放大器软件配套使用；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采用liunx系统；高端4核ARM芯片，性能稳定，运行快捷；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每个设备自带二维码身份信息，通过手机APP扫描后可直接现场修改设备设备名称，设备定位等操作（不需要把设备拉回机房一一配置，极大缩短设备调试周期）；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标配离线备份功能，内置2G EMMC内存,256M DDR闪存，定时点在网络空闲状态时自动下载至到内存，点播的节目边播放边存储，系统会根据播放的频率和最后一次播放的节目通过综合算法来保证内存有足够的空间，网络不通时正常播放定时点节目，保存内存后再次播放不再占用流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支持平台对本机进行权限设置与管理；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支持平台对本机分区、分组广播功能；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设有一路RS232接口，方便控制外设；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内置一路短路输入接口（功能可编辑，可任意设置触发方案各触发终端数量，音乐播放，联动输出，显示等）；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选配两路三线制音控强切输出口，无需强切电源，同时兼容四线制消防强切；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选配蓝牙模块，与手机蓝牙配对使用，可将手机上的音乐通过功放播放出来；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两路话筒输入，独立音量调节（其中话筒1具有幻象电源开关，可以给幻象电源话筒供电）；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一路本地线路输入，独立音量调节（本地线路和蓝牙音量共用一个音量电位器）；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一路线路音频输出；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971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IP网络功放200W</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内嵌数字网络广播模块软件和声频功率放大器软件配套使用；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采用liunx系统；高端4核ARM芯片，性能稳定，运行快捷；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每个设备自带二维码身份信息，通过手机APP扫描后可直接现场修改设备设备名称，设备定位等操作（不需要把设备拉回机房一一配置，极大缩短设备调试周期）；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标配离线备份功能，内置2G EMMC内存,256M DDR闪存，定时点在网络空闲状态时自动下载至到内存，点播的节目边播放边存储，系统会根据播放的频率和最后一次播放的节目通过综合算法来保证内存有足够的空间，网络不通时正常播放定时点节目，保存内存后再次播放不再占用流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支持平台对本机进行权限设置与管理；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支持平台对本机分区、分组广播功能；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设有一路RS232接口，方便控制外设；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内置一路短路输入接口（功能可编辑，可任意设置触发方案各触发终端数量，音乐播放，联动输出，显示等）；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选配两路三线制音控强切输出口，无需强切电源，同时兼容四线制消防强切；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选配蓝牙模块，与手机蓝牙配对使用，可将手机上的音乐通过功放播放出来；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两路话筒输入，独立音量调节（其中话筒1具有幻象电源开关，可以给幻象电源话筒供电）；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一路本地线路输入，独立音量调节（本地线路和蓝牙音量共用一个音量电位器）；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一路线路音频输出；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130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IP网络功放</w:t>
            </w:r>
            <w:r>
              <w:rPr>
                <w:rStyle w:val="19"/>
                <w:rFonts w:hint="default"/>
                <w:color w:val="auto"/>
                <w:highlight w:val="none"/>
                <w:lang w:bidi="ar"/>
              </w:rPr>
              <w:t>300W</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内嵌数字网络广播模块软件和声频功率放大器软件配套使用；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采用liunx系统；高端4核ARM芯片，性能稳定，运行快捷；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每个设备自带二维码身份信息，通过手机APP扫描后可直接现场修改设备设备名称，设备定位等操作（不需要把设备拉回机房一一配置，极大缩短设备调试周期）；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标配离线备份功能，内置2G EMMC内存,256M DDR闪存，定时点在网络空闲状态时自动下载至到内存，点播的节目边播放边存储，系统会根据播放的频率和最后一次播放的节目通过综合算法来保证内存有足够的空间，网络不通时正常播放定时点节目，保存内存后再次播放不再占用流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支持平台对本机进行权限设置与管理；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支持平台对本机分区、分组广播功能；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设有一路RS232接口，方便控制外设；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内置一路短路输入接口（功能可编辑，可任意设置触发方案各触发终端数量，音乐播放，联动输出，显示等）；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选配两路三线制音控强切输出口，无需强切电源，同时兼容四线制消防强切；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选配蓝牙模块，与手机蓝牙配对使用，可将手机上的音乐通过功放播放出来；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两路话筒输入，独立音量调节（其中话筒1具有幻象电源开关，可以给幻象电源话筒供电）；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一路本地线路输入，独立音量调节（本地线路和蓝牙音量共用一个音量电位器）；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一路线路音频输出；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338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IP网络功放400W</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内嵌数字网络广播模块软件和声频功率放大器软件配套使用；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采用liunx系统；高端4核ARM芯片，性能稳定，运行快捷；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每个设备自带二维码身份信息，通过手机APP扫描后可直接现场修改设备设备名称，设备定位等操作（不需要把设备拉回机房一一配置，极大缩短设备调试周期）；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标配离线备份功能，内置2G EMMC内存,256M DDR闪存，定时点在网络空闲状态时自动下载至到内存，点播的节目边播放边存储，系统会根据播放的频率和最后一次播放的节目通过综合算法来保证内存有足够的空间，网络不通时正常播放定时点节目，保存内存后再次播放不再占用流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支持平台对本机进行权限设置与管理；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支持平台对本机分区、分组广播功能；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设有一路RS232接口，方便控制外设；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内置一路短路输入接口（功能可编辑，可任意设置触发方案各触发终端数量，音乐播放，联动输出，显示等）；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选配两路三线制音控强切输出口，无需强切电源，同时兼容四线制消防强切；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选配蓝牙模块，与手机蓝牙配对使用，可将手机上的音乐通过功放播放出来；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两路话筒输入，独立音量调节（其中话筒1具有幻象电源开关，可以给幻象电源话筒供电）；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一路本地线路输入，独立音量调节（本地线路和蓝牙音量共用一个音量电位器）；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一路线路音频输出；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971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IP网络功放700W</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内嵌数字网络广播模块软件和声频功率放大器软件配套使用；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采用liunx系统；高端4核ARM芯片，性能稳定，运行快捷；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每个设备自带二维码身份信息，通过手机APP扫描后可直接现场修改设备设备名称，设备定位等操作（不需要把设备拉回机房一一配置，极大缩短设备调试周期）；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标配离线备份功能，内置2G EMMC内存,256M DDR闪存，定时点在网络空闲状态时自动下载至到内存，点播的节目边播放边存储，系统会根据播放的频率和最后一次播放的节目通过综合算法来保证内存有足够的空间，网络不通时正常播放定时点节目，保存内存后再次播放不再占用流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支持平台对本机进行权限设置与管理；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支持平台对本机分区、分组广播功能；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设有一路RS232接口，方便控制外设；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内置一路短路输入接口（功能可编辑，可任意设置触发方案各触发终端数量，音乐播放，联动输出，显示等）；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选配两路三线制音控强切输出口，无需强切电源，同时兼容四线制消防强切；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选配蓝牙模块，与手机蓝牙配对使用，可将手机上的音乐通过功放播放出来；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两路话筒输入，独立音量调节（其中话筒1具有幻象电源开关，可以给幻象电源话筒供电）；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一路本地线路输入，独立音量调节（本地线路和蓝牙音量共用一个音量电位器）；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一路线路音频输出；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65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避雷器</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设有4组独立输入、输出通道，每组通道70—100V，20A；</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可防止雷电击入系统设备；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有雷电击入时自动切断输出；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自动将雷电经安全地线网络引入大地；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1组告警输出0V(短路)；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具有广播系统的雷电保护、过压保护、漏电保护功能；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2种LED直观显示机器的工作状态:(正常运行、故障保护)；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防雷等级：满足IEC529/EN60 529的保护等级：IP20；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用于户外广播线路防止雷电击入系统的配套保护设备。</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65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走廊吸顶</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定压输入：70V/100V  额定功率：3W/6W，开孔尺寸150mm，最大声压级97dB</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110</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52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走廊壁挂</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定压输入：70V/100V  额定功率：10W</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9391"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教室IP壁挂音箱</w:t>
            </w:r>
          </w:p>
        </w:tc>
        <w:tc>
          <w:tcPr>
            <w:tcW w:w="38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内置5.5寸中低音+3寸高音高保真喇叭单元，额定功率：30W，音质清晰优美；</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内置高保真D类2*60W功放电路，音质细腻，功率强劲；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双电源设计：核心板单独电源供电，确保电源不受影响，彻底分开数字地与模拟地，极大提高信噪比；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电路设计多重保全功能：电源电压监控，电流限流，终端意外死机自动重启，多重防雷，防静电损坏，确保全天候无故障工作；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每个设备自带二维码身份信息，通过手机APP扫描后可直接现场修改设备设备名称，设备定位等操作（不需要把设备拉回机房一一配置，极大缩短设备调试周期）；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标配离线备份功能，内置2G EMMC内存,256M DDR闪存，定时点在网络空闲状态时自动下载至到内存，点播的节目边播放边存储，系统会根据播放的频率和最后一次播放的节目通过综合算法来保证内存有足够的空间，网络不通时正常播放定时点节目，保存内存后再次播放不再占用流量；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1路音频功率输出，外接1个30W定阻音箱；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设有一路RS232接口，方便控制外设；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内置一路短路输入接口（功能可编辑，可任意设置触发方案和触发终端数量，音乐播放，联动输出，显示等）；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内置一路短路输出接口（便于控制其他设备）；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标准RJ45接口，有以太网口的地方即可接入，支持跨网段和跨路由；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设备电源采用开关电源设计，AC100~240V电压都能正常工作；</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适用多种网络环境：采用TCP、UDP、单播组播混合传输协议，在不同的场景自动切换，所有终端可跨路由，跨Internet网，音频容错编码技术在丢包20%的情况下也能正常工作；</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内置网络隔离防雷处理电路；</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62</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r>
        <w:tblPrEx>
          <w:tblCellMar>
            <w:top w:w="0" w:type="dxa"/>
            <w:left w:w="108" w:type="dxa"/>
            <w:bottom w:w="0" w:type="dxa"/>
            <w:right w:w="108" w:type="dxa"/>
          </w:tblCellMar>
        </w:tblPrEx>
        <w:trPr>
          <w:trHeight w:val="538"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室外60W防水音柱</w:t>
            </w:r>
          </w:p>
        </w:tc>
        <w:tc>
          <w:tcPr>
            <w:tcW w:w="38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定压输入：70V/100V  额定功率：60W</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ITC、DSPPA、TOG</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3"/>
        <w:tblW w:w="0" w:type="auto"/>
        <w:tblInd w:w="96" w:type="dxa"/>
        <w:tblLayout w:type="fixed"/>
        <w:tblCellMar>
          <w:top w:w="0" w:type="dxa"/>
          <w:left w:w="108" w:type="dxa"/>
          <w:bottom w:w="0" w:type="dxa"/>
          <w:right w:w="108" w:type="dxa"/>
        </w:tblCellMar>
      </w:tblPr>
      <w:tblGrid>
        <w:gridCol w:w="484"/>
        <w:gridCol w:w="1492"/>
        <w:gridCol w:w="3488"/>
        <w:gridCol w:w="1808"/>
        <w:gridCol w:w="632"/>
        <w:gridCol w:w="584"/>
        <w:gridCol w:w="711"/>
      </w:tblGrid>
      <w:tr>
        <w:tblPrEx>
          <w:tblCellMar>
            <w:top w:w="0" w:type="dxa"/>
            <w:left w:w="108" w:type="dxa"/>
            <w:bottom w:w="0" w:type="dxa"/>
            <w:right w:w="108" w:type="dxa"/>
          </w:tblCellMar>
        </w:tblPrEx>
        <w:trPr>
          <w:trHeight w:val="515" w:hRule="atLeast"/>
        </w:trPr>
        <w:tc>
          <w:tcPr>
            <w:tcW w:w="9199" w:type="dxa"/>
            <w:gridSpan w:val="7"/>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监控系统设备清单</w:t>
            </w:r>
          </w:p>
        </w:tc>
      </w:tr>
      <w:tr>
        <w:tblPrEx>
          <w:tblCellMar>
            <w:top w:w="0" w:type="dxa"/>
            <w:left w:w="108" w:type="dxa"/>
            <w:bottom w:w="0" w:type="dxa"/>
            <w:right w:w="108" w:type="dxa"/>
          </w:tblCellMar>
        </w:tblPrEx>
        <w:trPr>
          <w:trHeight w:val="515" w:hRule="atLeast"/>
        </w:trPr>
        <w:tc>
          <w:tcPr>
            <w:tcW w:w="9199" w:type="dxa"/>
            <w:gridSpan w:val="7"/>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子系统名称：监控系统</w:t>
            </w:r>
          </w:p>
        </w:tc>
      </w:tr>
      <w:tr>
        <w:tblPrEx>
          <w:tblCellMar>
            <w:top w:w="0" w:type="dxa"/>
            <w:left w:w="108" w:type="dxa"/>
            <w:bottom w:w="0" w:type="dxa"/>
            <w:right w:w="108" w:type="dxa"/>
          </w:tblCellMar>
        </w:tblPrEx>
        <w:trPr>
          <w:trHeight w:val="1030"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设备名称</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主要技术参数</w:t>
            </w:r>
          </w:p>
        </w:tc>
        <w:tc>
          <w:tcPr>
            <w:tcW w:w="1808"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推荐品牌</w:t>
            </w:r>
          </w:p>
        </w:tc>
        <w:tc>
          <w:tcPr>
            <w:tcW w:w="63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58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 xml:space="preserve">数量 </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r>
              <w:rPr>
                <w:rFonts w:hint="eastAsia"/>
                <w:b/>
                <w:bCs/>
                <w:color w:val="auto"/>
                <w:sz w:val="18"/>
                <w:szCs w:val="18"/>
                <w:highlight w:val="none"/>
              </w:rPr>
              <w:t>备注</w:t>
            </w: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(一）、前端设备</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p>
        </w:tc>
      </w:tr>
      <w:tr>
        <w:tblPrEx>
          <w:tblCellMar>
            <w:top w:w="0" w:type="dxa"/>
            <w:left w:w="108" w:type="dxa"/>
            <w:bottom w:w="0" w:type="dxa"/>
            <w:right w:w="108" w:type="dxa"/>
          </w:tblCellMar>
        </w:tblPrEx>
        <w:trPr>
          <w:trHeight w:val="6961"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室外高清结构化摄像机(含配套支架）</w:t>
            </w:r>
          </w:p>
        </w:tc>
        <w:tc>
          <w:tcPr>
            <w:tcW w:w="3488"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星光级全景网络高清智能球机，采用一体化设计，单产品即可同时提供全景与特写画面，兼顾全景与细节。其中全景画面由8个传感器拼接而成，实现2 × 180度的全景监控；支持GB35114安全加密；传感器类型: 【全景】1/1.8＂progressive scan CMOS，【细节】1/1.8＂progressive scan CMOS；【全景】0.0005 Lux/F1.0（彩色），0.0001 Lux/F1.0（黑白）；【细节】星光级超低照度，0.0005 Lux/F1.2（彩色），0.0001 Lux/F1.2（黑白），0 Lux with IR；光学变倍: 40倍；焦距: 【全景】2.8 mm；【细节】6~240 mm；水平视场角：56.6~1.8度（广角~望远）；垂直视场角：33.7~1.0度（广角~望远）；对角线视场角：63.4~2.0度（广角~望远）；红外照射距离: 250 m；防补光过曝: 支持；水平范围: 360°；垂直范围: -15°~90°（自动翻转）；【全景】50 Hz：25 fps（4096 × 1800 × 2）；60 Hz：30 fps（4096 × 1800 × 2）；【细节】50 Hz：25 fps（2560 × 1440） ；60 Hz：30 fps（2560 × 1440）；视频压缩标准: H.265，H.264，MJPEG；网络接口: RJ45网口，自适应10 M/100 M/1000 M网络数据；光纤接口: FC接口，内置光纤模块，1000 M网络数据，波长TX1310/RX1550 nm，单模单纤，20 km传输距离；报警输入: 7路报警输入；报警输出: 2路报警输出；音频输入: 1路音频输入；音频输出: 1路音频输出；具有RS485接口；供电方式: DC36 V；设备功耗: 最大功耗：135 W（其中红外灯最大功耗：12 W）；工作温湿度: -40 ℃~70 ℃，湿度小于90%；除雾: 支持</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221"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室外高速球网络摄像机</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≥200万7寸红外；支持最低照度可达彩色0.005Lux，黑白0.0005Lux；350米红外照射距离；焦距：4.3-86mm, 20倍光学；视频输出支持1280×720@60fps，分辨力不小于950TVL；支持三码流同时输出，主码流、第三码流同时支持1280×720@60fps；支持采用H.265、H.264、MJPEG视频编码标准，H.264编码支持Baseline/Main/High Profile，音频编码支持G.711ulaw/G.711alaw/G.726/MP2L2/AAC</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球机支架</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壁装支架</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589"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人脸抓拍枪机</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400万 星光级1/1.8" CMOS AI抓拍枪机护罩一体化网络摄像机；支持智能资源模式切换：人脸抓拍模式、道路监控模式，Smart事件模式；支持单场景同时检出不少于30张人脸图片，并支持面部跟踪；车辆检测：支持车牌识别并抓拍，车型/车品牌/车身颜色/车牌颜色识别；支持越界侦测，区域入侵侦测，进入区域侦测，离开区域侦测，物品遗留侦测，物品拿取侦测，徘徊侦测，人员聚集侦测，快速运动侦测，停车侦测最低照度彩色不大于0.0002 lx，黑白不大于0.0001 lx；宽动态能力不小于120dB；焦距&amp;视场角: 11~40 mm：水平视场角：37.0º~11.5º，垂直视场角：20.2º~6.5°，对角线视场角：43.2º~13.2º；补光灯类型: 混合补光（支持白光模式和混光模式），750 nm+暖白光；最大图像尺寸: 2560 × 1440；视频压缩标准: H.265/H.264/MJPEG；网络存储: 支持Micro SD(即TF卡)/Micro SDHC/Micro SDXC卡（最大256 GB）断网本地存储及断网续传；网络: 1个RJ45 10 M/100 M自适应以太网口；音频: 1路输入（Line in），1路输出（Line out），1个内置麦克风；报警: 2路输入，2路输出（报警输入支持开关量，报警输出最大支持AC/DC24V 1A）；电流及功耗: AC：24 V，1.71 A，最大功耗：30.3 W；供电方式: AC：24 V ± 20%；启动和工作温湿度: -30 ℃~60 ℃，湿度小于95%（无凝结）；防护: IP66；在IE 浏览器下，可通过扫描预览界面上的二维码获取设备资料。</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支架</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壁装支架</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3801"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彩色红外枪式网络摄像机</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200万 星光级 1/2.7" CMOS 变焦筒型网络摄像机；最低照度: 彩色：0.01 Lux @（F1.2，AGC ON），黑白：0 Lux with IR；宽动态: 120 dB；焦距&amp;视场角: 2.7~12 mm @F1.6，水平视场角：106.8°~32.2°，垂直视场角：55.8°~18.1°，对角视场角：128.2°~37.1°；补光灯类型: 红外灯；补光距离: 最远可达30 m；最大图像尺寸: 1920 × 1080；视频压缩标准: 主码流：H.265/H.264；网络存储: 支持NAS（NFS，SMB/CIFS均支持），支持MicroSD(即TF卡)/MicroSDHC/MicroSDXC卡（最大256 GB），断网本地录像存储及断网续传；网络: 1个RJ45 10 M/100 M自适应以太网口；音频: 1路输入（Line in），1路输出（Line out）；报警: 2路输入，2路输出（报警输出最大支持DC12 V，30 mA）；供电方式: DC：12 V ± 25%； 防护: IP67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55</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枪机支架</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壁装支架</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55</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853"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彩色强光抑制网络摄像机</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200万 1/2.7” CMOS超宽动态 ICR日夜型枪型网络摄像机；最低照度: 彩色：0.005 Lux @（F1.2，AGC ON）；黑白：0.0002 Lux @（F1.2，AGC ON）；宽动态: 120 dB；最大图像尺寸: 1920 × 1080；网络存储: 支持Micro SD(即TF卡)/Micro SDHC/Micro SDXC卡（最大256 GB）断网本地存储及断网续传，NAS（NFS，SMB/CIFS均支持）；音频: 1路输入（Line in），1路输出（Line out），1个内置麦克风；报警: 2路输入，2路输出（报警输入支持开关量，报警输出最大支持AC/DC24V 1A）；供电方式: DC：12 V ± 20%，支持防反接保护；AC：24 V ± 20%；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42"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手动变焦自动光圈镜头</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规格1/3"；5mm～50mm;视角：52.7°～5.7°；接口方式CS；DC自动光圈；光圈范围F1.5-360；手动聚焦，手动变焦</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室外摄像机护罩及支架</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定制，室外摄像机护罩及支架</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537"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彩色宽动态/彩转黑网络摄像机</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200万 1/2.7" CMOS 枪型星光网络摄像机;最低照度: 彩色：0.002 Lux @（F1.2，AGC ON）；黑白：0.005 Lux @（F1.2，AGC ON）;宽动态: 120 Db;最大图像尺寸: 1920 × 1080；网络存储: 支持NAS（NFS，SMB/CIFS均支持），支持Micro SD(即TF卡)/Micro SDHC/Micro SDXC卡（最大256 GB），断网本地录像存储及断网续传；音频: 1路输入（Line in）; 1路输出（Line out）；报警: 1路输入，1路输出（报警输出最大支持DC12 V，30 mA）；供电方式: DC：12 V ± 20%;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67</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42"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手动变焦自动光圈镜头</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规格1/3"；5mm～50mm;视角：52.7°～5.7°；接口方式CS；DC自动光圈；光圈范围F1.5-360；手动聚焦，手动变焦</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67</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室外摄像机护罩及支架</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定制，室外摄像机护罩及支架</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67</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3801"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红外半球网络摄像机</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200万 星光级 1/2.7" CMOS 变焦半球型网络摄像机；最低照度: 彩色：0.01 Lux @（F1.2，AGC ON），黑白：0 Lux with IR；宽动态: 120 dB；调节角度: 水平：0°~355°，垂直：0°~70°，旋转：0°~355° ；焦距&amp;视场角: 2.7~12 mm @F1.6，水平视场角：106.8°~32.2°，垂直视场角：55.8°~18.1°，对角视场角：128.2°~37.1°；补光灯类型: 红外灯；补光距离: 最远可达30 m；最大图像尺寸: 1920 × 1080；网络存储: 支持NAS（NFS，SMB/CIFS均支持），支持MicroSD(即TF卡)/MicroSDHC/MicroSDXC卡（最大256 GB），断网本地录像存储及断网续传；音频: 1路输入（Line in），1路输出（Line out）；报警: 2路输入，2路输出（报警输出最大支持DC12 V，30 mA）；供电方式: DC：12 V ± 25%; 防护 IP67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56</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013"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厨房专用枪式网络摄像机</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支持前盖便捷拆卸清洗，适用于厨房等油烟较多的环境使用；200万星光级1/2.7”CMOS AI抓拍筒型网络摄像机；支持AI模型的下发和运行，检测结果的生成和上传；支持对特定目标的检测，并对检测结果分类，检测和分类结果均上传；支持配置事件规则，检测分类结果按照设置的规则过滤，产生报警；支持视频任务，对实时视频进行分析，按照设定的帧率进行分析，并按照设定的报警间隔上传结果；支持抓图轮巡任务，按照设定的时间间隔进行抓图分析，并按照设定的报警间隔上传结果；支持2个模型包存储，每个模型包支持1个检测模型和1个分类模型；支持16种目标检测，并对其中1种目标进行分类；最低照度: 彩色: 0.005Lux @ (F1.2, AGC ON) ; 黑白: 0.0002 Lux @ (F1.2, AGC ON), 0 Lux with IR；镜头: （变焦） 2.7-12mm @ F1.6,水平视场角：100°~31°，垂直视场角：53°~17°，对角线视场角：119°~35°；宽动态: 超宽动态范围达120dB，室内逆光环境下监控视频；最大图像尺寸: 1920×1080；存储功能: 支持Micro SD(即TF卡)/Micro SDHC /Micro SDXC卡(256GB)断网本地存储及断网续传,NAS(NFS,SMB/CIFS均支持) ；音频接口: 1 输入(Line in)（3.5mm），1 输出（3.5mm）；报警接口: 3 输入，2 输出(报警输出最大支持AC/DC24V 1A)；电源供应: DC：12V±20% ，支持防反接保护；PoE：802.3at, class 4；防护等级: IP66；补光距离: 50米</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枪机支架</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壁装支架</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117"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17</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声光警戒枪式摄像机</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200万1/2.7"CMOS  ICR智能变焦筒型网络摄像机；智能警戒:支持越界侦测,区域入侵侦测,进入/离开区域侦测；人脸抓拍:支持人脸跟踪及评分,自动筛选输出最优人脸图,同时可对10张人脸进行检测及抓拍；支持联动声音报警；内置麦克风；内置喇叭；最小照度:0.002Lux @(F1.2,AGC ON) ,0 Lux with IR；镜头:2.7-12mm @ F1.2~2.2,水平视场角：103°~33°;电动镜头；宽动态范围:120dB；最大图像尺寸:1920×1080；存储功能:支持Micro SD(即TF卡)/Micro SDHC/Micro SDXC卡(256G)断网本地存储及断网续传,NAS(NFS,SMB/CIFS均支持) ；通讯接口:1个RJ45 10M / 100M自适应以太网口；音频接口:1对音频输入(Line in)/输出(Line out)外部接口；报警输入:1路；报警输出:1路(报警输出最大支持AC24V/DC24V, 500mA)；电源供应:DC12V±20% ；红外照射距离:最远可达50米；防护等级:IP67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18</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枪机支架</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壁装支架</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348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19</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彩色宽动态半球网络摄像机</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200万 星光级 1/2.7" CMOS 变焦半球型网络摄像机；最低照度: 彩色：0.002 Lux @（F1.2，AGC ON），黑白：0 Lux with IR；宽动态: 120 dB；调节角度: 水平：0°~355°，垂直：0°~70°，旋转：0°~355° ；焦距&amp;视场角: 2.7~12 mm @F1.6，水平视场角：106.8°~32.2°，垂直视场角：55.8°~18.1°，对角视场角：128.2°~37.1°；补光灯类型: 红外灯；补光距离: 最远可达30 m；最大图像尺寸: 1920 × 1080；网络存储: 支持NAS（NFS，SMB/CIFS均支持），支持MicroSD(即TF卡)/MicroSDHC/MicroSDXC卡（最大256 GB），断网本地录像存储及断网续；</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音频: 1路输入（Line in），1路输出（Line out）；报警: 2路输入，2路输出；供电方式: DC：12 V ± 25%；防护: IP67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3169"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电梯摄像机</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200万1/2.7” CMOS日夜型迷你半球型网络摄像机；最低照度: 彩色：0.01 Lux @（F1.2，AGC ON），0 Lux with IR；宽动态: 120 dB；调节角度: 水平：-30°~30°，垂直：0°~75°，旋转：0°~360°；焦距&amp;视场角: 2.8 mm，水平视场角：107.1°，垂直视场角：57°，对角线视场角：127.6°；补光灯类型: 红外灯；补光距离: 最远可达10 m；最大图像尺寸: 1920 × 1080；网络存储: 支持NAS（NFS，SMB/CIFS均支持），支持Micro SD(即TF卡)/Micro SDHC/Micro SDXC卡（最大256 GB）；音频: 1个内置麦克风；供电方式: DC：12 V ± 25%；PoE：802.3af，Class 3；防护: IP66，IK08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274"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网络电梯传输器</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H.264压缩算法；支持分辨率704×576；支持双向语音对讲；支持视频移动侦测；支持敏感区域遮挡；支持自动拨号PPPoE功能；支持自动获取IP、自动端口映射、域名解析；支持透明RS-485数据透明通道传输；支持双码流传输</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42"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楼层显示器</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输入/输出阻抗：75Ω，最大显示楼层：-9~99层，功率：3W，带视频抗干扰功能</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室外4米立杆</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4米，含基础</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摄像机电源</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直流稳压电源，,DC12V/10A</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30</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摄像机电源</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交流稳压电源，AC24V/5A</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海康、大华、天地伟业</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(二）、后端控制设备</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p>
        </w:tc>
      </w:tr>
      <w:tr>
        <w:tblPrEx>
          <w:tblCellMar>
            <w:top w:w="0" w:type="dxa"/>
            <w:left w:w="108" w:type="dxa"/>
            <w:bottom w:w="0" w:type="dxa"/>
            <w:right w:w="108" w:type="dxa"/>
          </w:tblCellMar>
        </w:tblPrEx>
        <w:trPr>
          <w:trHeight w:val="1589"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综合安防管理平台软件</w:t>
            </w:r>
          </w:p>
        </w:tc>
        <w:tc>
          <w:tcPr>
            <w:tcW w:w="3488"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实现300路视频监控的综合管理，采用B/S及C/S架构，支持手机客户端预览与云台控制，具有实时预览、录像管理、监视屏控制、电子地图管理、日志管理、门禁控制、停车场管理、巡查管理、报警管理、系统管理、组织资源管理、网络管理、服务管理等功能。</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海康、大华、宇视</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42"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视频管理服务器</w:t>
            </w:r>
          </w:p>
        </w:tc>
        <w:tc>
          <w:tcPr>
            <w:tcW w:w="348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sz w:val="18"/>
                <w:szCs w:val="18"/>
                <w:highlight w:val="none"/>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甲供，不在本次招标范围内，投标单位负责调试及系统适配</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42"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流媒体代理转发服务器</w:t>
            </w:r>
          </w:p>
        </w:tc>
        <w:tc>
          <w:tcPr>
            <w:tcW w:w="3488"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auto"/>
                <w:sz w:val="18"/>
                <w:szCs w:val="18"/>
                <w:highlight w:val="none"/>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甲供，不在本次招标范围内，投标单位负责调试及系统适配</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381"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32路硬盘录像机（透明厨房）</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硬件规格：</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3U标准机架式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2个HDMI，2个VGA,HDMI+VGA组内同源</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16盘位，可满配8T、10T硬盘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2个千兆网口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2个USB2.0接口、1个USB3.0接口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1个eSATA接口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报警IO：16进8出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支持RAID0、1、5、10，支持全局热备盘</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软件性能：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输入带宽：320M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32路H.264、H.265混合接入</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最大支持16×1080P解码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支持H.265、H.264解码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Smart 2.0/整机热备/ANR/智能检索/智能回放/车牌检索/人脸检索/热度图/客流量统计/分时段回放/超高倍速回放/双系统备份</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海康、大华、宇视</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4T监控级硬盘（透明厨房）</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3.5英寸 4TB IntelliPower 64M SATA3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西数、希捷、东芝</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90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48盘位磁盘阵列存储</w:t>
            </w:r>
          </w:p>
        </w:tc>
        <w:tc>
          <w:tcPr>
            <w:tcW w:w="3488"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48盘位磁盘阵列，1024Mbps接入带宽，2个千兆数据口，1个千兆管理网口，支持视频流和图片、视频文件进行混合直写存储，8U 机架式48盘位，冗余电源，支持SATA硬盘，64位多核处理器，4GB高速缓存（可扩展到32GB），支持RAID 0、1、3、5、6、10、50，60、JBOD模式，网络协议：RTSP/ONVIF/PSIA/SIP（GB/T28181）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海康、大华、宇视</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企业级监控硬盘</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6T，7200转，录像时间90天以上</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西数、希捷、东芝</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192</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697"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高清数字矩阵（满足17路输出）</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标准机架式设计，双高速无阻塞背板设计，满足大容量视频数据高速交换的需求；插拔式模块化设计，单电源，单主控板；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投标产品支持四风扇冗余，转速自动调整，并支持热插拔；</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投标产品具备多种接口类型的输入板，可支持DVI、VGA、HDMI等接口输入,单板≥8路。可支持VGA、DVI、HDMI等接口输出，单板≥8路；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单板支持解码32路1080P，或64路720P，或128路4CIF以下分辨率； 支持1/4/6/8/9/16画面分割显示；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支持各输出口同步轮巡显示；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投标产品支持信号预览功能，可实现电视墙预览功能，支持前端接入帧率25～60帧/秒；</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内置千兆交换机，具备多个千兆网口，用于网络视频的实时预览、解码上墙及网络集中存储等,支持以太网自适应；</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6个RJ45 10M/100M/1000M自适应以太网口，6个 10M/100M/1000M自适应以太网光口；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1个，标准RS-232串行接口（RJ45接口）console口，1个，标准RS485/RS232复用口（RJ45接口）；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电源：AC 100~120V 200~240V， 50/60Hz,内置 ；</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海康、大华、宇视</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6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四维控制键盘</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采用7英寸TFT LCD触控屏800*480显示分辨率；四维摇杆控制；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支持控制视频综合平台和解码器输出上墙，支持云台PTZ操作，支持预置点、巡航路径和轨迹的设置与调用，支持直接在触控屏幕上预览前端视频；支持1080P及以下分辨率的网络视频；</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支持远程录像进行键盘本地回放或回放上电视墙，支持录像回放快放、慢放、暂停和停止播放等操作，支持飞梭控制录像回放；</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支持抓图、录像保存到键盘连接的U盘或者FTP服务器；支持U盘录像文件回放；支持IE方式配置键盘；最大3个操作员用户，每个用户支持管理1280台设备；控制方式：网络方式，RS485，RS232；</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1个音频输入，3.5mm立体声（电平：2.0Vp-p，阻抗：1kΩ）；1个音频输出，3.5mm立体声（线性电平，阻抗：600Ω）；1个100M/1000M自适应以太网口，1个标准RS-232串行接口，1个标准RS-485串行接口，1个USB 2.0；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海康、大华、宇视</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液晶显示器</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22寸液晶显示</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海康、大华、宇视</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42"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液晶拼接屏器（46寸）</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液晶监视器；显示类别：TFT-LED背光；屏幕尺寸：46寸；</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最大分辨率：1920×1080P；亮度：500cd/m²；3.5拼缝</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海康、大华、宇视</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电视墙</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全钢制作,6孔，32寸监视器用</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定制</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5"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操作台</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全钢制作,4座位，8显示器，平台操作</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定制</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52" w:hRule="atLeast"/>
        </w:trPr>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管理电脑</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8"/>
                <w:szCs w:val="18"/>
                <w:highlight w:val="none"/>
              </w:rPr>
            </w:pPr>
          </w:p>
        </w:tc>
        <w:tc>
          <w:tcPr>
            <w:tcW w:w="180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甲供，不在本次招标范围内，投标单位负责调试及系统适配</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3"/>
        <w:tblW w:w="0" w:type="auto"/>
        <w:tblInd w:w="96" w:type="dxa"/>
        <w:tblLayout w:type="fixed"/>
        <w:tblCellMar>
          <w:top w:w="0" w:type="dxa"/>
          <w:left w:w="108" w:type="dxa"/>
          <w:bottom w:w="0" w:type="dxa"/>
          <w:right w:w="108" w:type="dxa"/>
        </w:tblCellMar>
      </w:tblPr>
      <w:tblGrid>
        <w:gridCol w:w="502"/>
        <w:gridCol w:w="1547"/>
        <w:gridCol w:w="3617"/>
        <w:gridCol w:w="1434"/>
        <w:gridCol w:w="655"/>
        <w:gridCol w:w="667"/>
        <w:gridCol w:w="677"/>
      </w:tblGrid>
      <w:tr>
        <w:tblPrEx>
          <w:tblCellMar>
            <w:top w:w="0" w:type="dxa"/>
            <w:left w:w="108" w:type="dxa"/>
            <w:bottom w:w="0" w:type="dxa"/>
            <w:right w:w="108" w:type="dxa"/>
          </w:tblCellMar>
        </w:tblPrEx>
        <w:trPr>
          <w:trHeight w:val="438" w:hRule="atLeast"/>
        </w:trPr>
        <w:tc>
          <w:tcPr>
            <w:tcW w:w="9099" w:type="dxa"/>
            <w:gridSpan w:val="7"/>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报警系统设备清单</w:t>
            </w:r>
          </w:p>
        </w:tc>
      </w:tr>
      <w:tr>
        <w:tblPrEx>
          <w:tblCellMar>
            <w:top w:w="0" w:type="dxa"/>
            <w:left w:w="108" w:type="dxa"/>
            <w:bottom w:w="0" w:type="dxa"/>
            <w:right w:w="108" w:type="dxa"/>
          </w:tblCellMar>
        </w:tblPrEx>
        <w:trPr>
          <w:trHeight w:val="415" w:hRule="atLeast"/>
        </w:trPr>
        <w:tc>
          <w:tcPr>
            <w:tcW w:w="9099" w:type="dxa"/>
            <w:gridSpan w:val="7"/>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子系统名称：报警系统</w:t>
            </w:r>
          </w:p>
        </w:tc>
      </w:tr>
      <w:tr>
        <w:tblPrEx>
          <w:tblCellMar>
            <w:top w:w="0" w:type="dxa"/>
            <w:left w:w="108" w:type="dxa"/>
            <w:bottom w:w="0" w:type="dxa"/>
            <w:right w:w="108" w:type="dxa"/>
          </w:tblCellMar>
        </w:tblPrEx>
        <w:trPr>
          <w:trHeight w:val="652"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设备名称</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主要技术参数</w:t>
            </w:r>
          </w:p>
        </w:tc>
        <w:tc>
          <w:tcPr>
            <w:tcW w:w="143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推荐品牌</w:t>
            </w:r>
          </w:p>
        </w:tc>
        <w:tc>
          <w:tcPr>
            <w:tcW w:w="65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667" w:type="dxa"/>
            <w:tcBorders>
              <w:top w:val="single" w:color="000000" w:sz="4" w:space="0"/>
              <w:left w:val="single" w:color="000000" w:sz="4" w:space="0"/>
              <w:right w:val="single" w:color="000000" w:sz="4" w:space="0"/>
            </w:tcBorders>
            <w:noWrap w:val="0"/>
            <w:vAlign w:val="center"/>
          </w:tcPr>
          <w:p>
            <w:pPr>
              <w:widowControl/>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 xml:space="preserve">数量 </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b/>
                <w:bCs/>
                <w:color w:val="auto"/>
                <w:sz w:val="18"/>
                <w:szCs w:val="18"/>
                <w:highlight w:val="none"/>
              </w:rPr>
            </w:pPr>
            <w:r>
              <w:rPr>
                <w:rFonts w:hint="eastAsia"/>
                <w:b/>
                <w:bCs/>
                <w:color w:val="auto"/>
                <w:sz w:val="18"/>
                <w:szCs w:val="18"/>
                <w:highlight w:val="none"/>
              </w:rPr>
              <w:t>备注</w:t>
            </w:r>
          </w:p>
        </w:tc>
      </w:tr>
      <w:tr>
        <w:tblPrEx>
          <w:tblCellMar>
            <w:top w:w="0" w:type="dxa"/>
            <w:left w:w="108" w:type="dxa"/>
            <w:bottom w:w="0" w:type="dxa"/>
            <w:right w:w="108" w:type="dxa"/>
          </w:tblCellMar>
        </w:tblPrEx>
        <w:trPr>
          <w:trHeight w:val="776"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报警主机</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可扩展总线控制式报警主机（基本八防区，可扩展至248防区，兼容112个无线防区）</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3835"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总线驱动器</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可现场手工设置集线器编码，编码范围00～99；每个集线器必须有唯一的一个编码；集线器的编码与4位主机编号一起组成6位用户编号。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LED数码管显示编号、掉线主机号、在线主机数。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每个集线器可接20台报警主机。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隔离的4路通讯总线输出，总线故障不会影响其他总线。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将用户报警主机事件传输到中心接收机和报警中心</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报警主机通讯故障指示、故障查询。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已安装的报警主机编号查询。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集线器和中心接收机的通讯故障指示。</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23"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串口模块</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与主机配套使用</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23"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编程键盘</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LCD液晶编程键盘</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23"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继电器模块</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32路继电器板</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776"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张力式电子围栏</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国标铝型材，内含高性能双防区控制模块，含优质不锈钢SUS304底座，可平行或垂直安装</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对</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23"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单路地址模块</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总线式单防区输入/输出模块</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23"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防区电源</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AC24V2A</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23"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防区控制箱</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对主机等附属设备防护IP65，尺寸：300*350*400</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23"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警卫中心软件</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中心管理软件，带网络转发功能，支持1500防区</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159"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八防区控制键盘</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1、额定输入电压 12V DC±2V</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2、额定消耗电流 静态45mA  报警90mA</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3、使用工作温度 -10℃ ~ +45℃</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23"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壁挂式被动红外探测器</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三技术被动红外/微波探测器，可消除宠物引起的误报</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23"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紧急按钮</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24DVC 300mA钥匙复位  常开常闭型</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23"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声光报警器</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12VDC/300mA,声压105dB±3,闪灯闪动次数150次/分钟</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23"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探测器电源</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直流稳压电源，金属外壳，AC220V/DC12V，2A</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海康、大华、霍尼韦尔</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只</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159" w:hRule="atLeast"/>
        </w:trPr>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管理电脑（与巡更共用）</w:t>
            </w:r>
          </w:p>
        </w:tc>
        <w:tc>
          <w:tcPr>
            <w:tcW w:w="36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8"/>
                <w:szCs w:val="18"/>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甲供，不在本次招标范围内，投标单位负责调试及系统适配</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bl>
    <w:p>
      <w:pPr>
        <w:spacing w:line="360" w:lineRule="auto"/>
        <w:rPr>
          <w:rFonts w:ascii="宋体" w:hAnsi="宋体" w:cs="宋体"/>
          <w:b/>
          <w:color w:val="auto"/>
          <w:sz w:val="20"/>
          <w:szCs w:val="20"/>
          <w:highlight w:val="none"/>
        </w:rPr>
      </w:pPr>
    </w:p>
    <w:p>
      <w:pPr>
        <w:spacing w:line="360" w:lineRule="auto"/>
        <w:rPr>
          <w:rFonts w:ascii="宋体" w:hAnsi="宋体" w:cs="宋体"/>
          <w:b/>
          <w:color w:val="auto"/>
          <w:sz w:val="20"/>
          <w:szCs w:val="20"/>
          <w:highlight w:val="none"/>
        </w:rPr>
      </w:pPr>
    </w:p>
    <w:p>
      <w:pPr>
        <w:rPr>
          <w:rFonts w:ascii="宋体" w:hAnsi="宋体" w:cs="宋体"/>
          <w:b/>
          <w:color w:val="auto"/>
          <w:sz w:val="20"/>
          <w:szCs w:val="20"/>
          <w:highlight w:val="none"/>
        </w:rPr>
      </w:pPr>
    </w:p>
    <w:p>
      <w:pPr>
        <w:rPr>
          <w:rFonts w:ascii="宋体" w:hAnsi="宋体" w:cs="宋体"/>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3"/>
        <w:tblW w:w="0" w:type="auto"/>
        <w:tblInd w:w="96" w:type="dxa"/>
        <w:tblLayout w:type="fixed"/>
        <w:tblCellMar>
          <w:top w:w="0" w:type="dxa"/>
          <w:left w:w="108" w:type="dxa"/>
          <w:bottom w:w="0" w:type="dxa"/>
          <w:right w:w="108" w:type="dxa"/>
        </w:tblCellMar>
      </w:tblPr>
      <w:tblGrid>
        <w:gridCol w:w="503"/>
        <w:gridCol w:w="1550"/>
        <w:gridCol w:w="3624"/>
        <w:gridCol w:w="1519"/>
        <w:gridCol w:w="657"/>
        <w:gridCol w:w="755"/>
        <w:gridCol w:w="591"/>
      </w:tblGrid>
      <w:tr>
        <w:tblPrEx>
          <w:tblCellMar>
            <w:top w:w="0" w:type="dxa"/>
            <w:left w:w="108" w:type="dxa"/>
            <w:bottom w:w="0" w:type="dxa"/>
            <w:right w:w="108" w:type="dxa"/>
          </w:tblCellMar>
        </w:tblPrEx>
        <w:trPr>
          <w:trHeight w:val="460" w:hRule="atLeast"/>
        </w:trPr>
        <w:tc>
          <w:tcPr>
            <w:tcW w:w="9199" w:type="dxa"/>
            <w:gridSpan w:val="7"/>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电子巡更系统设备清单</w:t>
            </w:r>
          </w:p>
        </w:tc>
      </w:tr>
      <w:tr>
        <w:tblPrEx>
          <w:tblCellMar>
            <w:top w:w="0" w:type="dxa"/>
            <w:left w:w="108" w:type="dxa"/>
            <w:bottom w:w="0" w:type="dxa"/>
            <w:right w:w="108" w:type="dxa"/>
          </w:tblCellMar>
        </w:tblPrEx>
        <w:trPr>
          <w:trHeight w:val="460" w:hRule="atLeast"/>
        </w:trPr>
        <w:tc>
          <w:tcPr>
            <w:tcW w:w="9199" w:type="dxa"/>
            <w:gridSpan w:val="7"/>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子系统名称：电子巡更系统</w:t>
            </w:r>
          </w:p>
        </w:tc>
      </w:tr>
      <w:tr>
        <w:tblPrEx>
          <w:tblCellMar>
            <w:top w:w="0" w:type="dxa"/>
            <w:left w:w="108" w:type="dxa"/>
            <w:bottom w:w="0" w:type="dxa"/>
            <w:right w:w="108" w:type="dxa"/>
          </w:tblCellMar>
        </w:tblPrEx>
        <w:trPr>
          <w:trHeight w:val="793" w:hRule="atLeast"/>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设备名称</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主要技术参数</w:t>
            </w:r>
          </w:p>
        </w:tc>
        <w:tc>
          <w:tcPr>
            <w:tcW w:w="151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推荐品牌</w:t>
            </w:r>
          </w:p>
        </w:tc>
        <w:tc>
          <w:tcPr>
            <w:tcW w:w="65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 xml:space="preserve"> 数量 </w:t>
            </w:r>
          </w:p>
        </w:tc>
        <w:tc>
          <w:tcPr>
            <w:tcW w:w="591" w:type="dxa"/>
            <w:tcBorders>
              <w:top w:val="single" w:color="000000" w:sz="4" w:space="0"/>
              <w:left w:val="single" w:color="000000" w:sz="4" w:space="0"/>
              <w:right w:val="single" w:color="000000" w:sz="4" w:space="0"/>
            </w:tcBorders>
            <w:noWrap/>
            <w:vAlign w:val="center"/>
          </w:tcPr>
          <w:p>
            <w:pPr>
              <w:jc w:val="center"/>
              <w:rPr>
                <w:rFonts w:hint="eastAsia"/>
                <w:b/>
                <w:bCs/>
                <w:color w:val="auto"/>
                <w:sz w:val="18"/>
                <w:szCs w:val="18"/>
                <w:highlight w:val="none"/>
              </w:rPr>
            </w:pPr>
            <w:r>
              <w:rPr>
                <w:rFonts w:hint="eastAsia"/>
                <w:b/>
                <w:bCs/>
                <w:color w:val="auto"/>
                <w:sz w:val="18"/>
                <w:szCs w:val="18"/>
                <w:highlight w:val="none"/>
              </w:rPr>
              <w:t>备注</w:t>
            </w:r>
          </w:p>
        </w:tc>
      </w:tr>
      <w:tr>
        <w:tblPrEx>
          <w:tblCellMar>
            <w:top w:w="0" w:type="dxa"/>
            <w:left w:w="108" w:type="dxa"/>
            <w:bottom w:w="0" w:type="dxa"/>
            <w:right w:w="108" w:type="dxa"/>
          </w:tblCellMar>
        </w:tblPrEx>
        <w:trPr>
          <w:trHeight w:val="572" w:hRule="atLeast"/>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巡更棒</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低温坚固型巡检器,超强铝合金壳体,外壳喷塑,抗摔,防水,防爆,超大容量,可存储约3万条记录,非接触式,感应距离5-10厘米</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60" w:hRule="atLeast"/>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专用通讯器</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特制USB接口,智能巡逻管理软件</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60" w:hRule="atLeast"/>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无线通讯座,</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标准USB接口</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60" w:hRule="atLeast"/>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感应式信息钮</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EMID管状,直径6mm,长28mm</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35</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60" w:hRule="atLeast"/>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钥匙型人名钮</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钥匙型人名钮</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69" w:hRule="atLeast"/>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夜光标识牌</w:t>
            </w:r>
          </w:p>
        </w:tc>
        <w:tc>
          <w:tcPr>
            <w:tcW w:w="36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信息钮安装标识牌及夜光标签</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35</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bl>
    <w:p>
      <w:pPr>
        <w:spacing w:line="360" w:lineRule="auto"/>
        <w:rPr>
          <w:rFonts w:ascii="宋体" w:hAnsi="宋体" w:cs="宋体"/>
          <w:b/>
          <w:color w:val="auto"/>
          <w:sz w:val="20"/>
          <w:szCs w:val="20"/>
          <w:highlight w:val="none"/>
        </w:rPr>
      </w:pPr>
    </w:p>
    <w:p>
      <w:pPr>
        <w:spacing w:line="360" w:lineRule="auto"/>
        <w:rPr>
          <w:rFonts w:ascii="宋体" w:hAnsi="宋体" w:cs="宋体"/>
          <w:b/>
          <w:color w:val="auto"/>
          <w:sz w:val="20"/>
          <w:szCs w:val="20"/>
          <w:highlight w:val="none"/>
        </w:rPr>
      </w:pPr>
    </w:p>
    <w:p>
      <w:pPr>
        <w:pStyle w:val="4"/>
        <w:numPr>
          <w:ilvl w:val="0"/>
          <w:numId w:val="0"/>
        </w:numPr>
        <w:rPr>
          <w:rFonts w:ascii="宋体" w:hAnsi="宋体" w:eastAsia="宋体" w:cs="宋体"/>
          <w:color w:val="auto"/>
          <w:sz w:val="20"/>
          <w:szCs w:val="20"/>
          <w:highlight w:val="none"/>
        </w:rPr>
      </w:pPr>
    </w:p>
    <w:p>
      <w:pPr>
        <w:rPr>
          <w:rFonts w:ascii="宋体" w:hAnsi="宋体" w:cs="宋体"/>
          <w:b/>
          <w:color w:val="auto"/>
          <w:sz w:val="20"/>
          <w:szCs w:val="20"/>
          <w:highlight w:val="none"/>
        </w:rPr>
      </w:pPr>
    </w:p>
    <w:p>
      <w:pPr>
        <w:pStyle w:val="4"/>
        <w:numPr>
          <w:ilvl w:val="0"/>
          <w:numId w:val="0"/>
        </w:numPr>
        <w:rPr>
          <w:rFonts w:ascii="宋体" w:hAnsi="宋体" w:eastAsia="宋体" w:cs="宋体"/>
          <w:color w:val="auto"/>
          <w:sz w:val="20"/>
          <w:szCs w:val="20"/>
          <w:highlight w:val="none"/>
        </w:rPr>
      </w:pPr>
    </w:p>
    <w:p>
      <w:pPr>
        <w:rPr>
          <w:rFonts w:ascii="宋体" w:hAnsi="宋体" w:cs="宋体"/>
          <w:b/>
          <w:color w:val="auto"/>
          <w:sz w:val="20"/>
          <w:szCs w:val="20"/>
          <w:highlight w:val="none"/>
        </w:rPr>
      </w:pPr>
    </w:p>
    <w:p>
      <w:pPr>
        <w:pStyle w:val="4"/>
        <w:numPr>
          <w:ilvl w:val="0"/>
          <w:numId w:val="0"/>
        </w:numPr>
        <w:rPr>
          <w:rFonts w:ascii="宋体" w:hAnsi="宋体" w:eastAsia="宋体" w:cs="宋体"/>
          <w:color w:val="auto"/>
          <w:sz w:val="20"/>
          <w:szCs w:val="20"/>
          <w:highlight w:val="none"/>
        </w:rPr>
      </w:pPr>
    </w:p>
    <w:p>
      <w:pPr>
        <w:rPr>
          <w:rFonts w:ascii="宋体" w:hAnsi="宋体" w:cs="宋体"/>
          <w:b/>
          <w:color w:val="auto"/>
          <w:sz w:val="20"/>
          <w:szCs w:val="20"/>
          <w:highlight w:val="none"/>
        </w:rPr>
      </w:pPr>
    </w:p>
    <w:p>
      <w:pPr>
        <w:rPr>
          <w:rFonts w:ascii="宋体" w:hAnsi="宋体" w:cs="宋体"/>
          <w:color w:val="auto"/>
          <w:sz w:val="20"/>
          <w:szCs w:val="20"/>
          <w:highlight w:val="none"/>
        </w:rPr>
      </w:pPr>
      <w:r>
        <w:rPr>
          <w:rFonts w:hint="eastAsia" w:ascii="宋体" w:hAnsi="宋体" w:cs="宋体"/>
          <w:color w:val="auto"/>
          <w:sz w:val="20"/>
          <w:szCs w:val="20"/>
          <w:highlight w:val="none"/>
        </w:rPr>
        <w:br w:type="page"/>
      </w:r>
    </w:p>
    <w:tbl>
      <w:tblPr>
        <w:tblStyle w:val="13"/>
        <w:tblW w:w="0" w:type="auto"/>
        <w:tblInd w:w="96" w:type="dxa"/>
        <w:tblLayout w:type="fixed"/>
        <w:tblCellMar>
          <w:top w:w="0" w:type="dxa"/>
          <w:left w:w="108" w:type="dxa"/>
          <w:bottom w:w="0" w:type="dxa"/>
          <w:right w:w="108" w:type="dxa"/>
        </w:tblCellMar>
      </w:tblPr>
      <w:tblGrid>
        <w:gridCol w:w="592"/>
        <w:gridCol w:w="1445"/>
        <w:gridCol w:w="4171"/>
        <w:gridCol w:w="1072"/>
        <w:gridCol w:w="610"/>
        <w:gridCol w:w="601"/>
        <w:gridCol w:w="608"/>
      </w:tblGrid>
      <w:tr>
        <w:tblPrEx>
          <w:tblCellMar>
            <w:top w:w="0" w:type="dxa"/>
            <w:left w:w="108" w:type="dxa"/>
            <w:bottom w:w="0" w:type="dxa"/>
            <w:right w:w="108" w:type="dxa"/>
          </w:tblCellMar>
        </w:tblPrEx>
        <w:trPr>
          <w:trHeight w:val="543" w:hRule="atLeast"/>
        </w:trPr>
        <w:tc>
          <w:tcPr>
            <w:tcW w:w="9099" w:type="dxa"/>
            <w:gridSpan w:val="7"/>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一卡通管理系统设备清单</w:t>
            </w:r>
          </w:p>
        </w:tc>
      </w:tr>
      <w:tr>
        <w:tblPrEx>
          <w:tblCellMar>
            <w:top w:w="0" w:type="dxa"/>
            <w:left w:w="108" w:type="dxa"/>
            <w:bottom w:w="0" w:type="dxa"/>
            <w:right w:w="108" w:type="dxa"/>
          </w:tblCellMar>
        </w:tblPrEx>
        <w:trPr>
          <w:trHeight w:val="543" w:hRule="atLeast"/>
        </w:trPr>
        <w:tc>
          <w:tcPr>
            <w:tcW w:w="9099" w:type="dxa"/>
            <w:gridSpan w:val="7"/>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子系统名称：一卡通管理系统</w:t>
            </w:r>
          </w:p>
        </w:tc>
      </w:tr>
      <w:tr>
        <w:tblPrEx>
          <w:tblCellMar>
            <w:top w:w="0" w:type="dxa"/>
            <w:left w:w="108" w:type="dxa"/>
            <w:bottom w:w="0" w:type="dxa"/>
            <w:right w:w="108" w:type="dxa"/>
          </w:tblCellMar>
        </w:tblPrEx>
        <w:trPr>
          <w:trHeight w:val="9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设备名称</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技术参数</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推荐品牌</w:t>
            </w:r>
          </w:p>
        </w:tc>
        <w:tc>
          <w:tcPr>
            <w:tcW w:w="61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60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 xml:space="preserve">数量 </w:t>
            </w:r>
          </w:p>
        </w:tc>
        <w:tc>
          <w:tcPr>
            <w:tcW w:w="608" w:type="dxa"/>
            <w:tcBorders>
              <w:top w:val="single" w:color="000000" w:sz="4" w:space="0"/>
              <w:left w:val="single" w:color="000000" w:sz="4" w:space="0"/>
              <w:right w:val="single" w:color="000000" w:sz="4" w:space="0"/>
            </w:tcBorders>
            <w:noWrap/>
            <w:vAlign w:val="center"/>
          </w:tcPr>
          <w:p>
            <w:pPr>
              <w:jc w:val="center"/>
              <w:rPr>
                <w:rFonts w:hint="eastAsia"/>
                <w:b/>
                <w:bCs/>
                <w:color w:val="auto"/>
                <w:sz w:val="18"/>
                <w:szCs w:val="18"/>
                <w:highlight w:val="none"/>
              </w:rPr>
            </w:pPr>
            <w:r>
              <w:rPr>
                <w:rFonts w:hint="eastAsia"/>
                <w:b/>
                <w:bCs/>
                <w:color w:val="auto"/>
                <w:sz w:val="18"/>
                <w:szCs w:val="18"/>
                <w:highlight w:val="none"/>
              </w:rPr>
              <w:t>备注</w:t>
            </w:r>
          </w:p>
        </w:tc>
      </w:tr>
      <w:tr>
        <w:tblPrEx>
          <w:tblCellMar>
            <w:top w:w="0" w:type="dxa"/>
            <w:left w:w="108" w:type="dxa"/>
            <w:bottom w:w="0" w:type="dxa"/>
            <w:right w:w="108" w:type="dxa"/>
          </w:tblCellMar>
        </w:tblPrEx>
        <w:trPr>
          <w:trHeight w:val="543" w:hRule="atLeast"/>
        </w:trPr>
        <w:tc>
          <w:tcPr>
            <w:tcW w:w="20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一、门禁管理子系统</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p>
        </w:tc>
        <w:tc>
          <w:tcPr>
            <w:tcW w:w="60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3009"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门禁一体机</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读卡频率：13.56MHz</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按键方式：物理按键</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可识别卡：Mifare卡号、Mifare卡内容、CPU卡号(不含加密功能)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通讯方式：RS485+Wiegand</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工作电压：DC 12V</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功耗：≤2W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安装方式：无底盒壁挂、86底盒、120底盒安装</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工作环境：室内/室外，IP65</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外型尺寸：123mm(高)x88mm(宽)x21mm(厚)</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14</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937"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7寸人脸门禁一体机</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1、设备外观：采用7寸高清触摸屏，200万像素双目摄像头，面部识别距离0.3-2m，支持照片、视频防假；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2、设备容量：支持10000张人脸白名单，1：N人脸比对时间＜0.2S/人，支持50000 张卡，150000条事件记录；</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3、认证方式：支持人脸、刷卡、密码及其组合的认证方式；可读取Mifare卡（IC卡）、CPU卡号/内容、身份证序列号；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4、工作模式：支持普通模式、广告模式、简洁模式三大主题；每个主题均支持多人及单人识别</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5、3.5mm 音频输出接口*1，设备内置扬声器可与外接音箱同时使用；对讲通话时，自动关闭外接音箱；</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6、输入接口：LAN*1、RS485*1、Wiegand * 1(支持双向)、USB*1、 typeC*1、门磁*1、报警输入*2、开门按钮*1、SD 卡槽*1（最大支持 512GB）；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7、输出接口：电锁*1个，报警输出*1个；</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8、通讯方式：上行通讯为TCP/IP；</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9、工作电压： DC12V~24V/2A（不带电源，需另配电源）</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10、使用环境：室内外环境（室外使用，必须需增加遮阳罩）；</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11、安装方式：标配壁挂安装挂板，可安装在人员通道上，需搭配通道支架；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12、产品尺寸：209.2*110.5*24mm；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13、工作温度：-30℃～60℃。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010"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出门按钮</w:t>
            </w:r>
          </w:p>
        </w:tc>
        <w:tc>
          <w:tcPr>
            <w:tcW w:w="41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结构：塑料面板；性能：最大耐电流1.25A，电压250V；输出：常开；类型：适合埋入式电器盒使用；尺寸：86*86mm，安装后露出13mm；重量：0.07kg；</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77"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双门磁力锁</w:t>
            </w:r>
          </w:p>
        </w:tc>
        <w:tc>
          <w:tcPr>
            <w:tcW w:w="41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最大静态直线拉力：280kg(600Lbs) ± 15%  * 2</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断电开锁，满足消防要求；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具有电锁状态指示灯（红灯为开锁状态， 绿灯为上锁状态）；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支持锁状态侦测信号(门磁)输出：NO/NC/COM接点；</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工作电压：12V/840mA 或 24V/420mA；</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使用环境：室内（不防水）；</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适用门型：木门、玻璃门、金属门、防火门。</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把</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343"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单门磁力锁</w:t>
            </w:r>
          </w:p>
        </w:tc>
        <w:tc>
          <w:tcPr>
            <w:tcW w:w="41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最大静态直线拉力：280kg(600Lbs) ± 15%</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断电开锁，满足消防要求；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具有电锁状态指示灯（红灯为开锁状态， 绿灯为上锁状态）；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支持锁状态侦测信号(门磁)输出：NO/NC/COM接点；</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工作电压：12V/420mA 或 24V/210mA；</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使用环境：室内（不防水）；</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适用门型：木门、玻璃门、金属门、防火门。</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把</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77"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电控锁</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开锁方式：通电开锁；工作电压：DC 12V ± 10%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把</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77"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磁力锁支架</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高强铝合金，表面喷沙；外壳处理：阳极硬化电镀处理</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43" w:hRule="atLeast"/>
        </w:trPr>
        <w:tc>
          <w:tcPr>
            <w:tcW w:w="9099" w:type="dxa"/>
            <w:gridSpan w:val="7"/>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r>
              <w:rPr>
                <w:rFonts w:hint="eastAsia" w:ascii="宋体" w:hAnsi="宋体" w:cs="宋体"/>
                <w:b/>
                <w:bCs/>
                <w:color w:val="auto"/>
                <w:kern w:val="0"/>
                <w:sz w:val="18"/>
                <w:szCs w:val="18"/>
                <w:highlight w:val="none"/>
                <w:lang w:bidi="ar"/>
              </w:rPr>
              <w:t>二、一卡通中心管理子系统</w:t>
            </w:r>
          </w:p>
        </w:tc>
      </w:tr>
      <w:tr>
        <w:tblPrEx>
          <w:tblCellMar>
            <w:top w:w="0" w:type="dxa"/>
            <w:left w:w="108" w:type="dxa"/>
            <w:bottom w:w="0" w:type="dxa"/>
            <w:right w:w="108" w:type="dxa"/>
          </w:tblCellMar>
        </w:tblPrEx>
        <w:trPr>
          <w:trHeight w:val="2343"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4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IC卡发行授权器</w:t>
            </w:r>
          </w:p>
        </w:tc>
        <w:tc>
          <w:tcPr>
            <w:tcW w:w="41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支持发卡类型：ID卡、Mifare卡、二三代身份证卡（序列号）、普通CPU卡、国密CPU卡；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USB2.0接口；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具有2个Sim卡尺寸的PSAM卡座；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工作电压：DC 5V；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工作电流：0.2A；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尺寸：117*67.5*14.3mm</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77"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一卡通管理软件</w:t>
            </w:r>
          </w:p>
        </w:tc>
        <w:tc>
          <w:tcPr>
            <w:tcW w:w="41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网络版中心管理软件，统一管理系统内所有数据，SQLSERVER数据库架构、适用WIN2K/XP/WIN7系统。</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77"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通讯转换器</w:t>
            </w:r>
          </w:p>
        </w:tc>
        <w:tc>
          <w:tcPr>
            <w:tcW w:w="41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通讯接口：RS485；设备通过485通讯卡与电脑交换数据；通讯距离：≤1.2Km；</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3009"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人脸采集器</w:t>
            </w:r>
          </w:p>
        </w:tc>
        <w:tc>
          <w:tcPr>
            <w:tcW w:w="41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1、3.97英寸触摸显示屏，屏幕分辨率800*480；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2、采用200万双目摄像头，有照片视频防假功能；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3、支持人脸采集、卡片录入（ID/Mifare/普通CPU/国密CPU卡/二三代身份证序列号）；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4、支持有线网络、无线WiFi、USB口通信；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5、支持在线采集，通过网络协议或USB口对接到平台，平台进行在线采集，采集信息实时上传；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6、工作电压：DC12V/1.5A (自带电源适配器）；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7、尺寸：122mm*125mm*138mm</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77"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IC卡</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Mifare I，根据要求提供彩色印刷</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张</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100</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34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管理电脑</w:t>
            </w:r>
          </w:p>
        </w:tc>
        <w:tc>
          <w:tcPr>
            <w:tcW w:w="417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甲供，不在本次招标范围内，投标单位负责调试及系统适配</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60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bl>
    <w:p>
      <w:pPr>
        <w:rPr>
          <w:color w:val="auto"/>
          <w:highlight w:val="none"/>
        </w:rPr>
      </w:pPr>
    </w:p>
    <w:p>
      <w:pPr>
        <w:rPr>
          <w:rFonts w:ascii="宋体" w:hAnsi="宋体" w:cs="宋体"/>
          <w:b/>
          <w:color w:val="auto"/>
          <w:sz w:val="20"/>
          <w:szCs w:val="20"/>
          <w:highlight w:val="none"/>
        </w:rPr>
      </w:pPr>
    </w:p>
    <w:p>
      <w:pPr>
        <w:pStyle w:val="4"/>
        <w:numPr>
          <w:ilvl w:val="0"/>
          <w:numId w:val="0"/>
        </w:numPr>
        <w:rPr>
          <w:rFonts w:ascii="宋体" w:hAnsi="宋体" w:eastAsia="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pStyle w:val="4"/>
        <w:rPr>
          <w:rFonts w:ascii="宋体" w:hAnsi="宋体" w:eastAsia="宋体" w:cs="宋体"/>
          <w:color w:val="auto"/>
          <w:sz w:val="20"/>
          <w:szCs w:val="20"/>
          <w:highlight w:val="none"/>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cs="宋体"/>
          <w:b/>
          <w:color w:val="auto"/>
          <w:sz w:val="20"/>
          <w:szCs w:val="20"/>
          <w:highlight w:val="none"/>
        </w:rPr>
      </w:pPr>
    </w:p>
    <w:tbl>
      <w:tblPr>
        <w:tblStyle w:val="13"/>
        <w:tblW w:w="0" w:type="auto"/>
        <w:tblInd w:w="96" w:type="dxa"/>
        <w:tblLayout w:type="fixed"/>
        <w:tblCellMar>
          <w:top w:w="0" w:type="dxa"/>
          <w:left w:w="108" w:type="dxa"/>
          <w:bottom w:w="0" w:type="dxa"/>
          <w:right w:w="108" w:type="dxa"/>
        </w:tblCellMar>
      </w:tblPr>
      <w:tblGrid>
        <w:gridCol w:w="397"/>
        <w:gridCol w:w="1570"/>
        <w:gridCol w:w="5383"/>
        <w:gridCol w:w="943"/>
        <w:gridCol w:w="443"/>
        <w:gridCol w:w="516"/>
        <w:gridCol w:w="705"/>
      </w:tblGrid>
      <w:tr>
        <w:tblPrEx>
          <w:tblCellMar>
            <w:top w:w="0" w:type="dxa"/>
            <w:left w:w="108" w:type="dxa"/>
            <w:bottom w:w="0" w:type="dxa"/>
            <w:right w:w="108" w:type="dxa"/>
          </w:tblCellMar>
        </w:tblPrEx>
        <w:trPr>
          <w:trHeight w:val="499" w:hRule="atLeast"/>
        </w:trPr>
        <w:tc>
          <w:tcPr>
            <w:tcW w:w="9957" w:type="dxa"/>
            <w:gridSpan w:val="7"/>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出入口控制系统设备清单</w:t>
            </w:r>
          </w:p>
        </w:tc>
      </w:tr>
      <w:tr>
        <w:tblPrEx>
          <w:tblCellMar>
            <w:top w:w="0" w:type="dxa"/>
            <w:left w:w="108" w:type="dxa"/>
            <w:bottom w:w="0" w:type="dxa"/>
            <w:right w:w="108" w:type="dxa"/>
          </w:tblCellMar>
        </w:tblPrEx>
        <w:trPr>
          <w:trHeight w:val="499" w:hRule="atLeast"/>
        </w:trPr>
        <w:tc>
          <w:tcPr>
            <w:tcW w:w="9957" w:type="dxa"/>
            <w:gridSpan w:val="7"/>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子系统名称：出入口控制系统</w:t>
            </w:r>
          </w:p>
        </w:tc>
      </w:tr>
      <w:tr>
        <w:tblPrEx>
          <w:tblCellMar>
            <w:top w:w="0" w:type="dxa"/>
            <w:left w:w="108" w:type="dxa"/>
            <w:bottom w:w="0" w:type="dxa"/>
            <w:right w:w="108" w:type="dxa"/>
          </w:tblCellMar>
        </w:tblPrEx>
        <w:trPr>
          <w:trHeight w:val="998"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设备名称</w:t>
            </w:r>
          </w:p>
        </w:tc>
        <w:tc>
          <w:tcPr>
            <w:tcW w:w="5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技术参数</w:t>
            </w:r>
          </w:p>
        </w:tc>
        <w:tc>
          <w:tcPr>
            <w:tcW w:w="94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推荐品牌</w:t>
            </w:r>
          </w:p>
        </w:tc>
        <w:tc>
          <w:tcPr>
            <w:tcW w:w="44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516"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 xml:space="preserve"> 数量 </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r>
              <w:rPr>
                <w:rFonts w:hint="eastAsia"/>
                <w:b/>
                <w:bCs/>
                <w:color w:val="auto"/>
                <w:sz w:val="18"/>
                <w:szCs w:val="18"/>
                <w:highlight w:val="none"/>
              </w:rPr>
              <w:t>备注</w:t>
            </w:r>
          </w:p>
        </w:tc>
      </w:tr>
      <w:tr>
        <w:tblPrEx>
          <w:tblCellMar>
            <w:top w:w="0" w:type="dxa"/>
            <w:left w:w="108" w:type="dxa"/>
            <w:bottom w:w="0" w:type="dxa"/>
            <w:right w:w="108" w:type="dxa"/>
          </w:tblCellMar>
        </w:tblPrEx>
        <w:trPr>
          <w:trHeight w:val="499" w:hRule="atLeast"/>
        </w:trPr>
        <w:tc>
          <w:tcPr>
            <w:tcW w:w="19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一、车牌识别道闸</w:t>
            </w:r>
          </w:p>
        </w:tc>
        <w:tc>
          <w:tcPr>
            <w:tcW w:w="53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c>
          <w:tcPr>
            <w:tcW w:w="4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5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自动挡车器</w:t>
            </w:r>
          </w:p>
        </w:tc>
        <w:tc>
          <w:tcPr>
            <w:tcW w:w="5383"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快速道闸；包含：2个遥控器；道闸类型：直杆；道闸方向：右向；道闸杆长：3米；运行速度：1.6~2秒；机箱材质：冷轧钢；机箱颜色：橙色；遥控距离：≥30m；输入电压：220VAC+10%；电机驱动：交流电机；电机功率：90W；功能特性：支持外接红绿灯警示、外接红外保护、外接地感功能，支持强冷天气</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5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车检器</w:t>
            </w:r>
          </w:p>
        </w:tc>
        <w:tc>
          <w:tcPr>
            <w:tcW w:w="53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独立式,支持接入的最大线圈数2,继电器输出</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5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地感线圈</w:t>
            </w:r>
          </w:p>
        </w:tc>
        <w:tc>
          <w:tcPr>
            <w:tcW w:w="53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0.75mm²，绞合导体，镀锡铜，绝缘蓝色PVC外被，1捆线圈50米。</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5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出入口补光抓拍单元</w:t>
            </w:r>
          </w:p>
        </w:tc>
        <w:tc>
          <w:tcPr>
            <w:tcW w:w="5383"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【200万智能抓拍显示一体机】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高清晰：200万像素高清摄像机，最大分辨率可达1920*1200，帧率高达25fps；</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低照度效果：1/2.7"逐行扫描CMOS，成像效果好， 0.002Lux彩色低照度监控效果，夜间看的更清；</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集成度高：集摄像机、LED显示屏、补光灯、镜头、喇叭功放于一体，有效节省施工布线成本；</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显示屏(LED款)：支持两列4字显示（一列4个字，两列共8个字），双色LED屏，显示内容可灵活配置</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补光灯：内置9颗高亮LED灯，智能补光技术，支持时控和光控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镜头：支持3.1~9mm电动变焦镜头，远程调试，更方便快捷；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车牌识别种类：支持识别的号牌类型包括大（小）型汽车、使领馆汽车、警用汽车、教练汽车、新能源汽车、军车等；2019式武警车牌等国标车牌；</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黑白名单控制：支持黑、白名单的导入及对比，可直接联动道闸开闸，支持脱机运行；</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多种触发模式：支持视频触发、线圈触发、雷达触发等多种触发模式；捕获率高，纯视频识别，纯视频抓拍时可捕获无车牌，捕获率99.9%以上</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防跟车模式：支持视频防跟车、雷达/线圈防跟车两种模式，对于连续过车的场景，可实现跟车不落杆，有效解决拥堵问题；</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防护等级：机箱表面采用抗紫外线静电喷塑工艺，不起皮，不褪色，防尘防水等级符合室外设备IP54级别要求；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简易施工：安装调试方便：一体化结构设计，布线简单，调试方便，一站式安装，一体化维护，施工周期可缩短1/3</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5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不锈钢岗亭</w:t>
            </w:r>
          </w:p>
        </w:tc>
        <w:tc>
          <w:tcPr>
            <w:tcW w:w="5383"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宽1米*长1.5米*高2.2米，不锈钢制作，双向开窗，单门，含岗亭基础及安全岛</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5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管理软件</w:t>
            </w:r>
          </w:p>
        </w:tc>
        <w:tc>
          <w:tcPr>
            <w:tcW w:w="5383"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支持出入口管控，黑白名单添加，收费管理模式，出入口记录导出、复制，管理人员添加等功能；可与一卡通平台无缝兼容</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8口千兆交换机</w:t>
            </w:r>
          </w:p>
        </w:tc>
        <w:tc>
          <w:tcPr>
            <w:tcW w:w="53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整机交换容量≥336Gbps，转发性能≥27Mpps；固化10/100/1000M以太网端口≥8</w:t>
            </w:r>
            <w:r>
              <w:rPr>
                <w:rStyle w:val="31"/>
                <w:rFonts w:hint="default"/>
                <w:color w:val="auto"/>
                <w:highlight w:val="none"/>
                <w:lang w:bidi="ar"/>
              </w:rPr>
              <w:t>，非复用SFP千兆光接口≥2个；设备MAC地址≥16K；支持1对1对多、多对1和基于流的镜像；且支持RSPAN和ERSPAN；产品端口浪涌抗扰度≥10KV（即具备10KV的防雷能力），支持IEEE 802.3az标准的EEE节能技术</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2 </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szCs w:val="24"/>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8</w:t>
            </w:r>
          </w:p>
        </w:tc>
        <w:tc>
          <w:tcPr>
            <w:tcW w:w="157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出入口控制终端</w:t>
            </w:r>
          </w:p>
        </w:tc>
        <w:tc>
          <w:tcPr>
            <w:tcW w:w="5383"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CPU：Apollo Lake J3455平台处理器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内存：4GB；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标配128G SSD，可额外选配一块3.5寸机械硬盘（需下配置单，并备注说明硬盘容量）；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其他接口：6个1000Mbps自适应网口（G2~G6为交换机，G1为独立网口，支持双网隔离）、2个RS232、2个RS485、4个USB3.0；4个开关量输入，4个继电器开关量输出、1个VGA输出接口，1路内置预留SATA接口、1个HDMI输出接口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平台功能：支持上传至智能停车场管理系统；支持上传至其他中心管理系统（需定制）；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远程管理：支持远程进行权限设置或维护管理；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工作电压:主机12VDC，外接220VAC电源适配器；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功耗:平均25w，最高50w；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工作环境温度:-10 ℃～50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工作环境湿度:10%~90%@40℃，无凝结；</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外形尺寸:245mm(W)×65mm(H)×170mm(D)；</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重量:3.00kg。</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功能特性：无风扇设计，集成交换机、485接口、报警2进4出、视频HDMI及VGA接口</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通讯转换器</w:t>
            </w:r>
          </w:p>
        </w:tc>
        <w:tc>
          <w:tcPr>
            <w:tcW w:w="5383"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通讯接口：RS485；设备通过485通讯卡与电脑交换数据；通讯距离：≤1.2Km；工作温度：-25℃~50℃；相对湿度：≤95%。</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管理电脑</w:t>
            </w:r>
          </w:p>
        </w:tc>
        <w:tc>
          <w:tcPr>
            <w:tcW w:w="5383"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Arial" w:hAnsi="Arial" w:cs="Arial"/>
                <w:color w:val="auto"/>
                <w:sz w:val="20"/>
                <w:szCs w:val="20"/>
                <w:highlight w:val="none"/>
              </w:rPr>
            </w:pP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甲供，不在本次招标范围内，投标单位负责调试及系统适配</w:t>
            </w:r>
          </w:p>
        </w:tc>
        <w:tc>
          <w:tcPr>
            <w:tcW w:w="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0" cy="237490"/>
                  <wp:effectExtent l="0" t="0" r="0" b="0"/>
                  <wp:wrapNone/>
                  <wp:docPr id="1" name="Text_Box_80"/>
                  <wp:cNvGraphicFramePr/>
                  <a:graphic xmlns:a="http://schemas.openxmlformats.org/drawingml/2006/main">
                    <a:graphicData uri="http://schemas.openxmlformats.org/drawingml/2006/picture">
                      <pic:pic xmlns:pic="http://schemas.openxmlformats.org/drawingml/2006/picture">
                        <pic:nvPicPr>
                          <pic:cNvPr id="1" name="Text_Box_80"/>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0" cy="237490"/>
                  <wp:effectExtent l="0" t="0" r="0" b="0"/>
                  <wp:wrapNone/>
                  <wp:docPr id="2" name="Text_Box_80_SpCnt_1"/>
                  <wp:cNvGraphicFramePr/>
                  <a:graphic xmlns:a="http://schemas.openxmlformats.org/drawingml/2006/main">
                    <a:graphicData uri="http://schemas.openxmlformats.org/drawingml/2006/picture">
                      <pic:pic xmlns:pic="http://schemas.openxmlformats.org/drawingml/2006/picture">
                        <pic:nvPicPr>
                          <pic:cNvPr id="2" name="Text_Box_80_SpCnt_1"/>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0" cy="237490"/>
                  <wp:effectExtent l="0" t="0" r="0" b="0"/>
                  <wp:wrapNone/>
                  <wp:docPr id="3" name="Text_Box_80_SpCnt_2"/>
                  <wp:cNvGraphicFramePr/>
                  <a:graphic xmlns:a="http://schemas.openxmlformats.org/drawingml/2006/main">
                    <a:graphicData uri="http://schemas.openxmlformats.org/drawingml/2006/picture">
                      <pic:pic xmlns:pic="http://schemas.openxmlformats.org/drawingml/2006/picture">
                        <pic:nvPicPr>
                          <pic:cNvPr id="3" name="Text_Box_80_SpCnt_2"/>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0" cy="237490"/>
                  <wp:effectExtent l="0" t="0" r="0" b="0"/>
                  <wp:wrapNone/>
                  <wp:docPr id="4" name="Text_Box_80_SpCnt_3"/>
                  <wp:cNvGraphicFramePr/>
                  <a:graphic xmlns:a="http://schemas.openxmlformats.org/drawingml/2006/main">
                    <a:graphicData uri="http://schemas.openxmlformats.org/drawingml/2006/picture">
                      <pic:pic xmlns:pic="http://schemas.openxmlformats.org/drawingml/2006/picture">
                        <pic:nvPicPr>
                          <pic:cNvPr id="4" name="Text_Box_80_SpCnt_3"/>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0" cy="237490"/>
                  <wp:effectExtent l="0" t="0" r="0" b="0"/>
                  <wp:wrapNone/>
                  <wp:docPr id="5" name="Text_Box_80_SpCnt_4"/>
                  <wp:cNvGraphicFramePr/>
                  <a:graphic xmlns:a="http://schemas.openxmlformats.org/drawingml/2006/main">
                    <a:graphicData uri="http://schemas.openxmlformats.org/drawingml/2006/picture">
                      <pic:pic xmlns:pic="http://schemas.openxmlformats.org/drawingml/2006/picture">
                        <pic:nvPicPr>
                          <pic:cNvPr id="5" name="Text_Box_80_SpCnt_4"/>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0" cy="237490"/>
                  <wp:effectExtent l="0" t="0" r="0" b="0"/>
                  <wp:wrapNone/>
                  <wp:docPr id="6" name="Text_Box_80_SpCnt_5"/>
                  <wp:cNvGraphicFramePr/>
                  <a:graphic xmlns:a="http://schemas.openxmlformats.org/drawingml/2006/main">
                    <a:graphicData uri="http://schemas.openxmlformats.org/drawingml/2006/picture">
                      <pic:pic xmlns:pic="http://schemas.openxmlformats.org/drawingml/2006/picture">
                        <pic:nvPicPr>
                          <pic:cNvPr id="6" name="Text_Box_80_SpCnt_5"/>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0" cy="237490"/>
                  <wp:effectExtent l="0" t="0" r="0" b="0"/>
                  <wp:wrapNone/>
                  <wp:docPr id="7" name="Text_Box_80_SpCnt_6"/>
                  <wp:cNvGraphicFramePr/>
                  <a:graphic xmlns:a="http://schemas.openxmlformats.org/drawingml/2006/main">
                    <a:graphicData uri="http://schemas.openxmlformats.org/drawingml/2006/picture">
                      <pic:pic xmlns:pic="http://schemas.openxmlformats.org/drawingml/2006/picture">
                        <pic:nvPicPr>
                          <pic:cNvPr id="7" name="Text_Box_80_SpCnt_6"/>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0" cy="237490"/>
                  <wp:effectExtent l="0" t="0" r="0" b="0"/>
                  <wp:wrapNone/>
                  <wp:docPr id="8" name="Text_Box_80_SpCnt_7"/>
                  <wp:cNvGraphicFramePr/>
                  <a:graphic xmlns:a="http://schemas.openxmlformats.org/drawingml/2006/main">
                    <a:graphicData uri="http://schemas.openxmlformats.org/drawingml/2006/picture">
                      <pic:pic xmlns:pic="http://schemas.openxmlformats.org/drawingml/2006/picture">
                        <pic:nvPicPr>
                          <pic:cNvPr id="8" name="Text_Box_80_SpCnt_7"/>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0" cy="237490"/>
                  <wp:effectExtent l="0" t="0" r="0" b="0"/>
                  <wp:wrapNone/>
                  <wp:docPr id="9" name="Text_Box_80_SpCnt_8"/>
                  <wp:cNvGraphicFramePr/>
                  <a:graphic xmlns:a="http://schemas.openxmlformats.org/drawingml/2006/main">
                    <a:graphicData uri="http://schemas.openxmlformats.org/drawingml/2006/picture">
                      <pic:pic xmlns:pic="http://schemas.openxmlformats.org/drawingml/2006/picture">
                        <pic:nvPicPr>
                          <pic:cNvPr id="9" name="Text_Box_80_SpCnt_8"/>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0" cy="237490"/>
                  <wp:effectExtent l="0" t="0" r="0" b="0"/>
                  <wp:wrapNone/>
                  <wp:docPr id="10" name="Text_Box_80_SpCnt_9"/>
                  <wp:cNvGraphicFramePr/>
                  <a:graphic xmlns:a="http://schemas.openxmlformats.org/drawingml/2006/main">
                    <a:graphicData uri="http://schemas.openxmlformats.org/drawingml/2006/picture">
                      <pic:pic xmlns:pic="http://schemas.openxmlformats.org/drawingml/2006/picture">
                        <pic:nvPicPr>
                          <pic:cNvPr id="10" name="Text_Box_80_SpCnt_9"/>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0" cy="237490"/>
                  <wp:effectExtent l="0" t="0" r="0" b="0"/>
                  <wp:wrapNone/>
                  <wp:docPr id="11" name="Text_Box_80_SpCnt_10"/>
                  <wp:cNvGraphicFramePr/>
                  <a:graphic xmlns:a="http://schemas.openxmlformats.org/drawingml/2006/main">
                    <a:graphicData uri="http://schemas.openxmlformats.org/drawingml/2006/picture">
                      <pic:pic xmlns:pic="http://schemas.openxmlformats.org/drawingml/2006/picture">
                        <pic:nvPicPr>
                          <pic:cNvPr id="11" name="Text_Box_80_SpCnt_10"/>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0" cy="237490"/>
                  <wp:effectExtent l="0" t="0" r="0" b="0"/>
                  <wp:wrapNone/>
                  <wp:docPr id="12" name="Text_Box_80_SpCnt_11"/>
                  <wp:cNvGraphicFramePr/>
                  <a:graphic xmlns:a="http://schemas.openxmlformats.org/drawingml/2006/main">
                    <a:graphicData uri="http://schemas.openxmlformats.org/drawingml/2006/picture">
                      <pic:pic xmlns:pic="http://schemas.openxmlformats.org/drawingml/2006/picture">
                        <pic:nvPicPr>
                          <pic:cNvPr id="12" name="Text_Box_80_SpCnt_11"/>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0" cy="237490"/>
                  <wp:effectExtent l="0" t="0" r="0" b="0"/>
                  <wp:wrapNone/>
                  <wp:docPr id="13" name="Text_Box_80_SpCnt_12"/>
                  <wp:cNvGraphicFramePr/>
                  <a:graphic xmlns:a="http://schemas.openxmlformats.org/drawingml/2006/main">
                    <a:graphicData uri="http://schemas.openxmlformats.org/drawingml/2006/picture">
                      <pic:pic xmlns:pic="http://schemas.openxmlformats.org/drawingml/2006/picture">
                        <pic:nvPicPr>
                          <pic:cNvPr id="13" name="Text_Box_80_SpCnt_12"/>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0" cy="237490"/>
                  <wp:effectExtent l="0" t="0" r="0" b="0"/>
                  <wp:wrapNone/>
                  <wp:docPr id="14" name="Text_Box_80_SpCnt_13"/>
                  <wp:cNvGraphicFramePr/>
                  <a:graphic xmlns:a="http://schemas.openxmlformats.org/drawingml/2006/main">
                    <a:graphicData uri="http://schemas.openxmlformats.org/drawingml/2006/picture">
                      <pic:pic xmlns:pic="http://schemas.openxmlformats.org/drawingml/2006/picture">
                        <pic:nvPicPr>
                          <pic:cNvPr id="14" name="Text_Box_80_SpCnt_13"/>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0" cy="237490"/>
                  <wp:effectExtent l="0" t="0" r="0" b="0"/>
                  <wp:wrapNone/>
                  <wp:docPr id="15" name="Text_Box_80_SpCnt_14"/>
                  <wp:cNvGraphicFramePr/>
                  <a:graphic xmlns:a="http://schemas.openxmlformats.org/drawingml/2006/main">
                    <a:graphicData uri="http://schemas.openxmlformats.org/drawingml/2006/picture">
                      <pic:pic xmlns:pic="http://schemas.openxmlformats.org/drawingml/2006/picture">
                        <pic:nvPicPr>
                          <pic:cNvPr id="15" name="Text_Box_80_SpCnt_14"/>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0" cy="237490"/>
                  <wp:effectExtent l="0" t="0" r="0" b="0"/>
                  <wp:wrapNone/>
                  <wp:docPr id="16" name="Text_Box_80_SpCnt_15"/>
                  <wp:cNvGraphicFramePr/>
                  <a:graphic xmlns:a="http://schemas.openxmlformats.org/drawingml/2006/main">
                    <a:graphicData uri="http://schemas.openxmlformats.org/drawingml/2006/picture">
                      <pic:pic xmlns:pic="http://schemas.openxmlformats.org/drawingml/2006/picture">
                        <pic:nvPicPr>
                          <pic:cNvPr id="16" name="Text_Box_80_SpCnt_15"/>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0" cy="237490"/>
                  <wp:effectExtent l="0" t="0" r="0" b="0"/>
                  <wp:wrapNone/>
                  <wp:docPr id="17" name="Text_Box_80_SpCnt_16"/>
                  <wp:cNvGraphicFramePr/>
                  <a:graphic xmlns:a="http://schemas.openxmlformats.org/drawingml/2006/main">
                    <a:graphicData uri="http://schemas.openxmlformats.org/drawingml/2006/picture">
                      <pic:pic xmlns:pic="http://schemas.openxmlformats.org/drawingml/2006/picture">
                        <pic:nvPicPr>
                          <pic:cNvPr id="17" name="Text_Box_80_SpCnt_16"/>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0" cy="237490"/>
                  <wp:effectExtent l="0" t="0" r="0" b="0"/>
                  <wp:wrapNone/>
                  <wp:docPr id="18" name="Text_Box_80_SpCnt_17"/>
                  <wp:cNvGraphicFramePr/>
                  <a:graphic xmlns:a="http://schemas.openxmlformats.org/drawingml/2006/main">
                    <a:graphicData uri="http://schemas.openxmlformats.org/drawingml/2006/picture">
                      <pic:pic xmlns:pic="http://schemas.openxmlformats.org/drawingml/2006/picture">
                        <pic:nvPicPr>
                          <pic:cNvPr id="18" name="Text_Box_80_SpCnt_17"/>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0" cy="237490"/>
                  <wp:effectExtent l="0" t="0" r="0" b="0"/>
                  <wp:wrapNone/>
                  <wp:docPr id="19" name="Text_Box_80_SpCnt_18"/>
                  <wp:cNvGraphicFramePr/>
                  <a:graphic xmlns:a="http://schemas.openxmlformats.org/drawingml/2006/main">
                    <a:graphicData uri="http://schemas.openxmlformats.org/drawingml/2006/picture">
                      <pic:pic xmlns:pic="http://schemas.openxmlformats.org/drawingml/2006/picture">
                        <pic:nvPicPr>
                          <pic:cNvPr id="19" name="Text_Box_80_SpCnt_18"/>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0" cy="237490"/>
                  <wp:effectExtent l="0" t="0" r="0" b="0"/>
                  <wp:wrapNone/>
                  <wp:docPr id="20" name="Text_Box_80_SpCnt_19"/>
                  <wp:cNvGraphicFramePr/>
                  <a:graphic xmlns:a="http://schemas.openxmlformats.org/drawingml/2006/main">
                    <a:graphicData uri="http://schemas.openxmlformats.org/drawingml/2006/picture">
                      <pic:pic xmlns:pic="http://schemas.openxmlformats.org/drawingml/2006/picture">
                        <pic:nvPicPr>
                          <pic:cNvPr id="20" name="Text_Box_80_SpCnt_19"/>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0" cy="237490"/>
                  <wp:effectExtent l="0" t="0" r="0" b="0"/>
                  <wp:wrapNone/>
                  <wp:docPr id="21" name="Text_Box_80_SpCnt_20"/>
                  <wp:cNvGraphicFramePr/>
                  <a:graphic xmlns:a="http://schemas.openxmlformats.org/drawingml/2006/main">
                    <a:graphicData uri="http://schemas.openxmlformats.org/drawingml/2006/picture">
                      <pic:pic xmlns:pic="http://schemas.openxmlformats.org/drawingml/2006/picture">
                        <pic:nvPicPr>
                          <pic:cNvPr id="21" name="Text_Box_80_SpCnt_20"/>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0" cy="237490"/>
                  <wp:effectExtent l="0" t="0" r="0" b="0"/>
                  <wp:wrapNone/>
                  <wp:docPr id="22" name="Text_Box_80_SpCnt_21"/>
                  <wp:cNvGraphicFramePr/>
                  <a:graphic xmlns:a="http://schemas.openxmlformats.org/drawingml/2006/main">
                    <a:graphicData uri="http://schemas.openxmlformats.org/drawingml/2006/picture">
                      <pic:pic xmlns:pic="http://schemas.openxmlformats.org/drawingml/2006/picture">
                        <pic:nvPicPr>
                          <pic:cNvPr id="22" name="Text_Box_80_SpCnt_21"/>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0" cy="237490"/>
                  <wp:effectExtent l="0" t="0" r="0" b="0"/>
                  <wp:wrapNone/>
                  <wp:docPr id="23" name="Text_Box_80_SpCnt_22"/>
                  <wp:cNvGraphicFramePr/>
                  <a:graphic xmlns:a="http://schemas.openxmlformats.org/drawingml/2006/main">
                    <a:graphicData uri="http://schemas.openxmlformats.org/drawingml/2006/picture">
                      <pic:pic xmlns:pic="http://schemas.openxmlformats.org/drawingml/2006/picture">
                        <pic:nvPicPr>
                          <pic:cNvPr id="23" name="Text_Box_80_SpCnt_22"/>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0" cy="237490"/>
                  <wp:effectExtent l="0" t="0" r="0" b="0"/>
                  <wp:wrapNone/>
                  <wp:docPr id="24" name="Text_Box_80_SpCnt_23"/>
                  <wp:cNvGraphicFramePr/>
                  <a:graphic xmlns:a="http://schemas.openxmlformats.org/drawingml/2006/main">
                    <a:graphicData uri="http://schemas.openxmlformats.org/drawingml/2006/picture">
                      <pic:pic xmlns:pic="http://schemas.openxmlformats.org/drawingml/2006/picture">
                        <pic:nvPicPr>
                          <pic:cNvPr id="24" name="Text_Box_80_SpCnt_23"/>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0" cy="237490"/>
                  <wp:effectExtent l="0" t="0" r="0" b="0"/>
                  <wp:wrapNone/>
                  <wp:docPr id="25" name="Text_Box_80_SpCnt_24"/>
                  <wp:cNvGraphicFramePr/>
                  <a:graphic xmlns:a="http://schemas.openxmlformats.org/drawingml/2006/main">
                    <a:graphicData uri="http://schemas.openxmlformats.org/drawingml/2006/picture">
                      <pic:pic xmlns:pic="http://schemas.openxmlformats.org/drawingml/2006/picture">
                        <pic:nvPicPr>
                          <pic:cNvPr id="25" name="Text_Box_80_SpCnt_24"/>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0" cy="237490"/>
                  <wp:effectExtent l="0" t="0" r="0" b="0"/>
                  <wp:wrapNone/>
                  <wp:docPr id="26" name="Text_Box_80_SpCnt_25"/>
                  <wp:cNvGraphicFramePr/>
                  <a:graphic xmlns:a="http://schemas.openxmlformats.org/drawingml/2006/main">
                    <a:graphicData uri="http://schemas.openxmlformats.org/drawingml/2006/picture">
                      <pic:pic xmlns:pic="http://schemas.openxmlformats.org/drawingml/2006/picture">
                        <pic:nvPicPr>
                          <pic:cNvPr id="26" name="Text_Box_80_SpCnt_25"/>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0" cy="237490"/>
                  <wp:effectExtent l="0" t="0" r="0" b="0"/>
                  <wp:wrapNone/>
                  <wp:docPr id="27" name="Text_Box_80_SpCnt_26"/>
                  <wp:cNvGraphicFramePr/>
                  <a:graphic xmlns:a="http://schemas.openxmlformats.org/drawingml/2006/main">
                    <a:graphicData uri="http://schemas.openxmlformats.org/drawingml/2006/picture">
                      <pic:pic xmlns:pic="http://schemas.openxmlformats.org/drawingml/2006/picture">
                        <pic:nvPicPr>
                          <pic:cNvPr id="27" name="Text_Box_80_SpCnt_26"/>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0" cy="237490"/>
                  <wp:effectExtent l="0" t="0" r="0" b="0"/>
                  <wp:wrapNone/>
                  <wp:docPr id="28" name="Text_Box_80_SpCnt_27"/>
                  <wp:cNvGraphicFramePr/>
                  <a:graphic xmlns:a="http://schemas.openxmlformats.org/drawingml/2006/main">
                    <a:graphicData uri="http://schemas.openxmlformats.org/drawingml/2006/picture">
                      <pic:pic xmlns:pic="http://schemas.openxmlformats.org/drawingml/2006/picture">
                        <pic:nvPicPr>
                          <pic:cNvPr id="28" name="Text_Box_80_SpCnt_27"/>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0" cy="237490"/>
                  <wp:effectExtent l="0" t="0" r="0" b="0"/>
                  <wp:wrapNone/>
                  <wp:docPr id="29" name="Text_Box_80_SpCnt_28"/>
                  <wp:cNvGraphicFramePr/>
                  <a:graphic xmlns:a="http://schemas.openxmlformats.org/drawingml/2006/main">
                    <a:graphicData uri="http://schemas.openxmlformats.org/drawingml/2006/picture">
                      <pic:pic xmlns:pic="http://schemas.openxmlformats.org/drawingml/2006/picture">
                        <pic:nvPicPr>
                          <pic:cNvPr id="29" name="Text_Box_80_SpCnt_28"/>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0" cy="237490"/>
                  <wp:effectExtent l="0" t="0" r="0" b="0"/>
                  <wp:wrapNone/>
                  <wp:docPr id="30" name="Text_Box_80_SpCnt_29"/>
                  <wp:cNvGraphicFramePr/>
                  <a:graphic xmlns:a="http://schemas.openxmlformats.org/drawingml/2006/main">
                    <a:graphicData uri="http://schemas.openxmlformats.org/drawingml/2006/picture">
                      <pic:pic xmlns:pic="http://schemas.openxmlformats.org/drawingml/2006/picture">
                        <pic:nvPicPr>
                          <pic:cNvPr id="30" name="Text_Box_80_SpCnt_29"/>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0" cy="237490"/>
                  <wp:effectExtent l="0" t="0" r="0" b="0"/>
                  <wp:wrapNone/>
                  <wp:docPr id="31" name="Text_Box_80_SpCnt_30"/>
                  <wp:cNvGraphicFramePr/>
                  <a:graphic xmlns:a="http://schemas.openxmlformats.org/drawingml/2006/main">
                    <a:graphicData uri="http://schemas.openxmlformats.org/drawingml/2006/picture">
                      <pic:pic xmlns:pic="http://schemas.openxmlformats.org/drawingml/2006/picture">
                        <pic:nvPicPr>
                          <pic:cNvPr id="31" name="Text_Box_80_SpCnt_30"/>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bdr w:val="single" w:color="000000" w:sz="4" w:space="0"/>
                <w:lang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0" cy="237490"/>
                  <wp:effectExtent l="0" t="0" r="0" b="0"/>
                  <wp:wrapNone/>
                  <wp:docPr id="32" name="Text_Box_80_SpCnt_31"/>
                  <wp:cNvGraphicFramePr/>
                  <a:graphic xmlns:a="http://schemas.openxmlformats.org/drawingml/2006/main">
                    <a:graphicData uri="http://schemas.openxmlformats.org/drawingml/2006/picture">
                      <pic:pic xmlns:pic="http://schemas.openxmlformats.org/drawingml/2006/picture">
                        <pic:nvPicPr>
                          <pic:cNvPr id="32" name="Text_Box_80_SpCnt_31"/>
                          <pic:cNvPicPr/>
                        </pic:nvPicPr>
                        <pic:blipFill>
                          <a:blip r:embed="rId11"/>
                          <a:stretch>
                            <a:fillRect/>
                          </a:stretch>
                        </pic:blipFill>
                        <pic:spPr>
                          <a:xfrm>
                            <a:off x="0" y="0"/>
                            <a:ext cx="95250" cy="237490"/>
                          </a:xfrm>
                          <a:prstGeom prst="rect">
                            <a:avLst/>
                          </a:prstGeom>
                          <a:noFill/>
                          <a:ln>
                            <a:noFill/>
                          </a:ln>
                        </pic:spPr>
                      </pic:pic>
                    </a:graphicData>
                  </a:graphic>
                </wp:anchor>
              </w:drawing>
            </w:r>
            <w:r>
              <w:rPr>
                <w:rFonts w:hint="eastAsia" w:ascii="宋体" w:hAnsi="宋体" w:cs="宋体"/>
                <w:color w:val="auto"/>
                <w:kern w:val="0"/>
                <w:sz w:val="20"/>
                <w:szCs w:val="20"/>
                <w:highlight w:val="none"/>
                <w:lang w:bidi="ar"/>
              </w:rPr>
              <w:t>台</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64" w:hRule="atLeast"/>
        </w:trPr>
        <w:tc>
          <w:tcPr>
            <w:tcW w:w="19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二、人脸识别人行摆闸</w:t>
            </w:r>
          </w:p>
        </w:tc>
        <w:tc>
          <w:tcPr>
            <w:tcW w:w="53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c>
          <w:tcPr>
            <w:tcW w:w="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0" cy="252730"/>
                  <wp:effectExtent l="0" t="0" r="0" b="0"/>
                  <wp:wrapNone/>
                  <wp:docPr id="33" name="Text_Box_80_SpCnt_32"/>
                  <wp:cNvGraphicFramePr/>
                  <a:graphic xmlns:a="http://schemas.openxmlformats.org/drawingml/2006/main">
                    <a:graphicData uri="http://schemas.openxmlformats.org/drawingml/2006/picture">
                      <pic:pic xmlns:pic="http://schemas.openxmlformats.org/drawingml/2006/picture">
                        <pic:nvPicPr>
                          <pic:cNvPr id="33" name="Text_Box_80_SpCnt_32"/>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0" cy="252730"/>
                  <wp:effectExtent l="0" t="0" r="0" b="0"/>
                  <wp:wrapNone/>
                  <wp:docPr id="34" name="Text_Box_80_SpCnt_33"/>
                  <wp:cNvGraphicFramePr/>
                  <a:graphic xmlns:a="http://schemas.openxmlformats.org/drawingml/2006/main">
                    <a:graphicData uri="http://schemas.openxmlformats.org/drawingml/2006/picture">
                      <pic:pic xmlns:pic="http://schemas.openxmlformats.org/drawingml/2006/picture">
                        <pic:nvPicPr>
                          <pic:cNvPr id="34" name="Text_Box_80_SpCnt_33"/>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0" cy="252730"/>
                  <wp:effectExtent l="0" t="0" r="0" b="0"/>
                  <wp:wrapNone/>
                  <wp:docPr id="35" name="Text_Box_80_SpCnt_34"/>
                  <wp:cNvGraphicFramePr/>
                  <a:graphic xmlns:a="http://schemas.openxmlformats.org/drawingml/2006/main">
                    <a:graphicData uri="http://schemas.openxmlformats.org/drawingml/2006/picture">
                      <pic:pic xmlns:pic="http://schemas.openxmlformats.org/drawingml/2006/picture">
                        <pic:nvPicPr>
                          <pic:cNvPr id="35" name="Text_Box_80_SpCnt_34"/>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0" cy="252730"/>
                  <wp:effectExtent l="0" t="0" r="0" b="0"/>
                  <wp:wrapNone/>
                  <wp:docPr id="36" name="Text_Box_80_SpCnt_35"/>
                  <wp:cNvGraphicFramePr/>
                  <a:graphic xmlns:a="http://schemas.openxmlformats.org/drawingml/2006/main">
                    <a:graphicData uri="http://schemas.openxmlformats.org/drawingml/2006/picture">
                      <pic:pic xmlns:pic="http://schemas.openxmlformats.org/drawingml/2006/picture">
                        <pic:nvPicPr>
                          <pic:cNvPr id="36" name="Text_Box_80_SpCnt_35"/>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0" cy="252730"/>
                  <wp:effectExtent l="0" t="0" r="0" b="0"/>
                  <wp:wrapNone/>
                  <wp:docPr id="37" name="Text_Box_80_SpCnt_36"/>
                  <wp:cNvGraphicFramePr/>
                  <a:graphic xmlns:a="http://schemas.openxmlformats.org/drawingml/2006/main">
                    <a:graphicData uri="http://schemas.openxmlformats.org/drawingml/2006/picture">
                      <pic:pic xmlns:pic="http://schemas.openxmlformats.org/drawingml/2006/picture">
                        <pic:nvPicPr>
                          <pic:cNvPr id="37" name="Text_Box_80_SpCnt_36"/>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0" cy="252730"/>
                  <wp:effectExtent l="0" t="0" r="0" b="0"/>
                  <wp:wrapNone/>
                  <wp:docPr id="38" name="Text_Box_80_SpCnt_37"/>
                  <wp:cNvGraphicFramePr/>
                  <a:graphic xmlns:a="http://schemas.openxmlformats.org/drawingml/2006/main">
                    <a:graphicData uri="http://schemas.openxmlformats.org/drawingml/2006/picture">
                      <pic:pic xmlns:pic="http://schemas.openxmlformats.org/drawingml/2006/picture">
                        <pic:nvPicPr>
                          <pic:cNvPr id="38" name="Text_Box_80_SpCnt_37"/>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0" cy="252730"/>
                  <wp:effectExtent l="0" t="0" r="0" b="0"/>
                  <wp:wrapNone/>
                  <wp:docPr id="39" name="Text_Box_80_SpCnt_38"/>
                  <wp:cNvGraphicFramePr/>
                  <a:graphic xmlns:a="http://schemas.openxmlformats.org/drawingml/2006/main">
                    <a:graphicData uri="http://schemas.openxmlformats.org/drawingml/2006/picture">
                      <pic:pic xmlns:pic="http://schemas.openxmlformats.org/drawingml/2006/picture">
                        <pic:nvPicPr>
                          <pic:cNvPr id="39" name="Text_Box_80_SpCnt_38"/>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0" cy="252730"/>
                  <wp:effectExtent l="0" t="0" r="0" b="0"/>
                  <wp:wrapNone/>
                  <wp:docPr id="40" name="Text_Box_80_SpCnt_39"/>
                  <wp:cNvGraphicFramePr/>
                  <a:graphic xmlns:a="http://schemas.openxmlformats.org/drawingml/2006/main">
                    <a:graphicData uri="http://schemas.openxmlformats.org/drawingml/2006/picture">
                      <pic:pic xmlns:pic="http://schemas.openxmlformats.org/drawingml/2006/picture">
                        <pic:nvPicPr>
                          <pic:cNvPr id="40" name="Text_Box_80_SpCnt_39"/>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0" cy="252730"/>
                  <wp:effectExtent l="0" t="0" r="0" b="0"/>
                  <wp:wrapNone/>
                  <wp:docPr id="41" name="Text_Box_80_SpCnt_40"/>
                  <wp:cNvGraphicFramePr/>
                  <a:graphic xmlns:a="http://schemas.openxmlformats.org/drawingml/2006/main">
                    <a:graphicData uri="http://schemas.openxmlformats.org/drawingml/2006/picture">
                      <pic:pic xmlns:pic="http://schemas.openxmlformats.org/drawingml/2006/picture">
                        <pic:nvPicPr>
                          <pic:cNvPr id="41" name="Text_Box_80_SpCnt_40"/>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0" cy="252730"/>
                  <wp:effectExtent l="0" t="0" r="0" b="0"/>
                  <wp:wrapNone/>
                  <wp:docPr id="42" name="Text_Box_80_SpCnt_41"/>
                  <wp:cNvGraphicFramePr/>
                  <a:graphic xmlns:a="http://schemas.openxmlformats.org/drawingml/2006/main">
                    <a:graphicData uri="http://schemas.openxmlformats.org/drawingml/2006/picture">
                      <pic:pic xmlns:pic="http://schemas.openxmlformats.org/drawingml/2006/picture">
                        <pic:nvPicPr>
                          <pic:cNvPr id="42" name="Text_Box_80_SpCnt_41"/>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0" cy="252730"/>
                  <wp:effectExtent l="0" t="0" r="0" b="0"/>
                  <wp:wrapNone/>
                  <wp:docPr id="43" name="Text_Box_80_SpCnt_42"/>
                  <wp:cNvGraphicFramePr/>
                  <a:graphic xmlns:a="http://schemas.openxmlformats.org/drawingml/2006/main">
                    <a:graphicData uri="http://schemas.openxmlformats.org/drawingml/2006/picture">
                      <pic:pic xmlns:pic="http://schemas.openxmlformats.org/drawingml/2006/picture">
                        <pic:nvPicPr>
                          <pic:cNvPr id="43" name="Text_Box_80_SpCnt_42"/>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0" cy="252730"/>
                  <wp:effectExtent l="0" t="0" r="0" b="0"/>
                  <wp:wrapNone/>
                  <wp:docPr id="44" name="Text_Box_80_SpCnt_43"/>
                  <wp:cNvGraphicFramePr/>
                  <a:graphic xmlns:a="http://schemas.openxmlformats.org/drawingml/2006/main">
                    <a:graphicData uri="http://schemas.openxmlformats.org/drawingml/2006/picture">
                      <pic:pic xmlns:pic="http://schemas.openxmlformats.org/drawingml/2006/picture">
                        <pic:nvPicPr>
                          <pic:cNvPr id="44" name="Text_Box_80_SpCnt_43"/>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0" cy="252730"/>
                  <wp:effectExtent l="0" t="0" r="0" b="0"/>
                  <wp:wrapNone/>
                  <wp:docPr id="45" name="Text_Box_80_SpCnt_44"/>
                  <wp:cNvGraphicFramePr/>
                  <a:graphic xmlns:a="http://schemas.openxmlformats.org/drawingml/2006/main">
                    <a:graphicData uri="http://schemas.openxmlformats.org/drawingml/2006/picture">
                      <pic:pic xmlns:pic="http://schemas.openxmlformats.org/drawingml/2006/picture">
                        <pic:nvPicPr>
                          <pic:cNvPr id="45" name="Text_Box_80_SpCnt_44"/>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0" cy="252730"/>
                  <wp:effectExtent l="0" t="0" r="0" b="0"/>
                  <wp:wrapNone/>
                  <wp:docPr id="46" name="Text_Box_80_SpCnt_45"/>
                  <wp:cNvGraphicFramePr/>
                  <a:graphic xmlns:a="http://schemas.openxmlformats.org/drawingml/2006/main">
                    <a:graphicData uri="http://schemas.openxmlformats.org/drawingml/2006/picture">
                      <pic:pic xmlns:pic="http://schemas.openxmlformats.org/drawingml/2006/picture">
                        <pic:nvPicPr>
                          <pic:cNvPr id="46" name="Text_Box_80_SpCnt_45"/>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0" cy="252730"/>
                  <wp:effectExtent l="0" t="0" r="0" b="0"/>
                  <wp:wrapNone/>
                  <wp:docPr id="47" name="Text_Box_80_SpCnt_46"/>
                  <wp:cNvGraphicFramePr/>
                  <a:graphic xmlns:a="http://schemas.openxmlformats.org/drawingml/2006/main">
                    <a:graphicData uri="http://schemas.openxmlformats.org/drawingml/2006/picture">
                      <pic:pic xmlns:pic="http://schemas.openxmlformats.org/drawingml/2006/picture">
                        <pic:nvPicPr>
                          <pic:cNvPr id="47" name="Text_Box_80_SpCnt_46"/>
                          <pic:cNvPicPr/>
                        </pic:nvPicPr>
                        <pic:blipFill>
                          <a:blip r:embed="rId12"/>
                          <a:stretch>
                            <a:fillRect/>
                          </a:stretch>
                        </pic:blipFill>
                        <pic:spPr>
                          <a:xfrm>
                            <a:off x="0" y="0"/>
                            <a:ext cx="95250" cy="252730"/>
                          </a:xfrm>
                          <a:prstGeom prst="rect">
                            <a:avLst/>
                          </a:prstGeom>
                          <a:noFill/>
                          <a:ln>
                            <a:noFill/>
                          </a:ln>
                        </pic:spPr>
                      </pic:pic>
                    </a:graphicData>
                  </a:graphic>
                </wp:anchor>
              </w:drawing>
            </w:r>
            <w:r>
              <w:rPr>
                <w:rFonts w:hint="eastAsia" w:ascii="宋体" w:hAnsi="宋体" w:cs="宋体"/>
                <w:color w:val="auto"/>
                <w:kern w:val="0"/>
                <w:sz w:val="18"/>
                <w:szCs w:val="18"/>
                <w:highlight w:val="none"/>
                <w:bdr w:val="single" w:color="000000" w:sz="4" w:space="0"/>
                <w:lang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0" cy="252730"/>
                  <wp:effectExtent l="0" t="0" r="0" b="0"/>
                  <wp:wrapNone/>
                  <wp:docPr id="48" name="Text_Box_80_SpCnt_47"/>
                  <wp:cNvGraphicFramePr/>
                  <a:graphic xmlns:a="http://schemas.openxmlformats.org/drawingml/2006/main">
                    <a:graphicData uri="http://schemas.openxmlformats.org/drawingml/2006/picture">
                      <pic:pic xmlns:pic="http://schemas.openxmlformats.org/drawingml/2006/picture">
                        <pic:nvPicPr>
                          <pic:cNvPr id="48" name="Text_Box_80_SpCnt_47"/>
                          <pic:cNvPicPr/>
                        </pic:nvPicPr>
                        <pic:blipFill>
                          <a:blip r:embed="rId12"/>
                          <a:stretch>
                            <a:fillRect/>
                          </a:stretch>
                        </pic:blipFill>
                        <pic:spPr>
                          <a:xfrm>
                            <a:off x="0" y="0"/>
                            <a:ext cx="95250" cy="252730"/>
                          </a:xfrm>
                          <a:prstGeom prst="rect">
                            <a:avLst/>
                          </a:prstGeom>
                          <a:noFill/>
                          <a:ln>
                            <a:noFill/>
                          </a:ln>
                        </pic:spPr>
                      </pic:pic>
                    </a:graphicData>
                  </a:graphic>
                </wp:anchor>
              </w:drawing>
            </w:r>
          </w:p>
        </w:tc>
        <w:tc>
          <w:tcPr>
            <w:tcW w:w="5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20"/>
                <w:szCs w:val="20"/>
                <w:highlight w:val="none"/>
              </w:rPr>
            </w:pPr>
          </w:p>
        </w:tc>
      </w:tr>
      <w:tr>
        <w:tblPrEx>
          <w:tblCellMar>
            <w:top w:w="0" w:type="dxa"/>
            <w:left w:w="108" w:type="dxa"/>
            <w:bottom w:w="0" w:type="dxa"/>
            <w:right w:w="108" w:type="dxa"/>
          </w:tblCellMar>
        </w:tblPrEx>
        <w:trPr>
          <w:trHeight w:val="26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桥式摆闸（单机芯）</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产品尺寸：1500mm*200mm*960mm；通道宽度：650mm；箱体材质：SUS304拉丝不锈钢，1.2±0.12mm；门翼材质：亚克力；电机类型：直流无刷伺服电机；红外对数：12对；使用环境：室内外；设备集成门禁主控板；设备容量：支持6万张普通卡、3千张来宾卡、18万条事件记录；超级电容：闸机标配超级电容，断电后门翼自动打开（符合消防要求）；通行速度：20-60人每分钟，受人员情况和通行模式影响；电压功率：AC 100~240V/50~60HZ/ 单通道（一组通道）额定功率：320W；工作温度：-20℃~70℃；物理接口：TCP/IP,I/O,RS232,RS485S；高级功能：翻越报警；分时段管控，最多支持8个时段常开、常闭模式设定；反潜回功能，单通道反潜回，多通道跨主机反潜回</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20"/>
                <w:szCs w:val="20"/>
                <w:highlight w:val="none"/>
              </w:rPr>
            </w:pPr>
          </w:p>
        </w:tc>
      </w:tr>
      <w:tr>
        <w:tblPrEx>
          <w:tblCellMar>
            <w:top w:w="0" w:type="dxa"/>
            <w:left w:w="108" w:type="dxa"/>
            <w:bottom w:w="0" w:type="dxa"/>
            <w:right w:w="108" w:type="dxa"/>
          </w:tblCellMar>
        </w:tblPrEx>
        <w:trPr>
          <w:trHeight w:val="26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桥式摆闸（双机芯）</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产品尺寸：1500mm*200mm*960mm；通道宽度：650mm；箱体材质：SUS304拉丝不锈钢，1.2±0.12mm；门翼材质：亚克力；电机类型：直流无刷伺服电机；红外对数：12对；使用环境：室内外；设备集成门禁主控板；设备容量：支持6万张普通卡、3千张来宾卡、18万条事件记录；超级电容：闸机标配超级电容，断电后门翼自动打开（符合消防要求）；通行速度：20-60人每分钟，受人员情况和通行模式影响；电压功率：AC 100~240V/50~60HZ/ 单通道（一组通道）额定功率：320W；工作温度：-20℃~70℃；物理接口：TCP/IP,I/O,RS232,RS485S；高级功能：翻越报警；分时段管控，最多支持8个时段常开、常闭模式设定；反潜回功能，单通道反潜回，多通道跨主机反潜回</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20"/>
                <w:szCs w:val="20"/>
                <w:highlight w:val="none"/>
              </w:rPr>
            </w:pPr>
          </w:p>
        </w:tc>
      </w:tr>
      <w:tr>
        <w:tblPrEx>
          <w:tblCellMar>
            <w:top w:w="0" w:type="dxa"/>
            <w:left w:w="108" w:type="dxa"/>
            <w:bottom w:w="0" w:type="dxa"/>
            <w:right w:w="108" w:type="dxa"/>
          </w:tblCellMar>
        </w:tblPrEx>
        <w:trPr>
          <w:trHeight w:val="480"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通道控制器</w:t>
            </w:r>
          </w:p>
        </w:tc>
        <w:tc>
          <w:tcPr>
            <w:tcW w:w="53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32位处理器，上行TCP/IP、RS485；下行RS485、维根、232串口；225mm(L) x 180mm(w) x 15(H)</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20"/>
                <w:szCs w:val="20"/>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客户端软件</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用于管理、发行授权</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5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DC12V电源</w:t>
            </w:r>
          </w:p>
        </w:tc>
        <w:tc>
          <w:tcPr>
            <w:tcW w:w="5383"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DC12V/10A；带稳压功能,电压可调</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5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20"/>
                <w:szCs w:val="20"/>
                <w:highlight w:val="none"/>
              </w:rPr>
            </w:pPr>
          </w:p>
        </w:tc>
      </w:tr>
      <w:tr>
        <w:tblPrEx>
          <w:tblCellMar>
            <w:top w:w="0" w:type="dxa"/>
            <w:left w:w="108" w:type="dxa"/>
            <w:bottom w:w="0" w:type="dxa"/>
            <w:right w:w="108" w:type="dxa"/>
          </w:tblCellMar>
        </w:tblPrEx>
        <w:trPr>
          <w:trHeight w:val="49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人脸识别组件</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设备外观：采用7英寸LCD触摸显示屏；200万像素双目宽动态摄像头，采用星光级图像传感器，可适应夜间低照度环境；人脸识别距离可大于2m，支持照片视频防假；设备容量：支持50000张人脸白名单，1：N人脸比对时间≤0.2s/人；支持100000笔事件记录存储；认证方式：支持人脸识别、刷卡（需外接485或韦根读卡器）、刷卡+人脸（需USB身份证阅读器）、人证比对（需外接USB身份证阅读器）；通讯方式：上行通讯为TCP/IP；支持Wifi；视频对讲：支持视频语音对讲功能；可接NVR，支持视频预览；设备接口： LAN*1；RS485*1；韦根*1；USB *1；门磁*1、开门按钮*1、报警输入*2；电锁*1、报警输出*1；工作电压：DC 12V/3A，需独立供电；使用环境：室内外环境，室外使用必须搭配遮阳罩；安装方式：通道安装；产品尺寸：228.6mm*126.6mm*31.55mm ；工作温度：-30~60℃。</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7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读卡器</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支持Mifare卡;支持485、Wiegand协议;闸机内安装;读卡频率 13.56MHz;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规格尺寸 90.5x68x1.2（mm）</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5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40" w:hRule="atLeast"/>
        </w:trPr>
        <w:tc>
          <w:tcPr>
            <w:tcW w:w="19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三、不锈钢升降柱</w:t>
            </w:r>
          </w:p>
        </w:tc>
        <w:tc>
          <w:tcPr>
            <w:tcW w:w="53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c>
          <w:tcPr>
            <w:tcW w:w="4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40" w:hRule="atLeast"/>
        </w:trPr>
        <w:tc>
          <w:tcPr>
            <w:tcW w:w="3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自动液压升降柱</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LED灯款</w:t>
            </w:r>
          </w:p>
        </w:tc>
        <w:tc>
          <w:tcPr>
            <w:tcW w:w="5383"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液压驱动方式，易于维护，可靠性高，使用寿命长；采取综合控制，系统运行性能稳定可靠，方便集成到用户系统中；具有开闸、关闸以及停闸的功能，且具有开优先的特点；应急释放，防止断电情况下柱体不能下降；驱动方式：液压驱动；应急方式：后备电源控制电磁阀释放；柱体壁厚：6mm；升降高度：600mm；升/降时间：3S±0.2；警示方式：LED指示灯/3M反光带；负载功率：1200W；湿度：5%~95% ；柱体材质：304不锈钢；地基盒材质：Q235（电泳：黑色）；控制方式：控制盒/遥控器；动力电压：AC220V；防护等级：IP68；柱体直径：220±3mm；温度：-40℃~+70℃；外形尺寸：321*1118mm</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5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40" w:hRule="atLeast"/>
        </w:trPr>
        <w:tc>
          <w:tcPr>
            <w:tcW w:w="3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升降柱控制箱</w:t>
            </w:r>
          </w:p>
        </w:tc>
        <w:tc>
          <w:tcPr>
            <w:tcW w:w="53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600*800 防水箱    （控5-8根）</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5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40" w:hRule="atLeast"/>
        </w:trPr>
        <w:tc>
          <w:tcPr>
            <w:tcW w:w="19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四、访客一体机</w:t>
            </w:r>
          </w:p>
        </w:tc>
        <w:tc>
          <w:tcPr>
            <w:tcW w:w="538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44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18"/>
                <w:szCs w:val="18"/>
                <w:highlight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2640" w:hRule="atLeast"/>
        </w:trPr>
        <w:tc>
          <w:tcPr>
            <w:tcW w:w="3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访客一体机</w:t>
            </w:r>
          </w:p>
        </w:tc>
        <w:tc>
          <w:tcPr>
            <w:tcW w:w="53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设备外观：高清双屏显示，带有15.6寸电容触摸显示屏和11.6寸液晶显示屏；系统参数：设备采用Windows 7  64位操作系统；存储大小：64G固态硬盘、DDR3 4GB内存；人证功能：内置200万高清摄像头，自带身份证阅读器，支持1：1人证比对成功后自动填入访客信息；发卡功能：可通过身份证阅读器给访客发卡（Mifare卡、CPU卡序列号、身份证序列号），使访客能够在被授权的门禁刷卡通行；内置二维码扫描仪，可识别H5界面访客预约码完成访客登记，或识别访客凭条的二维码完成访客签离；内置高速热敏打印机，可打印访客凭条（打印纸要求：纸宽58mm、纸卷直径≤45mm）；通信方式：双网口设计，支持TCP/IP有线网络通讯；输入电压：AC220V（自带电源适配器）；工作功率：≤59W；</w:t>
            </w:r>
          </w:p>
        </w:tc>
        <w:tc>
          <w:tcPr>
            <w:tcW w:w="94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海康、大华、朗通</w:t>
            </w:r>
          </w:p>
        </w:tc>
        <w:tc>
          <w:tcPr>
            <w:tcW w:w="4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5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3"/>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816"/>
        <w:gridCol w:w="4033"/>
        <w:gridCol w:w="1169"/>
        <w:gridCol w:w="658"/>
        <w:gridCol w:w="68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399" w:type="dxa"/>
            <w:gridSpan w:val="7"/>
            <w:noWrap/>
            <w:vAlign w:val="bottom"/>
          </w:tcPr>
          <w:p>
            <w:pPr>
              <w:jc w:val="center"/>
              <w:rPr>
                <w:rFonts w:hint="eastAsia" w:ascii="宋体" w:hAnsi="宋体" w:cs="宋体"/>
                <w:color w:val="auto"/>
                <w:sz w:val="20"/>
                <w:szCs w:val="20"/>
                <w:highlight w:val="none"/>
              </w:rPr>
            </w:pPr>
            <w:r>
              <w:rPr>
                <w:rFonts w:hint="eastAsia" w:ascii="宋体" w:hAnsi="宋体" w:cs="宋体"/>
                <w:b/>
                <w:bCs/>
                <w:color w:val="auto"/>
                <w:kern w:val="0"/>
                <w:sz w:val="20"/>
                <w:szCs w:val="20"/>
                <w:highlight w:val="none"/>
                <w:lang w:bidi="ar"/>
              </w:rPr>
              <w:t>信息发布系统设备清单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399" w:type="dxa"/>
            <w:gridSpan w:val="7"/>
            <w:noWrap/>
            <w:vAlign w:val="bottom"/>
          </w:tcPr>
          <w:p>
            <w:pPr>
              <w:rPr>
                <w:rFonts w:hint="eastAsia" w:ascii="宋体" w:hAnsi="宋体" w:cs="宋体"/>
                <w:color w:val="auto"/>
                <w:sz w:val="20"/>
                <w:szCs w:val="20"/>
                <w:highlight w:val="none"/>
              </w:rPr>
            </w:pPr>
            <w:r>
              <w:rPr>
                <w:rFonts w:hint="eastAsia" w:ascii="宋体" w:hAnsi="宋体" w:cs="宋体"/>
                <w:b/>
                <w:bCs/>
                <w:color w:val="auto"/>
                <w:kern w:val="0"/>
                <w:sz w:val="20"/>
                <w:szCs w:val="20"/>
                <w:highlight w:val="none"/>
                <w:lang w:bidi="ar"/>
              </w:rPr>
              <w:t>子系统名称：信息发布系统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1816"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设备名称</w:t>
            </w:r>
          </w:p>
        </w:tc>
        <w:tc>
          <w:tcPr>
            <w:tcW w:w="4033"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主要技术参数</w:t>
            </w:r>
          </w:p>
        </w:tc>
        <w:tc>
          <w:tcPr>
            <w:tcW w:w="1169"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推荐品牌</w:t>
            </w:r>
          </w:p>
        </w:tc>
        <w:tc>
          <w:tcPr>
            <w:tcW w:w="658"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686"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xml:space="preserve">数量 </w:t>
            </w:r>
          </w:p>
        </w:tc>
        <w:tc>
          <w:tcPr>
            <w:tcW w:w="633" w:type="dxa"/>
            <w:noWrap/>
            <w:vAlign w:val="center"/>
          </w:tcPr>
          <w:p>
            <w:pPr>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04" w:type="dxa"/>
            <w:noWrap w:val="0"/>
            <w:vAlign w:val="center"/>
          </w:tcPr>
          <w:p>
            <w:pPr>
              <w:jc w:val="center"/>
              <w:rPr>
                <w:rFonts w:hint="eastAsia" w:ascii="宋体" w:hAnsi="宋体" w:cs="宋体"/>
                <w:b/>
                <w:bCs/>
                <w:color w:val="auto"/>
                <w:sz w:val="20"/>
                <w:szCs w:val="20"/>
                <w:highlight w:val="none"/>
              </w:rPr>
            </w:pPr>
          </w:p>
        </w:tc>
        <w:tc>
          <w:tcPr>
            <w:tcW w:w="1816"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一、室外P4屏</w:t>
            </w:r>
          </w:p>
        </w:tc>
        <w:tc>
          <w:tcPr>
            <w:tcW w:w="4033"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显示尺寸面积：2.56*1.44=3.69㎡整屏分辨率： 640*360=230400像素</w:t>
            </w:r>
          </w:p>
        </w:tc>
        <w:tc>
          <w:tcPr>
            <w:tcW w:w="1169" w:type="dxa"/>
            <w:noWrap w:val="0"/>
            <w:vAlign w:val="center"/>
          </w:tcPr>
          <w:p>
            <w:pPr>
              <w:jc w:val="center"/>
              <w:rPr>
                <w:rFonts w:hint="eastAsia" w:ascii="宋体" w:hAnsi="宋体" w:cs="宋体"/>
                <w:b/>
                <w:bCs/>
                <w:color w:val="auto"/>
                <w:sz w:val="20"/>
                <w:szCs w:val="20"/>
                <w:highlight w:val="none"/>
              </w:rPr>
            </w:pPr>
          </w:p>
        </w:tc>
        <w:tc>
          <w:tcPr>
            <w:tcW w:w="658" w:type="dxa"/>
            <w:noWrap w:val="0"/>
            <w:vAlign w:val="center"/>
          </w:tcPr>
          <w:p>
            <w:pPr>
              <w:jc w:val="center"/>
              <w:rPr>
                <w:rFonts w:hint="eastAsia" w:ascii="宋体" w:hAnsi="宋体" w:cs="宋体"/>
                <w:b/>
                <w:bCs/>
                <w:color w:val="auto"/>
                <w:sz w:val="20"/>
                <w:szCs w:val="20"/>
                <w:highlight w:val="none"/>
              </w:rPr>
            </w:pPr>
          </w:p>
        </w:tc>
        <w:tc>
          <w:tcPr>
            <w:tcW w:w="686" w:type="dxa"/>
            <w:noWrap w:val="0"/>
            <w:vAlign w:val="center"/>
          </w:tcPr>
          <w:p>
            <w:pPr>
              <w:jc w:val="center"/>
              <w:rPr>
                <w:rFonts w:hint="eastAsia" w:ascii="宋体" w:hAnsi="宋体" w:cs="宋体"/>
                <w:b/>
                <w:bCs/>
                <w:color w:val="auto"/>
                <w:sz w:val="20"/>
                <w:szCs w:val="20"/>
                <w:highlight w:val="none"/>
              </w:rPr>
            </w:pPr>
          </w:p>
        </w:tc>
        <w:tc>
          <w:tcPr>
            <w:tcW w:w="633"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室外P4全彩屏体</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像素间距（mm） 4，刷新频率（Hz） ≥1920，像素密度（点/m2 ） 40000，模组尺寸（mm） 320mm(W)*160mm（H），模组分辨率（W×H） 64×32，驱动方式 1/8 扫描，恒流驱动模组重量 0.45kg±0.02 kg，防护等级 正面 IP65，灰度等级 红、绿、蓝各 12-16bits，显示颜色 16777216 种，换帧频率（帧/秒） ≥60亮度调节 256 级手动/自动亮度（cd/m2） ≥4500cd/㎡亮度均匀性 ≥97%色温 3500-9300K视角（°） 水平 120，垂直 120最佳视距（m） ≥5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模组间隙（mm） ＜0.6盲点率 小于万分之一最大功耗（W/m2） 750平均功耗（W/m2） 250</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蓝科、中视、GQY</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3.69</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控制系统</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单卡最大带载512×512 像素，采用12 个标准的HUB75 接口，支持逐点亮色度校正，支持快速亮暗线调节</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蓝科、中视、GQY</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视频处理器</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单画面；带载130万、横向最大1920、纵向最大1080；U盘脱机播放；支持无线投屏、鼠标控制（选配）；输入：1×USB、1xVGA、1xDVI、1xHDMI、1xAudio；输出：2x网口、1xAudio</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蓝科、中视、GQY</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包边装饰</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铝合金包边</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3.69</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立柱</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1.5米双立柱含地笼混凝土</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04" w:type="dxa"/>
            <w:shd w:val="clear" w:color="auto" w:fill="auto"/>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816" w:type="dxa"/>
            <w:shd w:val="clear" w:color="auto" w:fill="FFFFFF"/>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配电箱</w:t>
            </w:r>
          </w:p>
        </w:tc>
        <w:tc>
          <w:tcPr>
            <w:tcW w:w="4033" w:type="dxa"/>
            <w:shd w:val="clear" w:color="auto" w:fill="FFFFFF"/>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含空气开关、远程控制系统，漏电保护交流接触器，定时开关，过流、短路、断路、过压、欠压、温度过高等保护，PLC分时上电和分时断电；显示屏的工作电源系统具有远程控制功能,在控制室通过软件直接开,关显示屏；具有短路,断路,过流,过压,欠压以及漏电等多种保护功能,系统软件自动处理各种应急情况；当电源系统发生严重错误时能自动关闭显示屏,报警,保证系统运行时的安全性和可靠性，投标时须提供配电柜3C认证及检测报告。</w:t>
            </w:r>
          </w:p>
        </w:tc>
        <w:tc>
          <w:tcPr>
            <w:tcW w:w="1169" w:type="dxa"/>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shd w:val="clear" w:color="auto" w:fill="FFFFFF"/>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shd w:val="clear" w:color="auto" w:fill="FFFFFF"/>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防水箱体</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根据显示尺寸定制</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框架结构</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轻钢结构</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3.69</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辅件</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辅材及电源</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04" w:type="dxa"/>
            <w:noWrap w:val="0"/>
            <w:vAlign w:val="center"/>
          </w:tcPr>
          <w:p>
            <w:pPr>
              <w:jc w:val="center"/>
              <w:rPr>
                <w:rFonts w:hint="eastAsia" w:ascii="宋体" w:hAnsi="宋体" w:cs="宋体"/>
                <w:b/>
                <w:bCs/>
                <w:color w:val="auto"/>
                <w:sz w:val="20"/>
                <w:szCs w:val="20"/>
                <w:highlight w:val="none"/>
              </w:rPr>
            </w:pPr>
          </w:p>
        </w:tc>
        <w:tc>
          <w:tcPr>
            <w:tcW w:w="1816"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二、报告厅P2.5屏</w:t>
            </w:r>
          </w:p>
        </w:tc>
        <w:tc>
          <w:tcPr>
            <w:tcW w:w="4033"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xml:space="preserve">显示尺寸面积：6.4*2.4=15.36㎡整屏分辨率：3200*1200=3840000像素     </w:t>
            </w:r>
          </w:p>
        </w:tc>
        <w:tc>
          <w:tcPr>
            <w:tcW w:w="1169" w:type="dxa"/>
            <w:noWrap w:val="0"/>
            <w:vAlign w:val="center"/>
          </w:tcPr>
          <w:p>
            <w:pPr>
              <w:jc w:val="center"/>
              <w:rPr>
                <w:rFonts w:hint="eastAsia" w:ascii="宋体" w:hAnsi="宋体" w:cs="宋体"/>
                <w:b/>
                <w:bCs/>
                <w:color w:val="auto"/>
                <w:sz w:val="20"/>
                <w:szCs w:val="20"/>
                <w:highlight w:val="none"/>
              </w:rPr>
            </w:pPr>
          </w:p>
        </w:tc>
        <w:tc>
          <w:tcPr>
            <w:tcW w:w="658" w:type="dxa"/>
            <w:noWrap w:val="0"/>
            <w:vAlign w:val="center"/>
          </w:tcPr>
          <w:p>
            <w:pPr>
              <w:jc w:val="center"/>
              <w:rPr>
                <w:rFonts w:hint="eastAsia" w:ascii="宋体" w:hAnsi="宋体" w:cs="宋体"/>
                <w:b/>
                <w:bCs/>
                <w:color w:val="auto"/>
                <w:sz w:val="20"/>
                <w:szCs w:val="20"/>
                <w:highlight w:val="none"/>
              </w:rPr>
            </w:pPr>
          </w:p>
        </w:tc>
        <w:tc>
          <w:tcPr>
            <w:tcW w:w="686" w:type="dxa"/>
            <w:noWrap w:val="0"/>
            <w:vAlign w:val="center"/>
          </w:tcPr>
          <w:p>
            <w:pPr>
              <w:jc w:val="center"/>
              <w:rPr>
                <w:rFonts w:hint="eastAsia" w:ascii="宋体" w:hAnsi="宋体" w:cs="宋体"/>
                <w:b/>
                <w:bCs/>
                <w:color w:val="auto"/>
                <w:sz w:val="20"/>
                <w:szCs w:val="20"/>
                <w:highlight w:val="none"/>
              </w:rPr>
            </w:pPr>
          </w:p>
        </w:tc>
        <w:tc>
          <w:tcPr>
            <w:tcW w:w="633"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室内全彩LED屏体</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 类型：室内全彩P2.5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 LED封装：国产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 像素间距：2.5mm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 像素密度：250000点/㎡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5）亮度：≥500cd/㎡</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6）视角：≥120°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 峰值功耗：≤500W/㎡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9）模组尺寸：304*152mm刷新频率（Hz） ≥1920</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蓝科、中视、GQY</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15.36</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控制系统</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集成发送卡、视频处理、U盘播放功能于一体；支持1路DVI/HDMI/VGA/CVBS输入，1路USB播放；支持2路网口输出，130万像素带载；支持画面全屏缩放、点对点显示、自定义缩放三种缩放模式；支持窗口位置、大小调整及窗口截取功能支持6个预设场景</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蓝科、中视、GQY</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视频处理器</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支持 HDMI、DVI 输入分辨率自定义调节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支持设备间备份设置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视频输出最大带载高达 390 万像素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支持带载屏体亮度调节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支持一键将优先级最低的窗口全屏自动缩放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支持创建 10 个用户场景作为模板保存，方便使用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支持选择 HDMI 输入源或 DVI 输入源作为同步信号，达到输出的场级同步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投屏输入子卡支持 AP / WiFi 无线模式，可实现手机，电脑的无线投屏和 U 盘播放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前面板配备直观的 LCD 显示界面，清晰的按键灯提示，简化了系统的控制操作</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蓝科、中视、GQY</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包边装饰</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铝合金包边</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15.36</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404" w:type="dxa"/>
            <w:shd w:val="clear" w:color="auto" w:fill="auto"/>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816" w:type="dxa"/>
            <w:shd w:val="clear" w:color="auto" w:fill="FFFFFF"/>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配电箱</w:t>
            </w:r>
          </w:p>
        </w:tc>
        <w:tc>
          <w:tcPr>
            <w:tcW w:w="4033" w:type="dxa"/>
            <w:shd w:val="clear" w:color="auto" w:fill="FFFFFF"/>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含空气开关、远程控制系统，漏电保护交流接触器，定时开关，过流、短路、断路、过压、欠压、温度过高等保护，PLC分时上电和分时断电；显示屏的工作电源系统具有远程控制功能,在控制室通过软件直接开,关显示屏；具有短路,断路,过流,过压,欠压以及漏电等多种保护功能,系统软件自动处理各种应急情况；当电源系统发生严重错误时能自动关闭显示屏,报警,保证系统运行时的安全性和可靠性，投标时须提供配电柜3C认证及检测报告。</w:t>
            </w:r>
          </w:p>
        </w:tc>
        <w:tc>
          <w:tcPr>
            <w:tcW w:w="1169" w:type="dxa"/>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shd w:val="clear" w:color="auto" w:fill="FFFFFF"/>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shd w:val="clear" w:color="auto" w:fill="FFFFFF"/>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框架结构</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轻钢结构</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15.36</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辅件</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辅材及电源</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04" w:type="dxa"/>
            <w:noWrap w:val="0"/>
            <w:vAlign w:val="center"/>
          </w:tcPr>
          <w:p>
            <w:pPr>
              <w:jc w:val="center"/>
              <w:rPr>
                <w:rFonts w:hint="eastAsia" w:ascii="宋体" w:hAnsi="宋体" w:cs="宋体"/>
                <w:b/>
                <w:bCs/>
                <w:color w:val="auto"/>
                <w:sz w:val="20"/>
                <w:szCs w:val="20"/>
                <w:highlight w:val="none"/>
              </w:rPr>
            </w:pPr>
          </w:p>
        </w:tc>
        <w:tc>
          <w:tcPr>
            <w:tcW w:w="1816"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三、体育馆P2.5屏</w:t>
            </w:r>
          </w:p>
        </w:tc>
        <w:tc>
          <w:tcPr>
            <w:tcW w:w="4033"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显示尺寸面积：7.9*4.4=34.76㎡整屏分辨率：4000*2240=8960000像素</w:t>
            </w:r>
          </w:p>
        </w:tc>
        <w:tc>
          <w:tcPr>
            <w:tcW w:w="1169" w:type="dxa"/>
            <w:noWrap w:val="0"/>
            <w:vAlign w:val="center"/>
          </w:tcPr>
          <w:p>
            <w:pPr>
              <w:jc w:val="center"/>
              <w:rPr>
                <w:rFonts w:hint="eastAsia" w:ascii="宋体" w:hAnsi="宋体" w:cs="宋体"/>
                <w:b/>
                <w:bCs/>
                <w:color w:val="auto"/>
                <w:sz w:val="20"/>
                <w:szCs w:val="20"/>
                <w:highlight w:val="none"/>
              </w:rPr>
            </w:pPr>
          </w:p>
        </w:tc>
        <w:tc>
          <w:tcPr>
            <w:tcW w:w="658" w:type="dxa"/>
            <w:noWrap w:val="0"/>
            <w:vAlign w:val="center"/>
          </w:tcPr>
          <w:p>
            <w:pPr>
              <w:jc w:val="center"/>
              <w:rPr>
                <w:rFonts w:hint="eastAsia" w:ascii="宋体" w:hAnsi="宋体" w:cs="宋体"/>
                <w:b/>
                <w:bCs/>
                <w:color w:val="auto"/>
                <w:sz w:val="20"/>
                <w:szCs w:val="20"/>
                <w:highlight w:val="none"/>
              </w:rPr>
            </w:pPr>
          </w:p>
        </w:tc>
        <w:tc>
          <w:tcPr>
            <w:tcW w:w="686" w:type="dxa"/>
            <w:noWrap w:val="0"/>
            <w:vAlign w:val="center"/>
          </w:tcPr>
          <w:p>
            <w:pPr>
              <w:jc w:val="center"/>
              <w:rPr>
                <w:rFonts w:hint="eastAsia" w:ascii="宋体" w:hAnsi="宋体" w:cs="宋体"/>
                <w:b/>
                <w:bCs/>
                <w:color w:val="auto"/>
                <w:sz w:val="20"/>
                <w:szCs w:val="20"/>
                <w:highlight w:val="none"/>
              </w:rPr>
            </w:pPr>
          </w:p>
        </w:tc>
        <w:tc>
          <w:tcPr>
            <w:tcW w:w="633"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室内全彩LED屏体</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 类型：室内全彩P2.5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 LED封装：国产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 像素间距：2.5mm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 像素密度：250000点/㎡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5）亮度：≥500cd/㎡</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6）视角：≥120°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 峰值功耗：≤500W/㎡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9）模组尺寸：304*152mm刷新频率（Hz） ≥1920</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蓝科、中视、GQY</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34.76</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控制系统</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集成发送卡、视频处理、U盘播放功能于一体；支持1路DVI/HDMI/VGA/CVBS输入，1路USB播放；支持2路网口输出，130万像素带载；支持画面全屏缩放、点对点显示、自定义缩放三种缩放模式；支持窗口位置、大小调整及窗口截取功能支持6个预设场景</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蓝科、中视、GQY</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8"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视频处理器</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支持2 路 HDMI1.4，1 路 DVI视频输入，1路HDMI环通输出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 HDMI、DVI 输入分辨率自定义调节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支持快捷配屏和高级配屏功能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支持设备间备份设置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支持10路千兆网口，视频带载高达 650 万像素，带载支持最大宽度10240，高度8192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支持带载屏体亮度调节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支持一键将优先级最低的窗口全屏自动缩放</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支持3个图层窗口，图层大小和位置可单独调节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支持创建 10 个用户场景作为模板保存，方便使用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支持选择 HDMI 输入源或 DVI 输入源作为同步信号，达到输出的场级同步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支持逐点亮色度校正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前面板配备直观的 LCD 显示界面，清晰的按键灯提示，简化了系统的控制操作</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蓝科、中视、GQY</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包边装饰</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铝合金包边</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34.76</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404" w:type="dxa"/>
            <w:shd w:val="clear" w:color="auto" w:fill="auto"/>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816" w:type="dxa"/>
            <w:shd w:val="clear" w:color="auto" w:fill="FFFFFF"/>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配电箱</w:t>
            </w:r>
          </w:p>
        </w:tc>
        <w:tc>
          <w:tcPr>
            <w:tcW w:w="4033" w:type="dxa"/>
            <w:shd w:val="clear" w:color="auto" w:fill="FFFFFF"/>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含空气开关、远程控制系统，漏电保护交流接触器，定时开关，过流、短路、断路、过压、欠压、温度过高等保护，PLC分时上电和分时断电；显示屏的工作电源系统具有远程控制功能,在控制室通过软件直接开,关显示屏；具有短路,断路,过流,过压,欠压以及漏电等多种保护功能,系统软件自动处理各种应急情况；当电源系统发生严重错误时能自动关闭显示屏,报警,保证系统运行时的安全性和可靠性，投标时须提供配电柜3C认证及检测报告。</w:t>
            </w:r>
          </w:p>
        </w:tc>
        <w:tc>
          <w:tcPr>
            <w:tcW w:w="1169" w:type="dxa"/>
            <w:shd w:val="clear" w:color="auto" w:fill="auto"/>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shd w:val="clear" w:color="auto" w:fill="FFFFFF"/>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shd w:val="clear" w:color="auto" w:fill="FFFFFF"/>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框架结构</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轻钢结构</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34.76</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辅件</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辅材及电源</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0"/>
            <w:vAlign w:val="center"/>
          </w:tcPr>
          <w:p>
            <w:pPr>
              <w:jc w:val="center"/>
              <w:rPr>
                <w:rFonts w:hint="eastAsia" w:ascii="宋体" w:hAnsi="宋体" w:cs="宋体"/>
                <w:b/>
                <w:bCs/>
                <w:color w:val="auto"/>
                <w:sz w:val="20"/>
                <w:szCs w:val="20"/>
                <w:highlight w:val="none"/>
              </w:rPr>
            </w:pPr>
          </w:p>
        </w:tc>
        <w:tc>
          <w:tcPr>
            <w:tcW w:w="1816"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四、地下室接送区</w:t>
            </w:r>
          </w:p>
        </w:tc>
        <w:tc>
          <w:tcPr>
            <w:tcW w:w="4033" w:type="dxa"/>
            <w:noWrap w:val="0"/>
            <w:vAlign w:val="center"/>
          </w:tcPr>
          <w:p>
            <w:pPr>
              <w:jc w:val="center"/>
              <w:rPr>
                <w:rFonts w:hint="eastAsia" w:ascii="宋体" w:hAnsi="宋体" w:cs="宋体"/>
                <w:b/>
                <w:bCs/>
                <w:color w:val="auto"/>
                <w:sz w:val="20"/>
                <w:szCs w:val="20"/>
                <w:highlight w:val="none"/>
              </w:rPr>
            </w:pPr>
          </w:p>
        </w:tc>
        <w:tc>
          <w:tcPr>
            <w:tcW w:w="1169" w:type="dxa"/>
            <w:noWrap w:val="0"/>
            <w:vAlign w:val="center"/>
          </w:tcPr>
          <w:p>
            <w:pPr>
              <w:jc w:val="center"/>
              <w:rPr>
                <w:rFonts w:hint="eastAsia" w:ascii="宋体" w:hAnsi="宋体" w:cs="宋体"/>
                <w:b/>
                <w:bCs/>
                <w:color w:val="auto"/>
                <w:sz w:val="20"/>
                <w:szCs w:val="20"/>
                <w:highlight w:val="none"/>
              </w:rPr>
            </w:pPr>
          </w:p>
        </w:tc>
        <w:tc>
          <w:tcPr>
            <w:tcW w:w="658" w:type="dxa"/>
            <w:noWrap w:val="0"/>
            <w:vAlign w:val="center"/>
          </w:tcPr>
          <w:p>
            <w:pPr>
              <w:jc w:val="center"/>
              <w:rPr>
                <w:rFonts w:hint="eastAsia" w:ascii="宋体" w:hAnsi="宋体" w:cs="宋体"/>
                <w:b/>
                <w:bCs/>
                <w:color w:val="auto"/>
                <w:sz w:val="20"/>
                <w:szCs w:val="20"/>
                <w:highlight w:val="none"/>
              </w:rPr>
            </w:pPr>
          </w:p>
        </w:tc>
        <w:tc>
          <w:tcPr>
            <w:tcW w:w="686" w:type="dxa"/>
            <w:noWrap w:val="0"/>
            <w:vAlign w:val="center"/>
          </w:tcPr>
          <w:p>
            <w:pPr>
              <w:jc w:val="center"/>
              <w:rPr>
                <w:rFonts w:hint="eastAsia" w:ascii="宋体" w:hAnsi="宋体" w:cs="宋体"/>
                <w:b/>
                <w:bCs/>
                <w:color w:val="auto"/>
                <w:sz w:val="20"/>
                <w:szCs w:val="20"/>
                <w:highlight w:val="none"/>
              </w:rPr>
            </w:pPr>
          </w:p>
        </w:tc>
        <w:tc>
          <w:tcPr>
            <w:tcW w:w="633"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55寸信息发布屏</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液晶显示单元，采用工业级超窄边面板，屏幕之间拼缝仅为3.5 mm。超高亮度500 cd/m²，直下式LED背光源，显示单元亮度均匀，无边界暗影现象。具有丰富的接口，可接收DVI、VGA、HDMI等各种信号</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蓝科、中视、GQY</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33"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4" w:type="dxa"/>
            <w:noWrap w:val="0"/>
            <w:vAlign w:val="center"/>
          </w:tcPr>
          <w:p>
            <w:pPr>
              <w:jc w:val="center"/>
              <w:rPr>
                <w:rFonts w:hint="eastAsia" w:ascii="宋体" w:hAnsi="宋体" w:cs="宋体"/>
                <w:b/>
                <w:bCs/>
                <w:color w:val="auto"/>
                <w:sz w:val="20"/>
                <w:szCs w:val="20"/>
                <w:highlight w:val="none"/>
              </w:rPr>
            </w:pPr>
          </w:p>
        </w:tc>
        <w:tc>
          <w:tcPr>
            <w:tcW w:w="1816" w:type="dxa"/>
            <w:noWrap w:val="0"/>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五、透明厨房</w:t>
            </w:r>
          </w:p>
        </w:tc>
        <w:tc>
          <w:tcPr>
            <w:tcW w:w="4033" w:type="dxa"/>
            <w:noWrap w:val="0"/>
            <w:vAlign w:val="center"/>
          </w:tcPr>
          <w:p>
            <w:pPr>
              <w:jc w:val="center"/>
              <w:rPr>
                <w:rFonts w:hint="eastAsia" w:ascii="宋体" w:hAnsi="宋体" w:cs="宋体"/>
                <w:b/>
                <w:bCs/>
                <w:color w:val="auto"/>
                <w:sz w:val="20"/>
                <w:szCs w:val="20"/>
                <w:highlight w:val="none"/>
              </w:rPr>
            </w:pPr>
          </w:p>
        </w:tc>
        <w:tc>
          <w:tcPr>
            <w:tcW w:w="1169" w:type="dxa"/>
            <w:noWrap w:val="0"/>
            <w:vAlign w:val="center"/>
          </w:tcPr>
          <w:p>
            <w:pPr>
              <w:jc w:val="center"/>
              <w:rPr>
                <w:rFonts w:hint="eastAsia" w:ascii="宋体" w:hAnsi="宋体" w:cs="宋体"/>
                <w:b/>
                <w:bCs/>
                <w:color w:val="auto"/>
                <w:sz w:val="20"/>
                <w:szCs w:val="20"/>
                <w:highlight w:val="none"/>
              </w:rPr>
            </w:pPr>
          </w:p>
        </w:tc>
        <w:tc>
          <w:tcPr>
            <w:tcW w:w="658" w:type="dxa"/>
            <w:noWrap w:val="0"/>
            <w:vAlign w:val="center"/>
          </w:tcPr>
          <w:p>
            <w:pPr>
              <w:jc w:val="center"/>
              <w:rPr>
                <w:rFonts w:hint="eastAsia" w:ascii="宋体" w:hAnsi="宋体" w:cs="宋体"/>
                <w:b/>
                <w:bCs/>
                <w:color w:val="auto"/>
                <w:sz w:val="20"/>
                <w:szCs w:val="20"/>
                <w:highlight w:val="none"/>
              </w:rPr>
            </w:pPr>
          </w:p>
        </w:tc>
        <w:tc>
          <w:tcPr>
            <w:tcW w:w="686" w:type="dxa"/>
            <w:noWrap w:val="0"/>
            <w:vAlign w:val="center"/>
          </w:tcPr>
          <w:p>
            <w:pPr>
              <w:jc w:val="center"/>
              <w:rPr>
                <w:rFonts w:hint="eastAsia" w:ascii="宋体" w:hAnsi="宋体" w:cs="宋体"/>
                <w:b/>
                <w:bCs/>
                <w:color w:val="auto"/>
                <w:sz w:val="20"/>
                <w:szCs w:val="20"/>
                <w:highlight w:val="none"/>
              </w:rPr>
            </w:pPr>
          </w:p>
        </w:tc>
        <w:tc>
          <w:tcPr>
            <w:tcW w:w="633" w:type="dxa"/>
            <w:noWrap/>
            <w:vAlign w:val="center"/>
          </w:tcPr>
          <w:p>
            <w:pPr>
              <w:jc w:val="center"/>
              <w:rPr>
                <w:rFonts w:hint="eastAsia" w:ascii="宋体" w:hAnsi="宋体" w:cs="宋体"/>
                <w:b/>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404"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8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55寸信息发布屏</w:t>
            </w:r>
          </w:p>
        </w:tc>
        <w:tc>
          <w:tcPr>
            <w:tcW w:w="4033"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液晶显示单元，采用工业级超窄边面板，屏幕之间拼缝仅为3.5 mm。超高亮度500 cd/m²，直下式LED背光源，显示单元亮度均匀，无边界暗影现象。具有丰富的接口，可接收DVI、VGA、HDMI等各种信号,带解码功能，支持视频显示</w:t>
            </w:r>
          </w:p>
        </w:tc>
        <w:tc>
          <w:tcPr>
            <w:tcW w:w="1169"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蓝科、中视、GQY</w:t>
            </w:r>
          </w:p>
        </w:tc>
        <w:tc>
          <w:tcPr>
            <w:tcW w:w="658"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8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3" w:type="dxa"/>
            <w:noWrap/>
            <w:vAlign w:val="center"/>
          </w:tcPr>
          <w:p>
            <w:pPr>
              <w:rPr>
                <w:rFonts w:hint="eastAsia" w:ascii="宋体" w:hAnsi="宋体" w:cs="宋体"/>
                <w:color w:val="auto"/>
                <w:sz w:val="20"/>
                <w:szCs w:val="20"/>
                <w:highlight w:val="none"/>
              </w:rPr>
            </w:pPr>
          </w:p>
        </w:tc>
      </w:tr>
    </w:tbl>
    <w:p>
      <w:pPr>
        <w:spacing w:line="360" w:lineRule="auto"/>
        <w:rPr>
          <w:rFonts w:ascii="宋体" w:hAnsi="宋体" w:cs="宋体"/>
          <w:b/>
          <w:color w:val="auto"/>
          <w:sz w:val="20"/>
          <w:szCs w:val="20"/>
          <w:highlight w:val="none"/>
        </w:rPr>
      </w:pPr>
    </w:p>
    <w:p>
      <w:pPr>
        <w:spacing w:line="360" w:lineRule="auto"/>
        <w:rPr>
          <w:rFonts w:ascii="宋体" w:hAnsi="宋体" w:cs="宋体"/>
          <w:b/>
          <w:color w:val="auto"/>
          <w:sz w:val="20"/>
          <w:szCs w:val="20"/>
          <w:highlight w:val="none"/>
        </w:rPr>
      </w:pPr>
    </w:p>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3"/>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516"/>
        <w:gridCol w:w="3910"/>
        <w:gridCol w:w="1071"/>
        <w:gridCol w:w="697"/>
        <w:gridCol w:w="632"/>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190" w:type="dxa"/>
            <w:gridSpan w:val="7"/>
            <w:noWrap/>
            <w:vAlign w:val="bottom"/>
          </w:tcPr>
          <w:p>
            <w:pPr>
              <w:jc w:val="center"/>
              <w:rPr>
                <w:rFonts w:hint="eastAsia" w:ascii="宋体" w:hAnsi="宋体" w:cs="宋体"/>
                <w:color w:val="auto"/>
                <w:sz w:val="20"/>
                <w:szCs w:val="20"/>
                <w:highlight w:val="none"/>
              </w:rPr>
            </w:pPr>
            <w:r>
              <w:rPr>
                <w:rFonts w:hint="eastAsia" w:ascii="宋体" w:hAnsi="宋体" w:cs="宋体"/>
                <w:b/>
                <w:bCs/>
                <w:color w:val="auto"/>
                <w:kern w:val="0"/>
                <w:sz w:val="20"/>
                <w:szCs w:val="20"/>
                <w:highlight w:val="none"/>
                <w:lang w:bidi="ar"/>
              </w:rPr>
              <w:t>会议系统设备清单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190" w:type="dxa"/>
            <w:gridSpan w:val="7"/>
            <w:noWrap/>
            <w:vAlign w:val="bottom"/>
          </w:tcPr>
          <w:p>
            <w:pPr>
              <w:rPr>
                <w:rFonts w:hint="eastAsia" w:ascii="宋体" w:hAnsi="宋体" w:cs="宋体"/>
                <w:color w:val="auto"/>
                <w:sz w:val="20"/>
                <w:szCs w:val="20"/>
                <w:highlight w:val="none"/>
              </w:rPr>
            </w:pPr>
            <w:r>
              <w:rPr>
                <w:rFonts w:hint="eastAsia" w:ascii="宋体" w:hAnsi="宋体" w:cs="宋体"/>
                <w:b/>
                <w:bCs/>
                <w:color w:val="auto"/>
                <w:kern w:val="0"/>
                <w:sz w:val="20"/>
                <w:szCs w:val="20"/>
                <w:highlight w:val="none"/>
                <w:lang w:bidi="ar"/>
              </w:rPr>
              <w:t>子系统名称：会议系统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25"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1516"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设备名称</w:t>
            </w:r>
          </w:p>
        </w:tc>
        <w:tc>
          <w:tcPr>
            <w:tcW w:w="3910"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技术参数</w:t>
            </w:r>
          </w:p>
        </w:tc>
        <w:tc>
          <w:tcPr>
            <w:tcW w:w="1071"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推荐品牌</w:t>
            </w:r>
          </w:p>
        </w:tc>
        <w:tc>
          <w:tcPr>
            <w:tcW w:w="697"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632"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 xml:space="preserve">数量 </w:t>
            </w:r>
          </w:p>
        </w:tc>
        <w:tc>
          <w:tcPr>
            <w:tcW w:w="739" w:type="dxa"/>
            <w:noWrap/>
            <w:vAlign w:val="center"/>
          </w:tcPr>
          <w:p>
            <w:pPr>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一、5F会议室</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1、扩声系统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线性音柱</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(1)由9个3.5寸全频扬声器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(2)水平x垂直覆盖达到120°x40°得益于独有的结构以及专业的声学设计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(3)重量轻，质量稳定，性能可靠，使用寿命长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(4)安装方便, 35mm的支架托盘和4xM6的墙面安装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(5)人体工学的提手设计，方便提携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(6)环保水性油漆，精致大方、坚固防潮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(7)动态好，声压高，声音通透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产品规格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单元：9x3.5"全频喇叭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频率范围：150-15K</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标称阻抗：4 ohm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额定功率：360W，节目功率：720W，峰值功率：1500W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最大声压级(1w/1m):127dB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覆盖角度：120°horizontal (水平)，40°vertical(垂直);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连接方式：SPEAKON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产品重量：11.5kg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安装方式：吊装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产品尺寸：12.5x14x89.2(cm)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无源</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9"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线性音柱</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(1)由9个3.5寸全频扬声器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(2)水平x垂直覆盖达到120°x40°得益于独有的结构以及专业的声学设计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(3)重量轻，质量稳定，性能可靠，使用寿命长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(4)安装方便, 35mm的支架托盘和4xM6的墙面安装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(5)人体工学的提手设计，方便提携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(6)环保水性油漆，精致大方、坚固防潮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(7)动态好，声压高，声音通透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产品规格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单元：9x3.5"全频喇叭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频率范围：150-15K</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标称阻抗：4 ohm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额定功率：360W，节目功率：720W，峰值功率：1500W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最大声压级(1w/1m):127dB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覆盖角度：120°horizontal (水平)，40°vertical(垂直);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连接方式：SPEAKON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产品重量：11.5kg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安装方式：吊装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产品尺寸：12.5x14x89.2(cm)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无源</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多媒体管控中心</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ARM11 1GHZ CPU，1G内存，2G Flash闪存；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支持TCP/IP控制模式，UDP控制协议；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支持4路独立可编程RS-232/422/485控制接口，用户可编程设置多种控制协议和代码；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8路独立可编程的红外发射接口，支持红外转串口，支持控制多台相同或不同的红外设备及串口设备；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8路弱电继电器接口；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8路数字输入/输出IO接口, 通过扩展以太网控制接口实现计算机远程控制；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高精度96KHz/24bit数据处理，可达到极佳的110dB动态范围和高质数的声音品质；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具备24位数模的转换，96KHz采样频率；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具备8通道平衡输入音频通道；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具备8通道支持MIC输入，每路MIC输入支持48V幻象供电；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具备8个平衡音频输出通道；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具备8通道独立的自适应反馈抑制器；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具备8通道自动混音；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具备4进4出HDMI无缝切换矩阵功能，内部设备环通音频分离；</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支持USB2.0和以太网编程通讯；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额定功率阻抗8Ω：4*300W数字功放；</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无线路由器</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采用双路双频设计，802.11a/n和802.11b/g/n可同时使用，实现灵活部署；</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华三、华为、锐捷</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触摸屏平板</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屏幕尺寸：9.7英寸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屏幕分辨率：2048x1536</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屏幕像素密度：264PPI</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屏幕描述：电容式触摸屏，多点式触摸屏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屏幕特性：IPS屏幕，防指纹涂层，视网膜屏幕，全层压显示屏，抗反射涂层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支持语言：支持多国语言</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WiFi功能：支持802.11a/b/g/n/ac无线协议，双频（2.4GHz和5GHz）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蓝牙功能：支持，蓝牙4.2模块</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苹果、三星、华为</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红外发射棒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配套中控使用,用于红外设备的远程控制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中控编程</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电源时序器</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输出电源插座：万用插座，符合欧美标准。后面板8个受控万用插座；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插座材质：每个插座材质磷铜，均通过检验才安装；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每一路开关间隔时间：1秒每通道带开关指示1个；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电路板线路：采用60%高纯度锡，高端分流技术，大电流线路处加焊铜条；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变压器：专供定制变压器，减少干扰前级，音源敏感设备；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电压显示表：LED数字显示电压表；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最大负载7000W，单路负载4000W;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支持RS232、RS485串口输入控制。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输出方式：8路电源输出，标准通用三芯插座；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负载：40A；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中控接口：RS-232；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指示灯：独立电源指示；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单路最大输出电流：30A；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工作电源：AC100V~240V 50/60Hz；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重量：4.2Kg；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尺寸：270mmX483mmX48mm。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多媒体地插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含一路HDMI，一路音频;</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29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18U机柜</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1）、符合GB/T3047.2标准，兼容19〞国际标准全部采用优质冷轧钢板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2）、厚度：方孔条2.0mm，其他1.2mm，机柜表面采用先喷砂，后喷塑的表面处理工艺，保证机柜表面涂层的牢固可靠，耐酸碱、耐腐蚀、防静电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3）、前门采用5mm厚钢化玻璃，高级旋把门锁，美观大方，可拆卸的左右侧门，方便安装调试，可同时安装脚轮和支撑脚，方便移动，结构坚固，承载达500Kg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4）、风机单元的外壳采用一次成型技术，有效减少风机的震动，提高风机单元的使用寿命，风机单元采用独立电源线，方便维护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5）、增强型固定托盘，底部附有加强筋，承载达100Kg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6）、高度：18U，深度：600mm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7）、颜色：黑色，门板：玻璃门。</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一舟、德塔森特、清华同方</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壁挂支架</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定制壁挂支架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辅材</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定制，含接头、跳线等</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批</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2、发言系统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真分集无线手持话筒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采用世界先进的DPLL数字锁相环多信道频率合成技术及杂讯自动控制技术（带导频）。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使用UHF630MHz~680MHz频段，避免干扰频率；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语音压缩扩展电路，极大地提高信噪比,独特的语音压限器设计，歌手使劲唱歌都不会出现裂音；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采用最新型的高频声表面滤波器，最大限度地滤除带外干扰信号；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真分集式接收电路，保证有效距离内不断迅，消除死角；使用高增益天线，有效开阔使用距离可达100米完备的输入输出接口，方便连接各种设备；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装备高亮度LCD显示屏，可动态显示系统信号、音量、通道、频点数值；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采用二次变频的高频电路设计，具有极高的灵敏度；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语音压缩扩展电路，极大地提高信噪比，独特的语音压限器设计；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高保真音色,独特的干扰噪音静噪功能；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具有独立接收灵敏度调节功能，可对系统输出信号人性化调节，可初始化音频调节；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接收机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信道数目：2*100；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载波频率：630-680MHz（可调）；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消耗功率：13W；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频带宽度：60Hz；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音频输出：混合输出: 0～200mV， 平衡输出: 0～400mV；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天线数量：4条；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S/N信噪比：≥96dB；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失真度：＜0.01%；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频率响应：30Hz -20KHz；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电源适配器使用电压：AC110V-230V 50Hz/60Hz（请按机壳和电源适配器标注使用）；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直流输入电压：DC12—DC15V 1500mA；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发射机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载波频率：630-680MHz；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发射功率：10dBm；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最大调制度：±45KHz；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S/N信噪比：≥96dB；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失真度：＜0.01%；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频率响应：30Hz -20KHz；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高次谐波：低于主波基准60dB以上；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使用电池电压：3V；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连续使用时间：8小时。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6"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真分集无线鹅颈话筒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集成中央处理器CPU的总线控制，配合数字液晶界面显示，操作自如，性能出众；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采用多级窄带高频及中频选频滤波，充分消除干扰信号；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采用音频压缩一扩展技术，噪音大大减少，动态范围加大；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设有回输啸叫抑制减弱功能，能有效减少回输啸叫；</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接收机采用多级高频放大，具有极高的灵敏度；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多重噪音监测电路，特设ID身份码验证系统，使之具有无与伦比的抗干扰特性；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选用极佳晶片及优质零部件，使本机音质极为出色；</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空阔最大使用范围100米以上，理想空阔使用范围60米；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接收机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使用UHF550-980MHz频段，应用PLL频率合成锁相环技术，频率可调，发射功率可调，避免干扰频率；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载波频率：550-980MHz（可调）；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电源适配器使用电压：AC110V-230V 50Hz/60Hz（请按机壳和电源适配器标注使用）；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直流输入电压：DC12—DC15V 1500mA；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消耗功率：13W；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S/N信噪比：≥95dB；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T.H.D失真：＜0.5%；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频率响应：60Hz -16KHz；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发射机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载波频率：550-980MHz；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发射功率：10dBm；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输入音频调制信号选择：MIC IN电容咪输入（内供电）LINE IN音频线路输入；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调制方式：FM；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最大调制度：±45KHz；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高次谐波：低于主波基准60dB以上；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使用电池电压：3V；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连续使用时间：8小时。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3、显示系统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激光投影机</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1.亮度：≥6000LM(ISO21118标准)；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2.分辨率：1920x1200（2,304,000像素）；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3.显示宽高比：16：10（兼容4：3，16：9）；</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4.对比度：1,500,000:1(动态模式)；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5.成像系统：HTPS高温多晶硅有源矩阵式液晶显示板≥0.64英寸（显示宽高比16：10）；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6.成像技术：3LCD技术；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7.光源类型：激光二极管；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8.光源寿命：20,000小时(标准模式/静音);30,000小时(模式1);50,000小时(模式2)；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9.整机功率：正常模式≤420W；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10.待机功耗：≤0.35W(节能模式)；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11.工作温度：0~40℃；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12.重量：约8.5kg（工程机型）;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13.输入接口：15针微型D-sub端子×2、RCA端子x1、HDMIx2、HDBaseTx1、AUDIO（3.5mm接口）x2、RCAL/R端子x1、RS-232x1、LANx1、USB-Ax1;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14.输出接口：15针微型D-sub端子×1、AUDIO（3.5mm接口）x1；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ACCENTUALIZER(图像分明处理)技术，通过强化适用于激光光源颜色特性的“精细感”“阴影感”“鲜艳度”等来增强影像的真实感。同时，第二代HDCR调整功能进行了“高演色化”改善，能够更为深入地校正因室内照明或者外界光源对画面造成的影响，从而提升画面对比效果，优化视觉感受。即使在明亮的环境下，也能够清晰显示影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16.内置8点校正、弧形校正，可调节不规则平面幕；</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17.内置画面重影修正功能可将重影画面调节为高质量图像；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18.支持双数字信号画中画、画外画显示；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19.1.7倍手动变焦、覆盖投射比1.4-2.4范围、通过手动控制聚焦、变焦、位移(垂直-56.5%水平+/-4.6%)；</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20.电子快门，可根据需要快速关闭影像，光源自动节能；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21.自定义开机显示画面和无信号显示画面；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22.无线传输、有线网络功能显示，多台投影模式；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23.支持无线双频段（2.4GHz/5GHz），连接更快速，传输更流畅。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24.高保真16W扬声器；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25.气压传感监控功能、状态监视功能；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26.支持网络集中控制功能兼容RoomView,AMX、PJ-Link、XTP协议；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27.支持快速开关机、信号源激活开机；</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索诺克、松下、爱普生</w:t>
            </w:r>
          </w:p>
        </w:tc>
        <w:tc>
          <w:tcPr>
            <w:tcW w:w="697"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投影机幕布</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150寸幕布，幕布类型电动幕，幕布材质玻珠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打开方式电动方式，对角线150英寸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幕布比例16:10，增益2.5倍</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固定安装支架</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定制，固定安装支架，可手动调节</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副</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二、形体舞蹈教室</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1、扩声系统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有源超低音箱</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(1)数字功放，最高1000W额定功率，效率高，重量轻。</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(2)内置高精度DSP芯片，4档预设可调，EQ和延时LCD可视化操作。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(3)最大声压126dB.2*6.5"+1*1"压缩高音。低音强劲，15英寸超低音喇叭，使用3"音圈。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(4)多角度可选。音柱直管0度/8度两个角度可选，也可选配墙面悬挂架（RB-01）,垂直角度可调20度，水平各80度。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(5)特殊线怀技术设计，超宽音频，覆盖面积大，保证清晰自然的声音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(6)2进1出，Combo输入Line&amp;Mic信号，平衡XLR混合输出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(7)独有的箱体造型，高端大气，符合人体工学的内嵌式拉手，运输安全方便。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(8)防水防尘设计，升级加厚网罩，背面加装三明织布，有效防尘，加强保护单元：                                                    15"低音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频响范围(Hz): 40-160K</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阻抗: 4欧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额定功率(W): 500W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节目功率(W): 1000W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最大声压级（1w/1m)：128dB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连接方式：COMBO</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产品重量: 20.5KG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产品尺寸：40*53.6*52.8CM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无源音柱</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单元：2*6.5"低音+1.34"高音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频响范围(Hz): 85-15K</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阻抗: 4欧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额定功率(W): 200W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节目功率(W): 400W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最大声压级（1w/1m)：120dB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连接方式：SPEAKON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产品重量: 7KG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产品尺寸：20*22*56CM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12路调音台</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输入方式：8路话筒卡龙母，4路莲花;</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输出方式：主声道双声道平衡、6.35插座;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单声道输入配备高品质话筒放大器;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功能：高中低音调节，话筒48V供电选择，录音输出，2编组输出，2路辅助输出，数码混响;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备有录音输入输出功能;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最大输出电平:19dBm(1KHz,THD=0.5%);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剩余噪声：-75dB;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信噪比：71dB;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等效噪声源输入电动势：-12dBm;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均衡： 低频：80Hz±15dB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中频2.5KHz±15dB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高频：12KHz±15dB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增益控制：单声道：-55dB～0 dB。立体声：-10dB～0dB;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频率响应：80Hz～15KHz（+1dB,-3dB);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总谐波失真+噪声：≤0.05%（1KHz，0.775V）;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输入电压： 220V；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重量：5.57Kg；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尺寸：443X400X45mm。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音频媒体矩阵</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1.8寸TFT彩色显示屏；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前面板轨迹球导航旋钮或Windows 操作平台控制，仅需几个步骤就能设置好整套系统；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双31段图示均衡器，输出延时共2000毫秒，每个输出都有限幅器，4 级保护；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每路输出通道都配置有可达2000ms的延时；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高精度96KHz/24bit数据处理，可达到极佳的110dB动态范围和高质数的声音品质；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内置SHARC高速浮点运算DSP芯片，拥有多个音响厂家生产的音箱的处理系统的部件结构；</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真分集无线手持话筒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采用世界先进的DPLL数字锁相环多信道频率合成技术及杂讯自动控制技术（带导频）。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使用UHF630MHz~680MHz频段，避免干扰频率；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语音压缩扩展电路，极大地提高信噪比,独特的语音压限器设计，歌手使劲唱歌都不会出现裂音；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采用最新型的高频声表面滤波器，最大限度地滤除带外干扰信号；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真分集式接收电路，保证有效距离内不断迅，消除死角；使用高增益天线，有效开阔使用距离可达100米完备的输入输出接口，方便连接各种设备；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装备高亮度LCD显示屏，可动态显示系统信号、音量、通道、频点数值；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采用二次变频的高频电路设计，具有极高的灵敏度；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语音压缩扩展电路，极大地提高信噪比，独特的语音压限器设计；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高保真音色,独特的干扰噪音静噪功能；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具有独立接收灵敏度调节功能，可对系统输出信号人性化调节，可初始化音频调节；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接收机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信道数目：2*100；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载波频率：630-680MHz（可调）；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消耗功率：13W；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频带宽度：60Hz；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音频输出：混合输出: 0～200mV， 平衡输出: 0～400mV；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天线数量：4条；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S/N信噪比：≥96dB；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失真度：＜0.01%；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频率响应：30Hz -20KHz；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电源适配器使用电压：AC110V-230V 50Hz/60Hz（请按机壳和电源适配器标注使用）；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直流输入电压：DC12—DC15V 1500mA；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发射机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载波频率：630-680MHz；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发射功率：10dBm；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最大调制度：±45KHz；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S/N信噪比：≥96dB；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失真度：＜0.01%；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频率响应：30Hz -20KHz；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高次谐波：低于主波基准60dB以上；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使用电池电压：3V；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连续使用时间：8小时。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7"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电源时序器</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输出电源插座：万用插座，符合欧美标准。后面板8个受控万用插座；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插座材质：每个插座材质磷铜，均通过检验才安装；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每一路开关间隔时间：1秒每通道带开关指示1个；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电路板线路：采用60%高纯度锡，高端分流技术，大电流线路处加焊铜条；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变压器：专供定制变压器，减少干扰前级，音源敏感设备；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电压显示表：LED数字显示电压表；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最大负载7000W，单路负载4000W;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支持RS232、RS485串口输入控制。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输出方式：8路电源输出，标准通用三芯插座；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负载：40A；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中控接口：RS-232；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指示灯：独立电源指示；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单路最大输出电流：30A；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工作电源：AC100V~240V 50/60Hz；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重量：4.2Kg；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尺寸：270mmX483mmX48mm。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0"/>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音箱支撑杆</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定制支架，可手动调节高度</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辅材</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定制，含接头、跳线等</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批</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三、体育馆</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1、扩声系统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全频音箱</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驱动单元：LF: 1×15″″，HF: 1×1.75″；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频响：55HZ-18KHZ(±3db)；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灵敏度：99dB；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最大声压：131dB（持续）138dB（峰值）；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阻抗：8Ω；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额定功率：400W；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峰值功率:1600W；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覆盖角度: 80°×50°；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箱体结构: 15mm优质高密度板(MDF)；</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箱体表面处理: 黑色耐磨点漆；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连接器：2 x Speakon NL4；</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箱体尺寸(高H*宽W*深D）mm：690x465x445mm；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净重：29Kg。</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9"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全频音箱功放</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8Ω额定功率2*800W   4Ω额定功率2*1300W  桥接8Ω2400W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通道数：2CH；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谐波失真+噪声（1kHz,-10dB,4ohms) ：&lt;0.1%；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频率响应：15Hz-20kHz: ±0.1dB (1W/8Ω)；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输入阻抗：平衡20K ohm 非平衡 10K Ohm度:0.775V；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信噪比：≥100dB；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阻尼系数:（350:1,1Khz 8ohms）；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转换速率：28V/US；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输出级：Class-D；</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LED指示灯：电源/信号/失真/削波；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输入连接器：平衡卡侬公母座；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输出连接器：SPEAKON(可以定制）,接线柱；</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散热系统：双变速风扇，从前到后排风；</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保护功能：过热，短路，直流输出；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电源要求：AC220V (可以定制AC110V)；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尺寸：482×295×44mm。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12路调音台</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输入方式：8路话筒卡龙母，4路莲花;</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输出方式：主声道双声道平衡、6.35插座;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单声道输入配备高品质话筒放大器;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功能：高中低音调节，话筒48V供电选择，录音输出，2编组输出，2路辅助输出，数码混响;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备有录音输入输出功能;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最大输出电平:19dBm(1KHz,THD=0.5%);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剩余噪声：-75dB;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信噪比：71dB;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等效噪声源输入电动势：-12dBm;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均衡： 低频：80Hz±15dB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中频2.5KHz±15dB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高频：12KHz±15dB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增益控制：单声道：-55dB～0 dB。立体声：-10dB～0dB;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频率响应：80Hz～15KHz（+1dB,-3dB);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总谐波失真+噪声：≤0.05%（1KHz，0.775V）;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输入电压： 220V；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重量：5.57Kg；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尺寸：443X400X45mm。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音频媒体矩阵</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采用ARM Cortex A8的32位工业级嵌入式处理器，主频高达800MHz，512M内存，系统稳定性强，运算速度快；</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显示屏：2.8寸LCD，系统主机支持双机热备份，系统稳定性强，适合大型会议中心应用；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插卡式设计，可根据现场需求配置数字或模拟输入、输出卡，通道数量可改变；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内置SHARC高速浮点运算DSP芯片，24位数模的转换，96KHz采样频率；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模拟输入：插卡可配置成4~24路单通道（话筒/线路），本次配置支持4路模拟信号输入，提供设备产品彩页；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模拟输出：插卡可配置成4~16路单通道（线路），本次配置支持12路模拟信号输出，提供设备产品彩页；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带多话筒自动混音功能，具有权限设定，可实现会议讨论话筒数量管理及视频跟踪；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嵌入式控制面板可对系统进行多分区预设和远程音量控制；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支持APP、RS485、TCP/IP控制；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本机带中控专用RS485接口，在本机不配中控卡的时候，由外部中控控制本设备；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内置插卡式可编程中控系统，每个中控卡有4个RS232，8个HGPIO接口（可作红外IR输出或者普通IO使用），使得与各种硬触点及逻辑控制系统的连接变得更为便捷。</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7"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电源时序器</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输出电源插座：万用插座，符合欧美标准。后面板8个受控万用插座；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插座材质：每个插座材质磷铜，均通过检验才安装；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每一路开关间隔时间：1秒每通道带开关指示1个；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电路板线路：采用60%高纯度锡，高端分流技术，大电流线路处加焊铜条；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变压器：专供定制变压器，减少干扰前级，音源敏感设备；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电压显示表：LED数字显示电压表；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最大负载7000W，单路负载4000W;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支持RS232、RS485串口输入控制。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输出方式：8路电源输出，标准通用三芯插座；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负载：40A；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中控接口：RS-232；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指示灯：独立电源指示；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单路最大输出电流：30A；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工作电源：AC100V~240V 50/60Hz；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重量：4.2Kg；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尺寸：270mmX483mmX48mm。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0"/>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监听音箱</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输出功率 LF: 40W HF: 27W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输出电平 (1m; 轴向) 101dB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I/O 接口 XLR-3-31型Phone型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处理器 高频消减 (15kHz; +1.5/0/-1.5dB) 低频消减 (60Hz; +1.5/0/-1.5/-3dB)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功耗 60W</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0"/>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32U机柜</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1）、符合GB/T3047.2标准，兼容19〞国际标准全部采用优质冷轧钢板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2）、厚度：方孔条2.0mm，其他1.2mm，机柜表面采用先喷砂，后喷塑的表面处理工艺，保证机柜表面涂层的牢固可靠，耐酸碱、耐腐蚀、防静电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3）、前门采用5mm厚钢化玻璃，高级旋把门锁，美观大方，可拆卸的左右侧门，方便安装调试，可同时安装脚轮和支撑脚，方便移动，结构坚固，承载达500Kg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4）、风机单元的外壳采用一次成型技术，有效减少风机的震动，提高风机单元的使用寿命，风机单元采用独立电源线，方便维护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5）、增强型固定托盘，底部附有加强筋，承载达100Kg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6）、高度：32U，深度：600mm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7）、颜色：黑色，门板：玻璃门。</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一舟、德塔森特、清华同方</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0"/>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辅材</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定制，含接头、跳线等</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批</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0"/>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壁挂支架</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2、发言系统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真分集无线手持话筒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采用世界先进的DPLL数字锁相环多信道频率合成技术及杂讯自动控制技术（带导频）。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使用UHF630MHz~680MHz频段，避免干扰频率；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语音压缩扩展电路，极大地提高信噪比,独特的语音压限器设计，歌手使劲唱歌都不会出现裂音；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采用最新型的高频声表面滤波器，最大限度地滤除带外干扰信号；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真分集式接收电路，保证有效距离内不断迅，消除死角；使用高增益天线，有效开阔使用距离可达100米完备的输入输出接口，方便连接各种设备；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装备高亮度LCD显示屏，可动态显示系统信号、音量、通道、频点数值；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采用二次变频的高频电路设计，具有极高的灵敏度；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语音压缩扩展电路，极大地提高信噪比，独特的语音压限器设计；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高保真音色,独特的干扰噪音静噪功能；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具有独立接收灵敏度调节功能，可对系统输出信号人性化调节，可初始化音频调节；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接收机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信道数目：2*100；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载波频率：630-680MHz（可调）；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消耗功率：13W；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频带宽度：60Hz；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音频输出：混合输出: 0～200mV， 平衡输出: 0～400mV；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天线数量：4条；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S/N信噪比：≥96dB；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失真度：＜0.01%；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频率响应：30Hz -20KHz；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电源适配器使用电压：AC110V-230V 50Hz/60Hz（请按机壳和电源适配器标注使用）；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直流输入电压：DC12—DC15V 1500mA；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发射机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载波频率：630-680MHz；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发射功率：10dBm；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最大调制度：±45KHz；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S/N信噪比：≥96dB；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失真度：＜0.01%；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频率响应：30Hz -20KHz；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高次谐波：低于主波基准60dB以上；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使用电池电压：3V；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连续使用时间：8小时。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天线放大器</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专业无线放大器（无线天线放大器），是针对无线麦克风接收距离短而设计，具有接收距离远，信号稳定等功能。适合UHF无线麦500KHZ---950KHZ使用；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为UHF频段500-950MHz的无线系统提供2合1式的高增益的接收能力，而接收频带已覆盖整个UHF电视通道；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对装式的定向天线设计，为分集式UHF无线话筒系统提供理想的远距离和稳定的接收表现；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设计于需要远距离接收和发射的应用，如体育场馆,演唱会、剧场、及大型演出场所；或一些会阻挡视线及接收的环境；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另外，天线可轻易稳固的安装；同时亦可容易地拆除，方便携带；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八通道低损耗天线分配电路设计，4套单频道自动选讯接收机可共同一对天线；TNC 接头，保证连接的可靠性；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低噪放大电路设计。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输入截断点+22dBm；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噪声比4.0dB Type(Center Band)；</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增益+6-9dB(Center Band)；</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输出阻抗15dB min；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阻抗50Ω；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插座TNC femal；</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电源供应100-240V/50/60Hz；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电源消耗170mA；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天线放大器；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天线输入阻抗：50Ω；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天线输出阻抗：50Ω；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天线输入插座：TNC；</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天线输出插座：TNC；</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增益：13dB；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带宽：400MHz；</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指向性天线</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指向性天线；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天线输入阻抗：50Ω；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天线输出阻抗：50Ω；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天线输入插座：TNC；</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天线输出插座：TNC；</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增益：3dB；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带宽：40MHz；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供电电流:12-18V 100mA。</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3、显示系统（详见信息发布系统）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4、高清混插系统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无缝混合切换矩阵</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全数字化切换, 每通道4x6G传输带宽；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标准插卡式工业机箱，一卡1路，任意信号输入输出；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5寸触屏操作，实时无缝切换；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输入信号分辨率自适应，输出分辨率可调；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2U插卡可实现9x9或12x6或6x12，部分槽位可输入输出混插；</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HDMI接口兼容DVI1.0和HDMI1.4，支持HDCP1.2，支持蓝光播放器，支持DeepColor；</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CVBS、VGA和YPbPr模拟输入数字化处理，ADC最高采样频率205Mhz,内部图像处理24-bit处理，色彩还原真实, 最高分辨率到1920x1200@60Hz;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CVBS输入集成高级3D自适应梳状滤波器和去隔行处理，自动PAL，NTSC制式识别；</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支持4Kx2K输入输出，支持4K和2K混合变换切换；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SDI输入支持3G/HD/SD-SDI，速率143Mbps～2.97Gbps，兼容SMPTE 259M、292M、344M、424M、ITU R BT.601、ITU R BT.1120 串行视频标准；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支持模拟音频输入和输出, 支持数字模拟音频混合切换；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支持SDI音频加解嵌（SMPTE291）；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支持32个场景存储和调用；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支持红外控制；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支持RS232和以太网控制，开放控制协议，方便第三方串口控制；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支持断电现场保护；</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单路高清HDMI输入板卡</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单路HDMI输入，支持音频分离输入；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时钟频率：25Mhz-225Mhz；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标准：DVI1.0 HDMI1.3；HDCP1.2；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接口类型：Type A 19pin；HDMI或DVI-D；</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单路高清SDI输入板卡</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单路SDI输入，支持音频分离输入；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速率：143Mbps～2.97Gbps；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标准：SMPTE 259M、292M、344M、424M,音频兼容SMPTE291；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接口类型：BNC；</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单路高清HDMI输出板卡</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单路HDMI输出，支持音频分离输出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时钟频率：25Mhz-225Mhz；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标准：DVI1.0 HDMI1.3；HDCP1.2；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接口类型：Type A 19pin；HDMI或DVI-D；</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单路高清SDI输出板卡</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单路SDI输出，支持音频分离输出；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速率：143Mbps～2.97Gbps；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标准：SMPTE 259M、292M、344M、424M,音频兼容SMPTE291；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接口类型：BNC；</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四、报告厅</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1、扩声系统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有源线阵列主音箱</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采用2*8”钕磁低音+2*1.75”高音组成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内置音频处理系统   可预设8种情景模式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优质扬声器的选取，可以有效保证声音的还原输出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简单安全的吊挂组合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电声参数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系统组成：2*8”钕磁低音+2*1.75”高音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阻抗：4Ω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额定功率：500W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节目功率：1000W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峰值功率：2000W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最大声压级（PEAK）： 131 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覆盖角度：水平100°，垂直依据与阵列配置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频响范围：80Hz-20kHz(－3 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频响范围：55Hz-20kHz(－10 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功放模块参数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电路类型：D类</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处理器：内置音频处理器，可预设8种情景模式，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功率输出：2000W峰值功率,1000W连续功率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频率响应：&lt;±0.5dB(20~20kHz)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输入阻抗：20kΩ（平衡），10kΩ（不平衡）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信号连接：XLR</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保护：短路、直流、过载、过热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AC电源：220V/50Hz（±10%）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电源线：PowerCon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物理规格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吊装方式：阵列快速连杆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音箱净重：26Kg</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9"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有源线阵列超低音箱</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系统组成：18″</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阻抗：8Ω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功率：600W RMS，2400W PEAK</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最大声压级（PEAK）：132dB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频响范围：32Hz～140Hz（-3dB）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频响范围：30Hz～150Hz（-10dB）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功放模块参数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电路类型：D类</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处理器：内置音频处理器，可预设8种情景模式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功率输出：2400W峰值，1200W连续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频率响应：〈±0.5 dB（20Hz～20KHz）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输入阻抗：20KΩ(平衡)，10KΩ(不平衡)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信号连接：XLR</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保护：短路、直流、过载、过热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AC电源：220V/50Hz(±10%)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电源线：PowerCon</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台唇音箱</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单元类型：5.6寸低音×4，高音单元：34芯高音×1；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系统类型：5.6寸二路五单元全频；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额定功率：250W；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最大输入功率：1000W；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阻抗：6.3Ω；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频率响应：45Hz-20KHz；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指向性覆盖角：120°（H）x60°（V）；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最大声压级：123dB；灵敏度（1W/1m）：95dB /W(lm)；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连接器： SPEAKON NL4×2 PIN1+/2+POS.  PIN1-/2-NEG（正负4芯安全插头）；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吊挂硬件：10xM8吊点、底托；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材质及表面处理：18mm夹板，环保水性漆；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颜色：黑色；</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安装方式：壁挂式安装（带专用支架）；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箱体尺寸 200*215*720mm；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重量：6Kg。</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9"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台唇音箱功放</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8Ω额定功率2*600W   4Ω额定功率2*950W  桥接8Ω1800W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通道数：2CH；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谐波失真+噪声（1kHz,-10dB,4ohms) ：&lt;0.1%；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频率响应：15Hz-20kHz: ±0.1dB (1W/8Ω)；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输入阻抗：平衡20K ohm 非平衡 10K Ohm度:0.775V；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信噪比：≥100dB；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阻尼系数:（350:1,1Khz 8ohms）；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转换速率：28V/US；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输出级：Class-D；</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LED指示灯：电源/信号/失真/削波；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输入连接器：平衡卡侬公母座；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输出连接器：SPEAKON(可以定制）,接线柱；</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散热系统：双变速风扇，从前到后排风；</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保护功能：过热，短路，直流输出；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电源要求：AC220V (可以定制AC110V)；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尺寸：482×295×44mm。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返听音箱</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驱动单元：LF: 1×12″   HF: 1×75″；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频响：60HZ-20KHZ(±3db)；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灵敏度：98dB；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最大声压：129dB（持续）135dB（峰值）；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阻抗：8Ω；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额定功率：350W；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峰值功率：1400W；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覆盖角度: 90°×60°；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箱体结构: 桦木夹板；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箱体表面处理: 黑色点漆；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连接器：2 x NL4；</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箱体尺寸 (高H*宽W*深D）mm：540x350x265mm；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净重 Net：15Kg。</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返听音箱功放</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8Ω额定功率2*600W   4Ω额定功率2*950W  桥接8Ω1800W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通道数：2CH；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谐波失真+噪声（1kHz,-10dB,4ohms) ：&lt;0.1%；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频率响应：15Hz-20kHz: ±0.1dB (1W/8Ω)；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输入阻抗：平衡20K ohm 非平衡 10K Ohm度:0.775V；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信噪比：≥100dB；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阻尼系数:（350:1,1Khz 8ohms）；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转换速率：28V/US；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输出级：Class-D；</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LED指示灯：电源/信号/失真/削波；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输入连接器：平衡卡侬公母座；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输出连接器：SPEAKON(可以定制）,接线柱；</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散热系统：双变速风扇，从前到后排风；</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保护功能：过热，短路，直流输出；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电源要求：AC220V (可以定制AC110V)；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尺寸：482×295×44mm。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24路调音台</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输入方式：24路单声道，24路话筒卡龙母，4路立体声；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输出方式：主声道双声道平衡、6.35插座;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单声道输入配备高品质话筒放大器;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功能：高中低音调节，话筒48V供电选择，录音输出，2编组输出，2路辅助输出，数码混响;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备有录音输入输出功能;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最大输出电平:19dBm(1KHz,THD=0.5%);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剩余噪声：-75dB;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信噪比：71dB;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等效噪声源输入电动势：-12dBm;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均衡： 低频：80Hz±15dB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中频2.5KHz±15dB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高频：12KHz±15dB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增益控制：单声道：-55dB～0 dB。立体声：-10dB～0dB;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频率响应：80Hz～15KHz（+1dB,-3dB);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总谐波失真+噪声：≤0.05%（1KHz，0.775V）;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输入电压： 220V；</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重量： 7Kg；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尺寸：560X400X90mm。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音频媒体矩阵</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该款设备采用32位工业级嵌入式处理器，主频高达500MHz，512M内存，系统稳定性强，运算速度快；</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高精度96KHz/24bit数据处理，可达到极佳的110dB动态范围和高质数的声音品质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具备24位数模的转换，96KHz采样频率；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具备16通道平衡输入音频通道；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具备16通道支持MIC输入；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每路MIC输入支持48V幻象供电；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具备16个平衡音频输出通道；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具备16通道独立的自适应反馈抑制器；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具备16通道自动混音；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输入31段PEQ可调，输出10段PEQ可调、增益（Gaina）电平范围：+-18dB,Q值：0.4-128，每段均支持直通（Bypass）；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内置信号发生器：正弦波信号、粉红噪声、白噪声；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输入通道的噪声门阀值、压缩器启动时间、恢复时间连续可调。拐点0-30连续可调，起控电平0-21dB连续可调，起控时间0-2895ms连续可调，释放时间0-2895ms连续可调；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具备摄像跟踪控制功能，通过预设位可实现自动摄像联动功能；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基于 Windows 操作平台的全新控制界面；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支持手机APP软件网络控制；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使用嵌入式控制面板可对系统进行分区预设和远程音量大小控制；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支持21个场景保存，支持12dB／18dB／24dB／48dB斜率，180相应；</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支持GPIO口控制，支持网口，支持232／485管理控制；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采用三级防静电、防雷保护技术；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AEC回声消除功能和ANC噪声消除功能；</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电源时序器</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输出电源插座：万用插座，符合欧美标准。后面板8个受控万用插座；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插座材质：每个插座材质磷铜，均通过检验才安装；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每一路开关间隔时间：1秒每通道带开关指示1个；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电路板线路：采用60%高纯度锡，高端分流技术，大电流线路处加焊铜条；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变压器：专供定制变压器，减少干扰前级，音源敏感设备；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电压显示表：LED数字显示电压表；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最大负载7000W，单路负载4000W;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支持RS232、RS485串口输入控制。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输出方式：8路电源输出，标准通用三芯插座；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负载：40A；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中控接口：RS-232；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指示灯：独立电源指示；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单路最大输出电流：30A；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工作电源：AC100V~240V 50/60Hz；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重量：4.2Kg；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尺寸：270mmX483mmX48mm。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线阵列专用吊架</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定制专用吊架；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电动葫芦</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定制；1T承重，电动升降吊装葫芦</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0"/>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42U机柜</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1）、符合GB/T3047.2标准，兼容19〞国际标准全部采用优质冷轧钢板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2）、厚度：方孔条2.0mm，其他1.2mm，机柜表面采用先喷砂，后喷塑的表面处理工艺，保证机柜表面涂层的牢固可靠，耐酸碱、耐腐蚀、防静电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3）、前门采用5mm厚钢化玻璃，高级旋把门锁，美观大方，可拆卸的左右侧门，方便安装调试，可同时安装脚轮和支撑脚，方便移动，结构坚固，承载达500Kg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4）、风机单元的外壳采用一次成型技术，有效减少风机的震动，提高风机单元的使用寿命，风机单元采用独立电源线，方便维护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5）、增强型固定托盘，底部附有加强筋，承载达100Kg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6）、高度：42U，深度：600mm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7）、颜色：黑色，门板：玻璃门。</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一舟、德塔森特、清华同方</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副</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多媒体地插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含一路音箱接口，一路HDMI，一路MIC；</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副</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多媒体墙插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含一路HDMI，一路MIC，一路音频接口；</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辅材</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定制，含接头、跳线等</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2、发言系统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真分集无线手持话筒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采用世界先进的DPLL数字锁相环多信道频率合成技术及杂讯自动控制技术（带导频）。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使用UHF630MHz~680MHz频段，避免干扰频率；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语音压缩扩展电路，极大地提高信噪比,独特的语音压限器设计，歌手使劲唱歌都不会出现裂音；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采用最新型的高频声表面滤波器，最大限度地滤除带外干扰信号；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真分集式接收电路，保证有效距离内不断迅，消除死角；使用高增益天线，有效开阔使用距离可达100米完备的输入输出接口，方便连接各种设备；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装备高亮度LCD显示屏，可动态显示系统信号、音量、通道、频点数值；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采用二次变频的高频电路设计，具有极高的灵敏度；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语音压缩扩展电路，极大地提高信噪比，独特的语音压限器设计；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高保真音色,独特的干扰噪音静噪功能；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具有独立接收灵敏度调节功能，可对系统输出信号人性化调节，可初始化音频调节；</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真分集无线头戴话筒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采用世界先进的DPLL数字锁相环多信道频率合成技术及杂讯自动控制技术（带导频）。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使用UHF630MHz~680MHz频段，避免干扰频率；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语音压缩扩展电路，极大地提高信噪比,独特的语音压限器设计，歌手使劲唱歌都不会出现裂音；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采用最新型的高频声表面滤波器，最大限度地滤除带外干扰信号；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真分集式接收电路，保证有效距离内不断迅，消除死角；使用高增益天线，有效开阔使用距离可达100米完备的输入输出接口，方便连接各种设备；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装备高亮度LCD显示屏，可动态显示系统信号、音量、通道、频点数值；</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采用二次变频的高频电路设计，具有极高的灵敏度；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语音压缩扩展电路，极大地提高信噪比，独特的语音压限器设计；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高保真音色,独特的干扰噪音静噪功能；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具有独立接收灵敏度调节功能，可对系统输出信号人性化调节，可初始化音频调节；</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鹅颈话筒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换能方式：电容式；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频率响应：40Hz-18kHz；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指向性：超心型指向；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输出阻抗（欧姆）：75Ω；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灵敏度：-45dB；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最高输入音量：128dB 声压；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动态范围：109 dB，1KHz；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讯噪比：75 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供电电压：幻象48V（幻象指既传输电流，也传输声音）；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咪管长度：200mm。</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天线放大器</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专业无线放大器（无线天线放大器），是针对无线麦克风接收距离短而设计，具有接收距离远，信号稳定等功能。适合UHF无线麦500KHZ---950KHZ使用；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为UHF频段500-950MHz的无线系统提供2合1式的高增益的接收能力，而接收频带已覆盖整个UHF电视通道；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对装式的定向天线设计，为分集式UHF无线话筒系统提供理想的远距离和稳定的接收表现；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设计于需要远距离接收和发射的应用，如体育场馆,演唱会、剧场、及大型演出场所；或一些会阻挡视线及接收的环境；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另外，天线可轻易稳固的安装；同时亦可容易地拆除，方便携带；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八通道低损耗天线分配电路设计，4套单频道自动选讯接收机可共同一对天线；TNC 接头，保证连接的可靠性；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低噪放大电路设计。</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指向性天线</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指向性天线；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天线输入阻抗：50Ω；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天线输出阻抗：50Ω；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天线输入插座：TNC；</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天线输出插座：TNC；</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增益：3dB；</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带宽：40MHz；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供电电流:12-18V 100mA。</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天线壁挂支架</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定制壁挂支架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3、显示系统（详见信息发布系统）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4、高清混插系统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7"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无缝混合切换矩阵</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全数字化切换, 每通道4x6G传输带宽；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标准插卡式工业机箱，一卡1路，任意信号输入输出；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5寸触屏操作，实时无缝切换；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输入信号分辨率自适应，输出分辨率可调；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2U插卡可实现9x9或12x6或6x12，部分槽位可输入输出混插；</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HDMI接口兼容DVI1.0和HDMI1.4，支持HDCP1.2，支持蓝光播放器，支持DeepColor；</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CVBS、VGA和YPbPr模拟输入数字化处理，ADC最高采样频率205Mhz,内部图像处理24-bit处理，色彩还原真实, 最高分辨率到1920x1200@60Hz;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CVBS输入集成高级3D自适应梳状滤波器和去隔行处理，自动PAL，NTSC制式识别；</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支持4Kx2K输入输出，支持4K和2K混合变换切换；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SDI输入支持3G/HD/SD-SDI，速率143Mbps～2.97Gbps，兼容SMPTE 259M、292M、344M、424M、ITU R BT.601、ITU R BT.1120 串行视频标准；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支持模拟音频输入和输出, 支持数字模拟音频混合切换；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支持SDI音频加解嵌（SMPTE291）；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支持32个场景存储和调用；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支持红外控制；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支持RS232和以太网控制，开放控制协议，方便第三方串口控制；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支持断电现场保护；</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单路高清HDMI输入板卡</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单路HDMI输入，支持音频分离输入；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时钟频率：25Mhz-225Mhz；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标准：DVI1.0 HDMI1.3；HDCP1.2；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接口类型：Type A 19pin；HDMI或DVI-D；</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单路高清SDI输入板卡</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单路SDI输入，支持音频分离输入；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速率：143Mbps～2.97Gbps；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标准：SMPTE 259M、292M、344M、424M,音频兼容SMPTE291；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接口类型：BNC；</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单路高清HDMI输出板卡</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单路HDMI输出，支持音频分离输出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时钟频率：25Mhz-225Mhz；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标准：DVI1.0 HDMI1.3；HDCP1.2；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接口类型：Type A 19pin；HDMI或DVI-D；</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单路高清SDI输出板卡</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单路SDI输出，支持音频分离输出；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速率：143Mbps～2.97Gbps；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标准：SMPTE 259M、292M、344M、424M,音频兼容SMPTE291；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接口类型：BNC；</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5、环境控制系统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1"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中央控制主机</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全面支持远程网络控制，内建网络接口，支持网络级联，支持任意分辨率的平板手持终端，通过wifi与主机通讯；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平板人机界面编程全面兼容传统触屏编程方式，无需重新学习新的编程方法，极其方便升级更换；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采用可编程控制平台，中英文可编程界面，交互式的控制结构；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采用最新32位内嵌式处理器，处理速度最高可达533MHZ；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大量采用高度集成化协处理芯片，考究的LAY OUT让系统运行非常稳定、流畅；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主机内置8MB内存及16MB的大容量FLASH 存储器；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8路独立可编程RS-232控制接口，可以收发RS232、RS485、Rs422格式数据；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主机能串口环出，串口1-8，任意一个输入，可以从另外一个串口环出；8路独立可编程IR红外发射口，红外发射口可以做串口使用，使可编程口总数达到16个；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8路数字I/0输入输出控制口，带保护电路；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8路弱电继电器控制接口；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3个网络控制接口，可以并接最大256个网络设备；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客户可编程设置的任何控制协议或者控制代码；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内嵌智能红外学习功能模块，无须配置专业学习器；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支持双代码的控制，即一键发二种代码</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电源控制器</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可由多媒体控制系统的24VDC或AC 100-240V两种供电模式；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8路独立节点控制接口，每路都有常开，常闭两种接口选择；</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ID CODE 可调节网络ID，实现与可编程控制主机RS-485网络通讯；</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内置光电隔离模块，可保障负载和主机安全可靠；                    电源通道 每路220V  50Hz  30A;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控制模式 8路独立继电器控制;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通讯控制 专用A-NET接线端子/RS485;</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无线路由器</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采用双路双频设计，802.11a/n和802.11b/g/n可同时使用，实现灵活部署；</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触摸屏平板</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屏幕尺寸：9.7英寸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屏幕分辨率：2048x1536</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屏幕像素密度：264PPI</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屏幕描述：电容式触摸屏，多点式触摸屏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屏幕特性：IPS屏幕，防指纹涂层，视网膜屏幕，全层压显示屏，抗反射涂层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支持语言：支持多国语言</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WiFi功能：支持802.11a/b/g/n/ac无线协议，双频（2.4GHz和5GHz）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蓝牙功能：支持，蓝牙4.2模块</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红外发射棒</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配套中控使用,用于红外设备的远程控制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辅材及中控编程</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SPON、CREATOR、TOG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6、录播系统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录播主机（含软件）</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录播主机采用嵌入式系统，确保系统稳定性；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系统CPU采用国产芯片；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录播主机电源开关按键采用自锁技术，支持上电即开机；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支持3路SDI输入接口（每个接口自适应3G-SDI/HD-SDI信号）、1路HDMI输入接口或1路VGA输入接口；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支持2路视频同时输出，1路VGA-OUT、 HDMI-OUT，输出分辨率为1080P图像，输出内容可自定义为直播图像或导播界面，HDMI-OUT支持音视频同时输出；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支持2路音频输入和2路音频输出接口；1路音频3.5mm耳机监听接口，可监听直播声音；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支持2组RS232和4组RS485接口，支持对接外设导播台与中控，支持运维平台远程控制；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支持1个千兆网络接口；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支持4组DC-12V电源输出，可给外设设备供电如导播键盘；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为保证视频录制音频效果，降低录播课室环境噪声，同时保证主机系统正常散热，要求采用无风扇散热设计。</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高清摄像头</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全高清图像：采用1/2.8英寸高品质图像传感器，最大分辨率可达1920x1080，输出帧率高达60帧/秒；</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多种光学变倍镜头：具有8X、10X、12X、20X等多种光学变倍镜头选择，镜头具有72.5°无畸变宽视角；</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领先的自动聚焦技术：先进的自动聚焦算法使得镜头快速、准确、稳定地完成自动聚焦；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低噪声高信噪比：低噪声CMOS有效地保证了摄像机视频的超高信噪比，采用先进的2D、3D降噪技术，进一步降低了噪声，同时又能确保图像清晰度；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音频输入接口：支持16000、32000、44100、48000采样频率，支持AAC、MP3、PCM音频编码；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超级静音云台：采用高精度步进电机以及精密电机驱动控制器，确保云台低速运行平稳，并且无噪声；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多种视频输出接口：支持DVI（HDMI），3G-SDI，USB、有线LAN、无线LAN接口（5GWiFi模块），3G-SDI支持在1080P 60格式下传输100米；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多种音视频压缩标准：支持H.265/H.264视频压缩，支持AAC、MP3、PCM音频压缩；支持高达1920x1080分辨率60帧/秒压缩；支持2路1920x1080分辨率30帧/秒压缩；</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多种遥控器：用户可以根据所使用的环境条件，选择红外遥控器或无线遥控器，2.4G无线遥控器不受角度、距离、红外干扰影响，支持遥控器信号透传功能，方便后端设备使用；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低功耗休眠功能：支持低功耗休眠/唤醒，休眠时功耗低于400mW；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多种控制协议：支持VISCA、PELCO-D、PELCO-P协议，支持自动识别协议。</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SPON、DESFINE、TOG</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9" w:hRule="atLeast"/>
        </w:trPr>
        <w:tc>
          <w:tcPr>
            <w:tcW w:w="625"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显示器</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屏幕尺寸  23.8英寸；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最佳分辨率  1920x1080；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屏幕比例 16:9（宽屏）；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高清标准 1080p（全高清）；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面板类型 IPS；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背光类型 LED背光；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静态对比度  1000:1；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响应时间 5ms；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显示参数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亮度  250cd/㎡；</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可视角度 178/178°；</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显示颜色 16.7M；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色域  sRGB：127％ NTSC：109％；</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接口参数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视频接口 D-Sub（VGA），DVI-D，HDMI，Displayport；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其它接口 音频输出；</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41" w:type="dxa"/>
            <w:gridSpan w:val="2"/>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7、舞台机械灯光系统</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jc w:val="left"/>
              <w:rPr>
                <w:rFonts w:hint="eastAsia" w:ascii="宋体" w:hAnsi="宋体" w:cs="宋体"/>
                <w:b/>
                <w:bCs/>
                <w:color w:val="auto"/>
                <w:sz w:val="20"/>
                <w:szCs w:val="20"/>
                <w:highlight w:val="none"/>
              </w:rPr>
            </w:pPr>
          </w:p>
        </w:tc>
        <w:tc>
          <w:tcPr>
            <w:tcW w:w="1516" w:type="dxa"/>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舞台灯光部分</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面光-LED成像灯</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光通量: 8800LM/12500LM，色温: 3200K/4000K/5500K 可选，光    源：大功率LED，光的角度：19°/26°/36°/50°，额定电压：100～240V，额定功率：150W/200W，控制模式：DMX512，防护等级：IP33，最大环境温度：55°C，最小环境温度：-30°C，灯体最高表面温度：40°C～55°C，寿    命：50000小时，外形尺寸：610X380X495(mm)，重    量:9.5KG</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电动翻转LED会议平板灯（一顶）</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额定电压：AC110-240V  50/60Hz，额定功率：192W ，光源：384颗0.5W LED，使用寿命：50000H，色温：3200K+6000K双色温，显色指数：Ra≥85，调光：0-100%线性调光，角度范围:-20-20°电动调节，控制模式: DMX512 、手动，通道数：6个DMX512通道，工作环境：适合与演播室、会议室、多功能厅、礼堂等，散热方式:机箱+风扇(静音)，外壳材料：铝合金+柔光板(白色)</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电动翻转LED会议平板灯（二顶）</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额定电压：AC110-240V  50/60Hz，额定功率：192W ，光源：384颗0.5W LED，使用寿命：50000H，色温：3200K+6000K双色温，显色指数：Ra≥85，调光：0-100%线性调光，角度范围:-20-20°电动调节，控制模式: DMX512 、手动，通道数：6个DMX512通道，工作环境：适合与演播室、会议室、多功能厅、礼堂等，散热方式:机箱+风扇(静音)，外壳材料：铝合金+柔光板(白色)</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电动翻转LED会议平板灯（三顶）</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额定电压：AC110-240V  50/60Hz，额定功率：192W ，光源：384颗0.5W LED，使用寿命：50000H，色温：3200K+6000K双色温，显色指数：Ra≥85，调光：0-100%线性调光，角度范围:-20-20°电动调节，控制模式: DMX512 、手动，通道数：6个DMX512通道，工作环境：适合与演播室、会议室、多功能厅、礼堂等，散热方式:机箱+风扇(静音)，外壳材料：铝合金+柔光板(白色)</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632"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电脑摇头图案灯（三合一）</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 电 压: AC100-240V 50/60Hz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 灯 泡: YODN R17/350W兼容OSRAM PHILIPS R17/350W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 色 温: 7500K</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 灯泡寿命: 2000小时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 颜 色: 1个颜色盘，13色+白光，可半色、可双向流动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 图 案: 1个旋转图案盘，9个可更换图案片+白光，单向旋转，图案盘可抖动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 固定图案：1个固定图案盘，17种图案，图案盘可抖动，可双向流动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 棱 镜:1个可旋转十六棱镜,另一个旋转排镜或八棱镜，单向旋转</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 镜 头: 高精密多组胶合光学镜头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 柔光效果: 可调节柔光角度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 光 束: 多级光束角度变化效果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 调 焦: 线性调焦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 调 光: 0-100%线性调节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 光束角度：2度-56度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 投光范围: X向540度,Y向270度,可自动校正定位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 扫描速度: X向2.6秒/540度，Y向1.24秒/270度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17. 频 闪: 双频闪结构 ，频闪0.5-14次/秒</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18. 马达数量: 16个超静音马达，其中二个三相马达，16Bit驱动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19. 控制方式: 国际标准DMX512，自走模式等。</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20. 控制通道：2个控制通道模式选择，16/24通道。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21. 时间功能：在菜单内可记录灯具和灯泡的工作总时间和工作时间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22. 外 观: 耐高温塑料外壳，高强度合金冷压成型内核材料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23. 智能散热： 采用风向引流与温度智能监控技术，根据灯具不同位置的温度高低，自动驱动灯具里面不同部位的冷却风扇，对灯具部件进行有效的冷却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24. 防护等级: IP20，可选防雨罩防护等级高达IP45.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25. 灯体重量：18.6KG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26.灯体规格尺寸: 361*300.8*601.8mm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27.灯具附件： 说明书1本；保险绳1条；灯钩2个；5米信号线1条,电源线一条</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DMX灯光控制台</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DMX512数码输出，512DMX控制通道，2个光隔离独立驱动信号输出端口，可控制32台16通道电脑灯，1600个走灯程序步储存容量。48个走灯程序，每程序最多100步。每步速度、渐变参数独立设置。可选音乐同步或手动速率控制可同时运行4个走灯程序、48个场景，并可同时对32台电脑灯进行提灯操作。关机数据保持，DMX信号输出连接器：XLR-3F×2，可选配12V鹅颈工作灯电源：AC 100-240V 50-60Hz</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DMX控制台放大器</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路DMX512数码输入，1路DMX512直接输出。输入输出光电隔离。8路独立放大驱动输出。信号放大整形功能，延长信号传输距离。增强数据总线接入设备数量的能力。保护灯光控制台DMX512输出接口，故障现场隔离，提高数字式灯光控制系统的安全可靠性。独立的LED信号指示。电源：AC100~240V/50-60Hz。</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电源直通箱</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 供电：三相五线制AC380V±10％，频率50Hz±5％。(2) 额定功率：12路×4KW; 可适用于任何负载。(3) 过载与短路双重保护高分断空气开关。(4) A.B.C三相工作指示灯. 设两脚和三脚万能备用插座方便使用。(5) 外形尺寸(mm):L515×W485×H133. 单机重量:12KG。使用前请先接好所需要的供电设备,本产品可直接接入12只X4KW常规舞台灯具或12只X4KW电脑特效灯,12路单独控制；再接入AC380V三相电,注意火线（A.B.C）与零线（N）不可接反,接地线(PE)要良好接地,此时面板指示灯亮起,空气开关打到ON状态,这时接入的灯具应亮起。</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灯钩</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配套</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保险绳</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配套</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32</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12U机柜</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12U机柜灯光控制柜</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一舟、清华同方、德塔森特</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ign w:val="center"/>
          </w:tcPr>
          <w:p>
            <w:pPr>
              <w:jc w:val="left"/>
              <w:rPr>
                <w:rFonts w:hint="eastAsia" w:ascii="宋体" w:hAnsi="宋体" w:cs="宋体"/>
                <w:b/>
                <w:bCs/>
                <w:color w:val="auto"/>
                <w:sz w:val="20"/>
                <w:szCs w:val="20"/>
                <w:highlight w:val="none"/>
              </w:rPr>
            </w:pPr>
          </w:p>
        </w:tc>
        <w:tc>
          <w:tcPr>
            <w:tcW w:w="1516" w:type="dxa"/>
            <w:noWrap/>
            <w:vAlign w:val="center"/>
          </w:tcPr>
          <w:p>
            <w:pPr>
              <w:widowControl/>
              <w:jc w:val="left"/>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舞台机械部分</w:t>
            </w:r>
          </w:p>
        </w:tc>
        <w:tc>
          <w:tcPr>
            <w:tcW w:w="3910" w:type="dxa"/>
            <w:noWrap/>
            <w:vAlign w:val="center"/>
          </w:tcPr>
          <w:p>
            <w:pPr>
              <w:jc w:val="left"/>
              <w:rPr>
                <w:rFonts w:hint="eastAsia" w:ascii="宋体" w:hAnsi="宋体" w:cs="宋体"/>
                <w:color w:val="auto"/>
                <w:sz w:val="20"/>
                <w:szCs w:val="20"/>
                <w:highlight w:val="none"/>
              </w:rPr>
            </w:pPr>
          </w:p>
        </w:tc>
        <w:tc>
          <w:tcPr>
            <w:tcW w:w="1071" w:type="dxa"/>
            <w:noWrap/>
            <w:vAlign w:val="center"/>
          </w:tcPr>
          <w:p>
            <w:pPr>
              <w:jc w:val="center"/>
              <w:rPr>
                <w:rFonts w:hint="eastAsia" w:ascii="宋体" w:hAnsi="宋体" w:cs="宋体"/>
                <w:color w:val="auto"/>
                <w:sz w:val="20"/>
                <w:szCs w:val="20"/>
                <w:highlight w:val="none"/>
              </w:rPr>
            </w:pPr>
          </w:p>
        </w:tc>
        <w:tc>
          <w:tcPr>
            <w:tcW w:w="697" w:type="dxa"/>
            <w:noWrap/>
            <w:vAlign w:val="center"/>
          </w:tcPr>
          <w:p>
            <w:pPr>
              <w:jc w:val="left"/>
              <w:rPr>
                <w:rFonts w:hint="eastAsia" w:ascii="宋体" w:hAnsi="宋体" w:cs="宋体"/>
                <w:color w:val="auto"/>
                <w:sz w:val="20"/>
                <w:szCs w:val="20"/>
                <w:highlight w:val="none"/>
              </w:rPr>
            </w:pPr>
          </w:p>
        </w:tc>
        <w:tc>
          <w:tcPr>
            <w:tcW w:w="632" w:type="dxa"/>
            <w:noWrap/>
            <w:vAlign w:val="center"/>
          </w:tcPr>
          <w:p>
            <w:pPr>
              <w:jc w:val="left"/>
              <w:rPr>
                <w:rFonts w:hint="eastAsia" w:ascii="宋体" w:hAnsi="宋体" w:cs="宋体"/>
                <w:color w:val="auto"/>
                <w:sz w:val="20"/>
                <w:szCs w:val="20"/>
                <w:highlight w:val="none"/>
              </w:rPr>
            </w:pP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吊杆机专用滑轮组</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装配件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32"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镀锌航空钢丝绳</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装配件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632"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100</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舞台机械控制台</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控制吊杆升降和幕布对开，模拟控制，开关按钮等元器件国内知名品牌；具有起动按钮，急停按钮；可以控制吊杆上升或下降，也可以控制对开幕的开、闭及自动限位等功能； 上下限保护</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吊杆机钢结构固定支架</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定制</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632"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面灯光吊杆片式杆体</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国标，钢结构定制，¢48mm钢管焊接，H型杆体，根据现场实际调整</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道</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25"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516"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电动升降面灯吊杆机</w:t>
            </w:r>
          </w:p>
        </w:tc>
        <w:tc>
          <w:tcPr>
            <w:tcW w:w="3910" w:type="dxa"/>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升降速度：0.30m/s；吊点数：5吊点，载荷：400KG（含杆重）；噪音≤50dB；电机功率：2.2KW；多层排绕；机械定位；安全措施:上下限位保护、相序保护、防跳绳保护等保护装置</w:t>
            </w:r>
          </w:p>
        </w:tc>
        <w:tc>
          <w:tcPr>
            <w:tcW w:w="107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东蒙、明道、珠江</w:t>
            </w:r>
          </w:p>
        </w:tc>
        <w:tc>
          <w:tcPr>
            <w:tcW w:w="69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632"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739" w:type="dxa"/>
            <w:noWrap/>
            <w:vAlign w:val="center"/>
          </w:tcPr>
          <w:p>
            <w:pPr>
              <w:rPr>
                <w:rFonts w:hint="eastAsia" w:ascii="宋体" w:hAnsi="宋体" w:cs="宋体"/>
                <w:color w:val="auto"/>
                <w:sz w:val="20"/>
                <w:szCs w:val="20"/>
                <w:highlight w:val="none"/>
              </w:rPr>
            </w:pP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3"/>
        <w:tblW w:w="0" w:type="auto"/>
        <w:tblInd w:w="96" w:type="dxa"/>
        <w:tblLayout w:type="fixed"/>
        <w:tblCellMar>
          <w:top w:w="0" w:type="dxa"/>
          <w:left w:w="108" w:type="dxa"/>
          <w:bottom w:w="0" w:type="dxa"/>
          <w:right w:w="108" w:type="dxa"/>
        </w:tblCellMar>
      </w:tblPr>
      <w:tblGrid>
        <w:gridCol w:w="515"/>
        <w:gridCol w:w="1203"/>
        <w:gridCol w:w="4149"/>
        <w:gridCol w:w="1255"/>
        <w:gridCol w:w="632"/>
        <w:gridCol w:w="637"/>
        <w:gridCol w:w="728"/>
      </w:tblGrid>
      <w:tr>
        <w:tblPrEx>
          <w:tblCellMar>
            <w:top w:w="0" w:type="dxa"/>
            <w:left w:w="108" w:type="dxa"/>
            <w:bottom w:w="0" w:type="dxa"/>
            <w:right w:w="108" w:type="dxa"/>
          </w:tblCellMar>
        </w:tblPrEx>
        <w:trPr>
          <w:trHeight w:val="513" w:hRule="atLeast"/>
        </w:trPr>
        <w:tc>
          <w:tcPr>
            <w:tcW w:w="9119" w:type="dxa"/>
            <w:gridSpan w:val="7"/>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机房建设工程系统设备清单</w:t>
            </w:r>
          </w:p>
        </w:tc>
      </w:tr>
      <w:tr>
        <w:tblPrEx>
          <w:tblCellMar>
            <w:top w:w="0" w:type="dxa"/>
            <w:left w:w="108" w:type="dxa"/>
            <w:bottom w:w="0" w:type="dxa"/>
            <w:right w:w="108" w:type="dxa"/>
          </w:tblCellMar>
        </w:tblPrEx>
        <w:trPr>
          <w:trHeight w:val="513" w:hRule="atLeast"/>
        </w:trPr>
        <w:tc>
          <w:tcPr>
            <w:tcW w:w="9119" w:type="dxa"/>
            <w:gridSpan w:val="7"/>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子系统名称：机房建设工程系统</w:t>
            </w:r>
          </w:p>
        </w:tc>
      </w:tr>
      <w:tr>
        <w:tblPrEx>
          <w:tblCellMar>
            <w:top w:w="0" w:type="dxa"/>
            <w:left w:w="108" w:type="dxa"/>
            <w:bottom w:w="0" w:type="dxa"/>
            <w:right w:w="108" w:type="dxa"/>
          </w:tblCellMar>
        </w:tblPrEx>
        <w:trPr>
          <w:trHeight w:val="1026"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设备名称</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技术参数</w:t>
            </w:r>
          </w:p>
        </w:tc>
        <w:tc>
          <w:tcPr>
            <w:tcW w:w="125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推荐品牌</w:t>
            </w:r>
          </w:p>
        </w:tc>
        <w:tc>
          <w:tcPr>
            <w:tcW w:w="63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63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 xml:space="preserve">数量 </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b/>
                <w:bCs/>
                <w:color w:val="auto"/>
                <w:sz w:val="18"/>
                <w:szCs w:val="18"/>
                <w:highlight w:val="none"/>
              </w:rPr>
            </w:pPr>
            <w:r>
              <w:rPr>
                <w:rFonts w:hint="eastAsia"/>
                <w:b/>
                <w:bCs/>
                <w:color w:val="auto"/>
                <w:sz w:val="18"/>
                <w:szCs w:val="18"/>
                <w:highlight w:val="none"/>
              </w:rPr>
              <w:t>备注</w:t>
            </w:r>
          </w:p>
        </w:tc>
      </w:tr>
      <w:tr>
        <w:tblPrEx>
          <w:tblCellMar>
            <w:top w:w="0" w:type="dxa"/>
            <w:left w:w="108" w:type="dxa"/>
            <w:bottom w:w="0" w:type="dxa"/>
            <w:right w:w="108" w:type="dxa"/>
          </w:tblCellMar>
        </w:tblPrEx>
        <w:trPr>
          <w:trHeight w:val="513"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监控中心UPS</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p>
        </w:tc>
      </w:tr>
      <w:tr>
        <w:tblPrEx>
          <w:tblCellMar>
            <w:top w:w="0" w:type="dxa"/>
            <w:left w:w="108" w:type="dxa"/>
            <w:bottom w:w="0" w:type="dxa"/>
            <w:right w:w="108" w:type="dxa"/>
          </w:tblCellMar>
        </w:tblPrEx>
        <w:trPr>
          <w:trHeight w:val="2528"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UPS主机（2KVA）</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1.2KVA单进单出主机，单机最大带载能力≥1.6KW。</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2.220V输入，220V输出，双变换在线式高频主机。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3.输入电压范围176～264VAC,频率范围46～54Hz；输出电压：220VAC±1%,逆变器效率93%以上，输入输出功率均大于0.8。</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具备手机APP远程实时在线监控、控制功能，具备浏览器网页实时在线监控功能，具备微信接收实时报警信息功能，网页端最多可存储1000条报警信息以及最近7天内的运行数据；5.逆变过载能力：125%负载30S，150%负载100mS，大于150%立即转旁路。</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科华、科士达、艾特网能</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584"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蓄电池(24H)</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1.阀控式12V/100AH密封铅酸蓄电池。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2.产品在温度为25℃时，电池的设计寿命≥10年。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3.为保证蓄电池产品能与UPS主机安全稳定的配合运行，投标蓄电池产品必须与UPS主机为同一制造厂商生产的原装电池，不接受OEM产品。</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科华、科士达、艾特网能</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节</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36</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3"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电池箱</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定制电池箱，最多可放置20节蓄电池</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科华、科士达、艾特网能</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268"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UPS主机（30KVA）</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1.30KVA塔式主机，最大带载能力≥24KW，采用可控硅整流、IGBT逆变技术，双变换在线式工频机，带输出隔离变压器，保证负载和公用电网全隔离。</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2.具备超大中英文液晶显示屏，可直观查看输入、输出、电流、电池组、频率、报警记录等信息。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3.输入电压范围304～456VAC,频率范围50/60Hz±10%；输出电压精度：220/380VAC±1%,逆变器效率93%以上，输入输出功率均大于0.8。</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4.冗余并机模式：最大可进行8台并机，按UPS大小自动分配负载量；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5.具备手机APP远程实时在线监控、控制功能，具备浏览器网页实时在线监控功能，具备微信接收实时报警信息功能，网页端最多可存储1000条报警信息以及最近7天内的运行数据；</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6.逆变过载能力：125%维持10分钟，150%维持1分钟，大于150%维持300ms。</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科华、科士达、艾特网能</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1584"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蓄电池(4H)</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1.阀控式12V/100AH密封铅酸蓄电池。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2.产品在温度为25℃时，电池的设计寿命≥10年。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3.为保证蓄电池产品能与UPS主机安全稳定的配合运行，投标蓄电池产品必须与UPS主机为同一制造厂商生产的原装电池，不接受OEM产品。</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科华、科士达、艾特网能</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节</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96</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3"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电池箱</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定制电池箱，最多可放置32节蓄电池</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科华、科士达、艾特网能</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3"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UPS配电箱（2KVA）</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按系统图的回路个数分别定制；内含断路器、汇流排、接线端子等；</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科华、科士达、艾特网能</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3"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UPS配电箱（30KVA）</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按系统图的回路个数分别定制；内含断路器、汇流排、接线端子等；</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科华、科士达、艾特网能</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3"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防雷系统</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bCs/>
                <w:color w:val="auto"/>
                <w:sz w:val="18"/>
                <w:szCs w:val="18"/>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p>
        </w:tc>
      </w:tr>
      <w:tr>
        <w:tblPrEx>
          <w:tblCellMar>
            <w:top w:w="0" w:type="dxa"/>
            <w:left w:w="108" w:type="dxa"/>
            <w:bottom w:w="0" w:type="dxa"/>
            <w:right w:w="108" w:type="dxa"/>
          </w:tblCellMar>
        </w:tblPrEx>
        <w:trPr>
          <w:trHeight w:val="639"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三相电源防雷模块</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标称工作电压：380V/50HZ；持续耐压：385V；标称放电电流：30KA；最大放电电流：60KA；保护水平：＜1.8KV；响应时间：25ns</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p>
        </w:tc>
      </w:tr>
      <w:tr>
        <w:tblPrEx>
          <w:tblCellMar>
            <w:top w:w="0" w:type="dxa"/>
            <w:left w:w="108" w:type="dxa"/>
            <w:bottom w:w="0" w:type="dxa"/>
            <w:right w:w="108" w:type="dxa"/>
          </w:tblCellMar>
        </w:tblPrEx>
        <w:trPr>
          <w:trHeight w:val="639"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单相电源防雷模块</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标称工作电压：220V/50HZ；持续耐压：275V；标称放电电流：10KA；最大放电电流：20KA；保护水平：＜1.5KV；响应时间：25ns</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p>
        </w:tc>
      </w:tr>
      <w:tr>
        <w:tblPrEx>
          <w:tblCellMar>
            <w:top w:w="0" w:type="dxa"/>
            <w:left w:w="108" w:type="dxa"/>
            <w:bottom w:w="0" w:type="dxa"/>
            <w:right w:w="108" w:type="dxa"/>
          </w:tblCellMar>
        </w:tblPrEx>
        <w:trPr>
          <w:trHeight w:val="954"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电源防雷插座</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便携式多功能单相防雷插座。适用于电子设备或电器设备保护（末级保护）、最大持续工作电压范围Uc=275-330V额定通流In=5KA、最大通流Imax=10KA(8/20μs)、保护水平UP:小于1KV、D7(分离器件)（七位）</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20</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p>
        </w:tc>
      </w:tr>
      <w:tr>
        <w:tblPrEx>
          <w:tblCellMar>
            <w:top w:w="0" w:type="dxa"/>
            <w:left w:w="108" w:type="dxa"/>
            <w:bottom w:w="0" w:type="dxa"/>
            <w:right w:w="108" w:type="dxa"/>
          </w:tblCellMar>
        </w:tblPrEx>
        <w:trPr>
          <w:trHeight w:val="954"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二合一网络防雷器</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产品带有远程遥讯报警干接点；二合一网络防雷器，摄像机额定工作电压12V，由电源避雷器、网络信号RJ45避雷器组成，设备进场需提供原厂盖公章的质保函，享受原厂质保。</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52</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954"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485控制信号防雷器</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适用于通讯专线/遥测信号/遥控信号等设备的防雷保护。额定电压6 V,最大持续运行电压8V, 额定负载电流0.5A，标称放电电流5kA, 最大放电电流10kA,限制电压15V,最大传输速率2Mbps,插入损耗＜0.1dB。</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639"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广播信号防雷器</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工作电压:200V DC，标称放电电流:In≥10kA/(8/20μs)，Up≤300V(8/20µs)；响应时间：≤1ns</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个</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p>
        </w:tc>
      </w:tr>
      <w:tr>
        <w:tblPrEx>
          <w:tblCellMar>
            <w:top w:w="0" w:type="dxa"/>
            <w:left w:w="108" w:type="dxa"/>
            <w:bottom w:w="0" w:type="dxa"/>
            <w:right w:w="108" w:type="dxa"/>
          </w:tblCellMar>
        </w:tblPrEx>
        <w:trPr>
          <w:trHeight w:val="639"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接地系统（监控中心）</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18"/>
                <w:szCs w:val="18"/>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18"/>
                <w:szCs w:val="18"/>
                <w:highlight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18"/>
                <w:szCs w:val="18"/>
                <w:highlight w:val="none"/>
              </w:rPr>
            </w:pPr>
          </w:p>
        </w:tc>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p>
        </w:tc>
      </w:tr>
      <w:tr>
        <w:tblPrEx>
          <w:tblCellMar>
            <w:top w:w="0" w:type="dxa"/>
            <w:left w:w="108" w:type="dxa"/>
            <w:bottom w:w="0" w:type="dxa"/>
            <w:right w:w="108" w:type="dxa"/>
          </w:tblCellMar>
        </w:tblPrEx>
        <w:trPr>
          <w:trHeight w:val="639"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防静电地板（含安装支架）</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1.采用联合接地体方式，要求接地电阻≤1欧姆；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2.机房内部做好局部等电位联结；</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平方米</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jc w:val="center"/>
              <w:rPr>
                <w:b/>
                <w:bCs/>
                <w:color w:val="auto"/>
                <w:sz w:val="18"/>
                <w:szCs w:val="18"/>
                <w:highlight w:val="none"/>
              </w:rPr>
            </w:pPr>
          </w:p>
        </w:tc>
      </w:tr>
      <w:tr>
        <w:tblPrEx>
          <w:tblCellMar>
            <w:top w:w="0" w:type="dxa"/>
            <w:left w:w="108" w:type="dxa"/>
            <w:bottom w:w="0" w:type="dxa"/>
            <w:right w:w="108" w:type="dxa"/>
          </w:tblCellMar>
        </w:tblPrEx>
        <w:trPr>
          <w:trHeight w:val="513"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40mm*4mm紫铜排</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规格：40*4mm</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3"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6mm多股铜芯线</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规格：60*0.6mm</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M</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150</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13"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其它辅材等</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焊料、防腐、紧固件、支撑件、绝缘胶木板等</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r>
        <w:tblPrEx>
          <w:tblCellMar>
            <w:top w:w="0" w:type="dxa"/>
            <w:left w:w="108" w:type="dxa"/>
            <w:bottom w:w="0" w:type="dxa"/>
            <w:right w:w="108" w:type="dxa"/>
          </w:tblCellMar>
        </w:tblPrEx>
        <w:trPr>
          <w:trHeight w:val="523" w:hRule="atLeast"/>
        </w:trPr>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辅材</w:t>
            </w:r>
          </w:p>
        </w:tc>
        <w:tc>
          <w:tcPr>
            <w:tcW w:w="41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满足系统正常运行的，除主材设备和管线外所需配置的附件材料</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8" w:type="dxa"/>
            <w:tcBorders>
              <w:top w:val="single" w:color="000000" w:sz="4" w:space="0"/>
              <w:left w:val="single" w:color="000000" w:sz="4" w:space="0"/>
              <w:bottom w:val="single" w:color="000000" w:sz="4" w:space="0"/>
              <w:right w:val="single" w:color="000000" w:sz="4" w:space="0"/>
            </w:tcBorders>
            <w:noWrap/>
            <w:vAlign w:val="center"/>
          </w:tcPr>
          <w:p>
            <w:pPr>
              <w:rPr>
                <w:color w:val="auto"/>
                <w:sz w:val="18"/>
                <w:szCs w:val="18"/>
                <w:highlight w:val="none"/>
              </w:rPr>
            </w:pP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3"/>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197"/>
        <w:gridCol w:w="4127"/>
        <w:gridCol w:w="1249"/>
        <w:gridCol w:w="658"/>
        <w:gridCol w:w="60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9" w:type="dxa"/>
            <w:gridSpan w:val="7"/>
            <w:noWrap/>
            <w:vAlign w:val="bottom"/>
          </w:tcPr>
          <w:p>
            <w:pPr>
              <w:jc w:val="cente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网络中心机房建设系统设备清单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9" w:type="dxa"/>
            <w:gridSpan w:val="7"/>
            <w:noWrap/>
            <w:vAlign w:val="bottom"/>
          </w:tcPr>
          <w:p>
            <w:pPr>
              <w:rPr>
                <w:rFonts w:hint="eastAsia" w:ascii="宋体" w:hAnsi="宋体" w:cs="宋体"/>
                <w:color w:val="auto"/>
                <w:sz w:val="18"/>
                <w:szCs w:val="18"/>
                <w:highlight w:val="none"/>
              </w:rPr>
            </w:pPr>
            <w:r>
              <w:rPr>
                <w:rFonts w:hint="eastAsia" w:ascii="宋体" w:hAnsi="宋体" w:cs="宋体"/>
                <w:b/>
                <w:bCs/>
                <w:color w:val="auto"/>
                <w:kern w:val="0"/>
                <w:sz w:val="18"/>
                <w:szCs w:val="18"/>
                <w:highlight w:val="none"/>
                <w:lang w:bidi="ar"/>
              </w:rPr>
              <w:t>子系统名称：网络中心机房建设系统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23" w:type="dxa"/>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197" w:type="dxa"/>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设备名称</w:t>
            </w:r>
          </w:p>
        </w:tc>
        <w:tc>
          <w:tcPr>
            <w:tcW w:w="4127" w:type="dxa"/>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技术参数</w:t>
            </w:r>
          </w:p>
        </w:tc>
        <w:tc>
          <w:tcPr>
            <w:tcW w:w="1249" w:type="dxa"/>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推荐品牌</w:t>
            </w:r>
          </w:p>
        </w:tc>
        <w:tc>
          <w:tcPr>
            <w:tcW w:w="658" w:type="dxa"/>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单位</w:t>
            </w:r>
          </w:p>
        </w:tc>
        <w:tc>
          <w:tcPr>
            <w:tcW w:w="601" w:type="dxa"/>
            <w:noWrap w:val="0"/>
            <w:vAlign w:val="center"/>
          </w:tcPr>
          <w:p>
            <w:pPr>
              <w:widowControl/>
              <w:jc w:val="center"/>
              <w:textAlignment w:val="center"/>
              <w:rPr>
                <w:rFonts w:hint="eastAsia"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 xml:space="preserve">数量 </w:t>
            </w:r>
          </w:p>
        </w:tc>
        <w:tc>
          <w:tcPr>
            <w:tcW w:w="724" w:type="dxa"/>
            <w:noWrap/>
            <w:vAlign w:val="center"/>
          </w:tcPr>
          <w:p>
            <w:pPr>
              <w:jc w:val="center"/>
              <w:rPr>
                <w:rFonts w:hint="eastAsia"/>
                <w:b/>
                <w:bCs/>
                <w:color w:val="auto"/>
                <w:sz w:val="18"/>
                <w:szCs w:val="18"/>
                <w:highlight w:val="none"/>
              </w:rPr>
            </w:pPr>
            <w:r>
              <w:rPr>
                <w:rFonts w:hint="eastAsia"/>
                <w:b/>
                <w:bCs/>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23" w:type="dxa"/>
            <w:noWrap w:val="0"/>
            <w:vAlign w:val="center"/>
          </w:tcPr>
          <w:p>
            <w:pPr>
              <w:widowControl/>
              <w:jc w:val="center"/>
              <w:textAlignment w:val="center"/>
              <w:rPr>
                <w:rFonts w:hint="eastAsia" w:ascii="宋体" w:hAnsi="宋体" w:cs="宋体"/>
                <w:b/>
                <w:bCs/>
                <w:color w:val="auto"/>
                <w:sz w:val="16"/>
                <w:szCs w:val="16"/>
                <w:highlight w:val="none"/>
              </w:rPr>
            </w:pPr>
            <w:r>
              <w:rPr>
                <w:rFonts w:hint="eastAsia" w:ascii="宋体" w:hAnsi="宋体" w:cs="宋体"/>
                <w:b/>
                <w:bCs/>
                <w:color w:val="auto"/>
                <w:kern w:val="0"/>
                <w:sz w:val="16"/>
                <w:szCs w:val="16"/>
                <w:highlight w:val="none"/>
                <w:lang w:bidi="ar"/>
              </w:rPr>
              <w:t>一</w:t>
            </w:r>
          </w:p>
        </w:tc>
        <w:tc>
          <w:tcPr>
            <w:tcW w:w="1197" w:type="dxa"/>
            <w:noWrap w:val="0"/>
            <w:vAlign w:val="center"/>
          </w:tcPr>
          <w:p>
            <w:pPr>
              <w:widowControl/>
              <w:jc w:val="left"/>
              <w:textAlignment w:val="center"/>
              <w:rPr>
                <w:rFonts w:hint="eastAsia" w:ascii="宋体" w:hAnsi="宋体" w:cs="宋体"/>
                <w:b/>
                <w:bCs/>
                <w:color w:val="auto"/>
                <w:sz w:val="16"/>
                <w:szCs w:val="16"/>
                <w:highlight w:val="none"/>
              </w:rPr>
            </w:pPr>
            <w:r>
              <w:rPr>
                <w:rFonts w:hint="eastAsia" w:ascii="宋体" w:hAnsi="宋体" w:cs="宋体"/>
                <w:b/>
                <w:bCs/>
                <w:color w:val="auto"/>
                <w:kern w:val="0"/>
                <w:sz w:val="16"/>
                <w:szCs w:val="16"/>
                <w:highlight w:val="none"/>
                <w:lang w:bidi="ar"/>
              </w:rPr>
              <w:t>模块化微型数据机房一体机</w:t>
            </w:r>
          </w:p>
        </w:tc>
        <w:tc>
          <w:tcPr>
            <w:tcW w:w="4127" w:type="dxa"/>
            <w:noWrap w:val="0"/>
            <w:vAlign w:val="center"/>
          </w:tcPr>
          <w:p>
            <w:pPr>
              <w:jc w:val="left"/>
              <w:rPr>
                <w:rFonts w:hint="eastAsia" w:ascii="宋体" w:hAnsi="宋体" w:cs="宋体"/>
                <w:color w:val="auto"/>
                <w:sz w:val="16"/>
                <w:szCs w:val="16"/>
                <w:highlight w:val="none"/>
              </w:rPr>
            </w:pPr>
          </w:p>
        </w:tc>
        <w:tc>
          <w:tcPr>
            <w:tcW w:w="1249" w:type="dxa"/>
            <w:noWrap w:val="0"/>
            <w:vAlign w:val="center"/>
          </w:tcPr>
          <w:p>
            <w:pPr>
              <w:jc w:val="center"/>
              <w:rPr>
                <w:rFonts w:hint="eastAsia" w:ascii="宋体" w:hAnsi="宋体" w:cs="宋体"/>
                <w:color w:val="auto"/>
                <w:sz w:val="16"/>
                <w:szCs w:val="16"/>
                <w:highlight w:val="none"/>
              </w:rPr>
            </w:pPr>
          </w:p>
        </w:tc>
        <w:tc>
          <w:tcPr>
            <w:tcW w:w="658" w:type="dxa"/>
            <w:noWrap w:val="0"/>
            <w:vAlign w:val="center"/>
          </w:tcPr>
          <w:p>
            <w:pPr>
              <w:jc w:val="center"/>
              <w:rPr>
                <w:rFonts w:hint="eastAsia" w:ascii="宋体" w:hAnsi="宋体" w:cs="宋体"/>
                <w:color w:val="auto"/>
                <w:sz w:val="16"/>
                <w:szCs w:val="16"/>
                <w:highlight w:val="none"/>
              </w:rPr>
            </w:pPr>
          </w:p>
        </w:tc>
        <w:tc>
          <w:tcPr>
            <w:tcW w:w="601" w:type="dxa"/>
            <w:noWrap w:val="0"/>
            <w:vAlign w:val="center"/>
          </w:tcPr>
          <w:p>
            <w:pPr>
              <w:rPr>
                <w:rFonts w:hint="eastAsia" w:ascii="宋体" w:hAnsi="宋体" w:cs="宋体"/>
                <w:color w:val="auto"/>
                <w:sz w:val="16"/>
                <w:szCs w:val="16"/>
                <w:highlight w:val="none"/>
              </w:rPr>
            </w:pPr>
          </w:p>
        </w:tc>
        <w:tc>
          <w:tcPr>
            <w:tcW w:w="724" w:type="dxa"/>
            <w:noWrap/>
            <w:vAlign w:val="center"/>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MicroD-A 型五联机</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1、单柜框架尺寸：600*1200*2000mm(宽*深*高)</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2、整体安装尺寸：3000*1280*2000mm(宽*深*高)</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3、融合柜体模块：全封闭，前门中空钢化玻璃门，柜内设冷热通道气流循环，内置智能应急辅助散热装置，散热装置设有三位大风量轴流风机及密封自垂百叶装置，感应照明系统以及局部空载密闭组件；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4、绿色变频制冷模块：双模块设计，支持最大制冷量12kW （标配5米铜管辅材）;支持IT设备分步进场,实现节能；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5、不间断电源模块：最大支持 15KVA/12kW；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6、智能配电模块：柜内基础设施市电、不间断电源分配；为 IT 设备提供两路完全独立的电源，一路不间断电源，一路市电；</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7、智能管理模块：7 英寸智能触摸屏实现柜内环境、基础设施设备本地化管理，支持远程集中管理，短信、Email 报警功能，实现 7x24 小时无人值守；</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8、IT 设备可用空间：≥ 176U</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长飞、华为、台达</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4" w:type="dxa"/>
            <w:noWrap/>
            <w:vAlign w:val="center"/>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b/>
                <w:bCs/>
                <w:color w:val="auto"/>
                <w:sz w:val="16"/>
                <w:szCs w:val="16"/>
                <w:highlight w:val="none"/>
              </w:rPr>
            </w:pPr>
            <w:r>
              <w:rPr>
                <w:rFonts w:hint="eastAsia" w:ascii="宋体" w:hAnsi="宋体" w:cs="宋体"/>
                <w:b/>
                <w:bCs/>
                <w:color w:val="auto"/>
                <w:kern w:val="0"/>
                <w:sz w:val="16"/>
                <w:szCs w:val="16"/>
                <w:highlight w:val="none"/>
                <w:lang w:bidi="ar"/>
              </w:rPr>
              <w:t>二</w:t>
            </w:r>
          </w:p>
        </w:tc>
        <w:tc>
          <w:tcPr>
            <w:tcW w:w="1197" w:type="dxa"/>
            <w:noWrap w:val="0"/>
            <w:vAlign w:val="center"/>
          </w:tcPr>
          <w:p>
            <w:pPr>
              <w:widowControl/>
              <w:jc w:val="left"/>
              <w:textAlignment w:val="center"/>
              <w:rPr>
                <w:rFonts w:hint="eastAsia" w:ascii="宋体" w:hAnsi="宋体" w:cs="宋体"/>
                <w:b/>
                <w:bCs/>
                <w:color w:val="auto"/>
                <w:sz w:val="16"/>
                <w:szCs w:val="16"/>
                <w:highlight w:val="none"/>
              </w:rPr>
            </w:pPr>
            <w:r>
              <w:rPr>
                <w:rFonts w:hint="eastAsia" w:ascii="宋体" w:hAnsi="宋体" w:cs="宋体"/>
                <w:b/>
                <w:bCs/>
                <w:color w:val="auto"/>
                <w:kern w:val="0"/>
                <w:sz w:val="16"/>
                <w:szCs w:val="16"/>
                <w:highlight w:val="none"/>
                <w:lang w:bidi="ar"/>
              </w:rPr>
              <w:t>UPS后备两小时</w:t>
            </w:r>
          </w:p>
        </w:tc>
        <w:tc>
          <w:tcPr>
            <w:tcW w:w="4127" w:type="dxa"/>
            <w:noWrap w:val="0"/>
            <w:vAlign w:val="center"/>
          </w:tcPr>
          <w:p>
            <w:pPr>
              <w:jc w:val="left"/>
              <w:rPr>
                <w:rFonts w:hint="eastAsia" w:ascii="宋体" w:hAnsi="宋体" w:cs="宋体"/>
                <w:color w:val="auto"/>
                <w:sz w:val="16"/>
                <w:szCs w:val="16"/>
                <w:highlight w:val="none"/>
              </w:rPr>
            </w:pPr>
          </w:p>
        </w:tc>
        <w:tc>
          <w:tcPr>
            <w:tcW w:w="1249" w:type="dxa"/>
            <w:noWrap w:val="0"/>
            <w:vAlign w:val="center"/>
          </w:tcPr>
          <w:p>
            <w:pPr>
              <w:jc w:val="center"/>
              <w:rPr>
                <w:rFonts w:hint="eastAsia" w:ascii="宋体" w:hAnsi="宋体" w:cs="宋体"/>
                <w:color w:val="auto"/>
                <w:sz w:val="16"/>
                <w:szCs w:val="16"/>
                <w:highlight w:val="none"/>
              </w:rPr>
            </w:pPr>
          </w:p>
        </w:tc>
        <w:tc>
          <w:tcPr>
            <w:tcW w:w="658" w:type="dxa"/>
            <w:noWrap w:val="0"/>
            <w:vAlign w:val="center"/>
          </w:tcPr>
          <w:p>
            <w:pPr>
              <w:jc w:val="center"/>
              <w:rPr>
                <w:rFonts w:hint="eastAsia" w:ascii="宋体" w:hAnsi="宋体" w:cs="宋体"/>
                <w:color w:val="auto"/>
                <w:sz w:val="16"/>
                <w:szCs w:val="16"/>
                <w:highlight w:val="none"/>
              </w:rPr>
            </w:pPr>
          </w:p>
        </w:tc>
        <w:tc>
          <w:tcPr>
            <w:tcW w:w="601" w:type="dxa"/>
            <w:noWrap w:val="0"/>
            <w:vAlign w:val="center"/>
          </w:tcPr>
          <w:p>
            <w:pPr>
              <w:rPr>
                <w:rFonts w:hint="eastAsia" w:ascii="宋体" w:hAnsi="宋体" w:cs="宋体"/>
                <w:color w:val="auto"/>
                <w:sz w:val="16"/>
                <w:szCs w:val="16"/>
                <w:highlight w:val="none"/>
              </w:rPr>
            </w:pPr>
          </w:p>
        </w:tc>
        <w:tc>
          <w:tcPr>
            <w:tcW w:w="724" w:type="dxa"/>
            <w:noWrap/>
            <w:vAlign w:val="center"/>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铅酸电池</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铅酸电池，12V,20HR 1.75V/C 150Ah</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科华、科士达、艾特网能</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节</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724" w:type="dxa"/>
            <w:noWrap/>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电池箱</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16节150AH电池箱；包含电池间连接线16平方及直流空开100A和空开箱，不包含架（箱）并机线及连接到UPS的电缆</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科华、科士达、艾特网能</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台</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724" w:type="dxa"/>
            <w:noWrap/>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b/>
                <w:bCs/>
                <w:color w:val="auto"/>
                <w:sz w:val="16"/>
                <w:szCs w:val="16"/>
                <w:highlight w:val="none"/>
              </w:rPr>
            </w:pPr>
            <w:r>
              <w:rPr>
                <w:rFonts w:hint="eastAsia" w:ascii="宋体" w:hAnsi="宋体" w:cs="宋体"/>
                <w:b/>
                <w:bCs/>
                <w:color w:val="auto"/>
                <w:kern w:val="0"/>
                <w:sz w:val="16"/>
                <w:szCs w:val="16"/>
                <w:highlight w:val="none"/>
                <w:lang w:bidi="ar"/>
              </w:rPr>
              <w:t>三</w:t>
            </w:r>
          </w:p>
        </w:tc>
        <w:tc>
          <w:tcPr>
            <w:tcW w:w="1197" w:type="dxa"/>
            <w:noWrap w:val="0"/>
            <w:vAlign w:val="center"/>
          </w:tcPr>
          <w:p>
            <w:pPr>
              <w:widowControl/>
              <w:jc w:val="left"/>
              <w:textAlignment w:val="center"/>
              <w:rPr>
                <w:rFonts w:hint="eastAsia" w:ascii="宋体" w:hAnsi="宋体" w:cs="宋体"/>
                <w:b/>
                <w:bCs/>
                <w:color w:val="auto"/>
                <w:sz w:val="16"/>
                <w:szCs w:val="16"/>
                <w:highlight w:val="none"/>
              </w:rPr>
            </w:pPr>
            <w:r>
              <w:rPr>
                <w:rFonts w:hint="eastAsia" w:ascii="宋体" w:hAnsi="宋体" w:cs="宋体"/>
                <w:b/>
                <w:bCs/>
                <w:color w:val="auto"/>
                <w:kern w:val="0"/>
                <w:sz w:val="16"/>
                <w:szCs w:val="16"/>
                <w:highlight w:val="none"/>
                <w:lang w:bidi="ar"/>
              </w:rPr>
              <w:t>辅材</w:t>
            </w:r>
          </w:p>
        </w:tc>
        <w:tc>
          <w:tcPr>
            <w:tcW w:w="4127" w:type="dxa"/>
            <w:noWrap w:val="0"/>
            <w:vAlign w:val="center"/>
          </w:tcPr>
          <w:p>
            <w:pPr>
              <w:jc w:val="left"/>
              <w:rPr>
                <w:rFonts w:hint="eastAsia" w:ascii="宋体" w:hAnsi="宋体" w:cs="宋体"/>
                <w:color w:val="auto"/>
                <w:sz w:val="16"/>
                <w:szCs w:val="16"/>
                <w:highlight w:val="none"/>
              </w:rPr>
            </w:pPr>
          </w:p>
        </w:tc>
        <w:tc>
          <w:tcPr>
            <w:tcW w:w="1249" w:type="dxa"/>
            <w:noWrap w:val="0"/>
            <w:vAlign w:val="center"/>
          </w:tcPr>
          <w:p>
            <w:pPr>
              <w:jc w:val="center"/>
              <w:rPr>
                <w:rFonts w:hint="eastAsia" w:ascii="宋体" w:hAnsi="宋体" w:cs="宋体"/>
                <w:color w:val="auto"/>
                <w:sz w:val="16"/>
                <w:szCs w:val="16"/>
                <w:highlight w:val="none"/>
              </w:rPr>
            </w:pPr>
          </w:p>
        </w:tc>
        <w:tc>
          <w:tcPr>
            <w:tcW w:w="658" w:type="dxa"/>
            <w:noWrap w:val="0"/>
            <w:vAlign w:val="center"/>
          </w:tcPr>
          <w:p>
            <w:pPr>
              <w:jc w:val="center"/>
              <w:rPr>
                <w:rFonts w:hint="eastAsia" w:ascii="宋体" w:hAnsi="宋体" w:cs="宋体"/>
                <w:color w:val="auto"/>
                <w:sz w:val="16"/>
                <w:szCs w:val="16"/>
                <w:highlight w:val="none"/>
              </w:rPr>
            </w:pPr>
          </w:p>
        </w:tc>
        <w:tc>
          <w:tcPr>
            <w:tcW w:w="601" w:type="dxa"/>
            <w:noWrap w:val="0"/>
            <w:vAlign w:val="center"/>
          </w:tcPr>
          <w:p>
            <w:pPr>
              <w:rPr>
                <w:rFonts w:hint="eastAsia" w:ascii="宋体" w:hAnsi="宋体" w:cs="宋体"/>
                <w:color w:val="auto"/>
                <w:sz w:val="16"/>
                <w:szCs w:val="16"/>
                <w:highlight w:val="none"/>
              </w:rPr>
            </w:pPr>
          </w:p>
        </w:tc>
        <w:tc>
          <w:tcPr>
            <w:tcW w:w="724" w:type="dxa"/>
            <w:noWrap/>
            <w:vAlign w:val="center"/>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A10A托盘</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489mm宽*750mm深，SPCC=1.2mm，承重120公斤</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长飞、华为、台达</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9</w:t>
            </w:r>
          </w:p>
        </w:tc>
        <w:tc>
          <w:tcPr>
            <w:tcW w:w="724" w:type="dxa"/>
            <w:noWrap/>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1U塑料盲板</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19吋安装，1U免工具安装盲板，ABS材质</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长飞、华为、台达</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166</w:t>
            </w:r>
          </w:p>
        </w:tc>
        <w:tc>
          <w:tcPr>
            <w:tcW w:w="724" w:type="dxa"/>
            <w:noWrap/>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1U毛刷盲板</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19吋安装，1U带毛刷盲板，后部具有理线功能</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长飞、华为、台达</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块</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724" w:type="dxa"/>
            <w:noWrap/>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b/>
                <w:bCs/>
                <w:color w:val="auto"/>
                <w:sz w:val="16"/>
                <w:szCs w:val="16"/>
                <w:highlight w:val="none"/>
              </w:rPr>
            </w:pPr>
            <w:r>
              <w:rPr>
                <w:rFonts w:hint="eastAsia" w:ascii="宋体" w:hAnsi="宋体" w:cs="宋体"/>
                <w:b/>
                <w:bCs/>
                <w:color w:val="auto"/>
                <w:kern w:val="0"/>
                <w:sz w:val="16"/>
                <w:szCs w:val="16"/>
                <w:highlight w:val="none"/>
                <w:lang w:bidi="ar"/>
              </w:rPr>
              <w:t>四</w:t>
            </w:r>
          </w:p>
        </w:tc>
        <w:tc>
          <w:tcPr>
            <w:tcW w:w="1197" w:type="dxa"/>
            <w:noWrap w:val="0"/>
            <w:vAlign w:val="center"/>
          </w:tcPr>
          <w:p>
            <w:pPr>
              <w:widowControl/>
              <w:jc w:val="left"/>
              <w:textAlignment w:val="center"/>
              <w:rPr>
                <w:rFonts w:hint="eastAsia" w:ascii="宋体" w:hAnsi="宋体" w:cs="宋体"/>
                <w:b/>
                <w:bCs/>
                <w:color w:val="auto"/>
                <w:sz w:val="16"/>
                <w:szCs w:val="16"/>
                <w:highlight w:val="none"/>
              </w:rPr>
            </w:pPr>
            <w:r>
              <w:rPr>
                <w:rFonts w:hint="eastAsia" w:ascii="宋体" w:hAnsi="宋体" w:cs="宋体"/>
                <w:b/>
                <w:bCs/>
                <w:color w:val="auto"/>
                <w:kern w:val="0"/>
                <w:sz w:val="16"/>
                <w:szCs w:val="16"/>
                <w:highlight w:val="none"/>
                <w:lang w:bidi="ar"/>
              </w:rPr>
              <w:t>背景照明组件</w:t>
            </w:r>
          </w:p>
        </w:tc>
        <w:tc>
          <w:tcPr>
            <w:tcW w:w="4127" w:type="dxa"/>
            <w:noWrap w:val="0"/>
            <w:vAlign w:val="center"/>
          </w:tcPr>
          <w:p>
            <w:pPr>
              <w:jc w:val="left"/>
              <w:rPr>
                <w:rFonts w:hint="eastAsia" w:ascii="宋体" w:hAnsi="宋体" w:cs="宋体"/>
                <w:color w:val="auto"/>
                <w:sz w:val="16"/>
                <w:szCs w:val="16"/>
                <w:highlight w:val="none"/>
              </w:rPr>
            </w:pPr>
          </w:p>
        </w:tc>
        <w:tc>
          <w:tcPr>
            <w:tcW w:w="1249" w:type="dxa"/>
            <w:noWrap w:val="0"/>
            <w:vAlign w:val="center"/>
          </w:tcPr>
          <w:p>
            <w:pPr>
              <w:jc w:val="center"/>
              <w:rPr>
                <w:rFonts w:hint="eastAsia" w:ascii="宋体" w:hAnsi="宋体" w:cs="宋体"/>
                <w:color w:val="auto"/>
                <w:sz w:val="16"/>
                <w:szCs w:val="16"/>
                <w:highlight w:val="none"/>
              </w:rPr>
            </w:pPr>
          </w:p>
        </w:tc>
        <w:tc>
          <w:tcPr>
            <w:tcW w:w="658" w:type="dxa"/>
            <w:noWrap w:val="0"/>
            <w:vAlign w:val="center"/>
          </w:tcPr>
          <w:p>
            <w:pPr>
              <w:jc w:val="center"/>
              <w:rPr>
                <w:rFonts w:hint="eastAsia" w:ascii="宋体" w:hAnsi="宋体" w:cs="宋体"/>
                <w:color w:val="auto"/>
                <w:sz w:val="16"/>
                <w:szCs w:val="16"/>
                <w:highlight w:val="none"/>
              </w:rPr>
            </w:pPr>
          </w:p>
        </w:tc>
        <w:tc>
          <w:tcPr>
            <w:tcW w:w="601" w:type="dxa"/>
            <w:noWrap w:val="0"/>
            <w:vAlign w:val="center"/>
          </w:tcPr>
          <w:p>
            <w:pPr>
              <w:rPr>
                <w:rFonts w:hint="eastAsia" w:ascii="宋体" w:hAnsi="宋体" w:cs="宋体"/>
                <w:color w:val="auto"/>
                <w:sz w:val="16"/>
                <w:szCs w:val="16"/>
                <w:highlight w:val="none"/>
              </w:rPr>
            </w:pPr>
          </w:p>
        </w:tc>
        <w:tc>
          <w:tcPr>
            <w:tcW w:w="724" w:type="dxa"/>
            <w:noWrap/>
            <w:vAlign w:val="center"/>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背景灯</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适用于MD一体机背景照明，LED蓝色灯带，24V</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长飞、华为、台达</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10</w:t>
            </w:r>
          </w:p>
        </w:tc>
        <w:tc>
          <w:tcPr>
            <w:tcW w:w="724" w:type="dxa"/>
            <w:noWrap/>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电源控制模块</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用于MD一体机背景照明的电源控制箱（含一对托架）；</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长飞、华为、台达</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4" w:type="dxa"/>
            <w:noWrap/>
            <w:vAlign w:val="center"/>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b/>
                <w:bCs/>
                <w:color w:val="auto"/>
                <w:sz w:val="16"/>
                <w:szCs w:val="16"/>
                <w:highlight w:val="none"/>
              </w:rPr>
            </w:pPr>
            <w:r>
              <w:rPr>
                <w:rFonts w:hint="eastAsia" w:ascii="宋体" w:hAnsi="宋体" w:cs="宋体"/>
                <w:b/>
                <w:bCs/>
                <w:color w:val="auto"/>
                <w:kern w:val="0"/>
                <w:sz w:val="16"/>
                <w:szCs w:val="16"/>
                <w:highlight w:val="none"/>
                <w:lang w:bidi="ar"/>
              </w:rPr>
              <w:t>五</w:t>
            </w:r>
          </w:p>
        </w:tc>
        <w:tc>
          <w:tcPr>
            <w:tcW w:w="1197" w:type="dxa"/>
            <w:noWrap w:val="0"/>
            <w:vAlign w:val="center"/>
          </w:tcPr>
          <w:p>
            <w:pPr>
              <w:widowControl/>
              <w:jc w:val="left"/>
              <w:textAlignment w:val="center"/>
              <w:rPr>
                <w:rFonts w:hint="eastAsia" w:ascii="宋体" w:hAnsi="宋体" w:cs="宋体"/>
                <w:b/>
                <w:bCs/>
                <w:color w:val="auto"/>
                <w:sz w:val="16"/>
                <w:szCs w:val="16"/>
                <w:highlight w:val="none"/>
              </w:rPr>
            </w:pPr>
            <w:r>
              <w:rPr>
                <w:rFonts w:hint="eastAsia" w:ascii="宋体" w:hAnsi="宋体" w:cs="宋体"/>
                <w:b/>
                <w:bCs/>
                <w:color w:val="auto"/>
                <w:kern w:val="0"/>
                <w:sz w:val="16"/>
                <w:szCs w:val="16"/>
                <w:highlight w:val="none"/>
                <w:lang w:bidi="ar"/>
              </w:rPr>
              <w:t>接地系统（网络机房）</w:t>
            </w:r>
          </w:p>
        </w:tc>
        <w:tc>
          <w:tcPr>
            <w:tcW w:w="4127" w:type="dxa"/>
            <w:noWrap w:val="0"/>
            <w:vAlign w:val="center"/>
          </w:tcPr>
          <w:p>
            <w:pPr>
              <w:jc w:val="left"/>
              <w:rPr>
                <w:rFonts w:hint="eastAsia" w:ascii="宋体" w:hAnsi="宋体" w:cs="宋体"/>
                <w:color w:val="auto"/>
                <w:sz w:val="16"/>
                <w:szCs w:val="16"/>
                <w:highlight w:val="none"/>
              </w:rPr>
            </w:pPr>
          </w:p>
        </w:tc>
        <w:tc>
          <w:tcPr>
            <w:tcW w:w="1249" w:type="dxa"/>
            <w:noWrap w:val="0"/>
            <w:vAlign w:val="center"/>
          </w:tcPr>
          <w:p>
            <w:pPr>
              <w:jc w:val="center"/>
              <w:rPr>
                <w:rFonts w:hint="eastAsia" w:ascii="宋体" w:hAnsi="宋体" w:cs="宋体"/>
                <w:color w:val="auto"/>
                <w:sz w:val="16"/>
                <w:szCs w:val="16"/>
                <w:highlight w:val="none"/>
              </w:rPr>
            </w:pPr>
          </w:p>
        </w:tc>
        <w:tc>
          <w:tcPr>
            <w:tcW w:w="658" w:type="dxa"/>
            <w:noWrap w:val="0"/>
            <w:vAlign w:val="center"/>
          </w:tcPr>
          <w:p>
            <w:pPr>
              <w:jc w:val="center"/>
              <w:rPr>
                <w:rFonts w:hint="eastAsia" w:ascii="宋体" w:hAnsi="宋体" w:cs="宋体"/>
                <w:color w:val="auto"/>
                <w:sz w:val="16"/>
                <w:szCs w:val="16"/>
                <w:highlight w:val="none"/>
              </w:rPr>
            </w:pPr>
          </w:p>
        </w:tc>
        <w:tc>
          <w:tcPr>
            <w:tcW w:w="601" w:type="dxa"/>
            <w:noWrap w:val="0"/>
            <w:vAlign w:val="center"/>
          </w:tcPr>
          <w:p>
            <w:pPr>
              <w:rPr>
                <w:rFonts w:hint="eastAsia" w:ascii="宋体" w:hAnsi="宋体" w:cs="宋体"/>
                <w:color w:val="auto"/>
                <w:sz w:val="16"/>
                <w:szCs w:val="16"/>
                <w:highlight w:val="none"/>
              </w:rPr>
            </w:pPr>
          </w:p>
        </w:tc>
        <w:tc>
          <w:tcPr>
            <w:tcW w:w="724" w:type="dxa"/>
            <w:noWrap/>
            <w:vAlign w:val="center"/>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防静电地板（含安装支架）</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1.采用联合接地体方式，要求接地电阻≤1欧姆；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2.机房内部做好局部等电位联结；</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平方米</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42</w:t>
            </w:r>
          </w:p>
        </w:tc>
        <w:tc>
          <w:tcPr>
            <w:tcW w:w="724" w:type="dxa"/>
            <w:noWrap/>
            <w:vAlign w:val="center"/>
          </w:tcPr>
          <w:p>
            <w:pPr>
              <w:jc w:val="center"/>
              <w:rPr>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40mm*4mm紫铜排</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规格：40*4mm</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米</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724" w:type="dxa"/>
            <w:noWrap/>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6mm多股铜芯线</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规格：60*0.6mm</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米</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130</w:t>
            </w:r>
          </w:p>
        </w:tc>
        <w:tc>
          <w:tcPr>
            <w:tcW w:w="724" w:type="dxa"/>
            <w:noWrap/>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其它辅材等</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焊料、防腐、紧固件、支撑件、绝缘胶木板等</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套</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4" w:type="dxa"/>
            <w:noWrap/>
            <w:vAlign w:val="center"/>
          </w:tcPr>
          <w:p>
            <w:pP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23"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19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辅材</w:t>
            </w:r>
          </w:p>
        </w:tc>
        <w:tc>
          <w:tcPr>
            <w:tcW w:w="4127" w:type="dxa"/>
            <w:noWrap w:val="0"/>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满足系统正常运行的，除主材设备和管线外所需配置的附件材料</w:t>
            </w:r>
          </w:p>
        </w:tc>
        <w:tc>
          <w:tcPr>
            <w:tcW w:w="1249"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国产</w:t>
            </w:r>
          </w:p>
        </w:tc>
        <w:tc>
          <w:tcPr>
            <w:tcW w:w="658"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批</w:t>
            </w:r>
          </w:p>
        </w:tc>
        <w:tc>
          <w:tcPr>
            <w:tcW w:w="601" w:type="dxa"/>
            <w:noWrap w:val="0"/>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24" w:type="dxa"/>
            <w:noWrap/>
            <w:vAlign w:val="center"/>
          </w:tcPr>
          <w:p>
            <w:pPr>
              <w:rPr>
                <w:color w:val="auto"/>
                <w:sz w:val="18"/>
                <w:szCs w:val="18"/>
                <w:highlight w:val="none"/>
              </w:rPr>
            </w:pPr>
          </w:p>
        </w:tc>
      </w:tr>
    </w:tbl>
    <w:p>
      <w:pPr>
        <w:spacing w:line="360" w:lineRule="auto"/>
        <w:rPr>
          <w:rFonts w:ascii="宋体" w:hAnsi="宋体" w:cs="宋体"/>
          <w:b/>
          <w:color w:val="auto"/>
          <w:sz w:val="20"/>
          <w:szCs w:val="20"/>
          <w:highlight w:val="none"/>
        </w:rPr>
        <w:sectPr>
          <w:pgSz w:w="11906" w:h="16838"/>
          <w:pgMar w:top="1474" w:right="1418" w:bottom="1418" w:left="1418" w:header="851" w:footer="851" w:gutter="0"/>
          <w:cols w:space="720" w:num="1"/>
          <w:docGrid w:type="linesAndChars" w:linePitch="312" w:charSpace="0"/>
        </w:sectPr>
      </w:pPr>
    </w:p>
    <w:tbl>
      <w:tblPr>
        <w:tblStyle w:val="13"/>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366"/>
        <w:gridCol w:w="1183"/>
        <w:gridCol w:w="1491"/>
        <w:gridCol w:w="1133"/>
        <w:gridCol w:w="86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199" w:type="dxa"/>
            <w:gridSpan w:val="7"/>
            <w:noWrap/>
            <w:vAlign w:val="center"/>
          </w:tcPr>
          <w:p>
            <w:pPr>
              <w:jc w:val="center"/>
              <w:rPr>
                <w:color w:val="auto"/>
                <w:sz w:val="18"/>
                <w:szCs w:val="18"/>
                <w:highlight w:val="none"/>
              </w:rPr>
            </w:pPr>
            <w:r>
              <w:rPr>
                <w:rFonts w:hint="eastAsia" w:ascii="宋体" w:hAnsi="宋体" w:cs="宋体"/>
                <w:b/>
                <w:bCs/>
                <w:color w:val="auto"/>
                <w:kern w:val="0"/>
                <w:sz w:val="20"/>
                <w:szCs w:val="20"/>
                <w:highlight w:val="none"/>
                <w:lang w:bidi="ar"/>
              </w:rPr>
              <w:t>综合管线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3"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序号</w:t>
            </w:r>
          </w:p>
        </w:tc>
        <w:tc>
          <w:tcPr>
            <w:tcW w:w="2366"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产品名称</w:t>
            </w:r>
          </w:p>
        </w:tc>
        <w:tc>
          <w:tcPr>
            <w:tcW w:w="1183"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参考品牌</w:t>
            </w:r>
          </w:p>
        </w:tc>
        <w:tc>
          <w:tcPr>
            <w:tcW w:w="1491"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参数</w:t>
            </w:r>
          </w:p>
        </w:tc>
        <w:tc>
          <w:tcPr>
            <w:tcW w:w="1133"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数量</w:t>
            </w:r>
          </w:p>
        </w:tc>
        <w:tc>
          <w:tcPr>
            <w:tcW w:w="867" w:type="dxa"/>
            <w:noWrap w:val="0"/>
            <w:vAlign w:val="center"/>
          </w:tcPr>
          <w:p>
            <w:pPr>
              <w:widowControl/>
              <w:jc w:val="center"/>
              <w:textAlignment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单位</w:t>
            </w:r>
          </w:p>
        </w:tc>
        <w:tc>
          <w:tcPr>
            <w:tcW w:w="1326" w:type="dxa"/>
            <w:noWrap/>
            <w:vAlign w:val="center"/>
          </w:tcPr>
          <w:p>
            <w:pPr>
              <w:jc w:val="center"/>
              <w:rPr>
                <w:rFonts w:hint="eastAsia"/>
                <w:color w:val="auto"/>
                <w:sz w:val="18"/>
                <w:szCs w:val="18"/>
                <w:highlight w:val="none"/>
              </w:rPr>
            </w:pPr>
            <w:r>
              <w:rPr>
                <w:rFonts w:hint="eastAsia" w:ascii="宋体" w:hAnsi="宋体" w:cs="宋体"/>
                <w:b/>
                <w:bCs/>
                <w:color w:val="auto"/>
                <w:kern w:val="0"/>
                <w:sz w:val="20"/>
                <w:szCs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金属热镀锌桥架</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200*100mm（国标）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网格弱电桥架</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200*100mm（国标）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jc w:val="center"/>
              <w:rPr>
                <w:rFonts w:hint="eastAsia" w:ascii="宋体" w:hAnsi="宋体" w:cs="宋体"/>
                <w:color w:val="auto"/>
                <w:sz w:val="20"/>
                <w:szCs w:val="20"/>
                <w:highlight w:val="none"/>
              </w:rPr>
            </w:pP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网格强电桥架</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100*100mm（国标）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JDG管</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25mm（国标）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JDG管</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20mm（国标）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JDG管</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32mm（国标）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SC镀锌钢管</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32mm（国标）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SC镀锌钢管</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50mm（国标）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SC镀锌钢管</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100mm（国标）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KVVS2*2.5</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RVS2*1.5</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RVV2*1.5</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RVV4*1.0</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KVV2*1.5</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RVV2*1.0</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27</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HDMI</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28</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防火材料封堵</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国标</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1326" w:type="dxa"/>
            <w:noWrap/>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33" w:type="dxa"/>
            <w:noWrap/>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29</w:t>
            </w:r>
          </w:p>
        </w:tc>
        <w:tc>
          <w:tcPr>
            <w:tcW w:w="2366"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室外窨井</w:t>
            </w:r>
          </w:p>
        </w:tc>
        <w:tc>
          <w:tcPr>
            <w:tcW w:w="118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国产</w:t>
            </w:r>
          </w:p>
        </w:tc>
        <w:tc>
          <w:tcPr>
            <w:tcW w:w="1491"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600*600*900</w:t>
            </w:r>
          </w:p>
        </w:tc>
        <w:tc>
          <w:tcPr>
            <w:tcW w:w="1133"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投标方自行核算</w:t>
            </w:r>
          </w:p>
        </w:tc>
        <w:tc>
          <w:tcPr>
            <w:tcW w:w="867" w:type="dxa"/>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1326" w:type="dxa"/>
            <w:noWrap/>
            <w:vAlign w:val="center"/>
          </w:tcPr>
          <w:p>
            <w:pPr>
              <w:jc w:val="center"/>
              <w:rPr>
                <w:color w:val="auto"/>
                <w:sz w:val="18"/>
                <w:szCs w:val="18"/>
                <w:highlight w:val="none"/>
              </w:rPr>
            </w:pPr>
          </w:p>
        </w:tc>
      </w:tr>
    </w:tbl>
    <w:p>
      <w:pPr>
        <w:rPr>
          <w:rFonts w:ascii="仿宋" w:hAnsi="仿宋" w:eastAsia="仿宋"/>
          <w:b/>
          <w:color w:val="auto"/>
          <w:highlight w:val="none"/>
        </w:rPr>
      </w:pPr>
      <w:r>
        <w:rPr>
          <w:rFonts w:hint="eastAsia" w:ascii="仿宋" w:hAnsi="仿宋" w:eastAsia="仿宋"/>
          <w:b/>
          <w:color w:val="auto"/>
          <w:highlight w:val="none"/>
        </w:rPr>
        <w:t>特别说明：设备到场后供应商需提供原厂针对项目的质保证明，并附供货清单加盖原厂公章。</w:t>
      </w:r>
    </w:p>
    <w:p>
      <w:pPr>
        <w:pStyle w:val="4"/>
        <w:widowControl/>
        <w:jc w:val="left"/>
        <w:rPr>
          <w:color w:val="auto"/>
          <w:highlight w:val="none"/>
        </w:rPr>
      </w:pPr>
      <w:r>
        <w:rPr>
          <w:color w:val="auto"/>
          <w:highlight w:val="none"/>
        </w:rPr>
        <w:br w:type="page"/>
      </w:r>
    </w:p>
    <w:p>
      <w:pPr>
        <w:rPr>
          <w:rFonts w:ascii="宋体" w:hAnsi="宋体"/>
          <w:b/>
          <w:color w:val="auto"/>
          <w:highlight w:val="none"/>
        </w:rPr>
      </w:pPr>
      <w:r>
        <w:rPr>
          <w:rFonts w:hint="eastAsia" w:ascii="宋体" w:hAnsi="宋体"/>
          <w:b/>
          <w:color w:val="auto"/>
          <w:highlight w:val="none"/>
        </w:rPr>
        <w:t>三、关于报价</w:t>
      </w:r>
    </w:p>
    <w:p>
      <w:pPr>
        <w:spacing w:line="360" w:lineRule="auto"/>
        <w:rPr>
          <w:rFonts w:ascii="宋体" w:hAnsi="宋体"/>
          <w:color w:val="auto"/>
          <w:highlight w:val="none"/>
        </w:rPr>
      </w:pPr>
      <w:r>
        <w:rPr>
          <w:rFonts w:hint="eastAsia" w:ascii="宋体" w:hAnsi="宋体"/>
          <w:color w:val="auto"/>
          <w:highlight w:val="none"/>
        </w:rPr>
        <w:t>本项目投标报价为完成招标文件所规定招标内容的一次性包干总报价，包含系统深化设计、设备和材料采购、运输及装卸、安装、系统集成、调试及试运行、备品备件费（随机备品备件已含于本合同价内）、产品保护、验收、技术培训、保修期内的售后服务、利润、税金等内容及合同总价2%的总包配合费。</w:t>
      </w:r>
    </w:p>
    <w:p>
      <w:pPr>
        <w:spacing w:line="360" w:lineRule="auto"/>
        <w:rPr>
          <w:rFonts w:ascii="宋体" w:hAnsi="宋体"/>
          <w:b/>
          <w:bCs/>
          <w:color w:val="auto"/>
          <w:highlight w:val="none"/>
        </w:rPr>
      </w:pPr>
      <w:r>
        <w:rPr>
          <w:rFonts w:hint="eastAsia" w:ascii="宋体" w:hAnsi="宋体"/>
          <w:b/>
          <w:bCs/>
          <w:color w:val="auto"/>
          <w:highlight w:val="none"/>
        </w:rPr>
        <w:t>总包配合费不单独计算，由投标人在报价中综合考虑，由中标人进场前一次性支付给施工总包单位。</w:t>
      </w:r>
    </w:p>
    <w:p>
      <w:pPr>
        <w:spacing w:line="360" w:lineRule="auto"/>
        <w:rPr>
          <w:rFonts w:ascii="宋体" w:hAnsi="宋体"/>
          <w:b/>
          <w:color w:val="auto"/>
          <w:highlight w:val="none"/>
        </w:rPr>
      </w:pPr>
      <w:r>
        <w:rPr>
          <w:rFonts w:hint="eastAsia" w:ascii="宋体" w:hAnsi="宋体"/>
          <w:b/>
          <w:color w:val="auto"/>
          <w:highlight w:val="none"/>
        </w:rPr>
        <w:t>四、特别说明</w:t>
      </w:r>
    </w:p>
    <w:p>
      <w:pPr>
        <w:spacing w:line="360" w:lineRule="auto"/>
        <w:rPr>
          <w:rFonts w:ascii="宋体" w:hAnsi="宋体"/>
          <w:color w:val="auto"/>
          <w:highlight w:val="none"/>
        </w:rPr>
      </w:pPr>
      <w:r>
        <w:rPr>
          <w:rFonts w:hint="eastAsia" w:ascii="宋体" w:hAnsi="宋体"/>
          <w:color w:val="auto"/>
          <w:highlight w:val="none"/>
        </w:rPr>
        <w:t>1、采购需求中，带“★”（如有）的为实质性条款，不得出现负偏离，否则做无效标处理。</w:t>
      </w:r>
    </w:p>
    <w:p>
      <w:pPr>
        <w:spacing w:line="360" w:lineRule="auto"/>
        <w:rPr>
          <w:rFonts w:ascii="宋体" w:hAnsi="宋体"/>
          <w:color w:val="auto"/>
          <w:highlight w:val="none"/>
        </w:rPr>
      </w:pPr>
      <w:r>
        <w:rPr>
          <w:rFonts w:hint="eastAsia" w:ascii="宋体" w:hAnsi="宋体"/>
          <w:color w:val="auto"/>
          <w:highlight w:val="none"/>
        </w:rPr>
        <w:t>2、采购需求中的品牌、型号（如有）仅供投标人参考，没有任何限制性，投标人可选择同等或更优档次的产品，但必须满足相应（实质性）技术要求、规格及安装条件。</w:t>
      </w:r>
    </w:p>
    <w:p>
      <w:pPr>
        <w:spacing w:line="360" w:lineRule="auto"/>
        <w:rPr>
          <w:rFonts w:ascii="宋体" w:hAnsi="宋体"/>
          <w:color w:val="auto"/>
          <w:highlight w:val="none"/>
        </w:rPr>
      </w:pPr>
      <w:r>
        <w:rPr>
          <w:rFonts w:hint="eastAsia" w:ascii="宋体" w:hAnsi="宋体"/>
          <w:color w:val="auto"/>
          <w:highlight w:val="none"/>
        </w:rPr>
        <w:t>3、以上设备清单中的设备和工程量供参考，投标人应根据采购人提供的施工设计图纸及招标文件设计方案由投标人自行核算和填写设备的清单和工程量；未提供工程量的由投标人自行计算和填写。投标人报价有漏项、缺项的，为无效标。</w:t>
      </w:r>
    </w:p>
    <w:p>
      <w:pPr>
        <w:spacing w:line="360" w:lineRule="auto"/>
        <w:rPr>
          <w:rFonts w:ascii="宋体" w:hAnsi="宋体"/>
          <w:color w:val="auto"/>
          <w:highlight w:val="none"/>
        </w:rPr>
      </w:pPr>
      <w:r>
        <w:rPr>
          <w:rFonts w:hint="eastAsia" w:ascii="宋体" w:hAnsi="宋体"/>
          <w:color w:val="auto"/>
          <w:highlight w:val="none"/>
        </w:rPr>
        <w:t>4、施工图纸中，当平面图与系统图冲突时，以系统图为准。</w:t>
      </w:r>
    </w:p>
    <w:p>
      <w:pPr>
        <w:spacing w:line="360" w:lineRule="auto"/>
        <w:rPr>
          <w:rFonts w:ascii="宋体" w:hAnsi="宋体"/>
          <w:color w:val="auto"/>
          <w:highlight w:val="none"/>
        </w:rPr>
      </w:pPr>
      <w:r>
        <w:rPr>
          <w:rFonts w:hint="eastAsia" w:ascii="宋体" w:hAnsi="宋体"/>
          <w:color w:val="auto"/>
          <w:highlight w:val="none"/>
        </w:rPr>
        <w:t>5、招标文件采购清单中参考品牌项有具体品牌名称的，投标人投标时需列明品牌，否则为无效标（所列参考品牌为国产的，投标人投标时也可列国产）。</w:t>
      </w:r>
    </w:p>
    <w:p>
      <w:pPr>
        <w:spacing w:line="360" w:lineRule="auto"/>
        <w:rPr>
          <w:rFonts w:ascii="宋体" w:hAnsi="宋体"/>
          <w:color w:val="auto"/>
          <w:highlight w:val="none"/>
        </w:rPr>
      </w:pPr>
      <w:r>
        <w:rPr>
          <w:rFonts w:hint="eastAsia" w:ascii="宋体" w:hAnsi="宋体"/>
          <w:color w:val="auto"/>
          <w:highlight w:val="none"/>
        </w:rPr>
        <w:t>6、采购需求中如对货物相关证书有要求的，投标人应在技术标中提供相关证书复印件。</w:t>
      </w:r>
    </w:p>
    <w:p>
      <w:pPr>
        <w:spacing w:line="360" w:lineRule="auto"/>
        <w:rPr>
          <w:rFonts w:ascii="宋体" w:hAnsi="宋体"/>
          <w:color w:val="auto"/>
          <w:highlight w:val="none"/>
        </w:rPr>
      </w:pPr>
      <w:r>
        <w:rPr>
          <w:rFonts w:hint="eastAsia" w:ascii="宋体" w:hAnsi="宋体"/>
          <w:color w:val="auto"/>
          <w:highlight w:val="none"/>
        </w:rPr>
        <w:t>7、发包方（采购人）对承包人项目经理和安全员进行人员到岗履职考核。自本项目合同签订之日至主体工程中间结构验收，每次监理例会项目经理需到场，不得请假；主体工程中间结构验收至履约验收，每个工作日项目经理和安全员均需到场，如有特殊情况经发包方（采购人）同意后可向监理请假（每月请假日期不得超过四天）。项目经理和安全员到工程现场到岗履职当月天数不满足要求，有脱岗情况的，分别处以每天500元和200元的违约金。</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3"/>
        <w:rPr>
          <w:color w:val="auto"/>
          <w:highlight w:val="none"/>
        </w:rPr>
      </w:pPr>
      <w:r>
        <w:rPr>
          <w:color w:val="auto"/>
          <w:highlight w:val="none"/>
        </w:rPr>
        <w:br w:type="page"/>
      </w:r>
      <w:bookmarkStart w:id="32" w:name="_Toc65753669"/>
      <w:r>
        <w:rPr>
          <w:rFonts w:hint="eastAsia"/>
          <w:color w:val="auto"/>
          <w:highlight w:val="none"/>
        </w:rPr>
        <w:t>第四部分  评标办法及评分标准</w:t>
      </w:r>
      <w:bookmarkEnd w:id="32"/>
    </w:p>
    <w:p>
      <w:pPr>
        <w:spacing w:line="360" w:lineRule="auto"/>
        <w:rPr>
          <w:rFonts w:ascii="宋体" w:hAnsi="宋体"/>
          <w:b/>
          <w:color w:val="auto"/>
          <w:highlight w:val="none"/>
        </w:rPr>
      </w:pPr>
      <w:r>
        <w:rPr>
          <w:rFonts w:hint="eastAsia" w:ascii="宋体" w:hAnsi="宋体"/>
          <w:b/>
          <w:color w:val="auto"/>
          <w:highlight w:val="none"/>
        </w:rPr>
        <w:t xml:space="preserve">    本办法严格遵照《中华人民共和国政府采购法》、《政府采购货物和服务招标投标管理办法》、《中华人民共和国政府采购法实施条例》，结合项目所在地政府有关政府采购规定和项目的实际情况制定。</w:t>
      </w:r>
    </w:p>
    <w:p>
      <w:pPr>
        <w:spacing w:line="360" w:lineRule="auto"/>
        <w:rPr>
          <w:rFonts w:ascii="宋体" w:hAnsi="宋体"/>
          <w:b/>
          <w:bCs/>
          <w:color w:val="auto"/>
          <w:sz w:val="24"/>
          <w:highlight w:val="none"/>
        </w:rPr>
      </w:pPr>
      <w:r>
        <w:rPr>
          <w:rFonts w:hint="eastAsia" w:ascii="宋体" w:hAnsi="宋体"/>
          <w:b/>
          <w:bCs/>
          <w:color w:val="auto"/>
          <w:sz w:val="24"/>
          <w:highlight w:val="none"/>
        </w:rPr>
        <w:t>1.评标原则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招标活动遵循公平、公正、科学、择优的原则依法进行，招标活动及当事人接受依法实施的监督。本次招标采用综合评分法。</w:t>
      </w:r>
    </w:p>
    <w:p>
      <w:pPr>
        <w:spacing w:line="360" w:lineRule="auto"/>
        <w:rPr>
          <w:rFonts w:ascii="宋体" w:hAnsi="宋体"/>
          <w:b/>
          <w:bCs/>
          <w:color w:val="auto"/>
          <w:sz w:val="24"/>
          <w:highlight w:val="none"/>
        </w:rPr>
      </w:pPr>
      <w:r>
        <w:rPr>
          <w:rFonts w:hint="eastAsia" w:ascii="宋体" w:hAnsi="宋体"/>
          <w:b/>
          <w:bCs/>
          <w:color w:val="auto"/>
          <w:sz w:val="24"/>
          <w:highlight w:val="none"/>
        </w:rPr>
        <w:t>2.评标办法</w:t>
      </w:r>
    </w:p>
    <w:p>
      <w:pPr>
        <w:spacing w:line="360" w:lineRule="auto"/>
        <w:rPr>
          <w:rFonts w:ascii="宋体" w:hAnsi="宋体"/>
          <w:color w:val="auto"/>
          <w:highlight w:val="none"/>
        </w:rPr>
      </w:pPr>
      <w:r>
        <w:rPr>
          <w:rFonts w:hint="eastAsia" w:ascii="宋体" w:hAnsi="宋体"/>
          <w:color w:val="auto"/>
          <w:highlight w:val="none"/>
        </w:rPr>
        <w:t xml:space="preserve">    本次招标采用综合评分法。满分100分。</w:t>
      </w:r>
    </w:p>
    <w:p>
      <w:pPr>
        <w:spacing w:line="360" w:lineRule="auto"/>
        <w:rPr>
          <w:rFonts w:ascii="宋体" w:hAnsi="宋体"/>
          <w:b/>
          <w:bCs/>
          <w:color w:val="auto"/>
          <w:sz w:val="24"/>
          <w:highlight w:val="none"/>
        </w:rPr>
      </w:pPr>
      <w:r>
        <w:rPr>
          <w:rFonts w:hint="eastAsia" w:ascii="宋体" w:hAnsi="宋体"/>
          <w:b/>
          <w:bCs/>
          <w:color w:val="auto"/>
          <w:sz w:val="24"/>
          <w:highlight w:val="none"/>
        </w:rPr>
        <w:t>3.评标组织</w:t>
      </w:r>
    </w:p>
    <w:p>
      <w:pPr>
        <w:spacing w:line="360" w:lineRule="auto"/>
        <w:rPr>
          <w:rFonts w:ascii="宋体" w:hAnsi="宋体"/>
          <w:color w:val="auto"/>
          <w:highlight w:val="none"/>
        </w:rPr>
      </w:pPr>
      <w:r>
        <w:rPr>
          <w:rFonts w:hint="eastAsia" w:ascii="宋体" w:hAnsi="宋体"/>
          <w:color w:val="auto"/>
          <w:highlight w:val="none"/>
        </w:rPr>
        <w:t xml:space="preserve">    采购人和采购代理机构根据采购项目的内容特点按照规定组建评标委员会。</w:t>
      </w:r>
    </w:p>
    <w:p>
      <w:pPr>
        <w:spacing w:line="360" w:lineRule="auto"/>
        <w:rPr>
          <w:rFonts w:ascii="宋体" w:hAnsi="宋体"/>
          <w:color w:val="auto"/>
          <w:highlight w:val="none"/>
        </w:rPr>
      </w:pPr>
      <w:r>
        <w:rPr>
          <w:rFonts w:hint="eastAsia" w:ascii="宋体" w:hAnsi="宋体"/>
          <w:color w:val="auto"/>
          <w:highlight w:val="none"/>
        </w:rPr>
        <w:t xml:space="preserve">    评标委员会由采购人代表和评审专家或全部由评审专家组成，成员人数为</w:t>
      </w:r>
      <w:r>
        <w:rPr>
          <w:rFonts w:hint="eastAsia" w:ascii="宋体" w:hAnsi="宋体"/>
          <w:color w:val="auto"/>
          <w:highlight w:val="none"/>
          <w:lang w:val="en-US" w:eastAsia="zh-CN"/>
        </w:rPr>
        <w:t>5</w:t>
      </w:r>
      <w:r>
        <w:rPr>
          <w:rFonts w:hint="eastAsia" w:ascii="宋体" w:hAnsi="宋体"/>
          <w:color w:val="auto"/>
          <w:highlight w:val="none"/>
        </w:rPr>
        <w:t>人以上单数，其中评审专家不少于成员总数的三分之二。</w:t>
      </w:r>
    </w:p>
    <w:p>
      <w:pPr>
        <w:spacing w:line="360" w:lineRule="auto"/>
        <w:rPr>
          <w:rFonts w:ascii="宋体" w:hAnsi="宋体"/>
          <w:b/>
          <w:bCs/>
          <w:color w:val="auto"/>
          <w:sz w:val="24"/>
          <w:highlight w:val="none"/>
        </w:rPr>
      </w:pPr>
      <w:r>
        <w:rPr>
          <w:rFonts w:hint="eastAsia" w:ascii="宋体" w:hAnsi="宋体"/>
          <w:b/>
          <w:bCs/>
          <w:color w:val="auto"/>
          <w:sz w:val="24"/>
          <w:highlight w:val="none"/>
        </w:rPr>
        <w:t>4.评标程序</w:t>
      </w:r>
    </w:p>
    <w:p>
      <w:pPr>
        <w:spacing w:line="360" w:lineRule="auto"/>
        <w:rPr>
          <w:rFonts w:ascii="宋体" w:hAnsi="宋体"/>
          <w:color w:val="auto"/>
          <w:highlight w:val="none"/>
        </w:rPr>
      </w:pPr>
      <w:r>
        <w:rPr>
          <w:rFonts w:hint="eastAsia" w:ascii="宋体" w:hAnsi="宋体"/>
          <w:color w:val="auto"/>
          <w:highlight w:val="none"/>
        </w:rPr>
        <w:t xml:space="preserve">    4.1采购代理机构按招标文件规定的时间、地点组织开标。开标会议由采购代理机构组织，按招标文件的规定对投标人的基本情况进行审核。</w:t>
      </w:r>
    </w:p>
    <w:p>
      <w:pPr>
        <w:spacing w:line="360" w:lineRule="auto"/>
        <w:ind w:firstLine="420"/>
        <w:rPr>
          <w:rFonts w:ascii="宋体" w:hAnsi="宋体" w:cs="宋体"/>
          <w:bCs/>
          <w:color w:val="auto"/>
          <w:szCs w:val="21"/>
          <w:highlight w:val="none"/>
        </w:rPr>
      </w:pPr>
      <w:r>
        <w:rPr>
          <w:rFonts w:hint="eastAsia" w:ascii="宋体" w:hAnsi="宋体"/>
          <w:color w:val="auto"/>
          <w:highlight w:val="none"/>
        </w:rPr>
        <w:t>4.2</w:t>
      </w:r>
      <w:r>
        <w:rPr>
          <w:rFonts w:hint="eastAsia" w:ascii="宋体" w:hAnsi="宋体" w:cs="宋体"/>
          <w:bCs/>
          <w:color w:val="auto"/>
          <w:szCs w:val="21"/>
          <w:highlight w:val="none"/>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pPr>
        <w:spacing w:line="360" w:lineRule="auto"/>
        <w:ind w:firstLine="420"/>
        <w:rPr>
          <w:rFonts w:ascii="宋体" w:hAnsi="宋体"/>
          <w:color w:val="auto"/>
          <w:highlight w:val="none"/>
        </w:rPr>
      </w:pPr>
      <w:r>
        <w:rPr>
          <w:rFonts w:hint="eastAsia" w:ascii="宋体" w:hAnsi="宋体" w:cs="宋体"/>
          <w:bCs/>
          <w:color w:val="auto"/>
          <w:szCs w:val="21"/>
          <w:highlight w:val="none"/>
        </w:rPr>
        <w:t>4.3根据各有效投标人的商务技术得分和报价得分计算各投标人的总得分（总得分保留小数点后二位）。</w:t>
      </w:r>
    </w:p>
    <w:p>
      <w:pPr>
        <w:spacing w:line="360" w:lineRule="auto"/>
        <w:rPr>
          <w:rFonts w:ascii="宋体" w:hAnsi="宋体"/>
          <w:color w:val="auto"/>
          <w:highlight w:val="none"/>
        </w:rPr>
      </w:pPr>
      <w:r>
        <w:rPr>
          <w:rFonts w:hint="eastAsia" w:ascii="宋体" w:hAnsi="宋体"/>
          <w:color w:val="auto"/>
          <w:highlight w:val="none"/>
        </w:rPr>
        <w:t xml:space="preserve">    4.4按照评标办法，评标委员会推荐中标候选人，经采购人确认中标供应商后，</w:t>
      </w:r>
      <w:r>
        <w:rPr>
          <w:rFonts w:hint="eastAsia" w:ascii="宋体" w:hAnsi="宋体" w:cs="宋体"/>
          <w:color w:val="auto"/>
          <w:szCs w:val="21"/>
          <w:highlight w:val="none"/>
        </w:rPr>
        <w:t>最后在招标公告发布的网站上公布评标结果。</w:t>
      </w:r>
    </w:p>
    <w:p>
      <w:pPr>
        <w:spacing w:line="360" w:lineRule="auto"/>
        <w:rPr>
          <w:rFonts w:ascii="宋体" w:hAnsi="宋体"/>
          <w:b/>
          <w:bCs/>
          <w:color w:val="auto"/>
          <w:sz w:val="24"/>
          <w:highlight w:val="none"/>
        </w:rPr>
      </w:pPr>
      <w:r>
        <w:rPr>
          <w:rFonts w:hint="eastAsia" w:ascii="宋体" w:hAnsi="宋体"/>
          <w:b/>
          <w:bCs/>
          <w:color w:val="auto"/>
          <w:sz w:val="24"/>
          <w:highlight w:val="none"/>
        </w:rPr>
        <w:t>5.评标过程</w:t>
      </w:r>
    </w:p>
    <w:p>
      <w:pPr>
        <w:spacing w:line="360" w:lineRule="auto"/>
        <w:rPr>
          <w:rFonts w:ascii="宋体" w:hAnsi="宋体"/>
          <w:b/>
          <w:color w:val="auto"/>
          <w:highlight w:val="none"/>
        </w:rPr>
      </w:pPr>
      <w:r>
        <w:rPr>
          <w:rFonts w:hint="eastAsia" w:ascii="宋体" w:hAnsi="宋体"/>
          <w:b/>
          <w:color w:val="auto"/>
          <w:highlight w:val="none"/>
        </w:rPr>
        <w:t xml:space="preserve">    5.1 初步审查</w:t>
      </w:r>
    </w:p>
    <w:p>
      <w:pPr>
        <w:spacing w:line="360" w:lineRule="auto"/>
        <w:rPr>
          <w:rFonts w:ascii="宋体" w:hAnsi="宋体"/>
          <w:color w:val="auto"/>
          <w:highlight w:val="none"/>
        </w:rPr>
      </w:pPr>
      <w:r>
        <w:rPr>
          <w:rFonts w:hint="eastAsia" w:ascii="宋体" w:hAnsi="宋体"/>
          <w:color w:val="auto"/>
          <w:highlight w:val="none"/>
        </w:rPr>
        <w:t xml:space="preserve">    初审分为资格性审查和符合性审查。</w:t>
      </w:r>
    </w:p>
    <w:p>
      <w:pPr>
        <w:spacing w:line="360" w:lineRule="auto"/>
        <w:rPr>
          <w:rFonts w:ascii="宋体" w:hAnsi="宋体"/>
          <w:color w:val="auto"/>
          <w:highlight w:val="none"/>
        </w:rPr>
      </w:pPr>
      <w:r>
        <w:rPr>
          <w:rFonts w:hint="eastAsia" w:ascii="宋体" w:hAnsi="宋体"/>
          <w:color w:val="auto"/>
          <w:highlight w:val="none"/>
        </w:rPr>
        <w:t xml:space="preserve">    资格性检查。采购人或者采购代理机构对投标人的资格进行审查。依据法律法规和招标文件的规定，对投标文件中的资格证明进行审查，以确定投标人是否具备投标资格。</w:t>
      </w:r>
    </w:p>
    <w:p>
      <w:pPr>
        <w:spacing w:line="360" w:lineRule="auto"/>
        <w:rPr>
          <w:rFonts w:ascii="宋体" w:hAnsi="宋体"/>
          <w:color w:val="auto"/>
          <w:highlight w:val="none"/>
        </w:rPr>
      </w:pPr>
      <w:r>
        <w:rPr>
          <w:rFonts w:hint="eastAsia" w:ascii="宋体" w:hAnsi="宋体"/>
          <w:color w:val="auto"/>
          <w:highlight w:val="none"/>
        </w:rPr>
        <w:t xml:space="preserve">    符合性检查。评标委员会依据招标文件的规定，从投标文件的有效性、完整性和对招标文件的响应程度进行审查，以确定是否对招标文件的实质性要求作出响应。</w:t>
      </w:r>
    </w:p>
    <w:p>
      <w:pPr>
        <w:spacing w:line="360" w:lineRule="auto"/>
        <w:rPr>
          <w:rFonts w:ascii="宋体" w:hAnsi="宋体"/>
          <w:color w:val="auto"/>
          <w:highlight w:val="none"/>
        </w:rPr>
      </w:pPr>
      <w:r>
        <w:rPr>
          <w:rFonts w:hint="eastAsia" w:ascii="宋体" w:hAnsi="宋体"/>
          <w:color w:val="auto"/>
          <w:highlight w:val="none"/>
        </w:rPr>
        <w:t xml:space="preserve">    审查投标文件是否对招标文件提出的所有实质性要求和条件作出响应，有无重大偏差；如有重大偏差者，作无效投标处理，不予进入详细评审。（具体见本招标文件第二部分投标无效的情形）</w:t>
      </w:r>
    </w:p>
    <w:p>
      <w:pPr>
        <w:pStyle w:val="7"/>
        <w:ind w:left="0" w:firstLine="0"/>
        <w:rPr>
          <w:color w:val="auto"/>
          <w:sz w:val="21"/>
          <w:highlight w:val="none"/>
        </w:rPr>
      </w:pPr>
      <w:r>
        <w:rPr>
          <w:rFonts w:hint="eastAsia"/>
          <w:color w:val="auto"/>
          <w:sz w:val="21"/>
          <w:highlight w:val="none"/>
        </w:rPr>
        <w:t>5.2澄清问题</w:t>
      </w:r>
    </w:p>
    <w:p>
      <w:pPr>
        <w:spacing w:line="360" w:lineRule="auto"/>
        <w:rPr>
          <w:rFonts w:ascii="宋体" w:hAnsi="宋体"/>
          <w:color w:val="auto"/>
          <w:highlight w:val="none"/>
        </w:rPr>
      </w:pPr>
      <w:r>
        <w:rPr>
          <w:rFonts w:hint="eastAsia" w:ascii="宋体" w:hAnsi="宋体"/>
          <w:color w:val="auto"/>
          <w:highlight w:val="none"/>
        </w:rPr>
        <w:t xml:space="preserve">    对于投标文件中含义不明确、同类问题表述不一致或者有明显文字和计算错误的内容，评标委员会可要求投标人以书面形式作出必要的澄清、说明或者补正。</w:t>
      </w:r>
    </w:p>
    <w:p>
      <w:pPr>
        <w:spacing w:line="360" w:lineRule="auto"/>
        <w:rPr>
          <w:rFonts w:ascii="宋体" w:hAnsi="宋体"/>
          <w:color w:val="auto"/>
          <w:highlight w:val="none"/>
        </w:rPr>
      </w:pPr>
      <w:r>
        <w:rPr>
          <w:rFonts w:hint="eastAsia" w:ascii="宋体" w:hAnsi="宋体"/>
          <w:color w:val="auto"/>
          <w:highlight w:val="none"/>
        </w:rPr>
        <w:t xml:space="preserve">    投标人的澄清、说明或者补正应当采用书面形式，并加盖公章，或者由法定代表人或其授权代表签字确认，投标人的澄清、说明或者补正不得超出投标文件的范围或者改变投标文件的实质性内容。</w:t>
      </w:r>
    </w:p>
    <w:p>
      <w:pPr>
        <w:pStyle w:val="7"/>
        <w:ind w:left="0" w:firstLine="0"/>
        <w:rPr>
          <w:color w:val="auto"/>
          <w:sz w:val="21"/>
          <w:highlight w:val="none"/>
        </w:rPr>
      </w:pPr>
      <w:r>
        <w:rPr>
          <w:rFonts w:hint="eastAsia"/>
          <w:color w:val="auto"/>
          <w:sz w:val="21"/>
          <w:highlight w:val="none"/>
        </w:rPr>
        <w:t>5.3详细评审</w:t>
      </w:r>
    </w:p>
    <w:p>
      <w:pPr>
        <w:pStyle w:val="7"/>
        <w:ind w:left="0" w:firstLine="0"/>
        <w:rPr>
          <w:b w:val="0"/>
          <w:color w:val="auto"/>
          <w:sz w:val="21"/>
          <w:highlight w:val="none"/>
        </w:rPr>
      </w:pPr>
      <w:r>
        <w:rPr>
          <w:rFonts w:hint="eastAsia"/>
          <w:b w:val="0"/>
          <w:color w:val="auto"/>
          <w:sz w:val="21"/>
          <w:highlight w:val="none"/>
        </w:rPr>
        <w:t xml:space="preserve">    </w:t>
      </w:r>
      <w:r>
        <w:rPr>
          <w:rFonts w:hint="eastAsia" w:cs="宋体"/>
          <w:b w:val="0"/>
          <w:bCs/>
          <w:color w:val="auto"/>
          <w:sz w:val="21"/>
          <w:szCs w:val="21"/>
          <w:highlight w:val="none"/>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rPr>
          <w:rFonts w:ascii="宋体" w:hAnsi="宋体" w:cs="宋体"/>
          <w:color w:val="auto"/>
          <w:highlight w:val="none"/>
        </w:rPr>
      </w:pPr>
      <w:r>
        <w:rPr>
          <w:rFonts w:hint="eastAsia" w:ascii="宋体" w:hAnsi="宋体"/>
          <w:color w:val="auto"/>
          <w:highlight w:val="none"/>
        </w:rPr>
        <w:t>评委参照本部分附表（评分标准表）打分。</w:t>
      </w:r>
      <w:r>
        <w:rPr>
          <w:rFonts w:hint="eastAsia" w:ascii="宋体" w:hAnsi="宋体" w:cs="宋体"/>
          <w:color w:val="auto"/>
          <w:szCs w:val="21"/>
          <w:highlight w:val="none"/>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注：评标委员会认为投标文件无效的，应组织相关投标人代表进行陈述、澄清或申辩。</w:t>
      </w:r>
    </w:p>
    <w:p>
      <w:pPr>
        <w:widowControl/>
        <w:spacing w:line="360" w:lineRule="auto"/>
        <w:ind w:firstLine="421"/>
        <w:rPr>
          <w:rFonts w:ascii="宋体" w:hAnsi="宋体" w:cs="宋体"/>
          <w:color w:val="auto"/>
          <w:szCs w:val="21"/>
          <w:highlight w:val="none"/>
        </w:rPr>
      </w:pPr>
      <w:r>
        <w:rPr>
          <w:rFonts w:hint="eastAsia" w:ascii="宋体" w:hAnsi="宋体" w:cs="宋体"/>
          <w:b/>
          <w:bCs/>
          <w:color w:val="auto"/>
          <w:szCs w:val="21"/>
          <w:highlight w:val="none"/>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spacing w:line="360" w:lineRule="auto"/>
        <w:rPr>
          <w:rFonts w:ascii="宋体" w:hAnsi="宋体"/>
          <w:color w:val="auto"/>
          <w:highlight w:val="none"/>
        </w:rPr>
      </w:pPr>
      <w:r>
        <w:rPr>
          <w:rFonts w:hint="eastAsia" w:ascii="宋体" w:hAnsi="宋体" w:cs="宋体"/>
          <w:color w:val="auto"/>
          <w:szCs w:val="21"/>
          <w:highlight w:val="none"/>
        </w:rPr>
        <w:t xml:space="preserve">    采购代理机构可协助评审小组组长对打分结果进行校对、核对并汇总统计；对明显畸高、畸低的评分（评审小组成员个人主观打分偏离所有评审小组成员主观打分平均值30%以上的，由评审委员会启动评分畸高、畸低行为认定程序，限制专家自由裁量权），评审小组组长应提醒相关评标委员会成员进行复核或书面说明理由，评标委员会成员拒绝说明的，由现场监督员据实记录；评标委员会成员的评审、修改记录应保留原件，随项目其他资料一并存档。</w:t>
      </w:r>
    </w:p>
    <w:p>
      <w:pPr>
        <w:pStyle w:val="7"/>
        <w:ind w:left="0" w:firstLine="0"/>
        <w:rPr>
          <w:color w:val="auto"/>
          <w:sz w:val="21"/>
          <w:highlight w:val="none"/>
        </w:rPr>
      </w:pPr>
      <w:r>
        <w:rPr>
          <w:rFonts w:hint="eastAsia"/>
          <w:color w:val="auto"/>
          <w:sz w:val="21"/>
          <w:highlight w:val="none"/>
        </w:rPr>
        <w:t>5.4中标原则</w:t>
      </w:r>
    </w:p>
    <w:p>
      <w:pPr>
        <w:spacing w:line="360" w:lineRule="auto"/>
        <w:rPr>
          <w:rFonts w:ascii="宋体" w:hAnsi="宋体"/>
          <w:b/>
          <w:color w:val="auto"/>
          <w:highlight w:val="none"/>
        </w:rPr>
      </w:pPr>
      <w:r>
        <w:rPr>
          <w:rFonts w:hint="eastAsia" w:ascii="宋体" w:hAnsi="宋体"/>
          <w:color w:val="auto"/>
          <w:highlight w:val="none"/>
        </w:rPr>
        <w:t xml:space="preserve">   </w:t>
      </w:r>
      <w:r>
        <w:rPr>
          <w:rFonts w:hint="eastAsia" w:ascii="宋体" w:hAnsi="宋体"/>
          <w:b/>
          <w:color w:val="auto"/>
          <w:highlight w:val="none"/>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pPr>
        <w:spacing w:line="360" w:lineRule="auto"/>
        <w:ind w:firstLine="420"/>
        <w:rPr>
          <w:rFonts w:ascii="宋体" w:hAnsi="宋体"/>
          <w:color w:val="auto"/>
          <w:highlight w:val="none"/>
        </w:rPr>
      </w:pPr>
      <w:r>
        <w:rPr>
          <w:rFonts w:hint="eastAsia" w:ascii="宋体" w:hAnsi="宋体"/>
          <w:color w:val="auto"/>
          <w:highlight w:val="none"/>
        </w:rPr>
        <w:t>采购人根据评审报告推荐的中标候选人确定中标供应商。</w:t>
      </w:r>
    </w:p>
    <w:p>
      <w:pPr>
        <w:pStyle w:val="7"/>
        <w:tabs>
          <w:tab w:val="left" w:pos="5880"/>
        </w:tabs>
        <w:ind w:left="0" w:firstLine="0"/>
        <w:rPr>
          <w:color w:val="auto"/>
          <w:sz w:val="21"/>
          <w:highlight w:val="none"/>
        </w:rPr>
      </w:pPr>
      <w:r>
        <w:rPr>
          <w:rFonts w:hint="eastAsia"/>
          <w:color w:val="auto"/>
          <w:sz w:val="21"/>
          <w:highlight w:val="none"/>
        </w:rPr>
        <w:t>5.5中标结果</w:t>
      </w:r>
      <w:r>
        <w:rPr>
          <w:color w:val="auto"/>
          <w:sz w:val="21"/>
          <w:highlight w:val="none"/>
        </w:rPr>
        <w:tab/>
      </w:r>
    </w:p>
    <w:p>
      <w:pPr>
        <w:spacing w:line="360" w:lineRule="auto"/>
        <w:rPr>
          <w:rFonts w:ascii="宋体" w:hAnsi="宋体"/>
          <w:color w:val="auto"/>
          <w:highlight w:val="none"/>
        </w:rPr>
      </w:pPr>
      <w:r>
        <w:rPr>
          <w:rFonts w:hint="eastAsia" w:ascii="宋体" w:hAnsi="宋体"/>
          <w:color w:val="auto"/>
          <w:highlight w:val="none"/>
        </w:rPr>
        <w:t xml:space="preserve">    采购代理机构将中标结果在政府采购指定媒体上公告，并同时</w:t>
      </w:r>
      <w:r>
        <w:rPr>
          <w:rFonts w:ascii="宋体" w:hAnsi="宋体"/>
          <w:color w:val="auto"/>
          <w:highlight w:val="none"/>
        </w:rPr>
        <w:t>向中标</w:t>
      </w:r>
      <w:r>
        <w:rPr>
          <w:rFonts w:hint="eastAsia" w:ascii="宋体" w:hAnsi="宋体"/>
          <w:color w:val="auto"/>
          <w:highlight w:val="none"/>
        </w:rPr>
        <w:t>供应商</w:t>
      </w:r>
      <w:r>
        <w:rPr>
          <w:rFonts w:ascii="宋体" w:hAnsi="宋体"/>
          <w:color w:val="auto"/>
          <w:highlight w:val="none"/>
        </w:rPr>
        <w:t>发出中标通知书。</w:t>
      </w:r>
    </w:p>
    <w:p>
      <w:pPr>
        <w:spacing w:line="360" w:lineRule="auto"/>
        <w:rPr>
          <w:rFonts w:ascii="宋体" w:hAnsi="宋体"/>
          <w:b/>
          <w:bCs/>
          <w:color w:val="auto"/>
          <w:sz w:val="24"/>
          <w:highlight w:val="none"/>
        </w:rPr>
      </w:pPr>
      <w:r>
        <w:rPr>
          <w:rFonts w:hint="eastAsia" w:ascii="宋体" w:hAnsi="宋体"/>
          <w:b/>
          <w:bCs/>
          <w:color w:val="auto"/>
          <w:sz w:val="24"/>
          <w:highlight w:val="none"/>
        </w:rPr>
        <w:t>6.评分标准</w:t>
      </w:r>
    </w:p>
    <w:p>
      <w:pPr>
        <w:spacing w:line="360" w:lineRule="auto"/>
        <w:rPr>
          <w:rFonts w:ascii="宋体" w:hAnsi="宋体"/>
          <w:color w:val="auto"/>
          <w:highlight w:val="none"/>
        </w:rPr>
      </w:pPr>
      <w:r>
        <w:rPr>
          <w:rFonts w:hint="eastAsia" w:ascii="宋体" w:hAnsi="宋体"/>
          <w:color w:val="auto"/>
          <w:highlight w:val="none"/>
        </w:rPr>
        <w:t>详见后附评分标准表。</w:t>
      </w:r>
    </w:p>
    <w:p>
      <w:pPr>
        <w:pStyle w:val="7"/>
        <w:ind w:left="0" w:firstLine="0"/>
        <w:jc w:val="left"/>
        <w:rPr>
          <w:color w:val="auto"/>
          <w:highlight w:val="none"/>
        </w:rPr>
      </w:pPr>
      <w:r>
        <w:rPr>
          <w:rFonts w:hint="eastAsia"/>
          <w:color w:val="auto"/>
          <w:sz w:val="21"/>
          <w:highlight w:val="none"/>
        </w:rPr>
        <w:t>附：评分标准表</w:t>
      </w:r>
    </w:p>
    <w:p>
      <w:pPr>
        <w:spacing w:line="360" w:lineRule="auto"/>
        <w:rPr>
          <w:rFonts w:ascii="宋体" w:hAnsi="宋体"/>
          <w:color w:val="auto"/>
          <w:highlight w:val="none"/>
        </w:rPr>
      </w:pPr>
    </w:p>
    <w:p>
      <w:pPr>
        <w:pStyle w:val="7"/>
        <w:ind w:left="0" w:firstLine="0"/>
        <w:jc w:val="left"/>
        <w:rPr>
          <w:color w:val="auto"/>
          <w:sz w:val="21"/>
          <w:highlight w:val="none"/>
        </w:rPr>
      </w:pPr>
      <w:r>
        <w:rPr>
          <w:color w:val="auto"/>
          <w:sz w:val="21"/>
          <w:highlight w:val="none"/>
        </w:rPr>
        <w:br w:type="page"/>
      </w:r>
      <w:r>
        <w:rPr>
          <w:rFonts w:hint="eastAsia"/>
          <w:color w:val="auto"/>
          <w:sz w:val="21"/>
          <w:highlight w:val="none"/>
        </w:rPr>
        <w:t>附：</w:t>
      </w:r>
    </w:p>
    <w:p>
      <w:pPr>
        <w:adjustRightInd w:val="0"/>
        <w:snapToGrid w:val="0"/>
        <w:spacing w:before="156" w:beforeLines="50" w:after="156" w:afterLines="50" w:line="360" w:lineRule="auto"/>
        <w:jc w:val="center"/>
        <w:rPr>
          <w:b/>
          <w:color w:val="auto"/>
          <w:sz w:val="32"/>
          <w:szCs w:val="32"/>
          <w:highlight w:val="none"/>
        </w:rPr>
      </w:pPr>
      <w:r>
        <w:rPr>
          <w:rFonts w:hint="eastAsia"/>
          <w:b/>
          <w:color w:val="auto"/>
          <w:sz w:val="32"/>
          <w:szCs w:val="32"/>
          <w:highlight w:val="none"/>
        </w:rPr>
        <w:t>评分标准表</w:t>
      </w:r>
    </w:p>
    <w:tbl>
      <w:tblPr>
        <w:tblStyle w:val="13"/>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42"/>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852" w:type="dxa"/>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1842" w:type="dxa"/>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评分项目</w:t>
            </w:r>
          </w:p>
        </w:tc>
        <w:tc>
          <w:tcPr>
            <w:tcW w:w="5812" w:type="dxa"/>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评分内容及标准</w:t>
            </w:r>
          </w:p>
        </w:tc>
        <w:tc>
          <w:tcPr>
            <w:tcW w:w="1134" w:type="dxa"/>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64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商务技术分60分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842" w:type="dxa"/>
            <w:vMerge w:val="restart"/>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技术方案</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完整性（5分）：技术方案组成结构清晰，各子系统方案描述详细、完整。由评委进行评审，最高得5分。</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b/>
                <w:color w:val="auto"/>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842" w:type="dxa"/>
            <w:vMerge w:val="continue"/>
            <w:tcBorders>
              <w:left w:val="single" w:color="auto" w:sz="4" w:space="0"/>
              <w:right w:val="single" w:color="auto" w:sz="4" w:space="0"/>
            </w:tcBorders>
            <w:noWrap w:val="0"/>
            <w:vAlign w:val="center"/>
          </w:tcPr>
          <w:p>
            <w:pPr>
              <w:jc w:val="center"/>
              <w:rPr>
                <w:rFonts w:ascii="宋体" w:hAnsi="宋体"/>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先进性（5分）：采用成熟、主流的技术构建系统，兼顾需求和技术的发展；考虑与其他系统的连接，建设的可扩展性；具有适度的技术前瞻性。由评委进行评审，最高得5分。</w:t>
            </w:r>
          </w:p>
        </w:tc>
        <w:tc>
          <w:tcPr>
            <w:tcW w:w="1134" w:type="dxa"/>
            <w:vMerge w:val="continue"/>
            <w:tcBorders>
              <w:left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842" w:type="dxa"/>
            <w:vMerge w:val="continue"/>
            <w:tcBorders>
              <w:left w:val="single" w:color="auto" w:sz="4" w:space="0"/>
              <w:right w:val="single" w:color="auto" w:sz="4" w:space="0"/>
            </w:tcBorders>
            <w:noWrap w:val="0"/>
            <w:vAlign w:val="center"/>
          </w:tcPr>
          <w:p>
            <w:pPr>
              <w:jc w:val="center"/>
              <w:rPr>
                <w:rFonts w:ascii="宋体" w:hAnsi="宋体"/>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合理性（5分）：系统构建完善、架构合理，在保持系统开放性和兼容性、满足不同业务需求的同时，按照统一平台、信息共享的原则统筹建设。由评委进行评审，最高得5分。</w:t>
            </w:r>
          </w:p>
        </w:tc>
        <w:tc>
          <w:tcPr>
            <w:tcW w:w="1134" w:type="dxa"/>
            <w:vMerge w:val="continue"/>
            <w:tcBorders>
              <w:left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842" w:type="dxa"/>
            <w:vMerge w:val="continue"/>
            <w:tcBorders>
              <w:left w:val="single" w:color="auto" w:sz="4" w:space="0"/>
              <w:right w:val="single" w:color="auto" w:sz="4" w:space="0"/>
            </w:tcBorders>
            <w:noWrap w:val="0"/>
            <w:vAlign w:val="center"/>
          </w:tcPr>
          <w:p>
            <w:pPr>
              <w:jc w:val="center"/>
              <w:rPr>
                <w:rFonts w:ascii="宋体" w:hAnsi="宋体"/>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实用性（3分）：满足实际需求，系统安装、使用、维护简便，满足当前的需要又可为今后系统扩展留有余地。由评委进行评审，最高得3分。</w:t>
            </w:r>
          </w:p>
        </w:tc>
        <w:tc>
          <w:tcPr>
            <w:tcW w:w="113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842" w:type="dxa"/>
            <w:vMerge w:val="restart"/>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设备选型</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主要设备品牌知名度、信誉度。（10分）</w:t>
            </w:r>
          </w:p>
          <w:p>
            <w:pPr>
              <w:rPr>
                <w:rFonts w:ascii="宋体" w:hAnsi="宋体"/>
                <w:color w:val="auto"/>
                <w:szCs w:val="21"/>
                <w:highlight w:val="none"/>
              </w:rPr>
            </w:pPr>
            <w:r>
              <w:rPr>
                <w:rFonts w:hint="eastAsia" w:ascii="宋体" w:hAnsi="宋体"/>
                <w:color w:val="auto"/>
                <w:szCs w:val="21"/>
                <w:highlight w:val="none"/>
              </w:rPr>
              <w:t>由评委根据响应程度进行评审，最高得10分。</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1842" w:type="dxa"/>
            <w:vMerge w:val="continue"/>
            <w:tcBorders>
              <w:left w:val="single" w:color="auto" w:sz="4" w:space="0"/>
              <w:right w:val="single" w:color="auto" w:sz="4" w:space="0"/>
            </w:tcBorders>
            <w:noWrap w:val="0"/>
            <w:vAlign w:val="center"/>
          </w:tcPr>
          <w:p>
            <w:pPr>
              <w:jc w:val="center"/>
              <w:rPr>
                <w:rFonts w:ascii="宋体" w:hAnsi="宋体"/>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设备参数描述规范、详细、准确。（4分）</w:t>
            </w:r>
          </w:p>
          <w:p>
            <w:pPr>
              <w:rPr>
                <w:rFonts w:ascii="宋体" w:hAnsi="宋体"/>
                <w:color w:val="auto"/>
                <w:szCs w:val="21"/>
                <w:highlight w:val="none"/>
              </w:rPr>
            </w:pPr>
            <w:r>
              <w:rPr>
                <w:rFonts w:hint="eastAsia" w:ascii="宋体" w:hAnsi="宋体"/>
                <w:color w:val="auto"/>
                <w:szCs w:val="21"/>
                <w:highlight w:val="none"/>
              </w:rPr>
              <w:t>由评委进行评审，最高得4分。</w:t>
            </w:r>
          </w:p>
        </w:tc>
        <w:tc>
          <w:tcPr>
            <w:tcW w:w="1134" w:type="dxa"/>
            <w:vMerge w:val="continue"/>
            <w:tcBorders>
              <w:left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1842" w:type="dxa"/>
            <w:vMerge w:val="continue"/>
            <w:tcBorders>
              <w:left w:val="single" w:color="auto" w:sz="4" w:space="0"/>
              <w:right w:val="single" w:color="auto" w:sz="4" w:space="0"/>
            </w:tcBorders>
            <w:noWrap w:val="0"/>
            <w:vAlign w:val="center"/>
          </w:tcPr>
          <w:p>
            <w:pPr>
              <w:jc w:val="center"/>
              <w:rPr>
                <w:rFonts w:ascii="宋体" w:hAnsi="宋体"/>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设备性能参数优劣。（4分）</w:t>
            </w:r>
          </w:p>
          <w:p>
            <w:pPr>
              <w:rPr>
                <w:rFonts w:ascii="宋体" w:hAnsi="宋体"/>
                <w:color w:val="auto"/>
                <w:szCs w:val="21"/>
                <w:highlight w:val="none"/>
              </w:rPr>
            </w:pPr>
            <w:r>
              <w:rPr>
                <w:rFonts w:hint="eastAsia" w:ascii="宋体" w:hAnsi="宋体"/>
                <w:color w:val="auto"/>
                <w:szCs w:val="21"/>
                <w:highlight w:val="none"/>
              </w:rPr>
              <w:t>由评委根据对招标文件的响应程度进行评审，最高得4分。</w:t>
            </w:r>
          </w:p>
        </w:tc>
        <w:tc>
          <w:tcPr>
            <w:tcW w:w="113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1842" w:type="dxa"/>
            <w:vMerge w:val="restart"/>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项目实施方案</w:t>
            </w:r>
          </w:p>
        </w:tc>
        <w:tc>
          <w:tcPr>
            <w:tcW w:w="5812" w:type="dxa"/>
            <w:tcBorders>
              <w:top w:val="single" w:color="auto" w:sz="4" w:space="0"/>
              <w:left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组织设计、进度计划（5分）：根据组织设计、进度计划等编制响应情况，由评委进行评审。施工进度计划编制应明确、合理、可行；关键点控制措施有力。由评委进行评审，最高得5分。</w:t>
            </w: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1842" w:type="dxa"/>
            <w:vMerge w:val="continue"/>
            <w:tcBorders>
              <w:left w:val="single" w:color="auto" w:sz="4" w:space="0"/>
              <w:right w:val="single" w:color="auto" w:sz="4" w:space="0"/>
            </w:tcBorders>
            <w:noWrap w:val="0"/>
            <w:vAlign w:val="center"/>
          </w:tcPr>
          <w:p>
            <w:pPr>
              <w:jc w:val="left"/>
              <w:rPr>
                <w:rFonts w:ascii="宋体" w:hAnsi="宋体"/>
                <w:color w:val="auto"/>
                <w:szCs w:val="21"/>
                <w:highlight w:val="none"/>
              </w:rPr>
            </w:pPr>
          </w:p>
        </w:tc>
        <w:tc>
          <w:tcPr>
            <w:tcW w:w="5812" w:type="dxa"/>
            <w:tcBorders>
              <w:left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人员安排（5分）：根据项目施工人员配置情况、人员的到岗、响应速度等情况，由评委进行评审，最高得5分。</w:t>
            </w:r>
          </w:p>
        </w:tc>
        <w:tc>
          <w:tcPr>
            <w:tcW w:w="1134" w:type="dxa"/>
            <w:vMerge w:val="continue"/>
            <w:tcBorders>
              <w:left w:val="single" w:color="auto" w:sz="4" w:space="0"/>
              <w:right w:val="single" w:color="auto" w:sz="4" w:space="0"/>
            </w:tcBorders>
            <w:noWrap w:val="0"/>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84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质量保证及售后服务</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由评委根据供应商的质量保证及售后服务方案的响应程度进行评审打分，最高得3分。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184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技术培训方案</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由评委根据供应商的技术培训方案进行评审打分，最高得4分。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84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优惠承诺及合理化建议</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由评委根据供应商提供的合理化建议和优惠承诺进行评审，最高得3分。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8"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84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类似业绩</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rFonts w:ascii="宋体" w:hAnsi="宋体"/>
                <w:color w:val="auto"/>
                <w:szCs w:val="21"/>
                <w:highlight w:val="none"/>
              </w:rPr>
            </w:pPr>
            <w:r>
              <w:rPr>
                <w:rFonts w:hint="eastAsia" w:ascii="宋体" w:hAnsi="宋体"/>
                <w:color w:val="auto"/>
                <w:szCs w:val="21"/>
                <w:highlight w:val="none"/>
              </w:rPr>
              <w:t>投标人自提交投标文件截止之日（不含投标截止日）前三年内完成过与本招标项目类似的智能化项目业绩，</w:t>
            </w:r>
            <w:r>
              <w:rPr>
                <w:rFonts w:hint="eastAsia" w:ascii="宋体" w:hAnsi="宋体"/>
                <w:b/>
                <w:color w:val="auto"/>
                <w:szCs w:val="21"/>
                <w:highlight w:val="none"/>
              </w:rPr>
              <w:t>类似业绩需包含综合布线系统、计算机网络系统、视频监控系统、会议系统、电子巡查系统、出入口控制系统、背景音乐系统（广播系统）、一卡通系统、网络中心机房建设系统的</w:t>
            </w:r>
            <w:r>
              <w:rPr>
                <w:rFonts w:hint="eastAsia" w:ascii="宋体" w:hAnsi="宋体"/>
                <w:b/>
                <w:color w:val="auto"/>
                <w:highlight w:val="none"/>
              </w:rPr>
              <w:t>其中五个系统，否则不予认可</w:t>
            </w:r>
            <w:r>
              <w:rPr>
                <w:rFonts w:hint="eastAsia" w:ascii="宋体" w:hAnsi="宋体"/>
                <w:b/>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投标人每提供一个与本招标项目类似的智能化项目得1分，本项最高得3分。</w:t>
            </w:r>
          </w:p>
          <w:p>
            <w:pPr>
              <w:rPr>
                <w:rFonts w:ascii="宋体" w:hAnsi="宋体"/>
                <w:color w:val="auto"/>
                <w:szCs w:val="21"/>
                <w:highlight w:val="none"/>
              </w:rPr>
            </w:pPr>
            <w:r>
              <w:rPr>
                <w:rFonts w:hint="eastAsia" w:ascii="宋体" w:hAnsi="宋体"/>
                <w:color w:val="auto"/>
                <w:szCs w:val="21"/>
                <w:highlight w:val="none"/>
              </w:rPr>
              <w:t>时间以验收证明时间为准。</w:t>
            </w:r>
          </w:p>
          <w:p>
            <w:pPr>
              <w:rPr>
                <w:rFonts w:ascii="宋体" w:hAnsi="宋体"/>
                <w:color w:val="auto"/>
                <w:szCs w:val="21"/>
                <w:highlight w:val="none"/>
              </w:rPr>
            </w:pPr>
            <w:r>
              <w:rPr>
                <w:rFonts w:hint="eastAsia" w:hAnsi="宋体"/>
                <w:b/>
                <w:color w:val="auto"/>
                <w:szCs w:val="21"/>
                <w:highlight w:val="none"/>
              </w:rPr>
              <w:t>在投标文件中提供合同、类似业绩的履约或竣工验收证明复印件并加盖投标人公章，合同和验收证明缺一不可，否则不得分。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842" w:type="dxa"/>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非强制节能环保产品</w:t>
            </w:r>
          </w:p>
        </w:tc>
        <w:tc>
          <w:tcPr>
            <w:tcW w:w="5812" w:type="dxa"/>
            <w:tcBorders>
              <w:top w:val="single" w:color="auto" w:sz="4" w:space="0"/>
              <w:left w:val="single" w:color="auto" w:sz="4" w:space="0"/>
              <w:bottom w:val="single" w:color="auto" w:sz="4" w:space="0"/>
              <w:right w:val="single" w:color="auto" w:sz="4" w:space="0"/>
            </w:tcBorders>
            <w:noWrap w:val="0"/>
            <w:tcMar>
              <w:top w:w="85" w:type="dxa"/>
              <w:left w:w="85" w:type="dxa"/>
              <w:bottom w:w="85" w:type="dxa"/>
              <w:right w:w="85" w:type="dxa"/>
            </w:tcMar>
            <w:vAlign w:val="center"/>
          </w:tcPr>
          <w:p>
            <w:pPr>
              <w:rPr>
                <w:color w:val="auto"/>
                <w:highlight w:val="none"/>
              </w:rPr>
            </w:pPr>
            <w:r>
              <w:rPr>
                <w:rFonts w:hint="eastAsia"/>
                <w:color w:val="auto"/>
                <w:highlight w:val="none"/>
              </w:rPr>
              <w:t>投标人所投货物如列入现行节能产品（或环境标志产品）政府采购品目清单的（强制产品除外），每个得0.5分，最高得1分。投标文件中提供投标产品有效的节能产品（或环境标志产品）认证证书彩色扫描件或者提供投标产品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color w:val="auto"/>
                <w:highlight w:val="none"/>
              </w:rPr>
              <w:t>www.ccgp.gov.cn</w:t>
            </w:r>
            <w:r>
              <w:rPr>
                <w:rFonts w:hint="eastAsia"/>
                <w:color w:val="auto"/>
                <w:highlight w:val="none"/>
              </w:rPr>
              <w:fldChar w:fldCharType="end"/>
            </w:r>
            <w:r>
              <w:rPr>
                <w:rFonts w:hint="eastAsia"/>
                <w:color w:val="auto"/>
                <w:highlight w:val="none"/>
              </w:rPr>
              <w:t>）节能产品（或环境标志产品）查询结果的网页截图的证明材料，否则不得分。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4"/>
            <w:tcBorders>
              <w:left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b/>
                <w:color w:val="auto"/>
                <w:szCs w:val="21"/>
                <w:highlight w:val="none"/>
              </w:rPr>
              <w:t>价格分40分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atLeast"/>
        </w:trPr>
        <w:tc>
          <w:tcPr>
            <w:tcW w:w="852" w:type="dxa"/>
            <w:tcBorders>
              <w:left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15</w:t>
            </w:r>
          </w:p>
        </w:tc>
        <w:tc>
          <w:tcPr>
            <w:tcW w:w="8788" w:type="dxa"/>
            <w:gridSpan w:val="3"/>
            <w:tcBorders>
              <w:left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评标基准价：满足招标文件要求且最低的参与评审的价格</w:t>
            </w:r>
          </w:p>
          <w:p>
            <w:pPr>
              <w:tabs>
                <w:tab w:val="left" w:pos="0"/>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参与评审的价格=投标报价-小微企业价格扣除优惠值20%（如有）。</w:t>
            </w:r>
          </w:p>
          <w:p>
            <w:pPr>
              <w:tabs>
                <w:tab w:val="left" w:pos="0"/>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参与评审的价格为评标基准价的其价格得分得满分40分。</w:t>
            </w:r>
          </w:p>
          <w:p>
            <w:pPr>
              <w:tabs>
                <w:tab w:val="left" w:pos="0"/>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其他投标人价格得分按照下列公式计算：</w:t>
            </w:r>
          </w:p>
          <w:p>
            <w:pPr>
              <w:tabs>
                <w:tab w:val="left" w:pos="0"/>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价格得分=（评标基准价/各投标人参与评审的价格）×40%×100。</w:t>
            </w:r>
          </w:p>
          <w:p>
            <w:pPr>
              <w:tabs>
                <w:tab w:val="left" w:pos="0"/>
              </w:tabs>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注：1、投标报价超过最高限价的作无效标处理。</w:t>
            </w:r>
          </w:p>
          <w:p>
            <w:pPr>
              <w:jc w:val="left"/>
              <w:rPr>
                <w:rFonts w:ascii="宋体" w:hAnsi="宋体"/>
                <w:b/>
                <w:color w:val="auto"/>
                <w:szCs w:val="21"/>
                <w:highlight w:val="none"/>
              </w:rPr>
            </w:pPr>
            <w:r>
              <w:rPr>
                <w:rFonts w:hint="eastAsia" w:ascii="宋体" w:hAnsi="宋体" w:cs="宋体"/>
                <w:b/>
                <w:bCs/>
                <w:color w:val="auto"/>
                <w:szCs w:val="21"/>
                <w:highlight w:val="none"/>
              </w:rPr>
              <w:t>2、价格得分小数点后保留2位小数，第3位小数四舍五入。</w:t>
            </w:r>
          </w:p>
        </w:tc>
      </w:tr>
    </w:tbl>
    <w:p>
      <w:pPr>
        <w:spacing w:line="360" w:lineRule="auto"/>
        <w:rPr>
          <w:rFonts w:ascii="宋体" w:hAnsi="宋体"/>
          <w:color w:val="auto"/>
          <w:highlight w:val="none"/>
        </w:rPr>
      </w:pPr>
    </w:p>
    <w:p>
      <w:pPr>
        <w:spacing w:line="360" w:lineRule="auto"/>
        <w:rPr>
          <w:rFonts w:ascii="宋体" w:hAnsi="宋体"/>
          <w:color w:val="auto"/>
          <w:highlight w:val="none"/>
        </w:rPr>
      </w:pPr>
    </w:p>
    <w:p>
      <w:pPr>
        <w:rPr>
          <w:color w:val="auto"/>
          <w:highlight w:val="none"/>
        </w:rPr>
      </w:pPr>
      <w:r>
        <w:rPr>
          <w:color w:val="auto"/>
          <w:highlight w:val="none"/>
        </w:rPr>
        <w:br w:type="page"/>
      </w:r>
    </w:p>
    <w:p>
      <w:pPr>
        <w:pStyle w:val="3"/>
        <w:rPr>
          <w:color w:val="auto"/>
          <w:highlight w:val="none"/>
        </w:rPr>
      </w:pPr>
      <w:bookmarkStart w:id="33" w:name="_Toc65753670"/>
      <w:r>
        <w:rPr>
          <w:rFonts w:hint="eastAsia"/>
          <w:color w:val="auto"/>
          <w:highlight w:val="none"/>
        </w:rPr>
        <w:t>第五部分  合同主要条款及格式</w:t>
      </w:r>
      <w:bookmarkEnd w:id="33"/>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6"/>
        <w:jc w:val="center"/>
        <w:rPr>
          <w:b/>
          <w:snapToGrid w:val="0"/>
          <w:color w:val="auto"/>
          <w:kern w:val="0"/>
          <w:sz w:val="28"/>
          <w:szCs w:val="28"/>
          <w:highlight w:val="none"/>
          <w:u w:val="single"/>
        </w:rPr>
      </w:pPr>
      <w:r>
        <w:rPr>
          <w:rFonts w:hint="eastAsia"/>
          <w:b/>
          <w:snapToGrid w:val="0"/>
          <w:color w:val="auto"/>
          <w:kern w:val="0"/>
          <w:sz w:val="28"/>
          <w:szCs w:val="28"/>
          <w:highlight w:val="none"/>
        </w:rPr>
        <w:t xml:space="preserve">                          合同编号：</w:t>
      </w:r>
      <w:r>
        <w:rPr>
          <w:rFonts w:hint="eastAsia"/>
          <w:b/>
          <w:snapToGrid w:val="0"/>
          <w:color w:val="auto"/>
          <w:kern w:val="0"/>
          <w:sz w:val="28"/>
          <w:szCs w:val="28"/>
          <w:highlight w:val="none"/>
          <w:u w:val="single"/>
        </w:rPr>
        <w:t xml:space="preserve">         </w:t>
      </w:r>
    </w:p>
    <w:p>
      <w:pPr>
        <w:spacing w:line="540" w:lineRule="exact"/>
        <w:rPr>
          <w:rFonts w:ascii="华文中宋" w:hAnsi="华文中宋" w:eastAsia="华文中宋"/>
          <w:b/>
          <w:snapToGrid w:val="0"/>
          <w:color w:val="auto"/>
          <w:kern w:val="0"/>
          <w:sz w:val="48"/>
          <w:highlight w:val="none"/>
        </w:rPr>
      </w:pPr>
    </w:p>
    <w:p>
      <w:pPr>
        <w:spacing w:line="540" w:lineRule="exact"/>
        <w:rPr>
          <w:rFonts w:ascii="华文中宋" w:hAnsi="华文中宋" w:eastAsia="华文中宋"/>
          <w:b/>
          <w:snapToGrid w:val="0"/>
          <w:color w:val="auto"/>
          <w:kern w:val="0"/>
          <w:sz w:val="48"/>
          <w:highlight w:val="none"/>
        </w:rPr>
      </w:pPr>
    </w:p>
    <w:p>
      <w:pPr>
        <w:spacing w:line="540" w:lineRule="exact"/>
        <w:rPr>
          <w:rFonts w:ascii="华文中宋" w:hAnsi="华文中宋" w:eastAsia="华文中宋"/>
          <w:b/>
          <w:snapToGrid w:val="0"/>
          <w:color w:val="auto"/>
          <w:kern w:val="0"/>
          <w:sz w:val="48"/>
          <w:highlight w:val="none"/>
        </w:rPr>
      </w:pPr>
    </w:p>
    <w:p>
      <w:pPr>
        <w:spacing w:line="540" w:lineRule="exact"/>
        <w:rPr>
          <w:rFonts w:ascii="华文中宋" w:hAnsi="华文中宋" w:eastAsia="华文中宋"/>
          <w:b/>
          <w:snapToGrid w:val="0"/>
          <w:color w:val="auto"/>
          <w:kern w:val="0"/>
          <w:sz w:val="48"/>
          <w:highlight w:val="none"/>
        </w:rPr>
      </w:pPr>
    </w:p>
    <w:p>
      <w:pPr>
        <w:spacing w:line="540" w:lineRule="exact"/>
        <w:rPr>
          <w:rFonts w:ascii="华文中宋" w:hAnsi="华文中宋" w:eastAsia="华文中宋"/>
          <w:b/>
          <w:snapToGrid w:val="0"/>
          <w:color w:val="auto"/>
          <w:kern w:val="0"/>
          <w:sz w:val="48"/>
          <w:highlight w:val="none"/>
        </w:rPr>
      </w:pPr>
    </w:p>
    <w:p>
      <w:pPr>
        <w:spacing w:line="800" w:lineRule="exact"/>
        <w:jc w:val="center"/>
        <w:rPr>
          <w:rFonts w:ascii="黑体" w:hAnsi="宋体" w:eastAsia="黑体"/>
          <w:b/>
          <w:snapToGrid w:val="0"/>
          <w:color w:val="auto"/>
          <w:kern w:val="0"/>
          <w:sz w:val="48"/>
          <w:szCs w:val="48"/>
          <w:highlight w:val="none"/>
        </w:rPr>
      </w:pPr>
      <w:r>
        <w:rPr>
          <w:rFonts w:hint="eastAsia" w:ascii="黑体" w:hAnsi="宋体" w:eastAsia="黑体"/>
          <w:b/>
          <w:snapToGrid w:val="0"/>
          <w:color w:val="auto"/>
          <w:kern w:val="0"/>
          <w:sz w:val="48"/>
          <w:szCs w:val="48"/>
          <w:highlight w:val="none"/>
        </w:rPr>
        <w:t>智能化采购合同</w:t>
      </w:r>
    </w:p>
    <w:p>
      <w:pPr>
        <w:spacing w:line="540" w:lineRule="exact"/>
        <w:jc w:val="center"/>
        <w:rPr>
          <w:rFonts w:ascii="华文中宋" w:hAnsi="华文中宋" w:eastAsia="华文中宋"/>
          <w:b/>
          <w:snapToGrid w:val="0"/>
          <w:color w:val="auto"/>
          <w:kern w:val="0"/>
          <w:sz w:val="52"/>
          <w:highlight w:val="none"/>
        </w:rPr>
      </w:pPr>
    </w:p>
    <w:p>
      <w:pPr>
        <w:spacing w:line="540" w:lineRule="exact"/>
        <w:jc w:val="center"/>
        <w:rPr>
          <w:rFonts w:ascii="华文中宋" w:hAnsi="华文中宋" w:eastAsia="华文中宋"/>
          <w:b/>
          <w:snapToGrid w:val="0"/>
          <w:color w:val="auto"/>
          <w:kern w:val="0"/>
          <w:sz w:val="36"/>
          <w:highlight w:val="none"/>
        </w:rPr>
      </w:pPr>
    </w:p>
    <w:p>
      <w:pPr>
        <w:spacing w:line="540" w:lineRule="exact"/>
        <w:rPr>
          <w:rFonts w:ascii="宋体" w:hAnsi="宋体"/>
          <w:b/>
          <w:snapToGrid w:val="0"/>
          <w:color w:val="auto"/>
          <w:kern w:val="0"/>
          <w:sz w:val="28"/>
          <w:szCs w:val="28"/>
          <w:highlight w:val="none"/>
        </w:rPr>
      </w:pPr>
    </w:p>
    <w:p>
      <w:pPr>
        <w:spacing w:line="540" w:lineRule="exact"/>
        <w:rPr>
          <w:rFonts w:ascii="宋体" w:hAnsi="宋体"/>
          <w:b/>
          <w:snapToGrid w:val="0"/>
          <w:color w:val="auto"/>
          <w:kern w:val="0"/>
          <w:sz w:val="28"/>
          <w:szCs w:val="28"/>
          <w:highlight w:val="none"/>
        </w:rPr>
      </w:pPr>
    </w:p>
    <w:p>
      <w:pPr>
        <w:spacing w:line="540" w:lineRule="exact"/>
        <w:rPr>
          <w:rFonts w:ascii="宋体" w:hAnsi="宋体"/>
          <w:b/>
          <w:snapToGrid w:val="0"/>
          <w:color w:val="auto"/>
          <w:kern w:val="0"/>
          <w:sz w:val="28"/>
          <w:szCs w:val="28"/>
          <w:highlight w:val="none"/>
        </w:rPr>
      </w:pPr>
    </w:p>
    <w:p>
      <w:pPr>
        <w:spacing w:line="540" w:lineRule="exact"/>
        <w:rPr>
          <w:rFonts w:ascii="宋体" w:hAnsi="宋体"/>
          <w:b/>
          <w:snapToGrid w:val="0"/>
          <w:color w:val="auto"/>
          <w:kern w:val="0"/>
          <w:sz w:val="28"/>
          <w:szCs w:val="28"/>
          <w:highlight w:val="none"/>
        </w:rPr>
      </w:pPr>
    </w:p>
    <w:p>
      <w:pPr>
        <w:tabs>
          <w:tab w:val="left" w:pos="1800"/>
        </w:tabs>
        <w:spacing w:line="780" w:lineRule="exact"/>
        <w:ind w:firstLine="558" w:firstLineChars="150"/>
        <w:rPr>
          <w:rFonts w:ascii="宋体" w:hAnsi="宋体"/>
          <w:color w:val="auto"/>
          <w:spacing w:val="20"/>
          <w:sz w:val="32"/>
          <w:szCs w:val="32"/>
          <w:highlight w:val="none"/>
          <w:u w:val="single"/>
        </w:rPr>
      </w:pPr>
      <w:r>
        <w:rPr>
          <w:rFonts w:hint="eastAsia" w:ascii="宋体" w:hAnsi="宋体"/>
          <w:color w:val="auto"/>
          <w:spacing w:val="26"/>
          <w:sz w:val="32"/>
          <w:szCs w:val="32"/>
          <w:highlight w:val="none"/>
        </w:rPr>
        <w:t>项目名称</w:t>
      </w:r>
      <w:r>
        <w:rPr>
          <w:rFonts w:hint="eastAsia" w:ascii="宋体" w:hAnsi="宋体"/>
          <w:color w:val="auto"/>
          <w:spacing w:val="20"/>
          <w:sz w:val="32"/>
          <w:szCs w:val="32"/>
          <w:highlight w:val="none"/>
        </w:rPr>
        <w:t>：</w:t>
      </w:r>
      <w:r>
        <w:rPr>
          <w:rFonts w:hint="eastAsia" w:ascii="宋体" w:hAnsi="宋体"/>
          <w:snapToGrid w:val="0"/>
          <w:color w:val="auto"/>
          <w:kern w:val="0"/>
          <w:sz w:val="32"/>
          <w:szCs w:val="32"/>
          <w:highlight w:val="none"/>
          <w:u w:val="single"/>
        </w:rPr>
        <w:t xml:space="preserve">淮河小学东校区新建工程智能化采购项目 </w:t>
      </w:r>
    </w:p>
    <w:p>
      <w:pPr>
        <w:tabs>
          <w:tab w:val="left" w:pos="1800"/>
        </w:tabs>
        <w:spacing w:line="780" w:lineRule="exact"/>
        <w:ind w:firstLine="558" w:firstLineChars="150"/>
        <w:rPr>
          <w:color w:val="auto"/>
          <w:spacing w:val="26"/>
          <w:sz w:val="32"/>
          <w:szCs w:val="32"/>
          <w:highlight w:val="none"/>
        </w:rPr>
      </w:pPr>
      <w:r>
        <w:rPr>
          <w:rFonts w:hint="eastAsia"/>
          <w:color w:val="auto"/>
          <w:spacing w:val="26"/>
          <w:sz w:val="32"/>
          <w:szCs w:val="32"/>
          <w:highlight w:val="none"/>
        </w:rPr>
        <w:t>发 包 人：</w:t>
      </w:r>
      <w:r>
        <w:rPr>
          <w:rFonts w:hint="eastAsia" w:ascii="宋体" w:hAnsi="宋体"/>
          <w:snapToGrid w:val="0"/>
          <w:color w:val="auto"/>
          <w:kern w:val="0"/>
          <w:sz w:val="32"/>
          <w:szCs w:val="32"/>
          <w:highlight w:val="none"/>
          <w:u w:val="single"/>
        </w:rPr>
        <w:t xml:space="preserve">宁波市北仑区公共项目建设管理中心     </w:t>
      </w:r>
    </w:p>
    <w:p>
      <w:pPr>
        <w:tabs>
          <w:tab w:val="left" w:pos="1800"/>
        </w:tabs>
        <w:spacing w:line="780" w:lineRule="exact"/>
        <w:ind w:firstLine="558" w:firstLineChars="150"/>
        <w:rPr>
          <w:color w:val="auto"/>
          <w:spacing w:val="26"/>
          <w:sz w:val="32"/>
          <w:szCs w:val="32"/>
          <w:highlight w:val="none"/>
        </w:rPr>
      </w:pPr>
      <w:r>
        <w:rPr>
          <w:rFonts w:hint="eastAsia"/>
          <w:color w:val="auto"/>
          <w:spacing w:val="26"/>
          <w:sz w:val="32"/>
          <w:szCs w:val="32"/>
          <w:highlight w:val="none"/>
        </w:rPr>
        <w:t>承 包 人：</w:t>
      </w:r>
      <w:r>
        <w:rPr>
          <w:rFonts w:hint="eastAsia" w:ascii="宋体" w:hAnsi="宋体"/>
          <w:color w:val="auto"/>
          <w:spacing w:val="20"/>
          <w:sz w:val="32"/>
          <w:szCs w:val="32"/>
          <w:highlight w:val="none"/>
          <w:u w:val="single"/>
        </w:rPr>
        <w:t xml:space="preserve">                             </w:t>
      </w:r>
    </w:p>
    <w:p>
      <w:pPr>
        <w:tabs>
          <w:tab w:val="left" w:pos="1800"/>
        </w:tabs>
        <w:spacing w:line="780" w:lineRule="exact"/>
        <w:ind w:firstLine="558" w:firstLineChars="150"/>
        <w:rPr>
          <w:rFonts w:ascii="宋体" w:hAnsi="宋体"/>
          <w:color w:val="auto"/>
          <w:sz w:val="32"/>
          <w:szCs w:val="32"/>
          <w:highlight w:val="none"/>
          <w:u w:val="single"/>
        </w:rPr>
      </w:pPr>
      <w:r>
        <w:rPr>
          <w:rFonts w:hint="eastAsia"/>
          <w:color w:val="auto"/>
          <w:spacing w:val="26"/>
          <w:sz w:val="32"/>
          <w:szCs w:val="32"/>
          <w:highlight w:val="none"/>
        </w:rPr>
        <w:t>丙   方：</w:t>
      </w:r>
      <w:r>
        <w:rPr>
          <w:rFonts w:hint="eastAsia"/>
          <w:color w:val="auto"/>
          <w:spacing w:val="26"/>
          <w:sz w:val="32"/>
          <w:szCs w:val="32"/>
          <w:highlight w:val="none"/>
          <w:u w:val="single"/>
        </w:rPr>
        <w:t>宁波市北仑教育发展有限公司</w:t>
      </w:r>
      <w:r>
        <w:rPr>
          <w:rFonts w:hint="eastAsia" w:ascii="宋体" w:hAnsi="宋体"/>
          <w:snapToGrid w:val="0"/>
          <w:color w:val="auto"/>
          <w:kern w:val="0"/>
          <w:sz w:val="32"/>
          <w:szCs w:val="32"/>
          <w:highlight w:val="none"/>
          <w:u w:val="single"/>
        </w:rPr>
        <w:t xml:space="preserve">       </w:t>
      </w:r>
    </w:p>
    <w:p>
      <w:pPr>
        <w:spacing w:before="240" w:after="240" w:line="360" w:lineRule="auto"/>
        <w:jc w:val="center"/>
        <w:rPr>
          <w:rFonts w:ascii="宋体" w:hAnsi="宋体"/>
          <w:b/>
          <w:snapToGrid w:val="0"/>
          <w:color w:val="auto"/>
          <w:kern w:val="0"/>
          <w:sz w:val="28"/>
          <w:szCs w:val="28"/>
          <w:highlight w:val="none"/>
        </w:rPr>
      </w:pPr>
      <w:r>
        <w:rPr>
          <w:rFonts w:ascii="宋体" w:hAnsi="宋体"/>
          <w:color w:val="auto"/>
          <w:sz w:val="32"/>
          <w:szCs w:val="32"/>
          <w:highlight w:val="none"/>
          <w:u w:val="single"/>
        </w:rPr>
        <w:br w:type="page"/>
      </w:r>
      <w:r>
        <w:rPr>
          <w:rFonts w:hint="eastAsia" w:ascii="宋体" w:hAnsi="宋体"/>
          <w:b/>
          <w:snapToGrid w:val="0"/>
          <w:color w:val="auto"/>
          <w:kern w:val="0"/>
          <w:sz w:val="28"/>
          <w:szCs w:val="28"/>
          <w:highlight w:val="none"/>
        </w:rPr>
        <w:t>智能化采购合同</w:t>
      </w:r>
    </w:p>
    <w:p>
      <w:pPr>
        <w:snapToGrid w:val="0"/>
        <w:spacing w:before="240"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宁波市北仑区公共项目建设管理中心</w:t>
      </w:r>
      <w:r>
        <w:rPr>
          <w:rFonts w:ascii="宋体" w:hAnsi="宋体"/>
          <w:color w:val="auto"/>
          <w:szCs w:val="21"/>
          <w:highlight w:val="none"/>
        </w:rPr>
        <w:t xml:space="preserve"> (</w:t>
      </w:r>
      <w:r>
        <w:rPr>
          <w:rFonts w:hint="eastAsia" w:ascii="宋体" w:hAnsi="宋体"/>
          <w:color w:val="auto"/>
          <w:szCs w:val="21"/>
          <w:highlight w:val="none"/>
        </w:rPr>
        <w:t>以下简称“发包人”</w:t>
      </w:r>
      <w:r>
        <w:rPr>
          <w:rFonts w:ascii="宋体" w:hAnsi="宋体"/>
          <w:color w:val="auto"/>
          <w:szCs w:val="21"/>
          <w:highlight w:val="none"/>
        </w:rPr>
        <w:t>)</w:t>
      </w:r>
      <w:r>
        <w:rPr>
          <w:rFonts w:hint="eastAsia" w:ascii="宋体" w:hAnsi="宋体"/>
          <w:color w:val="auto"/>
          <w:szCs w:val="21"/>
          <w:highlight w:val="none"/>
        </w:rPr>
        <w:t>的</w:t>
      </w:r>
      <w:r>
        <w:rPr>
          <w:rFonts w:hint="eastAsia" w:ascii="宋体" w:hAnsi="宋体"/>
          <w:color w:val="auto"/>
          <w:szCs w:val="21"/>
          <w:highlight w:val="none"/>
          <w:u w:val="single"/>
        </w:rPr>
        <w:t xml:space="preserve">                         </w:t>
      </w:r>
      <w:r>
        <w:rPr>
          <w:rFonts w:hint="eastAsia" w:ascii="宋体" w:hAnsi="宋体"/>
          <w:color w:val="auto"/>
          <w:szCs w:val="21"/>
          <w:highlight w:val="none"/>
        </w:rPr>
        <w:t>经浙江天诚工程咨询有限公司以</w:t>
      </w:r>
      <w:r>
        <w:rPr>
          <w:rFonts w:hint="eastAsia" w:ascii="宋体" w:hAnsi="宋体"/>
          <w:color w:val="auto"/>
          <w:szCs w:val="21"/>
          <w:highlight w:val="none"/>
          <w:u w:val="single"/>
        </w:rPr>
        <w:t xml:space="preserve">           </w:t>
      </w:r>
      <w:r>
        <w:rPr>
          <w:rFonts w:hint="eastAsia" w:ascii="宋体" w:hAnsi="宋体"/>
          <w:color w:val="auto"/>
          <w:szCs w:val="21"/>
          <w:highlight w:val="none"/>
        </w:rPr>
        <w:t>号《招标文件》进行公开招标。经评标委员会评定，</w:t>
      </w:r>
      <w:r>
        <w:rPr>
          <w:rFonts w:hint="eastAsia" w:ascii="宋体" w:hAnsi="宋体"/>
          <w:color w:val="auto"/>
          <w:szCs w:val="21"/>
          <w:highlight w:val="none"/>
          <w:u w:val="single"/>
        </w:rPr>
        <w:t xml:space="preserve">   </w:t>
      </w:r>
    </w:p>
    <w:p>
      <w:pPr>
        <w:snapToGrid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以下简称“承包人”</w:t>
      </w:r>
      <w:r>
        <w:rPr>
          <w:rFonts w:ascii="宋体" w:hAnsi="宋体"/>
          <w:color w:val="auto"/>
          <w:szCs w:val="21"/>
          <w:highlight w:val="none"/>
        </w:rPr>
        <w:t>)</w:t>
      </w:r>
      <w:r>
        <w:rPr>
          <w:rFonts w:hint="eastAsia" w:ascii="宋体" w:hAnsi="宋体"/>
          <w:color w:val="auto"/>
          <w:szCs w:val="21"/>
          <w:highlight w:val="none"/>
        </w:rPr>
        <w:t>为中标人，</w:t>
      </w:r>
      <w:r>
        <w:rPr>
          <w:rFonts w:hint="eastAsia" w:ascii="宋体" w:hAnsi="宋体"/>
          <w:color w:val="auto"/>
          <w:kern w:val="0"/>
          <w:szCs w:val="21"/>
          <w:highlight w:val="none"/>
        </w:rPr>
        <w:t>合同三方同意</w:t>
      </w:r>
      <w:r>
        <w:rPr>
          <w:rFonts w:hint="eastAsia" w:ascii="宋体" w:hAnsi="宋体"/>
          <w:color w:val="auto"/>
          <w:szCs w:val="21"/>
          <w:highlight w:val="none"/>
        </w:rPr>
        <w:t>按照下述的条款和条件签署本合同。</w:t>
      </w:r>
    </w:p>
    <w:p>
      <w:pPr>
        <w:numPr>
          <w:ilvl w:val="0"/>
          <w:numId w:val="7"/>
        </w:numPr>
        <w:snapToGrid w:val="0"/>
        <w:spacing w:line="360" w:lineRule="auto"/>
        <w:rPr>
          <w:rFonts w:ascii="宋体" w:hAnsi="宋体"/>
          <w:color w:val="auto"/>
          <w:szCs w:val="21"/>
          <w:highlight w:val="none"/>
        </w:rPr>
      </w:pPr>
      <w:r>
        <w:rPr>
          <w:rFonts w:hint="eastAsia" w:ascii="宋体" w:hAnsi="宋体"/>
          <w:b/>
          <w:bCs/>
          <w:color w:val="auto"/>
          <w:szCs w:val="21"/>
          <w:highlight w:val="none"/>
        </w:rPr>
        <w:t>采购清单（需注明主要系统、子系统及主要设备名称）</w:t>
      </w:r>
      <w:r>
        <w:rPr>
          <w:rFonts w:hint="eastAsia" w:ascii="宋体" w:hAnsi="宋体"/>
          <w:color w:val="auto"/>
          <w:szCs w:val="21"/>
          <w:highlight w:val="none"/>
        </w:rPr>
        <w:t>：</w:t>
      </w:r>
    </w:p>
    <w:p>
      <w:pPr>
        <w:snapToGrid w:val="0"/>
        <w:spacing w:line="360" w:lineRule="auto"/>
        <w:ind w:left="472"/>
        <w:jc w:val="right"/>
        <w:rPr>
          <w:rFonts w:ascii="宋体" w:hAnsi="宋体"/>
          <w:color w:val="auto"/>
          <w:szCs w:val="21"/>
          <w:highlight w:val="none"/>
        </w:rPr>
      </w:pPr>
      <w:r>
        <w:rPr>
          <w:rFonts w:hint="eastAsia" w:ascii="宋体" w:hAnsi="宋体"/>
          <w:color w:val="auto"/>
          <w:szCs w:val="21"/>
          <w:highlight w:val="none"/>
        </w:rPr>
        <w:t>单位：元</w:t>
      </w:r>
    </w:p>
    <w:tbl>
      <w:tblPr>
        <w:tblStyle w:val="13"/>
        <w:tblW w:w="0" w:type="auto"/>
        <w:tblInd w:w="19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36"/>
        <w:gridCol w:w="4224"/>
        <w:gridCol w:w="1620"/>
        <w:gridCol w:w="2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836" w:type="dxa"/>
            <w:noWrap w:val="0"/>
            <w:tcMar>
              <w:top w:w="20" w:type="dxa"/>
              <w:left w:w="20" w:type="dxa"/>
              <w:bottom w:w="0" w:type="dxa"/>
              <w:right w:w="20" w:type="dxa"/>
            </w:tcMar>
            <w:vAlign w:val="center"/>
          </w:tcPr>
          <w:p>
            <w:pPr>
              <w:jc w:val="center"/>
              <w:rPr>
                <w:b/>
                <w:color w:val="auto"/>
                <w:highlight w:val="none"/>
              </w:rPr>
            </w:pPr>
            <w:r>
              <w:rPr>
                <w:rFonts w:hint="eastAsia"/>
                <w:b/>
                <w:color w:val="auto"/>
                <w:highlight w:val="none"/>
              </w:rPr>
              <w:t>序号</w:t>
            </w:r>
          </w:p>
        </w:tc>
        <w:tc>
          <w:tcPr>
            <w:tcW w:w="4224" w:type="dxa"/>
            <w:noWrap w:val="0"/>
            <w:tcMar>
              <w:top w:w="20" w:type="dxa"/>
              <w:left w:w="20" w:type="dxa"/>
              <w:bottom w:w="0" w:type="dxa"/>
              <w:right w:w="20" w:type="dxa"/>
            </w:tcMar>
            <w:vAlign w:val="center"/>
          </w:tcPr>
          <w:p>
            <w:pPr>
              <w:jc w:val="center"/>
              <w:rPr>
                <w:b/>
                <w:color w:val="auto"/>
                <w:highlight w:val="none"/>
              </w:rPr>
            </w:pPr>
            <w:r>
              <w:rPr>
                <w:rFonts w:hint="eastAsia"/>
                <w:b/>
                <w:color w:val="auto"/>
                <w:highlight w:val="none"/>
              </w:rPr>
              <w:t>系统名称</w:t>
            </w:r>
          </w:p>
        </w:tc>
        <w:tc>
          <w:tcPr>
            <w:tcW w:w="1620" w:type="dxa"/>
            <w:noWrap w:val="0"/>
            <w:vAlign w:val="center"/>
          </w:tcPr>
          <w:p>
            <w:pPr>
              <w:jc w:val="center"/>
              <w:rPr>
                <w:b/>
                <w:color w:val="auto"/>
                <w:highlight w:val="none"/>
              </w:rPr>
            </w:pPr>
            <w:r>
              <w:rPr>
                <w:rFonts w:hint="eastAsia"/>
                <w:b/>
                <w:color w:val="auto"/>
                <w:highlight w:val="none"/>
              </w:rPr>
              <w:t>小计</w:t>
            </w:r>
          </w:p>
        </w:tc>
        <w:tc>
          <w:tcPr>
            <w:tcW w:w="2222" w:type="dxa"/>
            <w:noWrap w:val="0"/>
            <w:vAlign w:val="center"/>
          </w:tcPr>
          <w:p>
            <w:pPr>
              <w:jc w:val="center"/>
              <w:rPr>
                <w:b/>
                <w:color w:val="auto"/>
                <w:highlight w:val="none"/>
              </w:rPr>
            </w:pPr>
            <w:r>
              <w:rPr>
                <w:rFonts w:hint="eastAsia"/>
                <w:b/>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restart"/>
            <w:noWrap w:val="0"/>
            <w:vAlign w:val="center"/>
          </w:tcPr>
          <w:p>
            <w:pPr>
              <w:jc w:val="center"/>
              <w:rPr>
                <w:rFonts w:ascii="宋体" w:hAnsi="宋体"/>
                <w:color w:val="auto"/>
                <w:highlight w:val="none"/>
              </w:rPr>
            </w:pPr>
            <w:r>
              <w:rPr>
                <w:rFonts w:hint="eastAsia" w:ascii="宋体" w:hAnsi="宋体"/>
                <w:color w:val="auto"/>
                <w:highlight w:val="none"/>
              </w:rPr>
              <w:t>具体设备清单价格及技术参数详见招标、投标文件及图纸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836" w:type="dxa"/>
            <w:noWrap w:val="0"/>
            <w:tcMar>
              <w:top w:w="20" w:type="dxa"/>
              <w:left w:w="20" w:type="dxa"/>
              <w:bottom w:w="0" w:type="dxa"/>
              <w:right w:w="20" w:type="dxa"/>
            </w:tcMar>
            <w:vAlign w:val="center"/>
          </w:tcPr>
          <w:p>
            <w:pPr>
              <w:jc w:val="center"/>
              <w:rPr>
                <w:rFonts w:ascii="宋体" w:hAnsi="宋体"/>
                <w:color w:val="auto"/>
                <w:highlight w:val="none"/>
              </w:rPr>
            </w:pPr>
          </w:p>
        </w:tc>
        <w:tc>
          <w:tcPr>
            <w:tcW w:w="4224" w:type="dxa"/>
            <w:noWrap w:val="0"/>
            <w:tcMar>
              <w:top w:w="20" w:type="dxa"/>
              <w:left w:w="20" w:type="dxa"/>
              <w:bottom w:w="0" w:type="dxa"/>
              <w:right w:w="20" w:type="dxa"/>
            </w:tcMar>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2222"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5060" w:type="dxa"/>
            <w:gridSpan w:val="2"/>
            <w:noWrap w:val="0"/>
            <w:tcMar>
              <w:top w:w="20" w:type="dxa"/>
              <w:left w:w="20" w:type="dxa"/>
              <w:bottom w:w="0" w:type="dxa"/>
              <w:right w:w="20" w:type="dxa"/>
            </w:tcMar>
            <w:vAlign w:val="center"/>
          </w:tcPr>
          <w:p>
            <w:pPr>
              <w:jc w:val="center"/>
              <w:rPr>
                <w:rFonts w:ascii="宋体" w:hAnsi="宋体"/>
                <w:color w:val="auto"/>
                <w:highlight w:val="none"/>
              </w:rPr>
            </w:pPr>
            <w:r>
              <w:rPr>
                <w:rFonts w:hint="eastAsia" w:ascii="宋体" w:hAnsi="宋体"/>
                <w:color w:val="auto"/>
                <w:highlight w:val="none"/>
              </w:rPr>
              <w:t>合同总价</w:t>
            </w:r>
          </w:p>
        </w:tc>
        <w:tc>
          <w:tcPr>
            <w:tcW w:w="1620" w:type="dxa"/>
            <w:noWrap w:val="0"/>
            <w:vAlign w:val="center"/>
          </w:tcPr>
          <w:p>
            <w:pPr>
              <w:jc w:val="center"/>
              <w:rPr>
                <w:rFonts w:ascii="宋体" w:hAnsi="宋体"/>
                <w:color w:val="auto"/>
                <w:highlight w:val="none"/>
              </w:rPr>
            </w:pPr>
          </w:p>
        </w:tc>
        <w:tc>
          <w:tcPr>
            <w:tcW w:w="2222" w:type="dxa"/>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8902" w:type="dxa"/>
            <w:gridSpan w:val="4"/>
            <w:noWrap w:val="0"/>
            <w:tcMar>
              <w:top w:w="20" w:type="dxa"/>
              <w:left w:w="20" w:type="dxa"/>
              <w:bottom w:w="0" w:type="dxa"/>
              <w:right w:w="20" w:type="dxa"/>
            </w:tcMar>
            <w:vAlign w:val="center"/>
          </w:tcPr>
          <w:p>
            <w:pPr>
              <w:snapToGrid w:val="0"/>
              <w:ind w:left="4" w:leftChars="2" w:firstLine="302" w:firstLineChars="144"/>
              <w:jc w:val="left"/>
              <w:rPr>
                <w:rFonts w:ascii="宋体" w:hAnsi="宋体"/>
                <w:color w:val="auto"/>
                <w:szCs w:val="21"/>
                <w:highlight w:val="none"/>
              </w:rPr>
            </w:pPr>
            <w:r>
              <w:rPr>
                <w:rFonts w:hint="eastAsia" w:ascii="宋体" w:hAnsi="宋体"/>
                <w:bCs/>
                <w:color w:val="auto"/>
                <w:szCs w:val="21"/>
                <w:highlight w:val="none"/>
              </w:rPr>
              <w:t>大写：人民币</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元整  </w:t>
            </w:r>
          </w:p>
        </w:tc>
      </w:tr>
    </w:tbl>
    <w:p>
      <w:pPr>
        <w:snapToGrid w:val="0"/>
        <w:spacing w:before="156" w:beforeLines="50"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注：合同总价包含系统深化设计、设备和材料采购、运输及装卸、安装、系统集成、调试及试运行、备品备件费（随机备品备件已含于本合同价内）、产品保护、履约验收、技术培训、保修期内的售后服务、利润、税金等内容及合同总价</w:t>
      </w:r>
      <w:r>
        <w:rPr>
          <w:rFonts w:hint="eastAsia" w:ascii="宋体" w:hAnsi="宋体"/>
          <w:color w:val="auto"/>
          <w:szCs w:val="21"/>
          <w:highlight w:val="none"/>
          <w:u w:val="single"/>
          <w:lang w:val="zh-CN"/>
        </w:rPr>
        <w:t xml:space="preserve"> 2 </w:t>
      </w:r>
      <w:r>
        <w:rPr>
          <w:rFonts w:ascii="宋体" w:hAnsi="宋体"/>
          <w:color w:val="auto"/>
          <w:szCs w:val="21"/>
          <w:highlight w:val="none"/>
          <w:lang w:val="zh-CN"/>
        </w:rPr>
        <w:t>%</w:t>
      </w:r>
      <w:r>
        <w:rPr>
          <w:rFonts w:hint="eastAsia" w:ascii="宋体" w:hAnsi="宋体"/>
          <w:color w:val="auto"/>
          <w:szCs w:val="21"/>
          <w:highlight w:val="none"/>
          <w:lang w:val="zh-CN"/>
        </w:rPr>
        <w:t>的总包配合费。</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2、承包方式</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2.1本合同的承包范围按施工设计图纸及《招标文件》规定，合同总价为完成本项目的全部工作内容。</w:t>
      </w:r>
    </w:p>
    <w:p>
      <w:pPr>
        <w:snapToGrid w:val="0"/>
        <w:spacing w:line="360" w:lineRule="auto"/>
        <w:ind w:firstLine="420" w:firstLineChars="200"/>
        <w:rPr>
          <w:rFonts w:ascii="宋体" w:hAnsi="宋体"/>
          <w:b/>
          <w:color w:val="auto"/>
          <w:szCs w:val="21"/>
          <w:highlight w:val="none"/>
          <w:lang w:val="zh-CN"/>
        </w:rPr>
      </w:pPr>
      <w:r>
        <w:rPr>
          <w:rFonts w:hint="eastAsia" w:ascii="宋体" w:hAnsi="宋体"/>
          <w:b/>
          <w:color w:val="auto"/>
          <w:szCs w:val="21"/>
          <w:highlight w:val="none"/>
          <w:lang w:val="zh-CN"/>
        </w:rPr>
        <w:t>3、合同价</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3.1本合同总价为</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万元（大写：人民币</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元整），其中合同总价的</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%为总包配合费。工程量单价见投标文件的《投标报价明细表》。</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3.2合同总价为完成工作内容的全部费用，实行固定总价包干，包干范围为招标文件的施工设计图纸及招标文件设计方案，任何由于承包人对工程量的少算、漏报等，中标后不得调整。</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3.3发包人提出的设计变更或由承包人提出的合理化建议（经发包人同意采纳）的设计变更，均凭签证联系单，根据实际发生调整费用。设备材料的数量如因设计方案变化而更改，结算时则按投标单价为准予以调整。</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3.4</w:t>
      </w:r>
      <w:r>
        <w:rPr>
          <w:rFonts w:hint="eastAsia" w:ascii="宋体" w:hAnsi="宋体"/>
          <w:b/>
          <w:color w:val="auto"/>
          <w:szCs w:val="21"/>
          <w:highlight w:val="none"/>
          <w:lang w:val="zh-CN"/>
        </w:rPr>
        <w:t>凡属承包人投标时漏项少算的费用不得追补，投标文件中</w:t>
      </w:r>
      <w:r>
        <w:rPr>
          <w:rFonts w:hint="eastAsia" w:ascii="宋体" w:hAnsi="宋体"/>
          <w:b/>
          <w:color w:val="auto"/>
          <w:highlight w:val="none"/>
        </w:rPr>
        <w:t>单价金额、单价汇总金额与投标一览表不一致的，结算时按不利于承包人的原则调整</w:t>
      </w:r>
      <w:r>
        <w:rPr>
          <w:rFonts w:hint="eastAsia" w:ascii="宋体" w:hAnsi="宋体"/>
          <w:color w:val="auto"/>
          <w:szCs w:val="21"/>
          <w:highlight w:val="none"/>
          <w:lang w:val="zh-CN"/>
        </w:rPr>
        <w:t>。</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4、付款方式</w:t>
      </w:r>
      <w:r>
        <w:rPr>
          <w:rFonts w:ascii="宋体" w:hAnsi="宋体"/>
          <w:b/>
          <w:bCs/>
          <w:color w:val="auto"/>
          <w:szCs w:val="21"/>
          <w:highlight w:val="none"/>
        </w:rPr>
        <w:t xml:space="preserve"> </w:t>
      </w:r>
    </w:p>
    <w:p>
      <w:pPr>
        <w:adjustRightInd w:val="0"/>
        <w:snapToGri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（1）合同生效并具备实施条件后7个工作日内，</w:t>
      </w:r>
      <w:r>
        <w:rPr>
          <w:rFonts w:hint="eastAsia" w:ascii="宋体" w:hAnsi="宋体"/>
          <w:color w:val="auto"/>
          <w:szCs w:val="21"/>
          <w:highlight w:val="none"/>
          <w:lang w:val="en-US" w:eastAsia="zh-CN"/>
        </w:rPr>
        <w:t>买方</w:t>
      </w:r>
      <w:r>
        <w:rPr>
          <w:rFonts w:hint="eastAsia" w:ascii="宋体" w:hAnsi="宋体"/>
          <w:color w:val="auto"/>
          <w:szCs w:val="21"/>
          <w:highlight w:val="none"/>
          <w:lang w:val="zh-CN"/>
        </w:rPr>
        <w:t>收到</w:t>
      </w:r>
      <w:r>
        <w:rPr>
          <w:rFonts w:hint="eastAsia" w:ascii="宋体" w:hAnsi="宋体"/>
          <w:color w:val="auto"/>
          <w:szCs w:val="21"/>
          <w:highlight w:val="none"/>
          <w:lang w:val="en-US" w:eastAsia="zh-CN"/>
        </w:rPr>
        <w:t>卖方</w:t>
      </w:r>
      <w:r>
        <w:rPr>
          <w:rFonts w:hint="eastAsia" w:ascii="宋体" w:hAnsi="宋体"/>
          <w:color w:val="auto"/>
          <w:szCs w:val="21"/>
          <w:highlight w:val="none"/>
          <w:lang w:val="zh-CN"/>
        </w:rPr>
        <w:t>开具的发票及预付款保函后，出资方支付合同金额的40%的货款；预付款保函由银行、保险公司等金融机构出具且与预付款等同金额。</w:t>
      </w:r>
    </w:p>
    <w:p>
      <w:pPr>
        <w:adjustRightInd w:val="0"/>
        <w:snapToGri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（2）各子系统的主要关键设备到位后，承包人及时向发包人提出到货验收申请，通过发包人验收后，出资人向承包人支付合同总价的20%。</w:t>
      </w:r>
    </w:p>
    <w:p>
      <w:pPr>
        <w:adjustRightInd w:val="0"/>
        <w:snapToGri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（3）安装调试完成后，承包人及时向发包人提出初步验收申请，经发包人初步验收合格，出资人向承包人支付合同总价的20%。</w:t>
      </w:r>
    </w:p>
    <w:p>
      <w:pPr>
        <w:adjustRightInd w:val="0"/>
        <w:snapToGri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4）初步验收合格，全部系统试运行满1个月后，承包人及时向发包人提出最终验收申请，最终验收通过后，出资人向承包人支付余款，且在承包人出具由使用单位书面签字盖章确认的设备正常运行函后退还预付款保函。</w:t>
      </w:r>
    </w:p>
    <w:p>
      <w:pPr>
        <w:adjustRightInd w:val="0"/>
        <w:snapToGri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（5）承包人不按规定提出验收申请的，当次支付申请不予受理，相关验收内容延至下一道验收程序中进行。</w:t>
      </w:r>
    </w:p>
    <w:p>
      <w:pPr>
        <w:adjustRightInd w:val="0"/>
        <w:snapToGrid w:val="0"/>
        <w:spacing w:line="360" w:lineRule="auto"/>
        <w:ind w:firstLine="411" w:firstLineChars="196"/>
        <w:jc w:val="left"/>
        <w:rPr>
          <w:rFonts w:ascii="宋体" w:hAnsi="宋体"/>
          <w:b/>
          <w:bCs/>
          <w:color w:val="auto"/>
          <w:szCs w:val="21"/>
          <w:highlight w:val="none"/>
          <w:lang w:val="zh-CN"/>
        </w:rPr>
      </w:pPr>
      <w:r>
        <w:rPr>
          <w:rFonts w:hint="eastAsia" w:ascii="宋体" w:hAnsi="宋体"/>
          <w:b/>
          <w:bCs/>
          <w:color w:val="auto"/>
          <w:szCs w:val="21"/>
          <w:highlight w:val="none"/>
          <w:lang w:val="zh-CN"/>
        </w:rPr>
        <w:t>5、工期</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5</w:t>
      </w:r>
      <w:r>
        <w:rPr>
          <w:rFonts w:ascii="宋体" w:hAnsi="宋体"/>
          <w:color w:val="auto"/>
          <w:szCs w:val="21"/>
          <w:highlight w:val="none"/>
          <w:lang w:val="zh-CN"/>
        </w:rPr>
        <w:t>.1</w:t>
      </w:r>
      <w:r>
        <w:rPr>
          <w:rFonts w:hint="eastAsia" w:ascii="宋体" w:hAnsi="宋体"/>
          <w:color w:val="auto"/>
          <w:szCs w:val="21"/>
          <w:highlight w:val="none"/>
          <w:lang w:val="zh-CN"/>
        </w:rPr>
        <w:t>配合土建施工进度要求，</w:t>
      </w:r>
      <w:r>
        <w:rPr>
          <w:rFonts w:hint="eastAsia" w:ascii="宋体" w:hAnsi="宋体"/>
          <w:color w:val="auto"/>
          <w:highlight w:val="none"/>
          <w:lang w:val="zh-CN"/>
        </w:rPr>
        <w:t>并</w:t>
      </w:r>
      <w:r>
        <w:rPr>
          <w:rFonts w:hint="eastAsia" w:ascii="宋体" w:hAnsi="宋体"/>
          <w:color w:val="auto"/>
          <w:highlight w:val="none"/>
        </w:rPr>
        <w:t>在</w:t>
      </w:r>
      <w:r>
        <w:rPr>
          <w:rFonts w:hint="eastAsia" w:ascii="宋体" w:hAnsi="宋体"/>
          <w:color w:val="auto"/>
          <w:highlight w:val="none"/>
          <w:u w:val="single"/>
        </w:rPr>
        <w:t>2024</w:t>
      </w:r>
      <w:r>
        <w:rPr>
          <w:rFonts w:hint="eastAsia" w:ascii="宋体" w:hAnsi="宋体"/>
          <w:color w:val="auto"/>
          <w:highlight w:val="none"/>
        </w:rPr>
        <w:t>年</w:t>
      </w:r>
      <w:r>
        <w:rPr>
          <w:rFonts w:hint="eastAsia" w:ascii="宋体" w:hAnsi="宋体"/>
          <w:color w:val="auto"/>
          <w:highlight w:val="none"/>
          <w:u w:val="single"/>
        </w:rPr>
        <w:t>4</w:t>
      </w:r>
      <w:r>
        <w:rPr>
          <w:rFonts w:hint="eastAsia" w:ascii="宋体" w:hAnsi="宋体"/>
          <w:color w:val="auto"/>
          <w:highlight w:val="none"/>
        </w:rPr>
        <w:t>月</w:t>
      </w:r>
      <w:r>
        <w:rPr>
          <w:rFonts w:hint="eastAsia" w:ascii="宋体" w:hAnsi="宋体"/>
          <w:color w:val="auto"/>
          <w:highlight w:val="none"/>
          <w:u w:val="single"/>
        </w:rPr>
        <w:t>30</w:t>
      </w:r>
      <w:r>
        <w:rPr>
          <w:rFonts w:hint="eastAsia" w:ascii="宋体" w:hAnsi="宋体"/>
          <w:color w:val="auto"/>
          <w:highlight w:val="none"/>
        </w:rPr>
        <w:t>日前完成安装调试工作，并通过初验进入试运行，试运行期满后进行终验。若总包工期延期，则智能化施工工期相应顺延，合同总价不予调整。</w:t>
      </w:r>
      <w:r>
        <w:rPr>
          <w:rFonts w:hint="eastAsia" w:ascii="宋体" w:hAnsi="宋体"/>
          <w:color w:val="auto"/>
          <w:szCs w:val="21"/>
          <w:highlight w:val="none"/>
        </w:rPr>
        <w:t>承包人</w:t>
      </w:r>
      <w:r>
        <w:rPr>
          <w:rFonts w:hint="eastAsia" w:ascii="宋体" w:hAnsi="宋体"/>
          <w:color w:val="auto"/>
          <w:szCs w:val="21"/>
          <w:highlight w:val="none"/>
          <w:lang w:val="zh-CN"/>
        </w:rPr>
        <w:t>须配合总工程建设进度要求，接到发包人的进场通知后，按照通知要求的时间和内容进场施工，因承包人未在规定时间内进场施工而耽误工程总进度，由此造成的损失由承包人负责。</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5</w:t>
      </w:r>
      <w:r>
        <w:rPr>
          <w:rFonts w:ascii="宋体" w:hAnsi="宋体"/>
          <w:color w:val="auto"/>
          <w:szCs w:val="21"/>
          <w:highlight w:val="none"/>
          <w:lang w:val="zh-CN"/>
        </w:rPr>
        <w:t>.</w:t>
      </w:r>
      <w:r>
        <w:rPr>
          <w:rFonts w:hint="eastAsia" w:ascii="宋体" w:hAnsi="宋体"/>
          <w:color w:val="auto"/>
          <w:szCs w:val="21"/>
          <w:highlight w:val="none"/>
          <w:lang w:val="zh-CN"/>
        </w:rPr>
        <w:t>2发包人应提前5天发出进场通知，承包人按照通知的时间准时进场施工。因承包人未在规定时间内进场施工而耽误工程总进度，由此造成的损失由承包人负责。</w:t>
      </w:r>
    </w:p>
    <w:p>
      <w:pPr>
        <w:adjustRightInd w:val="0"/>
        <w:snapToGrid w:val="0"/>
        <w:spacing w:line="360" w:lineRule="auto"/>
        <w:ind w:firstLine="420" w:firstLineChars="200"/>
        <w:jc w:val="left"/>
        <w:rPr>
          <w:rFonts w:ascii="宋体" w:hAnsi="宋体"/>
          <w:b/>
          <w:color w:val="auto"/>
          <w:szCs w:val="21"/>
          <w:highlight w:val="none"/>
          <w:lang w:val="zh-CN"/>
        </w:rPr>
      </w:pPr>
      <w:r>
        <w:rPr>
          <w:rFonts w:hint="eastAsia" w:ascii="宋体" w:hAnsi="宋体"/>
          <w:b/>
          <w:color w:val="auto"/>
          <w:szCs w:val="21"/>
          <w:highlight w:val="none"/>
          <w:lang w:val="zh-CN"/>
        </w:rPr>
        <w:t>6、承包人工作及出资方权责</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6</w:t>
      </w:r>
      <w:r>
        <w:rPr>
          <w:rFonts w:ascii="宋体" w:hAnsi="宋体"/>
          <w:color w:val="auto"/>
          <w:szCs w:val="21"/>
          <w:highlight w:val="none"/>
          <w:lang w:val="zh-CN"/>
        </w:rPr>
        <w:t>.1</w:t>
      </w:r>
      <w:r>
        <w:rPr>
          <w:rFonts w:hint="eastAsia" w:ascii="宋体" w:hAnsi="宋体"/>
          <w:color w:val="auto"/>
          <w:szCs w:val="21"/>
          <w:highlight w:val="none"/>
          <w:lang w:val="zh-CN"/>
        </w:rPr>
        <w:t>负责本项目的设备材料采购、运输及装卸、安装</w:t>
      </w:r>
      <w:r>
        <w:rPr>
          <w:rFonts w:hint="eastAsia" w:ascii="宋体" w:hAnsi="宋体"/>
          <w:color w:val="auto"/>
          <w:szCs w:val="21"/>
          <w:highlight w:val="none"/>
          <w:lang w:val="en-US" w:eastAsia="zh-CN"/>
        </w:rPr>
        <w:t>施工</w:t>
      </w:r>
      <w:r>
        <w:rPr>
          <w:rFonts w:hint="eastAsia" w:ascii="宋体" w:hAnsi="宋体"/>
          <w:color w:val="auto"/>
          <w:szCs w:val="21"/>
          <w:highlight w:val="none"/>
          <w:lang w:val="zh-CN"/>
        </w:rPr>
        <w:t>、系统集成、调试与试运行、设备保护、履约验收、技术培训及售后服务等工作。</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6</w:t>
      </w:r>
      <w:r>
        <w:rPr>
          <w:rFonts w:ascii="宋体" w:hAnsi="宋体"/>
          <w:color w:val="auto"/>
          <w:szCs w:val="21"/>
          <w:highlight w:val="none"/>
          <w:lang w:val="zh-CN"/>
        </w:rPr>
        <w:t>.2</w:t>
      </w:r>
      <w:r>
        <w:rPr>
          <w:rFonts w:hint="eastAsia" w:ascii="宋体" w:hAnsi="宋体"/>
          <w:color w:val="auto"/>
          <w:szCs w:val="21"/>
          <w:highlight w:val="none"/>
          <w:lang w:val="zh-CN"/>
        </w:rPr>
        <w:t>根据发包人要求，免费完成对本系统项目的深化设计，深化设计必须全面满足发包人项目需求，不得降低项目规格或档次，并出施工图。施工图必须由本项目设计单位审核、签发。</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6</w:t>
      </w:r>
      <w:r>
        <w:rPr>
          <w:rFonts w:ascii="宋体" w:hAnsi="宋体"/>
          <w:color w:val="auto"/>
          <w:szCs w:val="21"/>
          <w:highlight w:val="none"/>
          <w:lang w:val="zh-CN"/>
        </w:rPr>
        <w:t>.3</w:t>
      </w:r>
      <w:r>
        <w:rPr>
          <w:rFonts w:hint="eastAsia" w:ascii="宋体" w:hAnsi="宋体"/>
          <w:color w:val="auto"/>
          <w:szCs w:val="21"/>
          <w:highlight w:val="none"/>
          <w:lang w:val="zh-CN"/>
        </w:rPr>
        <w:t>施工前针对本项目的要求，向发包人提供施工组织设计。</w:t>
      </w:r>
    </w:p>
    <w:p>
      <w:pPr>
        <w:adjustRightInd w:val="0"/>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6</w:t>
      </w:r>
      <w:r>
        <w:rPr>
          <w:rFonts w:ascii="宋体" w:hAnsi="宋体"/>
          <w:color w:val="auto"/>
          <w:szCs w:val="21"/>
          <w:highlight w:val="none"/>
          <w:lang w:val="zh-CN"/>
        </w:rPr>
        <w:t>.4</w:t>
      </w:r>
      <w:r>
        <w:rPr>
          <w:rFonts w:hint="eastAsia" w:ascii="宋体" w:hAnsi="宋体"/>
          <w:color w:val="auto"/>
          <w:szCs w:val="21"/>
          <w:highlight w:val="none"/>
          <w:lang w:val="zh-CN"/>
        </w:rPr>
        <w:t>施工阶段应按时向发包人提供施工进度统计报表。</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6</w:t>
      </w:r>
      <w:r>
        <w:rPr>
          <w:rFonts w:ascii="宋体" w:hAnsi="宋体"/>
          <w:color w:val="auto"/>
          <w:kern w:val="0"/>
          <w:szCs w:val="21"/>
          <w:highlight w:val="none"/>
          <w:lang w:val="zh-CN"/>
        </w:rPr>
        <w:t>.5</w:t>
      </w:r>
      <w:r>
        <w:rPr>
          <w:rFonts w:hint="eastAsia" w:ascii="宋体" w:hAnsi="宋体"/>
          <w:color w:val="auto"/>
          <w:kern w:val="0"/>
          <w:szCs w:val="21"/>
          <w:highlight w:val="none"/>
          <w:lang w:val="zh-CN"/>
        </w:rPr>
        <w:t>提供本项目各类技术资料、合同履约验收报告单、合同履约验收意见书（到货验收）等，参加履约验收。</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6</w:t>
      </w:r>
      <w:r>
        <w:rPr>
          <w:rFonts w:ascii="宋体" w:hAnsi="宋体"/>
          <w:color w:val="auto"/>
          <w:kern w:val="0"/>
          <w:szCs w:val="21"/>
          <w:highlight w:val="none"/>
          <w:lang w:val="zh-CN"/>
        </w:rPr>
        <w:t>.6</w:t>
      </w:r>
      <w:r>
        <w:rPr>
          <w:rFonts w:hint="eastAsia" w:ascii="宋体" w:hAnsi="宋体"/>
          <w:color w:val="auto"/>
          <w:kern w:val="0"/>
          <w:szCs w:val="21"/>
          <w:highlight w:val="none"/>
          <w:lang w:val="zh-CN"/>
        </w:rPr>
        <w:t>与工程总包单位配合、协调工作，收到第一次进度款后直接支付工程总包单位配合费。</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kern w:val="0"/>
          <w:szCs w:val="21"/>
          <w:highlight w:val="none"/>
          <w:lang w:val="zh-CN"/>
        </w:rPr>
        <w:t>6.7接受发包人授权的监理单位的监理，并配合监理单位的工作。</w:t>
      </w:r>
    </w:p>
    <w:p>
      <w:pPr>
        <w:snapToGrid w:val="0"/>
        <w:spacing w:line="360" w:lineRule="auto"/>
        <w:ind w:firstLine="420" w:firstLineChars="20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6.8出资人在发包方式、合同支付条款等符合国家、省、市、区相关规定的前提下，严格按合同要求向承包人支付合同价款；</w:t>
      </w:r>
      <w:r>
        <w:rPr>
          <w:rFonts w:hint="eastAsia" w:ascii="宋体" w:hAnsi="宋体"/>
          <w:color w:val="auto"/>
          <w:kern w:val="0"/>
          <w:szCs w:val="21"/>
          <w:highlight w:val="none"/>
          <w:lang w:val="zh-CN"/>
        </w:rPr>
        <w:br w:type="textWrapping"/>
      </w:r>
      <w:r>
        <w:rPr>
          <w:rFonts w:hint="eastAsia" w:ascii="宋体" w:hAnsi="宋体"/>
          <w:color w:val="auto"/>
          <w:kern w:val="0"/>
          <w:szCs w:val="21"/>
          <w:highlight w:val="none"/>
          <w:lang w:val="zh-CN"/>
        </w:rPr>
        <w:t xml:space="preserve">    6.9支付合同款项时，出资人有权要求发包人或承包人提供合同的发包、履约、验收等相关资料，发包人或承包人未提供的，出资人可不予支付合同价款；</w:t>
      </w:r>
    </w:p>
    <w:p>
      <w:pPr>
        <w:snapToGrid w:val="0"/>
        <w:spacing w:line="360" w:lineRule="auto"/>
        <w:ind w:firstLine="420" w:firstLineChars="20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6.10发包人确保合同结算价不超过概算审定价（单项），如若超出，由发包人负责办理该项内容的变更手续，未办理变更手续的，出资人可不予支付超过概算审定价以外的合同价款；</w:t>
      </w:r>
    </w:p>
    <w:p>
      <w:pPr>
        <w:snapToGrid w:val="0"/>
        <w:spacing w:line="360" w:lineRule="auto"/>
        <w:ind w:firstLine="420" w:firstLineChars="200"/>
        <w:rPr>
          <w:rFonts w:hint="eastAsia" w:ascii="宋体" w:hAnsi="宋体"/>
          <w:color w:val="auto"/>
          <w:szCs w:val="21"/>
          <w:highlight w:val="none"/>
          <w:lang w:val="zh-CN"/>
        </w:rPr>
      </w:pPr>
      <w:r>
        <w:rPr>
          <w:rFonts w:hint="eastAsia" w:ascii="宋体" w:hAnsi="宋体"/>
          <w:color w:val="auto"/>
          <w:kern w:val="0"/>
          <w:szCs w:val="21"/>
          <w:highlight w:val="none"/>
          <w:lang w:val="zh-CN"/>
        </w:rPr>
        <w:t>6.11出资人在付款前，承包人向出资人提供合法有效、足额的发票，发票抬头均为</w:t>
      </w:r>
      <w:r>
        <w:rPr>
          <w:rFonts w:hint="eastAsia" w:ascii="宋体" w:hAnsi="宋体"/>
          <w:color w:val="auto"/>
          <w:szCs w:val="21"/>
          <w:highlight w:val="none"/>
          <w:lang w:val="zh-CN"/>
        </w:rPr>
        <w:t>宁波市北仑教育发展有限公司。</w:t>
      </w:r>
    </w:p>
    <w:p>
      <w:pPr>
        <w:snapToGrid w:val="0"/>
        <w:spacing w:line="360" w:lineRule="auto"/>
        <w:ind w:firstLine="420" w:firstLineChars="200"/>
        <w:rPr>
          <w:rFonts w:ascii="宋体" w:hAnsi="宋体"/>
          <w:b/>
          <w:bCs/>
          <w:color w:val="auto"/>
          <w:szCs w:val="21"/>
          <w:highlight w:val="none"/>
        </w:rPr>
      </w:pPr>
      <w:r>
        <w:rPr>
          <w:rFonts w:hint="eastAsia" w:ascii="宋体" w:hAnsi="宋体"/>
          <w:b/>
          <w:bCs/>
          <w:color w:val="auto"/>
          <w:szCs w:val="21"/>
          <w:highlight w:val="none"/>
        </w:rPr>
        <w:t>7、</w:t>
      </w:r>
      <w:r>
        <w:rPr>
          <w:rFonts w:hint="eastAsia" w:ascii="宋体" w:hAnsi="宋体"/>
          <w:b/>
          <w:bCs/>
          <w:color w:val="auto"/>
          <w:szCs w:val="21"/>
          <w:highlight w:val="none"/>
          <w:lang w:val="zh-CN"/>
        </w:rPr>
        <w:t>施工管理</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w:t>
      </w:r>
      <w:r>
        <w:rPr>
          <w:rFonts w:ascii="宋体" w:hAnsi="宋体"/>
          <w:color w:val="auto"/>
          <w:szCs w:val="21"/>
          <w:highlight w:val="none"/>
          <w:lang w:val="zh-CN"/>
        </w:rPr>
        <w:t>.1</w:t>
      </w:r>
      <w:r>
        <w:rPr>
          <w:rFonts w:hint="eastAsia" w:ascii="宋体" w:hAnsi="宋体"/>
          <w:color w:val="auto"/>
          <w:szCs w:val="21"/>
          <w:highlight w:val="none"/>
          <w:lang w:val="zh-CN"/>
        </w:rPr>
        <w:t>项目管理机构</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承包人派驻本项目的项目经理姓名：</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，身份证号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承包人派驻本项目的</w:t>
      </w:r>
      <w:r>
        <w:rPr>
          <w:rFonts w:hint="eastAsia" w:ascii="宋体" w:hAnsi="宋体"/>
          <w:color w:val="auto"/>
          <w:kern w:val="0"/>
          <w:szCs w:val="21"/>
          <w:highlight w:val="none"/>
        </w:rPr>
        <w:t>安全员</w:t>
      </w:r>
      <w:r>
        <w:rPr>
          <w:rFonts w:hint="eastAsia" w:ascii="宋体" w:hAnsi="宋体"/>
          <w:color w:val="auto"/>
          <w:szCs w:val="21"/>
          <w:highlight w:val="none"/>
          <w:lang w:val="zh-CN"/>
        </w:rPr>
        <w:t>姓名：</w:t>
      </w:r>
      <w:r>
        <w:rPr>
          <w:rFonts w:hint="eastAsia" w:ascii="宋体" w:hAnsi="宋体"/>
          <w:color w:val="auto"/>
          <w:szCs w:val="21"/>
          <w:highlight w:val="none"/>
          <w:u w:val="single"/>
          <w:lang w:val="zh-CN"/>
        </w:rPr>
        <w:t xml:space="preserve">        </w:t>
      </w:r>
      <w:r>
        <w:rPr>
          <w:rFonts w:ascii="宋体" w:hAnsi="宋体"/>
          <w:color w:val="auto"/>
          <w:szCs w:val="21"/>
          <w:highlight w:val="none"/>
          <w:u w:val="single"/>
          <w:lang w:val="zh-CN"/>
        </w:rPr>
        <w:t xml:space="preserve"> </w:t>
      </w:r>
      <w:r>
        <w:rPr>
          <w:rFonts w:hint="eastAsia" w:ascii="宋体" w:hAnsi="宋体"/>
          <w:color w:val="auto"/>
          <w:szCs w:val="21"/>
          <w:highlight w:val="none"/>
          <w:lang w:val="zh-CN"/>
        </w:rPr>
        <w:t>，身份证号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派驻的管理人员须与《投标文件》中的《项目管理机构配备情况表》相符。本合同在实施中，如承包人的施工队伍素质、力量、现场管理班子、施工设备、现场文明安全施工不符合投标文件的承诺，造成现场管理混乱，质量和进度达不到招标文件所要求时，发包人有权要求其调整充实施工力量，承包人必须接受，否则作违约处理，发包人可以中止合同。</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发包人对承包人项目经理和安全员进行人员到岗履职考核。本合同签订之日至主体工程中间结构验收，每次监理例会经发包人通知项目经理需到场，不得请假；主体工程中间结构验收至履约验收，每个工作日项目经理和安全员均需到场，如有特殊情况经发包方同意后可向监理请假（每月请假日期不得超过4天）。项目经理到施工现场到岗履职当月天数不满足要求，有脱岗情况的，处以每天500的违约金；安全员到施工现场到岗履职当月天数不满足要求，有脱岗情况的，处以每天200的违约金。</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w:t>
      </w:r>
      <w:r>
        <w:rPr>
          <w:rFonts w:ascii="宋体" w:hAnsi="宋体"/>
          <w:color w:val="auto"/>
          <w:szCs w:val="21"/>
          <w:highlight w:val="none"/>
          <w:lang w:val="zh-CN"/>
        </w:rPr>
        <w:t>.2</w:t>
      </w:r>
      <w:r>
        <w:rPr>
          <w:rFonts w:hint="eastAsia" w:ascii="宋体" w:hAnsi="宋体"/>
          <w:color w:val="auto"/>
          <w:szCs w:val="21"/>
          <w:highlight w:val="none"/>
          <w:lang w:val="zh-CN"/>
        </w:rPr>
        <w:t>施工组织设计</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承包人必须严格遵照发包人同意的施工组织设计内容进行施工，确保质量、进度、安全生产及文明施工。</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w:t>
      </w:r>
      <w:r>
        <w:rPr>
          <w:rFonts w:ascii="宋体" w:hAnsi="宋体"/>
          <w:color w:val="auto"/>
          <w:szCs w:val="21"/>
          <w:highlight w:val="none"/>
          <w:lang w:val="zh-CN"/>
        </w:rPr>
        <w:t>.3</w:t>
      </w:r>
      <w:r>
        <w:rPr>
          <w:rFonts w:hint="eastAsia" w:ascii="宋体" w:hAnsi="宋体"/>
          <w:color w:val="auto"/>
          <w:szCs w:val="21"/>
          <w:highlight w:val="none"/>
          <w:lang w:val="zh-CN"/>
        </w:rPr>
        <w:t>质量</w:t>
      </w:r>
    </w:p>
    <w:p>
      <w:pPr>
        <w:snapToGrid w:val="0"/>
        <w:spacing w:line="360" w:lineRule="auto"/>
        <w:ind w:firstLine="420" w:firstLineChars="200"/>
        <w:rPr>
          <w:rFonts w:hint="eastAsia" w:ascii="宋体" w:hAnsi="宋体"/>
          <w:color w:val="auto"/>
          <w:highlight w:val="none"/>
        </w:rPr>
      </w:pPr>
      <w:r>
        <w:rPr>
          <w:rFonts w:hint="eastAsia" w:ascii="宋体" w:hAnsi="宋体"/>
          <w:color w:val="auto"/>
          <w:szCs w:val="21"/>
          <w:highlight w:val="none"/>
          <w:lang w:val="zh-CN"/>
        </w:rPr>
        <w:t>质量标准：</w:t>
      </w:r>
      <w:r>
        <w:rPr>
          <w:rFonts w:hint="eastAsia" w:ascii="宋体" w:hAnsi="宋体"/>
          <w:color w:val="auto"/>
          <w:highlight w:val="none"/>
        </w:rPr>
        <w:t>达到国家相关质量验收标准，项目验收一次性通过，并配合总包确保“甬江建设杯优质工程奖”。</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承包人应对设备材料采购、安装、调试、试运行等各个环节进行严格的质量管理，保证质量具有使发包人满意的使用性能。</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承包人必须严格按国家现行施工验收规范等有关规定，精心组织施工，严格把好每道工序的质量关，保证本项目按时通过验收及投入运行。</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承包人在施工中如发现设计、质量、材料等问题，应及时与发包人联系，共同协商处理。</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发包人如发现施工不符合技术、质量要求的，有权通知承包人暂停施工，并要求整改。</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w:t>
      </w:r>
      <w:r>
        <w:rPr>
          <w:rFonts w:ascii="宋体" w:hAnsi="宋体"/>
          <w:color w:val="auto"/>
          <w:szCs w:val="21"/>
          <w:highlight w:val="none"/>
          <w:lang w:val="zh-CN"/>
        </w:rPr>
        <w:t>.4</w:t>
      </w:r>
      <w:r>
        <w:rPr>
          <w:rFonts w:hint="eastAsia" w:ascii="宋体" w:hAnsi="宋体"/>
          <w:color w:val="auto"/>
          <w:szCs w:val="21"/>
          <w:highlight w:val="none"/>
          <w:lang w:val="zh-CN"/>
        </w:rPr>
        <w:t>进度</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承包人必须按发包人确认的进度计划组织施工，接受发包人对进度的检查、监督。实际进度与经确认的进度计划不符时，承包人应按发包人的要求提出改进措施，经发包人确认后执行。</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w:t>
      </w:r>
      <w:r>
        <w:rPr>
          <w:rFonts w:ascii="宋体" w:hAnsi="宋体"/>
          <w:color w:val="auto"/>
          <w:szCs w:val="21"/>
          <w:highlight w:val="none"/>
          <w:lang w:val="zh-CN"/>
        </w:rPr>
        <w:t>.5</w:t>
      </w:r>
      <w:r>
        <w:rPr>
          <w:rFonts w:hint="eastAsia" w:ascii="宋体" w:hAnsi="宋体"/>
          <w:color w:val="auto"/>
          <w:szCs w:val="21"/>
          <w:highlight w:val="none"/>
          <w:lang w:val="zh-CN"/>
        </w:rPr>
        <w:t>安全生产</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应遵守工程建设安全生产有关管理规定，严格按安全标准组织施工，并随时接受安全检查人员依法实施的监督检查，采取必要的安全防护措施，消除事故隐患。由于承包人安全措施不力造成事故的责任和因此发生的费用由承包人承担。</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7.6监理</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7.6.1为确保项目建设的质量，本项目建设实行专业监理。监理单位按监理合同的约定，做好项目质量、投资、工期的控制工作，确保本项目目标实现，公正地维护各方的权益。</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7.6.2承发包人双方承认监理单位的下述权利：</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(1)在事先向发包人报告征得同意后，监理单位可以发布停工令和复工令；</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(2)项目上使用的设备、材料与软件和施工质量的检验权和确认权。对于不符合设计要求及国家质量标准的设备与软件，有权通知承包人停止使用。承包人取得监理机构复工令后才能复工；</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(3)项目施工进度的检查、监督权，以及项目实际竣工日期提前或超过项目建设合同规定的竣工期限的签认权；</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(4)在项目建设合同约定的项目价格范围内，项目款支付的审核和签认权，以及结算项目款的复核确认权与否决权。未经监理机构签字确认，丙方不支付项目款；</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(5)在监理过程中如发现承包人工作不力，监理机构有权提出调换有关人员建议。</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7.6.3承包人应向监理方提交项目各阶段的计划、方案、报告和质量标准，项目进展状况等资料，并接受监理方的监督和合理化建议。</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zh-CN"/>
        </w:rPr>
        <w:t>7.6.4承发包双方均同意配合监理工作，方便监理单位履行</w:t>
      </w:r>
      <w:r>
        <w:rPr>
          <w:rFonts w:hint="eastAsia" w:ascii="宋体" w:hAnsi="宋体"/>
          <w:color w:val="auto"/>
          <w:szCs w:val="21"/>
          <w:highlight w:val="none"/>
        </w:rPr>
        <w:t>监理责任。</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8、设备及材料</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8</w:t>
      </w:r>
      <w:r>
        <w:rPr>
          <w:rFonts w:ascii="宋体" w:hAnsi="宋体"/>
          <w:color w:val="auto"/>
          <w:szCs w:val="21"/>
          <w:highlight w:val="none"/>
          <w:lang w:val="zh-CN"/>
        </w:rPr>
        <w:t>.1</w:t>
      </w:r>
      <w:r>
        <w:rPr>
          <w:rFonts w:hint="eastAsia" w:ascii="宋体" w:hAnsi="宋体"/>
          <w:color w:val="auto"/>
          <w:szCs w:val="21"/>
          <w:highlight w:val="none"/>
          <w:lang w:val="zh-CN"/>
        </w:rPr>
        <w:t>本项目承包范围内设备及材料均由承包人提供。承包人所采购的全部设备和材料均必须具有产品合格证、质保书、使用说明书等技术资料，进口设备或材料还应提交原产地证明及相关的产品国际认证标识和通关证明。如发现不合格的设备和材料，必须停止使用，并由承包人承担责任。</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8</w:t>
      </w:r>
      <w:r>
        <w:rPr>
          <w:rFonts w:ascii="宋体" w:hAnsi="宋体"/>
          <w:color w:val="auto"/>
          <w:szCs w:val="21"/>
          <w:highlight w:val="none"/>
          <w:lang w:val="zh-CN"/>
        </w:rPr>
        <w:t>.2</w:t>
      </w:r>
      <w:r>
        <w:rPr>
          <w:rFonts w:hint="eastAsia" w:ascii="宋体" w:hAnsi="宋体"/>
          <w:color w:val="auto"/>
          <w:szCs w:val="21"/>
          <w:highlight w:val="none"/>
          <w:lang w:val="zh-CN"/>
        </w:rPr>
        <w:t>设备材料的制造商、品牌、规格及价格在采购前必须经过发包人的审核和确认，产品到货后，承包人应向发包人办理报验手续，报验时须附有上述8</w:t>
      </w:r>
      <w:r>
        <w:rPr>
          <w:rFonts w:ascii="宋体" w:hAnsi="宋体"/>
          <w:color w:val="auto"/>
          <w:szCs w:val="21"/>
          <w:highlight w:val="none"/>
          <w:lang w:val="zh-CN"/>
        </w:rPr>
        <w:t>.1</w:t>
      </w:r>
      <w:r>
        <w:rPr>
          <w:rFonts w:hint="eastAsia" w:ascii="宋体" w:hAnsi="宋体"/>
          <w:color w:val="auto"/>
          <w:szCs w:val="21"/>
          <w:highlight w:val="none"/>
          <w:lang w:val="zh-CN"/>
        </w:rPr>
        <w:t>条规定的技术资料。</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8</w:t>
      </w:r>
      <w:r>
        <w:rPr>
          <w:rFonts w:ascii="宋体" w:hAnsi="宋体"/>
          <w:color w:val="auto"/>
          <w:szCs w:val="21"/>
          <w:highlight w:val="none"/>
          <w:lang w:val="zh-CN"/>
        </w:rPr>
        <w:t>.3</w:t>
      </w:r>
      <w:r>
        <w:rPr>
          <w:rFonts w:hint="eastAsia" w:ascii="宋体" w:hAnsi="宋体"/>
          <w:color w:val="auto"/>
          <w:szCs w:val="21"/>
          <w:highlight w:val="none"/>
          <w:lang w:val="zh-CN"/>
        </w:rPr>
        <w:t>如果承包人提供设备材料与《招标文件》、《投标文件》、相关澄清文件、项目联系单、合同等要约中承诺内容不一致，经发包人发现确认，必须接受无条件退货并赔偿该设备材料合同金额</w:t>
      </w:r>
      <w:r>
        <w:rPr>
          <w:rFonts w:ascii="宋体" w:hAnsi="宋体"/>
          <w:color w:val="auto"/>
          <w:szCs w:val="21"/>
          <w:highlight w:val="none"/>
          <w:lang w:val="zh-CN"/>
        </w:rPr>
        <w:t>100%</w:t>
      </w:r>
      <w:r>
        <w:rPr>
          <w:rFonts w:hint="eastAsia" w:ascii="宋体" w:hAnsi="宋体"/>
          <w:color w:val="auto"/>
          <w:szCs w:val="21"/>
          <w:highlight w:val="none"/>
          <w:lang w:val="zh-CN"/>
        </w:rPr>
        <w:t>的赔款。</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kern w:val="0"/>
          <w:szCs w:val="21"/>
          <w:highlight w:val="none"/>
          <w:lang w:val="zh-CN"/>
        </w:rPr>
        <w:t>8</w:t>
      </w:r>
      <w:r>
        <w:rPr>
          <w:rFonts w:ascii="宋体" w:hAnsi="宋体"/>
          <w:color w:val="auto"/>
          <w:kern w:val="0"/>
          <w:szCs w:val="21"/>
          <w:highlight w:val="none"/>
          <w:lang w:val="zh-CN"/>
        </w:rPr>
        <w:t>.4</w:t>
      </w:r>
      <w:r>
        <w:rPr>
          <w:rFonts w:hint="eastAsia" w:ascii="宋体" w:hAnsi="宋体"/>
          <w:color w:val="auto"/>
          <w:szCs w:val="21"/>
          <w:highlight w:val="none"/>
          <w:lang w:val="zh-CN"/>
        </w:rPr>
        <w:t>为保证设备有较好的质量和服务，承包人在交货时应提供关键设备原厂商出具的针对本项目的</w:t>
      </w:r>
      <w:r>
        <w:rPr>
          <w:rFonts w:ascii="宋体" w:hAnsi="宋体"/>
          <w:color w:val="auto"/>
          <w:szCs w:val="21"/>
          <w:highlight w:val="none"/>
          <w:lang w:val="zh-CN"/>
        </w:rPr>
        <w:t>“</w:t>
      </w:r>
      <w:r>
        <w:rPr>
          <w:rFonts w:hint="eastAsia" w:ascii="宋体" w:hAnsi="宋体"/>
          <w:color w:val="auto"/>
          <w:szCs w:val="21"/>
          <w:highlight w:val="none"/>
          <w:lang w:val="zh-CN"/>
        </w:rPr>
        <w:t>质量保证和售后服务承诺书</w:t>
      </w:r>
      <w:r>
        <w:rPr>
          <w:rFonts w:ascii="宋体" w:hAnsi="宋体"/>
          <w:color w:val="auto"/>
          <w:szCs w:val="21"/>
          <w:highlight w:val="none"/>
          <w:lang w:val="zh-CN"/>
        </w:rPr>
        <w:t>”</w:t>
      </w:r>
      <w:r>
        <w:rPr>
          <w:rFonts w:hint="eastAsia" w:ascii="宋体" w:hAnsi="宋体"/>
          <w:color w:val="auto"/>
          <w:szCs w:val="21"/>
          <w:highlight w:val="none"/>
          <w:lang w:val="zh-CN"/>
        </w:rPr>
        <w:t>，承诺书中应说明设备的具体保修时间、售后服务办法。</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8</w:t>
      </w:r>
      <w:r>
        <w:rPr>
          <w:rFonts w:ascii="宋体" w:hAnsi="宋体"/>
          <w:color w:val="auto"/>
          <w:szCs w:val="21"/>
          <w:highlight w:val="none"/>
          <w:lang w:val="zh-CN"/>
        </w:rPr>
        <w:t>.5</w:t>
      </w:r>
      <w:r>
        <w:rPr>
          <w:rFonts w:hint="eastAsia" w:ascii="宋体" w:hAnsi="宋体"/>
          <w:color w:val="auto"/>
          <w:szCs w:val="21"/>
          <w:highlight w:val="none"/>
          <w:lang w:val="zh-CN"/>
        </w:rPr>
        <w:t>验货时承包人应出具原厂商针对本项目的“质量保证和售后服务承诺书”，若因厂商原因承包人无法提供此承诺书，则承包人须针对这些无承诺书的设备，承诺提供不少于两年的免费质保服务。</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9、质量保证</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9</w:t>
      </w:r>
      <w:r>
        <w:rPr>
          <w:rFonts w:ascii="宋体" w:hAnsi="宋体"/>
          <w:color w:val="auto"/>
          <w:szCs w:val="21"/>
          <w:highlight w:val="none"/>
          <w:lang w:val="zh-CN"/>
        </w:rPr>
        <w:t>.1</w:t>
      </w:r>
      <w:r>
        <w:rPr>
          <w:rFonts w:hint="eastAsia" w:ascii="宋体" w:hAnsi="宋体"/>
          <w:color w:val="auto"/>
          <w:szCs w:val="21"/>
          <w:highlight w:val="none"/>
          <w:lang w:val="zh-CN"/>
        </w:rPr>
        <w:t>承包人应保证本项目质量符合合同规定的要求，所提供的设备材料为</w:t>
      </w:r>
      <w:r>
        <w:rPr>
          <w:rFonts w:hint="eastAsia" w:ascii="宋体" w:hAnsi="宋体"/>
          <w:color w:val="auto"/>
          <w:kern w:val="0"/>
          <w:szCs w:val="21"/>
          <w:highlight w:val="none"/>
          <w:lang w:val="zh-CN"/>
        </w:rPr>
        <w:t>未使用过的全新产品，安装施工方法符合国家标准、规范的要求。</w:t>
      </w:r>
      <w:r>
        <w:rPr>
          <w:rFonts w:ascii="宋体" w:hAnsi="宋体"/>
          <w:color w:val="auto"/>
          <w:szCs w:val="21"/>
          <w:highlight w:val="none"/>
          <w:lang w:val="zh-CN"/>
        </w:rPr>
        <w:t xml:space="preserve"> </w:t>
      </w:r>
    </w:p>
    <w:p>
      <w:pPr>
        <w:snapToGrid w:val="0"/>
        <w:spacing w:line="360" w:lineRule="auto"/>
        <w:ind w:firstLine="420" w:firstLineChars="200"/>
        <w:jc w:val="left"/>
        <w:rPr>
          <w:rFonts w:ascii="宋体" w:hAnsi="宋体"/>
          <w:color w:val="auto"/>
          <w:kern w:val="0"/>
          <w:szCs w:val="21"/>
          <w:highlight w:val="none"/>
          <w:lang w:val="zh-CN"/>
        </w:rPr>
      </w:pPr>
      <w:r>
        <w:rPr>
          <w:rFonts w:hint="eastAsia" w:ascii="宋体" w:hAnsi="宋体"/>
          <w:color w:val="auto"/>
          <w:kern w:val="0"/>
          <w:szCs w:val="21"/>
          <w:highlight w:val="none"/>
          <w:lang w:val="zh-CN"/>
        </w:rPr>
        <w:t>9</w:t>
      </w:r>
      <w:r>
        <w:rPr>
          <w:rFonts w:ascii="宋体" w:hAnsi="宋体"/>
          <w:color w:val="auto"/>
          <w:kern w:val="0"/>
          <w:szCs w:val="21"/>
          <w:highlight w:val="none"/>
          <w:lang w:val="zh-CN"/>
        </w:rPr>
        <w:t>.2</w:t>
      </w:r>
      <w:r>
        <w:rPr>
          <w:rFonts w:hint="eastAsia" w:ascii="宋体" w:hAnsi="宋体"/>
          <w:color w:val="auto"/>
          <w:kern w:val="0"/>
          <w:szCs w:val="21"/>
          <w:highlight w:val="none"/>
          <w:lang w:val="zh-CN"/>
        </w:rPr>
        <w:t>质量标准的评定以国家或行业的质量检验评定标准为依据。因承包人原因质量达不到约定的质量标准，承包人承担违约责任。</w:t>
      </w:r>
    </w:p>
    <w:p>
      <w:pPr>
        <w:snapToGrid w:val="0"/>
        <w:spacing w:line="360" w:lineRule="auto"/>
        <w:ind w:firstLine="420" w:firstLineChars="200"/>
        <w:jc w:val="left"/>
        <w:rPr>
          <w:rFonts w:ascii="宋体" w:hAnsi="宋体"/>
          <w:color w:val="auto"/>
          <w:kern w:val="0"/>
          <w:szCs w:val="21"/>
          <w:highlight w:val="none"/>
          <w:lang w:val="zh-CN"/>
        </w:rPr>
      </w:pPr>
      <w:r>
        <w:rPr>
          <w:rFonts w:hint="eastAsia" w:ascii="宋体" w:hAnsi="宋体"/>
          <w:color w:val="auto"/>
          <w:kern w:val="0"/>
          <w:szCs w:val="21"/>
          <w:highlight w:val="none"/>
          <w:lang w:val="zh-CN"/>
        </w:rPr>
        <w:t>9</w:t>
      </w:r>
      <w:r>
        <w:rPr>
          <w:rFonts w:ascii="宋体" w:hAnsi="宋体"/>
          <w:color w:val="auto"/>
          <w:kern w:val="0"/>
          <w:szCs w:val="21"/>
          <w:highlight w:val="none"/>
          <w:lang w:val="zh-CN"/>
        </w:rPr>
        <w:t>.3</w:t>
      </w:r>
      <w:r>
        <w:rPr>
          <w:rFonts w:hint="eastAsia" w:ascii="宋体" w:hAnsi="宋体"/>
          <w:color w:val="auto"/>
          <w:kern w:val="0"/>
          <w:szCs w:val="21"/>
          <w:highlight w:val="none"/>
          <w:lang w:val="zh-CN"/>
        </w:rPr>
        <w:t>双方对项目质量有争议，则可以委托工程质量检测机构鉴定，所需费用及因此造成的损失，由责任方承担。</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9</w:t>
      </w:r>
      <w:r>
        <w:rPr>
          <w:rFonts w:ascii="宋体" w:hAnsi="宋体"/>
          <w:color w:val="auto"/>
          <w:kern w:val="0"/>
          <w:szCs w:val="21"/>
          <w:highlight w:val="none"/>
          <w:lang w:val="zh-CN"/>
        </w:rPr>
        <w:t>.4</w:t>
      </w:r>
      <w:r>
        <w:rPr>
          <w:rFonts w:hint="eastAsia" w:ascii="宋体" w:hAnsi="宋体"/>
          <w:color w:val="auto"/>
          <w:szCs w:val="21"/>
          <w:highlight w:val="none"/>
          <w:lang w:val="zh-CN"/>
        </w:rPr>
        <w:t>本</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整体质保期为两年。其中，设备的制造商若提供产品质保期大</w:t>
      </w:r>
      <w:r>
        <w:rPr>
          <w:rFonts w:hint="eastAsia" w:ascii="宋体" w:hAnsi="宋体"/>
          <w:color w:val="auto"/>
          <w:kern w:val="0"/>
          <w:szCs w:val="21"/>
          <w:highlight w:val="none"/>
          <w:lang w:val="zh-CN"/>
        </w:rPr>
        <w:t>于</w:t>
      </w:r>
      <w:r>
        <w:rPr>
          <w:rFonts w:hint="eastAsia" w:ascii="宋体" w:hAnsi="宋体"/>
          <w:color w:val="auto"/>
          <w:szCs w:val="21"/>
          <w:highlight w:val="none"/>
          <w:lang w:val="zh-CN"/>
        </w:rPr>
        <w:t>两</w:t>
      </w:r>
      <w:r>
        <w:rPr>
          <w:rFonts w:hint="eastAsia" w:ascii="宋体" w:hAnsi="宋体"/>
          <w:color w:val="auto"/>
          <w:kern w:val="0"/>
          <w:szCs w:val="21"/>
          <w:highlight w:val="none"/>
          <w:lang w:val="zh-CN"/>
        </w:rPr>
        <w:t>年的，则以制造商的质保期为准；</w:t>
      </w:r>
      <w:r>
        <w:rPr>
          <w:rFonts w:hint="eastAsia" w:ascii="宋体" w:hAnsi="宋体"/>
          <w:color w:val="auto"/>
          <w:szCs w:val="21"/>
          <w:highlight w:val="none"/>
          <w:lang w:val="zh-CN"/>
        </w:rPr>
        <w:t>设备的制造商若提供产品质保期小</w:t>
      </w:r>
      <w:r>
        <w:rPr>
          <w:rFonts w:hint="eastAsia" w:ascii="宋体" w:hAnsi="宋体"/>
          <w:color w:val="auto"/>
          <w:kern w:val="0"/>
          <w:szCs w:val="21"/>
          <w:highlight w:val="none"/>
          <w:lang w:val="zh-CN"/>
        </w:rPr>
        <w:t>于</w:t>
      </w:r>
      <w:r>
        <w:rPr>
          <w:rFonts w:hint="eastAsia" w:ascii="宋体" w:hAnsi="宋体"/>
          <w:color w:val="auto"/>
          <w:szCs w:val="21"/>
          <w:highlight w:val="none"/>
          <w:lang w:val="zh-CN"/>
        </w:rPr>
        <w:t>两</w:t>
      </w:r>
      <w:r>
        <w:rPr>
          <w:rFonts w:hint="eastAsia" w:ascii="宋体" w:hAnsi="宋体"/>
          <w:color w:val="auto"/>
          <w:kern w:val="0"/>
          <w:szCs w:val="21"/>
          <w:highlight w:val="none"/>
          <w:lang w:val="zh-CN"/>
        </w:rPr>
        <w:t>年的，则以</w:t>
      </w:r>
      <w:r>
        <w:rPr>
          <w:rFonts w:hint="eastAsia" w:ascii="宋体" w:hAnsi="宋体"/>
          <w:color w:val="auto"/>
          <w:szCs w:val="21"/>
          <w:highlight w:val="none"/>
          <w:lang w:val="zh-CN"/>
        </w:rPr>
        <w:t>两</w:t>
      </w:r>
      <w:r>
        <w:rPr>
          <w:rFonts w:hint="eastAsia" w:ascii="宋体" w:hAnsi="宋体"/>
          <w:color w:val="auto"/>
          <w:kern w:val="0"/>
          <w:szCs w:val="21"/>
          <w:highlight w:val="none"/>
          <w:lang w:val="zh-CN"/>
        </w:rPr>
        <w:t>年为准。</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9</w:t>
      </w:r>
      <w:r>
        <w:rPr>
          <w:rFonts w:ascii="宋体" w:hAnsi="宋体"/>
          <w:color w:val="auto"/>
          <w:kern w:val="0"/>
          <w:szCs w:val="21"/>
          <w:highlight w:val="none"/>
          <w:lang w:val="zh-CN"/>
        </w:rPr>
        <w:t>.5</w:t>
      </w:r>
      <w:r>
        <w:rPr>
          <w:rFonts w:hint="eastAsia" w:ascii="宋体" w:hAnsi="宋体"/>
          <w:color w:val="auto"/>
          <w:kern w:val="0"/>
          <w:szCs w:val="21"/>
          <w:highlight w:val="none"/>
          <w:lang w:val="zh-CN"/>
        </w:rPr>
        <w:t>在质保期内，承包人须免费负责修理和替换任何由于质量问题造成的损坏及故障。</w:t>
      </w:r>
    </w:p>
    <w:p>
      <w:pPr>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9</w:t>
      </w:r>
      <w:r>
        <w:rPr>
          <w:rFonts w:ascii="宋体" w:hAnsi="宋体"/>
          <w:color w:val="auto"/>
          <w:kern w:val="0"/>
          <w:szCs w:val="21"/>
          <w:highlight w:val="none"/>
          <w:lang w:val="zh-CN"/>
        </w:rPr>
        <w:t>.6</w:t>
      </w:r>
      <w:r>
        <w:rPr>
          <w:rFonts w:hint="eastAsia" w:ascii="宋体" w:hAnsi="宋体"/>
          <w:color w:val="auto"/>
          <w:kern w:val="0"/>
          <w:szCs w:val="21"/>
          <w:highlight w:val="none"/>
          <w:lang w:val="zh-CN"/>
        </w:rPr>
        <w:t>投标文件的质量保证书中其它更好的质保条款。</w:t>
      </w:r>
    </w:p>
    <w:p>
      <w:pPr>
        <w:snapToGrid w:val="0"/>
        <w:spacing w:line="360" w:lineRule="auto"/>
        <w:ind w:firstLine="420" w:firstLineChars="200"/>
        <w:rPr>
          <w:rFonts w:ascii="宋体" w:hAnsi="宋体"/>
          <w:b/>
          <w:bCs/>
          <w:color w:val="auto"/>
          <w:szCs w:val="21"/>
          <w:highlight w:val="none"/>
        </w:rPr>
      </w:pPr>
      <w:r>
        <w:rPr>
          <w:rFonts w:hint="eastAsia" w:ascii="宋体" w:hAnsi="宋体"/>
          <w:b/>
          <w:bCs/>
          <w:color w:val="auto"/>
          <w:szCs w:val="21"/>
          <w:highlight w:val="none"/>
          <w:lang w:val="zh-CN"/>
        </w:rPr>
        <w:t>10、调试及试运行</w:t>
      </w:r>
    </w:p>
    <w:p>
      <w:pPr>
        <w:snapToGrid w:val="0"/>
        <w:spacing w:line="360" w:lineRule="auto"/>
        <w:ind w:firstLine="420" w:firstLineChars="200"/>
        <w:rPr>
          <w:rFonts w:ascii="宋体" w:hAnsi="宋体"/>
          <w:b/>
          <w:bCs/>
          <w:color w:val="auto"/>
          <w:szCs w:val="21"/>
          <w:highlight w:val="none"/>
          <w:lang w:val="zh-CN"/>
        </w:rPr>
      </w:pPr>
      <w:r>
        <w:rPr>
          <w:rFonts w:hint="eastAsia" w:ascii="宋体" w:hAnsi="宋体"/>
          <w:color w:val="auto"/>
          <w:szCs w:val="21"/>
          <w:highlight w:val="none"/>
          <w:lang w:val="zh-CN"/>
        </w:rPr>
        <w:t>10</w:t>
      </w:r>
      <w:r>
        <w:rPr>
          <w:rFonts w:ascii="宋体" w:hAnsi="宋体"/>
          <w:color w:val="auto"/>
          <w:szCs w:val="21"/>
          <w:highlight w:val="none"/>
          <w:lang w:val="zh-CN"/>
        </w:rPr>
        <w:t>.1</w:t>
      </w:r>
      <w:r>
        <w:rPr>
          <w:rFonts w:hint="eastAsia" w:ascii="宋体" w:hAnsi="宋体"/>
          <w:color w:val="auto"/>
          <w:szCs w:val="21"/>
          <w:highlight w:val="none"/>
          <w:lang w:val="zh-CN"/>
        </w:rPr>
        <w:t>在</w:t>
      </w:r>
      <w:r>
        <w:rPr>
          <w:rFonts w:hint="eastAsia" w:ascii="宋体" w:hAnsi="宋体"/>
          <w:color w:val="auto"/>
          <w:kern w:val="0"/>
          <w:szCs w:val="21"/>
          <w:highlight w:val="none"/>
          <w:lang w:val="zh-CN"/>
        </w:rPr>
        <w:t>安装完成后，承包人应对整个项目的质量、性能等，按照国家或行业标准和规范进行准确和全面的调试、检验，并把测试结果用书面报告的方式交给发包人。</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10</w:t>
      </w:r>
      <w:r>
        <w:rPr>
          <w:rFonts w:ascii="宋体" w:hAnsi="宋体"/>
          <w:color w:val="auto"/>
          <w:szCs w:val="21"/>
          <w:highlight w:val="none"/>
          <w:lang w:val="zh-CN"/>
        </w:rPr>
        <w:t>.2</w:t>
      </w:r>
      <w:r>
        <w:rPr>
          <w:rFonts w:hint="eastAsia" w:ascii="宋体" w:hAnsi="宋体"/>
          <w:color w:val="auto"/>
          <w:szCs w:val="21"/>
          <w:highlight w:val="none"/>
          <w:lang w:val="zh-CN"/>
        </w:rPr>
        <w:t>发包人有权要求派代表参加承包人对本系统的调试。</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10</w:t>
      </w:r>
      <w:r>
        <w:rPr>
          <w:rFonts w:ascii="宋体" w:hAnsi="宋体"/>
          <w:color w:val="auto"/>
          <w:szCs w:val="21"/>
          <w:highlight w:val="none"/>
          <w:lang w:val="zh-CN"/>
        </w:rPr>
        <w:t>.3</w:t>
      </w:r>
      <w:r>
        <w:rPr>
          <w:rFonts w:hint="eastAsia" w:ascii="宋体" w:hAnsi="宋体"/>
          <w:color w:val="auto"/>
          <w:szCs w:val="21"/>
          <w:highlight w:val="none"/>
          <w:lang w:val="zh-CN"/>
        </w:rPr>
        <w:t>调试完成后，应经过</w:t>
      </w:r>
      <w:r>
        <w:rPr>
          <w:rFonts w:hint="eastAsia" w:ascii="宋体" w:hAnsi="宋体"/>
          <w:color w:val="auto"/>
          <w:szCs w:val="21"/>
          <w:highlight w:val="none"/>
          <w:u w:val="single"/>
          <w:lang w:val="zh-CN"/>
        </w:rPr>
        <w:t xml:space="preserve"> 1</w:t>
      </w:r>
      <w:r>
        <w:rPr>
          <w:rFonts w:hint="eastAsia" w:ascii="宋体" w:hAnsi="宋体"/>
          <w:color w:val="auto"/>
          <w:szCs w:val="21"/>
          <w:highlight w:val="none"/>
          <w:lang w:val="zh-CN"/>
        </w:rPr>
        <w:t>个月的试运行。试运行合格，由发包人进行统一验收。</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10</w:t>
      </w:r>
      <w:r>
        <w:rPr>
          <w:rFonts w:ascii="宋体" w:hAnsi="宋体"/>
          <w:color w:val="auto"/>
          <w:szCs w:val="21"/>
          <w:highlight w:val="none"/>
          <w:lang w:val="zh-CN"/>
        </w:rPr>
        <w:t>.4</w:t>
      </w:r>
      <w:r>
        <w:rPr>
          <w:rFonts w:hint="eastAsia" w:ascii="宋体" w:hAnsi="宋体"/>
          <w:color w:val="auto"/>
          <w:szCs w:val="21"/>
          <w:highlight w:val="none"/>
          <w:lang w:val="zh-CN"/>
        </w:rPr>
        <w:t>调试及试运行期间，承包人应派经验丰富的专业技术人员到现场进行操作。</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11.5试运行期间，如各系统仍存在问题，发包人可以延长试运行时间。</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11、验收</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1</w:t>
      </w:r>
      <w:r>
        <w:rPr>
          <w:rFonts w:ascii="宋体" w:hAnsi="宋体"/>
          <w:color w:val="auto"/>
          <w:szCs w:val="21"/>
          <w:highlight w:val="none"/>
          <w:lang w:val="zh-CN"/>
        </w:rPr>
        <w:t>.1</w:t>
      </w:r>
      <w:r>
        <w:rPr>
          <w:rFonts w:hint="eastAsia" w:ascii="宋体" w:hAnsi="宋体"/>
          <w:color w:val="auto"/>
          <w:szCs w:val="21"/>
          <w:highlight w:val="none"/>
          <w:lang w:val="zh-CN"/>
        </w:rPr>
        <w:t>验收合格条件必须满足以下要求：已提供合同要求的全部设备和资料；经过调试及试运行，质量和性能符合要求；调试、试运行及验收时出现的问题已被解决；</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通过发包人委托的第三方检测。</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1</w:t>
      </w:r>
      <w:r>
        <w:rPr>
          <w:rFonts w:ascii="宋体" w:hAnsi="宋体"/>
          <w:color w:val="auto"/>
          <w:szCs w:val="21"/>
          <w:highlight w:val="none"/>
          <w:lang w:val="zh-CN"/>
        </w:rPr>
        <w:t>.2</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完工具备履约验收条件，承包人按国家政府采购履约验收有关规定，向发包人提供完整合同履约验收报告单及合同履约验收意见书（到货验收）。</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1</w:t>
      </w:r>
      <w:r>
        <w:rPr>
          <w:rFonts w:ascii="宋体" w:hAnsi="宋体"/>
          <w:color w:val="auto"/>
          <w:szCs w:val="21"/>
          <w:highlight w:val="none"/>
          <w:lang w:val="zh-CN"/>
        </w:rPr>
        <w:t>.3</w:t>
      </w:r>
      <w:r>
        <w:rPr>
          <w:rFonts w:hint="eastAsia" w:ascii="宋体" w:hAnsi="宋体"/>
          <w:color w:val="auto"/>
          <w:szCs w:val="21"/>
          <w:highlight w:val="none"/>
          <w:lang w:val="zh-CN"/>
        </w:rPr>
        <w:t>发包人组织有关单位进行验收，并在验收后</w:t>
      </w:r>
      <w:r>
        <w:rPr>
          <w:rFonts w:ascii="宋体" w:hAnsi="宋体"/>
          <w:color w:val="auto"/>
          <w:szCs w:val="21"/>
          <w:highlight w:val="none"/>
          <w:lang w:val="zh-CN"/>
        </w:rPr>
        <w:t>15</w:t>
      </w:r>
      <w:r>
        <w:rPr>
          <w:rFonts w:hint="eastAsia" w:ascii="宋体" w:hAnsi="宋体"/>
          <w:color w:val="auto"/>
          <w:szCs w:val="21"/>
          <w:highlight w:val="none"/>
          <w:lang w:val="zh-CN"/>
        </w:rPr>
        <w:t>天内给予认可或提出修改意见。承包人按要求修改，并承担由自身原因造成修改的费用。</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1</w:t>
      </w:r>
      <w:r>
        <w:rPr>
          <w:rFonts w:ascii="宋体" w:hAnsi="宋体"/>
          <w:color w:val="auto"/>
          <w:szCs w:val="21"/>
          <w:highlight w:val="none"/>
          <w:lang w:val="zh-CN"/>
        </w:rPr>
        <w:t>.4</w:t>
      </w:r>
      <w:r>
        <w:rPr>
          <w:rFonts w:hint="eastAsia" w:ascii="宋体" w:hAnsi="宋体"/>
          <w:color w:val="auto"/>
          <w:szCs w:val="21"/>
          <w:highlight w:val="none"/>
          <w:lang w:val="zh-CN"/>
        </w:rPr>
        <w:t>合同履约验收应以国家颁发的有关规范和质量检验评定标准、相关的国际标准为依据。</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12、验收资料</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2</w:t>
      </w:r>
      <w:r>
        <w:rPr>
          <w:rFonts w:ascii="宋体" w:hAnsi="宋体"/>
          <w:color w:val="auto"/>
          <w:szCs w:val="21"/>
          <w:highlight w:val="none"/>
          <w:lang w:val="zh-CN"/>
        </w:rPr>
        <w:t>.1</w:t>
      </w:r>
      <w:r>
        <w:rPr>
          <w:rFonts w:hint="eastAsia" w:ascii="宋体" w:hAnsi="宋体"/>
          <w:color w:val="auto"/>
          <w:szCs w:val="21"/>
          <w:highlight w:val="none"/>
          <w:lang w:val="zh-CN"/>
        </w:rPr>
        <w:t>系统全部设备的档案资料包括：系统所安装硬件设备的数量、型号、规格，设备制造商的产品合格证、质保书、说明书等有关资料。设备开箱后的全部随机资料所有权归发包人所有，开箱验收后由发包人保管。</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lang w:val="zh-CN"/>
        </w:rPr>
        <w:t>1</w:t>
      </w:r>
      <w:r>
        <w:rPr>
          <w:rFonts w:hint="eastAsia" w:ascii="宋体" w:hAnsi="宋体"/>
          <w:color w:val="auto"/>
          <w:szCs w:val="21"/>
          <w:highlight w:val="none"/>
          <w:lang w:val="zh-CN"/>
        </w:rPr>
        <w:t>2</w:t>
      </w:r>
      <w:r>
        <w:rPr>
          <w:rFonts w:ascii="宋体" w:hAnsi="宋体"/>
          <w:color w:val="auto"/>
          <w:szCs w:val="21"/>
          <w:highlight w:val="none"/>
          <w:lang w:val="zh-CN"/>
        </w:rPr>
        <w:t>.2</w:t>
      </w:r>
      <w:r>
        <w:rPr>
          <w:rFonts w:hint="eastAsia" w:ascii="宋体" w:hAnsi="宋体"/>
          <w:color w:val="auto"/>
          <w:szCs w:val="21"/>
          <w:highlight w:val="none"/>
          <w:lang w:val="zh-CN"/>
        </w:rPr>
        <w:t>提供给操作人员、维护人员使用的主要技术资料包括：设备及系统说明书和原理图、设备及系统安装线路图、安装手册、操作和维修手册、施工标准及技术规范、其它必须的技术资料。</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2</w:t>
      </w:r>
      <w:r>
        <w:rPr>
          <w:rFonts w:ascii="宋体" w:hAnsi="宋体"/>
          <w:color w:val="auto"/>
          <w:szCs w:val="21"/>
          <w:highlight w:val="none"/>
          <w:lang w:val="zh-CN"/>
        </w:rPr>
        <w:t>.3</w:t>
      </w:r>
      <w:r>
        <w:rPr>
          <w:rFonts w:hint="eastAsia" w:ascii="宋体" w:hAnsi="宋体"/>
          <w:color w:val="auto"/>
          <w:szCs w:val="21"/>
          <w:highlight w:val="none"/>
          <w:lang w:val="zh-CN"/>
        </w:rPr>
        <w:t>资料应包括如下内容：</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szCs w:val="21"/>
          <w:highlight w:val="none"/>
          <w:lang w:val="zh-CN"/>
        </w:rPr>
        <w:t>图纸；</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全过程原始记录及验收资料；</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szCs w:val="21"/>
          <w:highlight w:val="none"/>
          <w:lang w:val="zh-CN"/>
        </w:rPr>
        <w:t>有关设计变更的技术资料；</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的检测数据、质量评定报告；</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szCs w:val="21"/>
          <w:highlight w:val="none"/>
          <w:lang w:val="zh-CN"/>
        </w:rPr>
        <w:t>验收决算的全部资料；</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w:t>
      </w:r>
      <w:r>
        <w:rPr>
          <w:rFonts w:hint="eastAsia" w:ascii="宋体" w:hAnsi="宋体"/>
          <w:color w:val="auto"/>
          <w:szCs w:val="21"/>
          <w:highlight w:val="none"/>
          <w:lang w:val="zh-CN"/>
        </w:rPr>
        <w:t>其它按规定应提交的资料。</w:t>
      </w:r>
    </w:p>
    <w:p>
      <w:pPr>
        <w:snapToGrid w:val="0"/>
        <w:spacing w:line="360" w:lineRule="auto"/>
        <w:ind w:firstLine="420" w:firstLineChars="200"/>
        <w:rPr>
          <w:rFonts w:ascii="宋体" w:hAnsi="宋体"/>
          <w:b/>
          <w:color w:val="auto"/>
          <w:szCs w:val="21"/>
          <w:highlight w:val="none"/>
          <w:lang w:val="zh-CN"/>
        </w:rPr>
      </w:pPr>
      <w:r>
        <w:rPr>
          <w:rFonts w:hint="eastAsia" w:ascii="宋体" w:hAnsi="宋体"/>
          <w:b/>
          <w:color w:val="auto"/>
          <w:szCs w:val="21"/>
          <w:highlight w:val="none"/>
          <w:lang w:val="zh-CN"/>
        </w:rPr>
        <w:t>13、设计变更</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3</w:t>
      </w:r>
      <w:r>
        <w:rPr>
          <w:rFonts w:ascii="宋体" w:hAnsi="宋体"/>
          <w:color w:val="auto"/>
          <w:szCs w:val="21"/>
          <w:highlight w:val="none"/>
          <w:lang w:val="zh-CN"/>
        </w:rPr>
        <w:t>.1</w:t>
      </w:r>
      <w:r>
        <w:rPr>
          <w:rFonts w:hint="eastAsia" w:ascii="宋体" w:hAnsi="宋体"/>
          <w:color w:val="auto"/>
          <w:szCs w:val="21"/>
          <w:highlight w:val="none"/>
          <w:lang w:val="zh-CN"/>
        </w:rPr>
        <w:t>承包人在</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施工中如发现设计、施工不合理的情况需要进行变更时，需在实施前提出申请，经发包人同意后实施，变更完成后报送正式变更资料由发包人、监理人确认。承包人不得擅自修改设计、施工方案，因承包人擅自变更设计发生的费用和由此导致发包人的损失，由承包人承担。</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3</w:t>
      </w:r>
      <w:r>
        <w:rPr>
          <w:rFonts w:ascii="宋体" w:hAnsi="宋体"/>
          <w:color w:val="auto"/>
          <w:szCs w:val="21"/>
          <w:highlight w:val="none"/>
          <w:lang w:val="zh-CN"/>
        </w:rPr>
        <w:t>.2</w:t>
      </w:r>
      <w:r>
        <w:rPr>
          <w:rFonts w:hint="eastAsia" w:ascii="宋体" w:hAnsi="宋体"/>
          <w:color w:val="auto"/>
          <w:szCs w:val="21"/>
          <w:highlight w:val="none"/>
          <w:lang w:val="zh-CN"/>
        </w:rPr>
        <w:t>发包人发出的设计变更联系单，同样属于合同文件，承包人必须实施。</w:t>
      </w:r>
    </w:p>
    <w:p>
      <w:pPr>
        <w:snapToGrid w:val="0"/>
        <w:spacing w:line="360" w:lineRule="auto"/>
        <w:ind w:firstLine="411" w:firstLineChars="196"/>
        <w:jc w:val="left"/>
        <w:rPr>
          <w:rFonts w:ascii="宋体" w:hAnsi="宋体"/>
          <w:b/>
          <w:color w:val="auto"/>
          <w:szCs w:val="21"/>
          <w:highlight w:val="none"/>
          <w:lang w:val="zh-CN"/>
        </w:rPr>
      </w:pPr>
      <w:r>
        <w:rPr>
          <w:rFonts w:hint="eastAsia" w:ascii="宋体" w:hAnsi="宋体"/>
          <w:b/>
          <w:color w:val="auto"/>
          <w:szCs w:val="21"/>
          <w:highlight w:val="none"/>
          <w:lang w:val="zh-CN"/>
        </w:rPr>
        <w:t>14、技术培训</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.1</w:t>
      </w:r>
      <w:r>
        <w:rPr>
          <w:rFonts w:hint="eastAsia" w:ascii="宋体" w:hAnsi="宋体"/>
          <w:color w:val="auto"/>
          <w:szCs w:val="21"/>
          <w:highlight w:val="none"/>
          <w:lang w:val="zh-CN"/>
        </w:rPr>
        <w:t>为使用户对本系统</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能够有效使用和正确操作、维护，承包人须对用户指派的操作、维护人员进行培训，培训内容包括理论培训和实际操作培训，承包人在投标文件中应提出有关技术培训的方案</w:t>
      </w:r>
      <w:r>
        <w:rPr>
          <w:rFonts w:ascii="宋体" w:hAnsi="宋体"/>
          <w:color w:val="auto"/>
          <w:szCs w:val="21"/>
          <w:highlight w:val="none"/>
          <w:lang w:val="zh-CN"/>
        </w:rPr>
        <w:t>(</w:t>
      </w:r>
      <w:r>
        <w:rPr>
          <w:rFonts w:hint="eastAsia" w:ascii="宋体" w:hAnsi="宋体"/>
          <w:color w:val="auto"/>
          <w:szCs w:val="21"/>
          <w:highlight w:val="none"/>
          <w:lang w:val="zh-CN"/>
        </w:rPr>
        <w:t>包括培训地点、时间、人数</w:t>
      </w:r>
      <w:r>
        <w:rPr>
          <w:rFonts w:ascii="宋体" w:hAnsi="宋体"/>
          <w:color w:val="auto"/>
          <w:szCs w:val="21"/>
          <w:highlight w:val="none"/>
          <w:lang w:val="zh-CN"/>
        </w:rPr>
        <w:t>)</w:t>
      </w:r>
      <w:r>
        <w:rPr>
          <w:rFonts w:hint="eastAsia" w:ascii="宋体" w:hAnsi="宋体"/>
          <w:color w:val="auto"/>
          <w:szCs w:val="21"/>
          <w:highlight w:val="none"/>
          <w:lang w:val="zh-CN"/>
        </w:rPr>
        <w:t>。</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.2</w:t>
      </w:r>
      <w:r>
        <w:rPr>
          <w:rFonts w:hint="eastAsia" w:ascii="宋体" w:hAnsi="宋体"/>
          <w:color w:val="auto"/>
          <w:szCs w:val="21"/>
          <w:highlight w:val="none"/>
          <w:lang w:val="zh-CN"/>
        </w:rPr>
        <w:t>培训开始之前，应提出培训计划，编写培训教材，由用户确认后实施培训。</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.3</w:t>
      </w:r>
      <w:r>
        <w:rPr>
          <w:rFonts w:hint="eastAsia" w:ascii="宋体" w:hAnsi="宋体"/>
          <w:color w:val="auto"/>
          <w:szCs w:val="21"/>
          <w:highlight w:val="none"/>
          <w:lang w:val="zh-CN"/>
        </w:rPr>
        <w:t>应负责使接受培训的人员达到能正确操作和维护的上岗资格。</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.4</w:t>
      </w:r>
      <w:r>
        <w:rPr>
          <w:rFonts w:hint="eastAsia" w:ascii="宋体" w:hAnsi="宋体"/>
          <w:color w:val="auto"/>
          <w:szCs w:val="21"/>
          <w:highlight w:val="none"/>
          <w:lang w:val="zh-CN"/>
        </w:rPr>
        <w:t>培训应包括</w:t>
      </w:r>
      <w:r>
        <w:rPr>
          <w:rFonts w:ascii="宋体" w:hAnsi="宋体"/>
          <w:color w:val="auto"/>
          <w:szCs w:val="21"/>
          <w:highlight w:val="none"/>
          <w:lang w:val="zh-CN"/>
        </w:rPr>
        <w:t>(</w:t>
      </w:r>
      <w:r>
        <w:rPr>
          <w:rFonts w:hint="eastAsia" w:ascii="宋体" w:hAnsi="宋体"/>
          <w:color w:val="auto"/>
          <w:szCs w:val="21"/>
          <w:highlight w:val="none"/>
          <w:lang w:val="zh-CN"/>
        </w:rPr>
        <w:t>但不仅限于</w:t>
      </w:r>
      <w:r>
        <w:rPr>
          <w:rFonts w:ascii="宋体" w:hAnsi="宋体"/>
          <w:color w:val="auto"/>
          <w:szCs w:val="21"/>
          <w:highlight w:val="none"/>
          <w:lang w:val="zh-CN"/>
        </w:rPr>
        <w:t>)</w:t>
      </w:r>
      <w:r>
        <w:rPr>
          <w:rFonts w:hint="eastAsia" w:ascii="宋体" w:hAnsi="宋体"/>
          <w:color w:val="auto"/>
          <w:szCs w:val="21"/>
          <w:highlight w:val="none"/>
          <w:lang w:val="zh-CN"/>
        </w:rPr>
        <w:t>下列内容：</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14.4.1对使用人员进行操作培训：</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·系统概述，包括系统的构成和功能。</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·系统操作程序（常见故障的排除）。</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·现场操作实习。</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14.4.2对系统运行保障人员进行技术和系统维护培训：</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·系统概述，系统原理。</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·系统各部件的检查，系统的调整和维护。</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·系统故障排除。</w:t>
      </w:r>
    </w:p>
    <w:p>
      <w:pPr>
        <w:snapToGrid w:val="0"/>
        <w:spacing w:line="360" w:lineRule="auto"/>
        <w:ind w:firstLine="420" w:firstLineChars="200"/>
        <w:rPr>
          <w:rFonts w:ascii="宋体" w:hAnsi="宋体"/>
          <w:b/>
          <w:bCs/>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.5</w:t>
      </w:r>
      <w:r>
        <w:rPr>
          <w:rFonts w:hint="eastAsia" w:ascii="宋体" w:hAnsi="宋体"/>
          <w:color w:val="auto"/>
          <w:szCs w:val="21"/>
          <w:highlight w:val="none"/>
          <w:lang w:val="zh-CN"/>
        </w:rPr>
        <w:t>承包人须协助用户建立起维护和维修制度。制定系统备份方案和安全保障预案。</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4</w:t>
      </w:r>
      <w:r>
        <w:rPr>
          <w:rFonts w:ascii="宋体" w:hAnsi="宋体"/>
          <w:color w:val="auto"/>
          <w:szCs w:val="21"/>
          <w:highlight w:val="none"/>
          <w:lang w:val="zh-CN"/>
        </w:rPr>
        <w:t>.6</w:t>
      </w:r>
      <w:r>
        <w:rPr>
          <w:rFonts w:hint="eastAsia" w:ascii="宋体" w:hAnsi="宋体"/>
          <w:color w:val="auto"/>
          <w:szCs w:val="21"/>
          <w:highlight w:val="none"/>
          <w:lang w:val="zh-CN"/>
        </w:rPr>
        <w:t>投标文件的技术培训方案中其它更详尽、更好的条款。</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15、售后服务</w:t>
      </w:r>
    </w:p>
    <w:p>
      <w:pPr>
        <w:snapToGrid w:val="0"/>
        <w:spacing w:line="360" w:lineRule="auto"/>
        <w:ind w:firstLine="420" w:firstLineChars="200"/>
        <w:rPr>
          <w:rFonts w:ascii="宋体" w:hAnsi="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.1</w:t>
      </w:r>
      <w:r>
        <w:rPr>
          <w:rFonts w:hint="eastAsia" w:ascii="宋体" w:hAnsi="宋体"/>
          <w:color w:val="auto"/>
          <w:kern w:val="0"/>
          <w:szCs w:val="21"/>
          <w:highlight w:val="none"/>
          <w:lang w:val="zh-CN"/>
        </w:rPr>
        <w:t>本项目投入运行起三个月内，承包人必须有专业工程师常驻现场，负责指导和处理系统使用问题。</w:t>
      </w:r>
    </w:p>
    <w:p>
      <w:pPr>
        <w:snapToGrid w:val="0"/>
        <w:spacing w:line="360" w:lineRule="auto"/>
        <w:ind w:firstLine="420" w:firstLineChars="200"/>
        <w:rPr>
          <w:rFonts w:ascii="宋体" w:hAnsi="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.2</w:t>
      </w:r>
      <w:r>
        <w:rPr>
          <w:rFonts w:hint="eastAsia" w:ascii="宋体" w:hAnsi="宋体"/>
          <w:color w:val="auto"/>
          <w:kern w:val="0"/>
          <w:szCs w:val="21"/>
          <w:highlight w:val="none"/>
          <w:lang w:val="zh-CN"/>
        </w:rPr>
        <w:t>承包人应对本项目提供长期有效的技术支持，开通全年24小时/天的不间断服务电话。在接到用户的故障维修电话后，承包人应在1小时内响应，简单故障能通过电话予以解决，如用户提出需要上门服务，应在4小时内赶到现场，并在</w:t>
      </w:r>
      <w:r>
        <w:rPr>
          <w:rFonts w:ascii="宋体" w:hAnsi="宋体"/>
          <w:color w:val="auto"/>
          <w:kern w:val="0"/>
          <w:szCs w:val="21"/>
          <w:highlight w:val="none"/>
          <w:lang w:val="zh-CN"/>
        </w:rPr>
        <w:t>2</w:t>
      </w:r>
      <w:r>
        <w:rPr>
          <w:rFonts w:hint="eastAsia" w:ascii="宋体" w:hAnsi="宋体"/>
          <w:color w:val="auto"/>
          <w:kern w:val="0"/>
          <w:szCs w:val="21"/>
          <w:highlight w:val="none"/>
          <w:lang w:val="zh-CN"/>
        </w:rPr>
        <w:t>个日历天内解决问题。如在规定时间内不能解决问题，应提供同规格的替代设备给用户代用，直至设备故障修复。</w:t>
      </w:r>
    </w:p>
    <w:p>
      <w:pPr>
        <w:snapToGrid w:val="0"/>
        <w:spacing w:line="360" w:lineRule="auto"/>
        <w:ind w:firstLine="420" w:firstLineChars="200"/>
        <w:rPr>
          <w:rFonts w:ascii="宋体" w:hAnsi="宋体"/>
          <w:color w:val="auto"/>
          <w:kern w:val="0"/>
          <w:szCs w:val="21"/>
          <w:highlight w:val="none"/>
          <w:u w:val="singl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.3</w:t>
      </w:r>
      <w:r>
        <w:rPr>
          <w:rFonts w:hint="eastAsia" w:ascii="宋体" w:hAnsi="宋体"/>
          <w:color w:val="auto"/>
          <w:kern w:val="0"/>
          <w:szCs w:val="21"/>
          <w:highlight w:val="none"/>
          <w:lang w:val="zh-CN"/>
        </w:rPr>
        <w:t>为保证能够及时维修维护，承包人应免费提供一些常用的、易损的备品备件，并放在用户处，这些备品备件列述在投标文件的备品备件清单中。</w:t>
      </w:r>
    </w:p>
    <w:p>
      <w:pPr>
        <w:snapToGrid w:val="0"/>
        <w:spacing w:line="360" w:lineRule="auto"/>
        <w:ind w:firstLine="420" w:firstLineChars="200"/>
        <w:rPr>
          <w:rFonts w:ascii="宋体" w:hAnsi="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.4</w:t>
      </w:r>
      <w:r>
        <w:rPr>
          <w:rFonts w:hint="eastAsia" w:ascii="宋体" w:hAnsi="宋体"/>
          <w:color w:val="auto"/>
          <w:kern w:val="0"/>
          <w:szCs w:val="21"/>
          <w:highlight w:val="none"/>
          <w:lang w:val="zh-CN"/>
        </w:rPr>
        <w:t>在质保期内，承包人应对整个系统免费提供每季度一次的维护和保养，记录系统各项运行数据，并形成维护保养书面报告交给用户。</w:t>
      </w:r>
    </w:p>
    <w:p>
      <w:pPr>
        <w:snapToGrid w:val="0"/>
        <w:spacing w:line="360" w:lineRule="auto"/>
        <w:ind w:firstLine="420" w:firstLineChars="200"/>
        <w:rPr>
          <w:rFonts w:ascii="宋体" w:hAnsi="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.5</w:t>
      </w:r>
      <w:r>
        <w:rPr>
          <w:rFonts w:hint="eastAsia" w:ascii="宋体" w:hAnsi="宋体"/>
          <w:color w:val="auto"/>
          <w:kern w:val="0"/>
          <w:szCs w:val="21"/>
          <w:highlight w:val="none"/>
          <w:lang w:val="zh-CN"/>
        </w:rPr>
        <w:t>质保期结束前，须由承包人和用户的代表进行一次全面检查，属于本项目范围内的任何缺陷必须由承包人负责修理。在修复之后，承包人应将缺陷原因、修理内容、修复的时间和日期等报告给用户，报告一式两份。</w:t>
      </w:r>
    </w:p>
    <w:p>
      <w:pPr>
        <w:snapToGrid w:val="0"/>
        <w:spacing w:line="360" w:lineRule="auto"/>
        <w:ind w:firstLine="420" w:firstLineChars="200"/>
        <w:rPr>
          <w:rFonts w:ascii="宋体" w:hAnsi="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olor w:val="auto"/>
          <w:kern w:val="0"/>
          <w:szCs w:val="21"/>
          <w:highlight w:val="none"/>
          <w:lang w:val="zh-CN"/>
        </w:rPr>
        <w:t>5</w:t>
      </w:r>
      <w:r>
        <w:rPr>
          <w:rFonts w:ascii="宋体" w:hAnsi="宋体"/>
          <w:color w:val="auto"/>
          <w:kern w:val="0"/>
          <w:szCs w:val="21"/>
          <w:highlight w:val="none"/>
          <w:lang w:val="zh-CN"/>
        </w:rPr>
        <w:t>.6</w:t>
      </w:r>
      <w:r>
        <w:rPr>
          <w:rFonts w:hint="eastAsia" w:ascii="宋体" w:hAnsi="宋体"/>
          <w:color w:val="auto"/>
          <w:kern w:val="0"/>
          <w:szCs w:val="21"/>
          <w:highlight w:val="none"/>
          <w:lang w:val="zh-CN"/>
        </w:rPr>
        <w:t>投标文件的售后服务承诺中其它更好的条款。</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16、违约赔偿</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6</w:t>
      </w:r>
      <w:r>
        <w:rPr>
          <w:rFonts w:ascii="宋体" w:hAnsi="宋体"/>
          <w:color w:val="auto"/>
          <w:szCs w:val="21"/>
          <w:highlight w:val="none"/>
          <w:lang w:val="zh-CN"/>
        </w:rPr>
        <w:t>.1</w:t>
      </w:r>
      <w:r>
        <w:rPr>
          <w:rFonts w:hint="eastAsia" w:ascii="宋体" w:hAnsi="宋体"/>
          <w:color w:val="auto"/>
          <w:szCs w:val="21"/>
          <w:highlight w:val="none"/>
          <w:lang w:val="zh-CN"/>
        </w:rPr>
        <w:t>工期延迟</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除不可抗力外，承包人未经发包人同意而拖延工期的，每逾期一天处以1000元的违约金。工期延迟的违约金金额达到合同总价</w:t>
      </w:r>
      <w:r>
        <w:rPr>
          <w:rFonts w:ascii="宋体" w:hAnsi="宋体"/>
          <w:color w:val="auto"/>
          <w:szCs w:val="21"/>
          <w:highlight w:val="none"/>
          <w:lang w:val="zh-CN"/>
        </w:rPr>
        <w:t>5</w:t>
      </w:r>
      <w:r>
        <w:rPr>
          <w:rFonts w:hint="eastAsia" w:ascii="宋体" w:hAnsi="宋体"/>
          <w:color w:val="auto"/>
          <w:szCs w:val="21"/>
          <w:highlight w:val="none"/>
          <w:lang w:val="zh-CN"/>
        </w:rPr>
        <w:t xml:space="preserve">%时，承包人仍不能完工的，发包人可以终止合同，由此造成发包人损失的，承包人应承担赔偿责任。  </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6</w:t>
      </w:r>
      <w:r>
        <w:rPr>
          <w:rFonts w:ascii="宋体" w:hAnsi="宋体"/>
          <w:color w:val="auto"/>
          <w:szCs w:val="21"/>
          <w:highlight w:val="none"/>
          <w:lang w:val="zh-CN"/>
        </w:rPr>
        <w:t>.2</w:t>
      </w:r>
      <w:r>
        <w:rPr>
          <w:rFonts w:hint="eastAsia" w:ascii="宋体" w:hAnsi="宋体"/>
          <w:color w:val="auto"/>
          <w:szCs w:val="21"/>
          <w:highlight w:val="none"/>
          <w:lang w:val="zh-CN"/>
        </w:rPr>
        <w:t>质量</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承包人提供的设备材料、安装施工未达到合同规定的质量要求，造成本</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的缺陷，承包人除负担发生的一切损失费用外，发包人对造成的损失保留索赔的权力。</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6</w:t>
      </w:r>
      <w:r>
        <w:rPr>
          <w:rFonts w:ascii="宋体" w:hAnsi="宋体"/>
          <w:color w:val="auto"/>
          <w:szCs w:val="21"/>
          <w:highlight w:val="none"/>
          <w:lang w:val="zh-CN"/>
        </w:rPr>
        <w:t>.</w:t>
      </w:r>
      <w:r>
        <w:rPr>
          <w:rFonts w:hint="eastAsia" w:ascii="宋体" w:hAnsi="宋体"/>
          <w:color w:val="auto"/>
          <w:szCs w:val="21"/>
          <w:highlight w:val="none"/>
          <w:lang w:val="zh-CN"/>
        </w:rPr>
        <w:t>3承包人未能履行合同规定的义务，并在收到发包人的违约通知后未能纠正其过失的，</w:t>
      </w:r>
      <w:r>
        <w:rPr>
          <w:rFonts w:hint="eastAsia" w:ascii="宋体" w:hAnsi="宋体"/>
          <w:color w:val="auto"/>
          <w:kern w:val="0"/>
          <w:szCs w:val="21"/>
          <w:highlight w:val="none"/>
        </w:rPr>
        <w:t>发包人和丙方</w:t>
      </w:r>
      <w:r>
        <w:rPr>
          <w:rFonts w:hint="eastAsia" w:ascii="宋体" w:hAnsi="宋体"/>
          <w:color w:val="auto"/>
          <w:szCs w:val="21"/>
          <w:highlight w:val="none"/>
          <w:lang w:val="zh-CN"/>
        </w:rPr>
        <w:t>有权从未支付的合同款中扣除其违约金，如果这些金额不足以补偿索赔金额，</w:t>
      </w:r>
      <w:r>
        <w:rPr>
          <w:rFonts w:hint="eastAsia" w:ascii="宋体" w:hAnsi="宋体"/>
          <w:color w:val="auto"/>
          <w:kern w:val="0"/>
          <w:szCs w:val="21"/>
          <w:highlight w:val="none"/>
        </w:rPr>
        <w:t>发包人和丙方</w:t>
      </w:r>
      <w:r>
        <w:rPr>
          <w:rFonts w:hint="eastAsia" w:ascii="宋体" w:hAnsi="宋体"/>
          <w:color w:val="auto"/>
          <w:szCs w:val="21"/>
          <w:highlight w:val="none"/>
          <w:lang w:val="zh-CN"/>
        </w:rPr>
        <w:t>有权向承包人提出不足部分的补偿。</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16.4承包人因验收不合格更换货物、重新提供服务或整改后应保证一次性验收合格，如果再次验收不合格，发包方可退货并终止合同，因此给发包方造成损失的，承包人须承担赔偿责任。</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rPr>
        <w:t>17、合同纠纷</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7</w:t>
      </w:r>
      <w:r>
        <w:rPr>
          <w:rFonts w:ascii="宋体" w:hAnsi="宋体"/>
          <w:color w:val="auto"/>
          <w:szCs w:val="21"/>
          <w:highlight w:val="none"/>
          <w:lang w:val="zh-CN"/>
        </w:rPr>
        <w:t>.1</w:t>
      </w:r>
      <w:r>
        <w:rPr>
          <w:rFonts w:hint="eastAsia" w:ascii="宋体" w:hAnsi="宋体"/>
          <w:color w:val="auto"/>
          <w:szCs w:val="21"/>
          <w:highlight w:val="none"/>
          <w:lang w:val="zh-CN"/>
        </w:rPr>
        <w:t>合同各方通过友好协商，解决在执行本合同中所发生的或与本合同有关的一切争端，如果协商仍得不到解决，</w:t>
      </w:r>
      <w:r>
        <w:rPr>
          <w:rFonts w:hint="eastAsia" w:ascii="宋体" w:hAnsi="宋体"/>
          <w:color w:val="auto"/>
          <w:szCs w:val="21"/>
          <w:highlight w:val="none"/>
        </w:rPr>
        <w:t>可向宁波市北仑区人民法院申请诉讼。</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7</w:t>
      </w:r>
      <w:r>
        <w:rPr>
          <w:rFonts w:ascii="宋体" w:hAnsi="宋体"/>
          <w:color w:val="auto"/>
          <w:szCs w:val="21"/>
          <w:highlight w:val="none"/>
          <w:lang w:val="zh-CN"/>
        </w:rPr>
        <w:t>.2</w:t>
      </w:r>
      <w:r>
        <w:rPr>
          <w:rFonts w:hint="eastAsia" w:ascii="宋体" w:hAnsi="宋体"/>
          <w:color w:val="auto"/>
          <w:szCs w:val="21"/>
          <w:highlight w:val="none"/>
          <w:lang w:val="zh-CN"/>
        </w:rPr>
        <w:t>在诉讼期间，除正在进行诉讼的部分外，本合同其它部分应继续执行。</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18、转让和分包</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8</w:t>
      </w:r>
      <w:r>
        <w:rPr>
          <w:rFonts w:ascii="宋体" w:hAnsi="宋体"/>
          <w:color w:val="auto"/>
          <w:szCs w:val="21"/>
          <w:highlight w:val="none"/>
          <w:lang w:val="zh-CN"/>
        </w:rPr>
        <w:t>.1</w:t>
      </w:r>
      <w:r>
        <w:rPr>
          <w:rFonts w:hint="eastAsia" w:ascii="宋体" w:hAnsi="宋体"/>
          <w:color w:val="auto"/>
          <w:szCs w:val="21"/>
          <w:highlight w:val="none"/>
          <w:lang w:val="zh-CN"/>
        </w:rPr>
        <w:t>未经发包人书面同意，承包人不得部分转让或全部转让其应履行的合同义务。</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lang w:val="zh-CN"/>
        </w:rPr>
        <w:t>8</w:t>
      </w:r>
      <w:r>
        <w:rPr>
          <w:rFonts w:ascii="宋体" w:hAnsi="宋体"/>
          <w:color w:val="auto"/>
          <w:szCs w:val="21"/>
          <w:highlight w:val="none"/>
          <w:lang w:val="zh-CN"/>
        </w:rPr>
        <w:t>.2</w:t>
      </w:r>
      <w:r>
        <w:rPr>
          <w:rFonts w:hint="eastAsia" w:ascii="宋体" w:hAnsi="宋体"/>
          <w:color w:val="auto"/>
          <w:szCs w:val="21"/>
          <w:highlight w:val="none"/>
          <w:lang w:val="zh-CN"/>
        </w:rPr>
        <w:t>承包人如果征得发包人同意，可以采取分包方式履行合同，承包人就整个合同内容和分包合同内容向发包人负责。</w:t>
      </w:r>
    </w:p>
    <w:p>
      <w:pPr>
        <w:snapToGrid w:val="0"/>
        <w:spacing w:line="360" w:lineRule="auto"/>
        <w:ind w:firstLine="420" w:firstLineChars="200"/>
        <w:rPr>
          <w:rFonts w:ascii="宋体" w:hAnsi="宋体"/>
          <w:b/>
          <w:color w:val="auto"/>
          <w:szCs w:val="21"/>
          <w:highlight w:val="none"/>
          <w:lang w:val="zh-CN"/>
        </w:rPr>
      </w:pPr>
      <w:r>
        <w:rPr>
          <w:rFonts w:hint="eastAsia" w:ascii="宋体" w:hAnsi="宋体"/>
          <w:b/>
          <w:color w:val="auto"/>
          <w:szCs w:val="21"/>
          <w:highlight w:val="none"/>
          <w:lang w:val="zh-CN"/>
        </w:rPr>
        <w:t>19、总包配合规定</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19.1总包配合费为本合同价的</w:t>
      </w:r>
      <w:r>
        <w:rPr>
          <w:rFonts w:hint="eastAsia" w:ascii="宋体" w:hAnsi="宋体"/>
          <w:color w:val="auto"/>
          <w:szCs w:val="21"/>
          <w:highlight w:val="none"/>
          <w:u w:val="single"/>
          <w:lang w:val="zh-CN"/>
        </w:rPr>
        <w:t xml:space="preserve"> 2 </w:t>
      </w:r>
      <w:r>
        <w:rPr>
          <w:rFonts w:hint="eastAsia" w:ascii="宋体" w:hAnsi="宋体"/>
          <w:color w:val="auto"/>
          <w:szCs w:val="21"/>
          <w:highlight w:val="none"/>
          <w:lang w:val="zh-CN"/>
        </w:rPr>
        <w:t>%，已包含在总投标价中。总包配合费在承包人收到第一笔</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款后支付给本</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的总承包方</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，水电费按实计量，履约验收后与总承包方结算。</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19.2承包人应配合总承包人的管理。</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19.3承包人必须满足发包人的合理要求，并通知合同相关条款约定责任及义务。</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rPr>
        <w:t>20、</w:t>
      </w:r>
      <w:r>
        <w:rPr>
          <w:rFonts w:hint="eastAsia" w:ascii="宋体" w:hAnsi="宋体"/>
          <w:b/>
          <w:bCs/>
          <w:color w:val="auto"/>
          <w:szCs w:val="21"/>
          <w:highlight w:val="none"/>
          <w:lang w:val="zh-CN"/>
        </w:rPr>
        <w:t>税费</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20.1根据国家现行税法对买方征收的与本合同有关的一切税费均由买方负担。</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20.2根据国家现行税法对供应商征收的与本合同有关的一切税费均由供应商负担。</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20</w:t>
      </w:r>
      <w:r>
        <w:rPr>
          <w:rFonts w:ascii="宋体" w:hAnsi="宋体"/>
          <w:color w:val="auto"/>
          <w:szCs w:val="21"/>
          <w:highlight w:val="none"/>
          <w:lang w:val="zh-CN"/>
        </w:rPr>
        <w:t>.3</w:t>
      </w:r>
      <w:r>
        <w:rPr>
          <w:rFonts w:hint="eastAsia" w:ascii="宋体" w:hAnsi="宋体"/>
          <w:color w:val="auto"/>
          <w:szCs w:val="21"/>
          <w:highlight w:val="none"/>
          <w:lang w:val="zh-CN"/>
        </w:rPr>
        <w:t>在中国境外发生的与本合同执行有关的一切税费均由供应商负担。</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rPr>
        <w:t>21、廉政建设</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21.1发、承包双方应建立健全廉政制度，互相监督并认真查处违法违纪行为。发现对方在业务活动中有违反本合同行为的，有及时提醒对方纠正的权利和义务。情节严重的，有向其上级有关部门举报、建议给予处分并要求告知处理结果的权利。</w:t>
      </w:r>
    </w:p>
    <w:p>
      <w:pPr>
        <w:pStyle w:val="5"/>
        <w:snapToGrid w:val="0"/>
        <w:spacing w:after="0" w:line="360" w:lineRule="auto"/>
        <w:ind w:left="0" w:leftChars="0" w:firstLine="420" w:firstLineChars="200"/>
        <w:rPr>
          <w:rFonts w:ascii="宋体" w:hAnsi="宋体"/>
          <w:color w:val="auto"/>
          <w:szCs w:val="21"/>
          <w:highlight w:val="none"/>
          <w:lang w:val="zh-CN"/>
        </w:rPr>
      </w:pPr>
      <w:r>
        <w:rPr>
          <w:rFonts w:hint="eastAsia" w:ascii="宋体" w:hAnsi="宋体"/>
          <w:color w:val="auto"/>
          <w:szCs w:val="21"/>
          <w:highlight w:val="none"/>
          <w:lang w:val="zh-CN"/>
        </w:rPr>
        <w:t>21.2承包方承诺，如违反廉政规定，违规向发包方工作人员赠物送钱，发包方可向建设行政等部门提议并将其列入不良市场行为进行通报公示，限制承包方在北仑区承接政府投资项目施工业务5年。</w:t>
      </w:r>
    </w:p>
    <w:p>
      <w:pPr>
        <w:pStyle w:val="5"/>
        <w:snapToGrid w:val="0"/>
        <w:spacing w:after="0" w:line="360" w:lineRule="auto"/>
        <w:ind w:left="0" w:leftChars="0" w:firstLine="420" w:firstLineChars="200"/>
        <w:rPr>
          <w:rFonts w:ascii="宋体" w:hAnsi="宋体"/>
          <w:color w:val="auto"/>
          <w:szCs w:val="21"/>
          <w:highlight w:val="none"/>
          <w:lang w:val="zh-CN"/>
        </w:rPr>
      </w:pPr>
      <w:r>
        <w:rPr>
          <w:rFonts w:hint="eastAsia" w:ascii="宋体" w:hAnsi="宋体"/>
          <w:color w:val="auto"/>
          <w:szCs w:val="21"/>
          <w:highlight w:val="none"/>
          <w:lang w:val="zh-CN"/>
        </w:rPr>
        <w:t>21.3双方约定：承包方发生行贿等违反廉政法规的行为，导致发包方工作人员受行政处分乃至刑事处罚的，发包方出具通知书直接从合同款中进行扣除，扣款额度视情节严重程度计算；</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验收合格后两年内如发现承包方有违反廉政法规行为，发包方有权追索。</w:t>
      </w:r>
    </w:p>
    <w:p>
      <w:pPr>
        <w:pStyle w:val="5"/>
        <w:snapToGrid w:val="0"/>
        <w:spacing w:after="0" w:line="360" w:lineRule="auto"/>
        <w:ind w:left="0" w:leftChars="0" w:firstLine="420" w:firstLineChars="200"/>
        <w:rPr>
          <w:rFonts w:ascii="宋体" w:hAnsi="宋体"/>
          <w:b/>
          <w:color w:val="auto"/>
          <w:szCs w:val="21"/>
          <w:highlight w:val="none"/>
          <w:lang w:val="zh-CN"/>
        </w:rPr>
      </w:pPr>
      <w:r>
        <w:rPr>
          <w:rFonts w:hint="eastAsia" w:ascii="宋体" w:hAnsi="宋体"/>
          <w:b/>
          <w:color w:val="auto"/>
          <w:szCs w:val="21"/>
          <w:highlight w:val="none"/>
          <w:lang w:val="zh-CN"/>
        </w:rPr>
        <w:t>22、其它约定</w:t>
      </w:r>
    </w:p>
    <w:p>
      <w:pPr>
        <w:pStyle w:val="5"/>
        <w:snapToGrid w:val="0"/>
        <w:spacing w:after="0" w:line="360" w:lineRule="auto"/>
        <w:ind w:left="0" w:leftChars="0" w:firstLine="420" w:firstLineChars="200"/>
        <w:rPr>
          <w:rFonts w:ascii="宋体" w:hAnsi="宋体"/>
          <w:color w:val="auto"/>
          <w:szCs w:val="21"/>
          <w:highlight w:val="none"/>
          <w:lang w:val="zh-CN"/>
        </w:rPr>
      </w:pPr>
      <w:r>
        <w:rPr>
          <w:rFonts w:hint="eastAsia" w:ascii="宋体" w:hAnsi="宋体"/>
          <w:color w:val="auto"/>
          <w:szCs w:val="21"/>
          <w:highlight w:val="none"/>
          <w:lang w:val="zh-CN"/>
        </w:rPr>
        <w:t>发包方若发现承包方投标文件中所提供货物的规格、型号、技术参数等有低于招标文件及图纸要求的，承包方应按招标文件及图纸的要求予以调高，且中标价不作调整，否则发包方有权不签订合同或终止合同的执行，重新组织评标或招标，由此所产生的相关费用及损失均由承包方承担。</w:t>
      </w:r>
    </w:p>
    <w:p>
      <w:pPr>
        <w:pStyle w:val="5"/>
        <w:snapToGrid w:val="0"/>
        <w:spacing w:after="0" w:line="360" w:lineRule="auto"/>
        <w:ind w:left="0" w:leftChars="0" w:firstLine="420" w:firstLineChars="200"/>
        <w:rPr>
          <w:rFonts w:ascii="宋体" w:hAnsi="宋体"/>
          <w:color w:val="auto"/>
          <w:szCs w:val="21"/>
          <w:highlight w:val="none"/>
          <w:lang w:val="zh-CN"/>
        </w:rPr>
      </w:pPr>
      <w:r>
        <w:rPr>
          <w:rFonts w:hint="eastAsia" w:ascii="宋体" w:hAnsi="宋体"/>
          <w:color w:val="auto"/>
          <w:szCs w:val="21"/>
          <w:highlight w:val="none"/>
          <w:lang w:val="zh-CN"/>
        </w:rPr>
        <w:t>履约最终验收合格后，发包方将对承包方进行履约考核评分。</w:t>
      </w:r>
    </w:p>
    <w:p>
      <w:pPr>
        <w:snapToGrid w:val="0"/>
        <w:spacing w:line="360" w:lineRule="auto"/>
        <w:ind w:firstLine="411" w:firstLineChars="196"/>
        <w:rPr>
          <w:rFonts w:ascii="宋体" w:hAnsi="宋体"/>
          <w:b/>
          <w:bCs/>
          <w:color w:val="auto"/>
          <w:szCs w:val="21"/>
          <w:highlight w:val="none"/>
        </w:rPr>
      </w:pPr>
      <w:r>
        <w:rPr>
          <w:rFonts w:ascii="宋体" w:hAnsi="宋体"/>
          <w:b/>
          <w:bCs/>
          <w:color w:val="auto"/>
          <w:szCs w:val="21"/>
          <w:highlight w:val="none"/>
        </w:rPr>
        <w:t>2</w:t>
      </w:r>
      <w:r>
        <w:rPr>
          <w:rFonts w:hint="eastAsia" w:ascii="宋体" w:hAnsi="宋体"/>
          <w:b/>
          <w:bCs/>
          <w:color w:val="auto"/>
          <w:szCs w:val="21"/>
          <w:highlight w:val="none"/>
        </w:rPr>
        <w:t>3、</w:t>
      </w:r>
      <w:r>
        <w:rPr>
          <w:rFonts w:hint="eastAsia" w:ascii="宋体" w:hAnsi="宋体"/>
          <w:b/>
          <w:bCs/>
          <w:color w:val="auto"/>
          <w:szCs w:val="21"/>
          <w:highlight w:val="none"/>
          <w:lang w:val="zh-CN"/>
        </w:rPr>
        <w:t>合同附件</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与本合同有关的招标文件、投标文件、设计图纸、询标答疑或承诺书（若有）、中标通知书、补充合同（若有）及有关本</w:t>
      </w:r>
      <w:r>
        <w:rPr>
          <w:rFonts w:hint="eastAsia" w:ascii="宋体" w:hAnsi="宋体"/>
          <w:color w:val="auto"/>
          <w:kern w:val="0"/>
          <w:szCs w:val="21"/>
          <w:highlight w:val="none"/>
          <w:lang w:val="zh-CN"/>
        </w:rPr>
        <w:t>项目</w:t>
      </w:r>
      <w:r>
        <w:rPr>
          <w:rFonts w:hint="eastAsia" w:ascii="宋体" w:hAnsi="宋体"/>
          <w:color w:val="auto"/>
          <w:szCs w:val="21"/>
          <w:highlight w:val="none"/>
          <w:lang w:val="zh-CN"/>
        </w:rPr>
        <w:t>往来文件（会议纪要、往来信函、签证联系单等）均为合同的组成部分，与本合同具有同等法律效力。</w:t>
      </w:r>
    </w:p>
    <w:p>
      <w:pPr>
        <w:snapToGrid w:val="0"/>
        <w:spacing w:line="360" w:lineRule="auto"/>
        <w:ind w:firstLine="411" w:firstLineChars="196"/>
        <w:rPr>
          <w:rFonts w:ascii="宋体" w:hAnsi="宋体"/>
          <w:b/>
          <w:bCs/>
          <w:color w:val="auto"/>
          <w:szCs w:val="21"/>
          <w:highlight w:val="none"/>
        </w:rPr>
      </w:pPr>
      <w:r>
        <w:rPr>
          <w:rFonts w:ascii="宋体" w:hAnsi="宋体"/>
          <w:b/>
          <w:bCs/>
          <w:color w:val="auto"/>
          <w:szCs w:val="21"/>
          <w:highlight w:val="none"/>
        </w:rPr>
        <w:t>2</w:t>
      </w:r>
      <w:r>
        <w:rPr>
          <w:rFonts w:hint="eastAsia" w:ascii="宋体" w:hAnsi="宋体"/>
          <w:b/>
          <w:bCs/>
          <w:color w:val="auto"/>
          <w:szCs w:val="21"/>
          <w:highlight w:val="none"/>
        </w:rPr>
        <w:t>4、</w:t>
      </w:r>
      <w:r>
        <w:rPr>
          <w:rFonts w:hint="eastAsia" w:ascii="宋体" w:hAnsi="宋体"/>
          <w:b/>
          <w:bCs/>
          <w:color w:val="auto"/>
          <w:szCs w:val="21"/>
          <w:highlight w:val="none"/>
          <w:lang w:val="zh-CN"/>
        </w:rPr>
        <w:t>未尽事宜</w:t>
      </w:r>
    </w:p>
    <w:p>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lang w:val="zh-CN"/>
        </w:rPr>
        <w:t>未尽事宜，三方协商解决，欲对合同条款进行任何改动，均须由三方签署书面的补充合同。</w:t>
      </w:r>
    </w:p>
    <w:p>
      <w:pPr>
        <w:snapToGrid w:val="0"/>
        <w:spacing w:line="360" w:lineRule="auto"/>
        <w:ind w:firstLine="411" w:firstLineChars="196"/>
        <w:rPr>
          <w:rFonts w:ascii="宋体" w:hAnsi="宋体"/>
          <w:b/>
          <w:bCs/>
          <w:color w:val="auto"/>
          <w:szCs w:val="21"/>
          <w:highlight w:val="none"/>
        </w:rPr>
      </w:pPr>
      <w:r>
        <w:rPr>
          <w:rFonts w:hint="eastAsia" w:ascii="宋体" w:hAnsi="宋体"/>
          <w:b/>
          <w:bCs/>
          <w:color w:val="auto"/>
          <w:szCs w:val="21"/>
          <w:highlight w:val="none"/>
          <w:lang w:val="zh-CN"/>
        </w:rPr>
        <w:t>25、合同生效</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lang w:val="zh-CN"/>
        </w:rPr>
        <w:t>5</w:t>
      </w:r>
      <w:r>
        <w:rPr>
          <w:rFonts w:ascii="宋体" w:hAnsi="宋体"/>
          <w:color w:val="auto"/>
          <w:szCs w:val="21"/>
          <w:highlight w:val="none"/>
          <w:lang w:val="zh-CN"/>
        </w:rPr>
        <w:t>.</w:t>
      </w:r>
      <w:r>
        <w:rPr>
          <w:rFonts w:hint="eastAsia" w:ascii="宋体" w:hAnsi="宋体"/>
          <w:color w:val="auto"/>
          <w:szCs w:val="21"/>
          <w:highlight w:val="none"/>
          <w:lang w:val="zh-CN"/>
        </w:rPr>
        <w:t>1合同订立地点：</w:t>
      </w:r>
      <w:r>
        <w:rPr>
          <w:rFonts w:ascii="宋体" w:hAnsi="宋体"/>
          <w:color w:val="auto"/>
          <w:szCs w:val="21"/>
          <w:highlight w:val="none"/>
          <w:u w:val="single"/>
          <w:lang w:val="zh-CN"/>
        </w:rPr>
        <w:t xml:space="preserve"> </w:t>
      </w:r>
      <w:r>
        <w:rPr>
          <w:rFonts w:hint="eastAsia" w:ascii="宋体" w:hAnsi="宋体"/>
          <w:color w:val="auto"/>
          <w:szCs w:val="21"/>
          <w:highlight w:val="none"/>
          <w:u w:val="single"/>
          <w:lang w:val="zh-CN"/>
        </w:rPr>
        <w:t>宁波市北仑区</w:t>
      </w:r>
      <w:r>
        <w:rPr>
          <w:rFonts w:ascii="宋体" w:hAnsi="宋体"/>
          <w:color w:val="auto"/>
          <w:szCs w:val="21"/>
          <w:highlight w:val="none"/>
          <w:u w:val="single"/>
          <w:lang w:val="zh-CN"/>
        </w:rPr>
        <w:t xml:space="preserve">          </w:t>
      </w:r>
      <w:r>
        <w:rPr>
          <w:rFonts w:hint="eastAsia" w:ascii="宋体" w:hAnsi="宋体"/>
          <w:color w:val="auto"/>
          <w:szCs w:val="21"/>
          <w:highlight w:val="none"/>
          <w:lang w:val="zh-CN"/>
        </w:rPr>
        <w:t>。</w:t>
      </w:r>
    </w:p>
    <w:p>
      <w:pPr>
        <w:snapToGri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lang w:val="zh-CN"/>
        </w:rPr>
        <w:t>5.2</w:t>
      </w: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份，发包人、承包人和丙方三方各执</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val="zh-CN"/>
        </w:rPr>
        <w:t>在三方签字盖章后开始生效。</w:t>
      </w:r>
    </w:p>
    <w:p>
      <w:pPr>
        <w:snapToGrid w:val="0"/>
        <w:spacing w:line="360" w:lineRule="auto"/>
        <w:rPr>
          <w:rFonts w:ascii="宋体" w:hAnsi="宋体"/>
          <w:color w:val="auto"/>
          <w:kern w:val="0"/>
          <w:szCs w:val="21"/>
          <w:highlight w:val="none"/>
          <w:lang w:val="zh-CN"/>
        </w:rPr>
      </w:pPr>
    </w:p>
    <w:p>
      <w:pPr>
        <w:snapToGrid w:val="0"/>
        <w:spacing w:line="360" w:lineRule="auto"/>
        <w:rPr>
          <w:rFonts w:ascii="宋体" w:hAnsi="宋体"/>
          <w:color w:val="auto"/>
          <w:kern w:val="0"/>
          <w:szCs w:val="21"/>
          <w:highlight w:val="none"/>
          <w:lang w:val="zh-CN"/>
        </w:rPr>
      </w:pPr>
    </w:p>
    <w:p>
      <w:pPr>
        <w:snapToGrid w:val="0"/>
        <w:spacing w:line="360" w:lineRule="auto"/>
        <w:rPr>
          <w:rFonts w:ascii="宋体" w:hAnsi="宋体"/>
          <w:color w:val="auto"/>
          <w:kern w:val="0"/>
          <w:szCs w:val="21"/>
          <w:highlight w:val="none"/>
          <w:lang w:val="zh-CN"/>
        </w:rPr>
      </w:pPr>
      <w:r>
        <w:rPr>
          <w:rFonts w:hint="eastAsia" w:ascii="宋体" w:hAnsi="宋体"/>
          <w:color w:val="auto"/>
          <w:kern w:val="0"/>
          <w:szCs w:val="21"/>
          <w:highlight w:val="none"/>
          <w:lang w:val="zh-CN"/>
        </w:rPr>
        <w:t>发包人：</w:t>
      </w:r>
      <w:r>
        <w:rPr>
          <w:rFonts w:hint="eastAsia"/>
          <w:color w:val="auto"/>
          <w:highlight w:val="none"/>
        </w:rPr>
        <w:t>宁波市北仑区公共项目建设管理中心</w:t>
      </w:r>
      <w:r>
        <w:rPr>
          <w:rFonts w:ascii="宋体" w:hAnsi="宋体"/>
          <w:color w:val="auto"/>
          <w:kern w:val="0"/>
          <w:szCs w:val="21"/>
          <w:highlight w:val="none"/>
          <w:lang w:val="zh-CN"/>
        </w:rPr>
        <w:t xml:space="preserve">  </w:t>
      </w:r>
      <w:r>
        <w:rPr>
          <w:rFonts w:hint="eastAsia" w:ascii="宋体" w:hAnsi="宋体"/>
          <w:color w:val="auto"/>
          <w:kern w:val="0"/>
          <w:szCs w:val="21"/>
          <w:highlight w:val="none"/>
          <w:lang w:val="zh-CN"/>
        </w:rPr>
        <w:t xml:space="preserve">    </w:t>
      </w:r>
      <w:r>
        <w:rPr>
          <w:rFonts w:ascii="宋体" w:hAnsi="宋体"/>
          <w:color w:val="auto"/>
          <w:kern w:val="0"/>
          <w:szCs w:val="21"/>
          <w:highlight w:val="none"/>
          <w:lang w:val="zh-CN"/>
        </w:rPr>
        <w:t xml:space="preserve"> </w:t>
      </w:r>
      <w:r>
        <w:rPr>
          <w:rFonts w:hint="eastAsia" w:ascii="宋体" w:hAnsi="宋体"/>
          <w:color w:val="auto"/>
          <w:kern w:val="0"/>
          <w:szCs w:val="21"/>
          <w:highlight w:val="none"/>
          <w:lang w:val="zh-CN"/>
        </w:rPr>
        <w:t>承包人：</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rPr>
          <w:rFonts w:ascii="宋体" w:hAnsi="宋体"/>
          <w:color w:val="auto"/>
          <w:szCs w:val="21"/>
          <w:highlight w:val="none"/>
        </w:rPr>
      </w:pPr>
      <w:r>
        <w:rPr>
          <w:rFonts w:hint="eastAsia" w:ascii="宋体" w:hAnsi="宋体"/>
          <w:color w:val="auto"/>
          <w:szCs w:val="21"/>
          <w:highlight w:val="none"/>
        </w:rPr>
        <w:t>法定代表人或授权代表（签字）：                  法定代表人或授权代表（签字）：</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rPr>
          <w:rFonts w:ascii="宋体" w:hAnsi="宋体"/>
          <w:color w:val="auto"/>
          <w:szCs w:val="21"/>
          <w:highlight w:val="none"/>
        </w:rPr>
      </w:pPr>
      <w:r>
        <w:rPr>
          <w:rFonts w:hint="eastAsia" w:ascii="宋体" w:hAnsi="宋体"/>
          <w:color w:val="auto"/>
          <w:szCs w:val="21"/>
          <w:highlight w:val="none"/>
        </w:rPr>
        <w:t>联系方式：（电话）                              联系方式：（电话）</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日期：      年   月   日                       日期：     年   月   日</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napToGrid w:val="0"/>
        <w:spacing w:line="360" w:lineRule="auto"/>
        <w:rPr>
          <w:rFonts w:ascii="宋体" w:hAnsi="宋体"/>
          <w:strike/>
          <w:color w:val="auto"/>
          <w:kern w:val="0"/>
          <w:szCs w:val="21"/>
          <w:highlight w:val="none"/>
          <w:lang w:val="zh-CN"/>
        </w:rPr>
      </w:pPr>
      <w:r>
        <w:rPr>
          <w:rFonts w:hint="eastAsia" w:ascii="宋体" w:hAnsi="宋体"/>
          <w:color w:val="auto"/>
          <w:kern w:val="0"/>
          <w:szCs w:val="21"/>
          <w:highlight w:val="none"/>
          <w:lang w:val="zh-CN"/>
        </w:rPr>
        <w:t>丙方：宁波市北仑教育发展有限公司</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rPr>
          <w:rFonts w:ascii="宋体" w:hAnsi="宋体"/>
          <w:color w:val="auto"/>
          <w:szCs w:val="21"/>
          <w:highlight w:val="none"/>
        </w:rPr>
      </w:pPr>
      <w:r>
        <w:rPr>
          <w:rFonts w:hint="eastAsia" w:ascii="宋体" w:hAnsi="宋体"/>
          <w:color w:val="auto"/>
          <w:szCs w:val="21"/>
          <w:highlight w:val="none"/>
        </w:rPr>
        <w:t>法定代表人或授权代表（签字）：</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rPr>
          <w:rFonts w:ascii="宋体" w:hAnsi="宋体"/>
          <w:color w:val="auto"/>
          <w:szCs w:val="21"/>
          <w:highlight w:val="none"/>
        </w:rPr>
      </w:pPr>
      <w:r>
        <w:rPr>
          <w:rFonts w:hint="eastAsia" w:ascii="宋体" w:hAnsi="宋体"/>
          <w:color w:val="auto"/>
          <w:szCs w:val="21"/>
          <w:highlight w:val="none"/>
        </w:rPr>
        <w:t>联系方式：（电话）</w:t>
      </w:r>
    </w:p>
    <w:p>
      <w:pPr>
        <w:tabs>
          <w:tab w:val="left" w:pos="2310"/>
        </w:tabs>
        <w:snapToGrid w:val="0"/>
        <w:spacing w:line="360" w:lineRule="auto"/>
        <w:rPr>
          <w:rFonts w:ascii="宋体" w:hAnsi="宋体"/>
          <w:color w:val="auto"/>
          <w:szCs w:val="21"/>
          <w:highlight w:val="none"/>
        </w:rPr>
      </w:pPr>
    </w:p>
    <w:p>
      <w:pPr>
        <w:tabs>
          <w:tab w:val="left" w:pos="2310"/>
        </w:tabs>
        <w:snapToGrid w:val="0"/>
        <w:spacing w:line="360" w:lineRule="auto"/>
        <w:jc w:val="left"/>
        <w:rPr>
          <w:rFonts w:ascii="宋体" w:hAnsi="宋体"/>
          <w:color w:val="auto"/>
          <w:szCs w:val="21"/>
          <w:highlight w:val="none"/>
        </w:rPr>
      </w:pPr>
      <w:r>
        <w:rPr>
          <w:rFonts w:hint="eastAsia" w:ascii="宋体" w:hAnsi="宋体"/>
          <w:color w:val="auto"/>
          <w:szCs w:val="21"/>
          <w:highlight w:val="none"/>
        </w:rPr>
        <w:t>日期：      年   月   日</w:t>
      </w:r>
    </w:p>
    <w:p>
      <w:pPr>
        <w:spacing w:line="360" w:lineRule="auto"/>
        <w:rPr>
          <w:rFonts w:ascii="宋体" w:hAnsi="宋体"/>
          <w:color w:val="auto"/>
          <w:highlight w:val="none"/>
        </w:rPr>
      </w:pPr>
    </w:p>
    <w:p>
      <w:pPr>
        <w:rPr>
          <w:rFonts w:ascii="宋体" w:hAnsi="宋体"/>
          <w:b/>
          <w:bCs/>
          <w:color w:val="auto"/>
          <w:sz w:val="36"/>
          <w:szCs w:val="36"/>
          <w:highlight w:val="none"/>
        </w:rPr>
      </w:pPr>
      <w:r>
        <w:rPr>
          <w:rFonts w:ascii="宋体" w:hAnsi="宋体"/>
          <w:b/>
          <w:bCs/>
          <w:color w:val="auto"/>
          <w:sz w:val="36"/>
          <w:szCs w:val="36"/>
          <w:highlight w:val="none"/>
        </w:rPr>
        <w:br w:type="page"/>
      </w:r>
    </w:p>
    <w:p>
      <w:pPr>
        <w:spacing w:before="240" w:after="312" w:afterLines="100" w:line="480" w:lineRule="auto"/>
        <w:jc w:val="center"/>
        <w:rPr>
          <w:rFonts w:ascii="宋体" w:hAnsi="宋体"/>
          <w:b/>
          <w:bCs/>
          <w:color w:val="auto"/>
          <w:sz w:val="36"/>
          <w:szCs w:val="36"/>
          <w:highlight w:val="none"/>
        </w:rPr>
      </w:pPr>
    </w:p>
    <w:p>
      <w:pPr>
        <w:spacing w:before="240" w:after="312" w:afterLines="100" w:line="480" w:lineRule="auto"/>
        <w:jc w:val="center"/>
        <w:rPr>
          <w:rFonts w:ascii="宋体" w:hAnsi="宋体"/>
          <w:b/>
          <w:bCs/>
          <w:color w:val="auto"/>
          <w:sz w:val="36"/>
          <w:szCs w:val="36"/>
          <w:highlight w:val="none"/>
        </w:rPr>
      </w:pPr>
    </w:p>
    <w:p>
      <w:pPr>
        <w:pStyle w:val="3"/>
        <w:rPr>
          <w:color w:val="auto"/>
          <w:highlight w:val="none"/>
        </w:rPr>
      </w:pPr>
      <w:bookmarkStart w:id="34" w:name="_Toc65753671"/>
      <w:r>
        <w:rPr>
          <w:rFonts w:hint="eastAsia"/>
          <w:color w:val="auto"/>
          <w:highlight w:val="none"/>
        </w:rPr>
        <w:t>第六部分  投标文件格式</w:t>
      </w:r>
      <w:bookmarkEnd w:id="34"/>
    </w:p>
    <w:p>
      <w:pPr>
        <w:spacing w:after="312" w:afterLines="100" w:line="360" w:lineRule="auto"/>
        <w:jc w:val="center"/>
        <w:rPr>
          <w:rFonts w:eastAsia="黑体"/>
          <w:color w:val="auto"/>
          <w:spacing w:val="20"/>
          <w:sz w:val="36"/>
          <w:szCs w:val="32"/>
          <w:highlight w:val="none"/>
        </w:rPr>
        <w:sectPr>
          <w:pgSz w:w="11906" w:h="16838"/>
          <w:pgMar w:top="1474" w:right="1418" w:bottom="1418" w:left="1418" w:header="851" w:footer="851" w:gutter="0"/>
          <w:cols w:space="720" w:num="1"/>
          <w:docGrid w:type="linesAndChars" w:linePitch="312" w:charSpace="0"/>
        </w:sectPr>
      </w:pPr>
    </w:p>
    <w:p>
      <w:pPr>
        <w:snapToGrid w:val="0"/>
        <w:spacing w:before="156" w:beforeLines="50" w:after="5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投标文件的外包装封面格式（可选用）：</w:t>
      </w:r>
    </w:p>
    <w:p>
      <w:pPr>
        <w:snapToGrid w:val="0"/>
        <w:spacing w:before="156" w:beforeLines="50" w:after="50"/>
        <w:rPr>
          <w:rFonts w:ascii="宋体" w:hAnsi="宋体" w:cs="宋体"/>
          <w:bCs/>
          <w:color w:val="auto"/>
          <w:szCs w:val="21"/>
          <w:highlight w:val="none"/>
        </w:rPr>
      </w:pPr>
    </w:p>
    <w:p>
      <w:pPr>
        <w:snapToGrid w:val="0"/>
        <w:spacing w:before="156" w:beforeLines="50" w:after="50"/>
        <w:jc w:val="center"/>
        <w:rPr>
          <w:rFonts w:ascii="宋体" w:hAnsi="宋体" w:cs="宋体"/>
          <w:bCs/>
          <w:color w:val="auto"/>
          <w:szCs w:val="21"/>
          <w:highlight w:val="none"/>
        </w:rPr>
      </w:pPr>
    </w:p>
    <w:p>
      <w:pPr>
        <w:snapToGrid w:val="0"/>
        <w:spacing w:before="156"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w:t>
      </w:r>
    </w:p>
    <w:p>
      <w:pPr>
        <w:snapToGrid w:val="0"/>
        <w:spacing w:before="156" w:beforeLines="50" w:after="50"/>
        <w:rPr>
          <w:rFonts w:ascii="宋体" w:hAnsi="宋体" w:cs="宋体"/>
          <w:bCs/>
          <w:color w:val="auto"/>
          <w:szCs w:val="21"/>
          <w:highlight w:val="none"/>
        </w:rPr>
      </w:pPr>
    </w:p>
    <w:p>
      <w:pPr>
        <w:snapToGrid w:val="0"/>
        <w:spacing w:line="400" w:lineRule="exact"/>
        <w:ind w:firstLine="1039" w:firstLineChars="495"/>
        <w:rPr>
          <w:rFonts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color w:val="auto"/>
          <w:szCs w:val="21"/>
          <w:highlight w:val="none"/>
        </w:rPr>
        <w:t xml:space="preserve"> </w:t>
      </w:r>
    </w:p>
    <w:p>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项目编号：</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投标文件名称：资格证明文件/报价文件/技术商务文件</w:t>
      </w:r>
      <w:r>
        <w:rPr>
          <w:rFonts w:ascii="宋体" w:hAnsi="宋体" w:cs="宋体"/>
          <w:bCs/>
          <w:color w:val="auto"/>
          <w:kern w:val="0"/>
          <w:szCs w:val="21"/>
          <w:highlight w:val="none"/>
        </w:rPr>
        <w:t xml:space="preserve"> </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投标人名称（盖章）：</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投标人地址：</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法定代表人或授权代表人（签字或盖章）</w:t>
      </w:r>
    </w:p>
    <w:p>
      <w:pPr>
        <w:pStyle w:val="2"/>
        <w:snapToGrid w:val="0"/>
        <w:spacing w:line="400" w:lineRule="exact"/>
        <w:ind w:firstLine="978" w:firstLineChars="466"/>
        <w:rPr>
          <w:rFonts w:hAnsi="宋体" w:cs="宋体"/>
          <w:bCs/>
          <w:color w:val="auto"/>
          <w:szCs w:val="21"/>
          <w:highlight w:val="none"/>
        </w:rPr>
      </w:pPr>
      <w:r>
        <w:rPr>
          <w:rFonts w:hint="eastAsia" w:hAnsi="宋体" w:cs="宋体"/>
          <w:bCs/>
          <w:color w:val="auto"/>
          <w:szCs w:val="21"/>
          <w:highlight w:val="none"/>
        </w:rPr>
        <w:t xml:space="preserve">                  开标时启封</w:t>
      </w:r>
    </w:p>
    <w:p>
      <w:pPr>
        <w:snapToGrid w:val="0"/>
        <w:spacing w:line="400" w:lineRule="exact"/>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napToGrid w:val="0"/>
        <w:spacing w:before="156" w:beforeLines="50" w:after="50"/>
        <w:jc w:val="center"/>
        <w:rPr>
          <w:rFonts w:ascii="宋体" w:hAnsi="宋体" w:cs="宋体"/>
          <w:color w:val="auto"/>
          <w:szCs w:val="21"/>
          <w:highlight w:val="none"/>
        </w:rPr>
      </w:pPr>
    </w:p>
    <w:p>
      <w:pPr>
        <w:snapToGrid w:val="0"/>
        <w:spacing w:before="156" w:beforeLines="50" w:after="50"/>
        <w:jc w:val="center"/>
        <w:rPr>
          <w:rFonts w:ascii="宋体" w:hAnsi="宋体" w:cs="宋体"/>
          <w:color w:val="auto"/>
          <w:szCs w:val="21"/>
          <w:highlight w:val="none"/>
        </w:rPr>
      </w:pPr>
    </w:p>
    <w:p>
      <w:pPr>
        <w:snapToGrid w:val="0"/>
        <w:spacing w:before="156" w:beforeLines="50" w:after="50"/>
        <w:jc w:val="center"/>
        <w:rPr>
          <w:rFonts w:ascii="宋体" w:hAnsi="宋体" w:cs="宋体"/>
          <w:color w:val="auto"/>
          <w:szCs w:val="21"/>
          <w:highlight w:val="none"/>
        </w:rPr>
      </w:pPr>
    </w:p>
    <w:p>
      <w:pPr>
        <w:snapToGrid w:val="0"/>
        <w:spacing w:before="156" w:beforeLines="50" w:after="50"/>
        <w:jc w:val="center"/>
        <w:rPr>
          <w:rFonts w:ascii="宋体" w:hAnsi="宋体" w:cs="宋体"/>
          <w:color w:val="auto"/>
          <w:szCs w:val="21"/>
          <w:highlight w:val="none"/>
        </w:rPr>
      </w:pPr>
    </w:p>
    <w:p>
      <w:pPr>
        <w:snapToGrid w:val="0"/>
        <w:spacing w:before="156" w:beforeLines="50" w:after="50"/>
        <w:rPr>
          <w:rFonts w:ascii="宋体" w:hAnsi="宋体" w:cs="宋体"/>
          <w:color w:val="auto"/>
          <w:szCs w:val="21"/>
          <w:highlight w:val="none"/>
        </w:rPr>
      </w:pPr>
      <w:r>
        <w:rPr>
          <w:rFonts w:hint="eastAsia" w:ascii="宋体" w:hAnsi="宋体" w:cs="宋体"/>
          <w:color w:val="auto"/>
          <w:szCs w:val="21"/>
          <w:highlight w:val="none"/>
        </w:rPr>
        <w:t xml:space="preserve">2.封面格式： </w:t>
      </w:r>
    </w:p>
    <w:p>
      <w:pPr>
        <w:snapToGrid w:val="0"/>
        <w:spacing w:before="156" w:beforeLines="50" w:after="50"/>
        <w:rPr>
          <w:rFonts w:ascii="宋体" w:hAnsi="宋体" w:cs="宋体"/>
          <w:b/>
          <w:bCs/>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正本/或副本</w:t>
      </w:r>
    </w:p>
    <w:p>
      <w:pPr>
        <w:snapToGrid w:val="0"/>
        <w:spacing w:before="156" w:beforeLines="50" w:after="50"/>
        <w:rPr>
          <w:rFonts w:ascii="宋体" w:hAnsi="宋体" w:cs="宋体"/>
          <w:color w:val="auto"/>
          <w:szCs w:val="21"/>
          <w:highlight w:val="none"/>
        </w:rPr>
      </w:pPr>
    </w:p>
    <w:p>
      <w:pPr>
        <w:snapToGrid w:val="0"/>
        <w:spacing w:before="156" w:beforeLines="50" w:after="50"/>
        <w:jc w:val="center"/>
        <w:rPr>
          <w:rFonts w:ascii="宋体" w:hAnsi="宋体" w:cs="宋体"/>
          <w:bCs/>
          <w:color w:val="auto"/>
          <w:szCs w:val="21"/>
          <w:highlight w:val="none"/>
        </w:rPr>
      </w:pPr>
    </w:p>
    <w:p>
      <w:pPr>
        <w:snapToGrid w:val="0"/>
        <w:spacing w:before="156"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w:t>
      </w:r>
    </w:p>
    <w:p>
      <w:pPr>
        <w:snapToGrid w:val="0"/>
        <w:spacing w:before="156" w:beforeLines="50" w:after="50"/>
        <w:rPr>
          <w:rFonts w:ascii="宋体" w:hAnsi="宋体" w:cs="宋体"/>
          <w:bCs/>
          <w:color w:val="auto"/>
          <w:szCs w:val="21"/>
          <w:highlight w:val="none"/>
        </w:rPr>
      </w:pPr>
    </w:p>
    <w:p>
      <w:pPr>
        <w:snapToGrid w:val="0"/>
        <w:spacing w:line="400" w:lineRule="exact"/>
        <w:ind w:firstLine="1039" w:firstLineChars="495"/>
        <w:rPr>
          <w:rFonts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color w:val="auto"/>
          <w:szCs w:val="21"/>
          <w:highlight w:val="none"/>
        </w:rPr>
        <w:t xml:space="preserve"> </w:t>
      </w:r>
    </w:p>
    <w:p>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项目编号：</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投标文件名称：资格证明文件/报价文件/技术商务文件</w:t>
      </w:r>
      <w:r>
        <w:rPr>
          <w:rFonts w:ascii="宋体" w:hAnsi="宋体" w:cs="宋体"/>
          <w:bCs/>
          <w:color w:val="auto"/>
          <w:kern w:val="0"/>
          <w:szCs w:val="21"/>
          <w:highlight w:val="none"/>
        </w:rPr>
        <w:t xml:space="preserve"> </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投标人名称（盖章）：</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投标人地址：</w:t>
      </w:r>
    </w:p>
    <w:p>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法定代表人或授权代表人（签字或盖章）</w:t>
      </w:r>
    </w:p>
    <w:p>
      <w:pPr>
        <w:pStyle w:val="2"/>
        <w:snapToGrid w:val="0"/>
        <w:spacing w:line="400" w:lineRule="exact"/>
        <w:ind w:firstLine="978" w:firstLineChars="466"/>
        <w:rPr>
          <w:rFonts w:hAnsi="宋体" w:cs="宋体"/>
          <w:bCs/>
          <w:color w:val="auto"/>
          <w:szCs w:val="21"/>
          <w:highlight w:val="none"/>
        </w:rPr>
      </w:pPr>
      <w:r>
        <w:rPr>
          <w:rFonts w:hint="eastAsia" w:hAnsi="宋体" w:cs="宋体"/>
          <w:bCs/>
          <w:color w:val="auto"/>
          <w:szCs w:val="21"/>
          <w:highlight w:val="none"/>
        </w:rPr>
        <w:t xml:space="preserve">                  </w:t>
      </w:r>
    </w:p>
    <w:p>
      <w:pPr>
        <w:snapToGrid w:val="0"/>
        <w:spacing w:line="400" w:lineRule="exact"/>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pPr>
        <w:spacing w:after="312" w:afterLines="100" w:line="360" w:lineRule="auto"/>
        <w:jc w:val="left"/>
        <w:rPr>
          <w:rFonts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附件1：</w:t>
      </w:r>
    </w:p>
    <w:p>
      <w:pPr>
        <w:adjustRightInd w:val="0"/>
        <w:snapToGrid w:val="0"/>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投标人资格条件自查表</w:t>
      </w:r>
    </w:p>
    <w:p>
      <w:pPr>
        <w:adjustRightInd w:val="0"/>
        <w:snapToGrid w:val="0"/>
        <w:jc w:val="center"/>
        <w:rPr>
          <w:rFonts w:ascii="宋体" w:hAnsi="宋体" w:cs="宋体"/>
          <w:b/>
          <w:color w:val="auto"/>
          <w:szCs w:val="21"/>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noWrap w:val="0"/>
            <w:vAlign w:val="center"/>
          </w:tcPr>
          <w:p>
            <w:pPr>
              <w:adjustRightInd w:val="0"/>
              <w:snapToGrid w:val="0"/>
              <w:jc w:val="center"/>
              <w:rPr>
                <w:rFonts w:ascii="宋体" w:hAnsi="宋体" w:cs="宋体"/>
                <w:color w:val="auto"/>
                <w:szCs w:val="21"/>
                <w:highlight w:val="none"/>
              </w:rPr>
            </w:pPr>
            <w:r>
              <w:rPr>
                <w:rStyle w:val="15"/>
                <w:rFonts w:hint="eastAsia" w:ascii="宋体" w:hAnsi="宋体" w:cs="宋体"/>
                <w:color w:val="auto"/>
                <w:szCs w:val="21"/>
                <w:highlight w:val="none"/>
              </w:rPr>
              <w:t>评审内容</w:t>
            </w:r>
          </w:p>
        </w:tc>
        <w:tc>
          <w:tcPr>
            <w:tcW w:w="5219" w:type="dxa"/>
            <w:noWrap w:val="0"/>
            <w:vAlign w:val="center"/>
          </w:tcPr>
          <w:p>
            <w:pPr>
              <w:adjustRightInd w:val="0"/>
              <w:snapToGrid w:val="0"/>
              <w:jc w:val="center"/>
              <w:rPr>
                <w:rFonts w:ascii="宋体" w:hAnsi="宋体" w:cs="宋体"/>
                <w:color w:val="auto"/>
                <w:szCs w:val="21"/>
                <w:highlight w:val="none"/>
              </w:rPr>
            </w:pPr>
            <w:r>
              <w:rPr>
                <w:rStyle w:val="15"/>
                <w:rFonts w:hint="eastAsia" w:ascii="宋体" w:hAnsi="宋体" w:cs="宋体"/>
                <w:color w:val="auto"/>
                <w:szCs w:val="21"/>
                <w:highlight w:val="none"/>
              </w:rPr>
              <w:t>招标文件要求</w:t>
            </w:r>
          </w:p>
        </w:tc>
        <w:tc>
          <w:tcPr>
            <w:tcW w:w="1240" w:type="dxa"/>
            <w:noWrap w:val="0"/>
            <w:vAlign w:val="center"/>
          </w:tcPr>
          <w:p>
            <w:pPr>
              <w:adjustRightInd w:val="0"/>
              <w:snapToGrid w:val="0"/>
              <w:jc w:val="center"/>
              <w:rPr>
                <w:rFonts w:ascii="宋体" w:hAnsi="宋体" w:cs="宋体"/>
                <w:color w:val="auto"/>
                <w:szCs w:val="21"/>
                <w:highlight w:val="none"/>
              </w:rPr>
            </w:pPr>
            <w:r>
              <w:rPr>
                <w:rStyle w:val="15"/>
                <w:rFonts w:hint="eastAsia" w:ascii="宋体" w:hAnsi="宋体" w:cs="宋体"/>
                <w:color w:val="auto"/>
                <w:szCs w:val="21"/>
                <w:highlight w:val="none"/>
              </w:rPr>
              <w:t>自查结论</w:t>
            </w:r>
          </w:p>
        </w:tc>
        <w:tc>
          <w:tcPr>
            <w:tcW w:w="1468" w:type="dxa"/>
            <w:noWrap w:val="0"/>
            <w:vAlign w:val="center"/>
          </w:tcPr>
          <w:p>
            <w:pPr>
              <w:adjustRightInd w:val="0"/>
              <w:snapToGrid w:val="0"/>
              <w:jc w:val="center"/>
              <w:rPr>
                <w:rFonts w:ascii="宋体" w:hAnsi="宋体" w:cs="宋体"/>
                <w:color w:val="auto"/>
                <w:szCs w:val="21"/>
                <w:highlight w:val="none"/>
              </w:rPr>
            </w:pPr>
            <w:r>
              <w:rPr>
                <w:rStyle w:val="15"/>
                <w:rFonts w:hint="eastAsia" w:ascii="宋体" w:hAnsi="宋体" w:cs="宋体"/>
                <w:color w:val="auto"/>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noWrap w:val="0"/>
            <w:vAlign w:val="center"/>
          </w:tcPr>
          <w:p>
            <w:pPr>
              <w:pStyle w:val="3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资</w:t>
            </w:r>
          </w:p>
          <w:p>
            <w:pPr>
              <w:pStyle w:val="3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格</w:t>
            </w:r>
          </w:p>
          <w:p>
            <w:pPr>
              <w:pStyle w:val="3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性</w:t>
            </w:r>
          </w:p>
          <w:p>
            <w:pPr>
              <w:pStyle w:val="37"/>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审</w:t>
            </w:r>
          </w:p>
          <w:p>
            <w:pPr>
              <w:pStyle w:val="37"/>
              <w:adjustRightInd w:val="0"/>
              <w:snapToGrid w:val="0"/>
              <w:spacing w:before="0" w:beforeAutospacing="0" w:after="0" w:afterAutospacing="0"/>
              <w:jc w:val="center"/>
              <w:rPr>
                <w:rStyle w:val="15"/>
                <w:rFonts w:cs="宋体"/>
                <w:color w:val="auto"/>
                <w:szCs w:val="21"/>
                <w:highlight w:val="none"/>
              </w:rPr>
            </w:pPr>
            <w:r>
              <w:rPr>
                <w:rFonts w:hint="eastAsia" w:cs="宋体"/>
                <w:b/>
                <w:color w:val="auto"/>
                <w:sz w:val="21"/>
                <w:szCs w:val="21"/>
                <w:highlight w:val="none"/>
              </w:rPr>
              <w:t>查</w:t>
            </w:r>
          </w:p>
        </w:tc>
        <w:tc>
          <w:tcPr>
            <w:tcW w:w="5219" w:type="dxa"/>
            <w:noWrap w:val="0"/>
            <w:vAlign w:val="center"/>
          </w:tcPr>
          <w:p>
            <w:pPr>
              <w:adjustRightInd w:val="0"/>
              <w:snapToGrid w:val="0"/>
              <w:jc w:val="left"/>
              <w:rPr>
                <w:rStyle w:val="15"/>
                <w:rFonts w:ascii="宋体" w:hAnsi="宋体" w:cs="宋体"/>
                <w:color w:val="auto"/>
                <w:szCs w:val="21"/>
                <w:highlight w:val="none"/>
              </w:rPr>
            </w:pPr>
            <w:r>
              <w:rPr>
                <w:rFonts w:hint="eastAsia" w:ascii="宋体" w:hAnsi="宋体" w:cs="宋体"/>
                <w:color w:val="auto"/>
                <w:szCs w:val="21"/>
                <w:highlight w:val="none"/>
              </w:rPr>
              <w:t>一、符合《中华人民共和国政府采购法》第22条的一般资格条件的规定</w:t>
            </w:r>
          </w:p>
        </w:tc>
        <w:tc>
          <w:tcPr>
            <w:tcW w:w="1240"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0"/>
            <w:vAlign w:val="center"/>
          </w:tcPr>
          <w:p>
            <w:pPr>
              <w:pStyle w:val="37"/>
              <w:adjustRightInd w:val="0"/>
              <w:snapToGrid w:val="0"/>
              <w:spacing w:before="0" w:beforeAutospacing="0" w:after="0" w:afterAutospacing="0"/>
              <w:jc w:val="center"/>
              <w:rPr>
                <w:rFonts w:cs="宋体"/>
                <w:b/>
                <w:color w:val="auto"/>
                <w:sz w:val="21"/>
                <w:szCs w:val="21"/>
                <w:highlight w:val="none"/>
              </w:rPr>
            </w:pPr>
          </w:p>
        </w:tc>
        <w:tc>
          <w:tcPr>
            <w:tcW w:w="5219" w:type="dxa"/>
            <w:noWrap w:val="0"/>
            <w:vAlign w:val="center"/>
          </w:tcPr>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 xml:space="preserve">二、投标人未被 </w:t>
            </w:r>
            <w:r>
              <w:rPr>
                <w:rFonts w:hint="eastAsia" w:ascii="宋体" w:hAnsi="宋体" w:cs="宋体"/>
                <w:color w:val="auto"/>
                <w:highlight w:val="none"/>
              </w:rPr>
              <w:t>“信用中国”（www.creditchina.gov.cn)、中国政府采购网（www.ccgp.gov.cn）列入失信被执行人、重大税收违法案件当事人名单（税收违法黑名单）、政府采购严重违法失信行为记录名单。</w:t>
            </w:r>
          </w:p>
        </w:tc>
        <w:tc>
          <w:tcPr>
            <w:tcW w:w="1240"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31" w:type="dxa"/>
            <w:vMerge w:val="continue"/>
            <w:noWrap w:val="0"/>
            <w:vAlign w:val="center"/>
          </w:tcPr>
          <w:p>
            <w:pPr>
              <w:pStyle w:val="37"/>
              <w:adjustRightInd w:val="0"/>
              <w:snapToGrid w:val="0"/>
              <w:spacing w:before="0" w:beforeAutospacing="0" w:after="0" w:afterAutospacing="0"/>
              <w:jc w:val="center"/>
              <w:rPr>
                <w:rFonts w:cs="宋体"/>
                <w:b/>
                <w:color w:val="auto"/>
                <w:sz w:val="21"/>
                <w:szCs w:val="21"/>
                <w:highlight w:val="none"/>
              </w:rPr>
            </w:pPr>
          </w:p>
        </w:tc>
        <w:tc>
          <w:tcPr>
            <w:tcW w:w="5219" w:type="dxa"/>
            <w:noWrap w:val="0"/>
            <w:vAlign w:val="center"/>
          </w:tcPr>
          <w:p>
            <w:pPr>
              <w:adjustRightInd w:val="0"/>
              <w:snapToGrid w:val="0"/>
              <w:rPr>
                <w:rFonts w:ascii="宋体" w:hAnsi="宋体"/>
                <w:color w:val="auto"/>
                <w:highlight w:val="none"/>
              </w:rPr>
            </w:pPr>
            <w:r>
              <w:rPr>
                <w:rFonts w:hint="eastAsia" w:ascii="宋体" w:hAnsi="宋体"/>
                <w:color w:val="auto"/>
                <w:highlight w:val="none"/>
              </w:rPr>
              <w:t>二、本项目特定资格条件：</w:t>
            </w:r>
          </w:p>
        </w:tc>
        <w:tc>
          <w:tcPr>
            <w:tcW w:w="1240" w:type="dxa"/>
            <w:vMerge w:val="restart"/>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 xml:space="preserve">□通过 </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continue"/>
            <w:noWrap w:val="0"/>
            <w:vAlign w:val="center"/>
          </w:tcPr>
          <w:p>
            <w:pPr>
              <w:pStyle w:val="37"/>
              <w:adjustRightInd w:val="0"/>
              <w:snapToGrid w:val="0"/>
              <w:spacing w:before="0" w:beforeAutospacing="0" w:after="0" w:afterAutospacing="0"/>
              <w:jc w:val="center"/>
              <w:rPr>
                <w:rFonts w:cs="宋体"/>
                <w:b/>
                <w:color w:val="auto"/>
                <w:sz w:val="21"/>
                <w:szCs w:val="21"/>
                <w:highlight w:val="none"/>
              </w:rPr>
            </w:pPr>
          </w:p>
        </w:tc>
        <w:tc>
          <w:tcPr>
            <w:tcW w:w="5219" w:type="dxa"/>
            <w:noWrap w:val="0"/>
            <w:vAlign w:val="center"/>
          </w:tcPr>
          <w:p>
            <w:pPr>
              <w:rPr>
                <w:rFonts w:ascii="宋体" w:hAnsi="宋体" w:cs="宋体"/>
                <w:color w:val="auto"/>
                <w:highlight w:val="none"/>
              </w:rPr>
            </w:pPr>
            <w:r>
              <w:rPr>
                <w:rFonts w:hint="eastAsia" w:ascii="宋体" w:hAnsi="宋体" w:cs="宋体"/>
                <w:color w:val="auto"/>
                <w:highlight w:val="none"/>
              </w:rPr>
              <w:t>1、投标人的营业执照副本复印件或扫描件（</w:t>
            </w:r>
            <w:r>
              <w:rPr>
                <w:rFonts w:hint="eastAsia" w:ascii="宋体" w:hAnsi="宋体" w:cs="宋体"/>
                <w:color w:val="auto"/>
                <w:szCs w:val="21"/>
                <w:highlight w:val="none"/>
              </w:rPr>
              <w:t>投标人如果有名称变更的，应提供由行政主管部门出具的变更证明文件</w:t>
            </w:r>
            <w:r>
              <w:rPr>
                <w:rFonts w:hint="eastAsia" w:ascii="宋体" w:hAnsi="宋体" w:cs="宋体"/>
                <w:color w:val="auto"/>
                <w:highlight w:val="none"/>
              </w:rPr>
              <w:t>）；</w:t>
            </w:r>
          </w:p>
        </w:tc>
        <w:tc>
          <w:tcPr>
            <w:tcW w:w="1240" w:type="dxa"/>
            <w:vMerge w:val="continue"/>
            <w:noWrap w:val="0"/>
            <w:vAlign w:val="center"/>
          </w:tcPr>
          <w:p>
            <w:pPr>
              <w:adjustRightInd w:val="0"/>
              <w:snapToGrid w:val="0"/>
              <w:rPr>
                <w:rFonts w:ascii="宋体" w:hAnsi="宋体" w:cs="宋体"/>
                <w:color w:val="auto"/>
                <w:szCs w:val="21"/>
                <w:highlight w:val="none"/>
              </w:rPr>
            </w:pP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926" w:hRule="atLeast"/>
          <w:jc w:val="center"/>
        </w:trPr>
        <w:tc>
          <w:tcPr>
            <w:tcW w:w="831" w:type="dxa"/>
            <w:vMerge w:val="continue"/>
            <w:noWrap w:val="0"/>
            <w:vAlign w:val="center"/>
          </w:tcPr>
          <w:p>
            <w:pPr>
              <w:pStyle w:val="37"/>
              <w:adjustRightInd w:val="0"/>
              <w:snapToGrid w:val="0"/>
              <w:spacing w:before="0" w:beforeAutospacing="0" w:after="0" w:afterAutospacing="0"/>
              <w:jc w:val="center"/>
              <w:rPr>
                <w:rFonts w:cs="宋体"/>
                <w:b/>
                <w:color w:val="auto"/>
                <w:sz w:val="21"/>
                <w:szCs w:val="21"/>
                <w:highlight w:val="none"/>
              </w:rPr>
            </w:pPr>
          </w:p>
        </w:tc>
        <w:tc>
          <w:tcPr>
            <w:tcW w:w="5219"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highlight w:val="none"/>
              </w:rPr>
              <w:t>具有建设行政主管部门颁发的电子与智能化工程专业承包二级及以上资质证书；</w:t>
            </w:r>
          </w:p>
        </w:tc>
        <w:tc>
          <w:tcPr>
            <w:tcW w:w="1240" w:type="dxa"/>
            <w:vMerge w:val="continue"/>
            <w:noWrap w:val="0"/>
            <w:vAlign w:val="center"/>
          </w:tcPr>
          <w:p>
            <w:pPr>
              <w:adjustRightInd w:val="0"/>
              <w:snapToGrid w:val="0"/>
              <w:rPr>
                <w:rFonts w:ascii="宋体" w:hAnsi="宋体" w:cs="宋体"/>
                <w:color w:val="auto"/>
                <w:szCs w:val="21"/>
                <w:highlight w:val="none"/>
              </w:rPr>
            </w:pP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0"/>
            <w:vAlign w:val="center"/>
          </w:tcPr>
          <w:p>
            <w:pPr>
              <w:adjustRightInd w:val="0"/>
              <w:snapToGrid w:val="0"/>
              <w:rPr>
                <w:rFonts w:ascii="宋体" w:hAnsi="宋体" w:cs="宋体"/>
                <w:color w:val="auto"/>
                <w:szCs w:val="21"/>
                <w:highlight w:val="none"/>
              </w:rPr>
            </w:pPr>
          </w:p>
        </w:tc>
        <w:tc>
          <w:tcPr>
            <w:tcW w:w="5219"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三、本项目不接受联合体投标。</w:t>
            </w:r>
          </w:p>
        </w:tc>
        <w:tc>
          <w:tcPr>
            <w:tcW w:w="1240" w:type="dxa"/>
            <w:noWrap w:val="0"/>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□通过</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68" w:type="dxa"/>
            <w:noWrap w:val="0"/>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bl>
    <w:p>
      <w:pPr>
        <w:snapToGrid w:val="0"/>
        <w:spacing w:before="50" w:after="156" w:afterLines="50"/>
        <w:jc w:val="left"/>
        <w:rPr>
          <w:rFonts w:ascii="宋体" w:hAnsi="宋体" w:cs="宋体"/>
          <w:color w:val="auto"/>
          <w:szCs w:val="21"/>
          <w:highlight w:val="none"/>
        </w:rPr>
      </w:pPr>
      <w:r>
        <w:rPr>
          <w:rFonts w:hint="eastAsia" w:ascii="宋体" w:hAnsi="宋体" w:cs="宋体"/>
          <w:b/>
          <w:color w:val="auto"/>
          <w:szCs w:val="21"/>
          <w:highlight w:val="none"/>
        </w:rPr>
        <w:t>备注：投标人自查表将作为投标人有效性审查的重要内容之一，投标投标人必须严格按照其内容及序列要求在投标文件中对应如实提供，对资格性证明文件的任何缺漏和不符合项将会直接导致投标无效！</w:t>
      </w:r>
    </w:p>
    <w:p>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pPr>
        <w:rPr>
          <w:color w:val="auto"/>
          <w:highlight w:val="none"/>
        </w:rPr>
      </w:pPr>
      <w:r>
        <w:rPr>
          <w:rFonts w:hint="eastAsia" w:ascii="宋体" w:hAnsi="宋体" w:cs="宋体"/>
          <w:color w:val="auto"/>
          <w:szCs w:val="21"/>
          <w:highlight w:val="none"/>
        </w:rPr>
        <w:t>附件2：</w:t>
      </w:r>
    </w:p>
    <w:p>
      <w:pPr>
        <w:adjustRightInd w:val="0"/>
        <w:snapToGrid w:val="0"/>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投标人资格声明函</w:t>
      </w:r>
    </w:p>
    <w:p>
      <w:pPr>
        <w:spacing w:line="480" w:lineRule="auto"/>
        <w:rPr>
          <w:b/>
          <w:color w:val="auto"/>
          <w:szCs w:val="21"/>
          <w:highlight w:val="none"/>
        </w:rPr>
      </w:pPr>
      <w:r>
        <w:rPr>
          <w:rFonts w:hint="eastAsia"/>
          <w:b/>
          <w:color w:val="auto"/>
          <w:szCs w:val="21"/>
          <w:highlight w:val="none"/>
        </w:rPr>
        <w:t>浙江天诚工程咨询有限公司：</w:t>
      </w:r>
    </w:p>
    <w:p>
      <w:pPr>
        <w:snapToGrid w:val="0"/>
        <w:spacing w:before="156" w:beforeLines="50" w:line="360" w:lineRule="auto"/>
        <w:ind w:firstLine="424" w:firstLineChars="202"/>
        <w:rPr>
          <w:rFonts w:ascii="宋体" w:hAnsi="宋体"/>
          <w:color w:val="auto"/>
          <w:highlight w:val="none"/>
        </w:rPr>
      </w:pPr>
      <w:r>
        <w:rPr>
          <w:rFonts w:hint="eastAsia" w:ascii="宋体" w:hAnsi="宋体" w:cs="宋体"/>
          <w:color w:val="auto"/>
          <w:highlight w:val="none"/>
        </w:rPr>
        <w:t>关于</w:t>
      </w:r>
      <w:r>
        <w:rPr>
          <w:rFonts w:hint="eastAsia" w:ascii="宋体" w:hAnsi="宋体" w:cs="宋体"/>
          <w:color w:val="auto"/>
          <w:highlight w:val="none"/>
          <w:u w:val="single"/>
        </w:rPr>
        <w:t xml:space="preserve">  </w:t>
      </w:r>
      <w:r>
        <w:rPr>
          <w:rFonts w:hint="eastAsia" w:ascii="宋体" w:hAnsi="宋体" w:cs="宋体"/>
          <w:color w:val="auto"/>
          <w:kern w:val="28"/>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w:t>
      </w:r>
      <w:r>
        <w:rPr>
          <w:rFonts w:hint="eastAsia" w:ascii="宋体" w:hAnsi="宋体" w:cs="宋体"/>
          <w:color w:val="auto"/>
          <w:highlight w:val="none"/>
        </w:rPr>
        <w:t>），我方愿意参加投标，并</w:t>
      </w:r>
      <w:r>
        <w:rPr>
          <w:rFonts w:hint="eastAsia" w:ascii="宋体" w:hAnsi="宋体"/>
          <w:color w:val="auto"/>
          <w:highlight w:val="none"/>
        </w:rPr>
        <w:t>郑重声明如下：</w:t>
      </w:r>
    </w:p>
    <w:p>
      <w:pPr>
        <w:spacing w:line="480" w:lineRule="auto"/>
        <w:ind w:firstLine="420" w:firstLineChars="200"/>
        <w:rPr>
          <w:rFonts w:ascii="宋体" w:hAnsi="宋体"/>
          <w:color w:val="auto"/>
          <w:highlight w:val="none"/>
        </w:rPr>
      </w:pPr>
      <w:r>
        <w:rPr>
          <w:rFonts w:hint="eastAsia" w:ascii="宋体" w:hAnsi="宋体"/>
          <w:color w:val="auto"/>
          <w:highlight w:val="none"/>
        </w:rPr>
        <w:t>1、我方提交的所有投标文件、资料都是准确的和真实的。</w:t>
      </w:r>
    </w:p>
    <w:p>
      <w:pPr>
        <w:spacing w:line="480" w:lineRule="auto"/>
        <w:ind w:firstLine="420" w:firstLineChars="200"/>
        <w:rPr>
          <w:rFonts w:ascii="宋体" w:hAnsi="宋体"/>
          <w:color w:val="auto"/>
          <w:highlight w:val="none"/>
        </w:rPr>
      </w:pPr>
      <w:r>
        <w:rPr>
          <w:rFonts w:hint="eastAsia" w:ascii="宋体" w:hAnsi="宋体"/>
          <w:color w:val="auto"/>
          <w:highlight w:val="none"/>
        </w:rPr>
        <w:t>2、我方不是采购人的附属机构；与采购人聘请的为此项目进行设计、编制规范、提供咨询服务的公司及其附属机构没有任何直接或间接的关联。</w:t>
      </w:r>
    </w:p>
    <w:p>
      <w:pPr>
        <w:spacing w:line="480" w:lineRule="auto"/>
        <w:ind w:firstLine="420" w:firstLineChars="200"/>
        <w:rPr>
          <w:rFonts w:ascii="宋体" w:hAnsi="宋体"/>
          <w:color w:val="auto"/>
          <w:highlight w:val="none"/>
        </w:rPr>
      </w:pPr>
      <w:r>
        <w:rPr>
          <w:rFonts w:hint="eastAsia" w:ascii="宋体" w:hAnsi="宋体"/>
          <w:color w:val="auto"/>
          <w:highlight w:val="none"/>
        </w:rPr>
        <w:t>3、我方已具备履行本项目所必需的设备和专业技术能力。</w:t>
      </w:r>
    </w:p>
    <w:p>
      <w:pPr>
        <w:spacing w:line="480" w:lineRule="auto"/>
        <w:ind w:firstLine="420" w:firstLineChars="200"/>
        <w:rPr>
          <w:rFonts w:ascii="宋体" w:hAnsi="宋体"/>
          <w:color w:val="auto"/>
          <w:highlight w:val="none"/>
        </w:rPr>
      </w:pPr>
      <w:r>
        <w:rPr>
          <w:rFonts w:hint="eastAsia" w:ascii="宋体" w:hAnsi="宋体"/>
          <w:color w:val="auto"/>
          <w:highlight w:val="none"/>
        </w:rPr>
        <w:t>4、我方未被“信用中国”（www.creditchina.gov.cn)、中国政府采购网（www.ccgp.gov.cn）列入失信被执行人、重大税收违法案件当事人名单（税收违法黑名单）、政府采购严重违法失信行为记录名单。</w:t>
      </w:r>
    </w:p>
    <w:p>
      <w:pPr>
        <w:spacing w:line="480" w:lineRule="auto"/>
        <w:ind w:firstLine="420" w:firstLineChars="200"/>
        <w:rPr>
          <w:rFonts w:ascii="宋体" w:hAnsi="宋体"/>
          <w:color w:val="auto"/>
          <w:highlight w:val="none"/>
        </w:rPr>
      </w:pPr>
      <w:r>
        <w:rPr>
          <w:rFonts w:hint="eastAsia" w:ascii="宋体" w:hAnsi="宋体"/>
          <w:color w:val="auto"/>
          <w:highlight w:val="none"/>
        </w:rPr>
        <w:t>我方对上述声明的真实性负责。本次招标采购活动中，如有违法、违规、弄虚作假行为，所造成的损失、不良后果及法律责任，一律由我我方承担。</w:t>
      </w:r>
    </w:p>
    <w:p>
      <w:pPr>
        <w:spacing w:line="480" w:lineRule="auto"/>
        <w:rPr>
          <w:rFonts w:ascii="宋体" w:hAnsi="宋体"/>
          <w:color w:val="auto"/>
          <w:highlight w:val="none"/>
        </w:rPr>
      </w:pPr>
    </w:p>
    <w:p>
      <w:pPr>
        <w:spacing w:line="360" w:lineRule="auto"/>
        <w:ind w:firstLine="420"/>
        <w:rPr>
          <w:rFonts w:ascii="宋体" w:hAnsi="宋体" w:cs="宋体"/>
          <w:b/>
          <w:color w:val="auto"/>
          <w:highlight w:val="none"/>
        </w:rPr>
      </w:pPr>
      <w:r>
        <w:rPr>
          <w:rFonts w:hint="eastAsia" w:ascii="宋体" w:hAnsi="宋体" w:cs="宋体"/>
          <w:b/>
          <w:color w:val="auto"/>
          <w:highlight w:val="none"/>
        </w:rPr>
        <w:t>特此声明！</w:t>
      </w:r>
    </w:p>
    <w:p>
      <w:pPr>
        <w:spacing w:line="480" w:lineRule="auto"/>
        <w:rPr>
          <w:rFonts w:ascii="宋体" w:hAnsi="宋体"/>
          <w:color w:val="auto"/>
          <w:highlight w:val="none"/>
        </w:rPr>
      </w:pPr>
    </w:p>
    <w:p>
      <w:pPr>
        <w:spacing w:line="480" w:lineRule="auto"/>
        <w:ind w:left="2940" w:firstLine="420"/>
        <w:jc w:val="left"/>
        <w:rPr>
          <w:rFonts w:ascii="宋体" w:hAnsi="宋体"/>
          <w:color w:val="auto"/>
          <w:highlight w:val="none"/>
        </w:rPr>
      </w:pPr>
      <w:r>
        <w:rPr>
          <w:rFonts w:hint="eastAsia" w:ascii="宋体" w:hAnsi="宋体"/>
          <w:color w:val="auto"/>
          <w:highlight w:val="none"/>
        </w:rPr>
        <w:t>投标人名称（加盖公章）：</w:t>
      </w:r>
      <w:r>
        <w:rPr>
          <w:rFonts w:hint="eastAsia" w:ascii="宋体" w:hAnsi="宋体"/>
          <w:color w:val="auto"/>
          <w:highlight w:val="none"/>
          <w:u w:val="single"/>
        </w:rPr>
        <w:t xml:space="preserve">                            </w:t>
      </w:r>
    </w:p>
    <w:p>
      <w:pPr>
        <w:spacing w:line="480" w:lineRule="auto"/>
        <w:ind w:left="2940" w:firstLine="420"/>
        <w:jc w:val="left"/>
        <w:rPr>
          <w:rFonts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p>
    <w:p>
      <w:pPr>
        <w:spacing w:line="360" w:lineRule="auto"/>
        <w:rPr>
          <w:rFonts w:ascii="宋体" w:hAnsi="宋体"/>
          <w:color w:val="auto"/>
          <w:highlight w:val="none"/>
        </w:rPr>
      </w:pPr>
    </w:p>
    <w:p>
      <w:pPr>
        <w:adjustRightInd w:val="0"/>
        <w:snapToGrid w:val="0"/>
        <w:jc w:val="left"/>
        <w:rPr>
          <w:color w:val="auto"/>
          <w:highlight w:val="none"/>
        </w:rPr>
      </w:pPr>
      <w:r>
        <w:rPr>
          <w:rFonts w:ascii="宋体" w:hAnsi="宋体"/>
          <w:color w:val="auto"/>
          <w:highlight w:val="none"/>
        </w:rPr>
        <w:br w:type="page"/>
      </w:r>
      <w:r>
        <w:rPr>
          <w:rFonts w:hint="eastAsia" w:ascii="宋体" w:hAnsi="宋体" w:cs="宋体"/>
          <w:color w:val="auto"/>
          <w:szCs w:val="21"/>
          <w:highlight w:val="none"/>
        </w:rPr>
        <w:t>附件3：</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法定代表人身份</w:t>
      </w:r>
      <w:r>
        <w:rPr>
          <w:rFonts w:ascii="宋体" w:hAnsi="宋体" w:cs="宋体"/>
          <w:b/>
          <w:color w:val="auto"/>
          <w:sz w:val="30"/>
          <w:szCs w:val="30"/>
          <w:highlight w:val="none"/>
        </w:rPr>
        <w:t>证</w:t>
      </w:r>
      <w:r>
        <w:rPr>
          <w:rFonts w:hint="eastAsia" w:ascii="宋体" w:hAnsi="宋体" w:cs="宋体"/>
          <w:b/>
          <w:color w:val="auto"/>
          <w:sz w:val="30"/>
          <w:szCs w:val="30"/>
          <w:highlight w:val="none"/>
        </w:rPr>
        <w:t>明</w:t>
      </w:r>
      <w:r>
        <w:rPr>
          <w:rFonts w:ascii="宋体" w:hAnsi="宋体" w:cs="宋体"/>
          <w:b/>
          <w:color w:val="auto"/>
          <w:sz w:val="30"/>
          <w:szCs w:val="30"/>
          <w:highlight w:val="none"/>
        </w:rPr>
        <w:t>书</w:t>
      </w:r>
    </w:p>
    <w:p>
      <w:pPr>
        <w:spacing w:line="360" w:lineRule="auto"/>
        <w:rPr>
          <w:rFonts w:ascii="宋体" w:hAnsi="宋体"/>
          <w:color w:val="auto"/>
          <w:highlight w:val="none"/>
        </w:rPr>
      </w:pPr>
    </w:p>
    <w:p>
      <w:pPr>
        <w:spacing w:line="480" w:lineRule="auto"/>
        <w:ind w:firstLine="420"/>
        <w:rPr>
          <w:rFonts w:ascii="宋体" w:hAnsi="宋体"/>
          <w:color w:val="auto"/>
          <w:szCs w:val="21"/>
          <w:highlight w:val="none"/>
        </w:rPr>
      </w:pPr>
      <w:r>
        <w:rPr>
          <w:rFonts w:hint="eastAsia" w:ascii="宋体" w:hAnsi="宋体"/>
          <w:color w:val="auto"/>
          <w:szCs w:val="21"/>
          <w:highlight w:val="none"/>
        </w:rPr>
        <w:t>投</w:t>
      </w:r>
      <w:r>
        <w:rPr>
          <w:rFonts w:ascii="宋体" w:hAnsi="宋体"/>
          <w:color w:val="auto"/>
          <w:szCs w:val="21"/>
          <w:highlight w:val="none"/>
        </w:rPr>
        <w:t>标</w:t>
      </w:r>
      <w:r>
        <w:rPr>
          <w:rFonts w:hint="eastAsia" w:ascii="宋体" w:hAnsi="宋体"/>
          <w:color w:val="auto"/>
          <w:szCs w:val="21"/>
          <w:highlight w:val="none"/>
        </w:rPr>
        <w:t>人名</w:t>
      </w:r>
      <w:r>
        <w:rPr>
          <w:rFonts w:ascii="宋体" w:hAnsi="宋体"/>
          <w:color w:val="auto"/>
          <w:szCs w:val="21"/>
          <w:highlight w:val="none"/>
        </w:rPr>
        <w:t>称</w:t>
      </w:r>
      <w:r>
        <w:rPr>
          <w:rFonts w:hint="eastAsia" w:ascii="宋体" w:hAnsi="宋体"/>
          <w:color w:val="auto"/>
          <w:szCs w:val="21"/>
          <w:highlight w:val="none"/>
        </w:rPr>
        <w:t>：</w:t>
      </w:r>
    </w:p>
    <w:p>
      <w:pPr>
        <w:spacing w:line="480" w:lineRule="auto"/>
        <w:ind w:firstLine="420"/>
        <w:rPr>
          <w:rFonts w:ascii="宋体" w:hAnsi="宋体"/>
          <w:color w:val="auto"/>
          <w:szCs w:val="21"/>
          <w:highlight w:val="none"/>
        </w:rPr>
      </w:pPr>
      <w:r>
        <w:rPr>
          <w:rFonts w:hint="eastAsia" w:ascii="宋体" w:hAnsi="宋体"/>
          <w:color w:val="auto"/>
          <w:szCs w:val="21"/>
          <w:highlight w:val="none"/>
        </w:rPr>
        <w:t>地址：</w:t>
      </w:r>
    </w:p>
    <w:p>
      <w:pPr>
        <w:spacing w:line="480" w:lineRule="auto"/>
        <w:ind w:firstLine="42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xml:space="preserve">          </w:t>
      </w:r>
      <w:r>
        <w:rPr>
          <w:rFonts w:hint="eastAsia" w:ascii="宋体" w:hAnsi="宋体"/>
          <w:color w:val="auto"/>
          <w:szCs w:val="21"/>
          <w:highlight w:val="none"/>
        </w:rPr>
        <w:t>性</w:t>
      </w:r>
      <w:r>
        <w:rPr>
          <w:rFonts w:ascii="宋体" w:hAnsi="宋体"/>
          <w:color w:val="auto"/>
          <w:szCs w:val="21"/>
          <w:highlight w:val="none"/>
        </w:rPr>
        <w:t>别</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龄</w:t>
      </w:r>
      <w:r>
        <w:rPr>
          <w:rFonts w:hint="eastAsia" w:ascii="宋体" w:hAnsi="宋体"/>
          <w:color w:val="auto"/>
          <w:szCs w:val="21"/>
          <w:highlight w:val="none"/>
        </w:rPr>
        <w:t>：</w:t>
      </w:r>
      <w:r>
        <w:rPr>
          <w:rFonts w:ascii="宋体" w:hAnsi="宋体"/>
          <w:color w:val="auto"/>
          <w:szCs w:val="21"/>
          <w:highlight w:val="none"/>
        </w:rPr>
        <w:t xml:space="preserve">            职务</w:t>
      </w:r>
      <w:r>
        <w:rPr>
          <w:rFonts w:hint="eastAsia" w:ascii="宋体" w:hAnsi="宋体"/>
          <w:color w:val="auto"/>
          <w:szCs w:val="21"/>
          <w:highlight w:val="none"/>
        </w:rPr>
        <w:t xml:space="preserve">： </w:t>
      </w:r>
    </w:p>
    <w:p>
      <w:pPr>
        <w:spacing w:line="480" w:lineRule="auto"/>
        <w:ind w:firstLine="420"/>
        <w:rPr>
          <w:rFonts w:ascii="宋体" w:hAnsi="宋体"/>
          <w:color w:val="auto"/>
          <w:szCs w:val="21"/>
          <w:highlight w:val="none"/>
        </w:rPr>
      </w:pPr>
      <w:r>
        <w:rPr>
          <w:rFonts w:hint="eastAsia" w:ascii="宋体" w:hAnsi="宋体"/>
          <w:color w:val="auto"/>
          <w:szCs w:val="21"/>
          <w:highlight w:val="none"/>
        </w:rPr>
        <w:t>本人系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&lt; 投</w:t>
      </w:r>
      <w:r>
        <w:rPr>
          <w:rFonts w:ascii="宋体" w:hAnsi="宋体"/>
          <w:color w:val="auto"/>
          <w:szCs w:val="21"/>
          <w:highlight w:val="none"/>
          <w:u w:val="single"/>
        </w:rPr>
        <w:t>标</w:t>
      </w:r>
      <w:r>
        <w:rPr>
          <w:rFonts w:hint="eastAsia" w:ascii="宋体" w:hAnsi="宋体"/>
          <w:color w:val="auto"/>
          <w:szCs w:val="21"/>
          <w:highlight w:val="none"/>
          <w:u w:val="single"/>
        </w:rPr>
        <w:t>人名</w:t>
      </w:r>
      <w:r>
        <w:rPr>
          <w:rFonts w:ascii="宋体" w:hAnsi="宋体"/>
          <w:color w:val="auto"/>
          <w:szCs w:val="21"/>
          <w:highlight w:val="none"/>
          <w:u w:val="single"/>
        </w:rPr>
        <w:t>称</w:t>
      </w:r>
      <w:r>
        <w:rPr>
          <w:rFonts w:hint="eastAsia" w:ascii="宋体" w:hAnsi="宋体"/>
          <w:color w:val="auto"/>
          <w:szCs w:val="21"/>
          <w:highlight w:val="none"/>
          <w:u w:val="single"/>
        </w:rPr>
        <w:t xml:space="preserve"> &gt;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的法定代表人。</w:t>
      </w:r>
      <w:r>
        <w:rPr>
          <w:rFonts w:ascii="宋体" w:hAnsi="宋体"/>
          <w:color w:val="auto"/>
          <w:szCs w:val="21"/>
          <w:highlight w:val="none"/>
        </w:rPr>
        <w:t>为</w:t>
      </w:r>
      <w:r>
        <w:rPr>
          <w:rFonts w:hint="eastAsia" w:ascii="宋体" w:hAnsi="宋体"/>
          <w:color w:val="auto"/>
          <w:szCs w:val="21"/>
          <w:highlight w:val="none"/>
        </w:rPr>
        <w:t>你中心</w:t>
      </w:r>
      <w:r>
        <w:rPr>
          <w:rFonts w:ascii="宋体" w:hAnsi="宋体"/>
          <w:color w:val="auto"/>
          <w:szCs w:val="21"/>
          <w:highlight w:val="none"/>
        </w:rPr>
        <w:t>组织的</w:t>
      </w:r>
      <w:r>
        <w:rPr>
          <w:rFonts w:hint="eastAsia" w:ascii="宋体" w:hAnsi="宋体"/>
          <w:color w:val="auto"/>
          <w:szCs w:val="21"/>
          <w:highlight w:val="none"/>
        </w:rPr>
        <w:t>项目</w:t>
      </w:r>
      <w:r>
        <w:rPr>
          <w:rFonts w:ascii="宋体" w:hAnsi="宋体"/>
          <w:color w:val="auto"/>
          <w:szCs w:val="21"/>
          <w:highlight w:val="none"/>
        </w:rPr>
        <w:t>编号为</w:t>
      </w:r>
      <w:r>
        <w:rPr>
          <w:rFonts w:hint="eastAsia" w:ascii="宋体" w:hAnsi="宋体"/>
          <w:b/>
          <w:color w:val="auto"/>
          <w:szCs w:val="21"/>
          <w:highlight w:val="none"/>
          <w:u w:val="single"/>
        </w:rPr>
        <w:t xml:space="preserve"> </w:t>
      </w:r>
      <w:r>
        <w:rPr>
          <w:rFonts w:hint="eastAsia" w:ascii="宋体" w:hAnsi="宋体"/>
          <w:color w:val="auto"/>
          <w:szCs w:val="21"/>
          <w:highlight w:val="none"/>
        </w:rPr>
        <w:t>的</w:t>
      </w:r>
      <w:r>
        <w:rPr>
          <w:rFonts w:hint="eastAsia"/>
          <w:b/>
          <w:bCs/>
          <w:color w:val="auto"/>
          <w:highlight w:val="none"/>
          <w:u w:val="single"/>
        </w:rPr>
        <w:t xml:space="preserve">               </w:t>
      </w:r>
      <w:r>
        <w:rPr>
          <w:rFonts w:hint="eastAsia" w:ascii="宋体" w:hAnsi="宋体"/>
          <w:color w:val="auto"/>
          <w:szCs w:val="21"/>
          <w:highlight w:val="none"/>
        </w:rPr>
        <w:t>政府采购项目，</w:t>
      </w:r>
      <w:r>
        <w:rPr>
          <w:rFonts w:ascii="宋体" w:hAnsi="宋体"/>
          <w:color w:val="auto"/>
          <w:szCs w:val="21"/>
          <w:highlight w:val="none"/>
        </w:rPr>
        <w:t>签</w:t>
      </w:r>
      <w:r>
        <w:rPr>
          <w:rFonts w:hint="eastAsia" w:ascii="宋体" w:hAnsi="宋体"/>
          <w:color w:val="auto"/>
          <w:szCs w:val="21"/>
          <w:highlight w:val="none"/>
        </w:rPr>
        <w:t>署上</w:t>
      </w:r>
      <w:r>
        <w:rPr>
          <w:rFonts w:ascii="宋体" w:hAnsi="宋体"/>
          <w:color w:val="auto"/>
          <w:szCs w:val="21"/>
          <w:highlight w:val="none"/>
        </w:rPr>
        <w:t>述项目</w:t>
      </w:r>
      <w:r>
        <w:rPr>
          <w:rFonts w:hint="eastAsia" w:ascii="宋体" w:hAnsi="宋体"/>
          <w:color w:val="auto"/>
          <w:szCs w:val="21"/>
          <w:highlight w:val="none"/>
        </w:rPr>
        <w:t>的</w:t>
      </w:r>
      <w:r>
        <w:rPr>
          <w:rFonts w:ascii="宋体" w:hAnsi="宋体"/>
          <w:color w:val="auto"/>
          <w:szCs w:val="21"/>
          <w:highlight w:val="none"/>
        </w:rPr>
        <w:t>投标文件、进行合同谈判、签署合同和处理与之有关的一切事务</w:t>
      </w:r>
      <w:r>
        <w:rPr>
          <w:rFonts w:hint="eastAsia" w:ascii="宋体" w:hAnsi="宋体"/>
          <w:color w:val="auto"/>
          <w:szCs w:val="21"/>
          <w:highlight w:val="none"/>
        </w:rPr>
        <w:t>。</w:t>
      </w:r>
    </w:p>
    <w:p>
      <w:pPr>
        <w:spacing w:line="480" w:lineRule="auto"/>
        <w:ind w:firstLine="420"/>
        <w:rPr>
          <w:rFonts w:ascii="宋体" w:hAnsi="宋体"/>
          <w:color w:val="auto"/>
          <w:szCs w:val="21"/>
          <w:highlight w:val="none"/>
        </w:rPr>
      </w:pPr>
      <w:r>
        <w:rPr>
          <w:rFonts w:hint="eastAsia" w:ascii="宋体" w:hAnsi="宋体"/>
          <w:color w:val="auto"/>
          <w:szCs w:val="21"/>
          <w:highlight w:val="none"/>
        </w:rPr>
        <w:t>特此</w:t>
      </w:r>
      <w:r>
        <w:rPr>
          <w:rFonts w:ascii="宋体" w:hAnsi="宋体"/>
          <w:color w:val="auto"/>
          <w:szCs w:val="21"/>
          <w:highlight w:val="none"/>
        </w:rPr>
        <w:t>证</w:t>
      </w:r>
      <w:r>
        <w:rPr>
          <w:rFonts w:hint="eastAsia" w:ascii="宋体" w:hAnsi="宋体"/>
          <w:color w:val="auto"/>
          <w:szCs w:val="21"/>
          <w:highlight w:val="none"/>
        </w:rPr>
        <w:t>明。</w:t>
      </w: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jc w:val="center"/>
        <w:rPr>
          <w:rFonts w:ascii="宋体" w:hAnsi="宋体"/>
          <w:b/>
          <w:color w:val="auto"/>
          <w:highlight w:val="none"/>
          <w:u w:val="single"/>
        </w:rPr>
      </w:pPr>
      <w:r>
        <w:rPr>
          <w:rFonts w:hint="eastAsia" w:ascii="宋体" w:hAnsi="宋体"/>
          <w:b/>
          <w:color w:val="auto"/>
          <w:highlight w:val="none"/>
          <w:u w:val="single"/>
        </w:rPr>
        <w:t>（</w:t>
      </w:r>
      <w:r>
        <w:rPr>
          <w:rFonts w:ascii="宋体" w:hAnsi="宋体"/>
          <w:b/>
          <w:color w:val="auto"/>
          <w:highlight w:val="none"/>
          <w:u w:val="single"/>
        </w:rPr>
        <w:t>※</w:t>
      </w:r>
      <w:r>
        <w:rPr>
          <w:rFonts w:hint="eastAsia" w:ascii="宋体" w:hAnsi="宋体"/>
          <w:b/>
          <w:color w:val="auto"/>
          <w:highlight w:val="none"/>
          <w:u w:val="single"/>
        </w:rPr>
        <w:t xml:space="preserve"> 此</w:t>
      </w:r>
      <w:r>
        <w:rPr>
          <w:rFonts w:ascii="宋体" w:hAnsi="宋体"/>
          <w:b/>
          <w:color w:val="auto"/>
          <w:highlight w:val="none"/>
          <w:u w:val="single"/>
        </w:rPr>
        <w:t>处</w:t>
      </w:r>
      <w:r>
        <w:rPr>
          <w:rFonts w:hint="eastAsia" w:ascii="宋体" w:hAnsi="宋体"/>
          <w:b/>
          <w:color w:val="auto"/>
          <w:highlight w:val="none"/>
          <w:u w:val="single"/>
        </w:rPr>
        <w:t>附法定代表人身份</w:t>
      </w:r>
      <w:r>
        <w:rPr>
          <w:rFonts w:ascii="宋体" w:hAnsi="宋体"/>
          <w:b/>
          <w:color w:val="auto"/>
          <w:highlight w:val="none"/>
          <w:u w:val="single"/>
        </w:rPr>
        <w:t>证复</w:t>
      </w:r>
      <w:r>
        <w:rPr>
          <w:rFonts w:hint="eastAsia" w:ascii="宋体" w:hAnsi="宋体"/>
          <w:b/>
          <w:color w:val="auto"/>
          <w:highlight w:val="none"/>
          <w:u w:val="single"/>
        </w:rPr>
        <w:t>印件（正反两面）</w:t>
      </w:r>
      <w:r>
        <w:rPr>
          <w:rFonts w:ascii="宋体" w:hAnsi="宋体"/>
          <w:b/>
          <w:color w:val="auto"/>
          <w:highlight w:val="none"/>
          <w:u w:val="single"/>
        </w:rPr>
        <w:t>※</w:t>
      </w:r>
      <w:r>
        <w:rPr>
          <w:rFonts w:hint="eastAsia" w:ascii="宋体" w:hAnsi="宋体"/>
          <w:b/>
          <w:color w:val="auto"/>
          <w:highlight w:val="none"/>
          <w:u w:val="single"/>
        </w:rPr>
        <w:t>）</w:t>
      </w: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480" w:lineRule="auto"/>
        <w:ind w:firstLine="420"/>
        <w:rPr>
          <w:rFonts w:ascii="宋体" w:hAnsi="宋体"/>
          <w:color w:val="auto"/>
          <w:highlight w:val="none"/>
        </w:rPr>
      </w:pPr>
      <w:r>
        <w:rPr>
          <w:rFonts w:hint="eastAsia" w:ascii="宋体" w:hAnsi="宋体"/>
          <w:color w:val="auto"/>
          <w:highlight w:val="none"/>
        </w:rPr>
        <w:t>投标人名称（加盖公章）：</w:t>
      </w:r>
      <w:r>
        <w:rPr>
          <w:rFonts w:hint="eastAsia" w:ascii="宋体" w:hAnsi="宋体"/>
          <w:color w:val="auto"/>
          <w:highlight w:val="none"/>
          <w:u w:val="single"/>
        </w:rPr>
        <w:t xml:space="preserve">                            </w:t>
      </w:r>
    </w:p>
    <w:p>
      <w:pPr>
        <w:spacing w:line="480" w:lineRule="auto"/>
        <w:ind w:firstLine="420"/>
        <w:rPr>
          <w:rFonts w:ascii="宋体" w:hAnsi="宋体"/>
          <w:color w:val="auto"/>
          <w:highlight w:val="none"/>
        </w:rPr>
      </w:pPr>
      <w:r>
        <w:rPr>
          <w:rFonts w:hint="eastAsia" w:ascii="宋体" w:hAnsi="宋体"/>
          <w:color w:val="auto"/>
          <w:highlight w:val="none"/>
        </w:rPr>
        <w:t>法定代表人（签字或盖章）：</w:t>
      </w:r>
      <w:r>
        <w:rPr>
          <w:rFonts w:hint="eastAsia" w:ascii="宋体" w:hAnsi="宋体"/>
          <w:color w:val="auto"/>
          <w:highlight w:val="none"/>
          <w:u w:val="single"/>
        </w:rPr>
        <w:t xml:space="preserve">                                </w:t>
      </w:r>
    </w:p>
    <w:p>
      <w:pPr>
        <w:spacing w:line="480" w:lineRule="auto"/>
        <w:ind w:firstLine="420"/>
        <w:rPr>
          <w:rFonts w:ascii="宋体" w:hAnsi="宋体"/>
          <w:color w:val="auto"/>
          <w:highlight w:val="none"/>
        </w:rPr>
      </w:pPr>
      <w:r>
        <w:rPr>
          <w:rFonts w:hint="eastAsia" w:ascii="宋体" w:hAnsi="宋体"/>
          <w:color w:val="auto"/>
          <w:highlight w:val="none"/>
        </w:rPr>
        <w:t>签署日期：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480" w:lineRule="auto"/>
        <w:rPr>
          <w:rFonts w:ascii="宋体" w:hAnsi="宋体"/>
          <w:color w:val="auto"/>
          <w:szCs w:val="21"/>
          <w:highlight w:val="none"/>
        </w:rPr>
      </w:pPr>
    </w:p>
    <w:p>
      <w:pPr>
        <w:spacing w:line="360" w:lineRule="auto"/>
        <w:rPr>
          <w:rFonts w:ascii="宋体" w:hAnsi="宋体"/>
          <w:b/>
          <w:color w:val="auto"/>
          <w:highlight w:val="none"/>
        </w:rPr>
      </w:pPr>
      <w:r>
        <w:rPr>
          <w:rFonts w:hint="eastAsia" w:ascii="宋体" w:hAnsi="宋体"/>
          <w:b/>
          <w:color w:val="auto"/>
          <w:highlight w:val="none"/>
        </w:rPr>
        <w:t>说明：法定代表人</w:t>
      </w:r>
      <w:r>
        <w:rPr>
          <w:rFonts w:ascii="宋体" w:hAnsi="宋体"/>
          <w:b/>
          <w:color w:val="auto"/>
          <w:highlight w:val="none"/>
        </w:rPr>
        <w:t>参</w:t>
      </w:r>
      <w:r>
        <w:rPr>
          <w:rFonts w:hint="eastAsia" w:ascii="宋体" w:hAnsi="宋体"/>
          <w:b/>
          <w:color w:val="auto"/>
          <w:highlight w:val="none"/>
        </w:rPr>
        <w:t>加本招</w:t>
      </w:r>
      <w:r>
        <w:rPr>
          <w:rFonts w:ascii="宋体" w:hAnsi="宋体"/>
          <w:b/>
          <w:color w:val="auto"/>
          <w:highlight w:val="none"/>
        </w:rPr>
        <w:t>标项目</w:t>
      </w:r>
      <w:r>
        <w:rPr>
          <w:rFonts w:hint="eastAsia" w:ascii="宋体" w:hAnsi="宋体"/>
          <w:b/>
          <w:color w:val="auto"/>
          <w:highlight w:val="none"/>
        </w:rPr>
        <w:t>投</w:t>
      </w:r>
      <w:r>
        <w:rPr>
          <w:rFonts w:ascii="宋体" w:hAnsi="宋体"/>
          <w:b/>
          <w:color w:val="auto"/>
          <w:highlight w:val="none"/>
        </w:rPr>
        <w:t>标</w:t>
      </w:r>
      <w:r>
        <w:rPr>
          <w:rFonts w:hint="eastAsia" w:ascii="宋体" w:hAnsi="宋体"/>
          <w:b/>
          <w:color w:val="auto"/>
          <w:highlight w:val="none"/>
        </w:rPr>
        <w:t>的，</w:t>
      </w:r>
      <w:r>
        <w:rPr>
          <w:rFonts w:ascii="宋体" w:hAnsi="宋体"/>
          <w:b/>
          <w:color w:val="auto"/>
          <w:highlight w:val="none"/>
        </w:rPr>
        <w:t>仅须</w:t>
      </w:r>
      <w:r>
        <w:rPr>
          <w:rFonts w:hint="eastAsia" w:ascii="宋体" w:hAnsi="宋体"/>
          <w:b/>
          <w:color w:val="auto"/>
          <w:highlight w:val="none"/>
        </w:rPr>
        <w:t>提供此</w:t>
      </w:r>
      <w:r>
        <w:rPr>
          <w:rFonts w:ascii="宋体" w:hAnsi="宋体"/>
          <w:b/>
          <w:color w:val="auto"/>
          <w:highlight w:val="none"/>
        </w:rPr>
        <w:t>证</w:t>
      </w:r>
      <w:r>
        <w:rPr>
          <w:rFonts w:hint="eastAsia" w:ascii="宋体" w:hAnsi="宋体"/>
          <w:b/>
          <w:color w:val="auto"/>
          <w:highlight w:val="none"/>
        </w:rPr>
        <w:t>明</w:t>
      </w:r>
      <w:r>
        <w:rPr>
          <w:rFonts w:ascii="宋体" w:hAnsi="宋体"/>
          <w:b/>
          <w:color w:val="auto"/>
          <w:highlight w:val="none"/>
        </w:rPr>
        <w:t>书</w:t>
      </w:r>
      <w:r>
        <w:rPr>
          <w:rFonts w:hint="eastAsia" w:ascii="宋体" w:hAnsi="宋体"/>
          <w:b/>
          <w:color w:val="auto"/>
          <w:highlight w:val="none"/>
        </w:rPr>
        <w:t>。</w:t>
      </w:r>
    </w:p>
    <w:p>
      <w:pPr>
        <w:spacing w:line="360" w:lineRule="auto"/>
        <w:rPr>
          <w:rFonts w:ascii="宋体" w:hAnsi="宋体"/>
          <w:color w:val="auto"/>
          <w:highlight w:val="none"/>
        </w:rPr>
      </w:pPr>
      <w:r>
        <w:rPr>
          <w:rFonts w:ascii="宋体" w:hAnsi="宋体"/>
          <w:color w:val="auto"/>
          <w:highlight w:val="none"/>
        </w:rPr>
        <w:br w:type="page"/>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法定代表人授权书</w:t>
      </w:r>
    </w:p>
    <w:p>
      <w:pPr>
        <w:spacing w:line="480" w:lineRule="auto"/>
        <w:rPr>
          <w:b/>
          <w:color w:val="auto"/>
          <w:szCs w:val="21"/>
          <w:highlight w:val="none"/>
        </w:rPr>
      </w:pPr>
      <w:r>
        <w:rPr>
          <w:rFonts w:hint="eastAsia"/>
          <w:b/>
          <w:color w:val="auto"/>
          <w:szCs w:val="21"/>
          <w:highlight w:val="none"/>
        </w:rPr>
        <w:t>浙江天诚工程咨询有限公司：</w:t>
      </w:r>
    </w:p>
    <w:p>
      <w:pPr>
        <w:spacing w:line="48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&lt; 投</w:t>
      </w:r>
      <w:r>
        <w:rPr>
          <w:rFonts w:ascii="宋体" w:hAnsi="宋体"/>
          <w:color w:val="auto"/>
          <w:highlight w:val="none"/>
          <w:u w:val="single"/>
        </w:rPr>
        <w:t>标</w:t>
      </w:r>
      <w:r>
        <w:rPr>
          <w:rFonts w:hint="eastAsia" w:ascii="宋体" w:hAnsi="宋体"/>
          <w:color w:val="auto"/>
          <w:highlight w:val="none"/>
          <w:u w:val="single"/>
        </w:rPr>
        <w:t>人名</w:t>
      </w:r>
      <w:r>
        <w:rPr>
          <w:rFonts w:ascii="宋体" w:hAnsi="宋体"/>
          <w:color w:val="auto"/>
          <w:highlight w:val="none"/>
          <w:u w:val="single"/>
        </w:rPr>
        <w:t>称</w:t>
      </w:r>
      <w:r>
        <w:rPr>
          <w:rFonts w:hint="eastAsia" w:ascii="宋体" w:hAnsi="宋体"/>
          <w:color w:val="auto"/>
          <w:highlight w:val="none"/>
          <w:u w:val="single"/>
        </w:rPr>
        <w:t xml:space="preserve"> &gt;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法定代表人</w:t>
      </w:r>
      <w:r>
        <w:rPr>
          <w:rFonts w:hint="eastAsia" w:ascii="宋体" w:hAnsi="宋体"/>
          <w:color w:val="auto"/>
          <w:highlight w:val="none"/>
          <w:u w:val="single"/>
        </w:rPr>
        <w:t xml:space="preserve">     &lt; 法定代表人姓名 &gt;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授权本单位</w:t>
      </w:r>
      <w:r>
        <w:rPr>
          <w:rFonts w:hint="eastAsia" w:ascii="宋体" w:hAnsi="宋体"/>
          <w:color w:val="auto"/>
          <w:highlight w:val="none"/>
          <w:u w:val="single"/>
        </w:rPr>
        <w:t xml:space="preserve">      &lt; 全权代表任职部门 &gt;         &lt;全权代表姓名&gt;      </w:t>
      </w:r>
      <w:r>
        <w:rPr>
          <w:rFonts w:hint="eastAsia" w:ascii="宋体" w:hAnsi="宋体"/>
          <w:color w:val="auto"/>
          <w:highlight w:val="none"/>
        </w:rPr>
        <w:t>为本公司的合法全权代表，参加你中心组织的</w:t>
      </w:r>
      <w:r>
        <w:rPr>
          <w:rFonts w:hint="eastAsia" w:ascii="宋体" w:hAnsi="宋体"/>
          <w:color w:val="auto"/>
          <w:highlight w:val="none"/>
          <w:u w:val="single"/>
        </w:rPr>
        <w:t xml:space="preserve">  </w:t>
      </w:r>
      <w:r>
        <w:rPr>
          <w:rFonts w:hint="eastAsia" w:ascii="宋体" w:hAnsi="宋体"/>
          <w:b/>
          <w:color w:val="auto"/>
          <w:highlight w:val="none"/>
          <w:u w:val="single"/>
        </w:rPr>
        <w:t xml:space="preserve">                  （项目编号：）</w:t>
      </w:r>
      <w:r>
        <w:rPr>
          <w:rFonts w:hint="eastAsia" w:ascii="宋体" w:hAnsi="宋体"/>
          <w:color w:val="auto"/>
          <w:highlight w:val="none"/>
          <w:u w:val="single"/>
        </w:rPr>
        <w:t xml:space="preserve"> </w:t>
      </w:r>
      <w:r>
        <w:rPr>
          <w:rFonts w:hint="eastAsia" w:ascii="宋体" w:hAnsi="宋体"/>
          <w:color w:val="auto"/>
          <w:highlight w:val="none"/>
        </w:rPr>
        <w:t>公</w:t>
      </w:r>
      <w:r>
        <w:rPr>
          <w:rFonts w:ascii="宋体" w:hAnsi="宋体"/>
          <w:color w:val="auto"/>
          <w:highlight w:val="none"/>
        </w:rPr>
        <w:t>开</w:t>
      </w:r>
      <w:r>
        <w:rPr>
          <w:rFonts w:hint="eastAsia" w:ascii="宋体" w:hAnsi="宋体"/>
          <w:color w:val="auto"/>
          <w:highlight w:val="none"/>
        </w:rPr>
        <w:t>招</w:t>
      </w:r>
      <w:r>
        <w:rPr>
          <w:rFonts w:ascii="宋体" w:hAnsi="宋体"/>
          <w:color w:val="auto"/>
          <w:highlight w:val="none"/>
        </w:rPr>
        <w:t>标项</w:t>
      </w:r>
      <w:r>
        <w:rPr>
          <w:rFonts w:hint="eastAsia" w:ascii="宋体" w:hAnsi="宋体"/>
          <w:color w:val="auto"/>
          <w:highlight w:val="none"/>
        </w:rPr>
        <w:t>目的投</w:t>
      </w:r>
      <w:r>
        <w:rPr>
          <w:rFonts w:ascii="宋体" w:hAnsi="宋体"/>
          <w:color w:val="auto"/>
          <w:highlight w:val="none"/>
        </w:rPr>
        <w:t>标报价、签订</w:t>
      </w:r>
      <w:r>
        <w:rPr>
          <w:rFonts w:hint="eastAsia" w:ascii="宋体" w:hAnsi="宋体"/>
          <w:color w:val="auto"/>
          <w:highlight w:val="none"/>
        </w:rPr>
        <w:t>合同以及合同的</w:t>
      </w:r>
      <w:r>
        <w:rPr>
          <w:rFonts w:ascii="宋体" w:hAnsi="宋体"/>
          <w:color w:val="auto"/>
          <w:highlight w:val="none"/>
        </w:rPr>
        <w:t>执</w:t>
      </w:r>
      <w:r>
        <w:rPr>
          <w:rFonts w:hint="eastAsia" w:ascii="宋体" w:hAnsi="宋体"/>
          <w:color w:val="auto"/>
          <w:highlight w:val="none"/>
        </w:rPr>
        <w:t>行、完成、服</w:t>
      </w:r>
      <w:r>
        <w:rPr>
          <w:rFonts w:ascii="宋体" w:hAnsi="宋体"/>
          <w:color w:val="auto"/>
          <w:highlight w:val="none"/>
        </w:rPr>
        <w:t>务</w:t>
      </w:r>
      <w:r>
        <w:rPr>
          <w:rFonts w:hint="eastAsia" w:ascii="宋体" w:hAnsi="宋体"/>
          <w:color w:val="auto"/>
          <w:highlight w:val="none"/>
        </w:rPr>
        <w:t>和保修，以本公司名</w:t>
      </w:r>
      <w:r>
        <w:rPr>
          <w:rFonts w:ascii="宋体" w:hAnsi="宋体"/>
          <w:color w:val="auto"/>
          <w:highlight w:val="none"/>
        </w:rPr>
        <w:t>义处</w:t>
      </w:r>
      <w:r>
        <w:rPr>
          <w:rFonts w:hint="eastAsia" w:ascii="宋体" w:hAnsi="宋体"/>
          <w:color w:val="auto"/>
          <w:highlight w:val="none"/>
        </w:rPr>
        <w:t>理一切与之有</w:t>
      </w:r>
      <w:r>
        <w:rPr>
          <w:rFonts w:ascii="宋体" w:hAnsi="宋体"/>
          <w:color w:val="auto"/>
          <w:highlight w:val="none"/>
        </w:rPr>
        <w:t>关的</w:t>
      </w:r>
      <w:r>
        <w:rPr>
          <w:rFonts w:hint="eastAsia" w:ascii="宋体" w:hAnsi="宋体"/>
          <w:color w:val="auto"/>
          <w:highlight w:val="none"/>
        </w:rPr>
        <w:t>事</w:t>
      </w:r>
      <w:r>
        <w:rPr>
          <w:rFonts w:ascii="宋体" w:hAnsi="宋体"/>
          <w:color w:val="auto"/>
          <w:highlight w:val="none"/>
        </w:rPr>
        <w:t>务</w:t>
      </w:r>
      <w:r>
        <w:rPr>
          <w:rFonts w:hint="eastAsia" w:ascii="宋体" w:hAnsi="宋体"/>
          <w:color w:val="auto"/>
          <w:highlight w:val="none"/>
        </w:rPr>
        <w:t>。</w:t>
      </w:r>
    </w:p>
    <w:p>
      <w:pPr>
        <w:spacing w:line="480" w:lineRule="auto"/>
        <w:rPr>
          <w:rFonts w:ascii="宋体" w:hAnsi="宋体"/>
          <w:color w:val="auto"/>
          <w:highlight w:val="none"/>
        </w:rPr>
      </w:pPr>
      <w:r>
        <w:rPr>
          <w:rFonts w:hint="eastAsia" w:ascii="宋体" w:hAnsi="宋体"/>
          <w:color w:val="auto"/>
          <w:highlight w:val="none"/>
        </w:rPr>
        <w:t>本授</w:t>
      </w:r>
      <w:r>
        <w:rPr>
          <w:rFonts w:ascii="宋体" w:hAnsi="宋体"/>
          <w:color w:val="auto"/>
          <w:highlight w:val="none"/>
        </w:rPr>
        <w:t>权书</w:t>
      </w:r>
      <w:r>
        <w:rPr>
          <w:rFonts w:hint="eastAsia" w:ascii="宋体" w:hAnsi="宋体"/>
          <w:color w:val="auto"/>
          <w:highlight w:val="none"/>
        </w:rPr>
        <w:t>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日签</w:t>
      </w:r>
      <w:r>
        <w:rPr>
          <w:rFonts w:hint="eastAsia" w:ascii="宋体" w:hAnsi="宋体"/>
          <w:color w:val="auto"/>
          <w:highlight w:val="none"/>
        </w:rPr>
        <w:t>字生效，</w:t>
      </w:r>
      <w:r>
        <w:rPr>
          <w:rFonts w:ascii="宋体" w:hAnsi="宋体"/>
          <w:color w:val="auto"/>
          <w:highlight w:val="none"/>
        </w:rPr>
        <w:t>无转</w:t>
      </w:r>
      <w:r>
        <w:rPr>
          <w:rFonts w:hint="eastAsia" w:ascii="宋体" w:hAnsi="宋体"/>
          <w:color w:val="auto"/>
          <w:highlight w:val="none"/>
        </w:rPr>
        <w:t>委</w:t>
      </w:r>
      <w:r>
        <w:rPr>
          <w:rFonts w:ascii="宋体" w:hAnsi="宋体"/>
          <w:color w:val="auto"/>
          <w:highlight w:val="none"/>
        </w:rPr>
        <w:t>权</w:t>
      </w:r>
      <w:r>
        <w:rPr>
          <w:rFonts w:hint="eastAsia" w:ascii="宋体" w:hAnsi="宋体"/>
          <w:color w:val="auto"/>
          <w:highlight w:val="none"/>
        </w:rPr>
        <w:t>，特此</w:t>
      </w:r>
      <w:r>
        <w:rPr>
          <w:rFonts w:ascii="宋体" w:hAnsi="宋体"/>
          <w:color w:val="auto"/>
          <w:highlight w:val="none"/>
        </w:rPr>
        <w:t>声</w:t>
      </w:r>
      <w:r>
        <w:rPr>
          <w:rFonts w:hint="eastAsia" w:ascii="宋体" w:hAnsi="宋体"/>
          <w:color w:val="auto"/>
          <w:highlight w:val="none"/>
        </w:rPr>
        <w:t>明。</w:t>
      </w:r>
    </w:p>
    <w:p>
      <w:pPr>
        <w:spacing w:line="360" w:lineRule="auto"/>
        <w:rPr>
          <w:rFonts w:ascii="宋体" w:hAnsi="宋体"/>
          <w:color w:val="auto"/>
          <w:highlight w:val="none"/>
        </w:rPr>
      </w:pPr>
    </w:p>
    <w:p>
      <w:pPr>
        <w:spacing w:line="360" w:lineRule="auto"/>
        <w:ind w:firstLine="420"/>
        <w:rPr>
          <w:rFonts w:ascii="宋体" w:hAnsi="宋体"/>
          <w:color w:val="auto"/>
          <w:szCs w:val="21"/>
          <w:highlight w:val="none"/>
        </w:rPr>
      </w:pPr>
      <w:r>
        <w:rPr>
          <w:rFonts w:hint="eastAsia" w:ascii="宋体" w:hAnsi="宋体"/>
          <w:color w:val="auto"/>
          <w:szCs w:val="21"/>
          <w:highlight w:val="none"/>
        </w:rPr>
        <w:t>投标人全称（加盖公章）</w:t>
      </w:r>
      <w:r>
        <w:rPr>
          <w:rFonts w:hint="eastAsia" w:ascii="宋体" w:hAnsi="宋体"/>
          <w:color w:val="auto"/>
          <w:szCs w:val="21"/>
          <w:highlight w:val="none"/>
          <w:u w:val="single"/>
        </w:rPr>
        <w:t xml:space="preserve">                                   </w:t>
      </w:r>
    </w:p>
    <w:p>
      <w:pPr>
        <w:spacing w:line="360" w:lineRule="auto"/>
        <w:ind w:firstLine="420"/>
        <w:rPr>
          <w:rFonts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pPr>
        <w:spacing w:line="360" w:lineRule="auto"/>
        <w:ind w:firstLine="420"/>
        <w:rPr>
          <w:rFonts w:ascii="宋体" w:hAnsi="宋体"/>
          <w:color w:val="auto"/>
          <w:szCs w:val="21"/>
          <w:highlight w:val="none"/>
        </w:rPr>
      </w:pPr>
      <w:r>
        <w:rPr>
          <w:rFonts w:hint="eastAsia" w:ascii="宋体" w:hAnsi="宋体"/>
          <w:color w:val="auto"/>
          <w:szCs w:val="21"/>
          <w:highlight w:val="none"/>
        </w:rPr>
        <w:t>被授权人（签字）</w:t>
      </w:r>
      <w:r>
        <w:rPr>
          <w:rFonts w:hint="eastAsia" w:ascii="宋体" w:hAnsi="宋体"/>
          <w:color w:val="auto"/>
          <w:szCs w:val="21"/>
          <w:highlight w:val="none"/>
          <w:u w:val="single"/>
        </w:rPr>
        <w:t xml:space="preserve">                                         </w:t>
      </w:r>
    </w:p>
    <w:p>
      <w:pPr>
        <w:spacing w:line="360" w:lineRule="auto"/>
        <w:ind w:firstLine="420"/>
        <w:rPr>
          <w:rFonts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附：</w:t>
      </w:r>
    </w:p>
    <w:p>
      <w:pPr>
        <w:spacing w:line="360" w:lineRule="auto"/>
        <w:rPr>
          <w:rFonts w:ascii="宋体" w:hAnsi="宋体"/>
          <w:color w:val="auto"/>
          <w:szCs w:val="21"/>
          <w:highlight w:val="none"/>
        </w:rPr>
      </w:pPr>
      <w:r>
        <w:rPr>
          <w:rFonts w:hint="eastAsia" w:ascii="宋体" w:hAnsi="宋体"/>
          <w:color w:val="auto"/>
          <w:szCs w:val="21"/>
          <w:highlight w:val="none"/>
        </w:rPr>
        <w:t>全权代表姓名：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w:t>
      </w:r>
      <w:r>
        <w:rPr>
          <w:rFonts w:ascii="宋体" w:hAnsi="宋体"/>
          <w:color w:val="auto"/>
          <w:szCs w:val="21"/>
          <w:highlight w:val="none"/>
        </w:rPr>
        <w:t>别</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ascii="宋体" w:hAnsi="宋体"/>
          <w:color w:val="auto"/>
          <w:szCs w:val="21"/>
          <w:highlight w:val="none"/>
        </w:rPr>
        <w:t>龄</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部门</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职务</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jc w:val="center"/>
        <w:rPr>
          <w:b/>
          <w:color w:val="auto"/>
          <w:highlight w:val="none"/>
          <w:u w:val="single"/>
        </w:rPr>
      </w:pPr>
      <w:r>
        <w:rPr>
          <w:rFonts w:hint="eastAsia"/>
          <w:b/>
          <w:color w:val="auto"/>
          <w:highlight w:val="none"/>
          <w:u w:val="single"/>
        </w:rPr>
        <w:t>（</w:t>
      </w:r>
      <w:r>
        <w:rPr>
          <w:rFonts w:hint="eastAsia" w:ascii="宋体" w:hAnsi="宋体" w:cs="宋体"/>
          <w:b/>
          <w:color w:val="auto"/>
          <w:highlight w:val="none"/>
          <w:u w:val="single"/>
        </w:rPr>
        <w:t>※</w:t>
      </w:r>
      <w:r>
        <w:rPr>
          <w:rFonts w:hint="eastAsia"/>
          <w:b/>
          <w:color w:val="auto"/>
          <w:highlight w:val="none"/>
          <w:u w:val="single"/>
        </w:rPr>
        <w:t xml:space="preserve"> 此</w:t>
      </w:r>
      <w:r>
        <w:rPr>
          <w:b/>
          <w:color w:val="auto"/>
          <w:highlight w:val="none"/>
          <w:u w:val="single"/>
        </w:rPr>
        <w:t>处</w:t>
      </w:r>
      <w:r>
        <w:rPr>
          <w:rFonts w:hint="eastAsia"/>
          <w:b/>
          <w:color w:val="auto"/>
          <w:highlight w:val="none"/>
          <w:u w:val="single"/>
        </w:rPr>
        <w:t>附全权代表身份</w:t>
      </w:r>
      <w:r>
        <w:rPr>
          <w:b/>
          <w:color w:val="auto"/>
          <w:highlight w:val="none"/>
          <w:u w:val="single"/>
        </w:rPr>
        <w:t>证复</w:t>
      </w:r>
      <w:r>
        <w:rPr>
          <w:rFonts w:hint="eastAsia"/>
          <w:b/>
          <w:color w:val="auto"/>
          <w:highlight w:val="none"/>
          <w:u w:val="single"/>
        </w:rPr>
        <w:t>印件（正反两面）</w:t>
      </w:r>
      <w:r>
        <w:rPr>
          <w:rFonts w:hint="eastAsia" w:ascii="宋体" w:hAnsi="宋体" w:cs="宋体"/>
          <w:b/>
          <w:color w:val="auto"/>
          <w:highlight w:val="none"/>
          <w:u w:val="single"/>
        </w:rPr>
        <w:t>※</w:t>
      </w:r>
      <w:r>
        <w:rPr>
          <w:rFonts w:hint="eastAsia"/>
          <w:b/>
          <w:color w:val="auto"/>
          <w:highlight w:val="none"/>
          <w:u w:val="single"/>
        </w:rPr>
        <w:t>）</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b/>
          <w:color w:val="auto"/>
          <w:highlight w:val="none"/>
        </w:rPr>
        <w:t>说明：全权代表</w:t>
      </w:r>
      <w:r>
        <w:rPr>
          <w:rFonts w:ascii="宋体" w:hAnsi="宋体"/>
          <w:b/>
          <w:color w:val="auto"/>
          <w:highlight w:val="none"/>
        </w:rPr>
        <w:t>参</w:t>
      </w:r>
      <w:r>
        <w:rPr>
          <w:rFonts w:hint="eastAsia" w:ascii="宋体" w:hAnsi="宋体"/>
          <w:b/>
          <w:color w:val="auto"/>
          <w:highlight w:val="none"/>
        </w:rPr>
        <w:t>加本招</w:t>
      </w:r>
      <w:r>
        <w:rPr>
          <w:rFonts w:ascii="宋体" w:hAnsi="宋体"/>
          <w:b/>
          <w:color w:val="auto"/>
          <w:highlight w:val="none"/>
        </w:rPr>
        <w:t>标项目</w:t>
      </w:r>
      <w:r>
        <w:rPr>
          <w:rFonts w:hint="eastAsia" w:ascii="宋体" w:hAnsi="宋体"/>
          <w:b/>
          <w:color w:val="auto"/>
          <w:highlight w:val="none"/>
        </w:rPr>
        <w:t>投</w:t>
      </w:r>
      <w:r>
        <w:rPr>
          <w:rFonts w:ascii="宋体" w:hAnsi="宋体"/>
          <w:b/>
          <w:color w:val="auto"/>
          <w:highlight w:val="none"/>
        </w:rPr>
        <w:t>标</w:t>
      </w:r>
      <w:r>
        <w:rPr>
          <w:rFonts w:hint="eastAsia" w:ascii="宋体" w:hAnsi="宋体"/>
          <w:b/>
          <w:color w:val="auto"/>
          <w:highlight w:val="none"/>
        </w:rPr>
        <w:t>的，</w:t>
      </w:r>
      <w:r>
        <w:rPr>
          <w:rFonts w:ascii="宋体" w:hAnsi="宋体"/>
          <w:b/>
          <w:color w:val="auto"/>
          <w:highlight w:val="none"/>
        </w:rPr>
        <w:t>仅须</w:t>
      </w:r>
      <w:r>
        <w:rPr>
          <w:rFonts w:hint="eastAsia" w:ascii="宋体" w:hAnsi="宋体"/>
          <w:b/>
          <w:color w:val="auto"/>
          <w:highlight w:val="none"/>
        </w:rPr>
        <w:t>提供此</w:t>
      </w:r>
      <w:r>
        <w:rPr>
          <w:rFonts w:ascii="宋体" w:hAnsi="宋体"/>
          <w:b/>
          <w:color w:val="auto"/>
          <w:highlight w:val="none"/>
        </w:rPr>
        <w:t>证</w:t>
      </w:r>
      <w:r>
        <w:rPr>
          <w:rFonts w:hint="eastAsia" w:ascii="宋体" w:hAnsi="宋体"/>
          <w:b/>
          <w:color w:val="auto"/>
          <w:highlight w:val="none"/>
        </w:rPr>
        <w:t>明</w:t>
      </w:r>
      <w:r>
        <w:rPr>
          <w:rFonts w:ascii="宋体" w:hAnsi="宋体"/>
          <w:b/>
          <w:color w:val="auto"/>
          <w:highlight w:val="none"/>
        </w:rPr>
        <w:t>书</w:t>
      </w:r>
      <w:r>
        <w:rPr>
          <w:rFonts w:hint="eastAsia" w:ascii="宋体" w:hAnsi="宋体"/>
          <w:b/>
          <w:color w:val="auto"/>
          <w:highlight w:val="none"/>
        </w:rPr>
        <w:t>。</w:t>
      </w:r>
    </w:p>
    <w:p>
      <w:pPr>
        <w:adjustRightInd w:val="0"/>
        <w:snapToGrid w:val="0"/>
        <w:jc w:val="left"/>
        <w:rPr>
          <w:color w:val="auto"/>
          <w:highlight w:val="none"/>
        </w:rPr>
      </w:pPr>
      <w:r>
        <w:rPr>
          <w:rFonts w:ascii="宋体" w:hAnsi="宋体"/>
          <w:color w:val="auto"/>
          <w:highlight w:val="none"/>
        </w:rPr>
        <w:br w:type="page"/>
      </w:r>
      <w:r>
        <w:rPr>
          <w:rFonts w:hint="eastAsia" w:ascii="宋体" w:hAnsi="宋体" w:cs="宋体"/>
          <w:color w:val="auto"/>
          <w:szCs w:val="21"/>
          <w:highlight w:val="none"/>
        </w:rPr>
        <w:t>附件4：</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标</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函</w:t>
      </w:r>
    </w:p>
    <w:p>
      <w:pPr>
        <w:spacing w:line="360" w:lineRule="auto"/>
        <w:rPr>
          <w:rFonts w:ascii="宋体" w:hAnsi="宋体"/>
          <w:b/>
          <w:color w:val="auto"/>
          <w:sz w:val="24"/>
          <w:highlight w:val="none"/>
        </w:rPr>
      </w:pPr>
      <w:r>
        <w:rPr>
          <w:rFonts w:hint="eastAsia" w:ascii="宋体" w:hAnsi="宋体"/>
          <w:b/>
          <w:color w:val="auto"/>
          <w:sz w:val="24"/>
          <w:highlight w:val="none"/>
        </w:rPr>
        <w:t>浙江天诚工程咨询有限公司：</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u w:val="single"/>
        </w:rPr>
        <w:t xml:space="preserve">       &lt;投标人名称&gt;      </w:t>
      </w:r>
      <w:r>
        <w:rPr>
          <w:rFonts w:hint="eastAsia" w:ascii="宋体" w:hAnsi="宋体"/>
          <w:color w:val="auto"/>
          <w:kern w:val="0"/>
          <w:highlight w:val="none"/>
        </w:rPr>
        <w:t xml:space="preserve"> 正式授权</w:t>
      </w:r>
      <w:r>
        <w:rPr>
          <w:rFonts w:hint="eastAsia" w:ascii="宋体" w:hAnsi="宋体"/>
          <w:color w:val="auto"/>
          <w:kern w:val="0"/>
          <w:highlight w:val="none"/>
          <w:u w:val="single"/>
        </w:rPr>
        <w:t xml:space="preserve">      &lt;投标人代表姓名、职务、职称&gt;      </w:t>
      </w:r>
      <w:r>
        <w:rPr>
          <w:rFonts w:hint="eastAsia" w:ascii="宋体" w:hAnsi="宋体"/>
          <w:color w:val="auto"/>
          <w:kern w:val="0"/>
          <w:highlight w:val="none"/>
        </w:rPr>
        <w:t xml:space="preserve">为我方代表，参加贵方组织的 </w:t>
      </w:r>
      <w:r>
        <w:rPr>
          <w:rFonts w:hint="eastAsia" w:ascii="宋体" w:hAnsi="宋体"/>
          <w:color w:val="auto"/>
          <w:kern w:val="0"/>
          <w:highlight w:val="none"/>
          <w:u w:val="single"/>
        </w:rPr>
        <w:t xml:space="preserve">      &lt;项目名称、项目编号&gt;      </w:t>
      </w:r>
      <w:r>
        <w:rPr>
          <w:rFonts w:hint="eastAsia" w:ascii="宋体" w:hAnsi="宋体"/>
          <w:color w:val="auto"/>
          <w:kern w:val="0"/>
          <w:highlight w:val="none"/>
        </w:rPr>
        <w:t xml:space="preserve"> 项目公开招标的有关活动，并对此招标项目进行投标。为此：</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 我方同意在本招标项目招标文件中规定的开标日起90日历天内遵守本投标文件中的承诺且在此期限期满之前均具有约束力。</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2．本项目投标总价见投标报价文件所附《开标一览表》的“投标总价”。</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3. 提供招标文件规定的全部投标文件，包括投标文件电子文档1份。</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4. 如果我方中标，保证忠实地执行双方所签订的政府采购合同，并承担政府采购合同规定的责任和义务。</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5. 我方保证遵守招标文件的全部规定。</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6. 我方保证尊重评标委员会的评标结果，完全理解本招标项目不一定接受最低报价的投标。</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7. 我方愿意向你中心提供任何与本招标项目投标有关的数据，并根据需要提供一切承诺的证明材料。</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8. 我方已详细审查全部招标文件，在投标之前已经与招标方进行了充分的沟通，完全理解并接受招标文件的各项规定和要求，对招标文件的合理性、合法性不再有异议。</w:t>
      </w:r>
    </w:p>
    <w:p>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9. 与本项目投标活动有关的一切正式往来信函请寄：</w:t>
      </w:r>
    </w:p>
    <w:p>
      <w:pPr>
        <w:spacing w:line="360" w:lineRule="auto"/>
        <w:rPr>
          <w:rFonts w:ascii="宋体" w:hAnsi="宋体"/>
          <w:color w:val="auto"/>
          <w:kern w:val="0"/>
          <w:szCs w:val="21"/>
          <w:highlight w:val="none"/>
        </w:rPr>
      </w:pPr>
      <w:r>
        <w:rPr>
          <w:rFonts w:hint="eastAsia" w:ascii="宋体" w:hAnsi="宋体"/>
          <w:color w:val="auto"/>
          <w:kern w:val="0"/>
          <w:szCs w:val="21"/>
          <w:highlight w:val="none"/>
        </w:rPr>
        <w:t>地址：</w:t>
      </w:r>
      <w:r>
        <w:rPr>
          <w:rFonts w:hint="eastAsia" w:ascii="宋体" w:hAnsi="宋体"/>
          <w:color w:val="auto"/>
          <w:kern w:val="0"/>
          <w:szCs w:val="21"/>
          <w:highlight w:val="none"/>
          <w:u w:val="single"/>
        </w:rPr>
        <w:t xml:space="preserve">                                                                         </w:t>
      </w:r>
    </w:p>
    <w:p>
      <w:pPr>
        <w:spacing w:line="360" w:lineRule="auto"/>
        <w:rPr>
          <w:rFonts w:ascii="宋体" w:hAnsi="宋体"/>
          <w:color w:val="auto"/>
          <w:kern w:val="0"/>
          <w:szCs w:val="21"/>
          <w:highlight w:val="none"/>
        </w:rPr>
      </w:pPr>
      <w:r>
        <w:rPr>
          <w:rFonts w:hint="eastAsia" w:ascii="宋体" w:hAnsi="宋体"/>
          <w:color w:val="auto"/>
          <w:kern w:val="0"/>
          <w:szCs w:val="21"/>
          <w:highlight w:val="none"/>
        </w:rPr>
        <w:t>邮编：</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传真：</w:t>
      </w:r>
      <w:r>
        <w:rPr>
          <w:rFonts w:hint="eastAsia" w:ascii="宋体" w:hAnsi="宋体"/>
          <w:color w:val="auto"/>
          <w:kern w:val="0"/>
          <w:szCs w:val="21"/>
          <w:highlight w:val="none"/>
          <w:u w:val="single"/>
        </w:rPr>
        <w:t xml:space="preserve">                    </w:t>
      </w:r>
    </w:p>
    <w:p>
      <w:pPr>
        <w:spacing w:line="360" w:lineRule="auto"/>
        <w:rPr>
          <w:color w:val="auto"/>
          <w:kern w:val="0"/>
          <w:highlight w:val="none"/>
        </w:rPr>
      </w:pPr>
    </w:p>
    <w:p>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 xml:space="preserve">投标人（盖章）： </w:t>
      </w:r>
      <w:r>
        <w:rPr>
          <w:rFonts w:hint="eastAsia" w:ascii="宋体" w:hAnsi="宋体"/>
          <w:color w:val="auto"/>
          <w:kern w:val="0"/>
          <w:szCs w:val="21"/>
          <w:highlight w:val="none"/>
          <w:u w:val="single"/>
        </w:rPr>
        <w:t xml:space="preserve">                                </w:t>
      </w:r>
    </w:p>
    <w:p>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法定代表人（或全权代表）签字或盖章：</w:t>
      </w:r>
      <w:r>
        <w:rPr>
          <w:rFonts w:hint="eastAsia" w:ascii="宋体" w:hAnsi="宋体"/>
          <w:color w:val="auto"/>
          <w:kern w:val="0"/>
          <w:szCs w:val="21"/>
          <w:highlight w:val="none"/>
          <w:u w:val="single"/>
        </w:rPr>
        <w:t xml:space="preserve">              </w:t>
      </w:r>
    </w:p>
    <w:p>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日   期：</w:t>
      </w:r>
      <w:r>
        <w:rPr>
          <w:rFonts w:hint="eastAsia" w:ascii="宋体" w:hAnsi="宋体"/>
          <w:color w:val="auto"/>
          <w:kern w:val="0"/>
          <w:szCs w:val="21"/>
          <w:highlight w:val="none"/>
          <w:u w:val="single"/>
        </w:rPr>
        <w:t xml:space="preserve">                                         </w:t>
      </w:r>
    </w:p>
    <w:p>
      <w:pPr>
        <w:spacing w:line="360" w:lineRule="auto"/>
        <w:rPr>
          <w:rFonts w:ascii="宋体" w:hAnsi="宋体"/>
          <w:color w:val="auto"/>
          <w:kern w:val="0"/>
          <w:highlight w:val="none"/>
        </w:rPr>
      </w:pPr>
    </w:p>
    <w:p>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附件5：</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开</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标</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一</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览</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p>
    <w:tbl>
      <w:tblPr>
        <w:tblStyle w:val="1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850"/>
        <w:gridCol w:w="2694"/>
        <w:gridCol w:w="184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33" w:type="dxa"/>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850" w:type="dxa"/>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94" w:type="dxa"/>
            <w:noWrap w:val="0"/>
            <w:vAlign w:val="center"/>
          </w:tcPr>
          <w:p>
            <w:pPr>
              <w:jc w:val="center"/>
              <w:rPr>
                <w:rFonts w:ascii="宋体" w:hAnsi="宋体" w:cs="宋体"/>
                <w:b/>
                <w:bCs/>
                <w:color w:val="auto"/>
                <w:kern w:val="0"/>
                <w:szCs w:val="21"/>
                <w:highlight w:val="none"/>
              </w:rPr>
            </w:pPr>
            <w:r>
              <w:rPr>
                <w:rFonts w:hint="eastAsia" w:ascii="宋体" w:hAnsi="宋体"/>
                <w:b/>
                <w:bCs/>
                <w:color w:val="auto"/>
                <w:szCs w:val="21"/>
                <w:highlight w:val="none"/>
              </w:rPr>
              <w:t>系统名称</w:t>
            </w:r>
          </w:p>
        </w:tc>
        <w:tc>
          <w:tcPr>
            <w:tcW w:w="1842" w:type="dxa"/>
            <w:noWrap w:val="0"/>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小计小写</w:t>
            </w:r>
          </w:p>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（人民币：元）</w:t>
            </w:r>
          </w:p>
        </w:tc>
        <w:tc>
          <w:tcPr>
            <w:tcW w:w="2127" w:type="dxa"/>
            <w:noWrap w:val="0"/>
            <w:vAlign w:val="center"/>
          </w:tcPr>
          <w:p>
            <w:pPr>
              <w:widowControl/>
              <w:jc w:val="center"/>
              <w:rPr>
                <w:rFonts w:ascii="宋体" w:hAnsi="宋体"/>
                <w:b/>
                <w:bCs/>
                <w:color w:val="auto"/>
                <w:szCs w:val="21"/>
                <w:highlight w:val="none"/>
              </w:rPr>
            </w:pPr>
            <w:r>
              <w:rPr>
                <w:rFonts w:hint="eastAsia" w:ascii="宋体" w:hAnsi="宋体"/>
                <w:b/>
                <w:bCs/>
                <w:color w:val="auto"/>
                <w:szCs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33" w:type="dxa"/>
            <w:vMerge w:val="restart"/>
            <w:noWrap w:val="0"/>
            <w:vAlign w:val="center"/>
          </w:tcPr>
          <w:p>
            <w:pPr>
              <w:widowControl/>
              <w:jc w:val="center"/>
              <w:rPr>
                <w:rFonts w:hint="eastAsia" w:ascii="宋体" w:hAnsi="宋体" w:cs="宋体"/>
                <w:color w:val="auto"/>
                <w:kern w:val="0"/>
                <w:szCs w:val="21"/>
                <w:highlight w:val="none"/>
              </w:rPr>
            </w:pPr>
            <w:r>
              <w:rPr>
                <w:rFonts w:hint="eastAsia"/>
                <w:color w:val="auto"/>
                <w:highlight w:val="none"/>
              </w:rPr>
              <w:t>淮河小学东校区新建工程智能化采购项目</w:t>
            </w:r>
          </w:p>
        </w:tc>
        <w:tc>
          <w:tcPr>
            <w:tcW w:w="850" w:type="dxa"/>
            <w:noWrap w:val="0"/>
            <w:vAlign w:val="center"/>
          </w:tcPr>
          <w:p>
            <w:pPr>
              <w:widowControl/>
              <w:jc w:val="center"/>
              <w:rPr>
                <w:color w:val="auto"/>
                <w:highlight w:val="none"/>
              </w:rPr>
            </w:pPr>
            <w:r>
              <w:rPr>
                <w:rFonts w:hint="eastAsia"/>
                <w:color w:val="auto"/>
                <w:highlight w:val="none"/>
              </w:rPr>
              <w:t>1</w:t>
            </w:r>
          </w:p>
        </w:tc>
        <w:tc>
          <w:tcPr>
            <w:tcW w:w="2694" w:type="dxa"/>
            <w:noWrap w:val="0"/>
            <w:vAlign w:val="center"/>
          </w:tcPr>
          <w:p>
            <w:pPr>
              <w:widowControl/>
              <w:rPr>
                <w:color w:val="auto"/>
                <w:highlight w:val="none"/>
              </w:rPr>
            </w:pPr>
            <w:r>
              <w:rPr>
                <w:rFonts w:hint="eastAsia"/>
                <w:color w:val="auto"/>
                <w:highlight w:val="none"/>
              </w:rPr>
              <w:t>综合布线系统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restart"/>
            <w:noWrap w:val="0"/>
            <w:vAlign w:val="center"/>
          </w:tcPr>
          <w:p>
            <w:pPr>
              <w:widowControl/>
              <w:jc w:val="center"/>
              <w:rPr>
                <w:rFonts w:ascii="宋体" w:hAnsi="宋体" w:cs="宋体"/>
                <w:color w:val="auto"/>
                <w:kern w:val="0"/>
                <w:szCs w:val="21"/>
                <w:highlight w:val="none"/>
              </w:rPr>
            </w:pPr>
            <w:r>
              <w:rPr>
                <w:rFonts w:hint="eastAsia" w:ascii="宋体" w:hAnsi="宋体"/>
                <w:color w:val="auto"/>
                <w:highlight w:val="none"/>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2</w:t>
            </w:r>
          </w:p>
        </w:tc>
        <w:tc>
          <w:tcPr>
            <w:tcW w:w="2694" w:type="dxa"/>
            <w:noWrap w:val="0"/>
            <w:vAlign w:val="center"/>
          </w:tcPr>
          <w:p>
            <w:pPr>
              <w:widowControl/>
              <w:rPr>
                <w:color w:val="auto"/>
                <w:highlight w:val="none"/>
              </w:rPr>
            </w:pPr>
            <w:r>
              <w:rPr>
                <w:rFonts w:hint="eastAsia"/>
                <w:color w:val="auto"/>
                <w:highlight w:val="none"/>
              </w:rPr>
              <w:t>计算机网络系统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3</w:t>
            </w:r>
          </w:p>
        </w:tc>
        <w:tc>
          <w:tcPr>
            <w:tcW w:w="2694" w:type="dxa"/>
            <w:noWrap w:val="0"/>
            <w:vAlign w:val="center"/>
          </w:tcPr>
          <w:p>
            <w:pPr>
              <w:widowControl/>
              <w:rPr>
                <w:color w:val="auto"/>
                <w:highlight w:val="none"/>
              </w:rPr>
            </w:pPr>
            <w:r>
              <w:rPr>
                <w:rFonts w:hint="eastAsia"/>
                <w:color w:val="auto"/>
                <w:highlight w:val="none"/>
              </w:rPr>
              <w:t>数字化校园广播</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4</w:t>
            </w:r>
          </w:p>
        </w:tc>
        <w:tc>
          <w:tcPr>
            <w:tcW w:w="2694" w:type="dxa"/>
            <w:noWrap w:val="0"/>
            <w:vAlign w:val="center"/>
          </w:tcPr>
          <w:p>
            <w:pPr>
              <w:widowControl/>
              <w:rPr>
                <w:color w:val="auto"/>
                <w:highlight w:val="none"/>
              </w:rPr>
            </w:pPr>
            <w:r>
              <w:rPr>
                <w:rFonts w:hint="eastAsia"/>
                <w:color w:val="auto"/>
                <w:highlight w:val="none"/>
              </w:rPr>
              <w:t>监控系统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5</w:t>
            </w:r>
          </w:p>
        </w:tc>
        <w:tc>
          <w:tcPr>
            <w:tcW w:w="2694" w:type="dxa"/>
            <w:noWrap w:val="0"/>
            <w:vAlign w:val="center"/>
          </w:tcPr>
          <w:p>
            <w:pPr>
              <w:widowControl/>
              <w:rPr>
                <w:color w:val="auto"/>
                <w:highlight w:val="none"/>
              </w:rPr>
            </w:pPr>
            <w:r>
              <w:rPr>
                <w:rFonts w:hint="eastAsia"/>
                <w:color w:val="auto"/>
                <w:highlight w:val="none"/>
              </w:rPr>
              <w:t>报警系统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6</w:t>
            </w:r>
          </w:p>
        </w:tc>
        <w:tc>
          <w:tcPr>
            <w:tcW w:w="2694" w:type="dxa"/>
            <w:noWrap w:val="0"/>
            <w:vAlign w:val="center"/>
          </w:tcPr>
          <w:p>
            <w:pPr>
              <w:widowControl/>
              <w:rPr>
                <w:color w:val="auto"/>
                <w:highlight w:val="none"/>
              </w:rPr>
            </w:pPr>
            <w:r>
              <w:rPr>
                <w:rFonts w:hint="eastAsia"/>
                <w:color w:val="auto"/>
                <w:highlight w:val="none"/>
              </w:rPr>
              <w:t>电子巡更系统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7</w:t>
            </w:r>
          </w:p>
        </w:tc>
        <w:tc>
          <w:tcPr>
            <w:tcW w:w="2694" w:type="dxa"/>
            <w:noWrap w:val="0"/>
            <w:vAlign w:val="center"/>
          </w:tcPr>
          <w:p>
            <w:pPr>
              <w:widowControl/>
              <w:rPr>
                <w:color w:val="auto"/>
                <w:highlight w:val="none"/>
              </w:rPr>
            </w:pPr>
            <w:r>
              <w:rPr>
                <w:rFonts w:hint="eastAsia"/>
                <w:color w:val="auto"/>
                <w:highlight w:val="none"/>
              </w:rPr>
              <w:t>一卡通管理系统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8</w:t>
            </w:r>
          </w:p>
        </w:tc>
        <w:tc>
          <w:tcPr>
            <w:tcW w:w="2694" w:type="dxa"/>
            <w:noWrap w:val="0"/>
            <w:vAlign w:val="center"/>
          </w:tcPr>
          <w:p>
            <w:pPr>
              <w:widowControl/>
              <w:rPr>
                <w:color w:val="auto"/>
                <w:highlight w:val="none"/>
              </w:rPr>
            </w:pPr>
            <w:r>
              <w:rPr>
                <w:rFonts w:hint="eastAsia"/>
                <w:color w:val="auto"/>
                <w:highlight w:val="none"/>
              </w:rPr>
              <w:t>出入口控制系统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9</w:t>
            </w:r>
          </w:p>
        </w:tc>
        <w:tc>
          <w:tcPr>
            <w:tcW w:w="2694" w:type="dxa"/>
            <w:noWrap w:val="0"/>
            <w:vAlign w:val="center"/>
          </w:tcPr>
          <w:p>
            <w:pPr>
              <w:widowControl/>
              <w:rPr>
                <w:color w:val="auto"/>
                <w:highlight w:val="none"/>
              </w:rPr>
            </w:pPr>
            <w:r>
              <w:rPr>
                <w:rFonts w:hint="eastAsia"/>
                <w:color w:val="auto"/>
                <w:highlight w:val="none"/>
              </w:rPr>
              <w:t>信息发布系统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10</w:t>
            </w:r>
          </w:p>
        </w:tc>
        <w:tc>
          <w:tcPr>
            <w:tcW w:w="2694" w:type="dxa"/>
            <w:noWrap w:val="0"/>
            <w:vAlign w:val="center"/>
          </w:tcPr>
          <w:p>
            <w:pPr>
              <w:widowControl/>
              <w:rPr>
                <w:color w:val="auto"/>
                <w:highlight w:val="none"/>
              </w:rPr>
            </w:pPr>
            <w:r>
              <w:rPr>
                <w:rFonts w:hint="eastAsia"/>
                <w:color w:val="auto"/>
                <w:highlight w:val="none"/>
              </w:rPr>
              <w:t>会议系统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11</w:t>
            </w:r>
          </w:p>
        </w:tc>
        <w:tc>
          <w:tcPr>
            <w:tcW w:w="2694" w:type="dxa"/>
            <w:noWrap w:val="0"/>
            <w:vAlign w:val="center"/>
          </w:tcPr>
          <w:p>
            <w:pPr>
              <w:widowControl/>
              <w:rPr>
                <w:color w:val="auto"/>
                <w:highlight w:val="none"/>
              </w:rPr>
            </w:pPr>
            <w:r>
              <w:rPr>
                <w:rFonts w:hint="eastAsia"/>
                <w:color w:val="auto"/>
                <w:highlight w:val="none"/>
              </w:rPr>
              <w:t>机房建设工程系统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12</w:t>
            </w:r>
          </w:p>
        </w:tc>
        <w:tc>
          <w:tcPr>
            <w:tcW w:w="2694" w:type="dxa"/>
            <w:noWrap w:val="0"/>
            <w:vAlign w:val="center"/>
          </w:tcPr>
          <w:p>
            <w:pPr>
              <w:widowControl/>
              <w:rPr>
                <w:color w:val="auto"/>
                <w:highlight w:val="none"/>
              </w:rPr>
            </w:pPr>
            <w:r>
              <w:rPr>
                <w:rFonts w:hint="eastAsia"/>
                <w:color w:val="auto"/>
                <w:highlight w:val="none"/>
              </w:rPr>
              <w:t>网络中心机房建设系统</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r>
              <w:rPr>
                <w:rFonts w:hint="eastAsia"/>
                <w:color w:val="auto"/>
                <w:highlight w:val="none"/>
              </w:rPr>
              <w:t>13</w:t>
            </w:r>
          </w:p>
        </w:tc>
        <w:tc>
          <w:tcPr>
            <w:tcW w:w="2694" w:type="dxa"/>
            <w:noWrap w:val="0"/>
            <w:vAlign w:val="center"/>
          </w:tcPr>
          <w:p>
            <w:pPr>
              <w:widowControl/>
              <w:rPr>
                <w:color w:val="auto"/>
                <w:highlight w:val="none"/>
              </w:rPr>
            </w:pPr>
            <w:r>
              <w:rPr>
                <w:rFonts w:hint="eastAsia"/>
                <w:color w:val="auto"/>
                <w:highlight w:val="none"/>
              </w:rPr>
              <w:t>综合管线</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33" w:type="dxa"/>
            <w:vMerge w:val="continue"/>
            <w:noWrap w:val="0"/>
            <w:vAlign w:val="center"/>
          </w:tcPr>
          <w:p>
            <w:pPr>
              <w:widowControl/>
              <w:jc w:val="center"/>
              <w:rPr>
                <w:rFonts w:ascii="宋体" w:hAnsi="宋体"/>
                <w:color w:val="auto"/>
                <w:highlight w:val="none"/>
              </w:rPr>
            </w:pPr>
          </w:p>
        </w:tc>
        <w:tc>
          <w:tcPr>
            <w:tcW w:w="850" w:type="dxa"/>
            <w:noWrap w:val="0"/>
            <w:vAlign w:val="center"/>
          </w:tcPr>
          <w:p>
            <w:pPr>
              <w:widowControl/>
              <w:jc w:val="center"/>
              <w:rPr>
                <w:color w:val="auto"/>
                <w:highlight w:val="none"/>
              </w:rPr>
            </w:pPr>
          </w:p>
        </w:tc>
        <w:tc>
          <w:tcPr>
            <w:tcW w:w="2694" w:type="dxa"/>
            <w:noWrap w:val="0"/>
            <w:vAlign w:val="center"/>
          </w:tcPr>
          <w:p>
            <w:pPr>
              <w:widowControl/>
              <w:rPr>
                <w:color w:val="auto"/>
                <w:highlight w:val="none"/>
              </w:rPr>
            </w:pPr>
            <w:r>
              <w:rPr>
                <w:rFonts w:ascii="宋体" w:hAnsi="宋体" w:cs="宋体"/>
                <w:b/>
                <w:color w:val="auto"/>
                <w:kern w:val="0"/>
                <w:sz w:val="18"/>
                <w:szCs w:val="18"/>
                <w:highlight w:val="none"/>
              </w:rPr>
              <w:t>……</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977" w:type="dxa"/>
            <w:gridSpan w:val="3"/>
            <w:noWrap w:val="0"/>
            <w:vAlign w:val="center"/>
          </w:tcPr>
          <w:p>
            <w:pPr>
              <w:widowControl/>
              <w:jc w:val="center"/>
              <w:rPr>
                <w:color w:val="auto"/>
                <w:highlight w:val="none"/>
              </w:rPr>
            </w:pPr>
            <w:r>
              <w:rPr>
                <w:rFonts w:hint="eastAsia"/>
                <w:color w:val="auto"/>
                <w:highlight w:val="none"/>
              </w:rPr>
              <w:t>投标总价</w:t>
            </w:r>
          </w:p>
        </w:tc>
        <w:tc>
          <w:tcPr>
            <w:tcW w:w="1842" w:type="dxa"/>
            <w:noWrap w:val="0"/>
            <w:vAlign w:val="center"/>
          </w:tcPr>
          <w:p>
            <w:pPr>
              <w:widowControl/>
              <w:rPr>
                <w:rFonts w:ascii="宋体" w:hAnsi="宋体" w:cs="宋体"/>
                <w:color w:val="auto"/>
                <w:kern w:val="0"/>
                <w:szCs w:val="21"/>
                <w:highlight w:val="none"/>
              </w:rPr>
            </w:pPr>
          </w:p>
        </w:tc>
        <w:tc>
          <w:tcPr>
            <w:tcW w:w="2127" w:type="dxa"/>
            <w:vMerge w:val="continue"/>
            <w:noWrap w:val="0"/>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946" w:type="dxa"/>
            <w:gridSpan w:val="5"/>
            <w:noWrap w:val="0"/>
            <w:vAlign w:val="center"/>
          </w:tcPr>
          <w:p>
            <w:pPr>
              <w:widowControl/>
              <w:ind w:firstLine="420" w:firstLineChars="200"/>
              <w:jc w:val="left"/>
              <w:rPr>
                <w:rFonts w:ascii="宋体" w:hAnsi="宋体" w:cs="宋体"/>
                <w:color w:val="auto"/>
                <w:kern w:val="0"/>
                <w:szCs w:val="21"/>
                <w:highlight w:val="none"/>
              </w:rPr>
            </w:pPr>
            <w:r>
              <w:rPr>
                <w:rFonts w:hint="eastAsia" w:ascii="宋体" w:hAnsi="宋体"/>
                <w:b/>
                <w:bCs/>
                <w:color w:val="auto"/>
                <w:szCs w:val="21"/>
                <w:highlight w:val="none"/>
              </w:rPr>
              <w:t>投标总价大写：人民币</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元整</w:t>
            </w:r>
          </w:p>
        </w:tc>
      </w:tr>
    </w:tbl>
    <w:p>
      <w:pPr>
        <w:spacing w:line="360" w:lineRule="auto"/>
        <w:rPr>
          <w:rFonts w:ascii="宋体" w:hAnsi="宋体"/>
          <w:b/>
          <w:color w:val="auto"/>
          <w:highlight w:val="none"/>
        </w:rPr>
      </w:pPr>
      <w:r>
        <w:rPr>
          <w:rFonts w:hint="eastAsia" w:ascii="宋体" w:hAnsi="宋体"/>
          <w:b/>
          <w:color w:val="auto"/>
          <w:highlight w:val="none"/>
        </w:rPr>
        <w:t>说明：</w:t>
      </w:r>
    </w:p>
    <w:p>
      <w:pPr>
        <w:pStyle w:val="2"/>
        <w:spacing w:line="360" w:lineRule="auto"/>
        <w:ind w:firstLine="0"/>
        <w:rPr>
          <w:color w:val="auto"/>
          <w:highlight w:val="none"/>
        </w:rPr>
      </w:pPr>
      <w:r>
        <w:rPr>
          <w:rFonts w:hint="eastAsia"/>
          <w:color w:val="auto"/>
          <w:highlight w:val="none"/>
        </w:rPr>
        <w:t>1、投</w:t>
      </w:r>
      <w:r>
        <w:rPr>
          <w:color w:val="auto"/>
          <w:highlight w:val="none"/>
        </w:rPr>
        <w:t>标总</w:t>
      </w:r>
      <w:r>
        <w:rPr>
          <w:rFonts w:hint="eastAsia"/>
          <w:color w:val="auto"/>
          <w:highlight w:val="none"/>
        </w:rPr>
        <w:t>价应为供应商提供本项目采购范围内的货物和服务所需的一切费用。</w:t>
      </w:r>
    </w:p>
    <w:p>
      <w:pPr>
        <w:pStyle w:val="2"/>
        <w:spacing w:line="360" w:lineRule="auto"/>
        <w:ind w:firstLine="0"/>
        <w:rPr>
          <w:color w:val="auto"/>
          <w:highlight w:val="none"/>
        </w:rPr>
      </w:pPr>
      <w:r>
        <w:rPr>
          <w:rFonts w:hint="eastAsia"/>
          <w:color w:val="auto"/>
          <w:highlight w:val="none"/>
        </w:rPr>
        <w:t>2、本表格的“投标总价”应与投标报价明细表的“投</w:t>
      </w:r>
      <w:r>
        <w:rPr>
          <w:color w:val="auto"/>
          <w:highlight w:val="none"/>
        </w:rPr>
        <w:t>标总</w:t>
      </w:r>
      <w:r>
        <w:rPr>
          <w:rFonts w:hint="eastAsia"/>
          <w:color w:val="auto"/>
          <w:highlight w:val="none"/>
        </w:rPr>
        <w:t>价”一致。</w:t>
      </w:r>
    </w:p>
    <w:p>
      <w:pPr>
        <w:pStyle w:val="2"/>
        <w:spacing w:line="360" w:lineRule="auto"/>
        <w:ind w:firstLine="0"/>
        <w:rPr>
          <w:color w:val="auto"/>
          <w:highlight w:val="none"/>
        </w:rPr>
      </w:pPr>
      <w:r>
        <w:rPr>
          <w:rFonts w:hint="eastAsia"/>
          <w:color w:val="auto"/>
          <w:highlight w:val="none"/>
        </w:rPr>
        <w:t>3、</w:t>
      </w:r>
      <w:r>
        <w:rPr>
          <w:rFonts w:hAnsi="宋体"/>
          <w:b/>
          <w:color w:val="auto"/>
          <w:highlight w:val="none"/>
        </w:rPr>
        <w:t>开标一览表</w:t>
      </w:r>
      <w:r>
        <w:rPr>
          <w:rFonts w:hint="eastAsia" w:hAnsi="宋体"/>
          <w:b/>
          <w:color w:val="auto"/>
          <w:highlight w:val="none"/>
        </w:rPr>
        <w:t>中各系统汇总金额与总价不一致的，以总价为准。</w:t>
      </w:r>
    </w:p>
    <w:p>
      <w:pPr>
        <w:pStyle w:val="2"/>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rPr>
          <w:b/>
          <w:color w:val="auto"/>
          <w:sz w:val="24"/>
          <w:highlight w:val="none"/>
        </w:rPr>
      </w:pPr>
      <w:r>
        <w:rPr>
          <w:b/>
          <w:color w:val="auto"/>
          <w:sz w:val="24"/>
          <w:highlight w:val="none"/>
        </w:rPr>
        <w:br w:type="page"/>
      </w:r>
    </w:p>
    <w:p>
      <w:pPr>
        <w:spacing w:line="360" w:lineRule="auto"/>
        <w:rPr>
          <w:rFonts w:ascii="宋体" w:hAnsi="宋体"/>
          <w:color w:val="auto"/>
          <w:highlight w:val="none"/>
        </w:rPr>
      </w:pPr>
      <w:r>
        <w:rPr>
          <w:rFonts w:hint="eastAsia" w:ascii="宋体" w:hAnsi="宋体"/>
          <w:color w:val="auto"/>
          <w:highlight w:val="none"/>
        </w:rPr>
        <w:t>附件6：</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投标报价明细表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Cs/>
          <w:color w:val="auto"/>
          <w:spacing w:val="20"/>
          <w:szCs w:val="21"/>
          <w:highlight w:val="non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91"/>
        <w:gridCol w:w="2330"/>
        <w:gridCol w:w="871"/>
        <w:gridCol w:w="871"/>
        <w:gridCol w:w="145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31" w:type="dxa"/>
            <w:noWrap w:val="0"/>
            <w:vAlign w:val="center"/>
          </w:tcPr>
          <w:p>
            <w:pPr>
              <w:jc w:val="center"/>
              <w:rPr>
                <w:rFonts w:ascii="宋体" w:hAnsi="宋体"/>
                <w:b/>
                <w:color w:val="auto"/>
                <w:highlight w:val="none"/>
              </w:rPr>
            </w:pPr>
            <w:r>
              <w:rPr>
                <w:rFonts w:hint="eastAsia" w:ascii="宋体" w:hAnsi="宋体"/>
                <w:b/>
                <w:color w:val="auto"/>
                <w:highlight w:val="none"/>
              </w:rPr>
              <w:t>序号</w:t>
            </w:r>
          </w:p>
        </w:tc>
        <w:tc>
          <w:tcPr>
            <w:tcW w:w="1891" w:type="dxa"/>
            <w:noWrap w:val="0"/>
            <w:vAlign w:val="center"/>
          </w:tcPr>
          <w:p>
            <w:pPr>
              <w:jc w:val="center"/>
              <w:rPr>
                <w:rFonts w:ascii="宋体" w:hAnsi="宋体"/>
                <w:b/>
                <w:color w:val="auto"/>
                <w:highlight w:val="none"/>
              </w:rPr>
            </w:pPr>
            <w:r>
              <w:rPr>
                <w:rFonts w:hint="eastAsia" w:ascii="宋体" w:hAnsi="宋体"/>
                <w:b/>
                <w:color w:val="auto"/>
                <w:highlight w:val="none"/>
              </w:rPr>
              <w:t>名称</w:t>
            </w:r>
          </w:p>
        </w:tc>
        <w:tc>
          <w:tcPr>
            <w:tcW w:w="2330" w:type="dxa"/>
            <w:noWrap w:val="0"/>
            <w:vAlign w:val="center"/>
          </w:tcPr>
          <w:p>
            <w:pPr>
              <w:jc w:val="center"/>
              <w:rPr>
                <w:rFonts w:ascii="宋体" w:hAnsi="宋体"/>
                <w:b/>
                <w:color w:val="auto"/>
                <w:highlight w:val="none"/>
              </w:rPr>
            </w:pPr>
            <w:r>
              <w:rPr>
                <w:rFonts w:hint="eastAsia" w:ascii="宋体" w:hAnsi="宋体"/>
                <w:b/>
                <w:bCs/>
                <w:color w:val="auto"/>
                <w:szCs w:val="21"/>
                <w:highlight w:val="none"/>
              </w:rPr>
              <w:t>品牌、规格及型号</w:t>
            </w:r>
          </w:p>
        </w:tc>
        <w:tc>
          <w:tcPr>
            <w:tcW w:w="871" w:type="dxa"/>
            <w:noWrap w:val="0"/>
            <w:vAlign w:val="center"/>
          </w:tcPr>
          <w:p>
            <w:pPr>
              <w:jc w:val="center"/>
              <w:rPr>
                <w:rFonts w:ascii="宋体" w:hAnsi="宋体"/>
                <w:b/>
                <w:color w:val="auto"/>
                <w:highlight w:val="none"/>
              </w:rPr>
            </w:pPr>
            <w:r>
              <w:rPr>
                <w:rFonts w:hint="eastAsia" w:ascii="宋体" w:hAnsi="宋体"/>
                <w:b/>
                <w:color w:val="auto"/>
                <w:highlight w:val="none"/>
              </w:rPr>
              <w:t>单位</w:t>
            </w:r>
          </w:p>
        </w:tc>
        <w:tc>
          <w:tcPr>
            <w:tcW w:w="871" w:type="dxa"/>
            <w:noWrap w:val="0"/>
            <w:vAlign w:val="center"/>
          </w:tcPr>
          <w:p>
            <w:pPr>
              <w:jc w:val="center"/>
              <w:rPr>
                <w:rFonts w:ascii="宋体" w:hAnsi="宋体"/>
                <w:b/>
                <w:color w:val="auto"/>
                <w:highlight w:val="none"/>
              </w:rPr>
            </w:pPr>
            <w:r>
              <w:rPr>
                <w:rFonts w:hint="eastAsia" w:ascii="宋体" w:hAnsi="宋体"/>
                <w:b/>
                <w:color w:val="auto"/>
                <w:highlight w:val="none"/>
              </w:rPr>
              <w:t>数量</w:t>
            </w:r>
          </w:p>
        </w:tc>
        <w:tc>
          <w:tcPr>
            <w:tcW w:w="1450" w:type="dxa"/>
            <w:noWrap w:val="0"/>
            <w:vAlign w:val="center"/>
          </w:tcPr>
          <w:p>
            <w:pPr>
              <w:jc w:val="center"/>
              <w:rPr>
                <w:rFonts w:ascii="宋体" w:hAnsi="宋体"/>
                <w:b/>
                <w:color w:val="auto"/>
                <w:highlight w:val="none"/>
              </w:rPr>
            </w:pPr>
            <w:r>
              <w:rPr>
                <w:rFonts w:hint="eastAsia" w:ascii="宋体" w:hAnsi="宋体"/>
                <w:b/>
                <w:color w:val="auto"/>
                <w:highlight w:val="none"/>
              </w:rPr>
              <w:t>综合单价</w:t>
            </w:r>
          </w:p>
          <w:p>
            <w:pPr>
              <w:jc w:val="center"/>
              <w:rPr>
                <w:rFonts w:ascii="宋体" w:hAnsi="宋体"/>
                <w:b/>
                <w:color w:val="auto"/>
                <w:highlight w:val="none"/>
              </w:rPr>
            </w:pPr>
            <w:r>
              <w:rPr>
                <w:rFonts w:hint="eastAsia" w:ascii="宋体" w:hAnsi="宋体"/>
                <w:b/>
                <w:color w:val="auto"/>
                <w:highlight w:val="none"/>
              </w:rPr>
              <w:t>(元/单位)</w:t>
            </w:r>
          </w:p>
        </w:tc>
        <w:tc>
          <w:tcPr>
            <w:tcW w:w="1306" w:type="dxa"/>
            <w:noWrap w:val="0"/>
            <w:vAlign w:val="center"/>
          </w:tcPr>
          <w:p>
            <w:pPr>
              <w:jc w:val="center"/>
              <w:rPr>
                <w:rFonts w:ascii="宋体" w:hAnsi="宋体"/>
                <w:b/>
                <w:color w:val="auto"/>
                <w:highlight w:val="none"/>
              </w:rPr>
            </w:pPr>
            <w:r>
              <w:rPr>
                <w:rFonts w:hint="eastAsia" w:ascii="宋体" w:hAnsi="宋体"/>
                <w:b/>
                <w:color w:val="auto"/>
                <w:highlight w:val="none"/>
              </w:rPr>
              <w:t>总价</w:t>
            </w:r>
          </w:p>
          <w:p>
            <w:pPr>
              <w:jc w:val="center"/>
              <w:rPr>
                <w:rFonts w:ascii="宋体" w:hAnsi="宋体"/>
                <w:b/>
                <w:color w:val="auto"/>
                <w:highlight w:val="none"/>
              </w:rPr>
            </w:pPr>
            <w:r>
              <w:rPr>
                <w:rFonts w:hint="eastAsia" w:ascii="宋体" w:hAnsi="宋体"/>
                <w:b/>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50" w:type="dxa"/>
            <w:gridSpan w:val="7"/>
            <w:noWrap w:val="0"/>
            <w:vAlign w:val="center"/>
          </w:tcPr>
          <w:p>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一、</w:t>
            </w:r>
            <w:r>
              <w:rPr>
                <w:rFonts w:ascii="宋体" w:hAnsi="宋体" w:cs="宋体"/>
                <w:b/>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722"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小计</w:t>
            </w:r>
          </w:p>
        </w:tc>
        <w:tc>
          <w:tcPr>
            <w:tcW w:w="233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5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50" w:type="dxa"/>
            <w:gridSpan w:val="7"/>
            <w:noWrap w:val="0"/>
            <w:vAlign w:val="center"/>
          </w:tcPr>
          <w:p>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二、</w:t>
            </w:r>
            <w:r>
              <w:rPr>
                <w:rFonts w:ascii="宋体" w:hAnsi="宋体" w:cs="宋体"/>
                <w:b/>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722"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小计</w:t>
            </w:r>
          </w:p>
        </w:tc>
        <w:tc>
          <w:tcPr>
            <w:tcW w:w="233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5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50" w:type="dxa"/>
            <w:gridSpan w:val="7"/>
            <w:noWrap w:val="0"/>
            <w:vAlign w:val="center"/>
          </w:tcPr>
          <w:p>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三、</w:t>
            </w:r>
            <w:r>
              <w:rPr>
                <w:rFonts w:ascii="宋体" w:hAnsi="宋体" w:cs="宋体"/>
                <w:b/>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0"/>
            <w:vAlign w:val="center"/>
          </w:tcPr>
          <w:p>
            <w:pPr>
              <w:widowControl/>
              <w:jc w:val="center"/>
              <w:rPr>
                <w:rFonts w:ascii="宋体" w:hAnsi="宋体" w:cs="宋体"/>
                <w:color w:val="auto"/>
                <w:kern w:val="0"/>
                <w:sz w:val="18"/>
                <w:szCs w:val="18"/>
                <w:highlight w:val="none"/>
              </w:rPr>
            </w:pPr>
          </w:p>
        </w:tc>
        <w:tc>
          <w:tcPr>
            <w:tcW w:w="1891" w:type="dxa"/>
            <w:noWrap w:val="0"/>
            <w:vAlign w:val="center"/>
          </w:tcPr>
          <w:p>
            <w:pPr>
              <w:widowControl/>
              <w:jc w:val="center"/>
              <w:rPr>
                <w:rFonts w:ascii="宋体" w:hAnsi="宋体" w:cs="宋体"/>
                <w:color w:val="auto"/>
                <w:kern w:val="0"/>
                <w:sz w:val="18"/>
                <w:szCs w:val="18"/>
                <w:highlight w:val="none"/>
              </w:rPr>
            </w:pPr>
          </w:p>
        </w:tc>
        <w:tc>
          <w:tcPr>
            <w:tcW w:w="2330"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871" w:type="dxa"/>
            <w:noWrap w:val="0"/>
            <w:vAlign w:val="center"/>
          </w:tcPr>
          <w:p>
            <w:pPr>
              <w:widowControl/>
              <w:jc w:val="center"/>
              <w:rPr>
                <w:rFonts w:ascii="宋体" w:hAnsi="宋体" w:cs="宋体"/>
                <w:color w:val="auto"/>
                <w:kern w:val="0"/>
                <w:sz w:val="18"/>
                <w:szCs w:val="18"/>
                <w:highlight w:val="none"/>
              </w:rPr>
            </w:pPr>
          </w:p>
        </w:tc>
        <w:tc>
          <w:tcPr>
            <w:tcW w:w="1450" w:type="dxa"/>
            <w:noWrap w:val="0"/>
            <w:vAlign w:val="center"/>
          </w:tcPr>
          <w:p>
            <w:pPr>
              <w:widowControl/>
              <w:jc w:val="center"/>
              <w:rPr>
                <w:rFonts w:ascii="宋体" w:hAnsi="宋体" w:cs="宋体"/>
                <w:color w:val="auto"/>
                <w:kern w:val="0"/>
                <w:sz w:val="18"/>
                <w:szCs w:val="18"/>
                <w:highlight w:val="none"/>
              </w:rPr>
            </w:pP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722" w:type="dxa"/>
            <w:gridSpan w:val="2"/>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小计</w:t>
            </w:r>
          </w:p>
        </w:tc>
        <w:tc>
          <w:tcPr>
            <w:tcW w:w="233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7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50"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06" w:type="dxa"/>
            <w:noWrap w:val="0"/>
            <w:vAlign w:val="center"/>
          </w:tcPr>
          <w:p>
            <w:pPr>
              <w:widowControl/>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noWrap w:val="0"/>
            <w:vAlign w:val="center"/>
          </w:tcPr>
          <w:p>
            <w:pPr>
              <w:spacing w:line="260" w:lineRule="exact"/>
              <w:jc w:val="center"/>
              <w:rPr>
                <w:rFonts w:ascii="宋体" w:hAnsi="宋体"/>
                <w:color w:val="auto"/>
                <w:szCs w:val="21"/>
                <w:highlight w:val="none"/>
              </w:rPr>
            </w:pPr>
            <w:r>
              <w:rPr>
                <w:rFonts w:hint="eastAsia" w:ascii="宋体" w:hAnsi="宋体"/>
                <w:b/>
                <w:color w:val="auto"/>
                <w:szCs w:val="21"/>
                <w:highlight w:val="none"/>
              </w:rPr>
              <w:t>投标总价</w:t>
            </w:r>
            <w:r>
              <w:rPr>
                <w:rFonts w:hint="eastAsia" w:ascii="宋体" w:hAnsi="宋体"/>
                <w:b/>
                <w:bCs/>
                <w:color w:val="auto"/>
                <w:szCs w:val="21"/>
                <w:highlight w:val="none"/>
              </w:rPr>
              <w:t>（元）</w:t>
            </w:r>
          </w:p>
        </w:tc>
        <w:tc>
          <w:tcPr>
            <w:tcW w:w="6828" w:type="dxa"/>
            <w:gridSpan w:val="5"/>
            <w:noWrap w:val="0"/>
            <w:vAlign w:val="center"/>
          </w:tcPr>
          <w:p>
            <w:pPr>
              <w:widowControl/>
              <w:rPr>
                <w:rFonts w:ascii="宋体" w:hAnsi="宋体" w:cs="宋体"/>
                <w:b/>
                <w:color w:val="auto"/>
                <w:kern w:val="0"/>
                <w:szCs w:val="21"/>
                <w:highlight w:val="none"/>
              </w:rPr>
            </w:pPr>
            <w:r>
              <w:rPr>
                <w:rFonts w:hint="eastAsia" w:ascii="宋体" w:hAnsi="宋体" w:cs="宋体"/>
                <w:b/>
                <w:color w:val="auto"/>
                <w:kern w:val="0"/>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noWrap w:val="0"/>
            <w:vAlign w:val="center"/>
          </w:tcPr>
          <w:p>
            <w:pPr>
              <w:spacing w:line="260" w:lineRule="exact"/>
              <w:rPr>
                <w:rFonts w:ascii="宋体" w:hAnsi="宋体"/>
                <w:color w:val="auto"/>
                <w:sz w:val="18"/>
                <w:szCs w:val="18"/>
                <w:highlight w:val="none"/>
              </w:rPr>
            </w:pPr>
          </w:p>
        </w:tc>
        <w:tc>
          <w:tcPr>
            <w:tcW w:w="6828" w:type="dxa"/>
            <w:gridSpan w:val="5"/>
            <w:noWrap w:val="0"/>
            <w:vAlign w:val="center"/>
          </w:tcPr>
          <w:p>
            <w:pPr>
              <w:widowControl/>
              <w:rPr>
                <w:rFonts w:ascii="宋体" w:hAnsi="宋体" w:cs="宋体"/>
                <w:b/>
                <w:color w:val="auto"/>
                <w:kern w:val="0"/>
                <w:szCs w:val="21"/>
                <w:highlight w:val="none"/>
              </w:rPr>
            </w:pPr>
            <w:r>
              <w:rPr>
                <w:rFonts w:hint="eastAsia" w:ascii="宋体" w:hAnsi="宋体" w:cs="宋体"/>
                <w:b/>
                <w:color w:val="auto"/>
                <w:kern w:val="0"/>
                <w:szCs w:val="21"/>
                <w:highlight w:val="none"/>
              </w:rPr>
              <w:t>大写：</w:t>
            </w:r>
          </w:p>
        </w:tc>
      </w:tr>
    </w:tbl>
    <w:p>
      <w:pPr>
        <w:spacing w:line="360" w:lineRule="auto"/>
        <w:rPr>
          <w:rFonts w:ascii="宋体" w:hAnsi="宋体"/>
          <w:b/>
          <w:color w:val="auto"/>
          <w:highlight w:val="none"/>
        </w:rPr>
      </w:pPr>
      <w:r>
        <w:rPr>
          <w:rFonts w:hint="eastAsia" w:ascii="宋体" w:hAnsi="宋体"/>
          <w:b/>
          <w:color w:val="auto"/>
          <w:highlight w:val="none"/>
        </w:rPr>
        <w:t>说明：</w:t>
      </w:r>
    </w:p>
    <w:p>
      <w:pPr>
        <w:pStyle w:val="2"/>
        <w:spacing w:line="360" w:lineRule="auto"/>
        <w:ind w:firstLine="0"/>
        <w:rPr>
          <w:color w:val="auto"/>
          <w:highlight w:val="none"/>
        </w:rPr>
      </w:pPr>
      <w:r>
        <w:rPr>
          <w:rFonts w:hint="eastAsia"/>
          <w:color w:val="auto"/>
          <w:highlight w:val="none"/>
        </w:rPr>
        <w:t>1、本表设备名称填写的顺序应与本招标文件第三部分中的采购清单相一致，按子系统小计金额。</w:t>
      </w:r>
      <w:r>
        <w:rPr>
          <w:rFonts w:hint="eastAsia" w:hAnsi="宋体"/>
          <w:color w:val="auto"/>
          <w:szCs w:val="21"/>
          <w:highlight w:val="none"/>
        </w:rPr>
        <w:t>投标人报价有漏项、缺项的，为无效标。</w:t>
      </w:r>
    </w:p>
    <w:p>
      <w:pPr>
        <w:spacing w:line="360" w:lineRule="auto"/>
        <w:rPr>
          <w:rFonts w:ascii="宋体" w:hAnsi="宋体"/>
          <w:color w:val="auto"/>
          <w:szCs w:val="21"/>
          <w:highlight w:val="none"/>
        </w:rPr>
      </w:pPr>
      <w:r>
        <w:rPr>
          <w:rFonts w:hint="eastAsia" w:ascii="宋体" w:hAnsi="宋体"/>
          <w:color w:val="auto"/>
          <w:szCs w:val="21"/>
          <w:highlight w:val="none"/>
        </w:rPr>
        <w:t>2、本表格的“投标总价”应与开标一览表的“投</w:t>
      </w:r>
      <w:r>
        <w:rPr>
          <w:rFonts w:ascii="宋体" w:hAnsi="宋体"/>
          <w:color w:val="auto"/>
          <w:szCs w:val="21"/>
          <w:highlight w:val="none"/>
        </w:rPr>
        <w:t>标总</w:t>
      </w:r>
      <w:r>
        <w:rPr>
          <w:rFonts w:hint="eastAsia" w:ascii="宋体" w:hAnsi="宋体"/>
          <w:color w:val="auto"/>
          <w:szCs w:val="21"/>
          <w:highlight w:val="none"/>
        </w:rPr>
        <w:t>价”一致。</w:t>
      </w:r>
    </w:p>
    <w:p>
      <w:pPr>
        <w:spacing w:line="360" w:lineRule="auto"/>
        <w:rPr>
          <w:rFonts w:ascii="宋体" w:hAnsi="宋体"/>
          <w:color w:val="auto"/>
          <w:szCs w:val="21"/>
          <w:highlight w:val="none"/>
        </w:rPr>
      </w:pPr>
      <w:r>
        <w:rPr>
          <w:rFonts w:hint="eastAsia" w:ascii="宋体" w:hAnsi="宋体"/>
          <w:color w:val="auto"/>
          <w:szCs w:val="21"/>
          <w:highlight w:val="none"/>
        </w:rPr>
        <w:t>3、此表在不改变表式的情况下，可自行制作。</w:t>
      </w:r>
    </w:p>
    <w:p>
      <w:pPr>
        <w:pStyle w:val="2"/>
        <w:spacing w:line="360" w:lineRule="auto"/>
        <w:ind w:firstLine="0"/>
        <w:rPr>
          <w:color w:val="auto"/>
          <w:highlight w:val="none"/>
        </w:rPr>
      </w:pPr>
    </w:p>
    <w:p>
      <w:pPr>
        <w:pStyle w:val="2"/>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附件7：</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备品备件清单</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709"/>
        <w:gridCol w:w="709"/>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48" w:type="dxa"/>
            <w:noWrap w:val="0"/>
            <w:vAlign w:val="center"/>
          </w:tcPr>
          <w:p>
            <w:pPr>
              <w:jc w:val="center"/>
              <w:rPr>
                <w:b/>
                <w:color w:val="auto"/>
                <w:highlight w:val="none"/>
              </w:rPr>
            </w:pPr>
            <w:r>
              <w:rPr>
                <w:rFonts w:hint="eastAsia"/>
                <w:b/>
                <w:color w:val="auto"/>
                <w:highlight w:val="none"/>
              </w:rPr>
              <w:t>序号</w:t>
            </w:r>
          </w:p>
        </w:tc>
        <w:tc>
          <w:tcPr>
            <w:tcW w:w="1445" w:type="dxa"/>
            <w:noWrap w:val="0"/>
            <w:vAlign w:val="center"/>
          </w:tcPr>
          <w:p>
            <w:pPr>
              <w:jc w:val="center"/>
              <w:rPr>
                <w:b/>
                <w:color w:val="auto"/>
                <w:highlight w:val="none"/>
              </w:rPr>
            </w:pPr>
            <w:r>
              <w:rPr>
                <w:rFonts w:hint="eastAsia"/>
                <w:b/>
                <w:color w:val="auto"/>
                <w:highlight w:val="none"/>
              </w:rPr>
              <w:t>名称</w:t>
            </w:r>
          </w:p>
        </w:tc>
        <w:tc>
          <w:tcPr>
            <w:tcW w:w="1984" w:type="dxa"/>
            <w:noWrap w:val="0"/>
            <w:vAlign w:val="center"/>
          </w:tcPr>
          <w:p>
            <w:pPr>
              <w:jc w:val="center"/>
              <w:rPr>
                <w:b/>
                <w:color w:val="auto"/>
                <w:highlight w:val="none"/>
              </w:rPr>
            </w:pPr>
            <w:r>
              <w:rPr>
                <w:rFonts w:hint="eastAsia"/>
                <w:b/>
                <w:color w:val="auto"/>
                <w:highlight w:val="none"/>
              </w:rPr>
              <w:t>规格、型号</w:t>
            </w:r>
          </w:p>
        </w:tc>
        <w:tc>
          <w:tcPr>
            <w:tcW w:w="709" w:type="dxa"/>
            <w:noWrap w:val="0"/>
            <w:vAlign w:val="center"/>
          </w:tcPr>
          <w:p>
            <w:pPr>
              <w:jc w:val="center"/>
              <w:rPr>
                <w:b/>
                <w:color w:val="auto"/>
                <w:highlight w:val="none"/>
              </w:rPr>
            </w:pPr>
            <w:r>
              <w:rPr>
                <w:rFonts w:hint="eastAsia"/>
                <w:b/>
                <w:color w:val="auto"/>
                <w:highlight w:val="none"/>
              </w:rPr>
              <w:t>单位</w:t>
            </w:r>
          </w:p>
        </w:tc>
        <w:tc>
          <w:tcPr>
            <w:tcW w:w="709" w:type="dxa"/>
            <w:noWrap w:val="0"/>
            <w:vAlign w:val="center"/>
          </w:tcPr>
          <w:p>
            <w:pPr>
              <w:jc w:val="center"/>
              <w:rPr>
                <w:b/>
                <w:color w:val="auto"/>
                <w:highlight w:val="none"/>
              </w:rPr>
            </w:pPr>
            <w:r>
              <w:rPr>
                <w:rFonts w:hint="eastAsia"/>
                <w:b/>
                <w:color w:val="auto"/>
                <w:highlight w:val="none"/>
              </w:rPr>
              <w:t>数量</w:t>
            </w:r>
          </w:p>
        </w:tc>
        <w:tc>
          <w:tcPr>
            <w:tcW w:w="1134" w:type="dxa"/>
            <w:noWrap w:val="0"/>
            <w:vAlign w:val="center"/>
          </w:tcPr>
          <w:p>
            <w:pPr>
              <w:jc w:val="center"/>
              <w:rPr>
                <w:b/>
                <w:color w:val="auto"/>
                <w:highlight w:val="none"/>
              </w:rPr>
            </w:pPr>
            <w:r>
              <w:rPr>
                <w:rFonts w:hint="eastAsia"/>
                <w:b/>
                <w:color w:val="auto"/>
                <w:highlight w:val="none"/>
              </w:rPr>
              <w:t>单价</w:t>
            </w:r>
          </w:p>
        </w:tc>
        <w:tc>
          <w:tcPr>
            <w:tcW w:w="1134" w:type="dxa"/>
            <w:noWrap w:val="0"/>
            <w:vAlign w:val="center"/>
          </w:tcPr>
          <w:p>
            <w:pPr>
              <w:jc w:val="center"/>
              <w:rPr>
                <w:b/>
                <w:color w:val="auto"/>
                <w:highlight w:val="none"/>
              </w:rPr>
            </w:pPr>
            <w:r>
              <w:rPr>
                <w:rFonts w:hint="eastAsia"/>
                <w:b/>
                <w:color w:val="auto"/>
                <w:highlight w:val="none"/>
              </w:rPr>
              <w:t>总价</w:t>
            </w:r>
          </w:p>
        </w:tc>
        <w:tc>
          <w:tcPr>
            <w:tcW w:w="1417" w:type="dxa"/>
            <w:noWrap w:val="0"/>
            <w:vAlign w:val="center"/>
          </w:tcPr>
          <w:p>
            <w:pPr>
              <w:jc w:val="center"/>
              <w:rPr>
                <w:b/>
                <w:color w:val="auto"/>
                <w:highlight w:val="none"/>
              </w:rPr>
            </w:pPr>
            <w:r>
              <w:rPr>
                <w:rFonts w:hint="eastAsia"/>
                <w:b/>
                <w:color w:val="auto"/>
                <w:highlight w:val="none"/>
              </w:rPr>
              <w:t>所属货物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napToGrid w:val="0"/>
              <w:jc w:val="center"/>
              <w:rPr>
                <w:rFonts w:ascii="宋体" w:hAnsi="宋体"/>
                <w:color w:val="auto"/>
                <w:spacing w:val="20"/>
                <w:sz w:val="18"/>
                <w:szCs w:val="18"/>
                <w:highlight w:val="none"/>
              </w:rPr>
            </w:pPr>
          </w:p>
        </w:tc>
        <w:tc>
          <w:tcPr>
            <w:tcW w:w="1445" w:type="dxa"/>
            <w:noWrap w:val="0"/>
            <w:vAlign w:val="center"/>
          </w:tcPr>
          <w:p>
            <w:pPr>
              <w:snapToGrid w:val="0"/>
              <w:jc w:val="center"/>
              <w:rPr>
                <w:rFonts w:ascii="宋体" w:hAnsi="宋体"/>
                <w:color w:val="auto"/>
                <w:spacing w:val="20"/>
                <w:sz w:val="18"/>
                <w:szCs w:val="18"/>
                <w:highlight w:val="none"/>
              </w:rPr>
            </w:pPr>
          </w:p>
        </w:tc>
        <w:tc>
          <w:tcPr>
            <w:tcW w:w="1984"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709"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134" w:type="dxa"/>
            <w:noWrap w:val="0"/>
            <w:vAlign w:val="center"/>
          </w:tcPr>
          <w:p>
            <w:pPr>
              <w:snapToGrid w:val="0"/>
              <w:jc w:val="center"/>
              <w:rPr>
                <w:rFonts w:ascii="宋体" w:hAnsi="宋体"/>
                <w:color w:val="auto"/>
                <w:spacing w:val="20"/>
                <w:sz w:val="18"/>
                <w:szCs w:val="18"/>
                <w:highlight w:val="none"/>
              </w:rPr>
            </w:pPr>
          </w:p>
        </w:tc>
        <w:tc>
          <w:tcPr>
            <w:tcW w:w="1417" w:type="dxa"/>
            <w:noWrap w:val="0"/>
            <w:vAlign w:val="center"/>
          </w:tcPr>
          <w:p>
            <w:pPr>
              <w:snapToGrid w:val="0"/>
              <w:jc w:val="center"/>
              <w:rPr>
                <w:rFonts w:ascii="宋体" w:hAnsi="宋体"/>
                <w:color w:val="auto"/>
                <w:spacing w:val="2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gridSpan w:val="2"/>
            <w:noWrap w:val="0"/>
            <w:vAlign w:val="center"/>
          </w:tcPr>
          <w:p>
            <w:pPr>
              <w:snapToGrid w:val="0"/>
              <w:jc w:val="center"/>
              <w:rPr>
                <w:b/>
                <w:color w:val="auto"/>
                <w:highlight w:val="none"/>
              </w:rPr>
            </w:pPr>
            <w:r>
              <w:rPr>
                <w:rFonts w:hint="eastAsia"/>
                <w:b/>
                <w:color w:val="auto"/>
                <w:highlight w:val="none"/>
              </w:rPr>
              <w:t>合计</w:t>
            </w:r>
          </w:p>
        </w:tc>
        <w:tc>
          <w:tcPr>
            <w:tcW w:w="7087" w:type="dxa"/>
            <w:gridSpan w:val="6"/>
            <w:noWrap w:val="0"/>
            <w:vAlign w:val="center"/>
          </w:tcPr>
          <w:p>
            <w:pPr>
              <w:snapToGrid w:val="0"/>
              <w:jc w:val="center"/>
              <w:rPr>
                <w:b/>
                <w:color w:val="auto"/>
                <w:highlight w:val="none"/>
              </w:rPr>
            </w:pPr>
          </w:p>
        </w:tc>
      </w:tr>
    </w:tbl>
    <w:p>
      <w:pPr>
        <w:spacing w:line="360" w:lineRule="auto"/>
        <w:rPr>
          <w:rFonts w:ascii="宋体" w:hAnsi="宋体"/>
          <w:b/>
          <w:color w:val="auto"/>
          <w:highlight w:val="none"/>
        </w:rPr>
      </w:pPr>
      <w:r>
        <w:rPr>
          <w:rFonts w:hint="eastAsia" w:ascii="宋体" w:hAnsi="宋体"/>
          <w:b/>
          <w:color w:val="auto"/>
          <w:highlight w:val="none"/>
        </w:rPr>
        <w:t>说明：</w:t>
      </w:r>
    </w:p>
    <w:p>
      <w:pPr>
        <w:pStyle w:val="2"/>
        <w:spacing w:line="360" w:lineRule="auto"/>
        <w:ind w:firstLine="0"/>
        <w:rPr>
          <w:color w:val="auto"/>
          <w:highlight w:val="none"/>
        </w:rPr>
      </w:pPr>
      <w:r>
        <w:rPr>
          <w:rFonts w:hint="eastAsia"/>
          <w:color w:val="auto"/>
          <w:highlight w:val="none"/>
        </w:rPr>
        <w:t>1、供应商按招标文件要求列出备品、备件、检修工具等。</w:t>
      </w:r>
    </w:p>
    <w:p>
      <w:pPr>
        <w:pStyle w:val="2"/>
        <w:spacing w:line="360" w:lineRule="auto"/>
        <w:ind w:firstLine="0"/>
        <w:rPr>
          <w:color w:val="auto"/>
          <w:highlight w:val="none"/>
        </w:rPr>
      </w:pPr>
      <w:r>
        <w:rPr>
          <w:rFonts w:hint="eastAsia"/>
          <w:color w:val="auto"/>
          <w:highlight w:val="none"/>
        </w:rPr>
        <w:t>2、此表在不改变表式的情况下，可自行制作。</w:t>
      </w:r>
    </w:p>
    <w:p>
      <w:pPr>
        <w:pStyle w:val="2"/>
        <w:spacing w:line="360" w:lineRule="auto"/>
        <w:ind w:firstLine="0"/>
        <w:rPr>
          <w:color w:val="auto"/>
          <w:highlight w:val="none"/>
        </w:rPr>
      </w:pPr>
    </w:p>
    <w:p>
      <w:pPr>
        <w:pStyle w:val="2"/>
        <w:spacing w:line="360" w:lineRule="auto"/>
        <w:ind w:firstLine="0"/>
        <w:rPr>
          <w:color w:val="auto"/>
          <w:szCs w:val="21"/>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附件8：</w:t>
      </w:r>
    </w:p>
    <w:p>
      <w:pPr>
        <w:spacing w:line="360" w:lineRule="auto"/>
        <w:jc w:val="center"/>
        <w:rPr>
          <w:b/>
          <w:bCs/>
          <w:color w:val="auto"/>
          <w:sz w:val="32"/>
          <w:szCs w:val="32"/>
          <w:highlight w:val="none"/>
        </w:rPr>
      </w:pPr>
      <w:r>
        <w:rPr>
          <w:rFonts w:hint="eastAsia"/>
          <w:b/>
          <w:bCs/>
          <w:color w:val="auto"/>
          <w:sz w:val="32"/>
          <w:szCs w:val="32"/>
          <w:highlight w:val="none"/>
        </w:rPr>
        <w:t>中小企业声明函（货物）</w:t>
      </w:r>
    </w:p>
    <w:p>
      <w:pPr>
        <w:spacing w:line="360" w:lineRule="auto"/>
        <w:rPr>
          <w:color w:val="auto"/>
          <w:sz w:val="24"/>
          <w:szCs w:val="24"/>
          <w:highlight w:val="none"/>
        </w:rPr>
      </w:pPr>
    </w:p>
    <w:p>
      <w:pPr>
        <w:spacing w:line="360" w:lineRule="auto"/>
        <w:ind w:firstLine="420" w:firstLineChars="200"/>
        <w:rPr>
          <w:color w:val="auto"/>
          <w:szCs w:val="21"/>
          <w:highlight w:val="none"/>
        </w:rPr>
      </w:pPr>
      <w:r>
        <w:rPr>
          <w:rFonts w:hint="eastAsia"/>
          <w:color w:val="auto"/>
          <w:szCs w:val="21"/>
          <w:highlight w:val="none"/>
        </w:rPr>
        <w:t>本公司（联合体）郑重声明，根据《政府采购促进中小企业发展管理办法》（财库﹝2020﹞46 号）的规定，本公司（联合体）参加</w:t>
      </w:r>
      <w:r>
        <w:rPr>
          <w:rStyle w:val="16"/>
          <w:rFonts w:hint="eastAsia"/>
          <w:color w:val="000000"/>
          <w:sz w:val="21"/>
          <w:szCs w:val="21"/>
          <w:u w:val="single"/>
        </w:rPr>
        <w:t>宁波市北仑区公共项目建设管理中心</w:t>
      </w:r>
      <w:r>
        <w:rPr>
          <w:rFonts w:hint="eastAsia"/>
          <w:color w:val="auto"/>
          <w:szCs w:val="21"/>
          <w:highlight w:val="none"/>
        </w:rPr>
        <w:t>的</w:t>
      </w:r>
      <w:r>
        <w:rPr>
          <w:rFonts w:hint="eastAsia"/>
          <w:color w:val="auto"/>
          <w:szCs w:val="21"/>
          <w:highlight w:val="none"/>
          <w:u w:val="single"/>
        </w:rPr>
        <w:t>淮河小学东校区新建工程智能化采购项目</w:t>
      </w:r>
      <w:r>
        <w:rPr>
          <w:rFonts w:hint="eastAsia"/>
          <w:color w:val="auto"/>
          <w:szCs w:val="21"/>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rPr>
          <w:color w:val="auto"/>
          <w:szCs w:val="21"/>
          <w:highlight w:val="none"/>
        </w:rPr>
      </w:pPr>
      <w:r>
        <w:rPr>
          <w:rFonts w:hint="eastAsia"/>
          <w:color w:val="auto"/>
          <w:szCs w:val="21"/>
          <w:highlight w:val="none"/>
        </w:rPr>
        <w:t xml:space="preserve">1. </w:t>
      </w:r>
      <w:r>
        <w:rPr>
          <w:rFonts w:hint="eastAsia"/>
          <w:color w:val="auto"/>
          <w:szCs w:val="21"/>
          <w:highlight w:val="none"/>
          <w:u w:val="single"/>
        </w:rPr>
        <w:t>（标的名称）</w:t>
      </w:r>
      <w:r>
        <w:rPr>
          <w:rFonts w:hint="eastAsia"/>
          <w:color w:val="auto"/>
          <w:szCs w:val="21"/>
          <w:highlight w:val="none"/>
          <w:u w:val="single"/>
          <w:lang w:val="en-US" w:eastAsia="zh-CN"/>
        </w:rPr>
        <w:t xml:space="preserve">     </w:t>
      </w:r>
      <w:r>
        <w:rPr>
          <w:rFonts w:hint="eastAsia"/>
          <w:color w:val="auto"/>
          <w:szCs w:val="21"/>
          <w:highlight w:val="none"/>
        </w:rPr>
        <w:t xml:space="preserve"> ，属于</w:t>
      </w:r>
      <w:r>
        <w:rPr>
          <w:rFonts w:hint="eastAsia"/>
          <w:color w:val="auto"/>
          <w:szCs w:val="21"/>
          <w:highlight w:val="none"/>
          <w:u w:val="single"/>
        </w:rPr>
        <w:t xml:space="preserve"> 工业 </w:t>
      </w:r>
      <w:r>
        <w:rPr>
          <w:rFonts w:hint="eastAsia"/>
          <w:color w:val="auto"/>
          <w:szCs w:val="21"/>
          <w:highlight w:val="none"/>
        </w:rPr>
        <w:t>行业；制造商为</w:t>
      </w:r>
      <w:r>
        <w:rPr>
          <w:rFonts w:hint="eastAsia"/>
          <w:color w:val="auto"/>
          <w:szCs w:val="21"/>
          <w:highlight w:val="none"/>
          <w:u w:val="single"/>
        </w:rPr>
        <w:t>（企业名称）</w:t>
      </w:r>
      <w:r>
        <w:rPr>
          <w:rFonts w:hint="eastAsia"/>
          <w:color w:val="auto"/>
          <w:szCs w:val="21"/>
          <w:highlight w:val="none"/>
        </w:rPr>
        <w:t>，从业人员</w:t>
      </w:r>
      <w:r>
        <w:rPr>
          <w:rFonts w:hint="eastAsia"/>
          <w:color w:val="auto"/>
          <w:szCs w:val="21"/>
          <w:highlight w:val="none"/>
          <w:u w:val="single"/>
        </w:rPr>
        <w:t xml:space="preserve">     </w:t>
      </w:r>
      <w:r>
        <w:rPr>
          <w:rFonts w:hint="eastAsia"/>
          <w:color w:val="auto"/>
          <w:szCs w:val="21"/>
          <w:highlight w:val="none"/>
        </w:rPr>
        <w:t>人，营业收入为</w:t>
      </w:r>
      <w:r>
        <w:rPr>
          <w:rFonts w:hint="eastAsia"/>
          <w:color w:val="auto"/>
          <w:szCs w:val="21"/>
          <w:highlight w:val="none"/>
          <w:u w:val="single"/>
        </w:rPr>
        <w:t xml:space="preserve">      </w:t>
      </w:r>
      <w:r>
        <w:rPr>
          <w:rFonts w:hint="eastAsia"/>
          <w:color w:val="auto"/>
          <w:szCs w:val="21"/>
          <w:highlight w:val="none"/>
        </w:rPr>
        <w:t>万元，资产总额为</w:t>
      </w:r>
      <w:r>
        <w:rPr>
          <w:rFonts w:hint="eastAsia"/>
          <w:color w:val="auto"/>
          <w:szCs w:val="21"/>
          <w:highlight w:val="none"/>
          <w:u w:val="single"/>
        </w:rPr>
        <w:t xml:space="preserve">        </w:t>
      </w:r>
      <w:r>
        <w:rPr>
          <w:rFonts w:hint="eastAsia"/>
          <w:color w:val="auto"/>
          <w:szCs w:val="21"/>
          <w:highlight w:val="none"/>
        </w:rPr>
        <w:t>万元，属于</w:t>
      </w:r>
      <w:r>
        <w:rPr>
          <w:rFonts w:hint="eastAsia"/>
          <w:color w:val="auto"/>
          <w:szCs w:val="21"/>
          <w:highlight w:val="none"/>
          <w:u w:val="single"/>
        </w:rPr>
        <w:t>（中型企业、小型企业、微型企业）</w:t>
      </w:r>
      <w:r>
        <w:rPr>
          <w:rFonts w:hint="eastAsia"/>
          <w:color w:val="auto"/>
          <w:szCs w:val="21"/>
          <w:highlight w:val="none"/>
          <w:u w:val="single"/>
          <w:lang w:val="en-US" w:eastAsia="zh-CN"/>
        </w:rPr>
        <w:t xml:space="preserve">            </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 xml:space="preserve">2.  </w:t>
      </w:r>
      <w:r>
        <w:rPr>
          <w:rFonts w:hint="eastAsia"/>
          <w:color w:val="auto"/>
          <w:szCs w:val="21"/>
          <w:highlight w:val="none"/>
          <w:u w:val="single"/>
        </w:rPr>
        <w:t>（标的名称）</w:t>
      </w:r>
      <w:r>
        <w:rPr>
          <w:rFonts w:hint="eastAsia"/>
          <w:color w:val="auto"/>
          <w:szCs w:val="21"/>
          <w:highlight w:val="none"/>
          <w:u w:val="single"/>
          <w:lang w:val="en-US" w:eastAsia="zh-CN"/>
        </w:rPr>
        <w:t xml:space="preserve">      </w:t>
      </w:r>
      <w:r>
        <w:rPr>
          <w:rFonts w:hint="eastAsia"/>
          <w:color w:val="auto"/>
          <w:szCs w:val="21"/>
          <w:highlight w:val="none"/>
        </w:rPr>
        <w:t xml:space="preserve"> ，属于</w:t>
      </w:r>
      <w:r>
        <w:rPr>
          <w:rFonts w:hint="eastAsia"/>
          <w:color w:val="auto"/>
          <w:szCs w:val="21"/>
          <w:highlight w:val="none"/>
          <w:u w:val="single"/>
        </w:rPr>
        <w:t>（采购文件中明确的所属行业）</w:t>
      </w:r>
      <w:r>
        <w:rPr>
          <w:rFonts w:hint="eastAsia"/>
          <w:color w:val="auto"/>
          <w:szCs w:val="21"/>
          <w:highlight w:val="none"/>
        </w:rPr>
        <w:t>行业；制造商为</w:t>
      </w:r>
      <w:r>
        <w:rPr>
          <w:rFonts w:hint="eastAsia"/>
          <w:color w:val="auto"/>
          <w:szCs w:val="21"/>
          <w:highlight w:val="none"/>
          <w:u w:val="single"/>
        </w:rPr>
        <w:t>（企业名称）</w:t>
      </w:r>
      <w:r>
        <w:rPr>
          <w:rFonts w:hint="eastAsia"/>
          <w:color w:val="auto"/>
          <w:szCs w:val="21"/>
          <w:highlight w:val="none"/>
        </w:rPr>
        <w:t>，从业人员</w:t>
      </w:r>
      <w:r>
        <w:rPr>
          <w:rFonts w:hint="eastAsia"/>
          <w:color w:val="auto"/>
          <w:szCs w:val="21"/>
          <w:highlight w:val="none"/>
          <w:u w:val="single"/>
        </w:rPr>
        <w:t xml:space="preserve">      </w:t>
      </w:r>
      <w:r>
        <w:rPr>
          <w:rFonts w:hint="eastAsia"/>
          <w:color w:val="auto"/>
          <w:szCs w:val="21"/>
          <w:highlight w:val="none"/>
        </w:rPr>
        <w:t>人，营业收入为</w:t>
      </w:r>
      <w:r>
        <w:rPr>
          <w:rFonts w:hint="eastAsia"/>
          <w:color w:val="auto"/>
          <w:szCs w:val="21"/>
          <w:highlight w:val="none"/>
          <w:u w:val="single"/>
        </w:rPr>
        <w:t xml:space="preserve">       </w:t>
      </w:r>
      <w:r>
        <w:rPr>
          <w:rFonts w:hint="eastAsia"/>
          <w:color w:val="auto"/>
          <w:szCs w:val="21"/>
          <w:highlight w:val="none"/>
        </w:rPr>
        <w:t>万元，资产总额为</w:t>
      </w:r>
      <w:r>
        <w:rPr>
          <w:rFonts w:hint="eastAsia"/>
          <w:color w:val="auto"/>
          <w:szCs w:val="21"/>
          <w:highlight w:val="none"/>
          <w:u w:val="single"/>
        </w:rPr>
        <w:t xml:space="preserve">       </w:t>
      </w:r>
      <w:r>
        <w:rPr>
          <w:rFonts w:hint="eastAsia"/>
          <w:color w:val="auto"/>
          <w:szCs w:val="21"/>
          <w:highlight w:val="none"/>
        </w:rPr>
        <w:t>万元，属于</w:t>
      </w:r>
      <w:r>
        <w:rPr>
          <w:rFonts w:hint="eastAsia"/>
          <w:color w:val="auto"/>
          <w:szCs w:val="21"/>
          <w:highlight w:val="none"/>
          <w:u w:val="single"/>
        </w:rPr>
        <w:t>（中型企业、小型企业、微型企业）</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以上企业，不属于大企业的分支机构，不存在控股股东为大企业的情形，也不存在与大企业的负责人为同一人的情形。</w:t>
      </w:r>
    </w:p>
    <w:p>
      <w:pPr>
        <w:spacing w:line="360" w:lineRule="auto"/>
        <w:ind w:firstLine="420" w:firstLineChars="200"/>
        <w:rPr>
          <w:color w:val="auto"/>
          <w:szCs w:val="21"/>
          <w:highlight w:val="none"/>
        </w:rPr>
      </w:pPr>
      <w:r>
        <w:rPr>
          <w:rFonts w:hint="eastAsia"/>
          <w:color w:val="auto"/>
          <w:szCs w:val="21"/>
          <w:highlight w:val="none"/>
        </w:rPr>
        <w:t>本企业对上述声明内容的真实性负责。如有虚假，将依法承担相应责任。</w:t>
      </w:r>
    </w:p>
    <w:p>
      <w:pPr>
        <w:spacing w:line="360" w:lineRule="auto"/>
        <w:ind w:firstLine="5250" w:firstLineChars="2500"/>
        <w:rPr>
          <w:color w:val="auto"/>
          <w:szCs w:val="21"/>
          <w:highlight w:val="none"/>
        </w:rPr>
      </w:pPr>
    </w:p>
    <w:p>
      <w:pPr>
        <w:spacing w:line="360" w:lineRule="auto"/>
        <w:ind w:firstLine="3990" w:firstLineChars="1900"/>
        <w:rPr>
          <w:color w:val="auto"/>
          <w:szCs w:val="21"/>
          <w:highlight w:val="none"/>
        </w:rPr>
      </w:pPr>
      <w:r>
        <w:rPr>
          <w:rFonts w:hint="eastAsia"/>
          <w:color w:val="auto"/>
          <w:szCs w:val="21"/>
          <w:highlight w:val="none"/>
        </w:rPr>
        <w:t>企业名称（盖章）：</w:t>
      </w:r>
    </w:p>
    <w:p>
      <w:pPr>
        <w:spacing w:line="360" w:lineRule="auto"/>
        <w:ind w:firstLine="3990" w:firstLineChars="1900"/>
        <w:rPr>
          <w:color w:val="auto"/>
          <w:szCs w:val="21"/>
          <w:highlight w:val="none"/>
        </w:rPr>
      </w:pPr>
      <w:r>
        <w:rPr>
          <w:rFonts w:hint="eastAsia"/>
          <w:color w:val="auto"/>
          <w:szCs w:val="21"/>
          <w:highlight w:val="none"/>
        </w:rPr>
        <w:t>日 期：</w:t>
      </w:r>
    </w:p>
    <w:p>
      <w:pPr>
        <w:spacing w:line="360" w:lineRule="auto"/>
        <w:rPr>
          <w:color w:val="auto"/>
          <w:sz w:val="24"/>
          <w:szCs w:val="24"/>
          <w:highlight w:val="none"/>
        </w:rPr>
      </w:pPr>
    </w:p>
    <w:p>
      <w:pPr>
        <w:spacing w:line="360" w:lineRule="auto"/>
        <w:rPr>
          <w:color w:val="auto"/>
          <w:szCs w:val="21"/>
          <w:highlight w:val="none"/>
        </w:rPr>
      </w:pPr>
    </w:p>
    <w:p>
      <w:pPr>
        <w:spacing w:line="360" w:lineRule="auto"/>
        <w:rPr>
          <w:color w:val="auto"/>
          <w:szCs w:val="21"/>
          <w:highlight w:val="none"/>
        </w:rPr>
      </w:pPr>
      <w:r>
        <w:rPr>
          <w:rFonts w:hint="eastAsia"/>
          <w:color w:val="auto"/>
          <w:szCs w:val="21"/>
          <w:highlight w:val="none"/>
        </w:rPr>
        <w:t>注：从业人员、营业收入、资产总额填报上一年度数据，无上一年度数据的新成立企业可不填报。</w:t>
      </w:r>
    </w:p>
    <w:p>
      <w:pPr>
        <w:rPr>
          <w:color w:val="auto"/>
          <w:szCs w:val="21"/>
          <w:highlight w:val="none"/>
        </w:rPr>
      </w:pPr>
    </w:p>
    <w:p>
      <w:pPr>
        <w:pStyle w:val="36"/>
        <w:ind w:left="0" w:firstLine="0"/>
        <w:rPr>
          <w:rFonts w:hAnsi="宋体"/>
          <w:color w:val="auto"/>
          <w:sz w:val="18"/>
          <w:szCs w:val="18"/>
          <w:highlight w:val="none"/>
        </w:rPr>
      </w:pPr>
      <w:r>
        <w:rPr>
          <w:rFonts w:hAnsi="宋体" w:cs="宋体"/>
          <w:color w:val="auto"/>
          <w:sz w:val="18"/>
          <w:szCs w:val="18"/>
          <w:highlight w:val="none"/>
        </w:rPr>
        <w:t>风险提示：</w:t>
      </w:r>
      <w:r>
        <w:rPr>
          <w:rFonts w:hAnsi="宋体" w:cs="宋体"/>
          <w:color w:val="auto"/>
          <w:sz w:val="18"/>
          <w:szCs w:val="18"/>
          <w:highlight w:val="none"/>
        </w:rPr>
        <w:br w:type="textWrapping"/>
      </w:r>
      <w:r>
        <w:rPr>
          <w:rFonts w:hAnsi="宋体" w:cs="宋体"/>
          <w:color w:val="auto"/>
          <w:sz w:val="18"/>
          <w:szCs w:val="18"/>
          <w:highlight w:val="none"/>
        </w:rPr>
        <w:t>1.对于非面向联合体的项目，在货物采购项目中，供应商提供的货物既有中型企业制造，也有小微企业制造的，不享受办法规定的小微企业扶持政策。</w:t>
      </w:r>
      <w:r>
        <w:rPr>
          <w:rFonts w:hAnsi="宋体" w:cs="宋体"/>
          <w:color w:val="auto"/>
          <w:sz w:val="18"/>
          <w:szCs w:val="18"/>
          <w:highlight w:val="none"/>
        </w:rPr>
        <w:br w:type="textWrapping"/>
      </w:r>
      <w:r>
        <w:rPr>
          <w:rFonts w:hAnsi="宋体" w:cs="宋体"/>
          <w:color w:val="auto"/>
          <w:sz w:val="18"/>
          <w:szCs w:val="18"/>
          <w:highlight w:val="none"/>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jc w:val="center"/>
        <w:rPr>
          <w:rFonts w:ascii="宋体" w:hAnsi="宋体" w:cs="宋体"/>
          <w:b/>
          <w:color w:val="auto"/>
          <w:sz w:val="30"/>
          <w:szCs w:val="30"/>
          <w:highlight w:val="none"/>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color w:val="auto"/>
          <w:highlight w:val="none"/>
        </w:rPr>
      </w:pPr>
      <w:r>
        <w:rPr>
          <w:rFonts w:hint="eastAsia" w:ascii="宋体" w:hAnsi="宋体"/>
          <w:color w:val="auto"/>
          <w:highlight w:val="none"/>
        </w:rPr>
        <w:t>附件9：</w:t>
      </w:r>
    </w:p>
    <w:p>
      <w:pPr>
        <w:spacing w:line="360" w:lineRule="auto"/>
        <w:rPr>
          <w:rFonts w:ascii="宋体" w:hAnsi="宋体"/>
          <w:color w:val="auto"/>
          <w:highlight w:val="none"/>
        </w:rPr>
      </w:pPr>
    </w:p>
    <w:p>
      <w:pPr>
        <w:spacing w:line="360" w:lineRule="auto"/>
        <w:jc w:val="center"/>
        <w:rPr>
          <w:rFonts w:ascii="宋体" w:hAnsi="宋体" w:cs="宋体"/>
          <w:b/>
          <w:color w:val="auto"/>
          <w:sz w:val="30"/>
          <w:szCs w:val="30"/>
          <w:highlight w:val="none"/>
        </w:rPr>
      </w:pPr>
      <w:bookmarkStart w:id="35" w:name="OLE_LINK13"/>
      <w:bookmarkStart w:id="36" w:name="OLE_LINK14"/>
      <w:r>
        <w:rPr>
          <w:rFonts w:hint="eastAsia" w:ascii="宋体" w:hAnsi="宋体" w:cs="宋体"/>
          <w:b/>
          <w:color w:val="auto"/>
          <w:sz w:val="30"/>
          <w:szCs w:val="30"/>
          <w:highlight w:val="none"/>
        </w:rPr>
        <w:t>残疾人福利性单位声明函</w:t>
      </w:r>
    </w:p>
    <w:bookmarkEnd w:id="35"/>
    <w:bookmarkEnd w:id="36"/>
    <w:p>
      <w:pPr>
        <w:spacing w:line="588" w:lineRule="exact"/>
        <w:rPr>
          <w:rFonts w:ascii="宋体" w:hAnsi="宋体" w:cs="宋体"/>
          <w:b/>
          <w:color w:val="auto"/>
          <w:spacing w:val="6"/>
          <w:szCs w:val="21"/>
          <w:highlight w:val="none"/>
        </w:rPr>
      </w:pPr>
    </w:p>
    <w:p>
      <w:pPr>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w:t>
      </w:r>
      <w:r>
        <w:rPr>
          <w:rStyle w:val="16"/>
          <w:rFonts w:hint="eastAsia"/>
          <w:color w:val="000000"/>
          <w:sz w:val="21"/>
          <w:szCs w:val="21"/>
          <w:u w:val="single"/>
        </w:rPr>
        <w:t>宁波市北仑区公共项目建设管理中心</w:t>
      </w:r>
      <w:r>
        <w:rPr>
          <w:rFonts w:hint="eastAsia"/>
          <w:color w:val="auto"/>
          <w:szCs w:val="21"/>
          <w:highlight w:val="none"/>
        </w:rPr>
        <w:t>的</w:t>
      </w:r>
      <w:r>
        <w:rPr>
          <w:rFonts w:hint="eastAsia"/>
          <w:color w:val="auto"/>
          <w:szCs w:val="21"/>
          <w:highlight w:val="none"/>
          <w:u w:val="single"/>
        </w:rPr>
        <w:t>淮河小学东校区新建工程智能化采购</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spacing w:line="588" w:lineRule="exact"/>
        <w:ind w:firstLine="444" w:firstLineChars="200"/>
        <w:rPr>
          <w:rFonts w:ascii="宋体" w:hAnsi="宋体" w:cs="宋体"/>
          <w:color w:val="auto"/>
          <w:spacing w:val="6"/>
          <w:szCs w:val="21"/>
          <w:highlight w:val="none"/>
        </w:rPr>
      </w:pPr>
    </w:p>
    <w:p>
      <w:pPr>
        <w:spacing w:line="588" w:lineRule="exact"/>
        <w:ind w:firstLine="444" w:firstLineChars="200"/>
        <w:rPr>
          <w:rFonts w:ascii="宋体" w:hAnsi="宋体" w:cs="宋体"/>
          <w:color w:val="auto"/>
          <w:spacing w:val="6"/>
          <w:szCs w:val="21"/>
          <w:highlight w:val="none"/>
        </w:rPr>
      </w:pPr>
    </w:p>
    <w:p>
      <w:pPr>
        <w:spacing w:line="360" w:lineRule="auto"/>
        <w:ind w:firstLine="5106" w:firstLineChars="2300"/>
        <w:rPr>
          <w:rFonts w:ascii="宋体" w:hAnsi="宋体" w:cs="宋体"/>
          <w:color w:val="auto"/>
          <w:highlight w:val="none"/>
        </w:rPr>
      </w:pPr>
      <w:r>
        <w:rPr>
          <w:rFonts w:hint="eastAsia" w:ascii="宋体" w:hAnsi="宋体" w:cs="宋体"/>
          <w:color w:val="auto"/>
          <w:spacing w:val="6"/>
          <w:szCs w:val="21"/>
          <w:highlight w:val="none"/>
        </w:rPr>
        <w:t xml:space="preserve">       </w:t>
      </w:r>
      <w:r>
        <w:rPr>
          <w:rFonts w:hint="eastAsia" w:ascii="宋体" w:hAnsi="宋体" w:cs="宋体"/>
          <w:color w:val="auto"/>
          <w:highlight w:val="none"/>
        </w:rPr>
        <w:t>投标人（盖公章）：</w:t>
      </w:r>
    </w:p>
    <w:p>
      <w:pPr>
        <w:tabs>
          <w:tab w:val="left" w:pos="4860"/>
        </w:tabs>
        <w:spacing w:line="588" w:lineRule="exact"/>
        <w:ind w:right="1560" w:firstLine="420" w:firstLineChars="200"/>
        <w:jc w:val="center"/>
        <w:rPr>
          <w:rFonts w:ascii="宋体" w:hAnsi="宋体" w:cs="宋体"/>
          <w:color w:val="auto"/>
          <w:spacing w:val="6"/>
          <w:szCs w:val="21"/>
          <w:highlight w:val="none"/>
        </w:rPr>
      </w:pPr>
      <w:r>
        <w:rPr>
          <w:rFonts w:hint="eastAsia" w:ascii="宋体" w:hAnsi="宋体" w:cs="宋体"/>
          <w:color w:val="auto"/>
          <w:highlight w:val="none"/>
        </w:rPr>
        <w:t xml:space="preserve">                                              日期：</w:t>
      </w:r>
    </w:p>
    <w:p>
      <w:pPr>
        <w:spacing w:line="588" w:lineRule="exact"/>
        <w:ind w:firstLine="444" w:firstLineChars="200"/>
        <w:rPr>
          <w:rFonts w:ascii="宋体" w:hAnsi="宋体" w:cs="宋体"/>
          <w:color w:val="auto"/>
          <w:spacing w:val="6"/>
          <w:szCs w:val="21"/>
          <w:highlight w:val="none"/>
        </w:rPr>
      </w:pPr>
    </w:p>
    <w:p>
      <w:pPr>
        <w:spacing w:line="360" w:lineRule="auto"/>
        <w:rPr>
          <w:rFonts w:ascii="宋体" w:hAnsi="宋体"/>
          <w:color w:val="auto"/>
          <w:highlight w:val="none"/>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color w:val="auto"/>
          <w:highlight w:val="none"/>
        </w:rPr>
      </w:pPr>
      <w:r>
        <w:rPr>
          <w:rFonts w:hint="eastAsia" w:ascii="宋体" w:hAnsi="宋体"/>
          <w:color w:val="auto"/>
          <w:highlight w:val="none"/>
        </w:rPr>
        <w:t>附件10：</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投标人符合性自查表</w:t>
      </w:r>
    </w:p>
    <w:p>
      <w:pPr>
        <w:jc w:val="center"/>
        <w:rPr>
          <w:rFonts w:ascii="宋体" w:hAnsi="宋体" w:cs="宋体"/>
          <w:b/>
          <w:color w:val="auto"/>
          <w:highlight w:val="none"/>
        </w:rPr>
      </w:pPr>
    </w:p>
    <w:tbl>
      <w:tblPr>
        <w:tblStyle w:val="13"/>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评审内容</w:t>
            </w:r>
          </w:p>
        </w:tc>
        <w:tc>
          <w:tcPr>
            <w:tcW w:w="4221" w:type="dxa"/>
            <w:tcBorders>
              <w:top w:val="single" w:color="auto" w:sz="12" w:space="0"/>
              <w:left w:val="outset" w:color="111111" w:sz="6" w:space="0"/>
              <w:bottom w:val="outset" w:color="111111" w:sz="6" w:space="0"/>
              <w:right w:val="outset" w:color="111111" w:sz="6" w:space="0"/>
            </w:tcBorders>
            <w:noWrap w:val="0"/>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招标文件要求</w:t>
            </w:r>
          </w:p>
        </w:tc>
        <w:tc>
          <w:tcPr>
            <w:tcW w:w="1270" w:type="dxa"/>
            <w:tcBorders>
              <w:top w:val="single" w:color="auto" w:sz="12" w:space="0"/>
              <w:left w:val="outset" w:color="111111" w:sz="6" w:space="0"/>
              <w:bottom w:val="outset" w:color="111111" w:sz="6" w:space="0"/>
              <w:right w:val="outset" w:color="111111" w:sz="6" w:space="0"/>
            </w:tcBorders>
            <w:noWrap w:val="0"/>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自查结论</w:t>
            </w:r>
          </w:p>
        </w:tc>
        <w:tc>
          <w:tcPr>
            <w:tcW w:w="2461" w:type="dxa"/>
            <w:tcBorders>
              <w:top w:val="single" w:color="auto" w:sz="12" w:space="0"/>
              <w:left w:val="outset" w:color="111111" w:sz="6" w:space="0"/>
              <w:bottom w:val="outset" w:color="111111" w:sz="6" w:space="0"/>
              <w:right w:val="single" w:color="auto" w:sz="12" w:space="0"/>
            </w:tcBorders>
            <w:noWrap w:val="0"/>
            <w:vAlign w:val="center"/>
          </w:tcPr>
          <w:p>
            <w:pPr>
              <w:spacing w:line="240" w:lineRule="exact"/>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符</w:t>
            </w:r>
          </w:p>
          <w:p>
            <w:pPr>
              <w:spacing w:line="240" w:lineRule="exact"/>
              <w:rPr>
                <w:rFonts w:ascii="宋体" w:hAnsi="宋体" w:cs="宋体"/>
                <w:color w:val="auto"/>
                <w:highlight w:val="none"/>
              </w:rPr>
            </w:pPr>
            <w:r>
              <w:rPr>
                <w:rFonts w:hint="eastAsia" w:ascii="宋体" w:hAnsi="宋体" w:cs="宋体"/>
                <w:color w:val="auto"/>
                <w:highlight w:val="none"/>
              </w:rPr>
              <w:t>合</w:t>
            </w:r>
          </w:p>
          <w:p>
            <w:pPr>
              <w:spacing w:line="240" w:lineRule="exact"/>
              <w:rPr>
                <w:rFonts w:ascii="宋体" w:hAnsi="宋体" w:cs="宋体"/>
                <w:color w:val="auto"/>
                <w:highlight w:val="none"/>
              </w:rPr>
            </w:pPr>
            <w:r>
              <w:rPr>
                <w:rFonts w:hint="eastAsia" w:ascii="宋体" w:hAnsi="宋体" w:cs="宋体"/>
                <w:color w:val="auto"/>
                <w:highlight w:val="none"/>
              </w:rPr>
              <w:t>性</w:t>
            </w:r>
          </w:p>
          <w:p>
            <w:pPr>
              <w:spacing w:line="240" w:lineRule="exact"/>
              <w:rPr>
                <w:rFonts w:ascii="宋体" w:hAnsi="宋体" w:cs="宋体"/>
                <w:color w:val="auto"/>
                <w:highlight w:val="none"/>
              </w:rPr>
            </w:pPr>
            <w:r>
              <w:rPr>
                <w:rFonts w:hint="eastAsia" w:ascii="宋体" w:hAnsi="宋体" w:cs="宋体"/>
                <w:color w:val="auto"/>
                <w:highlight w:val="none"/>
              </w:rPr>
              <w:t>审</w:t>
            </w:r>
          </w:p>
          <w:p>
            <w:pPr>
              <w:spacing w:line="240" w:lineRule="exact"/>
              <w:rPr>
                <w:rFonts w:ascii="宋体" w:hAnsi="宋体" w:cs="宋体"/>
                <w:color w:val="auto"/>
                <w:highlight w:val="none"/>
              </w:rPr>
            </w:pPr>
            <w:r>
              <w:rPr>
                <w:rFonts w:hint="eastAsia" w:ascii="宋体" w:hAnsi="宋体" w:cs="宋体"/>
                <w:color w:val="auto"/>
                <w:highlight w:val="none"/>
              </w:rPr>
              <w:t>查</w:t>
            </w:r>
          </w:p>
        </w:tc>
        <w:tc>
          <w:tcPr>
            <w:tcW w:w="4221" w:type="dxa"/>
            <w:tcBorders>
              <w:top w:val="outset" w:color="111111" w:sz="6" w:space="0"/>
              <w:left w:val="outset" w:color="111111" w:sz="6" w:space="0"/>
              <w:bottom w:val="single" w:color="auto" w:sz="4"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1、</w:t>
            </w:r>
            <w:r>
              <w:rPr>
                <w:rFonts w:hint="eastAsia" w:hAnsi="宋体" w:cs="宋体"/>
                <w:bCs/>
                <w:color w:val="auto"/>
                <w:szCs w:val="21"/>
                <w:highlight w:val="none"/>
              </w:rPr>
              <w:t>按招标文件要求签署、签章的；</w:t>
            </w:r>
          </w:p>
        </w:tc>
        <w:tc>
          <w:tcPr>
            <w:tcW w:w="1270" w:type="dxa"/>
            <w:tcBorders>
              <w:top w:val="outset" w:color="111111" w:sz="6" w:space="0"/>
              <w:left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single" w:color="auto" w:sz="4"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w:t>
            </w:r>
            <w:r>
              <w:rPr>
                <w:rFonts w:hint="eastAsia" w:ascii="宋体" w:hAnsi="宋体"/>
                <w:color w:val="auto"/>
                <w:szCs w:val="21"/>
                <w:highlight w:val="none"/>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w:t>
            </w:r>
            <w:r>
              <w:rPr>
                <w:rFonts w:hint="eastAsia" w:ascii="宋体" w:hAnsi="宋体"/>
                <w:color w:val="auto"/>
                <w:szCs w:val="21"/>
                <w:highlight w:val="none"/>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w:t>
            </w:r>
            <w:r>
              <w:rPr>
                <w:rFonts w:hint="eastAsia" w:ascii="宋体" w:hAnsi="宋体"/>
                <w:color w:val="auto"/>
                <w:szCs w:val="21"/>
                <w:highlight w:val="none"/>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w:t>
            </w:r>
            <w:r>
              <w:rPr>
                <w:rFonts w:hint="eastAsia" w:ascii="宋体" w:hAnsi="宋体" w:cs="宋体"/>
                <w:color w:val="auto"/>
                <w:szCs w:val="21"/>
                <w:highlight w:val="none"/>
              </w:rPr>
              <w:t>带“★”的条款满足招标文件要求、响应招标文件要求，投标文件无采购方不能接受的附加条件的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 xml:space="preserve">□通过 </w:t>
            </w:r>
          </w:p>
          <w:p>
            <w:pPr>
              <w:spacing w:line="240" w:lineRule="exact"/>
              <w:rPr>
                <w:rFonts w:ascii="宋体" w:hAnsi="宋体" w:cs="宋体"/>
                <w:color w:val="auto"/>
                <w:highlight w:val="none"/>
              </w:rPr>
            </w:pPr>
            <w:r>
              <w:rPr>
                <w:rFonts w:hint="eastAsia" w:ascii="宋体" w:hAnsi="宋体" w:cs="宋体"/>
                <w:color w:val="auto"/>
                <w:highlight w:val="none"/>
              </w:rPr>
              <w:t>□不通过</w:t>
            </w: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szCs w:val="21"/>
                <w:highlight w:val="none"/>
              </w:rPr>
              <w:t>与其他参加本次供应商的投标文件（技术文件）的文字表述内容差错相同3处以下</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8、</w:t>
            </w:r>
            <w:r>
              <w:rPr>
                <w:rFonts w:hint="eastAsia" w:ascii="宋体" w:hAnsi="宋体"/>
                <w:color w:val="auto"/>
                <w:szCs w:val="21"/>
                <w:highlight w:val="none"/>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r>
              <w:rPr>
                <w:rFonts w:hint="eastAsia" w:ascii="宋体" w:hAnsi="宋体" w:cs="宋体"/>
                <w:color w:val="auto"/>
                <w:highlight w:val="none"/>
              </w:rPr>
              <w:t>9、</w:t>
            </w:r>
            <w:r>
              <w:rPr>
                <w:rFonts w:hint="eastAsia" w:ascii="宋体" w:hAnsi="宋体"/>
                <w:color w:val="auto"/>
                <w:szCs w:val="21"/>
                <w:highlight w:val="none"/>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pPr>
              <w:spacing w:line="240" w:lineRule="exact"/>
              <w:rPr>
                <w:rFonts w:ascii="宋体" w:hAnsi="宋体" w:cs="宋体"/>
                <w:color w:val="auto"/>
                <w:highlight w:val="none"/>
              </w:rPr>
            </w:pPr>
          </w:p>
        </w:tc>
        <w:tc>
          <w:tcPr>
            <w:tcW w:w="2461" w:type="dxa"/>
            <w:tcBorders>
              <w:top w:val="outset" w:color="111111" w:sz="6" w:space="0"/>
              <w:left w:val="outset" w:color="111111" w:sz="6" w:space="0"/>
              <w:bottom w:val="outset" w:color="111111" w:sz="6" w:space="0"/>
              <w:right w:val="single" w:color="auto" w:sz="12" w:space="0"/>
            </w:tcBorders>
            <w:noWrap w:val="0"/>
            <w:vAlign w:val="center"/>
          </w:tcPr>
          <w:p>
            <w:pPr>
              <w:spacing w:line="240" w:lineRule="exact"/>
              <w:rPr>
                <w:rFonts w:ascii="宋体" w:hAnsi="宋体" w:cs="宋体"/>
                <w:color w:val="auto"/>
                <w:highlight w:val="none"/>
              </w:rPr>
            </w:pPr>
          </w:p>
        </w:tc>
      </w:tr>
    </w:tbl>
    <w:p>
      <w:pPr>
        <w:adjustRightInd w:val="0"/>
        <w:snapToGrid w:val="0"/>
        <w:spacing w:line="440" w:lineRule="exact"/>
        <w:rPr>
          <w:rFonts w:ascii="宋体" w:hAnsi="宋体"/>
          <w:b/>
          <w:color w:val="auto"/>
          <w:szCs w:val="21"/>
          <w:highlight w:val="none"/>
        </w:rPr>
      </w:pPr>
      <w:r>
        <w:rPr>
          <w:rFonts w:hint="eastAsia" w:ascii="宋体" w:hAnsi="宋体"/>
          <w:b/>
          <w:color w:val="auto"/>
          <w:szCs w:val="21"/>
          <w:highlight w:val="none"/>
        </w:rPr>
        <w:t xml:space="preserve">备注：投标人自查表将作为投标投标人有效性审查的重要内容之一，投标投标人必须严格按照其内容及序列要求在投标文件中对应如实提供。 </w:t>
      </w:r>
    </w:p>
    <w:p>
      <w:pPr>
        <w:spacing w:line="360" w:lineRule="auto"/>
        <w:rPr>
          <w:rFonts w:ascii="宋体" w:hAnsi="宋体"/>
          <w:color w:val="auto"/>
          <w:highlight w:val="none"/>
        </w:rPr>
      </w:pPr>
    </w:p>
    <w:p>
      <w:pPr>
        <w:pStyle w:val="36"/>
        <w:rPr>
          <w:rFonts w:hAnsi="宋体"/>
          <w:color w:val="auto"/>
          <w:highlight w:val="none"/>
        </w:rPr>
      </w:pPr>
    </w:p>
    <w:p>
      <w:pPr>
        <w:pStyle w:val="36"/>
        <w:rPr>
          <w:rFonts w:hAnsi="宋体"/>
          <w:color w:val="auto"/>
          <w:highlight w:val="none"/>
        </w:rPr>
      </w:pPr>
    </w:p>
    <w:p>
      <w:pPr>
        <w:pStyle w:val="36"/>
        <w:rPr>
          <w:rFonts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 xml:space="preserve">附件11： </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技术及服务条款偏离表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690"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3402"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招标文件技术、服务要求</w:t>
            </w:r>
          </w:p>
        </w:tc>
        <w:tc>
          <w:tcPr>
            <w:tcW w:w="3188"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bl>
    <w:p>
      <w:pPr>
        <w:spacing w:line="360" w:lineRule="auto"/>
        <w:rPr>
          <w:b/>
          <w:color w:val="auto"/>
          <w:highlight w:val="none"/>
        </w:rPr>
      </w:pPr>
      <w:r>
        <w:rPr>
          <w:rFonts w:hint="eastAsia"/>
          <w:b/>
          <w:color w:val="auto"/>
          <w:highlight w:val="none"/>
        </w:rPr>
        <w:t>说明：</w:t>
      </w:r>
    </w:p>
    <w:p>
      <w:pPr>
        <w:pStyle w:val="2"/>
        <w:spacing w:line="360" w:lineRule="auto"/>
        <w:ind w:firstLine="0"/>
        <w:rPr>
          <w:color w:val="auto"/>
          <w:highlight w:val="none"/>
        </w:rPr>
      </w:pPr>
      <w:r>
        <w:rPr>
          <w:rFonts w:hint="eastAsia"/>
          <w:color w:val="auto"/>
          <w:highlight w:val="none"/>
        </w:rPr>
        <w:t>1、技术、服务条款内容主要是针对招标文件有关的技术规格、服务要求等内容。</w:t>
      </w:r>
    </w:p>
    <w:p>
      <w:pPr>
        <w:pStyle w:val="2"/>
        <w:spacing w:line="360" w:lineRule="auto"/>
        <w:ind w:firstLine="0"/>
        <w:rPr>
          <w:color w:val="auto"/>
          <w:highlight w:val="none"/>
        </w:rPr>
      </w:pPr>
      <w:r>
        <w:rPr>
          <w:rFonts w:hint="eastAsia"/>
          <w:color w:val="auto"/>
          <w:highlight w:val="none"/>
        </w:rPr>
        <w:t>2、无偏离应在本表“投标文件响应情况”栏注明“无技术及服务条款偏离”的字样。</w:t>
      </w:r>
    </w:p>
    <w:p>
      <w:pPr>
        <w:pStyle w:val="2"/>
        <w:spacing w:line="360" w:lineRule="auto"/>
        <w:ind w:firstLine="0"/>
        <w:rPr>
          <w:color w:val="auto"/>
          <w:highlight w:val="none"/>
        </w:rPr>
      </w:pPr>
    </w:p>
    <w:p>
      <w:pPr>
        <w:pStyle w:val="2"/>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附件12：</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商务条款偏离表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690"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3402"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招标文件商务要求</w:t>
            </w:r>
          </w:p>
        </w:tc>
        <w:tc>
          <w:tcPr>
            <w:tcW w:w="3188" w:type="dxa"/>
            <w:noWrap w:val="0"/>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690"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交付时间</w:t>
            </w: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690"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质保期</w:t>
            </w: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690"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690"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690" w:type="dxa"/>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ascii="宋体" w:hAnsi="宋体"/>
                <w:color w:val="auto"/>
                <w:szCs w:val="21"/>
                <w:highlight w:val="none"/>
              </w:rPr>
            </w:pPr>
          </w:p>
        </w:tc>
        <w:tc>
          <w:tcPr>
            <w:tcW w:w="1690" w:type="dxa"/>
            <w:noWrap w:val="0"/>
            <w:vAlign w:val="center"/>
          </w:tcPr>
          <w:p>
            <w:pPr>
              <w:jc w:val="center"/>
              <w:rPr>
                <w:rFonts w:ascii="宋体" w:hAnsi="宋体"/>
                <w:color w:val="auto"/>
                <w:sz w:val="18"/>
                <w:szCs w:val="18"/>
                <w:highlight w:val="none"/>
              </w:rPr>
            </w:pPr>
          </w:p>
        </w:tc>
        <w:tc>
          <w:tcPr>
            <w:tcW w:w="3402" w:type="dxa"/>
            <w:noWrap w:val="0"/>
            <w:vAlign w:val="center"/>
          </w:tcPr>
          <w:p>
            <w:pPr>
              <w:rPr>
                <w:rFonts w:ascii="宋体" w:hAnsi="宋体"/>
                <w:color w:val="auto"/>
                <w:sz w:val="18"/>
                <w:szCs w:val="18"/>
                <w:highlight w:val="none"/>
              </w:rPr>
            </w:pPr>
          </w:p>
        </w:tc>
        <w:tc>
          <w:tcPr>
            <w:tcW w:w="3188" w:type="dxa"/>
            <w:noWrap w:val="0"/>
            <w:vAlign w:val="center"/>
          </w:tcPr>
          <w:p>
            <w:pPr>
              <w:rPr>
                <w:rFonts w:ascii="宋体" w:hAnsi="宋体"/>
                <w:color w:val="auto"/>
                <w:sz w:val="18"/>
                <w:szCs w:val="18"/>
                <w:highlight w:val="none"/>
              </w:rPr>
            </w:pPr>
          </w:p>
        </w:tc>
      </w:tr>
    </w:tbl>
    <w:p>
      <w:pPr>
        <w:spacing w:line="360" w:lineRule="auto"/>
        <w:rPr>
          <w:b/>
          <w:color w:val="auto"/>
          <w:highlight w:val="none"/>
        </w:rPr>
      </w:pPr>
      <w:r>
        <w:rPr>
          <w:rFonts w:hint="eastAsia"/>
          <w:b/>
          <w:color w:val="auto"/>
          <w:highlight w:val="none"/>
        </w:rPr>
        <w:t>说明：</w:t>
      </w:r>
    </w:p>
    <w:p>
      <w:pPr>
        <w:pStyle w:val="2"/>
        <w:spacing w:line="360" w:lineRule="auto"/>
        <w:ind w:firstLine="0"/>
        <w:rPr>
          <w:color w:val="auto"/>
          <w:highlight w:val="none"/>
        </w:rPr>
      </w:pPr>
      <w:r>
        <w:rPr>
          <w:rFonts w:hint="eastAsia"/>
          <w:color w:val="auto"/>
          <w:highlight w:val="none"/>
        </w:rPr>
        <w:t>1、商务条款内容主要是针对招标文件有关的付款条件、交付期、质保期、合同主要条款等内容。</w:t>
      </w:r>
    </w:p>
    <w:p>
      <w:pPr>
        <w:pStyle w:val="2"/>
        <w:spacing w:line="360" w:lineRule="auto"/>
        <w:ind w:firstLine="0"/>
        <w:rPr>
          <w:color w:val="auto"/>
          <w:highlight w:val="none"/>
        </w:rPr>
      </w:pPr>
      <w:r>
        <w:rPr>
          <w:rFonts w:hint="eastAsia"/>
          <w:color w:val="auto"/>
          <w:highlight w:val="none"/>
        </w:rPr>
        <w:t>2、无偏离应在本表“投标文件响应情况”栏注明“无商务条款偏离”的字样。</w:t>
      </w:r>
    </w:p>
    <w:p>
      <w:pPr>
        <w:pStyle w:val="2"/>
        <w:spacing w:line="360" w:lineRule="auto"/>
        <w:ind w:firstLine="0"/>
        <w:rPr>
          <w:color w:val="auto"/>
          <w:highlight w:val="none"/>
        </w:rPr>
      </w:pPr>
    </w:p>
    <w:p>
      <w:pPr>
        <w:pStyle w:val="2"/>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附件13：</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投标货物（服务）清单</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67"/>
        <w:gridCol w:w="1560"/>
        <w:gridCol w:w="2551"/>
        <w:gridCol w:w="709"/>
        <w:gridCol w:w="7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09" w:type="dxa"/>
            <w:noWrap w:val="0"/>
            <w:vAlign w:val="center"/>
          </w:tcPr>
          <w:p>
            <w:pPr>
              <w:jc w:val="center"/>
              <w:rPr>
                <w:b/>
                <w:color w:val="auto"/>
                <w:szCs w:val="21"/>
                <w:highlight w:val="none"/>
              </w:rPr>
            </w:pPr>
            <w:r>
              <w:rPr>
                <w:rFonts w:hint="eastAsia"/>
                <w:b/>
                <w:color w:val="auto"/>
                <w:szCs w:val="21"/>
                <w:highlight w:val="none"/>
              </w:rPr>
              <w:t>序号</w:t>
            </w:r>
          </w:p>
        </w:tc>
        <w:tc>
          <w:tcPr>
            <w:tcW w:w="1667" w:type="dxa"/>
            <w:noWrap w:val="0"/>
            <w:vAlign w:val="center"/>
          </w:tcPr>
          <w:p>
            <w:pPr>
              <w:jc w:val="center"/>
              <w:rPr>
                <w:b/>
                <w:color w:val="auto"/>
                <w:szCs w:val="21"/>
                <w:highlight w:val="none"/>
              </w:rPr>
            </w:pPr>
            <w:r>
              <w:rPr>
                <w:rFonts w:hint="eastAsia"/>
                <w:b/>
                <w:color w:val="auto"/>
                <w:szCs w:val="21"/>
                <w:highlight w:val="none"/>
              </w:rPr>
              <w:t>名称</w:t>
            </w:r>
          </w:p>
        </w:tc>
        <w:tc>
          <w:tcPr>
            <w:tcW w:w="1560" w:type="dxa"/>
            <w:noWrap w:val="0"/>
            <w:vAlign w:val="center"/>
          </w:tcPr>
          <w:p>
            <w:pPr>
              <w:jc w:val="center"/>
              <w:rPr>
                <w:b/>
                <w:color w:val="auto"/>
                <w:szCs w:val="21"/>
                <w:highlight w:val="none"/>
              </w:rPr>
            </w:pPr>
            <w:r>
              <w:rPr>
                <w:rFonts w:hint="eastAsia"/>
                <w:b/>
                <w:color w:val="auto"/>
                <w:szCs w:val="21"/>
                <w:highlight w:val="none"/>
              </w:rPr>
              <w:t>规格、型号</w:t>
            </w:r>
          </w:p>
        </w:tc>
        <w:tc>
          <w:tcPr>
            <w:tcW w:w="2551" w:type="dxa"/>
            <w:noWrap w:val="0"/>
            <w:vAlign w:val="center"/>
          </w:tcPr>
          <w:p>
            <w:pPr>
              <w:jc w:val="center"/>
              <w:rPr>
                <w:b/>
                <w:color w:val="auto"/>
                <w:szCs w:val="21"/>
                <w:highlight w:val="none"/>
              </w:rPr>
            </w:pPr>
            <w:r>
              <w:rPr>
                <w:rFonts w:hint="eastAsia"/>
                <w:b/>
                <w:color w:val="auto"/>
                <w:szCs w:val="21"/>
                <w:highlight w:val="none"/>
              </w:rPr>
              <w:t>主要性能参数</w:t>
            </w:r>
          </w:p>
        </w:tc>
        <w:tc>
          <w:tcPr>
            <w:tcW w:w="709" w:type="dxa"/>
            <w:noWrap w:val="0"/>
            <w:vAlign w:val="center"/>
          </w:tcPr>
          <w:p>
            <w:pPr>
              <w:jc w:val="center"/>
              <w:rPr>
                <w:b/>
                <w:color w:val="auto"/>
                <w:szCs w:val="21"/>
                <w:highlight w:val="none"/>
              </w:rPr>
            </w:pPr>
            <w:r>
              <w:rPr>
                <w:rFonts w:hint="eastAsia"/>
                <w:b/>
                <w:color w:val="auto"/>
                <w:szCs w:val="21"/>
                <w:highlight w:val="none"/>
              </w:rPr>
              <w:t>单位</w:t>
            </w:r>
          </w:p>
        </w:tc>
        <w:tc>
          <w:tcPr>
            <w:tcW w:w="709" w:type="dxa"/>
            <w:noWrap w:val="0"/>
            <w:vAlign w:val="center"/>
          </w:tcPr>
          <w:p>
            <w:pPr>
              <w:jc w:val="center"/>
              <w:rPr>
                <w:b/>
                <w:color w:val="auto"/>
                <w:szCs w:val="21"/>
                <w:highlight w:val="none"/>
              </w:rPr>
            </w:pPr>
            <w:r>
              <w:rPr>
                <w:rFonts w:hint="eastAsia"/>
                <w:b/>
                <w:color w:val="auto"/>
                <w:szCs w:val="21"/>
                <w:highlight w:val="none"/>
              </w:rPr>
              <w:t>数量</w:t>
            </w:r>
          </w:p>
        </w:tc>
        <w:tc>
          <w:tcPr>
            <w:tcW w:w="1342" w:type="dxa"/>
            <w:noWrap w:val="0"/>
            <w:vAlign w:val="center"/>
          </w:tcPr>
          <w:p>
            <w:pPr>
              <w:jc w:val="center"/>
              <w:rPr>
                <w:b/>
                <w:color w:val="auto"/>
                <w:szCs w:val="21"/>
                <w:highlight w:val="none"/>
              </w:rPr>
            </w:pPr>
            <w:r>
              <w:rPr>
                <w:rFonts w:hint="eastAsia"/>
                <w:b/>
                <w:color w:val="auto"/>
                <w:szCs w:val="21"/>
                <w:highlight w:val="none"/>
              </w:rPr>
              <w:t>产地、品牌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noWrap w:val="0"/>
            <w:vAlign w:val="center"/>
          </w:tcPr>
          <w:p>
            <w:pPr>
              <w:snapToGrid w:val="0"/>
              <w:jc w:val="center"/>
              <w:rPr>
                <w:rFonts w:ascii="宋体" w:hAnsi="宋体"/>
                <w:color w:val="auto"/>
                <w:sz w:val="18"/>
                <w:szCs w:val="18"/>
                <w:highlight w:val="none"/>
              </w:rPr>
            </w:pPr>
          </w:p>
        </w:tc>
        <w:tc>
          <w:tcPr>
            <w:tcW w:w="1667" w:type="dxa"/>
            <w:noWrap w:val="0"/>
            <w:vAlign w:val="center"/>
          </w:tcPr>
          <w:p>
            <w:pPr>
              <w:snapToGrid w:val="0"/>
              <w:jc w:val="center"/>
              <w:rPr>
                <w:rFonts w:ascii="宋体" w:hAnsi="宋体"/>
                <w:color w:val="auto"/>
                <w:sz w:val="18"/>
                <w:szCs w:val="18"/>
                <w:highlight w:val="none"/>
              </w:rPr>
            </w:pPr>
          </w:p>
        </w:tc>
        <w:tc>
          <w:tcPr>
            <w:tcW w:w="1560" w:type="dxa"/>
            <w:noWrap w:val="0"/>
            <w:vAlign w:val="center"/>
          </w:tcPr>
          <w:p>
            <w:pPr>
              <w:snapToGrid w:val="0"/>
              <w:jc w:val="center"/>
              <w:rPr>
                <w:rFonts w:ascii="宋体" w:hAnsi="宋体"/>
                <w:color w:val="auto"/>
                <w:sz w:val="18"/>
                <w:szCs w:val="18"/>
                <w:highlight w:val="none"/>
              </w:rPr>
            </w:pPr>
          </w:p>
        </w:tc>
        <w:tc>
          <w:tcPr>
            <w:tcW w:w="2551"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709" w:type="dxa"/>
            <w:noWrap w:val="0"/>
            <w:vAlign w:val="center"/>
          </w:tcPr>
          <w:p>
            <w:pPr>
              <w:snapToGrid w:val="0"/>
              <w:jc w:val="center"/>
              <w:rPr>
                <w:rFonts w:ascii="宋体" w:hAnsi="宋体"/>
                <w:color w:val="auto"/>
                <w:sz w:val="18"/>
                <w:szCs w:val="18"/>
                <w:highlight w:val="none"/>
              </w:rPr>
            </w:pPr>
          </w:p>
        </w:tc>
        <w:tc>
          <w:tcPr>
            <w:tcW w:w="1342" w:type="dxa"/>
            <w:noWrap w:val="0"/>
            <w:vAlign w:val="center"/>
          </w:tcPr>
          <w:p>
            <w:pPr>
              <w:snapToGrid w:val="0"/>
              <w:jc w:val="center"/>
              <w:rPr>
                <w:rFonts w:ascii="宋体" w:hAnsi="宋体"/>
                <w:color w:val="auto"/>
                <w:sz w:val="18"/>
                <w:szCs w:val="18"/>
                <w:highlight w:val="none"/>
              </w:rPr>
            </w:pPr>
          </w:p>
        </w:tc>
      </w:tr>
    </w:tbl>
    <w:p>
      <w:pPr>
        <w:spacing w:line="360" w:lineRule="auto"/>
        <w:rPr>
          <w:rFonts w:ascii="宋体" w:hAnsi="宋体"/>
          <w:b/>
          <w:color w:val="auto"/>
          <w:highlight w:val="none"/>
        </w:rPr>
      </w:pPr>
      <w:r>
        <w:rPr>
          <w:rFonts w:hint="eastAsia" w:ascii="宋体" w:hAnsi="宋体"/>
          <w:b/>
          <w:color w:val="auto"/>
          <w:highlight w:val="none"/>
        </w:rPr>
        <w:t>说明：</w:t>
      </w:r>
    </w:p>
    <w:p>
      <w:pPr>
        <w:pStyle w:val="2"/>
        <w:spacing w:line="360" w:lineRule="auto"/>
        <w:ind w:firstLine="0"/>
        <w:rPr>
          <w:color w:val="auto"/>
          <w:highlight w:val="none"/>
        </w:rPr>
      </w:pPr>
      <w:r>
        <w:rPr>
          <w:rFonts w:hint="eastAsia"/>
          <w:color w:val="auto"/>
          <w:highlight w:val="none"/>
        </w:rPr>
        <w:t>1、本表设备名称填写的顺序应与本招标文件第三部分中的采购清单相一致。</w:t>
      </w:r>
    </w:p>
    <w:p>
      <w:pPr>
        <w:pStyle w:val="2"/>
        <w:spacing w:line="360" w:lineRule="auto"/>
        <w:ind w:firstLine="0"/>
        <w:rPr>
          <w:color w:val="auto"/>
          <w:highlight w:val="none"/>
        </w:rPr>
      </w:pPr>
      <w:r>
        <w:rPr>
          <w:rFonts w:hint="eastAsia"/>
          <w:color w:val="auto"/>
          <w:highlight w:val="none"/>
        </w:rPr>
        <w:t>2、采购清单中有具体参考品牌名称的，投标人投标时需例明投标产品品牌，否则为无效标（如采购清单所例参考品牌为国产的，投标人投标时也可例国产）。</w:t>
      </w:r>
    </w:p>
    <w:p>
      <w:pPr>
        <w:pStyle w:val="2"/>
        <w:spacing w:line="360" w:lineRule="auto"/>
        <w:ind w:firstLine="0"/>
        <w:rPr>
          <w:color w:val="auto"/>
          <w:highlight w:val="none"/>
        </w:rPr>
      </w:pPr>
      <w:r>
        <w:rPr>
          <w:rFonts w:hint="eastAsia"/>
          <w:color w:val="auto"/>
          <w:highlight w:val="none"/>
        </w:rPr>
        <w:t>3、此表在不改变表式的情况下，可自行制作。</w:t>
      </w:r>
    </w:p>
    <w:p>
      <w:pPr>
        <w:pStyle w:val="2"/>
        <w:spacing w:line="360" w:lineRule="auto"/>
        <w:ind w:firstLine="0"/>
        <w:rPr>
          <w:color w:val="auto"/>
          <w:highlight w:val="none"/>
        </w:rPr>
      </w:pPr>
    </w:p>
    <w:p>
      <w:pPr>
        <w:pStyle w:val="2"/>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附件14：</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项目管理机构配备情况表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noWrap w:val="0"/>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1475" w:type="dxa"/>
            <w:noWrap w:val="0"/>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拟在本项目中担任职务</w:t>
            </w:r>
          </w:p>
        </w:tc>
        <w:tc>
          <w:tcPr>
            <w:tcW w:w="1620" w:type="dxa"/>
            <w:noWrap w:val="0"/>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898" w:type="dxa"/>
            <w:noWrap w:val="0"/>
            <w:vAlign w:val="center"/>
          </w:tcPr>
          <w:p>
            <w:pPr>
              <w:snapToGrid w:val="0"/>
              <w:jc w:val="center"/>
              <w:rPr>
                <w:rFonts w:ascii="宋体" w:hAnsi="宋体"/>
                <w:b/>
                <w:color w:val="auto"/>
                <w:szCs w:val="21"/>
                <w:highlight w:val="none"/>
              </w:rPr>
            </w:pPr>
            <w:r>
              <w:rPr>
                <w:rFonts w:hint="eastAsia" w:ascii="宋体" w:hAnsi="宋体"/>
                <w:b/>
                <w:color w:val="auto"/>
                <w:szCs w:val="21"/>
                <w:highlight w:val="none"/>
              </w:rPr>
              <w:t>身份证号码</w:t>
            </w:r>
          </w:p>
        </w:tc>
        <w:tc>
          <w:tcPr>
            <w:tcW w:w="3595" w:type="dxa"/>
            <w:noWrap w:val="0"/>
            <w:vAlign w:val="center"/>
          </w:tcPr>
          <w:p>
            <w:pPr>
              <w:pStyle w:val="40"/>
              <w:tabs>
                <w:tab w:val="left" w:pos="0"/>
              </w:tabs>
              <w:adjustRightInd w:val="0"/>
              <w:snapToGrid w:val="0"/>
              <w:jc w:val="center"/>
              <w:rPr>
                <w:rFonts w:ascii="宋体" w:hAnsi="宋体"/>
                <w:color w:val="auto"/>
                <w:sz w:val="21"/>
                <w:szCs w:val="21"/>
                <w:highlight w:val="none"/>
              </w:rPr>
            </w:pPr>
            <w:r>
              <w:rPr>
                <w:rFonts w:hint="eastAsia" w:ascii="宋体" w:hAnsi="宋体"/>
                <w:b/>
                <w:color w:val="auto"/>
                <w:sz w:val="21"/>
                <w:szCs w:val="21"/>
                <w:highlight w:val="none"/>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noWrap w:val="0"/>
            <w:vAlign w:val="center"/>
          </w:tcPr>
          <w:p>
            <w:pPr>
              <w:pStyle w:val="6"/>
              <w:tabs>
                <w:tab w:val="left" w:pos="0"/>
              </w:tabs>
              <w:adjustRightInd w:val="0"/>
              <w:snapToGrid w:val="0"/>
              <w:jc w:val="center"/>
              <w:rPr>
                <w:color w:val="auto"/>
                <w:highlight w:val="none"/>
              </w:rPr>
            </w:pPr>
          </w:p>
        </w:tc>
        <w:tc>
          <w:tcPr>
            <w:tcW w:w="1475" w:type="dxa"/>
            <w:noWrap w:val="0"/>
            <w:vAlign w:val="center"/>
          </w:tcPr>
          <w:p>
            <w:pPr>
              <w:pStyle w:val="6"/>
              <w:tabs>
                <w:tab w:val="left" w:pos="0"/>
              </w:tabs>
              <w:adjustRightInd w:val="0"/>
              <w:snapToGrid w:val="0"/>
              <w:jc w:val="center"/>
              <w:rPr>
                <w:color w:val="auto"/>
                <w:highlight w:val="none"/>
              </w:rPr>
            </w:pPr>
          </w:p>
        </w:tc>
        <w:tc>
          <w:tcPr>
            <w:tcW w:w="1620" w:type="dxa"/>
            <w:noWrap w:val="0"/>
            <w:vAlign w:val="center"/>
          </w:tcPr>
          <w:p>
            <w:pPr>
              <w:pStyle w:val="6"/>
              <w:tabs>
                <w:tab w:val="left" w:pos="0"/>
              </w:tabs>
              <w:adjustRightInd w:val="0"/>
              <w:snapToGrid w:val="0"/>
              <w:jc w:val="center"/>
              <w:rPr>
                <w:color w:val="auto"/>
                <w:highlight w:val="none"/>
              </w:rPr>
            </w:pPr>
          </w:p>
        </w:tc>
        <w:tc>
          <w:tcPr>
            <w:tcW w:w="1898" w:type="dxa"/>
            <w:noWrap w:val="0"/>
            <w:vAlign w:val="center"/>
          </w:tcPr>
          <w:p>
            <w:pPr>
              <w:pStyle w:val="6"/>
              <w:tabs>
                <w:tab w:val="left" w:pos="0"/>
              </w:tabs>
              <w:adjustRightInd w:val="0"/>
              <w:snapToGrid w:val="0"/>
              <w:jc w:val="center"/>
              <w:rPr>
                <w:color w:val="auto"/>
                <w:highlight w:val="none"/>
              </w:rPr>
            </w:pPr>
          </w:p>
        </w:tc>
        <w:tc>
          <w:tcPr>
            <w:tcW w:w="3595" w:type="dxa"/>
            <w:noWrap w:val="0"/>
            <w:vAlign w:val="center"/>
          </w:tcPr>
          <w:p>
            <w:pPr>
              <w:pStyle w:val="6"/>
              <w:tabs>
                <w:tab w:val="left" w:pos="0"/>
              </w:tabs>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342" w:type="dxa"/>
            <w:gridSpan w:val="5"/>
            <w:noWrap w:val="0"/>
            <w:vAlign w:val="center"/>
          </w:tcPr>
          <w:p>
            <w:pPr>
              <w:pStyle w:val="6"/>
              <w:tabs>
                <w:tab w:val="left" w:pos="0"/>
              </w:tabs>
              <w:adjustRightInd w:val="0"/>
              <w:snapToGrid w:val="0"/>
              <w:spacing w:line="276" w:lineRule="auto"/>
              <w:rPr>
                <w:color w:val="auto"/>
                <w:highlight w:val="none"/>
              </w:rPr>
            </w:pPr>
            <w:r>
              <w:rPr>
                <w:rFonts w:hint="eastAsia"/>
                <w:color w:val="auto"/>
                <w:highlight w:val="none"/>
              </w:rPr>
              <w:t>声明：一旦我单位中标，将实行项目经理负责制，并配备上述项目实施人员。我方保证上述填报内容真实，若不真实，愿按有关规定接受处理。</w:t>
            </w:r>
          </w:p>
        </w:tc>
      </w:tr>
    </w:tbl>
    <w:p>
      <w:pPr>
        <w:spacing w:line="360" w:lineRule="auto"/>
        <w:rPr>
          <w:rFonts w:ascii="宋体" w:hAnsi="宋体"/>
          <w:b/>
          <w:color w:val="auto"/>
          <w:highlight w:val="none"/>
        </w:rPr>
      </w:pPr>
      <w:r>
        <w:rPr>
          <w:rFonts w:hint="eastAsia" w:ascii="宋体" w:hAnsi="宋体"/>
          <w:b/>
          <w:color w:val="auto"/>
          <w:highlight w:val="none"/>
        </w:rPr>
        <w:t>说明：</w:t>
      </w:r>
    </w:p>
    <w:p>
      <w:pPr>
        <w:pStyle w:val="2"/>
        <w:spacing w:line="360" w:lineRule="auto"/>
        <w:ind w:firstLine="0"/>
        <w:rPr>
          <w:color w:val="auto"/>
          <w:highlight w:val="none"/>
        </w:rPr>
      </w:pPr>
      <w:r>
        <w:rPr>
          <w:rFonts w:hint="eastAsia"/>
          <w:color w:val="auto"/>
          <w:highlight w:val="none"/>
        </w:rPr>
        <w:t>1、表后附拟派人员的社保证明、有关证书、业绩证明的复印件。</w:t>
      </w:r>
    </w:p>
    <w:p>
      <w:pPr>
        <w:pStyle w:val="2"/>
        <w:spacing w:line="360" w:lineRule="auto"/>
        <w:ind w:firstLine="0"/>
        <w:rPr>
          <w:color w:val="auto"/>
          <w:highlight w:val="none"/>
        </w:rPr>
      </w:pPr>
      <w:r>
        <w:rPr>
          <w:rFonts w:hint="eastAsia"/>
          <w:color w:val="auto"/>
          <w:highlight w:val="none"/>
        </w:rPr>
        <w:t>2、拟派主要人员（项目经理、技术负责人、专职安全员）未经许可不得更换，否则取消中标资格，赔偿采购人损失。</w:t>
      </w:r>
    </w:p>
    <w:p>
      <w:pPr>
        <w:pStyle w:val="2"/>
        <w:spacing w:line="360" w:lineRule="auto"/>
        <w:ind w:firstLine="0"/>
        <w:rPr>
          <w:color w:val="auto"/>
          <w:highlight w:val="none"/>
        </w:rPr>
      </w:pPr>
      <w:r>
        <w:rPr>
          <w:rFonts w:hint="eastAsia"/>
          <w:color w:val="auto"/>
          <w:highlight w:val="none"/>
        </w:rPr>
        <w:t>3、此表在不改变表式的情况下，可自行制作。</w:t>
      </w:r>
    </w:p>
    <w:p>
      <w:pPr>
        <w:pStyle w:val="2"/>
        <w:spacing w:line="360" w:lineRule="auto"/>
        <w:ind w:firstLine="0"/>
        <w:rPr>
          <w:color w:val="auto"/>
          <w:highlight w:val="none"/>
        </w:rPr>
      </w:pPr>
    </w:p>
    <w:p>
      <w:pPr>
        <w:pStyle w:val="2"/>
        <w:spacing w:line="360" w:lineRule="auto"/>
        <w:ind w:firstLine="0"/>
        <w:rPr>
          <w:color w:val="auto"/>
          <w:highlight w:val="none"/>
        </w:rPr>
      </w:pPr>
    </w:p>
    <w:p>
      <w:pPr>
        <w:spacing w:line="360" w:lineRule="auto"/>
        <w:rPr>
          <w:rFonts w:ascii="宋体" w:hAnsi="宋体"/>
          <w:b/>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附件15：</w:t>
      </w:r>
    </w:p>
    <w:p>
      <w:pPr>
        <w:spacing w:after="312"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类似项目业绩表</w:t>
      </w:r>
    </w:p>
    <w:p>
      <w:pPr>
        <w:spacing w:before="156" w:beforeLines="50" w:after="156" w:afterLines="50" w:line="360" w:lineRule="auto"/>
        <w:rPr>
          <w:rFonts w:ascii="宋体" w:hAnsi="宋体"/>
          <w:color w:val="auto"/>
          <w:szCs w:val="21"/>
          <w:highlight w:val="none"/>
        </w:rPr>
      </w:pPr>
      <w:r>
        <w:rPr>
          <w:rFonts w:hint="eastAsia" w:ascii="宋体" w:hAnsi="宋体"/>
          <w:color w:val="auto"/>
          <w:szCs w:val="21"/>
          <w:highlight w:val="none"/>
        </w:rPr>
        <w:t>投标人全称：</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before="156" w:beforeLines="50" w:after="312"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853"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1843"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业主名称</w:t>
            </w:r>
          </w:p>
        </w:tc>
        <w:tc>
          <w:tcPr>
            <w:tcW w:w="1134"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合同金额</w:t>
            </w:r>
          </w:p>
        </w:tc>
        <w:tc>
          <w:tcPr>
            <w:tcW w:w="1134"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合同签订时间</w:t>
            </w:r>
          </w:p>
        </w:tc>
        <w:tc>
          <w:tcPr>
            <w:tcW w:w="1417"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0"/>
            <w:vAlign w:val="center"/>
          </w:tcPr>
          <w:p>
            <w:pPr>
              <w:widowControl/>
              <w:jc w:val="center"/>
              <w:rPr>
                <w:rFonts w:ascii="宋体" w:hAnsi="宋体" w:cs="宋体"/>
                <w:color w:val="auto"/>
                <w:kern w:val="0"/>
                <w:szCs w:val="21"/>
                <w:highlight w:val="none"/>
              </w:rPr>
            </w:pPr>
          </w:p>
        </w:tc>
        <w:tc>
          <w:tcPr>
            <w:tcW w:w="2853" w:type="dxa"/>
            <w:noWrap w:val="0"/>
            <w:vAlign w:val="center"/>
          </w:tcPr>
          <w:p>
            <w:pPr>
              <w:widowControl/>
              <w:jc w:val="center"/>
              <w:rPr>
                <w:rFonts w:ascii="宋体" w:hAnsi="宋体" w:cs="宋体"/>
                <w:color w:val="auto"/>
                <w:kern w:val="0"/>
                <w:szCs w:val="21"/>
                <w:highlight w:val="none"/>
              </w:rPr>
            </w:pPr>
          </w:p>
        </w:tc>
        <w:tc>
          <w:tcPr>
            <w:tcW w:w="1843"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134" w:type="dxa"/>
            <w:noWrap w:val="0"/>
            <w:vAlign w:val="center"/>
          </w:tcPr>
          <w:p>
            <w:pPr>
              <w:widowControl/>
              <w:jc w:val="center"/>
              <w:rPr>
                <w:rFonts w:ascii="宋体" w:hAnsi="宋体" w:cs="宋体"/>
                <w:color w:val="auto"/>
                <w:kern w:val="0"/>
                <w:szCs w:val="21"/>
                <w:highlight w:val="none"/>
              </w:rPr>
            </w:pPr>
          </w:p>
        </w:tc>
        <w:tc>
          <w:tcPr>
            <w:tcW w:w="1417" w:type="dxa"/>
            <w:noWrap w:val="0"/>
            <w:vAlign w:val="center"/>
          </w:tcPr>
          <w:p>
            <w:pPr>
              <w:widowControl/>
              <w:jc w:val="center"/>
              <w:rPr>
                <w:rFonts w:ascii="宋体" w:hAnsi="宋体" w:cs="宋体"/>
                <w:color w:val="auto"/>
                <w:kern w:val="0"/>
                <w:szCs w:val="21"/>
                <w:highlight w:val="none"/>
              </w:rPr>
            </w:pPr>
          </w:p>
        </w:tc>
      </w:tr>
    </w:tbl>
    <w:p>
      <w:pPr>
        <w:tabs>
          <w:tab w:val="left" w:pos="7740"/>
        </w:tabs>
        <w:spacing w:line="360" w:lineRule="auto"/>
        <w:rPr>
          <w:rFonts w:ascii="宋体" w:hAnsi="宋体"/>
          <w:b/>
          <w:color w:val="auto"/>
          <w:szCs w:val="21"/>
          <w:highlight w:val="none"/>
        </w:rPr>
      </w:pPr>
      <w:r>
        <w:rPr>
          <w:rFonts w:hint="eastAsia" w:ascii="宋体" w:hAnsi="宋体"/>
          <w:b/>
          <w:color w:val="auto"/>
          <w:szCs w:val="21"/>
          <w:highlight w:val="none"/>
        </w:rPr>
        <w:t>说明：</w:t>
      </w:r>
    </w:p>
    <w:p>
      <w:pPr>
        <w:pStyle w:val="2"/>
        <w:spacing w:line="360" w:lineRule="auto"/>
        <w:ind w:firstLine="0"/>
        <w:rPr>
          <w:color w:val="auto"/>
          <w:highlight w:val="none"/>
        </w:rPr>
      </w:pPr>
      <w:r>
        <w:rPr>
          <w:rFonts w:hint="eastAsia"/>
          <w:color w:val="auto"/>
          <w:highlight w:val="none"/>
        </w:rPr>
        <w:t>1、提供符合本招标文件要求的类似项目业绩，表后附合同和验收证明复印件（加盖投标人公章），否则相关评分项目不得分。</w:t>
      </w:r>
    </w:p>
    <w:p>
      <w:pPr>
        <w:pStyle w:val="2"/>
        <w:spacing w:line="360" w:lineRule="auto"/>
        <w:ind w:firstLine="0"/>
        <w:rPr>
          <w:color w:val="auto"/>
          <w:highlight w:val="none"/>
        </w:rPr>
      </w:pPr>
      <w:r>
        <w:rPr>
          <w:rFonts w:hint="eastAsia"/>
          <w:color w:val="auto"/>
          <w:highlight w:val="none"/>
        </w:rPr>
        <w:t>2、投标人所提供合同必须是真实有效的。在合同签订前，如采购人经核实后发现与实际情况不符，取消其中标资格，并按有关规定处理。</w:t>
      </w:r>
    </w:p>
    <w:p>
      <w:pPr>
        <w:pStyle w:val="2"/>
        <w:spacing w:line="360" w:lineRule="auto"/>
        <w:ind w:firstLine="0"/>
        <w:rPr>
          <w:color w:val="auto"/>
          <w:highlight w:val="none"/>
        </w:rPr>
      </w:pPr>
      <w:r>
        <w:rPr>
          <w:rFonts w:hint="eastAsia"/>
          <w:color w:val="auto"/>
          <w:highlight w:val="none"/>
        </w:rPr>
        <w:t>3、此表在不改变表式的情况下，可自行制作。</w:t>
      </w:r>
    </w:p>
    <w:p>
      <w:pPr>
        <w:pStyle w:val="2"/>
        <w:spacing w:line="360" w:lineRule="auto"/>
        <w:ind w:firstLine="0"/>
        <w:rPr>
          <w:color w:val="auto"/>
          <w:highlight w:val="none"/>
        </w:rPr>
      </w:pPr>
    </w:p>
    <w:p>
      <w:pPr>
        <w:pStyle w:val="2"/>
        <w:spacing w:line="360" w:lineRule="auto"/>
        <w:ind w:firstLine="0"/>
        <w:rPr>
          <w:color w:val="auto"/>
          <w:highlight w:val="none"/>
        </w:rPr>
      </w:pPr>
    </w:p>
    <w:p>
      <w:pPr>
        <w:spacing w:line="360" w:lineRule="auto"/>
        <w:rPr>
          <w:rFonts w:hint="eastAsia" w:ascii="宋体" w:hAnsi="宋体"/>
          <w:color w:val="auto"/>
          <w:szCs w:val="21"/>
          <w:highlight w:val="none"/>
          <w:u w:val="singl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pPr>
        <w:pStyle w:val="12"/>
        <w:rPr>
          <w:rFonts w:hint="eastAsia" w:ascii="宋体" w:hAnsi="宋体"/>
          <w:color w:val="auto"/>
          <w:szCs w:val="21"/>
          <w:highlight w:val="none"/>
          <w:u w:val="single"/>
        </w:rPr>
      </w:pPr>
    </w:p>
    <w:p>
      <w:pPr>
        <w:rPr>
          <w:rFonts w:hint="eastAsia" w:ascii="宋体" w:hAnsi="宋体"/>
          <w:color w:val="auto"/>
          <w:szCs w:val="21"/>
          <w:highlight w:val="none"/>
          <w:u w:val="single"/>
        </w:rPr>
      </w:pPr>
    </w:p>
    <w:p>
      <w:pPr>
        <w:pStyle w:val="12"/>
        <w:rPr>
          <w:rFonts w:hint="eastAsia" w:ascii="宋体" w:hAnsi="宋体"/>
          <w:color w:val="auto"/>
          <w:szCs w:val="21"/>
          <w:highlight w:val="none"/>
          <w:u w:val="single"/>
        </w:rPr>
      </w:pPr>
    </w:p>
    <w:p>
      <w:pPr>
        <w:rPr>
          <w:rFonts w:hint="eastAsia" w:ascii="宋体" w:hAnsi="宋体"/>
          <w:color w:val="auto"/>
          <w:szCs w:val="21"/>
          <w:highlight w:val="none"/>
          <w:u w:val="single"/>
        </w:rPr>
      </w:pPr>
    </w:p>
    <w:p>
      <w:pPr>
        <w:widowControl/>
        <w:wordWrap w:val="0"/>
        <w:jc w:val="center"/>
        <w:rPr>
          <w:rFonts w:hint="eastAsia" w:ascii="宋体" w:hAnsi="宋体" w:cs="宋体"/>
          <w:b/>
          <w:bCs/>
          <w:color w:val="000000"/>
          <w:kern w:val="0"/>
          <w:sz w:val="24"/>
        </w:rPr>
        <w:sectPr>
          <w:pgSz w:w="11906" w:h="16838"/>
          <w:pgMar w:top="1474" w:right="1418" w:bottom="1418" w:left="1418" w:header="851" w:footer="851" w:gutter="0"/>
          <w:cols w:space="720" w:num="1"/>
          <w:docGrid w:type="linesAndChars" w:linePitch="312" w:charSpace="0"/>
        </w:sectPr>
      </w:pPr>
    </w:p>
    <w:tbl>
      <w:tblPr>
        <w:tblStyle w:val="13"/>
        <w:tblW w:w="15100" w:type="dxa"/>
        <w:tblInd w:w="-176" w:type="dxa"/>
        <w:tblLayout w:type="fixed"/>
        <w:tblCellMar>
          <w:top w:w="0" w:type="dxa"/>
          <w:left w:w="108" w:type="dxa"/>
          <w:bottom w:w="0" w:type="dxa"/>
          <w:right w:w="108" w:type="dxa"/>
        </w:tblCellMar>
      </w:tblPr>
      <w:tblGrid>
        <w:gridCol w:w="2006"/>
        <w:gridCol w:w="1514"/>
        <w:gridCol w:w="1781"/>
        <w:gridCol w:w="1680"/>
        <w:gridCol w:w="1253"/>
        <w:gridCol w:w="1496"/>
        <w:gridCol w:w="1539"/>
        <w:gridCol w:w="1298"/>
        <w:gridCol w:w="1288"/>
        <w:gridCol w:w="1237"/>
        <w:gridCol w:w="8"/>
      </w:tblGrid>
      <w:tr>
        <w:tblPrEx>
          <w:tblCellMar>
            <w:top w:w="0" w:type="dxa"/>
            <w:left w:w="108" w:type="dxa"/>
            <w:bottom w:w="0" w:type="dxa"/>
            <w:right w:w="108" w:type="dxa"/>
          </w:tblCellMar>
        </w:tblPrEx>
        <w:trPr>
          <w:trHeight w:val="244" w:hRule="atLeast"/>
        </w:trPr>
        <w:tc>
          <w:tcPr>
            <w:tcW w:w="15100" w:type="dxa"/>
            <w:gridSpan w:val="11"/>
            <w:tcBorders>
              <w:top w:val="nil"/>
              <w:left w:val="nil"/>
              <w:bottom w:val="nil"/>
              <w:right w:val="nil"/>
            </w:tcBorders>
            <w:noWrap w:val="0"/>
            <w:vAlign w:val="bottom"/>
          </w:tcPr>
          <w:p>
            <w:pPr>
              <w:widowControl/>
              <w:wordWrap w:val="0"/>
              <w:jc w:val="center"/>
              <w:rPr>
                <w:rFonts w:ascii="宋体" w:hAnsi="宋体" w:cs="宋体"/>
                <w:b/>
                <w:bCs/>
                <w:color w:val="000000"/>
                <w:kern w:val="0"/>
                <w:sz w:val="32"/>
                <w:szCs w:val="32"/>
              </w:rPr>
            </w:pPr>
            <w:r>
              <w:rPr>
                <w:rFonts w:hint="eastAsia" w:ascii="宋体" w:hAnsi="宋体" w:cs="宋体"/>
                <w:b/>
                <w:bCs/>
                <w:color w:val="000000"/>
                <w:kern w:val="0"/>
                <w:sz w:val="24"/>
              </w:rPr>
              <w:t>中小微行业划型标准规定（根据工信部联企业〔</w:t>
            </w:r>
            <w:r>
              <w:rPr>
                <w:rFonts w:ascii="宋体" w:hAnsi="宋体" w:cs="宋体"/>
                <w:b/>
                <w:bCs/>
                <w:color w:val="000000"/>
                <w:kern w:val="0"/>
                <w:sz w:val="24"/>
              </w:rPr>
              <w:t>2011</w:t>
            </w:r>
            <w:r>
              <w:rPr>
                <w:rFonts w:hint="eastAsia" w:ascii="宋体" w:hAnsi="宋体" w:cs="宋体"/>
                <w:b/>
                <w:bCs/>
                <w:color w:val="000000"/>
                <w:kern w:val="0"/>
                <w:sz w:val="24"/>
              </w:rPr>
              <w:t>〕</w:t>
            </w:r>
            <w:r>
              <w:rPr>
                <w:rFonts w:ascii="宋体" w:hAnsi="宋体" w:cs="宋体"/>
                <w:b/>
                <w:bCs/>
                <w:color w:val="000000"/>
                <w:kern w:val="0"/>
                <w:sz w:val="24"/>
              </w:rPr>
              <w:t>300</w:t>
            </w:r>
            <w:r>
              <w:rPr>
                <w:rFonts w:hint="eastAsia" w:ascii="宋体" w:hAnsi="宋体" w:cs="宋体"/>
                <w:b/>
                <w:bCs/>
                <w:color w:val="000000"/>
                <w:kern w:val="0"/>
                <w:sz w:val="24"/>
              </w:rPr>
              <w:t>号制定）</w:t>
            </w:r>
          </w:p>
        </w:tc>
      </w:tr>
      <w:tr>
        <w:tblPrEx>
          <w:tblCellMar>
            <w:top w:w="0" w:type="dxa"/>
            <w:left w:w="108" w:type="dxa"/>
            <w:bottom w:w="0" w:type="dxa"/>
            <w:right w:w="108" w:type="dxa"/>
          </w:tblCellMar>
        </w:tblPrEx>
        <w:trPr>
          <w:gridAfter w:val="1"/>
          <w:wAfter w:w="8" w:type="dxa"/>
          <w:trHeight w:val="260" w:hRule="atLeast"/>
        </w:trPr>
        <w:tc>
          <w:tcPr>
            <w:tcW w:w="2006"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color w:val="000000"/>
                <w:kern w:val="0"/>
                <w:sz w:val="24"/>
              </w:rPr>
            </w:pPr>
            <w:r>
              <w:rPr>
                <w:rFonts w:hint="eastAsia" w:ascii="宋体" w:hAnsi="宋体" w:cs="宋体"/>
                <w:b/>
                <w:bCs/>
                <w:color w:val="000000"/>
                <w:kern w:val="0"/>
                <w:sz w:val="24"/>
              </w:rPr>
              <w:t>行业</w:t>
            </w:r>
          </w:p>
        </w:tc>
        <w:tc>
          <w:tcPr>
            <w:tcW w:w="4975"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color w:val="000000"/>
                <w:kern w:val="0"/>
                <w:sz w:val="24"/>
              </w:rPr>
            </w:pPr>
            <w:r>
              <w:rPr>
                <w:rFonts w:hint="eastAsia" w:ascii="宋体" w:hAnsi="宋体" w:cs="宋体"/>
                <w:b/>
                <w:bCs/>
                <w:color w:val="000000"/>
                <w:kern w:val="0"/>
                <w:sz w:val="24"/>
              </w:rPr>
              <w:t>中型企业</w:t>
            </w:r>
          </w:p>
        </w:tc>
        <w:tc>
          <w:tcPr>
            <w:tcW w:w="428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color w:val="000000"/>
                <w:kern w:val="0"/>
                <w:sz w:val="24"/>
              </w:rPr>
            </w:pPr>
            <w:r>
              <w:rPr>
                <w:rFonts w:hint="eastAsia" w:ascii="宋体" w:hAnsi="宋体" w:cs="宋体"/>
                <w:b/>
                <w:bCs/>
                <w:color w:val="000000"/>
                <w:kern w:val="0"/>
                <w:sz w:val="24"/>
              </w:rPr>
              <w:t>小型企业</w:t>
            </w:r>
          </w:p>
        </w:tc>
        <w:tc>
          <w:tcPr>
            <w:tcW w:w="3823"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color w:val="000000"/>
                <w:kern w:val="0"/>
                <w:sz w:val="24"/>
              </w:rPr>
            </w:pPr>
            <w:r>
              <w:rPr>
                <w:rFonts w:hint="eastAsia" w:ascii="宋体" w:hAnsi="宋体" w:cs="宋体"/>
                <w:b/>
                <w:bCs/>
                <w:color w:val="000000"/>
                <w:kern w:val="0"/>
                <w:sz w:val="24"/>
              </w:rPr>
              <w:t>微型企业</w:t>
            </w:r>
          </w:p>
        </w:tc>
      </w:tr>
      <w:tr>
        <w:tblPrEx>
          <w:tblCellMar>
            <w:top w:w="0" w:type="dxa"/>
            <w:left w:w="108" w:type="dxa"/>
            <w:bottom w:w="0" w:type="dxa"/>
            <w:right w:w="108" w:type="dxa"/>
          </w:tblCellMar>
        </w:tblPrEx>
        <w:trPr>
          <w:gridAfter w:val="1"/>
          <w:wAfter w:w="8" w:type="dxa"/>
          <w:trHeight w:val="504" w:hRule="atLeast"/>
        </w:trPr>
        <w:tc>
          <w:tcPr>
            <w:tcW w:w="2006"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color w:val="000000"/>
                <w:kern w:val="0"/>
                <w:sz w:val="24"/>
              </w:rPr>
            </w:pPr>
          </w:p>
        </w:tc>
        <w:tc>
          <w:tcPr>
            <w:tcW w:w="1514"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000000"/>
                <w:kern w:val="0"/>
                <w:sz w:val="20"/>
              </w:rPr>
            </w:pPr>
            <w:r>
              <w:rPr>
                <w:rFonts w:hint="eastAsia" w:ascii="宋体" w:hAnsi="宋体" w:cs="宋体"/>
                <w:color w:val="000000"/>
                <w:kern w:val="0"/>
                <w:sz w:val="20"/>
              </w:rPr>
              <w:t>从业人员</w:t>
            </w:r>
            <w:r>
              <w:rPr>
                <w:rFonts w:ascii="宋体" w:hAnsi="宋体" w:cs="宋体"/>
                <w:color w:val="000000"/>
                <w:kern w:val="0"/>
                <w:sz w:val="20"/>
              </w:rPr>
              <w:t>X</w:t>
            </w:r>
            <w:r>
              <w:rPr>
                <w:rFonts w:hint="eastAsia" w:ascii="宋体" w:hAnsi="宋体" w:cs="宋体"/>
                <w:color w:val="000000"/>
                <w:kern w:val="0"/>
                <w:sz w:val="20"/>
              </w:rPr>
              <w:t>（人）</w:t>
            </w:r>
          </w:p>
        </w:tc>
        <w:tc>
          <w:tcPr>
            <w:tcW w:w="1781"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000000"/>
                <w:kern w:val="0"/>
                <w:sz w:val="20"/>
              </w:rPr>
            </w:pPr>
            <w:r>
              <w:rPr>
                <w:rFonts w:hint="eastAsia" w:ascii="宋体" w:hAnsi="宋体" w:cs="宋体"/>
                <w:color w:val="000000"/>
                <w:kern w:val="0"/>
                <w:sz w:val="20"/>
              </w:rPr>
              <w:t>营业收入</w:t>
            </w:r>
            <w:r>
              <w:rPr>
                <w:rFonts w:ascii="宋体" w:hAnsi="宋体" w:cs="宋体"/>
                <w:color w:val="000000"/>
                <w:kern w:val="0"/>
                <w:sz w:val="20"/>
              </w:rPr>
              <w:t>Y</w:t>
            </w:r>
          </w:p>
          <w:p>
            <w:pPr>
              <w:widowControl/>
              <w:wordWrap w:val="0"/>
              <w:jc w:val="center"/>
              <w:rPr>
                <w:rFonts w:ascii="宋体" w:hAnsi="宋体" w:cs="宋体"/>
                <w:color w:val="000000"/>
                <w:kern w:val="0"/>
                <w:sz w:val="20"/>
              </w:rPr>
            </w:pPr>
            <w:r>
              <w:rPr>
                <w:rFonts w:hint="eastAsia" w:ascii="宋体" w:hAnsi="宋体" w:cs="宋体"/>
                <w:color w:val="000000"/>
                <w:kern w:val="0"/>
                <w:sz w:val="20"/>
              </w:rPr>
              <w:t>（万元）</w:t>
            </w:r>
          </w:p>
        </w:tc>
        <w:tc>
          <w:tcPr>
            <w:tcW w:w="1680"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color w:val="000000"/>
                <w:kern w:val="0"/>
                <w:sz w:val="20"/>
              </w:rPr>
            </w:pPr>
            <w:r>
              <w:rPr>
                <w:rFonts w:hint="eastAsia" w:ascii="宋体" w:hAnsi="宋体" w:cs="宋体"/>
                <w:color w:val="000000"/>
                <w:kern w:val="0"/>
                <w:sz w:val="20"/>
              </w:rPr>
              <w:t>资产总额</w:t>
            </w:r>
            <w:r>
              <w:rPr>
                <w:rFonts w:ascii="宋体" w:hAnsi="宋体" w:cs="宋体"/>
                <w:color w:val="000000"/>
                <w:kern w:val="0"/>
                <w:sz w:val="20"/>
              </w:rPr>
              <w:t>Z</w:t>
            </w:r>
          </w:p>
          <w:p>
            <w:pPr>
              <w:widowControl/>
              <w:wordWrap w:val="0"/>
              <w:jc w:val="center"/>
              <w:rPr>
                <w:rFonts w:ascii="宋体" w:hAnsi="宋体" w:cs="宋体"/>
                <w:color w:val="000000"/>
                <w:kern w:val="0"/>
                <w:sz w:val="20"/>
              </w:rPr>
            </w:pPr>
            <w:r>
              <w:rPr>
                <w:rFonts w:hint="eastAsia" w:ascii="宋体" w:hAnsi="宋体" w:cs="宋体"/>
                <w:color w:val="000000"/>
                <w:kern w:val="0"/>
                <w:sz w:val="20"/>
              </w:rPr>
              <w:t>（万元）</w:t>
            </w:r>
          </w:p>
        </w:tc>
        <w:tc>
          <w:tcPr>
            <w:tcW w:w="1253"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000000"/>
                <w:kern w:val="0"/>
                <w:sz w:val="20"/>
              </w:rPr>
            </w:pPr>
            <w:r>
              <w:rPr>
                <w:rFonts w:hint="eastAsia" w:ascii="宋体" w:hAnsi="宋体" w:cs="宋体"/>
                <w:color w:val="000000"/>
                <w:kern w:val="0"/>
                <w:sz w:val="20"/>
              </w:rPr>
              <w:t>从业人员</w:t>
            </w:r>
            <w:r>
              <w:rPr>
                <w:rFonts w:ascii="宋体" w:hAnsi="宋体" w:cs="宋体"/>
                <w:color w:val="000000"/>
                <w:kern w:val="0"/>
                <w:sz w:val="20"/>
              </w:rPr>
              <w:t>X</w:t>
            </w:r>
            <w:r>
              <w:rPr>
                <w:rFonts w:hint="eastAsia" w:ascii="宋体" w:hAnsi="宋体" w:cs="宋体"/>
                <w:color w:val="000000"/>
                <w:kern w:val="0"/>
                <w:sz w:val="20"/>
              </w:rPr>
              <w:t>（人）</w:t>
            </w:r>
          </w:p>
        </w:tc>
        <w:tc>
          <w:tcPr>
            <w:tcW w:w="1496"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000000"/>
                <w:kern w:val="0"/>
                <w:sz w:val="20"/>
              </w:rPr>
            </w:pPr>
            <w:r>
              <w:rPr>
                <w:rFonts w:hint="eastAsia" w:ascii="宋体" w:hAnsi="宋体" w:cs="宋体"/>
                <w:color w:val="000000"/>
                <w:kern w:val="0"/>
                <w:sz w:val="20"/>
              </w:rPr>
              <w:t>营业收入</w:t>
            </w:r>
            <w:r>
              <w:rPr>
                <w:rFonts w:ascii="宋体" w:hAnsi="宋体" w:cs="宋体"/>
                <w:color w:val="000000"/>
                <w:kern w:val="0"/>
                <w:sz w:val="20"/>
              </w:rPr>
              <w:t>Y</w:t>
            </w:r>
          </w:p>
          <w:p>
            <w:pPr>
              <w:widowControl/>
              <w:wordWrap w:val="0"/>
              <w:jc w:val="center"/>
              <w:rPr>
                <w:rFonts w:ascii="宋体" w:hAnsi="宋体" w:cs="宋体"/>
                <w:color w:val="000000"/>
                <w:kern w:val="0"/>
                <w:sz w:val="20"/>
              </w:rPr>
            </w:pPr>
            <w:r>
              <w:rPr>
                <w:rFonts w:hint="eastAsia" w:ascii="宋体" w:hAnsi="宋体" w:cs="宋体"/>
                <w:color w:val="000000"/>
                <w:kern w:val="0"/>
                <w:sz w:val="20"/>
              </w:rPr>
              <w:t>（万元）</w:t>
            </w:r>
          </w:p>
        </w:tc>
        <w:tc>
          <w:tcPr>
            <w:tcW w:w="1539"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color w:val="000000"/>
                <w:kern w:val="0"/>
                <w:sz w:val="20"/>
              </w:rPr>
            </w:pPr>
            <w:r>
              <w:rPr>
                <w:rFonts w:hint="eastAsia" w:ascii="宋体" w:hAnsi="宋体" w:cs="宋体"/>
                <w:color w:val="000000"/>
                <w:kern w:val="0"/>
                <w:sz w:val="20"/>
              </w:rPr>
              <w:t>资产总额</w:t>
            </w:r>
            <w:r>
              <w:rPr>
                <w:rFonts w:ascii="宋体" w:hAnsi="宋体" w:cs="宋体"/>
                <w:color w:val="000000"/>
                <w:kern w:val="0"/>
                <w:sz w:val="20"/>
              </w:rPr>
              <w:t>Z</w:t>
            </w:r>
          </w:p>
          <w:p>
            <w:pPr>
              <w:widowControl/>
              <w:wordWrap w:val="0"/>
              <w:jc w:val="center"/>
              <w:rPr>
                <w:rFonts w:ascii="宋体" w:hAnsi="宋体" w:cs="宋体"/>
                <w:color w:val="000000"/>
                <w:kern w:val="0"/>
                <w:sz w:val="20"/>
              </w:rPr>
            </w:pPr>
            <w:r>
              <w:rPr>
                <w:rFonts w:hint="eastAsia" w:ascii="宋体" w:hAnsi="宋体" w:cs="宋体"/>
                <w:color w:val="000000"/>
                <w:kern w:val="0"/>
                <w:sz w:val="20"/>
              </w:rPr>
              <w:t>（万元）</w:t>
            </w:r>
          </w:p>
        </w:tc>
        <w:tc>
          <w:tcPr>
            <w:tcW w:w="1298"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000000"/>
                <w:kern w:val="0"/>
                <w:sz w:val="20"/>
              </w:rPr>
            </w:pPr>
            <w:r>
              <w:rPr>
                <w:rFonts w:hint="eastAsia" w:ascii="宋体" w:hAnsi="宋体" w:cs="宋体"/>
                <w:color w:val="000000"/>
                <w:kern w:val="0"/>
                <w:sz w:val="20"/>
              </w:rPr>
              <w:t>从业人员</w:t>
            </w:r>
            <w:r>
              <w:rPr>
                <w:rFonts w:ascii="宋体" w:hAnsi="宋体" w:cs="宋体"/>
                <w:color w:val="000000"/>
                <w:kern w:val="0"/>
                <w:sz w:val="20"/>
              </w:rPr>
              <w:t>X</w:t>
            </w:r>
            <w:r>
              <w:rPr>
                <w:rFonts w:hint="eastAsia" w:ascii="宋体" w:hAnsi="宋体" w:cs="宋体"/>
                <w:color w:val="000000"/>
                <w:kern w:val="0"/>
                <w:sz w:val="20"/>
              </w:rPr>
              <w:t>（人）</w:t>
            </w:r>
          </w:p>
        </w:tc>
        <w:tc>
          <w:tcPr>
            <w:tcW w:w="1288"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color w:val="000000"/>
                <w:kern w:val="0"/>
                <w:sz w:val="20"/>
              </w:rPr>
            </w:pPr>
            <w:r>
              <w:rPr>
                <w:rFonts w:hint="eastAsia" w:ascii="宋体" w:hAnsi="宋体" w:cs="宋体"/>
                <w:color w:val="000000"/>
                <w:kern w:val="0"/>
                <w:sz w:val="20"/>
              </w:rPr>
              <w:t>营业收入</w:t>
            </w:r>
            <w:r>
              <w:rPr>
                <w:rFonts w:ascii="宋体" w:hAnsi="宋体" w:cs="宋体"/>
                <w:color w:val="000000"/>
                <w:kern w:val="0"/>
                <w:sz w:val="20"/>
              </w:rPr>
              <w:t>Y</w:t>
            </w:r>
            <w:r>
              <w:rPr>
                <w:rFonts w:hint="eastAsia" w:ascii="宋体" w:hAnsi="宋体" w:cs="宋体"/>
                <w:color w:val="000000"/>
                <w:kern w:val="0"/>
                <w:sz w:val="20"/>
              </w:rPr>
              <w:t>（万元）</w:t>
            </w:r>
          </w:p>
        </w:tc>
        <w:tc>
          <w:tcPr>
            <w:tcW w:w="1237"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color w:val="000000"/>
                <w:kern w:val="0"/>
                <w:sz w:val="20"/>
              </w:rPr>
            </w:pPr>
            <w:r>
              <w:rPr>
                <w:rFonts w:hint="eastAsia" w:ascii="宋体" w:hAnsi="宋体" w:cs="宋体"/>
                <w:color w:val="000000"/>
                <w:kern w:val="0"/>
                <w:sz w:val="20"/>
              </w:rPr>
              <w:t>资产总额</w:t>
            </w:r>
            <w:r>
              <w:rPr>
                <w:rFonts w:ascii="宋体" w:hAnsi="宋体" w:cs="宋体"/>
                <w:color w:val="000000"/>
                <w:kern w:val="0"/>
                <w:sz w:val="20"/>
              </w:rPr>
              <w:t>Z</w:t>
            </w:r>
            <w:r>
              <w:rPr>
                <w:rFonts w:hint="eastAsia" w:ascii="宋体" w:hAnsi="宋体" w:cs="宋体"/>
                <w:color w:val="000000"/>
                <w:kern w:val="0"/>
                <w:sz w:val="20"/>
              </w:rPr>
              <w:t>（万元）</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 xml:space="preserve"> 1</w:t>
            </w:r>
            <w:r>
              <w:rPr>
                <w:rFonts w:hint="eastAsia" w:ascii="宋体" w:hAnsi="宋体" w:cs="宋体"/>
                <w:color w:val="000000"/>
                <w:kern w:val="0"/>
                <w:sz w:val="20"/>
              </w:rPr>
              <w:t>、农林牧渔业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 xml:space="preserve"> 500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 xml:space="preserve"> 50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 xml:space="preserve"> 2</w:t>
            </w:r>
            <w:r>
              <w:rPr>
                <w:rFonts w:hint="eastAsia" w:ascii="宋体" w:hAnsi="宋体" w:cs="宋体"/>
                <w:color w:val="000000"/>
                <w:kern w:val="0"/>
                <w:sz w:val="20"/>
              </w:rPr>
              <w:t>、工业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2000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40000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20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 xml:space="preserve"> 3</w:t>
            </w:r>
            <w:r>
              <w:rPr>
                <w:rFonts w:hint="eastAsia" w:ascii="宋体" w:hAnsi="宋体" w:cs="宋体"/>
                <w:color w:val="000000"/>
                <w:kern w:val="0"/>
                <w:sz w:val="20"/>
              </w:rPr>
              <w:t>、建筑业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6000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80000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5000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80000</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6000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 xml:space="preserve"> 300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5000</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300</w:t>
            </w:r>
          </w:p>
        </w:tc>
      </w:tr>
      <w:tr>
        <w:tblPrEx>
          <w:tblCellMar>
            <w:top w:w="0" w:type="dxa"/>
            <w:left w:w="108" w:type="dxa"/>
            <w:bottom w:w="0" w:type="dxa"/>
            <w:right w:w="108" w:type="dxa"/>
          </w:tblCellMar>
        </w:tblPrEx>
        <w:trPr>
          <w:gridAfter w:val="1"/>
          <w:wAfter w:w="8" w:type="dxa"/>
          <w:trHeight w:val="496"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 xml:space="preserve"> 4</w:t>
            </w:r>
            <w:r>
              <w:rPr>
                <w:rFonts w:hint="eastAsia" w:ascii="宋体" w:hAnsi="宋体" w:cs="宋体"/>
                <w:color w:val="000000"/>
                <w:kern w:val="0"/>
                <w:sz w:val="20"/>
              </w:rPr>
              <w:t>、批发业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 xml:space="preserve"> 20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5000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40000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 xml:space="preserve"> 5</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5</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 xml:space="preserve"> 5</w:t>
            </w:r>
            <w:r>
              <w:rPr>
                <w:rFonts w:hint="eastAsia" w:ascii="宋体" w:hAnsi="宋体" w:cs="宋体"/>
                <w:color w:val="000000"/>
                <w:kern w:val="0"/>
                <w:sz w:val="20"/>
              </w:rPr>
              <w:t>、零售业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 xml:space="preserve"> 50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 xml:space="preserve"> 500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50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 xml:space="preserve"> 6</w:t>
            </w:r>
            <w:r>
              <w:rPr>
                <w:rFonts w:hint="eastAsia" w:ascii="宋体" w:hAnsi="宋体" w:cs="宋体"/>
                <w:color w:val="000000"/>
                <w:kern w:val="0"/>
                <w:sz w:val="20"/>
              </w:rPr>
              <w:t>、交通运输业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3000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20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200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V</w:t>
            </w:r>
            <w:r>
              <w:rPr>
                <w:rFonts w:hint="eastAsia" w:ascii="宋体" w:hAnsi="宋体" w:cs="宋体"/>
                <w:color w:val="000000"/>
                <w:kern w:val="0"/>
                <w:sz w:val="20"/>
              </w:rPr>
              <w:t>＜</w:t>
            </w:r>
            <w:r>
              <w:rPr>
                <w:rFonts w:ascii="宋体" w:hAnsi="宋体" w:cs="宋体"/>
                <w:color w:val="000000"/>
                <w:kern w:val="0"/>
                <w:sz w:val="20"/>
              </w:rPr>
              <w:t>200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 xml:space="preserve"> 7</w:t>
            </w:r>
            <w:r>
              <w:rPr>
                <w:rFonts w:hint="eastAsia" w:ascii="宋体" w:hAnsi="宋体" w:cs="宋体"/>
                <w:color w:val="000000"/>
                <w:kern w:val="0"/>
                <w:sz w:val="20"/>
              </w:rPr>
              <w:t>、仓储业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20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 xml:space="preserve"> 8</w:t>
            </w:r>
            <w:r>
              <w:rPr>
                <w:rFonts w:hint="eastAsia" w:ascii="宋体" w:hAnsi="宋体" w:cs="宋体"/>
                <w:color w:val="000000"/>
                <w:kern w:val="0"/>
                <w:sz w:val="20"/>
              </w:rPr>
              <w:t>、邮政业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2000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30000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20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 xml:space="preserve"> 9</w:t>
            </w:r>
            <w:r>
              <w:rPr>
                <w:rFonts w:hint="eastAsia" w:ascii="宋体" w:hAnsi="宋体" w:cs="宋体"/>
                <w:color w:val="000000"/>
                <w:kern w:val="0"/>
                <w:sz w:val="20"/>
              </w:rPr>
              <w:t>、住宿业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2000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、餐饮业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2000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V</w:t>
            </w:r>
            <w:r>
              <w:rPr>
                <w:rFonts w:hint="eastAsia" w:ascii="宋体" w:hAnsi="宋体" w:cs="宋体"/>
                <w:color w:val="000000"/>
                <w:kern w:val="0"/>
                <w:sz w:val="20"/>
              </w:rPr>
              <w:t>＜</w:t>
            </w:r>
            <w:r>
              <w:rPr>
                <w:rFonts w:ascii="宋体" w:hAnsi="宋体" w:cs="宋体"/>
                <w:color w:val="000000"/>
                <w:kern w:val="0"/>
                <w:sz w:val="20"/>
              </w:rPr>
              <w:t>100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11</w:t>
            </w:r>
            <w:r>
              <w:rPr>
                <w:rFonts w:hint="eastAsia" w:ascii="宋体" w:hAnsi="宋体" w:cs="宋体"/>
                <w:color w:val="000000"/>
                <w:kern w:val="0"/>
                <w:sz w:val="20"/>
              </w:rPr>
              <w:t>、信息传输业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2000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496"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12</w:t>
            </w:r>
            <w:r>
              <w:rPr>
                <w:rFonts w:hint="eastAsia" w:ascii="宋体" w:hAnsi="宋体" w:cs="宋体"/>
                <w:color w:val="000000"/>
                <w:kern w:val="0"/>
                <w:sz w:val="20"/>
              </w:rPr>
              <w:t>、软件和信息技术服务业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 xml:space="preserve"> 50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13</w:t>
            </w:r>
            <w:r>
              <w:rPr>
                <w:rFonts w:hint="eastAsia" w:ascii="宋体" w:hAnsi="宋体" w:cs="宋体"/>
                <w:color w:val="000000"/>
                <w:kern w:val="0"/>
                <w:sz w:val="20"/>
              </w:rPr>
              <w:t>、房地产开发经营</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200000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5000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10000</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2000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5000</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2000</w:t>
            </w:r>
          </w:p>
        </w:tc>
      </w:tr>
      <w:tr>
        <w:tblPrEx>
          <w:tblCellMar>
            <w:top w:w="0" w:type="dxa"/>
            <w:left w:w="108" w:type="dxa"/>
            <w:bottom w:w="0" w:type="dxa"/>
            <w:right w:w="108" w:type="dxa"/>
          </w:tblCellMar>
        </w:tblPrEx>
        <w:trPr>
          <w:gridAfter w:val="1"/>
          <w:wAfter w:w="8" w:type="dxa"/>
          <w:trHeight w:val="496"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14</w:t>
            </w:r>
            <w:r>
              <w:rPr>
                <w:rFonts w:hint="eastAsia" w:ascii="宋体" w:hAnsi="宋体" w:cs="宋体"/>
                <w:color w:val="000000"/>
                <w:kern w:val="0"/>
                <w:sz w:val="20"/>
              </w:rPr>
              <w:t>、物业管理</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300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5000</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500</w:t>
            </w:r>
            <w:r>
              <w:rPr>
                <w:rFonts w:hint="eastAsia" w:ascii="宋体" w:hAnsi="宋体" w:cs="宋体"/>
                <w:color w:val="000000"/>
                <w:kern w:val="0"/>
                <w:sz w:val="20"/>
              </w:rPr>
              <w:t>≤</w:t>
            </w: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1000</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Y</w:t>
            </w:r>
            <w:r>
              <w:rPr>
                <w:rFonts w:hint="eastAsia" w:ascii="宋体" w:hAnsi="宋体" w:cs="宋体"/>
                <w:color w:val="000000"/>
                <w:kern w:val="0"/>
                <w:sz w:val="20"/>
              </w:rPr>
              <w:t>＜</w:t>
            </w:r>
            <w:r>
              <w:rPr>
                <w:rFonts w:ascii="宋体" w:hAnsi="宋体" w:cs="宋体"/>
                <w:color w:val="000000"/>
                <w:kern w:val="0"/>
                <w:sz w:val="20"/>
              </w:rPr>
              <w:t>500</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gridAfter w:val="1"/>
          <w:wAfter w:w="8" w:type="dxa"/>
          <w:trHeight w:val="496" w:hRule="atLeast"/>
        </w:trPr>
        <w:tc>
          <w:tcPr>
            <w:tcW w:w="2006"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15</w:t>
            </w:r>
            <w:r>
              <w:rPr>
                <w:rFonts w:hint="eastAsia" w:ascii="宋体" w:hAnsi="宋体" w:cs="宋体"/>
                <w:color w:val="000000"/>
                <w:kern w:val="0"/>
                <w:sz w:val="20"/>
              </w:rPr>
              <w:t>、租赁和商务服务业</w:t>
            </w:r>
          </w:p>
        </w:tc>
        <w:tc>
          <w:tcPr>
            <w:tcW w:w="151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81"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680"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8000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120000</w:t>
            </w:r>
          </w:p>
        </w:tc>
        <w:tc>
          <w:tcPr>
            <w:tcW w:w="1253"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6"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539"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 xml:space="preserve"> 100</w:t>
            </w:r>
            <w:r>
              <w:rPr>
                <w:rFonts w:hint="eastAsia" w:ascii="宋体" w:hAnsi="宋体" w:cs="宋体"/>
                <w:color w:val="000000"/>
                <w:kern w:val="0"/>
                <w:sz w:val="20"/>
              </w:rPr>
              <w:t>≤</w:t>
            </w: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8000</w:t>
            </w:r>
          </w:p>
        </w:tc>
        <w:tc>
          <w:tcPr>
            <w:tcW w:w="129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8"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3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Z</w:t>
            </w:r>
            <w:r>
              <w:rPr>
                <w:rFonts w:hint="eastAsia" w:ascii="宋体" w:hAnsi="宋体" w:cs="宋体"/>
                <w:color w:val="000000"/>
                <w:kern w:val="0"/>
                <w:sz w:val="20"/>
              </w:rPr>
              <w:t>＜</w:t>
            </w:r>
            <w:r>
              <w:rPr>
                <w:rFonts w:ascii="宋体" w:hAnsi="宋体" w:cs="宋体"/>
                <w:color w:val="000000"/>
                <w:kern w:val="0"/>
                <w:sz w:val="20"/>
              </w:rPr>
              <w:t>100</w:t>
            </w:r>
          </w:p>
        </w:tc>
      </w:tr>
      <w:tr>
        <w:tblPrEx>
          <w:tblCellMar>
            <w:top w:w="0" w:type="dxa"/>
            <w:left w:w="108" w:type="dxa"/>
            <w:bottom w:w="0" w:type="dxa"/>
            <w:right w:w="108" w:type="dxa"/>
          </w:tblCellMar>
        </w:tblPrEx>
        <w:trPr>
          <w:gridAfter w:val="1"/>
          <w:wAfter w:w="8" w:type="dxa"/>
          <w:trHeight w:val="277" w:hRule="atLeast"/>
        </w:trPr>
        <w:tc>
          <w:tcPr>
            <w:tcW w:w="2006"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color w:val="000000"/>
                <w:kern w:val="0"/>
                <w:sz w:val="20"/>
              </w:rPr>
            </w:pPr>
            <w:r>
              <w:rPr>
                <w:rFonts w:ascii="宋体" w:hAnsi="宋体" w:cs="宋体"/>
                <w:color w:val="000000"/>
                <w:kern w:val="0"/>
                <w:sz w:val="20"/>
              </w:rPr>
              <w:t>16</w:t>
            </w:r>
            <w:r>
              <w:rPr>
                <w:rFonts w:hint="eastAsia" w:ascii="宋体" w:hAnsi="宋体" w:cs="宋体"/>
                <w:color w:val="000000"/>
                <w:kern w:val="0"/>
                <w:sz w:val="20"/>
              </w:rPr>
              <w:t>、其他未列明行业</w:t>
            </w:r>
          </w:p>
        </w:tc>
        <w:tc>
          <w:tcPr>
            <w:tcW w:w="1514"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300</w:t>
            </w:r>
          </w:p>
        </w:tc>
        <w:tc>
          <w:tcPr>
            <w:tcW w:w="1781"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680"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53"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10</w:t>
            </w:r>
            <w:r>
              <w:rPr>
                <w:rFonts w:hint="eastAsia" w:ascii="宋体" w:hAnsi="宋体" w:cs="宋体"/>
                <w:color w:val="000000"/>
                <w:kern w:val="0"/>
                <w:sz w:val="20"/>
              </w:rPr>
              <w:t>≤</w:t>
            </w: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100</w:t>
            </w:r>
          </w:p>
        </w:tc>
        <w:tc>
          <w:tcPr>
            <w:tcW w:w="1496"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539"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98"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000000"/>
                <w:kern w:val="0"/>
                <w:sz w:val="20"/>
              </w:rPr>
            </w:pPr>
            <w:r>
              <w:rPr>
                <w:rFonts w:ascii="宋体" w:hAnsi="宋体" w:cs="宋体"/>
                <w:color w:val="000000"/>
                <w:kern w:val="0"/>
                <w:sz w:val="20"/>
              </w:rPr>
              <w:t>X</w:t>
            </w:r>
            <w:r>
              <w:rPr>
                <w:rFonts w:hint="eastAsia" w:ascii="宋体" w:hAnsi="宋体" w:cs="宋体"/>
                <w:color w:val="000000"/>
                <w:kern w:val="0"/>
                <w:sz w:val="20"/>
              </w:rPr>
              <w:t>＜</w:t>
            </w:r>
            <w:r>
              <w:rPr>
                <w:rFonts w:ascii="宋体" w:hAnsi="宋体" w:cs="宋体"/>
                <w:color w:val="000000"/>
                <w:kern w:val="0"/>
                <w:sz w:val="20"/>
              </w:rPr>
              <w:t>10</w:t>
            </w:r>
          </w:p>
        </w:tc>
        <w:tc>
          <w:tcPr>
            <w:tcW w:w="1288"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c>
          <w:tcPr>
            <w:tcW w:w="1237"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857" w:hRule="atLeast"/>
        </w:trPr>
        <w:tc>
          <w:tcPr>
            <w:tcW w:w="15100" w:type="dxa"/>
            <w:gridSpan w:val="11"/>
            <w:tcBorders>
              <w:top w:val="nil"/>
              <w:left w:val="nil"/>
              <w:bottom w:val="nil"/>
              <w:right w:val="nil"/>
            </w:tcBorders>
            <w:noWrap w:val="0"/>
            <w:vAlign w:val="bottom"/>
          </w:tcPr>
          <w:p>
            <w:pPr>
              <w:widowControl/>
              <w:wordWrap w:val="0"/>
              <w:jc w:val="left"/>
              <w:rPr>
                <w:rFonts w:ascii="宋体" w:hAnsi="宋体" w:cs="宋体"/>
                <w:color w:val="000000"/>
                <w:kern w:val="0"/>
                <w:sz w:val="20"/>
              </w:rPr>
            </w:pPr>
            <w:r>
              <w:rPr>
                <w:rFonts w:hint="eastAsia" w:ascii="宋体" w:hAnsi="宋体" w:cs="宋体"/>
                <w:color w:val="000000"/>
                <w:kern w:val="0"/>
                <w:sz w:val="20"/>
              </w:rPr>
              <w:t>说明　</w:t>
            </w:r>
            <w:r>
              <w:rPr>
                <w:rFonts w:ascii="宋体" w:hAnsi="宋体" w:cs="宋体"/>
                <w:color w:val="000000"/>
                <w:kern w:val="0"/>
                <w:sz w:val="20"/>
              </w:rPr>
              <w:t>1</w:t>
            </w:r>
            <w:r>
              <w:rPr>
                <w:rFonts w:hint="eastAsia" w:ascii="宋体" w:hAnsi="宋体" w:cs="宋体"/>
                <w:color w:val="000000"/>
                <w:kern w:val="0"/>
                <w:sz w:val="20"/>
              </w:rPr>
              <w:t>、企业类型的划分以统计部门的统计数据为依据。</w:t>
            </w:r>
          </w:p>
          <w:p>
            <w:pPr>
              <w:widowControl/>
              <w:wordWrap w:val="0"/>
              <w:ind w:firstLine="600" w:firstLineChars="300"/>
              <w:jc w:val="left"/>
              <w:rPr>
                <w:rFonts w:ascii="宋体" w:hAnsi="宋体" w:cs="宋体"/>
                <w:color w:val="000000"/>
                <w:kern w:val="0"/>
                <w:sz w:val="20"/>
              </w:rPr>
            </w:pPr>
            <w:r>
              <w:rPr>
                <w:rFonts w:ascii="宋体" w:hAnsi="宋体" w:cs="宋体"/>
                <w:color w:val="000000"/>
                <w:kern w:val="0"/>
                <w:sz w:val="20"/>
              </w:rPr>
              <w:t>2</w:t>
            </w:r>
            <w:r>
              <w:rPr>
                <w:rFonts w:hint="eastAsia" w:ascii="宋体" w:hAnsi="宋体" w:cs="宋体"/>
                <w:color w:val="000000"/>
                <w:kern w:val="0"/>
                <w:sz w:val="20"/>
              </w:rPr>
              <w:t>、个体工商户和本规定以外的行业，参照本规定进行划型。</w:t>
            </w:r>
          </w:p>
          <w:p>
            <w:pPr>
              <w:widowControl/>
              <w:wordWrap w:val="0"/>
              <w:ind w:firstLine="600" w:firstLineChars="300"/>
              <w:jc w:val="left"/>
              <w:rPr>
                <w:rFonts w:ascii="宋体" w:hAnsi="宋体" w:cs="宋体"/>
                <w:color w:val="000000"/>
                <w:kern w:val="0"/>
                <w:sz w:val="20"/>
              </w:rPr>
            </w:pPr>
            <w:r>
              <w:rPr>
                <w:rFonts w:ascii="宋体" w:hAnsi="宋体" w:cs="宋体"/>
                <w:color w:val="000000"/>
                <w:kern w:val="0"/>
                <w:sz w:val="20"/>
              </w:rPr>
              <w:t>3</w:t>
            </w:r>
            <w:r>
              <w:rPr>
                <w:rFonts w:hint="eastAsia" w:ascii="宋体" w:hAnsi="宋体" w:cs="宋体"/>
                <w:color w:val="000000"/>
                <w:kern w:val="0"/>
                <w:sz w:val="20"/>
              </w:rPr>
              <w:t>、本规定的中型企业标准上限即为大型企业标准的下限。</w:t>
            </w:r>
          </w:p>
        </w:tc>
      </w:tr>
    </w:tbl>
    <w:p>
      <w:pPr>
        <w:rPr>
          <w:color w:val="auto"/>
          <w:highlight w:val="none"/>
        </w:rPr>
      </w:pPr>
    </w:p>
    <w:sectPr>
      <w:pgSz w:w="16838" w:h="11906" w:orient="landscape"/>
      <w:pgMar w:top="1417" w:right="1474" w:bottom="1417" w:left="1418" w:header="851" w:footer="850" w:gutter="0"/>
      <w:paperSrc/>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atangChe">
    <w:altName w:val="Malgun Gothic"/>
    <w:panose1 w:val="02030609000101010101"/>
    <w:charset w:val="81"/>
    <w:family w:val="modern"/>
    <w:pitch w:val="default"/>
    <w:sig w:usb0="B00002AF" w:usb1="69D77CFB" w:usb2="00000030" w:usb3="00000000" w:csb0="4008009F" w:csb1="DFD70000"/>
  </w:font>
  <w:font w:name="微软雅黑">
    <w:panose1 w:val="020B0503020204020204"/>
    <w:charset w:val="86"/>
    <w:family w:val="swiss"/>
    <w:pitch w:val="default"/>
    <w:sig w:usb0="80000287" w:usb1="2ACF3C50" w:usb2="00000016" w:usb3="00000000" w:csb0="0004001F" w:csb1="00000000"/>
  </w:font>
  <w:font w:name="方正书宋_GBK">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305"/>
        <w:tab w:val="center" w:pos="4535"/>
      </w:tabs>
    </w:pPr>
    <w:r>
      <w:tab/>
    </w:r>
    <w:r>
      <w:tab/>
    </w:r>
    <w:r>
      <w:tab/>
    </w:r>
    <w:r>
      <w:fldChar w:fldCharType="begin"/>
    </w:r>
    <w:r>
      <w:instrText xml:space="preserve"> PAGE   \* MERGEFORMAT </w:instrText>
    </w:r>
    <w:r>
      <w:fldChar w:fldCharType="separate"/>
    </w:r>
    <w:r>
      <w:rPr>
        <w:lang w:val="zh-CN"/>
      </w:rPr>
      <w:t>112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FDA41A44"/>
    <w:multiLevelType w:val="singleLevel"/>
    <w:tmpl w:val="FDA41A44"/>
    <w:lvl w:ilvl="0" w:tentative="0">
      <w:start w:val="1"/>
      <w:numFmt w:val="decimal"/>
      <w:suff w:val="nothing"/>
      <w:lvlText w:val="（%1）"/>
      <w:lvlJc w:val="left"/>
    </w:lvl>
  </w:abstractNum>
  <w:abstractNum w:abstractNumId="2">
    <w:nsid w:val="00000017"/>
    <w:multiLevelType w:val="singleLevel"/>
    <w:tmpl w:val="00000017"/>
    <w:lvl w:ilvl="0" w:tentative="0">
      <w:start w:val="1"/>
      <w:numFmt w:val="decimal"/>
      <w:suff w:val="nothing"/>
      <w:lvlText w:val="%1."/>
      <w:lvlJc w:val="left"/>
    </w:lvl>
  </w:abstractNum>
  <w:abstractNum w:abstractNumId="3">
    <w:nsid w:val="2C37CBC2"/>
    <w:multiLevelType w:val="singleLevel"/>
    <w:tmpl w:val="2C37CBC2"/>
    <w:lvl w:ilvl="0" w:tentative="0">
      <w:start w:val="2"/>
      <w:numFmt w:val="decimal"/>
      <w:suff w:val="space"/>
      <w:lvlText w:val="%1."/>
      <w:lvlJc w:val="left"/>
    </w:lvl>
  </w:abstractNum>
  <w:abstractNum w:abstractNumId="4">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4EBB5C06"/>
    <w:multiLevelType w:val="singleLevel"/>
    <w:tmpl w:val="4EBB5C06"/>
    <w:lvl w:ilvl="0" w:tentative="0">
      <w:start w:val="1"/>
      <w:numFmt w:val="decimal"/>
      <w:suff w:val="nothing"/>
      <w:lvlText w:val="（%1）"/>
      <w:lvlJc w:val="left"/>
    </w:lvl>
  </w:abstractNum>
  <w:abstractNum w:abstractNumId="6">
    <w:nsid w:val="7BD26A88"/>
    <w:multiLevelType w:val="multilevel"/>
    <w:tmpl w:val="7BD26A88"/>
    <w:lvl w:ilvl="0" w:tentative="0">
      <w:start w:val="1"/>
      <w:numFmt w:val="decimal"/>
      <w:lvlText w:val="%1、"/>
      <w:lvlJc w:val="left"/>
      <w:pPr>
        <w:tabs>
          <w:tab w:val="left" w:pos="832"/>
        </w:tabs>
        <w:ind w:left="832" w:hanging="360"/>
      </w:pPr>
      <w:rPr>
        <w:rFonts w:hint="default"/>
        <w:b/>
      </w:rPr>
    </w:lvl>
    <w:lvl w:ilvl="1" w:tentative="0">
      <w:start w:val="1"/>
      <w:numFmt w:val="lowerLetter"/>
      <w:lvlText w:val="%2)"/>
      <w:lvlJc w:val="left"/>
      <w:pPr>
        <w:tabs>
          <w:tab w:val="left" w:pos="1312"/>
        </w:tabs>
        <w:ind w:left="1312" w:hanging="420"/>
      </w:pPr>
    </w:lvl>
    <w:lvl w:ilvl="2" w:tentative="0">
      <w:start w:val="1"/>
      <w:numFmt w:val="lowerRoman"/>
      <w:lvlText w:val="%3."/>
      <w:lvlJc w:val="right"/>
      <w:pPr>
        <w:tabs>
          <w:tab w:val="left" w:pos="1732"/>
        </w:tabs>
        <w:ind w:left="1732" w:hanging="420"/>
      </w:pPr>
    </w:lvl>
    <w:lvl w:ilvl="3" w:tentative="0">
      <w:start w:val="1"/>
      <w:numFmt w:val="decimal"/>
      <w:lvlText w:val="%4."/>
      <w:lvlJc w:val="left"/>
      <w:pPr>
        <w:tabs>
          <w:tab w:val="left" w:pos="2152"/>
        </w:tabs>
        <w:ind w:left="2152" w:hanging="420"/>
      </w:pPr>
    </w:lvl>
    <w:lvl w:ilvl="4" w:tentative="0">
      <w:start w:val="1"/>
      <w:numFmt w:val="lowerLetter"/>
      <w:lvlText w:val="%5)"/>
      <w:lvlJc w:val="left"/>
      <w:pPr>
        <w:tabs>
          <w:tab w:val="left" w:pos="2572"/>
        </w:tabs>
        <w:ind w:left="2572" w:hanging="420"/>
      </w:pPr>
    </w:lvl>
    <w:lvl w:ilvl="5" w:tentative="0">
      <w:start w:val="1"/>
      <w:numFmt w:val="lowerRoman"/>
      <w:lvlText w:val="%6."/>
      <w:lvlJc w:val="right"/>
      <w:pPr>
        <w:tabs>
          <w:tab w:val="left" w:pos="2992"/>
        </w:tabs>
        <w:ind w:left="2992" w:hanging="420"/>
      </w:pPr>
    </w:lvl>
    <w:lvl w:ilvl="6" w:tentative="0">
      <w:start w:val="1"/>
      <w:numFmt w:val="decimal"/>
      <w:lvlText w:val="%7."/>
      <w:lvlJc w:val="left"/>
      <w:pPr>
        <w:tabs>
          <w:tab w:val="left" w:pos="3412"/>
        </w:tabs>
        <w:ind w:left="3412" w:hanging="420"/>
      </w:pPr>
    </w:lvl>
    <w:lvl w:ilvl="7" w:tentative="0">
      <w:start w:val="1"/>
      <w:numFmt w:val="lowerLetter"/>
      <w:lvlText w:val="%8)"/>
      <w:lvlJc w:val="left"/>
      <w:pPr>
        <w:tabs>
          <w:tab w:val="left" w:pos="3832"/>
        </w:tabs>
        <w:ind w:left="3832" w:hanging="420"/>
      </w:pPr>
    </w:lvl>
    <w:lvl w:ilvl="8" w:tentative="0">
      <w:start w:val="1"/>
      <w:numFmt w:val="lowerRoman"/>
      <w:lvlText w:val="%9."/>
      <w:lvlJc w:val="right"/>
      <w:pPr>
        <w:tabs>
          <w:tab w:val="left" w:pos="4252"/>
        </w:tabs>
        <w:ind w:left="4252" w:hanging="420"/>
      </w:pPr>
    </w:lvl>
  </w:abstractNum>
  <w:num w:numId="1">
    <w:abstractNumId w:val="4"/>
  </w:num>
  <w:num w:numId="2">
    <w:abstractNumId w:val="5"/>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MzhhMTQyN2ExMTczODA0YjdhMGZmZjQ3ODM0MGQifQ=="/>
    <w:docVar w:name="KGWebUrl" w:val="http://183.134.232.69:8090/infrastructure/handlers/weboffice-data.ashx?relId=/upload/IWebOffice/huiqian25889.doc"/>
  </w:docVars>
  <w:rsids>
    <w:rsidRoot w:val="10C40B2E"/>
    <w:rsid w:val="00001AEA"/>
    <w:rsid w:val="00001F8D"/>
    <w:rsid w:val="000673BB"/>
    <w:rsid w:val="000C6DFA"/>
    <w:rsid w:val="001070F5"/>
    <w:rsid w:val="00110202"/>
    <w:rsid w:val="001556FA"/>
    <w:rsid w:val="0019264A"/>
    <w:rsid w:val="001F45A6"/>
    <w:rsid w:val="001F4F16"/>
    <w:rsid w:val="002078D8"/>
    <w:rsid w:val="002214E2"/>
    <w:rsid w:val="00277BFE"/>
    <w:rsid w:val="002976DE"/>
    <w:rsid w:val="002C19ED"/>
    <w:rsid w:val="003074EC"/>
    <w:rsid w:val="00342031"/>
    <w:rsid w:val="00376493"/>
    <w:rsid w:val="003A542F"/>
    <w:rsid w:val="00464084"/>
    <w:rsid w:val="0049314A"/>
    <w:rsid w:val="004C5F82"/>
    <w:rsid w:val="0053299B"/>
    <w:rsid w:val="00555EB4"/>
    <w:rsid w:val="00581A06"/>
    <w:rsid w:val="00581B44"/>
    <w:rsid w:val="005C73A6"/>
    <w:rsid w:val="00644F2B"/>
    <w:rsid w:val="00672801"/>
    <w:rsid w:val="006847BB"/>
    <w:rsid w:val="006C1E01"/>
    <w:rsid w:val="006C36CE"/>
    <w:rsid w:val="006D438C"/>
    <w:rsid w:val="00702882"/>
    <w:rsid w:val="007655C6"/>
    <w:rsid w:val="00797B5A"/>
    <w:rsid w:val="007B6039"/>
    <w:rsid w:val="007F2ECF"/>
    <w:rsid w:val="00821B03"/>
    <w:rsid w:val="00871292"/>
    <w:rsid w:val="0090371A"/>
    <w:rsid w:val="00944AE6"/>
    <w:rsid w:val="0096632E"/>
    <w:rsid w:val="009A2ED5"/>
    <w:rsid w:val="009E78C8"/>
    <w:rsid w:val="009F54C8"/>
    <w:rsid w:val="00A073F5"/>
    <w:rsid w:val="00A606E3"/>
    <w:rsid w:val="00AA09B9"/>
    <w:rsid w:val="00AC755B"/>
    <w:rsid w:val="00AD51D5"/>
    <w:rsid w:val="00B34A9D"/>
    <w:rsid w:val="00B424EB"/>
    <w:rsid w:val="00BC2A9C"/>
    <w:rsid w:val="00BE4793"/>
    <w:rsid w:val="00BF30E8"/>
    <w:rsid w:val="00C06770"/>
    <w:rsid w:val="00C30389"/>
    <w:rsid w:val="00C816D9"/>
    <w:rsid w:val="00CE67B0"/>
    <w:rsid w:val="00D5381C"/>
    <w:rsid w:val="00E70F10"/>
    <w:rsid w:val="00F510F3"/>
    <w:rsid w:val="00F87A28"/>
    <w:rsid w:val="00F945A2"/>
    <w:rsid w:val="00FA472E"/>
    <w:rsid w:val="00FF0559"/>
    <w:rsid w:val="01430DE1"/>
    <w:rsid w:val="018067FB"/>
    <w:rsid w:val="01E310B9"/>
    <w:rsid w:val="01FB17A3"/>
    <w:rsid w:val="024F141E"/>
    <w:rsid w:val="039E740C"/>
    <w:rsid w:val="05504736"/>
    <w:rsid w:val="06420C38"/>
    <w:rsid w:val="06471F26"/>
    <w:rsid w:val="0A2D6ED4"/>
    <w:rsid w:val="0C770C50"/>
    <w:rsid w:val="0D374CF0"/>
    <w:rsid w:val="0D606368"/>
    <w:rsid w:val="0D892E9F"/>
    <w:rsid w:val="0E672C2F"/>
    <w:rsid w:val="0F04250C"/>
    <w:rsid w:val="10C40B2E"/>
    <w:rsid w:val="11100256"/>
    <w:rsid w:val="11CE017F"/>
    <w:rsid w:val="122B332B"/>
    <w:rsid w:val="125138D3"/>
    <w:rsid w:val="12B44A13"/>
    <w:rsid w:val="12B55D3A"/>
    <w:rsid w:val="1370730C"/>
    <w:rsid w:val="139F28ED"/>
    <w:rsid w:val="147815FB"/>
    <w:rsid w:val="15861D58"/>
    <w:rsid w:val="163E4488"/>
    <w:rsid w:val="1C3B65DD"/>
    <w:rsid w:val="1CB8732D"/>
    <w:rsid w:val="1EBC2869"/>
    <w:rsid w:val="1F141D8D"/>
    <w:rsid w:val="1F5B77C8"/>
    <w:rsid w:val="202D1DEC"/>
    <w:rsid w:val="204E3425"/>
    <w:rsid w:val="2246751B"/>
    <w:rsid w:val="22DC30C2"/>
    <w:rsid w:val="239429C9"/>
    <w:rsid w:val="257D44A6"/>
    <w:rsid w:val="274B28A7"/>
    <w:rsid w:val="2BB956BA"/>
    <w:rsid w:val="2DC16F72"/>
    <w:rsid w:val="2E613C69"/>
    <w:rsid w:val="2F4B4E01"/>
    <w:rsid w:val="2FDF1F8E"/>
    <w:rsid w:val="3029612C"/>
    <w:rsid w:val="329911E1"/>
    <w:rsid w:val="32B55A55"/>
    <w:rsid w:val="347673CF"/>
    <w:rsid w:val="34CB5A03"/>
    <w:rsid w:val="34FE184B"/>
    <w:rsid w:val="35D21337"/>
    <w:rsid w:val="36B70803"/>
    <w:rsid w:val="37BD67D4"/>
    <w:rsid w:val="38D50717"/>
    <w:rsid w:val="3A242699"/>
    <w:rsid w:val="3B4B5B37"/>
    <w:rsid w:val="3BFB487C"/>
    <w:rsid w:val="3DF87F20"/>
    <w:rsid w:val="3FEE7EAC"/>
    <w:rsid w:val="419E7FFC"/>
    <w:rsid w:val="427C747D"/>
    <w:rsid w:val="43DE475D"/>
    <w:rsid w:val="443F2015"/>
    <w:rsid w:val="45F468CD"/>
    <w:rsid w:val="46F0788F"/>
    <w:rsid w:val="47C06F1E"/>
    <w:rsid w:val="4ABD7C9A"/>
    <w:rsid w:val="4B8D1045"/>
    <w:rsid w:val="4D057181"/>
    <w:rsid w:val="4E0F0915"/>
    <w:rsid w:val="4EB76CBE"/>
    <w:rsid w:val="4EED7286"/>
    <w:rsid w:val="4F92218D"/>
    <w:rsid w:val="4FB24072"/>
    <w:rsid w:val="514A7FE0"/>
    <w:rsid w:val="523D1DE7"/>
    <w:rsid w:val="538E5657"/>
    <w:rsid w:val="541C2CD2"/>
    <w:rsid w:val="54A52137"/>
    <w:rsid w:val="55747088"/>
    <w:rsid w:val="576F5F0E"/>
    <w:rsid w:val="577129C4"/>
    <w:rsid w:val="5A0F2EE2"/>
    <w:rsid w:val="5AF05724"/>
    <w:rsid w:val="5F917AF1"/>
    <w:rsid w:val="61144A0A"/>
    <w:rsid w:val="61B213B1"/>
    <w:rsid w:val="62265F0C"/>
    <w:rsid w:val="625E1DB9"/>
    <w:rsid w:val="62EF64B1"/>
    <w:rsid w:val="642A53C1"/>
    <w:rsid w:val="66EC1DF0"/>
    <w:rsid w:val="682B60AC"/>
    <w:rsid w:val="6B423C79"/>
    <w:rsid w:val="6CB343F4"/>
    <w:rsid w:val="6D194713"/>
    <w:rsid w:val="6DC62743"/>
    <w:rsid w:val="6E7756A8"/>
    <w:rsid w:val="6FA11B0D"/>
    <w:rsid w:val="70085387"/>
    <w:rsid w:val="70392C1F"/>
    <w:rsid w:val="705609E4"/>
    <w:rsid w:val="70B86DF1"/>
    <w:rsid w:val="710C38CE"/>
    <w:rsid w:val="71290608"/>
    <w:rsid w:val="725A3960"/>
    <w:rsid w:val="72A165FF"/>
    <w:rsid w:val="73EF73C1"/>
    <w:rsid w:val="74E039E8"/>
    <w:rsid w:val="750D30E8"/>
    <w:rsid w:val="7A0B2CEA"/>
    <w:rsid w:val="7A6D5798"/>
    <w:rsid w:val="7A802251"/>
    <w:rsid w:val="7BDA1655"/>
    <w:rsid w:val="7C1741D9"/>
    <w:rsid w:val="7CBD2FBD"/>
    <w:rsid w:val="7D1378B4"/>
    <w:rsid w:val="7DD87E16"/>
    <w:rsid w:val="7F5279F7"/>
    <w:rsid w:val="7F902A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9"/>
    <w:pPr>
      <w:keepNext/>
      <w:keepLines/>
      <w:spacing w:line="720" w:lineRule="exact"/>
      <w:jc w:val="center"/>
      <w:outlineLvl w:val="0"/>
    </w:pPr>
    <w:rPr>
      <w:b/>
      <w:bCs/>
      <w:kern w:val="44"/>
      <w:sz w:val="32"/>
      <w:szCs w:val="44"/>
    </w:rPr>
  </w:style>
  <w:style w:type="paragraph" w:styleId="4">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2">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styleId="5">
    <w:name w:val="Body Text Indent"/>
    <w:basedOn w:val="1"/>
    <w:qFormat/>
    <w:uiPriority w:val="0"/>
    <w:pPr>
      <w:spacing w:after="120"/>
      <w:ind w:left="420" w:leftChars="200"/>
    </w:pPr>
    <w:rPr>
      <w:szCs w:val="24"/>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spacing w:line="360" w:lineRule="auto"/>
      <w:ind w:left="420" w:firstLine="482"/>
    </w:pPr>
    <w:rPr>
      <w:rFonts w:ascii="宋体" w:hAnsi="宋体"/>
      <w:b/>
      <w:sz w:val="24"/>
      <w:szCs w:val="24"/>
    </w:rPr>
  </w:style>
  <w:style w:type="paragraph" w:styleId="8">
    <w:name w:val="Balloon Text"/>
    <w:basedOn w:val="1"/>
    <w:link w:val="18"/>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itle"/>
    <w:basedOn w:val="1"/>
    <w:next w:val="1"/>
    <w:qFormat/>
    <w:uiPriority w:val="99"/>
    <w:pPr>
      <w:jc w:val="center"/>
    </w:pPr>
    <w:rPr>
      <w:b/>
      <w:sz w:val="32"/>
      <w:szCs w:val="32"/>
    </w:rPr>
  </w:style>
  <w:style w:type="character" w:styleId="15">
    <w:name w:val="Strong"/>
    <w:qFormat/>
    <w:uiPriority w:val="0"/>
    <w:rPr>
      <w:b/>
      <w:bCs/>
    </w:rPr>
  </w:style>
  <w:style w:type="character" w:styleId="16">
    <w:name w:val="Emphasis"/>
    <w:qFormat/>
    <w:uiPriority w:val="0"/>
    <w:rPr>
      <w:color w:val="CC0000"/>
    </w:rPr>
  </w:style>
  <w:style w:type="character" w:styleId="17">
    <w:name w:val="Hyperlink"/>
    <w:basedOn w:val="14"/>
    <w:unhideWhenUsed/>
    <w:qFormat/>
    <w:uiPriority w:val="99"/>
    <w:rPr>
      <w:color w:val="0000FF"/>
      <w:u w:val="single"/>
    </w:rPr>
  </w:style>
  <w:style w:type="character" w:customStyle="1" w:styleId="18">
    <w:name w:val="批注框文本 Char"/>
    <w:basedOn w:val="14"/>
    <w:link w:val="8"/>
    <w:qFormat/>
    <w:uiPriority w:val="0"/>
    <w:rPr>
      <w:kern w:val="2"/>
      <w:sz w:val="18"/>
      <w:szCs w:val="18"/>
    </w:rPr>
  </w:style>
  <w:style w:type="character" w:customStyle="1" w:styleId="19">
    <w:name w:val="font171"/>
    <w:basedOn w:val="14"/>
    <w:uiPriority w:val="0"/>
    <w:rPr>
      <w:rFonts w:hint="eastAsia" w:ascii="宋体" w:hAnsi="宋体" w:eastAsia="宋体" w:cs="宋体"/>
      <w:color w:val="000000"/>
      <w:sz w:val="18"/>
      <w:szCs w:val="18"/>
      <w:u w:val="none"/>
    </w:rPr>
  </w:style>
  <w:style w:type="character" w:customStyle="1" w:styleId="20">
    <w:name w:val="font51"/>
    <w:basedOn w:val="14"/>
    <w:qFormat/>
    <w:uiPriority w:val="0"/>
    <w:rPr>
      <w:rFonts w:ascii="BatangChe" w:hAnsi="BatangChe" w:eastAsia="BatangChe" w:cs="BatangChe"/>
      <w:color w:val="000000"/>
      <w:sz w:val="20"/>
      <w:szCs w:val="20"/>
      <w:u w:val="none"/>
    </w:rPr>
  </w:style>
  <w:style w:type="character" w:customStyle="1" w:styleId="21">
    <w:name w:val="font91"/>
    <w:basedOn w:val="14"/>
    <w:qFormat/>
    <w:uiPriority w:val="0"/>
    <w:rPr>
      <w:rFonts w:hint="default" w:ascii="Arial" w:hAnsi="Arial" w:cs="Arial"/>
      <w:color w:val="FF0000"/>
      <w:sz w:val="20"/>
      <w:szCs w:val="20"/>
      <w:u w:val="none"/>
    </w:rPr>
  </w:style>
  <w:style w:type="character" w:customStyle="1" w:styleId="22">
    <w:name w:val="font61"/>
    <w:basedOn w:val="14"/>
    <w:qFormat/>
    <w:uiPriority w:val="0"/>
    <w:rPr>
      <w:rFonts w:hint="eastAsia" w:ascii="宋体" w:hAnsi="宋体" w:eastAsia="宋体" w:cs="宋体"/>
      <w:color w:val="000000"/>
      <w:sz w:val="16"/>
      <w:szCs w:val="16"/>
      <w:u w:val="none"/>
    </w:rPr>
  </w:style>
  <w:style w:type="character" w:customStyle="1" w:styleId="23">
    <w:name w:val="font31"/>
    <w:basedOn w:val="14"/>
    <w:qFormat/>
    <w:uiPriority w:val="0"/>
    <w:rPr>
      <w:rFonts w:hint="eastAsia" w:ascii="微软雅黑" w:hAnsi="微软雅黑" w:eastAsia="微软雅黑" w:cs="微软雅黑"/>
      <w:color w:val="000000"/>
      <w:sz w:val="20"/>
      <w:szCs w:val="20"/>
      <w:u w:val="none"/>
    </w:rPr>
  </w:style>
  <w:style w:type="character" w:customStyle="1" w:styleId="24">
    <w:name w:val="font21"/>
    <w:basedOn w:val="14"/>
    <w:qFormat/>
    <w:uiPriority w:val="0"/>
    <w:rPr>
      <w:rFonts w:hint="eastAsia" w:ascii="微软雅黑" w:hAnsi="微软雅黑" w:eastAsia="微软雅黑" w:cs="微软雅黑"/>
      <w:color w:val="000000"/>
      <w:sz w:val="20"/>
      <w:szCs w:val="20"/>
      <w:u w:val="none"/>
    </w:rPr>
  </w:style>
  <w:style w:type="character" w:customStyle="1" w:styleId="25">
    <w:name w:val="font191"/>
    <w:basedOn w:val="14"/>
    <w:uiPriority w:val="0"/>
    <w:rPr>
      <w:rFonts w:ascii="方正书宋_GBK" w:hAnsi="方正书宋_GBK" w:eastAsia="方正书宋_GBK" w:cs="方正书宋_GBK"/>
      <w:color w:val="000000"/>
      <w:sz w:val="20"/>
      <w:szCs w:val="20"/>
      <w:u w:val="none"/>
    </w:rPr>
  </w:style>
  <w:style w:type="character" w:customStyle="1" w:styleId="26">
    <w:name w:val="font41"/>
    <w:basedOn w:val="14"/>
    <w:qFormat/>
    <w:uiPriority w:val="0"/>
    <w:rPr>
      <w:rFonts w:hint="eastAsia" w:ascii="微软雅黑" w:hAnsi="微软雅黑" w:eastAsia="微软雅黑" w:cs="微软雅黑"/>
      <w:color w:val="000000"/>
      <w:sz w:val="20"/>
      <w:szCs w:val="20"/>
      <w:u w:val="none"/>
    </w:rPr>
  </w:style>
  <w:style w:type="character" w:customStyle="1" w:styleId="27">
    <w:name w:val="font81"/>
    <w:basedOn w:val="14"/>
    <w:qFormat/>
    <w:uiPriority w:val="0"/>
    <w:rPr>
      <w:rFonts w:hint="eastAsia" w:ascii="宋体" w:hAnsi="宋体" w:eastAsia="宋体" w:cs="宋体"/>
      <w:color w:val="FF0000"/>
      <w:sz w:val="20"/>
      <w:szCs w:val="20"/>
      <w:u w:val="none"/>
    </w:rPr>
  </w:style>
  <w:style w:type="character" w:customStyle="1" w:styleId="28">
    <w:name w:val="font131"/>
    <w:basedOn w:val="14"/>
    <w:qFormat/>
    <w:uiPriority w:val="0"/>
    <w:rPr>
      <w:rFonts w:hint="eastAsia" w:ascii="宋体" w:hAnsi="宋体" w:eastAsia="宋体" w:cs="宋体"/>
      <w:color w:val="000000"/>
      <w:sz w:val="18"/>
      <w:szCs w:val="18"/>
      <w:u w:val="none"/>
    </w:rPr>
  </w:style>
  <w:style w:type="character" w:customStyle="1" w:styleId="29">
    <w:name w:val="font11"/>
    <w:basedOn w:val="14"/>
    <w:qFormat/>
    <w:uiPriority w:val="0"/>
    <w:rPr>
      <w:rFonts w:hint="eastAsia" w:ascii="微软雅黑" w:hAnsi="微软雅黑" w:eastAsia="微软雅黑" w:cs="微软雅黑"/>
      <w:color w:val="000000"/>
      <w:sz w:val="20"/>
      <w:szCs w:val="20"/>
      <w:u w:val="none"/>
    </w:rPr>
  </w:style>
  <w:style w:type="character" w:customStyle="1" w:styleId="30">
    <w:name w:val="font101"/>
    <w:basedOn w:val="14"/>
    <w:qFormat/>
    <w:uiPriority w:val="0"/>
    <w:rPr>
      <w:rFonts w:hint="eastAsia" w:ascii="宋体" w:hAnsi="宋体" w:eastAsia="宋体" w:cs="宋体"/>
      <w:b/>
      <w:bCs/>
      <w:color w:val="000000"/>
      <w:sz w:val="20"/>
      <w:szCs w:val="20"/>
      <w:u w:val="none"/>
    </w:rPr>
  </w:style>
  <w:style w:type="character" w:customStyle="1" w:styleId="31">
    <w:name w:val="font221"/>
    <w:basedOn w:val="14"/>
    <w:uiPriority w:val="0"/>
    <w:rPr>
      <w:rFonts w:hint="eastAsia" w:ascii="宋体" w:hAnsi="宋体" w:eastAsia="宋体" w:cs="宋体"/>
      <w:color w:val="000000"/>
      <w:sz w:val="20"/>
      <w:szCs w:val="20"/>
      <w:u w:val="none"/>
    </w:rPr>
  </w:style>
  <w:style w:type="character" w:customStyle="1" w:styleId="32">
    <w:name w:val="font01"/>
    <w:basedOn w:val="14"/>
    <w:qFormat/>
    <w:uiPriority w:val="0"/>
    <w:rPr>
      <w:rFonts w:hint="eastAsia" w:ascii="微软雅黑" w:hAnsi="微软雅黑" w:eastAsia="微软雅黑" w:cs="微软雅黑"/>
      <w:color w:val="000000"/>
      <w:sz w:val="20"/>
      <w:szCs w:val="20"/>
      <w:u w:val="none"/>
      <w:vertAlign w:val="superscript"/>
    </w:rPr>
  </w:style>
  <w:style w:type="character" w:customStyle="1" w:styleId="33">
    <w:name w:val="font71"/>
    <w:basedOn w:val="14"/>
    <w:qFormat/>
    <w:uiPriority w:val="0"/>
    <w:rPr>
      <w:rFonts w:hint="default" w:ascii="Arial" w:hAnsi="Arial" w:cs="Arial"/>
      <w:color w:val="000000"/>
      <w:sz w:val="18"/>
      <w:szCs w:val="18"/>
      <w:u w:val="none"/>
    </w:rPr>
  </w:style>
  <w:style w:type="character" w:customStyle="1" w:styleId="34">
    <w:name w:val="font201"/>
    <w:basedOn w:val="14"/>
    <w:uiPriority w:val="0"/>
    <w:rPr>
      <w:rFonts w:ascii="宋体" w:hAnsi="宋体" w:eastAsia="宋体" w:cs="宋体"/>
      <w:color w:val="000000"/>
      <w:sz w:val="20"/>
      <w:szCs w:val="20"/>
      <w:u w:val="none"/>
    </w:rPr>
  </w:style>
  <w:style w:type="character" w:customStyle="1" w:styleId="35">
    <w:name w:val="bookmark-item"/>
    <w:basedOn w:val="14"/>
    <w:qFormat/>
    <w:uiPriority w:val="0"/>
  </w:style>
  <w:style w:type="paragraph" w:customStyle="1" w:styleId="36">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7">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styleId="38">
    <w:name w:val="List Paragraph"/>
    <w:basedOn w:val="1"/>
    <w:qFormat/>
    <w:uiPriority w:val="99"/>
    <w:pPr>
      <w:ind w:firstLine="420" w:firstLineChars="200"/>
    </w:pPr>
  </w:style>
  <w:style w:type="paragraph" w:customStyle="1" w:styleId="39">
    <w:name w:val="纯文本1"/>
    <w:basedOn w:val="1"/>
    <w:qFormat/>
    <w:uiPriority w:val="0"/>
    <w:pPr>
      <w:spacing w:beforeLines="50" w:afterLines="50" w:line="400" w:lineRule="exact"/>
    </w:pPr>
    <w:rPr>
      <w:rFonts w:ascii="宋体" w:hAnsi="Courier New"/>
      <w:sz w:val="24"/>
      <w:szCs w:val="24"/>
    </w:rPr>
  </w:style>
  <w:style w:type="paragraph" w:customStyle="1" w:styleId="4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media/image2.png" Type="http://schemas.openxmlformats.org/officeDocument/2006/relationships/image"/><Relationship Id="rId12" Target="media/image3.png" Type="http://schemas.openxmlformats.org/officeDocument/2006/relationships/imag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174</Pages>
  <Words>20446</Words>
  <Characters>116547</Characters>
  <Lines>971</Lines>
  <Paragraphs>273</Paragraphs>
  <TotalTime>0</TotalTime>
  <ScaleCrop>false</ScaleCrop>
  <LinksUpToDate>false</LinksUpToDate>
  <CharactersWithSpaces>136720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2022-07-19T00:35:00Z</dcterms:created>
  <dc:creator>石静娜</dc:creator>
  <cp:lastModifiedBy>WPS_1701756769</cp:lastModifiedBy>
  <cp:lastPrinted>2022-06-13T02:30:00Z</cp:lastPrinted>
  <dcterms:modified xsi:type="dcterms:W3CDTF">2024-02-22T09:15:36Z</dcterms:modified>
  <cp:revision>2</cp:revision>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2CBB38CF960644B9BA1E0D6E180FDD76_13</vt:lpwstr>
  </property>
</Properties>
</file>