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00" w:lineRule="exact"/>
        <w:jc w:val="center"/>
        <w:rPr>
          <w:rFonts w:hint="eastAsia"/>
          <w:b/>
          <w:sz w:val="44"/>
          <w:szCs w:val="20"/>
        </w:rPr>
      </w:pPr>
      <w:bookmarkStart w:id="646" w:name="_GoBack"/>
      <w:bookmarkEnd w:id="646"/>
    </w:p>
    <w:p>
      <w:pPr>
        <w:spacing w:line="500" w:lineRule="exact"/>
        <w:jc w:val="center"/>
        <w:rPr>
          <w:rFonts w:hint="eastAsia"/>
          <w:b/>
          <w:sz w:val="44"/>
          <w:szCs w:val="20"/>
        </w:rPr>
      </w:pPr>
    </w:p>
    <w:p>
      <w:pPr>
        <w:spacing w:line="500" w:lineRule="exact"/>
        <w:jc w:val="center"/>
        <w:rPr>
          <w:rFonts w:hint="eastAsia"/>
          <w:b/>
          <w:sz w:val="44"/>
          <w:szCs w:val="20"/>
        </w:rPr>
      </w:pPr>
    </w:p>
    <w:p>
      <w:pPr>
        <w:tabs>
          <w:tab w:val="left" w:pos="8610"/>
        </w:tabs>
        <w:spacing w:line="500" w:lineRule="exact"/>
        <w:jc w:val="left"/>
        <w:rPr>
          <w:rFonts w:hint="eastAsia"/>
          <w:b/>
          <w:sz w:val="44"/>
          <w:szCs w:val="20"/>
        </w:rPr>
      </w:pPr>
      <w:r>
        <w:rPr>
          <w:rFonts w:hint="eastAsia"/>
          <w:b/>
          <w:sz w:val="44"/>
          <w:szCs w:val="20"/>
        </w:rPr>
        <w:tab/>
      </w:r>
    </w:p>
    <w:p>
      <w:pPr>
        <w:spacing w:line="1000" w:lineRule="exact"/>
        <w:jc w:val="center"/>
        <w:rPr>
          <w:rFonts w:hint="eastAsia"/>
          <w:b/>
          <w:sz w:val="72"/>
        </w:rPr>
      </w:pPr>
      <w:r>
        <w:rPr>
          <w:rFonts w:hint="eastAsia"/>
          <w:b/>
          <w:sz w:val="72"/>
        </w:rPr>
        <w:t>公开招标文件</w:t>
      </w:r>
    </w:p>
    <w:p>
      <w:pPr>
        <w:spacing w:line="500" w:lineRule="exact"/>
        <w:jc w:val="center"/>
        <w:rPr>
          <w:b/>
          <w:w w:val="150"/>
          <w:sz w:val="32"/>
        </w:rPr>
      </w:pPr>
    </w:p>
    <w:p>
      <w:pPr>
        <w:spacing w:line="500" w:lineRule="exact"/>
        <w:jc w:val="center"/>
        <w:rPr>
          <w:rFonts w:hint="eastAsia"/>
          <w:b/>
          <w:sz w:val="32"/>
        </w:rPr>
      </w:pPr>
    </w:p>
    <w:p>
      <w:pPr>
        <w:spacing w:line="500" w:lineRule="exact"/>
        <w:jc w:val="center"/>
        <w:rPr>
          <w:rFonts w:hint="eastAsia"/>
          <w:b/>
          <w:sz w:val="32"/>
        </w:rPr>
      </w:pPr>
    </w:p>
    <w:p>
      <w:pPr>
        <w:spacing w:line="500" w:lineRule="exact"/>
        <w:jc w:val="center"/>
        <w:rPr>
          <w:rFonts w:hint="eastAsia"/>
          <w:b/>
          <w:sz w:val="32"/>
        </w:rPr>
      </w:pPr>
    </w:p>
    <w:p>
      <w:pPr>
        <w:spacing w:line="500" w:lineRule="exact"/>
        <w:rPr>
          <w:rFonts w:hint="eastAsia"/>
          <w:b/>
          <w:sz w:val="32"/>
        </w:rPr>
      </w:pPr>
      <w:r>
        <w:rPr>
          <w:rFonts w:hint="eastAsia"/>
          <w:b/>
          <w:sz w:val="32"/>
        </w:rPr>
        <w:t>项目编号:NBGODOZB419057</w:t>
      </w:r>
    </w:p>
    <w:p>
      <w:pPr>
        <w:spacing w:line="500" w:lineRule="exact"/>
        <w:ind w:firstLine="2875" w:firstLineChars="895"/>
        <w:rPr>
          <w:rFonts w:hint="eastAsia"/>
          <w:b/>
          <w:sz w:val="32"/>
        </w:rPr>
      </w:pPr>
    </w:p>
    <w:p>
      <w:pPr>
        <w:spacing w:line="500" w:lineRule="exact"/>
        <w:ind w:firstLine="2875" w:firstLineChars="895"/>
        <w:rPr>
          <w:rFonts w:hint="eastAsia"/>
          <w:b/>
          <w:sz w:val="32"/>
        </w:rPr>
      </w:pPr>
    </w:p>
    <w:p>
      <w:pPr>
        <w:jc w:val="center"/>
        <w:rPr>
          <w:rFonts w:hint="eastAsia"/>
          <w:b/>
          <w:sz w:val="30"/>
          <w:szCs w:val="30"/>
          <w:u w:val="single"/>
        </w:rPr>
      </w:pPr>
      <w:r>
        <w:rPr>
          <w:rFonts w:hint="eastAsia"/>
          <w:b/>
          <w:sz w:val="30"/>
          <w:szCs w:val="30"/>
        </w:rPr>
        <w:t xml:space="preserve">项目名称: </w:t>
      </w:r>
      <w:r>
        <w:rPr>
          <w:rFonts w:hint="eastAsia"/>
          <w:b/>
          <w:sz w:val="30"/>
          <w:szCs w:val="30"/>
          <w:u w:val="single"/>
        </w:rPr>
        <w:t>浙江慈溪滨海经济开发区天网工程二期（社会治安动态视频监控系统二期）项目</w:t>
      </w:r>
    </w:p>
    <w:p>
      <w:pPr>
        <w:spacing w:line="360" w:lineRule="auto"/>
        <w:jc w:val="center"/>
        <w:rPr>
          <w:rFonts w:hint="eastAsia"/>
          <w:b/>
          <w:sz w:val="32"/>
          <w:szCs w:val="32"/>
          <w:u w:val="single"/>
        </w:rPr>
      </w:pPr>
    </w:p>
    <w:p>
      <w:pPr>
        <w:spacing w:line="500" w:lineRule="atLeast"/>
        <w:ind w:right="-1"/>
        <w:jc w:val="center"/>
        <w:rPr>
          <w:rFonts w:hint="eastAsia"/>
          <w:b/>
          <w:sz w:val="32"/>
        </w:rPr>
      </w:pPr>
    </w:p>
    <w:p>
      <w:pPr>
        <w:spacing w:line="500" w:lineRule="exact"/>
        <w:jc w:val="center"/>
        <w:rPr>
          <w:rFonts w:hint="eastAsia"/>
          <w:b/>
          <w:sz w:val="32"/>
          <w:u w:val="single"/>
        </w:rPr>
      </w:pPr>
    </w:p>
    <w:p>
      <w:pPr>
        <w:spacing w:line="500" w:lineRule="exact"/>
        <w:jc w:val="center"/>
        <w:rPr>
          <w:rFonts w:hint="eastAsia"/>
          <w:b/>
          <w:sz w:val="32"/>
          <w:u w:val="single"/>
        </w:rPr>
      </w:pPr>
    </w:p>
    <w:p>
      <w:pPr>
        <w:spacing w:line="500" w:lineRule="exact"/>
        <w:jc w:val="center"/>
        <w:rPr>
          <w:rFonts w:hint="eastAsia"/>
          <w:b/>
          <w:sz w:val="32"/>
          <w:u w:val="single"/>
        </w:rPr>
      </w:pPr>
    </w:p>
    <w:p>
      <w:pPr>
        <w:spacing w:line="500" w:lineRule="exact"/>
        <w:jc w:val="center"/>
        <w:rPr>
          <w:rFonts w:hint="eastAsia"/>
          <w:b/>
          <w:sz w:val="32"/>
          <w:u w:val="single"/>
        </w:rPr>
      </w:pPr>
    </w:p>
    <w:p>
      <w:pPr>
        <w:jc w:val="center"/>
        <w:rPr>
          <w:rFonts w:hint="eastAsia"/>
          <w:b/>
          <w:sz w:val="32"/>
          <w:szCs w:val="32"/>
        </w:rPr>
      </w:pPr>
      <w:r>
        <w:rPr>
          <w:rFonts w:hint="eastAsia"/>
          <w:b/>
          <w:sz w:val="32"/>
          <w:szCs w:val="32"/>
        </w:rPr>
        <w:t xml:space="preserve">        招标人：</w:t>
      </w:r>
      <w:r>
        <w:rPr>
          <w:rFonts w:hint="eastAsia"/>
          <w:b/>
          <w:sz w:val="32"/>
          <w:szCs w:val="32"/>
          <w:u w:val="single"/>
        </w:rPr>
        <w:t>浙江慈溪滨海经济开发区管理委员会</w:t>
      </w:r>
    </w:p>
    <w:p>
      <w:pPr>
        <w:jc w:val="center"/>
        <w:rPr>
          <w:rFonts w:hint="eastAsia"/>
          <w:b/>
          <w:sz w:val="32"/>
          <w:szCs w:val="32"/>
          <w:u w:val="single"/>
        </w:rPr>
      </w:pPr>
      <w:r>
        <w:rPr>
          <w:rFonts w:hint="eastAsia"/>
          <w:b/>
          <w:sz w:val="32"/>
          <w:szCs w:val="32"/>
        </w:rPr>
        <w:t xml:space="preserve">代理人: </w:t>
      </w:r>
      <w:r>
        <w:rPr>
          <w:rFonts w:hint="eastAsia"/>
          <w:b/>
          <w:sz w:val="32"/>
          <w:szCs w:val="32"/>
          <w:u w:val="single"/>
        </w:rPr>
        <w:t>宁波国际投资咨询有限公司</w:t>
      </w:r>
    </w:p>
    <w:p>
      <w:pPr>
        <w:spacing w:line="380" w:lineRule="exact"/>
        <w:rPr>
          <w:rFonts w:hint="eastAsia"/>
          <w:b/>
          <w:sz w:val="32"/>
          <w:szCs w:val="32"/>
        </w:rPr>
      </w:pPr>
    </w:p>
    <w:p>
      <w:pPr>
        <w:spacing w:line="380" w:lineRule="exact"/>
        <w:jc w:val="center"/>
        <w:rPr>
          <w:rFonts w:hint="eastAsia"/>
          <w:sz w:val="24"/>
        </w:rPr>
      </w:pPr>
      <w:r>
        <w:rPr>
          <w:rFonts w:hint="eastAsia"/>
          <w:b/>
          <w:sz w:val="32"/>
          <w:szCs w:val="32"/>
        </w:rPr>
        <w:t>编制时间：2019年9月</w:t>
      </w:r>
    </w:p>
    <w:p>
      <w:pPr>
        <w:pStyle w:val="156"/>
        <w:jc w:val="center"/>
        <w:rPr>
          <w:rFonts w:ascii="Times New Roman" w:hAnsi="Times New Roman"/>
          <w:b/>
          <w:color w:val="auto"/>
        </w:rPr>
      </w:pPr>
      <w:r>
        <w:rPr>
          <w:rFonts w:ascii="Times New Roman" w:hAnsi="Times New Roman"/>
          <w:b/>
          <w:color w:val="auto"/>
          <w:lang w:val="zh-CN"/>
        </w:rPr>
        <w:br w:type="page"/>
      </w:r>
      <w:r>
        <w:rPr>
          <w:rFonts w:ascii="Times New Roman" w:hAnsi="Times New Roman"/>
          <w:b/>
          <w:color w:val="auto"/>
          <w:lang w:val="zh-CN"/>
        </w:rPr>
        <w:t>目</w:t>
      </w:r>
      <w:r>
        <w:rPr>
          <w:rFonts w:hint="eastAsia" w:ascii="Times New Roman" w:hAnsi="Times New Roman"/>
          <w:b/>
          <w:color w:val="auto"/>
          <w:lang w:val="zh-CN"/>
        </w:rPr>
        <w:t xml:space="preserve">  </w:t>
      </w:r>
      <w:r>
        <w:rPr>
          <w:rFonts w:ascii="Times New Roman" w:hAnsi="Times New Roman"/>
          <w:b/>
          <w:color w:val="auto"/>
          <w:lang w:val="zh-CN"/>
        </w:rPr>
        <w:t>录</w:t>
      </w:r>
    </w:p>
    <w:p>
      <w:pPr>
        <w:tabs>
          <w:tab w:val="center" w:pos="4434"/>
        </w:tabs>
        <w:spacing w:line="480" w:lineRule="auto"/>
        <w:ind w:firstLine="364" w:firstLineChars="151"/>
        <w:rPr>
          <w:rFonts w:hint="eastAsia"/>
          <w:b/>
          <w:bCs/>
          <w:sz w:val="24"/>
          <w:szCs w:val="32"/>
        </w:rPr>
      </w:pPr>
      <w:r>
        <w:rPr>
          <w:rFonts w:hint="eastAsia"/>
          <w:b/>
          <w:bCs/>
          <w:sz w:val="24"/>
          <w:szCs w:val="32"/>
        </w:rPr>
        <w:t>第一部分  采购公告</w:t>
      </w:r>
      <w:r>
        <w:rPr>
          <w:rFonts w:ascii="Calibri" w:hAnsi="Calibri" w:cs="Calibri"/>
          <w:b/>
          <w:bCs/>
          <w:sz w:val="24"/>
          <w:lang w:val="zh-CN"/>
        </w:rPr>
        <w:t>………………………………………………………………………………</w:t>
      </w:r>
      <w:r>
        <w:rPr>
          <w:b/>
          <w:bCs/>
          <w:sz w:val="24"/>
          <w:szCs w:val="32"/>
        </w:rPr>
        <w:t>3</w:t>
      </w:r>
    </w:p>
    <w:p>
      <w:pPr>
        <w:tabs>
          <w:tab w:val="center" w:pos="4434"/>
        </w:tabs>
        <w:spacing w:line="480" w:lineRule="auto"/>
        <w:ind w:firstLine="364" w:firstLineChars="151"/>
        <w:rPr>
          <w:rFonts w:hint="eastAsia"/>
          <w:b/>
          <w:bCs/>
          <w:sz w:val="24"/>
          <w:szCs w:val="32"/>
        </w:rPr>
      </w:pPr>
      <w:r>
        <w:rPr>
          <w:rFonts w:hint="eastAsia"/>
          <w:b/>
          <w:bCs/>
          <w:sz w:val="24"/>
          <w:szCs w:val="32"/>
        </w:rPr>
        <w:t xml:space="preserve">第二部分  </w:t>
      </w:r>
      <w:r>
        <w:rPr>
          <w:rFonts w:hint="eastAsia"/>
          <w:b/>
          <w:bCs/>
          <w:sz w:val="24"/>
        </w:rPr>
        <w:t>项目背景及采购需求</w:t>
      </w:r>
      <w:r>
        <w:rPr>
          <w:rFonts w:ascii="Calibri" w:hAnsi="Calibri" w:cs="Calibri"/>
          <w:b/>
          <w:bCs/>
          <w:sz w:val="24"/>
          <w:lang w:val="zh-CN"/>
        </w:rPr>
        <w:t>……………………………………………………………</w:t>
      </w:r>
      <w:r>
        <w:rPr>
          <w:b/>
          <w:bCs/>
          <w:sz w:val="24"/>
          <w:szCs w:val="32"/>
        </w:rPr>
        <w:t>5</w:t>
      </w:r>
    </w:p>
    <w:p>
      <w:pPr>
        <w:tabs>
          <w:tab w:val="center" w:pos="4434"/>
        </w:tabs>
        <w:spacing w:line="480" w:lineRule="auto"/>
        <w:ind w:firstLine="364" w:firstLineChars="151"/>
        <w:rPr>
          <w:b/>
          <w:bCs/>
          <w:sz w:val="24"/>
          <w:szCs w:val="32"/>
        </w:rPr>
      </w:pPr>
      <w:r>
        <w:rPr>
          <w:rFonts w:hint="eastAsia"/>
          <w:b/>
          <w:bCs/>
          <w:sz w:val="24"/>
          <w:szCs w:val="32"/>
        </w:rPr>
        <w:t>第三部分  投标人须知</w:t>
      </w:r>
      <w:r>
        <w:rPr>
          <w:rFonts w:ascii="Calibri" w:hAnsi="Calibri" w:cs="Calibri"/>
          <w:b/>
          <w:bCs/>
          <w:sz w:val="24"/>
          <w:lang w:val="zh-CN"/>
        </w:rPr>
        <w:t>…………………………………………………………………………</w:t>
      </w:r>
      <w:r>
        <w:rPr>
          <w:rFonts w:hint="eastAsia"/>
          <w:b/>
          <w:bCs/>
          <w:sz w:val="24"/>
          <w:szCs w:val="32"/>
        </w:rPr>
        <w:t>119</w:t>
      </w:r>
    </w:p>
    <w:p>
      <w:pPr>
        <w:tabs>
          <w:tab w:val="center" w:pos="4434"/>
        </w:tabs>
        <w:spacing w:line="480" w:lineRule="auto"/>
        <w:ind w:firstLine="364" w:firstLineChars="151"/>
        <w:rPr>
          <w:b/>
          <w:bCs/>
          <w:sz w:val="24"/>
          <w:szCs w:val="32"/>
        </w:rPr>
      </w:pPr>
      <w:r>
        <w:rPr>
          <w:rFonts w:hint="eastAsia"/>
          <w:b/>
          <w:bCs/>
          <w:sz w:val="24"/>
          <w:szCs w:val="32"/>
        </w:rPr>
        <w:t>第四部分  评标办法及评分标准</w:t>
      </w:r>
      <w:r>
        <w:rPr>
          <w:rFonts w:ascii="Calibri" w:hAnsi="Calibri" w:cs="Calibri"/>
          <w:b/>
          <w:bCs/>
          <w:sz w:val="24"/>
          <w:lang w:val="zh-CN"/>
        </w:rPr>
        <w:t>………………………………………</w:t>
      </w:r>
      <w:r>
        <w:rPr>
          <w:rFonts w:hint="eastAsia" w:ascii="Calibri" w:hAnsi="Calibri" w:cs="Calibri"/>
          <w:b/>
          <w:bCs/>
          <w:sz w:val="24"/>
        </w:rPr>
        <w:t>....</w:t>
      </w:r>
      <w:r>
        <w:rPr>
          <w:rFonts w:ascii="Calibri" w:hAnsi="Calibri" w:cs="Calibri"/>
          <w:b/>
          <w:bCs/>
          <w:sz w:val="24"/>
          <w:lang w:val="zh-CN"/>
        </w:rPr>
        <w:t>………………</w:t>
      </w:r>
      <w:r>
        <w:rPr>
          <w:rFonts w:hint="eastAsia"/>
          <w:b/>
          <w:bCs/>
          <w:sz w:val="24"/>
          <w:szCs w:val="32"/>
        </w:rPr>
        <w:t>129</w:t>
      </w:r>
    </w:p>
    <w:p>
      <w:pPr>
        <w:tabs>
          <w:tab w:val="center" w:pos="4434"/>
        </w:tabs>
        <w:spacing w:line="480" w:lineRule="auto"/>
        <w:ind w:firstLine="364" w:firstLineChars="151"/>
        <w:rPr>
          <w:b/>
          <w:bCs/>
          <w:sz w:val="24"/>
          <w:szCs w:val="32"/>
        </w:rPr>
      </w:pPr>
      <w:r>
        <w:rPr>
          <w:rFonts w:hint="eastAsia"/>
          <w:b/>
          <w:bCs/>
          <w:sz w:val="24"/>
          <w:szCs w:val="32"/>
        </w:rPr>
        <w:t>第五部分  合同主要条款</w:t>
      </w:r>
      <w:r>
        <w:rPr>
          <w:rFonts w:ascii="Calibri" w:hAnsi="Calibri" w:cs="Calibri"/>
          <w:b/>
          <w:bCs/>
          <w:sz w:val="24"/>
          <w:lang w:val="zh-CN"/>
        </w:rPr>
        <w:t>……………………………………………………</w:t>
      </w:r>
      <w:r>
        <w:rPr>
          <w:rFonts w:hint="eastAsia" w:ascii="Calibri" w:hAnsi="Calibri" w:cs="Calibri"/>
          <w:b/>
          <w:bCs/>
          <w:sz w:val="24"/>
        </w:rPr>
        <w:t>.</w:t>
      </w:r>
      <w:r>
        <w:rPr>
          <w:rFonts w:ascii="Calibri" w:hAnsi="Calibri" w:cs="Calibri"/>
          <w:b/>
          <w:bCs/>
          <w:sz w:val="24"/>
          <w:lang w:val="zh-CN"/>
        </w:rPr>
        <w:t>………………</w:t>
      </w:r>
      <w:r>
        <w:rPr>
          <w:rFonts w:hint="eastAsia"/>
          <w:b/>
          <w:bCs/>
          <w:sz w:val="24"/>
          <w:szCs w:val="32"/>
        </w:rPr>
        <w:tab/>
      </w:r>
      <w:r>
        <w:rPr>
          <w:b/>
          <w:bCs/>
          <w:sz w:val="24"/>
          <w:szCs w:val="32"/>
        </w:rPr>
        <w:t>1</w:t>
      </w:r>
      <w:r>
        <w:rPr>
          <w:rFonts w:hint="eastAsia"/>
          <w:b/>
          <w:bCs/>
          <w:sz w:val="24"/>
          <w:szCs w:val="32"/>
        </w:rPr>
        <w:t>33</w:t>
      </w:r>
    </w:p>
    <w:p>
      <w:pPr>
        <w:tabs>
          <w:tab w:val="center" w:pos="4434"/>
        </w:tabs>
        <w:spacing w:line="480" w:lineRule="auto"/>
        <w:ind w:firstLine="364" w:firstLineChars="151"/>
        <w:rPr>
          <w:b/>
          <w:bCs/>
          <w:sz w:val="24"/>
          <w:szCs w:val="32"/>
        </w:rPr>
      </w:pPr>
      <w:r>
        <w:rPr>
          <w:rFonts w:hint="eastAsia"/>
          <w:b/>
          <w:bCs/>
          <w:sz w:val="24"/>
          <w:szCs w:val="32"/>
        </w:rPr>
        <w:t>第六部分　商务条款</w:t>
      </w:r>
      <w:r>
        <w:rPr>
          <w:rFonts w:ascii="Calibri" w:hAnsi="Calibri" w:cs="Calibri"/>
          <w:b/>
          <w:bCs/>
          <w:sz w:val="24"/>
          <w:lang w:val="zh-CN"/>
        </w:rPr>
        <w:t xml:space="preserve">…………………………………………………………………………… </w:t>
      </w:r>
      <w:r>
        <w:rPr>
          <w:b/>
          <w:bCs/>
          <w:sz w:val="24"/>
          <w:szCs w:val="32"/>
        </w:rPr>
        <w:t>1</w:t>
      </w:r>
      <w:r>
        <w:rPr>
          <w:rFonts w:hint="eastAsia"/>
          <w:b/>
          <w:bCs/>
          <w:sz w:val="24"/>
          <w:szCs w:val="32"/>
        </w:rPr>
        <w:t>42</w:t>
      </w:r>
    </w:p>
    <w:p>
      <w:pPr>
        <w:tabs>
          <w:tab w:val="center" w:pos="4434"/>
        </w:tabs>
        <w:spacing w:line="480" w:lineRule="auto"/>
        <w:ind w:firstLine="364" w:firstLineChars="151"/>
        <w:rPr>
          <w:b/>
          <w:bCs/>
          <w:sz w:val="24"/>
          <w:szCs w:val="32"/>
        </w:rPr>
      </w:pPr>
      <w:r>
        <w:rPr>
          <w:rFonts w:hint="eastAsia"/>
          <w:b/>
          <w:bCs/>
          <w:sz w:val="24"/>
          <w:szCs w:val="32"/>
        </w:rPr>
        <w:t>第七部份 投标文件格式</w:t>
      </w:r>
      <w:r>
        <w:rPr>
          <w:rFonts w:ascii="Calibri" w:hAnsi="Calibri" w:cs="Calibri"/>
          <w:b/>
          <w:bCs/>
          <w:sz w:val="24"/>
          <w:lang w:val="zh-CN"/>
        </w:rPr>
        <w:t>…………………………………………………………………………1</w:t>
      </w:r>
      <w:r>
        <w:rPr>
          <w:rFonts w:hint="eastAsia" w:ascii="Calibri" w:hAnsi="Calibri" w:cs="Calibri"/>
          <w:b/>
          <w:bCs/>
          <w:sz w:val="24"/>
        </w:rPr>
        <w:t>43</w:t>
      </w:r>
    </w:p>
    <w:p>
      <w:pPr>
        <w:spacing w:line="700" w:lineRule="exact"/>
        <w:jc w:val="center"/>
        <w:outlineLvl w:val="0"/>
        <w:rPr>
          <w:rFonts w:hint="eastAsia"/>
          <w:b/>
          <w:sz w:val="32"/>
          <w:szCs w:val="32"/>
        </w:rPr>
      </w:pPr>
      <w:r>
        <w:rPr>
          <w:rFonts w:hint="eastAsia"/>
          <w:sz w:val="24"/>
        </w:rPr>
        <w:br w:type="page"/>
      </w:r>
      <w:bookmarkStart w:id="0" w:name="_Toc413319823"/>
      <w:bookmarkStart w:id="1" w:name="_Toc413319824"/>
      <w:r>
        <w:rPr>
          <w:rFonts w:hint="eastAsia"/>
          <w:b/>
          <w:sz w:val="32"/>
          <w:szCs w:val="32"/>
        </w:rPr>
        <w:t>第一部分  采购公告</w:t>
      </w:r>
    </w:p>
    <w:p>
      <w:pPr>
        <w:spacing w:line="370" w:lineRule="exact"/>
        <w:ind w:firstLine="420" w:firstLineChars="200"/>
        <w:rPr>
          <w:rFonts w:hint="eastAsia"/>
          <w:szCs w:val="21"/>
        </w:rPr>
      </w:pPr>
      <w:r>
        <w:rPr>
          <w:rFonts w:hint="eastAsia"/>
          <w:szCs w:val="21"/>
        </w:rPr>
        <w:t>根据《中华人民共和国政府采购法》及有关办法，宁波国际投资咨询有限公司就浙江慈溪滨海经济开发区天网工程二期（社会治安动态视频监控系统二期）项目进行公开招标，欢迎符合资格条件的供应商参加投标。</w:t>
      </w:r>
    </w:p>
    <w:p>
      <w:pPr>
        <w:spacing w:line="370" w:lineRule="exact"/>
        <w:ind w:firstLine="420" w:firstLineChars="200"/>
      </w:pPr>
      <w:r>
        <w:rPr>
          <w:rFonts w:hint="eastAsia"/>
          <w:szCs w:val="21"/>
        </w:rPr>
        <w:t>一、采购编号：NBGODOZB419057</w:t>
      </w:r>
    </w:p>
    <w:p>
      <w:pPr>
        <w:spacing w:line="370" w:lineRule="exact"/>
        <w:ind w:firstLine="420" w:firstLineChars="200"/>
        <w:rPr>
          <w:rFonts w:hint="eastAsia"/>
          <w:szCs w:val="21"/>
        </w:rPr>
      </w:pPr>
      <w:r>
        <w:rPr>
          <w:rFonts w:hint="eastAsia"/>
          <w:szCs w:val="21"/>
        </w:rPr>
        <w:t>二、项目概况：</w:t>
      </w:r>
    </w:p>
    <w:p>
      <w:pPr>
        <w:spacing w:line="370" w:lineRule="exact"/>
        <w:ind w:firstLine="420" w:firstLineChars="200"/>
        <w:rPr>
          <w:rFonts w:hint="eastAsia"/>
          <w:szCs w:val="21"/>
        </w:rPr>
      </w:pPr>
      <w:r>
        <w:rPr>
          <w:rFonts w:hint="eastAsia"/>
          <w:szCs w:val="21"/>
        </w:rPr>
        <w:t>浙江慈溪滨海经济开发区天网工程二期（社会治安动态视频监控系统二期）项目，采购金额约</w:t>
      </w:r>
      <w:r>
        <w:rPr>
          <w:rFonts w:hint="eastAsia"/>
          <w:szCs w:val="21"/>
          <w:u w:val="single"/>
        </w:rPr>
        <w:t xml:space="preserve">823.2379  </w:t>
      </w:r>
      <w:r>
        <w:rPr>
          <w:rFonts w:hint="eastAsia"/>
          <w:szCs w:val="21"/>
        </w:rPr>
        <w:t>万元，具体项目背景及采购需求详见招标文件第二部分采购需求。</w:t>
      </w:r>
    </w:p>
    <w:p>
      <w:pPr>
        <w:spacing w:line="370" w:lineRule="exact"/>
        <w:ind w:firstLine="420" w:firstLineChars="200"/>
        <w:rPr>
          <w:rFonts w:hint="eastAsia"/>
          <w:szCs w:val="21"/>
        </w:rPr>
      </w:pPr>
      <w:r>
        <w:rPr>
          <w:rFonts w:hint="eastAsia"/>
          <w:szCs w:val="21"/>
        </w:rPr>
        <w:t>三、供应商资格要求：</w:t>
      </w:r>
    </w:p>
    <w:p>
      <w:pPr>
        <w:spacing w:line="360" w:lineRule="auto"/>
        <w:rPr>
          <w:rFonts w:hint="eastAsia"/>
          <w:szCs w:val="21"/>
        </w:rPr>
      </w:pPr>
      <w:r>
        <w:rPr>
          <w:rFonts w:hint="eastAsia" w:ascii="宋体" w:hAnsi="宋体"/>
        </w:rPr>
        <w:t xml:space="preserve">    </w:t>
      </w:r>
      <w:r>
        <w:rPr>
          <w:rFonts w:ascii="宋体" w:hAnsi="宋体"/>
        </w:rPr>
        <w:t>（1）</w:t>
      </w:r>
      <w:r>
        <w:rPr>
          <w:rFonts w:hint="eastAsia"/>
          <w:szCs w:val="21"/>
        </w:rPr>
        <w:t>符合《政府采购法》第二十二条规定的关于供应商的资格条件和浙财采监【2013】24号《关于规范政府采购供应商资格设定及资格审查的通知》第六条规定；</w:t>
      </w:r>
    </w:p>
    <w:p>
      <w:pPr>
        <w:spacing w:line="370" w:lineRule="exact"/>
        <w:ind w:firstLine="420" w:firstLineChars="200"/>
        <w:rPr>
          <w:rFonts w:hint="eastAsia"/>
          <w:szCs w:val="21"/>
        </w:rPr>
      </w:pPr>
      <w:r>
        <w:rPr>
          <w:szCs w:val="21"/>
        </w:rPr>
        <w:t>（</w:t>
      </w:r>
      <w:r>
        <w:rPr>
          <w:rFonts w:hint="eastAsia"/>
          <w:szCs w:val="21"/>
        </w:rPr>
        <w:t>2</w:t>
      </w:r>
      <w:r>
        <w:rPr>
          <w:szCs w:val="21"/>
        </w:rPr>
        <w:t>）</w:t>
      </w:r>
      <w:r>
        <w:rPr>
          <w:rFonts w:hint="eastAsia"/>
          <w:szCs w:val="21"/>
        </w:rPr>
        <w:t>单位负责人为同一人或者存在直接控股、管理关系的不同供应商，不得参加同一项目的投标。</w:t>
      </w:r>
      <w:r>
        <w:rPr>
          <w:rFonts w:hint="eastAsia" w:ascii="宋体" w:hAnsi="宋体" w:cs="宋体"/>
          <w:lang w:bidi="ar"/>
        </w:rPr>
        <w:t>除单一来源采购项目外，为采购项目提供整体设计、规范编制或者项目管理、监理、检测等服务的供应商，不得再参加该采购项目的其他采购活动</w:t>
      </w:r>
      <w:r>
        <w:rPr>
          <w:rFonts w:hint="eastAsia"/>
          <w:szCs w:val="21"/>
        </w:rPr>
        <w:t>；</w:t>
      </w:r>
    </w:p>
    <w:p>
      <w:pPr>
        <w:spacing w:line="370" w:lineRule="exact"/>
        <w:ind w:firstLine="420" w:firstLineChars="200"/>
        <w:rPr>
          <w:rFonts w:hint="eastAsia"/>
          <w:szCs w:val="21"/>
        </w:rPr>
      </w:pPr>
      <w:r>
        <w:rPr>
          <w:szCs w:val="21"/>
        </w:rPr>
        <w:t>（</w:t>
      </w:r>
      <w:r>
        <w:rPr>
          <w:rFonts w:hint="eastAsia"/>
          <w:szCs w:val="21"/>
        </w:rPr>
        <w:t>3</w:t>
      </w:r>
      <w:r>
        <w:rPr>
          <w:szCs w:val="21"/>
        </w:rPr>
        <w:t>）</w:t>
      </w:r>
      <w:r>
        <w:rPr>
          <w:rFonts w:hint="eastAsia"/>
          <w:szCs w:val="21"/>
        </w:rPr>
        <w:t>投标人未被信用中国网站（www.creditchina.gov.cn）列入失信被执行人、重大税收违法案件当事人名单，未被中国政府采购网（www.ccgp.gov.cn）列入政府采购严重违法失信行为记录名单；</w:t>
      </w:r>
    </w:p>
    <w:p>
      <w:pPr>
        <w:spacing w:line="370" w:lineRule="exact"/>
        <w:ind w:firstLine="420" w:firstLineChars="200"/>
        <w:rPr>
          <w:rFonts w:hint="eastAsia"/>
          <w:szCs w:val="21"/>
        </w:rPr>
      </w:pPr>
      <w:r>
        <w:rPr>
          <w:rFonts w:hint="eastAsia"/>
          <w:szCs w:val="21"/>
        </w:rPr>
        <w:t>（4）具有运营光纤网络资源的企事业单位或其分支机构。本项目</w:t>
      </w:r>
      <w:r>
        <w:rPr>
          <w:rFonts w:hint="eastAsia"/>
          <w:szCs w:val="21"/>
          <w:u w:val="single"/>
        </w:rPr>
        <w:t>不接受</w:t>
      </w:r>
      <w:r>
        <w:rPr>
          <w:rFonts w:hint="eastAsia"/>
          <w:szCs w:val="21"/>
        </w:rPr>
        <w:t>联合体投标。</w:t>
      </w:r>
    </w:p>
    <w:p>
      <w:pPr>
        <w:spacing w:line="370" w:lineRule="exact"/>
        <w:ind w:firstLine="420" w:firstLineChars="200"/>
        <w:rPr>
          <w:rFonts w:hint="eastAsia"/>
          <w:szCs w:val="21"/>
        </w:rPr>
      </w:pPr>
      <w:r>
        <w:rPr>
          <w:rFonts w:hint="eastAsia"/>
          <w:szCs w:val="21"/>
        </w:rPr>
        <w:t>四、公告日期：自2019年</w:t>
      </w:r>
      <w:r>
        <w:rPr>
          <w:rFonts w:hint="eastAsia"/>
          <w:szCs w:val="21"/>
          <w:u w:val="single"/>
        </w:rPr>
        <w:t xml:space="preserve"> 9 </w:t>
      </w:r>
      <w:r>
        <w:rPr>
          <w:rFonts w:hint="eastAsia"/>
          <w:szCs w:val="21"/>
        </w:rPr>
        <w:t>月</w:t>
      </w:r>
      <w:r>
        <w:rPr>
          <w:rFonts w:hint="eastAsia"/>
          <w:szCs w:val="21"/>
          <w:u w:val="single"/>
        </w:rPr>
        <w:t xml:space="preserve"> 25 </w:t>
      </w:r>
      <w:r>
        <w:rPr>
          <w:rFonts w:hint="eastAsia"/>
          <w:szCs w:val="21"/>
        </w:rPr>
        <w:t>日至2019年</w:t>
      </w:r>
      <w:r>
        <w:rPr>
          <w:rFonts w:hint="eastAsia"/>
          <w:szCs w:val="21"/>
          <w:u w:val="single"/>
        </w:rPr>
        <w:t xml:space="preserve"> 10 </w:t>
      </w:r>
      <w:r>
        <w:rPr>
          <w:rFonts w:hint="eastAsia"/>
          <w:szCs w:val="21"/>
        </w:rPr>
        <w:t>月</w:t>
      </w:r>
      <w:r>
        <w:rPr>
          <w:rFonts w:hint="eastAsia"/>
          <w:szCs w:val="21"/>
          <w:u w:val="single"/>
        </w:rPr>
        <w:t xml:space="preserve"> 8 </w:t>
      </w:r>
      <w:r>
        <w:rPr>
          <w:rFonts w:hint="eastAsia"/>
          <w:szCs w:val="21"/>
        </w:rPr>
        <w:t xml:space="preserve">日（节假日及法定假日除外）。  </w:t>
      </w:r>
    </w:p>
    <w:p>
      <w:pPr>
        <w:widowControl/>
        <w:tabs>
          <w:tab w:val="center" w:pos="4363"/>
        </w:tabs>
        <w:spacing w:line="360" w:lineRule="exact"/>
        <w:ind w:firstLine="420" w:firstLineChars="200"/>
        <w:jc w:val="left"/>
        <w:rPr>
          <w:rFonts w:hint="eastAsia" w:cs="宋体"/>
          <w:kern w:val="0"/>
          <w:szCs w:val="21"/>
        </w:rPr>
      </w:pPr>
      <w:r>
        <w:rPr>
          <w:rFonts w:hint="eastAsia" w:cs="宋体"/>
          <w:kern w:val="0"/>
          <w:szCs w:val="21"/>
        </w:rPr>
        <w:t>五、采购文件的领取：</w:t>
      </w:r>
      <w:r>
        <w:rPr>
          <w:rFonts w:cs="宋体"/>
          <w:kern w:val="0"/>
          <w:szCs w:val="21"/>
        </w:rPr>
        <w:tab/>
      </w:r>
    </w:p>
    <w:p>
      <w:pPr>
        <w:widowControl/>
        <w:spacing w:line="360" w:lineRule="exact"/>
        <w:ind w:firstLine="420"/>
        <w:jc w:val="left"/>
        <w:rPr>
          <w:rFonts w:hint="eastAsia"/>
          <w:szCs w:val="21"/>
        </w:rPr>
      </w:pPr>
      <w:r>
        <w:rPr>
          <w:rFonts w:hint="eastAsia"/>
          <w:szCs w:val="21"/>
        </w:rPr>
        <w:t>供应商直接登陆“浙江政府采购云平台”（http://www.zcy.gov.cn/）进行网上报名并下载电子采购文件。《供应商网上报名操作指南》网址：浙江政府采购网，位置：“首页-办事指南-省采中心-网上报名”（http://www.zjzfcg.gov.cn/bs_other/2018-03-30/12002.html）</w:t>
      </w:r>
    </w:p>
    <w:p>
      <w:pPr>
        <w:widowControl/>
        <w:spacing w:line="360" w:lineRule="exact"/>
        <w:ind w:firstLine="420" w:firstLineChars="200"/>
        <w:jc w:val="left"/>
        <w:rPr>
          <w:rFonts w:hint="eastAsia"/>
          <w:szCs w:val="21"/>
        </w:rPr>
      </w:pPr>
      <w:r>
        <w:rPr>
          <w:rFonts w:hint="eastAsia"/>
          <w:szCs w:val="21"/>
        </w:rPr>
        <w:t xml:space="preserve">六、投标截止时间及地点：     </w:t>
      </w:r>
    </w:p>
    <w:p>
      <w:pPr>
        <w:spacing w:line="370" w:lineRule="exact"/>
        <w:ind w:firstLine="420" w:firstLineChars="200"/>
        <w:rPr>
          <w:rFonts w:hint="eastAsia"/>
          <w:szCs w:val="21"/>
        </w:rPr>
      </w:pPr>
      <w:r>
        <w:rPr>
          <w:rFonts w:hint="eastAsia"/>
          <w:szCs w:val="21"/>
        </w:rPr>
        <w:t>供应商应于2019年10月17日10时00分（北京时间）前将投标文件密封送交到慈溪市公共资源交易中心第5开标室（慈溪市白沙路街道南二环东路1355号，南二环东路与东三环南路交叉口东首，原水立方），逾期送达或未密封将予以拒收（或作无效投标文件处理）。</w:t>
      </w:r>
    </w:p>
    <w:p>
      <w:pPr>
        <w:spacing w:line="370" w:lineRule="exact"/>
        <w:ind w:firstLine="420" w:firstLineChars="200"/>
        <w:rPr>
          <w:rFonts w:hint="eastAsia"/>
          <w:szCs w:val="21"/>
        </w:rPr>
      </w:pPr>
      <w:r>
        <w:rPr>
          <w:rFonts w:hint="eastAsia"/>
          <w:szCs w:val="21"/>
        </w:rPr>
        <w:t>七、开标时间及地点：</w:t>
      </w:r>
    </w:p>
    <w:p>
      <w:pPr>
        <w:spacing w:line="370" w:lineRule="exact"/>
        <w:ind w:firstLine="420" w:firstLineChars="200"/>
        <w:rPr>
          <w:rFonts w:hint="eastAsia"/>
          <w:szCs w:val="21"/>
        </w:rPr>
      </w:pPr>
      <w:r>
        <w:rPr>
          <w:rFonts w:hint="eastAsia"/>
          <w:szCs w:val="21"/>
        </w:rPr>
        <w:t>本次招标将于2019年10月17日10时00分（北京时间）在慈溪市公共资源交易中心第5开标室（慈溪市白沙路街道南二环东路1355号，南二环东路与东三环南路交叉口东首，原水立方）开标，供应商可以派授权代表出席开标会议。</w:t>
      </w:r>
    </w:p>
    <w:p>
      <w:pPr>
        <w:numPr>
          <w:ilvl w:val="0"/>
          <w:numId w:val="2"/>
        </w:numPr>
        <w:spacing w:line="370" w:lineRule="exact"/>
        <w:ind w:firstLine="420" w:firstLineChars="200"/>
        <w:rPr>
          <w:rFonts w:hint="eastAsia"/>
          <w:szCs w:val="21"/>
        </w:rPr>
      </w:pPr>
      <w:r>
        <w:rPr>
          <w:rFonts w:hint="eastAsia"/>
          <w:szCs w:val="21"/>
        </w:rPr>
        <w:t>其他事项：1、本项目公告期限为5个工作日，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70" w:lineRule="exact"/>
        <w:rPr>
          <w:rFonts w:hint="eastAsia"/>
          <w:szCs w:val="21"/>
        </w:rPr>
      </w:pPr>
      <w:r>
        <w:rPr>
          <w:rFonts w:hint="eastAsia"/>
          <w:szCs w:val="21"/>
        </w:rPr>
        <w:t>2、采购项目需要落实的政府采购政策</w:t>
      </w:r>
    </w:p>
    <w:p>
      <w:pPr>
        <w:spacing w:line="370" w:lineRule="exact"/>
        <w:rPr>
          <w:rFonts w:hint="eastAsia"/>
          <w:szCs w:val="21"/>
        </w:rPr>
      </w:pPr>
      <w:r>
        <w:rPr>
          <w:rFonts w:hint="eastAsia"/>
          <w:szCs w:val="21"/>
        </w:rPr>
        <w:t xml:space="preserve"> 《关于促进残疾人就业政府采购政策的通知》（财库[2017]141号）、《政府采购促进中小企业发展暂行办法》（财库[2011]181号）、《关于政府采购支持监狱企业发展有关问题的通知》(财库[2014]68号)、《关于环境标志产品政府采购实施的意见》（财库〔2006〕90号、《节能产品政府采购实施意见》的通知（财库〔2004〕185号）</w:t>
      </w:r>
    </w:p>
    <w:p>
      <w:pPr>
        <w:spacing w:line="370" w:lineRule="exact"/>
        <w:rPr>
          <w:rFonts w:hint="eastAsia"/>
          <w:szCs w:val="21"/>
        </w:rPr>
      </w:pPr>
      <w:r>
        <w:rPr>
          <w:rFonts w:hint="eastAsia"/>
          <w:szCs w:val="21"/>
        </w:rPr>
        <w:t>3、其他事项</w:t>
      </w:r>
    </w:p>
    <w:p>
      <w:pPr>
        <w:spacing w:line="370" w:lineRule="exact"/>
        <w:rPr>
          <w:rFonts w:hint="eastAsia"/>
          <w:szCs w:val="21"/>
        </w:rPr>
      </w:pPr>
      <w:r>
        <w:rPr>
          <w:rFonts w:hint="eastAsia"/>
          <w:szCs w:val="21"/>
        </w:rPr>
        <w:t xml:space="preserve">（1）单位负责人为同一人或者存在直接控股、管理关系的不同供应商，不得参加同一项目的投标； </w:t>
      </w:r>
    </w:p>
    <w:p>
      <w:pPr>
        <w:spacing w:line="370" w:lineRule="exact"/>
        <w:rPr>
          <w:rFonts w:hint="eastAsia"/>
          <w:szCs w:val="21"/>
        </w:rPr>
      </w:pPr>
      <w:r>
        <w:rPr>
          <w:rFonts w:hint="eastAsia"/>
          <w:szCs w:val="21"/>
        </w:rPr>
        <w:t>（2）</w:t>
      </w:r>
      <w:r>
        <w:rPr>
          <w:rFonts w:hint="eastAsia" w:ascii="宋体" w:hAnsi="宋体" w:cs="宋体"/>
          <w:lang w:bidi="ar"/>
        </w:rPr>
        <w:t>除单一来源采购项目外，</w:t>
      </w:r>
      <w:r>
        <w:rPr>
          <w:rFonts w:hint="eastAsia"/>
          <w:szCs w:val="21"/>
        </w:rPr>
        <w:t xml:space="preserve">为本项目提供整体设计、规范编制或者项目管理、监理、检测等服务的供应商，不得再参加本项目的投标； </w:t>
      </w:r>
    </w:p>
    <w:p>
      <w:pPr>
        <w:spacing w:line="370" w:lineRule="exact"/>
        <w:rPr>
          <w:rFonts w:hint="eastAsia"/>
          <w:szCs w:val="21"/>
        </w:rPr>
      </w:pPr>
      <w:r>
        <w:rPr>
          <w:rFonts w:hint="eastAsia"/>
          <w:szCs w:val="21"/>
        </w:rPr>
        <w:t>（3）参加投标的供应商在投标前必须到“浙江政府采购网（</w:t>
      </w:r>
      <w:r>
        <w:rPr>
          <w:rFonts w:hint="eastAsia"/>
          <w:szCs w:val="21"/>
        </w:rPr>
        <w:fldChar w:fldCharType="begin"/>
      </w:r>
      <w:r>
        <w:rPr>
          <w:rFonts w:hint="eastAsia"/>
          <w:szCs w:val="21"/>
        </w:rPr>
        <w:instrText xml:space="preserve"> HYPERLINK "http://www.zjzfcg.gov.cn" </w:instrText>
      </w:r>
      <w:r>
        <w:rPr>
          <w:rFonts w:hint="eastAsia"/>
          <w:szCs w:val="21"/>
        </w:rPr>
        <w:fldChar w:fldCharType="separate"/>
      </w:r>
      <w:r>
        <w:rPr>
          <w:rFonts w:hint="eastAsia"/>
          <w:szCs w:val="21"/>
        </w:rPr>
        <w:t>www.zjzfcg.gov.cn</w:t>
      </w:r>
      <w:r>
        <w:rPr>
          <w:rFonts w:hint="eastAsia"/>
          <w:szCs w:val="21"/>
        </w:rPr>
        <w:fldChar w:fldCharType="end"/>
      </w:r>
      <w:r>
        <w:rPr>
          <w:rFonts w:hint="eastAsia"/>
          <w:szCs w:val="21"/>
        </w:rPr>
        <w:t>）”上进行注册登记。</w:t>
      </w:r>
    </w:p>
    <w:p>
      <w:pPr>
        <w:spacing w:line="370" w:lineRule="exact"/>
        <w:rPr>
          <w:rFonts w:hint="eastAsia"/>
          <w:szCs w:val="21"/>
        </w:rPr>
      </w:pPr>
      <w:r>
        <w:rPr>
          <w:rFonts w:hint="eastAsia"/>
          <w:szCs w:val="21"/>
        </w:rPr>
        <w:t>（4）本次采购活动有关信息在www.nbzfcg.cn（宁波政府采购网）、浙江政府采购网（</w:t>
      </w:r>
      <w:r>
        <w:rPr>
          <w:rFonts w:hint="eastAsia"/>
          <w:szCs w:val="21"/>
        </w:rPr>
        <w:fldChar w:fldCharType="begin"/>
      </w:r>
      <w:r>
        <w:rPr>
          <w:rFonts w:hint="eastAsia"/>
          <w:szCs w:val="21"/>
        </w:rPr>
        <w:instrText xml:space="preserve"> HYPERLINK "http://www.zjzfcg.gov.cn" </w:instrText>
      </w:r>
      <w:r>
        <w:rPr>
          <w:rFonts w:hint="eastAsia"/>
          <w:szCs w:val="21"/>
        </w:rPr>
        <w:fldChar w:fldCharType="separate"/>
      </w:r>
      <w:r>
        <w:rPr>
          <w:rFonts w:hint="eastAsia"/>
        </w:rPr>
        <w:t>www.zjzfcg.gov.cn</w:t>
      </w:r>
      <w:r>
        <w:rPr>
          <w:rFonts w:hint="eastAsia"/>
          <w:szCs w:val="21"/>
        </w:rPr>
        <w:fldChar w:fldCharType="end"/>
      </w:r>
      <w:r>
        <w:rPr>
          <w:rFonts w:hint="eastAsia"/>
          <w:szCs w:val="21"/>
        </w:rPr>
        <w:t>）上公布，公布信息视同送达所有潜在供应商。</w:t>
      </w:r>
    </w:p>
    <w:p>
      <w:pPr>
        <w:spacing w:line="370" w:lineRule="exact"/>
        <w:ind w:firstLine="420"/>
        <w:rPr>
          <w:rFonts w:hint="eastAsia"/>
          <w:szCs w:val="21"/>
        </w:rPr>
      </w:pPr>
      <w:r>
        <w:rPr>
          <w:rFonts w:hint="eastAsia"/>
          <w:szCs w:val="21"/>
        </w:rPr>
        <w:t>九、联系方式</w:t>
      </w:r>
    </w:p>
    <w:p>
      <w:pPr>
        <w:spacing w:line="360" w:lineRule="exact"/>
        <w:ind w:firstLine="420" w:firstLineChars="200"/>
        <w:rPr>
          <w:szCs w:val="21"/>
        </w:rPr>
      </w:pPr>
      <w:r>
        <w:rPr>
          <w:rFonts w:hint="eastAsia"/>
          <w:szCs w:val="21"/>
        </w:rPr>
        <w:t>1、招标代理机构：</w:t>
      </w:r>
      <w:r>
        <w:rPr>
          <w:rFonts w:hint="eastAsia"/>
        </w:rPr>
        <w:t>宁波国际投资咨询有限公司</w:t>
      </w:r>
    </w:p>
    <w:p>
      <w:pPr>
        <w:spacing w:line="360" w:lineRule="exact"/>
        <w:ind w:firstLine="420" w:firstLineChars="200"/>
        <w:rPr>
          <w:rFonts w:hint="eastAsia"/>
          <w:szCs w:val="21"/>
        </w:rPr>
      </w:pPr>
      <w:r>
        <w:rPr>
          <w:rFonts w:hint="eastAsia"/>
          <w:szCs w:val="21"/>
        </w:rPr>
        <w:t>联系人：</w:t>
      </w:r>
      <w:r>
        <w:rPr>
          <w:rFonts w:hint="eastAsia"/>
        </w:rPr>
        <w:t>徐工、李工、戴工</w:t>
      </w:r>
    </w:p>
    <w:p>
      <w:pPr>
        <w:spacing w:line="360" w:lineRule="exact"/>
        <w:ind w:firstLine="420" w:firstLineChars="200"/>
      </w:pPr>
      <w:r>
        <w:rPr>
          <w:rFonts w:hint="eastAsia"/>
          <w:szCs w:val="21"/>
        </w:rPr>
        <w:t>联系电话：</w:t>
      </w:r>
      <w:r>
        <w:t>0574-</w:t>
      </w:r>
      <w:r>
        <w:rPr>
          <w:rFonts w:hint="eastAsia"/>
        </w:rPr>
        <w:t xml:space="preserve">87312175 </w:t>
      </w:r>
      <w:r>
        <w:t>传真：0574-</w:t>
      </w:r>
      <w:r>
        <w:rPr>
          <w:rFonts w:hint="eastAsia"/>
        </w:rPr>
        <w:t>87312175</w:t>
      </w:r>
    </w:p>
    <w:p>
      <w:pPr>
        <w:spacing w:line="360" w:lineRule="exact"/>
        <w:ind w:firstLine="420" w:firstLineChars="200"/>
        <w:rPr>
          <w:szCs w:val="21"/>
        </w:rPr>
      </w:pPr>
      <w:r>
        <w:rPr>
          <w:rFonts w:hint="eastAsia"/>
          <w:szCs w:val="21"/>
        </w:rPr>
        <w:t>联系地址：宁波市鄞州区世纪大道北段名汇东方大厦1916室</w:t>
      </w:r>
    </w:p>
    <w:p>
      <w:pPr>
        <w:spacing w:line="360" w:lineRule="exact"/>
        <w:ind w:left="3360" w:leftChars="200" w:hanging="2940" w:hangingChars="1400"/>
        <w:outlineLvl w:val="0"/>
        <w:rPr>
          <w:rFonts w:hint="eastAsia"/>
          <w:szCs w:val="21"/>
        </w:rPr>
      </w:pPr>
      <w:r>
        <w:rPr>
          <w:rFonts w:hint="eastAsia"/>
          <w:szCs w:val="21"/>
        </w:rPr>
        <w:t>2、采购单位：浙江慈溪滨海经济开发区管理委员会</w:t>
      </w:r>
    </w:p>
    <w:p>
      <w:pPr>
        <w:spacing w:line="370" w:lineRule="exact"/>
        <w:ind w:firstLine="424" w:firstLineChars="202"/>
        <w:jc w:val="left"/>
        <w:outlineLvl w:val="0"/>
        <w:rPr>
          <w:rFonts w:hint="eastAsia"/>
          <w:szCs w:val="21"/>
        </w:rPr>
      </w:pPr>
      <w:r>
        <w:rPr>
          <w:rFonts w:hint="eastAsia"/>
          <w:szCs w:val="21"/>
        </w:rPr>
        <w:t xml:space="preserve">联系人：李先生 </w:t>
      </w:r>
    </w:p>
    <w:p>
      <w:pPr>
        <w:spacing w:line="370" w:lineRule="exact"/>
        <w:ind w:firstLine="424" w:firstLineChars="202"/>
        <w:jc w:val="left"/>
        <w:outlineLvl w:val="0"/>
        <w:rPr>
          <w:szCs w:val="21"/>
        </w:rPr>
      </w:pPr>
      <w:r>
        <w:rPr>
          <w:rFonts w:hint="eastAsia"/>
          <w:szCs w:val="21"/>
        </w:rPr>
        <w:t xml:space="preserve">联系电话：0574-63332318 </w:t>
      </w:r>
    </w:p>
    <w:p>
      <w:pPr>
        <w:spacing w:line="370" w:lineRule="exact"/>
        <w:ind w:firstLine="424" w:firstLineChars="202"/>
        <w:jc w:val="left"/>
        <w:outlineLvl w:val="0"/>
        <w:rPr>
          <w:rFonts w:hint="eastAsia"/>
          <w:szCs w:val="21"/>
        </w:rPr>
      </w:pPr>
      <w:r>
        <w:rPr>
          <w:rFonts w:hint="eastAsia"/>
          <w:szCs w:val="21"/>
        </w:rPr>
        <w:t>3、同级政府采购监督管理部门名称： 慈溪市公共资源交易管理办公室</w:t>
      </w:r>
    </w:p>
    <w:p>
      <w:pPr>
        <w:spacing w:line="370" w:lineRule="exact"/>
        <w:ind w:firstLine="424" w:firstLineChars="202"/>
        <w:jc w:val="left"/>
        <w:outlineLvl w:val="0"/>
        <w:rPr>
          <w:rFonts w:hint="eastAsia"/>
          <w:szCs w:val="21"/>
        </w:rPr>
      </w:pPr>
      <w:r>
        <w:rPr>
          <w:rFonts w:hint="eastAsia"/>
          <w:szCs w:val="21"/>
        </w:rPr>
        <w:t>联系人： 童先生</w:t>
      </w:r>
    </w:p>
    <w:p>
      <w:pPr>
        <w:spacing w:line="370" w:lineRule="exact"/>
        <w:ind w:firstLine="424" w:firstLineChars="202"/>
        <w:jc w:val="left"/>
        <w:outlineLvl w:val="0"/>
        <w:rPr>
          <w:rFonts w:hint="eastAsia"/>
          <w:szCs w:val="21"/>
        </w:rPr>
      </w:pPr>
      <w:r>
        <w:rPr>
          <w:rFonts w:hint="eastAsia"/>
          <w:szCs w:val="21"/>
        </w:rPr>
        <w:t xml:space="preserve">监督投诉电话： 63013517 </w:t>
      </w:r>
    </w:p>
    <w:p>
      <w:pPr>
        <w:spacing w:line="370" w:lineRule="exact"/>
        <w:ind w:firstLine="424" w:firstLineChars="202"/>
        <w:jc w:val="left"/>
        <w:outlineLvl w:val="0"/>
        <w:rPr>
          <w:rFonts w:hint="eastAsia"/>
          <w:szCs w:val="21"/>
        </w:rPr>
      </w:pPr>
    </w:p>
    <w:p>
      <w:pPr>
        <w:spacing w:line="370" w:lineRule="exact"/>
        <w:jc w:val="center"/>
        <w:outlineLvl w:val="0"/>
        <w:rPr>
          <w:rFonts w:hint="eastAsia"/>
          <w:b/>
          <w:bCs/>
          <w:sz w:val="32"/>
          <w:szCs w:val="32"/>
        </w:rPr>
      </w:pPr>
      <w:r>
        <w:rPr>
          <w:b/>
          <w:sz w:val="32"/>
          <w:szCs w:val="32"/>
        </w:rPr>
        <w:br w:type="page"/>
      </w:r>
      <w:r>
        <w:rPr>
          <w:rFonts w:hint="eastAsia"/>
          <w:b/>
          <w:sz w:val="32"/>
          <w:szCs w:val="32"/>
        </w:rPr>
        <w:t xml:space="preserve">第二部分  </w:t>
      </w:r>
      <w:bookmarkEnd w:id="0"/>
      <w:bookmarkEnd w:id="1"/>
      <w:r>
        <w:rPr>
          <w:rFonts w:hint="eastAsia"/>
          <w:b/>
          <w:bCs/>
          <w:sz w:val="32"/>
          <w:szCs w:val="32"/>
        </w:rPr>
        <w:t>项目背景及采购需求</w:t>
      </w:r>
    </w:p>
    <w:p>
      <w:pPr>
        <w:spacing w:line="370" w:lineRule="exact"/>
        <w:jc w:val="center"/>
        <w:outlineLvl w:val="0"/>
        <w:rPr>
          <w:rFonts w:hint="eastAsia"/>
          <w:szCs w:val="21"/>
        </w:rPr>
      </w:pPr>
    </w:p>
    <w:p>
      <w:pPr>
        <w:keepNext/>
        <w:keepLines/>
        <w:numPr>
          <w:ilvl w:val="0"/>
          <w:numId w:val="3"/>
        </w:numPr>
        <w:spacing w:line="360" w:lineRule="auto"/>
        <w:ind w:left="602" w:hanging="602" w:hangingChars="200"/>
        <w:outlineLvl w:val="0"/>
        <w:rPr>
          <w:rFonts w:eastAsia="黑体"/>
          <w:b/>
          <w:bCs/>
          <w:kern w:val="44"/>
          <w:sz w:val="30"/>
          <w:szCs w:val="30"/>
        </w:rPr>
      </w:pPr>
      <w:bookmarkStart w:id="2" w:name="_Hlk6909333"/>
      <w:bookmarkEnd w:id="2"/>
      <w:bookmarkStart w:id="3" w:name="_Toc14835"/>
      <w:bookmarkStart w:id="4" w:name="_Toc414365367"/>
      <w:bookmarkStart w:id="5" w:name="_Toc4148"/>
      <w:bookmarkStart w:id="6" w:name="_Toc1492"/>
      <w:bookmarkStart w:id="7" w:name="_Toc12881091"/>
      <w:bookmarkStart w:id="8" w:name="_Toc29161"/>
      <w:bookmarkStart w:id="9" w:name="_Toc413319825"/>
      <w:r>
        <w:rPr>
          <w:rFonts w:hint="eastAsia" w:eastAsia="黑体"/>
          <w:b/>
          <w:bCs/>
          <w:kern w:val="44"/>
          <w:sz w:val="30"/>
          <w:szCs w:val="30"/>
        </w:rPr>
        <w:t>项目概述</w:t>
      </w:r>
      <w:bookmarkEnd w:id="3"/>
      <w:bookmarkEnd w:id="4"/>
      <w:bookmarkEnd w:id="5"/>
      <w:bookmarkEnd w:id="6"/>
      <w:bookmarkEnd w:id="7"/>
      <w:bookmarkEnd w:id="8"/>
    </w:p>
    <w:p>
      <w:pPr>
        <w:keepNext/>
        <w:keepLines/>
        <w:numPr>
          <w:ilvl w:val="1"/>
          <w:numId w:val="3"/>
        </w:numPr>
        <w:tabs>
          <w:tab w:val="left" w:pos="1560"/>
        </w:tabs>
        <w:spacing w:before="260" w:after="260" w:line="415" w:lineRule="auto"/>
        <w:outlineLvl w:val="1"/>
        <w:rPr>
          <w:rFonts w:ascii="Arial" w:hAnsi="Arial" w:eastAsia="仿宋_GB2312"/>
          <w:b/>
          <w:bCs/>
          <w:sz w:val="28"/>
          <w:szCs w:val="28"/>
        </w:rPr>
      </w:pPr>
      <w:bookmarkStart w:id="10" w:name="_Toc32313"/>
      <w:bookmarkStart w:id="11" w:name="_Toc31146"/>
      <w:bookmarkStart w:id="12" w:name="_Toc12881092"/>
      <w:bookmarkStart w:id="13" w:name="_Toc22097"/>
      <w:bookmarkStart w:id="14" w:name="_Toc3194"/>
      <w:r>
        <w:rPr>
          <w:rFonts w:hint="eastAsia" w:ascii="Arial" w:hAnsi="Arial" w:eastAsia="仿宋_GB2312"/>
          <w:b/>
          <w:bCs/>
          <w:sz w:val="28"/>
          <w:szCs w:val="28"/>
        </w:rPr>
        <w:t>项目名称</w:t>
      </w:r>
      <w:bookmarkEnd w:id="10"/>
      <w:bookmarkEnd w:id="11"/>
      <w:bookmarkEnd w:id="12"/>
      <w:bookmarkEnd w:id="13"/>
      <w:bookmarkEnd w:id="14"/>
    </w:p>
    <w:p>
      <w:pPr>
        <w:spacing w:line="360" w:lineRule="auto"/>
        <w:ind w:firstLine="560" w:firstLineChars="200"/>
        <w:rPr>
          <w:rFonts w:eastAsia="仿宋_GB2312"/>
          <w:sz w:val="28"/>
          <w:szCs w:val="22"/>
        </w:rPr>
      </w:pPr>
      <w:r>
        <w:rPr>
          <w:rFonts w:hint="eastAsia" w:eastAsia="仿宋_GB2312"/>
          <w:sz w:val="28"/>
          <w:szCs w:val="22"/>
        </w:rPr>
        <w:t>浙江慈溪滨海经济开发区天网工程二期（社会治安动态视频监控系统二期）项目（以下简称滨海治安监控二期项目）</w:t>
      </w:r>
    </w:p>
    <w:p>
      <w:pPr>
        <w:keepNext/>
        <w:keepLines/>
        <w:numPr>
          <w:ilvl w:val="1"/>
          <w:numId w:val="3"/>
        </w:numPr>
        <w:tabs>
          <w:tab w:val="left" w:pos="1560"/>
        </w:tabs>
        <w:spacing w:before="260" w:after="260" w:line="415" w:lineRule="auto"/>
        <w:outlineLvl w:val="1"/>
        <w:rPr>
          <w:rFonts w:ascii="Arial" w:hAnsi="Arial" w:eastAsia="仿宋_GB2312"/>
          <w:b/>
          <w:bCs/>
          <w:sz w:val="28"/>
          <w:szCs w:val="28"/>
        </w:rPr>
      </w:pPr>
      <w:bookmarkStart w:id="15" w:name="_Toc25837"/>
      <w:bookmarkStart w:id="16" w:name="_Toc26511"/>
      <w:bookmarkStart w:id="17" w:name="_Toc12881093"/>
      <w:bookmarkStart w:id="18" w:name="_Toc9241"/>
      <w:bookmarkStart w:id="19" w:name="_Toc6274"/>
      <w:r>
        <w:rPr>
          <w:rFonts w:hint="eastAsia" w:ascii="Arial" w:hAnsi="Arial" w:eastAsia="仿宋_GB2312"/>
          <w:b/>
          <w:bCs/>
          <w:sz w:val="28"/>
          <w:szCs w:val="28"/>
        </w:rPr>
        <w:t>建设单位</w:t>
      </w:r>
      <w:bookmarkEnd w:id="15"/>
      <w:bookmarkEnd w:id="16"/>
      <w:bookmarkEnd w:id="17"/>
      <w:bookmarkEnd w:id="18"/>
      <w:bookmarkEnd w:id="19"/>
    </w:p>
    <w:p>
      <w:pPr>
        <w:spacing w:line="360" w:lineRule="auto"/>
        <w:ind w:firstLine="560" w:firstLineChars="200"/>
        <w:rPr>
          <w:rFonts w:eastAsia="仿宋_GB2312"/>
          <w:sz w:val="28"/>
          <w:szCs w:val="22"/>
        </w:rPr>
      </w:pPr>
      <w:r>
        <w:rPr>
          <w:rFonts w:hint="eastAsia" w:eastAsia="仿宋_GB2312"/>
          <w:sz w:val="28"/>
          <w:szCs w:val="22"/>
        </w:rPr>
        <w:t>浙江慈溪滨海经济开发区管理委员会</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20" w:name="_Toc2662"/>
      <w:bookmarkStart w:id="21" w:name="_Toc14854"/>
      <w:bookmarkStart w:id="22" w:name="_Toc12881095"/>
      <w:bookmarkStart w:id="23" w:name="_Toc14637"/>
      <w:bookmarkStart w:id="24" w:name="_Toc11605"/>
      <w:r>
        <w:rPr>
          <w:rFonts w:hint="eastAsia" w:ascii="Arial" w:hAnsi="Arial" w:eastAsia="仿宋_GB2312"/>
          <w:b/>
          <w:bCs/>
          <w:sz w:val="28"/>
          <w:szCs w:val="32"/>
        </w:rPr>
        <w:t>编制依据</w:t>
      </w:r>
      <w:bookmarkEnd w:id="20"/>
      <w:bookmarkEnd w:id="21"/>
      <w:bookmarkEnd w:id="22"/>
      <w:bookmarkEnd w:id="23"/>
      <w:bookmarkEnd w:id="24"/>
    </w:p>
    <w:p>
      <w:pPr>
        <w:spacing w:line="360" w:lineRule="auto"/>
        <w:ind w:firstLine="562" w:firstLineChars="200"/>
        <w:rPr>
          <w:rFonts w:eastAsia="仿宋_GB2312"/>
          <w:b/>
          <w:bCs/>
          <w:sz w:val="28"/>
          <w:szCs w:val="22"/>
        </w:rPr>
      </w:pPr>
      <w:r>
        <w:rPr>
          <w:rFonts w:hint="eastAsia" w:eastAsia="仿宋_GB2312"/>
          <w:b/>
          <w:bCs/>
          <w:sz w:val="28"/>
          <w:szCs w:val="22"/>
        </w:rPr>
        <w:t>（1）城市联网监控报警系统设计方面：</w:t>
      </w:r>
    </w:p>
    <w:p>
      <w:pPr>
        <w:numPr>
          <w:ilvl w:val="0"/>
          <w:numId w:val="4"/>
        </w:numPr>
        <w:spacing w:line="360" w:lineRule="auto"/>
        <w:rPr>
          <w:rFonts w:eastAsia="仿宋_GB2312"/>
          <w:sz w:val="28"/>
          <w:szCs w:val="22"/>
        </w:rPr>
      </w:pPr>
      <w:r>
        <w:rPr>
          <w:rFonts w:hint="eastAsia" w:eastAsia="仿宋_GB2312"/>
          <w:sz w:val="28"/>
          <w:szCs w:val="22"/>
        </w:rPr>
        <w:t>《安全防范视频监控联网系统信息传输、交换、控制技术要求》（GB/ T28181-201</w:t>
      </w:r>
      <w:r>
        <w:rPr>
          <w:rFonts w:eastAsia="仿宋_GB2312"/>
          <w:sz w:val="28"/>
          <w:szCs w:val="22"/>
        </w:rPr>
        <w:t>6</w:t>
      </w:r>
      <w:r>
        <w:rPr>
          <w:rFonts w:hint="eastAsia" w:eastAsia="仿宋_GB2312"/>
          <w:sz w:val="28"/>
          <w:szCs w:val="22"/>
        </w:rPr>
        <w:t>）</w:t>
      </w:r>
    </w:p>
    <w:p>
      <w:pPr>
        <w:numPr>
          <w:ilvl w:val="0"/>
          <w:numId w:val="4"/>
        </w:numPr>
        <w:spacing w:line="360" w:lineRule="auto"/>
        <w:rPr>
          <w:rFonts w:eastAsia="仿宋_GB2312"/>
          <w:sz w:val="28"/>
          <w:szCs w:val="22"/>
        </w:rPr>
      </w:pPr>
      <w:r>
        <w:rPr>
          <w:rFonts w:hint="eastAsia" w:eastAsia="仿宋_GB2312"/>
          <w:sz w:val="28"/>
          <w:szCs w:val="22"/>
        </w:rPr>
        <w:t>《城市监控报警联网系统技术标准第1部分至第9部分》（GA/T669-2008）</w:t>
      </w:r>
    </w:p>
    <w:p>
      <w:pPr>
        <w:numPr>
          <w:ilvl w:val="0"/>
          <w:numId w:val="4"/>
        </w:numPr>
        <w:spacing w:line="360" w:lineRule="auto"/>
        <w:rPr>
          <w:rFonts w:eastAsia="仿宋_GB2312"/>
          <w:sz w:val="28"/>
          <w:szCs w:val="22"/>
        </w:rPr>
      </w:pPr>
      <w:r>
        <w:rPr>
          <w:rFonts w:hint="eastAsia" w:eastAsia="仿宋_GB2312"/>
          <w:sz w:val="28"/>
          <w:szCs w:val="22"/>
        </w:rPr>
        <w:t>《跨区域视频监控联网共享技术规范》（DB33/T 629-2011）</w:t>
      </w:r>
    </w:p>
    <w:p>
      <w:pPr>
        <w:numPr>
          <w:ilvl w:val="0"/>
          <w:numId w:val="4"/>
        </w:numPr>
        <w:spacing w:line="360" w:lineRule="auto"/>
        <w:rPr>
          <w:rFonts w:eastAsia="仿宋_GB2312"/>
          <w:sz w:val="28"/>
          <w:szCs w:val="22"/>
        </w:rPr>
      </w:pPr>
      <w:r>
        <w:rPr>
          <w:rFonts w:hint="eastAsia" w:eastAsia="仿宋_GB2312"/>
          <w:sz w:val="28"/>
          <w:szCs w:val="22"/>
        </w:rPr>
        <w:t>《城市监控报警联网系统管理标准第1部分：图像信息采集、接入、使用管理要求》（GA/T792.1-2008）</w:t>
      </w:r>
    </w:p>
    <w:p>
      <w:pPr>
        <w:numPr>
          <w:ilvl w:val="0"/>
          <w:numId w:val="4"/>
        </w:numPr>
        <w:spacing w:line="360" w:lineRule="auto"/>
        <w:rPr>
          <w:rFonts w:eastAsia="仿宋_GB2312"/>
          <w:sz w:val="28"/>
          <w:szCs w:val="22"/>
        </w:rPr>
      </w:pPr>
      <w:r>
        <w:rPr>
          <w:rFonts w:hint="eastAsia" w:eastAsia="仿宋_GB2312"/>
          <w:sz w:val="28"/>
          <w:szCs w:val="22"/>
        </w:rPr>
        <w:t>《城市监控报警联网系统合格评定第1部分：系统功能性能检验规范》（GA/T793.1-2008）</w:t>
      </w:r>
    </w:p>
    <w:p>
      <w:pPr>
        <w:numPr>
          <w:ilvl w:val="0"/>
          <w:numId w:val="4"/>
        </w:numPr>
        <w:spacing w:line="360" w:lineRule="auto"/>
        <w:rPr>
          <w:rFonts w:eastAsia="仿宋_GB2312"/>
          <w:sz w:val="28"/>
          <w:szCs w:val="22"/>
        </w:rPr>
      </w:pPr>
      <w:r>
        <w:rPr>
          <w:rFonts w:hint="eastAsia" w:eastAsia="仿宋_GB2312"/>
          <w:sz w:val="28"/>
          <w:szCs w:val="22"/>
        </w:rPr>
        <w:t>《城市监控报警联网系统合格评定第2部分：管理平台软件测试规范》（GA/ T793.2-2008）</w:t>
      </w:r>
    </w:p>
    <w:p>
      <w:pPr>
        <w:numPr>
          <w:ilvl w:val="0"/>
          <w:numId w:val="4"/>
        </w:numPr>
        <w:spacing w:line="360" w:lineRule="auto"/>
        <w:rPr>
          <w:rFonts w:eastAsia="仿宋_GB2312"/>
          <w:sz w:val="28"/>
          <w:szCs w:val="22"/>
        </w:rPr>
      </w:pPr>
      <w:r>
        <w:rPr>
          <w:rFonts w:hint="eastAsia" w:eastAsia="仿宋_GB2312"/>
          <w:sz w:val="28"/>
          <w:szCs w:val="22"/>
        </w:rPr>
        <w:t>《城市监控报警联网系统合格评定第3部分：系统验收规范》（GA/T793.3-2008）</w:t>
      </w:r>
    </w:p>
    <w:p>
      <w:pPr>
        <w:numPr>
          <w:ilvl w:val="0"/>
          <w:numId w:val="4"/>
        </w:numPr>
        <w:spacing w:line="360" w:lineRule="auto"/>
        <w:rPr>
          <w:rFonts w:eastAsia="仿宋_GB2312"/>
          <w:sz w:val="28"/>
          <w:szCs w:val="22"/>
        </w:rPr>
      </w:pPr>
      <w:r>
        <w:rPr>
          <w:rFonts w:hint="eastAsia" w:eastAsia="仿宋_GB2312"/>
          <w:sz w:val="28"/>
          <w:szCs w:val="22"/>
        </w:rPr>
        <w:t>浙江省公安厅《视频图像信息联网系统总体技术架构》</w:t>
      </w:r>
    </w:p>
    <w:p>
      <w:pPr>
        <w:numPr>
          <w:ilvl w:val="0"/>
          <w:numId w:val="4"/>
        </w:numPr>
        <w:spacing w:line="360" w:lineRule="auto"/>
        <w:rPr>
          <w:rFonts w:eastAsia="仿宋_GB2312"/>
          <w:sz w:val="28"/>
          <w:szCs w:val="22"/>
        </w:rPr>
      </w:pPr>
      <w:r>
        <w:rPr>
          <w:rFonts w:hint="eastAsia" w:eastAsia="仿宋_GB2312"/>
          <w:sz w:val="28"/>
          <w:szCs w:val="22"/>
        </w:rPr>
        <w:t>公安部关于城市报警与监控系统的建设、管理、应用规范性文件（公安部科技信息化局汇编2009年3月）</w:t>
      </w:r>
    </w:p>
    <w:p>
      <w:pPr>
        <w:numPr>
          <w:ilvl w:val="0"/>
          <w:numId w:val="4"/>
        </w:numPr>
        <w:spacing w:line="360" w:lineRule="auto"/>
        <w:rPr>
          <w:rFonts w:eastAsia="仿宋_GB2312"/>
          <w:sz w:val="28"/>
          <w:szCs w:val="22"/>
        </w:rPr>
      </w:pPr>
      <w:r>
        <w:rPr>
          <w:rFonts w:hint="eastAsia" w:eastAsia="仿宋_GB2312"/>
          <w:sz w:val="28"/>
          <w:szCs w:val="22"/>
        </w:rPr>
        <w:t>GA/T 751-2008《视频图像文字标注规范》</w:t>
      </w:r>
    </w:p>
    <w:p>
      <w:pPr>
        <w:numPr>
          <w:ilvl w:val="0"/>
          <w:numId w:val="4"/>
        </w:numPr>
        <w:spacing w:line="360" w:lineRule="auto"/>
        <w:rPr>
          <w:rFonts w:eastAsia="仿宋_GB2312"/>
          <w:sz w:val="28"/>
          <w:szCs w:val="22"/>
        </w:rPr>
      </w:pPr>
      <w:r>
        <w:rPr>
          <w:rFonts w:hint="eastAsia" w:eastAsia="仿宋_GB2312"/>
          <w:sz w:val="28"/>
          <w:szCs w:val="22"/>
        </w:rPr>
        <w:t>《公共安全视频监控联网信息安全技术要求》GB 35114-2017</w:t>
      </w:r>
    </w:p>
    <w:p>
      <w:pPr>
        <w:numPr>
          <w:ilvl w:val="0"/>
          <w:numId w:val="4"/>
        </w:numPr>
        <w:spacing w:line="360" w:lineRule="auto"/>
        <w:rPr>
          <w:rFonts w:eastAsia="仿宋_GB2312"/>
          <w:sz w:val="28"/>
          <w:szCs w:val="22"/>
        </w:rPr>
      </w:pPr>
      <w:r>
        <w:rPr>
          <w:rFonts w:hint="eastAsia" w:eastAsia="仿宋_GB2312"/>
          <w:sz w:val="28"/>
          <w:szCs w:val="22"/>
        </w:rPr>
        <w:t>《全国公安机关图像信息联网总体技术方案》（公科信[2012]73号）</w:t>
      </w:r>
    </w:p>
    <w:p>
      <w:pPr>
        <w:spacing w:line="360" w:lineRule="auto"/>
        <w:ind w:firstLine="562" w:firstLineChars="200"/>
        <w:rPr>
          <w:rFonts w:eastAsia="仿宋_GB2312"/>
          <w:b/>
          <w:bCs/>
          <w:sz w:val="28"/>
          <w:szCs w:val="22"/>
        </w:rPr>
      </w:pPr>
      <w:r>
        <w:rPr>
          <w:rFonts w:hint="eastAsia" w:eastAsia="仿宋_GB2312"/>
          <w:b/>
          <w:bCs/>
          <w:sz w:val="28"/>
          <w:szCs w:val="22"/>
        </w:rPr>
        <w:t>（2）安防视频监控系统设计方面：</w:t>
      </w:r>
    </w:p>
    <w:p>
      <w:pPr>
        <w:numPr>
          <w:ilvl w:val="0"/>
          <w:numId w:val="4"/>
        </w:numPr>
        <w:spacing w:line="360" w:lineRule="auto"/>
        <w:rPr>
          <w:rFonts w:eastAsia="仿宋_GB2312"/>
          <w:sz w:val="28"/>
          <w:szCs w:val="22"/>
        </w:rPr>
      </w:pPr>
      <w:r>
        <w:rPr>
          <w:rFonts w:hint="eastAsia" w:eastAsia="仿宋_GB2312"/>
          <w:sz w:val="28"/>
          <w:szCs w:val="22"/>
        </w:rPr>
        <w:t>《视频安防监控系统技术要求》（GA/T367-2001）</w:t>
      </w:r>
    </w:p>
    <w:p>
      <w:pPr>
        <w:numPr>
          <w:ilvl w:val="0"/>
          <w:numId w:val="4"/>
        </w:numPr>
        <w:spacing w:line="360" w:lineRule="auto"/>
        <w:rPr>
          <w:rFonts w:eastAsia="仿宋_GB2312"/>
          <w:sz w:val="28"/>
          <w:szCs w:val="22"/>
        </w:rPr>
      </w:pPr>
      <w:r>
        <w:rPr>
          <w:rFonts w:hint="eastAsia" w:eastAsia="仿宋_GB2312"/>
          <w:sz w:val="28"/>
          <w:szCs w:val="22"/>
        </w:rPr>
        <w:t>《视频安防监控系统变速球型摄像机》（GA/T465－2006）</w:t>
      </w:r>
    </w:p>
    <w:p>
      <w:pPr>
        <w:numPr>
          <w:ilvl w:val="0"/>
          <w:numId w:val="4"/>
        </w:numPr>
        <w:spacing w:line="360" w:lineRule="auto"/>
        <w:rPr>
          <w:rFonts w:eastAsia="仿宋_GB2312"/>
          <w:sz w:val="28"/>
          <w:szCs w:val="22"/>
        </w:rPr>
      </w:pPr>
      <w:r>
        <w:rPr>
          <w:rFonts w:hint="eastAsia" w:eastAsia="仿宋_GB2312"/>
          <w:sz w:val="28"/>
          <w:szCs w:val="22"/>
        </w:rPr>
        <w:t>《安全防范监控数字视音频编码技术要求》（GB/T 25724-2010）</w:t>
      </w:r>
    </w:p>
    <w:p>
      <w:pPr>
        <w:numPr>
          <w:ilvl w:val="0"/>
          <w:numId w:val="4"/>
        </w:numPr>
        <w:spacing w:line="360" w:lineRule="auto"/>
        <w:rPr>
          <w:rFonts w:eastAsia="仿宋_GB2312"/>
          <w:sz w:val="28"/>
          <w:szCs w:val="22"/>
        </w:rPr>
      </w:pPr>
      <w:r>
        <w:rPr>
          <w:rFonts w:hint="eastAsia" w:eastAsia="仿宋_GB2312"/>
          <w:sz w:val="28"/>
          <w:szCs w:val="22"/>
        </w:rPr>
        <w:t>《民用闭路监视电视系统工程技术规范》(GB50198-2011)</w:t>
      </w:r>
    </w:p>
    <w:p>
      <w:pPr>
        <w:numPr>
          <w:ilvl w:val="0"/>
          <w:numId w:val="4"/>
        </w:numPr>
        <w:spacing w:line="360" w:lineRule="auto"/>
        <w:rPr>
          <w:rFonts w:eastAsia="仿宋_GB2312"/>
          <w:sz w:val="28"/>
          <w:szCs w:val="22"/>
        </w:rPr>
      </w:pPr>
      <w:r>
        <w:rPr>
          <w:rFonts w:hint="eastAsia" w:eastAsia="仿宋_GB2312"/>
          <w:sz w:val="28"/>
          <w:szCs w:val="22"/>
        </w:rPr>
        <w:t>《工业电视系统工程设计规范》（GB50115-2009）</w:t>
      </w:r>
    </w:p>
    <w:p>
      <w:pPr>
        <w:numPr>
          <w:ilvl w:val="0"/>
          <w:numId w:val="4"/>
        </w:numPr>
        <w:spacing w:line="360" w:lineRule="auto"/>
        <w:rPr>
          <w:rFonts w:eastAsia="仿宋_GB2312"/>
          <w:sz w:val="28"/>
          <w:szCs w:val="22"/>
        </w:rPr>
      </w:pPr>
      <w:r>
        <w:rPr>
          <w:rFonts w:hint="eastAsia" w:eastAsia="仿宋_GB2312"/>
          <w:sz w:val="28"/>
          <w:szCs w:val="22"/>
        </w:rPr>
        <w:t>《安全防范系统通用图形符号》（GA/T74-2000）</w:t>
      </w:r>
    </w:p>
    <w:p>
      <w:pPr>
        <w:numPr>
          <w:ilvl w:val="0"/>
          <w:numId w:val="4"/>
        </w:numPr>
        <w:spacing w:line="360" w:lineRule="auto"/>
        <w:rPr>
          <w:rFonts w:eastAsia="仿宋_GB2312"/>
          <w:sz w:val="28"/>
          <w:szCs w:val="22"/>
        </w:rPr>
      </w:pPr>
      <w:r>
        <w:rPr>
          <w:rFonts w:hint="eastAsia" w:eastAsia="仿宋_GB2312"/>
          <w:sz w:val="28"/>
          <w:szCs w:val="22"/>
        </w:rPr>
        <w:t>《综合布线系统工程设计规范》（GB/T50311-2007）</w:t>
      </w:r>
    </w:p>
    <w:p>
      <w:pPr>
        <w:spacing w:line="360" w:lineRule="auto"/>
        <w:ind w:firstLine="562" w:firstLineChars="200"/>
        <w:rPr>
          <w:rFonts w:eastAsia="仿宋_GB2312"/>
          <w:b/>
          <w:bCs/>
          <w:sz w:val="28"/>
          <w:szCs w:val="22"/>
        </w:rPr>
      </w:pPr>
      <w:r>
        <w:rPr>
          <w:rFonts w:hint="eastAsia" w:eastAsia="仿宋_GB2312"/>
          <w:b/>
          <w:bCs/>
          <w:sz w:val="28"/>
          <w:szCs w:val="22"/>
        </w:rPr>
        <w:t>（3）视频监控图像分析应用方面：</w:t>
      </w:r>
    </w:p>
    <w:p>
      <w:pPr>
        <w:numPr>
          <w:ilvl w:val="0"/>
          <w:numId w:val="4"/>
        </w:numPr>
        <w:spacing w:line="360" w:lineRule="auto"/>
        <w:rPr>
          <w:rFonts w:eastAsia="仿宋_GB2312"/>
          <w:sz w:val="28"/>
          <w:szCs w:val="22"/>
        </w:rPr>
      </w:pPr>
      <w:r>
        <w:rPr>
          <w:rFonts w:hint="eastAsia" w:eastAsia="仿宋_GB2312"/>
          <w:sz w:val="28"/>
          <w:szCs w:val="22"/>
        </w:rPr>
        <w:t>《公安视频图像分析系统第1部分：通用技术要求》（GA/T1399.1-2017）</w:t>
      </w:r>
    </w:p>
    <w:p>
      <w:pPr>
        <w:numPr>
          <w:ilvl w:val="0"/>
          <w:numId w:val="4"/>
        </w:numPr>
        <w:spacing w:line="360" w:lineRule="auto"/>
        <w:rPr>
          <w:rFonts w:eastAsia="仿宋_GB2312"/>
          <w:sz w:val="28"/>
          <w:szCs w:val="22"/>
        </w:rPr>
      </w:pPr>
      <w:r>
        <w:rPr>
          <w:rFonts w:hint="eastAsia" w:eastAsia="仿宋_GB2312"/>
          <w:sz w:val="28"/>
          <w:szCs w:val="22"/>
        </w:rPr>
        <w:t>《公安视频图像分析系统第2部分：视频图像内容分析及描述技术要求》（GA/T1399.2-2017）</w:t>
      </w:r>
    </w:p>
    <w:p>
      <w:pPr>
        <w:numPr>
          <w:ilvl w:val="0"/>
          <w:numId w:val="4"/>
        </w:numPr>
        <w:spacing w:line="360" w:lineRule="auto"/>
        <w:rPr>
          <w:rFonts w:eastAsia="仿宋_GB2312"/>
          <w:sz w:val="28"/>
          <w:szCs w:val="22"/>
        </w:rPr>
      </w:pPr>
      <w:r>
        <w:rPr>
          <w:rFonts w:hint="eastAsia" w:eastAsia="仿宋_GB2312"/>
          <w:sz w:val="28"/>
          <w:szCs w:val="22"/>
        </w:rPr>
        <w:t>《公安视频图像信息应用系统第1部分：通用技术要求》（GA/T1400.1-2017）</w:t>
      </w:r>
    </w:p>
    <w:p>
      <w:pPr>
        <w:numPr>
          <w:ilvl w:val="0"/>
          <w:numId w:val="4"/>
        </w:numPr>
        <w:spacing w:line="360" w:lineRule="auto"/>
        <w:rPr>
          <w:rFonts w:eastAsia="仿宋_GB2312"/>
          <w:sz w:val="28"/>
          <w:szCs w:val="22"/>
        </w:rPr>
      </w:pPr>
      <w:r>
        <w:rPr>
          <w:rFonts w:hint="eastAsia" w:eastAsia="仿宋_GB2312"/>
          <w:sz w:val="28"/>
          <w:szCs w:val="22"/>
        </w:rPr>
        <w:t>《公安视频图像信息应用系统第2部分：应用平台技术要求》（GA/T1400.2-2017）</w:t>
      </w:r>
    </w:p>
    <w:p>
      <w:pPr>
        <w:numPr>
          <w:ilvl w:val="0"/>
          <w:numId w:val="4"/>
        </w:numPr>
        <w:spacing w:line="360" w:lineRule="auto"/>
        <w:rPr>
          <w:rFonts w:eastAsia="仿宋_GB2312"/>
          <w:sz w:val="28"/>
          <w:szCs w:val="22"/>
        </w:rPr>
      </w:pPr>
      <w:r>
        <w:rPr>
          <w:rFonts w:hint="eastAsia" w:eastAsia="仿宋_GB2312"/>
          <w:sz w:val="28"/>
          <w:szCs w:val="22"/>
        </w:rPr>
        <w:t>《公安视频图像信息应用系统第3部分:数据库技术要求》GA/T1400.3-2017</w:t>
      </w:r>
    </w:p>
    <w:p>
      <w:pPr>
        <w:numPr>
          <w:ilvl w:val="0"/>
          <w:numId w:val="4"/>
        </w:numPr>
        <w:spacing w:line="360" w:lineRule="auto"/>
        <w:rPr>
          <w:rFonts w:eastAsia="仿宋_GB2312"/>
          <w:sz w:val="28"/>
          <w:szCs w:val="22"/>
        </w:rPr>
      </w:pPr>
      <w:r>
        <w:rPr>
          <w:rFonts w:hint="eastAsia" w:eastAsia="仿宋_GB2312"/>
          <w:sz w:val="28"/>
          <w:szCs w:val="22"/>
        </w:rPr>
        <w:t>《公安视频图像信息应用系统第4部分：接口协议要求》（GA/T1400.4-2017）</w:t>
      </w:r>
    </w:p>
    <w:p>
      <w:pPr>
        <w:adjustRightInd w:val="0"/>
        <w:snapToGrid w:val="0"/>
        <w:spacing w:line="360" w:lineRule="auto"/>
        <w:ind w:firstLine="557" w:firstLineChars="198"/>
        <w:rPr>
          <w:rFonts w:eastAsia="仿宋_GB2312" w:cs="仿宋_GB2312"/>
          <w:b/>
          <w:sz w:val="28"/>
          <w:szCs w:val="28"/>
        </w:rPr>
      </w:pPr>
      <w:r>
        <w:rPr>
          <w:rFonts w:hint="eastAsia" w:eastAsia="仿宋_GB2312"/>
          <w:b/>
          <w:bCs/>
          <w:sz w:val="28"/>
          <w:szCs w:val="22"/>
        </w:rPr>
        <w:t>（4）视频系统网络设计方面：</w:t>
      </w:r>
      <w:r>
        <w:rPr>
          <w:rFonts w:hint="eastAsia" w:eastAsia="仿宋_GB2312" w:cs="仿宋_GB2312"/>
          <w:b/>
          <w:sz w:val="28"/>
          <w:szCs w:val="28"/>
        </w:rPr>
        <w:tab/>
      </w:r>
    </w:p>
    <w:p>
      <w:pPr>
        <w:numPr>
          <w:ilvl w:val="0"/>
          <w:numId w:val="4"/>
        </w:numPr>
        <w:spacing w:line="360" w:lineRule="auto"/>
        <w:rPr>
          <w:rFonts w:eastAsia="仿宋_GB2312"/>
          <w:sz w:val="28"/>
          <w:szCs w:val="22"/>
        </w:rPr>
      </w:pPr>
      <w:r>
        <w:rPr>
          <w:rFonts w:hint="eastAsia" w:eastAsia="仿宋_GB2312"/>
          <w:sz w:val="28"/>
          <w:szCs w:val="22"/>
        </w:rPr>
        <w:t>《信息技术开放系统互连网络层安全协议》（GB/T 17963）</w:t>
      </w:r>
    </w:p>
    <w:p>
      <w:pPr>
        <w:numPr>
          <w:ilvl w:val="0"/>
          <w:numId w:val="4"/>
        </w:numPr>
        <w:spacing w:line="360" w:lineRule="auto"/>
        <w:rPr>
          <w:rFonts w:eastAsia="仿宋_GB2312"/>
          <w:sz w:val="28"/>
          <w:szCs w:val="22"/>
        </w:rPr>
      </w:pPr>
      <w:r>
        <w:rPr>
          <w:rFonts w:hint="eastAsia" w:eastAsia="仿宋_GB2312"/>
          <w:sz w:val="28"/>
          <w:szCs w:val="22"/>
        </w:rPr>
        <w:t>《计算机信息系统安全》（GA 216.1－1999）</w:t>
      </w:r>
    </w:p>
    <w:p>
      <w:pPr>
        <w:numPr>
          <w:ilvl w:val="0"/>
          <w:numId w:val="4"/>
        </w:numPr>
        <w:spacing w:line="360" w:lineRule="auto"/>
        <w:rPr>
          <w:rFonts w:eastAsia="仿宋_GB2312"/>
          <w:sz w:val="28"/>
          <w:szCs w:val="22"/>
        </w:rPr>
      </w:pPr>
      <w:r>
        <w:rPr>
          <w:rFonts w:hint="eastAsia" w:eastAsia="仿宋_GB2312"/>
          <w:sz w:val="28"/>
          <w:szCs w:val="22"/>
        </w:rPr>
        <w:t>《计算机软件开发规范》（GB8566-88）</w:t>
      </w:r>
    </w:p>
    <w:p>
      <w:pPr>
        <w:numPr>
          <w:ilvl w:val="0"/>
          <w:numId w:val="4"/>
        </w:numPr>
        <w:spacing w:line="360" w:lineRule="auto"/>
        <w:rPr>
          <w:rFonts w:eastAsia="仿宋_GB2312"/>
          <w:sz w:val="28"/>
          <w:szCs w:val="22"/>
        </w:rPr>
      </w:pPr>
      <w:r>
        <w:rPr>
          <w:rFonts w:hint="eastAsia" w:eastAsia="仿宋_GB2312"/>
          <w:sz w:val="28"/>
          <w:szCs w:val="22"/>
        </w:rPr>
        <w:t>《公安信息通信网边界接入平台安全规划（试行）—视频接入部分》（公科信【2011】5号）</w:t>
      </w:r>
    </w:p>
    <w:p>
      <w:pPr>
        <w:numPr>
          <w:ilvl w:val="0"/>
          <w:numId w:val="4"/>
        </w:numPr>
        <w:spacing w:line="360" w:lineRule="auto"/>
        <w:rPr>
          <w:rFonts w:eastAsia="仿宋_GB2312"/>
          <w:sz w:val="28"/>
          <w:szCs w:val="22"/>
        </w:rPr>
      </w:pPr>
      <w:r>
        <w:rPr>
          <w:rFonts w:hint="eastAsia" w:eastAsia="仿宋_GB2312"/>
          <w:sz w:val="28"/>
          <w:szCs w:val="22"/>
        </w:rPr>
        <w:t>《关于加强社会治安防控体系建设的意见》(2015年中央办公厅、国务院办公厅印发)</w:t>
      </w:r>
    </w:p>
    <w:p>
      <w:pPr>
        <w:numPr>
          <w:ilvl w:val="0"/>
          <w:numId w:val="4"/>
        </w:numPr>
        <w:spacing w:line="360" w:lineRule="auto"/>
        <w:rPr>
          <w:rFonts w:eastAsia="仿宋_GB2312"/>
          <w:sz w:val="28"/>
          <w:szCs w:val="22"/>
        </w:rPr>
      </w:pPr>
      <w:r>
        <w:rPr>
          <w:rFonts w:hint="eastAsia" w:eastAsia="仿宋_GB2312"/>
          <w:sz w:val="28"/>
          <w:szCs w:val="22"/>
        </w:rPr>
        <w:t>《关于加强公共安全视频监控建设联网应用工作的若干意见》（发改高技〔2015〕996号）</w:t>
      </w:r>
    </w:p>
    <w:p>
      <w:pPr>
        <w:numPr>
          <w:ilvl w:val="0"/>
          <w:numId w:val="4"/>
        </w:numPr>
        <w:spacing w:line="360" w:lineRule="auto"/>
        <w:rPr>
          <w:rFonts w:eastAsia="仿宋_GB2312"/>
          <w:sz w:val="28"/>
          <w:szCs w:val="22"/>
        </w:rPr>
      </w:pPr>
      <w:r>
        <w:rPr>
          <w:rFonts w:hint="eastAsia" w:eastAsia="仿宋_GB2312"/>
          <w:sz w:val="28"/>
          <w:szCs w:val="22"/>
        </w:rPr>
        <w:t>《加强公共安全视频监控建设联网应用工作方案（2015-2020年）》（发改办高技〔2015〕2056号）</w:t>
      </w:r>
    </w:p>
    <w:p>
      <w:pPr>
        <w:spacing w:line="360" w:lineRule="auto"/>
        <w:ind w:firstLine="562" w:firstLineChars="200"/>
        <w:rPr>
          <w:rFonts w:eastAsia="仿宋_GB2312"/>
          <w:b/>
          <w:bCs/>
          <w:sz w:val="28"/>
          <w:szCs w:val="22"/>
        </w:rPr>
      </w:pPr>
      <w:r>
        <w:rPr>
          <w:rFonts w:hint="eastAsia" w:eastAsia="仿宋_GB2312"/>
          <w:b/>
          <w:bCs/>
          <w:sz w:val="28"/>
          <w:szCs w:val="22"/>
        </w:rPr>
        <w:t>（5）视频系统工程建设方面：</w:t>
      </w:r>
    </w:p>
    <w:p>
      <w:pPr>
        <w:numPr>
          <w:ilvl w:val="0"/>
          <w:numId w:val="4"/>
        </w:numPr>
        <w:spacing w:line="360" w:lineRule="auto"/>
        <w:rPr>
          <w:rFonts w:eastAsia="仿宋_GB2312"/>
          <w:sz w:val="28"/>
          <w:szCs w:val="22"/>
        </w:rPr>
      </w:pPr>
      <w:r>
        <w:rPr>
          <w:rFonts w:hint="eastAsia" w:eastAsia="仿宋_GB2312"/>
          <w:sz w:val="28"/>
          <w:szCs w:val="22"/>
        </w:rPr>
        <w:t>《安全防范工程费用概算编制办法》（GA/T70-2004）</w:t>
      </w:r>
    </w:p>
    <w:p>
      <w:pPr>
        <w:numPr>
          <w:ilvl w:val="0"/>
          <w:numId w:val="4"/>
        </w:numPr>
        <w:spacing w:line="360" w:lineRule="auto"/>
        <w:rPr>
          <w:rFonts w:eastAsia="仿宋_GB2312"/>
          <w:sz w:val="28"/>
          <w:szCs w:val="22"/>
        </w:rPr>
      </w:pPr>
      <w:r>
        <w:rPr>
          <w:rFonts w:hint="eastAsia" w:eastAsia="仿宋_GB2312"/>
          <w:sz w:val="28"/>
          <w:szCs w:val="22"/>
        </w:rPr>
        <w:t>《安全防范工程程序与要求》（GA/T75-94）</w:t>
      </w:r>
    </w:p>
    <w:p>
      <w:pPr>
        <w:numPr>
          <w:ilvl w:val="0"/>
          <w:numId w:val="4"/>
        </w:numPr>
        <w:spacing w:line="360" w:lineRule="auto"/>
        <w:rPr>
          <w:rFonts w:eastAsia="仿宋_GB2312"/>
          <w:sz w:val="28"/>
          <w:szCs w:val="22"/>
        </w:rPr>
      </w:pPr>
      <w:r>
        <w:rPr>
          <w:rFonts w:hint="eastAsia" w:eastAsia="仿宋_GB2312"/>
          <w:sz w:val="28"/>
          <w:szCs w:val="22"/>
        </w:rPr>
        <w:t>《安全防范工程技术规范》(GB 50348-2004)</w:t>
      </w:r>
    </w:p>
    <w:p>
      <w:pPr>
        <w:numPr>
          <w:ilvl w:val="0"/>
          <w:numId w:val="4"/>
        </w:numPr>
        <w:spacing w:line="360" w:lineRule="auto"/>
        <w:rPr>
          <w:rFonts w:eastAsia="仿宋_GB2312"/>
          <w:sz w:val="28"/>
          <w:szCs w:val="22"/>
        </w:rPr>
      </w:pPr>
      <w:r>
        <w:rPr>
          <w:rFonts w:hint="eastAsia" w:eastAsia="仿宋_GB2312"/>
          <w:sz w:val="28"/>
          <w:szCs w:val="22"/>
        </w:rPr>
        <w:t>《视频安防监控系统工程设计规范》（GB 50395-2007）</w:t>
      </w:r>
    </w:p>
    <w:p>
      <w:pPr>
        <w:numPr>
          <w:ilvl w:val="0"/>
          <w:numId w:val="4"/>
        </w:numPr>
        <w:spacing w:line="360" w:lineRule="auto"/>
        <w:rPr>
          <w:rFonts w:eastAsia="仿宋_GB2312"/>
          <w:sz w:val="28"/>
          <w:szCs w:val="22"/>
        </w:rPr>
      </w:pPr>
      <w:r>
        <w:rPr>
          <w:rFonts w:hint="eastAsia" w:eastAsia="仿宋_GB2312"/>
          <w:sz w:val="28"/>
          <w:szCs w:val="22"/>
        </w:rPr>
        <w:t>《电子计算机机房设计规范》(GB50174-2008）</w:t>
      </w:r>
    </w:p>
    <w:p>
      <w:pPr>
        <w:numPr>
          <w:ilvl w:val="0"/>
          <w:numId w:val="4"/>
        </w:numPr>
        <w:spacing w:line="360" w:lineRule="auto"/>
        <w:rPr>
          <w:rFonts w:eastAsia="仿宋_GB2312"/>
          <w:sz w:val="28"/>
          <w:szCs w:val="22"/>
        </w:rPr>
      </w:pPr>
      <w:r>
        <w:rPr>
          <w:rFonts w:hint="eastAsia" w:eastAsia="仿宋_GB2312"/>
          <w:sz w:val="28"/>
          <w:szCs w:val="22"/>
        </w:rPr>
        <w:t>《建筑物防雷设计规范》(GB50057-2010)</w:t>
      </w:r>
    </w:p>
    <w:p>
      <w:pPr>
        <w:numPr>
          <w:ilvl w:val="0"/>
          <w:numId w:val="4"/>
        </w:numPr>
        <w:spacing w:line="360" w:lineRule="auto"/>
        <w:rPr>
          <w:rFonts w:eastAsia="仿宋_GB2312"/>
          <w:sz w:val="28"/>
          <w:szCs w:val="22"/>
        </w:rPr>
      </w:pPr>
      <w:r>
        <w:rPr>
          <w:rFonts w:hint="eastAsia" w:eastAsia="仿宋_GB2312"/>
          <w:sz w:val="28"/>
          <w:szCs w:val="22"/>
        </w:rPr>
        <w:t>《建筑物电子信息系统防雷技术规范》(GB50343-2004)</w:t>
      </w:r>
    </w:p>
    <w:p>
      <w:pPr>
        <w:numPr>
          <w:ilvl w:val="0"/>
          <w:numId w:val="4"/>
        </w:numPr>
        <w:spacing w:line="360" w:lineRule="auto"/>
        <w:rPr>
          <w:rFonts w:eastAsia="仿宋_GB2312"/>
          <w:sz w:val="28"/>
          <w:szCs w:val="22"/>
        </w:rPr>
      </w:pPr>
      <w:r>
        <w:rPr>
          <w:rFonts w:hint="eastAsia" w:eastAsia="仿宋_GB2312"/>
          <w:sz w:val="28"/>
          <w:szCs w:val="22"/>
        </w:rPr>
        <w:t>《安全防范系统雷电浪涌防护技术要求》(GA/T670-2006)</w:t>
      </w:r>
    </w:p>
    <w:p>
      <w:pPr>
        <w:numPr>
          <w:ilvl w:val="0"/>
          <w:numId w:val="4"/>
        </w:numPr>
        <w:spacing w:line="360" w:lineRule="auto"/>
        <w:rPr>
          <w:rFonts w:eastAsia="仿宋_GB2312"/>
          <w:sz w:val="28"/>
          <w:szCs w:val="22"/>
        </w:rPr>
      </w:pPr>
      <w:r>
        <w:rPr>
          <w:rFonts w:hint="eastAsia" w:eastAsia="仿宋_GB2312"/>
          <w:sz w:val="28"/>
          <w:szCs w:val="22"/>
        </w:rPr>
        <w:t>《民用建筑电气设计规范》(JGJ16-2008)</w:t>
      </w:r>
    </w:p>
    <w:p>
      <w:pPr>
        <w:spacing w:line="360" w:lineRule="auto"/>
        <w:ind w:firstLine="562" w:firstLineChars="200"/>
        <w:rPr>
          <w:rFonts w:eastAsia="仿宋_GB2312"/>
          <w:b/>
          <w:bCs/>
          <w:sz w:val="28"/>
          <w:szCs w:val="22"/>
        </w:rPr>
      </w:pPr>
      <w:r>
        <w:rPr>
          <w:rFonts w:hint="eastAsia" w:eastAsia="仿宋_GB2312"/>
          <w:b/>
          <w:bCs/>
          <w:sz w:val="28"/>
          <w:szCs w:val="22"/>
        </w:rPr>
        <w:t>（6）视频系统工程验收方面：</w:t>
      </w:r>
    </w:p>
    <w:p>
      <w:pPr>
        <w:numPr>
          <w:ilvl w:val="0"/>
          <w:numId w:val="4"/>
        </w:numPr>
        <w:spacing w:line="360" w:lineRule="auto"/>
        <w:rPr>
          <w:rFonts w:eastAsia="仿宋_GB2312"/>
          <w:sz w:val="28"/>
          <w:szCs w:val="22"/>
        </w:rPr>
      </w:pPr>
      <w:r>
        <w:rPr>
          <w:rFonts w:hint="eastAsia" w:eastAsia="仿宋_GB2312"/>
          <w:sz w:val="28"/>
          <w:szCs w:val="22"/>
        </w:rPr>
        <w:t>《公安交通电视监视系统验收规范》（GA/T509）</w:t>
      </w:r>
    </w:p>
    <w:p>
      <w:pPr>
        <w:numPr>
          <w:ilvl w:val="0"/>
          <w:numId w:val="4"/>
        </w:numPr>
        <w:spacing w:line="360" w:lineRule="auto"/>
        <w:rPr>
          <w:rFonts w:eastAsia="仿宋_GB2312"/>
          <w:sz w:val="28"/>
          <w:szCs w:val="22"/>
        </w:rPr>
      </w:pPr>
      <w:r>
        <w:rPr>
          <w:rFonts w:hint="eastAsia" w:eastAsia="仿宋_GB2312"/>
          <w:sz w:val="28"/>
          <w:szCs w:val="22"/>
        </w:rPr>
        <w:t>《安全防范系统验收规则》（GA308/2001）</w:t>
      </w:r>
    </w:p>
    <w:p>
      <w:pPr>
        <w:numPr>
          <w:ilvl w:val="0"/>
          <w:numId w:val="4"/>
        </w:numPr>
        <w:spacing w:line="360" w:lineRule="auto"/>
        <w:rPr>
          <w:rFonts w:eastAsia="仿宋_GB2312"/>
          <w:sz w:val="28"/>
          <w:szCs w:val="22"/>
        </w:rPr>
      </w:pPr>
      <w:r>
        <w:rPr>
          <w:rFonts w:hint="eastAsia" w:eastAsia="仿宋_GB2312"/>
          <w:sz w:val="28"/>
          <w:szCs w:val="22"/>
        </w:rPr>
        <w:t>《中国电气装置安装工程施工及验收规范》（GBJ232-90.92）</w:t>
      </w:r>
    </w:p>
    <w:p>
      <w:pPr>
        <w:numPr>
          <w:ilvl w:val="0"/>
          <w:numId w:val="4"/>
        </w:numPr>
        <w:spacing w:line="360" w:lineRule="auto"/>
        <w:rPr>
          <w:rFonts w:eastAsia="仿宋_GB2312"/>
          <w:sz w:val="28"/>
          <w:szCs w:val="22"/>
        </w:rPr>
      </w:pPr>
      <w:r>
        <w:rPr>
          <w:rFonts w:hint="eastAsia" w:eastAsia="仿宋_GB2312"/>
          <w:sz w:val="28"/>
          <w:szCs w:val="22"/>
        </w:rPr>
        <w:t>《综合布线系统工程验收规范》(GB50312-2007)</w:t>
      </w:r>
    </w:p>
    <w:p>
      <w:pPr>
        <w:spacing w:line="360" w:lineRule="auto"/>
        <w:ind w:firstLine="562" w:firstLineChars="200"/>
        <w:rPr>
          <w:rFonts w:eastAsia="仿宋_GB2312"/>
          <w:b/>
          <w:bCs/>
          <w:sz w:val="28"/>
          <w:szCs w:val="22"/>
        </w:rPr>
      </w:pPr>
      <w:r>
        <w:rPr>
          <w:rFonts w:hint="eastAsia" w:eastAsia="仿宋_GB2312"/>
          <w:b/>
          <w:bCs/>
          <w:sz w:val="28"/>
          <w:szCs w:val="22"/>
        </w:rPr>
        <w:t>（7）其他：</w:t>
      </w:r>
    </w:p>
    <w:p>
      <w:pPr>
        <w:numPr>
          <w:ilvl w:val="0"/>
          <w:numId w:val="4"/>
        </w:numPr>
        <w:spacing w:line="360" w:lineRule="auto"/>
        <w:rPr>
          <w:rFonts w:eastAsia="仿宋_GB2312"/>
          <w:sz w:val="28"/>
          <w:szCs w:val="22"/>
        </w:rPr>
      </w:pPr>
      <w:r>
        <w:rPr>
          <w:rFonts w:hint="eastAsia" w:eastAsia="仿宋_GB2312"/>
          <w:sz w:val="28"/>
          <w:szCs w:val="22"/>
        </w:rPr>
        <w:t>平安城市建设相关地方规范与标准</w:t>
      </w:r>
    </w:p>
    <w:p>
      <w:pPr>
        <w:numPr>
          <w:ilvl w:val="0"/>
          <w:numId w:val="4"/>
        </w:numPr>
        <w:spacing w:line="360" w:lineRule="auto"/>
        <w:rPr>
          <w:rFonts w:eastAsia="仿宋_GB2312"/>
          <w:sz w:val="28"/>
          <w:szCs w:val="22"/>
        </w:rPr>
      </w:pPr>
      <w:r>
        <w:rPr>
          <w:rFonts w:hint="eastAsia" w:eastAsia="仿宋_GB2312"/>
          <w:sz w:val="28"/>
          <w:szCs w:val="22"/>
        </w:rPr>
        <w:t>《机动车测速仪》（GB/T 21255—2007）</w:t>
      </w:r>
    </w:p>
    <w:p>
      <w:pPr>
        <w:numPr>
          <w:ilvl w:val="0"/>
          <w:numId w:val="4"/>
        </w:numPr>
        <w:spacing w:line="360" w:lineRule="auto"/>
        <w:rPr>
          <w:rFonts w:eastAsia="仿宋_GB2312"/>
          <w:sz w:val="28"/>
          <w:szCs w:val="22"/>
        </w:rPr>
      </w:pPr>
      <w:r>
        <w:rPr>
          <w:rFonts w:hint="eastAsia" w:eastAsia="仿宋_GB2312"/>
          <w:sz w:val="28"/>
          <w:szCs w:val="22"/>
        </w:rPr>
        <w:t>《公路车辆监测记录系统通用技术条件》（GA/T497-2009）</w:t>
      </w:r>
    </w:p>
    <w:p>
      <w:pPr>
        <w:numPr>
          <w:ilvl w:val="0"/>
          <w:numId w:val="4"/>
        </w:numPr>
        <w:spacing w:line="360" w:lineRule="auto"/>
        <w:rPr>
          <w:rFonts w:eastAsia="仿宋_GB2312"/>
          <w:sz w:val="28"/>
          <w:szCs w:val="22"/>
        </w:rPr>
      </w:pPr>
      <w:r>
        <w:rPr>
          <w:rFonts w:hint="eastAsia" w:eastAsia="仿宋_GB2312"/>
          <w:sz w:val="28"/>
          <w:szCs w:val="22"/>
        </w:rPr>
        <w:t>公安部《警用地理信息系统系列标准规范》</w:t>
      </w:r>
    </w:p>
    <w:p>
      <w:pPr>
        <w:numPr>
          <w:ilvl w:val="0"/>
          <w:numId w:val="4"/>
        </w:numPr>
        <w:spacing w:line="360" w:lineRule="auto"/>
        <w:rPr>
          <w:rFonts w:eastAsia="仿宋_GB2312"/>
          <w:sz w:val="28"/>
          <w:szCs w:val="22"/>
        </w:rPr>
      </w:pPr>
      <w:r>
        <w:rPr>
          <w:rFonts w:hint="eastAsia" w:eastAsia="仿宋_GB2312"/>
          <w:sz w:val="28"/>
          <w:szCs w:val="22"/>
        </w:rPr>
        <w:t>省“天网覆盖”工程设备地址属性规范</w:t>
      </w:r>
    </w:p>
    <w:p>
      <w:pPr>
        <w:numPr>
          <w:ilvl w:val="0"/>
          <w:numId w:val="4"/>
        </w:numPr>
        <w:spacing w:line="360" w:lineRule="auto"/>
        <w:rPr>
          <w:rFonts w:eastAsia="仿宋_GB2312"/>
          <w:sz w:val="28"/>
          <w:szCs w:val="22"/>
        </w:rPr>
      </w:pPr>
      <w:r>
        <w:rPr>
          <w:rFonts w:hint="eastAsia" w:eastAsia="仿宋_GB2312"/>
          <w:sz w:val="28"/>
          <w:szCs w:val="22"/>
        </w:rPr>
        <w:t>慈溪市镇村级社会治安动态视频监控系统建设相关技术要求（试行）</w:t>
      </w:r>
    </w:p>
    <w:p>
      <w:pPr>
        <w:numPr>
          <w:ilvl w:val="0"/>
          <w:numId w:val="4"/>
        </w:numPr>
        <w:spacing w:line="360" w:lineRule="auto"/>
        <w:rPr>
          <w:rFonts w:eastAsia="仿宋_GB2312"/>
          <w:sz w:val="28"/>
          <w:szCs w:val="22"/>
        </w:rPr>
      </w:pPr>
      <w:r>
        <w:rPr>
          <w:rFonts w:hint="eastAsia" w:eastAsia="仿宋_GB2312"/>
          <w:sz w:val="28"/>
          <w:szCs w:val="22"/>
        </w:rPr>
        <w:t>慈溪市村级天网DB33编码暂定规范要求</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25" w:name="_Toc12881096"/>
      <w:bookmarkStart w:id="26" w:name="_Toc17653"/>
      <w:bookmarkStart w:id="27" w:name="_Toc22160"/>
      <w:bookmarkStart w:id="28" w:name="_Toc24179"/>
      <w:bookmarkStart w:id="29" w:name="_Toc28231"/>
      <w:r>
        <w:rPr>
          <w:rFonts w:hint="eastAsia" w:ascii="Arial" w:hAnsi="Arial" w:eastAsia="仿宋_GB2312"/>
          <w:b/>
          <w:bCs/>
          <w:sz w:val="28"/>
          <w:szCs w:val="32"/>
        </w:rPr>
        <w:t>建设目标、规模、内容、建设期</w:t>
      </w:r>
      <w:bookmarkEnd w:id="25"/>
      <w:bookmarkEnd w:id="26"/>
      <w:bookmarkEnd w:id="27"/>
      <w:bookmarkEnd w:id="28"/>
      <w:bookmarkEnd w:id="29"/>
    </w:p>
    <w:p>
      <w:pPr>
        <w:numPr>
          <w:ilvl w:val="0"/>
          <w:numId w:val="5"/>
        </w:numPr>
        <w:rPr>
          <w:rFonts w:eastAsia="仿宋_GB2312"/>
          <w:b/>
          <w:sz w:val="28"/>
        </w:rPr>
      </w:pPr>
      <w:r>
        <w:rPr>
          <w:rFonts w:hint="eastAsia" w:eastAsia="仿宋_GB2312"/>
          <w:b/>
          <w:sz w:val="28"/>
        </w:rPr>
        <w:t>建设目标</w:t>
      </w:r>
    </w:p>
    <w:p>
      <w:pPr>
        <w:spacing w:line="360" w:lineRule="auto"/>
        <w:ind w:firstLine="560" w:firstLineChars="200"/>
        <w:rPr>
          <w:rFonts w:eastAsia="仿宋_GB2312"/>
          <w:sz w:val="28"/>
          <w:szCs w:val="22"/>
        </w:rPr>
      </w:pPr>
      <w:r>
        <w:rPr>
          <w:rFonts w:hint="eastAsia" w:eastAsia="仿宋_GB2312"/>
          <w:sz w:val="28"/>
          <w:szCs w:val="22"/>
        </w:rPr>
        <w:t>滨海治安监控二期是在一期的基础上，根据本辖区地形和实际治安情况，按照“网格化”、“包围圈”式布点原则在辖区</w:t>
      </w:r>
      <w:r>
        <w:rPr>
          <w:rFonts w:eastAsia="仿宋_GB2312"/>
          <w:sz w:val="28"/>
          <w:szCs w:val="22"/>
        </w:rPr>
        <w:t>车流、人流比较集中的</w:t>
      </w:r>
      <w:r>
        <w:rPr>
          <w:rFonts w:hint="eastAsia" w:eastAsia="仿宋_GB2312"/>
          <w:sz w:val="28"/>
          <w:szCs w:val="22"/>
        </w:rPr>
        <w:t>主要出入口、主要道路交叉口、公共聚集场所及治安复杂场所部署高清网络摄像机，在小区、旅馆、公寓楼、医院、加油站、客运中心、大型商超、KTV、公园广场等场所部署人脸、车脸抓拍相机，</w:t>
      </w:r>
      <w:r>
        <w:rPr>
          <w:rFonts w:hint="eastAsia" w:eastAsia="仿宋_GB2312"/>
          <w:sz w:val="28"/>
        </w:rPr>
        <w:t>建立全方位、广覆盖、多层次、多手段的视频格局，实现重要场所、路段的技防设施全面覆盖。结合原有的视频监控系统和市局人脸车脸应用平台，构建富有滨海经济开发区特色的高清动态视频监控防控网络保障机制和应用体系，进一步发挥视频监控在预防、发现、控制和打击违法犯罪，提供破案线索，固定违法犯罪证据等方面的重大作用，进一步健全辖区内社会治安防控体系，加强社会综合治理，提高人民生命财产保障能力，减少财产损失。</w:t>
      </w:r>
    </w:p>
    <w:p>
      <w:pPr>
        <w:numPr>
          <w:ilvl w:val="0"/>
          <w:numId w:val="5"/>
        </w:numPr>
        <w:spacing w:line="360" w:lineRule="auto"/>
        <w:rPr>
          <w:rFonts w:eastAsia="仿宋_GB2312"/>
          <w:b/>
          <w:sz w:val="28"/>
        </w:rPr>
      </w:pPr>
      <w:r>
        <w:rPr>
          <w:rFonts w:hint="eastAsia" w:eastAsia="仿宋_GB2312"/>
          <w:b/>
          <w:sz w:val="28"/>
        </w:rPr>
        <w:t>建设内容</w:t>
      </w:r>
    </w:p>
    <w:p>
      <w:pPr>
        <w:spacing w:line="360" w:lineRule="auto"/>
        <w:ind w:firstLine="560" w:firstLineChars="200"/>
        <w:rPr>
          <w:rFonts w:eastAsia="仿宋_GB2312"/>
          <w:sz w:val="28"/>
          <w:szCs w:val="22"/>
        </w:rPr>
      </w:pPr>
      <w:r>
        <w:rPr>
          <w:rFonts w:hint="eastAsia" w:eastAsia="仿宋_GB2312"/>
          <w:sz w:val="28"/>
          <w:szCs w:val="22"/>
        </w:rPr>
        <w:t>滨海治安监控二期建设内容分为三部分，包括视频监控扩容建设、三维监控地图展示系统、大屏及拼接控制设备改造。</w:t>
      </w:r>
    </w:p>
    <w:p>
      <w:pPr>
        <w:spacing w:line="360" w:lineRule="auto"/>
        <w:ind w:firstLine="560" w:firstLineChars="200"/>
        <w:rPr>
          <w:rFonts w:eastAsia="仿宋_GB2312"/>
          <w:sz w:val="28"/>
          <w:szCs w:val="22"/>
        </w:rPr>
      </w:pPr>
      <w:r>
        <w:rPr>
          <w:rFonts w:hint="eastAsia" w:eastAsia="仿宋_GB2312"/>
          <w:sz w:val="28"/>
          <w:szCs w:val="22"/>
        </w:rPr>
        <w:t>其中视频监控扩容监控建设包括240路高清结构化治安监控、4路高空全景监控、6</w:t>
      </w:r>
      <w:r>
        <w:rPr>
          <w:rFonts w:eastAsia="仿宋_GB2312"/>
          <w:sz w:val="28"/>
          <w:szCs w:val="22"/>
        </w:rPr>
        <w:t>0</w:t>
      </w:r>
      <w:r>
        <w:rPr>
          <w:rFonts w:hint="eastAsia" w:eastAsia="仿宋_GB2312"/>
          <w:sz w:val="28"/>
          <w:szCs w:val="22"/>
        </w:rPr>
        <w:t>路人脸/车脸监控以及配套的传输网络和后端存储建设。</w:t>
      </w:r>
    </w:p>
    <w:p>
      <w:pPr>
        <w:numPr>
          <w:ilvl w:val="0"/>
          <w:numId w:val="5"/>
        </w:numPr>
        <w:spacing w:line="360" w:lineRule="auto"/>
        <w:rPr>
          <w:rFonts w:eastAsia="仿宋_GB2312"/>
          <w:b/>
          <w:sz w:val="28"/>
        </w:rPr>
      </w:pPr>
      <w:r>
        <w:rPr>
          <w:rFonts w:hint="eastAsia" w:eastAsia="仿宋_GB2312"/>
          <w:b/>
          <w:sz w:val="28"/>
        </w:rPr>
        <w:t>建设规模</w:t>
      </w:r>
    </w:p>
    <w:p>
      <w:pPr>
        <w:spacing w:line="360" w:lineRule="auto"/>
        <w:ind w:firstLine="560" w:firstLineChars="200"/>
        <w:rPr>
          <w:rFonts w:eastAsia="仿宋_GB2312"/>
          <w:color w:val="000000"/>
          <w:sz w:val="28"/>
          <w:szCs w:val="22"/>
        </w:rPr>
      </w:pPr>
      <w:r>
        <w:rPr>
          <w:rFonts w:hint="eastAsia" w:eastAsia="仿宋_GB2312"/>
          <w:color w:val="000000"/>
          <w:sz w:val="28"/>
          <w:szCs w:val="22"/>
        </w:rPr>
        <w:t>滨海治安监控二期涉</w:t>
      </w:r>
      <w:r>
        <w:rPr>
          <w:rFonts w:hint="eastAsia" w:eastAsia="仿宋_GB2312" w:cs="仿宋_GB2312"/>
          <w:sz w:val="28"/>
          <w:szCs w:val="28"/>
        </w:rPr>
        <w:t>及</w:t>
      </w:r>
      <w:r>
        <w:rPr>
          <w:rFonts w:hint="eastAsia" w:eastAsia="仿宋_GB2312"/>
          <w:sz w:val="28"/>
          <w:szCs w:val="22"/>
        </w:rPr>
        <w:t>240路高清结构化治安监控、4路高空全景监控、6</w:t>
      </w:r>
      <w:r>
        <w:rPr>
          <w:rFonts w:eastAsia="仿宋_GB2312"/>
          <w:sz w:val="28"/>
          <w:szCs w:val="22"/>
        </w:rPr>
        <w:t>0</w:t>
      </w:r>
      <w:r>
        <w:rPr>
          <w:rFonts w:hint="eastAsia" w:eastAsia="仿宋_GB2312"/>
          <w:sz w:val="28"/>
          <w:szCs w:val="22"/>
        </w:rPr>
        <w:t>路人脸/车脸监控</w:t>
      </w:r>
      <w:r>
        <w:rPr>
          <w:rFonts w:hint="eastAsia" w:eastAsia="仿宋_GB2312"/>
          <w:color w:val="000000"/>
          <w:sz w:val="28"/>
          <w:szCs w:val="22"/>
        </w:rPr>
        <w:t>建设。项目覆盖慈东工业区和龙山新城。三维监控地图覆盖面积4</w:t>
      </w:r>
      <w:r>
        <w:rPr>
          <w:rFonts w:eastAsia="仿宋_GB2312"/>
          <w:color w:val="000000"/>
          <w:sz w:val="28"/>
          <w:szCs w:val="22"/>
        </w:rPr>
        <w:t>2</w:t>
      </w:r>
      <w:r>
        <w:rPr>
          <w:rFonts w:hint="eastAsia" w:eastAsia="仿宋_GB2312"/>
          <w:color w:val="000000"/>
          <w:sz w:val="28"/>
          <w:szCs w:val="22"/>
        </w:rPr>
        <w:t>平方公里。</w:t>
      </w:r>
    </w:p>
    <w:p>
      <w:pPr>
        <w:numPr>
          <w:ilvl w:val="0"/>
          <w:numId w:val="5"/>
        </w:numPr>
        <w:spacing w:line="360" w:lineRule="auto"/>
        <w:rPr>
          <w:rFonts w:eastAsia="仿宋_GB2312"/>
          <w:b/>
          <w:sz w:val="28"/>
        </w:rPr>
      </w:pPr>
      <w:r>
        <w:rPr>
          <w:rFonts w:hint="eastAsia" w:eastAsia="仿宋_GB2312"/>
          <w:b/>
          <w:sz w:val="28"/>
        </w:rPr>
        <w:t>建设期</w:t>
      </w:r>
    </w:p>
    <w:p>
      <w:pPr>
        <w:spacing w:line="360" w:lineRule="auto"/>
        <w:ind w:firstLine="560" w:firstLineChars="200"/>
        <w:rPr>
          <w:rFonts w:eastAsia="仿宋_GB2312"/>
          <w:color w:val="000000"/>
          <w:sz w:val="28"/>
          <w:szCs w:val="22"/>
        </w:rPr>
      </w:pPr>
      <w:r>
        <w:rPr>
          <w:rFonts w:hint="eastAsia" w:eastAsia="仿宋_GB2312"/>
          <w:color w:val="000000"/>
          <w:sz w:val="28"/>
          <w:szCs w:val="22"/>
        </w:rPr>
        <w:t>项目计划2019年8月完成项目立项及方案评审工作；201</w:t>
      </w:r>
      <w:r>
        <w:rPr>
          <w:rFonts w:eastAsia="仿宋_GB2312"/>
          <w:color w:val="000000"/>
          <w:sz w:val="28"/>
          <w:szCs w:val="22"/>
        </w:rPr>
        <w:t>9</w:t>
      </w:r>
      <w:r>
        <w:rPr>
          <w:rFonts w:hint="eastAsia" w:eastAsia="仿宋_GB2312"/>
          <w:color w:val="000000"/>
          <w:sz w:val="28"/>
          <w:szCs w:val="22"/>
        </w:rPr>
        <w:t>年9月完成项目招标；201</w:t>
      </w:r>
      <w:r>
        <w:rPr>
          <w:rFonts w:eastAsia="仿宋_GB2312"/>
          <w:color w:val="000000"/>
          <w:sz w:val="28"/>
          <w:szCs w:val="22"/>
        </w:rPr>
        <w:t>9</w:t>
      </w:r>
      <w:r>
        <w:rPr>
          <w:rFonts w:hint="eastAsia" w:eastAsia="仿宋_GB2312"/>
          <w:color w:val="000000"/>
          <w:sz w:val="28"/>
          <w:szCs w:val="22"/>
        </w:rPr>
        <w:t>年10月完成合同签订并开始实施；2020年2月项目基本完成，投入试运行；20</w:t>
      </w:r>
      <w:r>
        <w:rPr>
          <w:rFonts w:eastAsia="仿宋_GB2312"/>
          <w:color w:val="000000"/>
          <w:sz w:val="28"/>
          <w:szCs w:val="22"/>
        </w:rPr>
        <w:t>20</w:t>
      </w:r>
      <w:r>
        <w:rPr>
          <w:rFonts w:hint="eastAsia" w:eastAsia="仿宋_GB2312"/>
          <w:color w:val="000000"/>
          <w:sz w:val="28"/>
          <w:szCs w:val="22"/>
        </w:rPr>
        <w:t>年5月，完成竣工验收。</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30" w:name="_Toc12881097"/>
      <w:r>
        <w:rPr>
          <w:rFonts w:hint="eastAsia" w:ascii="Arial" w:hAnsi="Arial" w:eastAsia="仿宋_GB2312"/>
          <w:b/>
          <w:bCs/>
          <w:sz w:val="28"/>
          <w:szCs w:val="32"/>
        </w:rPr>
        <w:t>项目投资预算</w:t>
      </w:r>
      <w:bookmarkEnd w:id="30"/>
    </w:p>
    <w:p>
      <w:pPr>
        <w:spacing w:line="360" w:lineRule="auto"/>
        <w:ind w:firstLine="478" w:firstLineChars="171"/>
        <w:rPr>
          <w:rFonts w:ascii="仿宋_GB2312" w:eastAsia="仿宋_GB2312"/>
          <w:sz w:val="28"/>
        </w:rPr>
      </w:pPr>
      <w:bookmarkStart w:id="31" w:name="_Toc30426"/>
      <w:bookmarkStart w:id="32" w:name="_Toc9588"/>
      <w:bookmarkStart w:id="33" w:name="_Toc12837"/>
      <w:bookmarkStart w:id="34" w:name="_Toc12881098"/>
      <w:bookmarkStart w:id="35" w:name="_Toc27105"/>
      <w:r>
        <w:rPr>
          <w:rFonts w:hint="eastAsia" w:ascii="仿宋_GB2312" w:eastAsia="仿宋_GB2312"/>
          <w:sz w:val="28"/>
        </w:rPr>
        <w:t>滨海治安监控二期总投资预算为</w:t>
      </w:r>
      <w:r>
        <w:rPr>
          <w:rFonts w:ascii="仿宋_GB2312" w:eastAsia="仿宋_GB2312"/>
          <w:sz w:val="28"/>
        </w:rPr>
        <w:t>8</w:t>
      </w:r>
      <w:r>
        <w:rPr>
          <w:rFonts w:hint="eastAsia" w:ascii="仿宋_GB2312" w:eastAsia="仿宋_GB2312"/>
          <w:sz w:val="28"/>
        </w:rPr>
        <w:t>,</w:t>
      </w:r>
      <w:r>
        <w:rPr>
          <w:rFonts w:ascii="仿宋_GB2312" w:eastAsia="仿宋_GB2312"/>
          <w:sz w:val="28"/>
        </w:rPr>
        <w:t>232</w:t>
      </w:r>
      <w:r>
        <w:rPr>
          <w:rFonts w:hint="eastAsia" w:ascii="仿宋_GB2312" w:eastAsia="仿宋_GB2312"/>
          <w:sz w:val="28"/>
        </w:rPr>
        <w:t>,</w:t>
      </w:r>
      <w:r>
        <w:rPr>
          <w:rFonts w:ascii="仿宋_GB2312" w:eastAsia="仿宋_GB2312"/>
          <w:sz w:val="28"/>
        </w:rPr>
        <w:t>379</w:t>
      </w:r>
      <w:r>
        <w:rPr>
          <w:rFonts w:hint="eastAsia" w:ascii="仿宋_GB2312" w:eastAsia="仿宋_GB2312"/>
          <w:sz w:val="28"/>
        </w:rPr>
        <w:t>元，其中建设费为</w:t>
      </w:r>
      <w:r>
        <w:rPr>
          <w:rFonts w:ascii="仿宋_GB2312" w:eastAsia="仿宋_GB2312"/>
          <w:sz w:val="28"/>
        </w:rPr>
        <w:t>6,268,840</w:t>
      </w:r>
      <w:r>
        <w:rPr>
          <w:rFonts w:hint="eastAsia" w:ascii="仿宋_GB2312" w:eastAsia="仿宋_GB2312"/>
          <w:sz w:val="28"/>
        </w:rPr>
        <w:t>元，5年运维费及其他费用（含光纤租赁费和资金使用费）为</w:t>
      </w:r>
      <w:r>
        <w:rPr>
          <w:rFonts w:ascii="仿宋_GB2312" w:eastAsia="仿宋_GB2312"/>
          <w:sz w:val="28"/>
        </w:rPr>
        <w:t>1,963,540</w:t>
      </w:r>
      <w:r>
        <w:rPr>
          <w:rFonts w:hint="eastAsia" w:ascii="仿宋_GB2312" w:eastAsia="仿宋_GB2312"/>
          <w:sz w:val="28"/>
        </w:rPr>
        <w:t>元。</w:t>
      </w:r>
    </w:p>
    <w:p>
      <w:pPr>
        <w:spacing w:line="360" w:lineRule="auto"/>
        <w:ind w:firstLine="481" w:firstLineChars="171"/>
        <w:rPr>
          <w:rFonts w:ascii="仿宋_GB2312" w:eastAsia="仿宋_GB2312"/>
          <w:b/>
          <w:bCs/>
          <w:sz w:val="28"/>
        </w:rPr>
      </w:pPr>
      <w:r>
        <w:rPr>
          <w:rFonts w:hint="eastAsia" w:eastAsia="仿宋_GB2312"/>
          <w:b/>
          <w:bCs/>
          <w:sz w:val="28"/>
        </w:rPr>
        <w:t>本期项目建设选用租赁方式，5年内设备产权归中标单位所有，5年后设备产权归</w:t>
      </w:r>
      <w:r>
        <w:rPr>
          <w:rFonts w:hint="eastAsia" w:eastAsia="仿宋_GB2312"/>
          <w:b/>
          <w:bCs/>
          <w:sz w:val="28"/>
          <w:szCs w:val="22"/>
        </w:rPr>
        <w:t>浙江慈溪滨海经济开发区管理委员会</w:t>
      </w:r>
      <w:r>
        <w:rPr>
          <w:rFonts w:hint="eastAsia" w:eastAsia="仿宋_GB2312"/>
          <w:b/>
          <w:bCs/>
          <w:sz w:val="28"/>
        </w:rPr>
        <w:t>所有。本期所有建设费用、运维及其他费用采取分期付款模式。中标单位负责建设和</w:t>
      </w:r>
      <w:r>
        <w:rPr>
          <w:rFonts w:eastAsia="仿宋_GB2312"/>
          <w:b/>
          <w:bCs/>
          <w:sz w:val="28"/>
        </w:rPr>
        <w:t>5</w:t>
      </w:r>
      <w:r>
        <w:rPr>
          <w:rFonts w:hint="eastAsia" w:eastAsia="仿宋_GB2312"/>
          <w:b/>
          <w:bCs/>
          <w:sz w:val="28"/>
        </w:rPr>
        <w:t>年内的运行维护。总费用分5年分期支付，每年12月底支付总费用的20%。</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r>
        <w:rPr>
          <w:rFonts w:hint="eastAsia" w:ascii="Arial" w:hAnsi="Arial" w:eastAsia="仿宋_GB2312"/>
          <w:b/>
          <w:bCs/>
          <w:sz w:val="28"/>
          <w:szCs w:val="32"/>
        </w:rPr>
        <w:t>主要结论及建议</w:t>
      </w:r>
      <w:bookmarkEnd w:id="31"/>
      <w:bookmarkEnd w:id="32"/>
      <w:bookmarkEnd w:id="33"/>
      <w:bookmarkEnd w:id="34"/>
      <w:bookmarkEnd w:id="35"/>
    </w:p>
    <w:p>
      <w:pPr>
        <w:spacing w:line="360" w:lineRule="auto"/>
        <w:ind w:firstLine="560" w:firstLineChars="200"/>
        <w:rPr>
          <w:rFonts w:ascii="仿宋_GB2312" w:hAnsi="仿宋" w:eastAsia="仿宋_GB2312"/>
          <w:sz w:val="28"/>
          <w:szCs w:val="22"/>
        </w:rPr>
      </w:pPr>
      <w:r>
        <w:rPr>
          <w:rFonts w:hint="eastAsia" w:ascii="仿宋_GB2312" w:hAnsi="仿宋" w:eastAsia="仿宋_GB2312"/>
          <w:sz w:val="28"/>
          <w:szCs w:val="22"/>
        </w:rPr>
        <w:t>通过滨海治安监控二期项目的建设，能进一步发挥视频监控在预防、发现、控制和打击违法犯罪，提供破案线索，固定违法犯罪证据等方面的重大作用。项目的建设有助于推动和谐社会的创建，健全社会治安防控体系，加强社会综合治理，提高人民生命财产保障能力，减少财产损失，项目的建设具有重大的社会效益和经济效益。</w:t>
      </w:r>
    </w:p>
    <w:p>
      <w:pPr>
        <w:spacing w:line="360" w:lineRule="auto"/>
        <w:ind w:firstLine="560" w:firstLineChars="200"/>
        <w:rPr>
          <w:rFonts w:ascii="仿宋_GB2312" w:hAnsi="仿宋" w:eastAsia="仿宋_GB2312"/>
          <w:sz w:val="28"/>
        </w:rPr>
      </w:pPr>
      <w:r>
        <w:rPr>
          <w:rFonts w:hint="eastAsia" w:ascii="仿宋_GB2312" w:hAnsi="仿宋" w:eastAsia="仿宋_GB2312"/>
          <w:sz w:val="28"/>
        </w:rPr>
        <w:t>项目在技术上、管理上有比较成熟、现成的经验，项目建成后社会和经济效益明显，项目是必要且可行的，建议尽快立项并组织实施。</w:t>
      </w:r>
    </w:p>
    <w:p>
      <w:pPr>
        <w:keepNext/>
        <w:keepLines/>
        <w:numPr>
          <w:ilvl w:val="0"/>
          <w:numId w:val="3"/>
        </w:numPr>
        <w:spacing w:line="360" w:lineRule="auto"/>
        <w:ind w:left="602" w:hanging="602" w:hangingChars="200"/>
        <w:outlineLvl w:val="0"/>
        <w:rPr>
          <w:rFonts w:eastAsia="黑体"/>
          <w:b/>
          <w:bCs/>
          <w:kern w:val="44"/>
          <w:sz w:val="30"/>
          <w:szCs w:val="30"/>
        </w:rPr>
      </w:pPr>
      <w:bookmarkStart w:id="36" w:name="_Toc414365368"/>
      <w:bookmarkStart w:id="37" w:name="_Toc12881099"/>
      <w:bookmarkStart w:id="38" w:name="_Toc980"/>
      <w:bookmarkStart w:id="39" w:name="_Toc9435"/>
      <w:bookmarkStart w:id="40" w:name="_Toc401041541"/>
      <w:bookmarkStart w:id="41" w:name="_Toc9396"/>
      <w:bookmarkStart w:id="42" w:name="_Toc5391"/>
      <w:r>
        <w:rPr>
          <w:rFonts w:hint="eastAsia" w:eastAsia="黑体"/>
          <w:b/>
          <w:bCs/>
          <w:kern w:val="44"/>
          <w:sz w:val="30"/>
          <w:szCs w:val="30"/>
        </w:rPr>
        <w:t>项目建设单位概况</w:t>
      </w:r>
      <w:bookmarkEnd w:id="36"/>
      <w:bookmarkEnd w:id="37"/>
      <w:bookmarkEnd w:id="38"/>
      <w:bookmarkEnd w:id="39"/>
      <w:bookmarkEnd w:id="40"/>
      <w:bookmarkEnd w:id="41"/>
      <w:bookmarkEnd w:id="42"/>
    </w:p>
    <w:p>
      <w:pPr>
        <w:keepNext/>
        <w:keepLines/>
        <w:numPr>
          <w:ilvl w:val="1"/>
          <w:numId w:val="3"/>
        </w:numPr>
        <w:spacing w:before="260" w:after="260" w:line="415" w:lineRule="auto"/>
        <w:ind w:left="0" w:firstLine="0"/>
        <w:outlineLvl w:val="1"/>
        <w:rPr>
          <w:rFonts w:ascii="Arial" w:hAnsi="Arial" w:eastAsia="仿宋_GB2312"/>
          <w:b/>
          <w:bCs/>
          <w:sz w:val="28"/>
          <w:szCs w:val="32"/>
        </w:rPr>
      </w:pPr>
      <w:bookmarkStart w:id="43" w:name="_Toc23173"/>
      <w:bookmarkStart w:id="44" w:name="_Toc26438"/>
      <w:bookmarkStart w:id="45" w:name="_Toc401041542"/>
      <w:bookmarkStart w:id="46" w:name="_Toc12977"/>
      <w:bookmarkStart w:id="47" w:name="_Toc414365369"/>
      <w:bookmarkStart w:id="48" w:name="_Toc12881100"/>
      <w:bookmarkStart w:id="49" w:name="_Toc5130"/>
      <w:r>
        <w:rPr>
          <w:rFonts w:hint="eastAsia" w:ascii="Arial" w:hAnsi="Arial" w:eastAsia="仿宋_GB2312"/>
          <w:b/>
          <w:bCs/>
          <w:sz w:val="28"/>
          <w:szCs w:val="32"/>
        </w:rPr>
        <w:t>项目建设单位与职能</w:t>
      </w:r>
      <w:bookmarkEnd w:id="43"/>
      <w:bookmarkEnd w:id="44"/>
      <w:bookmarkEnd w:id="45"/>
      <w:bookmarkEnd w:id="46"/>
      <w:bookmarkEnd w:id="47"/>
      <w:bookmarkEnd w:id="48"/>
      <w:bookmarkEnd w:id="49"/>
    </w:p>
    <w:p>
      <w:pPr>
        <w:spacing w:line="360" w:lineRule="auto"/>
        <w:ind w:firstLine="560" w:firstLineChars="200"/>
        <w:rPr>
          <w:rFonts w:eastAsia="仿宋_GB2312" w:cs="仿宋_GB2312"/>
          <w:sz w:val="28"/>
          <w:szCs w:val="28"/>
        </w:rPr>
      </w:pPr>
      <w:r>
        <w:rPr>
          <w:rFonts w:hint="eastAsia" w:eastAsia="仿宋_GB2312" w:cs="仿宋_GB2312"/>
          <w:sz w:val="28"/>
          <w:szCs w:val="28"/>
        </w:rPr>
        <w:t>项目建设单位为浙江慈溪滨海经济开发区管理委员会。</w:t>
      </w:r>
    </w:p>
    <w:p>
      <w:pPr>
        <w:spacing w:line="360" w:lineRule="auto"/>
        <w:ind w:firstLine="560" w:firstLineChars="200"/>
        <w:rPr>
          <w:rFonts w:eastAsia="仿宋_GB2312" w:cs="仿宋_GB2312"/>
          <w:sz w:val="28"/>
          <w:szCs w:val="28"/>
        </w:rPr>
      </w:pPr>
      <w:r>
        <w:rPr>
          <w:rFonts w:hint="eastAsia" w:eastAsia="仿宋_GB2312" w:cs="仿宋_GB2312"/>
          <w:sz w:val="28"/>
          <w:szCs w:val="28"/>
        </w:rPr>
        <w:t>浙江慈溪滨海经济开发区管理委员会职能如下：</w:t>
      </w:r>
    </w:p>
    <w:p>
      <w:pPr>
        <w:spacing w:line="360" w:lineRule="auto"/>
        <w:ind w:firstLine="560" w:firstLineChars="200"/>
        <w:rPr>
          <w:rFonts w:eastAsia="仿宋_GB2312" w:cs="仿宋_GB2312"/>
          <w:sz w:val="28"/>
          <w:szCs w:val="28"/>
        </w:rPr>
      </w:pPr>
      <w:r>
        <w:rPr>
          <w:rFonts w:hint="eastAsia" w:eastAsia="仿宋_GB2312" w:cs="仿宋_GB2312"/>
          <w:sz w:val="28"/>
          <w:szCs w:val="28"/>
        </w:rPr>
        <w:t>（一）负责国家有关法律、法规和政策在区域内的贯彻实施；拟订有关管理规定，经批准后负责组织实施。</w:t>
      </w:r>
    </w:p>
    <w:p>
      <w:pPr>
        <w:spacing w:line="360" w:lineRule="auto"/>
        <w:ind w:firstLine="560" w:firstLineChars="200"/>
        <w:rPr>
          <w:rFonts w:eastAsia="仿宋_GB2312" w:cs="仿宋_GB2312"/>
          <w:sz w:val="28"/>
          <w:szCs w:val="28"/>
        </w:rPr>
      </w:pPr>
      <w:r>
        <w:rPr>
          <w:rFonts w:hint="eastAsia" w:eastAsia="仿宋_GB2312" w:cs="仿宋_GB2312"/>
          <w:sz w:val="28"/>
          <w:szCs w:val="28"/>
        </w:rPr>
        <w:t>（二）负责拟订区域内经济社会发展计划和建设发展规划，经批准后负责组织实施。</w:t>
      </w:r>
    </w:p>
    <w:p>
      <w:pPr>
        <w:spacing w:line="360" w:lineRule="auto"/>
        <w:ind w:firstLine="560" w:firstLineChars="200"/>
        <w:rPr>
          <w:rFonts w:eastAsia="仿宋_GB2312" w:cs="仿宋_GB2312"/>
          <w:sz w:val="28"/>
          <w:szCs w:val="28"/>
        </w:rPr>
      </w:pPr>
      <w:r>
        <w:rPr>
          <w:rFonts w:hint="eastAsia" w:eastAsia="仿宋_GB2312" w:cs="仿宋_GB2312"/>
          <w:sz w:val="28"/>
          <w:szCs w:val="28"/>
        </w:rPr>
        <w:t>（三）负责编制区域内的总体规划、分区规划、详细规划和重要的专业规划，经批准后组织实施；负责建设项目的规划管理及批后监管工作。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（四）负责编制区域内土地利用规划，依法管理土地储备、整理和土地使用权出让、转让等工作。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（五）负责组织区域内招商引资工作；享受市级项目审批权限，负责区域内投资项目审批、审核工作。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（六）负责开发区域内建设工程方案论证、初步设计审查、批建审核、招标投标、发证、质量监督、工程档案等管理工作。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（七）负责开发区域内经济贸易、科技、安全生产、环境保护等方面的管理工作。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（八）负责开发区域内城市建设和管理工作。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（九）指导开发区域内各类企业落实经营自主权，建立现代企业制度，保障企业依法自主经营。</w:t>
      </w:r>
    </w:p>
    <w:p>
      <w:pPr>
        <w:spacing w:line="360" w:lineRule="auto"/>
        <w:ind w:firstLine="560" w:firstLineChars="200"/>
        <w:rPr>
          <w:rFonts w:eastAsia="仿宋_GB2312" w:cs="仿宋_GB2312"/>
          <w:sz w:val="28"/>
          <w:szCs w:val="28"/>
        </w:rPr>
      </w:pPr>
      <w:r>
        <w:rPr>
          <w:rFonts w:hint="eastAsia" w:eastAsia="仿宋_GB2312" w:cs="仿宋_GB2312"/>
          <w:sz w:val="28"/>
          <w:szCs w:val="28"/>
        </w:rPr>
        <w:t>（十）负责和指导机关及开发区域内企事业单位党的建设、精神文明建设、纪检监察和群团等工作。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（十一）负责区域内财政和国有（集体）资产管理及内部审计工作。</w:t>
      </w:r>
    </w:p>
    <w:p>
      <w:pPr>
        <w:spacing w:line="360" w:lineRule="auto"/>
        <w:ind w:firstLine="560" w:firstLineChars="200"/>
        <w:rPr>
          <w:rFonts w:eastAsia="仿宋_GB2312"/>
          <w:sz w:val="28"/>
        </w:rPr>
      </w:pPr>
      <w:r>
        <w:rPr>
          <w:rFonts w:hint="eastAsia" w:eastAsia="仿宋_GB2312" w:cs="仿宋_GB2312"/>
          <w:sz w:val="28"/>
          <w:szCs w:val="28"/>
        </w:rPr>
        <w:t>（十二）承办市委、市政府交办的其他事项。</w:t>
      </w:r>
    </w:p>
    <w:p>
      <w:pPr>
        <w:keepNext/>
        <w:keepLines/>
        <w:numPr>
          <w:ilvl w:val="1"/>
          <w:numId w:val="3"/>
        </w:numPr>
        <w:spacing w:before="260" w:after="260" w:line="415" w:lineRule="auto"/>
        <w:ind w:left="0" w:firstLine="0"/>
        <w:outlineLvl w:val="1"/>
        <w:rPr>
          <w:rFonts w:ascii="Arial" w:hAnsi="Arial" w:eastAsia="仿宋_GB2312"/>
          <w:b/>
          <w:bCs/>
          <w:sz w:val="28"/>
          <w:szCs w:val="32"/>
        </w:rPr>
      </w:pPr>
      <w:bookmarkStart w:id="50" w:name="_Toc401041543"/>
      <w:bookmarkStart w:id="51" w:name="_Toc414365370"/>
      <w:bookmarkStart w:id="52" w:name="_Toc21638"/>
      <w:bookmarkStart w:id="53" w:name="_Toc17959"/>
      <w:bookmarkStart w:id="54" w:name="_Toc12881101"/>
      <w:bookmarkStart w:id="55" w:name="_Toc19091"/>
      <w:bookmarkStart w:id="56" w:name="_Toc21580"/>
      <w:r>
        <w:rPr>
          <w:rFonts w:hint="eastAsia" w:ascii="Arial" w:hAnsi="Arial" w:eastAsia="仿宋_GB2312"/>
          <w:b/>
          <w:bCs/>
          <w:sz w:val="28"/>
          <w:szCs w:val="32"/>
        </w:rPr>
        <w:t>项目实施单位与职责</w:t>
      </w:r>
      <w:bookmarkEnd w:id="50"/>
      <w:bookmarkEnd w:id="51"/>
      <w:bookmarkEnd w:id="52"/>
      <w:bookmarkEnd w:id="53"/>
      <w:bookmarkEnd w:id="54"/>
      <w:bookmarkEnd w:id="55"/>
      <w:bookmarkEnd w:id="56"/>
    </w:p>
    <w:p>
      <w:pPr>
        <w:spacing w:line="360" w:lineRule="auto"/>
        <w:ind w:firstLine="560" w:firstLineChars="200"/>
        <w:rPr>
          <w:rFonts w:eastAsia="仿宋_GB2312" w:cs="仿宋_GB2312"/>
          <w:sz w:val="28"/>
          <w:szCs w:val="28"/>
        </w:rPr>
      </w:pPr>
      <w:r>
        <w:rPr>
          <w:rFonts w:hint="eastAsia" w:eastAsia="仿宋_GB2312" w:cs="仿宋_GB2312"/>
          <w:sz w:val="28"/>
          <w:szCs w:val="28"/>
        </w:rPr>
        <w:t>项目实施单位为慈东边防***，负责项目的日常组织协调工作。具体职责为：</w:t>
      </w:r>
    </w:p>
    <w:p>
      <w:pPr>
        <w:spacing w:line="360" w:lineRule="auto"/>
        <w:ind w:firstLine="560" w:firstLineChars="200"/>
        <w:rPr>
          <w:rFonts w:eastAsia="仿宋_GB2312" w:cs="仿宋_GB2312"/>
          <w:sz w:val="28"/>
          <w:szCs w:val="28"/>
        </w:rPr>
      </w:pPr>
      <w:r>
        <w:rPr>
          <w:rFonts w:hint="eastAsia" w:eastAsia="仿宋_GB2312" w:cs="仿宋_GB2312"/>
          <w:sz w:val="28"/>
          <w:szCs w:val="28"/>
        </w:rPr>
        <w:t>（1）负责委托工程设计和实施管理工作；</w:t>
      </w:r>
    </w:p>
    <w:p>
      <w:pPr>
        <w:spacing w:line="360" w:lineRule="auto"/>
        <w:ind w:firstLine="560" w:firstLineChars="200"/>
        <w:rPr>
          <w:rFonts w:eastAsia="仿宋_GB2312" w:cs="仿宋_GB2312"/>
          <w:sz w:val="28"/>
          <w:szCs w:val="28"/>
        </w:rPr>
      </w:pPr>
      <w:r>
        <w:rPr>
          <w:rFonts w:hint="eastAsia" w:eastAsia="仿宋_GB2312" w:cs="仿宋_GB2312"/>
          <w:sz w:val="28"/>
          <w:szCs w:val="28"/>
        </w:rPr>
        <w:t>（2）负责向领导小组汇报工程实施进度；</w:t>
      </w:r>
    </w:p>
    <w:p>
      <w:pPr>
        <w:spacing w:line="360" w:lineRule="auto"/>
        <w:ind w:firstLine="560" w:firstLineChars="200"/>
        <w:rPr>
          <w:rFonts w:eastAsia="仿宋_GB2312" w:cs="仿宋_GB2312"/>
          <w:sz w:val="28"/>
          <w:szCs w:val="28"/>
        </w:rPr>
      </w:pPr>
      <w:r>
        <w:rPr>
          <w:rFonts w:hint="eastAsia" w:eastAsia="仿宋_GB2312" w:cs="仿宋_GB2312"/>
          <w:sz w:val="28"/>
          <w:szCs w:val="28"/>
        </w:rPr>
        <w:t>（3）负责管理协调工程建设中的日常事务；</w:t>
      </w:r>
    </w:p>
    <w:p>
      <w:pPr>
        <w:spacing w:line="360" w:lineRule="auto"/>
        <w:ind w:firstLine="560" w:firstLineChars="200"/>
        <w:rPr>
          <w:rFonts w:eastAsia="仿宋_GB2312" w:cs="仿宋_GB2312"/>
          <w:sz w:val="28"/>
          <w:szCs w:val="28"/>
        </w:rPr>
      </w:pPr>
      <w:r>
        <w:rPr>
          <w:rFonts w:hint="eastAsia" w:eastAsia="仿宋_GB2312" w:cs="仿宋_GB2312"/>
          <w:sz w:val="28"/>
          <w:szCs w:val="28"/>
        </w:rPr>
        <w:t>（4）负责工程实施过程中的内部运作关系的协调工作；</w:t>
      </w:r>
    </w:p>
    <w:p>
      <w:pPr>
        <w:spacing w:line="360" w:lineRule="auto"/>
        <w:ind w:firstLine="560" w:firstLineChars="200"/>
        <w:rPr>
          <w:rFonts w:ascii="仿宋_GB2312" w:hAnsi="宋体" w:eastAsia="仿宋_GB2312" w:cs="宋体"/>
          <w:color w:val="000000"/>
          <w:kern w:val="0"/>
          <w:sz w:val="28"/>
          <w:szCs w:val="28"/>
        </w:rPr>
      </w:pPr>
      <w:r>
        <w:rPr>
          <w:rFonts w:hint="eastAsia" w:eastAsia="仿宋_GB2312" w:cs="仿宋_GB2312"/>
          <w:sz w:val="28"/>
          <w:szCs w:val="28"/>
        </w:rPr>
        <w:t>（5）协调工程实施各相关单位、线路提供商、设备提供商等各方的工作</w:t>
      </w:r>
      <w:r>
        <w:rPr>
          <w:rFonts w:hint="eastAsia" w:ascii="仿宋_GB2312" w:hAnsi="宋体" w:eastAsia="仿宋_GB2312" w:cs="宋体"/>
          <w:color w:val="000000"/>
          <w:kern w:val="0"/>
          <w:sz w:val="28"/>
          <w:szCs w:val="28"/>
        </w:rPr>
        <w:t>。</w:t>
      </w:r>
    </w:p>
    <w:p>
      <w:pPr>
        <w:keepNext/>
        <w:keepLines/>
        <w:numPr>
          <w:ilvl w:val="0"/>
          <w:numId w:val="3"/>
        </w:numPr>
        <w:spacing w:line="360" w:lineRule="auto"/>
        <w:ind w:left="602" w:hanging="602" w:hangingChars="200"/>
        <w:outlineLvl w:val="0"/>
        <w:rPr>
          <w:rFonts w:eastAsia="黑体"/>
          <w:b/>
          <w:bCs/>
          <w:kern w:val="44"/>
          <w:sz w:val="30"/>
          <w:szCs w:val="30"/>
        </w:rPr>
      </w:pPr>
      <w:bookmarkStart w:id="57" w:name="_Toc6484"/>
      <w:bookmarkStart w:id="58" w:name="_Toc12881102"/>
      <w:bookmarkStart w:id="59" w:name="_Toc25075"/>
      <w:bookmarkStart w:id="60" w:name="_Toc14328"/>
      <w:bookmarkStart w:id="61" w:name="_Toc414365371"/>
      <w:bookmarkStart w:id="62" w:name="_Toc22516"/>
      <w:r>
        <w:rPr>
          <w:rFonts w:hint="eastAsia" w:eastAsia="黑体"/>
          <w:b/>
          <w:bCs/>
          <w:kern w:val="44"/>
          <w:sz w:val="30"/>
          <w:szCs w:val="30"/>
        </w:rPr>
        <w:t>需求分析及项目建设的必要性</w:t>
      </w:r>
      <w:bookmarkEnd w:id="57"/>
      <w:bookmarkEnd w:id="58"/>
      <w:bookmarkEnd w:id="59"/>
      <w:bookmarkEnd w:id="60"/>
      <w:bookmarkEnd w:id="61"/>
      <w:bookmarkEnd w:id="62"/>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63" w:name="_Toc9811"/>
      <w:bookmarkStart w:id="64" w:name="_Toc16171"/>
      <w:bookmarkStart w:id="65" w:name="_Toc9506"/>
      <w:bookmarkStart w:id="66" w:name="_Toc414365372"/>
      <w:bookmarkStart w:id="67" w:name="_Toc12881103"/>
      <w:bookmarkStart w:id="68" w:name="_Toc29165"/>
      <w:r>
        <w:rPr>
          <w:rFonts w:hint="eastAsia" w:ascii="Arial" w:hAnsi="Arial" w:eastAsia="仿宋_GB2312"/>
          <w:b/>
          <w:bCs/>
          <w:sz w:val="28"/>
          <w:szCs w:val="32"/>
        </w:rPr>
        <w:t>建设背景</w:t>
      </w:r>
      <w:bookmarkEnd w:id="63"/>
      <w:bookmarkEnd w:id="64"/>
      <w:bookmarkEnd w:id="65"/>
      <w:bookmarkEnd w:id="66"/>
      <w:bookmarkEnd w:id="67"/>
      <w:bookmarkEnd w:id="68"/>
    </w:p>
    <w:p>
      <w:pPr>
        <w:spacing w:line="360" w:lineRule="auto"/>
        <w:ind w:firstLine="560" w:firstLineChars="200"/>
        <w:rPr>
          <w:rFonts w:ascii="宋体" w:hAnsi="宋体" w:eastAsia="仿宋_GB2312"/>
          <w:snapToGrid w:val="0"/>
          <w:kern w:val="24"/>
          <w:sz w:val="28"/>
          <w:szCs w:val="21"/>
        </w:rPr>
      </w:pPr>
      <w:r>
        <w:rPr>
          <w:rFonts w:hint="eastAsia" w:ascii="宋体" w:hAnsi="宋体" w:eastAsia="仿宋_GB2312"/>
          <w:sz w:val="28"/>
        </w:rPr>
        <w:t>浙江慈溪滨海经济开发区</w:t>
      </w:r>
      <w:r>
        <w:rPr>
          <w:rFonts w:ascii="宋体" w:hAnsi="宋体" w:eastAsia="仿宋_GB2312"/>
          <w:sz w:val="28"/>
        </w:rPr>
        <w:t>规划总面积168平方公里</w:t>
      </w:r>
      <w:r>
        <w:rPr>
          <w:rFonts w:hint="eastAsia" w:ascii="宋体" w:hAnsi="宋体" w:eastAsia="仿宋_GB2312"/>
          <w:sz w:val="28"/>
        </w:rPr>
        <w:t>（含龙山镇, 慈东工业区规划面积4</w:t>
      </w:r>
      <w:r>
        <w:rPr>
          <w:rFonts w:ascii="宋体" w:hAnsi="宋体" w:eastAsia="仿宋_GB2312"/>
          <w:sz w:val="28"/>
        </w:rPr>
        <w:t>2.17</w:t>
      </w:r>
      <w:r>
        <w:rPr>
          <w:rFonts w:hint="eastAsia" w:ascii="宋体" w:hAnsi="宋体" w:eastAsia="仿宋_GB2312"/>
          <w:sz w:val="28"/>
        </w:rPr>
        <w:t>平方公里），</w:t>
      </w:r>
      <w:r>
        <w:rPr>
          <w:rFonts w:ascii="宋体" w:hAnsi="宋体" w:eastAsia="仿宋_GB2312"/>
          <w:sz w:val="28"/>
        </w:rPr>
        <w:t>东与镇海区接壤，南与江北区相连，西接掌起镇，北临杭州湾，是慈溪市“东融宁波”、“北承上海”的前沿阵地，</w:t>
      </w:r>
      <w:r>
        <w:rPr>
          <w:rFonts w:hint="eastAsia" w:ascii="宋体" w:hAnsi="宋体" w:eastAsia="仿宋_GB2312"/>
          <w:sz w:val="28"/>
        </w:rPr>
        <w:t>也</w:t>
      </w:r>
      <w:r>
        <w:rPr>
          <w:rFonts w:ascii="宋体" w:hAnsi="宋体" w:eastAsia="仿宋_GB2312"/>
          <w:sz w:val="28"/>
        </w:rPr>
        <w:t>是宁波都市圈向北融入长三角地区和浙江海洋经济发展版图的重要节点</w:t>
      </w:r>
      <w:r>
        <w:rPr>
          <w:rFonts w:ascii="宋体" w:hAnsi="宋体" w:eastAsia="仿宋_GB2312"/>
          <w:snapToGrid w:val="0"/>
          <w:kern w:val="24"/>
          <w:sz w:val="28"/>
          <w:szCs w:val="21"/>
        </w:rPr>
        <w:t>，处于宁波打造的“一核两带十岛十区”空间布局的海洋经济大平台的核心区位置。</w:t>
      </w:r>
    </w:p>
    <w:p>
      <w:pPr>
        <w:spacing w:line="360" w:lineRule="auto"/>
        <w:ind w:firstLine="560" w:firstLineChars="200"/>
        <w:rPr>
          <w:rFonts w:ascii="宋体" w:hAnsi="宋体" w:eastAsia="仿宋_GB2312"/>
          <w:sz w:val="28"/>
        </w:rPr>
      </w:pPr>
      <w:r>
        <w:rPr>
          <w:rFonts w:ascii="宋体" w:hAnsi="宋体" w:eastAsia="仿宋_GB2312"/>
          <w:snapToGrid w:val="0"/>
          <w:kern w:val="24"/>
          <w:sz w:val="28"/>
          <w:szCs w:val="21"/>
        </w:rPr>
        <w:t>自2006年成立以来，已有300多家企业入驻，2014年产值超过250亿元。园区代表性企业有：公牛集团、海尔产业园、丰树集团、宁波墨西科技发展有限公司（全球首条石墨烯量产化生产线）、宁波太平鸟女装、宁波大世界集团、恒威集团等。2014年9月，浙江省政府办公厅发文同意慈东滨海开发区升格为省级经济开发区，定名为浙江慈溪滨海经济开发区，实行现行省级经济开发区相关政策。</w:t>
      </w:r>
    </w:p>
    <w:p>
      <w:pPr>
        <w:spacing w:line="360" w:lineRule="auto"/>
        <w:ind w:firstLine="560" w:firstLineChars="200"/>
        <w:rPr>
          <w:rFonts w:ascii="宋体" w:hAnsi="宋体" w:eastAsia="仿宋_GB2312"/>
          <w:snapToGrid w:val="0"/>
          <w:kern w:val="24"/>
          <w:sz w:val="28"/>
          <w:szCs w:val="21"/>
        </w:rPr>
      </w:pPr>
      <w:r>
        <w:rPr>
          <w:rFonts w:hint="eastAsia" w:ascii="宋体" w:hAnsi="宋体" w:eastAsia="仿宋_GB2312"/>
          <w:snapToGrid w:val="0"/>
          <w:kern w:val="24"/>
          <w:sz w:val="28"/>
          <w:szCs w:val="21"/>
        </w:rPr>
        <w:t>围绕社会治安防控体系建设、以“平安慈溪”建设为契机，经管委会同意，</w:t>
      </w:r>
      <w:r>
        <w:rPr>
          <w:rFonts w:hint="eastAsia" w:ascii="宋体" w:hAnsi="宋体" w:eastAsia="仿宋_GB2312"/>
          <w:sz w:val="28"/>
        </w:rPr>
        <w:t>决定在全区开展社会治安动态视频监控系统二期扩容建设</w:t>
      </w:r>
      <w:r>
        <w:rPr>
          <w:rFonts w:hint="eastAsia" w:ascii="宋体" w:hAnsi="宋体" w:eastAsia="仿宋_GB2312"/>
          <w:snapToGrid w:val="0"/>
          <w:kern w:val="24"/>
          <w:sz w:val="28"/>
          <w:szCs w:val="21"/>
        </w:rPr>
        <w:t>，通过在滨海开发区主要出入口、主要道路交叉口、公共聚集场所及治安复杂场所安装视频监控和人脸、车脸识别设备，实现对重点区域部位的全天候视频监控和人脸、车脸识别，切实发挥安全技术防范设施在预防、发现、制止、打击刑事犯罪和社会管理中的作用，有效提高社会整体防控能力和公共安全水平，增强群众安全感，提升群众幸福指数，为慈溪滨海开发区经济社会好发展、快发展、大发展创造良好的社会治安环境。</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69" w:name="_Toc12881104"/>
      <w:r>
        <w:rPr>
          <w:rFonts w:ascii="Arial" w:hAnsi="Arial" w:eastAsia="仿宋_GB2312"/>
          <w:b/>
          <w:bCs/>
          <w:sz w:val="28"/>
          <w:szCs w:val="32"/>
        </w:rPr>
        <w:t>现状分析</w:t>
      </w:r>
      <w:bookmarkEnd w:id="69"/>
    </w:p>
    <w:p>
      <w:pPr>
        <w:spacing w:line="360" w:lineRule="auto"/>
        <w:ind w:firstLine="560" w:firstLineChars="200"/>
        <w:rPr>
          <w:rFonts w:ascii="宋体" w:hAnsi="宋体" w:eastAsia="仿宋_GB2312"/>
          <w:sz w:val="28"/>
        </w:rPr>
      </w:pPr>
      <w:r>
        <w:rPr>
          <w:rFonts w:hint="eastAsia" w:ascii="宋体" w:hAnsi="宋体" w:eastAsia="仿宋_GB2312"/>
          <w:sz w:val="28"/>
        </w:rPr>
        <w:t>滨海社会治安动态视频监控系统目前已经实施一期（慈溪滨海天网），基本建成了覆盖辖区</w:t>
      </w:r>
      <w:r>
        <w:rPr>
          <w:rFonts w:hint="eastAsia" w:ascii="宋体" w:hAnsi="宋体" w:eastAsia="仿宋_GB2312"/>
          <w:snapToGrid w:val="0"/>
          <w:kern w:val="24"/>
          <w:sz w:val="28"/>
          <w:szCs w:val="21"/>
        </w:rPr>
        <w:t>主要出入口、主要道路交叉口、公共聚集场所及治安复杂场所</w:t>
      </w:r>
      <w:r>
        <w:rPr>
          <w:rFonts w:hint="eastAsia" w:ascii="宋体" w:hAnsi="宋体" w:eastAsia="仿宋_GB2312"/>
          <w:sz w:val="28"/>
        </w:rPr>
        <w:t>的视频监控系统，主要建设现状如下：</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70" w:name="_Toc12881105"/>
      <w:r>
        <w:rPr>
          <w:rFonts w:hint="eastAsia" w:eastAsia="仿宋_GB2312"/>
          <w:b/>
          <w:bCs/>
          <w:sz w:val="28"/>
          <w:szCs w:val="32"/>
        </w:rPr>
        <w:t>总体建设情况</w:t>
      </w:r>
      <w:bookmarkEnd w:id="70"/>
    </w:p>
    <w:p>
      <w:pPr>
        <w:adjustRightInd w:val="0"/>
        <w:snapToGrid w:val="0"/>
        <w:spacing w:line="360" w:lineRule="auto"/>
        <w:ind w:firstLine="554" w:firstLineChars="198"/>
        <w:rPr>
          <w:rFonts w:ascii="宋体" w:hAnsi="宋体" w:eastAsia="仿宋_GB2312"/>
          <w:snapToGrid w:val="0"/>
          <w:kern w:val="24"/>
          <w:sz w:val="28"/>
          <w:szCs w:val="21"/>
        </w:rPr>
      </w:pPr>
      <w:r>
        <w:rPr>
          <w:rFonts w:hint="eastAsia" w:ascii="宋体" w:hAnsi="宋体" w:eastAsia="仿宋_GB2312"/>
          <w:sz w:val="28"/>
        </w:rPr>
        <w:t>滨海社会治安动态视频监控一期，即滨海天网一期，一期</w:t>
      </w:r>
      <w:r>
        <w:rPr>
          <w:rFonts w:hint="eastAsia" w:ascii="宋体" w:hAnsi="宋体" w:eastAsia="仿宋_GB2312"/>
          <w:snapToGrid w:val="0"/>
          <w:kern w:val="24"/>
          <w:sz w:val="28"/>
          <w:szCs w:val="21"/>
        </w:rPr>
        <w:t>系统由六大部分组成，包括视频采集前端、网络传输系统、视频管理系统、显示控制系统、视频应用系统和系统联网、安全系统。</w:t>
      </w:r>
    </w:p>
    <w:p>
      <w:pPr>
        <w:spacing w:before="120" w:after="120" w:line="400" w:lineRule="exact"/>
        <w:ind w:firstLine="562" w:firstLineChars="200"/>
        <w:rPr>
          <w:rFonts w:ascii="宋体" w:hAnsi="宋体" w:eastAsia="仿宋_GB2312"/>
          <w:sz w:val="28"/>
        </w:rPr>
      </w:pPr>
      <w:bookmarkStart w:id="71" w:name="_Toc416860843"/>
      <w:r>
        <w:rPr>
          <w:rFonts w:ascii="宋体" w:hAnsi="宋体" w:eastAsia="仿宋_GB2312"/>
          <w:b/>
          <w:sz w:val="28"/>
        </w:rPr>
        <w:t>1</w:t>
      </w:r>
      <w:r>
        <w:rPr>
          <w:rFonts w:hint="eastAsia" w:ascii="宋体" w:hAnsi="宋体" w:eastAsia="仿宋_GB2312"/>
          <w:b/>
          <w:sz w:val="28"/>
        </w:rPr>
        <w:t>、视频监控前端子系统</w:t>
      </w:r>
      <w:bookmarkEnd w:id="71"/>
    </w:p>
    <w:p>
      <w:pPr>
        <w:spacing w:line="360" w:lineRule="auto"/>
        <w:ind w:firstLine="560" w:firstLineChars="200"/>
        <w:rPr>
          <w:rFonts w:ascii="宋体" w:hAnsi="宋体" w:eastAsia="仿宋_GB2312"/>
          <w:sz w:val="28"/>
        </w:rPr>
      </w:pPr>
      <w:r>
        <w:rPr>
          <w:rFonts w:hint="eastAsia" w:ascii="宋体" w:hAnsi="宋体" w:eastAsia="仿宋_GB2312"/>
          <w:sz w:val="28"/>
        </w:rPr>
        <w:t>滨海社会治安动态视频监控系统一期已建设</w:t>
      </w:r>
      <w:r>
        <w:rPr>
          <w:rFonts w:ascii="宋体" w:hAnsi="宋体" w:eastAsia="仿宋_GB2312"/>
          <w:sz w:val="28"/>
        </w:rPr>
        <w:t>200</w:t>
      </w:r>
      <w:r>
        <w:rPr>
          <w:rFonts w:hint="eastAsia" w:ascii="宋体" w:hAnsi="宋体" w:eastAsia="仿宋_GB2312"/>
          <w:sz w:val="28"/>
        </w:rPr>
        <w:t>个高清监控点。主要覆盖辖区道路和重点区域。</w:t>
      </w:r>
    </w:p>
    <w:p>
      <w:pPr>
        <w:adjustRightInd w:val="0"/>
        <w:snapToGrid w:val="0"/>
        <w:spacing w:line="360" w:lineRule="auto"/>
        <w:ind w:firstLine="554" w:firstLineChars="198"/>
        <w:rPr>
          <w:rFonts w:ascii="宋体" w:hAnsi="宋体" w:eastAsia="仿宋_GB2312"/>
          <w:sz w:val="28"/>
        </w:rPr>
      </w:pPr>
      <w:r>
        <w:rPr>
          <w:rFonts w:hint="eastAsia" w:ascii="宋体" w:hAnsi="宋体" w:eastAsia="仿宋_GB2312"/>
          <w:sz w:val="28"/>
        </w:rPr>
        <w:t>高清摄像机，经过</w:t>
      </w:r>
      <w:r>
        <w:rPr>
          <w:rFonts w:ascii="宋体" w:hAnsi="宋体" w:eastAsia="仿宋_GB2312"/>
          <w:sz w:val="28"/>
        </w:rPr>
        <w:t>PON</w:t>
      </w:r>
      <w:r>
        <w:rPr>
          <w:rFonts w:hint="eastAsia" w:ascii="宋体" w:hAnsi="宋体" w:eastAsia="仿宋_GB2312"/>
          <w:sz w:val="28"/>
        </w:rPr>
        <w:t>技术将视频图像传输到边防***监控机房，慈溪滨海天网监控平台对图像信号进行解码和视频上传，从而实现本地实时监控、录像回放和与慈溪市公安局资源共享。</w:t>
      </w:r>
    </w:p>
    <w:p>
      <w:pPr>
        <w:spacing w:before="120" w:after="120" w:line="360" w:lineRule="auto"/>
        <w:ind w:firstLine="562" w:firstLineChars="200"/>
        <w:rPr>
          <w:rFonts w:ascii="宋体" w:hAnsi="宋体" w:eastAsia="仿宋_GB2312"/>
          <w:sz w:val="28"/>
        </w:rPr>
      </w:pPr>
      <w:bookmarkStart w:id="72" w:name="_Toc416860844"/>
      <w:r>
        <w:rPr>
          <w:rFonts w:ascii="宋体" w:hAnsi="宋体" w:eastAsia="仿宋_GB2312"/>
          <w:b/>
          <w:sz w:val="28"/>
        </w:rPr>
        <w:t>2</w:t>
      </w:r>
      <w:r>
        <w:rPr>
          <w:rFonts w:hint="eastAsia" w:ascii="宋体" w:hAnsi="宋体" w:eastAsia="仿宋_GB2312"/>
          <w:b/>
          <w:sz w:val="28"/>
        </w:rPr>
        <w:t>、视频存储子系统</w:t>
      </w:r>
      <w:bookmarkEnd w:id="72"/>
    </w:p>
    <w:p>
      <w:pPr>
        <w:adjustRightInd w:val="0"/>
        <w:snapToGrid w:val="0"/>
        <w:spacing w:line="360" w:lineRule="auto"/>
        <w:ind w:firstLine="554" w:firstLineChars="198"/>
        <w:rPr>
          <w:rFonts w:ascii="宋体" w:hAnsi="宋体" w:eastAsia="仿宋_GB2312"/>
          <w:sz w:val="28"/>
        </w:rPr>
      </w:pPr>
      <w:r>
        <w:rPr>
          <w:rFonts w:hint="eastAsia" w:ascii="宋体" w:hAnsi="宋体" w:eastAsia="仿宋_GB2312"/>
          <w:sz w:val="28"/>
        </w:rPr>
        <w:t>滨海社会治安动态视频监控系统一期已建设5台1</w:t>
      </w:r>
      <w:r>
        <w:rPr>
          <w:rFonts w:ascii="宋体" w:hAnsi="宋体" w:eastAsia="仿宋_GB2312"/>
          <w:sz w:val="28"/>
        </w:rPr>
        <w:t>6</w:t>
      </w:r>
      <w:r>
        <w:rPr>
          <w:rFonts w:hint="eastAsia" w:ascii="宋体" w:hAnsi="宋体" w:eastAsia="仿宋_GB2312"/>
          <w:sz w:val="28"/>
        </w:rPr>
        <w:t>盘位磁盘阵列、1</w:t>
      </w:r>
      <w:r>
        <w:rPr>
          <w:rFonts w:ascii="宋体" w:hAnsi="宋体" w:eastAsia="仿宋_GB2312"/>
          <w:sz w:val="28"/>
        </w:rPr>
        <w:t>28</w:t>
      </w:r>
      <w:r>
        <w:rPr>
          <w:rFonts w:hint="eastAsia" w:ascii="宋体" w:hAnsi="宋体" w:eastAsia="仿宋_GB2312"/>
          <w:sz w:val="28"/>
        </w:rPr>
        <w:t>块4T硬盘和配套的6台网络存储机框。</w:t>
      </w:r>
    </w:p>
    <w:p>
      <w:pPr>
        <w:adjustRightInd w:val="0"/>
        <w:snapToGrid w:val="0"/>
        <w:spacing w:line="360" w:lineRule="auto"/>
        <w:ind w:firstLine="554" w:firstLineChars="198"/>
        <w:rPr>
          <w:rFonts w:ascii="宋体" w:hAnsi="宋体" w:eastAsia="仿宋_GB2312"/>
          <w:sz w:val="28"/>
        </w:rPr>
      </w:pPr>
      <w:r>
        <w:rPr>
          <w:rFonts w:hint="eastAsia" w:ascii="宋体" w:hAnsi="宋体" w:eastAsia="仿宋_GB2312"/>
          <w:sz w:val="28"/>
        </w:rPr>
        <w:t>边防***监控中心部署集中存储设备做本地化存储、分布式部署，将存储与信令处理、媒体转发处理相分离，且可以用来减少前端存储占用的带宽。针对录像的高可用性需求和可靠性需求，提供完善的</w:t>
      </w:r>
      <w:r>
        <w:rPr>
          <w:rFonts w:ascii="宋体" w:hAnsi="宋体" w:eastAsia="仿宋_GB2312"/>
          <w:sz w:val="28"/>
        </w:rPr>
        <w:t>RAID</w:t>
      </w:r>
      <w:r>
        <w:rPr>
          <w:rFonts w:hint="eastAsia" w:ascii="宋体" w:hAnsi="宋体" w:eastAsia="仿宋_GB2312"/>
          <w:sz w:val="28"/>
        </w:rPr>
        <w:t>磁盘保护技术，重要点位、重要时间段、报警录像采用录像锁定的方式进行长期保留。</w:t>
      </w:r>
    </w:p>
    <w:p>
      <w:pPr>
        <w:adjustRightInd w:val="0"/>
        <w:snapToGrid w:val="0"/>
        <w:spacing w:line="360" w:lineRule="auto"/>
        <w:ind w:firstLine="554" w:firstLineChars="198"/>
        <w:rPr>
          <w:rFonts w:ascii="宋体" w:hAnsi="宋体" w:eastAsia="仿宋_GB2312"/>
          <w:sz w:val="28"/>
        </w:rPr>
      </w:pPr>
      <w:r>
        <w:rPr>
          <w:rFonts w:hint="eastAsia" w:ascii="宋体" w:hAnsi="宋体" w:eastAsia="仿宋_GB2312"/>
          <w:sz w:val="28"/>
        </w:rPr>
        <w:t>边防***部署视频集中存储磁盘阵列，强大的存储性能和全面的</w:t>
      </w:r>
      <w:r>
        <w:rPr>
          <w:rFonts w:ascii="宋体" w:hAnsi="宋体" w:eastAsia="仿宋_GB2312"/>
          <w:sz w:val="28"/>
        </w:rPr>
        <w:t>RAID</w:t>
      </w:r>
      <w:r>
        <w:rPr>
          <w:rFonts w:hint="eastAsia" w:ascii="宋体" w:hAnsi="宋体" w:eastAsia="仿宋_GB2312"/>
          <w:sz w:val="28"/>
        </w:rPr>
        <w:t>冗余技术、磁盘热备技术引擎能够提供超大规模路数的监控存储带宽和</w:t>
      </w:r>
      <w:r>
        <w:rPr>
          <w:rFonts w:ascii="宋体" w:hAnsi="宋体" w:eastAsia="仿宋_GB2312"/>
          <w:sz w:val="28"/>
        </w:rPr>
        <w:t>99.999</w:t>
      </w:r>
      <w:r>
        <w:rPr>
          <w:rFonts w:hint="eastAsia" w:ascii="宋体" w:hAnsi="宋体" w:eastAsia="仿宋_GB2312"/>
          <w:sz w:val="28"/>
        </w:rPr>
        <w:t>％的电信级高可用性。</w:t>
      </w:r>
    </w:p>
    <w:p>
      <w:pPr>
        <w:spacing w:before="120" w:after="120" w:line="400" w:lineRule="exact"/>
        <w:ind w:firstLine="562" w:firstLineChars="200"/>
        <w:rPr>
          <w:rFonts w:ascii="宋体" w:hAnsi="宋体" w:eastAsia="仿宋_GB2312"/>
          <w:sz w:val="28"/>
        </w:rPr>
      </w:pPr>
      <w:bookmarkStart w:id="73" w:name="_Toc416860845"/>
      <w:r>
        <w:rPr>
          <w:rFonts w:ascii="宋体" w:hAnsi="宋体" w:eastAsia="仿宋_GB2312"/>
          <w:b/>
          <w:sz w:val="28"/>
        </w:rPr>
        <w:t>3</w:t>
      </w:r>
      <w:r>
        <w:rPr>
          <w:rFonts w:hint="eastAsia" w:ascii="宋体" w:hAnsi="宋体" w:eastAsia="仿宋_GB2312"/>
          <w:b/>
          <w:sz w:val="28"/>
        </w:rPr>
        <w:t>、传输网络子系统</w:t>
      </w:r>
      <w:bookmarkEnd w:id="73"/>
    </w:p>
    <w:p>
      <w:pPr>
        <w:spacing w:line="360" w:lineRule="auto"/>
        <w:ind w:firstLine="560" w:firstLineChars="200"/>
        <w:rPr>
          <w:rFonts w:ascii="宋体" w:hAnsi="宋体" w:eastAsia="仿宋_GB2312"/>
          <w:sz w:val="28"/>
        </w:rPr>
      </w:pPr>
      <w:bookmarkStart w:id="74" w:name="_Hlk5967937"/>
      <w:r>
        <w:rPr>
          <w:rFonts w:hint="eastAsia" w:ascii="宋体" w:hAnsi="宋体" w:eastAsia="仿宋_GB2312"/>
          <w:sz w:val="28"/>
        </w:rPr>
        <w:t>滨海社会治安动态视频监控系统一期已建设2台核心交换机和1台OLT设备。</w:t>
      </w:r>
    </w:p>
    <w:p>
      <w:pPr>
        <w:spacing w:line="360" w:lineRule="auto"/>
        <w:ind w:firstLine="560" w:firstLineChars="200"/>
        <w:rPr>
          <w:rFonts w:ascii="宋体" w:hAnsi="宋体" w:eastAsia="仿宋_GB2312"/>
          <w:sz w:val="28"/>
        </w:rPr>
      </w:pPr>
      <w:r>
        <w:rPr>
          <w:rFonts w:hint="eastAsia" w:ascii="宋体" w:hAnsi="宋体" w:eastAsia="仿宋_GB2312"/>
          <w:sz w:val="28"/>
        </w:rPr>
        <w:t>为了保证网络系统的稳定性，2台核心交换机采用融合虚拟化技术，实现了冗余备份和负载均衡。</w:t>
      </w:r>
    </w:p>
    <w:p>
      <w:pPr>
        <w:adjustRightInd w:val="0"/>
        <w:snapToGrid w:val="0"/>
        <w:spacing w:line="360" w:lineRule="auto"/>
        <w:ind w:firstLine="554" w:firstLineChars="198"/>
        <w:rPr>
          <w:rFonts w:ascii="宋体" w:hAnsi="宋体" w:eastAsia="仿宋_GB2312"/>
          <w:snapToGrid w:val="0"/>
          <w:kern w:val="24"/>
          <w:sz w:val="28"/>
          <w:szCs w:val="21"/>
        </w:rPr>
      </w:pPr>
      <w:r>
        <w:rPr>
          <w:rFonts w:hint="eastAsia" w:ascii="宋体" w:hAnsi="宋体" w:eastAsia="仿宋_GB2312"/>
          <w:snapToGrid w:val="0"/>
          <w:kern w:val="24"/>
          <w:sz w:val="28"/>
          <w:szCs w:val="21"/>
        </w:rPr>
        <w:t>核心交换机通过千兆以太网电口板卡接入边防***的存储设备、业务应用终端和客户端电脑，核心交换机下挂汇聚交换机</w:t>
      </w:r>
      <w:r>
        <w:rPr>
          <w:rFonts w:ascii="宋体" w:hAnsi="宋体" w:eastAsia="仿宋_GB2312"/>
          <w:snapToGrid w:val="0"/>
          <w:kern w:val="24"/>
          <w:sz w:val="28"/>
          <w:szCs w:val="21"/>
        </w:rPr>
        <w:t>OLT</w:t>
      </w:r>
      <w:r>
        <w:rPr>
          <w:rFonts w:hint="eastAsia" w:ascii="宋体" w:hAnsi="宋体" w:eastAsia="仿宋_GB2312"/>
          <w:snapToGrid w:val="0"/>
          <w:kern w:val="24"/>
          <w:sz w:val="28"/>
          <w:szCs w:val="21"/>
        </w:rPr>
        <w:t>设备，</w:t>
      </w:r>
      <w:r>
        <w:rPr>
          <w:rFonts w:ascii="宋体" w:hAnsi="宋体" w:eastAsia="仿宋_GB2312"/>
          <w:snapToGrid w:val="0"/>
          <w:kern w:val="24"/>
          <w:sz w:val="28"/>
          <w:szCs w:val="21"/>
        </w:rPr>
        <w:t>OLT</w:t>
      </w:r>
      <w:r>
        <w:rPr>
          <w:rFonts w:hint="eastAsia" w:ascii="宋体" w:hAnsi="宋体" w:eastAsia="仿宋_GB2312"/>
          <w:snapToGrid w:val="0"/>
          <w:kern w:val="24"/>
          <w:sz w:val="28"/>
          <w:szCs w:val="21"/>
        </w:rPr>
        <w:t>选用高密度</w:t>
      </w:r>
      <w:r>
        <w:rPr>
          <w:rFonts w:ascii="宋体" w:hAnsi="宋体" w:eastAsia="仿宋_GB2312"/>
          <w:snapToGrid w:val="0"/>
          <w:kern w:val="24"/>
          <w:sz w:val="28"/>
          <w:szCs w:val="21"/>
        </w:rPr>
        <w:t>PON</w:t>
      </w:r>
      <w:r>
        <w:rPr>
          <w:rFonts w:hint="eastAsia" w:ascii="宋体" w:hAnsi="宋体" w:eastAsia="仿宋_GB2312"/>
          <w:snapToGrid w:val="0"/>
          <w:kern w:val="24"/>
          <w:sz w:val="28"/>
          <w:szCs w:val="21"/>
        </w:rPr>
        <w:t>接口板汇聚接入前端</w:t>
      </w:r>
      <w:r>
        <w:rPr>
          <w:rFonts w:ascii="宋体" w:hAnsi="宋体" w:eastAsia="仿宋_GB2312"/>
          <w:snapToGrid w:val="0"/>
          <w:kern w:val="24"/>
          <w:sz w:val="28"/>
          <w:szCs w:val="21"/>
        </w:rPr>
        <w:t>ONU</w:t>
      </w:r>
      <w:r>
        <w:rPr>
          <w:rFonts w:hint="eastAsia" w:ascii="宋体" w:hAnsi="宋体" w:eastAsia="仿宋_GB2312"/>
          <w:snapToGrid w:val="0"/>
          <w:kern w:val="24"/>
          <w:sz w:val="28"/>
          <w:szCs w:val="21"/>
        </w:rPr>
        <w:t>设备下挂的视频资源，实现结构化管理。</w:t>
      </w:r>
    </w:p>
    <w:p>
      <w:pPr>
        <w:adjustRightInd w:val="0"/>
        <w:snapToGrid w:val="0"/>
        <w:spacing w:line="360" w:lineRule="auto"/>
        <w:ind w:firstLine="554" w:firstLineChars="198"/>
        <w:rPr>
          <w:rFonts w:ascii="宋体" w:hAnsi="宋体" w:eastAsia="仿宋_GB2312"/>
          <w:snapToGrid w:val="0"/>
          <w:kern w:val="24"/>
          <w:sz w:val="28"/>
          <w:szCs w:val="21"/>
        </w:rPr>
      </w:pPr>
      <w:r>
        <w:rPr>
          <w:rFonts w:hint="eastAsia" w:ascii="宋体" w:hAnsi="宋体" w:eastAsia="仿宋_GB2312"/>
          <w:snapToGrid w:val="0"/>
          <w:kern w:val="24"/>
          <w:sz w:val="28"/>
          <w:szCs w:val="21"/>
        </w:rPr>
        <w:t>边防***中心机房做网络规划时独立划分</w:t>
      </w:r>
      <w:r>
        <w:rPr>
          <w:rFonts w:hint="eastAsia" w:ascii="宋体" w:hAnsi="宋体" w:eastAsia="仿宋_GB2312"/>
          <w:sz w:val="28"/>
        </w:rPr>
        <w:t>了</w:t>
      </w:r>
      <w:r>
        <w:rPr>
          <w:rFonts w:hint="eastAsia" w:ascii="宋体" w:hAnsi="宋体" w:eastAsia="仿宋_GB2312"/>
          <w:snapToGrid w:val="0"/>
          <w:kern w:val="24"/>
          <w:sz w:val="28"/>
          <w:szCs w:val="21"/>
        </w:rPr>
        <w:t>前端接入</w:t>
      </w:r>
      <w:r>
        <w:rPr>
          <w:rFonts w:ascii="宋体" w:hAnsi="宋体" w:eastAsia="仿宋_GB2312"/>
          <w:snapToGrid w:val="0"/>
          <w:kern w:val="24"/>
          <w:sz w:val="28"/>
          <w:szCs w:val="21"/>
        </w:rPr>
        <w:t>VLAN</w:t>
      </w:r>
      <w:r>
        <w:rPr>
          <w:rFonts w:hint="eastAsia" w:ascii="宋体" w:hAnsi="宋体" w:eastAsia="仿宋_GB2312"/>
          <w:snapToGrid w:val="0"/>
          <w:kern w:val="24"/>
          <w:sz w:val="28"/>
          <w:szCs w:val="21"/>
        </w:rPr>
        <w:t>，业务应用</w:t>
      </w:r>
      <w:r>
        <w:rPr>
          <w:rFonts w:ascii="宋体" w:hAnsi="宋体" w:eastAsia="仿宋_GB2312"/>
          <w:snapToGrid w:val="0"/>
          <w:kern w:val="24"/>
          <w:sz w:val="28"/>
          <w:szCs w:val="21"/>
        </w:rPr>
        <w:t>VLAN</w:t>
      </w:r>
      <w:r>
        <w:rPr>
          <w:rFonts w:hint="eastAsia" w:ascii="宋体" w:hAnsi="宋体" w:eastAsia="仿宋_GB2312"/>
          <w:snapToGrid w:val="0"/>
          <w:kern w:val="24"/>
          <w:sz w:val="28"/>
          <w:szCs w:val="21"/>
        </w:rPr>
        <w:t>，存储转发</w:t>
      </w:r>
      <w:r>
        <w:rPr>
          <w:rFonts w:ascii="宋体" w:hAnsi="宋体" w:eastAsia="仿宋_GB2312"/>
          <w:snapToGrid w:val="0"/>
          <w:kern w:val="24"/>
          <w:sz w:val="28"/>
          <w:szCs w:val="21"/>
        </w:rPr>
        <w:t>VLAN</w:t>
      </w:r>
      <w:r>
        <w:rPr>
          <w:rFonts w:hint="eastAsia" w:ascii="宋体" w:hAnsi="宋体" w:eastAsia="仿宋_GB2312"/>
          <w:snapToGrid w:val="0"/>
          <w:kern w:val="24"/>
          <w:sz w:val="28"/>
          <w:szCs w:val="21"/>
        </w:rPr>
        <w:t>等，减少相互之间的网络广播和数据传输之间的影响，避免由于单点的接入故障导致整网故障和震荡（如前端虚接，产生大量请求报文影响网络、业务客户端</w:t>
      </w:r>
      <w:r>
        <w:rPr>
          <w:rFonts w:ascii="宋体" w:hAnsi="宋体" w:eastAsia="仿宋_GB2312"/>
          <w:snapToGrid w:val="0"/>
          <w:kern w:val="24"/>
          <w:sz w:val="28"/>
          <w:szCs w:val="21"/>
        </w:rPr>
        <w:t>ip</w:t>
      </w:r>
      <w:r>
        <w:rPr>
          <w:rFonts w:hint="eastAsia" w:ascii="宋体" w:hAnsi="宋体" w:eastAsia="仿宋_GB2312"/>
          <w:snapToGrid w:val="0"/>
          <w:kern w:val="24"/>
          <w:sz w:val="28"/>
          <w:szCs w:val="21"/>
        </w:rPr>
        <w:t>地址和服务器地址冲突导致整网瘫痪）。</w:t>
      </w:r>
      <w:bookmarkEnd w:id="74"/>
    </w:p>
    <w:p>
      <w:pPr>
        <w:spacing w:before="120" w:after="120" w:line="360" w:lineRule="auto"/>
        <w:ind w:firstLine="562" w:firstLineChars="200"/>
        <w:rPr>
          <w:rFonts w:ascii="宋体" w:hAnsi="宋体" w:eastAsia="仿宋_GB2312"/>
          <w:sz w:val="28"/>
        </w:rPr>
      </w:pPr>
      <w:bookmarkStart w:id="75" w:name="_Toc416860846"/>
      <w:r>
        <w:rPr>
          <w:rFonts w:ascii="宋体" w:hAnsi="宋体" w:eastAsia="仿宋_GB2312"/>
          <w:b/>
          <w:sz w:val="28"/>
        </w:rPr>
        <w:t>4</w:t>
      </w:r>
      <w:r>
        <w:rPr>
          <w:rFonts w:hint="eastAsia" w:ascii="宋体" w:hAnsi="宋体" w:eastAsia="仿宋_GB2312"/>
          <w:b/>
          <w:sz w:val="28"/>
        </w:rPr>
        <w:t>、显示与控制子系统</w:t>
      </w:r>
      <w:bookmarkEnd w:id="75"/>
    </w:p>
    <w:p>
      <w:pPr>
        <w:adjustRightInd w:val="0"/>
        <w:snapToGrid w:val="0"/>
        <w:spacing w:line="360" w:lineRule="auto"/>
        <w:ind w:firstLine="554" w:firstLineChars="198"/>
        <w:rPr>
          <w:rFonts w:ascii="宋体" w:hAnsi="宋体" w:eastAsia="仿宋_GB2312"/>
          <w:sz w:val="28"/>
        </w:rPr>
      </w:pPr>
      <w:r>
        <w:rPr>
          <w:rFonts w:hint="eastAsia" w:ascii="宋体" w:hAnsi="宋体" w:eastAsia="仿宋_GB2312"/>
          <w:sz w:val="28"/>
        </w:rPr>
        <w:t>滨海社会治安动态视频监控系统一期项目已经有电视墙1套。</w:t>
      </w:r>
      <w:r>
        <w:rPr>
          <w:rFonts w:hint="eastAsia" w:ascii="宋体" w:hAnsi="宋体" w:eastAsia="仿宋_GB2312"/>
          <w:snapToGrid w:val="0"/>
          <w:kern w:val="24"/>
          <w:sz w:val="28"/>
          <w:szCs w:val="21"/>
        </w:rPr>
        <w:t>按照慈溪市公安局要求“慈溪滨海天网”与市级天网共用边防***监控中心电视墙。“慈溪滨海天网”通过视频安全平台将视频信号上传到市级天网监控平台，由市级平台对视频信号进行处理后上墙，实现与市级天网监控分中心电视墙共用。</w:t>
      </w:r>
    </w:p>
    <w:p>
      <w:pPr>
        <w:spacing w:before="120" w:after="120" w:line="400" w:lineRule="exact"/>
        <w:ind w:firstLine="562" w:firstLineChars="200"/>
        <w:rPr>
          <w:rFonts w:ascii="宋体" w:hAnsi="宋体" w:eastAsia="仿宋_GB2312"/>
          <w:sz w:val="28"/>
        </w:rPr>
      </w:pPr>
      <w:bookmarkStart w:id="76" w:name="_Toc416860847"/>
      <w:r>
        <w:rPr>
          <w:rFonts w:ascii="宋体" w:hAnsi="宋体" w:eastAsia="仿宋_GB2312"/>
          <w:b/>
          <w:sz w:val="28"/>
        </w:rPr>
        <w:t>5</w:t>
      </w:r>
      <w:r>
        <w:rPr>
          <w:rFonts w:hint="eastAsia" w:ascii="宋体" w:hAnsi="宋体" w:eastAsia="仿宋_GB2312"/>
          <w:b/>
          <w:sz w:val="28"/>
        </w:rPr>
        <w:t>、管理应用平台子系统</w:t>
      </w:r>
      <w:bookmarkEnd w:id="76"/>
    </w:p>
    <w:p>
      <w:pPr>
        <w:spacing w:line="360" w:lineRule="auto"/>
        <w:ind w:firstLine="560" w:firstLineChars="200"/>
        <w:rPr>
          <w:rFonts w:ascii="宋体" w:hAnsi="宋体" w:eastAsia="仿宋_GB2312"/>
          <w:sz w:val="28"/>
        </w:rPr>
      </w:pPr>
      <w:r>
        <w:rPr>
          <w:rFonts w:hint="eastAsia" w:ascii="宋体" w:hAnsi="宋体" w:eastAsia="仿宋_GB2312"/>
          <w:sz w:val="28"/>
        </w:rPr>
        <w:t>滨海社会治安动态视频监控系统一期项目已建设管理应用平台子系统1套。</w:t>
      </w:r>
    </w:p>
    <w:p>
      <w:pPr>
        <w:adjustRightInd w:val="0"/>
        <w:snapToGrid w:val="0"/>
        <w:spacing w:line="360" w:lineRule="auto"/>
        <w:ind w:firstLine="554" w:firstLineChars="198"/>
        <w:rPr>
          <w:rFonts w:ascii="宋体" w:hAnsi="宋体" w:eastAsia="仿宋_GB2312"/>
          <w:snapToGrid w:val="0"/>
          <w:kern w:val="24"/>
          <w:sz w:val="28"/>
          <w:szCs w:val="21"/>
        </w:rPr>
      </w:pPr>
      <w:r>
        <w:rPr>
          <w:rFonts w:hint="eastAsia" w:ascii="宋体" w:hAnsi="宋体" w:eastAsia="仿宋_GB2312"/>
          <w:snapToGrid w:val="0"/>
          <w:kern w:val="24"/>
          <w:sz w:val="28"/>
          <w:szCs w:val="21"/>
        </w:rPr>
        <w:t>应用管理平台能够实现实时监控、录像回放、球机控制、视频浓缩和摘要、视频质量诊断、设备运维管理、时钟同步、日志安全审计和防御非法攻击、电子地图、多媒体信息共享等功能。</w:t>
      </w:r>
    </w:p>
    <w:p>
      <w:pPr>
        <w:adjustRightInd w:val="0"/>
        <w:snapToGrid w:val="0"/>
        <w:spacing w:line="360" w:lineRule="auto"/>
        <w:ind w:firstLine="554" w:firstLineChars="198"/>
        <w:rPr>
          <w:rFonts w:ascii="宋体" w:hAnsi="宋体" w:eastAsia="仿宋_GB2312"/>
          <w:snapToGrid w:val="0"/>
          <w:kern w:val="24"/>
          <w:sz w:val="28"/>
          <w:szCs w:val="21"/>
        </w:rPr>
      </w:pPr>
      <w:r>
        <w:rPr>
          <w:rFonts w:hint="eastAsia" w:ascii="宋体" w:hAnsi="宋体" w:eastAsia="仿宋_GB2312"/>
          <w:sz w:val="28"/>
        </w:rPr>
        <w:t>管理应用平台</w:t>
      </w:r>
      <w:r>
        <w:rPr>
          <w:rFonts w:hint="eastAsia" w:ascii="宋体" w:hAnsi="宋体" w:eastAsia="仿宋_GB2312"/>
          <w:snapToGrid w:val="0"/>
          <w:kern w:val="24"/>
          <w:sz w:val="28"/>
          <w:szCs w:val="21"/>
        </w:rPr>
        <w:t>不仅能够实现本地的独立运行，还能够通过视频安全接入平台，与市级“天网工程”相连，使两平台能够互联互通，实现资源共享，并保障</w:t>
      </w:r>
      <w:r>
        <w:rPr>
          <w:rFonts w:hint="eastAsia" w:ascii="宋体" w:hAnsi="宋体" w:eastAsia="仿宋_GB2312"/>
          <w:sz w:val="28"/>
        </w:rPr>
        <w:t>了</w:t>
      </w:r>
      <w:r>
        <w:rPr>
          <w:rFonts w:hint="eastAsia" w:ascii="宋体" w:hAnsi="宋体" w:eastAsia="仿宋_GB2312"/>
          <w:snapToGrid w:val="0"/>
          <w:kern w:val="24"/>
          <w:sz w:val="28"/>
          <w:szCs w:val="21"/>
        </w:rPr>
        <w:t>市级“天网”对“慈溪滨海天网”进行统一管控。</w:t>
      </w:r>
    </w:p>
    <w:p>
      <w:pPr>
        <w:spacing w:before="120" w:after="120" w:line="360" w:lineRule="auto"/>
        <w:ind w:firstLine="562" w:firstLineChars="200"/>
        <w:rPr>
          <w:rFonts w:ascii="宋体" w:hAnsi="宋体" w:eastAsia="仿宋_GB2312"/>
          <w:sz w:val="28"/>
        </w:rPr>
      </w:pPr>
      <w:bookmarkStart w:id="77" w:name="_Toc416860848"/>
      <w:r>
        <w:rPr>
          <w:rFonts w:ascii="宋体" w:hAnsi="宋体" w:eastAsia="仿宋_GB2312"/>
          <w:b/>
          <w:sz w:val="28"/>
        </w:rPr>
        <w:t>6</w:t>
      </w:r>
      <w:r>
        <w:rPr>
          <w:rFonts w:hint="eastAsia" w:ascii="宋体" w:hAnsi="宋体" w:eastAsia="仿宋_GB2312"/>
          <w:b/>
          <w:sz w:val="28"/>
        </w:rPr>
        <w:t>、系统联网及安全子系统</w:t>
      </w:r>
      <w:bookmarkEnd w:id="77"/>
    </w:p>
    <w:p>
      <w:pPr>
        <w:adjustRightInd w:val="0"/>
        <w:snapToGrid w:val="0"/>
        <w:spacing w:line="360" w:lineRule="auto"/>
        <w:ind w:firstLine="554" w:firstLineChars="198"/>
        <w:rPr>
          <w:rFonts w:ascii="宋体" w:hAnsi="宋体" w:eastAsia="仿宋_GB2312"/>
          <w:snapToGrid w:val="0"/>
          <w:kern w:val="24"/>
          <w:sz w:val="28"/>
          <w:szCs w:val="21"/>
        </w:rPr>
      </w:pPr>
      <w:r>
        <w:rPr>
          <w:rFonts w:hint="eastAsia" w:ascii="宋体" w:hAnsi="宋体" w:eastAsia="仿宋_GB2312"/>
          <w:snapToGrid w:val="0"/>
          <w:kern w:val="24"/>
          <w:sz w:val="28"/>
          <w:szCs w:val="21"/>
        </w:rPr>
        <w:t>系统联网方面：</w:t>
      </w:r>
      <w:r>
        <w:rPr>
          <w:rFonts w:hint="eastAsia" w:ascii="宋体" w:hAnsi="宋体" w:eastAsia="仿宋_GB2312"/>
          <w:sz w:val="28"/>
        </w:rPr>
        <w:t>一期已建设流媒体服务器1台，用于实现</w:t>
      </w:r>
      <w:r>
        <w:rPr>
          <w:rFonts w:hint="eastAsia" w:ascii="宋体" w:hAnsi="宋体" w:eastAsia="仿宋_GB2312"/>
          <w:snapToGrid w:val="0"/>
          <w:kern w:val="24"/>
          <w:sz w:val="28"/>
          <w:szCs w:val="21"/>
        </w:rPr>
        <w:t>“慈溪滨海天网”视频监控系统与市级天网</w:t>
      </w:r>
      <w:r>
        <w:rPr>
          <w:rFonts w:hint="eastAsia" w:ascii="宋体" w:hAnsi="宋体" w:eastAsia="仿宋_GB2312"/>
          <w:sz w:val="28"/>
        </w:rPr>
        <w:t>的</w:t>
      </w:r>
      <w:r>
        <w:rPr>
          <w:rFonts w:hint="eastAsia" w:ascii="宋体" w:hAnsi="宋体" w:eastAsia="仿宋_GB2312"/>
          <w:snapToGrid w:val="0"/>
          <w:kern w:val="24"/>
          <w:sz w:val="28"/>
          <w:szCs w:val="21"/>
        </w:rPr>
        <w:t>对接，并将本域内的监控资源共享到市级天网，以供慈溪市公安局进行指挥、调用。</w:t>
      </w:r>
    </w:p>
    <w:p>
      <w:pPr>
        <w:spacing w:line="360" w:lineRule="auto"/>
        <w:ind w:firstLine="560" w:firstLineChars="200"/>
        <w:rPr>
          <w:rFonts w:eastAsia="仿宋_GB2312" w:cs="仿宋_GB2312"/>
          <w:sz w:val="28"/>
          <w:szCs w:val="28"/>
        </w:rPr>
      </w:pPr>
      <w:r>
        <w:rPr>
          <w:rFonts w:hint="eastAsia" w:ascii="宋体" w:hAnsi="宋体" w:eastAsia="仿宋_GB2312"/>
          <w:snapToGrid w:val="0"/>
          <w:kern w:val="24"/>
          <w:sz w:val="28"/>
          <w:szCs w:val="21"/>
        </w:rPr>
        <w:t>网络安全方面：一期已在外联边界处（即滨海天网专网与市级天网连接处）建设防火墙</w:t>
      </w:r>
      <w:r>
        <w:rPr>
          <w:rFonts w:ascii="宋体" w:hAnsi="宋体" w:eastAsia="仿宋_GB2312"/>
          <w:snapToGrid w:val="0"/>
          <w:kern w:val="24"/>
          <w:sz w:val="28"/>
          <w:szCs w:val="21"/>
        </w:rPr>
        <w:t>1</w:t>
      </w:r>
      <w:r>
        <w:rPr>
          <w:rFonts w:hint="eastAsia" w:ascii="宋体" w:hAnsi="宋体" w:eastAsia="仿宋_GB2312"/>
          <w:snapToGrid w:val="0"/>
          <w:kern w:val="24"/>
          <w:sz w:val="28"/>
          <w:szCs w:val="21"/>
        </w:rPr>
        <w:t>台，以确保市级天网共享平台的安全。</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78" w:name="_Toc18108"/>
      <w:bookmarkStart w:id="79" w:name="_Toc503714885"/>
      <w:bookmarkStart w:id="80" w:name="_Toc12881106"/>
      <w:r>
        <w:rPr>
          <w:rFonts w:hint="eastAsia" w:eastAsia="仿宋_GB2312"/>
          <w:b/>
          <w:bCs/>
          <w:sz w:val="28"/>
          <w:szCs w:val="28"/>
        </w:rPr>
        <w:t>服务器</w:t>
      </w:r>
      <w:bookmarkEnd w:id="78"/>
      <w:bookmarkEnd w:id="79"/>
      <w:r>
        <w:rPr>
          <w:rFonts w:hint="eastAsia" w:eastAsia="仿宋_GB2312"/>
          <w:b/>
          <w:bCs/>
          <w:sz w:val="28"/>
          <w:szCs w:val="28"/>
        </w:rPr>
        <w:t>情况</w:t>
      </w:r>
      <w:bookmarkEnd w:id="80"/>
    </w:p>
    <w:tbl>
      <w:tblPr>
        <w:tblStyle w:val="51"/>
        <w:tblW w:w="0" w:type="auto"/>
        <w:tblInd w:w="118" w:type="dxa"/>
        <w:tblLayout w:type="fixed"/>
        <w:tblCellMar>
          <w:top w:w="0" w:type="dxa"/>
          <w:left w:w="108" w:type="dxa"/>
          <w:bottom w:w="0" w:type="dxa"/>
          <w:right w:w="108" w:type="dxa"/>
        </w:tblCellMar>
      </w:tblPr>
      <w:tblGrid>
        <w:gridCol w:w="321"/>
        <w:gridCol w:w="777"/>
        <w:gridCol w:w="734"/>
        <w:gridCol w:w="5825"/>
        <w:gridCol w:w="426"/>
        <w:gridCol w:w="321"/>
      </w:tblGrid>
      <w:tr>
        <w:tblPrEx>
          <w:tblCellMar>
            <w:top w:w="0" w:type="dxa"/>
            <w:left w:w="108" w:type="dxa"/>
            <w:bottom w:w="0" w:type="dxa"/>
            <w:right w:w="108" w:type="dxa"/>
          </w:tblCellMar>
        </w:tblPrEx>
        <w:trPr>
          <w:trHeight w:val="588" w:hRule="atLeast"/>
        </w:trPr>
        <w:tc>
          <w:tcPr>
            <w:tcW w:w="321" w:type="dxa"/>
            <w:vMerge w:val="restart"/>
            <w:tcBorders>
              <w:top w:val="single" w:color="auto" w:sz="8" w:space="0"/>
              <w:left w:val="single" w:color="auto" w:sz="8" w:space="0"/>
              <w:bottom w:val="nil"/>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777" w:type="dxa"/>
            <w:vMerge w:val="restart"/>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平台管理服务器</w:t>
            </w:r>
          </w:p>
        </w:tc>
        <w:tc>
          <w:tcPr>
            <w:tcW w:w="734" w:type="dxa"/>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硬件配置</w:t>
            </w:r>
          </w:p>
        </w:tc>
        <w:tc>
          <w:tcPr>
            <w:tcW w:w="5825" w:type="dxa"/>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1、CPU:Intel Xeon E3-1225（双核）；采用4GB内存，1TB企业级硬盘，2个千兆以太网接口；</w:t>
            </w:r>
          </w:p>
        </w:tc>
        <w:tc>
          <w:tcPr>
            <w:tcW w:w="426" w:type="dxa"/>
            <w:vMerge w:val="restart"/>
            <w:tcBorders>
              <w:top w:val="single" w:color="auto" w:sz="8" w:space="0"/>
              <w:left w:val="single" w:color="auto" w:sz="8" w:space="0"/>
              <w:bottom w:val="nil"/>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套</w:t>
            </w:r>
          </w:p>
        </w:tc>
        <w:tc>
          <w:tcPr>
            <w:tcW w:w="321" w:type="dxa"/>
            <w:vMerge w:val="restart"/>
            <w:tcBorders>
              <w:top w:val="single" w:color="auto" w:sz="8" w:space="0"/>
              <w:left w:val="single" w:color="auto" w:sz="8" w:space="0"/>
              <w:bottom w:val="nil"/>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操作系统</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2、采用Linux操作系统，支持7×24小时稳定运行，并且不易受到黑客、病毒的入侵和攻击；</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restart"/>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实时监控</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3、视频流支持H.264、MEPG2、MPGE4、MJPEG等多种编解码标准图像质量最高支持处理1080P全高清；支持不低于2000路视频图像接入；</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4、支持全屏、多种模式的多分屏，可实现1/4/6/8/9/10/13/16/17/25分屏；</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录像回放</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5、支持前端设备和存储设备之间进行存储，不生成文件（即不使用文件系统）；</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restart"/>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录像管理</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6、支持给每路摄像机分配存储资源，并对其进行集中管理，提高资源的利用率；</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876"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7、支持录像存储和备份的计划管理功能，能有效减少无效数据的存储；支持智能降帧存储，平台能够智能检测网络状况，自适应网络，自动进行降帧降码率存储及恢复；</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restart"/>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故障自愈</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8、支持智能降帧存储，平台能够智能检测网络状况，自适应网络，自动进行降帧降码率存储及恢复；</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9、支持基于摄像头、时间段、报警的检索录像数据；支持检索和回放精确到秒；</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10、具有自愈能力，当意外掉电、网络故障等问题修复后，服务器自动回复到故障发生前的状态继续运行；</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支持多种方式搜索</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11、支持对监控点进行模糊搜索，支持首字母查询，多关键字搜索。</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876"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支持热备</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12、系统平台各服务系统应支持热备或互备部署方式，防止单点故障，提升系统可靠性。系统平台支持平滑的扩容升级，扩容升级不影响现有业务。</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满足主流标准</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13、内置软件满足相关国家标准（GB/T 28181-2011）</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用户权限管理</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14、支持不同的用户等级，用户权限可以划分到单个组织、单个摄像机；</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76"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restart"/>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媒体分发和组播</w:t>
            </w:r>
          </w:p>
        </w:tc>
        <w:tc>
          <w:tcPr>
            <w:tcW w:w="5825" w:type="dxa"/>
            <w:tcBorders>
              <w:top w:val="nil"/>
              <w:left w:val="nil"/>
              <w:bottom w:val="nil"/>
              <w:right w:val="single" w:color="auto" w:sz="8" w:space="0"/>
            </w:tcBorders>
            <w:noWrap w:val="0"/>
            <w:vAlign w:val="center"/>
          </w:tcPr>
          <w:p>
            <w:pPr>
              <w:widowControl/>
              <w:rPr>
                <w:rFonts w:ascii="宋体" w:hAnsi="宋体" w:cs="宋体"/>
                <w:kern w:val="0"/>
                <w:szCs w:val="21"/>
              </w:rPr>
            </w:pPr>
            <w:r>
              <w:rPr>
                <w:rFonts w:hint="eastAsia" w:ascii="宋体" w:hAnsi="宋体" w:cs="宋体"/>
                <w:kern w:val="0"/>
                <w:szCs w:val="21"/>
              </w:rPr>
              <w:t>15、支持视频流单播流的复制分发，支持视频流组播流转单播的复制分发；</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p>
        </w:tc>
        <w:tc>
          <w:tcPr>
            <w:tcW w:w="5825" w:type="dxa"/>
            <w:tcBorders>
              <w:top w:val="nil"/>
              <w:left w:val="nil"/>
              <w:bottom w:val="nil"/>
              <w:right w:val="single" w:color="auto" w:sz="8" w:space="0"/>
            </w:tcBorders>
            <w:noWrap w:val="0"/>
            <w:vAlign w:val="center"/>
          </w:tcPr>
          <w:p>
            <w:pPr>
              <w:widowControl/>
              <w:rPr>
                <w:rFonts w:ascii="宋体" w:hAnsi="宋体" w:cs="宋体"/>
                <w:kern w:val="0"/>
                <w:szCs w:val="21"/>
              </w:rPr>
            </w:pPr>
            <w:r>
              <w:rPr>
                <w:rFonts w:hint="eastAsia" w:ascii="宋体" w:hAnsi="宋体" w:cs="宋体"/>
                <w:kern w:val="0"/>
                <w:szCs w:val="21"/>
              </w:rPr>
              <w:t>16、对跨域媒体流进行复制分发；</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8" w:space="0"/>
              <w:right w:val="single" w:color="auto" w:sz="8" w:space="0"/>
            </w:tcBorders>
            <w:noWrap w:val="0"/>
            <w:vAlign w:val="center"/>
          </w:tcPr>
          <w:p>
            <w:pPr>
              <w:widowControl/>
              <w:rPr>
                <w:rFonts w:ascii="宋体" w:hAnsi="宋体" w:cs="宋体"/>
                <w:kern w:val="0"/>
                <w:szCs w:val="21"/>
              </w:rPr>
            </w:pPr>
            <w:r>
              <w:rPr>
                <w:rFonts w:hint="eastAsia" w:ascii="宋体" w:hAnsi="宋体" w:cs="宋体"/>
                <w:kern w:val="0"/>
                <w:szCs w:val="21"/>
              </w:rPr>
              <w:t>17、实时视频传输应支持单播、组播两种方式，组播方式下从编码器通过网络直接传送给客户端和解码器，无需经过服务器转发；</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日志安全审计</w:t>
            </w:r>
          </w:p>
        </w:tc>
        <w:tc>
          <w:tcPr>
            <w:tcW w:w="5825" w:type="dxa"/>
            <w:tcBorders>
              <w:top w:val="nil"/>
              <w:left w:val="nil"/>
              <w:bottom w:val="single" w:color="auto" w:sz="8" w:space="0"/>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18、完整记录用户操作信息，并生成系统日志；</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77"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734" w:type="dxa"/>
            <w:tcBorders>
              <w:top w:val="nil"/>
              <w:left w:val="nil"/>
              <w:bottom w:val="nil"/>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　</w:t>
            </w:r>
          </w:p>
        </w:tc>
        <w:tc>
          <w:tcPr>
            <w:tcW w:w="5825" w:type="dxa"/>
            <w:tcBorders>
              <w:top w:val="nil"/>
              <w:left w:val="nil"/>
              <w:bottom w:val="nil"/>
              <w:right w:val="single" w:color="auto" w:sz="8" w:space="0"/>
            </w:tcBorders>
            <w:noWrap w:val="0"/>
            <w:vAlign w:val="center"/>
          </w:tcPr>
          <w:p>
            <w:pPr>
              <w:widowControl/>
              <w:jc w:val="left"/>
              <w:rPr>
                <w:rFonts w:ascii="宋体" w:hAnsi="宋体" w:cs="宋体"/>
                <w:kern w:val="0"/>
                <w:szCs w:val="21"/>
              </w:rPr>
            </w:pPr>
            <w:r>
              <w:rPr>
                <w:rFonts w:hint="eastAsia" w:ascii="宋体" w:hAnsi="宋体" w:cs="宋体"/>
                <w:kern w:val="0"/>
                <w:szCs w:val="21"/>
              </w:rPr>
              <w:t>19、集成数据管理服务，备份管理服务等功能。</w:t>
            </w:r>
          </w:p>
        </w:tc>
        <w:tc>
          <w:tcPr>
            <w:tcW w:w="426"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c>
          <w:tcPr>
            <w:tcW w:w="321" w:type="dxa"/>
            <w:vMerge w:val="continue"/>
            <w:tcBorders>
              <w:top w:val="single" w:color="auto" w:sz="8" w:space="0"/>
              <w:left w:val="single" w:color="auto" w:sz="8" w:space="0"/>
              <w:bottom w:val="nil"/>
              <w:right w:val="single" w:color="auto" w:sz="8"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76" w:hRule="atLeast"/>
        </w:trPr>
        <w:tc>
          <w:tcPr>
            <w:tcW w:w="32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77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视频质量诊断服务器</w:t>
            </w:r>
          </w:p>
        </w:tc>
        <w:tc>
          <w:tcPr>
            <w:tcW w:w="734"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硬件配置</w:t>
            </w:r>
          </w:p>
        </w:tc>
        <w:tc>
          <w:tcPr>
            <w:tcW w:w="5825"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1、CPU：英特尔I7-3770 (4M Cache，3.30 GHz，双核)；采用2*4GB内存， 1TB企业级硬盘集成，2个Intel千兆网卡</w:t>
            </w: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套</w:t>
            </w:r>
          </w:p>
        </w:tc>
        <w:tc>
          <w:tcPr>
            <w:tcW w:w="32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r>
      <w:tr>
        <w:tblPrEx>
          <w:tblCellMar>
            <w:top w:w="0" w:type="dxa"/>
            <w:left w:w="108" w:type="dxa"/>
            <w:bottom w:w="0" w:type="dxa"/>
            <w:right w:w="108" w:type="dxa"/>
          </w:tblCellMar>
        </w:tblPrEx>
        <w:trPr>
          <w:trHeight w:val="576"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操作系统</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2、采用Window 7系统，支持7×24小时稳定运行，并且不易受到黑客、病毒的入侵和攻击</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864"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视频质量分析</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3、支持统一网管功能，支持对各管理模块、存储设备、DVR/NVR、IP摄像机和编解码器的统一管理，支持全网设备巡检，支持SNMP标准网管协议，生成拓扑图，显示网络链路负载情况；</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864"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4、各管理模块、存储设备、DVR/NVR、IP摄像机和编解码器支持统一拓扑管理，拓扑自动生成当设备发生异常和告警时，拓扑图有告警提示；支持设备故障率统计，并能生成可用性报表；</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864"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5、支持资产管理，可对资产的设备名称、设备类型、厂商名称、资产型号、资产状态等信息做管理，并能统计、检索资产信息查询结果可导出为表格；</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6、业务的建立和拆除完全基于SIP消息，配置管理基于SNMP消息；</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76"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7、支持视频亮度异常检测、偏色检测、视频信号丢失检测、遮挡检测、对比度异常检测、画面冻结检测；</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8、支持视频诊断结果的实时查询；</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9、支持录像状态侦测结果的实时查询；</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10、最大支持10000路摄像机</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11、分析H.264 1080P 平均4秒/路，分析H.264 720P 2M 平均2秒/路</w:t>
            </w: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76" w:hRule="atLeast"/>
        </w:trPr>
        <w:tc>
          <w:tcPr>
            <w:tcW w:w="321"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3</w:t>
            </w:r>
          </w:p>
        </w:tc>
        <w:tc>
          <w:tcPr>
            <w:tcW w:w="777"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流媒体服务器</w:t>
            </w:r>
          </w:p>
        </w:tc>
        <w:tc>
          <w:tcPr>
            <w:tcW w:w="7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硬件配置</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bookmarkStart w:id="81" w:name="RANGE!D31"/>
            <w:r>
              <w:rPr>
                <w:rFonts w:hint="eastAsia" w:ascii="宋体" w:hAnsi="宋体" w:cs="宋体"/>
                <w:kern w:val="0"/>
                <w:szCs w:val="21"/>
              </w:rPr>
              <w:t>1、CPU：Cor i3-2120 (3M Cache， 3.30 GHz，双核)；采用4GB内存，1TB企业级硬盘2个千兆以太网接口；</w:t>
            </w:r>
            <w:bookmarkEnd w:id="81"/>
          </w:p>
        </w:tc>
        <w:tc>
          <w:tcPr>
            <w:tcW w:w="426"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套</w:t>
            </w:r>
          </w:p>
        </w:tc>
        <w:tc>
          <w:tcPr>
            <w:tcW w:w="32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r>
      <w:tr>
        <w:tblPrEx>
          <w:tblCellMar>
            <w:top w:w="0" w:type="dxa"/>
            <w:left w:w="108" w:type="dxa"/>
            <w:bottom w:w="0" w:type="dxa"/>
            <w:right w:w="108" w:type="dxa"/>
          </w:tblCellMar>
        </w:tblPrEx>
        <w:trPr>
          <w:trHeight w:val="576"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操作系统</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2、采用Linux操作系统，支持7×24小时稳定运行，并且不易受到黑客、病毒的入侵和攻击；</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76"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出入口带宽</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3、能够支持128路4Mbps的入口流量、能够支持256路4Mbps的出口流量、支持负载均衡和动态互备。</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576"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协议标准</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4、业务的建立和拆除完全基于SIP消息，配置管理全部基于SNMP消息、支持GB28181、DB33等联网标准；</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媒体流分发</w:t>
            </w: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5、支持音视频组播流转单播复制分发；</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6、支持音视频单播流的复制分发；</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288"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3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5825" w:type="dxa"/>
            <w:tcBorders>
              <w:top w:val="nil"/>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7、支持对回放媒体流的转发，对跨域媒体流进行复制分发。</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trPr>
        <w:tc>
          <w:tcPr>
            <w:tcW w:w="321"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4</w:t>
            </w:r>
          </w:p>
        </w:tc>
        <w:tc>
          <w:tcPr>
            <w:tcW w:w="777"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时钟服务器</w:t>
            </w:r>
          </w:p>
        </w:tc>
        <w:tc>
          <w:tcPr>
            <w:tcW w:w="6559"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1、双CPU同时工作，32位CPU双核处理器；</w:t>
            </w:r>
          </w:p>
        </w:tc>
        <w:tc>
          <w:tcPr>
            <w:tcW w:w="42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台</w:t>
            </w:r>
          </w:p>
        </w:tc>
        <w:tc>
          <w:tcPr>
            <w:tcW w:w="32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r>
      <w:tr>
        <w:tblPrEx>
          <w:tblCellMar>
            <w:top w:w="0" w:type="dxa"/>
            <w:left w:w="108" w:type="dxa"/>
            <w:bottom w:w="0" w:type="dxa"/>
            <w:right w:w="108" w:type="dxa"/>
          </w:tblCellMar>
        </w:tblPrEx>
        <w:trPr>
          <w:trHeight w:val="300"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6559"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2、具有2个物理隔离的10/100M网口；</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6559"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3、支持Windows/NT/2000、LINUX、UNIX、SUN SOLARIS、IBM AIX、HP-UX等操作系统；</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6559"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4、机箱经防磁处理；</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6559"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5、GPS接收天线防雷、抗干扰，信号接收可靠性高；</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r>
        <w:tblPrEx>
          <w:tblCellMar>
            <w:top w:w="0" w:type="dxa"/>
            <w:left w:w="108" w:type="dxa"/>
            <w:bottom w:w="0" w:type="dxa"/>
            <w:right w:w="108" w:type="dxa"/>
          </w:tblCellMar>
        </w:tblPrEx>
        <w:trPr>
          <w:trHeight w:val="300" w:hRule="atLeast"/>
        </w:trPr>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77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6559"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kern w:val="0"/>
                <w:szCs w:val="21"/>
              </w:rPr>
            </w:pPr>
            <w:r>
              <w:rPr>
                <w:rFonts w:hint="eastAsia" w:ascii="宋体" w:hAnsi="宋体" w:cs="宋体"/>
                <w:kern w:val="0"/>
                <w:szCs w:val="21"/>
              </w:rPr>
              <w:t>6、自带GPS接收器和接收天线；</w:t>
            </w:r>
          </w:p>
        </w:tc>
        <w:tc>
          <w:tcPr>
            <w:tcW w:w="42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c>
          <w:tcPr>
            <w:tcW w:w="32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Cs w:val="21"/>
              </w:rPr>
            </w:pPr>
          </w:p>
        </w:tc>
      </w:tr>
    </w:tbl>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82" w:name="_Toc6244499"/>
      <w:bookmarkEnd w:id="82"/>
      <w:bookmarkStart w:id="83" w:name="_Toc7170747"/>
      <w:bookmarkEnd w:id="83"/>
      <w:bookmarkStart w:id="84" w:name="_Toc25953"/>
      <w:bookmarkStart w:id="85" w:name="_Toc503714886"/>
      <w:bookmarkStart w:id="86" w:name="_Toc12881107"/>
      <w:r>
        <w:rPr>
          <w:rFonts w:hint="eastAsia" w:eastAsia="仿宋_GB2312"/>
          <w:b/>
          <w:bCs/>
          <w:sz w:val="28"/>
          <w:szCs w:val="28"/>
        </w:rPr>
        <w:t>设备性能指标</w:t>
      </w:r>
      <w:r>
        <w:rPr>
          <w:rFonts w:eastAsia="仿宋_GB2312"/>
          <w:b/>
          <w:bCs/>
          <w:sz w:val="28"/>
          <w:szCs w:val="28"/>
        </w:rPr>
        <w:t>和接入能力</w:t>
      </w:r>
      <w:bookmarkEnd w:id="84"/>
      <w:bookmarkEnd w:id="85"/>
      <w:bookmarkEnd w:id="86"/>
    </w:p>
    <w:p>
      <w:pPr>
        <w:spacing w:line="360" w:lineRule="auto"/>
        <w:ind w:firstLine="560" w:firstLineChars="200"/>
        <w:rPr>
          <w:rFonts w:eastAsia="仿宋_GB2312"/>
          <w:sz w:val="28"/>
          <w:szCs w:val="28"/>
        </w:rPr>
      </w:pPr>
      <w:r>
        <w:rPr>
          <w:rFonts w:hint="eastAsia" w:eastAsia="仿宋_GB2312"/>
          <w:sz w:val="28"/>
          <w:szCs w:val="28"/>
        </w:rPr>
        <w:t>滨海治安监控一期在***监控中心已配置三</w:t>
      </w:r>
      <w:r>
        <w:rPr>
          <w:rFonts w:eastAsia="仿宋_GB2312"/>
          <w:sz w:val="28"/>
          <w:szCs w:val="28"/>
        </w:rPr>
        <w:t>台宇视品牌的服务器</w:t>
      </w:r>
      <w:r>
        <w:rPr>
          <w:rFonts w:hint="eastAsia" w:eastAsia="仿宋_GB2312"/>
          <w:sz w:val="28"/>
          <w:szCs w:val="28"/>
        </w:rPr>
        <w:t>，分别</w:t>
      </w:r>
      <w:r>
        <w:rPr>
          <w:rFonts w:eastAsia="仿宋_GB2312"/>
          <w:sz w:val="28"/>
          <w:szCs w:val="28"/>
        </w:rPr>
        <w:t>是</w:t>
      </w:r>
      <w:r>
        <w:rPr>
          <w:rFonts w:hint="eastAsia" w:eastAsia="仿宋_GB2312"/>
          <w:sz w:val="28"/>
          <w:szCs w:val="28"/>
        </w:rPr>
        <w:t>平台</w:t>
      </w:r>
      <w:r>
        <w:rPr>
          <w:rFonts w:eastAsia="仿宋_GB2312"/>
          <w:sz w:val="28"/>
          <w:szCs w:val="28"/>
        </w:rPr>
        <w:t>管理服务器</w:t>
      </w:r>
      <w:r>
        <w:rPr>
          <w:rFonts w:hint="eastAsia" w:eastAsia="仿宋_GB2312"/>
          <w:sz w:val="28"/>
          <w:szCs w:val="28"/>
        </w:rPr>
        <w:t>、视频</w:t>
      </w:r>
      <w:r>
        <w:rPr>
          <w:rFonts w:eastAsia="仿宋_GB2312"/>
          <w:sz w:val="28"/>
          <w:szCs w:val="28"/>
        </w:rPr>
        <w:t>质量诊断服务器</w:t>
      </w:r>
      <w:r>
        <w:rPr>
          <w:rFonts w:hint="eastAsia" w:eastAsia="仿宋_GB2312"/>
          <w:sz w:val="28"/>
          <w:szCs w:val="28"/>
        </w:rPr>
        <w:t>、流媒体</w:t>
      </w:r>
      <w:r>
        <w:rPr>
          <w:rFonts w:eastAsia="仿宋_GB2312"/>
          <w:sz w:val="28"/>
          <w:szCs w:val="28"/>
        </w:rPr>
        <w:t>服务器</w:t>
      </w:r>
      <w:r>
        <w:rPr>
          <w:rFonts w:hint="eastAsia" w:eastAsia="仿宋_GB2312"/>
          <w:sz w:val="28"/>
          <w:szCs w:val="28"/>
        </w:rPr>
        <w:t>，</w:t>
      </w:r>
      <w:r>
        <w:rPr>
          <w:rFonts w:eastAsia="仿宋_GB2312"/>
          <w:sz w:val="28"/>
          <w:szCs w:val="28"/>
        </w:rPr>
        <w:t>其中平台管理服务器</w:t>
      </w:r>
      <w:r>
        <w:rPr>
          <w:rFonts w:hint="eastAsia" w:eastAsia="仿宋_GB2312"/>
          <w:sz w:val="28"/>
          <w:szCs w:val="28"/>
        </w:rPr>
        <w:t>集成</w:t>
      </w:r>
      <w:r>
        <w:rPr>
          <w:rFonts w:eastAsia="仿宋_GB2312"/>
          <w:sz w:val="28"/>
          <w:szCs w:val="28"/>
        </w:rPr>
        <w:t>了数据管理服务和</w:t>
      </w:r>
      <w:r>
        <w:rPr>
          <w:rFonts w:hint="eastAsia" w:eastAsia="仿宋_GB2312"/>
          <w:sz w:val="28"/>
          <w:szCs w:val="28"/>
        </w:rPr>
        <w:t>备份</w:t>
      </w:r>
      <w:r>
        <w:rPr>
          <w:rFonts w:eastAsia="仿宋_GB2312"/>
          <w:sz w:val="28"/>
          <w:szCs w:val="28"/>
        </w:rPr>
        <w:t>管理服务</w:t>
      </w:r>
      <w:r>
        <w:rPr>
          <w:rFonts w:hint="eastAsia" w:eastAsia="仿宋_GB2312"/>
          <w:sz w:val="28"/>
          <w:szCs w:val="28"/>
        </w:rPr>
        <w:t>等功能，</w:t>
      </w:r>
      <w:r>
        <w:rPr>
          <w:rFonts w:eastAsia="仿宋_GB2312"/>
          <w:sz w:val="28"/>
          <w:szCs w:val="28"/>
        </w:rPr>
        <w:t>视频质量诊断服务器集成了运维管理服务</w:t>
      </w:r>
      <w:r>
        <w:rPr>
          <w:rFonts w:hint="eastAsia" w:eastAsia="仿宋_GB2312"/>
          <w:sz w:val="28"/>
          <w:szCs w:val="28"/>
        </w:rPr>
        <w:t>等功能。</w:t>
      </w:r>
    </w:p>
    <w:p>
      <w:pPr>
        <w:spacing w:line="360" w:lineRule="auto"/>
        <w:ind w:firstLine="562" w:firstLineChars="200"/>
        <w:rPr>
          <w:rFonts w:eastAsia="仿宋_GB2312"/>
          <w:b/>
          <w:bCs/>
          <w:sz w:val="28"/>
          <w:szCs w:val="28"/>
        </w:rPr>
      </w:pPr>
      <w:r>
        <w:rPr>
          <w:rFonts w:hint="eastAsia" w:eastAsia="仿宋_GB2312"/>
          <w:b/>
          <w:bCs/>
          <w:sz w:val="28"/>
          <w:szCs w:val="28"/>
        </w:rPr>
        <w:t>1、</w:t>
      </w:r>
      <w:r>
        <w:rPr>
          <w:rFonts w:eastAsia="仿宋_GB2312"/>
          <w:b/>
          <w:bCs/>
          <w:sz w:val="28"/>
          <w:szCs w:val="28"/>
        </w:rPr>
        <w:t>平台管理服务器</w:t>
      </w:r>
    </w:p>
    <w:p>
      <w:pPr>
        <w:spacing w:line="360" w:lineRule="auto"/>
        <w:ind w:firstLine="562" w:firstLineChars="200"/>
        <w:rPr>
          <w:rFonts w:eastAsia="仿宋_GB2312"/>
          <w:sz w:val="28"/>
          <w:szCs w:val="28"/>
        </w:rPr>
      </w:pPr>
      <w:r>
        <w:rPr>
          <w:rFonts w:hint="eastAsia" w:eastAsia="仿宋_GB2312"/>
          <w:b/>
          <w:sz w:val="28"/>
          <w:szCs w:val="28"/>
        </w:rPr>
        <w:t>为保证操作管理及运维的统一性便利性，本期项目点位需无缝接入一期已建的监控管理平台，并确保系统稳定性和无瓶颈。</w:t>
      </w:r>
      <w:r>
        <w:rPr>
          <w:rFonts w:hint="eastAsia" w:eastAsia="仿宋_GB2312"/>
          <w:sz w:val="28"/>
          <w:szCs w:val="28"/>
        </w:rPr>
        <w:t>一期平台管理</w:t>
      </w:r>
      <w:r>
        <w:rPr>
          <w:rFonts w:eastAsia="仿宋_GB2312"/>
          <w:sz w:val="28"/>
          <w:szCs w:val="28"/>
        </w:rPr>
        <w:t>服务器最大的接入和管理</w:t>
      </w:r>
      <w:r>
        <w:rPr>
          <w:rFonts w:hint="eastAsia" w:eastAsia="仿宋_GB2312"/>
          <w:sz w:val="28"/>
          <w:szCs w:val="28"/>
        </w:rPr>
        <w:t>的</w:t>
      </w:r>
      <w:r>
        <w:rPr>
          <w:rFonts w:eastAsia="仿宋_GB2312"/>
          <w:sz w:val="28"/>
          <w:szCs w:val="28"/>
        </w:rPr>
        <w:t>摄像机达</w:t>
      </w:r>
      <w:r>
        <w:rPr>
          <w:rFonts w:hint="eastAsia" w:eastAsia="仿宋_GB2312"/>
          <w:sz w:val="28"/>
          <w:szCs w:val="28"/>
        </w:rPr>
        <w:t>2000路</w:t>
      </w:r>
      <w:r>
        <w:rPr>
          <w:rFonts w:eastAsia="仿宋_GB2312"/>
          <w:sz w:val="28"/>
          <w:szCs w:val="28"/>
        </w:rPr>
        <w:t>，</w:t>
      </w:r>
      <w:r>
        <w:rPr>
          <w:rFonts w:hint="eastAsia" w:eastAsia="仿宋_GB2312"/>
          <w:sz w:val="28"/>
          <w:szCs w:val="28"/>
        </w:rPr>
        <w:t>外域</w:t>
      </w:r>
      <w:r>
        <w:rPr>
          <w:rFonts w:eastAsia="仿宋_GB2312"/>
          <w:sz w:val="28"/>
          <w:szCs w:val="28"/>
        </w:rPr>
        <w:t>达</w:t>
      </w:r>
      <w:r>
        <w:rPr>
          <w:rFonts w:hint="eastAsia" w:eastAsia="仿宋_GB2312"/>
          <w:sz w:val="28"/>
          <w:szCs w:val="28"/>
        </w:rPr>
        <w:t>128个</w:t>
      </w:r>
      <w:r>
        <w:rPr>
          <w:rFonts w:eastAsia="仿宋_GB2312"/>
          <w:sz w:val="28"/>
          <w:szCs w:val="28"/>
        </w:rPr>
        <w:t>，目前，</w:t>
      </w:r>
      <w:r>
        <w:rPr>
          <w:rFonts w:hint="eastAsia" w:eastAsia="仿宋_GB2312"/>
          <w:sz w:val="28"/>
          <w:szCs w:val="28"/>
        </w:rPr>
        <w:t>平台</w:t>
      </w:r>
      <w:r>
        <w:rPr>
          <w:rFonts w:eastAsia="仿宋_GB2312"/>
          <w:sz w:val="28"/>
          <w:szCs w:val="28"/>
        </w:rPr>
        <w:t>已顺利接入200</w:t>
      </w:r>
      <w:r>
        <w:rPr>
          <w:rFonts w:hint="eastAsia" w:eastAsia="仿宋_GB2312"/>
          <w:sz w:val="28"/>
          <w:szCs w:val="28"/>
        </w:rPr>
        <w:t>个高清监控点，并与市级</w:t>
      </w:r>
      <w:r>
        <w:rPr>
          <w:rFonts w:eastAsia="仿宋_GB2312"/>
          <w:sz w:val="28"/>
          <w:szCs w:val="28"/>
        </w:rPr>
        <w:t>大天网建立上</w:t>
      </w:r>
      <w:r>
        <w:rPr>
          <w:rFonts w:hint="eastAsia" w:eastAsia="仿宋_GB2312"/>
          <w:sz w:val="28"/>
          <w:szCs w:val="28"/>
        </w:rPr>
        <w:t>下</w:t>
      </w:r>
      <w:r>
        <w:rPr>
          <w:rFonts w:eastAsia="仿宋_GB2312"/>
          <w:sz w:val="28"/>
          <w:szCs w:val="28"/>
        </w:rPr>
        <w:t>级域</w:t>
      </w:r>
      <w:r>
        <w:rPr>
          <w:rFonts w:hint="eastAsia" w:eastAsia="仿宋_GB2312"/>
          <w:sz w:val="28"/>
          <w:szCs w:val="28"/>
        </w:rPr>
        <w:t>之间</w:t>
      </w:r>
      <w:r>
        <w:rPr>
          <w:rFonts w:eastAsia="仿宋_GB2312"/>
          <w:sz w:val="28"/>
          <w:szCs w:val="28"/>
        </w:rPr>
        <w:t>资源</w:t>
      </w:r>
      <w:r>
        <w:rPr>
          <w:rFonts w:hint="eastAsia" w:eastAsia="仿宋_GB2312"/>
          <w:sz w:val="28"/>
          <w:szCs w:val="28"/>
        </w:rPr>
        <w:t>实现</w:t>
      </w:r>
      <w:r>
        <w:rPr>
          <w:rFonts w:eastAsia="仿宋_GB2312"/>
          <w:sz w:val="28"/>
          <w:szCs w:val="28"/>
        </w:rPr>
        <w:t>互联共享</w:t>
      </w:r>
      <w:r>
        <w:rPr>
          <w:rFonts w:hint="eastAsia" w:eastAsia="仿宋_GB2312"/>
          <w:sz w:val="28"/>
          <w:szCs w:val="28"/>
        </w:rPr>
        <w:t>。因此不仅</w:t>
      </w:r>
      <w:r>
        <w:rPr>
          <w:rFonts w:eastAsia="仿宋_GB2312"/>
          <w:sz w:val="28"/>
          <w:szCs w:val="28"/>
        </w:rPr>
        <w:t>可以保证本次项目</w:t>
      </w:r>
      <w:r>
        <w:rPr>
          <w:rFonts w:eastAsia="仿宋_GB2312"/>
          <w:iCs/>
          <w:sz w:val="28"/>
          <w:szCs w:val="28"/>
        </w:rPr>
        <w:t>300</w:t>
      </w:r>
      <w:r>
        <w:rPr>
          <w:rFonts w:hint="eastAsia" w:eastAsia="仿宋_GB2312"/>
          <w:iCs/>
          <w:sz w:val="28"/>
          <w:szCs w:val="28"/>
        </w:rPr>
        <w:t>路</w:t>
      </w:r>
      <w:r>
        <w:rPr>
          <w:rFonts w:hint="eastAsia" w:eastAsia="仿宋_GB2312"/>
          <w:sz w:val="28"/>
          <w:szCs w:val="28"/>
        </w:rPr>
        <w:t>监控</w:t>
      </w:r>
      <w:r>
        <w:rPr>
          <w:rFonts w:eastAsia="仿宋_GB2312"/>
          <w:sz w:val="28"/>
          <w:szCs w:val="28"/>
        </w:rPr>
        <w:t>点位</w:t>
      </w:r>
      <w:r>
        <w:rPr>
          <w:rFonts w:hint="eastAsia" w:eastAsia="仿宋_GB2312"/>
          <w:sz w:val="28"/>
          <w:szCs w:val="28"/>
        </w:rPr>
        <w:t>的</w:t>
      </w:r>
      <w:r>
        <w:rPr>
          <w:rFonts w:eastAsia="仿宋_GB2312"/>
          <w:sz w:val="28"/>
          <w:szCs w:val="28"/>
        </w:rPr>
        <w:t>无缝接入，</w:t>
      </w:r>
      <w:r>
        <w:rPr>
          <w:rFonts w:hint="eastAsia" w:eastAsia="仿宋_GB2312"/>
          <w:sz w:val="28"/>
          <w:szCs w:val="28"/>
        </w:rPr>
        <w:t>还能</w:t>
      </w:r>
      <w:r>
        <w:rPr>
          <w:rFonts w:eastAsia="仿宋_GB2312"/>
          <w:sz w:val="28"/>
          <w:szCs w:val="28"/>
        </w:rPr>
        <w:t>保证未来</w:t>
      </w:r>
      <w:r>
        <w:rPr>
          <w:rFonts w:hint="eastAsia" w:eastAsia="仿宋_GB2312"/>
          <w:sz w:val="28"/>
          <w:szCs w:val="28"/>
        </w:rPr>
        <w:t>1</w:t>
      </w:r>
      <w:r>
        <w:rPr>
          <w:rFonts w:eastAsia="仿宋_GB2312"/>
          <w:sz w:val="28"/>
          <w:szCs w:val="28"/>
        </w:rPr>
        <w:t>5</w:t>
      </w:r>
      <w:r>
        <w:rPr>
          <w:rFonts w:hint="eastAsia" w:eastAsia="仿宋_GB2312"/>
          <w:sz w:val="28"/>
          <w:szCs w:val="28"/>
        </w:rPr>
        <w:t>00路规划</w:t>
      </w:r>
      <w:r>
        <w:rPr>
          <w:rFonts w:eastAsia="仿宋_GB2312"/>
          <w:sz w:val="28"/>
          <w:szCs w:val="28"/>
        </w:rPr>
        <w:t>点位的</w:t>
      </w:r>
      <w:r>
        <w:rPr>
          <w:rFonts w:hint="eastAsia" w:eastAsia="仿宋_GB2312"/>
          <w:sz w:val="28"/>
          <w:szCs w:val="28"/>
        </w:rPr>
        <w:t>顺利</w:t>
      </w:r>
      <w:r>
        <w:rPr>
          <w:rFonts w:eastAsia="仿宋_GB2312"/>
          <w:sz w:val="28"/>
          <w:szCs w:val="28"/>
        </w:rPr>
        <w:t>接入</w:t>
      </w:r>
      <w:r>
        <w:rPr>
          <w:rFonts w:hint="eastAsia" w:eastAsia="仿宋_GB2312"/>
          <w:sz w:val="28"/>
          <w:szCs w:val="28"/>
        </w:rPr>
        <w:t>。</w:t>
      </w:r>
    </w:p>
    <w:p>
      <w:pPr>
        <w:spacing w:line="360" w:lineRule="auto"/>
        <w:ind w:firstLine="560" w:firstLineChars="200"/>
        <w:rPr>
          <w:rFonts w:eastAsia="仿宋_GB2312"/>
          <w:sz w:val="28"/>
          <w:szCs w:val="28"/>
        </w:rPr>
      </w:pPr>
      <w:r>
        <w:rPr>
          <w:rFonts w:hint="eastAsia" w:ascii="宋体" w:hAnsi="宋体" w:eastAsia="仿宋_GB2312"/>
          <w:snapToGrid w:val="0"/>
          <w:kern w:val="24"/>
          <w:sz w:val="28"/>
          <w:szCs w:val="21"/>
        </w:rPr>
        <w:t>一期工程采用统一的管理与运维相结合的方式，在慈东边防***部署数据中心，以便对监控系统进行统一管理和维护。应用管理平台能够实现实时监控、录像回放、球机控制、视频浓缩和摘要、视频质量诊断、设备运维管理、时钟同步、日志安全审计和防御非法攻击、电子地图、多媒体信息共享等功能</w:t>
      </w:r>
    </w:p>
    <w:p>
      <w:pPr>
        <w:spacing w:line="360" w:lineRule="auto"/>
        <w:ind w:firstLine="562" w:firstLineChars="200"/>
        <w:rPr>
          <w:rFonts w:eastAsia="仿宋_GB2312"/>
          <w:b/>
          <w:bCs/>
          <w:sz w:val="28"/>
          <w:szCs w:val="28"/>
        </w:rPr>
      </w:pPr>
      <w:r>
        <w:rPr>
          <w:rFonts w:eastAsia="仿宋_GB2312"/>
          <w:b/>
          <w:bCs/>
          <w:sz w:val="28"/>
          <w:szCs w:val="28"/>
        </w:rPr>
        <w:t>2</w:t>
      </w:r>
      <w:r>
        <w:rPr>
          <w:rFonts w:hint="eastAsia" w:eastAsia="仿宋_GB2312"/>
          <w:b/>
          <w:bCs/>
          <w:sz w:val="28"/>
          <w:szCs w:val="28"/>
        </w:rPr>
        <w:t>、视频质量</w:t>
      </w:r>
      <w:r>
        <w:rPr>
          <w:rFonts w:eastAsia="仿宋_GB2312"/>
          <w:b/>
          <w:bCs/>
          <w:sz w:val="28"/>
          <w:szCs w:val="28"/>
        </w:rPr>
        <w:t>诊断服务器</w:t>
      </w:r>
    </w:p>
    <w:p>
      <w:pPr>
        <w:spacing w:line="360" w:lineRule="auto"/>
        <w:ind w:firstLine="560" w:firstLineChars="200"/>
        <w:rPr>
          <w:rFonts w:eastAsia="仿宋_GB2312"/>
          <w:sz w:val="28"/>
          <w:szCs w:val="28"/>
        </w:rPr>
      </w:pPr>
      <w:r>
        <w:rPr>
          <w:rFonts w:hint="eastAsia" w:eastAsia="仿宋_GB2312"/>
          <w:sz w:val="28"/>
          <w:szCs w:val="28"/>
        </w:rPr>
        <w:t>滨海治安监控一期</w:t>
      </w:r>
      <w:r>
        <w:rPr>
          <w:rFonts w:eastAsia="仿宋_GB2312"/>
          <w:sz w:val="28"/>
          <w:szCs w:val="28"/>
        </w:rPr>
        <w:t>配置</w:t>
      </w:r>
      <w:r>
        <w:rPr>
          <w:rFonts w:hint="eastAsia" w:eastAsia="仿宋_GB2312"/>
          <w:sz w:val="28"/>
          <w:szCs w:val="28"/>
        </w:rPr>
        <w:t>了</w:t>
      </w:r>
      <w:r>
        <w:rPr>
          <w:rFonts w:eastAsia="仿宋_GB2312"/>
          <w:sz w:val="28"/>
          <w:szCs w:val="28"/>
        </w:rPr>
        <w:t>1台视频质量诊断服务器，</w:t>
      </w:r>
      <w:r>
        <w:rPr>
          <w:rFonts w:hint="eastAsia" w:eastAsia="仿宋_GB2312"/>
          <w:sz w:val="28"/>
          <w:szCs w:val="28"/>
        </w:rPr>
        <w:t>该</w:t>
      </w:r>
      <w:r>
        <w:rPr>
          <w:rFonts w:eastAsia="仿宋_GB2312"/>
          <w:sz w:val="28"/>
          <w:szCs w:val="28"/>
        </w:rPr>
        <w:t>服务器集成了运维管理功能</w:t>
      </w:r>
      <w:r>
        <w:rPr>
          <w:rFonts w:hint="eastAsia" w:eastAsia="仿宋_GB2312"/>
          <w:sz w:val="28"/>
          <w:szCs w:val="28"/>
        </w:rPr>
        <w:t>。视频</w:t>
      </w:r>
      <w:r>
        <w:rPr>
          <w:rFonts w:eastAsia="仿宋_GB2312"/>
          <w:sz w:val="28"/>
          <w:szCs w:val="28"/>
        </w:rPr>
        <w:t>质量</w:t>
      </w:r>
      <w:r>
        <w:rPr>
          <w:rFonts w:hint="eastAsia" w:eastAsia="仿宋_GB2312"/>
          <w:sz w:val="28"/>
          <w:szCs w:val="28"/>
        </w:rPr>
        <w:t>诊断平均每小时可实现3000路高清视频(1080P/720P)或6000路标清视频（4CIF及以下）的检测。全天按照5小时检测时间，平均每天可以完成15000路高清视频的一次巡检。按照</w:t>
      </w:r>
      <w:r>
        <w:rPr>
          <w:rFonts w:eastAsia="仿宋_GB2312"/>
          <w:sz w:val="28"/>
          <w:szCs w:val="28"/>
        </w:rPr>
        <w:t>此性能标准，</w:t>
      </w:r>
      <w:r>
        <w:rPr>
          <w:rFonts w:hint="eastAsia" w:eastAsia="仿宋_GB2312"/>
          <w:sz w:val="28"/>
          <w:szCs w:val="28"/>
        </w:rPr>
        <w:t>该</w:t>
      </w:r>
      <w:r>
        <w:rPr>
          <w:rFonts w:eastAsia="仿宋_GB2312"/>
          <w:sz w:val="28"/>
          <w:szCs w:val="28"/>
        </w:rPr>
        <w:t>服务</w:t>
      </w:r>
      <w:r>
        <w:rPr>
          <w:rFonts w:hint="eastAsia" w:eastAsia="仿宋_GB2312"/>
          <w:sz w:val="28"/>
          <w:szCs w:val="28"/>
        </w:rPr>
        <w:t>器不仅</w:t>
      </w:r>
      <w:r>
        <w:rPr>
          <w:rFonts w:eastAsia="仿宋_GB2312"/>
          <w:sz w:val="28"/>
          <w:szCs w:val="28"/>
        </w:rPr>
        <w:t>可以满足</w:t>
      </w:r>
      <w:r>
        <w:rPr>
          <w:rFonts w:hint="eastAsia" w:eastAsia="仿宋_GB2312"/>
          <w:sz w:val="28"/>
          <w:szCs w:val="28"/>
        </w:rPr>
        <w:t>对</w:t>
      </w:r>
      <w:r>
        <w:rPr>
          <w:rFonts w:eastAsia="仿宋_GB2312"/>
          <w:sz w:val="28"/>
          <w:szCs w:val="28"/>
        </w:rPr>
        <w:t>本期项目300</w:t>
      </w:r>
      <w:r>
        <w:rPr>
          <w:rFonts w:hint="eastAsia" w:eastAsia="仿宋_GB2312"/>
          <w:sz w:val="28"/>
          <w:szCs w:val="28"/>
        </w:rPr>
        <w:t>路</w:t>
      </w:r>
      <w:r>
        <w:rPr>
          <w:rFonts w:eastAsia="仿宋_GB2312"/>
          <w:sz w:val="28"/>
          <w:szCs w:val="28"/>
        </w:rPr>
        <w:t>接入点位</w:t>
      </w:r>
      <w:r>
        <w:rPr>
          <w:rFonts w:hint="eastAsia" w:eastAsia="仿宋_GB2312"/>
          <w:sz w:val="28"/>
          <w:szCs w:val="28"/>
        </w:rPr>
        <w:t>的</w:t>
      </w:r>
      <w:r>
        <w:rPr>
          <w:rFonts w:eastAsia="仿宋_GB2312"/>
          <w:sz w:val="28"/>
          <w:szCs w:val="28"/>
        </w:rPr>
        <w:t>计划诊断或实时诊断，还能满足未来</w:t>
      </w:r>
      <w:r>
        <w:rPr>
          <w:rFonts w:hint="eastAsia" w:eastAsia="仿宋_GB2312"/>
          <w:sz w:val="28"/>
          <w:szCs w:val="28"/>
        </w:rPr>
        <w:t>至少2</w:t>
      </w:r>
      <w:r>
        <w:rPr>
          <w:rFonts w:eastAsia="仿宋_GB2312"/>
          <w:sz w:val="28"/>
          <w:szCs w:val="28"/>
        </w:rPr>
        <w:t>5</w:t>
      </w:r>
      <w:r>
        <w:rPr>
          <w:rFonts w:hint="eastAsia" w:eastAsia="仿宋_GB2312"/>
          <w:sz w:val="28"/>
          <w:szCs w:val="28"/>
        </w:rPr>
        <w:t>00路</w:t>
      </w:r>
      <w:r>
        <w:rPr>
          <w:rFonts w:eastAsia="仿宋_GB2312"/>
          <w:sz w:val="28"/>
          <w:szCs w:val="28"/>
        </w:rPr>
        <w:t>点位的诊断需求。</w:t>
      </w:r>
    </w:p>
    <w:p>
      <w:pPr>
        <w:spacing w:line="360" w:lineRule="auto"/>
        <w:ind w:firstLine="562" w:firstLineChars="200"/>
        <w:rPr>
          <w:rFonts w:eastAsia="仿宋_GB2312"/>
          <w:b/>
          <w:bCs/>
          <w:sz w:val="28"/>
          <w:szCs w:val="28"/>
        </w:rPr>
      </w:pPr>
      <w:r>
        <w:rPr>
          <w:rFonts w:eastAsia="仿宋_GB2312"/>
          <w:b/>
          <w:bCs/>
          <w:sz w:val="28"/>
          <w:szCs w:val="28"/>
        </w:rPr>
        <w:t>3</w:t>
      </w:r>
      <w:r>
        <w:rPr>
          <w:rFonts w:hint="eastAsia" w:eastAsia="仿宋_GB2312"/>
          <w:b/>
          <w:bCs/>
          <w:sz w:val="28"/>
          <w:szCs w:val="28"/>
        </w:rPr>
        <w:t>、流媒体</w:t>
      </w:r>
      <w:r>
        <w:rPr>
          <w:rFonts w:eastAsia="仿宋_GB2312"/>
          <w:b/>
          <w:bCs/>
          <w:sz w:val="28"/>
          <w:szCs w:val="28"/>
        </w:rPr>
        <w:t>服务器</w:t>
      </w:r>
    </w:p>
    <w:p>
      <w:pPr>
        <w:spacing w:line="360" w:lineRule="auto"/>
        <w:ind w:firstLine="560" w:firstLineChars="200"/>
        <w:rPr>
          <w:rFonts w:eastAsia="仿宋_GB2312"/>
          <w:sz w:val="28"/>
          <w:szCs w:val="28"/>
        </w:rPr>
      </w:pPr>
      <w:r>
        <w:rPr>
          <w:rFonts w:hint="eastAsia" w:eastAsia="仿宋_GB2312"/>
          <w:sz w:val="28"/>
          <w:szCs w:val="28"/>
        </w:rPr>
        <w:t>滨海治安监控一期已经配置</w:t>
      </w:r>
      <w:r>
        <w:rPr>
          <w:rFonts w:eastAsia="仿宋_GB2312"/>
          <w:sz w:val="28"/>
          <w:szCs w:val="28"/>
        </w:rPr>
        <w:t>了</w:t>
      </w:r>
      <w:r>
        <w:rPr>
          <w:rFonts w:hint="eastAsia" w:eastAsia="仿宋_GB2312"/>
          <w:sz w:val="28"/>
          <w:szCs w:val="28"/>
        </w:rPr>
        <w:t>1</w:t>
      </w:r>
      <w:r>
        <w:rPr>
          <w:rFonts w:eastAsia="仿宋_GB2312"/>
          <w:sz w:val="28"/>
          <w:szCs w:val="28"/>
        </w:rPr>
        <w:t>台</w:t>
      </w:r>
      <w:r>
        <w:rPr>
          <w:rFonts w:hint="eastAsia" w:eastAsia="仿宋_GB2312"/>
          <w:sz w:val="28"/>
          <w:szCs w:val="28"/>
        </w:rPr>
        <w:t>流媒体</w:t>
      </w:r>
      <w:r>
        <w:rPr>
          <w:rFonts w:eastAsia="仿宋_GB2312"/>
          <w:sz w:val="28"/>
          <w:szCs w:val="28"/>
        </w:rPr>
        <w:t>服务器</w:t>
      </w:r>
      <w:r>
        <w:rPr>
          <w:rFonts w:hint="eastAsia" w:eastAsia="仿宋_GB2312"/>
          <w:sz w:val="28"/>
          <w:szCs w:val="28"/>
        </w:rPr>
        <w:t>，该</w:t>
      </w:r>
      <w:r>
        <w:rPr>
          <w:rFonts w:eastAsia="仿宋_GB2312"/>
          <w:sz w:val="28"/>
          <w:szCs w:val="28"/>
        </w:rPr>
        <w:t>服务器性能能够支持</w:t>
      </w:r>
      <w:r>
        <w:rPr>
          <w:rFonts w:hint="eastAsia" w:eastAsia="仿宋_GB2312"/>
          <w:sz w:val="28"/>
          <w:szCs w:val="28"/>
        </w:rPr>
        <w:t>最大512M</w:t>
      </w:r>
      <w:r>
        <w:rPr>
          <w:rFonts w:eastAsia="仿宋_GB2312"/>
          <w:sz w:val="28"/>
          <w:szCs w:val="28"/>
        </w:rPr>
        <w:t>bps入口</w:t>
      </w:r>
      <w:r>
        <w:rPr>
          <w:rFonts w:hint="eastAsia" w:eastAsia="仿宋_GB2312"/>
          <w:sz w:val="28"/>
          <w:szCs w:val="28"/>
        </w:rPr>
        <w:t>流量，入口</w:t>
      </w:r>
      <w:r>
        <w:rPr>
          <w:rFonts w:eastAsia="仿宋_GB2312"/>
          <w:sz w:val="28"/>
          <w:szCs w:val="28"/>
        </w:rPr>
        <w:t>流量包括</w:t>
      </w:r>
      <w:r>
        <w:rPr>
          <w:rFonts w:hint="eastAsia" w:eastAsia="仿宋_GB2312"/>
          <w:sz w:val="28"/>
          <w:szCs w:val="28"/>
        </w:rPr>
        <w:t>前端</w:t>
      </w:r>
      <w:r>
        <w:rPr>
          <w:rFonts w:eastAsia="仿宋_GB2312"/>
          <w:sz w:val="28"/>
          <w:szCs w:val="28"/>
        </w:rPr>
        <w:t>实时视频和录像回放</w:t>
      </w:r>
      <w:r>
        <w:rPr>
          <w:rFonts w:hint="eastAsia" w:eastAsia="仿宋_GB2312"/>
          <w:sz w:val="28"/>
          <w:szCs w:val="28"/>
        </w:rPr>
        <w:t>的</w:t>
      </w:r>
      <w:r>
        <w:rPr>
          <w:rFonts w:eastAsia="仿宋_GB2312"/>
          <w:sz w:val="28"/>
          <w:szCs w:val="28"/>
        </w:rPr>
        <w:t>视频流；</w:t>
      </w:r>
      <w:r>
        <w:rPr>
          <w:rFonts w:hint="eastAsia" w:eastAsia="仿宋_GB2312"/>
          <w:sz w:val="28"/>
          <w:szCs w:val="28"/>
        </w:rPr>
        <w:t>最大支持</w:t>
      </w:r>
      <w:r>
        <w:rPr>
          <w:rFonts w:eastAsia="仿宋_GB2312"/>
          <w:sz w:val="28"/>
          <w:szCs w:val="28"/>
        </w:rPr>
        <w:t>1024Mbps</w:t>
      </w:r>
      <w:r>
        <w:rPr>
          <w:rFonts w:hint="eastAsia" w:eastAsia="仿宋_GB2312"/>
          <w:sz w:val="28"/>
          <w:szCs w:val="28"/>
        </w:rPr>
        <w:t>出口</w:t>
      </w:r>
      <w:r>
        <w:rPr>
          <w:rFonts w:eastAsia="仿宋_GB2312"/>
          <w:sz w:val="28"/>
          <w:szCs w:val="28"/>
        </w:rPr>
        <w:t>流量</w:t>
      </w:r>
      <w:r>
        <w:rPr>
          <w:rFonts w:hint="eastAsia" w:eastAsia="仿宋_GB2312"/>
          <w:sz w:val="28"/>
          <w:szCs w:val="28"/>
        </w:rPr>
        <w:t>，</w:t>
      </w:r>
      <w:r>
        <w:rPr>
          <w:rFonts w:eastAsia="仿宋_GB2312"/>
          <w:sz w:val="28"/>
          <w:szCs w:val="28"/>
        </w:rPr>
        <w:t>出口流量为入口</w:t>
      </w:r>
      <w:r>
        <w:rPr>
          <w:rFonts w:hint="eastAsia" w:eastAsia="仿宋_GB2312"/>
          <w:sz w:val="28"/>
          <w:szCs w:val="28"/>
        </w:rPr>
        <w:t>视频流</w:t>
      </w:r>
      <w:r>
        <w:rPr>
          <w:rFonts w:eastAsia="仿宋_GB2312"/>
          <w:sz w:val="28"/>
          <w:szCs w:val="28"/>
        </w:rPr>
        <w:t>的复制转发</w:t>
      </w:r>
      <w:r>
        <w:rPr>
          <w:rFonts w:hint="eastAsia" w:eastAsia="仿宋_GB2312"/>
          <w:sz w:val="28"/>
          <w:szCs w:val="28"/>
        </w:rPr>
        <w:t>；可</w:t>
      </w:r>
      <w:r>
        <w:rPr>
          <w:rFonts w:eastAsia="仿宋_GB2312"/>
          <w:sz w:val="28"/>
          <w:szCs w:val="28"/>
        </w:rPr>
        <w:t>支持</w:t>
      </w:r>
      <w:r>
        <w:rPr>
          <w:rFonts w:hint="eastAsia" w:eastAsia="仿宋_GB2312"/>
          <w:sz w:val="28"/>
          <w:szCs w:val="28"/>
        </w:rPr>
        <w:t>2</w:t>
      </w:r>
      <w:r>
        <w:rPr>
          <w:rFonts w:eastAsia="仿宋_GB2312"/>
          <w:sz w:val="28"/>
          <w:szCs w:val="28"/>
        </w:rPr>
        <w:t>Mbps</w:t>
      </w:r>
      <w:r>
        <w:rPr>
          <w:rFonts w:hint="eastAsia" w:eastAsia="仿宋_GB2312"/>
          <w:sz w:val="28"/>
          <w:szCs w:val="28"/>
        </w:rPr>
        <w:t>码流摄像机</w:t>
      </w:r>
      <w:r>
        <w:rPr>
          <w:rFonts w:eastAsia="仿宋_GB2312"/>
          <w:sz w:val="28"/>
          <w:szCs w:val="28"/>
        </w:rPr>
        <w:t>同时接入</w:t>
      </w:r>
      <w:r>
        <w:rPr>
          <w:rFonts w:hint="eastAsia" w:eastAsia="仿宋_GB2312"/>
          <w:sz w:val="28"/>
          <w:szCs w:val="28"/>
        </w:rPr>
        <w:t>256路复制转发512路或4M</w:t>
      </w:r>
      <w:r>
        <w:rPr>
          <w:rFonts w:eastAsia="仿宋_GB2312"/>
          <w:sz w:val="28"/>
          <w:szCs w:val="28"/>
        </w:rPr>
        <w:t>bps码流摄像机</w:t>
      </w:r>
      <w:r>
        <w:rPr>
          <w:rFonts w:hint="eastAsia" w:eastAsia="仿宋_GB2312"/>
          <w:sz w:val="28"/>
          <w:szCs w:val="28"/>
        </w:rPr>
        <w:t>同时</w:t>
      </w:r>
      <w:r>
        <w:rPr>
          <w:rFonts w:eastAsia="仿宋_GB2312"/>
          <w:sz w:val="28"/>
          <w:szCs w:val="28"/>
        </w:rPr>
        <w:t>接入</w:t>
      </w:r>
      <w:r>
        <w:rPr>
          <w:rFonts w:hint="eastAsia" w:eastAsia="仿宋_GB2312"/>
          <w:sz w:val="28"/>
          <w:szCs w:val="28"/>
        </w:rPr>
        <w:t>128路复制转发256路。设备支持音视频组播流转单播复制分发，支持对跨域媒体流进行复制分发以及支持对回放媒体流的转发，</w:t>
      </w:r>
      <w:r>
        <w:rPr>
          <w:rFonts w:eastAsia="仿宋_GB2312"/>
          <w:sz w:val="28"/>
          <w:szCs w:val="28"/>
        </w:rPr>
        <w:t>可以将</w:t>
      </w:r>
      <w:r>
        <w:rPr>
          <w:rFonts w:hint="eastAsia" w:eastAsia="仿宋_GB2312"/>
          <w:sz w:val="28"/>
          <w:szCs w:val="28"/>
        </w:rPr>
        <w:t>滨海天网</w:t>
      </w:r>
      <w:r>
        <w:rPr>
          <w:rFonts w:eastAsia="仿宋_GB2312"/>
          <w:sz w:val="28"/>
          <w:szCs w:val="28"/>
        </w:rPr>
        <w:t>的前端视频</w:t>
      </w:r>
      <w:r>
        <w:rPr>
          <w:rFonts w:hint="eastAsia" w:eastAsia="仿宋_GB2312"/>
          <w:sz w:val="28"/>
          <w:szCs w:val="28"/>
        </w:rPr>
        <w:t>通过上下级域</w:t>
      </w:r>
      <w:r>
        <w:rPr>
          <w:rFonts w:eastAsia="仿宋_GB2312"/>
          <w:sz w:val="28"/>
          <w:szCs w:val="28"/>
        </w:rPr>
        <w:t>转发给市局大天网平台调用</w:t>
      </w:r>
      <w:r>
        <w:rPr>
          <w:rFonts w:hint="eastAsia" w:eastAsia="仿宋_GB2312"/>
          <w:sz w:val="28"/>
          <w:szCs w:val="28"/>
        </w:rPr>
        <w:t>。且滨海治安监控二期</w:t>
      </w:r>
      <w:r>
        <w:rPr>
          <w:rFonts w:eastAsia="仿宋_GB2312"/>
          <w:sz w:val="28"/>
          <w:szCs w:val="28"/>
        </w:rPr>
        <w:t>规划建设的300</w:t>
      </w:r>
      <w:r>
        <w:rPr>
          <w:rFonts w:hint="eastAsia" w:eastAsia="仿宋_GB2312"/>
          <w:sz w:val="28"/>
          <w:szCs w:val="28"/>
        </w:rPr>
        <w:t>路</w:t>
      </w:r>
      <w:r>
        <w:rPr>
          <w:rFonts w:eastAsia="仿宋_GB2312"/>
          <w:sz w:val="28"/>
          <w:szCs w:val="28"/>
        </w:rPr>
        <w:t>，</w:t>
      </w:r>
      <w:r>
        <w:rPr>
          <w:rFonts w:hint="eastAsia" w:eastAsia="仿宋_GB2312"/>
          <w:sz w:val="28"/>
          <w:szCs w:val="28"/>
        </w:rPr>
        <w:t>支持</w:t>
      </w:r>
      <w:r>
        <w:rPr>
          <w:rFonts w:eastAsia="仿宋_GB2312"/>
          <w:sz w:val="28"/>
          <w:szCs w:val="28"/>
        </w:rPr>
        <w:t>通过组播对视频流进行转发，</w:t>
      </w:r>
      <w:r>
        <w:rPr>
          <w:rFonts w:hint="eastAsia" w:eastAsia="仿宋_GB2312"/>
          <w:sz w:val="28"/>
          <w:szCs w:val="28"/>
        </w:rPr>
        <w:t>滨海天网</w:t>
      </w:r>
      <w:r>
        <w:rPr>
          <w:rFonts w:eastAsia="仿宋_GB2312"/>
          <w:sz w:val="28"/>
          <w:szCs w:val="28"/>
        </w:rPr>
        <w:t>本域内对前端视频和录像的调用不占用</w:t>
      </w:r>
      <w:r>
        <w:rPr>
          <w:rFonts w:hint="eastAsia" w:eastAsia="仿宋_GB2312"/>
          <w:sz w:val="28"/>
          <w:szCs w:val="28"/>
        </w:rPr>
        <w:t>流媒体</w:t>
      </w:r>
      <w:r>
        <w:rPr>
          <w:rFonts w:eastAsia="仿宋_GB2312"/>
          <w:sz w:val="28"/>
          <w:szCs w:val="28"/>
        </w:rPr>
        <w:t>服务器的性能，因此</w:t>
      </w:r>
      <w:r>
        <w:rPr>
          <w:rFonts w:hint="eastAsia" w:eastAsia="仿宋_GB2312"/>
          <w:sz w:val="28"/>
          <w:szCs w:val="28"/>
        </w:rPr>
        <w:t>根据</w:t>
      </w:r>
      <w:r>
        <w:rPr>
          <w:rFonts w:eastAsia="仿宋_GB2312"/>
          <w:sz w:val="28"/>
          <w:szCs w:val="28"/>
        </w:rPr>
        <w:t>当前</w:t>
      </w:r>
      <w:r>
        <w:rPr>
          <w:rFonts w:hint="eastAsia" w:eastAsia="仿宋_GB2312"/>
          <w:sz w:val="28"/>
          <w:szCs w:val="28"/>
        </w:rPr>
        <w:t>滨海开发区天网</w:t>
      </w:r>
      <w:r>
        <w:rPr>
          <w:rFonts w:eastAsia="仿宋_GB2312"/>
          <w:sz w:val="28"/>
          <w:szCs w:val="28"/>
        </w:rPr>
        <w:t>和市局天网平台对前端</w:t>
      </w:r>
      <w:r>
        <w:rPr>
          <w:rFonts w:hint="eastAsia" w:eastAsia="仿宋_GB2312"/>
          <w:sz w:val="28"/>
          <w:szCs w:val="28"/>
        </w:rPr>
        <w:t>摄像机</w:t>
      </w:r>
      <w:r>
        <w:rPr>
          <w:rFonts w:eastAsia="仿宋_GB2312"/>
          <w:sz w:val="28"/>
          <w:szCs w:val="28"/>
        </w:rPr>
        <w:t>实况或录像的</w:t>
      </w:r>
      <w:r>
        <w:rPr>
          <w:rFonts w:hint="eastAsia" w:eastAsia="仿宋_GB2312"/>
          <w:sz w:val="28"/>
          <w:szCs w:val="28"/>
        </w:rPr>
        <w:t>调用</w:t>
      </w:r>
      <w:r>
        <w:rPr>
          <w:rFonts w:eastAsia="仿宋_GB2312"/>
          <w:sz w:val="28"/>
          <w:szCs w:val="28"/>
        </w:rPr>
        <w:t>情况，</w:t>
      </w:r>
      <w:r>
        <w:rPr>
          <w:rFonts w:hint="eastAsia" w:eastAsia="仿宋_GB2312"/>
          <w:sz w:val="28"/>
          <w:szCs w:val="28"/>
        </w:rPr>
        <w:t>该设备</w:t>
      </w:r>
      <w:r>
        <w:rPr>
          <w:rFonts w:eastAsia="仿宋_GB2312"/>
          <w:sz w:val="28"/>
          <w:szCs w:val="28"/>
        </w:rPr>
        <w:t>能够满足</w:t>
      </w:r>
      <w:r>
        <w:rPr>
          <w:rFonts w:hint="eastAsia" w:eastAsia="仿宋_GB2312"/>
          <w:sz w:val="28"/>
          <w:szCs w:val="28"/>
        </w:rPr>
        <w:t>本期接入点位的</w:t>
      </w:r>
      <w:r>
        <w:rPr>
          <w:rFonts w:eastAsia="仿宋_GB2312"/>
          <w:sz w:val="28"/>
          <w:szCs w:val="28"/>
        </w:rPr>
        <w:t>视频点播业务需求</w:t>
      </w:r>
      <w:r>
        <w:rPr>
          <w:rFonts w:hint="eastAsia" w:eastAsia="仿宋_GB2312"/>
          <w:sz w:val="28"/>
          <w:szCs w:val="28"/>
        </w:rPr>
        <w:t>。</w:t>
      </w:r>
    </w:p>
    <w:p>
      <w:pPr>
        <w:spacing w:line="360" w:lineRule="auto"/>
        <w:ind w:firstLine="562" w:firstLineChars="200"/>
        <w:rPr>
          <w:rFonts w:eastAsia="仿宋_GB2312"/>
          <w:b/>
          <w:bCs/>
          <w:sz w:val="28"/>
          <w:szCs w:val="28"/>
        </w:rPr>
      </w:pPr>
      <w:r>
        <w:rPr>
          <w:rFonts w:eastAsia="仿宋_GB2312"/>
          <w:b/>
          <w:bCs/>
          <w:sz w:val="28"/>
          <w:szCs w:val="28"/>
        </w:rPr>
        <w:t>4</w:t>
      </w:r>
      <w:r>
        <w:rPr>
          <w:rFonts w:hint="eastAsia" w:eastAsia="仿宋_GB2312"/>
          <w:b/>
          <w:bCs/>
          <w:sz w:val="28"/>
          <w:szCs w:val="28"/>
        </w:rPr>
        <w:t>、时钟同步服务器</w:t>
      </w:r>
    </w:p>
    <w:p>
      <w:pPr>
        <w:spacing w:line="360" w:lineRule="auto"/>
        <w:ind w:firstLine="560" w:firstLineChars="200"/>
        <w:rPr>
          <w:rFonts w:eastAsia="仿宋_GB2312"/>
          <w:sz w:val="28"/>
          <w:szCs w:val="28"/>
        </w:rPr>
      </w:pPr>
      <w:r>
        <w:rPr>
          <w:rFonts w:hint="eastAsia" w:eastAsia="仿宋_GB2312"/>
          <w:sz w:val="28"/>
          <w:szCs w:val="28"/>
        </w:rPr>
        <w:t>滨海治安监控一期已经配置</w:t>
      </w:r>
      <w:r>
        <w:rPr>
          <w:rFonts w:eastAsia="仿宋_GB2312"/>
          <w:sz w:val="28"/>
          <w:szCs w:val="28"/>
        </w:rPr>
        <w:t>了</w:t>
      </w:r>
      <w:r>
        <w:rPr>
          <w:rFonts w:hint="eastAsia" w:eastAsia="仿宋_GB2312"/>
          <w:sz w:val="28"/>
          <w:szCs w:val="28"/>
        </w:rPr>
        <w:t>1</w:t>
      </w:r>
      <w:r>
        <w:rPr>
          <w:rFonts w:eastAsia="仿宋_GB2312"/>
          <w:sz w:val="28"/>
          <w:szCs w:val="28"/>
        </w:rPr>
        <w:t>台</w:t>
      </w:r>
      <w:r>
        <w:rPr>
          <w:rFonts w:hint="eastAsia" w:eastAsia="仿宋_GB2312"/>
          <w:sz w:val="28"/>
          <w:szCs w:val="28"/>
        </w:rPr>
        <w:t>时钟同步服务器。时间同步服务器为系统内各设备提供统一标准的时间信息，保证时间的精确无误。</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87" w:name="_Toc518386676"/>
      <w:bookmarkStart w:id="88" w:name="_Toc12881108"/>
      <w:r>
        <w:rPr>
          <w:rFonts w:hint="eastAsia" w:eastAsia="仿宋_GB2312"/>
          <w:b/>
          <w:bCs/>
          <w:sz w:val="28"/>
          <w:szCs w:val="28"/>
        </w:rPr>
        <w:t>可利用的资源</w:t>
      </w:r>
      <w:bookmarkEnd w:id="87"/>
      <w:bookmarkEnd w:id="88"/>
    </w:p>
    <w:p>
      <w:pPr>
        <w:spacing w:line="360" w:lineRule="auto"/>
        <w:ind w:firstLine="560" w:firstLineChars="200"/>
        <w:rPr>
          <w:rFonts w:ascii="仿宋_GB2312" w:eastAsia="仿宋_GB2312"/>
          <w:sz w:val="28"/>
        </w:rPr>
      </w:pPr>
      <w:r>
        <w:rPr>
          <w:rFonts w:hint="eastAsia" w:ascii="仿宋_GB2312" w:eastAsia="仿宋_GB2312"/>
          <w:sz w:val="28"/>
        </w:rPr>
        <w:t>本项目的建设将充分沿用一期已经具备的设备及机房资源，实现资源的充分共享。</w:t>
      </w:r>
    </w:p>
    <w:p>
      <w:pPr>
        <w:spacing w:line="360" w:lineRule="auto"/>
        <w:ind w:firstLine="560" w:firstLineChars="200"/>
        <w:rPr>
          <w:rFonts w:ascii="仿宋_GB2312" w:eastAsia="仿宋_GB2312"/>
          <w:sz w:val="28"/>
        </w:rPr>
      </w:pPr>
      <w:r>
        <w:rPr>
          <w:rFonts w:hint="eastAsia" w:ascii="仿宋_GB2312" w:eastAsia="仿宋_GB2312"/>
          <w:sz w:val="28"/>
        </w:rPr>
        <w:t>1、机房资源</w:t>
      </w:r>
    </w:p>
    <w:p>
      <w:pPr>
        <w:spacing w:line="360" w:lineRule="auto"/>
        <w:ind w:firstLine="560" w:firstLineChars="200"/>
        <w:rPr>
          <w:rFonts w:ascii="仿宋_GB2312" w:eastAsia="仿宋_GB2312"/>
          <w:sz w:val="28"/>
        </w:rPr>
      </w:pPr>
      <w:r>
        <w:rPr>
          <w:rFonts w:hint="eastAsia" w:ascii="仿宋_GB2312" w:eastAsia="仿宋_GB2312"/>
          <w:sz w:val="28"/>
        </w:rPr>
        <w:t>慈东***已建成信息化机房，本项目的设备可直接部署至该机房。根据设备部署需要，新增机柜。</w:t>
      </w:r>
    </w:p>
    <w:p>
      <w:pPr>
        <w:spacing w:line="360" w:lineRule="auto"/>
        <w:ind w:firstLine="560" w:firstLineChars="200"/>
        <w:rPr>
          <w:rFonts w:ascii="仿宋_GB2312" w:eastAsia="仿宋_GB2312"/>
          <w:sz w:val="28"/>
        </w:rPr>
      </w:pPr>
      <w:r>
        <w:rPr>
          <w:rFonts w:ascii="仿宋_GB2312" w:eastAsia="仿宋_GB2312"/>
          <w:sz w:val="28"/>
        </w:rPr>
        <w:t>2</w:t>
      </w:r>
      <w:r>
        <w:rPr>
          <w:rFonts w:hint="eastAsia" w:ascii="仿宋_GB2312" w:eastAsia="仿宋_GB2312"/>
          <w:sz w:val="28"/>
        </w:rPr>
        <w:t>、</w:t>
      </w:r>
      <w:r>
        <w:rPr>
          <w:rFonts w:ascii="仿宋_GB2312" w:eastAsia="仿宋_GB2312"/>
          <w:sz w:val="28"/>
        </w:rPr>
        <w:t>网络资源</w:t>
      </w:r>
    </w:p>
    <w:p>
      <w:pPr>
        <w:spacing w:line="360" w:lineRule="auto"/>
        <w:ind w:firstLine="560" w:firstLineChars="200"/>
        <w:rPr>
          <w:rFonts w:ascii="仿宋_GB2312" w:eastAsia="仿宋_GB2312"/>
          <w:sz w:val="28"/>
        </w:rPr>
      </w:pPr>
      <w:r>
        <w:rPr>
          <w:rFonts w:ascii="仿宋_GB2312" w:eastAsia="仿宋_GB2312"/>
          <w:sz w:val="28"/>
        </w:rPr>
        <w:t>充分利用现有的网络资源</w:t>
      </w:r>
      <w:r>
        <w:rPr>
          <w:rFonts w:hint="eastAsia" w:ascii="仿宋_GB2312" w:eastAsia="仿宋_GB2312"/>
          <w:sz w:val="28"/>
        </w:rPr>
        <w:t>，包括链路资源和网络设备。在现有OLT设备的基础上，增加OLT板卡。</w:t>
      </w:r>
    </w:p>
    <w:p>
      <w:pPr>
        <w:spacing w:line="360" w:lineRule="auto"/>
        <w:ind w:firstLine="560" w:firstLineChars="200"/>
        <w:rPr>
          <w:rFonts w:ascii="仿宋_GB2312" w:eastAsia="仿宋_GB2312"/>
          <w:sz w:val="28"/>
        </w:rPr>
      </w:pPr>
      <w:r>
        <w:rPr>
          <w:rFonts w:hint="eastAsia" w:ascii="仿宋_GB2312" w:eastAsia="仿宋_GB2312"/>
          <w:sz w:val="28"/>
        </w:rPr>
        <w:t>3、后端设备</w:t>
      </w:r>
    </w:p>
    <w:p>
      <w:pPr>
        <w:spacing w:line="360" w:lineRule="auto"/>
        <w:ind w:firstLine="560" w:firstLineChars="200"/>
        <w:rPr>
          <w:rFonts w:ascii="仿宋_GB2312" w:eastAsia="仿宋_GB2312"/>
          <w:sz w:val="28"/>
        </w:rPr>
      </w:pPr>
      <w:r>
        <w:rPr>
          <w:rFonts w:hint="eastAsia" w:ascii="仿宋_GB2312" w:eastAsia="仿宋_GB2312"/>
          <w:sz w:val="28"/>
        </w:rPr>
        <w:t>利用现有的网络安全设备、服务器设备，在原有的基础上根据需要进行存储设备的扩容。</w:t>
      </w:r>
    </w:p>
    <w:p>
      <w:pPr>
        <w:spacing w:line="360" w:lineRule="auto"/>
        <w:ind w:firstLine="560" w:firstLineChars="200"/>
        <w:rPr>
          <w:rFonts w:ascii="仿宋_GB2312" w:eastAsia="仿宋_GB2312"/>
          <w:sz w:val="28"/>
        </w:rPr>
      </w:pPr>
      <w:r>
        <w:rPr>
          <w:rFonts w:hint="eastAsia" w:ascii="仿宋_GB2312" w:eastAsia="仿宋_GB2312"/>
          <w:sz w:val="28"/>
        </w:rPr>
        <w:t>4、视频平台</w:t>
      </w:r>
    </w:p>
    <w:p>
      <w:pPr>
        <w:spacing w:line="360" w:lineRule="auto"/>
        <w:ind w:firstLine="560" w:firstLineChars="200"/>
        <w:rPr>
          <w:rFonts w:hint="eastAsia" w:ascii="仿宋_GB2312" w:eastAsia="仿宋_GB2312"/>
          <w:sz w:val="28"/>
        </w:rPr>
      </w:pPr>
      <w:r>
        <w:rPr>
          <w:rFonts w:hint="eastAsia" w:ascii="仿宋_GB2312" w:eastAsia="仿宋_GB2312"/>
          <w:sz w:val="28"/>
        </w:rPr>
        <w:t>充分利用现有的视频平台，所有新建视频监控系统，接入现有的视频平台。</w:t>
      </w:r>
    </w:p>
    <w:p>
      <w:pPr>
        <w:numPr>
          <w:ilvl w:val="0"/>
          <w:numId w:val="6"/>
        </w:numPr>
        <w:spacing w:line="360" w:lineRule="auto"/>
        <w:ind w:firstLine="560" w:firstLineChars="200"/>
        <w:rPr>
          <w:rFonts w:hint="eastAsia" w:ascii="仿宋_GB2312" w:eastAsia="仿宋_GB2312"/>
          <w:sz w:val="28"/>
        </w:rPr>
      </w:pPr>
      <w:r>
        <w:rPr>
          <w:rFonts w:hint="eastAsia" w:ascii="仿宋_GB2312" w:eastAsia="仿宋_GB2312"/>
          <w:sz w:val="28"/>
        </w:rPr>
        <w:t>大屏改造</w:t>
      </w:r>
    </w:p>
    <w:p>
      <w:pPr>
        <w:spacing w:line="360" w:lineRule="auto"/>
        <w:rPr>
          <w:rFonts w:ascii="仿宋_GB2312" w:eastAsia="仿宋_GB2312"/>
          <w:sz w:val="28"/>
        </w:rPr>
      </w:pPr>
      <w:r>
        <w:rPr>
          <w:rFonts w:hint="eastAsia" w:ascii="仿宋_GB2312" w:eastAsia="仿宋_GB2312"/>
          <w:sz w:val="28"/>
        </w:rPr>
        <w:t xml:space="preserve">    对大屏部分需改进，原大屏需进行升级，具体要求见设备清单，机房装修需同步进行。</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89" w:name="_Toc7102"/>
      <w:bookmarkStart w:id="90" w:name="_Toc12881109"/>
      <w:bookmarkStart w:id="91" w:name="_Toc6610"/>
      <w:bookmarkStart w:id="92" w:name="_Toc414365376"/>
      <w:bookmarkStart w:id="93" w:name="_Toc29657"/>
      <w:bookmarkStart w:id="94" w:name="_Toc3755"/>
      <w:r>
        <w:rPr>
          <w:rFonts w:hint="eastAsia" w:ascii="Arial" w:hAnsi="Arial" w:eastAsia="仿宋_GB2312"/>
          <w:b/>
          <w:bCs/>
          <w:sz w:val="28"/>
          <w:szCs w:val="32"/>
        </w:rPr>
        <w:t>需求分析</w:t>
      </w:r>
      <w:bookmarkEnd w:id="89"/>
      <w:bookmarkEnd w:id="90"/>
      <w:bookmarkEnd w:id="91"/>
      <w:bookmarkEnd w:id="92"/>
      <w:bookmarkEnd w:id="93"/>
      <w:bookmarkEnd w:id="94"/>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95" w:name="_Toc747"/>
      <w:bookmarkStart w:id="96" w:name="_Toc414365377"/>
      <w:bookmarkStart w:id="97" w:name="_Toc12881110"/>
      <w:r>
        <w:rPr>
          <w:rFonts w:hint="eastAsia" w:eastAsia="仿宋_GB2312"/>
          <w:b/>
          <w:bCs/>
          <w:sz w:val="28"/>
          <w:szCs w:val="32"/>
        </w:rPr>
        <w:t>业务需求分析</w:t>
      </w:r>
      <w:bookmarkEnd w:id="95"/>
      <w:bookmarkEnd w:id="96"/>
      <w:bookmarkEnd w:id="97"/>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***是社会治安动态视频监控系统的一线实战应用单位，拥有对辖区监控图像资源的直接控制和调用权，对辖区所有监控点进行实时监控，并根据监控巡查发现异常情况及时接处警。</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1、治安管理和社会防控</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当前社会是一个人、财、物大流动的动态社会，社会面的信息千变万换，极大地增加了公安机关管理社会的难度，传统的治安管理和社会防控工作的方法和手段很难满足当前的工作要求。通过视频监控系统，可实行网上可视化治安巡逻，通过视频监控系统，实现对一些公共复杂场所的治安动态实时掌控，同时其录像资料为案件的处理提供依据。</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2、侦查破案和打击犯罪</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随着视频监控技术应用于公安工作的不断推进，由视频监控系统采集记录的视频图像、图片信息在公安侦查破案的实践中发挥越来越重要的作用，视频监控系统可通过发案现场的图像进行回放，再现现场当时真实情况，直接锁定犯罪嫌疑人，极大地减少办案的工作量，提高工作效率。通过视频监控系统的定位功能，可精确地定位人员及车辆的行动轨迹，为案情分析提供帮助。</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3、安全保卫及规范管理</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视频监控系统不仅在公安工作的交通管理、治安防控和侦查破案中能发挥作用，还可借助视频监控系统，提供大型活动的安全保卫、警卫任务的完成效率和质量。同时在加强公安机关内部管理，规范公安机关执勤执法，都有很大的用武之地。</w:t>
      </w:r>
    </w:p>
    <w:p>
      <w:pPr>
        <w:keepNext/>
        <w:keepLines/>
        <w:numPr>
          <w:ilvl w:val="3"/>
          <w:numId w:val="3"/>
        </w:numPr>
        <w:tabs>
          <w:tab w:val="left" w:pos="425"/>
          <w:tab w:val="left" w:pos="1418"/>
          <w:tab w:val="left" w:pos="1560"/>
        </w:tabs>
        <w:spacing w:before="280" w:after="290" w:line="376" w:lineRule="auto"/>
        <w:outlineLvl w:val="3"/>
        <w:rPr>
          <w:rFonts w:ascii="Arial" w:hAnsi="Arial" w:eastAsia="仿宋_GB2312"/>
          <w:b/>
          <w:bCs/>
          <w:sz w:val="28"/>
          <w:szCs w:val="28"/>
        </w:rPr>
      </w:pPr>
      <w:r>
        <w:rPr>
          <w:rFonts w:hint="eastAsia" w:ascii="Arial" w:hAnsi="Arial" w:eastAsia="仿宋_GB2312"/>
          <w:b/>
          <w:bCs/>
          <w:sz w:val="28"/>
          <w:szCs w:val="28"/>
        </w:rPr>
        <w:t>视频监控覆盖范围</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随着滨海开发区的快速发展，小区、学校、厂房、道路等基础设施建设快速推进，造成原有监控设备出现盲区。</w:t>
      </w:r>
    </w:p>
    <w:p>
      <w:pPr>
        <w:spacing w:line="360" w:lineRule="auto"/>
        <w:ind w:firstLine="560" w:firstLineChars="200"/>
        <w:rPr>
          <w:rFonts w:ascii="仿宋_GB2312" w:hAnsi="宋体" w:eastAsia="仿宋_GB2312" w:cs="宋体"/>
          <w:kern w:val="0"/>
          <w:sz w:val="28"/>
          <w:szCs w:val="28"/>
        </w:rPr>
      </w:pPr>
      <w:r>
        <w:rPr>
          <w:rFonts w:hint="eastAsia" w:ascii="宋体" w:hAnsi="宋体" w:eastAsia="仿宋_GB2312"/>
          <w:sz w:val="28"/>
          <w:szCs w:val="22"/>
        </w:rPr>
        <w:t>另外，滨海开发区流动人口密集，人员组成复杂，特别是外来人口众多，由于管理人手又不足，运用传统的管理手段在有限的人员配备之下很难满足当前治安防控工作的要求，需要完善辖区内的视频监控“全覆盖”建设。</w:t>
      </w:r>
    </w:p>
    <w:p>
      <w:pPr>
        <w:keepNext/>
        <w:keepLines/>
        <w:numPr>
          <w:ilvl w:val="3"/>
          <w:numId w:val="3"/>
        </w:numPr>
        <w:tabs>
          <w:tab w:val="left" w:pos="425"/>
          <w:tab w:val="left" w:pos="1418"/>
          <w:tab w:val="left" w:pos="1560"/>
        </w:tabs>
        <w:spacing w:before="280" w:after="290" w:line="376" w:lineRule="auto"/>
        <w:outlineLvl w:val="3"/>
        <w:rPr>
          <w:rFonts w:ascii="Arial" w:hAnsi="Arial" w:eastAsia="仿宋_GB2312"/>
          <w:b/>
          <w:bCs/>
          <w:sz w:val="28"/>
          <w:szCs w:val="28"/>
        </w:rPr>
      </w:pPr>
      <w:r>
        <w:rPr>
          <w:rFonts w:hint="eastAsia" w:ascii="Arial" w:hAnsi="Arial" w:eastAsia="仿宋_GB2312"/>
          <w:b/>
          <w:bCs/>
          <w:sz w:val="28"/>
          <w:szCs w:val="28"/>
        </w:rPr>
        <w:t>车脸感知数据采集</w:t>
      </w:r>
    </w:p>
    <w:p>
      <w:pPr>
        <w:spacing w:line="360" w:lineRule="auto"/>
        <w:ind w:firstLine="560" w:firstLineChars="200"/>
        <w:rPr>
          <w:rFonts w:eastAsia="仿宋_GB2312"/>
          <w:sz w:val="28"/>
        </w:rPr>
      </w:pPr>
      <w:r>
        <w:rPr>
          <w:rFonts w:hint="eastAsia" w:eastAsia="仿宋_GB2312"/>
          <w:sz w:val="28"/>
        </w:rPr>
        <w:t>在公安实际工作中，车辆已经成为破案的重要抓手和关键线索的主要来源之一。对案件进行研判的过程当中，发现嫌疑车辆的轨迹比较粗糙，甚至存在关键车辆轨迹被遗漏的情况。犯罪分子的反侦察意识加强，在公安实际工作中，对无牌车、套牌车的查找比对难的问题凸显。仅仅只有车牌数据已远远满足不了实战的需求。因此在车辆感知方面对卡口的建设提出了以加强实战效能为根本的需求。</w:t>
      </w:r>
    </w:p>
    <w:p>
      <w:pPr>
        <w:spacing w:line="360" w:lineRule="auto"/>
        <w:ind w:firstLine="560" w:firstLineChars="200"/>
        <w:rPr>
          <w:rFonts w:eastAsia="仿宋_GB2312"/>
          <w:sz w:val="28"/>
        </w:rPr>
      </w:pPr>
      <w:r>
        <w:rPr>
          <w:rFonts w:hint="eastAsia" w:eastAsia="仿宋_GB2312"/>
          <w:sz w:val="28"/>
        </w:rPr>
        <w:t>结合本项目主要是要完善前端数据的采集，以治安防控为核心，布建方案以“围网、织网、结网、密网、补网”为建设思路，织密基于车辆卡口的立体化防控网。以求“车过留痕”的目的。只有这样才能依托市局车辆大数据应用平台，践行“机器换人”，推动**工作向信息化、智能化转变，形成“事前防控、事中锁定、事后跟踪”的全过程作战新模式。</w:t>
      </w:r>
    </w:p>
    <w:p>
      <w:pPr>
        <w:keepNext/>
        <w:keepLines/>
        <w:numPr>
          <w:ilvl w:val="3"/>
          <w:numId w:val="3"/>
        </w:numPr>
        <w:tabs>
          <w:tab w:val="left" w:pos="425"/>
          <w:tab w:val="left" w:pos="1418"/>
          <w:tab w:val="left" w:pos="1560"/>
        </w:tabs>
        <w:spacing w:before="280" w:after="290" w:line="376" w:lineRule="auto"/>
        <w:ind w:firstLine="0"/>
        <w:outlineLvl w:val="3"/>
        <w:rPr>
          <w:rFonts w:ascii="Arial" w:hAnsi="Arial" w:eastAsia="仿宋_GB2312"/>
          <w:b/>
          <w:bCs/>
          <w:sz w:val="28"/>
          <w:szCs w:val="28"/>
        </w:rPr>
      </w:pPr>
      <w:r>
        <w:rPr>
          <w:rFonts w:hint="eastAsia" w:ascii="Arial" w:hAnsi="Arial" w:eastAsia="仿宋_GB2312"/>
          <w:b/>
          <w:bCs/>
          <w:sz w:val="28"/>
          <w:szCs w:val="28"/>
        </w:rPr>
        <w:t>人脸感知数据采集</w:t>
      </w:r>
    </w:p>
    <w:p>
      <w:pPr>
        <w:spacing w:line="360" w:lineRule="auto"/>
        <w:ind w:firstLine="560" w:firstLineChars="200"/>
        <w:rPr>
          <w:rFonts w:eastAsia="仿宋_GB2312"/>
          <w:sz w:val="28"/>
        </w:rPr>
      </w:pPr>
      <w:r>
        <w:rPr>
          <w:rFonts w:hint="eastAsia" w:eastAsia="仿宋_GB2312"/>
          <w:sz w:val="28"/>
        </w:rPr>
        <w:t>基于全区重点区域、重要出入口现状，在充分考虑各部门应用需求的基础上，采用统一的科学布建模型，规划人员监控点部署蓝图，实现对重点区域、重要出入口的监控点位全覆盖，全方位智能采集城市出入及内部通行人员的人像数据，做到“人过留像、留特征、留轨迹”。</w:t>
      </w:r>
    </w:p>
    <w:p>
      <w:pPr>
        <w:spacing w:line="360" w:lineRule="auto"/>
        <w:ind w:firstLine="560" w:firstLineChars="200"/>
        <w:rPr>
          <w:rFonts w:eastAsia="仿宋_GB2312"/>
          <w:sz w:val="28"/>
        </w:rPr>
      </w:pPr>
      <w:r>
        <w:rPr>
          <w:rFonts w:hint="eastAsia" w:eastAsia="仿宋_GB2312"/>
          <w:sz w:val="28"/>
        </w:rPr>
        <w:t>将人脸识别、大数据、云计算技术与滨海开发区公安实战技战法相结合，依托市局人像资源库整合汇聚的人像大数据，提供事前高危人员预警、事中重点人员布控、事后人员踪迹查询、身份核实的全过程应用功能，为公安治安防控、刑侦破案、**防暴等工作提供有力支撑。</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98" w:name="_Toc414365378"/>
      <w:bookmarkStart w:id="99" w:name="_Toc30017"/>
      <w:bookmarkStart w:id="100" w:name="_Toc12881111"/>
      <w:r>
        <w:rPr>
          <w:rFonts w:hint="eastAsia" w:eastAsia="仿宋_GB2312"/>
          <w:b/>
          <w:bCs/>
          <w:sz w:val="28"/>
          <w:szCs w:val="32"/>
        </w:rPr>
        <w:t>功能需求分析</w:t>
      </w:r>
      <w:bookmarkEnd w:id="98"/>
      <w:bookmarkEnd w:id="99"/>
      <w:bookmarkEnd w:id="100"/>
    </w:p>
    <w:p>
      <w:pPr>
        <w:spacing w:line="360" w:lineRule="auto"/>
        <w:ind w:firstLine="562" w:firstLineChars="200"/>
        <w:rPr>
          <w:rFonts w:eastAsia="仿宋_GB2312"/>
          <w:b/>
          <w:sz w:val="28"/>
          <w:szCs w:val="28"/>
        </w:rPr>
      </w:pPr>
      <w:r>
        <w:rPr>
          <w:rFonts w:eastAsia="仿宋_GB2312"/>
          <w:b/>
          <w:sz w:val="28"/>
          <w:szCs w:val="28"/>
        </w:rPr>
        <w:t>1、</w:t>
      </w:r>
      <w:r>
        <w:rPr>
          <w:rFonts w:hint="eastAsia" w:eastAsia="仿宋_GB2312"/>
          <w:b/>
          <w:sz w:val="28"/>
          <w:szCs w:val="28"/>
        </w:rPr>
        <w:t>前端系统功能需求</w:t>
      </w:r>
    </w:p>
    <w:p>
      <w:pPr>
        <w:spacing w:line="360" w:lineRule="auto"/>
        <w:ind w:firstLine="560" w:firstLineChars="200"/>
        <w:rPr>
          <w:rFonts w:eastAsia="仿宋_GB2312" w:cs="仿宋_GB2312"/>
          <w:sz w:val="28"/>
        </w:rPr>
      </w:pPr>
      <w:r>
        <w:rPr>
          <w:rFonts w:hint="eastAsia" w:ascii="仿宋_GB2312" w:eastAsia="仿宋_GB2312"/>
          <w:sz w:val="28"/>
        </w:rPr>
        <w:t>本项目的前端系统由摄像机、立杆与基础、室外设备箱、前端监控点的配电与防雷接地系统组成。</w:t>
      </w:r>
    </w:p>
    <w:p>
      <w:pPr>
        <w:spacing w:line="360" w:lineRule="auto"/>
        <w:ind w:firstLine="560" w:firstLineChars="200"/>
        <w:rPr>
          <w:rFonts w:eastAsia="仿宋_GB2312" w:cs="仿宋_GB2312"/>
          <w:sz w:val="28"/>
        </w:rPr>
      </w:pPr>
      <w:r>
        <w:rPr>
          <w:rFonts w:hint="eastAsia" w:ascii="仿宋_GB2312" w:eastAsia="仿宋_GB2312"/>
          <w:sz w:val="28"/>
        </w:rPr>
        <w:t>前端设备应具有抗风、抗震、防雷、防雨、防尘、防盐雾、防锈蚀、防变形的功能。</w:t>
      </w:r>
    </w:p>
    <w:p>
      <w:pPr>
        <w:numPr>
          <w:ilvl w:val="0"/>
          <w:numId w:val="7"/>
        </w:numPr>
        <w:spacing w:before="100" w:beforeAutospacing="1" w:after="100" w:afterAutospacing="1" w:line="360" w:lineRule="auto"/>
        <w:rPr>
          <w:rFonts w:eastAsia="仿宋_GB2312" w:cs="仿宋_GB2312"/>
          <w:b/>
          <w:bCs/>
          <w:sz w:val="28"/>
        </w:rPr>
      </w:pPr>
      <w:r>
        <w:rPr>
          <w:rFonts w:hint="eastAsia" w:ascii="仿宋_GB2312" w:eastAsia="仿宋_GB2312"/>
          <w:b/>
          <w:bCs/>
          <w:sz w:val="28"/>
        </w:rPr>
        <w:t>前端摄像机</w:t>
      </w:r>
    </w:p>
    <w:p>
      <w:pPr>
        <w:spacing w:line="360" w:lineRule="auto"/>
        <w:ind w:firstLine="560" w:firstLineChars="200"/>
        <w:rPr>
          <w:rFonts w:ascii="仿宋_GB2312" w:eastAsia="仿宋_GB2312"/>
          <w:sz w:val="28"/>
        </w:rPr>
      </w:pPr>
      <w:r>
        <w:rPr>
          <w:rFonts w:hint="eastAsia" w:ascii="仿宋_GB2312" w:eastAsia="仿宋_GB2312"/>
          <w:sz w:val="28"/>
        </w:rPr>
        <w:t>前端摄像机为网络数字高清摄像头，包括治安监控相机和人脸车脸抓拍相机。</w:t>
      </w:r>
    </w:p>
    <w:p>
      <w:pPr>
        <w:spacing w:line="360" w:lineRule="auto"/>
        <w:ind w:firstLine="560" w:firstLineChars="200"/>
        <w:rPr>
          <w:rFonts w:eastAsia="仿宋_GB2312"/>
          <w:sz w:val="28"/>
        </w:rPr>
      </w:pPr>
      <w:r>
        <w:rPr>
          <w:rFonts w:hint="eastAsia" w:ascii="仿宋_GB2312" w:eastAsia="仿宋_GB2312"/>
          <w:sz w:val="28"/>
        </w:rPr>
        <w:t>治安相机包括枪机和球式。</w:t>
      </w:r>
      <w:r>
        <w:rPr>
          <w:rFonts w:hint="eastAsia" w:eastAsia="仿宋_GB2312"/>
          <w:sz w:val="28"/>
        </w:rPr>
        <w:t>人脸车脸抓拍相机要根据不同的场景配置不同类型的高清抓拍机。相机类型分为人脸抓拍相机和人车抓拍一体机。</w:t>
      </w:r>
    </w:p>
    <w:p>
      <w:pPr>
        <w:spacing w:line="360" w:lineRule="auto"/>
        <w:ind w:firstLine="560" w:firstLineChars="200"/>
        <w:rPr>
          <w:rFonts w:ascii="仿宋_GB2312" w:eastAsia="仿宋_GB2312"/>
          <w:sz w:val="28"/>
        </w:rPr>
      </w:pPr>
      <w:r>
        <w:rPr>
          <w:rFonts w:hint="eastAsia" w:ascii="仿宋_GB2312" w:eastAsia="仿宋_GB2312"/>
          <w:sz w:val="28"/>
        </w:rPr>
        <w:t>相机应支持高分辨、低照度，确保能清晰监视各监控点图像。无论白天晚上，无论晴天雨天，都能清晰监视目标。前端摄像机应具备智能分析、</w:t>
      </w:r>
      <w:r>
        <w:rPr>
          <w:rFonts w:hint="eastAsia" w:eastAsia="仿宋_GB2312"/>
          <w:sz w:val="28"/>
        </w:rPr>
        <w:t>SD</w:t>
      </w:r>
      <w:r>
        <w:rPr>
          <w:rFonts w:hint="eastAsia" w:ascii="仿宋_GB2312" w:eastAsia="仿宋_GB2312"/>
          <w:sz w:val="28"/>
        </w:rPr>
        <w:t>卡存储等功能。</w:t>
      </w:r>
    </w:p>
    <w:p>
      <w:pPr>
        <w:numPr>
          <w:ilvl w:val="0"/>
          <w:numId w:val="7"/>
        </w:numPr>
        <w:spacing w:before="100" w:beforeAutospacing="1" w:after="100" w:afterAutospacing="1" w:line="360" w:lineRule="auto"/>
        <w:rPr>
          <w:rFonts w:eastAsia="仿宋_GB2312" w:cs="仿宋_GB2312"/>
          <w:b/>
          <w:bCs/>
          <w:sz w:val="28"/>
        </w:rPr>
      </w:pPr>
      <w:r>
        <w:rPr>
          <w:rFonts w:hint="eastAsia" w:ascii="仿宋_GB2312" w:eastAsia="仿宋_GB2312"/>
          <w:b/>
          <w:bCs/>
          <w:sz w:val="28"/>
        </w:rPr>
        <w:t>立杆</w:t>
      </w:r>
    </w:p>
    <w:p>
      <w:pPr>
        <w:spacing w:line="360" w:lineRule="auto"/>
        <w:ind w:firstLine="560" w:firstLineChars="200"/>
        <w:rPr>
          <w:rFonts w:ascii="仿宋_GB2312" w:eastAsia="仿宋_GB2312"/>
          <w:sz w:val="28"/>
        </w:rPr>
      </w:pPr>
      <w:r>
        <w:rPr>
          <w:rFonts w:hint="eastAsia" w:ascii="仿宋_GB2312" w:eastAsia="仿宋_GB2312"/>
          <w:sz w:val="28"/>
        </w:rPr>
        <w:t>本项目的立杆包括两种形式，分别为立杆和借杆。立杆和借杆的设计按实际勘查情况而定。</w:t>
      </w:r>
    </w:p>
    <w:p>
      <w:pPr>
        <w:spacing w:line="360" w:lineRule="auto"/>
        <w:ind w:firstLine="560" w:firstLineChars="200"/>
        <w:rPr>
          <w:rFonts w:ascii="仿宋_GB2312" w:eastAsia="仿宋_GB2312"/>
          <w:sz w:val="28"/>
        </w:rPr>
      </w:pPr>
      <w:r>
        <w:rPr>
          <w:rFonts w:hint="eastAsia" w:ascii="仿宋_GB2312" w:eastAsia="仿宋_GB2312"/>
          <w:sz w:val="28"/>
        </w:rPr>
        <w:t>由于外部监控点受环境影响，本次设计的立杆应分二种：枪机立杆和球机立杆。立杆要求外挑0</w:t>
      </w:r>
      <w:r>
        <w:rPr>
          <w:rFonts w:ascii="仿宋_GB2312" w:eastAsia="仿宋_GB2312"/>
          <w:sz w:val="28"/>
        </w:rPr>
        <w:t>.6</w:t>
      </w:r>
      <w:r>
        <w:rPr>
          <w:rFonts w:hint="eastAsia" w:ascii="仿宋_GB2312" w:eastAsia="仿宋_GB2312"/>
          <w:sz w:val="28"/>
        </w:rPr>
        <w:t>-</w:t>
      </w:r>
      <w:r>
        <w:rPr>
          <w:rFonts w:hint="eastAsia" w:eastAsia="仿宋_GB2312"/>
          <w:sz w:val="28"/>
        </w:rPr>
        <w:t>4</w:t>
      </w:r>
      <w:r>
        <w:rPr>
          <w:rFonts w:hint="eastAsia" w:ascii="仿宋_GB2312" w:eastAsia="仿宋_GB2312"/>
          <w:sz w:val="28"/>
        </w:rPr>
        <w:t>米（根据实际施工情况进行调整）。立杆的设计原则符合《浙江省社会治安动态视频监控系统技术规范》（</w:t>
      </w:r>
      <w:r>
        <w:rPr>
          <w:rFonts w:eastAsia="仿宋_GB2312" w:cs="仿宋_GB2312"/>
          <w:sz w:val="28"/>
        </w:rPr>
        <w:t>DB33/T502-2004</w:t>
      </w:r>
      <w:r>
        <w:rPr>
          <w:rFonts w:hint="eastAsia" w:ascii="仿宋_GB2312" w:eastAsia="仿宋_GB2312"/>
          <w:sz w:val="28"/>
        </w:rPr>
        <w:t>）和《宁波市社会治安动态视频监控系统技术要求》等要求，同时要求在各监控点立杆上设立监控区域明显标志。</w:t>
      </w:r>
    </w:p>
    <w:p>
      <w:pPr>
        <w:numPr>
          <w:ilvl w:val="0"/>
          <w:numId w:val="7"/>
        </w:numPr>
        <w:spacing w:before="100" w:beforeAutospacing="1" w:after="100" w:afterAutospacing="1" w:line="360" w:lineRule="auto"/>
        <w:rPr>
          <w:rFonts w:eastAsia="仿宋_GB2312" w:cs="仿宋_GB2312"/>
          <w:b/>
          <w:bCs/>
          <w:sz w:val="28"/>
        </w:rPr>
      </w:pPr>
      <w:r>
        <w:rPr>
          <w:rFonts w:hint="eastAsia" w:ascii="仿宋_GB2312" w:eastAsia="仿宋_GB2312"/>
          <w:b/>
          <w:bCs/>
          <w:sz w:val="28"/>
        </w:rPr>
        <w:t>机箱</w:t>
      </w:r>
    </w:p>
    <w:p>
      <w:pPr>
        <w:spacing w:line="360" w:lineRule="auto"/>
        <w:ind w:firstLine="560" w:firstLineChars="200"/>
        <w:rPr>
          <w:rFonts w:eastAsia="仿宋_GB2312" w:cs="仿宋_GB2312"/>
          <w:sz w:val="28"/>
        </w:rPr>
      </w:pPr>
      <w:r>
        <w:rPr>
          <w:rFonts w:hint="eastAsia" w:ascii="仿宋_GB2312" w:eastAsia="仿宋_GB2312"/>
          <w:sz w:val="28"/>
        </w:rPr>
        <w:t>监控点前端采用方形抱杆机箱，用于安放光纤接入及其它配电及辅助设备。同时应具备箱体的防护和通风散热功能。</w:t>
      </w:r>
    </w:p>
    <w:p>
      <w:pPr>
        <w:spacing w:line="360" w:lineRule="auto"/>
        <w:ind w:firstLine="562" w:firstLineChars="200"/>
        <w:rPr>
          <w:rFonts w:eastAsia="仿宋_GB2312"/>
          <w:b/>
          <w:sz w:val="28"/>
          <w:szCs w:val="28"/>
        </w:rPr>
      </w:pPr>
      <w:r>
        <w:rPr>
          <w:rFonts w:hint="eastAsia" w:eastAsia="仿宋_GB2312"/>
          <w:b/>
          <w:sz w:val="28"/>
          <w:szCs w:val="28"/>
        </w:rPr>
        <w:t>2、网络传输系统功能需求</w:t>
      </w:r>
    </w:p>
    <w:p>
      <w:pPr>
        <w:spacing w:line="360" w:lineRule="auto"/>
        <w:ind w:firstLine="560" w:firstLineChars="200"/>
        <w:rPr>
          <w:rFonts w:eastAsia="仿宋_GB2312"/>
          <w:sz w:val="28"/>
        </w:rPr>
      </w:pPr>
      <w:r>
        <w:rPr>
          <w:rFonts w:hint="eastAsia" w:ascii="仿宋_GB2312" w:eastAsia="仿宋_GB2312"/>
          <w:sz w:val="28"/>
        </w:rPr>
        <w:t>网络系统应保证无性能瓶颈，当系统建设达到设计规模时，相关性能指标不变。监控网络系统应该有完善的安全设计及安全措施。与其他专网应该采取必要的安全隔离措施，防范不法分子从前端路面上通过专业技术伪装进入监控核心网。</w:t>
      </w:r>
    </w:p>
    <w:p>
      <w:pPr>
        <w:spacing w:line="360" w:lineRule="auto"/>
        <w:ind w:firstLine="560" w:firstLineChars="200"/>
        <w:rPr>
          <w:rFonts w:eastAsia="仿宋_GB2312"/>
          <w:sz w:val="28"/>
        </w:rPr>
      </w:pPr>
      <w:r>
        <w:rPr>
          <w:rFonts w:hint="eastAsia" w:ascii="仿宋_GB2312" w:eastAsia="仿宋_GB2312"/>
          <w:sz w:val="28"/>
        </w:rPr>
        <w:t>在网络规划要有足够冗余度。系统应充分考虑系统达到最终建设规模时，公安局和***依然能快速调用监控图像资源能力。</w:t>
      </w:r>
    </w:p>
    <w:p>
      <w:pPr>
        <w:spacing w:line="360" w:lineRule="auto"/>
        <w:ind w:firstLine="562" w:firstLineChars="200"/>
        <w:rPr>
          <w:rFonts w:eastAsia="仿宋_GB2312"/>
          <w:b/>
          <w:sz w:val="28"/>
          <w:szCs w:val="28"/>
        </w:rPr>
      </w:pPr>
      <w:r>
        <w:rPr>
          <w:rFonts w:hint="eastAsia" w:eastAsia="仿宋_GB2312"/>
          <w:b/>
          <w:sz w:val="28"/>
          <w:szCs w:val="28"/>
        </w:rPr>
        <w:t>3、视频存储系统功能需求</w:t>
      </w:r>
    </w:p>
    <w:p>
      <w:pPr>
        <w:spacing w:line="360" w:lineRule="auto"/>
        <w:ind w:firstLine="560" w:firstLineChars="200"/>
        <w:rPr>
          <w:rFonts w:eastAsia="仿宋_GB2312"/>
          <w:sz w:val="28"/>
        </w:rPr>
      </w:pPr>
      <w:r>
        <w:rPr>
          <w:rFonts w:hint="eastAsia" w:ascii="仿宋_GB2312" w:eastAsia="仿宋_GB2312"/>
          <w:sz w:val="28"/>
        </w:rPr>
        <w:t>此次建设的视频数据存储在慈东***机房内，视频存储系统要求实现本期建设的视频录像的</w:t>
      </w:r>
      <w:r>
        <w:rPr>
          <w:rFonts w:hint="eastAsia" w:ascii="仿宋_GB2312" w:eastAsia="仿宋_GB2312"/>
          <w:b/>
          <w:bCs/>
          <w:sz w:val="28"/>
        </w:rPr>
        <w:t>全天候视频存储，图像储存时间不少于</w:t>
      </w:r>
      <w:r>
        <w:rPr>
          <w:rFonts w:eastAsia="仿宋_GB2312"/>
          <w:b/>
          <w:bCs/>
          <w:sz w:val="28"/>
        </w:rPr>
        <w:t>30</w:t>
      </w:r>
      <w:r>
        <w:rPr>
          <w:rFonts w:hint="eastAsia" w:ascii="仿宋_GB2312" w:eastAsia="仿宋_GB2312"/>
          <w:b/>
          <w:bCs/>
          <w:sz w:val="28"/>
        </w:rPr>
        <w:t>天</w:t>
      </w:r>
      <w:r>
        <w:rPr>
          <w:rFonts w:hint="eastAsia" w:ascii="仿宋_GB2312" w:eastAsia="仿宋_GB2312"/>
          <w:sz w:val="28"/>
        </w:rPr>
        <w:t>；存储数据必须有技术保护措施，确保硬盘故障数据不丢失；任意多个前端设备故障前后任意时间段图像数据不能丢失，并能立即被客户端或系统检索到。</w:t>
      </w:r>
    </w:p>
    <w:p>
      <w:pPr>
        <w:spacing w:line="360" w:lineRule="auto"/>
        <w:ind w:firstLine="560" w:firstLineChars="200"/>
        <w:rPr>
          <w:rFonts w:eastAsia="仿宋_GB2312"/>
          <w:sz w:val="28"/>
        </w:rPr>
      </w:pPr>
      <w:r>
        <w:rPr>
          <w:rFonts w:hint="eastAsia" w:ascii="仿宋_GB2312" w:eastAsia="仿宋_GB2312"/>
          <w:sz w:val="28"/>
        </w:rPr>
        <w:t>当有突发特情时，各级部门可以即时检索调阅</w:t>
      </w:r>
      <w:r>
        <w:rPr>
          <w:rFonts w:eastAsia="仿宋_GB2312"/>
          <w:sz w:val="28"/>
        </w:rPr>
        <w:t>1s</w:t>
      </w:r>
      <w:r>
        <w:rPr>
          <w:rFonts w:hint="eastAsia" w:ascii="仿宋_GB2312" w:eastAsia="仿宋_GB2312"/>
          <w:sz w:val="28"/>
        </w:rPr>
        <w:t>以前的事件录像画面；点播录像时，历史图像要及时弹出，使关键突发细节进行快速回放和图像放大，以符合实战需要。关键事件录像长期保存并归档。当系统建设达到设计规模时，相关性能指标不变。</w:t>
      </w:r>
    </w:p>
    <w:p>
      <w:pPr>
        <w:spacing w:line="360" w:lineRule="auto"/>
        <w:ind w:firstLine="562" w:firstLineChars="200"/>
        <w:rPr>
          <w:rFonts w:eastAsia="仿宋_GB2312"/>
          <w:b/>
          <w:sz w:val="28"/>
          <w:szCs w:val="28"/>
        </w:rPr>
      </w:pPr>
      <w:r>
        <w:rPr>
          <w:rFonts w:hint="eastAsia" w:eastAsia="仿宋_GB2312"/>
          <w:b/>
          <w:sz w:val="28"/>
          <w:szCs w:val="28"/>
        </w:rPr>
        <w:t>4、视频监控平台功能需求</w:t>
      </w:r>
    </w:p>
    <w:p>
      <w:pPr>
        <w:spacing w:line="360" w:lineRule="auto"/>
        <w:ind w:firstLine="560" w:firstLineChars="200"/>
        <w:rPr>
          <w:rFonts w:eastAsia="仿宋_GB2312"/>
          <w:sz w:val="28"/>
        </w:rPr>
      </w:pPr>
      <w:r>
        <w:rPr>
          <w:rFonts w:hint="eastAsia" w:ascii="仿宋_GB2312" w:eastAsia="仿宋_GB2312"/>
          <w:sz w:val="28"/>
        </w:rPr>
        <w:t>自建的视频监控平台与慈溪市公安局的视频监控平台进行对接整合，视频监控平台必须实现的基本功能需求如下：</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实时监控：</w:t>
      </w:r>
      <w:r>
        <w:rPr>
          <w:rFonts w:hint="eastAsia" w:ascii="仿宋_GB2312" w:hAnsi="宋体" w:eastAsia="仿宋_GB2312"/>
          <w:sz w:val="28"/>
        </w:rPr>
        <w:t>能够对平台内所有监控摄像头进行实时监控和云台控制。</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录像回放</w:t>
      </w:r>
      <w:r>
        <w:rPr>
          <w:rFonts w:hint="eastAsia" w:ascii="仿宋_GB2312" w:hAnsi="宋体" w:eastAsia="仿宋_GB2312"/>
          <w:b/>
          <w:sz w:val="28"/>
        </w:rPr>
        <w:t>：</w:t>
      </w:r>
      <w:r>
        <w:rPr>
          <w:rFonts w:hint="eastAsia" w:ascii="仿宋_GB2312" w:hAnsi="宋体" w:eastAsia="仿宋_GB2312"/>
          <w:sz w:val="28"/>
        </w:rPr>
        <w:t>播放实况时可直接回放录像。保障任何细节不遗漏。及时回溯事件发生过程。</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历史图像检索和回放</w:t>
      </w:r>
      <w:r>
        <w:rPr>
          <w:rFonts w:hint="eastAsia" w:ascii="仿宋_GB2312" w:hAnsi="宋体" w:eastAsia="仿宋_GB2312"/>
          <w:sz w:val="28"/>
        </w:rPr>
        <w:t>：通过设备、通道号和时间段（可选），或通过报警信息，用户可以检索到已经录制的历史图像列表，并根据需要进行回放观看；支持图像检索帧预览，也可以通过拖拽时间指针实现可以对回放进行正常播放、快速播放、慢速播放、逐帧播放、暂停抓拍、录像下载等操作。可以控制图像的分屏显示、全屏显示、对多路录像同步关联回放，最高可达</w:t>
      </w:r>
      <w:r>
        <w:rPr>
          <w:rFonts w:ascii="仿宋_GB2312" w:hAnsi="宋体" w:eastAsia="仿宋_GB2312"/>
          <w:sz w:val="28"/>
        </w:rPr>
        <w:t>25路同步回放。</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球机控制</w:t>
      </w:r>
      <w:r>
        <w:rPr>
          <w:rFonts w:hint="eastAsia" w:ascii="仿宋_GB2312" w:hAnsi="宋体" w:eastAsia="仿宋_GB2312"/>
          <w:sz w:val="28"/>
        </w:rPr>
        <w:t>：根据需要，对前端的一体化摄像机进行旋转、放缩、转速、雨刷、红外、加热、辅助照明等控制，支持控制锁定、巡航、看守位等云台功能，支持监控中心和前端的双向语音和语音广播，通过前端的扬声设备对区域内的有关人员发送语音信息。</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监控视野充分</w:t>
      </w:r>
      <w:r>
        <w:rPr>
          <w:rFonts w:hint="eastAsia" w:ascii="仿宋_GB2312" w:hAnsi="宋体" w:eastAsia="仿宋_GB2312"/>
          <w:sz w:val="28"/>
        </w:rPr>
        <w:t>：监控的核心价值就是对重要场景中的人、物、事做出完整、清晰的记录，以便支持实时发现、及时处理以及事后取证。完整的监控画面对保证完整图像信息量、保留有效事件过程和提高事后检索效率都有非常重要的意义。全景拼接技术配合独立、高灵活的电子云台功能，充分覆盖所监控区域，从细微到整体全息记录。</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录像检索</w:t>
      </w:r>
      <w:r>
        <w:rPr>
          <w:rFonts w:hint="eastAsia" w:ascii="仿宋_GB2312" w:hAnsi="宋体" w:eastAsia="仿宋_GB2312"/>
          <w:sz w:val="28"/>
        </w:rPr>
        <w:t>：</w:t>
      </w:r>
      <w:r>
        <w:rPr>
          <w:rFonts w:hint="eastAsia" w:ascii="仿宋_GB2312" w:eastAsia="仿宋_GB2312"/>
          <w:sz w:val="28"/>
        </w:rPr>
        <w:t>支</w:t>
      </w:r>
      <w:r>
        <w:rPr>
          <w:rFonts w:hint="eastAsia" w:ascii="仿宋_GB2312" w:hAnsi="宋体" w:eastAsia="仿宋_GB2312"/>
          <w:sz w:val="28"/>
        </w:rPr>
        <w:t>持平台读取录像快照进行查看，快速定位关键录像时段，且在前端设备及存储设备支持的前提下，可支持从存储设备内检索出图片信息（人脸、车牌），上传至平台疑情库；</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电子地图</w:t>
      </w:r>
      <w:r>
        <w:rPr>
          <w:rFonts w:hint="eastAsia" w:ascii="仿宋_GB2312" w:hAnsi="宋体" w:eastAsia="仿宋_GB2312"/>
          <w:sz w:val="28"/>
        </w:rPr>
        <w:t>：支持离线模式。为用户提供电子地图功能。通过点击地图上的摄像机图标，就可以快速实时查看对应位置的摄像机图像和录像。框选多个摄像机可以批量播放实况和录像。地图源文件从公安网站下载天地图，平台服务器必须兼容天地图。</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平台联网功能</w:t>
      </w:r>
      <w:r>
        <w:rPr>
          <w:rFonts w:hint="eastAsia" w:ascii="仿宋_GB2312" w:hAnsi="宋体" w:eastAsia="仿宋_GB2312"/>
          <w:sz w:val="28"/>
        </w:rPr>
        <w:t>：支持</w:t>
      </w:r>
      <w:r>
        <w:rPr>
          <w:rFonts w:ascii="仿宋_GB2312" w:hAnsi="宋体" w:eastAsia="仿宋_GB2312"/>
          <w:sz w:val="28"/>
        </w:rPr>
        <w:t>GB/T28181联网标准，实现多级平台联网，支持基于SIP协议实现多级平台联网、报警联动、语音对讲、干线管</w:t>
      </w:r>
      <w:r>
        <w:rPr>
          <w:rFonts w:hint="eastAsia" w:ascii="仿宋_GB2312" w:hAnsi="宋体" w:eastAsia="仿宋_GB2312"/>
          <w:sz w:val="28"/>
        </w:rPr>
        <w:t>理，支持跨域的用户优先级配置、跨域和本域用户的云台控制权限的抢占。</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用户间实时通信</w:t>
      </w:r>
      <w:r>
        <w:rPr>
          <w:rFonts w:hint="eastAsia" w:ascii="仿宋_GB2312" w:hAnsi="宋体" w:eastAsia="仿宋_GB2312"/>
          <w:sz w:val="28"/>
        </w:rPr>
        <w:t>：客户端到端支持即时双方、三方对讲，对突发事件协同处理提供有力支持。</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电子公告栏</w:t>
      </w:r>
      <w:r>
        <w:rPr>
          <w:rFonts w:hint="eastAsia" w:ascii="仿宋_GB2312" w:hAnsi="宋体" w:eastAsia="仿宋_GB2312"/>
          <w:sz w:val="28"/>
        </w:rPr>
        <w:t>：支持三种级别的电子公告功能，便于系统内通信管理：</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公告</w:t>
      </w:r>
      <w:r>
        <w:rPr>
          <w:rFonts w:hint="eastAsia" w:ascii="仿宋_GB2312" w:hAnsi="宋体" w:eastAsia="仿宋_GB2312"/>
          <w:sz w:val="28"/>
        </w:rPr>
        <w:t>：对所有</w:t>
      </w:r>
      <w:r>
        <w:rPr>
          <w:rFonts w:ascii="仿宋_GB2312" w:hAnsi="宋体" w:eastAsia="仿宋_GB2312"/>
          <w:sz w:val="28"/>
        </w:rPr>
        <w:t>CS客户端广播的公告，不查询是否读取；</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通知</w:t>
      </w:r>
      <w:r>
        <w:rPr>
          <w:rFonts w:hint="eastAsia" w:ascii="仿宋_GB2312" w:hAnsi="宋体" w:eastAsia="仿宋_GB2312"/>
          <w:sz w:val="28"/>
        </w:rPr>
        <w:t>：发给某些特定用户的通知，可以查询接收用户是否已经读取；</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预案管理</w:t>
      </w:r>
      <w:r>
        <w:rPr>
          <w:rFonts w:hint="eastAsia" w:ascii="仿宋_GB2312" w:hAnsi="宋体" w:eastAsia="仿宋_GB2312"/>
          <w:sz w:val="28"/>
        </w:rPr>
        <w:t>：发给某些特定用户的“工作安排”，需要接受者反馈工作进展，可以查询反馈情况。</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平台级的中间件和</w:t>
      </w:r>
      <w:r>
        <w:rPr>
          <w:rFonts w:ascii="仿宋_GB2312" w:hAnsi="宋体" w:eastAsia="仿宋_GB2312"/>
          <w:b/>
          <w:bCs/>
          <w:sz w:val="28"/>
        </w:rPr>
        <w:t>SDK</w:t>
      </w:r>
      <w:r>
        <w:rPr>
          <w:rFonts w:hint="eastAsia" w:ascii="仿宋_GB2312" w:hAnsi="宋体" w:eastAsia="仿宋_GB2312"/>
          <w:sz w:val="28"/>
        </w:rPr>
        <w:t>：提供基于业务逻辑层和基础设层的</w:t>
      </w:r>
      <w:r>
        <w:rPr>
          <w:rFonts w:ascii="仿宋_GB2312" w:hAnsi="宋体" w:eastAsia="仿宋_GB2312"/>
          <w:sz w:val="28"/>
        </w:rPr>
        <w:t>SDK接口，整个系统架构中除了底层的OS层，其他各层的组件、应用都可以快捷的实现合作开发和融合。合作开发不再局限于不同产品的对接和不同平台间的数据调用完全可以在SDK上提供各种层次的开发，避免大量基础平台开发风险并降低成本，让合作开发变得方便、快捷，合作开发的产品和形式更丰富，可以大大优化安</w:t>
      </w:r>
      <w:r>
        <w:rPr>
          <w:rFonts w:hint="eastAsia" w:ascii="仿宋_GB2312" w:hAnsi="宋体" w:eastAsia="仿宋_GB2312"/>
          <w:sz w:val="28"/>
        </w:rPr>
        <w:t>防行业的价值链。</w:t>
      </w:r>
    </w:p>
    <w:p>
      <w:pPr>
        <w:spacing w:line="360" w:lineRule="auto"/>
        <w:ind w:firstLine="551" w:firstLineChars="196"/>
        <w:rPr>
          <w:rFonts w:ascii="仿宋_GB2312" w:hAnsi="宋体" w:eastAsia="仿宋_GB2312"/>
          <w:sz w:val="28"/>
        </w:rPr>
      </w:pPr>
      <w:r>
        <w:rPr>
          <w:rFonts w:hint="eastAsia" w:ascii="仿宋_GB2312" w:hAnsi="宋体" w:eastAsia="仿宋_GB2312"/>
          <w:b/>
          <w:sz w:val="28"/>
        </w:rPr>
        <w:t>用户等级管理：</w:t>
      </w:r>
      <w:r>
        <w:rPr>
          <w:rFonts w:hint="eastAsia" w:ascii="仿宋_GB2312" w:hAnsi="宋体" w:eastAsia="仿宋_GB2312"/>
          <w:sz w:val="28"/>
        </w:rPr>
        <w:t>系统能够用户进行明确地分组织、分角色、分权限管理，系统能够将权限划分到每个监控资源。</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支持时钟同步：</w:t>
      </w:r>
      <w:r>
        <w:rPr>
          <w:rFonts w:hint="eastAsia" w:ascii="仿宋_GB2312" w:hAnsi="宋体" w:eastAsia="仿宋_GB2312"/>
          <w:sz w:val="28"/>
        </w:rPr>
        <w:t>支持外接时钟同步服务器，能够同步系统内部的时间，并且能通过</w:t>
      </w:r>
      <w:r>
        <w:rPr>
          <w:rFonts w:ascii="仿宋_GB2312" w:hAnsi="宋体" w:eastAsia="仿宋_GB2312"/>
          <w:sz w:val="28"/>
        </w:rPr>
        <w:t>NTP服务同步域内其它设备时间，使整个系统的时间准确、一致。</w:t>
      </w:r>
    </w:p>
    <w:p>
      <w:pPr>
        <w:spacing w:line="360" w:lineRule="auto"/>
        <w:ind w:firstLine="551" w:firstLineChars="196"/>
        <w:rPr>
          <w:rFonts w:ascii="仿宋_GB2312" w:hAnsi="宋体" w:eastAsia="仿宋_GB2312"/>
          <w:sz w:val="28"/>
        </w:rPr>
      </w:pPr>
      <w:r>
        <w:rPr>
          <w:rFonts w:hint="eastAsia" w:ascii="仿宋_GB2312" w:hAnsi="宋体" w:eastAsia="仿宋_GB2312"/>
          <w:b/>
          <w:sz w:val="28"/>
        </w:rPr>
        <w:t>系统日志审计和防御非法攻击</w:t>
      </w:r>
      <w:r>
        <w:rPr>
          <w:rFonts w:hint="eastAsia" w:ascii="仿宋_GB2312" w:hAnsi="宋体" w:eastAsia="仿宋_GB2312"/>
          <w:sz w:val="28"/>
        </w:rPr>
        <w:t>：系统能够对用户进行组织管理、角色管理和权限管理，系统能够准确记录每个用户的操作记录并固定生成日志信息，以待后期查证。系统具备防御非法攻击，如</w:t>
      </w:r>
      <w:r>
        <w:rPr>
          <w:rFonts w:ascii="仿宋_GB2312" w:hAnsi="宋体" w:eastAsia="仿宋_GB2312"/>
          <w:sz w:val="28"/>
        </w:rPr>
        <w:t>DDOS、ARP欺骗等，系统自动侦测后会自动生成日志信息，此外，系统还能够对登陆用户的安全性进行检测，存在安全隐患的用户将无法登陆系统，以上种种功能确保用户对系统的“用、管、查”的需求得到满足。</w:t>
      </w:r>
    </w:p>
    <w:p>
      <w:pPr>
        <w:spacing w:line="360" w:lineRule="auto"/>
        <w:ind w:firstLine="551" w:firstLineChars="196"/>
        <w:rPr>
          <w:rFonts w:ascii="仿宋_GB2312" w:hAnsi="宋体" w:eastAsia="仿宋_GB2312"/>
          <w:b/>
          <w:sz w:val="28"/>
        </w:rPr>
      </w:pPr>
      <w:r>
        <w:rPr>
          <w:rFonts w:hint="eastAsia" w:ascii="仿宋_GB2312" w:hAnsi="宋体" w:eastAsia="仿宋_GB2312"/>
          <w:b/>
          <w:sz w:val="28"/>
        </w:rPr>
        <w:t>平台管理服务器具备视频管理和数据管理的功能，因此以上平台应用管理功能均由平台管理服务器通过设备管理、配置管理、数据库管理等功能实现。</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报警管理</w:t>
      </w:r>
      <w:r>
        <w:rPr>
          <w:rFonts w:hint="eastAsia" w:ascii="仿宋_GB2312" w:hAnsi="宋体" w:eastAsia="仿宋_GB2312"/>
          <w:sz w:val="28"/>
        </w:rPr>
        <w:t>：当系统启动布防时，一旦编码设备检测到告警检测装置的开关量输入，系统将按设置的联动关系表启动相应的报警联动项目，比如声光报警装置、制定的分控</w:t>
      </w:r>
      <w:r>
        <w:rPr>
          <w:rFonts w:ascii="仿宋_GB2312" w:hAnsi="宋体" w:eastAsia="仿宋_GB2312"/>
          <w:sz w:val="28"/>
        </w:rPr>
        <w:t>/客户端提示、调出对应区域的视频图像等等，及时通知提醒职守人员，以方便职守人员进行快捷的观察分析和处理。支持报警联动存储，在报警联动时将对应图像存储。</w:t>
      </w:r>
    </w:p>
    <w:p>
      <w:pPr>
        <w:spacing w:line="360" w:lineRule="auto"/>
        <w:ind w:firstLine="551" w:firstLineChars="196"/>
        <w:rPr>
          <w:rFonts w:ascii="仿宋_GB2312" w:hAnsi="宋体" w:eastAsia="仿宋_GB2312"/>
          <w:sz w:val="28"/>
        </w:rPr>
      </w:pPr>
      <w:r>
        <w:rPr>
          <w:rFonts w:hint="eastAsia" w:ascii="仿宋_GB2312" w:hAnsi="宋体" w:eastAsia="仿宋_GB2312"/>
          <w:b/>
          <w:bCs/>
          <w:sz w:val="28"/>
        </w:rPr>
        <w:t>智能分析</w:t>
      </w:r>
      <w:r>
        <w:rPr>
          <w:rFonts w:hint="eastAsia" w:ascii="仿宋_GB2312" w:hAnsi="宋体" w:eastAsia="仿宋_GB2312"/>
          <w:sz w:val="28"/>
        </w:rPr>
        <w:t>：利用智能算法自动按要求分析录像数据，支持智能拼接、绊线类、禁区类、车牌类、录像摘要等扩展，可以显著提升数据应用的检索效率和准确率；另外通过只保留对客户有信息价值的数据，大幅节省存储空间、降低存储成本。</w:t>
      </w:r>
    </w:p>
    <w:p>
      <w:pPr>
        <w:spacing w:line="360" w:lineRule="auto"/>
        <w:ind w:firstLine="551" w:firstLineChars="196"/>
        <w:rPr>
          <w:rFonts w:ascii="仿宋_GB2312" w:hAnsi="宋体" w:eastAsia="仿宋_GB2312"/>
          <w:b/>
          <w:sz w:val="28"/>
        </w:rPr>
      </w:pPr>
      <w:r>
        <w:rPr>
          <w:rFonts w:hint="eastAsia" w:ascii="仿宋_GB2312" w:hAnsi="宋体" w:eastAsia="仿宋_GB2312"/>
          <w:b/>
          <w:bCs/>
          <w:sz w:val="28"/>
        </w:rPr>
        <w:t>良好的人机交互界面</w:t>
      </w:r>
      <w:r>
        <w:rPr>
          <w:rFonts w:hint="eastAsia" w:ascii="仿宋_GB2312" w:hAnsi="宋体" w:eastAsia="仿宋_GB2312"/>
          <w:sz w:val="28"/>
        </w:rPr>
        <w:t>：视频监控客户端支持图形化的配置界面，图标样式采用苹果式图形化按钮，所有操作不超过三次点击即可完成，</w:t>
      </w:r>
      <w:r>
        <w:rPr>
          <w:rFonts w:ascii="仿宋_GB2312" w:hAnsi="宋体" w:eastAsia="仿宋_GB2312"/>
          <w:sz w:val="28"/>
        </w:rPr>
        <w:t>90%的功能都可以在主界面或者快捷方式中快速操作，录像回放和查询采用可视化条带显示，支持所见即所得。</w:t>
      </w:r>
    </w:p>
    <w:p>
      <w:pPr>
        <w:spacing w:line="360" w:lineRule="auto"/>
        <w:ind w:firstLine="551" w:firstLineChars="196"/>
        <w:rPr>
          <w:rFonts w:ascii="仿宋_GB2312" w:hAnsi="宋体" w:eastAsia="仿宋_GB2312"/>
          <w:sz w:val="28"/>
        </w:rPr>
      </w:pPr>
      <w:r>
        <w:rPr>
          <w:rFonts w:hint="eastAsia" w:ascii="仿宋_GB2312" w:hAnsi="宋体" w:eastAsia="仿宋_GB2312"/>
          <w:b/>
          <w:sz w:val="28"/>
        </w:rPr>
        <w:t>视频浓缩：</w:t>
      </w:r>
      <w:r>
        <w:rPr>
          <w:rFonts w:hint="eastAsia" w:ascii="仿宋_GB2312" w:hAnsi="宋体" w:eastAsia="仿宋_GB2312"/>
          <w:sz w:val="28"/>
        </w:rPr>
        <w:t>视频浓缩是对视频内容的一个简单概括，以自动或半自动的方式先通过运动目标分析，提取运动目标，然后对各个目标的运动轨迹进行分析，将不同的目标拼接到一个共同的背景场景中，并将它们以某种方式进行组合。</w:t>
      </w:r>
    </w:p>
    <w:p>
      <w:pPr>
        <w:spacing w:line="360" w:lineRule="auto"/>
        <w:ind w:firstLine="560" w:firstLineChars="200"/>
        <w:rPr>
          <w:rFonts w:ascii="仿宋_GB2312" w:eastAsia="仿宋_GB2312"/>
          <w:sz w:val="28"/>
        </w:rPr>
      </w:pPr>
      <w:r>
        <w:rPr>
          <w:rFonts w:hint="eastAsia" w:ascii="仿宋_GB2312" w:eastAsia="仿宋_GB2312"/>
          <w:sz w:val="28"/>
        </w:rPr>
        <w:t>视频质量诊断：视频质量诊断系统是一种智能化视频故障分析和预警系统，对视频图像出现的视频亮度异常、视频偏色、视频信号干扰、视频信号丢失、遮挡、对比度异常、画面冻结、横纹等故障进行自动检测，准确度高、速度快。此外，系统还可以对录像的完整性进行检测，支持高速的录像巡检，用户可以实时查询视频诊断结果和录像诊断结果。</w:t>
      </w:r>
    </w:p>
    <w:p>
      <w:pPr>
        <w:spacing w:line="360" w:lineRule="auto"/>
        <w:ind w:firstLine="562" w:firstLineChars="200"/>
        <w:rPr>
          <w:rFonts w:eastAsia="仿宋_GB2312"/>
          <w:b/>
          <w:sz w:val="28"/>
          <w:szCs w:val="28"/>
        </w:rPr>
      </w:pPr>
      <w:r>
        <w:rPr>
          <w:rFonts w:eastAsia="仿宋_GB2312"/>
          <w:b/>
          <w:sz w:val="28"/>
          <w:szCs w:val="28"/>
        </w:rPr>
        <w:t>6</w:t>
      </w:r>
      <w:r>
        <w:rPr>
          <w:rFonts w:hint="eastAsia" w:eastAsia="仿宋_GB2312"/>
          <w:b/>
          <w:sz w:val="28"/>
          <w:szCs w:val="28"/>
        </w:rPr>
        <w:t>、三维监控地图展示系统</w:t>
      </w:r>
    </w:p>
    <w:p>
      <w:pPr>
        <w:spacing w:line="360" w:lineRule="auto"/>
        <w:ind w:firstLine="560" w:firstLineChars="200"/>
        <w:rPr>
          <w:rFonts w:eastAsia="仿宋_GB2312"/>
          <w:sz w:val="28"/>
          <w:szCs w:val="28"/>
        </w:rPr>
      </w:pPr>
      <w:r>
        <w:rPr>
          <w:rFonts w:hint="eastAsia" w:eastAsia="仿宋_GB2312"/>
          <w:sz w:val="28"/>
          <w:szCs w:val="28"/>
        </w:rPr>
        <w:t>本期要求建设一套三维监控地图展示系统，系统包括1个6</w:t>
      </w:r>
      <w:r>
        <w:rPr>
          <w:rFonts w:eastAsia="仿宋_GB2312"/>
          <w:sz w:val="28"/>
          <w:szCs w:val="28"/>
        </w:rPr>
        <w:t>5</w:t>
      </w:r>
      <w:r>
        <w:rPr>
          <w:rFonts w:hint="eastAsia" w:eastAsia="仿宋_GB2312"/>
          <w:sz w:val="28"/>
          <w:szCs w:val="28"/>
        </w:rPr>
        <w:t>英寸触摸显示大屏和三维监控地图。</w:t>
      </w:r>
    </w:p>
    <w:p>
      <w:pPr>
        <w:spacing w:line="360" w:lineRule="auto"/>
        <w:ind w:firstLine="560" w:firstLineChars="200"/>
        <w:rPr>
          <w:rFonts w:eastAsia="仿宋_GB2312"/>
          <w:sz w:val="28"/>
          <w:szCs w:val="28"/>
        </w:rPr>
      </w:pPr>
      <w:r>
        <w:rPr>
          <w:rFonts w:hint="eastAsia" w:eastAsia="仿宋_GB2312"/>
          <w:sz w:val="28"/>
          <w:szCs w:val="28"/>
        </w:rPr>
        <w:t>三维监控地图需要把辖区现有的视频监控摄像机叠加到三维地图上。通过三维监控地图，用户可以直观的看到辖区视频监控的分布情况，可以通过触摸屏操作实现对地图的移动和缩放。</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101" w:name="_Toc27696"/>
      <w:bookmarkStart w:id="102" w:name="_Toc12881112"/>
      <w:r>
        <w:rPr>
          <w:rFonts w:hint="eastAsia" w:eastAsia="仿宋_GB2312"/>
          <w:b/>
          <w:bCs/>
          <w:sz w:val="28"/>
          <w:szCs w:val="32"/>
        </w:rPr>
        <w:t>性能需求分析</w:t>
      </w:r>
      <w:bookmarkEnd w:id="101"/>
      <w:bookmarkEnd w:id="102"/>
    </w:p>
    <w:p>
      <w:pPr>
        <w:spacing w:line="360" w:lineRule="auto"/>
        <w:ind w:firstLine="560" w:firstLineChars="200"/>
      </w:pPr>
      <w:r>
        <w:rPr>
          <w:rFonts w:hint="eastAsia" w:eastAsia="仿宋_GB2312"/>
          <w:sz w:val="28"/>
        </w:rPr>
        <w:t>1.</w:t>
      </w:r>
      <w:r>
        <w:rPr>
          <w:rFonts w:hint="eastAsia" w:eastAsia="仿宋_GB2312"/>
          <w:sz w:val="28"/>
        </w:rPr>
        <w:tab/>
      </w:r>
      <w:r>
        <w:rPr>
          <w:rFonts w:hint="eastAsia" w:eastAsia="仿宋_GB2312"/>
          <w:sz w:val="28"/>
        </w:rPr>
        <w:t>前端枪式和球式摄像机要求像素≥200万，人脸车脸抓拍相机根据不同场景选择不同类型的相机，像素数要求≥200万。</w:t>
      </w:r>
    </w:p>
    <w:p>
      <w:pPr>
        <w:spacing w:line="360" w:lineRule="auto"/>
        <w:ind w:firstLine="560" w:firstLineChars="200"/>
      </w:pPr>
      <w:r>
        <w:rPr>
          <w:rFonts w:hint="eastAsia" w:eastAsia="仿宋_GB2312"/>
          <w:sz w:val="28"/>
        </w:rPr>
        <w:t>2</w:t>
      </w:r>
      <w:r>
        <w:rPr>
          <w:rFonts w:eastAsia="仿宋_GB2312"/>
          <w:sz w:val="28"/>
        </w:rPr>
        <w:t>.</w:t>
      </w:r>
      <w:r>
        <w:rPr>
          <w:rFonts w:eastAsia="仿宋_GB2312"/>
          <w:sz w:val="28"/>
        </w:rPr>
        <w:tab/>
      </w:r>
      <w:r>
        <w:rPr>
          <w:rFonts w:hint="eastAsia" w:eastAsia="仿宋_GB2312"/>
          <w:sz w:val="28"/>
        </w:rPr>
        <w:t>网络平台性能：要求数据传输网络畅通、快捷、安全、可扩展。中心端上行采用千兆，前端上行采用百兆。</w:t>
      </w:r>
    </w:p>
    <w:p>
      <w:pPr>
        <w:spacing w:line="360" w:lineRule="auto"/>
        <w:ind w:firstLine="560" w:firstLineChars="200"/>
        <w:rPr>
          <w:rFonts w:eastAsia="仿宋_GB2312" w:cs="仿宋_GB2312"/>
          <w:sz w:val="28"/>
          <w:szCs w:val="28"/>
        </w:rPr>
      </w:pPr>
      <w:r>
        <w:rPr>
          <w:rFonts w:hint="eastAsia" w:eastAsia="仿宋_GB2312" w:cs="仿宋_GB2312"/>
          <w:sz w:val="28"/>
          <w:szCs w:val="28"/>
        </w:rPr>
        <w:t>整个系统应保证无性能瓶颈，当系统建设达到设计规模时，相关性能指标不变。在控制摄像机时，设备响应要及时不能有延迟现象，端到端的软硬件编解码延时需小于350ms；各级监控中心计算机客户端的摄像机实时画面轮巡切换流畅，图像切换延时小于500ms，画面需即时显示，无延迟及停顿，无黑屏现象。整体系统应充分具备网络适应性，对网络的丢包具备一定抗干扰能力在网络丢包5%以内情况下，保证端到端延迟不下降，图像流畅性不受影响。</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103" w:name="_Toc414259816"/>
      <w:bookmarkEnd w:id="103"/>
      <w:bookmarkStart w:id="104" w:name="_Toc414365379"/>
      <w:bookmarkEnd w:id="104"/>
      <w:bookmarkStart w:id="105" w:name="_Toc414365382"/>
      <w:bookmarkEnd w:id="105"/>
      <w:bookmarkStart w:id="106" w:name="_Toc414259819"/>
      <w:bookmarkEnd w:id="106"/>
      <w:bookmarkStart w:id="107" w:name="_Toc12881113"/>
      <w:bookmarkStart w:id="108" w:name="_Toc22317"/>
      <w:bookmarkStart w:id="109" w:name="_Toc11262"/>
      <w:bookmarkStart w:id="110" w:name="_Toc25187"/>
      <w:bookmarkStart w:id="111" w:name="_Toc414365383"/>
      <w:bookmarkStart w:id="112" w:name="_Toc21191"/>
      <w:r>
        <w:rPr>
          <w:rFonts w:hint="eastAsia" w:ascii="Arial" w:hAnsi="Arial" w:eastAsia="仿宋_GB2312"/>
          <w:b/>
          <w:bCs/>
          <w:sz w:val="28"/>
          <w:szCs w:val="32"/>
        </w:rPr>
        <w:t>意义和必要性</w:t>
      </w:r>
      <w:bookmarkEnd w:id="107"/>
      <w:bookmarkEnd w:id="108"/>
      <w:bookmarkEnd w:id="109"/>
      <w:bookmarkEnd w:id="110"/>
      <w:bookmarkEnd w:id="111"/>
      <w:bookmarkEnd w:id="112"/>
    </w:p>
    <w:p>
      <w:pPr>
        <w:spacing w:line="360" w:lineRule="auto"/>
        <w:ind w:firstLine="562" w:firstLineChars="200"/>
        <w:rPr>
          <w:rFonts w:ascii="宋体" w:hAnsi="宋体" w:eastAsia="仿宋_GB2312"/>
          <w:b/>
          <w:bCs/>
          <w:sz w:val="28"/>
          <w:szCs w:val="22"/>
        </w:rPr>
      </w:pPr>
      <w:bookmarkStart w:id="113" w:name="_Toc414365384"/>
      <w:r>
        <w:rPr>
          <w:rFonts w:hint="eastAsia" w:ascii="宋体" w:hAnsi="宋体" w:eastAsia="仿宋_GB2312"/>
          <w:b/>
          <w:bCs/>
          <w:sz w:val="28"/>
          <w:szCs w:val="22"/>
        </w:rPr>
        <w:t>1、有助于实现全区科学精细化管理</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随着近些年滨海开发区的乡镇建设步伐进一步加快，人口数量快速增加。社会管理领域存在的问题越来越突出，必须全面提高社会管理科学化水平。若要对全镇提高科学化管理水平，最重要的就是依托信息技术和科技创新的支撑。</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针对治安管理的新特点，按照严密防范、规范运作、快速反应的要求，需要进一步健全的治安管理体系，全面落实“人防、设施防、技防</w:t>
      </w:r>
      <w:r>
        <w:rPr>
          <w:rFonts w:hint="eastAsia" w:eastAsia="仿宋_GB2312"/>
          <w:sz w:val="28"/>
          <w:szCs w:val="28"/>
        </w:rPr>
        <w:t>”</w:t>
      </w:r>
      <w:r>
        <w:rPr>
          <w:rFonts w:hint="eastAsia" w:ascii="仿宋_GB2312" w:eastAsia="仿宋_GB2312"/>
          <w:sz w:val="28"/>
          <w:szCs w:val="28"/>
        </w:rPr>
        <w:t>措施，充分发挥现代科学技术在治安管理中的作用。</w:t>
      </w:r>
    </w:p>
    <w:p>
      <w:pPr>
        <w:spacing w:line="360" w:lineRule="auto"/>
        <w:ind w:firstLine="562" w:firstLineChars="200"/>
        <w:rPr>
          <w:rFonts w:ascii="宋体" w:hAnsi="宋体" w:eastAsia="仿宋_GB2312"/>
          <w:b/>
          <w:bCs/>
          <w:sz w:val="28"/>
          <w:szCs w:val="22"/>
        </w:rPr>
      </w:pPr>
      <w:r>
        <w:rPr>
          <w:rFonts w:hint="eastAsia" w:ascii="宋体" w:hAnsi="宋体" w:eastAsia="仿宋_GB2312"/>
          <w:b/>
          <w:bCs/>
          <w:sz w:val="28"/>
          <w:szCs w:val="22"/>
        </w:rPr>
        <w:t>2、有助于加强全区的日常运行监管与应急处置能力</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通过视频监控的建设，对下属的农村的日常运行状况进行全面的监管，准确了解全镇下属各村的各类实时问题信息，应急事件发生后，领导可以第一时间决策、处理，应急指挥部门的反映速度及灵活性将大大提高，从而全方位的加强应急处置能力。提高滨海开发区联防联控能力，进一步提升全区社会面管控能力、维稳处突能力，为构建警民共建、整体联动的治安管理机制和治安防控网络奠定坚实的基础。</w:t>
      </w:r>
    </w:p>
    <w:p>
      <w:pPr>
        <w:spacing w:line="360" w:lineRule="auto"/>
        <w:ind w:firstLine="562" w:firstLineChars="200"/>
        <w:rPr>
          <w:rFonts w:ascii="宋体" w:hAnsi="宋体" w:eastAsia="仿宋_GB2312"/>
          <w:b/>
          <w:bCs/>
          <w:sz w:val="28"/>
          <w:szCs w:val="22"/>
        </w:rPr>
      </w:pPr>
      <w:r>
        <w:rPr>
          <w:rFonts w:hint="eastAsia" w:ascii="宋体" w:hAnsi="宋体" w:eastAsia="仿宋_GB2312"/>
          <w:b/>
          <w:bCs/>
          <w:sz w:val="28"/>
          <w:szCs w:val="22"/>
        </w:rPr>
        <w:t>3、消除监控盲区，实现监控视频全覆盖</w:t>
      </w:r>
    </w:p>
    <w:p>
      <w:pPr>
        <w:spacing w:line="360" w:lineRule="auto"/>
        <w:ind w:firstLine="560" w:firstLineChars="200"/>
      </w:pPr>
      <w:r>
        <w:rPr>
          <w:rFonts w:hint="eastAsia" w:ascii="仿宋_GB2312" w:eastAsia="仿宋_GB2312"/>
          <w:sz w:val="28"/>
          <w:szCs w:val="28"/>
        </w:rPr>
        <w:t>通过新建视频监控摄像头，推进对村级治安复杂区域及公共场所、主要出入口、人员密集区域、问题高发区域，各村镇交界道路视频监控的覆盖。规划完善监控布局，实现视频监控的数字化、网络化、智能化，形成统一协调的动态网络视频监控系统。为事后调查处理提供依据，提高治理管理效率和水平。进一步发挥视频监控在打防控、打击犯罪和社会服务管理中的成效。</w:t>
      </w:r>
    </w:p>
    <w:p>
      <w:pPr>
        <w:keepNext/>
        <w:keepLines/>
        <w:numPr>
          <w:ilvl w:val="0"/>
          <w:numId w:val="3"/>
        </w:numPr>
        <w:spacing w:line="360" w:lineRule="auto"/>
        <w:ind w:left="602" w:hanging="602" w:hangingChars="200"/>
        <w:outlineLvl w:val="0"/>
        <w:rPr>
          <w:rFonts w:eastAsia="黑体"/>
          <w:b/>
          <w:bCs/>
          <w:kern w:val="44"/>
          <w:sz w:val="30"/>
          <w:szCs w:val="30"/>
        </w:rPr>
      </w:pPr>
      <w:bookmarkStart w:id="114" w:name="_Toc4972"/>
      <w:bookmarkStart w:id="115" w:name="_Toc20073"/>
      <w:bookmarkStart w:id="116" w:name="_Toc16427"/>
      <w:bookmarkStart w:id="117" w:name="_Toc16153"/>
      <w:bookmarkStart w:id="118" w:name="_Toc12881114"/>
      <w:r>
        <w:rPr>
          <w:rFonts w:hint="eastAsia" w:eastAsia="黑体"/>
          <w:b/>
          <w:bCs/>
          <w:kern w:val="44"/>
          <w:sz w:val="30"/>
          <w:szCs w:val="30"/>
        </w:rPr>
        <w:t>建设原则、目标与内容</w:t>
      </w:r>
      <w:bookmarkEnd w:id="113"/>
      <w:bookmarkEnd w:id="114"/>
      <w:bookmarkEnd w:id="115"/>
      <w:bookmarkEnd w:id="116"/>
      <w:bookmarkEnd w:id="117"/>
      <w:bookmarkEnd w:id="118"/>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119" w:name="_Toc19541"/>
      <w:bookmarkStart w:id="120" w:name="_Toc27276"/>
      <w:bookmarkStart w:id="121" w:name="_Toc414365385"/>
      <w:bookmarkStart w:id="122" w:name="_Toc20377"/>
      <w:bookmarkStart w:id="123" w:name="_Toc28842"/>
      <w:bookmarkStart w:id="124" w:name="_Toc12881115"/>
      <w:r>
        <w:rPr>
          <w:rFonts w:hint="eastAsia" w:ascii="Arial" w:hAnsi="Arial" w:eastAsia="仿宋_GB2312"/>
          <w:b/>
          <w:bCs/>
          <w:sz w:val="28"/>
          <w:szCs w:val="32"/>
        </w:rPr>
        <w:t>建设原则</w:t>
      </w:r>
      <w:bookmarkEnd w:id="119"/>
      <w:bookmarkEnd w:id="120"/>
      <w:bookmarkEnd w:id="121"/>
      <w:bookmarkEnd w:id="122"/>
      <w:bookmarkEnd w:id="123"/>
      <w:bookmarkEnd w:id="124"/>
    </w:p>
    <w:p>
      <w:pPr>
        <w:spacing w:line="360" w:lineRule="auto"/>
        <w:ind w:firstLine="562" w:firstLineChars="200"/>
        <w:rPr>
          <w:rFonts w:ascii="仿宋_GB2312" w:eastAsia="仿宋_GB2312"/>
          <w:b/>
          <w:sz w:val="28"/>
          <w:szCs w:val="28"/>
        </w:rPr>
      </w:pPr>
      <w:r>
        <w:rPr>
          <w:rFonts w:hint="eastAsia" w:ascii="仿宋_GB2312" w:eastAsia="仿宋_GB2312"/>
          <w:b/>
          <w:sz w:val="28"/>
          <w:szCs w:val="28"/>
        </w:rPr>
        <w:t>1、规范和统一性</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1）视频监控点位要实现监控图像资源的传输和共享，所采用的软硬件须遵循网络协议和传输标准。</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2）统一制定建设规划，建设规范和运行管理办法。</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3） 统一建设和运行管理，建立科学规范的质量保证和控制体系，保障系统的准确可靠运行。</w:t>
      </w:r>
    </w:p>
    <w:p>
      <w:pPr>
        <w:spacing w:line="360" w:lineRule="auto"/>
        <w:ind w:firstLine="562" w:firstLineChars="200"/>
        <w:rPr>
          <w:rFonts w:ascii="宋体" w:hAnsi="宋体" w:eastAsia="仿宋_GB2312"/>
          <w:b/>
          <w:bCs/>
          <w:sz w:val="28"/>
          <w:szCs w:val="22"/>
        </w:rPr>
      </w:pPr>
      <w:r>
        <w:rPr>
          <w:rFonts w:hint="eastAsia" w:ascii="宋体" w:hAnsi="宋体" w:eastAsia="仿宋_GB2312"/>
          <w:b/>
          <w:bCs/>
          <w:sz w:val="28"/>
          <w:szCs w:val="22"/>
        </w:rPr>
        <w:t>2、实用性</w:t>
      </w:r>
      <w:r>
        <w:rPr>
          <w:rFonts w:hint="eastAsia" w:ascii="宋体" w:hAnsi="宋体" w:eastAsia="仿宋_GB2312"/>
          <w:b/>
          <w:bCs/>
          <w:sz w:val="28"/>
          <w:szCs w:val="22"/>
        </w:rPr>
        <w:tab/>
      </w:r>
    </w:p>
    <w:p>
      <w:pPr>
        <w:spacing w:line="360" w:lineRule="auto"/>
        <w:ind w:firstLine="560" w:firstLineChars="200"/>
        <w:rPr>
          <w:rFonts w:ascii="仿宋_GB2312" w:eastAsia="仿宋_GB2312"/>
          <w:sz w:val="28"/>
          <w:szCs w:val="28"/>
        </w:rPr>
      </w:pPr>
      <w:r>
        <w:rPr>
          <w:rFonts w:hint="eastAsia" w:ascii="仿宋_GB2312" w:eastAsia="仿宋_GB2312"/>
          <w:sz w:val="28"/>
          <w:szCs w:val="28"/>
        </w:rPr>
        <w:t>视频监控系统建设必须突出实用性。在建设中应以实际需求为导向，以有效应用为核心，充分利用视频图像资源，结合各监控点的实际应用场景，围绕打造“平安村镇”、“美丽乡村”，不断提高乡村人民群众的安全感。</w:t>
      </w:r>
    </w:p>
    <w:p>
      <w:pPr>
        <w:spacing w:line="360" w:lineRule="auto"/>
        <w:ind w:firstLine="562" w:firstLineChars="200"/>
        <w:rPr>
          <w:rFonts w:ascii="宋体" w:hAnsi="宋体" w:eastAsia="仿宋_GB2312"/>
          <w:b/>
          <w:bCs/>
          <w:sz w:val="28"/>
          <w:szCs w:val="22"/>
        </w:rPr>
      </w:pPr>
      <w:r>
        <w:rPr>
          <w:rFonts w:hint="eastAsia" w:ascii="宋体" w:hAnsi="宋体" w:eastAsia="仿宋_GB2312"/>
          <w:b/>
          <w:bCs/>
          <w:sz w:val="28"/>
          <w:szCs w:val="22"/>
        </w:rPr>
        <w:t>3、可扩展性</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视频监控系统建设需要系统具备可扩展性。系统要采用开放式架构，选用标准化接口和协议；选型设备应能通过统一的标准实现接入，设备应选用符合标准、先进可靠的主流产品，以保证系统安全、稳定、可靠运行。</w:t>
      </w:r>
    </w:p>
    <w:p>
      <w:pPr>
        <w:spacing w:line="360" w:lineRule="auto"/>
        <w:ind w:firstLine="562" w:firstLineChars="200"/>
        <w:rPr>
          <w:rFonts w:ascii="宋体" w:hAnsi="宋体" w:eastAsia="仿宋_GB2312"/>
          <w:b/>
          <w:bCs/>
          <w:sz w:val="28"/>
          <w:szCs w:val="22"/>
        </w:rPr>
      </w:pPr>
      <w:r>
        <w:rPr>
          <w:rFonts w:hint="eastAsia" w:ascii="宋体" w:hAnsi="宋体" w:eastAsia="仿宋_GB2312"/>
          <w:b/>
          <w:bCs/>
          <w:sz w:val="28"/>
          <w:szCs w:val="22"/>
        </w:rPr>
        <w:t>4、可靠性</w:t>
      </w:r>
    </w:p>
    <w:p>
      <w:pPr>
        <w:spacing w:line="360" w:lineRule="auto"/>
        <w:ind w:firstLine="560" w:firstLineChars="200"/>
        <w:rPr>
          <w:rFonts w:ascii="宋体" w:hAnsi="宋体" w:eastAsia="仿宋_GB2312"/>
          <w:sz w:val="28"/>
          <w:szCs w:val="22"/>
        </w:rPr>
      </w:pPr>
      <w:r>
        <w:rPr>
          <w:rFonts w:hint="eastAsia" w:ascii="宋体" w:hAnsi="宋体" w:eastAsia="仿宋_GB2312"/>
          <w:sz w:val="28"/>
          <w:szCs w:val="22"/>
        </w:rPr>
        <w:t>系统设计、设备选型、调试、安装等环节都严格执行国家、行业的有关标准及公安部门有关安全技术防范的要求，贯彻质量条例，采用稳定、可靠的技术设备，确保系统级别的高稳定性和可靠性，满足不间断稳定运行。</w:t>
      </w:r>
    </w:p>
    <w:p>
      <w:pPr>
        <w:spacing w:line="360" w:lineRule="auto"/>
        <w:ind w:firstLine="562" w:firstLineChars="200"/>
        <w:rPr>
          <w:rFonts w:ascii="仿宋_GB2312" w:eastAsia="仿宋_GB2312"/>
          <w:b/>
          <w:bCs/>
          <w:sz w:val="28"/>
          <w:szCs w:val="28"/>
        </w:rPr>
      </w:pPr>
      <w:r>
        <w:rPr>
          <w:rFonts w:hint="eastAsia" w:ascii="仿宋_GB2312" w:eastAsia="仿宋_GB2312"/>
          <w:b/>
          <w:bCs/>
          <w:sz w:val="28"/>
          <w:szCs w:val="28"/>
        </w:rPr>
        <w:t>5、安全性</w:t>
      </w:r>
    </w:p>
    <w:p>
      <w:pPr>
        <w:ind w:firstLine="560" w:firstLineChars="200"/>
        <w:rPr>
          <w:szCs w:val="21"/>
        </w:rPr>
      </w:pPr>
      <w:r>
        <w:rPr>
          <w:rFonts w:hint="eastAsia" w:ascii="仿宋_GB2312" w:eastAsia="仿宋_GB2312"/>
          <w:sz w:val="28"/>
          <w:szCs w:val="28"/>
        </w:rPr>
        <w:t>由于</w:t>
      </w:r>
      <w:r>
        <w:rPr>
          <w:rFonts w:hint="eastAsia" w:ascii="仿宋_GB2312" w:hAnsi="仿宋" w:eastAsia="仿宋_GB2312"/>
          <w:sz w:val="28"/>
          <w:szCs w:val="28"/>
        </w:rPr>
        <w:t>所有视频资源通过专线对接慈溪市公安分局，接入到慈溪市天网平台，需保证视频共享专网的安全</w:t>
      </w:r>
      <w:r>
        <w:rPr>
          <w:rFonts w:hint="eastAsia" w:ascii="仿宋_GB2312" w:eastAsia="仿宋_GB2312"/>
          <w:sz w:val="28"/>
          <w:szCs w:val="28"/>
        </w:rPr>
        <w:t>。</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125" w:name="_Toc414365386"/>
      <w:bookmarkEnd w:id="125"/>
      <w:bookmarkStart w:id="126" w:name="_Toc414259823"/>
      <w:bookmarkEnd w:id="126"/>
      <w:bookmarkStart w:id="127" w:name="_Toc414365387"/>
      <w:bookmarkStart w:id="128" w:name="_Toc16506"/>
      <w:bookmarkStart w:id="129" w:name="_Toc4547"/>
      <w:bookmarkStart w:id="130" w:name="_Toc12881116"/>
      <w:bookmarkStart w:id="131" w:name="_Toc30499"/>
      <w:bookmarkStart w:id="132" w:name="_Toc28891"/>
      <w:r>
        <w:rPr>
          <w:rFonts w:hint="eastAsia" w:ascii="Arial" w:hAnsi="Arial" w:eastAsia="仿宋_GB2312"/>
          <w:b/>
          <w:bCs/>
          <w:sz w:val="28"/>
          <w:szCs w:val="32"/>
        </w:rPr>
        <w:t>建设目标</w:t>
      </w:r>
      <w:bookmarkEnd w:id="127"/>
      <w:bookmarkEnd w:id="128"/>
      <w:bookmarkEnd w:id="129"/>
      <w:bookmarkEnd w:id="130"/>
      <w:bookmarkEnd w:id="131"/>
      <w:bookmarkEnd w:id="132"/>
    </w:p>
    <w:p>
      <w:pPr>
        <w:spacing w:line="360" w:lineRule="auto"/>
        <w:ind w:firstLine="560" w:firstLineChars="200"/>
        <w:rPr>
          <w:rFonts w:eastAsia="仿宋_GB2312"/>
          <w:sz w:val="28"/>
          <w:szCs w:val="22"/>
        </w:rPr>
      </w:pPr>
      <w:r>
        <w:rPr>
          <w:rFonts w:hint="eastAsia" w:eastAsia="仿宋_GB2312"/>
          <w:sz w:val="28"/>
          <w:szCs w:val="22"/>
        </w:rPr>
        <w:t>滨海治安监控二期是在一期的基础上，根据本辖区地形和实际治安情况，按照“网格化”、“包围圈”式布点原则在辖区</w:t>
      </w:r>
      <w:r>
        <w:rPr>
          <w:rFonts w:eastAsia="仿宋_GB2312"/>
          <w:sz w:val="28"/>
          <w:szCs w:val="22"/>
        </w:rPr>
        <w:t>车流、人流比较集中的</w:t>
      </w:r>
      <w:r>
        <w:rPr>
          <w:rFonts w:hint="eastAsia" w:eastAsia="仿宋_GB2312"/>
          <w:sz w:val="28"/>
          <w:szCs w:val="22"/>
        </w:rPr>
        <w:t>主要出入口、主要道路交叉口、公共聚集场所及治安复杂场所部署高清网络摄像机，在小区、旅馆、公寓楼、医院、加油站、客运中心、大型商超、KTV、公园广场等场所部署人脸、车脸抓拍相机，</w:t>
      </w:r>
      <w:r>
        <w:rPr>
          <w:rFonts w:hint="eastAsia" w:eastAsia="仿宋_GB2312"/>
          <w:sz w:val="28"/>
        </w:rPr>
        <w:t>建立全方位、广覆盖、多层次、多手段的视频格局，实现重要场所、路段的技防设施全面覆盖。结合原有的视频监控系统和市局人脸车脸应用平台，构建富有滨海经济开发区特色的高清动态视频监控防控网络保障机制和应用体系，进一步发挥视频监控在预防、发现、控制和打击违法犯罪，提供破案线索，固定违法犯罪证据等方面的重大作用，进一步健全辖区内社会治安防控体系，加强社会综合治理，提高人民生命财产保障能力，减少财产损失。</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133" w:name="_Toc414365388"/>
      <w:bookmarkEnd w:id="133"/>
      <w:bookmarkStart w:id="134" w:name="_Toc414259825"/>
      <w:bookmarkEnd w:id="134"/>
      <w:bookmarkStart w:id="135" w:name="_Toc414365389"/>
      <w:bookmarkStart w:id="136" w:name="_Toc13399"/>
      <w:bookmarkStart w:id="137" w:name="_Toc2093"/>
      <w:bookmarkStart w:id="138" w:name="_Toc11500"/>
      <w:bookmarkStart w:id="139" w:name="_Toc12881117"/>
      <w:bookmarkStart w:id="140" w:name="_Toc21797"/>
      <w:r>
        <w:rPr>
          <w:rFonts w:hint="eastAsia" w:ascii="Arial" w:hAnsi="Arial" w:eastAsia="仿宋_GB2312"/>
          <w:b/>
          <w:bCs/>
          <w:sz w:val="28"/>
          <w:szCs w:val="32"/>
        </w:rPr>
        <w:t>项目建设内容</w:t>
      </w:r>
      <w:bookmarkEnd w:id="135"/>
      <w:bookmarkEnd w:id="136"/>
      <w:bookmarkEnd w:id="137"/>
      <w:bookmarkEnd w:id="138"/>
      <w:bookmarkEnd w:id="139"/>
      <w:bookmarkEnd w:id="140"/>
    </w:p>
    <w:p>
      <w:pPr>
        <w:spacing w:line="360" w:lineRule="auto"/>
        <w:ind w:firstLine="560" w:firstLineChars="200"/>
        <w:rPr>
          <w:rFonts w:eastAsia="仿宋_GB2312"/>
          <w:sz w:val="28"/>
          <w:szCs w:val="22"/>
        </w:rPr>
      </w:pPr>
      <w:r>
        <w:rPr>
          <w:rFonts w:hint="eastAsia" w:eastAsia="仿宋_GB2312"/>
          <w:sz w:val="28"/>
          <w:szCs w:val="22"/>
        </w:rPr>
        <w:t>滨海治安监控二期建设内容分为两部分，包括视频监控扩容建设、三维监控地图展示系统、大屏及拼接控制设备改造。</w:t>
      </w:r>
    </w:p>
    <w:p>
      <w:pPr>
        <w:spacing w:line="360" w:lineRule="auto"/>
        <w:ind w:firstLine="560" w:firstLineChars="200"/>
        <w:rPr>
          <w:rFonts w:eastAsia="仿宋_GB2312" w:cs="仿宋_GB2312"/>
          <w:sz w:val="28"/>
          <w:szCs w:val="28"/>
        </w:rPr>
      </w:pPr>
      <w:r>
        <w:rPr>
          <w:rFonts w:hint="eastAsia" w:eastAsia="仿宋_GB2312"/>
          <w:sz w:val="28"/>
          <w:szCs w:val="22"/>
        </w:rPr>
        <w:t>其中视频监控扩容监控建设包括240路高清结构化治安监控、4路高空全景监控、6</w:t>
      </w:r>
      <w:r>
        <w:rPr>
          <w:rFonts w:eastAsia="仿宋_GB2312"/>
          <w:sz w:val="28"/>
          <w:szCs w:val="22"/>
        </w:rPr>
        <w:t>0</w:t>
      </w:r>
      <w:r>
        <w:rPr>
          <w:rFonts w:hint="eastAsia" w:eastAsia="仿宋_GB2312"/>
          <w:sz w:val="28"/>
          <w:szCs w:val="22"/>
        </w:rPr>
        <w:t>路人脸/车脸监控以及配套的传输网络和后端存储建设。</w:t>
      </w:r>
    </w:p>
    <w:p>
      <w:pPr>
        <w:keepNext/>
        <w:keepLines/>
        <w:numPr>
          <w:ilvl w:val="0"/>
          <w:numId w:val="3"/>
        </w:numPr>
        <w:spacing w:line="360" w:lineRule="auto"/>
        <w:ind w:left="602" w:hanging="602" w:hangingChars="200"/>
        <w:outlineLvl w:val="0"/>
        <w:rPr>
          <w:rFonts w:eastAsia="黑体"/>
          <w:b/>
          <w:bCs/>
          <w:kern w:val="44"/>
          <w:sz w:val="30"/>
          <w:szCs w:val="30"/>
        </w:rPr>
      </w:pPr>
      <w:bookmarkStart w:id="141" w:name="_Toc13803"/>
      <w:bookmarkStart w:id="142" w:name="_Toc1171"/>
      <w:bookmarkStart w:id="143" w:name="_Toc414365390"/>
      <w:bookmarkStart w:id="144" w:name="_Toc21432"/>
      <w:bookmarkStart w:id="145" w:name="_Toc12881118"/>
      <w:bookmarkStart w:id="146" w:name="_Toc8887"/>
      <w:r>
        <w:rPr>
          <w:rFonts w:hint="eastAsia" w:eastAsia="黑体"/>
          <w:b/>
          <w:bCs/>
          <w:kern w:val="44"/>
          <w:sz w:val="30"/>
          <w:szCs w:val="30"/>
        </w:rPr>
        <w:t>建设方案</w:t>
      </w:r>
      <w:bookmarkEnd w:id="141"/>
      <w:bookmarkEnd w:id="142"/>
      <w:bookmarkEnd w:id="143"/>
      <w:bookmarkEnd w:id="144"/>
      <w:bookmarkEnd w:id="145"/>
      <w:bookmarkEnd w:id="146"/>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147" w:name="_Toc31026"/>
      <w:bookmarkStart w:id="148" w:name="_Toc12881119"/>
      <w:bookmarkStart w:id="149" w:name="_Toc28928"/>
      <w:bookmarkStart w:id="150" w:name="_Toc414365391"/>
      <w:bookmarkStart w:id="151" w:name="_Toc12166"/>
      <w:bookmarkStart w:id="152" w:name="_Toc2354"/>
      <w:r>
        <w:rPr>
          <w:rFonts w:hint="eastAsia" w:ascii="Arial" w:hAnsi="Arial" w:eastAsia="仿宋_GB2312"/>
          <w:b/>
          <w:bCs/>
          <w:sz w:val="28"/>
          <w:szCs w:val="32"/>
        </w:rPr>
        <w:t>总体设计</w:t>
      </w:r>
      <w:bookmarkEnd w:id="147"/>
      <w:bookmarkEnd w:id="148"/>
      <w:bookmarkEnd w:id="149"/>
      <w:bookmarkEnd w:id="150"/>
      <w:bookmarkEnd w:id="151"/>
      <w:bookmarkEnd w:id="152"/>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153" w:name="_Toc549"/>
      <w:bookmarkStart w:id="154" w:name="_Toc414365392"/>
      <w:bookmarkStart w:id="155" w:name="_Toc12881120"/>
      <w:r>
        <w:rPr>
          <w:rFonts w:hint="eastAsia" w:eastAsia="仿宋_GB2312"/>
          <w:b/>
          <w:bCs/>
          <w:sz w:val="28"/>
          <w:szCs w:val="32"/>
        </w:rPr>
        <w:t>总体框架</w:t>
      </w:r>
      <w:bookmarkEnd w:id="153"/>
      <w:bookmarkEnd w:id="154"/>
      <w:bookmarkEnd w:id="155"/>
    </w:p>
    <w:p>
      <w:pPr>
        <w:spacing w:line="360" w:lineRule="auto"/>
        <w:ind w:firstLine="560" w:firstLineChars="200"/>
        <w:rPr>
          <w:rFonts w:eastAsia="仿宋_GB2312" w:cs="仿宋_GB2312"/>
          <w:sz w:val="28"/>
          <w:szCs w:val="28"/>
        </w:rPr>
      </w:pPr>
      <w:r>
        <w:rPr>
          <w:rFonts w:hint="eastAsia" w:eastAsia="仿宋_GB2312" w:cs="仿宋_GB2312"/>
          <w:sz w:val="28"/>
          <w:szCs w:val="28"/>
        </w:rPr>
        <w:t>本项目的设计方案的总体拓扑图如下：</w:t>
      </w:r>
    </w:p>
    <w:p>
      <w:pPr>
        <w:adjustRightInd w:val="0"/>
        <w:snapToGrid w:val="0"/>
        <w:spacing w:line="360" w:lineRule="auto"/>
        <w:jc w:val="center"/>
        <w:rPr>
          <w:rFonts w:ascii="宋体" w:hAnsi="宋体"/>
          <w:snapToGrid w:val="0"/>
          <w:kern w:val="24"/>
          <w:szCs w:val="21"/>
        </w:rPr>
      </w:pPr>
      <w:r>
        <w:rPr>
          <w:rFonts w:ascii="宋体" w:hAnsi="宋体"/>
          <w:snapToGrid w:val="0"/>
          <w:kern w:val="24"/>
          <w:szCs w:val="21"/>
        </w:rPr>
        <w:drawing>
          <wp:inline distT="0" distB="0" distL="114300" distR="114300">
            <wp:extent cx="5269230" cy="4599305"/>
            <wp:effectExtent l="0" t="0" r="762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9230" cy="4599305"/>
                    </a:xfrm>
                    <a:prstGeom prst="rect">
                      <a:avLst/>
                    </a:prstGeom>
                    <a:noFill/>
                    <a:ln>
                      <a:noFill/>
                    </a:ln>
                  </pic:spPr>
                </pic:pic>
              </a:graphicData>
            </a:graphic>
          </wp:inline>
        </w:drawing>
      </w:r>
    </w:p>
    <w:p>
      <w:pPr>
        <w:spacing w:line="360" w:lineRule="auto"/>
        <w:ind w:firstLine="560" w:firstLineChars="200"/>
        <w:rPr>
          <w:rFonts w:eastAsia="仿宋_GB2312" w:cs="仿宋_GB2312"/>
          <w:sz w:val="28"/>
          <w:szCs w:val="28"/>
        </w:rPr>
      </w:pPr>
      <w:r>
        <w:rPr>
          <w:rFonts w:hint="eastAsia" w:eastAsia="仿宋_GB2312" w:cs="仿宋_GB2312"/>
          <w:sz w:val="28"/>
          <w:szCs w:val="28"/>
        </w:rPr>
        <w:t>1、网络架构</w:t>
      </w:r>
    </w:p>
    <w:p>
      <w:pPr>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sz w:val="28"/>
          <w:szCs w:val="28"/>
        </w:rPr>
        <w:t>根据</w:t>
      </w:r>
      <w:r>
        <w:rPr>
          <w:rFonts w:ascii="仿宋_GB2312" w:hAnsi="仿宋" w:eastAsia="仿宋_GB2312" w:cs="仿宋"/>
          <w:sz w:val="28"/>
          <w:szCs w:val="28"/>
        </w:rPr>
        <w:t>宁波市局《宁波市社会治安动态视频监控系统技术要求》的建设要求，</w:t>
      </w:r>
      <w:r>
        <w:rPr>
          <w:rFonts w:hint="eastAsia" w:ascii="仿宋_GB2312" w:hAnsi="仿宋" w:eastAsia="仿宋_GB2312" w:cs="仿宋"/>
          <w:sz w:val="28"/>
          <w:szCs w:val="28"/>
        </w:rPr>
        <w:t>本项目的网络将以慈东边防***</w:t>
      </w:r>
      <w:r>
        <w:rPr>
          <w:rFonts w:ascii="仿宋_GB2312" w:hAnsi="仿宋" w:eastAsia="仿宋_GB2312" w:cs="仿宋"/>
          <w:sz w:val="28"/>
          <w:szCs w:val="28"/>
        </w:rPr>
        <w:t>为中心，</w:t>
      </w:r>
      <w:r>
        <w:rPr>
          <w:rFonts w:hint="eastAsia" w:ascii="仿宋_GB2312" w:hAnsi="仿宋" w:eastAsia="仿宋_GB2312" w:cs="仿宋"/>
          <w:sz w:val="28"/>
          <w:szCs w:val="28"/>
        </w:rPr>
        <w:t>辖区前端视频监控</w:t>
      </w:r>
      <w:r>
        <w:rPr>
          <w:rFonts w:ascii="仿宋_GB2312" w:hAnsi="仿宋" w:eastAsia="仿宋_GB2312" w:cs="仿宋"/>
          <w:sz w:val="28"/>
          <w:szCs w:val="28"/>
        </w:rPr>
        <w:t>组网汇聚后，组建独立的</w:t>
      </w:r>
      <w:r>
        <w:rPr>
          <w:rFonts w:hint="eastAsia" w:ascii="仿宋_GB2312" w:hAnsi="仿宋" w:eastAsia="仿宋_GB2312" w:cs="仿宋"/>
          <w:sz w:val="28"/>
          <w:szCs w:val="28"/>
        </w:rPr>
        <w:t>滨海开发区天网</w:t>
      </w:r>
      <w:r>
        <w:rPr>
          <w:rFonts w:ascii="仿宋_GB2312" w:hAnsi="仿宋" w:eastAsia="仿宋_GB2312" w:cs="仿宋"/>
          <w:sz w:val="28"/>
          <w:szCs w:val="28"/>
        </w:rPr>
        <w:t>视频监控网络</w:t>
      </w:r>
      <w:r>
        <w:rPr>
          <w:rFonts w:hint="eastAsia" w:ascii="仿宋_GB2312" w:hAnsi="仿宋" w:eastAsia="仿宋_GB2312" w:cs="仿宋"/>
          <w:sz w:val="28"/>
          <w:szCs w:val="28"/>
        </w:rPr>
        <w:t>。</w:t>
      </w:r>
    </w:p>
    <w:p>
      <w:pPr>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sz w:val="28"/>
          <w:szCs w:val="28"/>
        </w:rPr>
        <w:t>该网络采用两</w:t>
      </w:r>
      <w:r>
        <w:rPr>
          <w:rFonts w:ascii="仿宋_GB2312" w:hAnsi="仿宋" w:eastAsia="仿宋_GB2312" w:cs="仿宋"/>
          <w:sz w:val="28"/>
          <w:szCs w:val="28"/>
        </w:rPr>
        <w:t>层网络结构来设计：</w:t>
      </w:r>
      <w:r>
        <w:rPr>
          <w:rFonts w:hint="eastAsia" w:ascii="仿宋_GB2312" w:hAnsi="仿宋" w:eastAsia="仿宋_GB2312" w:cs="仿宋"/>
          <w:sz w:val="28"/>
          <w:szCs w:val="28"/>
        </w:rPr>
        <w:t>派出</w:t>
      </w:r>
      <w:r>
        <w:rPr>
          <w:rFonts w:ascii="仿宋_GB2312" w:hAnsi="仿宋" w:eastAsia="仿宋_GB2312" w:cs="仿宋"/>
          <w:sz w:val="28"/>
          <w:szCs w:val="28"/>
        </w:rPr>
        <w:t>所做为核心网络层，</w:t>
      </w:r>
      <w:r>
        <w:rPr>
          <w:rFonts w:hint="eastAsia" w:ascii="仿宋_GB2312" w:hAnsi="仿宋" w:eastAsia="仿宋_GB2312" w:cs="仿宋"/>
          <w:sz w:val="28"/>
          <w:szCs w:val="28"/>
        </w:rPr>
        <w:t>运营商机房</w:t>
      </w:r>
      <w:r>
        <w:rPr>
          <w:rFonts w:ascii="仿宋_GB2312" w:hAnsi="仿宋" w:eastAsia="仿宋_GB2312" w:cs="仿宋"/>
          <w:sz w:val="28"/>
          <w:szCs w:val="28"/>
        </w:rPr>
        <w:t>作为接入、汇聚网络层</w:t>
      </w:r>
      <w:r>
        <w:rPr>
          <w:rFonts w:hint="eastAsia" w:ascii="仿宋_GB2312" w:hAnsi="仿宋" w:eastAsia="仿宋_GB2312" w:cs="仿宋"/>
          <w:sz w:val="28"/>
          <w:szCs w:val="28"/>
        </w:rPr>
        <w:t>，</w:t>
      </w:r>
      <w:r>
        <w:rPr>
          <w:rFonts w:ascii="仿宋_GB2312" w:hAnsi="仿宋" w:eastAsia="仿宋_GB2312" w:cs="仿宋"/>
          <w:sz w:val="28"/>
          <w:szCs w:val="28"/>
        </w:rPr>
        <w:t>前端视频监控通过</w:t>
      </w:r>
      <w:r>
        <w:rPr>
          <w:rFonts w:hint="eastAsia" w:ascii="仿宋_GB2312" w:hAnsi="仿宋" w:eastAsia="仿宋_GB2312" w:cs="仿宋"/>
          <w:sz w:val="28"/>
          <w:szCs w:val="28"/>
        </w:rPr>
        <w:t>PON设备在运营商汇聚</w:t>
      </w:r>
      <w:r>
        <w:rPr>
          <w:rFonts w:ascii="仿宋_GB2312" w:hAnsi="仿宋" w:eastAsia="仿宋_GB2312" w:cs="仿宋"/>
          <w:sz w:val="28"/>
          <w:szCs w:val="28"/>
        </w:rPr>
        <w:t>。通过分层部署可以使网络具有很好的扩展性、可以提升网络的可用性、可以简化网络的管理。提升网络的安全性</w:t>
      </w:r>
      <w:r>
        <w:rPr>
          <w:rFonts w:hint="eastAsia" w:ascii="仿宋_GB2312" w:hAnsi="仿宋" w:eastAsia="仿宋_GB2312" w:cs="仿宋"/>
          <w:sz w:val="28"/>
          <w:szCs w:val="28"/>
        </w:rPr>
        <w:t>。</w:t>
      </w:r>
    </w:p>
    <w:p>
      <w:pPr>
        <w:spacing w:line="360" w:lineRule="auto"/>
        <w:ind w:firstLine="560" w:firstLineChars="200"/>
        <w:rPr>
          <w:rFonts w:eastAsia="仿宋_GB2312" w:cs="仿宋_GB2312"/>
          <w:sz w:val="28"/>
          <w:szCs w:val="28"/>
        </w:rPr>
      </w:pPr>
      <w:r>
        <w:rPr>
          <w:rFonts w:hint="eastAsia" w:eastAsia="仿宋_GB2312" w:cs="仿宋_GB2312"/>
          <w:sz w:val="28"/>
          <w:szCs w:val="28"/>
        </w:rPr>
        <w:t>2、存储架构</w:t>
      </w:r>
    </w:p>
    <w:p>
      <w:pPr>
        <w:spacing w:line="360" w:lineRule="auto"/>
        <w:ind w:firstLine="560" w:firstLineChars="200"/>
        <w:rPr>
          <w:rFonts w:eastAsia="仿宋_GB2312" w:cs="仿宋_GB2312"/>
          <w:sz w:val="28"/>
          <w:szCs w:val="28"/>
        </w:rPr>
      </w:pPr>
      <w:r>
        <w:rPr>
          <w:rFonts w:hint="eastAsia" w:eastAsia="仿宋_GB2312" w:cs="仿宋_GB2312"/>
          <w:sz w:val="28"/>
          <w:szCs w:val="28"/>
        </w:rPr>
        <w:t>项目采用集中存储、统一控制的架构，视频录像均存储在***机房。</w:t>
      </w:r>
    </w:p>
    <w:p>
      <w:pPr>
        <w:spacing w:line="360" w:lineRule="auto"/>
        <w:ind w:firstLine="560" w:firstLineChars="200"/>
        <w:rPr>
          <w:rFonts w:eastAsia="仿宋_GB2312" w:cs="仿宋_GB2312"/>
          <w:sz w:val="28"/>
          <w:szCs w:val="28"/>
        </w:rPr>
      </w:pPr>
      <w:r>
        <w:rPr>
          <w:rFonts w:hint="eastAsia" w:eastAsia="仿宋_GB2312" w:cs="仿宋_GB2312"/>
          <w:sz w:val="28"/>
          <w:szCs w:val="28"/>
        </w:rPr>
        <w:t>3、访问架构</w:t>
      </w:r>
    </w:p>
    <w:p>
      <w:pPr>
        <w:spacing w:line="360" w:lineRule="auto"/>
        <w:ind w:firstLine="560" w:firstLineChars="200"/>
        <w:rPr>
          <w:rFonts w:eastAsia="仿宋_GB2312" w:cs="仿宋_GB2312"/>
          <w:sz w:val="28"/>
          <w:szCs w:val="28"/>
        </w:rPr>
      </w:pPr>
      <w:r>
        <w:rPr>
          <w:rFonts w:hint="eastAsia" w:eastAsia="仿宋_GB2312" w:cs="仿宋_GB2312"/>
          <w:sz w:val="28"/>
          <w:szCs w:val="28"/>
        </w:rPr>
        <w:t>本项目采用一期现有的视频平台，不再新建，系统部署在***。</w:t>
      </w:r>
    </w:p>
    <w:p>
      <w:pPr>
        <w:spacing w:line="360" w:lineRule="auto"/>
        <w:ind w:firstLine="560" w:firstLineChars="200"/>
        <w:rPr>
          <w:rFonts w:eastAsia="仿宋_GB2312" w:cs="仿宋_GB2312"/>
          <w:sz w:val="28"/>
          <w:szCs w:val="28"/>
        </w:rPr>
      </w:pPr>
      <w:r>
        <w:rPr>
          <w:rFonts w:hint="eastAsia" w:eastAsia="仿宋_GB2312" w:cs="仿宋_GB2312"/>
          <w:sz w:val="28"/>
          <w:szCs w:val="28"/>
        </w:rPr>
        <w:t>4、视频联网</w:t>
      </w:r>
    </w:p>
    <w:p>
      <w:pPr>
        <w:spacing w:line="360" w:lineRule="auto"/>
        <w:ind w:firstLine="560" w:firstLineChars="200"/>
        <w:rPr>
          <w:rFonts w:eastAsia="仿宋_GB2312" w:cs="仿宋_GB2312"/>
          <w:sz w:val="28"/>
          <w:szCs w:val="28"/>
        </w:rPr>
      </w:pPr>
      <w:r>
        <w:rPr>
          <w:rFonts w:hint="eastAsia" w:eastAsia="仿宋_GB2312" w:cs="仿宋_GB2312"/>
          <w:sz w:val="28"/>
          <w:szCs w:val="28"/>
        </w:rPr>
        <w:t>和慈溪市的视频联网基于现有的一期平台进行建设。</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156" w:name="_Toc414259836"/>
      <w:bookmarkEnd w:id="156"/>
      <w:bookmarkStart w:id="157" w:name="_Toc414365401"/>
      <w:bookmarkEnd w:id="157"/>
      <w:bookmarkStart w:id="158" w:name="_Toc414259832"/>
      <w:bookmarkEnd w:id="158"/>
      <w:bookmarkStart w:id="159" w:name="_Toc414259830"/>
      <w:bookmarkEnd w:id="159"/>
      <w:bookmarkStart w:id="160" w:name="_Toc414365400"/>
      <w:bookmarkEnd w:id="160"/>
      <w:bookmarkStart w:id="161" w:name="_Toc414365398"/>
      <w:bookmarkEnd w:id="161"/>
      <w:bookmarkStart w:id="162" w:name="_Toc414259835"/>
      <w:bookmarkEnd w:id="162"/>
      <w:bookmarkStart w:id="163" w:name="_Toc414365399"/>
      <w:bookmarkEnd w:id="163"/>
      <w:bookmarkStart w:id="164" w:name="_Toc414365403"/>
      <w:bookmarkEnd w:id="164"/>
      <w:bookmarkStart w:id="165" w:name="_Toc414259838"/>
      <w:bookmarkEnd w:id="165"/>
      <w:bookmarkStart w:id="166" w:name="_Toc414365396"/>
      <w:bookmarkEnd w:id="166"/>
      <w:bookmarkStart w:id="167" w:name="_Toc414259840"/>
      <w:bookmarkEnd w:id="167"/>
      <w:bookmarkStart w:id="168" w:name="_Toc414259833"/>
      <w:bookmarkEnd w:id="168"/>
      <w:bookmarkStart w:id="169" w:name="_Toc414365393"/>
      <w:bookmarkEnd w:id="169"/>
      <w:bookmarkStart w:id="170" w:name="_Toc414365395"/>
      <w:bookmarkEnd w:id="170"/>
      <w:bookmarkStart w:id="171" w:name="_Toc414259837"/>
      <w:bookmarkEnd w:id="171"/>
      <w:bookmarkStart w:id="172" w:name="_Toc15391"/>
      <w:bookmarkStart w:id="173" w:name="_Toc22389"/>
      <w:bookmarkStart w:id="174" w:name="_Toc25888"/>
      <w:bookmarkStart w:id="175" w:name="_Toc30916"/>
      <w:bookmarkStart w:id="176" w:name="_Toc12881121"/>
      <w:r>
        <w:rPr>
          <w:rFonts w:hint="eastAsia" w:ascii="Arial" w:hAnsi="Arial" w:eastAsia="仿宋_GB2312"/>
          <w:b/>
          <w:bCs/>
          <w:sz w:val="28"/>
          <w:szCs w:val="32"/>
        </w:rPr>
        <w:t>前端子系统</w:t>
      </w:r>
      <w:bookmarkEnd w:id="172"/>
      <w:bookmarkEnd w:id="173"/>
      <w:bookmarkEnd w:id="174"/>
      <w:bookmarkEnd w:id="175"/>
      <w:r>
        <w:rPr>
          <w:rFonts w:hint="eastAsia" w:ascii="Arial" w:hAnsi="Arial" w:eastAsia="仿宋_GB2312"/>
          <w:b/>
          <w:bCs/>
          <w:sz w:val="28"/>
          <w:szCs w:val="32"/>
        </w:rPr>
        <w:t>设计</w:t>
      </w:r>
      <w:bookmarkEnd w:id="176"/>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177" w:name="_Toc12881122"/>
      <w:r>
        <w:rPr>
          <w:rFonts w:hint="eastAsia" w:eastAsia="仿宋_GB2312"/>
          <w:b/>
          <w:bCs/>
          <w:sz w:val="28"/>
          <w:szCs w:val="32"/>
        </w:rPr>
        <w:t>总体设计</w:t>
      </w:r>
      <w:bookmarkEnd w:id="177"/>
    </w:p>
    <w:p>
      <w:pPr>
        <w:spacing w:line="360" w:lineRule="auto"/>
        <w:ind w:firstLine="560" w:firstLineChars="200"/>
        <w:rPr>
          <w:rFonts w:eastAsia="仿宋_GB2312" w:cs="仿宋_GB2312"/>
          <w:sz w:val="28"/>
          <w:szCs w:val="28"/>
        </w:rPr>
      </w:pPr>
      <w:r>
        <w:rPr>
          <w:rFonts w:hint="eastAsia" w:eastAsia="仿宋_GB2312" w:cs="仿宋_GB2312"/>
          <w:sz w:val="28"/>
          <w:szCs w:val="28"/>
        </w:rPr>
        <w:t>视频监控前端子系统由摄像机、镜头、护罩和支架等功能单元组成。</w:t>
      </w:r>
    </w:p>
    <w:p>
      <w:pPr>
        <w:spacing w:line="360" w:lineRule="auto"/>
        <w:ind w:firstLine="560" w:firstLineChars="200"/>
        <w:rPr>
          <w:rFonts w:eastAsia="仿宋_GB2312" w:cs="仿宋_GB2312"/>
          <w:sz w:val="28"/>
          <w:szCs w:val="28"/>
        </w:rPr>
      </w:pPr>
      <w:r>
        <w:rPr>
          <w:rFonts w:hint="eastAsia" w:eastAsia="仿宋_GB2312" w:cs="仿宋_GB2312"/>
          <w:sz w:val="28"/>
          <w:szCs w:val="28"/>
        </w:rPr>
        <w:t>其中网络摄像机集成了摄像机和编码器的功能，支持H.264编码格式，支持实时流和存储流双流输出，支持端到端的数据块状网络存储，可以基于各种现场光照条件与工程实际应用环境提供清晰、流畅、智能调整的图像。</w:t>
      </w:r>
    </w:p>
    <w:p>
      <w:pPr>
        <w:spacing w:line="360" w:lineRule="auto"/>
        <w:ind w:firstLine="560" w:firstLineChars="200"/>
        <w:rPr>
          <w:rFonts w:eastAsia="仿宋_GB2312" w:cs="仿宋_GB2312"/>
          <w:sz w:val="28"/>
          <w:szCs w:val="28"/>
        </w:rPr>
      </w:pPr>
      <w:r>
        <w:rPr>
          <w:rFonts w:hint="eastAsia" w:eastAsia="仿宋_GB2312" w:cs="仿宋_GB2312"/>
          <w:sz w:val="28"/>
          <w:szCs w:val="28"/>
        </w:rPr>
        <w:t>在滨海辖区内学校、社区、道路等部署相应数量的高清摄像头，经过PON技术将视频图像传输到***监控机房，滨海天网监控平台对图像信号进行解码和视频上传，从而实现本地实时监控、录像回放等，最终与慈溪市公安局实现</w:t>
      </w:r>
      <w:r>
        <w:rPr>
          <w:rFonts w:eastAsia="仿宋_GB2312" w:cs="仿宋_GB2312"/>
          <w:sz w:val="28"/>
          <w:szCs w:val="28"/>
        </w:rPr>
        <w:t>视频、录像</w:t>
      </w:r>
      <w:r>
        <w:rPr>
          <w:rFonts w:hint="eastAsia" w:eastAsia="仿宋_GB2312" w:cs="仿宋_GB2312"/>
          <w:sz w:val="28"/>
          <w:szCs w:val="28"/>
        </w:rPr>
        <w:t>、</w:t>
      </w:r>
      <w:r>
        <w:rPr>
          <w:rFonts w:eastAsia="仿宋_GB2312" w:cs="仿宋_GB2312"/>
          <w:sz w:val="28"/>
          <w:szCs w:val="28"/>
        </w:rPr>
        <w:t>图片的</w:t>
      </w:r>
      <w:r>
        <w:rPr>
          <w:rFonts w:hint="eastAsia" w:eastAsia="仿宋_GB2312" w:cs="仿宋_GB2312"/>
          <w:sz w:val="28"/>
          <w:szCs w:val="28"/>
        </w:rPr>
        <w:t>资源共享。</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178" w:name="_Toc12881123"/>
      <w:bookmarkStart w:id="179" w:name="_Toc1232"/>
      <w:r>
        <w:rPr>
          <w:rFonts w:hint="eastAsia" w:eastAsia="仿宋_GB2312"/>
          <w:b/>
          <w:bCs/>
          <w:sz w:val="28"/>
          <w:szCs w:val="32"/>
        </w:rPr>
        <w:t>布点原则</w:t>
      </w:r>
      <w:bookmarkEnd w:id="178"/>
      <w:bookmarkEnd w:id="179"/>
    </w:p>
    <w:p>
      <w:pPr>
        <w:spacing w:line="360" w:lineRule="auto"/>
        <w:ind w:firstLine="560" w:firstLineChars="200"/>
        <w:rPr>
          <w:rFonts w:ascii="仿宋_GB2312" w:eastAsia="仿宋_GB2312"/>
          <w:sz w:val="28"/>
          <w:szCs w:val="28"/>
        </w:rPr>
      </w:pPr>
      <w:r>
        <w:rPr>
          <w:rFonts w:hint="eastAsia" w:ascii="仿宋_GB2312" w:eastAsia="仿宋_GB2312"/>
          <w:sz w:val="28"/>
          <w:szCs w:val="28"/>
        </w:rPr>
        <w:t>在辖区重点监管区域建设高清视频摄像机。主要包括2个方面，第一个是人脸系统前端点位布控和治安点位布控。</w:t>
      </w:r>
    </w:p>
    <w:p>
      <w:pPr>
        <w:numPr>
          <w:ilvl w:val="0"/>
          <w:numId w:val="8"/>
        </w:numPr>
        <w:spacing w:line="360" w:lineRule="auto"/>
        <w:rPr>
          <w:rFonts w:ascii="仿宋_GB2312" w:eastAsia="仿宋_GB2312"/>
          <w:sz w:val="28"/>
          <w:szCs w:val="28"/>
        </w:rPr>
      </w:pPr>
      <w:r>
        <w:rPr>
          <w:rFonts w:ascii="仿宋_GB2312" w:eastAsia="仿宋_GB2312"/>
          <w:sz w:val="28"/>
          <w:szCs w:val="28"/>
        </w:rPr>
        <w:t>人脸</w:t>
      </w:r>
      <w:r>
        <w:rPr>
          <w:rFonts w:hint="eastAsia" w:ascii="仿宋_GB2312" w:eastAsia="仿宋_GB2312"/>
          <w:sz w:val="28"/>
          <w:szCs w:val="28"/>
        </w:rPr>
        <w:t>车脸</w:t>
      </w:r>
      <w:r>
        <w:rPr>
          <w:rFonts w:ascii="仿宋_GB2312" w:eastAsia="仿宋_GB2312"/>
          <w:sz w:val="28"/>
          <w:szCs w:val="28"/>
        </w:rPr>
        <w:t>点位布控</w:t>
      </w:r>
    </w:p>
    <w:p>
      <w:pPr>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sz w:val="28"/>
          <w:szCs w:val="28"/>
        </w:rPr>
        <w:t>1、</w:t>
      </w:r>
      <w:r>
        <w:rPr>
          <w:rFonts w:ascii="仿宋_GB2312" w:hAnsi="仿宋" w:eastAsia="仿宋_GB2312" w:cs="仿宋"/>
          <w:sz w:val="28"/>
          <w:szCs w:val="28"/>
        </w:rPr>
        <w:t>小区：小区分为人车分流、人车混流两种情况。人车分流：车行入口设置车脸卡口，人行入口设置人脸抓拍机；人车混流：入口设置人脸/车脸抓拍一体机。</w:t>
      </w:r>
    </w:p>
    <w:p>
      <w:pPr>
        <w:spacing w:line="360" w:lineRule="auto"/>
        <w:ind w:firstLine="560" w:firstLineChars="200"/>
        <w:rPr>
          <w:rFonts w:ascii="仿宋_GB2312" w:hAnsi="仿宋" w:eastAsia="仿宋_GB2312" w:cs="仿宋"/>
          <w:color w:val="FF0000"/>
          <w:sz w:val="28"/>
          <w:szCs w:val="28"/>
        </w:rPr>
      </w:pPr>
      <w:r>
        <w:rPr>
          <w:rFonts w:ascii="仿宋_GB2312" w:hAnsi="仿宋" w:eastAsia="仿宋_GB2312" w:cs="仿宋"/>
          <w:sz w:val="28"/>
          <w:szCs w:val="28"/>
        </w:rPr>
        <w:t>2、旅馆：旅馆</w:t>
      </w:r>
      <w:r>
        <w:rPr>
          <w:rFonts w:hint="eastAsia" w:ascii="仿宋_GB2312" w:hAnsi="仿宋" w:eastAsia="仿宋_GB2312" w:cs="仿宋"/>
          <w:sz w:val="28"/>
          <w:szCs w:val="28"/>
        </w:rPr>
        <w:t>入口或者主要通道</w:t>
      </w:r>
      <w:r>
        <w:rPr>
          <w:rFonts w:ascii="仿宋_GB2312" w:hAnsi="仿宋" w:eastAsia="仿宋_GB2312" w:cs="仿宋"/>
          <w:sz w:val="28"/>
          <w:szCs w:val="28"/>
        </w:rPr>
        <w:t>设置人脸抓拍机。</w:t>
      </w:r>
    </w:p>
    <w:p>
      <w:pPr>
        <w:spacing w:line="360" w:lineRule="auto"/>
        <w:ind w:left="560"/>
        <w:rPr>
          <w:rFonts w:ascii="仿宋_GB2312" w:hAnsi="仿宋" w:eastAsia="仿宋_GB2312" w:cs="仿宋"/>
          <w:sz w:val="28"/>
          <w:szCs w:val="28"/>
        </w:rPr>
      </w:pPr>
      <w:r>
        <w:rPr>
          <w:rFonts w:ascii="仿宋_GB2312" w:hAnsi="仿宋" w:eastAsia="仿宋_GB2312" w:cs="仿宋"/>
          <w:sz w:val="28"/>
          <w:szCs w:val="28"/>
        </w:rPr>
        <w:t>3、公寓楼：公寓楼入口设置人脸抓拍机。</w:t>
      </w:r>
    </w:p>
    <w:p>
      <w:pPr>
        <w:spacing w:line="360" w:lineRule="auto"/>
        <w:ind w:firstLine="560" w:firstLineChars="200"/>
        <w:rPr>
          <w:rFonts w:ascii="仿宋_GB2312" w:hAnsi="仿宋" w:eastAsia="仿宋_GB2312" w:cs="仿宋"/>
          <w:sz w:val="28"/>
          <w:szCs w:val="28"/>
        </w:rPr>
      </w:pPr>
      <w:r>
        <w:rPr>
          <w:rFonts w:ascii="仿宋_GB2312" w:hAnsi="仿宋" w:eastAsia="仿宋_GB2312" w:cs="仿宋"/>
          <w:sz w:val="28"/>
          <w:szCs w:val="28"/>
        </w:rPr>
        <w:t>4、宿舍：宿舍出入口设置人脸抓拍机。</w:t>
      </w:r>
    </w:p>
    <w:p>
      <w:pPr>
        <w:spacing w:line="360" w:lineRule="auto"/>
        <w:ind w:firstLine="560" w:firstLineChars="200"/>
        <w:rPr>
          <w:rFonts w:ascii="仿宋_GB2312" w:hAnsi="仿宋" w:eastAsia="仿宋_GB2312" w:cs="仿宋"/>
          <w:sz w:val="28"/>
          <w:szCs w:val="28"/>
        </w:rPr>
      </w:pPr>
      <w:r>
        <w:rPr>
          <w:rFonts w:ascii="仿宋_GB2312" w:hAnsi="仿宋" w:eastAsia="仿宋_GB2312" w:cs="仿宋"/>
          <w:sz w:val="28"/>
          <w:szCs w:val="28"/>
        </w:rPr>
        <w:t>5、医院：医院车行出入口设置</w:t>
      </w:r>
      <w:r>
        <w:rPr>
          <w:rFonts w:hint="eastAsia" w:ascii="仿宋_GB2312" w:hAnsi="仿宋" w:eastAsia="仿宋_GB2312" w:cs="仿宋"/>
          <w:sz w:val="28"/>
          <w:szCs w:val="28"/>
        </w:rPr>
        <w:t>人脸</w:t>
      </w:r>
      <w:r>
        <w:rPr>
          <w:rFonts w:ascii="仿宋_GB2312" w:hAnsi="仿宋" w:eastAsia="仿宋_GB2312" w:cs="仿宋"/>
          <w:sz w:val="28"/>
          <w:szCs w:val="28"/>
        </w:rPr>
        <w:t>车脸</w:t>
      </w:r>
      <w:r>
        <w:rPr>
          <w:rFonts w:hint="eastAsia" w:ascii="仿宋_GB2312" w:hAnsi="仿宋" w:eastAsia="仿宋_GB2312" w:cs="仿宋"/>
          <w:sz w:val="28"/>
          <w:szCs w:val="28"/>
        </w:rPr>
        <w:t>抓拍一体机</w:t>
      </w:r>
      <w:r>
        <w:rPr>
          <w:rFonts w:ascii="仿宋_GB2312" w:hAnsi="仿宋" w:eastAsia="仿宋_GB2312" w:cs="仿宋"/>
          <w:sz w:val="28"/>
          <w:szCs w:val="28"/>
        </w:rPr>
        <w:t>。</w:t>
      </w:r>
    </w:p>
    <w:p>
      <w:pPr>
        <w:spacing w:line="360" w:lineRule="auto"/>
        <w:ind w:firstLine="560" w:firstLineChars="200"/>
        <w:rPr>
          <w:rFonts w:ascii="仿宋_GB2312" w:hAnsi="仿宋" w:eastAsia="仿宋_GB2312" w:cs="仿宋"/>
          <w:sz w:val="28"/>
          <w:szCs w:val="28"/>
        </w:rPr>
      </w:pPr>
      <w:r>
        <w:rPr>
          <w:rFonts w:ascii="仿宋_GB2312" w:hAnsi="仿宋" w:eastAsia="仿宋_GB2312" w:cs="仿宋"/>
          <w:sz w:val="28"/>
          <w:szCs w:val="28"/>
        </w:rPr>
        <w:t>6、加油站：加油站进口设置</w:t>
      </w:r>
      <w:r>
        <w:rPr>
          <w:rFonts w:hint="eastAsia" w:ascii="仿宋_GB2312" w:hAnsi="仿宋" w:eastAsia="仿宋_GB2312" w:cs="仿宋"/>
          <w:sz w:val="28"/>
          <w:szCs w:val="28"/>
        </w:rPr>
        <w:t>人脸车脸抓拍一体机</w:t>
      </w:r>
      <w:r>
        <w:rPr>
          <w:rFonts w:ascii="仿宋_GB2312" w:hAnsi="仿宋" w:eastAsia="仿宋_GB2312" w:cs="仿宋"/>
          <w:sz w:val="28"/>
          <w:szCs w:val="28"/>
        </w:rPr>
        <w:t>。</w:t>
      </w:r>
    </w:p>
    <w:p>
      <w:pPr>
        <w:spacing w:line="360" w:lineRule="auto"/>
        <w:ind w:firstLine="560" w:firstLineChars="200"/>
        <w:rPr>
          <w:rFonts w:ascii="仿宋_GB2312" w:hAnsi="仿宋" w:eastAsia="仿宋_GB2312" w:cs="仿宋"/>
          <w:sz w:val="28"/>
          <w:szCs w:val="28"/>
        </w:rPr>
      </w:pPr>
      <w:r>
        <w:rPr>
          <w:rFonts w:ascii="仿宋_GB2312" w:hAnsi="仿宋" w:eastAsia="仿宋_GB2312" w:cs="仿宋"/>
          <w:sz w:val="28"/>
          <w:szCs w:val="28"/>
        </w:rPr>
        <w:t>7、大型商场、超市：超市入口设置人脸</w:t>
      </w:r>
      <w:r>
        <w:rPr>
          <w:rFonts w:hint="eastAsia" w:ascii="仿宋_GB2312" w:hAnsi="仿宋" w:eastAsia="仿宋_GB2312" w:cs="仿宋"/>
          <w:sz w:val="28"/>
          <w:szCs w:val="28"/>
        </w:rPr>
        <w:t>抓拍机</w:t>
      </w:r>
      <w:r>
        <w:rPr>
          <w:rFonts w:ascii="仿宋_GB2312" w:hAnsi="仿宋" w:eastAsia="仿宋_GB2312" w:cs="仿宋"/>
          <w:sz w:val="28"/>
          <w:szCs w:val="28"/>
        </w:rPr>
        <w:t>，大型商场内部主要人流通道设置人脸</w:t>
      </w:r>
      <w:r>
        <w:rPr>
          <w:rFonts w:hint="eastAsia" w:ascii="仿宋_GB2312" w:hAnsi="仿宋" w:eastAsia="仿宋_GB2312" w:cs="仿宋"/>
          <w:sz w:val="28"/>
          <w:szCs w:val="28"/>
        </w:rPr>
        <w:t>抓拍机</w:t>
      </w:r>
      <w:r>
        <w:rPr>
          <w:rFonts w:ascii="仿宋_GB2312" w:hAnsi="仿宋" w:eastAsia="仿宋_GB2312" w:cs="仿宋"/>
          <w:sz w:val="28"/>
          <w:szCs w:val="28"/>
        </w:rPr>
        <w:t>。</w:t>
      </w:r>
    </w:p>
    <w:p>
      <w:pPr>
        <w:spacing w:line="360" w:lineRule="auto"/>
        <w:ind w:firstLine="560" w:firstLineChars="200"/>
        <w:rPr>
          <w:rFonts w:ascii="仿宋_GB2312" w:hAnsi="仿宋" w:eastAsia="仿宋_GB2312" w:cs="仿宋"/>
          <w:color w:val="FF0000"/>
          <w:sz w:val="28"/>
          <w:szCs w:val="28"/>
        </w:rPr>
      </w:pPr>
      <w:r>
        <w:rPr>
          <w:rFonts w:ascii="仿宋_GB2312" w:hAnsi="仿宋" w:eastAsia="仿宋_GB2312" w:cs="仿宋"/>
          <w:sz w:val="28"/>
          <w:szCs w:val="28"/>
        </w:rPr>
        <w:t>8、KTV：入口设置人脸</w:t>
      </w:r>
      <w:r>
        <w:rPr>
          <w:rFonts w:hint="eastAsia" w:ascii="仿宋_GB2312" w:hAnsi="仿宋" w:eastAsia="仿宋_GB2312" w:cs="仿宋"/>
          <w:sz w:val="28"/>
          <w:szCs w:val="28"/>
        </w:rPr>
        <w:t>抓拍</w:t>
      </w:r>
      <w:r>
        <w:rPr>
          <w:rFonts w:ascii="仿宋_GB2312" w:hAnsi="仿宋" w:eastAsia="仿宋_GB2312" w:cs="仿宋"/>
          <w:sz w:val="28"/>
          <w:szCs w:val="28"/>
        </w:rPr>
        <w:t>机。</w:t>
      </w:r>
    </w:p>
    <w:p>
      <w:pPr>
        <w:spacing w:line="360" w:lineRule="auto"/>
        <w:ind w:firstLine="560" w:firstLineChars="200"/>
        <w:rPr>
          <w:rFonts w:ascii="仿宋_GB2312" w:hAnsi="仿宋" w:eastAsia="仿宋_GB2312" w:cs="仿宋"/>
          <w:color w:val="FF0000"/>
          <w:sz w:val="28"/>
          <w:szCs w:val="28"/>
        </w:rPr>
      </w:pPr>
      <w:r>
        <w:rPr>
          <w:rFonts w:ascii="仿宋_GB2312" w:hAnsi="仿宋" w:eastAsia="仿宋_GB2312" w:cs="仿宋"/>
          <w:sz w:val="28"/>
          <w:szCs w:val="28"/>
        </w:rPr>
        <w:t>9、公园广场：公园广场人员主要进出口或人员聚集广场设置人脸抓拍机。</w:t>
      </w:r>
    </w:p>
    <w:p>
      <w:pPr>
        <w:numPr>
          <w:ilvl w:val="0"/>
          <w:numId w:val="9"/>
        </w:numPr>
        <w:spacing w:line="360" w:lineRule="auto"/>
        <w:rPr>
          <w:rFonts w:ascii="仿宋_GB2312" w:eastAsia="仿宋_GB2312"/>
          <w:sz w:val="28"/>
          <w:szCs w:val="28"/>
        </w:rPr>
      </w:pPr>
      <w:r>
        <w:rPr>
          <w:rFonts w:hint="eastAsia" w:ascii="仿宋_GB2312" w:eastAsia="仿宋_GB2312"/>
          <w:sz w:val="28"/>
          <w:szCs w:val="28"/>
        </w:rPr>
        <w:t>治安点位布控</w:t>
      </w:r>
    </w:p>
    <w:p>
      <w:pPr>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sz w:val="28"/>
          <w:szCs w:val="28"/>
        </w:rPr>
        <w:t>在治安点位视频选点和布局，监控目标应包括以下点位和部位：</w:t>
      </w:r>
    </w:p>
    <w:p>
      <w:pPr>
        <w:spacing w:line="360" w:lineRule="auto"/>
        <w:ind w:left="560"/>
        <w:rPr>
          <w:rFonts w:ascii="仿宋_GB2312" w:hAnsi="仿宋" w:eastAsia="仿宋_GB2312" w:cs="仿宋"/>
          <w:sz w:val="28"/>
          <w:szCs w:val="28"/>
        </w:rPr>
      </w:pPr>
      <w:r>
        <w:rPr>
          <w:rFonts w:hint="eastAsia" w:ascii="仿宋_GB2312" w:hAnsi="仿宋" w:eastAsia="仿宋_GB2312" w:cs="仿宋"/>
          <w:sz w:val="28"/>
          <w:szCs w:val="28"/>
        </w:rPr>
        <w:t>1、重点道路、路段和主要交通路口，地下通道、等重要交通枢纽。</w:t>
      </w:r>
    </w:p>
    <w:p>
      <w:pPr>
        <w:spacing w:line="360" w:lineRule="auto"/>
        <w:ind w:firstLine="560" w:firstLineChars="200"/>
        <w:rPr>
          <w:rFonts w:ascii="仿宋_GB2312" w:hAnsi="仿宋" w:eastAsia="仿宋_GB2312" w:cs="仿宋"/>
          <w:sz w:val="28"/>
          <w:szCs w:val="28"/>
        </w:rPr>
      </w:pPr>
      <w:r>
        <w:rPr>
          <w:rFonts w:ascii="仿宋_GB2312" w:hAnsi="仿宋" w:eastAsia="仿宋_GB2312" w:cs="仿宋"/>
          <w:sz w:val="28"/>
          <w:szCs w:val="28"/>
        </w:rPr>
        <w:t>2</w:t>
      </w:r>
      <w:r>
        <w:rPr>
          <w:rFonts w:hint="eastAsia" w:ascii="仿宋_GB2312" w:hAnsi="仿宋" w:eastAsia="仿宋_GB2312" w:cs="仿宋"/>
          <w:sz w:val="28"/>
          <w:szCs w:val="28"/>
        </w:rPr>
        <w:t>、大型商场、中小学幼儿园、宾馆、住宅区、停车场等人员聚集的公共场所。</w:t>
      </w:r>
    </w:p>
    <w:p>
      <w:pPr>
        <w:spacing w:line="360" w:lineRule="auto"/>
        <w:ind w:firstLine="560" w:firstLineChars="200"/>
        <w:rPr>
          <w:rFonts w:ascii="仿宋_GB2312" w:hAnsi="仿宋" w:eastAsia="仿宋_GB2312" w:cs="仿宋"/>
          <w:sz w:val="28"/>
          <w:szCs w:val="28"/>
        </w:rPr>
      </w:pPr>
      <w:r>
        <w:rPr>
          <w:rFonts w:ascii="仿宋_GB2312" w:hAnsi="仿宋" w:eastAsia="仿宋_GB2312" w:cs="仿宋"/>
          <w:sz w:val="28"/>
          <w:szCs w:val="28"/>
        </w:rPr>
        <w:t>3</w:t>
      </w:r>
      <w:r>
        <w:rPr>
          <w:rFonts w:hint="eastAsia" w:ascii="仿宋_GB2312" w:hAnsi="仿宋" w:eastAsia="仿宋_GB2312" w:cs="仿宋"/>
          <w:sz w:val="28"/>
          <w:szCs w:val="28"/>
        </w:rPr>
        <w:t xml:space="preserve">、无照经营、跨门经营、人行道违章停车、建筑工地夜间施工等违法行为多发地区。 </w:t>
      </w:r>
    </w:p>
    <w:p>
      <w:pPr>
        <w:spacing w:line="360" w:lineRule="auto"/>
        <w:ind w:left="560"/>
        <w:rPr>
          <w:rFonts w:ascii="仿宋_GB2312" w:hAnsi="仿宋" w:eastAsia="仿宋_GB2312" w:cs="仿宋"/>
          <w:sz w:val="28"/>
          <w:szCs w:val="28"/>
        </w:rPr>
      </w:pPr>
      <w:r>
        <w:rPr>
          <w:rFonts w:ascii="仿宋_GB2312" w:hAnsi="仿宋" w:eastAsia="仿宋_GB2312" w:cs="仿宋"/>
          <w:sz w:val="28"/>
          <w:szCs w:val="28"/>
        </w:rPr>
        <w:t>4</w:t>
      </w:r>
      <w:r>
        <w:rPr>
          <w:rFonts w:hint="eastAsia" w:ascii="仿宋_GB2312" w:hAnsi="仿宋" w:eastAsia="仿宋_GB2312" w:cs="仿宋"/>
          <w:sz w:val="28"/>
          <w:szCs w:val="28"/>
        </w:rPr>
        <w:t>、国家法律、法规规定的其他地点和区域。</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根据重点区域特点结合现有监控点位，依实战需要，提出“围、补、连、合”的规划思路：</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围：顾名思义就是将目标区域围起来，形成封闭圈。一是控制所有出入市的路口，二是控制主城区所有出入口，三是控制局部辖区出入口，确保主要出入口100%有效覆盖，达到任何进出的人、车、物等目标均能获取清晰影像;力争所有进出部位均能达到有效覆盖。</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连：控制所有重点部位、重点场所、重点部位周边出入口，结合周边摄像头分布情况按照市区主要道路连成线，连成圆，形成多个相互关联的封闭圈，确保可多次捕获移动目标。</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补：对各类封闭圈的补点：保证目标经过各层封闭圈时必须能达到清晰覆盖，合理规划各辖区相互重叠交叉的封闭圈，避免重复建设、漏建等情况。</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对封闭圈内补点：主要是***封闭圈内，对已分类的重点单位、重点场所、重点部位补建监控点位，特别是对案件高发等区域，根据实际情况选择摄像机类型进行补点。</w:t>
      </w:r>
    </w:p>
    <w:p>
      <w:pPr>
        <w:spacing w:line="360" w:lineRule="auto"/>
        <w:rPr>
          <w:rFonts w:eastAsia="仿宋_GB2312"/>
          <w:sz w:val="28"/>
          <w:szCs w:val="28"/>
        </w:rPr>
      </w:pPr>
      <w:r>
        <w:rPr>
          <w:rFonts w:hint="eastAsia" w:ascii="仿宋_GB2312" w:eastAsia="仿宋_GB2312"/>
          <w:sz w:val="28"/>
          <w:szCs w:val="28"/>
        </w:rPr>
        <w:t>合：整合社会资源，发挥社会资源在治安防控中的辅助作用，特别是对封闭的重点单位出入口的视频资源要充分利用，形成对各层封闭圈的有力补充。</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180" w:name="_Toc25962"/>
      <w:bookmarkStart w:id="181" w:name="_Toc12881124"/>
      <w:r>
        <w:rPr>
          <w:rFonts w:hint="eastAsia" w:eastAsia="仿宋_GB2312"/>
          <w:b/>
          <w:bCs/>
          <w:sz w:val="28"/>
          <w:szCs w:val="32"/>
        </w:rPr>
        <w:t>点位规划</w:t>
      </w:r>
      <w:bookmarkEnd w:id="180"/>
      <w:bookmarkEnd w:id="181"/>
    </w:p>
    <w:p>
      <w:pPr>
        <w:keepNext/>
        <w:keepLines/>
        <w:numPr>
          <w:ilvl w:val="3"/>
          <w:numId w:val="3"/>
        </w:numPr>
        <w:tabs>
          <w:tab w:val="left" w:pos="425"/>
          <w:tab w:val="left" w:pos="1418"/>
          <w:tab w:val="left" w:pos="1560"/>
        </w:tabs>
        <w:spacing w:before="280" w:after="290" w:line="376" w:lineRule="auto"/>
        <w:outlineLvl w:val="3"/>
        <w:rPr>
          <w:rFonts w:ascii="Arial" w:hAnsi="Arial" w:eastAsia="仿宋_GB2312"/>
          <w:b/>
          <w:bCs/>
          <w:sz w:val="28"/>
          <w:szCs w:val="28"/>
        </w:rPr>
      </w:pPr>
      <w:r>
        <w:rPr>
          <w:rFonts w:hint="eastAsia" w:ascii="Arial" w:hAnsi="Arial" w:eastAsia="仿宋_GB2312"/>
          <w:b/>
          <w:bCs/>
          <w:sz w:val="28"/>
          <w:szCs w:val="28"/>
        </w:rPr>
        <w:t>总体规划</w:t>
      </w: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r>
        <w:rPr>
          <w:rFonts w:hint="eastAsia" w:eastAsia="仿宋_GB2312"/>
          <w:b/>
          <w:bCs/>
          <w:sz w:val="28"/>
          <w:szCs w:val="28"/>
        </w:rPr>
        <w:t>治安监控设备规划</w:t>
      </w:r>
    </w:p>
    <w:p>
      <w:pPr>
        <w:spacing w:line="360" w:lineRule="auto"/>
        <w:ind w:firstLine="560" w:firstLineChars="200"/>
        <w:rPr>
          <w:rFonts w:eastAsia="仿宋_GB2312"/>
          <w:sz w:val="28"/>
          <w:szCs w:val="28"/>
        </w:rPr>
      </w:pPr>
      <w:r>
        <w:rPr>
          <w:rFonts w:hint="eastAsia" w:eastAsia="仿宋_GB2312"/>
          <w:sz w:val="28"/>
          <w:szCs w:val="28"/>
        </w:rPr>
        <w:t>本期将新增</w:t>
      </w:r>
      <w:r>
        <w:rPr>
          <w:rFonts w:eastAsia="仿宋_GB2312"/>
          <w:sz w:val="28"/>
          <w:szCs w:val="28"/>
        </w:rPr>
        <w:t>240</w:t>
      </w:r>
      <w:r>
        <w:rPr>
          <w:rFonts w:hint="eastAsia" w:eastAsia="仿宋_GB2312"/>
          <w:sz w:val="28"/>
          <w:szCs w:val="28"/>
        </w:rPr>
        <w:t>路高清结构化摄像机和</w:t>
      </w:r>
      <w:r>
        <w:rPr>
          <w:rFonts w:eastAsia="仿宋_GB2312"/>
          <w:sz w:val="28"/>
          <w:szCs w:val="28"/>
        </w:rPr>
        <w:t>4</w:t>
      </w:r>
      <w:r>
        <w:rPr>
          <w:rFonts w:hint="eastAsia" w:eastAsia="仿宋_GB2312"/>
          <w:sz w:val="28"/>
          <w:szCs w:val="28"/>
        </w:rPr>
        <w:t>路高空多目全景球机：</w:t>
      </w:r>
    </w:p>
    <w:p>
      <w:pPr>
        <w:spacing w:line="360" w:lineRule="auto"/>
        <w:ind w:firstLine="560" w:firstLineChars="200"/>
        <w:rPr>
          <w:rFonts w:eastAsia="仿宋_GB2312"/>
          <w:sz w:val="28"/>
          <w:szCs w:val="28"/>
        </w:rPr>
      </w:pPr>
      <w:r>
        <w:rPr>
          <w:rFonts w:hint="eastAsia" w:eastAsia="仿宋_GB2312"/>
          <w:sz w:val="28"/>
          <w:szCs w:val="28"/>
        </w:rPr>
        <w:t>三区块新增1</w:t>
      </w:r>
      <w:r>
        <w:rPr>
          <w:rFonts w:eastAsia="仿宋_GB2312"/>
          <w:sz w:val="28"/>
          <w:szCs w:val="28"/>
        </w:rPr>
        <w:t>12</w:t>
      </w:r>
      <w:r>
        <w:rPr>
          <w:rFonts w:hint="eastAsia" w:eastAsia="仿宋_GB2312"/>
          <w:sz w:val="28"/>
          <w:szCs w:val="28"/>
        </w:rPr>
        <w:t>路高清结构化摄像机（全部枪机）；龙山新城新增6</w:t>
      </w:r>
      <w:r>
        <w:rPr>
          <w:rFonts w:eastAsia="仿宋_GB2312"/>
          <w:sz w:val="28"/>
          <w:szCs w:val="28"/>
        </w:rPr>
        <w:t>2</w:t>
      </w:r>
      <w:r>
        <w:rPr>
          <w:rFonts w:hint="eastAsia" w:eastAsia="仿宋_GB2312"/>
          <w:sz w:val="28"/>
          <w:szCs w:val="28"/>
        </w:rPr>
        <w:t>路高清结构化摄像机（</w:t>
      </w:r>
      <w:r>
        <w:rPr>
          <w:rFonts w:eastAsia="仿宋_GB2312"/>
          <w:sz w:val="28"/>
          <w:szCs w:val="28"/>
        </w:rPr>
        <w:t>58</w:t>
      </w:r>
      <w:r>
        <w:rPr>
          <w:rFonts w:hint="eastAsia" w:eastAsia="仿宋_GB2312"/>
          <w:sz w:val="28"/>
          <w:szCs w:val="28"/>
        </w:rPr>
        <w:t>路枪机，4路球机）；一期区块新增6</w:t>
      </w:r>
      <w:r>
        <w:rPr>
          <w:rFonts w:eastAsia="仿宋_GB2312"/>
          <w:sz w:val="28"/>
          <w:szCs w:val="28"/>
        </w:rPr>
        <w:t>6</w:t>
      </w:r>
      <w:r>
        <w:rPr>
          <w:rFonts w:hint="eastAsia" w:eastAsia="仿宋_GB2312"/>
          <w:sz w:val="28"/>
          <w:szCs w:val="28"/>
        </w:rPr>
        <w:t>路高清结构化摄像机（全部枪机）。</w:t>
      </w:r>
    </w:p>
    <w:p>
      <w:pPr>
        <w:numPr>
          <w:ilvl w:val="0"/>
          <w:numId w:val="10"/>
        </w:numPr>
        <w:spacing w:line="360" w:lineRule="auto"/>
        <w:rPr>
          <w:rFonts w:eastAsia="仿宋_GB2312"/>
          <w:sz w:val="28"/>
          <w:szCs w:val="28"/>
        </w:rPr>
      </w:pPr>
      <w:bookmarkStart w:id="182" w:name="_Hlk523217031"/>
      <w:r>
        <w:rPr>
          <w:rFonts w:hint="eastAsia" w:eastAsia="仿宋_GB2312"/>
          <w:sz w:val="28"/>
          <w:szCs w:val="28"/>
        </w:rPr>
        <w:t>三区块点位部署情况如下表所示</w:t>
      </w:r>
      <w:r>
        <w:rPr>
          <w:rFonts w:eastAsia="仿宋_GB2312"/>
          <w:sz w:val="28"/>
          <w:szCs w:val="28"/>
        </w:rPr>
        <w:t>:</w:t>
      </w:r>
    </w:p>
    <w:p>
      <w:pPr>
        <w:spacing w:line="360" w:lineRule="auto"/>
        <w:ind w:firstLine="562" w:firstLineChars="200"/>
        <w:rPr>
          <w:rFonts w:hint="eastAsia" w:eastAsia="仿宋_GB2312"/>
          <w:b/>
          <w:bCs/>
          <w:sz w:val="28"/>
          <w:szCs w:val="28"/>
        </w:rPr>
      </w:pPr>
      <w:r>
        <w:rPr>
          <w:rFonts w:hint="eastAsia" w:eastAsia="仿宋_GB2312"/>
          <w:b/>
          <w:bCs/>
          <w:sz w:val="28"/>
          <w:szCs w:val="28"/>
        </w:rPr>
        <w:t>涉及**秘密另附（如投标需要请联系代理公司）</w:t>
      </w:r>
    </w:p>
    <w:p>
      <w:pPr>
        <w:numPr>
          <w:ilvl w:val="0"/>
          <w:numId w:val="10"/>
        </w:numPr>
        <w:spacing w:line="360" w:lineRule="auto"/>
        <w:rPr>
          <w:rFonts w:eastAsia="仿宋_GB2312"/>
          <w:sz w:val="28"/>
          <w:szCs w:val="28"/>
        </w:rPr>
      </w:pPr>
      <w:r>
        <w:rPr>
          <w:rFonts w:hint="eastAsia" w:eastAsia="仿宋_GB2312"/>
          <w:sz w:val="28"/>
          <w:szCs w:val="28"/>
        </w:rPr>
        <w:t>龙山新城点位部署情况如下表所示:</w:t>
      </w:r>
    </w:p>
    <w:p>
      <w:pPr>
        <w:spacing w:line="360" w:lineRule="auto"/>
        <w:ind w:firstLine="562" w:firstLineChars="200"/>
        <w:rPr>
          <w:rFonts w:eastAsia="仿宋_GB2312"/>
          <w:sz w:val="28"/>
          <w:szCs w:val="28"/>
        </w:rPr>
      </w:pPr>
      <w:r>
        <w:rPr>
          <w:rFonts w:hint="eastAsia" w:eastAsia="仿宋_GB2312"/>
          <w:b/>
          <w:bCs/>
          <w:sz w:val="28"/>
          <w:szCs w:val="28"/>
        </w:rPr>
        <w:t>涉及**秘密另附（如投标需要请联系代理公司）</w:t>
      </w:r>
    </w:p>
    <w:p>
      <w:pPr>
        <w:numPr>
          <w:ilvl w:val="0"/>
          <w:numId w:val="10"/>
        </w:numPr>
        <w:spacing w:line="360" w:lineRule="auto"/>
        <w:rPr>
          <w:rFonts w:eastAsia="仿宋_GB2312"/>
          <w:sz w:val="28"/>
          <w:szCs w:val="28"/>
        </w:rPr>
      </w:pPr>
      <w:r>
        <w:rPr>
          <w:rFonts w:hint="eastAsia" w:eastAsia="仿宋_GB2312"/>
          <w:sz w:val="28"/>
          <w:szCs w:val="28"/>
        </w:rPr>
        <w:t>一期区块点位部署情况如下表所示:</w:t>
      </w:r>
    </w:p>
    <w:p>
      <w:pPr>
        <w:spacing w:line="360" w:lineRule="auto"/>
        <w:ind w:firstLine="562" w:firstLineChars="200"/>
        <w:rPr>
          <w:rFonts w:hint="eastAsia" w:eastAsia="仿宋_GB2312"/>
          <w:b/>
          <w:bCs/>
          <w:sz w:val="28"/>
          <w:szCs w:val="28"/>
        </w:rPr>
      </w:pPr>
      <w:r>
        <w:rPr>
          <w:rFonts w:hint="eastAsia" w:eastAsia="仿宋_GB2312"/>
          <w:b/>
          <w:bCs/>
          <w:sz w:val="28"/>
          <w:szCs w:val="28"/>
        </w:rPr>
        <w:t>涉及**秘密另附（如投标需要请联系代理公司）</w:t>
      </w:r>
    </w:p>
    <w:p>
      <w:pPr>
        <w:numPr>
          <w:ilvl w:val="0"/>
          <w:numId w:val="10"/>
        </w:numPr>
        <w:spacing w:line="360" w:lineRule="auto"/>
        <w:rPr>
          <w:rFonts w:hint="eastAsia" w:eastAsia="仿宋_GB2312"/>
          <w:sz w:val="28"/>
          <w:szCs w:val="28"/>
        </w:rPr>
      </w:pPr>
      <w:r>
        <w:rPr>
          <w:rFonts w:hint="eastAsia" w:eastAsia="仿宋_GB2312"/>
          <w:sz w:val="28"/>
          <w:szCs w:val="28"/>
        </w:rPr>
        <w:t>高空球机点位部署情况如下:</w:t>
      </w:r>
    </w:p>
    <w:p>
      <w:pPr>
        <w:spacing w:line="360" w:lineRule="auto"/>
        <w:ind w:firstLine="562" w:firstLineChars="200"/>
        <w:rPr>
          <w:rFonts w:eastAsia="仿宋_GB2312"/>
          <w:sz w:val="28"/>
          <w:szCs w:val="28"/>
        </w:rPr>
      </w:pPr>
      <w:r>
        <w:rPr>
          <w:rFonts w:hint="eastAsia" w:eastAsia="仿宋_GB2312"/>
          <w:b/>
          <w:bCs/>
          <w:sz w:val="28"/>
          <w:szCs w:val="28"/>
        </w:rPr>
        <w:t>涉及**秘密另附（如投标需要请联系代理公司）</w:t>
      </w:r>
    </w:p>
    <w:bookmarkEnd w:id="182"/>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r>
        <w:rPr>
          <w:rFonts w:hint="eastAsia" w:eastAsia="仿宋_GB2312"/>
          <w:b/>
          <w:bCs/>
          <w:sz w:val="28"/>
          <w:szCs w:val="28"/>
        </w:rPr>
        <w:t>人脸车脸抓拍设备规划</w:t>
      </w:r>
    </w:p>
    <w:p>
      <w:pPr>
        <w:spacing w:line="360" w:lineRule="auto"/>
        <w:ind w:firstLine="560" w:firstLineChars="200"/>
        <w:rPr>
          <w:rFonts w:eastAsia="仿宋_GB2312"/>
          <w:sz w:val="28"/>
          <w:szCs w:val="28"/>
        </w:rPr>
      </w:pPr>
      <w:r>
        <w:rPr>
          <w:rFonts w:hint="eastAsia" w:eastAsia="仿宋_GB2312"/>
          <w:sz w:val="28"/>
          <w:szCs w:val="28"/>
        </w:rPr>
        <w:t>本期将新增</w:t>
      </w:r>
      <w:r>
        <w:rPr>
          <w:rFonts w:eastAsia="仿宋_GB2312"/>
          <w:sz w:val="28"/>
          <w:szCs w:val="28"/>
        </w:rPr>
        <w:t>60</w:t>
      </w:r>
      <w:r>
        <w:rPr>
          <w:rFonts w:hint="eastAsia" w:eastAsia="仿宋_GB2312"/>
          <w:sz w:val="28"/>
          <w:szCs w:val="28"/>
        </w:rPr>
        <w:t>路人脸车脸抓拍相机：其中人脸相机</w:t>
      </w:r>
      <w:r>
        <w:rPr>
          <w:rFonts w:eastAsia="仿宋_GB2312"/>
          <w:sz w:val="28"/>
          <w:szCs w:val="28"/>
        </w:rPr>
        <w:t>34</w:t>
      </w:r>
      <w:r>
        <w:rPr>
          <w:rFonts w:hint="eastAsia" w:eastAsia="仿宋_GB2312"/>
          <w:sz w:val="28"/>
          <w:szCs w:val="28"/>
        </w:rPr>
        <w:t>路，人车一体抓拍相机</w:t>
      </w:r>
      <w:r>
        <w:rPr>
          <w:rFonts w:eastAsia="仿宋_GB2312"/>
          <w:sz w:val="28"/>
          <w:szCs w:val="28"/>
        </w:rPr>
        <w:t>26</w:t>
      </w:r>
      <w:r>
        <w:rPr>
          <w:rFonts w:hint="eastAsia" w:eastAsia="仿宋_GB2312"/>
          <w:sz w:val="28"/>
          <w:szCs w:val="28"/>
        </w:rPr>
        <w:t>路。</w:t>
      </w:r>
    </w:p>
    <w:p>
      <w:pPr>
        <w:spacing w:line="360" w:lineRule="auto"/>
        <w:ind w:firstLine="560" w:firstLineChars="200"/>
        <w:rPr>
          <w:rFonts w:eastAsia="仿宋_GB2312"/>
          <w:sz w:val="28"/>
          <w:szCs w:val="28"/>
        </w:rPr>
      </w:pPr>
      <w:r>
        <w:rPr>
          <w:rFonts w:hint="eastAsia" w:eastAsia="仿宋_GB2312"/>
          <w:sz w:val="28"/>
          <w:szCs w:val="28"/>
        </w:rPr>
        <w:t>具体点位部署情况如下表所示：</w:t>
      </w:r>
    </w:p>
    <w:p>
      <w:pPr>
        <w:widowControl/>
        <w:ind w:firstLine="562" w:firstLineChars="200"/>
        <w:jc w:val="left"/>
        <w:rPr>
          <w:rFonts w:ascii="宋体" w:hAnsi="宋体" w:cs="宋体"/>
          <w:color w:val="000000"/>
          <w:kern w:val="0"/>
          <w:sz w:val="22"/>
          <w:szCs w:val="22"/>
        </w:rPr>
      </w:pPr>
      <w:r>
        <w:rPr>
          <w:rFonts w:hint="eastAsia" w:eastAsia="仿宋_GB2312"/>
          <w:b/>
          <w:bCs/>
          <w:sz w:val="28"/>
          <w:szCs w:val="28"/>
        </w:rPr>
        <w:t>涉及**秘密另附（如投标需要请联系代理公司）</w:t>
      </w:r>
    </w:p>
    <w:p>
      <w:pPr>
        <w:rPr>
          <w:szCs w:val="28"/>
        </w:rPr>
        <w:sectPr>
          <w:footerReference r:id="rId3" w:type="default"/>
          <w:pgSz w:w="11906" w:h="16838"/>
          <w:pgMar w:top="1440" w:right="1800" w:bottom="1440" w:left="1800" w:header="851" w:footer="992" w:gutter="0"/>
          <w:cols w:space="720" w:num="1"/>
          <w:docGrid w:type="lines" w:linePitch="312" w:charSpace="0"/>
        </w:sectPr>
      </w:pPr>
    </w:p>
    <w:p>
      <w:pPr>
        <w:keepNext/>
        <w:keepLines/>
        <w:numPr>
          <w:ilvl w:val="3"/>
          <w:numId w:val="3"/>
        </w:numPr>
        <w:tabs>
          <w:tab w:val="left" w:pos="425"/>
          <w:tab w:val="left" w:pos="1418"/>
          <w:tab w:val="left" w:pos="1560"/>
        </w:tabs>
        <w:spacing w:before="280" w:after="290" w:line="376" w:lineRule="auto"/>
        <w:outlineLvl w:val="3"/>
        <w:rPr>
          <w:rFonts w:ascii="Arial" w:hAnsi="Arial" w:eastAsia="仿宋_GB2312"/>
          <w:b/>
          <w:bCs/>
          <w:sz w:val="28"/>
          <w:szCs w:val="28"/>
        </w:rPr>
      </w:pPr>
      <w:r>
        <w:rPr>
          <w:rFonts w:hint="eastAsia" w:ascii="Arial" w:hAnsi="Arial" w:eastAsia="仿宋_GB2312"/>
          <w:b/>
          <w:bCs/>
          <w:sz w:val="28"/>
          <w:szCs w:val="28"/>
        </w:rPr>
        <w:t>前端系统组成</w:t>
      </w: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r>
        <w:rPr>
          <w:rFonts w:hint="eastAsia" w:eastAsia="仿宋_GB2312"/>
          <w:b/>
          <w:bCs/>
          <w:sz w:val="28"/>
          <w:szCs w:val="28"/>
        </w:rPr>
        <w:t>监控摄像机</w:t>
      </w:r>
    </w:p>
    <w:p>
      <w:pPr>
        <w:spacing w:line="360" w:lineRule="auto"/>
        <w:ind w:firstLine="560" w:firstLineChars="200"/>
        <w:rPr>
          <w:rFonts w:eastAsia="仿宋_GB2312" w:cs="仿宋_GB2312"/>
          <w:sz w:val="28"/>
          <w:szCs w:val="28"/>
        </w:rPr>
      </w:pPr>
      <w:r>
        <w:rPr>
          <w:rFonts w:hint="eastAsia" w:eastAsia="仿宋_GB2312" w:cs="仿宋_GB2312"/>
          <w:sz w:val="28"/>
          <w:szCs w:val="28"/>
        </w:rPr>
        <w:t>监控摄像机作为重要的视频采集设备，本着“高清化、网络化、智能化、兼容性好”的理念，监控摄像机应满足以下要求：</w:t>
      </w:r>
    </w:p>
    <w:p>
      <w:pPr>
        <w:numPr>
          <w:ilvl w:val="0"/>
          <w:numId w:val="11"/>
        </w:numPr>
        <w:spacing w:line="360" w:lineRule="auto"/>
        <w:rPr>
          <w:rFonts w:eastAsia="仿宋_GB2312" w:cs="仿宋_GB2312"/>
          <w:b/>
          <w:sz w:val="28"/>
          <w:szCs w:val="28"/>
        </w:rPr>
      </w:pPr>
      <w:bookmarkStart w:id="183" w:name="_Toc2466"/>
      <w:bookmarkStart w:id="184" w:name="_Toc26650"/>
      <w:r>
        <w:rPr>
          <w:rFonts w:hint="eastAsia" w:eastAsia="仿宋_GB2312" w:cs="仿宋_GB2312"/>
          <w:b/>
          <w:sz w:val="28"/>
          <w:szCs w:val="28"/>
        </w:rPr>
        <w:t>智能编码</w:t>
      </w:r>
      <w:bookmarkEnd w:id="183"/>
      <w:bookmarkEnd w:id="184"/>
    </w:p>
    <w:p>
      <w:pPr>
        <w:spacing w:line="360" w:lineRule="auto"/>
        <w:ind w:firstLine="560" w:firstLineChars="200"/>
        <w:rPr>
          <w:rFonts w:eastAsia="仿宋_GB2312" w:cs="仿宋_GB2312"/>
          <w:sz w:val="28"/>
          <w:szCs w:val="28"/>
        </w:rPr>
      </w:pPr>
      <w:r>
        <w:rPr>
          <w:rFonts w:hint="eastAsia" w:eastAsia="仿宋_GB2312" w:cs="仿宋_GB2312"/>
          <w:sz w:val="28"/>
          <w:szCs w:val="28"/>
        </w:rPr>
        <w:t>低码率: 1080p时码流为4M。</w:t>
      </w:r>
    </w:p>
    <w:p>
      <w:pPr>
        <w:spacing w:line="360" w:lineRule="auto"/>
        <w:ind w:firstLine="560" w:firstLineChars="200"/>
        <w:rPr>
          <w:rFonts w:eastAsia="仿宋_GB2312" w:cs="仿宋_GB2312"/>
          <w:sz w:val="28"/>
          <w:szCs w:val="28"/>
        </w:rPr>
      </w:pPr>
      <w:bookmarkStart w:id="185" w:name="_Toc6"/>
      <w:bookmarkStart w:id="186" w:name="_Toc10828"/>
      <w:r>
        <w:rPr>
          <w:rFonts w:hint="eastAsia" w:eastAsia="仿宋_GB2312" w:cs="仿宋_GB2312"/>
          <w:sz w:val="28"/>
          <w:szCs w:val="28"/>
        </w:rPr>
        <w:t>低延时: 高效算法，响应快</w:t>
      </w:r>
      <w:bookmarkEnd w:id="185"/>
      <w:bookmarkEnd w:id="186"/>
    </w:p>
    <w:p>
      <w:pPr>
        <w:spacing w:line="360" w:lineRule="auto"/>
        <w:ind w:firstLine="560" w:firstLineChars="200"/>
        <w:rPr>
          <w:rFonts w:eastAsia="仿宋_GB2312" w:cs="仿宋_GB2312"/>
          <w:sz w:val="28"/>
          <w:szCs w:val="28"/>
        </w:rPr>
      </w:pPr>
      <w:bookmarkStart w:id="187" w:name="_Toc17345"/>
      <w:r>
        <w:rPr>
          <w:rFonts w:hint="eastAsia" w:eastAsia="仿宋_GB2312" w:cs="仿宋_GB2312"/>
          <w:sz w:val="28"/>
          <w:szCs w:val="28"/>
        </w:rPr>
        <w:t>采用高效编码算法，所有200W网络摄像机产品在4M码流实现1080P清晰度。</w:t>
      </w:r>
    </w:p>
    <w:bookmarkEnd w:id="187"/>
    <w:p>
      <w:pPr>
        <w:numPr>
          <w:ilvl w:val="0"/>
          <w:numId w:val="11"/>
        </w:numPr>
        <w:spacing w:line="360" w:lineRule="auto"/>
        <w:rPr>
          <w:rFonts w:eastAsia="仿宋_GB2312" w:cs="仿宋_GB2312"/>
          <w:b/>
          <w:sz w:val="28"/>
          <w:szCs w:val="28"/>
        </w:rPr>
      </w:pPr>
      <w:bookmarkStart w:id="188" w:name="_Toc26918"/>
      <w:bookmarkStart w:id="189" w:name="_Toc19064"/>
      <w:r>
        <w:rPr>
          <w:rFonts w:hint="eastAsia" w:eastAsia="仿宋_GB2312" w:cs="仿宋_GB2312"/>
          <w:b/>
          <w:sz w:val="28"/>
          <w:szCs w:val="28"/>
        </w:rPr>
        <w:t>走廊模式</w:t>
      </w:r>
      <w:bookmarkEnd w:id="188"/>
      <w:bookmarkEnd w:id="189"/>
    </w:p>
    <w:p>
      <w:pPr>
        <w:spacing w:line="360" w:lineRule="auto"/>
        <w:ind w:firstLine="560" w:firstLineChars="200"/>
        <w:rPr>
          <w:rFonts w:eastAsia="仿宋_GB2312" w:cs="仿宋_GB2312"/>
          <w:sz w:val="28"/>
          <w:szCs w:val="28"/>
        </w:rPr>
      </w:pPr>
      <w:r>
        <w:rPr>
          <w:rFonts w:hint="eastAsia" w:eastAsia="仿宋_GB2312" w:cs="仿宋_GB2312"/>
          <w:sz w:val="28"/>
          <w:szCs w:val="28"/>
        </w:rPr>
        <w:drawing>
          <wp:anchor distT="0" distB="0" distL="114300" distR="114300" simplePos="0" relativeHeight="251659264" behindDoc="0" locked="0" layoutInCell="1" allowOverlap="1">
            <wp:simplePos x="0" y="0"/>
            <wp:positionH relativeFrom="column">
              <wp:posOffset>1381760</wp:posOffset>
            </wp:positionH>
            <wp:positionV relativeFrom="paragraph">
              <wp:posOffset>8388350</wp:posOffset>
            </wp:positionV>
            <wp:extent cx="3905250" cy="2514600"/>
            <wp:effectExtent l="0" t="0" r="0" b="0"/>
            <wp:wrapNone/>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0"/>
                    <a:stretch>
                      <a:fillRect/>
                    </a:stretch>
                  </pic:blipFill>
                  <pic:spPr>
                    <a:xfrm>
                      <a:off x="0" y="0"/>
                      <a:ext cx="3905250" cy="2514600"/>
                    </a:xfrm>
                    <a:prstGeom prst="rect">
                      <a:avLst/>
                    </a:prstGeom>
                    <a:noFill/>
                    <a:ln>
                      <a:noFill/>
                    </a:ln>
                  </pic:spPr>
                </pic:pic>
              </a:graphicData>
            </a:graphic>
          </wp:anchor>
        </w:drawing>
      </w:r>
      <w:r>
        <w:rPr>
          <w:rFonts w:hint="eastAsia" w:eastAsia="仿宋_GB2312" w:cs="仿宋_GB2312"/>
          <w:sz w:val="28"/>
          <w:szCs w:val="28"/>
        </w:rPr>
        <w:t>开启走廊模式并旋转90°后网络摄像机呈现9:16/3:4的纵横比，从而避免带宽和存储空间浪费</w:t>
      </w:r>
    </w:p>
    <w:p>
      <w:pPr>
        <w:spacing w:line="360" w:lineRule="auto"/>
        <w:ind w:firstLine="560" w:firstLineChars="200"/>
        <w:jc w:val="center"/>
        <w:rPr>
          <w:rFonts w:eastAsia="仿宋_GB2312" w:cs="仿宋_GB2312"/>
          <w:sz w:val="28"/>
          <w:szCs w:val="28"/>
        </w:rPr>
      </w:pPr>
      <w:r>
        <w:rPr>
          <w:rFonts w:hint="eastAsia" w:eastAsia="仿宋_GB2312" w:cs="仿宋_GB2312"/>
          <w:sz w:val="28"/>
          <w:szCs w:val="28"/>
        </w:rPr>
        <w:drawing>
          <wp:inline distT="0" distB="0" distL="114300" distR="114300">
            <wp:extent cx="4391660" cy="2560320"/>
            <wp:effectExtent l="0" t="0" r="8890" b="1143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1"/>
                    <a:stretch>
                      <a:fillRect/>
                    </a:stretch>
                  </pic:blipFill>
                  <pic:spPr>
                    <a:xfrm>
                      <a:off x="0" y="0"/>
                      <a:ext cx="4391660" cy="2560320"/>
                    </a:xfrm>
                    <a:prstGeom prst="rect">
                      <a:avLst/>
                    </a:prstGeom>
                    <a:noFill/>
                    <a:ln>
                      <a:noFill/>
                    </a:ln>
                  </pic:spPr>
                </pic:pic>
              </a:graphicData>
            </a:graphic>
          </wp:inline>
        </w:drawing>
      </w:r>
      <w:r>
        <w:rPr>
          <w:rFonts w:hint="eastAsia" w:eastAsia="仿宋_GB2312" w:cs="仿宋_GB2312"/>
          <w:sz w:val="28"/>
          <w:szCs w:val="28"/>
        </w:rPr>
        <w:drawing>
          <wp:anchor distT="0" distB="0" distL="114300" distR="114300" simplePos="0" relativeHeight="251660288" behindDoc="0" locked="0" layoutInCell="1" allowOverlap="1">
            <wp:simplePos x="0" y="0"/>
            <wp:positionH relativeFrom="column">
              <wp:posOffset>1381125</wp:posOffset>
            </wp:positionH>
            <wp:positionV relativeFrom="paragraph">
              <wp:posOffset>7597140</wp:posOffset>
            </wp:positionV>
            <wp:extent cx="3905250" cy="2514600"/>
            <wp:effectExtent l="0" t="0" r="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tretch>
                      <a:fillRect/>
                    </a:stretch>
                  </pic:blipFill>
                  <pic:spPr>
                    <a:xfrm>
                      <a:off x="0" y="0"/>
                      <a:ext cx="3905250" cy="2514600"/>
                    </a:xfrm>
                    <a:prstGeom prst="rect">
                      <a:avLst/>
                    </a:prstGeom>
                    <a:noFill/>
                    <a:ln>
                      <a:noFill/>
                    </a:ln>
                  </pic:spPr>
                </pic:pic>
              </a:graphicData>
            </a:graphic>
          </wp:anchor>
        </w:drawing>
      </w:r>
    </w:p>
    <w:p>
      <w:pPr>
        <w:numPr>
          <w:ilvl w:val="0"/>
          <w:numId w:val="11"/>
        </w:numPr>
        <w:spacing w:line="360" w:lineRule="auto"/>
        <w:rPr>
          <w:rFonts w:eastAsia="仿宋_GB2312" w:cs="仿宋_GB2312"/>
          <w:b/>
          <w:sz w:val="28"/>
          <w:szCs w:val="28"/>
        </w:rPr>
      </w:pPr>
      <w:bookmarkStart w:id="190" w:name="_Toc11450"/>
      <w:bookmarkStart w:id="191" w:name="_Toc28159"/>
      <w:r>
        <w:rPr>
          <w:rFonts w:hint="eastAsia" w:eastAsia="仿宋_GB2312" w:cs="仿宋_GB2312"/>
          <w:b/>
          <w:sz w:val="28"/>
          <w:szCs w:val="28"/>
        </w:rPr>
        <w:t>视频透雾:</w:t>
      </w:r>
      <w:bookmarkEnd w:id="190"/>
      <w:bookmarkEnd w:id="191"/>
    </w:p>
    <w:p>
      <w:pPr>
        <w:spacing w:line="360" w:lineRule="auto"/>
        <w:ind w:firstLine="560" w:firstLineChars="200"/>
        <w:rPr>
          <w:rFonts w:eastAsia="仿宋_GB2312" w:cs="仿宋_GB2312"/>
          <w:sz w:val="28"/>
          <w:szCs w:val="28"/>
        </w:rPr>
      </w:pPr>
      <w:r>
        <w:rPr>
          <w:rFonts w:hint="eastAsia" w:eastAsia="仿宋_GB2312" w:cs="仿宋_GB2312"/>
          <w:sz w:val="28"/>
          <w:szCs w:val="28"/>
        </w:rPr>
        <w:t>采用图像处理技术有效恢复细节和色彩，获得准确、自然的透雾效果</w:t>
      </w:r>
    </w:p>
    <w:p>
      <w:pPr>
        <w:spacing w:line="360" w:lineRule="auto"/>
        <w:ind w:firstLine="560" w:firstLineChars="200"/>
        <w:rPr>
          <w:rFonts w:eastAsia="仿宋_GB2312" w:cs="仿宋_GB2312"/>
          <w:sz w:val="28"/>
          <w:szCs w:val="28"/>
        </w:rPr>
      </w:pPr>
      <w:r>
        <w:rPr>
          <w:rFonts w:hint="eastAsia" w:eastAsia="仿宋_GB2312" w:cs="仿宋_GB2312"/>
          <w:sz w:val="28"/>
          <w:szCs w:val="28"/>
        </w:rPr>
        <w:drawing>
          <wp:inline distT="0" distB="0" distL="114300" distR="114300">
            <wp:extent cx="4846320" cy="2679065"/>
            <wp:effectExtent l="0" t="0" r="11430" b="698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12"/>
                    <a:stretch>
                      <a:fillRect/>
                    </a:stretch>
                  </pic:blipFill>
                  <pic:spPr>
                    <a:xfrm>
                      <a:off x="0" y="0"/>
                      <a:ext cx="4846320" cy="2679065"/>
                    </a:xfrm>
                    <a:prstGeom prst="rect">
                      <a:avLst/>
                    </a:prstGeom>
                    <a:noFill/>
                    <a:ln>
                      <a:noFill/>
                    </a:ln>
                  </pic:spPr>
                </pic:pic>
              </a:graphicData>
            </a:graphic>
          </wp:inline>
        </w:drawing>
      </w:r>
    </w:p>
    <w:p>
      <w:pPr>
        <w:numPr>
          <w:ilvl w:val="0"/>
          <w:numId w:val="11"/>
        </w:numPr>
        <w:spacing w:line="360" w:lineRule="auto"/>
        <w:rPr>
          <w:rFonts w:eastAsia="仿宋_GB2312" w:cs="仿宋_GB2312"/>
          <w:b/>
          <w:sz w:val="28"/>
          <w:szCs w:val="28"/>
        </w:rPr>
      </w:pPr>
      <w:r>
        <w:rPr>
          <w:rFonts w:hint="eastAsia" w:eastAsia="仿宋_GB2312" w:cs="仿宋_GB2312"/>
          <w:b/>
          <w:sz w:val="28"/>
          <w:szCs w:val="28"/>
        </w:rPr>
        <w:t>电子防抖</w:t>
      </w:r>
    </w:p>
    <w:p>
      <w:pPr>
        <w:spacing w:line="360" w:lineRule="auto"/>
        <w:ind w:firstLine="560" w:firstLineChars="200"/>
        <w:rPr>
          <w:rFonts w:eastAsia="仿宋_GB2312" w:cs="仿宋_GB2312"/>
          <w:sz w:val="28"/>
          <w:szCs w:val="28"/>
        </w:rPr>
      </w:pPr>
      <w:r>
        <w:rPr>
          <w:rFonts w:hint="eastAsia" w:eastAsia="仿宋_GB2312" w:cs="仿宋_GB2312"/>
          <w:sz w:val="28"/>
          <w:szCs w:val="28"/>
        </w:rPr>
        <w:t>对摄像机抖动方向进行模糊判断，而后对当前图像进行位移补偿，从而获得稳定的图像。</w:t>
      </w:r>
    </w:p>
    <w:p>
      <w:pPr>
        <w:spacing w:line="360" w:lineRule="auto"/>
        <w:ind w:firstLine="562" w:firstLineChars="200"/>
        <w:rPr>
          <w:rFonts w:eastAsia="仿宋_GB2312" w:cs="仿宋_GB2312"/>
          <w:b/>
          <w:sz w:val="28"/>
          <w:szCs w:val="28"/>
        </w:rPr>
      </w:pPr>
      <w:r>
        <w:rPr>
          <w:rFonts w:hint="eastAsia" w:eastAsia="仿宋_GB2312" w:cs="仿宋_GB2312"/>
          <w:b/>
          <w:sz w:val="28"/>
          <w:szCs w:val="28"/>
        </w:rPr>
        <w:t>数字宽动态(D-WDR)</w:t>
      </w:r>
    </w:p>
    <w:p>
      <w:pPr>
        <w:spacing w:line="360" w:lineRule="auto"/>
        <w:ind w:firstLine="560" w:firstLineChars="200"/>
        <w:rPr>
          <w:rFonts w:eastAsia="仿宋_GB2312" w:cs="仿宋_GB2312"/>
          <w:sz w:val="28"/>
          <w:szCs w:val="28"/>
        </w:rPr>
      </w:pPr>
      <w:r>
        <w:rPr>
          <w:rFonts w:hint="eastAsia" w:eastAsia="仿宋_GB2312" w:cs="仿宋_GB2312"/>
          <w:sz w:val="28"/>
          <w:szCs w:val="28"/>
        </w:rPr>
        <w:t>在逆光环境下能够清晰地保留暗处细节并抑制亮处过曝</w:t>
      </w:r>
    </w:p>
    <w:p>
      <w:pPr>
        <w:numPr>
          <w:ilvl w:val="0"/>
          <w:numId w:val="11"/>
        </w:numPr>
        <w:spacing w:line="360" w:lineRule="auto"/>
        <w:rPr>
          <w:rFonts w:eastAsia="仿宋_GB2312" w:cs="仿宋_GB2312"/>
          <w:b/>
          <w:sz w:val="28"/>
          <w:szCs w:val="28"/>
        </w:rPr>
      </w:pPr>
      <w:r>
        <w:rPr>
          <w:rFonts w:hint="eastAsia" w:eastAsia="仿宋_GB2312" w:cs="仿宋_GB2312"/>
          <w:b/>
          <w:sz w:val="28"/>
          <w:szCs w:val="28"/>
        </w:rPr>
        <w:t>星光级效果</w:t>
      </w:r>
    </w:p>
    <w:p>
      <w:pPr>
        <w:spacing w:line="360" w:lineRule="auto"/>
        <w:rPr>
          <w:rFonts w:ascii="宋体" w:hAnsi="宋体"/>
          <w:szCs w:val="21"/>
        </w:rPr>
      </w:pPr>
      <w:r>
        <w:rPr>
          <w:rFonts w:ascii="宋体" w:hAnsi="宋体"/>
          <w:szCs w:val="21"/>
        </w:rPr>
        <w:drawing>
          <wp:inline distT="0" distB="0" distL="114300" distR="114300">
            <wp:extent cx="5274310" cy="5098415"/>
            <wp:effectExtent l="0" t="0" r="2540" b="6985"/>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3"/>
                    <a:stretch>
                      <a:fillRect/>
                    </a:stretch>
                  </pic:blipFill>
                  <pic:spPr>
                    <a:xfrm>
                      <a:off x="0" y="0"/>
                      <a:ext cx="5274310" cy="5098415"/>
                    </a:xfrm>
                    <a:prstGeom prst="rect">
                      <a:avLst/>
                    </a:prstGeom>
                    <a:noFill/>
                    <a:ln>
                      <a:noFill/>
                    </a:ln>
                  </pic:spPr>
                </pic:pic>
              </a:graphicData>
            </a:graphic>
          </wp:inline>
        </w:drawing>
      </w:r>
    </w:p>
    <w:p>
      <w:pPr>
        <w:numPr>
          <w:ilvl w:val="0"/>
          <w:numId w:val="11"/>
        </w:numPr>
        <w:spacing w:line="360" w:lineRule="auto"/>
        <w:rPr>
          <w:rFonts w:eastAsia="仿宋_GB2312" w:cs="仿宋_GB2312"/>
          <w:b/>
          <w:sz w:val="28"/>
          <w:szCs w:val="28"/>
        </w:rPr>
      </w:pPr>
      <w:bookmarkStart w:id="192" w:name="_Hlk6909399"/>
      <w:r>
        <w:rPr>
          <w:rFonts w:hint="eastAsia" w:eastAsia="仿宋_GB2312" w:cs="仿宋_GB2312"/>
          <w:b/>
          <w:sz w:val="28"/>
          <w:szCs w:val="28"/>
        </w:rPr>
        <w:t>强光抑制</w:t>
      </w:r>
    </w:p>
    <w:bookmarkEnd w:id="192"/>
    <w:p>
      <w:pPr>
        <w:spacing w:line="360" w:lineRule="auto"/>
        <w:rPr>
          <w:rFonts w:ascii="宋体" w:hAnsi="宋体"/>
          <w:szCs w:val="21"/>
        </w:rPr>
      </w:pPr>
      <w:r>
        <w:rPr>
          <w:rFonts w:ascii="宋体" w:hAnsi="宋体"/>
          <w:szCs w:val="21"/>
        </w:rPr>
        <w:drawing>
          <wp:inline distT="0" distB="0" distL="114300" distR="114300">
            <wp:extent cx="4958080" cy="2095500"/>
            <wp:effectExtent l="0" t="0" r="1397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4"/>
                    <a:stretch>
                      <a:fillRect/>
                    </a:stretch>
                  </pic:blipFill>
                  <pic:spPr>
                    <a:xfrm>
                      <a:off x="0" y="0"/>
                      <a:ext cx="4958080" cy="2095500"/>
                    </a:xfrm>
                    <a:prstGeom prst="rect">
                      <a:avLst/>
                    </a:prstGeom>
                    <a:noFill/>
                    <a:ln>
                      <a:noFill/>
                    </a:ln>
                  </pic:spPr>
                </pic:pic>
              </a:graphicData>
            </a:graphic>
          </wp:inline>
        </w:drawing>
      </w:r>
    </w:p>
    <w:p>
      <w:pPr>
        <w:numPr>
          <w:ilvl w:val="0"/>
          <w:numId w:val="11"/>
        </w:numPr>
        <w:spacing w:line="360" w:lineRule="auto"/>
        <w:rPr>
          <w:rFonts w:eastAsia="仿宋_GB2312" w:cs="仿宋_GB2312"/>
          <w:b/>
          <w:sz w:val="28"/>
          <w:szCs w:val="28"/>
        </w:rPr>
      </w:pPr>
      <w:r>
        <w:rPr>
          <w:rFonts w:hint="eastAsia" w:eastAsia="仿宋_GB2312" w:cs="仿宋_GB2312"/>
          <w:b/>
          <w:sz w:val="28"/>
          <w:szCs w:val="28"/>
        </w:rPr>
        <w:t>人脸识别</w:t>
      </w:r>
    </w:p>
    <w:p>
      <w:pPr>
        <w:spacing w:line="360" w:lineRule="auto"/>
        <w:ind w:firstLine="560" w:firstLineChars="200"/>
        <w:rPr>
          <w:rFonts w:eastAsia="仿宋_GB2312" w:cs="仿宋_GB2312"/>
          <w:sz w:val="28"/>
          <w:szCs w:val="28"/>
        </w:rPr>
      </w:pPr>
      <w:r>
        <w:rPr>
          <w:rFonts w:hint="eastAsia" w:eastAsia="仿宋_GB2312" w:cs="仿宋_GB2312"/>
          <w:sz w:val="28"/>
          <w:szCs w:val="28"/>
        </w:rPr>
        <w:t>人脸识别相机识别效果图：</w:t>
      </w:r>
    </w:p>
    <w:p>
      <w:pPr>
        <w:spacing w:line="360" w:lineRule="auto"/>
        <w:jc w:val="center"/>
        <w:rPr>
          <w:rFonts w:eastAsia="仿宋_GB2312" w:cs="仿宋_GB2312"/>
          <w:b/>
          <w:sz w:val="28"/>
          <w:szCs w:val="28"/>
        </w:rPr>
      </w:pPr>
      <w:r>
        <w:rPr>
          <w:rFonts w:hint="eastAsia" w:eastAsia="仿宋_GB2312" w:cs="仿宋_GB2312"/>
          <w:b/>
          <w:sz w:val="28"/>
          <w:szCs w:val="28"/>
        </w:rPr>
        <w:drawing>
          <wp:inline distT="0" distB="0" distL="114300" distR="114300">
            <wp:extent cx="5183505" cy="3508375"/>
            <wp:effectExtent l="0" t="0" r="17145" b="15875"/>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15"/>
                    <a:stretch>
                      <a:fillRect/>
                    </a:stretch>
                  </pic:blipFill>
                  <pic:spPr>
                    <a:xfrm>
                      <a:off x="0" y="0"/>
                      <a:ext cx="5183505" cy="3508375"/>
                    </a:xfrm>
                    <a:prstGeom prst="rect">
                      <a:avLst/>
                    </a:prstGeom>
                    <a:noFill/>
                    <a:ln>
                      <a:noFill/>
                    </a:ln>
                  </pic:spPr>
                </pic:pic>
              </a:graphicData>
            </a:graphic>
          </wp:inline>
        </w:drawing>
      </w:r>
    </w:p>
    <w:p>
      <w:pPr>
        <w:numPr>
          <w:ilvl w:val="0"/>
          <w:numId w:val="11"/>
        </w:numPr>
        <w:spacing w:line="360" w:lineRule="auto"/>
        <w:rPr>
          <w:rFonts w:eastAsia="仿宋_GB2312" w:cs="仿宋_GB2312"/>
          <w:b/>
          <w:sz w:val="28"/>
          <w:szCs w:val="28"/>
        </w:rPr>
      </w:pPr>
      <w:r>
        <w:rPr>
          <w:rFonts w:hint="eastAsia" w:eastAsia="仿宋_GB2312" w:cs="仿宋_GB2312"/>
          <w:b/>
          <w:sz w:val="28"/>
          <w:szCs w:val="28"/>
        </w:rPr>
        <w:t>车脸识别</w:t>
      </w:r>
    </w:p>
    <w:p>
      <w:pPr>
        <w:spacing w:line="360" w:lineRule="auto"/>
        <w:rPr>
          <w:rFonts w:eastAsia="仿宋_GB2312" w:cs="仿宋_GB2312"/>
          <w:b/>
          <w:sz w:val="28"/>
          <w:szCs w:val="28"/>
        </w:rPr>
      </w:pPr>
      <w:r>
        <w:rPr>
          <w:rFonts w:hint="eastAsia" w:eastAsia="仿宋_GB2312" w:cs="仿宋_GB2312"/>
          <w:sz w:val="28"/>
          <w:szCs w:val="28"/>
        </w:rPr>
        <w:t>车脸识别相机识别效果图：</w:t>
      </w:r>
    </w:p>
    <w:p>
      <w:pPr>
        <w:rPr>
          <w:rFonts w:ascii="宋体" w:hAnsi="宋体"/>
          <w:color w:val="FF0000"/>
          <w:szCs w:val="21"/>
        </w:rPr>
      </w:pPr>
      <w:r>
        <w:rPr>
          <w:rFonts w:ascii="宋体" w:hAnsi="宋体"/>
          <w:color w:val="FF0000"/>
          <w:szCs w:val="21"/>
        </w:rPr>
        <w:drawing>
          <wp:inline distT="0" distB="0" distL="114300" distR="114300">
            <wp:extent cx="5273675" cy="2619375"/>
            <wp:effectExtent l="0" t="0" r="3175" b="9525"/>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pic:cNvPicPr>
                      <a:picLocks noChangeAspect="1"/>
                    </pic:cNvPicPr>
                  </pic:nvPicPr>
                  <pic:blipFill>
                    <a:blip r:embed="rId16"/>
                    <a:stretch>
                      <a:fillRect/>
                    </a:stretch>
                  </pic:blipFill>
                  <pic:spPr>
                    <a:xfrm>
                      <a:off x="0" y="0"/>
                      <a:ext cx="5273675" cy="2619375"/>
                    </a:xfrm>
                    <a:prstGeom prst="rect">
                      <a:avLst/>
                    </a:prstGeom>
                    <a:noFill/>
                    <a:ln>
                      <a:noFill/>
                    </a:ln>
                  </pic:spPr>
                </pic:pic>
              </a:graphicData>
            </a:graphic>
          </wp:inline>
        </w:drawing>
      </w:r>
    </w:p>
    <w:p>
      <w:pPr>
        <w:spacing w:line="400" w:lineRule="exact"/>
        <w:rPr>
          <w:rFonts w:ascii="宋体" w:hAnsi="宋体"/>
          <w:color w:val="FF0000"/>
          <w:szCs w:val="21"/>
        </w:rPr>
      </w:pPr>
    </w:p>
    <w:p>
      <w:pPr>
        <w:spacing w:line="400" w:lineRule="exact"/>
        <w:rPr>
          <w:rFonts w:ascii="宋体" w:hAnsi="宋体"/>
          <w:color w:val="FF0000"/>
          <w:szCs w:val="21"/>
        </w:rPr>
      </w:pPr>
    </w:p>
    <w:p>
      <w:pPr>
        <w:spacing w:line="400" w:lineRule="exact"/>
        <w:rPr>
          <w:rFonts w:ascii="宋体" w:hAnsi="宋体"/>
          <w:color w:val="FF0000"/>
          <w:szCs w:val="21"/>
        </w:rPr>
      </w:pPr>
    </w:p>
    <w:p>
      <w:pPr>
        <w:spacing w:line="400" w:lineRule="exact"/>
        <w:rPr>
          <w:rFonts w:ascii="宋体" w:hAnsi="宋体"/>
          <w:color w:val="FF0000"/>
          <w:szCs w:val="21"/>
        </w:rPr>
      </w:pPr>
    </w:p>
    <w:p>
      <w:pPr>
        <w:spacing w:line="400" w:lineRule="exact"/>
        <w:rPr>
          <w:rFonts w:ascii="宋体" w:hAnsi="宋体"/>
          <w:color w:val="FF0000"/>
          <w:szCs w:val="21"/>
        </w:rPr>
      </w:pPr>
    </w:p>
    <w:p>
      <w:pPr>
        <w:spacing w:line="400" w:lineRule="exact"/>
        <w:rPr>
          <w:rFonts w:ascii="宋体" w:hAnsi="宋体"/>
          <w:color w:val="FF0000"/>
          <w:szCs w:val="21"/>
        </w:rPr>
      </w:pP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bookmarkStart w:id="193" w:name="_Toc451798057"/>
      <w:bookmarkStart w:id="194" w:name="_Toc432257485"/>
      <w:bookmarkStart w:id="195" w:name="_Toc503714867"/>
      <w:r>
        <w:rPr>
          <w:rFonts w:hint="eastAsia" w:eastAsia="仿宋_GB2312"/>
          <w:b/>
          <w:bCs/>
          <w:sz w:val="28"/>
          <w:szCs w:val="28"/>
        </w:rPr>
        <w:t>摄像机部署方式</w:t>
      </w:r>
      <w:bookmarkEnd w:id="193"/>
      <w:bookmarkEnd w:id="194"/>
      <w:bookmarkEnd w:id="195"/>
    </w:p>
    <w:p>
      <w:pPr>
        <w:spacing w:line="360" w:lineRule="auto"/>
        <w:ind w:firstLine="562" w:firstLineChars="200"/>
        <w:rPr>
          <w:rFonts w:eastAsia="仿宋_GB2312" w:cs="仿宋_GB2312"/>
          <w:b/>
          <w:sz w:val="28"/>
          <w:szCs w:val="28"/>
        </w:rPr>
      </w:pPr>
      <w:r>
        <w:rPr>
          <w:rFonts w:hint="eastAsia" w:eastAsia="仿宋_GB2312" w:cs="仿宋_GB2312"/>
          <w:b/>
          <w:sz w:val="28"/>
          <w:szCs w:val="28"/>
        </w:rPr>
        <w:t>治安相机部署方式：</w:t>
      </w:r>
    </w:p>
    <w:p>
      <w:pPr>
        <w:spacing w:line="360" w:lineRule="auto"/>
        <w:ind w:firstLine="560" w:firstLineChars="200"/>
        <w:rPr>
          <w:rFonts w:eastAsia="仿宋_GB2312" w:cs="仿宋_GB2312"/>
          <w:sz w:val="28"/>
          <w:szCs w:val="28"/>
        </w:rPr>
      </w:pPr>
      <w:r>
        <w:rPr>
          <w:rFonts w:hint="eastAsia" w:eastAsia="仿宋_GB2312" w:cs="仿宋_GB2312"/>
          <w:sz w:val="28"/>
          <w:szCs w:val="28"/>
        </w:rPr>
        <w:t>根据监控点的具体位置和情况，一般路口采用固定高清枪式摄像机，部分人员聚集</w:t>
      </w:r>
      <w:r>
        <w:rPr>
          <w:rFonts w:eastAsia="仿宋_GB2312" w:cs="仿宋_GB2312"/>
          <w:sz w:val="28"/>
          <w:szCs w:val="28"/>
        </w:rPr>
        <w:t>区</w:t>
      </w:r>
      <w:r>
        <w:rPr>
          <w:rFonts w:hint="eastAsia" w:eastAsia="仿宋_GB2312" w:cs="仿宋_GB2312"/>
          <w:sz w:val="28"/>
          <w:szCs w:val="28"/>
        </w:rPr>
        <w:t>采用一体化高清球型摄像机。主要路口或情况比较复杂的监控点也可采用多台摄像机同时监控的方式，在一个立杆上安装多台枪式摄像机指向不同的方位，或者采用枪式摄像机结合球型摄像机的方式，可实现在一个监控点同一时间内对不同方位的实时监控。</w:t>
      </w:r>
    </w:p>
    <w:p>
      <w:pPr>
        <w:spacing w:line="360" w:lineRule="auto"/>
        <w:ind w:firstLine="562" w:firstLineChars="200"/>
        <w:rPr>
          <w:rFonts w:eastAsia="仿宋_GB2312"/>
          <w:b/>
          <w:sz w:val="28"/>
          <w:szCs w:val="28"/>
        </w:rPr>
      </w:pPr>
      <w:r>
        <w:rPr>
          <w:rFonts w:hint="eastAsia" w:eastAsia="仿宋_GB2312"/>
          <w:b/>
          <w:sz w:val="28"/>
          <w:szCs w:val="28"/>
        </w:rPr>
        <w:t>人脸相机部署方式：</w:t>
      </w:r>
    </w:p>
    <w:p>
      <w:pPr>
        <w:spacing w:line="360" w:lineRule="auto"/>
        <w:ind w:firstLine="560" w:firstLineChars="200"/>
        <w:rPr>
          <w:rFonts w:ascii="仿宋_GB2312" w:eastAsia="仿宋_GB2312"/>
          <w:bCs/>
          <w:sz w:val="28"/>
        </w:rPr>
      </w:pPr>
      <w:r>
        <w:rPr>
          <w:rFonts w:hint="eastAsia" w:ascii="仿宋_GB2312" w:eastAsia="仿宋_GB2312"/>
          <w:bCs/>
          <w:sz w:val="28"/>
        </w:rPr>
        <w:t>人脸系统前端安装环境按照以下标准选择：</w:t>
      </w:r>
    </w:p>
    <w:p>
      <w:pPr>
        <w:numPr>
          <w:ilvl w:val="0"/>
          <w:numId w:val="12"/>
        </w:numPr>
        <w:spacing w:line="360" w:lineRule="auto"/>
        <w:rPr>
          <w:rFonts w:ascii="仿宋_GB2312" w:eastAsia="仿宋_GB2312"/>
          <w:sz w:val="28"/>
          <w:szCs w:val="28"/>
        </w:rPr>
      </w:pPr>
      <w:r>
        <w:rPr>
          <w:rFonts w:hint="eastAsia" w:ascii="仿宋_GB2312" w:eastAsia="仿宋_GB2312"/>
          <w:sz w:val="28"/>
          <w:szCs w:val="28"/>
        </w:rPr>
        <w:t>需选择具有标准的人员通道或者出入口的安装环境，以规范人员具有唯一的通行方向，确保摄像机能够抓拍到该方向上所有进入或者离开人员的正脸。</w:t>
      </w:r>
    </w:p>
    <w:p>
      <w:pPr>
        <w:numPr>
          <w:ilvl w:val="0"/>
          <w:numId w:val="12"/>
        </w:numPr>
        <w:spacing w:line="360" w:lineRule="auto"/>
        <w:rPr>
          <w:rFonts w:ascii="仿宋_GB2312" w:eastAsia="仿宋_GB2312"/>
          <w:sz w:val="28"/>
          <w:szCs w:val="28"/>
        </w:rPr>
      </w:pPr>
      <w:r>
        <w:rPr>
          <w:rFonts w:hint="eastAsia" w:ascii="仿宋_GB2312" w:eastAsia="仿宋_GB2312"/>
          <w:sz w:val="28"/>
          <w:szCs w:val="28"/>
        </w:rPr>
        <w:t>需选择具有稳定、充足的光照环境，在背光条件及光线不足条件下要求补光，确保人脸特征的清晰可见。</w:t>
      </w:r>
    </w:p>
    <w:p>
      <w:pPr>
        <w:spacing w:line="360" w:lineRule="auto"/>
        <w:ind w:firstLine="560" w:firstLineChars="200"/>
        <w:rPr>
          <w:rFonts w:eastAsia="仿宋_GB2312"/>
          <w:bCs/>
          <w:sz w:val="28"/>
          <w:szCs w:val="28"/>
        </w:rPr>
      </w:pPr>
      <w:r>
        <w:rPr>
          <w:rFonts w:hint="eastAsia" w:ascii="仿宋_GB2312" w:eastAsia="仿宋_GB2312"/>
          <w:bCs/>
          <w:sz w:val="28"/>
        </w:rPr>
        <w:t>摄像机安装要求如下：</w:t>
      </w:r>
    </w:p>
    <w:p>
      <w:pPr>
        <w:jc w:val="center"/>
      </w:pPr>
      <w:r>
        <w:rPr>
          <w:rFonts w:hint="eastAsia"/>
        </w:rPr>
        <w:drawing>
          <wp:inline distT="0" distB="0" distL="114300" distR="114300">
            <wp:extent cx="4918075" cy="3082290"/>
            <wp:effectExtent l="0" t="0" r="15875" b="3810"/>
            <wp:docPr id="10" name="图片 4" descr="C:\Users\张\AppData\Local\Temp\ksohtml\wps6EF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张\AppData\Local\Temp\ksohtml\wps6EFC.tmp.jpg"/>
                    <pic:cNvPicPr>
                      <a:picLocks noChangeAspect="1"/>
                    </pic:cNvPicPr>
                  </pic:nvPicPr>
                  <pic:blipFill>
                    <a:blip r:embed="rId17"/>
                    <a:stretch>
                      <a:fillRect/>
                    </a:stretch>
                  </pic:blipFill>
                  <pic:spPr>
                    <a:xfrm>
                      <a:off x="0" y="0"/>
                      <a:ext cx="4918075" cy="3082290"/>
                    </a:xfrm>
                    <a:prstGeom prst="rect">
                      <a:avLst/>
                    </a:prstGeom>
                    <a:noFill/>
                    <a:ln>
                      <a:noFill/>
                    </a:ln>
                  </pic:spPr>
                </pic:pic>
              </a:graphicData>
            </a:graphic>
          </wp:inline>
        </w:drawing>
      </w:r>
    </w:p>
    <w:p>
      <w:pPr>
        <w:jc w:val="center"/>
      </w:pPr>
      <w:r>
        <w:rPr>
          <w:rFonts w:hint="eastAsia" w:ascii="宋体" w:hAnsi="宋体"/>
          <w:sz w:val="24"/>
        </w:rPr>
        <w:t>人脸抓拍安装示意图</w:t>
      </w:r>
    </w:p>
    <w:p>
      <w:pPr>
        <w:numPr>
          <w:ilvl w:val="0"/>
          <w:numId w:val="13"/>
        </w:numPr>
        <w:spacing w:line="360" w:lineRule="auto"/>
        <w:rPr>
          <w:rFonts w:ascii="仿宋_GB2312" w:eastAsia="仿宋_GB2312"/>
          <w:sz w:val="28"/>
          <w:szCs w:val="28"/>
        </w:rPr>
      </w:pPr>
      <w:r>
        <w:rPr>
          <w:rFonts w:hint="eastAsia" w:ascii="仿宋_GB2312" w:eastAsia="仿宋_GB2312"/>
          <w:sz w:val="28"/>
          <w:szCs w:val="28"/>
        </w:rPr>
        <w:t>摄像机设在通道正前方，正面抓拍人脸，水平方向偏转角度&lt;15°，越小越好。</w:t>
      </w:r>
    </w:p>
    <w:p>
      <w:pPr>
        <w:numPr>
          <w:ilvl w:val="0"/>
          <w:numId w:val="13"/>
        </w:numPr>
        <w:spacing w:line="360" w:lineRule="auto"/>
        <w:rPr>
          <w:rFonts w:ascii="仿宋_GB2312" w:eastAsia="仿宋_GB2312"/>
          <w:sz w:val="28"/>
          <w:szCs w:val="28"/>
        </w:rPr>
      </w:pPr>
      <w:r>
        <w:rPr>
          <w:rFonts w:hint="eastAsia" w:ascii="仿宋_GB2312" w:eastAsia="仿宋_GB2312"/>
          <w:sz w:val="28"/>
          <w:szCs w:val="28"/>
        </w:rPr>
        <w:t>摄像机安装需具有一定俯视角度，避免一前一后人员经过通道时后方人脸被遮挡，垂直方向俯视角度α=10°±3°。</w:t>
      </w:r>
    </w:p>
    <w:p>
      <w:pPr>
        <w:numPr>
          <w:ilvl w:val="0"/>
          <w:numId w:val="13"/>
        </w:numPr>
        <w:spacing w:line="360" w:lineRule="auto"/>
        <w:rPr>
          <w:rFonts w:ascii="仿宋_GB2312" w:eastAsia="仿宋_GB2312"/>
          <w:sz w:val="28"/>
          <w:szCs w:val="28"/>
        </w:rPr>
      </w:pPr>
      <w:r>
        <w:rPr>
          <w:rFonts w:hint="eastAsia" w:ascii="仿宋_GB2312" w:eastAsia="仿宋_GB2312"/>
          <w:sz w:val="28"/>
          <w:szCs w:val="28"/>
        </w:rPr>
        <w:t xml:space="preserve">抓拍图片中要辨清人脸细节要求人脸覆盖的像素大于120像素点，200万摄像机人脸检测位置的实际宽度V≤2.5米，600万摄像机人脸检测位置的实际宽度V≤2.5米。 </w:t>
      </w:r>
    </w:p>
    <w:p>
      <w:pPr>
        <w:numPr>
          <w:ilvl w:val="0"/>
          <w:numId w:val="13"/>
        </w:numPr>
        <w:spacing w:line="360" w:lineRule="auto"/>
        <w:rPr>
          <w:rFonts w:ascii="仿宋_GB2312" w:eastAsia="仿宋_GB2312"/>
          <w:sz w:val="28"/>
          <w:szCs w:val="28"/>
        </w:rPr>
      </w:pPr>
      <w:r>
        <w:rPr>
          <w:rFonts w:hint="eastAsia" w:ascii="仿宋_GB2312" w:eastAsia="仿宋_GB2312"/>
          <w:sz w:val="28"/>
          <w:szCs w:val="28"/>
        </w:rPr>
        <w:t>摄像机镜头至人员通道出入口中间空旷、无遮挡。</w:t>
      </w: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r>
        <w:rPr>
          <w:rFonts w:hint="eastAsia" w:eastAsia="仿宋_GB2312"/>
          <w:b/>
          <w:bCs/>
          <w:sz w:val="28"/>
          <w:szCs w:val="28"/>
        </w:rPr>
        <w:t>摄像机选型</w:t>
      </w:r>
    </w:p>
    <w:p>
      <w:pPr>
        <w:numPr>
          <w:ilvl w:val="0"/>
          <w:numId w:val="10"/>
        </w:numPr>
        <w:spacing w:line="360" w:lineRule="auto"/>
        <w:rPr>
          <w:rFonts w:eastAsia="仿宋_GB2312"/>
          <w:b/>
          <w:sz w:val="28"/>
          <w:szCs w:val="28"/>
        </w:rPr>
      </w:pPr>
      <w:r>
        <w:rPr>
          <w:rFonts w:hint="eastAsia" w:eastAsia="仿宋_GB2312"/>
          <w:b/>
          <w:sz w:val="28"/>
          <w:szCs w:val="28"/>
        </w:rPr>
        <w:t>本次项目的治安监控前端主要采用枪式摄像机。</w:t>
      </w:r>
    </w:p>
    <w:p>
      <w:pPr>
        <w:spacing w:line="360" w:lineRule="auto"/>
        <w:ind w:firstLine="560" w:firstLineChars="200"/>
        <w:rPr>
          <w:rFonts w:eastAsia="仿宋_GB2312"/>
          <w:sz w:val="28"/>
          <w:szCs w:val="28"/>
        </w:rPr>
      </w:pPr>
      <w:r>
        <w:rPr>
          <w:rFonts w:hint="eastAsia" w:eastAsia="仿宋_GB2312"/>
          <w:sz w:val="28"/>
          <w:szCs w:val="28"/>
        </w:rPr>
        <w:t>为满足天网工程建设需求，本期治安监控前端主要采用2种类型摄像机：8</w:t>
      </w:r>
      <w:r>
        <w:rPr>
          <w:rFonts w:eastAsia="仿宋_GB2312"/>
          <w:sz w:val="28"/>
          <w:szCs w:val="28"/>
        </w:rPr>
        <w:t>00</w:t>
      </w:r>
      <w:r>
        <w:rPr>
          <w:rFonts w:hint="eastAsia" w:eastAsia="仿宋_GB2312"/>
          <w:sz w:val="28"/>
          <w:szCs w:val="28"/>
        </w:rPr>
        <w:t>万像素结构化枪机和9</w:t>
      </w:r>
      <w:r>
        <w:rPr>
          <w:rFonts w:eastAsia="仿宋_GB2312"/>
          <w:sz w:val="28"/>
          <w:szCs w:val="28"/>
        </w:rPr>
        <w:t>00</w:t>
      </w:r>
      <w:r>
        <w:rPr>
          <w:rFonts w:hint="eastAsia" w:eastAsia="仿宋_GB2312"/>
          <w:sz w:val="28"/>
          <w:szCs w:val="28"/>
        </w:rPr>
        <w:t>万像素人车一体抓拍机。视频监控前端系统需具备以下要求：视频监控前端子系统由摄像机、镜头、护罩和支架等功能单元组成。技术指标应达到以下标准：</w:t>
      </w:r>
    </w:p>
    <w:p>
      <w:pPr>
        <w:spacing w:line="360" w:lineRule="auto"/>
        <w:ind w:firstLine="562" w:firstLineChars="200"/>
        <w:rPr>
          <w:rFonts w:eastAsia="仿宋_GB2312"/>
          <w:b/>
          <w:bCs/>
          <w:sz w:val="28"/>
          <w:szCs w:val="28"/>
        </w:rPr>
      </w:pPr>
      <w:r>
        <w:rPr>
          <w:rFonts w:eastAsia="仿宋_GB2312"/>
          <w:b/>
          <w:bCs/>
          <w:sz w:val="28"/>
          <w:szCs w:val="28"/>
        </w:rPr>
        <w:t>8</w:t>
      </w:r>
      <w:r>
        <w:rPr>
          <w:rFonts w:hint="eastAsia" w:eastAsia="仿宋_GB2312"/>
          <w:b/>
          <w:bCs/>
          <w:sz w:val="28"/>
          <w:szCs w:val="28"/>
        </w:rPr>
        <w:t>00万像素结构化枪式摄像机主要技术参数参考指标</w:t>
      </w:r>
    </w:p>
    <w:p>
      <w:pPr>
        <w:spacing w:line="360" w:lineRule="auto"/>
        <w:ind w:firstLine="560" w:firstLineChars="200"/>
        <w:rPr>
          <w:rFonts w:eastAsia="仿宋_GB2312"/>
          <w:sz w:val="28"/>
          <w:szCs w:val="28"/>
        </w:rPr>
      </w:pPr>
      <w:r>
        <w:rPr>
          <w:rFonts w:hint="eastAsia" w:eastAsia="仿宋_GB2312"/>
          <w:sz w:val="28"/>
          <w:szCs w:val="28"/>
        </w:rPr>
        <w:t>1、1/1.8英寸逐行扫描800万像素CMOS图像传感器。</w:t>
      </w:r>
    </w:p>
    <w:p>
      <w:pPr>
        <w:spacing w:line="360" w:lineRule="auto"/>
        <w:ind w:firstLine="560" w:firstLineChars="200"/>
        <w:rPr>
          <w:rFonts w:eastAsia="仿宋_GB2312"/>
          <w:sz w:val="28"/>
          <w:szCs w:val="28"/>
        </w:rPr>
      </w:pPr>
      <w:r>
        <w:rPr>
          <w:rFonts w:hint="eastAsia" w:eastAsia="仿宋_GB2312"/>
          <w:sz w:val="28"/>
          <w:szCs w:val="28"/>
        </w:rPr>
        <w:t>2、内置GPU芯片。</w:t>
      </w:r>
    </w:p>
    <w:p>
      <w:pPr>
        <w:spacing w:line="360" w:lineRule="auto"/>
        <w:ind w:firstLine="560" w:firstLineChars="200"/>
        <w:rPr>
          <w:rFonts w:eastAsia="仿宋_GB2312"/>
          <w:sz w:val="28"/>
          <w:szCs w:val="28"/>
        </w:rPr>
      </w:pPr>
      <w:r>
        <w:rPr>
          <w:rFonts w:hint="eastAsia" w:eastAsia="仿宋_GB2312"/>
          <w:sz w:val="28"/>
          <w:szCs w:val="28"/>
        </w:rPr>
        <w:t>3、内置8GB eMMC 。</w:t>
      </w:r>
    </w:p>
    <w:p>
      <w:pPr>
        <w:spacing w:line="360" w:lineRule="auto"/>
        <w:ind w:firstLine="560" w:firstLineChars="200"/>
        <w:rPr>
          <w:rFonts w:eastAsia="仿宋_GB2312"/>
          <w:sz w:val="28"/>
          <w:szCs w:val="28"/>
        </w:rPr>
      </w:pPr>
      <w:r>
        <w:rPr>
          <w:rFonts w:hint="eastAsia" w:eastAsia="仿宋_GB2312"/>
          <w:sz w:val="28"/>
          <w:szCs w:val="28"/>
        </w:rPr>
        <w:t>4、0.0005lux(F1.2，AGC ON，彩色)，0.0001lux(F1.2，AGC ON，黑白)。</w:t>
      </w:r>
    </w:p>
    <w:p>
      <w:pPr>
        <w:spacing w:line="360" w:lineRule="auto"/>
        <w:ind w:firstLine="560" w:firstLineChars="200"/>
        <w:rPr>
          <w:rFonts w:eastAsia="仿宋_GB2312"/>
          <w:sz w:val="28"/>
          <w:szCs w:val="28"/>
        </w:rPr>
      </w:pPr>
      <w:r>
        <w:rPr>
          <w:rFonts w:hint="eastAsia" w:eastAsia="仿宋_GB2312"/>
          <w:sz w:val="28"/>
          <w:szCs w:val="28"/>
        </w:rPr>
        <w:t>5、120dB光学宽动态。</w:t>
      </w:r>
    </w:p>
    <w:p>
      <w:pPr>
        <w:spacing w:line="360" w:lineRule="auto"/>
        <w:ind w:firstLine="560" w:firstLineChars="200"/>
        <w:rPr>
          <w:rFonts w:eastAsia="仿宋_GB2312"/>
          <w:sz w:val="28"/>
          <w:szCs w:val="28"/>
        </w:rPr>
      </w:pPr>
      <w:r>
        <w:rPr>
          <w:rFonts w:hint="eastAsia" w:eastAsia="仿宋_GB2312"/>
          <w:sz w:val="28"/>
          <w:szCs w:val="28"/>
        </w:rPr>
        <w:t>6、分辨率为3840x2160，帧率为30帧/s。</w:t>
      </w:r>
    </w:p>
    <w:p>
      <w:pPr>
        <w:spacing w:line="360" w:lineRule="auto"/>
        <w:ind w:firstLine="560" w:firstLineChars="200"/>
        <w:rPr>
          <w:rFonts w:eastAsia="仿宋_GB2312"/>
          <w:sz w:val="28"/>
          <w:szCs w:val="28"/>
        </w:rPr>
      </w:pPr>
      <w:r>
        <w:rPr>
          <w:rFonts w:hint="eastAsia" w:eastAsia="仿宋_GB2312"/>
          <w:sz w:val="28"/>
          <w:szCs w:val="28"/>
        </w:rPr>
        <w:t>7、在设定的侦测区域内具有目标移动时，可在客户端给出报警提示。</w:t>
      </w:r>
    </w:p>
    <w:p>
      <w:pPr>
        <w:spacing w:line="360" w:lineRule="auto"/>
        <w:ind w:firstLine="560" w:firstLineChars="200"/>
        <w:rPr>
          <w:rFonts w:eastAsia="仿宋_GB2312"/>
          <w:sz w:val="28"/>
          <w:szCs w:val="28"/>
        </w:rPr>
      </w:pPr>
      <w:r>
        <w:rPr>
          <w:rFonts w:hint="eastAsia" w:eastAsia="仿宋_GB2312"/>
          <w:sz w:val="28"/>
          <w:szCs w:val="28"/>
        </w:rPr>
        <w:t>8、具有认证模式，可通过IE浏览器或客户端设置身份认证模式，设置选项包括basic、digest和无三种选项。</w:t>
      </w:r>
    </w:p>
    <w:p>
      <w:pPr>
        <w:spacing w:line="360" w:lineRule="auto"/>
        <w:ind w:firstLine="560" w:firstLineChars="200"/>
        <w:rPr>
          <w:rFonts w:eastAsia="仿宋_GB2312"/>
          <w:sz w:val="28"/>
          <w:szCs w:val="28"/>
        </w:rPr>
      </w:pPr>
      <w:r>
        <w:rPr>
          <w:rFonts w:hint="eastAsia" w:eastAsia="仿宋_GB2312"/>
          <w:sz w:val="28"/>
          <w:szCs w:val="28"/>
        </w:rPr>
        <w:t>9、具有滚动OSD功能，可添加图片OSD。</w:t>
      </w:r>
    </w:p>
    <w:p>
      <w:pPr>
        <w:spacing w:line="360" w:lineRule="auto"/>
        <w:ind w:firstLine="560" w:firstLineChars="200"/>
        <w:rPr>
          <w:rFonts w:eastAsia="仿宋_GB2312"/>
          <w:sz w:val="28"/>
          <w:szCs w:val="28"/>
        </w:rPr>
      </w:pPr>
      <w:r>
        <w:rPr>
          <w:rFonts w:hint="eastAsia" w:eastAsia="仿宋_GB2312"/>
          <w:sz w:val="28"/>
          <w:szCs w:val="28"/>
        </w:rPr>
        <w:t>10、支持提取机动车、非机动车、行人抓拍、人脸的属性信息。</w:t>
      </w:r>
    </w:p>
    <w:p>
      <w:pPr>
        <w:spacing w:line="360" w:lineRule="auto"/>
        <w:ind w:firstLine="560" w:firstLineChars="200"/>
        <w:rPr>
          <w:rFonts w:eastAsia="仿宋_GB2312"/>
          <w:sz w:val="28"/>
          <w:szCs w:val="28"/>
        </w:rPr>
      </w:pPr>
      <w:r>
        <w:rPr>
          <w:rFonts w:hint="eastAsia" w:eastAsia="仿宋_GB2312"/>
          <w:sz w:val="28"/>
          <w:szCs w:val="28"/>
        </w:rPr>
        <w:t>11、支持机动车、非机动车、行人抓拍、人脸抓拍，抓拍率≥90%。</w:t>
      </w:r>
    </w:p>
    <w:p>
      <w:pPr>
        <w:spacing w:line="360" w:lineRule="auto"/>
        <w:ind w:firstLine="560" w:firstLineChars="200"/>
        <w:rPr>
          <w:rFonts w:eastAsia="仿宋_GB2312"/>
          <w:sz w:val="28"/>
          <w:szCs w:val="28"/>
        </w:rPr>
      </w:pPr>
      <w:r>
        <w:rPr>
          <w:rFonts w:hint="eastAsia" w:eastAsia="仿宋_GB2312"/>
          <w:sz w:val="28"/>
          <w:szCs w:val="28"/>
        </w:rPr>
        <w:t>12、可将视频图像存储至TF卡或客户端，最大支持256GBTF卡。</w:t>
      </w:r>
    </w:p>
    <w:p>
      <w:pPr>
        <w:spacing w:line="360" w:lineRule="auto"/>
        <w:ind w:firstLine="560" w:firstLineChars="200"/>
        <w:rPr>
          <w:rFonts w:eastAsia="仿宋_GB2312"/>
          <w:sz w:val="28"/>
          <w:szCs w:val="28"/>
        </w:rPr>
      </w:pPr>
      <w:r>
        <w:rPr>
          <w:rFonts w:hint="eastAsia" w:eastAsia="仿宋_GB2312"/>
          <w:sz w:val="28"/>
          <w:szCs w:val="28"/>
        </w:rPr>
        <w:t>13、具有防篡改功能，当视频文件被篡改后，可通过专用播放器软件给出信息提示。</w:t>
      </w:r>
    </w:p>
    <w:p>
      <w:pPr>
        <w:spacing w:line="360" w:lineRule="auto"/>
        <w:ind w:firstLine="560" w:firstLineChars="200"/>
        <w:rPr>
          <w:rFonts w:eastAsia="仿宋_GB2312"/>
          <w:sz w:val="28"/>
          <w:szCs w:val="28"/>
        </w:rPr>
      </w:pPr>
      <w:r>
        <w:rPr>
          <w:rFonts w:hint="eastAsia" w:eastAsia="仿宋_GB2312"/>
          <w:sz w:val="28"/>
          <w:szCs w:val="28"/>
        </w:rPr>
        <w:t>14、支持音频1入1出，告警2入1出，1路RS485串口。</w:t>
      </w:r>
    </w:p>
    <w:p>
      <w:pPr>
        <w:spacing w:line="360" w:lineRule="auto"/>
        <w:ind w:firstLine="560" w:firstLineChars="200"/>
        <w:rPr>
          <w:rFonts w:eastAsia="仿宋_GB2312"/>
          <w:sz w:val="28"/>
          <w:szCs w:val="28"/>
        </w:rPr>
      </w:pPr>
      <w:r>
        <w:rPr>
          <w:rFonts w:hint="eastAsia" w:eastAsia="仿宋_GB2312"/>
          <w:sz w:val="28"/>
          <w:szCs w:val="28"/>
        </w:rPr>
        <w:t>15、支持光学透雾。</w:t>
      </w:r>
    </w:p>
    <w:p>
      <w:pPr>
        <w:spacing w:line="360" w:lineRule="auto"/>
        <w:ind w:firstLine="560" w:firstLineChars="200"/>
        <w:rPr>
          <w:rFonts w:eastAsia="仿宋_GB2312"/>
          <w:sz w:val="28"/>
          <w:szCs w:val="28"/>
        </w:rPr>
      </w:pPr>
      <w:r>
        <w:rPr>
          <w:rFonts w:hint="eastAsia" w:eastAsia="仿宋_GB2312"/>
          <w:sz w:val="28"/>
          <w:szCs w:val="28"/>
        </w:rPr>
        <w:t xml:space="preserve">16、设备可配置启用或关闭视频内容保护功能，启用该功能时可对视频图像码流（包括符合国标 GB/T 28181-2011 中编码规范要求的视频码流）进行随机混淆处理，即对每帧视频图像编码随机改变每帧视频数据报文中若干字节的内容后再进行网络传输。 </w:t>
      </w:r>
    </w:p>
    <w:p>
      <w:pPr>
        <w:spacing w:line="360" w:lineRule="auto"/>
        <w:ind w:firstLine="560" w:firstLineChars="200"/>
        <w:rPr>
          <w:rFonts w:eastAsia="仿宋_GB2312"/>
          <w:sz w:val="28"/>
          <w:szCs w:val="28"/>
        </w:rPr>
      </w:pPr>
      <w:r>
        <w:rPr>
          <w:rFonts w:hint="eastAsia" w:eastAsia="仿宋_GB2312"/>
          <w:sz w:val="28"/>
          <w:szCs w:val="28"/>
        </w:rPr>
        <w:t xml:space="preserve">17、通过提取设备通信网络数据包方式获得的经过数字随机混淆处理的视频码流无法正常播放。 </w:t>
      </w:r>
    </w:p>
    <w:p>
      <w:pPr>
        <w:spacing w:line="360" w:lineRule="auto"/>
        <w:ind w:firstLine="560" w:firstLineChars="200"/>
        <w:rPr>
          <w:rFonts w:eastAsia="仿宋_GB2312"/>
          <w:sz w:val="28"/>
          <w:szCs w:val="28"/>
        </w:rPr>
      </w:pPr>
      <w:r>
        <w:rPr>
          <w:rFonts w:hint="eastAsia" w:eastAsia="仿宋_GB2312"/>
          <w:sz w:val="28"/>
          <w:szCs w:val="28"/>
        </w:rPr>
        <w:t xml:space="preserve">18、将经过设备视频内容保护处理的视频转换为普通视频（可被通用播放器正常播放）需要单独授权。 </w:t>
      </w:r>
    </w:p>
    <w:p>
      <w:pPr>
        <w:spacing w:line="360" w:lineRule="auto"/>
        <w:ind w:firstLine="560" w:firstLineChars="200"/>
        <w:rPr>
          <w:rFonts w:eastAsia="仿宋_GB2312"/>
          <w:sz w:val="28"/>
          <w:szCs w:val="28"/>
        </w:rPr>
      </w:pPr>
      <w:r>
        <w:rPr>
          <w:rFonts w:hint="eastAsia" w:eastAsia="仿宋_GB2312"/>
          <w:sz w:val="28"/>
          <w:szCs w:val="28"/>
        </w:rPr>
        <w:t xml:space="preserve">19、设备可支持内置数字证书，并支持采用数字证书对解码秘钥进行加密。 </w:t>
      </w:r>
    </w:p>
    <w:p>
      <w:pPr>
        <w:spacing w:line="360" w:lineRule="auto"/>
        <w:ind w:firstLine="560" w:firstLineChars="200"/>
        <w:rPr>
          <w:rFonts w:eastAsia="仿宋_GB2312"/>
          <w:sz w:val="28"/>
          <w:szCs w:val="28"/>
        </w:rPr>
      </w:pPr>
      <w:r>
        <w:rPr>
          <w:rFonts w:hint="eastAsia" w:eastAsia="仿宋_GB2312"/>
          <w:sz w:val="28"/>
          <w:szCs w:val="28"/>
        </w:rPr>
        <w:t>20、设备启用视频内容保护功能后，视频码流中的解码秘钥应能够周期性动态变化，变化周期可设置为10分钟至1个月。</w:t>
      </w:r>
    </w:p>
    <w:p>
      <w:pPr>
        <w:spacing w:line="360" w:lineRule="auto"/>
        <w:ind w:firstLine="560" w:firstLineChars="200"/>
        <w:rPr>
          <w:rFonts w:eastAsia="仿宋_GB2312"/>
          <w:sz w:val="28"/>
          <w:szCs w:val="28"/>
        </w:rPr>
      </w:pPr>
      <w:r>
        <w:rPr>
          <w:rFonts w:hint="eastAsia" w:eastAsia="仿宋_GB2312"/>
          <w:sz w:val="28"/>
          <w:szCs w:val="28"/>
        </w:rPr>
        <w:t>21、IP66防护等级。</w:t>
      </w:r>
    </w:p>
    <w:p>
      <w:pPr>
        <w:spacing w:line="360" w:lineRule="auto"/>
        <w:ind w:firstLine="562" w:firstLineChars="200"/>
        <w:rPr>
          <w:rFonts w:eastAsia="仿宋_GB2312"/>
          <w:b/>
          <w:bCs/>
          <w:sz w:val="28"/>
          <w:szCs w:val="28"/>
        </w:rPr>
      </w:pPr>
      <w:r>
        <w:rPr>
          <w:rFonts w:eastAsia="仿宋_GB2312"/>
          <w:b/>
          <w:bCs/>
          <w:sz w:val="28"/>
          <w:szCs w:val="28"/>
        </w:rPr>
        <w:t>9</w:t>
      </w:r>
      <w:r>
        <w:rPr>
          <w:rFonts w:hint="eastAsia" w:eastAsia="仿宋_GB2312"/>
          <w:b/>
          <w:bCs/>
          <w:sz w:val="28"/>
          <w:szCs w:val="28"/>
        </w:rPr>
        <w:t>00万像素人车一体抓拍机主要技术参数参考指标</w:t>
      </w:r>
    </w:p>
    <w:p>
      <w:pPr>
        <w:spacing w:line="360" w:lineRule="auto"/>
        <w:ind w:firstLine="560" w:firstLineChars="200"/>
        <w:rPr>
          <w:rFonts w:eastAsia="仿宋_GB2312"/>
          <w:sz w:val="28"/>
          <w:szCs w:val="28"/>
        </w:rPr>
      </w:pPr>
      <w:r>
        <w:rPr>
          <w:rFonts w:hint="eastAsia" w:eastAsia="仿宋_GB2312"/>
          <w:sz w:val="28"/>
          <w:szCs w:val="28"/>
        </w:rPr>
        <w:t>1、900万像素图像传感器，靶面尺寸不小于1英寸。</w:t>
      </w:r>
    </w:p>
    <w:p>
      <w:pPr>
        <w:spacing w:line="360" w:lineRule="auto"/>
        <w:ind w:firstLine="560" w:firstLineChars="200"/>
        <w:rPr>
          <w:rFonts w:eastAsia="仿宋_GB2312"/>
          <w:sz w:val="28"/>
          <w:szCs w:val="28"/>
        </w:rPr>
      </w:pPr>
      <w:r>
        <w:rPr>
          <w:rFonts w:hint="eastAsia" w:eastAsia="仿宋_GB2312"/>
          <w:sz w:val="28"/>
          <w:szCs w:val="28"/>
        </w:rPr>
        <w:t>2、支持焦距11-40mm P-iris高清步进光圈镜头和DC-IRIS变焦镜头。</w:t>
      </w:r>
    </w:p>
    <w:p>
      <w:pPr>
        <w:spacing w:line="360" w:lineRule="auto"/>
        <w:ind w:firstLine="560" w:firstLineChars="200"/>
        <w:rPr>
          <w:rFonts w:eastAsia="仿宋_GB2312"/>
          <w:sz w:val="28"/>
          <w:szCs w:val="28"/>
        </w:rPr>
      </w:pPr>
      <w:r>
        <w:rPr>
          <w:rFonts w:hint="eastAsia" w:eastAsia="仿宋_GB2312"/>
          <w:sz w:val="28"/>
          <w:szCs w:val="28"/>
        </w:rPr>
        <w:t>3、图像分辨率不小于4096×2160，帧率1-25帧可调。</w:t>
      </w:r>
    </w:p>
    <w:p>
      <w:pPr>
        <w:spacing w:line="360" w:lineRule="auto"/>
        <w:ind w:firstLine="560" w:firstLineChars="200"/>
        <w:rPr>
          <w:rFonts w:eastAsia="仿宋_GB2312"/>
          <w:sz w:val="28"/>
          <w:szCs w:val="28"/>
        </w:rPr>
      </w:pPr>
      <w:r>
        <w:rPr>
          <w:rFonts w:hint="eastAsia" w:eastAsia="仿宋_GB2312"/>
          <w:sz w:val="28"/>
          <w:szCs w:val="28"/>
        </w:rPr>
        <w:t>4、前端抓拍设备支持网络串接，支持电口或者SFP口接入网络。</w:t>
      </w:r>
    </w:p>
    <w:p>
      <w:pPr>
        <w:spacing w:line="360" w:lineRule="auto"/>
        <w:ind w:firstLine="560" w:firstLineChars="200"/>
        <w:rPr>
          <w:rFonts w:eastAsia="仿宋_GB2312"/>
          <w:sz w:val="28"/>
          <w:szCs w:val="28"/>
        </w:rPr>
      </w:pPr>
      <w:r>
        <w:rPr>
          <w:rFonts w:hint="eastAsia" w:eastAsia="仿宋_GB2312"/>
          <w:sz w:val="28"/>
          <w:szCs w:val="28"/>
        </w:rPr>
        <w:t>5、具有本地存储功能，可将图像信息存储在eMMC存储芯片上，存储空间不小于32G。</w:t>
      </w:r>
    </w:p>
    <w:p>
      <w:pPr>
        <w:spacing w:line="360" w:lineRule="auto"/>
        <w:ind w:firstLine="560" w:firstLineChars="200"/>
        <w:rPr>
          <w:rFonts w:eastAsia="仿宋_GB2312"/>
          <w:sz w:val="28"/>
          <w:szCs w:val="28"/>
        </w:rPr>
      </w:pPr>
      <w:r>
        <w:rPr>
          <w:rFonts w:hint="eastAsia" w:eastAsia="仿宋_GB2312"/>
          <w:sz w:val="28"/>
          <w:szCs w:val="28"/>
        </w:rPr>
        <w:t>6、设备应支持白光爆闪、红外爆闪、白光频闪和常亮等补光模式，并具有自定义时间和自动切换功能。</w:t>
      </w:r>
    </w:p>
    <w:p>
      <w:pPr>
        <w:spacing w:line="360" w:lineRule="auto"/>
        <w:ind w:firstLine="560" w:firstLineChars="200"/>
        <w:rPr>
          <w:rFonts w:eastAsia="仿宋_GB2312"/>
          <w:sz w:val="28"/>
          <w:szCs w:val="28"/>
        </w:rPr>
      </w:pPr>
      <w:r>
        <w:rPr>
          <w:rFonts w:hint="eastAsia" w:eastAsia="仿宋_GB2312"/>
          <w:sz w:val="28"/>
          <w:szCs w:val="28"/>
        </w:rPr>
        <w:t>7、设备支持视频、地感线圈、雷达触发方式中的一种或多种，且可通过WEB界面配置，同时支持视频与雷达、线圈检测自动切换功能。在以上触发方式下，白天和晚上的捕获率均不小于99.5%。</w:t>
      </w:r>
    </w:p>
    <w:p>
      <w:pPr>
        <w:spacing w:line="360" w:lineRule="auto"/>
        <w:ind w:firstLine="560" w:firstLineChars="200"/>
        <w:rPr>
          <w:rFonts w:eastAsia="仿宋_GB2312"/>
          <w:sz w:val="28"/>
          <w:szCs w:val="28"/>
        </w:rPr>
      </w:pPr>
      <w:r>
        <w:rPr>
          <w:rFonts w:hint="eastAsia" w:eastAsia="仿宋_GB2312"/>
          <w:sz w:val="28"/>
          <w:szCs w:val="28"/>
        </w:rPr>
        <w:t>8、同时支持播放比例匹配、录像预案、视频来源配置功能。</w:t>
      </w:r>
    </w:p>
    <w:p>
      <w:pPr>
        <w:spacing w:line="360" w:lineRule="auto"/>
        <w:ind w:firstLine="560" w:firstLineChars="200"/>
        <w:rPr>
          <w:rFonts w:eastAsia="仿宋_GB2312"/>
          <w:sz w:val="28"/>
          <w:szCs w:val="28"/>
        </w:rPr>
      </w:pPr>
      <w:r>
        <w:rPr>
          <w:rFonts w:hint="eastAsia" w:eastAsia="仿宋_GB2312"/>
          <w:sz w:val="28"/>
          <w:szCs w:val="28"/>
        </w:rPr>
        <w:t>9、实况OSD不少于透明、空心、描边、背景和反色5种效果；照片OSD不少于透明、背景和反色3种效果。</w:t>
      </w:r>
    </w:p>
    <w:p>
      <w:pPr>
        <w:spacing w:line="360" w:lineRule="auto"/>
        <w:ind w:firstLine="560" w:firstLineChars="200"/>
        <w:rPr>
          <w:rFonts w:eastAsia="仿宋_GB2312"/>
          <w:sz w:val="28"/>
          <w:szCs w:val="28"/>
        </w:rPr>
      </w:pPr>
      <w:r>
        <w:rPr>
          <w:rFonts w:hint="eastAsia" w:eastAsia="仿宋_GB2312"/>
          <w:sz w:val="28"/>
          <w:szCs w:val="28"/>
        </w:rPr>
        <w:t>10、包含新能源车牌前提下,车辆号牌白天、晚上识别准确率不小于99.5%。</w:t>
      </w:r>
    </w:p>
    <w:p>
      <w:pPr>
        <w:spacing w:line="360" w:lineRule="auto"/>
        <w:ind w:firstLine="560" w:firstLineChars="200"/>
        <w:rPr>
          <w:rFonts w:eastAsia="仿宋_GB2312"/>
          <w:sz w:val="28"/>
          <w:szCs w:val="28"/>
        </w:rPr>
      </w:pPr>
      <w:r>
        <w:rPr>
          <w:rFonts w:hint="eastAsia" w:eastAsia="仿宋_GB2312"/>
          <w:sz w:val="28"/>
          <w:szCs w:val="28"/>
        </w:rPr>
        <w:t>11、具有对使馆、朝鲜、农用车、泥头车、民航、湛钢等特殊车牌识别功能。</w:t>
      </w:r>
    </w:p>
    <w:p>
      <w:pPr>
        <w:spacing w:line="360" w:lineRule="auto"/>
        <w:ind w:firstLine="560" w:firstLineChars="200"/>
        <w:rPr>
          <w:rFonts w:eastAsia="仿宋_GB2312"/>
          <w:sz w:val="28"/>
          <w:szCs w:val="28"/>
        </w:rPr>
      </w:pPr>
      <w:r>
        <w:rPr>
          <w:rFonts w:hint="eastAsia" w:eastAsia="仿宋_GB2312"/>
          <w:sz w:val="28"/>
          <w:szCs w:val="28"/>
        </w:rPr>
        <w:t>12、具备无牌车辆处理功能检查，支持对无牌车辆进行过滤，可选是否生成通行记录、违法记录。</w:t>
      </w:r>
    </w:p>
    <w:p>
      <w:pPr>
        <w:spacing w:line="360" w:lineRule="auto"/>
        <w:ind w:firstLine="560" w:firstLineChars="200"/>
        <w:rPr>
          <w:rFonts w:eastAsia="仿宋_GB2312"/>
          <w:sz w:val="28"/>
          <w:szCs w:val="28"/>
        </w:rPr>
      </w:pPr>
      <w:r>
        <w:rPr>
          <w:rFonts w:hint="eastAsia" w:eastAsia="仿宋_GB2312"/>
          <w:sz w:val="28"/>
          <w:szCs w:val="28"/>
        </w:rPr>
        <w:t>13、支持非机动车道人脸抓拍识别。</w:t>
      </w:r>
    </w:p>
    <w:p>
      <w:pPr>
        <w:spacing w:line="360" w:lineRule="auto"/>
        <w:ind w:firstLine="560" w:firstLineChars="200"/>
        <w:rPr>
          <w:rFonts w:eastAsia="仿宋_GB2312"/>
          <w:sz w:val="28"/>
          <w:szCs w:val="28"/>
        </w:rPr>
      </w:pPr>
      <w:r>
        <w:rPr>
          <w:rFonts w:hint="eastAsia" w:eastAsia="仿宋_GB2312"/>
          <w:sz w:val="28"/>
          <w:szCs w:val="28"/>
        </w:rPr>
        <w:t>14、支持开车打电话、未系安全带检测功能，全天检出率不小于98％，误检率不大于2％。</w:t>
      </w:r>
    </w:p>
    <w:p>
      <w:pPr>
        <w:spacing w:line="360" w:lineRule="auto"/>
        <w:ind w:firstLine="560" w:firstLineChars="200"/>
        <w:rPr>
          <w:rFonts w:eastAsia="仿宋_GB2312"/>
          <w:sz w:val="28"/>
          <w:szCs w:val="28"/>
        </w:rPr>
      </w:pPr>
      <w:r>
        <w:rPr>
          <w:rFonts w:hint="eastAsia" w:eastAsia="仿宋_GB2312"/>
          <w:sz w:val="28"/>
          <w:szCs w:val="28"/>
        </w:rPr>
        <w:t>15、支持3600种车辆子品牌识别，全天识别准确率不小于95％。</w:t>
      </w:r>
    </w:p>
    <w:p>
      <w:pPr>
        <w:spacing w:line="360" w:lineRule="auto"/>
        <w:ind w:firstLine="560" w:firstLineChars="200"/>
        <w:rPr>
          <w:rFonts w:eastAsia="仿宋_GB2312"/>
          <w:sz w:val="28"/>
          <w:szCs w:val="28"/>
        </w:rPr>
      </w:pPr>
      <w:r>
        <w:rPr>
          <w:rFonts w:hint="eastAsia" w:eastAsia="仿宋_GB2312"/>
          <w:sz w:val="28"/>
          <w:szCs w:val="28"/>
        </w:rPr>
        <w:t>16、支持登录安全性、数据安全性、服务及端口安全性、网络协议安全检测。</w:t>
      </w:r>
    </w:p>
    <w:p>
      <w:pPr>
        <w:spacing w:line="360" w:lineRule="auto"/>
        <w:ind w:firstLine="560" w:firstLineChars="200"/>
        <w:rPr>
          <w:rFonts w:eastAsia="仿宋_GB2312"/>
          <w:sz w:val="28"/>
          <w:szCs w:val="28"/>
        </w:rPr>
      </w:pPr>
      <w:r>
        <w:rPr>
          <w:rFonts w:hint="eastAsia" w:eastAsia="仿宋_GB2312"/>
          <w:sz w:val="28"/>
          <w:szCs w:val="28"/>
        </w:rPr>
        <w:t>17、支持ARP防攻击、IP地址访问控制、IP地址搜索功能。</w:t>
      </w:r>
    </w:p>
    <w:p>
      <w:pPr>
        <w:spacing w:line="360" w:lineRule="auto"/>
        <w:ind w:firstLine="560" w:firstLineChars="200"/>
        <w:rPr>
          <w:rFonts w:eastAsia="仿宋_GB2312"/>
          <w:sz w:val="28"/>
          <w:szCs w:val="28"/>
        </w:rPr>
      </w:pPr>
      <w:r>
        <w:rPr>
          <w:rFonts w:hint="eastAsia" w:eastAsia="仿宋_GB2312"/>
          <w:sz w:val="28"/>
          <w:szCs w:val="28"/>
        </w:rPr>
        <w:t>18、设备护罩支持侧开方式。</w:t>
      </w:r>
    </w:p>
    <w:p>
      <w:pPr>
        <w:spacing w:line="360" w:lineRule="auto"/>
        <w:ind w:firstLine="560" w:firstLineChars="200"/>
        <w:rPr>
          <w:rFonts w:eastAsia="仿宋_GB2312"/>
          <w:sz w:val="28"/>
          <w:szCs w:val="28"/>
        </w:rPr>
      </w:pPr>
      <w:r>
        <w:rPr>
          <w:rFonts w:hint="eastAsia" w:eastAsia="仿宋_GB2312"/>
          <w:sz w:val="28"/>
          <w:szCs w:val="28"/>
        </w:rPr>
        <w:t>19、防护等级不低于IP67。</w:t>
      </w:r>
    </w:p>
    <w:p>
      <w:pPr>
        <w:spacing w:line="360" w:lineRule="auto"/>
        <w:ind w:firstLine="562" w:firstLineChars="200"/>
        <w:rPr>
          <w:rFonts w:eastAsia="仿宋_GB2312"/>
          <w:b/>
          <w:bCs/>
          <w:sz w:val="28"/>
          <w:szCs w:val="28"/>
        </w:rPr>
      </w:pPr>
      <w:r>
        <w:rPr>
          <w:rFonts w:hint="eastAsia" w:eastAsia="仿宋_GB2312"/>
          <w:b/>
          <w:bCs/>
          <w:sz w:val="28"/>
          <w:szCs w:val="28"/>
        </w:rPr>
        <w:t>枪型摄像机镜头要求</w:t>
      </w:r>
    </w:p>
    <w:p>
      <w:pPr>
        <w:spacing w:line="360" w:lineRule="auto"/>
        <w:ind w:firstLine="560" w:firstLineChars="200"/>
        <w:rPr>
          <w:rFonts w:eastAsia="仿宋_GB2312"/>
          <w:sz w:val="28"/>
          <w:szCs w:val="28"/>
        </w:rPr>
      </w:pPr>
      <w:r>
        <w:rPr>
          <w:rFonts w:hint="eastAsia" w:eastAsia="仿宋_GB2312"/>
          <w:sz w:val="28"/>
          <w:szCs w:val="28"/>
        </w:rPr>
        <w:t>镜头靶面尺寸同摄像机，采用自动光圈，具体按现场要求配置。镜头像数不低于摄像机像数。镜头的接口类型与摄像机的接口一致。</w:t>
      </w:r>
    </w:p>
    <w:p>
      <w:pPr>
        <w:spacing w:line="360" w:lineRule="auto"/>
        <w:ind w:firstLine="562" w:firstLineChars="200"/>
        <w:rPr>
          <w:rFonts w:eastAsia="仿宋_GB2312"/>
          <w:b/>
          <w:bCs/>
          <w:sz w:val="28"/>
          <w:szCs w:val="28"/>
        </w:rPr>
      </w:pPr>
      <w:r>
        <w:rPr>
          <w:rFonts w:hint="eastAsia" w:eastAsia="仿宋_GB2312"/>
          <w:b/>
          <w:bCs/>
          <w:sz w:val="28"/>
          <w:szCs w:val="28"/>
        </w:rPr>
        <w:t>枪型摄像机室外护罩要求</w:t>
      </w:r>
    </w:p>
    <w:p>
      <w:pPr>
        <w:spacing w:line="360" w:lineRule="auto"/>
        <w:ind w:firstLine="560" w:firstLineChars="200"/>
        <w:rPr>
          <w:rFonts w:eastAsia="仿宋_GB2312"/>
          <w:sz w:val="28"/>
          <w:szCs w:val="28"/>
        </w:rPr>
      </w:pPr>
      <w:r>
        <w:rPr>
          <w:rFonts w:hint="eastAsia" w:eastAsia="仿宋_GB2312"/>
          <w:sz w:val="28"/>
          <w:szCs w:val="28"/>
        </w:rPr>
        <w:t>枪机室外防护罩应满足如下要求：</w:t>
      </w:r>
    </w:p>
    <w:p>
      <w:pPr>
        <w:spacing w:line="360" w:lineRule="auto"/>
        <w:ind w:firstLine="560" w:firstLineChars="200"/>
        <w:rPr>
          <w:rFonts w:eastAsia="仿宋_GB2312"/>
          <w:sz w:val="28"/>
          <w:szCs w:val="28"/>
        </w:rPr>
      </w:pPr>
      <w:r>
        <w:rPr>
          <w:rFonts w:hint="eastAsia" w:eastAsia="仿宋_GB2312"/>
          <w:sz w:val="28"/>
          <w:szCs w:val="28"/>
        </w:rPr>
        <w:t>1、防护等级IP66以上；</w:t>
      </w:r>
    </w:p>
    <w:p>
      <w:pPr>
        <w:spacing w:line="360" w:lineRule="auto"/>
        <w:ind w:firstLine="560" w:firstLineChars="200"/>
        <w:rPr>
          <w:rFonts w:eastAsia="仿宋_GB2312"/>
          <w:sz w:val="28"/>
          <w:szCs w:val="28"/>
        </w:rPr>
      </w:pPr>
      <w:r>
        <w:rPr>
          <w:rFonts w:hint="eastAsia" w:eastAsia="仿宋_GB2312"/>
          <w:sz w:val="28"/>
          <w:szCs w:val="28"/>
        </w:rPr>
        <w:t>2、压铸铝结构，聚酯粉末涂层；</w:t>
      </w:r>
    </w:p>
    <w:p>
      <w:pPr>
        <w:spacing w:line="360" w:lineRule="auto"/>
        <w:ind w:firstLine="560" w:firstLineChars="200"/>
        <w:rPr>
          <w:rFonts w:eastAsia="仿宋_GB2312"/>
          <w:sz w:val="28"/>
          <w:szCs w:val="28"/>
        </w:rPr>
      </w:pPr>
      <w:r>
        <w:rPr>
          <w:rFonts w:hint="eastAsia" w:eastAsia="仿宋_GB2312"/>
          <w:sz w:val="28"/>
          <w:szCs w:val="28"/>
        </w:rPr>
        <w:t>3、内部空间应能容纳相应摄像机和镜头组合；</w:t>
      </w:r>
    </w:p>
    <w:p>
      <w:pPr>
        <w:spacing w:line="360" w:lineRule="auto"/>
        <w:ind w:firstLine="560" w:firstLineChars="200"/>
        <w:rPr>
          <w:rFonts w:eastAsia="仿宋_GB2312"/>
          <w:sz w:val="28"/>
          <w:szCs w:val="28"/>
        </w:rPr>
      </w:pPr>
      <w:r>
        <w:rPr>
          <w:rFonts w:hint="eastAsia" w:eastAsia="仿宋_GB2312"/>
          <w:sz w:val="28"/>
          <w:szCs w:val="28"/>
        </w:rPr>
        <w:t>支架是摄像机安装固定的重要组件，应根据摄像机安装的位置，合理选择壁装支架或吊装支架。应具备抵抗腐蚀及电化学反应的能力。</w:t>
      </w:r>
    </w:p>
    <w:p>
      <w:pPr>
        <w:numPr>
          <w:ilvl w:val="0"/>
          <w:numId w:val="10"/>
        </w:numPr>
        <w:spacing w:line="360" w:lineRule="auto"/>
        <w:rPr>
          <w:rFonts w:eastAsia="仿宋_GB2312"/>
          <w:b/>
          <w:sz w:val="28"/>
          <w:szCs w:val="28"/>
        </w:rPr>
      </w:pPr>
      <w:r>
        <w:rPr>
          <w:rFonts w:hint="eastAsia" w:eastAsia="仿宋_GB2312"/>
          <w:b/>
          <w:sz w:val="28"/>
          <w:szCs w:val="28"/>
        </w:rPr>
        <w:t>本期人脸车脸摄像机根据现场勘点情况，前端相机需要配置多种不同规格的相机，具体每种规格相机应达到如下技术指标：</w:t>
      </w:r>
    </w:p>
    <w:p>
      <w:pPr>
        <w:spacing w:line="360" w:lineRule="auto"/>
        <w:ind w:left="140" w:firstLine="420"/>
        <w:rPr>
          <w:rFonts w:eastAsia="仿宋_GB2312"/>
          <w:b/>
          <w:bCs/>
          <w:sz w:val="28"/>
          <w:szCs w:val="28"/>
        </w:rPr>
      </w:pPr>
      <w:r>
        <w:rPr>
          <w:rFonts w:eastAsia="仿宋_GB2312"/>
          <w:b/>
          <w:sz w:val="28"/>
          <w:szCs w:val="28"/>
        </w:rPr>
        <w:t>200</w:t>
      </w:r>
      <w:r>
        <w:rPr>
          <w:rFonts w:hint="eastAsia" w:eastAsia="仿宋_GB2312"/>
          <w:b/>
          <w:sz w:val="28"/>
          <w:szCs w:val="28"/>
        </w:rPr>
        <w:t>万室内人脸抓拍筒机，</w:t>
      </w:r>
      <w:r>
        <w:rPr>
          <w:rFonts w:hint="eastAsia" w:eastAsia="仿宋_GB2312"/>
          <w:b/>
          <w:bCs/>
          <w:sz w:val="28"/>
          <w:szCs w:val="28"/>
        </w:rPr>
        <w:t>主要技术参数参考指标：</w:t>
      </w:r>
    </w:p>
    <w:p>
      <w:pPr>
        <w:spacing w:line="360" w:lineRule="auto"/>
        <w:ind w:firstLine="560" w:firstLineChars="200"/>
        <w:rPr>
          <w:rFonts w:eastAsia="仿宋_GB2312"/>
          <w:sz w:val="28"/>
          <w:szCs w:val="28"/>
        </w:rPr>
      </w:pPr>
      <w:r>
        <w:rPr>
          <w:rFonts w:hint="eastAsia" w:eastAsia="仿宋_GB2312"/>
          <w:sz w:val="28"/>
          <w:szCs w:val="28"/>
        </w:rPr>
        <w:t>1、靶面尺寸1/1.8英寸，内置一个8GeMMC芯片、1个MA2450GPU芯片。</w:t>
      </w:r>
    </w:p>
    <w:p>
      <w:pPr>
        <w:spacing w:line="360" w:lineRule="auto"/>
        <w:ind w:firstLine="560" w:firstLineChars="200"/>
        <w:rPr>
          <w:rFonts w:eastAsia="仿宋_GB2312"/>
          <w:sz w:val="28"/>
          <w:szCs w:val="28"/>
        </w:rPr>
      </w:pPr>
      <w:r>
        <w:rPr>
          <w:rFonts w:hint="eastAsia" w:eastAsia="仿宋_GB2312"/>
          <w:sz w:val="28"/>
          <w:szCs w:val="28"/>
        </w:rPr>
        <w:t>2、照度≥135dB，宽动态能力≥136，信噪比≥61dB，亮度等级≥11级。</w:t>
      </w:r>
    </w:p>
    <w:p>
      <w:pPr>
        <w:spacing w:line="360" w:lineRule="auto"/>
        <w:ind w:firstLine="560" w:firstLineChars="200"/>
        <w:rPr>
          <w:rFonts w:eastAsia="仿宋_GB2312"/>
          <w:sz w:val="28"/>
          <w:szCs w:val="28"/>
        </w:rPr>
      </w:pPr>
      <w:r>
        <w:rPr>
          <w:rFonts w:hint="eastAsia" w:eastAsia="仿宋_GB2312"/>
          <w:sz w:val="28"/>
          <w:szCs w:val="28"/>
        </w:rPr>
        <w:t>3、最低照度：彩色0.0002lx，黑白0.0001lx。</w:t>
      </w:r>
    </w:p>
    <w:p>
      <w:pPr>
        <w:spacing w:line="360" w:lineRule="auto"/>
        <w:ind w:firstLine="560" w:firstLineChars="200"/>
        <w:rPr>
          <w:rFonts w:eastAsia="仿宋_GB2312"/>
          <w:sz w:val="28"/>
          <w:szCs w:val="28"/>
        </w:rPr>
      </w:pPr>
      <w:r>
        <w:rPr>
          <w:rFonts w:hint="eastAsia" w:eastAsia="仿宋_GB2312"/>
          <w:sz w:val="28"/>
          <w:szCs w:val="28"/>
        </w:rPr>
        <w:t>4、可对出现在监控场景内的两眼瞳距不小于20像素的人脸进行检测，同时叠加目标提示框。</w:t>
      </w:r>
    </w:p>
    <w:p>
      <w:pPr>
        <w:spacing w:line="360" w:lineRule="auto"/>
        <w:ind w:firstLine="560" w:firstLineChars="200"/>
        <w:rPr>
          <w:rFonts w:eastAsia="仿宋_GB2312"/>
          <w:sz w:val="28"/>
          <w:szCs w:val="28"/>
        </w:rPr>
      </w:pPr>
      <w:r>
        <w:rPr>
          <w:rFonts w:hint="eastAsia" w:eastAsia="仿宋_GB2312"/>
          <w:sz w:val="28"/>
          <w:szCs w:val="28"/>
        </w:rPr>
        <w:t>5、支持同时检测监控场景内出现的不少于40张人脸图片，并可进行抓拍机人脸跟踪。</w:t>
      </w:r>
    </w:p>
    <w:p>
      <w:pPr>
        <w:spacing w:line="360" w:lineRule="auto"/>
        <w:ind w:firstLine="560" w:firstLineChars="200"/>
        <w:rPr>
          <w:rFonts w:eastAsia="仿宋_GB2312"/>
          <w:sz w:val="28"/>
          <w:szCs w:val="28"/>
        </w:rPr>
      </w:pPr>
      <w:r>
        <w:rPr>
          <w:rFonts w:hint="eastAsia" w:eastAsia="仿宋_GB2312"/>
          <w:sz w:val="28"/>
          <w:szCs w:val="28"/>
        </w:rPr>
        <w:t>6、支持检出刘海遮挡眉毛、头发遮挡眼镜、戴普通眼镜、戴墨镜、戴帽子、半边脸、戴口罩、戴口罩侧脸等遮挡方式人脸。</w:t>
      </w:r>
    </w:p>
    <w:p>
      <w:pPr>
        <w:spacing w:line="360" w:lineRule="auto"/>
        <w:ind w:firstLine="560" w:firstLineChars="200"/>
        <w:rPr>
          <w:rFonts w:eastAsia="仿宋_GB2312"/>
          <w:sz w:val="28"/>
          <w:szCs w:val="28"/>
        </w:rPr>
      </w:pPr>
      <w:r>
        <w:rPr>
          <w:rFonts w:hint="eastAsia" w:eastAsia="仿宋_GB2312"/>
          <w:sz w:val="28"/>
          <w:szCs w:val="28"/>
        </w:rPr>
        <w:t>7、人脸检出标准不低于试验标准：采用5人依次循环通行进行试验，试验人员通过速度不小于1m/s，人员通过时间间隔不小于1s，重复20次，人脸检出人次达到100次。</w:t>
      </w:r>
    </w:p>
    <w:p>
      <w:pPr>
        <w:spacing w:line="360" w:lineRule="auto"/>
        <w:ind w:firstLine="560" w:firstLineChars="200"/>
        <w:rPr>
          <w:rFonts w:eastAsia="仿宋_GB2312"/>
          <w:sz w:val="28"/>
          <w:szCs w:val="28"/>
        </w:rPr>
      </w:pPr>
      <w:r>
        <w:rPr>
          <w:rFonts w:hint="eastAsia" w:eastAsia="仿宋_GB2312"/>
          <w:sz w:val="28"/>
          <w:szCs w:val="28"/>
        </w:rPr>
        <w:t>8、支持检出水平转动角不超过±90°、仰角不超过±65°、倾斜角不超过±45°姿态角度的人脸，支持在走廊模式下检测人脸并抓拍。</w:t>
      </w:r>
    </w:p>
    <w:p>
      <w:pPr>
        <w:spacing w:line="360" w:lineRule="auto"/>
        <w:ind w:firstLine="560" w:firstLineChars="200"/>
        <w:rPr>
          <w:rFonts w:eastAsia="仿宋_GB2312"/>
          <w:sz w:val="28"/>
          <w:szCs w:val="28"/>
        </w:rPr>
      </w:pPr>
      <w:r>
        <w:rPr>
          <w:rFonts w:hint="eastAsia" w:eastAsia="仿宋_GB2312"/>
          <w:sz w:val="28"/>
          <w:szCs w:val="28"/>
        </w:rPr>
        <w:t>9、人脸检测完成后，可通过平台客户端软件显示人员年龄段、性别、是否微笑以及是否戴眼镜信息。</w:t>
      </w:r>
    </w:p>
    <w:p>
      <w:pPr>
        <w:spacing w:line="360" w:lineRule="auto"/>
        <w:ind w:firstLine="560" w:firstLineChars="200"/>
        <w:rPr>
          <w:rFonts w:eastAsia="仿宋_GB2312"/>
          <w:sz w:val="28"/>
          <w:szCs w:val="28"/>
        </w:rPr>
      </w:pPr>
      <w:r>
        <w:rPr>
          <w:rFonts w:hint="eastAsia" w:eastAsia="仿宋_GB2312"/>
          <w:sz w:val="28"/>
          <w:szCs w:val="28"/>
        </w:rPr>
        <w:t>10、支持以ISCSI直存方式进行双路传输数据。</w:t>
      </w:r>
    </w:p>
    <w:p>
      <w:pPr>
        <w:spacing w:line="360" w:lineRule="auto"/>
        <w:ind w:firstLine="560" w:firstLineChars="200"/>
        <w:rPr>
          <w:rFonts w:eastAsia="仿宋_GB2312"/>
          <w:sz w:val="28"/>
          <w:szCs w:val="28"/>
        </w:rPr>
      </w:pPr>
      <w:r>
        <w:rPr>
          <w:rFonts w:hint="eastAsia" w:eastAsia="仿宋_GB2312"/>
          <w:sz w:val="28"/>
          <w:szCs w:val="28"/>
        </w:rPr>
        <w:t>1</w:t>
      </w:r>
      <w:r>
        <w:rPr>
          <w:rFonts w:eastAsia="仿宋_GB2312"/>
          <w:sz w:val="28"/>
          <w:szCs w:val="28"/>
        </w:rPr>
        <w:t>1</w:t>
      </w:r>
      <w:r>
        <w:rPr>
          <w:rFonts w:hint="eastAsia" w:eastAsia="仿宋_GB2312"/>
          <w:sz w:val="28"/>
          <w:szCs w:val="28"/>
        </w:rPr>
        <w:t>、防护等级不低于IP67。</w:t>
      </w:r>
    </w:p>
    <w:p>
      <w:pPr>
        <w:spacing w:line="360" w:lineRule="auto"/>
        <w:ind w:firstLine="562" w:firstLineChars="200"/>
        <w:rPr>
          <w:rFonts w:eastAsia="仿宋_GB2312"/>
          <w:b/>
          <w:bCs/>
          <w:sz w:val="28"/>
          <w:szCs w:val="28"/>
        </w:rPr>
      </w:pPr>
      <w:r>
        <w:rPr>
          <w:rFonts w:hint="eastAsia" w:eastAsia="仿宋_GB2312"/>
          <w:b/>
          <w:sz w:val="28"/>
          <w:szCs w:val="28"/>
        </w:rPr>
        <w:t>600万人脸抓拍枪机，</w:t>
      </w:r>
      <w:r>
        <w:rPr>
          <w:rFonts w:hint="eastAsia" w:eastAsia="仿宋_GB2312"/>
          <w:b/>
          <w:bCs/>
          <w:sz w:val="28"/>
          <w:szCs w:val="28"/>
        </w:rPr>
        <w:t>主要技术参数参考指标：</w:t>
      </w:r>
    </w:p>
    <w:p>
      <w:pPr>
        <w:spacing w:line="360" w:lineRule="auto"/>
        <w:ind w:firstLine="560" w:firstLineChars="200"/>
        <w:rPr>
          <w:rFonts w:eastAsia="仿宋_GB2312"/>
          <w:sz w:val="28"/>
          <w:szCs w:val="28"/>
        </w:rPr>
      </w:pPr>
      <w:r>
        <w:rPr>
          <w:rFonts w:hint="eastAsia" w:eastAsia="仿宋_GB2312"/>
          <w:sz w:val="28"/>
          <w:szCs w:val="28"/>
        </w:rPr>
        <w:t>1、靶面尺寸1/1.8"英寸，图像分辨率≥1800线。</w:t>
      </w:r>
    </w:p>
    <w:p>
      <w:pPr>
        <w:spacing w:line="360" w:lineRule="auto"/>
        <w:ind w:firstLine="560" w:firstLineChars="200"/>
        <w:rPr>
          <w:rFonts w:eastAsia="仿宋_GB2312"/>
          <w:sz w:val="28"/>
          <w:szCs w:val="28"/>
        </w:rPr>
      </w:pPr>
      <w:r>
        <w:rPr>
          <w:rFonts w:hint="eastAsia" w:eastAsia="仿宋_GB2312"/>
          <w:sz w:val="28"/>
          <w:szCs w:val="28"/>
        </w:rPr>
        <w:t>2、信噪比≥58dB，亮度等级≥11级，照度适应范围≥135dB，宽动态能力综合得分≥80。</w:t>
      </w:r>
    </w:p>
    <w:p>
      <w:pPr>
        <w:spacing w:line="360" w:lineRule="auto"/>
        <w:ind w:firstLine="560" w:firstLineChars="200"/>
        <w:rPr>
          <w:rFonts w:eastAsia="仿宋_GB2312"/>
          <w:sz w:val="28"/>
          <w:szCs w:val="28"/>
        </w:rPr>
      </w:pPr>
      <w:r>
        <w:rPr>
          <w:rFonts w:hint="eastAsia" w:eastAsia="仿宋_GB2312"/>
          <w:sz w:val="28"/>
          <w:szCs w:val="28"/>
        </w:rPr>
        <w:t>3、最低照度：彩色0.0005lx，黑白0.0001lx。</w:t>
      </w:r>
    </w:p>
    <w:p>
      <w:pPr>
        <w:spacing w:line="360" w:lineRule="auto"/>
        <w:ind w:firstLine="560" w:firstLineChars="200"/>
        <w:rPr>
          <w:rFonts w:eastAsia="仿宋_GB2312"/>
          <w:sz w:val="28"/>
          <w:szCs w:val="28"/>
        </w:rPr>
      </w:pPr>
      <w:r>
        <w:rPr>
          <w:rFonts w:hint="eastAsia" w:eastAsia="仿宋_GB2312"/>
          <w:sz w:val="28"/>
          <w:szCs w:val="28"/>
        </w:rPr>
        <w:t>4、支持宽动态条纹抑制功能，在IE浏览器下，可开启/关闭宽动态条纹抑制功能。能有效抑制摄像机在室内场景下产生的条纹，还原真实清晰图像。</w:t>
      </w:r>
    </w:p>
    <w:p>
      <w:pPr>
        <w:spacing w:line="360" w:lineRule="auto"/>
        <w:ind w:firstLine="560" w:firstLineChars="200"/>
        <w:rPr>
          <w:rFonts w:eastAsia="仿宋_GB2312"/>
          <w:sz w:val="28"/>
          <w:szCs w:val="28"/>
        </w:rPr>
      </w:pPr>
      <w:r>
        <w:rPr>
          <w:rFonts w:hint="eastAsia" w:eastAsia="仿宋_GB2312"/>
          <w:sz w:val="28"/>
          <w:szCs w:val="28"/>
        </w:rPr>
        <w:t>5、支持不少于H.265、H.264（Main Profile、High Profile、Baseline profile）、M-JPEG编码。</w:t>
      </w:r>
    </w:p>
    <w:p>
      <w:pPr>
        <w:spacing w:line="360" w:lineRule="auto"/>
        <w:ind w:firstLine="560" w:firstLineChars="200"/>
        <w:rPr>
          <w:rFonts w:eastAsia="仿宋_GB2312"/>
          <w:sz w:val="28"/>
          <w:szCs w:val="28"/>
        </w:rPr>
      </w:pPr>
      <w:r>
        <w:rPr>
          <w:rFonts w:hint="eastAsia" w:eastAsia="仿宋_GB2312"/>
          <w:sz w:val="28"/>
          <w:szCs w:val="28"/>
        </w:rPr>
        <w:t>6、支持智能编码功能，静态场景开启智能编码高级模式，比基础模式码流节省85%，动态场景下，开启智能编码高级模式，比基础模式码流节省50%。</w:t>
      </w:r>
    </w:p>
    <w:p>
      <w:pPr>
        <w:spacing w:line="360" w:lineRule="auto"/>
        <w:ind w:firstLine="560" w:firstLineChars="200"/>
        <w:rPr>
          <w:rFonts w:eastAsia="仿宋_GB2312"/>
          <w:sz w:val="28"/>
          <w:szCs w:val="28"/>
        </w:rPr>
      </w:pPr>
      <w:r>
        <w:rPr>
          <w:rFonts w:hint="eastAsia" w:eastAsia="仿宋_GB2312"/>
          <w:sz w:val="28"/>
          <w:szCs w:val="28"/>
        </w:rPr>
        <w:t>7、支持3码流，主码流3072×2048@30fps，子码流1920×1080@30fps，第三码流640×360@60fps。</w:t>
      </w:r>
    </w:p>
    <w:p>
      <w:pPr>
        <w:spacing w:line="360" w:lineRule="auto"/>
        <w:ind w:firstLine="560" w:firstLineChars="200"/>
        <w:rPr>
          <w:rFonts w:eastAsia="仿宋_GB2312"/>
          <w:sz w:val="28"/>
          <w:szCs w:val="28"/>
        </w:rPr>
      </w:pPr>
      <w:r>
        <w:rPr>
          <w:rFonts w:hint="eastAsia" w:eastAsia="仿宋_GB2312"/>
          <w:sz w:val="28"/>
          <w:szCs w:val="28"/>
        </w:rPr>
        <w:t>8、支持光学透雾，支持自动、开启、关闭光学透雾，透雾等级1~9级可调。</w:t>
      </w:r>
    </w:p>
    <w:p>
      <w:pPr>
        <w:spacing w:line="360" w:lineRule="auto"/>
        <w:ind w:firstLine="560" w:firstLineChars="200"/>
        <w:rPr>
          <w:rFonts w:eastAsia="仿宋_GB2312"/>
          <w:sz w:val="28"/>
          <w:szCs w:val="28"/>
        </w:rPr>
      </w:pPr>
      <w:r>
        <w:rPr>
          <w:rFonts w:hint="eastAsia" w:eastAsia="仿宋_GB2312"/>
          <w:sz w:val="28"/>
          <w:szCs w:val="28"/>
        </w:rPr>
        <w:t>9、支持移动侦测，当设定侦测区域内有目标移动时，可在客户端给出报警提示，可同时支持不少于18*22个区域的移动侦测。</w:t>
      </w:r>
    </w:p>
    <w:p>
      <w:pPr>
        <w:spacing w:line="360" w:lineRule="auto"/>
        <w:ind w:firstLine="560" w:firstLineChars="200"/>
        <w:rPr>
          <w:rFonts w:eastAsia="仿宋_GB2312"/>
          <w:sz w:val="28"/>
          <w:szCs w:val="28"/>
        </w:rPr>
      </w:pPr>
      <w:r>
        <w:rPr>
          <w:rFonts w:hint="eastAsia" w:eastAsia="仿宋_GB2312"/>
          <w:sz w:val="28"/>
          <w:szCs w:val="28"/>
        </w:rPr>
        <w:t>10、可通过客户端软件对画面中的不少于40个人脸进行检测和抓拍。</w:t>
      </w:r>
    </w:p>
    <w:p>
      <w:pPr>
        <w:spacing w:line="360" w:lineRule="auto"/>
        <w:ind w:firstLine="560" w:firstLineChars="200"/>
        <w:rPr>
          <w:rFonts w:eastAsia="仿宋_GB2312"/>
          <w:sz w:val="28"/>
          <w:szCs w:val="28"/>
        </w:rPr>
      </w:pPr>
      <w:r>
        <w:rPr>
          <w:rFonts w:hint="eastAsia" w:eastAsia="仿宋_GB2312"/>
          <w:sz w:val="28"/>
          <w:szCs w:val="28"/>
        </w:rPr>
        <w:t>11、叠加的OSD可在屏幕中滚动显示，支持添加图片OSD，支持通过RS485接口叠加OSD。</w:t>
      </w:r>
    </w:p>
    <w:p>
      <w:pPr>
        <w:spacing w:line="360" w:lineRule="auto"/>
        <w:ind w:firstLine="560" w:firstLineChars="200"/>
        <w:rPr>
          <w:rFonts w:eastAsia="仿宋_GB2312"/>
          <w:sz w:val="28"/>
          <w:szCs w:val="28"/>
        </w:rPr>
      </w:pPr>
      <w:r>
        <w:rPr>
          <w:rFonts w:hint="eastAsia" w:eastAsia="仿宋_GB2312"/>
          <w:sz w:val="28"/>
          <w:szCs w:val="28"/>
        </w:rPr>
        <w:t>12、摄像机具备人脸优选功能，支持将同一个人的多张人脸选择最优的进行编码传输。</w:t>
      </w:r>
    </w:p>
    <w:p>
      <w:pPr>
        <w:spacing w:line="360" w:lineRule="auto"/>
        <w:ind w:firstLine="560" w:firstLineChars="200"/>
        <w:rPr>
          <w:rFonts w:eastAsia="仿宋_GB2312"/>
          <w:sz w:val="28"/>
          <w:szCs w:val="28"/>
        </w:rPr>
      </w:pPr>
      <w:r>
        <w:rPr>
          <w:rFonts w:hint="eastAsia" w:eastAsia="仿宋_GB2312"/>
          <w:sz w:val="28"/>
          <w:szCs w:val="28"/>
        </w:rPr>
        <w:t>1</w:t>
      </w:r>
      <w:r>
        <w:rPr>
          <w:rFonts w:eastAsia="仿宋_GB2312"/>
          <w:sz w:val="28"/>
          <w:szCs w:val="28"/>
        </w:rPr>
        <w:t>3</w:t>
      </w:r>
      <w:r>
        <w:rPr>
          <w:rFonts w:hint="eastAsia" w:eastAsia="仿宋_GB2312"/>
          <w:sz w:val="28"/>
          <w:szCs w:val="28"/>
        </w:rPr>
        <w:t>、摄像机支持在走廊模式下检测人脸并抓拍。</w:t>
      </w:r>
    </w:p>
    <w:p>
      <w:pPr>
        <w:spacing w:line="360" w:lineRule="auto"/>
        <w:ind w:firstLine="560" w:firstLineChars="200"/>
        <w:rPr>
          <w:rFonts w:eastAsia="仿宋_GB2312"/>
          <w:sz w:val="28"/>
          <w:szCs w:val="28"/>
        </w:rPr>
      </w:pPr>
      <w:r>
        <w:rPr>
          <w:rFonts w:hint="eastAsia" w:eastAsia="仿宋_GB2312"/>
          <w:sz w:val="28"/>
          <w:szCs w:val="28"/>
        </w:rPr>
        <w:t>1</w:t>
      </w:r>
      <w:r>
        <w:rPr>
          <w:rFonts w:eastAsia="仿宋_GB2312"/>
          <w:sz w:val="28"/>
          <w:szCs w:val="28"/>
        </w:rPr>
        <w:t>4</w:t>
      </w:r>
      <w:r>
        <w:rPr>
          <w:rFonts w:hint="eastAsia" w:eastAsia="仿宋_GB2312"/>
          <w:sz w:val="28"/>
          <w:szCs w:val="28"/>
        </w:rPr>
        <w:t>、摄像机支持友好密码策略，启用友好密码策略，与摄像机处于同一网段地址时，可使用普通密码进行访问，跨网段的地址智能启用复杂度高的密码（至少8位，由大小写字母、数字、特殊字符组成）登陆和访问摄像机。</w:t>
      </w:r>
    </w:p>
    <w:p>
      <w:pPr>
        <w:spacing w:line="360" w:lineRule="auto"/>
        <w:ind w:firstLine="560" w:firstLineChars="200"/>
        <w:rPr>
          <w:rFonts w:eastAsia="仿宋_GB2312"/>
          <w:sz w:val="28"/>
          <w:szCs w:val="28"/>
        </w:rPr>
      </w:pPr>
      <w:r>
        <w:rPr>
          <w:rFonts w:hint="eastAsia" w:eastAsia="仿宋_GB2312"/>
          <w:sz w:val="28"/>
          <w:szCs w:val="28"/>
        </w:rPr>
        <w:t>1</w:t>
      </w:r>
      <w:r>
        <w:rPr>
          <w:rFonts w:eastAsia="仿宋_GB2312"/>
          <w:sz w:val="28"/>
          <w:szCs w:val="28"/>
        </w:rPr>
        <w:t>5</w:t>
      </w:r>
      <w:r>
        <w:rPr>
          <w:rFonts w:hint="eastAsia" w:eastAsia="仿宋_GB2312"/>
          <w:sz w:val="28"/>
          <w:szCs w:val="28"/>
        </w:rPr>
        <w:t>、具有网关ARP绑定功能，有效防范ARP攻击，提升安全性。</w:t>
      </w:r>
    </w:p>
    <w:p>
      <w:pPr>
        <w:spacing w:line="360" w:lineRule="auto"/>
        <w:ind w:firstLine="560" w:firstLineChars="200"/>
        <w:rPr>
          <w:rFonts w:eastAsia="仿宋_GB2312"/>
          <w:sz w:val="28"/>
          <w:szCs w:val="28"/>
        </w:rPr>
      </w:pPr>
      <w:r>
        <w:rPr>
          <w:rFonts w:hint="eastAsia" w:eastAsia="仿宋_GB2312"/>
          <w:sz w:val="28"/>
          <w:szCs w:val="28"/>
        </w:rPr>
        <w:t>1</w:t>
      </w:r>
      <w:r>
        <w:rPr>
          <w:rFonts w:eastAsia="仿宋_GB2312"/>
          <w:sz w:val="28"/>
          <w:szCs w:val="28"/>
        </w:rPr>
        <w:t>6</w:t>
      </w:r>
      <w:r>
        <w:rPr>
          <w:rFonts w:hint="eastAsia" w:eastAsia="仿宋_GB2312"/>
          <w:sz w:val="28"/>
          <w:szCs w:val="28"/>
        </w:rPr>
        <w:t>、设备防护等级不低于IP</w:t>
      </w:r>
      <w:r>
        <w:rPr>
          <w:rFonts w:eastAsia="仿宋_GB2312"/>
          <w:sz w:val="28"/>
          <w:szCs w:val="28"/>
        </w:rPr>
        <w:t>66</w:t>
      </w:r>
      <w:r>
        <w:rPr>
          <w:rFonts w:hint="eastAsia" w:eastAsia="仿宋_GB2312"/>
          <w:sz w:val="28"/>
          <w:szCs w:val="28"/>
        </w:rPr>
        <w:t>。</w:t>
      </w:r>
    </w:p>
    <w:p>
      <w:pPr>
        <w:spacing w:line="360" w:lineRule="auto"/>
        <w:ind w:firstLine="562" w:firstLineChars="200"/>
        <w:rPr>
          <w:rFonts w:eastAsia="仿宋_GB2312"/>
          <w:b/>
          <w:bCs/>
          <w:sz w:val="28"/>
          <w:szCs w:val="28"/>
        </w:rPr>
      </w:pPr>
      <w:r>
        <w:rPr>
          <w:rFonts w:eastAsia="仿宋_GB2312"/>
          <w:b/>
          <w:sz w:val="28"/>
          <w:szCs w:val="28"/>
        </w:rPr>
        <w:t>8</w:t>
      </w:r>
      <w:r>
        <w:rPr>
          <w:rFonts w:hint="eastAsia" w:eastAsia="仿宋_GB2312"/>
          <w:b/>
          <w:sz w:val="28"/>
          <w:szCs w:val="28"/>
        </w:rPr>
        <w:t>00万人脸抓拍枪机，</w:t>
      </w:r>
      <w:r>
        <w:rPr>
          <w:rFonts w:hint="eastAsia" w:eastAsia="仿宋_GB2312"/>
          <w:b/>
          <w:bCs/>
          <w:sz w:val="28"/>
          <w:szCs w:val="28"/>
        </w:rPr>
        <w:t>主要技术参数参考指标：</w:t>
      </w:r>
    </w:p>
    <w:p>
      <w:pPr>
        <w:spacing w:line="360" w:lineRule="auto"/>
        <w:ind w:firstLine="560" w:firstLineChars="200"/>
        <w:rPr>
          <w:rFonts w:eastAsia="仿宋_GB2312"/>
          <w:sz w:val="28"/>
          <w:szCs w:val="28"/>
        </w:rPr>
      </w:pPr>
      <w:r>
        <w:rPr>
          <w:rFonts w:hint="eastAsia" w:eastAsia="仿宋_GB2312"/>
          <w:sz w:val="28"/>
          <w:szCs w:val="28"/>
        </w:rPr>
        <w:t>1、靶面尺寸1/1.8英寸。</w:t>
      </w:r>
    </w:p>
    <w:p>
      <w:pPr>
        <w:spacing w:line="360" w:lineRule="auto"/>
        <w:ind w:firstLine="560" w:firstLineChars="200"/>
        <w:rPr>
          <w:rFonts w:eastAsia="仿宋_GB2312"/>
          <w:sz w:val="28"/>
          <w:szCs w:val="28"/>
        </w:rPr>
      </w:pPr>
      <w:r>
        <w:rPr>
          <w:rFonts w:hint="eastAsia" w:eastAsia="仿宋_GB2312"/>
          <w:sz w:val="28"/>
          <w:szCs w:val="28"/>
        </w:rPr>
        <w:t>2、最低照度，彩色：0.005，黑白：0.0001。</w:t>
      </w:r>
    </w:p>
    <w:p>
      <w:pPr>
        <w:spacing w:line="360" w:lineRule="auto"/>
        <w:ind w:firstLine="560" w:firstLineChars="200"/>
        <w:rPr>
          <w:rFonts w:eastAsia="仿宋_GB2312"/>
          <w:sz w:val="28"/>
          <w:szCs w:val="28"/>
        </w:rPr>
      </w:pPr>
      <w:r>
        <w:rPr>
          <w:rFonts w:hint="eastAsia" w:eastAsia="仿宋_GB2312"/>
          <w:sz w:val="28"/>
          <w:szCs w:val="28"/>
        </w:rPr>
        <w:t>3、在设定的侦测区域内具有目标移动时，可在客户端给出报警提示。</w:t>
      </w:r>
    </w:p>
    <w:p>
      <w:pPr>
        <w:spacing w:line="360" w:lineRule="auto"/>
        <w:ind w:firstLine="560" w:firstLineChars="200"/>
        <w:rPr>
          <w:rFonts w:eastAsia="仿宋_GB2312"/>
          <w:sz w:val="28"/>
          <w:szCs w:val="28"/>
        </w:rPr>
      </w:pPr>
      <w:r>
        <w:rPr>
          <w:rFonts w:hint="eastAsia" w:eastAsia="仿宋_GB2312"/>
          <w:sz w:val="28"/>
          <w:szCs w:val="28"/>
        </w:rPr>
        <w:t>4、具有认证模式，可通过IE浏览器或客户端设置身份认证模式，设置选项包括basic、digest和无三种选项。</w:t>
      </w:r>
    </w:p>
    <w:p>
      <w:pPr>
        <w:spacing w:line="360" w:lineRule="auto"/>
        <w:ind w:firstLine="560" w:firstLineChars="200"/>
        <w:rPr>
          <w:rFonts w:eastAsia="仿宋_GB2312"/>
          <w:sz w:val="28"/>
          <w:szCs w:val="28"/>
        </w:rPr>
      </w:pPr>
      <w:r>
        <w:rPr>
          <w:rFonts w:hint="eastAsia" w:eastAsia="仿宋_GB2312"/>
          <w:sz w:val="28"/>
          <w:szCs w:val="28"/>
        </w:rPr>
        <w:t>5、具有滚动OSD功能，可添加图片OSD。</w:t>
      </w:r>
    </w:p>
    <w:p>
      <w:pPr>
        <w:spacing w:line="360" w:lineRule="auto"/>
        <w:ind w:firstLine="560" w:firstLineChars="200"/>
        <w:rPr>
          <w:rFonts w:eastAsia="仿宋_GB2312"/>
          <w:sz w:val="28"/>
          <w:szCs w:val="28"/>
        </w:rPr>
      </w:pPr>
      <w:r>
        <w:rPr>
          <w:rFonts w:hint="eastAsia" w:eastAsia="仿宋_GB2312"/>
          <w:sz w:val="28"/>
          <w:szCs w:val="28"/>
        </w:rPr>
        <w:t>6、可识别距相机100m处的人体轮廓。</w:t>
      </w:r>
    </w:p>
    <w:p>
      <w:pPr>
        <w:spacing w:line="360" w:lineRule="auto"/>
        <w:ind w:firstLine="560" w:firstLineChars="200"/>
        <w:rPr>
          <w:rFonts w:eastAsia="仿宋_GB2312"/>
          <w:sz w:val="28"/>
          <w:szCs w:val="28"/>
        </w:rPr>
      </w:pPr>
      <w:r>
        <w:rPr>
          <w:rFonts w:hint="eastAsia" w:eastAsia="仿宋_GB2312"/>
          <w:sz w:val="28"/>
          <w:szCs w:val="28"/>
        </w:rPr>
        <w:t>7、可对出现在监控场景内的两眼瞳距不小于40像素的人脸进行检测，同时叠加目标提示框。支持人脸抓拍，可通过客户端软件对画面中不少于40个人脸进行检测和抓拍。人脸检出率不小于99%。可选择全屏或者绘制任意多边形作为人脸检测区域。</w:t>
      </w:r>
    </w:p>
    <w:p>
      <w:pPr>
        <w:spacing w:line="360" w:lineRule="auto"/>
        <w:ind w:firstLine="560" w:firstLineChars="200"/>
        <w:rPr>
          <w:rFonts w:eastAsia="仿宋_GB2312"/>
          <w:sz w:val="28"/>
          <w:szCs w:val="28"/>
        </w:rPr>
      </w:pPr>
      <w:r>
        <w:rPr>
          <w:rFonts w:hint="eastAsia" w:eastAsia="仿宋_GB2312"/>
          <w:sz w:val="28"/>
          <w:szCs w:val="28"/>
        </w:rPr>
        <w:t>8、支持人脸自动曝光、人脸优选、人脸小图优化功能。</w:t>
      </w:r>
    </w:p>
    <w:p>
      <w:pPr>
        <w:spacing w:line="360" w:lineRule="auto"/>
        <w:ind w:firstLine="560" w:firstLineChars="200"/>
        <w:rPr>
          <w:rFonts w:eastAsia="仿宋_GB2312"/>
          <w:sz w:val="28"/>
          <w:szCs w:val="28"/>
        </w:rPr>
      </w:pPr>
      <w:r>
        <w:rPr>
          <w:rFonts w:hint="eastAsia" w:eastAsia="仿宋_GB2312"/>
          <w:sz w:val="28"/>
          <w:szCs w:val="28"/>
        </w:rPr>
        <w:t>9、人脸检测完成后，可通过平台客户端软件显示人员年龄段、性别、是否微笑以及是否戴眼镜信息。</w:t>
      </w:r>
    </w:p>
    <w:p>
      <w:pPr>
        <w:spacing w:line="360" w:lineRule="auto"/>
        <w:ind w:firstLine="560" w:firstLineChars="200"/>
        <w:rPr>
          <w:rFonts w:eastAsia="仿宋_GB2312"/>
          <w:sz w:val="28"/>
          <w:szCs w:val="28"/>
        </w:rPr>
      </w:pPr>
      <w:r>
        <w:rPr>
          <w:rFonts w:hint="eastAsia" w:eastAsia="仿宋_GB2312"/>
          <w:sz w:val="28"/>
          <w:szCs w:val="28"/>
        </w:rPr>
        <w:t>10、摄像机可配置启用或关闭视频内容保护功能，启用该功能时可对视频图像码流进行随机混淆处理，即对每帧视频图像编码随机改变每帧视频数据报文中若干字节的内容后再进行网络传输。</w:t>
      </w:r>
    </w:p>
    <w:p>
      <w:pPr>
        <w:spacing w:line="360" w:lineRule="auto"/>
        <w:ind w:firstLine="560" w:firstLineChars="200"/>
        <w:rPr>
          <w:rFonts w:eastAsia="仿宋_GB2312"/>
          <w:sz w:val="28"/>
          <w:szCs w:val="28"/>
        </w:rPr>
      </w:pPr>
      <w:r>
        <w:rPr>
          <w:rFonts w:hint="eastAsia" w:eastAsia="仿宋_GB2312"/>
          <w:sz w:val="28"/>
          <w:szCs w:val="28"/>
        </w:rPr>
        <w:t>11、通过提取摄像机通信网络数据包方式获得的经过数字随机混淆处理的视频码流无法正常播放。</w:t>
      </w:r>
    </w:p>
    <w:p>
      <w:pPr>
        <w:spacing w:line="360" w:lineRule="auto"/>
        <w:ind w:firstLine="560" w:firstLineChars="200"/>
        <w:rPr>
          <w:rFonts w:eastAsia="仿宋_GB2312"/>
          <w:sz w:val="28"/>
          <w:szCs w:val="28"/>
        </w:rPr>
      </w:pPr>
      <w:r>
        <w:rPr>
          <w:rFonts w:hint="eastAsia" w:eastAsia="仿宋_GB2312"/>
          <w:sz w:val="28"/>
          <w:szCs w:val="28"/>
        </w:rPr>
        <w:t>12、摄像机机可对符合国标GB/T28181-2011中编码规范要求的视频码流启用视频内容保护功能。</w:t>
      </w:r>
    </w:p>
    <w:p>
      <w:pPr>
        <w:spacing w:line="360" w:lineRule="auto"/>
        <w:ind w:firstLine="560" w:firstLineChars="200"/>
        <w:rPr>
          <w:rFonts w:eastAsia="仿宋_GB2312"/>
          <w:sz w:val="28"/>
          <w:szCs w:val="28"/>
        </w:rPr>
      </w:pPr>
      <w:r>
        <w:rPr>
          <w:rFonts w:hint="eastAsia" w:eastAsia="仿宋_GB2312"/>
          <w:sz w:val="28"/>
          <w:szCs w:val="28"/>
        </w:rPr>
        <w:t>13、摄像机启用视频内容保护功能后，从摄像机存储介质（SD卡等）中直接拷贝或下载的视频数据，只有解码密钥的用户才能正常播放，缺少解码密钥则无法正常播放。</w:t>
      </w:r>
    </w:p>
    <w:p>
      <w:pPr>
        <w:spacing w:line="360" w:lineRule="auto"/>
        <w:ind w:firstLine="560" w:firstLineChars="200"/>
        <w:rPr>
          <w:rFonts w:eastAsia="仿宋_GB2312"/>
          <w:sz w:val="28"/>
          <w:szCs w:val="28"/>
        </w:rPr>
      </w:pPr>
      <w:r>
        <w:rPr>
          <w:rFonts w:hint="eastAsia" w:eastAsia="仿宋_GB2312"/>
          <w:sz w:val="28"/>
          <w:szCs w:val="28"/>
        </w:rPr>
        <w:t>14、摄像机启用视频内容保护功能后，只有经过授权并具有解码密钥的用户才能通过平台软件正常播放、回放和下载摄像机回传的视频数据；缺少解码密钥的用户无法正常播放、回放和下载摄像机回传的视频数据。</w:t>
      </w:r>
    </w:p>
    <w:p>
      <w:pPr>
        <w:spacing w:line="360" w:lineRule="auto"/>
        <w:ind w:firstLine="560" w:firstLineChars="200"/>
        <w:rPr>
          <w:rFonts w:eastAsia="仿宋_GB2312"/>
          <w:sz w:val="28"/>
          <w:szCs w:val="28"/>
        </w:rPr>
      </w:pPr>
      <w:r>
        <w:rPr>
          <w:rFonts w:hint="eastAsia" w:eastAsia="仿宋_GB2312"/>
          <w:sz w:val="28"/>
          <w:szCs w:val="28"/>
        </w:rPr>
        <w:t>15、摄像机启用视频内容保护功能后，视频码流中的解码密钥应能够周期性动态变化，变化周期可通过IMP安全管理系统软件和VM图像应用平台软件设置为10分钟至1个月。</w:t>
      </w:r>
    </w:p>
    <w:p>
      <w:pPr>
        <w:spacing w:line="360" w:lineRule="auto"/>
        <w:ind w:firstLine="560" w:firstLineChars="200"/>
        <w:rPr>
          <w:rFonts w:eastAsia="仿宋_GB2312"/>
          <w:sz w:val="28"/>
          <w:szCs w:val="28"/>
        </w:rPr>
      </w:pPr>
      <w:r>
        <w:rPr>
          <w:rFonts w:hint="eastAsia" w:eastAsia="仿宋_GB2312"/>
          <w:sz w:val="28"/>
          <w:szCs w:val="28"/>
        </w:rPr>
        <w:t>16、防护等级不低于IP</w:t>
      </w:r>
      <w:r>
        <w:rPr>
          <w:rFonts w:eastAsia="仿宋_GB2312"/>
          <w:sz w:val="28"/>
          <w:szCs w:val="28"/>
        </w:rPr>
        <w:t>66</w:t>
      </w:r>
      <w:r>
        <w:rPr>
          <w:rFonts w:hint="eastAsia" w:eastAsia="仿宋_GB2312"/>
          <w:sz w:val="28"/>
          <w:szCs w:val="28"/>
        </w:rPr>
        <w:t>。</w:t>
      </w:r>
    </w:p>
    <w:p>
      <w:pPr>
        <w:spacing w:line="360" w:lineRule="auto"/>
        <w:ind w:firstLine="562" w:firstLineChars="200"/>
        <w:rPr>
          <w:rFonts w:eastAsia="仿宋_GB2312"/>
          <w:b/>
          <w:bCs/>
          <w:sz w:val="28"/>
          <w:szCs w:val="28"/>
        </w:rPr>
      </w:pPr>
      <w:r>
        <w:rPr>
          <w:rFonts w:hint="eastAsia" w:eastAsia="仿宋_GB2312"/>
          <w:b/>
          <w:sz w:val="28"/>
          <w:szCs w:val="28"/>
        </w:rPr>
        <w:t>400万人车一体抓拍球机，</w:t>
      </w:r>
      <w:r>
        <w:rPr>
          <w:rFonts w:hint="eastAsia" w:eastAsia="仿宋_GB2312"/>
          <w:b/>
          <w:bCs/>
          <w:sz w:val="28"/>
          <w:szCs w:val="28"/>
        </w:rPr>
        <w:t>主要技术参数参考指标：</w:t>
      </w:r>
    </w:p>
    <w:p>
      <w:pPr>
        <w:spacing w:line="360" w:lineRule="auto"/>
        <w:ind w:firstLine="560" w:firstLineChars="200"/>
        <w:rPr>
          <w:rFonts w:eastAsia="仿宋_GB2312"/>
          <w:sz w:val="28"/>
          <w:szCs w:val="28"/>
        </w:rPr>
      </w:pPr>
      <w:r>
        <w:rPr>
          <w:rFonts w:hint="eastAsia" w:eastAsia="仿宋_GB2312"/>
          <w:sz w:val="28"/>
          <w:szCs w:val="28"/>
        </w:rPr>
        <w:t>1、采用1/1.8英寸COMS传感器，像元大小3.0μm（H）×3.0μm（V）。</w:t>
      </w:r>
    </w:p>
    <w:p>
      <w:pPr>
        <w:spacing w:line="360" w:lineRule="auto"/>
        <w:ind w:firstLine="560" w:firstLineChars="200"/>
        <w:rPr>
          <w:rFonts w:eastAsia="仿宋_GB2312"/>
          <w:sz w:val="28"/>
          <w:szCs w:val="28"/>
        </w:rPr>
      </w:pPr>
      <w:r>
        <w:rPr>
          <w:rFonts w:hint="eastAsia" w:eastAsia="仿宋_GB2312"/>
          <w:sz w:val="28"/>
          <w:szCs w:val="28"/>
        </w:rPr>
        <w:t>2、内置GPU芯片。</w:t>
      </w:r>
    </w:p>
    <w:p>
      <w:pPr>
        <w:spacing w:line="360" w:lineRule="auto"/>
        <w:ind w:firstLine="560" w:firstLineChars="200"/>
        <w:rPr>
          <w:rFonts w:eastAsia="仿宋_GB2312"/>
          <w:sz w:val="28"/>
          <w:szCs w:val="28"/>
        </w:rPr>
      </w:pPr>
      <w:r>
        <w:rPr>
          <w:rFonts w:hint="eastAsia" w:eastAsia="仿宋_GB2312"/>
          <w:sz w:val="28"/>
          <w:szCs w:val="28"/>
        </w:rPr>
        <w:t>3、内置8GB eMMC。</w:t>
      </w:r>
    </w:p>
    <w:p>
      <w:pPr>
        <w:spacing w:line="360" w:lineRule="auto"/>
        <w:ind w:firstLine="560" w:firstLineChars="200"/>
        <w:rPr>
          <w:rFonts w:eastAsia="仿宋_GB2312"/>
          <w:sz w:val="28"/>
          <w:szCs w:val="28"/>
        </w:rPr>
      </w:pPr>
      <w:r>
        <w:rPr>
          <w:rFonts w:hint="eastAsia" w:eastAsia="仿宋_GB2312"/>
          <w:sz w:val="28"/>
          <w:szCs w:val="28"/>
        </w:rPr>
        <w:t>4、最低照度：彩色≤0.001lx，黑白≤0.0005lx。</w:t>
      </w:r>
    </w:p>
    <w:p>
      <w:pPr>
        <w:spacing w:line="360" w:lineRule="auto"/>
        <w:ind w:firstLine="560" w:firstLineChars="200"/>
        <w:rPr>
          <w:rFonts w:eastAsia="仿宋_GB2312"/>
          <w:sz w:val="28"/>
          <w:szCs w:val="28"/>
        </w:rPr>
      </w:pPr>
      <w:r>
        <w:rPr>
          <w:rFonts w:hint="eastAsia" w:eastAsia="仿宋_GB2312"/>
          <w:sz w:val="28"/>
          <w:szCs w:val="28"/>
        </w:rPr>
        <w:t>5、支持五码流：主码流分辨率为2688x1520，帧率为60帧/s，码率为4Mbps；子码流分辨率为1920x1080，帧率为60帧/s，码率为2Mbps；第三码流分辨率为720x576，帧率为60帧/s，码率为1Mbps；第四码流分辨率为720x576，帧率为60帧/s，码率为1Mbps；第五码流分辨率为720x576，帧率为60帧/s，码率为1Mbp。</w:t>
      </w:r>
    </w:p>
    <w:p>
      <w:pPr>
        <w:spacing w:line="360" w:lineRule="auto"/>
        <w:ind w:firstLine="560" w:firstLineChars="200"/>
        <w:rPr>
          <w:rFonts w:eastAsia="仿宋_GB2312"/>
          <w:sz w:val="28"/>
          <w:szCs w:val="28"/>
        </w:rPr>
      </w:pPr>
      <w:r>
        <w:rPr>
          <w:rFonts w:hint="eastAsia" w:eastAsia="仿宋_GB2312"/>
          <w:sz w:val="28"/>
          <w:szCs w:val="28"/>
        </w:rPr>
        <w:t>6、延时≤90ms,灰度等级13级，宽动态120dB。</w:t>
      </w:r>
    </w:p>
    <w:p>
      <w:pPr>
        <w:spacing w:line="360" w:lineRule="auto"/>
        <w:ind w:firstLine="560" w:firstLineChars="200"/>
        <w:rPr>
          <w:rFonts w:eastAsia="仿宋_GB2312"/>
          <w:sz w:val="28"/>
          <w:szCs w:val="28"/>
        </w:rPr>
      </w:pPr>
      <w:r>
        <w:rPr>
          <w:rFonts w:hint="eastAsia" w:eastAsia="仿宋_GB2312"/>
          <w:sz w:val="28"/>
          <w:szCs w:val="28"/>
        </w:rPr>
        <w:t>7、通过红外补光，可识别距摄像机500m处的目标。</w:t>
      </w:r>
    </w:p>
    <w:p>
      <w:pPr>
        <w:spacing w:line="360" w:lineRule="auto"/>
        <w:ind w:firstLine="560" w:firstLineChars="200"/>
        <w:rPr>
          <w:rFonts w:eastAsia="仿宋_GB2312"/>
          <w:sz w:val="28"/>
          <w:szCs w:val="28"/>
        </w:rPr>
      </w:pPr>
      <w:r>
        <w:rPr>
          <w:rFonts w:hint="eastAsia" w:eastAsia="仿宋_GB2312"/>
          <w:sz w:val="28"/>
          <w:szCs w:val="28"/>
        </w:rPr>
        <w:t>8、支持对全屏区域或指定区域出现的机动车、非机动车及行人同时进行检测和跟踪，可最多检测出不少于40个目标同时出现在视频图像中。</w:t>
      </w:r>
    </w:p>
    <w:p>
      <w:pPr>
        <w:spacing w:line="360" w:lineRule="auto"/>
        <w:ind w:firstLine="560" w:firstLineChars="200"/>
        <w:rPr>
          <w:rFonts w:eastAsia="仿宋_GB2312"/>
          <w:sz w:val="28"/>
          <w:szCs w:val="28"/>
        </w:rPr>
      </w:pPr>
      <w:r>
        <w:rPr>
          <w:rFonts w:hint="eastAsia" w:eastAsia="仿宋_GB2312"/>
          <w:sz w:val="28"/>
          <w:szCs w:val="28"/>
        </w:rPr>
        <w:t>9、支持机动车、非机动车和行人分类和抓拍，分类准确率和抓拍率≥99.9%。</w:t>
      </w:r>
    </w:p>
    <w:p>
      <w:pPr>
        <w:spacing w:line="360" w:lineRule="auto"/>
        <w:ind w:firstLine="560" w:firstLineChars="200"/>
        <w:rPr>
          <w:rFonts w:eastAsia="仿宋_GB2312"/>
          <w:sz w:val="28"/>
          <w:szCs w:val="28"/>
        </w:rPr>
      </w:pPr>
      <w:r>
        <w:rPr>
          <w:rFonts w:hint="eastAsia" w:eastAsia="仿宋_GB2312"/>
          <w:sz w:val="28"/>
          <w:szCs w:val="28"/>
        </w:rPr>
        <w:t>10、可识别车身颜色、车款、车型，准确率≥99.9%。</w:t>
      </w:r>
    </w:p>
    <w:p>
      <w:pPr>
        <w:spacing w:line="360" w:lineRule="auto"/>
        <w:ind w:firstLine="560" w:firstLineChars="200"/>
        <w:rPr>
          <w:rFonts w:eastAsia="仿宋_GB2312"/>
          <w:sz w:val="28"/>
          <w:szCs w:val="28"/>
        </w:rPr>
      </w:pPr>
      <w:r>
        <w:rPr>
          <w:rFonts w:hint="eastAsia" w:eastAsia="仿宋_GB2312"/>
          <w:sz w:val="28"/>
          <w:szCs w:val="28"/>
        </w:rPr>
        <w:t>11、可抓拍车牌并识别车牌号码，准确率≥99.9%。</w:t>
      </w:r>
    </w:p>
    <w:p>
      <w:pPr>
        <w:spacing w:line="360" w:lineRule="auto"/>
        <w:ind w:firstLine="560" w:firstLineChars="200"/>
        <w:rPr>
          <w:rFonts w:eastAsia="仿宋_GB2312"/>
          <w:sz w:val="28"/>
          <w:szCs w:val="28"/>
        </w:rPr>
      </w:pPr>
      <w:r>
        <w:rPr>
          <w:rFonts w:hint="eastAsia" w:eastAsia="仿宋_GB2312"/>
          <w:sz w:val="28"/>
          <w:szCs w:val="28"/>
        </w:rPr>
        <w:t>12、可抓拍非机动车并提取结构化信息，准确率≥99.9%。</w:t>
      </w:r>
    </w:p>
    <w:p>
      <w:pPr>
        <w:spacing w:line="360" w:lineRule="auto"/>
        <w:ind w:firstLine="560" w:firstLineChars="200"/>
        <w:rPr>
          <w:rFonts w:eastAsia="仿宋_GB2312"/>
          <w:sz w:val="28"/>
          <w:szCs w:val="28"/>
        </w:rPr>
      </w:pPr>
      <w:r>
        <w:rPr>
          <w:rFonts w:hint="eastAsia" w:eastAsia="仿宋_GB2312"/>
          <w:sz w:val="28"/>
          <w:szCs w:val="28"/>
        </w:rPr>
        <w:t>13、可抓拍行人并提取结构化信息，准确率≥99.9%。</w:t>
      </w:r>
    </w:p>
    <w:p>
      <w:pPr>
        <w:spacing w:line="360" w:lineRule="auto"/>
        <w:ind w:firstLine="560" w:firstLineChars="200"/>
        <w:rPr>
          <w:rFonts w:eastAsia="仿宋_GB2312"/>
          <w:sz w:val="28"/>
          <w:szCs w:val="28"/>
        </w:rPr>
      </w:pPr>
      <w:r>
        <w:rPr>
          <w:rFonts w:hint="eastAsia" w:eastAsia="仿宋_GB2312"/>
          <w:sz w:val="28"/>
          <w:szCs w:val="28"/>
        </w:rPr>
        <w:t>14、具有目标跟踪功能，可对设定区域的运动目标进行跟踪，可设定持续跟踪时间，可自动变倍。</w:t>
      </w:r>
    </w:p>
    <w:p>
      <w:pPr>
        <w:spacing w:line="360" w:lineRule="auto"/>
        <w:ind w:firstLine="560" w:firstLineChars="200"/>
        <w:rPr>
          <w:rFonts w:eastAsia="仿宋_GB2312"/>
          <w:sz w:val="28"/>
          <w:szCs w:val="28"/>
        </w:rPr>
      </w:pPr>
      <w:r>
        <w:rPr>
          <w:rFonts w:hint="eastAsia" w:eastAsia="仿宋_GB2312"/>
          <w:sz w:val="28"/>
          <w:szCs w:val="28"/>
        </w:rPr>
        <w:t>15、具有智能编码功能，静态场景，相同图像质量下，使用H.265/H.264编码格式开启智能编码高级模式与基础模式相比，码率可节省码流85%；动态场景，相同图像质量下，使用H.265/H.264编码格式开启智能编码高级模式与基础模式相比，码率可节省码流50%。</w:t>
      </w:r>
    </w:p>
    <w:p>
      <w:pPr>
        <w:spacing w:line="360" w:lineRule="auto"/>
        <w:ind w:firstLine="560" w:firstLineChars="200"/>
        <w:rPr>
          <w:rFonts w:eastAsia="仿宋_GB2312"/>
          <w:sz w:val="28"/>
          <w:szCs w:val="28"/>
        </w:rPr>
      </w:pPr>
      <w:r>
        <w:rPr>
          <w:rFonts w:hint="eastAsia" w:eastAsia="仿宋_GB2312"/>
          <w:sz w:val="28"/>
          <w:szCs w:val="28"/>
        </w:rPr>
        <w:t>16、防护等级不低于IP67。</w:t>
      </w:r>
    </w:p>
    <w:p>
      <w:pPr>
        <w:spacing w:line="360" w:lineRule="auto"/>
        <w:ind w:firstLine="562" w:firstLineChars="200"/>
        <w:rPr>
          <w:rFonts w:eastAsia="仿宋_GB2312"/>
          <w:b/>
          <w:bCs/>
          <w:sz w:val="28"/>
          <w:szCs w:val="28"/>
        </w:rPr>
      </w:pPr>
      <w:r>
        <w:rPr>
          <w:rFonts w:hint="eastAsia" w:eastAsia="仿宋_GB2312"/>
          <w:b/>
          <w:sz w:val="28"/>
          <w:szCs w:val="28"/>
        </w:rPr>
        <w:t>900万人车一体抓拍机，</w:t>
      </w:r>
      <w:r>
        <w:rPr>
          <w:rFonts w:hint="eastAsia" w:eastAsia="仿宋_GB2312"/>
          <w:b/>
          <w:bCs/>
          <w:sz w:val="28"/>
          <w:szCs w:val="28"/>
        </w:rPr>
        <w:t>主要技术参数参考指标：</w:t>
      </w:r>
    </w:p>
    <w:p>
      <w:pPr>
        <w:spacing w:line="360" w:lineRule="auto"/>
        <w:ind w:firstLine="560" w:firstLineChars="200"/>
        <w:rPr>
          <w:rFonts w:eastAsia="仿宋_GB2312"/>
          <w:sz w:val="28"/>
          <w:szCs w:val="28"/>
        </w:rPr>
      </w:pPr>
      <w:r>
        <w:rPr>
          <w:rFonts w:hint="eastAsia" w:eastAsia="仿宋_GB2312"/>
          <w:sz w:val="28"/>
          <w:szCs w:val="28"/>
        </w:rPr>
        <w:t>1、900万像素图像传感器，靶面尺寸不小于1英寸。</w:t>
      </w:r>
    </w:p>
    <w:p>
      <w:pPr>
        <w:spacing w:line="360" w:lineRule="auto"/>
        <w:ind w:firstLine="560" w:firstLineChars="200"/>
        <w:rPr>
          <w:rFonts w:eastAsia="仿宋_GB2312"/>
          <w:sz w:val="28"/>
          <w:szCs w:val="28"/>
        </w:rPr>
      </w:pPr>
      <w:r>
        <w:rPr>
          <w:rFonts w:hint="eastAsia" w:eastAsia="仿宋_GB2312"/>
          <w:sz w:val="28"/>
          <w:szCs w:val="28"/>
        </w:rPr>
        <w:t>2、支持焦距11-40mm P-iris高清步进光圈镜头和DC-IRIS变焦镜头。</w:t>
      </w:r>
    </w:p>
    <w:p>
      <w:pPr>
        <w:spacing w:line="360" w:lineRule="auto"/>
        <w:ind w:firstLine="560" w:firstLineChars="200"/>
        <w:rPr>
          <w:rFonts w:eastAsia="仿宋_GB2312"/>
          <w:sz w:val="28"/>
          <w:szCs w:val="28"/>
        </w:rPr>
      </w:pPr>
      <w:r>
        <w:rPr>
          <w:rFonts w:hint="eastAsia" w:eastAsia="仿宋_GB2312"/>
          <w:sz w:val="28"/>
          <w:szCs w:val="28"/>
        </w:rPr>
        <w:t>3、图像分辨率不小于4096×2160，帧率1-25帧可调。</w:t>
      </w:r>
    </w:p>
    <w:p>
      <w:pPr>
        <w:spacing w:line="360" w:lineRule="auto"/>
        <w:ind w:firstLine="560" w:firstLineChars="200"/>
        <w:rPr>
          <w:rFonts w:eastAsia="仿宋_GB2312"/>
          <w:sz w:val="28"/>
          <w:szCs w:val="28"/>
        </w:rPr>
      </w:pPr>
      <w:r>
        <w:rPr>
          <w:rFonts w:hint="eastAsia" w:eastAsia="仿宋_GB2312"/>
          <w:sz w:val="28"/>
          <w:szCs w:val="28"/>
        </w:rPr>
        <w:t>4、前端抓拍设备支持网络串接，支持电口或者SFP口接入网络。</w:t>
      </w:r>
    </w:p>
    <w:p>
      <w:pPr>
        <w:spacing w:line="360" w:lineRule="auto"/>
        <w:ind w:firstLine="560" w:firstLineChars="200"/>
        <w:rPr>
          <w:rFonts w:eastAsia="仿宋_GB2312"/>
          <w:sz w:val="28"/>
          <w:szCs w:val="28"/>
        </w:rPr>
      </w:pPr>
      <w:r>
        <w:rPr>
          <w:rFonts w:hint="eastAsia" w:eastAsia="仿宋_GB2312"/>
          <w:sz w:val="28"/>
          <w:szCs w:val="28"/>
        </w:rPr>
        <w:t>5、具有本地存储功能，可将图像信息存储在eMMC存储芯片上，存储空间不小于32G。</w:t>
      </w:r>
    </w:p>
    <w:p>
      <w:pPr>
        <w:spacing w:line="360" w:lineRule="auto"/>
        <w:ind w:firstLine="560" w:firstLineChars="200"/>
        <w:rPr>
          <w:rFonts w:eastAsia="仿宋_GB2312"/>
          <w:sz w:val="28"/>
          <w:szCs w:val="28"/>
        </w:rPr>
      </w:pPr>
      <w:r>
        <w:rPr>
          <w:rFonts w:hint="eastAsia" w:eastAsia="仿宋_GB2312"/>
          <w:sz w:val="28"/>
          <w:szCs w:val="28"/>
        </w:rPr>
        <w:t>6、设备应支持白光爆闪、红外爆闪、白光频闪和常亮等补光模式，并具有自定义时间和自动切换功能。</w:t>
      </w:r>
    </w:p>
    <w:p>
      <w:pPr>
        <w:spacing w:line="360" w:lineRule="auto"/>
        <w:ind w:firstLine="560" w:firstLineChars="200"/>
        <w:rPr>
          <w:rFonts w:eastAsia="仿宋_GB2312"/>
          <w:sz w:val="28"/>
          <w:szCs w:val="28"/>
        </w:rPr>
      </w:pPr>
      <w:r>
        <w:rPr>
          <w:rFonts w:hint="eastAsia" w:eastAsia="仿宋_GB2312"/>
          <w:sz w:val="28"/>
          <w:szCs w:val="28"/>
        </w:rPr>
        <w:t>7、设备支持视频、地感线圈、雷达触发方式中的一种或多种，且可通过WEB界面配置，同时支持视频与雷达、线圈检测自动切换功能。在以上触发方式下，白天和晚上的捕获率均不小于99.5%。</w:t>
      </w:r>
    </w:p>
    <w:p>
      <w:pPr>
        <w:spacing w:line="360" w:lineRule="auto"/>
        <w:ind w:firstLine="560" w:firstLineChars="200"/>
        <w:rPr>
          <w:rFonts w:eastAsia="仿宋_GB2312"/>
          <w:sz w:val="28"/>
          <w:szCs w:val="28"/>
        </w:rPr>
      </w:pPr>
      <w:r>
        <w:rPr>
          <w:rFonts w:hint="eastAsia" w:eastAsia="仿宋_GB2312"/>
          <w:sz w:val="28"/>
          <w:szCs w:val="28"/>
        </w:rPr>
        <w:t>8、同时支持播放比例匹配、录像预案、视频来源配置功能。</w:t>
      </w:r>
    </w:p>
    <w:p>
      <w:pPr>
        <w:spacing w:line="360" w:lineRule="auto"/>
        <w:ind w:firstLine="560" w:firstLineChars="200"/>
        <w:rPr>
          <w:rFonts w:eastAsia="仿宋_GB2312"/>
          <w:sz w:val="28"/>
          <w:szCs w:val="28"/>
        </w:rPr>
      </w:pPr>
      <w:r>
        <w:rPr>
          <w:rFonts w:hint="eastAsia" w:eastAsia="仿宋_GB2312"/>
          <w:sz w:val="28"/>
          <w:szCs w:val="28"/>
        </w:rPr>
        <w:t>9、实况OSD不少于透明、空心、描边、背景和反色5种效果；照片OSD不少于透明、背景和反色3种效果。</w:t>
      </w:r>
    </w:p>
    <w:p>
      <w:pPr>
        <w:spacing w:line="360" w:lineRule="auto"/>
        <w:ind w:firstLine="560" w:firstLineChars="200"/>
        <w:rPr>
          <w:rFonts w:eastAsia="仿宋_GB2312"/>
          <w:sz w:val="28"/>
          <w:szCs w:val="28"/>
        </w:rPr>
      </w:pPr>
      <w:r>
        <w:rPr>
          <w:rFonts w:hint="eastAsia" w:eastAsia="仿宋_GB2312"/>
          <w:sz w:val="28"/>
          <w:szCs w:val="28"/>
        </w:rPr>
        <w:t>10、包含新能源车牌前提下,车辆号牌白天、晚上识别准确率不小于99.5%。</w:t>
      </w:r>
    </w:p>
    <w:p>
      <w:pPr>
        <w:spacing w:line="360" w:lineRule="auto"/>
        <w:ind w:firstLine="560" w:firstLineChars="200"/>
        <w:rPr>
          <w:rFonts w:eastAsia="仿宋_GB2312"/>
          <w:sz w:val="28"/>
          <w:szCs w:val="28"/>
        </w:rPr>
      </w:pPr>
      <w:r>
        <w:rPr>
          <w:rFonts w:hint="eastAsia" w:eastAsia="仿宋_GB2312"/>
          <w:sz w:val="28"/>
          <w:szCs w:val="28"/>
        </w:rPr>
        <w:t>11、具有对使馆、朝鲜、农用车、泥头车、民航、湛钢等特殊车牌识别功能。</w:t>
      </w:r>
    </w:p>
    <w:p>
      <w:pPr>
        <w:spacing w:line="360" w:lineRule="auto"/>
        <w:ind w:firstLine="560" w:firstLineChars="200"/>
        <w:rPr>
          <w:rFonts w:eastAsia="仿宋_GB2312"/>
          <w:sz w:val="28"/>
          <w:szCs w:val="28"/>
        </w:rPr>
      </w:pPr>
      <w:r>
        <w:rPr>
          <w:rFonts w:hint="eastAsia" w:eastAsia="仿宋_GB2312"/>
          <w:sz w:val="28"/>
          <w:szCs w:val="28"/>
        </w:rPr>
        <w:t>12、具备无牌车辆处理功能检查，支持对无牌车辆进行过滤，可选是否生成通行记录、违法记录。</w:t>
      </w:r>
    </w:p>
    <w:p>
      <w:pPr>
        <w:spacing w:line="360" w:lineRule="auto"/>
        <w:ind w:firstLine="560" w:firstLineChars="200"/>
        <w:rPr>
          <w:rFonts w:eastAsia="仿宋_GB2312"/>
          <w:sz w:val="28"/>
          <w:szCs w:val="28"/>
        </w:rPr>
      </w:pPr>
      <w:r>
        <w:rPr>
          <w:rFonts w:hint="eastAsia" w:eastAsia="仿宋_GB2312"/>
          <w:sz w:val="28"/>
          <w:szCs w:val="28"/>
        </w:rPr>
        <w:t>13、支持非机动车道人脸抓拍识别。</w:t>
      </w:r>
    </w:p>
    <w:p>
      <w:pPr>
        <w:spacing w:line="360" w:lineRule="auto"/>
        <w:ind w:firstLine="560" w:firstLineChars="200"/>
        <w:rPr>
          <w:rFonts w:eastAsia="仿宋_GB2312"/>
          <w:sz w:val="28"/>
          <w:szCs w:val="28"/>
        </w:rPr>
      </w:pPr>
      <w:r>
        <w:rPr>
          <w:rFonts w:hint="eastAsia" w:eastAsia="仿宋_GB2312"/>
          <w:sz w:val="28"/>
          <w:szCs w:val="28"/>
        </w:rPr>
        <w:t>14、支持开车打电话、未系安全带检测功能，全天检出率不小于98％，误检率不大于2％。</w:t>
      </w:r>
    </w:p>
    <w:p>
      <w:pPr>
        <w:spacing w:line="360" w:lineRule="auto"/>
        <w:ind w:firstLine="560" w:firstLineChars="200"/>
        <w:rPr>
          <w:rFonts w:eastAsia="仿宋_GB2312"/>
          <w:sz w:val="28"/>
          <w:szCs w:val="28"/>
        </w:rPr>
      </w:pPr>
      <w:r>
        <w:rPr>
          <w:rFonts w:hint="eastAsia" w:eastAsia="仿宋_GB2312"/>
          <w:sz w:val="28"/>
          <w:szCs w:val="28"/>
        </w:rPr>
        <w:t>15、支持3600种车辆子品牌识别，全天识别准确率不小于95％。</w:t>
      </w:r>
    </w:p>
    <w:p>
      <w:pPr>
        <w:spacing w:line="360" w:lineRule="auto"/>
        <w:ind w:firstLine="560" w:firstLineChars="200"/>
        <w:rPr>
          <w:rFonts w:eastAsia="仿宋_GB2312"/>
          <w:sz w:val="28"/>
          <w:szCs w:val="28"/>
        </w:rPr>
      </w:pPr>
      <w:r>
        <w:rPr>
          <w:rFonts w:hint="eastAsia" w:eastAsia="仿宋_GB2312"/>
          <w:sz w:val="28"/>
          <w:szCs w:val="28"/>
        </w:rPr>
        <w:t>16、支持登录安全性、数据安全性、服务及端口安全性、网络协议安全检测。</w:t>
      </w:r>
    </w:p>
    <w:p>
      <w:pPr>
        <w:spacing w:line="360" w:lineRule="auto"/>
        <w:ind w:firstLine="560" w:firstLineChars="200"/>
        <w:rPr>
          <w:rFonts w:eastAsia="仿宋_GB2312"/>
          <w:sz w:val="28"/>
          <w:szCs w:val="28"/>
        </w:rPr>
      </w:pPr>
      <w:r>
        <w:rPr>
          <w:rFonts w:hint="eastAsia" w:eastAsia="仿宋_GB2312"/>
          <w:sz w:val="28"/>
          <w:szCs w:val="28"/>
        </w:rPr>
        <w:t>17、支持ARP防攻击、IP地址访问控制、IP地址搜索功能。</w:t>
      </w:r>
    </w:p>
    <w:p>
      <w:pPr>
        <w:spacing w:line="360" w:lineRule="auto"/>
        <w:ind w:firstLine="560" w:firstLineChars="200"/>
        <w:rPr>
          <w:rFonts w:eastAsia="仿宋_GB2312"/>
          <w:sz w:val="28"/>
          <w:szCs w:val="28"/>
        </w:rPr>
      </w:pPr>
      <w:r>
        <w:rPr>
          <w:rFonts w:hint="eastAsia" w:eastAsia="仿宋_GB2312"/>
          <w:sz w:val="28"/>
          <w:szCs w:val="28"/>
        </w:rPr>
        <w:t>18、设备护罩支持侧开方式。</w:t>
      </w:r>
    </w:p>
    <w:p>
      <w:pPr>
        <w:spacing w:line="360" w:lineRule="auto"/>
        <w:ind w:firstLine="560" w:firstLineChars="200"/>
        <w:rPr>
          <w:rFonts w:eastAsia="仿宋_GB2312"/>
          <w:sz w:val="28"/>
          <w:szCs w:val="28"/>
        </w:rPr>
      </w:pPr>
      <w:r>
        <w:rPr>
          <w:rFonts w:hint="eastAsia" w:eastAsia="仿宋_GB2312"/>
          <w:sz w:val="28"/>
          <w:szCs w:val="28"/>
        </w:rPr>
        <w:t>19、防护等级不低于IP67。</w:t>
      </w:r>
    </w:p>
    <w:p>
      <w:pPr>
        <w:spacing w:line="360" w:lineRule="auto"/>
        <w:ind w:firstLine="562" w:firstLineChars="200"/>
        <w:rPr>
          <w:rFonts w:eastAsia="仿宋_GB2312"/>
          <w:b/>
          <w:bCs/>
          <w:sz w:val="28"/>
          <w:szCs w:val="28"/>
        </w:rPr>
      </w:pPr>
      <w:r>
        <w:rPr>
          <w:rFonts w:hint="eastAsia" w:eastAsia="仿宋_GB2312"/>
          <w:b/>
          <w:sz w:val="28"/>
          <w:szCs w:val="28"/>
        </w:rPr>
        <w:t>多目全景摄像机，</w:t>
      </w:r>
      <w:r>
        <w:rPr>
          <w:rFonts w:hint="eastAsia" w:eastAsia="仿宋_GB2312"/>
          <w:b/>
          <w:bCs/>
          <w:sz w:val="28"/>
          <w:szCs w:val="28"/>
        </w:rPr>
        <w:t>主要技术参数参考指标：</w:t>
      </w:r>
    </w:p>
    <w:p>
      <w:pPr>
        <w:spacing w:line="360" w:lineRule="auto"/>
        <w:ind w:firstLine="560" w:firstLineChars="200"/>
        <w:rPr>
          <w:rFonts w:eastAsia="仿宋_GB2312"/>
          <w:sz w:val="28"/>
          <w:szCs w:val="28"/>
        </w:rPr>
      </w:pPr>
      <w:r>
        <w:rPr>
          <w:rFonts w:hint="eastAsia" w:eastAsia="仿宋_GB2312"/>
          <w:sz w:val="28"/>
          <w:szCs w:val="28"/>
        </w:rPr>
        <w:t>1、全景相机：不少于4个1/1.8”逐行扫描200万像素CMOS图像传感器。</w:t>
      </w:r>
    </w:p>
    <w:p>
      <w:pPr>
        <w:spacing w:line="360" w:lineRule="auto"/>
        <w:ind w:firstLine="560" w:firstLineChars="200"/>
        <w:rPr>
          <w:rFonts w:eastAsia="仿宋_GB2312"/>
          <w:sz w:val="28"/>
          <w:szCs w:val="28"/>
        </w:rPr>
      </w:pPr>
      <w:r>
        <w:rPr>
          <w:rFonts w:hint="eastAsia" w:eastAsia="仿宋_GB2312"/>
          <w:sz w:val="28"/>
          <w:szCs w:val="28"/>
        </w:rPr>
        <w:t>2、动点相机：不小于1/2.8”逐行扫描200万像素CMOS图像传感器，焦距范围：5~220mm@F1.5，44倍光学变倍。</w:t>
      </w:r>
    </w:p>
    <w:p>
      <w:pPr>
        <w:spacing w:line="360" w:lineRule="auto"/>
        <w:ind w:firstLine="560" w:firstLineChars="200"/>
        <w:rPr>
          <w:rFonts w:eastAsia="仿宋_GB2312"/>
          <w:sz w:val="28"/>
          <w:szCs w:val="28"/>
        </w:rPr>
      </w:pPr>
      <w:r>
        <w:rPr>
          <w:rFonts w:hint="eastAsia" w:eastAsia="仿宋_GB2312"/>
          <w:sz w:val="28"/>
          <w:szCs w:val="28"/>
        </w:rPr>
        <w:t>3、多目全景联动摄像机结合定点看全景、动点看局部的功能特点，达到提供不小于180°。</w:t>
      </w:r>
    </w:p>
    <w:p>
      <w:pPr>
        <w:spacing w:line="360" w:lineRule="auto"/>
        <w:ind w:firstLine="560" w:firstLineChars="200"/>
        <w:rPr>
          <w:rFonts w:eastAsia="仿宋_GB2312"/>
          <w:sz w:val="28"/>
          <w:szCs w:val="28"/>
        </w:rPr>
      </w:pPr>
      <w:r>
        <w:rPr>
          <w:rFonts w:hint="eastAsia" w:eastAsia="仿宋_GB2312"/>
          <w:sz w:val="28"/>
          <w:szCs w:val="28"/>
        </w:rPr>
        <w:t>4、全景画面最大输出4096*1800@30fps。</w:t>
      </w:r>
    </w:p>
    <w:p>
      <w:pPr>
        <w:spacing w:line="360" w:lineRule="auto"/>
        <w:ind w:firstLine="560" w:firstLineChars="200"/>
        <w:rPr>
          <w:rFonts w:eastAsia="仿宋_GB2312"/>
          <w:sz w:val="28"/>
          <w:szCs w:val="28"/>
        </w:rPr>
      </w:pPr>
      <w:r>
        <w:rPr>
          <w:rFonts w:hint="eastAsia" w:eastAsia="仿宋_GB2312"/>
          <w:sz w:val="28"/>
          <w:szCs w:val="28"/>
        </w:rPr>
        <w:t>5、智能球型摄像机采用深度学习目标检测及跟踪技术，完成对定点网络摄像机全景范围内运动目标的稳定跟踪及目标抓拍。</w:t>
      </w:r>
    </w:p>
    <w:p>
      <w:pPr>
        <w:spacing w:line="360" w:lineRule="auto"/>
        <w:ind w:firstLine="560" w:firstLineChars="200"/>
        <w:rPr>
          <w:rFonts w:eastAsia="仿宋_GB2312"/>
          <w:sz w:val="28"/>
          <w:szCs w:val="28"/>
        </w:rPr>
      </w:pPr>
      <w:r>
        <w:rPr>
          <w:rFonts w:hint="eastAsia" w:eastAsia="仿宋_GB2312"/>
          <w:sz w:val="28"/>
          <w:szCs w:val="28"/>
        </w:rPr>
        <w:t>6、支持点击联动，通过Web点击或者框选定点网络摄像机全景范围内任意位置，可自动通过云台转动，将目标区域置于画面中心。</w:t>
      </w:r>
    </w:p>
    <w:p>
      <w:pPr>
        <w:spacing w:line="360" w:lineRule="auto"/>
        <w:ind w:firstLine="560" w:firstLineChars="200"/>
        <w:rPr>
          <w:rFonts w:eastAsia="仿宋_GB2312"/>
          <w:sz w:val="28"/>
          <w:szCs w:val="28"/>
        </w:rPr>
      </w:pPr>
      <w:r>
        <w:rPr>
          <w:rFonts w:hint="eastAsia" w:eastAsia="仿宋_GB2312"/>
          <w:sz w:val="28"/>
          <w:szCs w:val="28"/>
        </w:rPr>
        <w:t>7、支持手动选择目标进行持续稳定跟踪。</w:t>
      </w:r>
    </w:p>
    <w:p>
      <w:pPr>
        <w:spacing w:line="360" w:lineRule="auto"/>
        <w:ind w:firstLine="560" w:firstLineChars="200"/>
        <w:rPr>
          <w:rFonts w:eastAsia="仿宋_GB2312"/>
          <w:sz w:val="28"/>
          <w:szCs w:val="28"/>
        </w:rPr>
      </w:pPr>
      <w:r>
        <w:rPr>
          <w:rFonts w:hint="eastAsia" w:eastAsia="仿宋_GB2312"/>
          <w:sz w:val="28"/>
          <w:szCs w:val="28"/>
        </w:rPr>
        <w:t>8、智能球型网络摄像机支持44倍光学变倍。</w:t>
      </w:r>
    </w:p>
    <w:p>
      <w:pPr>
        <w:spacing w:line="360" w:lineRule="auto"/>
        <w:ind w:firstLine="560" w:firstLineChars="200"/>
        <w:rPr>
          <w:rFonts w:eastAsia="仿宋_GB2312"/>
          <w:sz w:val="28"/>
          <w:szCs w:val="28"/>
        </w:rPr>
      </w:pPr>
      <w:r>
        <w:rPr>
          <w:rFonts w:hint="eastAsia" w:eastAsia="仿宋_GB2312"/>
          <w:sz w:val="28"/>
          <w:szCs w:val="28"/>
        </w:rPr>
        <w:t>9、支持触发区域入侵、穿越警戒线、进入区域、离开区域等规则后联动智能球型摄像机进行目标跟踪、抓图。</w:t>
      </w:r>
    </w:p>
    <w:p>
      <w:pPr>
        <w:spacing w:line="360" w:lineRule="auto"/>
        <w:ind w:firstLine="560" w:firstLineChars="200"/>
        <w:rPr>
          <w:rFonts w:eastAsia="仿宋_GB2312"/>
          <w:sz w:val="28"/>
          <w:szCs w:val="28"/>
        </w:rPr>
      </w:pPr>
      <w:r>
        <w:rPr>
          <w:rFonts w:hint="eastAsia" w:eastAsia="仿宋_GB2312"/>
          <w:sz w:val="28"/>
          <w:szCs w:val="28"/>
        </w:rPr>
        <w:t>10、支持对监控区域进行机非人属性识别。</w:t>
      </w:r>
    </w:p>
    <w:p>
      <w:pPr>
        <w:spacing w:line="360" w:lineRule="auto"/>
        <w:ind w:firstLine="560" w:firstLineChars="200"/>
        <w:rPr>
          <w:rFonts w:eastAsia="仿宋_GB2312"/>
          <w:sz w:val="28"/>
          <w:szCs w:val="28"/>
        </w:rPr>
      </w:pPr>
      <w:r>
        <w:rPr>
          <w:rFonts w:hint="eastAsia" w:eastAsia="仿宋_GB2312"/>
          <w:sz w:val="28"/>
          <w:szCs w:val="28"/>
        </w:rPr>
        <w:t>11、多目全景摄像机采用高效红外阵列灯，低功耗。</w:t>
      </w:r>
    </w:p>
    <w:p>
      <w:pPr>
        <w:spacing w:line="360" w:lineRule="auto"/>
        <w:ind w:firstLine="560" w:firstLineChars="200"/>
        <w:rPr>
          <w:rFonts w:eastAsia="仿宋_GB2312"/>
          <w:sz w:val="28"/>
          <w:szCs w:val="28"/>
        </w:rPr>
      </w:pPr>
      <w:r>
        <w:rPr>
          <w:rFonts w:hint="eastAsia" w:eastAsia="仿宋_GB2312"/>
          <w:sz w:val="28"/>
          <w:szCs w:val="28"/>
        </w:rPr>
        <w:t>12、支持AC 24V±25%供电。</w:t>
      </w:r>
    </w:p>
    <w:p>
      <w:pPr>
        <w:spacing w:line="360" w:lineRule="auto"/>
        <w:ind w:firstLine="560" w:firstLineChars="200"/>
        <w:rPr>
          <w:rFonts w:eastAsia="仿宋_GB2312"/>
          <w:sz w:val="28"/>
          <w:szCs w:val="28"/>
        </w:rPr>
      </w:pPr>
      <w:r>
        <w:rPr>
          <w:rFonts w:hint="eastAsia" w:eastAsia="仿宋_GB2312"/>
          <w:sz w:val="28"/>
          <w:szCs w:val="28"/>
        </w:rPr>
        <w:t>13、支持音频1入1出，告警2入1出，1路RS485串口。</w:t>
      </w:r>
    </w:p>
    <w:p>
      <w:pPr>
        <w:spacing w:line="360" w:lineRule="auto"/>
        <w:ind w:firstLine="560" w:firstLineChars="200"/>
        <w:rPr>
          <w:rFonts w:eastAsia="仿宋_GB2312"/>
          <w:sz w:val="28"/>
          <w:szCs w:val="28"/>
        </w:rPr>
      </w:pPr>
      <w:r>
        <w:rPr>
          <w:rFonts w:hint="eastAsia" w:eastAsia="仿宋_GB2312"/>
          <w:sz w:val="28"/>
          <w:szCs w:val="28"/>
        </w:rPr>
        <w:t>14、支持视频水印，防止数据篡改。</w:t>
      </w:r>
    </w:p>
    <w:p>
      <w:pPr>
        <w:spacing w:line="360" w:lineRule="auto"/>
        <w:ind w:firstLine="560" w:firstLineChars="200"/>
        <w:rPr>
          <w:rFonts w:eastAsia="仿宋_GB2312"/>
          <w:sz w:val="28"/>
          <w:szCs w:val="28"/>
        </w:rPr>
      </w:pPr>
      <w:r>
        <w:rPr>
          <w:rFonts w:hint="eastAsia" w:eastAsia="仿宋_GB2312"/>
          <w:sz w:val="28"/>
          <w:szCs w:val="28"/>
        </w:rPr>
        <w:t>15、防护等级不低于IP66。</w:t>
      </w: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bookmarkStart w:id="196" w:name="_Toc451798058"/>
      <w:bookmarkStart w:id="197" w:name="_Toc432257486"/>
      <w:bookmarkStart w:id="198" w:name="_Toc503714868"/>
      <w:r>
        <w:rPr>
          <w:rFonts w:hint="eastAsia" w:eastAsia="仿宋_GB2312"/>
          <w:b/>
          <w:bCs/>
          <w:sz w:val="28"/>
          <w:szCs w:val="28"/>
        </w:rPr>
        <w:t>监控点夜间补光</w:t>
      </w:r>
      <w:bookmarkEnd w:id="196"/>
      <w:bookmarkEnd w:id="197"/>
      <w:bookmarkEnd w:id="198"/>
    </w:p>
    <w:p>
      <w:pPr>
        <w:spacing w:line="360" w:lineRule="auto"/>
        <w:ind w:firstLine="560" w:firstLineChars="200"/>
        <w:rPr>
          <w:rFonts w:eastAsia="仿宋_GB2312"/>
          <w:sz w:val="28"/>
          <w:szCs w:val="28"/>
        </w:rPr>
      </w:pPr>
      <w:r>
        <w:rPr>
          <w:rFonts w:hint="eastAsia" w:eastAsia="仿宋_GB2312"/>
          <w:sz w:val="28"/>
          <w:szCs w:val="28"/>
        </w:rPr>
        <w:t>针对监控点所处环境及周边其他光源的影响不同，从而导致夜间监控摄像机对监控图像质量的表现影响也有较大的差异。往往有部分视频监控点因未妥善解决监控区域照明问题，会导致监控图像夜间噪点大、监控目标难以辨别，严重影响社会治安动态视频监控系统的应用成效。</w:t>
      </w:r>
    </w:p>
    <w:p>
      <w:pPr>
        <w:spacing w:line="360" w:lineRule="auto"/>
        <w:ind w:firstLine="560" w:firstLineChars="200"/>
        <w:rPr>
          <w:rFonts w:eastAsia="仿宋_GB2312"/>
          <w:sz w:val="28"/>
          <w:szCs w:val="28"/>
        </w:rPr>
      </w:pPr>
      <w:r>
        <w:rPr>
          <w:rFonts w:hint="eastAsia" w:eastAsia="仿宋_GB2312"/>
          <w:sz w:val="28"/>
          <w:szCs w:val="28"/>
        </w:rPr>
        <w:t>鉴于目前的道路监控点所处的环境和位置相对比较恶劣，监控点在夜间光源较弱的环境下，将无法保证其图像质量，所以应对监控点进行补光处理，从而使监控设备和图像在夜间也能正常的工作，达到理想及满意的效果。</w:t>
      </w:r>
    </w:p>
    <w:p>
      <w:pPr>
        <w:spacing w:line="360" w:lineRule="auto"/>
        <w:ind w:firstLine="562" w:firstLineChars="200"/>
        <w:rPr>
          <w:rFonts w:eastAsia="仿宋_GB2312"/>
          <w:b/>
          <w:sz w:val="28"/>
          <w:szCs w:val="28"/>
        </w:rPr>
      </w:pPr>
      <w:r>
        <w:rPr>
          <w:rFonts w:hint="eastAsia" w:eastAsia="仿宋_GB2312"/>
          <w:b/>
          <w:sz w:val="28"/>
          <w:szCs w:val="28"/>
        </w:rPr>
        <w:t>本项目的补光主要针对枪式摄像机，枪式摄像机采用一摄像机一补光的建议进行建设，9</w:t>
      </w:r>
      <w:r>
        <w:rPr>
          <w:rFonts w:eastAsia="仿宋_GB2312"/>
          <w:b/>
          <w:sz w:val="28"/>
          <w:szCs w:val="28"/>
        </w:rPr>
        <w:t>00</w:t>
      </w:r>
      <w:r>
        <w:rPr>
          <w:rFonts w:hint="eastAsia" w:eastAsia="仿宋_GB2312"/>
          <w:b/>
          <w:sz w:val="28"/>
          <w:szCs w:val="28"/>
        </w:rPr>
        <w:t>万像素人车一体抓拍机采用频闪补光灯加闪光补光灯的补光方式进行建设。补光灯共计</w:t>
      </w:r>
      <w:r>
        <w:rPr>
          <w:rFonts w:eastAsia="仿宋_GB2312"/>
          <w:b/>
          <w:sz w:val="28"/>
          <w:szCs w:val="28"/>
        </w:rPr>
        <w:t>301</w:t>
      </w:r>
      <w:r>
        <w:rPr>
          <w:rFonts w:hint="eastAsia" w:eastAsia="仿宋_GB2312"/>
          <w:b/>
          <w:sz w:val="28"/>
          <w:szCs w:val="28"/>
        </w:rPr>
        <w:t>套。</w:t>
      </w:r>
    </w:p>
    <w:p>
      <w:pPr>
        <w:spacing w:line="360" w:lineRule="auto"/>
        <w:ind w:firstLine="560" w:firstLineChars="200"/>
        <w:rPr>
          <w:rFonts w:eastAsia="仿宋_GB2312"/>
          <w:sz w:val="28"/>
          <w:szCs w:val="28"/>
        </w:rPr>
      </w:pPr>
      <w:r>
        <w:rPr>
          <w:rFonts w:hint="eastAsia" w:eastAsia="仿宋_GB2312"/>
          <w:sz w:val="28"/>
          <w:szCs w:val="28"/>
        </w:rPr>
        <w:t>（1）光源要求</w:t>
      </w:r>
    </w:p>
    <w:p>
      <w:pPr>
        <w:spacing w:line="360" w:lineRule="auto"/>
        <w:ind w:firstLine="560" w:firstLineChars="200"/>
        <w:rPr>
          <w:rFonts w:eastAsia="仿宋_GB2312"/>
          <w:sz w:val="28"/>
          <w:szCs w:val="28"/>
        </w:rPr>
      </w:pPr>
      <w:r>
        <w:rPr>
          <w:rFonts w:hint="eastAsia" w:eastAsia="仿宋_GB2312"/>
          <w:sz w:val="28"/>
          <w:szCs w:val="28"/>
        </w:rPr>
        <w:t>补光照明灯具应选用连续照明灯，参照《城市道路照明设计标准》CJJ45-9规定，需满足以下要求：</w:t>
      </w:r>
    </w:p>
    <w:p>
      <w:pPr>
        <w:spacing w:line="360" w:lineRule="auto"/>
        <w:ind w:firstLine="560" w:firstLineChars="200"/>
        <w:rPr>
          <w:rFonts w:eastAsia="仿宋_GB2312"/>
          <w:sz w:val="28"/>
          <w:szCs w:val="28"/>
        </w:rPr>
      </w:pPr>
      <w:r>
        <w:rPr>
          <w:rFonts w:hint="eastAsia" w:eastAsia="仿宋_GB2312"/>
          <w:sz w:val="28"/>
          <w:szCs w:val="28"/>
        </w:rPr>
        <w:t>考虑到光源老化，新安装光源时，应比实际需要的照度高出30～50％。</w:t>
      </w:r>
    </w:p>
    <w:p>
      <w:pPr>
        <w:spacing w:line="360" w:lineRule="auto"/>
        <w:ind w:firstLine="560" w:firstLineChars="200"/>
        <w:rPr>
          <w:rFonts w:eastAsia="仿宋_GB2312"/>
          <w:sz w:val="28"/>
          <w:szCs w:val="28"/>
        </w:rPr>
      </w:pPr>
      <w:r>
        <w:rPr>
          <w:rFonts w:hint="eastAsia" w:eastAsia="仿宋_GB2312"/>
          <w:sz w:val="28"/>
          <w:szCs w:val="28"/>
        </w:rPr>
        <w:t>（2）光照度要求</w:t>
      </w:r>
    </w:p>
    <w:p>
      <w:pPr>
        <w:spacing w:line="360" w:lineRule="auto"/>
        <w:ind w:firstLine="560" w:firstLineChars="200"/>
        <w:rPr>
          <w:rFonts w:eastAsia="仿宋_GB2312"/>
          <w:sz w:val="28"/>
          <w:szCs w:val="28"/>
        </w:rPr>
      </w:pPr>
      <w:r>
        <w:rPr>
          <w:rFonts w:hint="eastAsia" w:eastAsia="仿宋_GB2312"/>
          <w:sz w:val="28"/>
          <w:szCs w:val="28"/>
        </w:rPr>
        <w:t>为保证能得到被监控目标的基本形态特征的最低要求，被监控目标区域的照度应高于摄像机的最低照度指标的10倍。即：目标区域照度&gt;摄像机最低照度×10。</w:t>
      </w:r>
    </w:p>
    <w:p>
      <w:pPr>
        <w:spacing w:line="360" w:lineRule="auto"/>
        <w:ind w:firstLine="560" w:firstLineChars="200"/>
        <w:rPr>
          <w:rFonts w:eastAsia="仿宋_GB2312"/>
          <w:sz w:val="28"/>
          <w:szCs w:val="28"/>
        </w:rPr>
      </w:pPr>
      <w:bookmarkStart w:id="199" w:name="_Toc386067007"/>
      <w:bookmarkStart w:id="200" w:name="_Toc5317"/>
      <w:bookmarkStart w:id="201" w:name="_Toc8785"/>
      <w:bookmarkStart w:id="202" w:name="_Toc11672"/>
      <w:bookmarkStart w:id="203" w:name="_Toc19001"/>
      <w:bookmarkStart w:id="204" w:name="_Toc6856"/>
      <w:bookmarkStart w:id="205" w:name="_Toc25902"/>
      <w:bookmarkStart w:id="206" w:name="_Toc4277"/>
      <w:bookmarkStart w:id="207" w:name="_Toc28906"/>
      <w:r>
        <w:rPr>
          <w:rFonts w:hint="eastAsia" w:eastAsia="仿宋_GB2312"/>
          <w:sz w:val="28"/>
          <w:szCs w:val="28"/>
        </w:rPr>
        <w:t>（3）辅助光源安装要求</w:t>
      </w:r>
    </w:p>
    <w:p>
      <w:pPr>
        <w:spacing w:line="360" w:lineRule="auto"/>
        <w:ind w:firstLine="560" w:firstLineChars="200"/>
        <w:rPr>
          <w:rFonts w:eastAsia="仿宋_GB2312"/>
          <w:sz w:val="28"/>
          <w:szCs w:val="28"/>
        </w:rPr>
      </w:pPr>
      <w:r>
        <w:rPr>
          <w:rFonts w:hint="eastAsia" w:eastAsia="仿宋_GB2312"/>
          <w:sz w:val="28"/>
          <w:szCs w:val="28"/>
        </w:rPr>
        <w:t>避免把辅助光源安装在摄像机正对的位置，尽量使光源最大光强方向与垂线方向夹角小于65°，并能按实际需要进行手动调整光源照射方向；辅助光源与摄像机保持一定的距离，并以高出摄像机为宜，</w:t>
      </w:r>
    </w:p>
    <w:p>
      <w:pPr>
        <w:spacing w:line="360" w:lineRule="auto"/>
        <w:ind w:firstLine="560" w:firstLineChars="200"/>
        <w:rPr>
          <w:rFonts w:eastAsia="仿宋_GB2312"/>
          <w:sz w:val="28"/>
          <w:szCs w:val="28"/>
        </w:rPr>
      </w:pPr>
      <w:r>
        <w:rPr>
          <w:rFonts w:hint="eastAsia" w:eastAsia="仿宋_GB2312"/>
          <w:sz w:val="28"/>
          <w:szCs w:val="28"/>
        </w:rPr>
        <w:t>1）枪机补光处理：枪机监视范围小，可以在摄像机立杆上加装补光光源，补光光源主要采用自动切换的LED灯，LED灯功率应根据监控点现场环境需求配制，必要时可采用双补光灯模式，分别安装于摄像机两侧。</w:t>
      </w:r>
    </w:p>
    <w:p>
      <w:pPr>
        <w:spacing w:line="360" w:lineRule="auto"/>
        <w:ind w:firstLine="560" w:firstLineChars="200"/>
        <w:rPr>
          <w:rFonts w:eastAsia="仿宋_GB2312"/>
          <w:sz w:val="28"/>
          <w:szCs w:val="28"/>
        </w:rPr>
      </w:pPr>
      <w:r>
        <w:rPr>
          <w:rFonts w:hint="eastAsia" w:eastAsia="仿宋_GB2312"/>
          <w:sz w:val="28"/>
          <w:szCs w:val="28"/>
        </w:rPr>
        <w:t>2）补光灯要随时响应，能够自动控制灯的开关时间，随季节变化调整开、关灯时间，体现节能功能。</w:t>
      </w:r>
    </w:p>
    <w:bookmarkEnd w:id="199"/>
    <w:bookmarkEnd w:id="200"/>
    <w:bookmarkEnd w:id="201"/>
    <w:bookmarkEnd w:id="202"/>
    <w:bookmarkEnd w:id="203"/>
    <w:bookmarkEnd w:id="204"/>
    <w:bookmarkEnd w:id="205"/>
    <w:bookmarkEnd w:id="206"/>
    <w:bookmarkEnd w:id="207"/>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bookmarkStart w:id="208" w:name="_Toc451798060"/>
      <w:bookmarkStart w:id="209" w:name="_Toc4494"/>
      <w:bookmarkStart w:id="210" w:name="_Toc29146"/>
      <w:bookmarkStart w:id="211" w:name="_Toc25264"/>
      <w:bookmarkStart w:id="212" w:name="_Toc28619"/>
      <w:bookmarkStart w:id="213" w:name="_Toc503714869"/>
      <w:bookmarkStart w:id="214" w:name="_Toc386067008"/>
      <w:bookmarkStart w:id="215" w:name="_Toc996"/>
      <w:bookmarkStart w:id="216" w:name="_Toc432257489"/>
      <w:bookmarkStart w:id="217" w:name="_Toc260497927"/>
      <w:bookmarkStart w:id="218" w:name="_Toc10299"/>
      <w:bookmarkStart w:id="219" w:name="_Toc11162"/>
      <w:bookmarkStart w:id="220" w:name="_Toc19227"/>
      <w:r>
        <w:rPr>
          <w:rFonts w:hint="eastAsia" w:eastAsia="仿宋_GB2312"/>
          <w:b/>
          <w:bCs/>
          <w:sz w:val="28"/>
          <w:szCs w:val="28"/>
        </w:rPr>
        <w:t>监控立杆</w:t>
      </w:r>
      <w:bookmarkEnd w:id="208"/>
      <w:bookmarkEnd w:id="209"/>
      <w:bookmarkEnd w:id="210"/>
      <w:bookmarkEnd w:id="211"/>
      <w:bookmarkEnd w:id="212"/>
      <w:bookmarkEnd w:id="213"/>
      <w:bookmarkEnd w:id="214"/>
      <w:bookmarkEnd w:id="215"/>
      <w:bookmarkEnd w:id="216"/>
      <w:bookmarkEnd w:id="217"/>
      <w:bookmarkEnd w:id="218"/>
      <w:bookmarkEnd w:id="219"/>
      <w:bookmarkEnd w:id="220"/>
    </w:p>
    <w:p>
      <w:pPr>
        <w:spacing w:line="360" w:lineRule="auto"/>
        <w:ind w:firstLine="562" w:firstLineChars="200"/>
        <w:rPr>
          <w:rFonts w:eastAsia="仿宋_GB2312"/>
          <w:b/>
          <w:sz w:val="28"/>
          <w:szCs w:val="28"/>
        </w:rPr>
      </w:pPr>
      <w:r>
        <w:rPr>
          <w:rFonts w:hint="eastAsia" w:eastAsia="仿宋_GB2312"/>
          <w:b/>
          <w:sz w:val="28"/>
          <w:szCs w:val="28"/>
        </w:rPr>
        <w:t>根据监控要求及现场实际环境，选择适当规格的监控杆，本项目主要以立杆为主，借杆为辅助。立杆</w:t>
      </w:r>
      <w:r>
        <w:rPr>
          <w:rFonts w:eastAsia="仿宋_GB2312"/>
          <w:b/>
          <w:sz w:val="28"/>
          <w:szCs w:val="28"/>
        </w:rPr>
        <w:t>184</w:t>
      </w:r>
      <w:r>
        <w:rPr>
          <w:rFonts w:hint="eastAsia" w:eastAsia="仿宋_GB2312"/>
          <w:b/>
          <w:sz w:val="28"/>
          <w:szCs w:val="28"/>
        </w:rPr>
        <w:t>根（6.</w:t>
      </w:r>
      <w:r>
        <w:rPr>
          <w:rFonts w:eastAsia="仿宋_GB2312"/>
          <w:b/>
          <w:sz w:val="28"/>
          <w:szCs w:val="28"/>
        </w:rPr>
        <w:t>7</w:t>
      </w:r>
      <w:r>
        <w:rPr>
          <w:rFonts w:hint="eastAsia" w:eastAsia="仿宋_GB2312"/>
          <w:b/>
          <w:sz w:val="28"/>
          <w:szCs w:val="28"/>
        </w:rPr>
        <w:t>米立杆</w:t>
      </w:r>
      <w:r>
        <w:rPr>
          <w:rFonts w:eastAsia="仿宋_GB2312"/>
          <w:b/>
          <w:sz w:val="28"/>
          <w:szCs w:val="28"/>
        </w:rPr>
        <w:t>153</w:t>
      </w:r>
      <w:r>
        <w:rPr>
          <w:rFonts w:hint="eastAsia" w:eastAsia="仿宋_GB2312"/>
          <w:b/>
          <w:sz w:val="28"/>
          <w:szCs w:val="28"/>
        </w:rPr>
        <w:t>根，4米立杆</w:t>
      </w:r>
      <w:r>
        <w:rPr>
          <w:rFonts w:eastAsia="仿宋_GB2312"/>
          <w:b/>
          <w:sz w:val="28"/>
          <w:szCs w:val="28"/>
        </w:rPr>
        <w:t>20</w:t>
      </w:r>
      <w:r>
        <w:rPr>
          <w:rFonts w:hint="eastAsia" w:eastAsia="仿宋_GB2312"/>
          <w:b/>
          <w:sz w:val="28"/>
          <w:szCs w:val="28"/>
        </w:rPr>
        <w:t>根,</w:t>
      </w:r>
      <w:r>
        <w:rPr>
          <w:rFonts w:eastAsia="仿宋_GB2312"/>
          <w:b/>
          <w:sz w:val="28"/>
          <w:szCs w:val="28"/>
        </w:rPr>
        <w:t>3</w:t>
      </w:r>
      <w:r>
        <w:rPr>
          <w:rFonts w:hint="eastAsia" w:eastAsia="仿宋_GB2312"/>
          <w:b/>
          <w:sz w:val="28"/>
          <w:szCs w:val="28"/>
        </w:rPr>
        <w:t>米立杆1</w:t>
      </w:r>
      <w:r>
        <w:rPr>
          <w:rFonts w:eastAsia="仿宋_GB2312"/>
          <w:b/>
          <w:sz w:val="28"/>
          <w:szCs w:val="28"/>
        </w:rPr>
        <w:t>1</w:t>
      </w:r>
      <w:r>
        <w:rPr>
          <w:rFonts w:hint="eastAsia" w:eastAsia="仿宋_GB2312"/>
          <w:b/>
          <w:sz w:val="28"/>
          <w:szCs w:val="28"/>
        </w:rPr>
        <w:t>根），借杆</w:t>
      </w:r>
      <w:r>
        <w:rPr>
          <w:rFonts w:eastAsia="仿宋_GB2312"/>
          <w:b/>
          <w:sz w:val="28"/>
          <w:szCs w:val="28"/>
        </w:rPr>
        <w:t>20</w:t>
      </w:r>
      <w:r>
        <w:rPr>
          <w:rFonts w:hint="eastAsia" w:eastAsia="仿宋_GB2312"/>
          <w:b/>
          <w:sz w:val="28"/>
          <w:szCs w:val="28"/>
        </w:rPr>
        <w:t>根。</w:t>
      </w:r>
    </w:p>
    <w:p>
      <w:pPr>
        <w:spacing w:line="360" w:lineRule="auto"/>
        <w:ind w:firstLine="562" w:firstLineChars="200"/>
        <w:rPr>
          <w:rFonts w:eastAsia="仿宋_GB2312"/>
          <w:b/>
          <w:color w:val="000000"/>
          <w:sz w:val="28"/>
          <w:szCs w:val="28"/>
        </w:rPr>
      </w:pPr>
      <w:r>
        <w:rPr>
          <w:rFonts w:hint="eastAsia" w:eastAsia="仿宋_GB2312"/>
          <w:b/>
          <w:color w:val="000000"/>
          <w:sz w:val="28"/>
          <w:szCs w:val="28"/>
        </w:rPr>
        <w:t>治安监控相机主要采用</w:t>
      </w:r>
      <w:r>
        <w:rPr>
          <w:rFonts w:eastAsia="仿宋_GB2312"/>
          <w:b/>
          <w:color w:val="000000"/>
          <w:sz w:val="28"/>
          <w:szCs w:val="28"/>
        </w:rPr>
        <w:t>6.7m</w:t>
      </w:r>
      <w:r>
        <w:rPr>
          <w:rFonts w:hint="eastAsia" w:eastAsia="仿宋_GB2312"/>
          <w:b/>
          <w:color w:val="000000"/>
          <w:sz w:val="28"/>
          <w:szCs w:val="28"/>
        </w:rPr>
        <w:t>立杆，人脸车脸识别相机主要采用</w:t>
      </w:r>
      <w:r>
        <w:rPr>
          <w:rFonts w:eastAsia="仿宋_GB2312"/>
          <w:b/>
          <w:color w:val="000000"/>
          <w:sz w:val="28"/>
          <w:szCs w:val="28"/>
        </w:rPr>
        <w:t>4</w:t>
      </w:r>
      <w:r>
        <w:rPr>
          <w:rFonts w:hint="eastAsia" w:eastAsia="仿宋_GB2312"/>
          <w:b/>
          <w:color w:val="000000"/>
          <w:sz w:val="28"/>
          <w:szCs w:val="28"/>
        </w:rPr>
        <w:t>米和3米高度的立杆。采用6</w:t>
      </w:r>
      <w:r>
        <w:rPr>
          <w:rFonts w:eastAsia="仿宋_GB2312"/>
          <w:b/>
          <w:color w:val="000000"/>
          <w:sz w:val="28"/>
          <w:szCs w:val="28"/>
        </w:rPr>
        <w:t>.7</w:t>
      </w:r>
      <w:r>
        <w:rPr>
          <w:rFonts w:hint="eastAsia" w:eastAsia="仿宋_GB2312"/>
          <w:b/>
          <w:color w:val="000000"/>
          <w:sz w:val="28"/>
          <w:szCs w:val="28"/>
        </w:rPr>
        <w:t>米立杆主要考虑到对车辆通行影响最小，采用3米高度的立杆主要考虑到人脸抓拍效果更好（因为俯视角越小，抓拍效果越好），采用4米高度的立杆是考虑到实际抓拍距离较远，立杆太低中间可能有车辆等遮挡，适当提高立杆高度不会对抓拍效果产生影响。</w:t>
      </w:r>
    </w:p>
    <w:p>
      <w:pPr>
        <w:spacing w:line="360" w:lineRule="auto"/>
        <w:ind w:firstLine="560" w:firstLineChars="200"/>
        <w:rPr>
          <w:rFonts w:eastAsia="仿宋_GB2312"/>
          <w:sz w:val="28"/>
          <w:szCs w:val="28"/>
        </w:rPr>
      </w:pPr>
      <w:r>
        <w:rPr>
          <w:rFonts w:hint="eastAsia" w:eastAsia="仿宋_GB2312"/>
          <w:sz w:val="28"/>
          <w:szCs w:val="28"/>
        </w:rPr>
        <w:t>借杆主要采用</w:t>
      </w:r>
      <w:r>
        <w:rPr>
          <w:rFonts w:eastAsia="仿宋_GB2312"/>
          <w:sz w:val="28"/>
          <w:szCs w:val="28"/>
        </w:rPr>
        <w:t>2</w:t>
      </w:r>
      <w:r>
        <w:rPr>
          <w:rFonts w:hint="eastAsia" w:eastAsia="仿宋_GB2312"/>
          <w:sz w:val="28"/>
          <w:szCs w:val="28"/>
        </w:rPr>
        <w:t>～4m的抱杆挑臂。</w:t>
      </w:r>
    </w:p>
    <w:p>
      <w:pPr>
        <w:spacing w:line="360" w:lineRule="auto"/>
        <w:ind w:firstLine="560" w:firstLineChars="200"/>
        <w:rPr>
          <w:rFonts w:eastAsia="仿宋_GB2312"/>
          <w:sz w:val="28"/>
          <w:szCs w:val="28"/>
        </w:rPr>
      </w:pPr>
      <w:r>
        <w:rPr>
          <w:rFonts w:hint="eastAsia" w:eastAsia="仿宋_GB2312"/>
          <w:sz w:val="28"/>
          <w:szCs w:val="28"/>
        </w:rPr>
        <w:t>本项目的杆件结构详见设计图。</w:t>
      </w:r>
    </w:p>
    <w:p>
      <w:pPr>
        <w:spacing w:line="360" w:lineRule="auto"/>
        <w:ind w:firstLine="560" w:firstLineChars="200"/>
        <w:rPr>
          <w:rFonts w:eastAsia="仿宋_GB2312"/>
          <w:sz w:val="28"/>
          <w:szCs w:val="28"/>
        </w:rPr>
      </w:pPr>
      <w:r>
        <w:rPr>
          <w:rFonts w:hint="eastAsia" w:eastAsia="仿宋_GB2312"/>
          <w:sz w:val="28"/>
          <w:szCs w:val="28"/>
        </w:rPr>
        <w:t>1、利用原有灯杆（包括其它可利用的的杆）安装前端设备应符合下列要求：</w:t>
      </w:r>
    </w:p>
    <w:p>
      <w:pPr>
        <w:spacing w:line="360" w:lineRule="auto"/>
        <w:ind w:firstLine="560" w:firstLineChars="200"/>
        <w:rPr>
          <w:rFonts w:eastAsia="仿宋_GB2312"/>
          <w:sz w:val="28"/>
          <w:szCs w:val="28"/>
        </w:rPr>
      </w:pPr>
      <w:r>
        <w:rPr>
          <w:rFonts w:hint="eastAsia" w:eastAsia="仿宋_GB2312"/>
          <w:sz w:val="28"/>
          <w:szCs w:val="28"/>
        </w:rPr>
        <w:t>（1）不得采用安装在突出路面混凝土块上的灯杆。</w:t>
      </w:r>
    </w:p>
    <w:p>
      <w:pPr>
        <w:spacing w:line="360" w:lineRule="auto"/>
        <w:ind w:firstLine="560" w:firstLineChars="200"/>
        <w:rPr>
          <w:rFonts w:eastAsia="仿宋_GB2312"/>
          <w:sz w:val="28"/>
          <w:szCs w:val="28"/>
        </w:rPr>
      </w:pPr>
      <w:r>
        <w:rPr>
          <w:rFonts w:hint="eastAsia" w:eastAsia="仿宋_GB2312"/>
          <w:sz w:val="28"/>
          <w:szCs w:val="28"/>
        </w:rPr>
        <w:t>（2）金属灯杆基础牢固度、承重、防风以及抗震等各方面能达到相同规格的指标要求时，经合理改造，可用来安装摄像机和设备箱等前端监控设备。</w:t>
      </w:r>
    </w:p>
    <w:p>
      <w:pPr>
        <w:spacing w:line="360" w:lineRule="auto"/>
        <w:ind w:firstLine="560" w:firstLineChars="200"/>
        <w:rPr>
          <w:rFonts w:eastAsia="仿宋_GB2312"/>
          <w:sz w:val="28"/>
          <w:szCs w:val="28"/>
        </w:rPr>
      </w:pPr>
      <w:r>
        <w:rPr>
          <w:rFonts w:hint="eastAsia" w:eastAsia="仿宋_GB2312"/>
          <w:sz w:val="28"/>
          <w:szCs w:val="28"/>
        </w:rPr>
        <w:t>（3）杆体基础必须无松动，杆体本身必须无锈蚀。</w:t>
      </w:r>
    </w:p>
    <w:p>
      <w:pPr>
        <w:spacing w:line="360" w:lineRule="auto"/>
        <w:ind w:firstLine="560" w:firstLineChars="200"/>
        <w:rPr>
          <w:rFonts w:eastAsia="仿宋_GB2312"/>
          <w:sz w:val="28"/>
          <w:szCs w:val="28"/>
        </w:rPr>
      </w:pPr>
      <w:r>
        <w:rPr>
          <w:rFonts w:hint="eastAsia" w:eastAsia="仿宋_GB2312"/>
          <w:sz w:val="28"/>
          <w:szCs w:val="28"/>
        </w:rPr>
        <w:t>（4）施工前必须选择有代表性的杆体进行检测计算。</w:t>
      </w:r>
    </w:p>
    <w:p>
      <w:pPr>
        <w:spacing w:line="360" w:lineRule="auto"/>
        <w:ind w:firstLine="560" w:firstLineChars="200"/>
        <w:rPr>
          <w:rFonts w:eastAsia="仿宋_GB2312"/>
          <w:sz w:val="28"/>
          <w:szCs w:val="28"/>
        </w:rPr>
      </w:pPr>
      <w:r>
        <w:rPr>
          <w:rFonts w:hint="eastAsia" w:eastAsia="仿宋_GB2312"/>
          <w:sz w:val="28"/>
          <w:szCs w:val="28"/>
        </w:rPr>
        <w:t>（5）抱杆安装横杆时，横杆长度为2m～4m，特殊情况下可用0</w:t>
      </w:r>
      <w:r>
        <w:rPr>
          <w:rFonts w:eastAsia="仿宋_GB2312"/>
          <w:sz w:val="28"/>
          <w:szCs w:val="28"/>
        </w:rPr>
        <w:t>.6</w:t>
      </w:r>
      <w:r>
        <w:rPr>
          <w:rFonts w:hint="eastAsia" w:eastAsia="仿宋_GB2312"/>
          <w:sz w:val="28"/>
          <w:szCs w:val="28"/>
        </w:rPr>
        <w:t>m挑臂或支架安装。</w:t>
      </w:r>
    </w:p>
    <w:p>
      <w:pPr>
        <w:spacing w:line="360" w:lineRule="auto"/>
        <w:ind w:firstLine="560" w:firstLineChars="200"/>
        <w:rPr>
          <w:rFonts w:eastAsia="仿宋_GB2312"/>
          <w:sz w:val="28"/>
          <w:szCs w:val="28"/>
        </w:rPr>
      </w:pPr>
      <w:r>
        <w:rPr>
          <w:rFonts w:hint="eastAsia" w:eastAsia="仿宋_GB2312"/>
          <w:sz w:val="28"/>
          <w:szCs w:val="28"/>
        </w:rPr>
        <w:t>2、监控立杆安装前设备应符合下列要求：</w:t>
      </w:r>
    </w:p>
    <w:p>
      <w:pPr>
        <w:spacing w:line="360" w:lineRule="auto"/>
        <w:ind w:firstLine="560" w:firstLineChars="200"/>
        <w:rPr>
          <w:rFonts w:eastAsia="仿宋_GB2312"/>
          <w:sz w:val="28"/>
          <w:szCs w:val="28"/>
        </w:rPr>
      </w:pPr>
      <w:r>
        <w:rPr>
          <w:rFonts w:hint="eastAsia" w:eastAsia="仿宋_GB2312"/>
          <w:sz w:val="28"/>
          <w:szCs w:val="28"/>
        </w:rPr>
        <w:t>（1）没有特殊情况所有监控立杆预埋件混凝土为C25商品砼，所配钢筋符合国标及受风要求。</w:t>
      </w:r>
    </w:p>
    <w:p>
      <w:pPr>
        <w:spacing w:line="360" w:lineRule="auto"/>
        <w:ind w:firstLine="560" w:firstLineChars="200"/>
        <w:rPr>
          <w:rFonts w:eastAsia="仿宋_GB2312"/>
          <w:sz w:val="28"/>
          <w:szCs w:val="28"/>
        </w:rPr>
      </w:pPr>
      <w:r>
        <w:rPr>
          <w:rFonts w:hint="eastAsia" w:eastAsia="仿宋_GB2312"/>
          <w:sz w:val="28"/>
          <w:szCs w:val="28"/>
        </w:rPr>
        <w:t>（2）预埋件地脚螺栓法兰盘以上的螺纹包扎良好以防损坏螺纹。根据预埋件安装图正确放置监控立杆预埋件，保证支臂杆的伸出方向与行车道垂直地脚螺栓作为主筋；</w:t>
      </w:r>
    </w:p>
    <w:p>
      <w:pPr>
        <w:spacing w:line="360" w:lineRule="auto"/>
        <w:ind w:firstLine="560" w:firstLineChars="200"/>
        <w:rPr>
          <w:rFonts w:eastAsia="仿宋_GB2312"/>
          <w:sz w:val="28"/>
          <w:szCs w:val="28"/>
        </w:rPr>
      </w:pPr>
      <w:r>
        <w:rPr>
          <w:rFonts w:hint="eastAsia" w:eastAsia="仿宋_GB2312"/>
          <w:sz w:val="28"/>
          <w:szCs w:val="28"/>
        </w:rPr>
        <w:t>（3）杆旁、电缆拐弯处、电缆管直线长度超过50米时或两端电缆管不在同一平面相距100mm以上时，必须设置手孔井。</w:t>
      </w:r>
    </w:p>
    <w:p>
      <w:pPr>
        <w:spacing w:line="360" w:lineRule="auto"/>
        <w:ind w:firstLine="560" w:firstLineChars="200"/>
        <w:rPr>
          <w:rFonts w:eastAsia="仿宋_GB2312"/>
          <w:sz w:val="28"/>
          <w:szCs w:val="28"/>
        </w:rPr>
      </w:pPr>
      <w:r>
        <w:rPr>
          <w:rFonts w:hint="eastAsia" w:eastAsia="仿宋_GB2312"/>
          <w:sz w:val="28"/>
          <w:szCs w:val="28"/>
        </w:rPr>
        <w:t>（4）立杆布线必须从杆件内部走线。</w:t>
      </w:r>
    </w:p>
    <w:p>
      <w:pPr>
        <w:spacing w:line="360" w:lineRule="auto"/>
        <w:ind w:firstLine="560" w:firstLineChars="200"/>
        <w:rPr>
          <w:rFonts w:eastAsia="仿宋_GB2312"/>
          <w:sz w:val="28"/>
          <w:szCs w:val="28"/>
        </w:rPr>
      </w:pPr>
      <w:r>
        <w:rPr>
          <w:rFonts w:hint="eastAsia" w:eastAsia="仿宋_GB2312"/>
          <w:sz w:val="28"/>
          <w:szCs w:val="28"/>
        </w:rPr>
        <w:t>3、每个监控杆件上都应挂上反光监控标志牌。</w:t>
      </w:r>
    </w:p>
    <w:p>
      <w:pPr>
        <w:spacing w:line="360" w:lineRule="auto"/>
        <w:ind w:firstLine="560" w:firstLineChars="200"/>
        <w:rPr>
          <w:rFonts w:eastAsia="仿宋_GB2312"/>
          <w:sz w:val="28"/>
          <w:szCs w:val="28"/>
        </w:rPr>
      </w:pPr>
      <w:r>
        <w:rPr>
          <w:rFonts w:hint="eastAsia" w:eastAsia="仿宋_GB2312"/>
          <w:sz w:val="28"/>
          <w:szCs w:val="28"/>
        </w:rPr>
        <w:t>监控标志牌各监控点立杆上设立监控区域明显标志。</w:t>
      </w:r>
    </w:p>
    <w:p>
      <w:pPr>
        <w:spacing w:line="360" w:lineRule="auto"/>
        <w:ind w:firstLine="560" w:firstLineChars="200"/>
        <w:rPr>
          <w:rFonts w:eastAsia="仿宋_GB2312"/>
          <w:sz w:val="28"/>
          <w:szCs w:val="28"/>
        </w:rPr>
      </w:pPr>
      <w:r>
        <w:rPr>
          <w:rFonts w:hint="eastAsia" w:eastAsia="仿宋_GB2312"/>
          <w:sz w:val="28"/>
          <w:szCs w:val="28"/>
        </w:rPr>
        <w:t>杆件结构详见设计图：</w:t>
      </w:r>
    </w:p>
    <w:p>
      <w:pPr>
        <w:spacing w:line="360" w:lineRule="auto"/>
        <w:jc w:val="left"/>
        <w:rPr>
          <w:rFonts w:ascii="宋体" w:hAnsi="宋体"/>
          <w:szCs w:val="21"/>
        </w:rPr>
      </w:pPr>
      <w:r>
        <w:rPr>
          <w:rFonts w:ascii="宋体" w:hAnsi="宋体"/>
          <w:szCs w:val="21"/>
        </w:rPr>
        <w:drawing>
          <wp:inline distT="0" distB="0" distL="114300" distR="114300">
            <wp:extent cx="6238240" cy="4097655"/>
            <wp:effectExtent l="0" t="0" r="10160"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6238240" cy="4097655"/>
                    </a:xfrm>
                    <a:prstGeom prst="rect">
                      <a:avLst/>
                    </a:prstGeom>
                    <a:noFill/>
                    <a:ln>
                      <a:noFill/>
                    </a:ln>
                  </pic:spPr>
                </pic:pic>
              </a:graphicData>
            </a:graphic>
          </wp:inline>
        </w:drawing>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drawing>
          <wp:inline distT="0" distB="0" distL="114300" distR="114300">
            <wp:extent cx="5274310" cy="6151880"/>
            <wp:effectExtent l="0" t="0" r="2540"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9"/>
                    <a:stretch>
                      <a:fillRect/>
                    </a:stretch>
                  </pic:blipFill>
                  <pic:spPr>
                    <a:xfrm>
                      <a:off x="0" y="0"/>
                      <a:ext cx="5274310" cy="6151880"/>
                    </a:xfrm>
                    <a:prstGeom prst="rect">
                      <a:avLst/>
                    </a:prstGeom>
                    <a:noFill/>
                    <a:ln>
                      <a:noFill/>
                    </a:ln>
                  </pic:spPr>
                </pic:pic>
              </a:graphicData>
            </a:graphic>
          </wp:inline>
        </w:drawing>
      </w: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drawing>
          <wp:inline distT="0" distB="0" distL="114300" distR="114300">
            <wp:extent cx="5273675" cy="3928110"/>
            <wp:effectExtent l="0" t="0" r="3175"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5273675" cy="3928110"/>
                    </a:xfrm>
                    <a:prstGeom prst="rect">
                      <a:avLst/>
                    </a:prstGeom>
                    <a:noFill/>
                    <a:ln>
                      <a:noFill/>
                    </a:ln>
                  </pic:spPr>
                </pic:pic>
              </a:graphicData>
            </a:graphic>
          </wp:inline>
        </w:drawing>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drawing>
          <wp:inline distT="0" distB="0" distL="114300" distR="114300">
            <wp:extent cx="5274310" cy="3221990"/>
            <wp:effectExtent l="0" t="0" r="2540" b="1651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21"/>
                    <a:stretch>
                      <a:fillRect/>
                    </a:stretch>
                  </pic:blipFill>
                  <pic:spPr>
                    <a:xfrm>
                      <a:off x="0" y="0"/>
                      <a:ext cx="5274310" cy="3221990"/>
                    </a:xfrm>
                    <a:prstGeom prst="rect">
                      <a:avLst/>
                    </a:prstGeom>
                    <a:noFill/>
                    <a:ln>
                      <a:noFill/>
                    </a:ln>
                  </pic:spPr>
                </pic:pic>
              </a:graphicData>
            </a:graphic>
          </wp:inline>
        </w:drawing>
      </w:r>
    </w:p>
    <w:p>
      <w:pPr>
        <w:adjustRightInd w:val="0"/>
        <w:snapToGrid w:val="0"/>
        <w:spacing w:line="360" w:lineRule="auto"/>
        <w:ind w:firstLine="415" w:firstLineChars="198"/>
        <w:rPr>
          <w:rFonts w:ascii="宋体" w:hAnsi="宋体"/>
          <w:szCs w:val="21"/>
        </w:rPr>
      </w:pP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bookmarkStart w:id="221" w:name="_Toc5510"/>
      <w:bookmarkStart w:id="222" w:name="_Toc432257490"/>
      <w:bookmarkStart w:id="223" w:name="_Toc2044"/>
      <w:bookmarkStart w:id="224" w:name="_Toc1694"/>
      <w:bookmarkStart w:id="225" w:name="_Toc31097"/>
      <w:bookmarkStart w:id="226" w:name="_Toc9003"/>
      <w:bookmarkStart w:id="227" w:name="_Toc503714870"/>
      <w:bookmarkStart w:id="228" w:name="_Toc12995"/>
      <w:bookmarkStart w:id="229" w:name="_Toc451798061"/>
      <w:bookmarkStart w:id="230" w:name="_Toc386067009"/>
      <w:bookmarkStart w:id="231" w:name="_Toc1195"/>
      <w:bookmarkStart w:id="232" w:name="_Toc6625"/>
      <w:r>
        <w:rPr>
          <w:rFonts w:hint="eastAsia" w:eastAsia="仿宋_GB2312"/>
          <w:b/>
          <w:bCs/>
          <w:sz w:val="28"/>
          <w:szCs w:val="28"/>
        </w:rPr>
        <w:t>室外机箱</w:t>
      </w:r>
      <w:bookmarkEnd w:id="221"/>
      <w:bookmarkEnd w:id="222"/>
      <w:bookmarkEnd w:id="223"/>
      <w:bookmarkEnd w:id="224"/>
      <w:bookmarkEnd w:id="225"/>
      <w:bookmarkEnd w:id="226"/>
      <w:bookmarkEnd w:id="227"/>
      <w:bookmarkEnd w:id="228"/>
      <w:bookmarkEnd w:id="229"/>
      <w:bookmarkEnd w:id="230"/>
      <w:bookmarkEnd w:id="231"/>
      <w:bookmarkEnd w:id="232"/>
    </w:p>
    <w:p>
      <w:pPr>
        <w:spacing w:line="360" w:lineRule="auto"/>
        <w:ind w:firstLine="560" w:firstLineChars="200"/>
        <w:rPr>
          <w:rFonts w:eastAsia="仿宋_GB2312"/>
          <w:sz w:val="28"/>
          <w:szCs w:val="28"/>
        </w:rPr>
      </w:pPr>
      <w:r>
        <w:rPr>
          <w:rFonts w:hint="eastAsia" w:eastAsia="仿宋_GB2312"/>
          <w:sz w:val="28"/>
          <w:szCs w:val="28"/>
        </w:rPr>
        <w:t>所有的电源、网络传输设备、防雷器等前端辅助设备都安装在设备箱内，内部安装架的设计充分考虑设备的安装位置，同时具有防雨、防尘、耐高温、防盗、防破坏等功能。</w:t>
      </w:r>
    </w:p>
    <w:p>
      <w:pPr>
        <w:spacing w:line="360" w:lineRule="auto"/>
        <w:ind w:firstLine="560" w:firstLineChars="200"/>
        <w:rPr>
          <w:rFonts w:eastAsia="仿宋_GB2312"/>
          <w:sz w:val="28"/>
          <w:szCs w:val="28"/>
        </w:rPr>
      </w:pPr>
      <w:r>
        <w:rPr>
          <w:rFonts w:hint="eastAsia" w:eastAsia="仿宋_GB2312"/>
          <w:sz w:val="28"/>
          <w:szCs w:val="28"/>
        </w:rPr>
        <w:t>箱体大小应根据箱内配套设备的数量和尺寸来设计，应与杆体大小协调，应保证有充足的空间，方便设备安装和维护，箱体结构详见设计图。</w:t>
      </w:r>
    </w:p>
    <w:p>
      <w:pPr>
        <w:spacing w:line="360" w:lineRule="auto"/>
        <w:ind w:firstLine="560" w:firstLineChars="200"/>
        <w:rPr>
          <w:rFonts w:eastAsia="仿宋_GB2312"/>
          <w:sz w:val="28"/>
          <w:szCs w:val="28"/>
        </w:rPr>
      </w:pPr>
      <w:r>
        <w:rPr>
          <w:rFonts w:hint="eastAsia" w:eastAsia="仿宋_GB2312"/>
          <w:sz w:val="28"/>
          <w:szCs w:val="28"/>
        </w:rPr>
        <w:t>箱体材料应符合下列要求：</w:t>
      </w:r>
    </w:p>
    <w:p>
      <w:pPr>
        <w:numPr>
          <w:ilvl w:val="0"/>
          <w:numId w:val="14"/>
        </w:numPr>
        <w:spacing w:line="360" w:lineRule="auto"/>
        <w:ind w:firstLine="560" w:firstLineChars="200"/>
        <w:rPr>
          <w:rFonts w:eastAsia="仿宋_GB2312"/>
          <w:sz w:val="28"/>
          <w:szCs w:val="28"/>
        </w:rPr>
      </w:pPr>
      <w:r>
        <w:rPr>
          <w:rFonts w:hint="eastAsia" w:eastAsia="仿宋_GB2312"/>
          <w:sz w:val="28"/>
          <w:szCs w:val="28"/>
        </w:rPr>
        <w:t>机箱要求采用优质金属板材制作，应具备抵抗腐蚀及电化学反应的能力；</w:t>
      </w:r>
    </w:p>
    <w:p>
      <w:pPr>
        <w:numPr>
          <w:ilvl w:val="0"/>
          <w:numId w:val="14"/>
        </w:numPr>
        <w:spacing w:line="360" w:lineRule="auto"/>
        <w:ind w:firstLine="560" w:firstLineChars="200"/>
        <w:rPr>
          <w:rFonts w:eastAsia="仿宋_GB2312"/>
          <w:sz w:val="28"/>
          <w:szCs w:val="28"/>
        </w:rPr>
      </w:pPr>
      <w:r>
        <w:rPr>
          <w:rFonts w:hint="eastAsia" w:eastAsia="仿宋_GB2312"/>
          <w:sz w:val="28"/>
          <w:szCs w:val="28"/>
        </w:rPr>
        <w:t>机箱要求采取底部进线设计，箱体需具备防水能力</w:t>
      </w:r>
      <w:r>
        <w:rPr>
          <w:rFonts w:eastAsia="仿宋_GB2312"/>
          <w:sz w:val="28"/>
          <w:szCs w:val="28"/>
        </w:rPr>
        <w:t>,</w:t>
      </w:r>
      <w:r>
        <w:rPr>
          <w:rFonts w:hint="eastAsia" w:eastAsia="仿宋_GB2312"/>
          <w:sz w:val="28"/>
          <w:szCs w:val="28"/>
        </w:rPr>
        <w:t>能容纳光纤尾纤盒和光端机等设备。机箱应能适应室外抗高温环境，为了保证设备的安全，机箱要求具有很强的防橇性能，机箱大门采用天地锁，密封性能卓越；进一步保证主控制器的安全；</w:t>
      </w:r>
    </w:p>
    <w:p>
      <w:pPr>
        <w:spacing w:line="360" w:lineRule="auto"/>
        <w:ind w:firstLine="560" w:firstLineChars="200"/>
        <w:rPr>
          <w:rFonts w:eastAsia="仿宋_GB2312"/>
          <w:sz w:val="28"/>
          <w:szCs w:val="28"/>
        </w:rPr>
      </w:pPr>
      <w:r>
        <w:rPr>
          <w:rFonts w:eastAsia="仿宋_GB2312"/>
          <w:sz w:val="28"/>
          <w:szCs w:val="28"/>
        </w:rPr>
        <w:t>3</w:t>
      </w:r>
      <w:r>
        <w:rPr>
          <w:rFonts w:hint="eastAsia" w:eastAsia="仿宋_GB2312"/>
          <w:sz w:val="28"/>
          <w:szCs w:val="28"/>
        </w:rPr>
        <w:t>、箱体进线孔必须有胶套保护，以防止各种线缆被刮伤；</w:t>
      </w:r>
    </w:p>
    <w:p>
      <w:pPr>
        <w:spacing w:line="360" w:lineRule="auto"/>
        <w:ind w:firstLine="560" w:firstLineChars="200"/>
        <w:rPr>
          <w:rFonts w:eastAsia="仿宋_GB2312"/>
          <w:sz w:val="28"/>
          <w:szCs w:val="28"/>
        </w:rPr>
      </w:pPr>
      <w:r>
        <w:rPr>
          <w:rFonts w:eastAsia="仿宋_GB2312"/>
          <w:sz w:val="28"/>
          <w:szCs w:val="28"/>
        </w:rPr>
        <w:t>4</w:t>
      </w:r>
      <w:r>
        <w:rPr>
          <w:rFonts w:hint="eastAsia" w:eastAsia="仿宋_GB2312"/>
          <w:sz w:val="28"/>
          <w:szCs w:val="28"/>
        </w:rPr>
        <w:t>、箱体到摄像机、补光灯的线缆裸露部分必须套软管；</w:t>
      </w:r>
    </w:p>
    <w:p>
      <w:pPr>
        <w:spacing w:line="360" w:lineRule="auto"/>
        <w:ind w:firstLine="560" w:firstLineChars="200"/>
        <w:rPr>
          <w:rFonts w:eastAsia="仿宋_GB2312"/>
          <w:sz w:val="28"/>
          <w:szCs w:val="28"/>
        </w:rPr>
      </w:pPr>
      <w:r>
        <w:rPr>
          <w:rFonts w:eastAsia="仿宋_GB2312"/>
          <w:sz w:val="28"/>
          <w:szCs w:val="28"/>
        </w:rPr>
        <w:t>5</w:t>
      </w:r>
      <w:r>
        <w:rPr>
          <w:rFonts w:hint="eastAsia" w:eastAsia="仿宋_GB2312"/>
          <w:sz w:val="28"/>
          <w:szCs w:val="28"/>
        </w:rPr>
        <w:t>、设备箱统一采用挂装方式，提供相应的安装附件；</w:t>
      </w:r>
    </w:p>
    <w:p>
      <w:pPr>
        <w:spacing w:line="360" w:lineRule="auto"/>
        <w:ind w:firstLine="560" w:firstLineChars="200"/>
        <w:rPr>
          <w:rFonts w:eastAsia="仿宋_GB2312"/>
          <w:sz w:val="28"/>
          <w:szCs w:val="28"/>
        </w:rPr>
      </w:pPr>
      <w:r>
        <w:rPr>
          <w:rFonts w:eastAsia="仿宋_GB2312"/>
          <w:sz w:val="28"/>
          <w:szCs w:val="28"/>
        </w:rPr>
        <w:t>6</w:t>
      </w:r>
      <w:r>
        <w:rPr>
          <w:rFonts w:hint="eastAsia" w:eastAsia="仿宋_GB2312"/>
          <w:sz w:val="28"/>
          <w:szCs w:val="28"/>
        </w:rPr>
        <w:t>、箱体表面应喷涂防锈油漆，箱体应有明显标识表明设备箱用途、编号等，如“治安监控”、“XX路001”等字样。</w:t>
      </w:r>
    </w:p>
    <w:p>
      <w:pPr>
        <w:spacing w:line="360" w:lineRule="auto"/>
        <w:ind w:firstLine="560" w:firstLineChars="200"/>
        <w:rPr>
          <w:rFonts w:eastAsia="仿宋_GB2312"/>
          <w:sz w:val="28"/>
          <w:szCs w:val="28"/>
        </w:rPr>
      </w:pPr>
      <w:r>
        <w:rPr>
          <w:rFonts w:hint="eastAsia" w:eastAsia="仿宋_GB2312"/>
          <w:sz w:val="28"/>
          <w:szCs w:val="28"/>
        </w:rPr>
        <w:t>机箱结构详见设计图：</w:t>
      </w:r>
    </w:p>
    <w:p>
      <w:pPr>
        <w:adjustRightInd w:val="0"/>
        <w:snapToGrid w:val="0"/>
        <w:spacing w:line="360" w:lineRule="auto"/>
        <w:ind w:firstLine="415" w:firstLineChars="198"/>
        <w:rPr>
          <w:rFonts w:ascii="宋体" w:hAnsi="宋体"/>
          <w:snapToGrid w:val="0"/>
          <w:kern w:val="24"/>
          <w:szCs w:val="21"/>
        </w:rPr>
      </w:pPr>
      <w:r>
        <w:rPr>
          <w:rFonts w:ascii="宋体" w:hAnsi="宋体"/>
          <w:snapToGrid w:val="0"/>
          <w:kern w:val="24"/>
          <w:szCs w:val="21"/>
        </w:rPr>
        <w:drawing>
          <wp:inline distT="0" distB="0" distL="114300" distR="114300">
            <wp:extent cx="5247005" cy="2921635"/>
            <wp:effectExtent l="0" t="0" r="10795" b="12065"/>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22"/>
                    <a:stretch>
                      <a:fillRect/>
                    </a:stretch>
                  </pic:blipFill>
                  <pic:spPr>
                    <a:xfrm>
                      <a:off x="0" y="0"/>
                      <a:ext cx="5247005" cy="2921635"/>
                    </a:xfrm>
                    <a:prstGeom prst="rect">
                      <a:avLst/>
                    </a:prstGeom>
                    <a:noFill/>
                    <a:ln>
                      <a:noFill/>
                    </a:ln>
                  </pic:spPr>
                </pic:pic>
              </a:graphicData>
            </a:graphic>
          </wp:inline>
        </w:drawing>
      </w: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bookmarkStart w:id="233" w:name="_Toc227226633"/>
      <w:bookmarkStart w:id="234" w:name="_Toc204488199"/>
      <w:bookmarkStart w:id="235" w:name="_Toc234240269"/>
      <w:bookmarkStart w:id="236" w:name="_Toc234338322"/>
      <w:bookmarkStart w:id="237" w:name="_Toc234241769"/>
      <w:bookmarkStart w:id="238" w:name="_Toc260497934"/>
      <w:bookmarkStart w:id="239" w:name="_Toc262414689"/>
      <w:bookmarkStart w:id="240" w:name="_Toc260858305"/>
      <w:bookmarkStart w:id="241" w:name="_Toc258343373"/>
      <w:bookmarkStart w:id="242" w:name="_Toc251094494"/>
      <w:bookmarkStart w:id="243" w:name="_Toc23585"/>
      <w:bookmarkStart w:id="244" w:name="_Toc30416"/>
      <w:bookmarkStart w:id="245" w:name="_Toc503714871"/>
      <w:bookmarkStart w:id="246" w:name="_Toc451798064"/>
      <w:bookmarkStart w:id="247" w:name="_Toc25364"/>
      <w:bookmarkStart w:id="248" w:name="_Toc386067012"/>
      <w:bookmarkStart w:id="249" w:name="_Toc24168"/>
      <w:bookmarkStart w:id="250" w:name="_Toc6815"/>
      <w:bookmarkStart w:id="251" w:name="_Toc32416"/>
      <w:bookmarkStart w:id="252" w:name="_Toc2852"/>
      <w:bookmarkStart w:id="253" w:name="_Toc432257493"/>
      <w:bookmarkStart w:id="254" w:name="_Toc10537"/>
      <w:r>
        <w:rPr>
          <w:rFonts w:hint="eastAsia" w:eastAsia="仿宋_GB2312"/>
          <w:b/>
          <w:bCs/>
          <w:sz w:val="28"/>
          <w:szCs w:val="28"/>
        </w:rPr>
        <w:t>前端设备</w:t>
      </w:r>
      <w:bookmarkEnd w:id="233"/>
      <w:bookmarkEnd w:id="234"/>
      <w:bookmarkEnd w:id="235"/>
      <w:bookmarkEnd w:id="236"/>
      <w:bookmarkEnd w:id="237"/>
      <w:r>
        <w:rPr>
          <w:rFonts w:hint="eastAsia" w:eastAsia="仿宋_GB2312"/>
          <w:b/>
          <w:bCs/>
          <w:sz w:val="28"/>
          <w:szCs w:val="28"/>
        </w:rPr>
        <w:t>供电</w:t>
      </w:r>
      <w:bookmarkEnd w:id="238"/>
      <w:bookmarkEnd w:id="239"/>
      <w:bookmarkEnd w:id="240"/>
      <w:bookmarkEnd w:id="241"/>
      <w:bookmarkEnd w:id="242"/>
      <w:r>
        <w:rPr>
          <w:rFonts w:hint="eastAsia" w:eastAsia="仿宋_GB2312"/>
          <w:b/>
          <w:bCs/>
          <w:sz w:val="28"/>
          <w:szCs w:val="28"/>
        </w:rPr>
        <w:t>方式</w:t>
      </w:r>
      <w:bookmarkEnd w:id="243"/>
      <w:bookmarkEnd w:id="244"/>
      <w:bookmarkEnd w:id="245"/>
      <w:bookmarkEnd w:id="246"/>
      <w:bookmarkEnd w:id="247"/>
      <w:bookmarkEnd w:id="248"/>
      <w:bookmarkEnd w:id="249"/>
      <w:bookmarkEnd w:id="250"/>
      <w:bookmarkEnd w:id="251"/>
      <w:bookmarkEnd w:id="252"/>
      <w:bookmarkEnd w:id="253"/>
      <w:bookmarkEnd w:id="254"/>
    </w:p>
    <w:p>
      <w:pPr>
        <w:spacing w:line="360" w:lineRule="auto"/>
        <w:ind w:firstLine="560" w:firstLineChars="200"/>
        <w:rPr>
          <w:rFonts w:eastAsia="仿宋_GB2312"/>
          <w:sz w:val="28"/>
          <w:szCs w:val="28"/>
        </w:rPr>
      </w:pPr>
      <w:bookmarkStart w:id="255" w:name="_Toc260497935"/>
      <w:bookmarkStart w:id="256" w:name="_Toc7730"/>
      <w:bookmarkStart w:id="257" w:name="_Toc27654"/>
      <w:bookmarkStart w:id="258" w:name="_Toc8208"/>
      <w:bookmarkStart w:id="259" w:name="_Toc4576"/>
      <w:bookmarkStart w:id="260" w:name="_Toc8974"/>
      <w:bookmarkStart w:id="261" w:name="_Toc16102"/>
      <w:bookmarkStart w:id="262" w:name="_Toc4702"/>
      <w:bookmarkStart w:id="263" w:name="_Toc15162"/>
      <w:bookmarkStart w:id="264" w:name="_Toc378498141"/>
      <w:r>
        <w:rPr>
          <w:rFonts w:hint="eastAsia" w:eastAsia="仿宋_GB2312"/>
          <w:sz w:val="28"/>
          <w:szCs w:val="28"/>
        </w:rPr>
        <w:t>本项目采取就近取电的方式为前端监控点取电方式</w:t>
      </w:r>
      <w:bookmarkEnd w:id="255"/>
      <w:r>
        <w:rPr>
          <w:rFonts w:hint="eastAsia" w:eastAsia="仿宋_GB2312"/>
          <w:sz w:val="28"/>
          <w:szCs w:val="28"/>
        </w:rPr>
        <w:t>，具体取电点为摄像机最近的电表箱。取电工程需在电力部门指挥下完成，必须严格遵守电力部门施工规范。</w:t>
      </w:r>
      <w:bookmarkEnd w:id="256"/>
      <w:bookmarkEnd w:id="257"/>
      <w:bookmarkEnd w:id="258"/>
      <w:bookmarkEnd w:id="259"/>
      <w:bookmarkEnd w:id="260"/>
      <w:bookmarkEnd w:id="261"/>
      <w:bookmarkEnd w:id="262"/>
      <w:bookmarkEnd w:id="263"/>
      <w:bookmarkEnd w:id="264"/>
      <w:r>
        <w:rPr>
          <w:rFonts w:hint="eastAsia" w:eastAsia="仿宋_GB2312"/>
          <w:sz w:val="28"/>
          <w:szCs w:val="28"/>
        </w:rPr>
        <w:t>针对部分道路点位，采用地下敷管方式取电。针对部分取电比较远的视频点位，可以采用架设电线杆的方式，进行电力线架设。施工单位施工前确认引电位置并提交引电方案。（注：工程竣工后，应向业主提供接电施工图纸）</w:t>
      </w:r>
    </w:p>
    <w:p>
      <w:pPr>
        <w:keepNext/>
        <w:keepLines/>
        <w:numPr>
          <w:ilvl w:val="4"/>
          <w:numId w:val="3"/>
        </w:numPr>
        <w:tabs>
          <w:tab w:val="left" w:pos="425"/>
          <w:tab w:val="left" w:pos="1418"/>
          <w:tab w:val="left" w:pos="1560"/>
        </w:tabs>
        <w:spacing w:before="280" w:after="290" w:line="376" w:lineRule="auto"/>
        <w:outlineLvl w:val="4"/>
        <w:rPr>
          <w:rFonts w:eastAsia="仿宋_GB2312"/>
          <w:b/>
          <w:bCs/>
          <w:sz w:val="28"/>
          <w:szCs w:val="28"/>
        </w:rPr>
      </w:pPr>
      <w:r>
        <w:rPr>
          <w:rFonts w:hint="eastAsia" w:eastAsia="仿宋_GB2312"/>
          <w:b/>
          <w:bCs/>
          <w:sz w:val="28"/>
          <w:szCs w:val="28"/>
        </w:rPr>
        <w:t>标志牌</w:t>
      </w:r>
    </w:p>
    <w:p>
      <w:pPr>
        <w:ind w:firstLine="560" w:firstLineChars="200"/>
        <w:rPr>
          <w:rFonts w:eastAsia="仿宋_GB2312" w:cs="仿宋_GB2312"/>
          <w:sz w:val="28"/>
          <w:szCs w:val="28"/>
        </w:rPr>
      </w:pPr>
      <w:r>
        <w:rPr>
          <w:rFonts w:hint="eastAsia" w:eastAsia="仿宋_GB2312" w:cs="仿宋_GB2312"/>
          <w:sz w:val="28"/>
          <w:szCs w:val="28"/>
        </w:rPr>
        <w:t>各监控点立杆上设立监控区域明显标志。要求尺寸、形状、材质、喷涂样式、安装方式与慈东***在用的监控标志牌相同。采用扣襻固定安装在监控立杆上；监控标志下边距地面高度保持在</w:t>
      </w:r>
      <w:r>
        <w:rPr>
          <w:rFonts w:eastAsia="仿宋_GB2312" w:cs="仿宋_GB2312"/>
          <w:sz w:val="28"/>
          <w:szCs w:val="28"/>
        </w:rPr>
        <w:t>2.5</w:t>
      </w:r>
      <w:r>
        <w:rPr>
          <w:rFonts w:hint="eastAsia" w:eastAsia="仿宋_GB2312" w:cs="仿宋_GB2312"/>
          <w:sz w:val="28"/>
          <w:szCs w:val="28"/>
        </w:rPr>
        <w:t>米以上。</w:t>
      </w:r>
    </w:p>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265" w:name="_Toc12881125"/>
      <w:bookmarkStart w:id="266" w:name="_Toc28493"/>
      <w:bookmarkStart w:id="267" w:name="_Toc18898"/>
      <w:bookmarkStart w:id="268" w:name="_Toc6727"/>
      <w:bookmarkStart w:id="269" w:name="_Toc30379"/>
      <w:r>
        <w:rPr>
          <w:rFonts w:hint="eastAsia" w:ascii="Arial" w:hAnsi="Arial" w:eastAsia="仿宋_GB2312"/>
          <w:b/>
          <w:bCs/>
          <w:sz w:val="28"/>
          <w:szCs w:val="32"/>
        </w:rPr>
        <w:t>传输网络子系统</w:t>
      </w:r>
      <w:bookmarkEnd w:id="265"/>
      <w:bookmarkEnd w:id="266"/>
      <w:bookmarkEnd w:id="267"/>
      <w:bookmarkEnd w:id="268"/>
      <w:bookmarkEnd w:id="269"/>
    </w:p>
    <w:p>
      <w:pPr>
        <w:spacing w:line="360" w:lineRule="auto"/>
        <w:ind w:firstLine="560" w:firstLineChars="200"/>
        <w:rPr>
          <w:rFonts w:eastAsia="仿宋_GB2312" w:cs="仿宋_GB2312"/>
          <w:sz w:val="28"/>
          <w:szCs w:val="28"/>
        </w:rPr>
      </w:pPr>
      <w:r>
        <w:rPr>
          <w:rFonts w:hint="eastAsia" w:eastAsia="仿宋_GB2312" w:cs="仿宋_GB2312"/>
          <w:sz w:val="28"/>
          <w:szCs w:val="28"/>
        </w:rPr>
        <w:t>本期视频专网沿用原有一期的核心交换机，通过千兆以太网电口板卡接入慈东***的存储设备、业务应用终端和客户端电脑，核心交换机下挂汇聚交换机OLT设备，OLT选用高密度PON接口板汇聚接入前端ONU设备下挂的视频资源，实现结构化管理。</w:t>
      </w:r>
    </w:p>
    <w:p>
      <w:pPr>
        <w:spacing w:line="360" w:lineRule="auto"/>
        <w:ind w:firstLine="560" w:firstLineChars="200"/>
        <w:rPr>
          <w:sz w:val="28"/>
        </w:rPr>
      </w:pPr>
      <w:r>
        <w:rPr>
          <w:rFonts w:hint="eastAsia" w:eastAsia="仿宋_GB2312" w:cs="仿宋_GB2312"/>
          <w:sz w:val="28"/>
          <w:szCs w:val="28"/>
        </w:rPr>
        <w:t>***中心机房做网络规划时应独立划分前端接入VLAN，业务应用VLAN，存储转发VLAN等，减少相互之间的网络广播和数据传输之间的影响，避免由于单点的接入故障导致整网故障和震荡（如前端虚接，产生大量请求报文影响网络、业务客户端IP地址和服务器地址冲突导致整网瘫痪）。</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32"/>
        </w:rPr>
      </w:pPr>
      <w:bookmarkStart w:id="270" w:name="_Toc12881126"/>
      <w:bookmarkStart w:id="271" w:name="_Toc1439"/>
      <w:r>
        <w:rPr>
          <w:rFonts w:hint="eastAsia" w:eastAsia="仿宋_GB2312"/>
          <w:b/>
          <w:bCs/>
          <w:sz w:val="28"/>
          <w:szCs w:val="32"/>
        </w:rPr>
        <w:t>网络总体架构</w:t>
      </w:r>
      <w:bookmarkEnd w:id="270"/>
      <w:bookmarkEnd w:id="271"/>
    </w:p>
    <w:p>
      <w:pPr>
        <w:spacing w:line="360" w:lineRule="auto"/>
        <w:ind w:firstLine="560" w:firstLineChars="200"/>
        <w:rPr>
          <w:rFonts w:eastAsia="仿宋_GB2312"/>
          <w:sz w:val="28"/>
          <w:szCs w:val="28"/>
        </w:rPr>
      </w:pPr>
      <w:r>
        <w:rPr>
          <w:rFonts w:hint="eastAsia" w:eastAsia="仿宋_GB2312"/>
          <w:sz w:val="28"/>
          <w:szCs w:val="28"/>
        </w:rPr>
        <w:t>为满足本次设计需求，滨海开发区天网采用原有双星型网络架构，传输网络采用PON技术。前端监控点位通过以太网接入ONU网络单元，ONU经过分</w:t>
      </w:r>
      <w:bookmarkStart w:id="272" w:name="_Toc16996"/>
      <w:bookmarkStart w:id="273" w:name="_Toc4048"/>
      <w:bookmarkStart w:id="274" w:name="_Toc11502"/>
      <w:bookmarkStart w:id="275" w:name="_Toc14726"/>
      <w:bookmarkStart w:id="276" w:name="_Toc14308"/>
      <w:bookmarkStart w:id="277" w:name="_Toc14493"/>
      <w:bookmarkStart w:id="278" w:name="_Toc432257504"/>
      <w:bookmarkStart w:id="279" w:name="_Toc14746"/>
      <w:bookmarkStart w:id="280" w:name="_Toc369045588"/>
      <w:bookmarkStart w:id="281" w:name="_Toc14174"/>
      <w:bookmarkStart w:id="282" w:name="_Toc378498158"/>
      <w:r>
        <w:rPr>
          <w:rFonts w:hint="eastAsia" w:eastAsia="仿宋_GB2312"/>
          <w:sz w:val="28"/>
          <w:szCs w:val="28"/>
        </w:rPr>
        <w:t>光器接入分控中心机房O</w:t>
      </w:r>
      <w:bookmarkEnd w:id="272"/>
      <w:bookmarkEnd w:id="273"/>
      <w:bookmarkEnd w:id="274"/>
      <w:bookmarkEnd w:id="275"/>
      <w:bookmarkEnd w:id="276"/>
      <w:bookmarkEnd w:id="277"/>
      <w:bookmarkEnd w:id="278"/>
      <w:bookmarkEnd w:id="279"/>
      <w:bookmarkEnd w:id="280"/>
      <w:bookmarkEnd w:id="281"/>
      <w:bookmarkEnd w:id="282"/>
      <w:r>
        <w:rPr>
          <w:rFonts w:hint="eastAsia" w:eastAsia="仿宋_GB2312"/>
          <w:sz w:val="28"/>
          <w:szCs w:val="28"/>
        </w:rPr>
        <w:t>LT交换机，OLT交换机再上行到核心交换机。</w:t>
      </w:r>
    </w:p>
    <w:p>
      <w:pPr>
        <w:spacing w:line="360" w:lineRule="auto"/>
        <w:ind w:firstLine="560" w:firstLineChars="200"/>
        <w:rPr>
          <w:rFonts w:eastAsia="仿宋_GB2312"/>
          <w:sz w:val="28"/>
          <w:szCs w:val="28"/>
        </w:rPr>
      </w:pPr>
      <w:r>
        <w:rPr>
          <w:rFonts w:hint="eastAsia" w:eastAsia="仿宋_GB2312"/>
          <w:sz w:val="28"/>
          <w:szCs w:val="28"/>
        </w:rPr>
        <w:t>系统采用双核心网络架构，上传端口带宽能够达到万兆，下行端口达到千兆。系统具备冗余特性，核心交换机配备</w:t>
      </w:r>
      <w:r>
        <w:rPr>
          <w:rFonts w:eastAsia="仿宋_GB2312"/>
          <w:sz w:val="28"/>
          <w:szCs w:val="28"/>
        </w:rPr>
        <w:t>2</w:t>
      </w:r>
      <w:r>
        <w:rPr>
          <w:rFonts w:hint="eastAsia" w:eastAsia="仿宋_GB2312"/>
          <w:sz w:val="28"/>
          <w:szCs w:val="28"/>
        </w:rPr>
        <w:t>台，一旦一台出现故障，另外一台能够立即顶替故障设备进入工作状态，防止业务不会中断。整体网络接入如下图所示：</w:t>
      </w:r>
    </w:p>
    <w:p>
      <w:pPr>
        <w:spacing w:line="360" w:lineRule="auto"/>
        <w:ind w:firstLine="560" w:firstLineChars="200"/>
        <w:rPr>
          <w:rFonts w:eastAsia="仿宋_GB2312"/>
          <w:sz w:val="28"/>
          <w:szCs w:val="28"/>
        </w:rPr>
      </w:pPr>
      <w:r>
        <w:rPr>
          <w:rFonts w:hint="eastAsia" w:eastAsia="仿宋_GB2312"/>
          <w:sz w:val="28"/>
          <w:szCs w:val="28"/>
        </w:rPr>
        <w:drawing>
          <wp:inline distT="0" distB="0" distL="114300" distR="114300">
            <wp:extent cx="5274310" cy="3546475"/>
            <wp:effectExtent l="0" t="0" r="2540" b="1587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5274310" cy="3546475"/>
                    </a:xfrm>
                    <a:prstGeom prst="rect">
                      <a:avLst/>
                    </a:prstGeom>
                    <a:noFill/>
                    <a:ln>
                      <a:noFill/>
                    </a:ln>
                  </pic:spPr>
                </pic:pic>
              </a:graphicData>
            </a:graphic>
          </wp:inline>
        </w:drawing>
      </w:r>
    </w:p>
    <w:p>
      <w:pPr>
        <w:spacing w:line="360" w:lineRule="auto"/>
        <w:ind w:firstLine="560" w:firstLineChars="200"/>
        <w:rPr>
          <w:rFonts w:eastAsia="仿宋_GB2312"/>
          <w:sz w:val="28"/>
          <w:szCs w:val="28"/>
        </w:rPr>
      </w:pPr>
      <w:r>
        <w:rPr>
          <w:rFonts w:hint="eastAsia" w:eastAsia="仿宋_GB2312"/>
          <w:sz w:val="28"/>
          <w:szCs w:val="28"/>
        </w:rPr>
        <w:t>根据滨海治安监控二期项目需求，此方案采用独享PON方式组网。各接入分点接入慈东***机房。滨海治安监控一期已配置两台OLT设备，本次只需增加相应的业务板卡即可满足二期要求，且通过双链路备份提高链路的可靠性。各接入分点通过ODN网络连接至机房的OLT设备。OLT通过光纤连接至用户侧设备。前端摄像机的上行带宽不小于50Mbps。</w:t>
      </w:r>
    </w:p>
    <w:p>
      <w:pPr>
        <w:numPr>
          <w:ilvl w:val="0"/>
          <w:numId w:val="15"/>
        </w:numPr>
        <w:spacing w:line="360" w:lineRule="auto"/>
        <w:rPr>
          <w:rFonts w:eastAsia="仿宋_GB2312"/>
          <w:sz w:val="28"/>
          <w:szCs w:val="28"/>
        </w:rPr>
      </w:pPr>
      <w:r>
        <w:rPr>
          <w:rFonts w:hint="eastAsia" w:eastAsia="仿宋_GB2312"/>
          <w:sz w:val="28"/>
          <w:szCs w:val="28"/>
        </w:rPr>
        <w:t>总点接入方式</w:t>
      </w:r>
    </w:p>
    <w:p>
      <w:pPr>
        <w:numPr>
          <w:ilvl w:val="0"/>
          <w:numId w:val="16"/>
        </w:numPr>
        <w:spacing w:line="360" w:lineRule="auto"/>
        <w:rPr>
          <w:rFonts w:eastAsia="仿宋_GB2312"/>
          <w:sz w:val="28"/>
          <w:szCs w:val="28"/>
        </w:rPr>
      </w:pPr>
      <w:r>
        <w:rPr>
          <w:rFonts w:hint="eastAsia" w:eastAsia="仿宋_GB2312"/>
          <w:sz w:val="28"/>
          <w:szCs w:val="28"/>
        </w:rPr>
        <w:t>OLT设备采用全光口接入前端设备，采用千兆光口与中心核心交换机互联。</w:t>
      </w:r>
    </w:p>
    <w:p>
      <w:pPr>
        <w:numPr>
          <w:ilvl w:val="0"/>
          <w:numId w:val="17"/>
        </w:numPr>
        <w:spacing w:line="360" w:lineRule="auto"/>
        <w:rPr>
          <w:rFonts w:eastAsia="仿宋_GB2312"/>
          <w:sz w:val="28"/>
          <w:szCs w:val="28"/>
        </w:rPr>
      </w:pPr>
      <w:r>
        <w:rPr>
          <w:rFonts w:hint="eastAsia" w:eastAsia="仿宋_GB2312"/>
          <w:sz w:val="28"/>
          <w:szCs w:val="28"/>
        </w:rPr>
        <w:t>各接入点采用PON方式有线光缆接入，各接入分点通过在各网点新增的ONU设备，经过ODN网络接入新增的OLT设备业务板卡。</w:t>
      </w:r>
    </w:p>
    <w:p>
      <w:pPr>
        <w:numPr>
          <w:ilvl w:val="0"/>
          <w:numId w:val="18"/>
        </w:numPr>
        <w:spacing w:line="360" w:lineRule="auto"/>
        <w:rPr>
          <w:rFonts w:eastAsia="仿宋_GB2312"/>
          <w:sz w:val="28"/>
          <w:szCs w:val="28"/>
        </w:rPr>
      </w:pPr>
      <w:r>
        <w:rPr>
          <w:rFonts w:hint="eastAsia" w:eastAsia="仿宋_GB2312"/>
          <w:sz w:val="28"/>
          <w:szCs w:val="28"/>
        </w:rPr>
        <w:t>接入分点侧ONU下行规划FE电接口作为业务接入端口或直接采用带PON接口摄像机作为业务接入端口。</w:t>
      </w:r>
    </w:p>
    <w:p>
      <w:pPr>
        <w:numPr>
          <w:ilvl w:val="0"/>
          <w:numId w:val="15"/>
        </w:numPr>
        <w:spacing w:line="360" w:lineRule="auto"/>
        <w:ind w:left="420" w:firstLine="200"/>
        <w:rPr>
          <w:rFonts w:ascii="宋体" w:hAnsi="宋体" w:eastAsia="仿宋_GB2312"/>
          <w:sz w:val="28"/>
          <w:szCs w:val="28"/>
          <w:lang w:bidi="en-US"/>
        </w:rPr>
      </w:pPr>
      <w:r>
        <w:rPr>
          <w:rFonts w:hint="eastAsia" w:ascii="宋体" w:hAnsi="宋体" w:eastAsia="仿宋_GB2312"/>
          <w:sz w:val="28"/>
          <w:szCs w:val="28"/>
          <w:lang w:bidi="en-US"/>
        </w:rPr>
        <w:t>分点接入方式</w:t>
      </w:r>
    </w:p>
    <w:p>
      <w:pPr>
        <w:numPr>
          <w:ilvl w:val="0"/>
          <w:numId w:val="16"/>
        </w:numPr>
        <w:spacing w:line="360" w:lineRule="auto"/>
        <w:ind w:left="480" w:hanging="480"/>
        <w:rPr>
          <w:rFonts w:ascii="宋体" w:hAnsi="宋体" w:eastAsia="仿宋_GB2312"/>
          <w:sz w:val="28"/>
          <w:szCs w:val="28"/>
          <w:lang w:bidi="en-US"/>
        </w:rPr>
      </w:pPr>
      <w:r>
        <w:rPr>
          <w:rFonts w:hint="eastAsia" w:ascii="宋体" w:hAnsi="宋体" w:eastAsia="仿宋_GB2312"/>
          <w:sz w:val="28"/>
          <w:szCs w:val="28"/>
          <w:lang w:bidi="en-US"/>
        </w:rPr>
        <w:t>各接入点采用</w:t>
      </w:r>
      <w:r>
        <w:rPr>
          <w:rFonts w:ascii="宋体" w:hAnsi="宋体" w:eastAsia="仿宋_GB2312"/>
          <w:sz w:val="28"/>
          <w:szCs w:val="28"/>
          <w:lang w:bidi="en-US"/>
        </w:rPr>
        <w:t>PON</w:t>
      </w:r>
      <w:r>
        <w:rPr>
          <w:rFonts w:hint="eastAsia" w:ascii="宋体" w:hAnsi="宋体" w:eastAsia="仿宋_GB2312"/>
          <w:sz w:val="28"/>
          <w:szCs w:val="28"/>
          <w:lang w:bidi="en-US"/>
        </w:rPr>
        <w:t>方式有线光缆接入，各接入分点通过在各网点新增的</w:t>
      </w:r>
      <w:r>
        <w:rPr>
          <w:rFonts w:ascii="宋体" w:hAnsi="宋体" w:eastAsia="仿宋_GB2312"/>
          <w:sz w:val="28"/>
          <w:szCs w:val="28"/>
          <w:lang w:bidi="en-US"/>
        </w:rPr>
        <w:t>ONU</w:t>
      </w:r>
      <w:r>
        <w:rPr>
          <w:rFonts w:hint="eastAsia" w:ascii="宋体" w:hAnsi="宋体" w:eastAsia="仿宋_GB2312"/>
          <w:sz w:val="28"/>
          <w:szCs w:val="28"/>
          <w:lang w:bidi="en-US"/>
        </w:rPr>
        <w:t>设备，经过</w:t>
      </w:r>
      <w:r>
        <w:rPr>
          <w:rFonts w:ascii="宋体" w:hAnsi="宋体" w:eastAsia="仿宋_GB2312"/>
          <w:sz w:val="28"/>
          <w:szCs w:val="28"/>
          <w:lang w:bidi="en-US"/>
        </w:rPr>
        <w:t>ODN</w:t>
      </w:r>
      <w:r>
        <w:rPr>
          <w:rFonts w:hint="eastAsia" w:ascii="宋体" w:hAnsi="宋体" w:eastAsia="仿宋_GB2312"/>
          <w:sz w:val="28"/>
          <w:szCs w:val="28"/>
          <w:lang w:bidi="en-US"/>
        </w:rPr>
        <w:t>网络接入总点新增的</w:t>
      </w:r>
      <w:r>
        <w:rPr>
          <w:rFonts w:ascii="宋体" w:hAnsi="宋体" w:eastAsia="仿宋_GB2312"/>
          <w:sz w:val="28"/>
          <w:szCs w:val="28"/>
          <w:lang w:bidi="en-US"/>
        </w:rPr>
        <w:t>OLT</w:t>
      </w:r>
      <w:r>
        <w:rPr>
          <w:rFonts w:hint="eastAsia" w:ascii="宋体" w:hAnsi="宋体" w:eastAsia="仿宋_GB2312"/>
          <w:sz w:val="28"/>
          <w:szCs w:val="28"/>
          <w:lang w:bidi="en-US"/>
        </w:rPr>
        <w:t>设备。</w:t>
      </w:r>
    </w:p>
    <w:p>
      <w:pPr>
        <w:numPr>
          <w:ilvl w:val="0"/>
          <w:numId w:val="16"/>
        </w:numPr>
        <w:spacing w:line="360" w:lineRule="auto"/>
        <w:rPr>
          <w:rFonts w:eastAsia="仿宋_GB2312"/>
          <w:sz w:val="28"/>
          <w:szCs w:val="28"/>
        </w:rPr>
      </w:pPr>
      <w:r>
        <w:rPr>
          <w:rFonts w:hint="eastAsia" w:eastAsia="仿宋_GB2312"/>
          <w:sz w:val="28"/>
          <w:szCs w:val="28"/>
        </w:rPr>
        <w:t>接入分点侧</w:t>
      </w:r>
      <w:r>
        <w:rPr>
          <w:rFonts w:eastAsia="仿宋_GB2312"/>
          <w:sz w:val="28"/>
          <w:szCs w:val="28"/>
        </w:rPr>
        <w:t>ONU</w:t>
      </w:r>
      <w:r>
        <w:rPr>
          <w:rFonts w:hint="eastAsia" w:eastAsia="仿宋_GB2312"/>
          <w:sz w:val="28"/>
          <w:szCs w:val="28"/>
        </w:rPr>
        <w:t>下行规划</w:t>
      </w:r>
      <w:r>
        <w:rPr>
          <w:rFonts w:eastAsia="仿宋_GB2312"/>
          <w:sz w:val="28"/>
          <w:szCs w:val="28"/>
        </w:rPr>
        <w:t>FE</w:t>
      </w:r>
      <w:r>
        <w:rPr>
          <w:rFonts w:hint="eastAsia" w:eastAsia="仿宋_GB2312"/>
          <w:sz w:val="28"/>
          <w:szCs w:val="28"/>
        </w:rPr>
        <w:t>电接口作为业务接入端口或直接采用带</w:t>
      </w:r>
      <w:r>
        <w:rPr>
          <w:rFonts w:eastAsia="仿宋_GB2312"/>
          <w:sz w:val="28"/>
          <w:szCs w:val="28"/>
        </w:rPr>
        <w:t>PON</w:t>
      </w:r>
      <w:r>
        <w:rPr>
          <w:rFonts w:hint="eastAsia" w:eastAsia="仿宋_GB2312"/>
          <w:sz w:val="28"/>
          <w:szCs w:val="28"/>
        </w:rPr>
        <w:t>接口摄像机作为业务接入端口。</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283" w:name="_Toc15352"/>
      <w:bookmarkStart w:id="284" w:name="_Toc12881127"/>
      <w:r>
        <w:rPr>
          <w:rFonts w:hint="eastAsia" w:eastAsia="仿宋_GB2312"/>
          <w:b/>
          <w:bCs/>
          <w:sz w:val="28"/>
          <w:szCs w:val="28"/>
        </w:rPr>
        <w:t>传输网络设计</w:t>
      </w:r>
      <w:bookmarkEnd w:id="283"/>
      <w:bookmarkEnd w:id="284"/>
    </w:p>
    <w:p>
      <w:pPr>
        <w:spacing w:line="360" w:lineRule="auto"/>
        <w:ind w:firstLine="560" w:firstLineChars="200"/>
        <w:rPr>
          <w:rFonts w:eastAsia="仿宋_GB2312"/>
          <w:sz w:val="28"/>
          <w:szCs w:val="28"/>
        </w:rPr>
      </w:pPr>
      <w:r>
        <w:rPr>
          <w:rFonts w:hint="eastAsia" w:eastAsia="仿宋_GB2312"/>
          <w:sz w:val="28"/>
          <w:szCs w:val="28"/>
        </w:rPr>
        <w:t>PON即Passive Optical Network，无源光网络，是一种点到多点（P2MP）结构的无源光网络，网络中采用无源分光</w:t>
      </w:r>
      <w:bookmarkStart w:id="285" w:name="_Toc432257505"/>
      <w:r>
        <w:rPr>
          <w:rFonts w:hint="eastAsia" w:eastAsia="仿宋_GB2312"/>
          <w:sz w:val="28"/>
          <w:szCs w:val="28"/>
        </w:rPr>
        <w:t>器分光汇聚。PON</w:t>
      </w:r>
      <w:bookmarkEnd w:id="285"/>
      <w:r>
        <w:rPr>
          <w:rFonts w:hint="eastAsia" w:eastAsia="仿宋_GB2312"/>
          <w:sz w:val="28"/>
          <w:szCs w:val="28"/>
        </w:rPr>
        <w:t>系统下行数据流采用广播技术、上行数据流采用TDMA技术，以解决多用户每个方向信号的复用问题。PON技术采用WDM技术，在光纤上实现单纤双向传输，解决2个方向信号的复用传输，支持最大物理距离为：20km，节约光纤资源。PON一般由光线路终端(OLT)、光网络单元(ODU)、用户终端(ONU)3个部分构成。</w:t>
      </w:r>
    </w:p>
    <w:p>
      <w:pPr>
        <w:spacing w:line="360" w:lineRule="auto"/>
        <w:ind w:firstLine="560" w:firstLineChars="200"/>
        <w:rPr>
          <w:rFonts w:eastAsia="仿宋_GB2312"/>
          <w:sz w:val="28"/>
          <w:szCs w:val="28"/>
        </w:rPr>
      </w:pPr>
      <w:r>
        <w:rPr>
          <w:rFonts w:hint="eastAsia" w:eastAsia="仿宋_GB2312"/>
          <w:sz w:val="28"/>
          <w:szCs w:val="28"/>
        </w:rPr>
        <w:t>PON网络结构如下图所示：</w:t>
      </w:r>
    </w:p>
    <w:p>
      <w:pPr>
        <w:widowControl/>
        <w:spacing w:line="360" w:lineRule="auto"/>
        <w:ind w:firstLine="420"/>
        <w:rPr>
          <w:rFonts w:ascii="宋体" w:hAnsi="宋体"/>
          <w:kern w:val="0"/>
          <w:szCs w:val="21"/>
        </w:rPr>
      </w:pPr>
      <w:r>
        <w:rPr>
          <w:rFonts w:ascii="宋体" w:hAnsi="宋体"/>
          <w:kern w:val="0"/>
          <w:szCs w:val="21"/>
        </w:rPr>
        <w:drawing>
          <wp:inline distT="0" distB="0" distL="114300" distR="114300">
            <wp:extent cx="4806315" cy="3398520"/>
            <wp:effectExtent l="0" t="0" r="13335" b="11430"/>
            <wp:docPr id="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pic:cNvPicPr>
                      <a:picLocks noChangeAspect="1"/>
                    </pic:cNvPicPr>
                  </pic:nvPicPr>
                  <pic:blipFill>
                    <a:blip r:embed="rId24"/>
                    <a:stretch>
                      <a:fillRect/>
                    </a:stretch>
                  </pic:blipFill>
                  <pic:spPr>
                    <a:xfrm>
                      <a:off x="0" y="0"/>
                      <a:ext cx="4806315" cy="3398520"/>
                    </a:xfrm>
                    <a:prstGeom prst="rect">
                      <a:avLst/>
                    </a:prstGeom>
                    <a:noFill/>
                    <a:ln>
                      <a:noFill/>
                    </a:ln>
                  </pic:spPr>
                </pic:pic>
              </a:graphicData>
            </a:graphic>
          </wp:inline>
        </w:drawing>
      </w:r>
    </w:p>
    <w:p>
      <w:pPr>
        <w:adjustRightInd w:val="0"/>
        <w:snapToGrid w:val="0"/>
        <w:spacing w:line="360" w:lineRule="auto"/>
        <w:ind w:firstLine="554" w:firstLineChars="198"/>
        <w:rPr>
          <w:rFonts w:ascii="宋体" w:hAnsi="宋体" w:eastAsia="仿宋_GB2312"/>
          <w:snapToGrid w:val="0"/>
          <w:kern w:val="24"/>
          <w:sz w:val="28"/>
          <w:szCs w:val="28"/>
        </w:rPr>
      </w:pPr>
      <w:r>
        <w:rPr>
          <w:rFonts w:hint="eastAsia" w:ascii="宋体" w:hAnsi="宋体" w:eastAsia="仿宋_GB2312"/>
          <w:snapToGrid w:val="0"/>
          <w:kern w:val="24"/>
          <w:sz w:val="28"/>
          <w:szCs w:val="28"/>
        </w:rPr>
        <w:t>与有源</w:t>
      </w:r>
      <w:r>
        <w:rPr>
          <w:rFonts w:eastAsia="仿宋_GB2312"/>
          <w:sz w:val="28"/>
        </w:rPr>
        <w:fldChar w:fldCharType="begin"/>
      </w:r>
      <w:r>
        <w:rPr>
          <w:rFonts w:eastAsia="仿宋_GB2312"/>
          <w:sz w:val="28"/>
        </w:rPr>
        <w:instrText xml:space="preserve"> HYPERLINK "http://baike.baidu.com/view/2072771.htm" </w:instrText>
      </w:r>
      <w:r>
        <w:rPr>
          <w:rFonts w:eastAsia="仿宋_GB2312"/>
          <w:sz w:val="28"/>
        </w:rPr>
        <w:fldChar w:fldCharType="separate"/>
      </w:r>
      <w:r>
        <w:rPr>
          <w:rFonts w:hint="eastAsia" w:ascii="宋体" w:hAnsi="宋体" w:eastAsia="仿宋_GB2312"/>
          <w:snapToGrid w:val="0"/>
          <w:kern w:val="24"/>
          <w:sz w:val="28"/>
          <w:szCs w:val="28"/>
        </w:rPr>
        <w:t>光接入技术</w:t>
      </w:r>
      <w:r>
        <w:rPr>
          <w:rFonts w:hint="eastAsia" w:ascii="宋体" w:hAnsi="宋体" w:eastAsia="仿宋_GB2312"/>
          <w:snapToGrid w:val="0"/>
          <w:kern w:val="24"/>
          <w:sz w:val="28"/>
          <w:szCs w:val="28"/>
        </w:rPr>
        <w:fldChar w:fldCharType="end"/>
      </w:r>
      <w:r>
        <w:rPr>
          <w:rFonts w:hint="eastAsia" w:ascii="宋体" w:hAnsi="宋体" w:eastAsia="仿宋_GB2312"/>
          <w:snapToGrid w:val="0"/>
          <w:kern w:val="24"/>
          <w:sz w:val="28"/>
          <w:szCs w:val="28"/>
        </w:rPr>
        <w:t>相比，</w:t>
      </w:r>
      <w:r>
        <w:rPr>
          <w:rFonts w:ascii="宋体" w:hAnsi="宋体" w:eastAsia="仿宋_GB2312"/>
          <w:snapToGrid w:val="0"/>
          <w:kern w:val="24"/>
          <w:sz w:val="28"/>
          <w:szCs w:val="28"/>
        </w:rPr>
        <w:t>PON</w:t>
      </w:r>
      <w:r>
        <w:rPr>
          <w:rFonts w:hint="eastAsia" w:ascii="宋体" w:hAnsi="宋体" w:eastAsia="仿宋_GB2312"/>
          <w:snapToGrid w:val="0"/>
          <w:kern w:val="24"/>
          <w:sz w:val="28"/>
          <w:szCs w:val="28"/>
        </w:rPr>
        <w:t>由于消除了局端与用户端之间的有源设备，从而使得维护简单、可靠性高、成本低，而且能节约光纤资源，现在</w:t>
      </w:r>
      <w:r>
        <w:rPr>
          <w:rFonts w:eastAsia="仿宋_GB2312"/>
          <w:sz w:val="28"/>
        </w:rPr>
        <w:fldChar w:fldCharType="begin"/>
      </w:r>
      <w:r>
        <w:rPr>
          <w:rFonts w:eastAsia="仿宋_GB2312"/>
          <w:sz w:val="28"/>
        </w:rPr>
        <w:instrText xml:space="preserve"> HYPERLINK "http://zhidao.baidu.com/search?word=%E5%85%89%E8%BF%9B%E9%93%9C%E9%80%80&amp;fr=qb_search_exp&amp;ie=utf8" </w:instrText>
      </w:r>
      <w:r>
        <w:rPr>
          <w:rFonts w:eastAsia="仿宋_GB2312"/>
          <w:sz w:val="28"/>
        </w:rPr>
        <w:fldChar w:fldCharType="separate"/>
      </w:r>
      <w:r>
        <w:rPr>
          <w:rFonts w:hint="eastAsia" w:ascii="宋体" w:hAnsi="宋体" w:eastAsia="仿宋_GB2312"/>
          <w:snapToGrid w:val="0"/>
          <w:kern w:val="24"/>
          <w:sz w:val="28"/>
          <w:szCs w:val="28"/>
        </w:rPr>
        <w:t>光进铜退</w:t>
      </w:r>
      <w:r>
        <w:rPr>
          <w:rFonts w:ascii="宋体" w:hAnsi="宋体" w:eastAsia="仿宋_GB2312"/>
          <w:snapToGrid w:val="0"/>
          <w:kern w:val="24"/>
          <w:sz w:val="28"/>
          <w:szCs w:val="28"/>
        </w:rPr>
        <w:fldChar w:fldCharType="end"/>
      </w:r>
      <w:r>
        <w:rPr>
          <w:rFonts w:hint="eastAsia" w:ascii="宋体" w:hAnsi="宋体" w:eastAsia="仿宋_GB2312"/>
          <w:snapToGrid w:val="0"/>
          <w:kern w:val="24"/>
          <w:sz w:val="28"/>
          <w:szCs w:val="28"/>
        </w:rPr>
        <w:t>的时代，</w:t>
      </w:r>
      <w:r>
        <w:rPr>
          <w:rFonts w:ascii="宋体" w:hAnsi="宋体" w:eastAsia="仿宋_GB2312"/>
          <w:snapToGrid w:val="0"/>
          <w:kern w:val="24"/>
          <w:sz w:val="28"/>
          <w:szCs w:val="28"/>
        </w:rPr>
        <w:t>PON</w:t>
      </w:r>
      <w:r>
        <w:rPr>
          <w:rFonts w:hint="eastAsia" w:ascii="宋体" w:hAnsi="宋体" w:eastAsia="仿宋_GB2312"/>
          <w:snapToGrid w:val="0"/>
          <w:kern w:val="24"/>
          <w:sz w:val="28"/>
          <w:szCs w:val="28"/>
        </w:rPr>
        <w:t>的光</w:t>
      </w:r>
      <w:r>
        <w:rPr>
          <w:rFonts w:eastAsia="仿宋_GB2312"/>
          <w:sz w:val="28"/>
        </w:rPr>
        <w:fldChar w:fldCharType="begin"/>
      </w:r>
      <w:r>
        <w:rPr>
          <w:rFonts w:eastAsia="仿宋_GB2312"/>
          <w:sz w:val="28"/>
        </w:rPr>
        <w:instrText xml:space="preserve"> HYPERLINK "http://zhidao.baidu.com/search?word=%E6%8E%A5%E5%85%A5%E6%8A%80%E6%9C%AF&amp;fr=qb_search_exp&amp;ie=utf8" </w:instrText>
      </w:r>
      <w:r>
        <w:rPr>
          <w:rFonts w:eastAsia="仿宋_GB2312"/>
          <w:sz w:val="28"/>
        </w:rPr>
        <w:fldChar w:fldCharType="separate"/>
      </w:r>
      <w:r>
        <w:rPr>
          <w:rFonts w:hint="eastAsia" w:ascii="宋体" w:hAnsi="宋体" w:eastAsia="仿宋_GB2312"/>
          <w:snapToGrid w:val="0"/>
          <w:kern w:val="24"/>
          <w:sz w:val="28"/>
          <w:szCs w:val="28"/>
        </w:rPr>
        <w:t>接入技术</w:t>
      </w:r>
      <w:r>
        <w:rPr>
          <w:rFonts w:ascii="宋体" w:hAnsi="宋体" w:eastAsia="仿宋_GB2312"/>
          <w:snapToGrid w:val="0"/>
          <w:kern w:val="24"/>
          <w:sz w:val="28"/>
          <w:szCs w:val="28"/>
        </w:rPr>
        <w:fldChar w:fldCharType="end"/>
      </w:r>
      <w:r>
        <w:rPr>
          <w:rFonts w:hint="eastAsia" w:ascii="宋体" w:hAnsi="宋体" w:eastAsia="仿宋_GB2312"/>
          <w:snapToGrid w:val="0"/>
          <w:kern w:val="24"/>
          <w:sz w:val="28"/>
          <w:szCs w:val="28"/>
        </w:rPr>
        <w:t>将逐步取代传统的电</w:t>
      </w:r>
      <w:r>
        <w:rPr>
          <w:rFonts w:eastAsia="仿宋_GB2312"/>
          <w:sz w:val="28"/>
        </w:rPr>
        <w:fldChar w:fldCharType="begin"/>
      </w:r>
      <w:r>
        <w:rPr>
          <w:rFonts w:eastAsia="仿宋_GB2312"/>
          <w:sz w:val="28"/>
        </w:rPr>
        <w:instrText xml:space="preserve"> HYPERLINK "http://zhidao.baidu.com/search?word=%E6%8E%A5%E5%85%A5%E6%8A%80%E6%9C%AF&amp;fr=qb_search_exp&amp;ie=utf8" </w:instrText>
      </w:r>
      <w:r>
        <w:rPr>
          <w:rFonts w:eastAsia="仿宋_GB2312"/>
          <w:sz w:val="28"/>
        </w:rPr>
        <w:fldChar w:fldCharType="separate"/>
      </w:r>
      <w:r>
        <w:rPr>
          <w:rFonts w:hint="eastAsia" w:ascii="宋体" w:hAnsi="宋体" w:eastAsia="仿宋_GB2312"/>
          <w:snapToGrid w:val="0"/>
          <w:kern w:val="24"/>
          <w:sz w:val="28"/>
          <w:szCs w:val="28"/>
        </w:rPr>
        <w:t>接入技术</w:t>
      </w:r>
      <w:r>
        <w:rPr>
          <w:rFonts w:hint="eastAsia" w:ascii="宋体" w:hAnsi="宋体" w:eastAsia="仿宋_GB2312"/>
          <w:snapToGrid w:val="0"/>
          <w:kern w:val="24"/>
          <w:sz w:val="28"/>
          <w:szCs w:val="28"/>
        </w:rPr>
        <w:fldChar w:fldCharType="end"/>
      </w:r>
      <w:r>
        <w:rPr>
          <w:rFonts w:hint="eastAsia" w:ascii="宋体" w:hAnsi="宋体" w:eastAsia="仿宋_GB2312"/>
          <w:snapToGrid w:val="0"/>
          <w:kern w:val="24"/>
          <w:sz w:val="28"/>
          <w:szCs w:val="28"/>
        </w:rPr>
        <w:t>，是未来</w:t>
      </w:r>
      <w:r>
        <w:rPr>
          <w:rFonts w:ascii="宋体" w:hAnsi="宋体" w:eastAsia="仿宋_GB2312"/>
          <w:snapToGrid w:val="0"/>
          <w:kern w:val="24"/>
          <w:sz w:val="28"/>
          <w:szCs w:val="28"/>
        </w:rPr>
        <w:t>FTTH</w:t>
      </w:r>
      <w:r>
        <w:rPr>
          <w:rFonts w:hint="eastAsia" w:ascii="宋体" w:hAnsi="宋体" w:eastAsia="仿宋_GB2312"/>
          <w:snapToGrid w:val="0"/>
          <w:kern w:val="24"/>
          <w:sz w:val="28"/>
          <w:szCs w:val="28"/>
        </w:rPr>
        <w:t>的主要解决方案。目前</w:t>
      </w:r>
      <w:r>
        <w:rPr>
          <w:rFonts w:ascii="宋体" w:hAnsi="宋体" w:eastAsia="仿宋_GB2312"/>
          <w:snapToGrid w:val="0"/>
          <w:kern w:val="24"/>
          <w:sz w:val="28"/>
          <w:szCs w:val="28"/>
        </w:rPr>
        <w:t>PON</w:t>
      </w:r>
      <w:r>
        <w:rPr>
          <w:rFonts w:hint="eastAsia" w:ascii="宋体" w:hAnsi="宋体" w:eastAsia="仿宋_GB2312"/>
          <w:snapToGrid w:val="0"/>
          <w:kern w:val="24"/>
          <w:sz w:val="28"/>
          <w:szCs w:val="28"/>
        </w:rPr>
        <w:t>网络的主要优势包括：</w:t>
      </w:r>
    </w:p>
    <w:p>
      <w:pPr>
        <w:adjustRightInd w:val="0"/>
        <w:snapToGrid w:val="0"/>
        <w:spacing w:line="360" w:lineRule="auto"/>
        <w:ind w:firstLine="557" w:firstLineChars="198"/>
        <w:rPr>
          <w:rFonts w:ascii="宋体" w:hAnsi="宋体" w:eastAsia="仿宋_GB2312"/>
          <w:b/>
          <w:snapToGrid w:val="0"/>
          <w:kern w:val="24"/>
          <w:sz w:val="28"/>
          <w:szCs w:val="28"/>
        </w:rPr>
      </w:pPr>
      <w:r>
        <w:rPr>
          <w:rFonts w:hint="eastAsia" w:ascii="宋体" w:hAnsi="宋体" w:eastAsia="仿宋_GB2312"/>
          <w:b/>
          <w:snapToGrid w:val="0"/>
          <w:kern w:val="24"/>
          <w:sz w:val="28"/>
          <w:szCs w:val="28"/>
        </w:rPr>
        <w:t>相对成本低</w:t>
      </w:r>
    </w:p>
    <w:p>
      <w:pPr>
        <w:adjustRightInd w:val="0"/>
        <w:snapToGrid w:val="0"/>
        <w:spacing w:line="360" w:lineRule="auto"/>
        <w:ind w:firstLine="554" w:firstLineChars="198"/>
        <w:rPr>
          <w:rFonts w:ascii="宋体" w:hAnsi="宋体" w:eastAsia="仿宋_GB2312"/>
          <w:snapToGrid w:val="0"/>
          <w:kern w:val="24"/>
          <w:sz w:val="28"/>
          <w:szCs w:val="28"/>
        </w:rPr>
      </w:pPr>
      <w:r>
        <w:rPr>
          <w:rFonts w:hint="eastAsia" w:ascii="宋体" w:hAnsi="宋体" w:eastAsia="仿宋_GB2312"/>
          <w:snapToGrid w:val="0"/>
          <w:kern w:val="24"/>
          <w:sz w:val="28"/>
          <w:szCs w:val="28"/>
        </w:rPr>
        <w:t>相对成本低，维护简单，容易扩展，易于升级。</w:t>
      </w:r>
      <w:r>
        <w:rPr>
          <w:rFonts w:ascii="宋体" w:hAnsi="宋体" w:eastAsia="仿宋_GB2312"/>
          <w:snapToGrid w:val="0"/>
          <w:kern w:val="24"/>
          <w:sz w:val="28"/>
          <w:szCs w:val="28"/>
        </w:rPr>
        <w:t>PON</w:t>
      </w:r>
      <w:r>
        <w:rPr>
          <w:rFonts w:hint="eastAsia" w:ascii="宋体" w:hAnsi="宋体" w:eastAsia="仿宋_GB2312"/>
          <w:snapToGrid w:val="0"/>
          <w:kern w:val="24"/>
          <w:sz w:val="28"/>
          <w:szCs w:val="28"/>
        </w:rPr>
        <w:t>结构在传输途中不需电源，没有电子部件，因此容易铺设，基本不用维护，长期运营成本和管理成本的节省很大</w:t>
      </w:r>
    </w:p>
    <w:p>
      <w:pPr>
        <w:spacing w:line="360" w:lineRule="auto"/>
        <w:ind w:firstLine="562" w:firstLineChars="200"/>
        <w:rPr>
          <w:rFonts w:eastAsia="仿宋_GB2312"/>
          <w:b/>
          <w:sz w:val="28"/>
          <w:szCs w:val="28"/>
        </w:rPr>
      </w:pPr>
      <w:r>
        <w:rPr>
          <w:rFonts w:hint="eastAsia" w:eastAsia="仿宋_GB2312"/>
          <w:b/>
          <w:sz w:val="28"/>
          <w:szCs w:val="28"/>
        </w:rPr>
        <w:t>纯介质网络</w:t>
      </w:r>
    </w:p>
    <w:p>
      <w:pPr>
        <w:spacing w:line="360" w:lineRule="auto"/>
        <w:ind w:firstLine="560" w:firstLineChars="200"/>
        <w:rPr>
          <w:rFonts w:ascii="宋体" w:hAnsi="宋体" w:eastAsia="仿宋_GB2312"/>
          <w:sz w:val="28"/>
          <w:szCs w:val="28"/>
        </w:rPr>
      </w:pPr>
      <w:r>
        <w:rPr>
          <w:rFonts w:hint="eastAsia" w:ascii="宋体" w:hAnsi="宋体" w:eastAsia="仿宋_GB2312"/>
          <w:sz w:val="28"/>
          <w:szCs w:val="28"/>
        </w:rPr>
        <w:t>无源光网络是纯介质网络，彻底避免了电磁干扰和雷电影响，极适合在自然条件恶劣的地区使用。</w:t>
      </w:r>
    </w:p>
    <w:p>
      <w:pPr>
        <w:spacing w:line="360" w:lineRule="auto"/>
        <w:ind w:firstLine="562" w:firstLineChars="200"/>
        <w:rPr>
          <w:rFonts w:eastAsia="仿宋_GB2312"/>
          <w:b/>
          <w:sz w:val="28"/>
          <w:szCs w:val="28"/>
        </w:rPr>
      </w:pPr>
      <w:r>
        <w:rPr>
          <w:rFonts w:hint="eastAsia" w:eastAsia="仿宋_GB2312"/>
          <w:b/>
          <w:sz w:val="28"/>
          <w:szCs w:val="28"/>
        </w:rPr>
        <w:t>资源占用很少</w:t>
      </w:r>
    </w:p>
    <w:p>
      <w:pPr>
        <w:widowControl/>
        <w:spacing w:line="360" w:lineRule="auto"/>
        <w:ind w:firstLine="560" w:firstLineChars="200"/>
        <w:rPr>
          <w:rFonts w:ascii="宋体" w:hAnsi="宋体" w:eastAsia="仿宋_GB2312"/>
          <w:kern w:val="0"/>
          <w:sz w:val="28"/>
          <w:szCs w:val="28"/>
        </w:rPr>
      </w:pPr>
      <w:r>
        <w:rPr>
          <w:rFonts w:ascii="宋体" w:hAnsi="宋体" w:eastAsia="仿宋_GB2312"/>
          <w:kern w:val="0"/>
          <w:sz w:val="28"/>
          <w:szCs w:val="28"/>
        </w:rPr>
        <w:t>1</w:t>
      </w:r>
      <w:r>
        <w:rPr>
          <w:rFonts w:hint="eastAsia" w:ascii="宋体" w:hAnsi="宋体" w:eastAsia="仿宋_GB2312"/>
          <w:kern w:val="0"/>
          <w:sz w:val="28"/>
          <w:szCs w:val="28"/>
        </w:rPr>
        <w:t>、</w:t>
      </w:r>
      <w:r>
        <w:rPr>
          <w:rFonts w:ascii="宋体" w:hAnsi="宋体" w:eastAsia="仿宋_GB2312"/>
          <w:kern w:val="0"/>
          <w:sz w:val="28"/>
          <w:szCs w:val="28"/>
        </w:rPr>
        <w:t>PON</w:t>
      </w:r>
      <w:r>
        <w:rPr>
          <w:rFonts w:hint="eastAsia" w:ascii="宋体" w:hAnsi="宋体" w:eastAsia="仿宋_GB2312"/>
          <w:kern w:val="0"/>
          <w:sz w:val="28"/>
          <w:szCs w:val="28"/>
        </w:rPr>
        <w:t>系统对局端资源占用很少，系统初期投入低，扩展容易，投资回报率高。</w:t>
      </w:r>
    </w:p>
    <w:p>
      <w:pPr>
        <w:widowControl/>
        <w:spacing w:line="360" w:lineRule="auto"/>
        <w:ind w:firstLine="560" w:firstLineChars="200"/>
        <w:rPr>
          <w:rFonts w:ascii="宋体" w:hAnsi="宋体" w:eastAsia="仿宋_GB2312"/>
          <w:kern w:val="0"/>
          <w:sz w:val="28"/>
          <w:szCs w:val="28"/>
        </w:rPr>
      </w:pPr>
      <w:r>
        <w:rPr>
          <w:rFonts w:ascii="宋体" w:hAnsi="宋体" w:eastAsia="仿宋_GB2312"/>
          <w:kern w:val="0"/>
          <w:sz w:val="28"/>
          <w:szCs w:val="28"/>
        </w:rPr>
        <w:t>2</w:t>
      </w:r>
      <w:r>
        <w:rPr>
          <w:rFonts w:hint="eastAsia" w:ascii="宋体" w:hAnsi="宋体" w:eastAsia="仿宋_GB2312"/>
          <w:kern w:val="0"/>
          <w:sz w:val="28"/>
          <w:szCs w:val="28"/>
        </w:rPr>
        <w:t>、提供非常高的带宽。</w:t>
      </w:r>
      <w:r>
        <w:rPr>
          <w:rFonts w:ascii="宋体" w:hAnsi="宋体" w:eastAsia="仿宋_GB2312"/>
          <w:kern w:val="0"/>
          <w:sz w:val="28"/>
          <w:szCs w:val="28"/>
        </w:rPr>
        <w:t>GPON</w:t>
      </w:r>
      <w:r>
        <w:rPr>
          <w:rFonts w:hint="eastAsia" w:ascii="宋体" w:hAnsi="宋体" w:eastAsia="仿宋_GB2312"/>
          <w:kern w:val="0"/>
          <w:sz w:val="28"/>
          <w:szCs w:val="28"/>
        </w:rPr>
        <w:t>则是高达</w:t>
      </w:r>
      <w:r>
        <w:rPr>
          <w:rFonts w:ascii="宋体" w:hAnsi="宋体" w:eastAsia="仿宋_GB2312"/>
          <w:kern w:val="0"/>
          <w:sz w:val="28"/>
          <w:szCs w:val="28"/>
        </w:rPr>
        <w:t>2.5Gb/s</w:t>
      </w:r>
      <w:r>
        <w:rPr>
          <w:rFonts w:hint="eastAsia" w:ascii="宋体" w:hAnsi="宋体" w:eastAsia="仿宋_GB2312"/>
          <w:kern w:val="0"/>
          <w:sz w:val="28"/>
          <w:szCs w:val="28"/>
        </w:rPr>
        <w:t>的带宽，</w:t>
      </w:r>
      <w:r>
        <w:rPr>
          <w:rFonts w:ascii="宋体" w:hAnsi="宋体" w:eastAsia="仿宋_GB2312"/>
          <w:kern w:val="0"/>
          <w:sz w:val="28"/>
          <w:szCs w:val="28"/>
        </w:rPr>
        <w:t>EPON</w:t>
      </w:r>
      <w:r>
        <w:rPr>
          <w:rFonts w:hint="eastAsia" w:ascii="宋体" w:hAnsi="宋体" w:eastAsia="仿宋_GB2312"/>
          <w:kern w:val="0"/>
          <w:sz w:val="28"/>
          <w:szCs w:val="28"/>
        </w:rPr>
        <w:t>提供上下行对称的</w:t>
      </w:r>
      <w:r>
        <w:rPr>
          <w:rFonts w:ascii="宋体" w:hAnsi="宋体" w:eastAsia="仿宋_GB2312"/>
          <w:kern w:val="0"/>
          <w:sz w:val="28"/>
          <w:szCs w:val="28"/>
        </w:rPr>
        <w:t>1.25Gb/s</w:t>
      </w:r>
      <w:r>
        <w:rPr>
          <w:rFonts w:hint="eastAsia" w:ascii="宋体" w:hAnsi="宋体" w:eastAsia="仿宋_GB2312"/>
          <w:kern w:val="0"/>
          <w:sz w:val="28"/>
          <w:szCs w:val="28"/>
        </w:rPr>
        <w:t>的带宽，并且</w:t>
      </w:r>
      <w:r>
        <w:rPr>
          <w:rFonts w:ascii="宋体" w:hAnsi="宋体" w:eastAsia="仿宋_GB2312"/>
          <w:kern w:val="0"/>
          <w:sz w:val="28"/>
          <w:szCs w:val="28"/>
        </w:rPr>
        <w:t>PON</w:t>
      </w:r>
      <w:r>
        <w:rPr>
          <w:rFonts w:hint="eastAsia" w:ascii="宋体" w:hAnsi="宋体" w:eastAsia="仿宋_GB2312"/>
          <w:kern w:val="0"/>
          <w:sz w:val="28"/>
          <w:szCs w:val="28"/>
        </w:rPr>
        <w:t>网络可以平滑升级到</w:t>
      </w:r>
      <w:r>
        <w:rPr>
          <w:rFonts w:ascii="宋体" w:hAnsi="宋体" w:eastAsia="仿宋_GB2312"/>
          <w:kern w:val="0"/>
          <w:sz w:val="28"/>
          <w:szCs w:val="28"/>
        </w:rPr>
        <w:t>10Gb/s</w:t>
      </w:r>
      <w:r>
        <w:rPr>
          <w:rFonts w:hint="eastAsia" w:ascii="宋体" w:hAnsi="宋体" w:eastAsia="仿宋_GB2312"/>
          <w:kern w:val="0"/>
          <w:sz w:val="28"/>
          <w:szCs w:val="28"/>
        </w:rPr>
        <w:t>，以及后续的</w:t>
      </w:r>
      <w:r>
        <w:rPr>
          <w:rFonts w:ascii="宋体" w:hAnsi="宋体" w:eastAsia="仿宋_GB2312"/>
          <w:kern w:val="0"/>
          <w:sz w:val="28"/>
          <w:szCs w:val="28"/>
        </w:rPr>
        <w:t>40G NGPON</w:t>
      </w:r>
      <w:r>
        <w:rPr>
          <w:rFonts w:hint="eastAsia" w:ascii="宋体" w:hAnsi="宋体" w:eastAsia="仿宋_GB2312"/>
          <w:kern w:val="0"/>
          <w:sz w:val="28"/>
          <w:szCs w:val="28"/>
        </w:rPr>
        <w:t>。</w:t>
      </w:r>
    </w:p>
    <w:p>
      <w:pPr>
        <w:widowControl/>
        <w:spacing w:line="360" w:lineRule="auto"/>
        <w:ind w:firstLine="560" w:firstLineChars="200"/>
        <w:rPr>
          <w:rFonts w:ascii="宋体" w:hAnsi="宋体" w:eastAsia="仿宋_GB2312"/>
          <w:kern w:val="0"/>
          <w:sz w:val="28"/>
          <w:szCs w:val="28"/>
        </w:rPr>
      </w:pPr>
      <w:r>
        <w:rPr>
          <w:rFonts w:ascii="宋体" w:hAnsi="宋体" w:eastAsia="仿宋_GB2312"/>
          <w:kern w:val="0"/>
          <w:sz w:val="28"/>
          <w:szCs w:val="28"/>
        </w:rPr>
        <w:t>3</w:t>
      </w:r>
      <w:r>
        <w:rPr>
          <w:rFonts w:hint="eastAsia" w:ascii="宋体" w:hAnsi="宋体" w:eastAsia="仿宋_GB2312"/>
          <w:kern w:val="0"/>
          <w:sz w:val="28"/>
          <w:szCs w:val="28"/>
        </w:rPr>
        <w:t>、服务范围大。</w:t>
      </w:r>
      <w:r>
        <w:rPr>
          <w:rFonts w:ascii="宋体" w:hAnsi="宋体" w:eastAsia="仿宋_GB2312"/>
          <w:kern w:val="0"/>
          <w:sz w:val="28"/>
          <w:szCs w:val="28"/>
        </w:rPr>
        <w:t>PON</w:t>
      </w:r>
      <w:r>
        <w:rPr>
          <w:rFonts w:hint="eastAsia" w:ascii="宋体" w:hAnsi="宋体" w:eastAsia="仿宋_GB2312"/>
          <w:kern w:val="0"/>
          <w:sz w:val="28"/>
          <w:szCs w:val="28"/>
        </w:rPr>
        <w:t>作为一种点到多点网络，以一种扇形的结构来节省</w:t>
      </w:r>
      <w:r>
        <w:rPr>
          <w:rFonts w:ascii="宋体" w:hAnsi="宋体" w:eastAsia="仿宋_GB2312"/>
          <w:kern w:val="0"/>
          <w:sz w:val="28"/>
          <w:szCs w:val="28"/>
        </w:rPr>
        <w:t>CO</w:t>
      </w:r>
      <w:r>
        <w:rPr>
          <w:rFonts w:hint="eastAsia" w:ascii="宋体" w:hAnsi="宋体" w:eastAsia="仿宋_GB2312"/>
          <w:kern w:val="0"/>
          <w:sz w:val="28"/>
          <w:szCs w:val="28"/>
        </w:rPr>
        <w:t>的资源，服务大量用户。用户共享局端设备和光纤的方式更是节省了用户投资。</w:t>
      </w:r>
    </w:p>
    <w:p>
      <w:pPr>
        <w:widowControl/>
        <w:spacing w:line="360" w:lineRule="auto"/>
        <w:ind w:firstLine="560" w:firstLineChars="200"/>
        <w:rPr>
          <w:rFonts w:ascii="宋体" w:hAnsi="宋体" w:eastAsia="仿宋_GB2312"/>
          <w:kern w:val="0"/>
          <w:sz w:val="28"/>
          <w:szCs w:val="28"/>
        </w:rPr>
      </w:pPr>
      <w:r>
        <w:rPr>
          <w:rFonts w:ascii="宋体" w:hAnsi="宋体" w:eastAsia="仿宋_GB2312"/>
          <w:kern w:val="0"/>
          <w:sz w:val="28"/>
          <w:szCs w:val="28"/>
        </w:rPr>
        <w:t>4</w:t>
      </w:r>
      <w:r>
        <w:rPr>
          <w:rFonts w:hint="eastAsia" w:ascii="宋体" w:hAnsi="宋体" w:eastAsia="仿宋_GB2312"/>
          <w:kern w:val="0"/>
          <w:sz w:val="28"/>
          <w:szCs w:val="28"/>
        </w:rPr>
        <w:t>、带宽分配灵活，服务质量（</w:t>
      </w:r>
      <w:r>
        <w:rPr>
          <w:rFonts w:ascii="宋体" w:hAnsi="宋体" w:eastAsia="仿宋_GB2312"/>
          <w:kern w:val="0"/>
          <w:sz w:val="28"/>
          <w:szCs w:val="28"/>
        </w:rPr>
        <w:t>QoS</w:t>
      </w:r>
      <w:r>
        <w:rPr>
          <w:rFonts w:hint="eastAsia" w:ascii="宋体" w:hAnsi="宋体" w:eastAsia="仿宋_GB2312"/>
          <w:kern w:val="0"/>
          <w:sz w:val="28"/>
          <w:szCs w:val="28"/>
        </w:rPr>
        <w:t>）有保证。</w:t>
      </w:r>
      <w:r>
        <w:rPr>
          <w:rFonts w:ascii="宋体" w:hAnsi="宋体" w:eastAsia="仿宋_GB2312"/>
          <w:kern w:val="0"/>
          <w:sz w:val="28"/>
          <w:szCs w:val="28"/>
        </w:rPr>
        <w:t>PON</w:t>
      </w:r>
      <w:r>
        <w:rPr>
          <w:rFonts w:hint="eastAsia" w:ascii="宋体" w:hAnsi="宋体" w:eastAsia="仿宋_GB2312"/>
          <w:kern w:val="0"/>
          <w:sz w:val="28"/>
          <w:szCs w:val="28"/>
        </w:rPr>
        <w:t>系统对带宽的分配和保证都有一套完整的体系。可以实现用户级的</w:t>
      </w:r>
      <w:r>
        <w:rPr>
          <w:rFonts w:ascii="宋体" w:hAnsi="宋体" w:eastAsia="仿宋_GB2312"/>
          <w:kern w:val="0"/>
          <w:sz w:val="28"/>
          <w:szCs w:val="28"/>
        </w:rPr>
        <w:t>SLA</w:t>
      </w:r>
      <w:r>
        <w:rPr>
          <w:rFonts w:hint="eastAsia" w:ascii="宋体" w:hAnsi="宋体" w:eastAsia="仿宋_GB2312"/>
          <w:kern w:val="0"/>
          <w:sz w:val="28"/>
          <w:szCs w:val="28"/>
        </w:rPr>
        <w:t>。</w:t>
      </w:r>
    </w:p>
    <w:p>
      <w:pPr>
        <w:widowControl/>
        <w:spacing w:line="360" w:lineRule="auto"/>
        <w:ind w:firstLine="560" w:firstLineChars="200"/>
        <w:rPr>
          <w:rFonts w:ascii="宋体" w:hAnsi="宋体" w:eastAsia="仿宋_GB2312"/>
          <w:kern w:val="0"/>
          <w:sz w:val="28"/>
          <w:szCs w:val="28"/>
        </w:rPr>
      </w:pPr>
      <w:r>
        <w:rPr>
          <w:rFonts w:hint="eastAsia" w:ascii="宋体" w:hAnsi="宋体" w:eastAsia="仿宋_GB2312"/>
          <w:kern w:val="0"/>
          <w:sz w:val="28"/>
          <w:szCs w:val="28"/>
        </w:rPr>
        <w:t>目前在现网中广泛应用的</w:t>
      </w:r>
      <w:r>
        <w:rPr>
          <w:rFonts w:ascii="宋体" w:hAnsi="宋体" w:eastAsia="仿宋_GB2312"/>
          <w:kern w:val="0"/>
          <w:sz w:val="28"/>
          <w:szCs w:val="28"/>
        </w:rPr>
        <w:t>PON</w:t>
      </w:r>
      <w:r>
        <w:rPr>
          <w:rFonts w:hint="eastAsia" w:ascii="宋体" w:hAnsi="宋体" w:eastAsia="仿宋_GB2312"/>
          <w:kern w:val="0"/>
          <w:sz w:val="28"/>
          <w:szCs w:val="28"/>
        </w:rPr>
        <w:t>技术包括</w:t>
      </w:r>
      <w:r>
        <w:rPr>
          <w:rFonts w:ascii="宋体" w:hAnsi="宋体" w:eastAsia="仿宋_GB2312"/>
          <w:kern w:val="0"/>
          <w:sz w:val="28"/>
          <w:szCs w:val="28"/>
        </w:rPr>
        <w:t xml:space="preserve"> GPON</w:t>
      </w:r>
      <w:r>
        <w:rPr>
          <w:rFonts w:hint="eastAsia" w:ascii="宋体" w:hAnsi="宋体" w:eastAsia="仿宋_GB2312"/>
          <w:kern w:val="0"/>
          <w:sz w:val="28"/>
          <w:szCs w:val="28"/>
        </w:rPr>
        <w:t>（</w:t>
      </w:r>
      <w:r>
        <w:rPr>
          <w:rFonts w:ascii="宋体" w:hAnsi="宋体" w:eastAsia="仿宋_GB2312"/>
          <w:kern w:val="0"/>
          <w:sz w:val="28"/>
          <w:szCs w:val="28"/>
        </w:rPr>
        <w:t>ITU</w:t>
      </w:r>
      <w:r>
        <w:rPr>
          <w:rFonts w:hint="eastAsia" w:ascii="宋体" w:hAnsi="宋体" w:eastAsia="仿宋_GB2312"/>
          <w:kern w:val="0"/>
          <w:sz w:val="28"/>
          <w:szCs w:val="28"/>
        </w:rPr>
        <w:t>协议）和</w:t>
      </w:r>
      <w:r>
        <w:rPr>
          <w:rFonts w:ascii="宋体" w:hAnsi="宋体" w:eastAsia="仿宋_GB2312"/>
          <w:kern w:val="0"/>
          <w:sz w:val="28"/>
          <w:szCs w:val="28"/>
        </w:rPr>
        <w:t>EPON</w:t>
      </w:r>
      <w:r>
        <w:rPr>
          <w:rFonts w:hint="eastAsia" w:ascii="宋体" w:hAnsi="宋体" w:eastAsia="仿宋_GB2312"/>
          <w:kern w:val="0"/>
          <w:sz w:val="28"/>
          <w:szCs w:val="28"/>
        </w:rPr>
        <w:t>（</w:t>
      </w:r>
      <w:r>
        <w:rPr>
          <w:rFonts w:ascii="宋体" w:hAnsi="宋体" w:eastAsia="仿宋_GB2312"/>
          <w:kern w:val="0"/>
          <w:sz w:val="28"/>
          <w:szCs w:val="28"/>
        </w:rPr>
        <w:t>IEEE</w:t>
      </w:r>
      <w:r>
        <w:rPr>
          <w:rFonts w:hint="eastAsia" w:ascii="宋体" w:hAnsi="宋体" w:eastAsia="仿宋_GB2312"/>
          <w:kern w:val="0"/>
          <w:sz w:val="28"/>
          <w:szCs w:val="28"/>
        </w:rPr>
        <w:t>协议）</w:t>
      </w:r>
      <w:r>
        <w:rPr>
          <w:rFonts w:ascii="宋体" w:hAnsi="宋体" w:eastAsia="仿宋_GB2312"/>
          <w:kern w:val="0"/>
          <w:sz w:val="28"/>
          <w:szCs w:val="28"/>
        </w:rPr>
        <w:t xml:space="preserve"> 2</w:t>
      </w:r>
      <w:r>
        <w:rPr>
          <w:rFonts w:hint="eastAsia" w:ascii="宋体" w:hAnsi="宋体" w:eastAsia="仿宋_GB2312"/>
          <w:kern w:val="0"/>
          <w:sz w:val="28"/>
          <w:szCs w:val="28"/>
        </w:rPr>
        <w:t>种主流技术，</w:t>
      </w:r>
      <w:r>
        <w:rPr>
          <w:rFonts w:ascii="宋体" w:hAnsi="宋体" w:eastAsia="仿宋_GB2312"/>
          <w:kern w:val="0"/>
          <w:sz w:val="28"/>
          <w:szCs w:val="28"/>
        </w:rPr>
        <w:t>EPON</w:t>
      </w:r>
      <w:r>
        <w:rPr>
          <w:rFonts w:hint="eastAsia" w:ascii="宋体" w:hAnsi="宋体" w:eastAsia="仿宋_GB2312"/>
          <w:kern w:val="0"/>
          <w:sz w:val="28"/>
          <w:szCs w:val="28"/>
        </w:rPr>
        <w:t>上下行带宽均为</w:t>
      </w:r>
      <w:r>
        <w:rPr>
          <w:rFonts w:ascii="宋体" w:hAnsi="宋体" w:eastAsia="仿宋_GB2312"/>
          <w:kern w:val="0"/>
          <w:sz w:val="28"/>
          <w:szCs w:val="28"/>
        </w:rPr>
        <w:t>1.25 Gbit/s</w:t>
      </w:r>
      <w:r>
        <w:rPr>
          <w:rFonts w:hint="eastAsia" w:ascii="宋体" w:hAnsi="宋体" w:eastAsia="仿宋_GB2312"/>
          <w:kern w:val="0"/>
          <w:sz w:val="28"/>
          <w:szCs w:val="28"/>
        </w:rPr>
        <w:t>，</w:t>
      </w:r>
      <w:r>
        <w:rPr>
          <w:rFonts w:ascii="宋体" w:hAnsi="宋体" w:eastAsia="仿宋_GB2312"/>
          <w:kern w:val="0"/>
          <w:sz w:val="28"/>
          <w:szCs w:val="28"/>
        </w:rPr>
        <w:t>GPON</w:t>
      </w:r>
      <w:r>
        <w:rPr>
          <w:rFonts w:hint="eastAsia" w:ascii="宋体" w:hAnsi="宋体" w:eastAsia="仿宋_GB2312"/>
          <w:kern w:val="0"/>
          <w:sz w:val="28"/>
          <w:szCs w:val="28"/>
        </w:rPr>
        <w:t>下行带宽为</w:t>
      </w:r>
      <w:r>
        <w:rPr>
          <w:rFonts w:ascii="宋体" w:hAnsi="宋体" w:eastAsia="仿宋_GB2312"/>
          <w:kern w:val="0"/>
          <w:sz w:val="28"/>
          <w:szCs w:val="28"/>
        </w:rPr>
        <w:t>2.5 Gbit/s</w:t>
      </w:r>
      <w:r>
        <w:rPr>
          <w:rFonts w:hint="eastAsia" w:ascii="宋体" w:hAnsi="宋体" w:eastAsia="仿宋_GB2312"/>
          <w:kern w:val="0"/>
          <w:sz w:val="28"/>
          <w:szCs w:val="28"/>
        </w:rPr>
        <w:t>，上行带宽为</w:t>
      </w:r>
      <w:r>
        <w:rPr>
          <w:rFonts w:ascii="宋体" w:hAnsi="宋体" w:eastAsia="仿宋_GB2312"/>
          <w:kern w:val="0"/>
          <w:sz w:val="28"/>
          <w:szCs w:val="28"/>
        </w:rPr>
        <w:t>1.25 Gbit/s</w:t>
      </w:r>
      <w:r>
        <w:rPr>
          <w:rFonts w:hint="eastAsia" w:ascii="宋体" w:hAnsi="宋体" w:eastAsia="仿宋_GB2312"/>
          <w:kern w:val="0"/>
          <w:sz w:val="28"/>
          <w:szCs w:val="28"/>
        </w:rPr>
        <w:t>，带宽均可扩充。</w:t>
      </w:r>
    </w:p>
    <w:p>
      <w:pPr>
        <w:spacing w:line="360" w:lineRule="auto"/>
        <w:ind w:firstLine="560" w:firstLineChars="200"/>
        <w:rPr>
          <w:rFonts w:eastAsia="仿宋_GB2312"/>
          <w:sz w:val="28"/>
          <w:szCs w:val="28"/>
        </w:rPr>
      </w:pPr>
      <w:r>
        <w:rPr>
          <w:rFonts w:hint="eastAsia" w:eastAsia="仿宋_GB2312"/>
          <w:sz w:val="28"/>
          <w:szCs w:val="28"/>
        </w:rPr>
        <w:t>设计中应对网络中最远用户的光通道衰减进行核算，采用最坏值法进行ODN 光通道衰减核算，检查全网的光通道损耗是否满足要求，并根据需要对网络设计方案做适当调整。</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286" w:name="_Toc12881128"/>
      <w:bookmarkStart w:id="287" w:name="_Toc25652"/>
      <w:r>
        <w:rPr>
          <w:rFonts w:hint="eastAsia" w:eastAsia="仿宋_GB2312"/>
          <w:b/>
          <w:bCs/>
          <w:sz w:val="28"/>
          <w:szCs w:val="28"/>
        </w:rPr>
        <w:t>网络设备选型</w:t>
      </w:r>
      <w:bookmarkEnd w:id="286"/>
      <w:bookmarkEnd w:id="287"/>
    </w:p>
    <w:p>
      <w:pPr>
        <w:spacing w:line="360" w:lineRule="auto"/>
        <w:ind w:firstLine="560" w:firstLineChars="200"/>
        <w:rPr>
          <w:rFonts w:eastAsia="仿宋_GB2312"/>
          <w:sz w:val="28"/>
          <w:szCs w:val="28"/>
        </w:rPr>
      </w:pPr>
      <w:r>
        <w:rPr>
          <w:rFonts w:hint="eastAsia" w:eastAsia="仿宋_GB2312"/>
          <w:sz w:val="28"/>
          <w:szCs w:val="28"/>
        </w:rPr>
        <w:t>视频接入专网内核心交换设备须安置在边防***监控中心，其性能指标应与“滨海天网”建设的规模相匹配，并考虑冗余设计未来3到5年建设</w:t>
      </w:r>
      <w:bookmarkStart w:id="288" w:name="_Toc1629"/>
      <w:bookmarkStart w:id="289" w:name="_Toc11160"/>
      <w:bookmarkStart w:id="290" w:name="_Toc19053"/>
      <w:bookmarkStart w:id="291" w:name="_Toc22503"/>
      <w:bookmarkStart w:id="292" w:name="_Toc397591873"/>
      <w:bookmarkStart w:id="293" w:name="_Toc27240"/>
      <w:bookmarkStart w:id="294" w:name="_Toc11415"/>
      <w:bookmarkStart w:id="295" w:name="_Toc3310"/>
      <w:bookmarkStart w:id="296" w:name="_Toc29076"/>
      <w:bookmarkStart w:id="297" w:name="_Toc432257508"/>
      <w:r>
        <w:rPr>
          <w:rFonts w:hint="eastAsia" w:eastAsia="仿宋_GB2312"/>
          <w:sz w:val="28"/>
          <w:szCs w:val="28"/>
        </w:rPr>
        <w:t>扩容</w:t>
      </w:r>
      <w:bookmarkEnd w:id="288"/>
      <w:bookmarkEnd w:id="289"/>
      <w:bookmarkEnd w:id="290"/>
      <w:bookmarkEnd w:id="291"/>
      <w:bookmarkEnd w:id="292"/>
      <w:bookmarkEnd w:id="293"/>
      <w:bookmarkEnd w:id="294"/>
      <w:bookmarkEnd w:id="295"/>
      <w:bookmarkEnd w:id="296"/>
      <w:r>
        <w:rPr>
          <w:rFonts w:hint="eastAsia" w:eastAsia="仿宋_GB2312"/>
          <w:sz w:val="28"/>
          <w:szCs w:val="28"/>
        </w:rPr>
        <w:t>需要的性能指标。</w:t>
      </w:r>
    </w:p>
    <w:bookmarkEnd w:id="297"/>
    <w:p>
      <w:pPr>
        <w:spacing w:line="360" w:lineRule="auto"/>
        <w:ind w:firstLine="560" w:firstLineChars="200"/>
        <w:rPr>
          <w:rFonts w:eastAsia="仿宋_GB2312"/>
          <w:sz w:val="28"/>
          <w:szCs w:val="28"/>
        </w:rPr>
      </w:pPr>
      <w:r>
        <w:rPr>
          <w:rFonts w:hint="eastAsia" w:eastAsia="仿宋_GB2312"/>
          <w:sz w:val="28"/>
          <w:szCs w:val="28"/>
        </w:rPr>
        <w:t>视频接入专网的网络性能指标（网络时延、时延抖动、丢包率、包误差率）应达到YD/T 1171-2001中规定的0级服务质量等级：</w:t>
      </w:r>
    </w:p>
    <w:p>
      <w:pPr>
        <w:spacing w:line="360" w:lineRule="auto"/>
        <w:ind w:firstLine="560" w:firstLineChars="200"/>
        <w:rPr>
          <w:rFonts w:eastAsia="仿宋_GB2312"/>
          <w:sz w:val="28"/>
          <w:szCs w:val="28"/>
        </w:rPr>
      </w:pPr>
      <w:r>
        <w:rPr>
          <w:rFonts w:hint="eastAsia" w:eastAsia="仿宋_GB2312"/>
          <w:sz w:val="28"/>
          <w:szCs w:val="28"/>
        </w:rPr>
        <w:t>1、网络时延上限值为150ms。</w:t>
      </w:r>
    </w:p>
    <w:p>
      <w:pPr>
        <w:spacing w:line="360" w:lineRule="auto"/>
        <w:ind w:firstLine="560" w:firstLineChars="200"/>
        <w:rPr>
          <w:rFonts w:eastAsia="仿宋_GB2312"/>
          <w:sz w:val="28"/>
          <w:szCs w:val="28"/>
        </w:rPr>
      </w:pPr>
      <w:r>
        <w:rPr>
          <w:rFonts w:hint="eastAsia" w:eastAsia="仿宋_GB2312"/>
          <w:sz w:val="28"/>
          <w:szCs w:val="28"/>
        </w:rPr>
        <w:t>2、时延抖动上限值为50ms。</w:t>
      </w:r>
    </w:p>
    <w:p>
      <w:pPr>
        <w:spacing w:line="360" w:lineRule="auto"/>
        <w:ind w:firstLine="560" w:firstLineChars="200"/>
        <w:rPr>
          <w:rFonts w:eastAsia="仿宋_GB2312"/>
          <w:sz w:val="28"/>
          <w:szCs w:val="28"/>
        </w:rPr>
      </w:pPr>
      <w:r>
        <w:rPr>
          <w:rFonts w:hint="eastAsia" w:eastAsia="仿宋_GB2312"/>
          <w:sz w:val="28"/>
          <w:szCs w:val="28"/>
        </w:rPr>
        <w:t>3、丢包率上限值为1x10-3。</w:t>
      </w:r>
    </w:p>
    <w:p>
      <w:pPr>
        <w:spacing w:line="360" w:lineRule="auto"/>
        <w:ind w:firstLine="560" w:firstLineChars="200"/>
        <w:rPr>
          <w:rFonts w:eastAsia="仿宋_GB2312"/>
          <w:sz w:val="28"/>
          <w:szCs w:val="28"/>
        </w:rPr>
      </w:pPr>
      <w:r>
        <w:rPr>
          <w:rFonts w:hint="eastAsia" w:eastAsia="仿宋_GB2312"/>
          <w:sz w:val="28"/>
          <w:szCs w:val="28"/>
        </w:rPr>
        <w:t>4、包误差率上限值为1x10-4。</w:t>
      </w:r>
    </w:p>
    <w:p>
      <w:pPr>
        <w:spacing w:line="360" w:lineRule="auto"/>
        <w:ind w:firstLine="562" w:firstLineChars="200"/>
        <w:rPr>
          <w:rFonts w:eastAsia="仿宋_GB2312"/>
          <w:b/>
          <w:sz w:val="28"/>
          <w:szCs w:val="28"/>
        </w:rPr>
      </w:pPr>
      <w:r>
        <w:rPr>
          <w:rFonts w:hint="eastAsia" w:eastAsia="仿宋_GB2312"/>
          <w:b/>
          <w:sz w:val="28"/>
          <w:szCs w:val="28"/>
        </w:rPr>
        <w:t>根据本项目需求，本次视频扩容需要配备</w:t>
      </w:r>
      <w:r>
        <w:rPr>
          <w:rFonts w:eastAsia="仿宋_GB2312"/>
          <w:b/>
          <w:sz w:val="28"/>
          <w:szCs w:val="28"/>
        </w:rPr>
        <w:t>304</w:t>
      </w:r>
      <w:r>
        <w:rPr>
          <w:rFonts w:hint="eastAsia" w:eastAsia="仿宋_GB2312"/>
          <w:b/>
          <w:sz w:val="28"/>
          <w:szCs w:val="28"/>
        </w:rPr>
        <w:t>套</w:t>
      </w:r>
      <w:r>
        <w:rPr>
          <w:rFonts w:eastAsia="仿宋_GB2312"/>
          <w:b/>
          <w:sz w:val="28"/>
          <w:szCs w:val="28"/>
        </w:rPr>
        <w:t>ONU</w:t>
      </w:r>
      <w:r>
        <w:rPr>
          <w:rFonts w:hint="eastAsia" w:eastAsia="仿宋_GB2312"/>
          <w:b/>
          <w:sz w:val="28"/>
          <w:szCs w:val="28"/>
        </w:rPr>
        <w:t>设备。</w:t>
      </w:r>
    </w:p>
    <w:p>
      <w:pPr>
        <w:spacing w:line="360" w:lineRule="auto"/>
        <w:ind w:firstLine="562" w:firstLineChars="200"/>
        <w:rPr>
          <w:rFonts w:eastAsia="仿宋_GB2312"/>
          <w:b/>
          <w:sz w:val="28"/>
          <w:szCs w:val="28"/>
        </w:rPr>
      </w:pPr>
      <w:r>
        <w:rPr>
          <w:rFonts w:hint="eastAsia" w:eastAsia="仿宋_GB2312"/>
          <w:b/>
          <w:sz w:val="28"/>
          <w:szCs w:val="28"/>
        </w:rPr>
        <w:t>本项目将利用原来的OLT设备，在其基础上新增OLT业务板卡，按每个业务板卡接入</w:t>
      </w:r>
      <w:r>
        <w:rPr>
          <w:rFonts w:eastAsia="仿宋_GB2312"/>
          <w:b/>
          <w:sz w:val="28"/>
          <w:szCs w:val="28"/>
        </w:rPr>
        <w:t>256</w:t>
      </w:r>
      <w:r>
        <w:rPr>
          <w:rFonts w:hint="eastAsia" w:eastAsia="仿宋_GB2312"/>
          <w:b/>
          <w:sz w:val="28"/>
          <w:szCs w:val="28"/>
        </w:rPr>
        <w:t>台ONU设备计算，需要新增</w:t>
      </w:r>
      <w:r>
        <w:rPr>
          <w:rFonts w:eastAsia="仿宋_GB2312"/>
          <w:b/>
          <w:sz w:val="28"/>
          <w:szCs w:val="28"/>
        </w:rPr>
        <w:t>2</w:t>
      </w:r>
      <w:r>
        <w:rPr>
          <w:rFonts w:hint="eastAsia" w:eastAsia="仿宋_GB2312"/>
          <w:b/>
          <w:sz w:val="28"/>
          <w:szCs w:val="28"/>
        </w:rPr>
        <w:t>块OLT板卡。</w:t>
      </w:r>
    </w:p>
    <w:p>
      <w:pPr>
        <w:spacing w:line="360" w:lineRule="auto"/>
        <w:ind w:firstLine="562" w:firstLineChars="200"/>
        <w:rPr>
          <w:rFonts w:eastAsia="仿宋_GB2312"/>
          <w:b/>
          <w:sz w:val="28"/>
          <w:szCs w:val="28"/>
        </w:rPr>
      </w:pPr>
      <w:bookmarkStart w:id="298" w:name="_Toc451798087"/>
      <w:r>
        <w:rPr>
          <w:rFonts w:hint="eastAsia" w:eastAsia="仿宋_GB2312"/>
          <w:b/>
          <w:sz w:val="28"/>
          <w:szCs w:val="28"/>
        </w:rPr>
        <w:t>ONU设备主要技术要求</w:t>
      </w:r>
      <w:bookmarkEnd w:id="298"/>
    </w:p>
    <w:p>
      <w:pPr>
        <w:spacing w:line="360" w:lineRule="auto"/>
        <w:ind w:firstLine="560" w:firstLineChars="200"/>
        <w:rPr>
          <w:rFonts w:eastAsia="仿宋_GB2312"/>
          <w:sz w:val="28"/>
          <w:szCs w:val="28"/>
        </w:rPr>
      </w:pPr>
      <w:r>
        <w:rPr>
          <w:rFonts w:hint="eastAsia" w:eastAsia="仿宋_GB2312"/>
          <w:sz w:val="28"/>
          <w:szCs w:val="28"/>
        </w:rPr>
        <w:t>ONU设备可以通过PON技术实现高清视频、音频和数据的接入，设备提供至少1个以太网口，功能上应能达到以下标准：</w:t>
      </w:r>
    </w:p>
    <w:p>
      <w:pPr>
        <w:numPr>
          <w:ilvl w:val="0"/>
          <w:numId w:val="19"/>
        </w:numPr>
        <w:spacing w:line="360" w:lineRule="auto"/>
        <w:rPr>
          <w:rFonts w:eastAsia="仿宋_GB2312"/>
          <w:sz w:val="28"/>
          <w:szCs w:val="28"/>
        </w:rPr>
      </w:pPr>
      <w:r>
        <w:rPr>
          <w:rFonts w:hint="eastAsia" w:eastAsia="仿宋_GB2312"/>
          <w:sz w:val="28"/>
          <w:szCs w:val="28"/>
        </w:rPr>
        <w:t>应</w:t>
      </w:r>
      <w:bookmarkStart w:id="299" w:name="_Toc3559"/>
      <w:bookmarkStart w:id="300" w:name="_Toc432257511"/>
      <w:r>
        <w:rPr>
          <w:rFonts w:hint="eastAsia" w:eastAsia="仿宋_GB2312"/>
          <w:sz w:val="28"/>
          <w:szCs w:val="28"/>
        </w:rPr>
        <w:t>用灵活：支持G/EPO</w:t>
      </w:r>
      <w:bookmarkEnd w:id="299"/>
      <w:r>
        <w:rPr>
          <w:rFonts w:hint="eastAsia" w:eastAsia="仿宋_GB2312"/>
          <w:sz w:val="28"/>
          <w:szCs w:val="28"/>
        </w:rPr>
        <w:t>N双模自适应</w:t>
      </w:r>
      <w:bookmarkEnd w:id="300"/>
      <w:r>
        <w:rPr>
          <w:rFonts w:hint="eastAsia" w:eastAsia="仿宋_GB2312"/>
          <w:sz w:val="28"/>
          <w:szCs w:val="28"/>
        </w:rPr>
        <w:t>，满足不同的FTTH网络接入需求；</w:t>
      </w:r>
    </w:p>
    <w:p>
      <w:pPr>
        <w:numPr>
          <w:ilvl w:val="0"/>
          <w:numId w:val="19"/>
        </w:numPr>
        <w:spacing w:line="360" w:lineRule="auto"/>
        <w:rPr>
          <w:rFonts w:eastAsia="仿宋_GB2312"/>
          <w:sz w:val="28"/>
          <w:szCs w:val="28"/>
        </w:rPr>
      </w:pPr>
      <w:r>
        <w:rPr>
          <w:rFonts w:hint="eastAsia" w:eastAsia="仿宋_GB2312"/>
          <w:sz w:val="28"/>
          <w:szCs w:val="28"/>
        </w:rPr>
        <w:t>即插即用：支持通过OMCI/OAM协议、实现业务的远程自动发放，无需现场配置；</w:t>
      </w:r>
    </w:p>
    <w:p>
      <w:pPr>
        <w:numPr>
          <w:ilvl w:val="0"/>
          <w:numId w:val="19"/>
        </w:numPr>
        <w:spacing w:line="360" w:lineRule="auto"/>
        <w:rPr>
          <w:rFonts w:eastAsia="仿宋_GB2312"/>
          <w:sz w:val="28"/>
          <w:szCs w:val="28"/>
        </w:rPr>
      </w:pPr>
      <w:r>
        <w:rPr>
          <w:rFonts w:hint="eastAsia" w:eastAsia="仿宋_GB2312"/>
          <w:sz w:val="28"/>
          <w:szCs w:val="28"/>
        </w:rPr>
        <w:t>远程诊断：支持精准定位主干/分支光纤故障及ONT软/硬件故障，轻松实现远程故障定位；</w:t>
      </w:r>
    </w:p>
    <w:p>
      <w:pPr>
        <w:numPr>
          <w:ilvl w:val="0"/>
          <w:numId w:val="19"/>
        </w:numPr>
        <w:spacing w:line="360" w:lineRule="auto"/>
        <w:rPr>
          <w:rFonts w:eastAsia="仿宋_GB2312"/>
          <w:sz w:val="28"/>
          <w:szCs w:val="28"/>
        </w:rPr>
      </w:pPr>
      <w:r>
        <w:rPr>
          <w:rFonts w:hint="eastAsia" w:eastAsia="仿宋_GB2312"/>
          <w:sz w:val="28"/>
          <w:szCs w:val="28"/>
        </w:rPr>
        <w:t>高速转发：GE线速转发。</w:t>
      </w:r>
    </w:p>
    <w:p>
      <w:pPr>
        <w:spacing w:line="360" w:lineRule="auto"/>
        <w:ind w:firstLine="562" w:firstLineChars="200"/>
        <w:rPr>
          <w:rFonts w:eastAsia="仿宋_GB2312"/>
          <w:b/>
          <w:sz w:val="28"/>
          <w:szCs w:val="28"/>
        </w:rPr>
      </w:pPr>
      <w:r>
        <w:rPr>
          <w:rFonts w:hint="eastAsia" w:eastAsia="仿宋_GB2312"/>
          <w:b/>
          <w:sz w:val="28"/>
          <w:szCs w:val="28"/>
        </w:rPr>
        <w:t>OLT板卡主要技术要求：</w:t>
      </w:r>
    </w:p>
    <w:p>
      <w:pPr>
        <w:numPr>
          <w:ilvl w:val="0"/>
          <w:numId w:val="19"/>
        </w:numPr>
        <w:spacing w:line="360" w:lineRule="auto"/>
        <w:rPr>
          <w:rFonts w:ascii="宋体" w:hAnsi="宋体" w:eastAsia="仿宋_GB2312" w:cs="宋体"/>
          <w:kern w:val="0"/>
          <w:sz w:val="15"/>
          <w:szCs w:val="15"/>
        </w:rPr>
      </w:pPr>
      <w:r>
        <w:rPr>
          <w:rFonts w:hint="eastAsia" w:eastAsia="仿宋_GB2312"/>
          <w:sz w:val="28"/>
          <w:szCs w:val="28"/>
        </w:rPr>
        <w:t>业务板GPBD，每个业务板16个Pon口，每个Pon口可下可接256台ONU，要求业务板与原机箱插槽配套使用。</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301" w:name="_Toc2029"/>
      <w:bookmarkStart w:id="302" w:name="_Toc6072"/>
      <w:bookmarkStart w:id="303" w:name="_Toc3000"/>
      <w:bookmarkStart w:id="304" w:name="_Toc30629"/>
      <w:bookmarkStart w:id="305" w:name="_Toc12881129"/>
      <w:r>
        <w:rPr>
          <w:rFonts w:hint="eastAsia" w:ascii="Arial" w:hAnsi="Arial" w:eastAsia="仿宋_GB2312"/>
          <w:b/>
          <w:bCs/>
          <w:sz w:val="28"/>
          <w:szCs w:val="32"/>
        </w:rPr>
        <w:t>视频存储子系统</w:t>
      </w:r>
      <w:bookmarkEnd w:id="301"/>
      <w:bookmarkEnd w:id="302"/>
      <w:bookmarkEnd w:id="303"/>
      <w:bookmarkEnd w:id="304"/>
      <w:bookmarkEnd w:id="305"/>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监控存储系统不同于普通的存储系统的架构设计，特别是面对百路以上的大规模监控系统的</w:t>
      </w:r>
      <w:r>
        <w:rPr>
          <w:rFonts w:ascii="仿宋_GB2312" w:hAnsi="宋体" w:eastAsia="仿宋_GB2312"/>
          <w:snapToGrid w:val="0"/>
          <w:kern w:val="24"/>
          <w:sz w:val="28"/>
          <w:szCs w:val="28"/>
        </w:rPr>
        <w:t>7×24小时大规模的读写需求时，视频录像数据的读写模式、从前端IPC或编解码器的写入模式及整体方案的规划和维护都大大的不同于普通的数据存储模式。主要有如下特征：</w:t>
      </w:r>
    </w:p>
    <w:p>
      <w:pPr>
        <w:widowControl/>
        <w:numPr>
          <w:ilvl w:val="0"/>
          <w:numId w:val="10"/>
        </w:numPr>
        <w:spacing w:line="360" w:lineRule="auto"/>
        <w:rPr>
          <w:rFonts w:ascii="仿宋_GB2312" w:hAnsi="宋体" w:eastAsia="仿宋_GB2312"/>
          <w:kern w:val="0"/>
          <w:sz w:val="28"/>
          <w:szCs w:val="28"/>
        </w:rPr>
      </w:pPr>
      <w:r>
        <w:rPr>
          <w:rFonts w:hint="eastAsia" w:ascii="仿宋_GB2312" w:hAnsi="宋体" w:eastAsia="仿宋_GB2312"/>
          <w:kern w:val="0"/>
          <w:sz w:val="28"/>
          <w:szCs w:val="28"/>
        </w:rPr>
        <w:t>恒定流量的高并发写入</w:t>
      </w:r>
    </w:p>
    <w:p>
      <w:pPr>
        <w:widowControl/>
        <w:numPr>
          <w:ilvl w:val="0"/>
          <w:numId w:val="10"/>
        </w:numPr>
        <w:spacing w:line="360" w:lineRule="auto"/>
        <w:rPr>
          <w:rFonts w:ascii="仿宋_GB2312" w:hAnsi="宋体" w:eastAsia="仿宋_GB2312"/>
          <w:kern w:val="0"/>
          <w:sz w:val="28"/>
          <w:szCs w:val="28"/>
        </w:rPr>
      </w:pPr>
      <w:r>
        <w:rPr>
          <w:rFonts w:hint="eastAsia" w:ascii="仿宋_GB2312" w:hAnsi="宋体" w:eastAsia="仿宋_GB2312"/>
          <w:kern w:val="0"/>
          <w:sz w:val="28"/>
          <w:szCs w:val="28"/>
        </w:rPr>
        <w:t>存储空间的提前规划</w:t>
      </w:r>
    </w:p>
    <w:p>
      <w:pPr>
        <w:widowControl/>
        <w:numPr>
          <w:ilvl w:val="0"/>
          <w:numId w:val="10"/>
        </w:numPr>
        <w:spacing w:line="360" w:lineRule="auto"/>
        <w:rPr>
          <w:rFonts w:ascii="仿宋_GB2312" w:hAnsi="宋体" w:eastAsia="仿宋_GB2312"/>
          <w:kern w:val="0"/>
          <w:sz w:val="28"/>
          <w:szCs w:val="28"/>
        </w:rPr>
      </w:pPr>
      <w:r>
        <w:rPr>
          <w:rFonts w:hint="eastAsia" w:ascii="仿宋_GB2312" w:hAnsi="宋体" w:eastAsia="仿宋_GB2312"/>
          <w:kern w:val="0"/>
          <w:sz w:val="28"/>
          <w:szCs w:val="28"/>
        </w:rPr>
        <w:t>录像视频的生命周期管理</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存储系统作为公安查案取证的重要来源必须保证数据的可靠性和稳定。</w:t>
      </w:r>
      <w:r>
        <w:rPr>
          <w:rFonts w:ascii="仿宋_GB2312" w:hAnsi="宋体" w:eastAsia="仿宋_GB2312"/>
          <w:snapToGrid w:val="0"/>
          <w:kern w:val="24"/>
          <w:sz w:val="28"/>
          <w:szCs w:val="28"/>
        </w:rPr>
        <w:t xml:space="preserve">   </w:t>
      </w:r>
    </w:p>
    <w:p>
      <w:pPr>
        <w:spacing w:line="360" w:lineRule="auto"/>
        <w:ind w:firstLine="560" w:firstLineChars="200"/>
        <w:rPr>
          <w:rFonts w:eastAsia="仿宋_GB2312" w:cs="仿宋_GB2312"/>
          <w:sz w:val="28"/>
          <w:szCs w:val="28"/>
        </w:rPr>
      </w:pPr>
      <w:r>
        <w:rPr>
          <w:rFonts w:hint="eastAsia" w:ascii="仿宋_GB2312" w:hAnsi="宋体" w:eastAsia="仿宋_GB2312"/>
          <w:snapToGrid w:val="0"/>
          <w:kern w:val="24"/>
          <w:sz w:val="28"/>
          <w:szCs w:val="28"/>
        </w:rPr>
        <w:t>针对以上业务需求，项目采用磁盘阵列的集中存储方案。</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06" w:name="_Toc12881130"/>
      <w:bookmarkStart w:id="307" w:name="_Toc18452"/>
      <w:r>
        <w:rPr>
          <w:rFonts w:hint="eastAsia" w:eastAsia="仿宋_GB2312"/>
          <w:b/>
          <w:bCs/>
          <w:sz w:val="28"/>
          <w:szCs w:val="28"/>
        </w:rPr>
        <w:t>系统技术要求</w:t>
      </w:r>
      <w:bookmarkEnd w:id="306"/>
      <w:bookmarkEnd w:id="307"/>
    </w:p>
    <w:p>
      <w:pPr>
        <w:widowControl/>
        <w:numPr>
          <w:ilvl w:val="0"/>
          <w:numId w:val="10"/>
        </w:numPr>
        <w:spacing w:line="360" w:lineRule="auto"/>
        <w:rPr>
          <w:rFonts w:ascii="仿宋_GB2312" w:hAnsi="宋体" w:eastAsia="仿宋_GB2312"/>
          <w:b/>
          <w:bCs/>
          <w:kern w:val="0"/>
          <w:sz w:val="28"/>
          <w:szCs w:val="28"/>
        </w:rPr>
      </w:pPr>
      <w:bookmarkStart w:id="308" w:name="_Toc438423997"/>
      <w:bookmarkStart w:id="309" w:name="_Toc401241189"/>
      <w:bookmarkStart w:id="310" w:name="_Toc451798070"/>
      <w:r>
        <w:rPr>
          <w:rFonts w:hint="eastAsia" w:ascii="仿宋_GB2312" w:hAnsi="宋体" w:eastAsia="仿宋_GB2312" w:cs="宋体"/>
          <w:b/>
          <w:bCs/>
          <w:kern w:val="0"/>
          <w:sz w:val="28"/>
          <w:szCs w:val="28"/>
        </w:rPr>
        <w:t>非文件打包方式</w:t>
      </w:r>
      <w:r>
        <w:rPr>
          <w:rFonts w:hint="eastAsia" w:ascii="仿宋_GB2312" w:hAnsi="宋体" w:eastAsia="仿宋_GB2312"/>
          <w:b/>
          <w:bCs/>
          <w:kern w:val="0"/>
          <w:sz w:val="28"/>
          <w:szCs w:val="28"/>
        </w:rPr>
        <w:t>直存技术</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传统的存储技术是将视频流数据转换为文件进行存储，一段视频会转换为多个视频文件，如</w:t>
      </w:r>
      <w:r>
        <w:rPr>
          <w:rFonts w:ascii="仿宋_GB2312" w:hAnsi="宋体" w:eastAsia="仿宋_GB2312"/>
          <w:snapToGrid w:val="0"/>
          <w:kern w:val="24"/>
          <w:sz w:val="28"/>
          <w:szCs w:val="28"/>
        </w:rPr>
        <w:t>DVR的存储方式。这种方式转换效率比较低，无法满足用户即时调取录像的需求，同时也对监控后端系统造成极大的压力。在大型监控系统中，这种问题将表现得更为严重。前端巨大的视频流写入请求，后端大量的访问需求，而文件转换全部依靠流媒体服务器的处理能力，如果处理不及时，系统将会出现严重的延时，甚至</w:t>
      </w:r>
      <w:r>
        <w:rPr>
          <w:rFonts w:hint="eastAsia" w:ascii="仿宋_GB2312" w:hAnsi="宋体" w:eastAsia="仿宋_GB2312"/>
          <w:snapToGrid w:val="0"/>
          <w:kern w:val="24"/>
          <w:sz w:val="28"/>
          <w:szCs w:val="28"/>
        </w:rPr>
        <w:t>宕机现象。而流媒体服务器性能和稳定性受硬件系统限制都比较低，无法满足录像即时回放，多用户并发访问的业务要求。这就是“哑铃效应”。</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而采用流直存的方式有效地解决这一问题。它基于专业磁盘阵列硬件架构，支持前端以主流流媒体协议直接接入，采用”流数据直接写裸盘“方式，性能卓越、无文件碎片，提供多录像保护机制，支持秒级检索和即时回放，架构开放，组网简单，稳定性更高。通过这种方式，监控媒体数据的存储不需要再转换为视频文件，而是在底层采用针对视频流的管理系统，解决通用文件系统的缺陷。并且安防应用是大量前端并发无序写入，本设计方案采用</w:t>
      </w:r>
      <w:r>
        <w:rPr>
          <w:rFonts w:ascii="仿宋_GB2312" w:hAnsi="宋体" w:eastAsia="仿宋_GB2312"/>
          <w:snapToGrid w:val="0"/>
          <w:kern w:val="24"/>
          <w:sz w:val="28"/>
          <w:szCs w:val="28"/>
        </w:rPr>
        <w:t xml:space="preserve"> Smart Sequence in Cache </w:t>
      </w:r>
      <w:r>
        <w:rPr>
          <w:rFonts w:hint="eastAsia" w:ascii="仿宋_GB2312" w:hAnsi="宋体" w:eastAsia="仿宋_GB2312"/>
          <w:snapToGrid w:val="0"/>
          <w:kern w:val="24"/>
          <w:sz w:val="28"/>
          <w:szCs w:val="28"/>
        </w:rPr>
        <w:t>技术，在缓存中将多路随机并发数据顺序化，减少由于硬盘磁头频繁寻道导致的性能迅速下降和硬盘寿命降低的问题。</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在前端设备发生故障情况（如被破坏，意外停电，网络中断等）时，前端设备故障前</w:t>
      </w:r>
      <w:r>
        <w:rPr>
          <w:rFonts w:ascii="仿宋_GB2312" w:hAnsi="宋体" w:eastAsia="仿宋_GB2312"/>
          <w:snapToGrid w:val="0"/>
          <w:kern w:val="24"/>
          <w:sz w:val="28"/>
          <w:szCs w:val="28"/>
        </w:rPr>
        <w:t>1秒的图像数据必须保存在***分中心存储设备上（时间粒度精确到秒），历史图像能够做到一秒不丢，保障视频录像的完整性和可靠性。</w:t>
      </w:r>
    </w:p>
    <w:p>
      <w:pPr>
        <w:numPr>
          <w:ilvl w:val="0"/>
          <w:numId w:val="10"/>
        </w:numPr>
        <w:adjustRightInd w:val="0"/>
        <w:snapToGrid w:val="0"/>
        <w:spacing w:line="360" w:lineRule="auto"/>
        <w:ind w:left="836" w:firstLine="420"/>
        <w:rPr>
          <w:rFonts w:ascii="仿宋_GB2312" w:hAnsi="宋体" w:eastAsia="仿宋_GB2312"/>
          <w:b/>
          <w:bCs/>
          <w:sz w:val="28"/>
          <w:szCs w:val="28"/>
        </w:rPr>
      </w:pPr>
      <w:r>
        <w:rPr>
          <w:rFonts w:hint="eastAsia" w:ascii="仿宋_GB2312" w:hAnsi="宋体" w:eastAsia="仿宋_GB2312"/>
          <w:b/>
          <w:bCs/>
          <w:sz w:val="28"/>
          <w:szCs w:val="28"/>
        </w:rPr>
        <w:t>录像资料的快速秒级检索</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实现对实况图像的及时回放、对历史图像的精确到秒级的录像检索和精准回放，满足安防应急响应的监控需求。</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存储系统的性能</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由于存储系统不仅要支持多路摄像头的监控数据为并发实时顺序写入，同时要满足多级监控中心对同一数据源的多路并发随机读取，对于存储系统带宽、持续写性能、控制器处理性能要求很高。存储设备的控制性能、持续读写带宽必须需随着摄像头数量的增加和存储容量的扩展而同步提升，以满足监控系统的带宽、性能需要，要求磁盘与控制器必须交换式连接方式，存储设备不可有内部带宽、性能的瓶颈。</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设备级存储可靠性</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支持电源短路保护，当电源出现短路时，系统会自动切断磁盘供电，保护磁盘免遭过载电流的冲击，最大限度地保护数据的安全。</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阵列级存储可靠性</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支持</w:t>
      </w:r>
      <w:r>
        <w:rPr>
          <w:rFonts w:ascii="仿宋_GB2312" w:hAnsi="宋体" w:eastAsia="仿宋_GB2312"/>
          <w:snapToGrid w:val="0"/>
          <w:kern w:val="24"/>
          <w:sz w:val="28"/>
          <w:szCs w:val="28"/>
        </w:rPr>
        <w:t>RAID 0、1、5、10等RAID级别，提供多种热备盘（Hot spare Disk）安全保护机制。在RAID重建功能中，重新设计了新的重建算法，通过无感知局部重建、快速重建、重建重构等方式，有效保证了在阵列降级情况下的数据恢复速度，提升了系统的可靠性。</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方案级存储可靠性</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支持前端缓存补录，在网络或中心存储等异常时，前端设备会启动缓存功能，将视频数据存在前端设备附带的</w:t>
      </w:r>
      <w:r>
        <w:rPr>
          <w:rFonts w:ascii="仿宋_GB2312" w:hAnsi="宋体" w:eastAsia="仿宋_GB2312"/>
          <w:snapToGrid w:val="0"/>
          <w:kern w:val="24"/>
          <w:sz w:val="28"/>
          <w:szCs w:val="28"/>
        </w:rPr>
        <w:t>SD上。同时，后端链路或设备恢复正常后，会自动将补录到的录像上传到后端存储上，避免造成数据丢失。同时在统一的监控管理平台上，能对该时间段的录像进行检索、回放、删除等管理操作。</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磁盘热插拔</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当某块磁盘出现故障，通过热插拔功能可以在线拔出故障磁盘，更换新磁盘，而不会对磁盘造成损害，也不会影响系统的正常运行。</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统一的存储录像管理</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通过全局性的资源统一划分和调度，实现数据的全局性管理，可实现存储录像资料物理上分散、逻辑上统一管理。</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存储的强扩展</w:t>
      </w:r>
    </w:p>
    <w:p>
      <w:pPr>
        <w:adjustRightInd w:val="0"/>
        <w:snapToGrid w:val="0"/>
        <w:spacing w:line="360" w:lineRule="auto"/>
        <w:ind w:firstLine="554" w:firstLineChars="198"/>
        <w:rPr>
          <w:rFonts w:ascii="仿宋_GB2312" w:hAnsi="宋体" w:eastAsia="仿宋_GB2312"/>
          <w:snapToGrid w:val="0"/>
          <w:kern w:val="24"/>
          <w:sz w:val="28"/>
          <w:szCs w:val="28"/>
        </w:rPr>
      </w:pPr>
      <w:r>
        <w:rPr>
          <w:rFonts w:hint="eastAsia" w:ascii="仿宋_GB2312" w:hAnsi="宋体" w:eastAsia="仿宋_GB2312"/>
          <w:snapToGrid w:val="0"/>
          <w:kern w:val="24"/>
          <w:sz w:val="28"/>
          <w:szCs w:val="28"/>
        </w:rPr>
        <w:t>可通过磁盘扩展柜实现设备的在线容量扩展，无需停机和暂停业务，给用户带来更安全、快捷的扩容方式。</w:t>
      </w:r>
    </w:p>
    <w:p>
      <w:pPr>
        <w:widowControl/>
        <w:numPr>
          <w:ilvl w:val="0"/>
          <w:numId w:val="10"/>
        </w:numPr>
        <w:spacing w:line="360" w:lineRule="auto"/>
        <w:rPr>
          <w:rFonts w:ascii="仿宋_GB2312" w:hAnsi="宋体" w:eastAsia="仿宋_GB2312"/>
          <w:b/>
          <w:bCs/>
          <w:kern w:val="0"/>
          <w:sz w:val="28"/>
          <w:szCs w:val="28"/>
        </w:rPr>
      </w:pPr>
      <w:r>
        <w:rPr>
          <w:rFonts w:hint="eastAsia" w:ascii="仿宋_GB2312" w:hAnsi="宋体" w:eastAsia="仿宋_GB2312"/>
          <w:b/>
          <w:bCs/>
          <w:kern w:val="0"/>
          <w:sz w:val="28"/>
          <w:szCs w:val="28"/>
        </w:rPr>
        <w:t>磁盘漫游</w:t>
      </w:r>
    </w:p>
    <w:p>
      <w:pPr>
        <w:spacing w:line="360" w:lineRule="auto"/>
        <w:ind w:firstLine="560" w:firstLineChars="200"/>
        <w:rPr>
          <w:rFonts w:eastAsia="仿宋_GB2312"/>
          <w:sz w:val="28"/>
          <w:szCs w:val="28"/>
        </w:rPr>
      </w:pPr>
      <w:r>
        <w:rPr>
          <w:rFonts w:hint="eastAsia" w:ascii="仿宋_GB2312" w:hAnsi="宋体" w:eastAsia="仿宋_GB2312"/>
          <w:snapToGrid w:val="0"/>
          <w:kern w:val="24"/>
          <w:sz w:val="28"/>
          <w:szCs w:val="28"/>
        </w:rPr>
        <w:t>海量数据进行搬运或者更换主机时，不需要像其他产品一样要求硬盘拆卸前后位置一一对应，也无需对主机重新配置信息，硬盘的位置可任意改变，却不丢失数据，这是一个很重要的功能。</w:t>
      </w:r>
      <w:bookmarkEnd w:id="308"/>
      <w:bookmarkEnd w:id="309"/>
      <w:bookmarkEnd w:id="310"/>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11" w:name="_Toc13849"/>
      <w:bookmarkStart w:id="312" w:name="_Toc12881131"/>
      <w:r>
        <w:rPr>
          <w:rFonts w:hint="eastAsia" w:eastAsia="仿宋_GB2312"/>
          <w:b/>
          <w:bCs/>
          <w:sz w:val="28"/>
          <w:szCs w:val="28"/>
        </w:rPr>
        <w:t>RAID备份和数据安全</w:t>
      </w:r>
      <w:bookmarkEnd w:id="311"/>
      <w:bookmarkEnd w:id="312"/>
    </w:p>
    <w:p>
      <w:pPr>
        <w:spacing w:line="360" w:lineRule="auto"/>
        <w:ind w:firstLine="560" w:firstLineChars="200"/>
        <w:rPr>
          <w:rFonts w:eastAsia="仿宋_GB2312"/>
          <w:sz w:val="28"/>
          <w:szCs w:val="28"/>
        </w:rPr>
      </w:pPr>
      <w:r>
        <w:rPr>
          <w:rFonts w:hint="eastAsia" w:eastAsia="仿宋_GB2312"/>
          <w:sz w:val="28"/>
          <w:szCs w:val="28"/>
        </w:rPr>
        <w:t>系统采用非文件系统类型、以逻辑块为单位的非结构化存储，以“0101”的方式将裸数据块直接存储在阵列上，所有对录像的修改和删除必须经过业务系统，从而可以实现业务系统对用户录像操作的鉴权与记录。</w:t>
      </w:r>
    </w:p>
    <w:p>
      <w:pPr>
        <w:spacing w:line="360" w:lineRule="auto"/>
        <w:ind w:firstLine="560" w:firstLineChars="200"/>
        <w:rPr>
          <w:rFonts w:eastAsia="仿宋_GB2312"/>
          <w:sz w:val="28"/>
          <w:szCs w:val="28"/>
        </w:rPr>
      </w:pPr>
      <w:r>
        <w:rPr>
          <w:rFonts w:hint="eastAsia" w:eastAsia="仿宋_GB2312"/>
          <w:sz w:val="28"/>
          <w:szCs w:val="28"/>
        </w:rPr>
        <w:t>为了保障数据的可靠性，系统应支持RAID5，提供多种热备盘安全保护机制，确保在一块磁盘出现故障后热备盘可以立即替代，保障录像原始数据的完整性并为新数据的写入提供空间，有效降低了因磁盘故障导致的错误。</w:t>
      </w:r>
    </w:p>
    <w:p>
      <w:pPr>
        <w:rPr>
          <w:rFonts w:ascii="宋体" w:hAnsi="宋体"/>
          <w:snapToGrid w:val="0"/>
          <w:kern w:val="24"/>
          <w:szCs w:val="21"/>
        </w:rPr>
      </w:pPr>
      <w:r>
        <w:rPr>
          <w:rFonts w:ascii="宋体" w:hAnsi="宋体"/>
          <w:snapToGrid w:val="0"/>
          <w:kern w:val="24"/>
          <w:szCs w:val="21"/>
        </w:rPr>
        <w:drawing>
          <wp:inline distT="0" distB="0" distL="114300" distR="114300">
            <wp:extent cx="5300980" cy="1985645"/>
            <wp:effectExtent l="0" t="0" r="13970" b="14605"/>
            <wp:docPr id="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5"/>
                    <pic:cNvPicPr>
                      <a:picLocks noChangeAspect="1"/>
                    </pic:cNvPicPr>
                  </pic:nvPicPr>
                  <pic:blipFill>
                    <a:blip r:embed="rId25"/>
                    <a:stretch>
                      <a:fillRect/>
                    </a:stretch>
                  </pic:blipFill>
                  <pic:spPr>
                    <a:xfrm>
                      <a:off x="0" y="0"/>
                      <a:ext cx="5300980" cy="1985645"/>
                    </a:xfrm>
                    <a:prstGeom prst="rect">
                      <a:avLst/>
                    </a:prstGeom>
                    <a:noFill/>
                    <a:ln>
                      <a:noFill/>
                    </a:ln>
                  </pic:spPr>
                </pic:pic>
              </a:graphicData>
            </a:graphic>
          </wp:inline>
        </w:drawing>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13" w:name="_Toc12881132"/>
      <w:bookmarkStart w:id="314" w:name="_Toc3911"/>
      <w:r>
        <w:rPr>
          <w:rFonts w:hint="eastAsia" w:eastAsia="仿宋_GB2312"/>
          <w:b/>
          <w:bCs/>
          <w:sz w:val="28"/>
          <w:szCs w:val="28"/>
        </w:rPr>
        <w:t>存储空间计算及配置方案</w:t>
      </w:r>
      <w:bookmarkEnd w:id="313"/>
      <w:bookmarkEnd w:id="314"/>
    </w:p>
    <w:p>
      <w:pPr>
        <w:spacing w:line="360" w:lineRule="auto"/>
        <w:ind w:firstLine="562" w:firstLineChars="200"/>
        <w:rPr>
          <w:rFonts w:eastAsia="仿宋_GB2312"/>
          <w:b/>
          <w:bCs/>
          <w:iCs/>
          <w:sz w:val="28"/>
          <w:szCs w:val="28"/>
        </w:rPr>
      </w:pPr>
      <w:r>
        <w:rPr>
          <w:rFonts w:hint="eastAsia" w:eastAsia="仿宋_GB2312"/>
          <w:b/>
          <w:bCs/>
          <w:iCs/>
          <w:sz w:val="28"/>
          <w:szCs w:val="28"/>
        </w:rPr>
        <w:t>1、视频数据的存储</w:t>
      </w:r>
    </w:p>
    <w:p>
      <w:pPr>
        <w:spacing w:line="360" w:lineRule="auto"/>
        <w:ind w:firstLine="560" w:firstLineChars="200"/>
        <w:rPr>
          <w:rFonts w:eastAsia="仿宋_GB2312"/>
          <w:iCs/>
          <w:sz w:val="28"/>
          <w:szCs w:val="28"/>
        </w:rPr>
      </w:pPr>
      <w:r>
        <w:rPr>
          <w:rFonts w:hint="eastAsia" w:eastAsia="仿宋_GB2312"/>
          <w:iCs/>
          <w:sz w:val="28"/>
          <w:szCs w:val="28"/>
        </w:rPr>
        <w:t>视频数据存储空间（G）= 需要存储的视频流路数×单路视频流需要存储的时长（s）×单路视频平均码率*CBR/8/102</w:t>
      </w:r>
      <w:bookmarkStart w:id="315" w:name="_Toc432257500"/>
      <w:r>
        <w:rPr>
          <w:rFonts w:hint="eastAsia" w:eastAsia="仿宋_GB2312"/>
          <w:iCs/>
          <w:sz w:val="28"/>
          <w:szCs w:val="28"/>
        </w:rPr>
        <w:t>4 = K×L×24×3600×</w:t>
      </w:r>
      <w:bookmarkEnd w:id="315"/>
      <w:r>
        <w:rPr>
          <w:rFonts w:hint="eastAsia" w:eastAsia="仿宋_GB2312"/>
          <w:iCs/>
          <w:sz w:val="28"/>
          <w:szCs w:val="28"/>
        </w:rPr>
        <w:t>R×CBR/8/1024。</w:t>
      </w:r>
    </w:p>
    <w:p>
      <w:pPr>
        <w:spacing w:line="360" w:lineRule="auto"/>
        <w:ind w:firstLine="560" w:firstLineChars="200"/>
        <w:rPr>
          <w:rFonts w:eastAsia="仿宋_GB2312"/>
          <w:iCs/>
          <w:sz w:val="28"/>
          <w:szCs w:val="28"/>
        </w:rPr>
      </w:pPr>
      <w:r>
        <w:rPr>
          <w:rFonts w:hint="eastAsia" w:eastAsia="仿宋_GB2312"/>
          <w:iCs/>
          <w:sz w:val="28"/>
          <w:szCs w:val="28"/>
        </w:rPr>
        <w:t>一般情况下，CBR系数= 1.17；CBR影响系数是指恒定码流(CBR）正误差给存储容量带来的影响系数。K指存储路数，L指存储天数，R指视频存储码率（Mbps）。</w:t>
      </w:r>
    </w:p>
    <w:p>
      <w:pPr>
        <w:spacing w:line="360" w:lineRule="auto"/>
        <w:ind w:firstLine="560" w:firstLineChars="200"/>
        <w:rPr>
          <w:rFonts w:eastAsia="仿宋_GB2312"/>
          <w:iCs/>
          <w:sz w:val="28"/>
          <w:szCs w:val="28"/>
        </w:rPr>
      </w:pPr>
      <w:r>
        <w:rPr>
          <w:rFonts w:hint="eastAsia" w:eastAsia="仿宋_GB2312"/>
          <w:iCs/>
          <w:sz w:val="28"/>
          <w:szCs w:val="28"/>
        </w:rPr>
        <w:t>1路高清图像，按照H.264 High Profile编码，高清1080P(1920×1080)分辨率格式存储，其码流带宽以4Mbps计算，保存30天的要求，所需的存储容量为：</w:t>
      </w:r>
    </w:p>
    <w:p>
      <w:pPr>
        <w:spacing w:line="360" w:lineRule="auto"/>
        <w:ind w:firstLine="560" w:firstLineChars="200"/>
        <w:rPr>
          <w:rFonts w:eastAsia="仿宋_GB2312"/>
          <w:iCs/>
          <w:sz w:val="28"/>
          <w:szCs w:val="28"/>
        </w:rPr>
      </w:pPr>
      <w:r>
        <w:rPr>
          <w:rFonts w:hint="eastAsia" w:eastAsia="仿宋_GB2312"/>
          <w:iCs/>
          <w:sz w:val="28"/>
          <w:szCs w:val="28"/>
        </w:rPr>
        <w:t>200万像素：1×30天×24小时×60分×60秒×4M /8/1024/1024=1.24TB</w:t>
      </w:r>
    </w:p>
    <w:p>
      <w:pPr>
        <w:spacing w:line="360" w:lineRule="auto"/>
        <w:ind w:firstLine="560" w:firstLineChars="200"/>
        <w:rPr>
          <w:rFonts w:eastAsia="仿宋_GB2312"/>
          <w:iCs/>
          <w:sz w:val="28"/>
          <w:szCs w:val="28"/>
        </w:rPr>
      </w:pPr>
      <w:r>
        <w:rPr>
          <w:rFonts w:hint="eastAsia" w:eastAsia="仿宋_GB2312"/>
          <w:iCs/>
          <w:sz w:val="28"/>
          <w:szCs w:val="28"/>
        </w:rPr>
        <w:t>由于系统对数据存储的可靠性要求严格，因此系统在设计方案中采用RAID 5数据保护加全局硬盘热备。考虑到监控系统的编码设备写入过程当中的峰值漂移及整体存储空间的冗余，还需考虑磁盘损耗以及码流波动系数，综合考虑以上因素，磁盘容量按1.4倍计算。</w:t>
      </w:r>
    </w:p>
    <w:p>
      <w:pPr>
        <w:spacing w:line="360" w:lineRule="auto"/>
        <w:ind w:firstLine="560" w:firstLineChars="200"/>
        <w:rPr>
          <w:rFonts w:eastAsia="仿宋_GB2312"/>
          <w:iCs/>
          <w:sz w:val="28"/>
          <w:szCs w:val="28"/>
        </w:rPr>
      </w:pPr>
      <w:r>
        <w:rPr>
          <w:rFonts w:hint="eastAsia" w:eastAsia="仿宋_GB2312"/>
          <w:iCs/>
          <w:sz w:val="28"/>
          <w:szCs w:val="28"/>
        </w:rPr>
        <w:t>200万像素：每路图像存储30天时间需要的磁盘容量约为：1.24TB×1.4=1.736TB</w:t>
      </w:r>
    </w:p>
    <w:p>
      <w:pPr>
        <w:spacing w:line="360" w:lineRule="auto"/>
        <w:ind w:firstLine="562" w:firstLineChars="200"/>
        <w:rPr>
          <w:rFonts w:eastAsia="仿宋_GB2312"/>
          <w:iCs/>
          <w:sz w:val="28"/>
          <w:szCs w:val="28"/>
        </w:rPr>
      </w:pPr>
      <w:r>
        <w:rPr>
          <w:rFonts w:hint="eastAsia" w:eastAsia="仿宋_GB2312"/>
          <w:b/>
          <w:iCs/>
          <w:sz w:val="28"/>
          <w:szCs w:val="28"/>
        </w:rPr>
        <w:t>视频监控录像存储需求容量为</w:t>
      </w:r>
      <w:r>
        <w:rPr>
          <w:rFonts w:hint="eastAsia" w:eastAsia="仿宋_GB2312"/>
          <w:iCs/>
          <w:sz w:val="28"/>
          <w:szCs w:val="28"/>
        </w:rPr>
        <w:t>1.74*</w:t>
      </w:r>
      <w:r>
        <w:rPr>
          <w:rFonts w:eastAsia="仿宋_GB2312"/>
          <w:iCs/>
          <w:sz w:val="28"/>
          <w:szCs w:val="28"/>
        </w:rPr>
        <w:t>304</w:t>
      </w:r>
      <w:r>
        <w:rPr>
          <w:rFonts w:hint="eastAsia" w:eastAsia="仿宋_GB2312"/>
          <w:iCs/>
          <w:sz w:val="28"/>
          <w:szCs w:val="28"/>
        </w:rPr>
        <w:t>=</w:t>
      </w:r>
      <w:r>
        <w:rPr>
          <w:rFonts w:eastAsia="仿宋_GB2312"/>
          <w:iCs/>
          <w:sz w:val="28"/>
          <w:szCs w:val="28"/>
        </w:rPr>
        <w:t>529</w:t>
      </w:r>
      <w:r>
        <w:rPr>
          <w:rFonts w:hint="eastAsia" w:eastAsia="仿宋_GB2312"/>
          <w:iCs/>
          <w:sz w:val="28"/>
          <w:szCs w:val="28"/>
        </w:rPr>
        <w:t>T</w:t>
      </w:r>
    </w:p>
    <w:p>
      <w:pPr>
        <w:spacing w:line="360" w:lineRule="auto"/>
        <w:ind w:firstLine="560" w:firstLineChars="200"/>
        <w:rPr>
          <w:rFonts w:ascii="仿宋_GB2312" w:hAnsi="仿宋_GB2312" w:eastAsia="仿宋_GB2312" w:cs="仿宋_GB2312"/>
          <w:sz w:val="28"/>
        </w:rPr>
      </w:pP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16" w:name="_Toc19961"/>
      <w:bookmarkStart w:id="317" w:name="_Toc12881133"/>
      <w:r>
        <w:rPr>
          <w:rFonts w:hint="eastAsia" w:eastAsia="仿宋_GB2312"/>
          <w:b/>
          <w:bCs/>
          <w:sz w:val="28"/>
          <w:szCs w:val="28"/>
        </w:rPr>
        <w:t>存储设备的选型</w:t>
      </w:r>
      <w:bookmarkEnd w:id="316"/>
      <w:r>
        <w:rPr>
          <w:rFonts w:hint="eastAsia" w:eastAsia="仿宋_GB2312"/>
          <w:b/>
          <w:bCs/>
          <w:sz w:val="28"/>
          <w:szCs w:val="28"/>
        </w:rPr>
        <w:t>及配置</w:t>
      </w:r>
      <w:bookmarkEnd w:id="317"/>
    </w:p>
    <w:p>
      <w:pPr>
        <w:spacing w:line="360" w:lineRule="auto"/>
        <w:ind w:firstLine="560" w:firstLineChars="200"/>
        <w:rPr>
          <w:rFonts w:eastAsia="仿宋_GB2312"/>
          <w:sz w:val="28"/>
          <w:szCs w:val="28"/>
        </w:rPr>
      </w:pPr>
      <w:r>
        <w:rPr>
          <w:rFonts w:hint="eastAsia" w:eastAsia="仿宋_GB2312"/>
          <w:sz w:val="28"/>
          <w:szCs w:val="28"/>
        </w:rPr>
        <w:t>视频监控系统作为人类视觉在空间和时间两个维护的延伸，落到实处即为：实时的看和控是视觉在空间上的延伸，录像的存和查则是视觉在时</w:t>
      </w:r>
      <w:bookmarkStart w:id="318" w:name="_Toc17756"/>
      <w:bookmarkStart w:id="319" w:name="_Toc11960"/>
      <w:bookmarkStart w:id="320" w:name="_Toc2522"/>
      <w:bookmarkStart w:id="321" w:name="_Toc12484"/>
      <w:bookmarkStart w:id="322" w:name="_Toc5846"/>
      <w:bookmarkStart w:id="323" w:name="_Toc18768"/>
      <w:bookmarkStart w:id="324" w:name="_Toc17683"/>
      <w:bookmarkStart w:id="325" w:name="_Toc432257501"/>
      <w:r>
        <w:rPr>
          <w:rFonts w:hint="eastAsia" w:eastAsia="仿宋_GB2312"/>
          <w:sz w:val="28"/>
          <w:szCs w:val="28"/>
        </w:rPr>
        <w:t>间上的</w:t>
      </w:r>
      <w:bookmarkEnd w:id="318"/>
      <w:bookmarkEnd w:id="319"/>
      <w:bookmarkEnd w:id="320"/>
      <w:bookmarkEnd w:id="321"/>
      <w:bookmarkEnd w:id="322"/>
      <w:bookmarkEnd w:id="323"/>
      <w:bookmarkEnd w:id="324"/>
      <w:r>
        <w:rPr>
          <w:rFonts w:hint="eastAsia" w:eastAsia="仿宋_GB2312"/>
          <w:sz w:val="28"/>
          <w:szCs w:val="28"/>
        </w:rPr>
        <w:t>延伸。因此高清模</w:t>
      </w:r>
      <w:bookmarkEnd w:id="325"/>
      <w:r>
        <w:rPr>
          <w:rFonts w:hint="eastAsia" w:eastAsia="仿宋_GB2312"/>
          <w:sz w:val="28"/>
          <w:szCs w:val="28"/>
        </w:rPr>
        <w:t>式下监控录像的存储、检索和回放，在监控系统的建设和使用中，占据着举足轻重的地位。</w:t>
      </w:r>
    </w:p>
    <w:p>
      <w:pPr>
        <w:spacing w:line="360" w:lineRule="auto"/>
        <w:ind w:firstLine="562" w:firstLineChars="200"/>
        <w:rPr>
          <w:rFonts w:eastAsia="仿宋_GB2312"/>
          <w:b/>
          <w:sz w:val="28"/>
          <w:szCs w:val="28"/>
        </w:rPr>
      </w:pPr>
      <w:r>
        <w:rPr>
          <w:rFonts w:hint="eastAsia" w:eastAsia="仿宋_GB2312"/>
          <w:b/>
          <w:sz w:val="28"/>
          <w:szCs w:val="28"/>
        </w:rPr>
        <w:t>1、存储配置</w:t>
      </w:r>
    </w:p>
    <w:p>
      <w:pPr>
        <w:spacing w:line="360" w:lineRule="auto"/>
        <w:ind w:firstLine="560" w:firstLineChars="200"/>
        <w:rPr>
          <w:rFonts w:eastAsia="仿宋_GB2312"/>
          <w:sz w:val="28"/>
          <w:szCs w:val="28"/>
        </w:rPr>
      </w:pPr>
      <w:r>
        <w:rPr>
          <w:rFonts w:hint="eastAsia" w:eastAsia="仿宋_GB2312"/>
          <w:sz w:val="28"/>
          <w:szCs w:val="28"/>
        </w:rPr>
        <w:t>此次滨海治安监控系统二期扩容项目的视频存储子系统设计参照《安全防范工程技术》（GB50348-2004）、《安全防范视频监控联网系统信息传输、交换、控制技术要求》（GB/T28181-2011），具体功能参数要求如下：</w:t>
      </w:r>
    </w:p>
    <w:p>
      <w:pPr>
        <w:numPr>
          <w:ilvl w:val="0"/>
          <w:numId w:val="20"/>
        </w:numPr>
        <w:spacing w:line="360" w:lineRule="auto"/>
        <w:rPr>
          <w:rFonts w:eastAsia="仿宋_GB2312"/>
          <w:sz w:val="28"/>
          <w:szCs w:val="28"/>
        </w:rPr>
      </w:pPr>
      <w:r>
        <w:rPr>
          <w:rFonts w:hint="eastAsia" w:eastAsia="仿宋_GB2312"/>
          <w:sz w:val="28"/>
          <w:szCs w:val="28"/>
        </w:rPr>
        <w:t>采用集中存储模式，视频存储设备集中安置在***监控中心，由公安部门进行集中统一管理；</w:t>
      </w:r>
    </w:p>
    <w:p>
      <w:pPr>
        <w:spacing w:line="360" w:lineRule="auto"/>
        <w:ind w:left="980"/>
        <w:rPr>
          <w:rFonts w:eastAsia="仿宋_GB2312"/>
          <w:sz w:val="28"/>
          <w:szCs w:val="28"/>
        </w:rPr>
      </w:pPr>
      <w:r>
        <w:rPr>
          <w:rFonts w:hint="eastAsia" w:eastAsia="仿宋_GB2312"/>
          <w:sz w:val="28"/>
          <w:szCs w:val="28"/>
        </w:rPr>
        <w:t>1. 4U高度，提供24盘位，支持SATA盘（1TB/2TB/3TB/4TB/5TB/6TB)、SSD盘。</w:t>
      </w:r>
      <w:r>
        <w:rPr>
          <w:rFonts w:hint="eastAsia" w:eastAsia="仿宋_GB2312"/>
          <w:sz w:val="28"/>
          <w:szCs w:val="28"/>
        </w:rPr>
        <w:br w:type="textWrapping"/>
      </w:r>
      <w:r>
        <w:rPr>
          <w:rFonts w:hint="eastAsia" w:eastAsia="仿宋_GB2312"/>
          <w:sz w:val="28"/>
          <w:szCs w:val="28"/>
        </w:rPr>
        <w:t>2. 提供256路4M接入存储性能。</w:t>
      </w:r>
      <w:r>
        <w:rPr>
          <w:rFonts w:hint="eastAsia" w:eastAsia="仿宋_GB2312"/>
          <w:sz w:val="28"/>
          <w:szCs w:val="28"/>
        </w:rPr>
        <w:br w:type="textWrapping"/>
      </w:r>
      <w:r>
        <w:rPr>
          <w:rFonts w:hint="eastAsia" w:eastAsia="仿宋_GB2312"/>
          <w:sz w:val="28"/>
          <w:szCs w:val="28"/>
        </w:rPr>
        <w:t>3. 支持磁盘、电源、电池热插拔功能。</w:t>
      </w:r>
      <w:r>
        <w:rPr>
          <w:rFonts w:hint="eastAsia" w:eastAsia="仿宋_GB2312"/>
          <w:sz w:val="28"/>
          <w:szCs w:val="28"/>
        </w:rPr>
        <w:br w:type="textWrapping"/>
      </w:r>
      <w:r>
        <w:rPr>
          <w:rFonts w:hint="eastAsia" w:eastAsia="仿宋_GB2312"/>
          <w:sz w:val="28"/>
          <w:szCs w:val="28"/>
        </w:rPr>
        <w:t>4. RAID功能支持JBOD、RAID0、5、6，创建RAID过程可即插即用，无需等待。</w:t>
      </w:r>
      <w:r>
        <w:rPr>
          <w:rFonts w:hint="eastAsia" w:eastAsia="仿宋_GB2312"/>
          <w:sz w:val="28"/>
          <w:szCs w:val="28"/>
        </w:rPr>
        <w:br w:type="textWrapping"/>
      </w:r>
      <w:r>
        <w:rPr>
          <w:rFonts w:hint="eastAsia" w:eastAsia="仿宋_GB2312"/>
          <w:sz w:val="28"/>
          <w:szCs w:val="28"/>
        </w:rPr>
        <w:t>5、提供动态重建功能，根据业务压力不同，RAID阵列自动动态调整重建速率</w:t>
      </w:r>
      <w:r>
        <w:rPr>
          <w:rFonts w:hint="eastAsia" w:eastAsia="仿宋_GB2312"/>
          <w:sz w:val="28"/>
          <w:szCs w:val="28"/>
        </w:rPr>
        <w:br w:type="textWrapping"/>
      </w:r>
      <w:r>
        <w:rPr>
          <w:rFonts w:hint="eastAsia" w:eastAsia="仿宋_GB2312"/>
          <w:sz w:val="28"/>
          <w:szCs w:val="28"/>
        </w:rPr>
        <w:t>6、支持磁盘预拷贝功能，支持对磁盘S.M.A.R.T信息检查，对S.M.A.R.T信息有异常的磁盘进行数据拷贝及替换。</w:t>
      </w:r>
      <w:r>
        <w:rPr>
          <w:rFonts w:hint="eastAsia" w:eastAsia="仿宋_GB2312"/>
          <w:sz w:val="28"/>
          <w:szCs w:val="28"/>
        </w:rPr>
        <w:br w:type="textWrapping"/>
      </w:r>
      <w:r>
        <w:rPr>
          <w:rFonts w:hint="eastAsia" w:eastAsia="仿宋_GB2312"/>
          <w:sz w:val="28"/>
          <w:szCs w:val="28"/>
        </w:rPr>
        <w:t>7. 在256路2M业务压力下，RAID中磁盘发生故障，RAID处于降级、重建状态，不影响数据写入。</w:t>
      </w:r>
      <w:r>
        <w:rPr>
          <w:rFonts w:hint="eastAsia" w:eastAsia="仿宋_GB2312"/>
          <w:sz w:val="28"/>
          <w:szCs w:val="28"/>
        </w:rPr>
        <w:br w:type="textWrapping"/>
      </w:r>
      <w:r>
        <w:rPr>
          <w:rFonts w:hint="eastAsia" w:eastAsia="仿宋_GB2312"/>
          <w:sz w:val="28"/>
          <w:szCs w:val="28"/>
        </w:rPr>
        <w:t>8、支持局部重建功能，当RAID中的磁盘拔掉后短时间内再插上，该磁盘能恢复到原有的RAID中。</w:t>
      </w:r>
      <w:r>
        <w:rPr>
          <w:rFonts w:hint="eastAsia" w:eastAsia="仿宋_GB2312"/>
          <w:sz w:val="28"/>
          <w:szCs w:val="28"/>
        </w:rPr>
        <w:br w:type="textWrapping"/>
      </w:r>
      <w:r>
        <w:rPr>
          <w:rFonts w:hint="eastAsia" w:eastAsia="仿宋_GB2312"/>
          <w:sz w:val="28"/>
          <w:szCs w:val="28"/>
        </w:rPr>
        <w:t>9. 支持视频流直接写入存储。</w:t>
      </w:r>
      <w:r>
        <w:rPr>
          <w:rFonts w:hint="eastAsia" w:eastAsia="仿宋_GB2312"/>
          <w:sz w:val="28"/>
          <w:szCs w:val="28"/>
        </w:rPr>
        <w:br w:type="textWrapping"/>
      </w:r>
      <w:r>
        <w:rPr>
          <w:rFonts w:hint="eastAsia" w:eastAsia="仿宋_GB2312"/>
          <w:sz w:val="28"/>
          <w:szCs w:val="28"/>
        </w:rPr>
        <w:t>10、支持数据保险箱功能，异常掉电后设备在缓存中的数据不丢失，可通过数码管显示缓存数据的保存进度。</w:t>
      </w:r>
      <w:r>
        <w:rPr>
          <w:rFonts w:hint="eastAsia" w:eastAsia="仿宋_GB2312"/>
          <w:sz w:val="28"/>
          <w:szCs w:val="28"/>
        </w:rPr>
        <w:br w:type="textWrapping"/>
      </w:r>
      <w:r>
        <w:rPr>
          <w:rFonts w:hint="eastAsia" w:eastAsia="仿宋_GB2312"/>
          <w:sz w:val="28"/>
          <w:szCs w:val="28"/>
        </w:rPr>
        <w:t>11. 提供图形化页面管理功能，可图形化显示磁盘状态、RAID状态、RAID容量使用状态、CPU、内存、每网口带宽使用率、逻辑卷资源的读写流量、主板温度、BBU电池状态、风扇状态、系统状态、告警指示灯、数码管、PCIE插槽状态。</w:t>
      </w:r>
      <w:r>
        <w:rPr>
          <w:rFonts w:hint="eastAsia" w:eastAsia="仿宋_GB2312"/>
          <w:sz w:val="28"/>
          <w:szCs w:val="28"/>
        </w:rPr>
        <w:br w:type="textWrapping"/>
      </w:r>
      <w:r>
        <w:rPr>
          <w:rFonts w:hint="eastAsia" w:eastAsia="仿宋_GB2312"/>
          <w:sz w:val="28"/>
          <w:szCs w:val="28"/>
        </w:rPr>
        <w:t>12. 支持IP冲突、网口降速、电源故障、风扇故障、电池故障及RAID故障、磁盘故障、降级RAID无热备盘等告警。</w:t>
      </w:r>
      <w:r>
        <w:rPr>
          <w:rFonts w:hint="eastAsia" w:eastAsia="仿宋_GB2312"/>
          <w:sz w:val="28"/>
          <w:szCs w:val="28"/>
        </w:rPr>
        <w:br w:type="textWrapping"/>
      </w:r>
      <w:r>
        <w:rPr>
          <w:rFonts w:hint="eastAsia" w:eastAsia="仿宋_GB2312"/>
          <w:sz w:val="28"/>
          <w:szCs w:val="28"/>
        </w:rPr>
        <w:t>13. 满配硬盘状态下，整机功率≤500W。</w:t>
      </w:r>
      <w:r>
        <w:rPr>
          <w:rFonts w:hint="eastAsia" w:eastAsia="仿宋_GB2312"/>
          <w:sz w:val="28"/>
          <w:szCs w:val="28"/>
        </w:rPr>
        <w:br w:type="textWrapping"/>
      </w:r>
      <w:r>
        <w:rPr>
          <w:rFonts w:hint="eastAsia" w:eastAsia="仿宋_GB2312"/>
          <w:sz w:val="28"/>
          <w:szCs w:val="28"/>
        </w:rPr>
        <w:t>14、支持硬盘漫游功能，硬盘更换槽位后可在图形界面上显示硬盘新的所在槽位，且不影响RAID使用。</w:t>
      </w:r>
    </w:p>
    <w:p>
      <w:pPr>
        <w:spacing w:line="360" w:lineRule="auto"/>
        <w:ind w:left="980"/>
        <w:rPr>
          <w:rFonts w:eastAsia="仿宋_GB2312"/>
          <w:b/>
          <w:sz w:val="28"/>
          <w:szCs w:val="28"/>
        </w:rPr>
      </w:pPr>
      <w:r>
        <w:rPr>
          <w:rFonts w:hint="eastAsia" w:eastAsia="仿宋_GB2312"/>
          <w:b/>
          <w:sz w:val="28"/>
          <w:szCs w:val="28"/>
        </w:rPr>
        <w:t>2、设备数量配置</w:t>
      </w:r>
    </w:p>
    <w:p>
      <w:pPr>
        <w:spacing w:line="360" w:lineRule="auto"/>
        <w:ind w:firstLine="560" w:firstLineChars="200"/>
        <w:rPr>
          <w:rFonts w:eastAsia="仿宋_GB2312" w:cs="仿宋_GB2312"/>
          <w:sz w:val="28"/>
          <w:szCs w:val="28"/>
        </w:rPr>
      </w:pPr>
      <w:r>
        <w:rPr>
          <w:rFonts w:hint="eastAsia" w:eastAsia="仿宋_GB2312" w:cs="仿宋_GB2312"/>
          <w:sz w:val="28"/>
          <w:szCs w:val="28"/>
        </w:rPr>
        <w:t>按照2</w:t>
      </w:r>
      <w:r>
        <w:rPr>
          <w:rFonts w:eastAsia="仿宋_GB2312" w:cs="仿宋_GB2312"/>
          <w:sz w:val="28"/>
          <w:szCs w:val="28"/>
        </w:rPr>
        <w:t>4</w:t>
      </w:r>
      <w:r>
        <w:rPr>
          <w:rFonts w:hint="eastAsia" w:eastAsia="仿宋_GB2312" w:cs="仿宋_GB2312"/>
          <w:sz w:val="28"/>
          <w:szCs w:val="28"/>
        </w:rPr>
        <w:t>盘位磁盘阵列，每块硬盘4T计算，每台磁盘阵列容量为</w:t>
      </w:r>
      <w:r>
        <w:rPr>
          <w:rFonts w:eastAsia="仿宋_GB2312" w:cs="仿宋_GB2312"/>
          <w:sz w:val="28"/>
          <w:szCs w:val="28"/>
        </w:rPr>
        <w:t>24</w:t>
      </w:r>
      <w:r>
        <w:rPr>
          <w:rFonts w:hint="eastAsia" w:eastAsia="仿宋_GB2312" w:cs="仿宋_GB2312"/>
          <w:sz w:val="28"/>
          <w:szCs w:val="28"/>
        </w:rPr>
        <w:t>*</w:t>
      </w:r>
      <w:r>
        <w:rPr>
          <w:rFonts w:eastAsia="仿宋_GB2312" w:cs="仿宋_GB2312"/>
          <w:sz w:val="28"/>
          <w:szCs w:val="28"/>
        </w:rPr>
        <w:t>4</w:t>
      </w:r>
      <w:r>
        <w:rPr>
          <w:rFonts w:hint="eastAsia" w:eastAsia="仿宋_GB2312" w:cs="仿宋_GB2312"/>
          <w:sz w:val="28"/>
          <w:szCs w:val="28"/>
        </w:rPr>
        <w:t>=</w:t>
      </w:r>
      <w:r>
        <w:rPr>
          <w:rFonts w:eastAsia="仿宋_GB2312" w:cs="仿宋_GB2312"/>
          <w:sz w:val="28"/>
          <w:szCs w:val="28"/>
        </w:rPr>
        <w:t>96</w:t>
      </w:r>
      <w:r>
        <w:rPr>
          <w:rFonts w:hint="eastAsia" w:eastAsia="仿宋_GB2312" w:cs="仿宋_GB2312"/>
          <w:sz w:val="28"/>
          <w:szCs w:val="28"/>
        </w:rPr>
        <w:t>T。</w:t>
      </w:r>
    </w:p>
    <w:p>
      <w:pPr>
        <w:spacing w:line="360" w:lineRule="auto"/>
        <w:ind w:firstLine="560" w:firstLineChars="200"/>
        <w:rPr>
          <w:rFonts w:eastAsia="仿宋_GB2312" w:cs="仿宋_GB2312"/>
          <w:sz w:val="28"/>
          <w:szCs w:val="28"/>
        </w:rPr>
      </w:pPr>
      <w:r>
        <w:rPr>
          <w:rFonts w:hint="eastAsia" w:eastAsia="仿宋_GB2312" w:cs="仿宋_GB2312"/>
          <w:sz w:val="28"/>
          <w:szCs w:val="28"/>
        </w:rPr>
        <w:t>本期视频监控需要配备的存储数量为：</w:t>
      </w:r>
      <w:r>
        <w:rPr>
          <w:rFonts w:eastAsia="仿宋_GB2312" w:cs="仿宋_GB2312"/>
          <w:sz w:val="28"/>
          <w:szCs w:val="28"/>
        </w:rPr>
        <w:t>529</w:t>
      </w:r>
      <w:r>
        <w:rPr>
          <w:rFonts w:hint="eastAsia" w:eastAsia="仿宋_GB2312" w:cs="仿宋_GB2312"/>
          <w:sz w:val="28"/>
          <w:szCs w:val="28"/>
        </w:rPr>
        <w:t>/</w:t>
      </w:r>
      <w:r>
        <w:rPr>
          <w:rFonts w:eastAsia="仿宋_GB2312" w:cs="仿宋_GB2312"/>
          <w:sz w:val="28"/>
          <w:szCs w:val="28"/>
        </w:rPr>
        <w:t>96</w:t>
      </w:r>
      <w:r>
        <w:rPr>
          <w:rFonts w:eastAsia="仿宋_GB2312"/>
          <w:sz w:val="28"/>
          <w:szCs w:val="28"/>
        </w:rPr>
        <w:t>≈</w:t>
      </w:r>
      <w:r>
        <w:rPr>
          <w:rFonts w:eastAsia="仿宋_GB2312" w:cs="仿宋_GB2312"/>
          <w:sz w:val="28"/>
          <w:szCs w:val="28"/>
        </w:rPr>
        <w:t>6</w:t>
      </w:r>
      <w:r>
        <w:rPr>
          <w:rFonts w:hint="eastAsia" w:eastAsia="仿宋_GB2312" w:cs="仿宋_GB2312"/>
          <w:sz w:val="28"/>
          <w:szCs w:val="28"/>
        </w:rPr>
        <w:t>台。</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326" w:name="_Toc12881134"/>
      <w:r>
        <w:rPr>
          <w:rFonts w:hint="eastAsia" w:ascii="Arial" w:hAnsi="Arial" w:eastAsia="仿宋_GB2312"/>
          <w:b/>
          <w:bCs/>
          <w:sz w:val="28"/>
          <w:szCs w:val="32"/>
        </w:rPr>
        <w:t>视频联网及安全子系统</w:t>
      </w:r>
      <w:bookmarkEnd w:id="326"/>
    </w:p>
    <w:p>
      <w:pPr>
        <w:spacing w:line="360" w:lineRule="auto"/>
        <w:ind w:firstLine="560" w:firstLineChars="200"/>
        <w:rPr>
          <w:rFonts w:eastAsia="仿宋_GB2312" w:cs="仿宋_GB2312"/>
          <w:sz w:val="28"/>
          <w:szCs w:val="28"/>
        </w:rPr>
      </w:pPr>
      <w:r>
        <w:rPr>
          <w:rFonts w:hint="eastAsia" w:eastAsia="仿宋_GB2312" w:cs="仿宋_GB2312"/>
          <w:sz w:val="28"/>
          <w:szCs w:val="28"/>
        </w:rPr>
        <w:t>系统联网方面：</w:t>
      </w:r>
      <w:r>
        <w:rPr>
          <w:rFonts w:hint="eastAsia" w:eastAsia="仿宋_GB2312" w:cs="仿宋_GB2312"/>
          <w:b/>
          <w:sz w:val="28"/>
          <w:szCs w:val="28"/>
        </w:rPr>
        <w:t>本期治安视频监控系统建设完成后，不仅需</w:t>
      </w:r>
      <w:r>
        <w:rPr>
          <w:rFonts w:eastAsia="仿宋_GB2312" w:cs="仿宋_GB2312"/>
          <w:b/>
          <w:sz w:val="28"/>
          <w:szCs w:val="28"/>
        </w:rPr>
        <w:t>保证</w:t>
      </w:r>
      <w:r>
        <w:rPr>
          <w:rFonts w:hint="eastAsia" w:eastAsia="仿宋_GB2312" w:cs="仿宋_GB2312"/>
          <w:b/>
          <w:sz w:val="28"/>
          <w:szCs w:val="28"/>
        </w:rPr>
        <w:t>无缝</w:t>
      </w:r>
      <w:r>
        <w:rPr>
          <w:rFonts w:eastAsia="仿宋_GB2312" w:cs="仿宋_GB2312"/>
          <w:b/>
          <w:sz w:val="28"/>
          <w:szCs w:val="28"/>
        </w:rPr>
        <w:t>安全接入</w:t>
      </w:r>
      <w:r>
        <w:rPr>
          <w:rFonts w:hint="eastAsia" w:eastAsia="仿宋_GB2312" w:cs="仿宋_GB2312"/>
          <w:b/>
          <w:sz w:val="28"/>
          <w:szCs w:val="28"/>
        </w:rPr>
        <w:t>前期</w:t>
      </w:r>
      <w:r>
        <w:rPr>
          <w:rFonts w:eastAsia="仿宋_GB2312" w:cs="仿宋_GB2312"/>
          <w:b/>
          <w:sz w:val="28"/>
          <w:szCs w:val="28"/>
        </w:rPr>
        <w:t>的视频监控系统</w:t>
      </w:r>
      <w:r>
        <w:rPr>
          <w:rFonts w:hint="eastAsia" w:eastAsia="仿宋_GB2312" w:cs="仿宋_GB2312"/>
          <w:b/>
          <w:sz w:val="28"/>
          <w:szCs w:val="28"/>
        </w:rPr>
        <w:t>，</w:t>
      </w:r>
      <w:r>
        <w:rPr>
          <w:rFonts w:eastAsia="仿宋_GB2312" w:cs="仿宋_GB2312"/>
          <w:b/>
          <w:sz w:val="28"/>
          <w:szCs w:val="28"/>
        </w:rPr>
        <w:t>还</w:t>
      </w:r>
      <w:r>
        <w:rPr>
          <w:rFonts w:hint="eastAsia" w:eastAsia="仿宋_GB2312" w:cs="仿宋_GB2312"/>
          <w:b/>
          <w:sz w:val="28"/>
          <w:szCs w:val="28"/>
        </w:rPr>
        <w:t>应能够与市级天网进行无缝对接，并将本域内的监控资源共享到市级天网，以供慈溪市公安局进行指挥、调用。本期所有相机需要按照慈溪市公安局要求，把抓拍图片和结构化信息无缝接入慈溪市相关图片和结构化信息应用平台，供市局分析应用。</w:t>
      </w:r>
    </w:p>
    <w:p>
      <w:pPr>
        <w:spacing w:line="360" w:lineRule="auto"/>
        <w:ind w:firstLine="560" w:firstLineChars="200"/>
        <w:rPr>
          <w:sz w:val="28"/>
        </w:rPr>
      </w:pPr>
      <w:r>
        <w:rPr>
          <w:rFonts w:hint="eastAsia" w:eastAsia="仿宋_GB2312" w:cs="仿宋_GB2312"/>
          <w:sz w:val="28"/>
          <w:szCs w:val="28"/>
        </w:rPr>
        <w:t>网络安全方面：除了加强对网络设备的管理和防护外，在外联边界处（即滨海天网专网与市级天网连接处）沿用</w:t>
      </w:r>
      <w:r>
        <w:rPr>
          <w:rFonts w:eastAsia="仿宋_GB2312" w:cs="仿宋_GB2312"/>
          <w:sz w:val="28"/>
          <w:szCs w:val="28"/>
        </w:rPr>
        <w:t>一</w:t>
      </w:r>
      <w:r>
        <w:rPr>
          <w:rFonts w:hint="eastAsia" w:eastAsia="仿宋_GB2312" w:cs="仿宋_GB2312"/>
          <w:sz w:val="28"/>
          <w:szCs w:val="28"/>
        </w:rPr>
        <w:t>期</w:t>
      </w:r>
      <w:r>
        <w:rPr>
          <w:rFonts w:eastAsia="仿宋_GB2312" w:cs="仿宋_GB2312"/>
          <w:sz w:val="28"/>
          <w:szCs w:val="28"/>
        </w:rPr>
        <w:t>的</w:t>
      </w:r>
      <w:r>
        <w:rPr>
          <w:rFonts w:hint="eastAsia" w:eastAsia="仿宋_GB2312" w:cs="仿宋_GB2312"/>
          <w:sz w:val="28"/>
          <w:szCs w:val="28"/>
        </w:rPr>
        <w:t>防火墙以确保市级天网共享平台的安全。</w:t>
      </w:r>
    </w:p>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27" w:name="_Toc12881135"/>
      <w:r>
        <w:rPr>
          <w:rFonts w:hint="eastAsia" w:eastAsia="仿宋_GB2312"/>
          <w:b/>
          <w:bCs/>
          <w:sz w:val="28"/>
          <w:szCs w:val="28"/>
        </w:rPr>
        <w:t>网络安全性设计</w:t>
      </w:r>
      <w:bookmarkEnd w:id="327"/>
    </w:p>
    <w:p>
      <w:pPr>
        <w:spacing w:line="360" w:lineRule="auto"/>
        <w:jc w:val="center"/>
        <w:rPr>
          <w:rFonts w:ascii="宋体" w:hAnsi="宋体"/>
          <w:szCs w:val="21"/>
        </w:rPr>
      </w:pPr>
      <w:r>
        <w:rPr>
          <w:rFonts w:ascii="宋体" w:hAnsi="宋体"/>
          <w:szCs w:val="21"/>
        </w:rPr>
        <w:drawing>
          <wp:inline distT="0" distB="0" distL="114300" distR="114300">
            <wp:extent cx="5274310" cy="3063240"/>
            <wp:effectExtent l="0" t="0" r="2540" b="3810"/>
            <wp:docPr id="19" name="图片 13" descr="C:\Users\lenovo\AppData\Local\Temp\15552388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C:\Users\lenovo\AppData\Local\Temp\1555238858(1).png"/>
                    <pic:cNvPicPr>
                      <a:picLocks noChangeAspect="1"/>
                    </pic:cNvPicPr>
                  </pic:nvPicPr>
                  <pic:blipFill>
                    <a:blip r:embed="rId26"/>
                    <a:stretch>
                      <a:fillRect/>
                    </a:stretch>
                  </pic:blipFill>
                  <pic:spPr>
                    <a:xfrm>
                      <a:off x="0" y="0"/>
                      <a:ext cx="5274310" cy="3063240"/>
                    </a:xfrm>
                    <a:prstGeom prst="rect">
                      <a:avLst/>
                    </a:prstGeom>
                    <a:noFill/>
                    <a:ln>
                      <a:noFill/>
                    </a:ln>
                  </pic:spPr>
                </pic:pic>
              </a:graphicData>
            </a:graphic>
          </wp:inline>
        </w:drawing>
      </w:r>
    </w:p>
    <w:p>
      <w:pPr>
        <w:spacing w:line="360" w:lineRule="auto"/>
        <w:ind w:firstLine="560" w:firstLineChars="200"/>
        <w:rPr>
          <w:rFonts w:eastAsia="仿宋_GB2312"/>
          <w:sz w:val="28"/>
          <w:szCs w:val="28"/>
        </w:rPr>
      </w:pPr>
      <w:r>
        <w:rPr>
          <w:rFonts w:hint="eastAsia" w:eastAsia="仿宋_GB2312"/>
          <w:sz w:val="28"/>
          <w:szCs w:val="28"/>
        </w:rPr>
        <w:t>市级“天网”作为公安维护治安、案件分析的主要工作平台，对系统安全性有着较高的需求。滨海“天网”视频监控系统在建设完成后按要求需要与市级“天网”对接，为了防止非法接入和数据泄露，同时保障市级天网的安全性，需在滨海“天网”和市级“天网”之间加装硬件防火墙。防火墙应能达到以下要求：</w:t>
      </w:r>
    </w:p>
    <w:p>
      <w:pPr>
        <w:numPr>
          <w:ilvl w:val="0"/>
          <w:numId w:val="21"/>
        </w:numPr>
        <w:spacing w:line="360" w:lineRule="auto"/>
        <w:rPr>
          <w:rFonts w:eastAsia="仿宋_GB2312"/>
          <w:sz w:val="28"/>
          <w:szCs w:val="28"/>
        </w:rPr>
      </w:pPr>
      <w:r>
        <w:rPr>
          <w:rFonts w:hint="eastAsia" w:eastAsia="仿宋_GB2312"/>
          <w:sz w:val="28"/>
          <w:szCs w:val="28"/>
        </w:rPr>
        <w:t>具有抗攻击防范能力，包括多种DoS/DDoS攻击防范（CC、SYN flood、DNS Query Flood等）、ARP欺骗攻击的防范、提供ARP主动反向查询、TCP报文标志位不合法攻击防范、超大ICMP报文攻击防范、地址/端口扫描的防范、ICMP重定向或不可达报文控制功能、Tracert报文控制功能、带路由记录选项IP报文控制功能；静态和动态黑名单功能；MAC和IP绑定功能；支持智能防范蠕虫病毒技术。</w:t>
      </w:r>
    </w:p>
    <w:p>
      <w:pPr>
        <w:numPr>
          <w:ilvl w:val="0"/>
          <w:numId w:val="21"/>
        </w:numPr>
        <w:spacing w:line="360" w:lineRule="auto"/>
        <w:rPr>
          <w:rFonts w:eastAsia="仿宋_GB2312"/>
          <w:sz w:val="28"/>
          <w:szCs w:val="28"/>
        </w:rPr>
      </w:pPr>
      <w:r>
        <w:rPr>
          <w:rFonts w:hint="eastAsia" w:eastAsia="仿宋_GB2312"/>
          <w:sz w:val="28"/>
          <w:szCs w:val="28"/>
        </w:rPr>
        <w:t>病毒防护作用，迅速、准确查杀网络流量中的病毒等恶意代码；</w:t>
      </w:r>
    </w:p>
    <w:p>
      <w:pPr>
        <w:numPr>
          <w:ilvl w:val="0"/>
          <w:numId w:val="21"/>
        </w:numPr>
        <w:spacing w:line="360" w:lineRule="auto"/>
        <w:rPr>
          <w:rFonts w:eastAsia="仿宋_GB2312"/>
          <w:sz w:val="28"/>
          <w:szCs w:val="28"/>
        </w:rPr>
      </w:pPr>
      <w:r>
        <w:rPr>
          <w:rFonts w:hint="eastAsia" w:eastAsia="仿宋_GB2312"/>
          <w:sz w:val="28"/>
          <w:szCs w:val="28"/>
        </w:rPr>
        <w:t>支持流量负责均衡：将特定的业务（网络服务、网络流量等）分担给多个服务器或网络设备，从而提高业务处理能力，保证业务的高可用。支持的调度算法：轮转、加权轮转、最小连接、加权最小连接、随机、加权随机、源地址散列。</w:t>
      </w:r>
    </w:p>
    <w:p>
      <w:pPr>
        <w:numPr>
          <w:ilvl w:val="0"/>
          <w:numId w:val="21"/>
        </w:numPr>
        <w:spacing w:line="360" w:lineRule="auto"/>
        <w:rPr>
          <w:rFonts w:eastAsia="仿宋_GB2312"/>
          <w:sz w:val="28"/>
          <w:szCs w:val="28"/>
        </w:rPr>
      </w:pPr>
      <w:r>
        <w:rPr>
          <w:rFonts w:hint="eastAsia" w:eastAsia="仿宋_GB2312"/>
          <w:sz w:val="28"/>
          <w:szCs w:val="28"/>
        </w:rPr>
        <w:t>支持静态路由和路由过滤功能；</w:t>
      </w:r>
    </w:p>
    <w:p>
      <w:pPr>
        <w:numPr>
          <w:ilvl w:val="0"/>
          <w:numId w:val="21"/>
        </w:numPr>
        <w:spacing w:line="360" w:lineRule="auto"/>
        <w:rPr>
          <w:rFonts w:eastAsia="仿宋_GB2312"/>
          <w:sz w:val="28"/>
          <w:szCs w:val="28"/>
        </w:rPr>
      </w:pPr>
      <w:r>
        <w:rPr>
          <w:rFonts w:hint="eastAsia" w:eastAsia="仿宋_GB2312"/>
          <w:sz w:val="28"/>
          <w:szCs w:val="28"/>
        </w:rPr>
        <w:t>电信级设备高可靠性；</w:t>
      </w:r>
    </w:p>
    <w:p>
      <w:pPr>
        <w:numPr>
          <w:ilvl w:val="0"/>
          <w:numId w:val="21"/>
        </w:numPr>
        <w:spacing w:line="360" w:lineRule="auto"/>
        <w:rPr>
          <w:rFonts w:eastAsia="仿宋_GB2312"/>
          <w:sz w:val="28"/>
          <w:szCs w:val="28"/>
        </w:rPr>
      </w:pPr>
      <w:r>
        <w:rPr>
          <w:rFonts w:hint="eastAsia" w:eastAsia="仿宋_GB2312"/>
          <w:sz w:val="28"/>
          <w:szCs w:val="28"/>
        </w:rPr>
        <w:t>支持各种网管方式，包括telnet、web页面等主流的管理方式。</w:t>
      </w:r>
    </w:p>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28" w:name="_Toc12881136"/>
      <w:r>
        <w:rPr>
          <w:rFonts w:hint="eastAsia" w:eastAsia="仿宋_GB2312"/>
          <w:b/>
          <w:bCs/>
          <w:sz w:val="28"/>
          <w:szCs w:val="28"/>
        </w:rPr>
        <w:t>数据保密设计</w:t>
      </w:r>
      <w:bookmarkEnd w:id="328"/>
    </w:p>
    <w:p>
      <w:pPr>
        <w:spacing w:line="360" w:lineRule="auto"/>
        <w:ind w:firstLine="560" w:firstLineChars="200"/>
        <w:rPr>
          <w:rFonts w:eastAsia="仿宋_GB2312"/>
          <w:sz w:val="28"/>
        </w:rPr>
      </w:pPr>
      <w:r>
        <w:rPr>
          <w:rFonts w:hint="eastAsia" w:eastAsia="仿宋_GB2312"/>
          <w:sz w:val="28"/>
          <w:szCs w:val="28"/>
        </w:rPr>
        <w:t>监控录像是涉密性极高的数据，轻则设计到治安案件，重则涉及到重大案情甚至个人隐私。录像一旦泄露势必引起不必要的麻烦。为了防止泄密事件的发生，应制定严格的数据保密制度，尤其是录像拷贝。为此，技术上要能做到用户账号和计算机IP地址、MAC地址进行绑定（IP地址、MAC地址绑定由交换机完成，平台管理软件对用户名与计算机IP地址进行绑定），确保一个账号（普通用户账号，高级用户账号除外）只能在一台计算机上登陆，高级用户账号可以在多台计算机上登陆。系统管理员能够根据管理需求给不同用户账号分配不同的权限，并能使高级用户账号在指定的单台或多台计算机上进行登陆。监控软件系统能够对所有用户进行的操作进行详细记录并生成系统日志，以备查用。</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329" w:name="_Toc12881137"/>
      <w:r>
        <w:rPr>
          <w:rFonts w:hint="eastAsia" w:ascii="Arial" w:hAnsi="Arial" w:eastAsia="仿宋_GB2312"/>
          <w:b/>
          <w:bCs/>
          <w:sz w:val="28"/>
          <w:szCs w:val="32"/>
        </w:rPr>
        <w:t>中心管理平台子系统</w:t>
      </w:r>
      <w:bookmarkEnd w:id="329"/>
    </w:p>
    <w:p>
      <w:pPr>
        <w:spacing w:line="360" w:lineRule="auto"/>
        <w:ind w:firstLine="562" w:firstLineChars="200"/>
        <w:rPr>
          <w:rFonts w:eastAsia="仿宋_GB2312" w:cs="仿宋_GB2312"/>
          <w:sz w:val="28"/>
          <w:szCs w:val="28"/>
        </w:rPr>
      </w:pPr>
      <w:r>
        <w:rPr>
          <w:rFonts w:hint="eastAsia" w:eastAsia="仿宋_GB2312" w:cs="仿宋_GB2312"/>
          <w:b/>
          <w:sz w:val="28"/>
          <w:szCs w:val="28"/>
        </w:rPr>
        <w:t>滨海开发区治安监控一期采用统一部署的方式实现</w:t>
      </w:r>
      <w:r>
        <w:rPr>
          <w:rFonts w:eastAsia="仿宋_GB2312" w:cs="仿宋_GB2312"/>
          <w:b/>
          <w:sz w:val="28"/>
          <w:szCs w:val="28"/>
        </w:rPr>
        <w:t>对所有设备的</w:t>
      </w:r>
      <w:r>
        <w:rPr>
          <w:rFonts w:hint="eastAsia" w:eastAsia="仿宋_GB2312" w:cs="仿宋_GB2312"/>
          <w:b/>
          <w:sz w:val="28"/>
          <w:szCs w:val="28"/>
        </w:rPr>
        <w:t>运维</w:t>
      </w:r>
      <w:r>
        <w:rPr>
          <w:rFonts w:eastAsia="仿宋_GB2312" w:cs="仿宋_GB2312"/>
          <w:b/>
          <w:sz w:val="28"/>
          <w:szCs w:val="28"/>
        </w:rPr>
        <w:t>管理及</w:t>
      </w:r>
      <w:r>
        <w:rPr>
          <w:rFonts w:hint="eastAsia" w:eastAsia="仿宋_GB2312" w:cs="仿宋_GB2312"/>
          <w:b/>
          <w:sz w:val="28"/>
          <w:szCs w:val="28"/>
        </w:rPr>
        <w:t>应用。本期项目</w:t>
      </w:r>
      <w:r>
        <w:rPr>
          <w:rFonts w:eastAsia="仿宋_GB2312" w:cs="仿宋_GB2312"/>
          <w:b/>
          <w:sz w:val="28"/>
          <w:szCs w:val="28"/>
        </w:rPr>
        <w:t>需</w:t>
      </w:r>
      <w:r>
        <w:rPr>
          <w:rFonts w:hint="eastAsia" w:eastAsia="仿宋_GB2312" w:cs="仿宋_GB2312"/>
          <w:b/>
          <w:sz w:val="28"/>
          <w:szCs w:val="28"/>
        </w:rPr>
        <w:t>沿用一期部署的平台</w:t>
      </w:r>
      <w:r>
        <w:rPr>
          <w:rFonts w:eastAsia="仿宋_GB2312" w:cs="仿宋_GB2312"/>
          <w:b/>
          <w:sz w:val="28"/>
          <w:szCs w:val="28"/>
        </w:rPr>
        <w:t>数据管理</w:t>
      </w:r>
      <w:r>
        <w:rPr>
          <w:rFonts w:hint="eastAsia" w:eastAsia="仿宋_GB2312" w:cs="仿宋_GB2312"/>
          <w:b/>
          <w:sz w:val="28"/>
          <w:szCs w:val="28"/>
        </w:rPr>
        <w:t>中心，实现对所有监控系统的统一管理和维护。</w:t>
      </w:r>
      <w:r>
        <w:rPr>
          <w:rFonts w:hint="eastAsia" w:eastAsia="仿宋_GB2312" w:cs="仿宋_GB2312"/>
          <w:sz w:val="28"/>
          <w:szCs w:val="28"/>
        </w:rPr>
        <w:t>应用管理平台需</w:t>
      </w:r>
      <w:r>
        <w:rPr>
          <w:rFonts w:eastAsia="仿宋_GB2312" w:cs="仿宋_GB2312"/>
          <w:sz w:val="28"/>
          <w:szCs w:val="28"/>
        </w:rPr>
        <w:t>无缝接入所有的前端及中心设备，</w:t>
      </w:r>
      <w:r>
        <w:rPr>
          <w:rFonts w:hint="eastAsia" w:eastAsia="仿宋_GB2312" w:cs="仿宋_GB2312"/>
          <w:sz w:val="28"/>
          <w:szCs w:val="28"/>
        </w:rPr>
        <w:t>能够实现实时监控、录像回放、球机控制、时钟同步、日志安全审计和防御非法攻击、电子地图、多媒体信息共享等功能，</w:t>
      </w:r>
      <w:r>
        <w:rPr>
          <w:rFonts w:eastAsia="仿宋_GB2312" w:cs="仿宋_GB2312"/>
          <w:sz w:val="28"/>
          <w:szCs w:val="28"/>
        </w:rPr>
        <w:t>系统</w:t>
      </w:r>
      <w:r>
        <w:rPr>
          <w:rFonts w:hint="eastAsia" w:eastAsia="仿宋_GB2312" w:cs="仿宋_GB2312"/>
          <w:sz w:val="28"/>
          <w:szCs w:val="28"/>
        </w:rPr>
        <w:t>卡口摄像机</w:t>
      </w:r>
      <w:r>
        <w:rPr>
          <w:rFonts w:eastAsia="仿宋_GB2312" w:cs="仿宋_GB2312"/>
          <w:sz w:val="28"/>
          <w:szCs w:val="28"/>
        </w:rPr>
        <w:t>还需</w:t>
      </w:r>
      <w:r>
        <w:rPr>
          <w:rFonts w:hint="eastAsia" w:eastAsia="仿宋_GB2312" w:cs="仿宋_GB2312"/>
          <w:sz w:val="28"/>
          <w:szCs w:val="28"/>
        </w:rPr>
        <w:t>对前端机动车</w:t>
      </w:r>
      <w:r>
        <w:rPr>
          <w:rFonts w:eastAsia="仿宋_GB2312" w:cs="仿宋_GB2312"/>
          <w:sz w:val="28"/>
          <w:szCs w:val="28"/>
        </w:rPr>
        <w:t>、非机动车、行人的自动抓拍</w:t>
      </w:r>
      <w:r>
        <w:rPr>
          <w:rFonts w:hint="eastAsia" w:eastAsia="仿宋_GB2312" w:cs="仿宋_GB2312"/>
          <w:sz w:val="28"/>
          <w:szCs w:val="28"/>
        </w:rPr>
        <w:t>保存</w:t>
      </w:r>
      <w:r>
        <w:rPr>
          <w:rFonts w:eastAsia="仿宋_GB2312" w:cs="仿宋_GB2312"/>
          <w:sz w:val="28"/>
          <w:szCs w:val="28"/>
        </w:rPr>
        <w:t>上</w:t>
      </w:r>
      <w:r>
        <w:rPr>
          <w:rFonts w:hint="eastAsia" w:eastAsia="仿宋_GB2312" w:cs="仿宋_GB2312"/>
          <w:sz w:val="28"/>
          <w:szCs w:val="28"/>
        </w:rPr>
        <w:t>传</w:t>
      </w:r>
      <w:r>
        <w:rPr>
          <w:rFonts w:eastAsia="仿宋_GB2312" w:cs="仿宋_GB2312"/>
          <w:sz w:val="28"/>
          <w:szCs w:val="28"/>
        </w:rPr>
        <w:t>，对车牌自动提取识别，并将车辆卡口图片</w:t>
      </w:r>
      <w:r>
        <w:rPr>
          <w:rFonts w:hint="eastAsia" w:eastAsia="仿宋_GB2312" w:cs="仿宋_GB2312"/>
          <w:sz w:val="28"/>
          <w:szCs w:val="28"/>
        </w:rPr>
        <w:t>及时上传分析</w:t>
      </w:r>
      <w:r>
        <w:rPr>
          <w:rFonts w:eastAsia="仿宋_GB2312" w:cs="仿宋_GB2312"/>
          <w:sz w:val="28"/>
          <w:szCs w:val="28"/>
        </w:rPr>
        <w:t>，</w:t>
      </w:r>
      <w:r>
        <w:rPr>
          <w:rFonts w:hint="eastAsia" w:eastAsia="仿宋_GB2312" w:cs="仿宋_GB2312"/>
          <w:sz w:val="28"/>
          <w:szCs w:val="28"/>
        </w:rPr>
        <w:t>不仅</w:t>
      </w:r>
      <w:r>
        <w:rPr>
          <w:rFonts w:eastAsia="仿宋_GB2312" w:cs="仿宋_GB2312"/>
          <w:sz w:val="28"/>
          <w:szCs w:val="28"/>
        </w:rPr>
        <w:t>保证</w:t>
      </w:r>
      <w:r>
        <w:rPr>
          <w:rFonts w:hint="eastAsia" w:eastAsia="仿宋_GB2312" w:cs="仿宋_GB2312"/>
          <w:sz w:val="28"/>
          <w:szCs w:val="28"/>
        </w:rPr>
        <w:t>视频</w:t>
      </w:r>
      <w:r>
        <w:rPr>
          <w:rFonts w:eastAsia="仿宋_GB2312" w:cs="仿宋_GB2312"/>
          <w:sz w:val="28"/>
          <w:szCs w:val="28"/>
        </w:rPr>
        <w:t>、图片数据</w:t>
      </w:r>
      <w:r>
        <w:rPr>
          <w:rFonts w:hint="eastAsia" w:eastAsia="仿宋_GB2312" w:cs="仿宋_GB2312"/>
          <w:sz w:val="28"/>
          <w:szCs w:val="28"/>
        </w:rPr>
        <w:t>等在滨海天网</w:t>
      </w:r>
      <w:r>
        <w:rPr>
          <w:rFonts w:eastAsia="仿宋_GB2312" w:cs="仿宋_GB2312"/>
          <w:sz w:val="28"/>
          <w:szCs w:val="28"/>
        </w:rPr>
        <w:t>平台实现</w:t>
      </w:r>
      <w:r>
        <w:rPr>
          <w:rFonts w:hint="eastAsia" w:eastAsia="仿宋_GB2312" w:cs="仿宋_GB2312"/>
          <w:sz w:val="28"/>
          <w:szCs w:val="28"/>
        </w:rPr>
        <w:t>实时</w:t>
      </w:r>
      <w:r>
        <w:rPr>
          <w:rFonts w:eastAsia="仿宋_GB2312" w:cs="仿宋_GB2312"/>
          <w:sz w:val="28"/>
          <w:szCs w:val="28"/>
        </w:rPr>
        <w:t>调用、集中存储和智能分析诊断，</w:t>
      </w:r>
      <w:r>
        <w:rPr>
          <w:rFonts w:hint="eastAsia" w:eastAsia="仿宋_GB2312" w:cs="仿宋_GB2312"/>
          <w:sz w:val="28"/>
          <w:szCs w:val="28"/>
        </w:rPr>
        <w:t>还能</w:t>
      </w:r>
      <w:r>
        <w:rPr>
          <w:rFonts w:eastAsia="仿宋_GB2312" w:cs="仿宋_GB2312"/>
          <w:sz w:val="28"/>
          <w:szCs w:val="28"/>
        </w:rPr>
        <w:t>确保</w:t>
      </w:r>
      <w:r>
        <w:rPr>
          <w:rFonts w:hint="eastAsia" w:eastAsia="仿宋_GB2312" w:cs="仿宋_GB2312"/>
          <w:sz w:val="28"/>
          <w:szCs w:val="28"/>
        </w:rPr>
        <w:t>抓拍</w:t>
      </w:r>
      <w:r>
        <w:rPr>
          <w:rFonts w:eastAsia="仿宋_GB2312" w:cs="仿宋_GB2312"/>
          <w:sz w:val="28"/>
          <w:szCs w:val="28"/>
        </w:rPr>
        <w:t>的图片数据及时有效</w:t>
      </w:r>
      <w:r>
        <w:rPr>
          <w:rFonts w:hint="eastAsia" w:eastAsia="仿宋_GB2312" w:cs="仿宋_GB2312"/>
          <w:sz w:val="28"/>
          <w:szCs w:val="28"/>
        </w:rPr>
        <w:t>无缝</w:t>
      </w:r>
      <w:r>
        <w:rPr>
          <w:rFonts w:eastAsia="仿宋_GB2312" w:cs="仿宋_GB2312"/>
          <w:sz w:val="28"/>
          <w:szCs w:val="28"/>
        </w:rPr>
        <w:t>共享至市级天网</w:t>
      </w:r>
      <w:r>
        <w:rPr>
          <w:rFonts w:hint="eastAsia" w:eastAsia="仿宋_GB2312" w:cs="仿宋_GB2312"/>
          <w:sz w:val="28"/>
          <w:szCs w:val="28"/>
        </w:rPr>
        <w:t>平台</w:t>
      </w:r>
      <w:r>
        <w:rPr>
          <w:rFonts w:eastAsia="仿宋_GB2312" w:cs="仿宋_GB2312"/>
          <w:sz w:val="28"/>
          <w:szCs w:val="28"/>
        </w:rPr>
        <w:t>，实现全市天网的大数据分析处理，为公安的实战应用提供强有力的</w:t>
      </w:r>
      <w:r>
        <w:rPr>
          <w:rFonts w:hint="eastAsia" w:eastAsia="仿宋_GB2312" w:cs="仿宋_GB2312"/>
          <w:sz w:val="28"/>
          <w:szCs w:val="28"/>
        </w:rPr>
        <w:t>数据</w:t>
      </w:r>
      <w:r>
        <w:rPr>
          <w:rFonts w:eastAsia="仿宋_GB2312" w:cs="仿宋_GB2312"/>
          <w:sz w:val="28"/>
          <w:szCs w:val="28"/>
        </w:rPr>
        <w:t>支持</w:t>
      </w:r>
      <w:r>
        <w:rPr>
          <w:rFonts w:hint="eastAsia" w:eastAsia="仿宋_GB2312" w:cs="仿宋_GB2312"/>
          <w:sz w:val="28"/>
          <w:szCs w:val="28"/>
        </w:rPr>
        <w:t>。</w:t>
      </w:r>
    </w:p>
    <w:p>
      <w:pPr>
        <w:spacing w:line="360" w:lineRule="auto"/>
        <w:ind w:firstLine="560" w:firstLineChars="200"/>
        <w:rPr>
          <w:rFonts w:eastAsia="仿宋_GB2312"/>
          <w:sz w:val="28"/>
          <w:szCs w:val="28"/>
        </w:rPr>
      </w:pPr>
      <w:r>
        <w:rPr>
          <w:rFonts w:hint="eastAsia" w:eastAsia="仿宋_GB2312"/>
          <w:sz w:val="28"/>
          <w:szCs w:val="28"/>
        </w:rPr>
        <w:t>滨海治安监控二期的业务管理平台可以单独管理，也可与市级天网平台共用，完全遵循SIP规范，能够实现业务、控制、承载三分离，扩展性强，可以满足未来各种多媒体通信业务融合的需求，要求能够高可靠、高质量、高效率的满足大规模监控联网的各种应用需求，代表了未来多媒体通信领域的最新技术。作为整个数字安全管理系统的中心和心脏，所有的前端数据都要传输到该处进行分析、处理、存储和转分发。</w:t>
      </w:r>
    </w:p>
    <w:p>
      <w:pPr>
        <w:spacing w:line="360" w:lineRule="auto"/>
        <w:ind w:firstLine="560" w:firstLineChars="200"/>
        <w:rPr>
          <w:rFonts w:eastAsia="仿宋_GB2312"/>
          <w:sz w:val="28"/>
          <w:szCs w:val="28"/>
        </w:rPr>
      </w:pPr>
      <w:r>
        <w:rPr>
          <w:rFonts w:hint="eastAsia" w:eastAsia="仿宋_GB2312"/>
          <w:sz w:val="28"/>
          <w:szCs w:val="28"/>
        </w:rPr>
        <w:t>考虑到业务系统在纵向集成的日后扩展，要求业务系统具备较强的扩展能力，方便与其他业务系统的对接，形成“大安防”系统。</w:t>
      </w:r>
    </w:p>
    <w:p>
      <w:pPr>
        <w:spacing w:line="360" w:lineRule="auto"/>
        <w:ind w:firstLine="700" w:firstLineChars="250"/>
        <w:rPr>
          <w:rFonts w:eastAsia="仿宋_GB2312"/>
          <w:sz w:val="28"/>
          <w:szCs w:val="28"/>
        </w:rPr>
      </w:pPr>
      <w:r>
        <w:rPr>
          <w:rFonts w:hint="eastAsia" w:eastAsia="仿宋_GB2312"/>
          <w:sz w:val="28"/>
          <w:szCs w:val="28"/>
        </w:rPr>
        <w:t>滨海治安监控系统的中心管理平台功能如下：</w:t>
      </w:r>
    </w:p>
    <w:p>
      <w:pPr>
        <w:spacing w:line="360" w:lineRule="auto"/>
        <w:ind w:firstLine="562" w:firstLineChars="200"/>
        <w:rPr>
          <w:rFonts w:eastAsia="仿宋_GB2312"/>
          <w:sz w:val="28"/>
          <w:szCs w:val="28"/>
        </w:rPr>
      </w:pPr>
      <w:r>
        <w:rPr>
          <w:rFonts w:hint="eastAsia" w:eastAsia="仿宋_GB2312"/>
          <w:b/>
          <w:sz w:val="28"/>
          <w:szCs w:val="28"/>
        </w:rPr>
        <w:t>实时监控：</w:t>
      </w:r>
      <w:r>
        <w:rPr>
          <w:rFonts w:hint="eastAsia" w:eastAsia="仿宋_GB2312"/>
          <w:sz w:val="28"/>
          <w:szCs w:val="28"/>
        </w:rPr>
        <w:t>对指定摄像头提供：实时播放、抽帧播放、全屏显示、图像抓拍、轮巡监控、图像缩放；支持1/4/9/16等分屏浏览方式，还可进行自定义窗格大小和布局的浏览方式。</w:t>
      </w:r>
    </w:p>
    <w:p>
      <w:pPr>
        <w:spacing w:line="360" w:lineRule="auto"/>
        <w:ind w:firstLine="562" w:firstLineChars="200"/>
        <w:rPr>
          <w:rFonts w:eastAsia="仿宋_GB2312"/>
          <w:sz w:val="28"/>
          <w:szCs w:val="28"/>
        </w:rPr>
      </w:pPr>
      <w:r>
        <w:rPr>
          <w:rFonts w:hint="eastAsia" w:eastAsia="仿宋_GB2312"/>
          <w:b/>
          <w:sz w:val="28"/>
          <w:szCs w:val="28"/>
        </w:rPr>
        <w:t>录像回放：</w:t>
      </w:r>
      <w:r>
        <w:rPr>
          <w:rFonts w:hint="eastAsia" w:eastAsia="仿宋_GB2312"/>
          <w:sz w:val="28"/>
          <w:szCs w:val="28"/>
        </w:rPr>
        <w:t>报警信息等要素检索历史图像资料按照指定监控点、时间、报进行回放和下载；回放时应支持快放、慢放、暂停、单帧播放、时间点定位和进度条拖动等控制功能，回放控制支持即时回放，同时应支持回放预览、回放切片、图像抓拍等功能，可以选择多个摄像机的历史图像，同步回放。也可对录像进行分段回放。播放实况图像时，可以直接暂停、后退切换回放。</w:t>
      </w:r>
    </w:p>
    <w:p>
      <w:pPr>
        <w:spacing w:line="360" w:lineRule="auto"/>
        <w:ind w:firstLine="562" w:firstLineChars="200"/>
        <w:rPr>
          <w:rFonts w:eastAsia="仿宋_GB2312"/>
          <w:sz w:val="28"/>
          <w:szCs w:val="28"/>
        </w:rPr>
      </w:pPr>
      <w:r>
        <w:rPr>
          <w:rFonts w:hint="eastAsia" w:eastAsia="仿宋_GB2312"/>
          <w:b/>
          <w:sz w:val="28"/>
          <w:szCs w:val="28"/>
        </w:rPr>
        <w:t>历史图像检索和回放：</w:t>
      </w:r>
      <w:r>
        <w:rPr>
          <w:rFonts w:hint="eastAsia" w:eastAsia="仿宋_GB2312"/>
          <w:sz w:val="28"/>
          <w:szCs w:val="28"/>
        </w:rPr>
        <w:t>通过设备、通道号和时间段（可选），或通过报警信息，用户可以检索到已经录制的历史图像列表，并根据需要进行回放观看；支持图像检索帧预览，也可以通过拖拽时间指针实现可以对回放进行正常播放、快速播放、慢速播放、逐帧播放、暂停抓拍、录像下载等操作，可以控制图像的分屏显示、全屏显示、对多路录像同步关联回放，最高可达25路同步回放。</w:t>
      </w:r>
    </w:p>
    <w:p>
      <w:pPr>
        <w:spacing w:line="360" w:lineRule="auto"/>
        <w:ind w:firstLine="562" w:firstLineChars="200"/>
        <w:rPr>
          <w:rFonts w:eastAsia="仿宋_GB2312"/>
          <w:sz w:val="28"/>
          <w:szCs w:val="28"/>
        </w:rPr>
      </w:pPr>
      <w:r>
        <w:rPr>
          <w:rFonts w:hint="eastAsia" w:eastAsia="仿宋_GB2312"/>
          <w:b/>
          <w:sz w:val="28"/>
          <w:szCs w:val="28"/>
        </w:rPr>
        <w:t>球机控制：</w:t>
      </w:r>
      <w:r>
        <w:rPr>
          <w:rFonts w:hint="eastAsia" w:eastAsia="仿宋_GB2312"/>
          <w:sz w:val="28"/>
          <w:szCs w:val="28"/>
        </w:rPr>
        <w:t>支持上、下、左右、左上、左下、右上、右下、预置位、巡航等控制功能。</w:t>
      </w:r>
    </w:p>
    <w:p>
      <w:pPr>
        <w:spacing w:line="360" w:lineRule="auto"/>
        <w:ind w:firstLine="560" w:firstLineChars="200"/>
        <w:rPr>
          <w:rFonts w:eastAsia="仿宋_GB2312"/>
          <w:sz w:val="28"/>
          <w:szCs w:val="28"/>
        </w:rPr>
      </w:pPr>
      <w:r>
        <w:rPr>
          <w:rFonts w:hint="eastAsia" w:eastAsia="仿宋_GB2312"/>
          <w:sz w:val="28"/>
          <w:szCs w:val="28"/>
        </w:rPr>
        <w:t>支持镜头变倍、聚焦和光圈调整等镜头控制功能；</w:t>
      </w:r>
    </w:p>
    <w:p>
      <w:pPr>
        <w:spacing w:line="360" w:lineRule="auto"/>
        <w:ind w:firstLine="560" w:firstLineChars="200"/>
        <w:rPr>
          <w:rFonts w:eastAsia="仿宋_GB2312"/>
          <w:sz w:val="28"/>
          <w:szCs w:val="28"/>
        </w:rPr>
      </w:pPr>
      <w:r>
        <w:rPr>
          <w:rFonts w:hint="eastAsia" w:eastAsia="仿宋_GB2312"/>
          <w:sz w:val="28"/>
          <w:szCs w:val="28"/>
        </w:rPr>
        <w:t>支持镜头控制速度调整功能；</w:t>
      </w:r>
    </w:p>
    <w:p>
      <w:pPr>
        <w:spacing w:line="360" w:lineRule="auto"/>
        <w:ind w:firstLine="560" w:firstLineChars="200"/>
        <w:rPr>
          <w:rFonts w:eastAsia="仿宋_GB2312"/>
          <w:sz w:val="28"/>
          <w:szCs w:val="28"/>
        </w:rPr>
      </w:pPr>
      <w:r>
        <w:rPr>
          <w:rFonts w:hint="eastAsia" w:eastAsia="仿宋_GB2312"/>
          <w:sz w:val="28"/>
          <w:szCs w:val="28"/>
        </w:rPr>
        <w:t>支持直接在实时监控图像窗口上用鼠标对镜头进行控制功能，并可以外接键盘来实现图像切换和PTZ操作；</w:t>
      </w:r>
    </w:p>
    <w:p>
      <w:pPr>
        <w:spacing w:line="360" w:lineRule="auto"/>
        <w:ind w:firstLine="560" w:firstLineChars="200"/>
        <w:rPr>
          <w:rFonts w:eastAsia="仿宋_GB2312"/>
          <w:sz w:val="28"/>
          <w:szCs w:val="28"/>
        </w:rPr>
      </w:pPr>
      <w:r>
        <w:rPr>
          <w:rFonts w:hint="eastAsia" w:eastAsia="仿宋_GB2312"/>
          <w:sz w:val="28"/>
          <w:szCs w:val="28"/>
        </w:rPr>
        <w:t>对球机的控制可设置多个不同的用户权限级别进行控制，高优先级别用户可优先控制。可提供对前端设备进行独占性控制的锁定及解锁功能，锁定和解锁方式可设定。</w:t>
      </w:r>
    </w:p>
    <w:p>
      <w:pPr>
        <w:spacing w:line="360" w:lineRule="auto"/>
        <w:ind w:firstLine="560" w:firstLineChars="200"/>
        <w:rPr>
          <w:rFonts w:eastAsia="仿宋_GB2312"/>
          <w:sz w:val="28"/>
          <w:szCs w:val="28"/>
        </w:rPr>
      </w:pPr>
      <w:r>
        <w:rPr>
          <w:rFonts w:hint="eastAsia" w:eastAsia="仿宋_GB2312"/>
          <w:sz w:val="28"/>
          <w:szCs w:val="28"/>
        </w:rPr>
        <w:t>支持树型显示设备图标列表，并支持设备分组管理及显示，拖动设备图标实现实时监控或双击设备实现监控。</w:t>
      </w:r>
    </w:p>
    <w:p>
      <w:pPr>
        <w:spacing w:line="360" w:lineRule="auto"/>
        <w:ind w:firstLine="560" w:firstLineChars="200"/>
        <w:rPr>
          <w:rFonts w:eastAsia="仿宋_GB2312"/>
          <w:sz w:val="28"/>
          <w:szCs w:val="28"/>
        </w:rPr>
      </w:pPr>
      <w:r>
        <w:rPr>
          <w:rFonts w:hint="eastAsia" w:eastAsia="仿宋_GB2312"/>
          <w:sz w:val="28"/>
          <w:szCs w:val="28"/>
        </w:rPr>
        <w:t>可外接键盘和矩阵，实现图像切换和云台控制。能够通过键盘控制图像切换和对摄像机的控制；支持同一键盘多种不同品牌摄像头混合控制能力。</w:t>
      </w:r>
    </w:p>
    <w:p>
      <w:pPr>
        <w:spacing w:line="360" w:lineRule="auto"/>
        <w:ind w:firstLine="562" w:firstLineChars="200"/>
        <w:rPr>
          <w:rFonts w:eastAsia="仿宋_GB2312"/>
          <w:sz w:val="28"/>
          <w:szCs w:val="28"/>
        </w:rPr>
      </w:pPr>
      <w:r>
        <w:rPr>
          <w:rFonts w:hint="eastAsia" w:eastAsia="仿宋_GB2312"/>
          <w:b/>
          <w:sz w:val="28"/>
          <w:szCs w:val="28"/>
        </w:rPr>
        <w:t>监控视野充分：</w:t>
      </w:r>
      <w:r>
        <w:rPr>
          <w:rFonts w:hint="eastAsia" w:eastAsia="仿宋_GB2312"/>
          <w:sz w:val="28"/>
          <w:szCs w:val="28"/>
        </w:rPr>
        <w:t>监控的核心价值就是对重要场景中的人、物、事做出完整、清晰的记录，以便支持实时发现、及时处理以及事后取证。完整的监控画面对保证完整图像信息量、保留有效事件过程和提高事后检索效率都有非常重要的意义。全景拼接技术配合独立、高灵活的电子云台功能，充分覆盖所监控区域，从细微到整体全息记录。</w:t>
      </w:r>
    </w:p>
    <w:p>
      <w:pPr>
        <w:spacing w:line="360" w:lineRule="auto"/>
        <w:ind w:firstLine="559" w:firstLineChars="199"/>
        <w:rPr>
          <w:rFonts w:eastAsia="仿宋_GB2312"/>
          <w:b/>
          <w:sz w:val="28"/>
          <w:szCs w:val="28"/>
        </w:rPr>
      </w:pPr>
      <w:r>
        <w:rPr>
          <w:rFonts w:hint="eastAsia" w:eastAsia="仿宋_GB2312"/>
          <w:b/>
          <w:sz w:val="28"/>
          <w:szCs w:val="28"/>
        </w:rPr>
        <w:t>视频转发：</w:t>
      </w:r>
      <w:r>
        <w:rPr>
          <w:rFonts w:hint="eastAsia" w:eastAsia="仿宋_GB2312"/>
          <w:sz w:val="28"/>
          <w:szCs w:val="28"/>
        </w:rPr>
        <w:t>系统可实现对视频的实时转发，以满足大量用户同时访问同一视频源的需求。支持多级级联和分布式部署。能根据网络情况灵活提供组播转发、流媒体交换服务器转发和客户端直连优先等多种视频码流转发应用。流媒体服务器应支持负载均衡，可以平滑扩容；社会面视频监控资源经整合后，与共享平台的联网对接，可将社会面视频监控资源推送给共享平台。</w:t>
      </w:r>
    </w:p>
    <w:p>
      <w:pPr>
        <w:spacing w:line="360" w:lineRule="auto"/>
        <w:ind w:firstLine="562" w:firstLineChars="200"/>
        <w:rPr>
          <w:rFonts w:eastAsia="仿宋_GB2312"/>
          <w:sz w:val="28"/>
          <w:szCs w:val="28"/>
        </w:rPr>
      </w:pPr>
      <w:r>
        <w:rPr>
          <w:rFonts w:hint="eastAsia" w:eastAsia="仿宋_GB2312"/>
          <w:b/>
          <w:sz w:val="28"/>
          <w:szCs w:val="28"/>
        </w:rPr>
        <w:t>平台联网功能：</w:t>
      </w:r>
      <w:r>
        <w:rPr>
          <w:rFonts w:hint="eastAsia" w:eastAsia="仿宋_GB2312"/>
          <w:sz w:val="28"/>
          <w:szCs w:val="28"/>
        </w:rPr>
        <w:t>支持GB/T28181联网标准，实现多级平台联网，支持基于SIP协议实现多级平台联网、报警联动、语音对讲、干线管理，支持跨域的用户优先级配置、跨域和本域用户的云台控制权限的抢占</w:t>
      </w:r>
    </w:p>
    <w:p>
      <w:pPr>
        <w:spacing w:line="360" w:lineRule="auto"/>
        <w:ind w:firstLine="562" w:firstLineChars="200"/>
        <w:rPr>
          <w:rFonts w:eastAsia="仿宋_GB2312"/>
          <w:sz w:val="28"/>
          <w:szCs w:val="28"/>
        </w:rPr>
      </w:pPr>
      <w:r>
        <w:rPr>
          <w:rFonts w:hint="eastAsia" w:eastAsia="仿宋_GB2312"/>
          <w:b/>
          <w:sz w:val="28"/>
          <w:szCs w:val="28"/>
        </w:rPr>
        <w:t>电子公告栏：</w:t>
      </w:r>
      <w:r>
        <w:rPr>
          <w:rFonts w:hint="eastAsia" w:eastAsia="仿宋_GB2312"/>
          <w:sz w:val="28"/>
          <w:szCs w:val="28"/>
        </w:rPr>
        <w:t>支持电子公告功能，便于系统内通信管理：</w:t>
      </w:r>
    </w:p>
    <w:p>
      <w:pPr>
        <w:spacing w:line="360" w:lineRule="auto"/>
        <w:ind w:firstLine="560" w:firstLineChars="200"/>
        <w:rPr>
          <w:rFonts w:eastAsia="仿宋_GB2312"/>
          <w:sz w:val="28"/>
          <w:szCs w:val="28"/>
        </w:rPr>
      </w:pPr>
      <w:r>
        <w:rPr>
          <w:rFonts w:hint="eastAsia" w:eastAsia="仿宋_GB2312"/>
          <w:sz w:val="28"/>
          <w:szCs w:val="28"/>
        </w:rPr>
        <w:t>平台级的中间件和SDK：提供基于业务逻辑层和基础设备层的SDK接口，整个系统架构中除了底层的OS层，其他各层的组件、应用都可以快捷的实现合作开发和融合。合作开发不再局限于不同产品的对接和不同平台间的数据调用完全可以在SDK上提供各种层次的开发，避免大量基础平台开发风险并降低成本，让合作开发变得方便、快捷，合作开发的产品和形式更丰富，可以大大优化安防行业的价值链。</w:t>
      </w:r>
    </w:p>
    <w:p>
      <w:pPr>
        <w:spacing w:line="360" w:lineRule="auto"/>
        <w:ind w:firstLine="562" w:firstLineChars="200"/>
        <w:rPr>
          <w:rFonts w:eastAsia="仿宋_GB2312"/>
          <w:sz w:val="28"/>
          <w:szCs w:val="28"/>
        </w:rPr>
      </w:pPr>
      <w:r>
        <w:rPr>
          <w:rFonts w:hint="eastAsia" w:eastAsia="仿宋_GB2312"/>
          <w:b/>
          <w:sz w:val="28"/>
          <w:szCs w:val="28"/>
        </w:rPr>
        <w:t>用户等级管理：</w:t>
      </w:r>
      <w:r>
        <w:rPr>
          <w:rFonts w:hint="eastAsia" w:eastAsia="仿宋_GB2312"/>
          <w:sz w:val="28"/>
          <w:szCs w:val="28"/>
        </w:rPr>
        <w:t>系统能够用户进行明确地分组织、分角色、分权限管理，系统能够将权限划分到每个监控资源。</w:t>
      </w:r>
    </w:p>
    <w:p>
      <w:pPr>
        <w:spacing w:line="360" w:lineRule="auto"/>
        <w:ind w:firstLine="562" w:firstLineChars="200"/>
        <w:rPr>
          <w:rFonts w:eastAsia="仿宋_GB2312"/>
          <w:sz w:val="28"/>
          <w:szCs w:val="28"/>
        </w:rPr>
      </w:pPr>
      <w:r>
        <w:rPr>
          <w:rFonts w:hint="eastAsia" w:eastAsia="仿宋_GB2312"/>
          <w:b/>
          <w:sz w:val="28"/>
          <w:szCs w:val="28"/>
        </w:rPr>
        <w:t>支持时钟同步：</w:t>
      </w:r>
      <w:r>
        <w:rPr>
          <w:rFonts w:hint="eastAsia" w:eastAsia="仿宋_GB2312"/>
          <w:sz w:val="28"/>
          <w:szCs w:val="28"/>
        </w:rPr>
        <w:t>支持外接时钟同步服务器，能够同步系统内部的时间，并且能通过NTP服务同步域内其它设备时间，使整个系统的时间准确、一致。</w:t>
      </w:r>
    </w:p>
    <w:p>
      <w:pPr>
        <w:spacing w:line="360" w:lineRule="auto"/>
        <w:ind w:firstLine="562" w:firstLineChars="200"/>
        <w:rPr>
          <w:rFonts w:eastAsia="仿宋_GB2312"/>
          <w:sz w:val="28"/>
          <w:szCs w:val="28"/>
        </w:rPr>
      </w:pPr>
      <w:r>
        <w:rPr>
          <w:rFonts w:hint="eastAsia" w:eastAsia="仿宋_GB2312"/>
          <w:b/>
          <w:sz w:val="28"/>
          <w:szCs w:val="28"/>
        </w:rPr>
        <w:t>系统日志审计和防御非法攻击：</w:t>
      </w:r>
      <w:r>
        <w:rPr>
          <w:rFonts w:hint="eastAsia" w:eastAsia="仿宋_GB2312"/>
          <w:sz w:val="28"/>
          <w:szCs w:val="28"/>
        </w:rPr>
        <w:t>系统能够对用户进行组织管理、角色管理和权限管理，系统能够准确记录每个用户的操作记录并固定生成日志信息，以待后期查证。系统具备防御非法攻击，如DDOS、ARP欺骗等，系统自动侦测后会自动生成日志信息，此外，系统还能够对登陆用户的安全性进行检测，存在安全隐患的用户将无法登陆系统，以上种种功能确保用户对系统的“用、管、查”的需求得到满足。</w:t>
      </w:r>
    </w:p>
    <w:p>
      <w:pPr>
        <w:spacing w:line="360" w:lineRule="auto"/>
        <w:ind w:firstLine="562" w:firstLineChars="200"/>
        <w:rPr>
          <w:rFonts w:eastAsia="仿宋_GB2312"/>
          <w:sz w:val="28"/>
          <w:szCs w:val="28"/>
        </w:rPr>
      </w:pPr>
      <w:r>
        <w:rPr>
          <w:rFonts w:hint="eastAsia" w:eastAsia="仿宋_GB2312"/>
          <w:b/>
          <w:sz w:val="28"/>
          <w:szCs w:val="28"/>
        </w:rPr>
        <w:t>报警管理：</w:t>
      </w:r>
      <w:r>
        <w:rPr>
          <w:rFonts w:hint="eastAsia" w:eastAsia="仿宋_GB2312"/>
          <w:sz w:val="28"/>
          <w:szCs w:val="28"/>
        </w:rPr>
        <w:t>当系统启动布防时，一旦编码设备检测到告警检测装置的开关量输入，系统将按设置的联动关系表启动相应的报警联动项目，比如声光报警装置、制定的分控/客户端提示、调出对应区域的视频图像等等，及时通知提醒职守人员，以方便职守人员进行快捷的观察分析和处理。支持报警联动存储，在报警联动时将对应图像存储。</w:t>
      </w:r>
    </w:p>
    <w:p>
      <w:pPr>
        <w:spacing w:line="360" w:lineRule="auto"/>
        <w:ind w:firstLine="562" w:firstLineChars="200"/>
        <w:rPr>
          <w:rFonts w:eastAsia="仿宋_GB2312"/>
          <w:sz w:val="28"/>
          <w:szCs w:val="28"/>
        </w:rPr>
      </w:pPr>
      <w:r>
        <w:rPr>
          <w:rFonts w:hint="eastAsia" w:eastAsia="仿宋_GB2312"/>
          <w:b/>
          <w:sz w:val="28"/>
          <w:szCs w:val="28"/>
        </w:rPr>
        <w:t>良好的人机交互界面：</w:t>
      </w:r>
      <w:r>
        <w:rPr>
          <w:rFonts w:hint="eastAsia" w:eastAsia="仿宋_GB2312"/>
          <w:sz w:val="28"/>
          <w:szCs w:val="28"/>
        </w:rPr>
        <w:t>视频监控客户端支持图形化的配置界面，图标样式采用苹果式图形化按钮，所有操作不超过三次点击即可完成，90%的功能都可以在主界面或者快捷方式中快速操作，录像回放和查询采用可视化条带显示，支持所见即所得。</w:t>
      </w:r>
    </w:p>
    <w:p>
      <w:pPr>
        <w:spacing w:line="360" w:lineRule="auto"/>
        <w:ind w:firstLine="562" w:firstLineChars="200"/>
        <w:rPr>
          <w:rFonts w:eastAsia="仿宋_GB2312"/>
          <w:sz w:val="28"/>
          <w:szCs w:val="28"/>
        </w:rPr>
      </w:pPr>
      <w:r>
        <w:rPr>
          <w:rFonts w:hint="eastAsia" w:eastAsia="仿宋_GB2312"/>
          <w:b/>
          <w:sz w:val="28"/>
          <w:szCs w:val="28"/>
        </w:rPr>
        <w:t>权限管理：</w:t>
      </w:r>
      <w:r>
        <w:rPr>
          <w:rFonts w:hint="eastAsia" w:eastAsia="仿宋_GB2312"/>
          <w:sz w:val="28"/>
          <w:szCs w:val="28"/>
        </w:rPr>
        <w:t>可根据用户需要，设置多个不同等级的用户，分配不同级别的权限，对平台进行分级控制。</w:t>
      </w:r>
    </w:p>
    <w:p>
      <w:pPr>
        <w:spacing w:line="360" w:lineRule="auto"/>
        <w:ind w:firstLine="562" w:firstLineChars="200"/>
        <w:rPr>
          <w:rFonts w:eastAsia="仿宋_GB2312"/>
          <w:b/>
          <w:sz w:val="28"/>
          <w:szCs w:val="28"/>
        </w:rPr>
      </w:pPr>
      <w:r>
        <w:rPr>
          <w:rFonts w:hint="eastAsia" w:eastAsia="仿宋_GB2312"/>
          <w:b/>
          <w:sz w:val="28"/>
          <w:szCs w:val="28"/>
        </w:rPr>
        <w:t>本期新增监控均采用原来的视频监控平台。</w:t>
      </w:r>
    </w:p>
    <w:p>
      <w:pPr>
        <w:spacing w:line="360" w:lineRule="auto"/>
        <w:ind w:firstLine="560" w:firstLineChars="200"/>
        <w:rPr>
          <w:rFonts w:eastAsia="仿宋_GB2312"/>
          <w:sz w:val="28"/>
          <w:szCs w:val="28"/>
        </w:rPr>
      </w:pPr>
      <w:r>
        <w:rPr>
          <w:rFonts w:hint="eastAsia" w:eastAsia="仿宋_GB2312"/>
          <w:sz w:val="28"/>
          <w:szCs w:val="28"/>
        </w:rPr>
        <w:t>除需实现上述基本功能，天网卡口摄像机还需实现以下功能：</w:t>
      </w:r>
    </w:p>
    <w:p>
      <w:pPr>
        <w:spacing w:line="360" w:lineRule="auto"/>
        <w:ind w:firstLine="562" w:firstLineChars="200"/>
        <w:rPr>
          <w:rFonts w:eastAsia="仿宋_GB2312"/>
          <w:b/>
          <w:sz w:val="28"/>
          <w:szCs w:val="28"/>
        </w:rPr>
      </w:pPr>
      <w:r>
        <w:rPr>
          <w:rFonts w:hint="eastAsia" w:eastAsia="仿宋_GB2312"/>
          <w:b/>
          <w:sz w:val="28"/>
          <w:szCs w:val="28"/>
        </w:rPr>
        <w:t>机动车通行记录抓拍</w:t>
      </w:r>
    </w:p>
    <w:p>
      <w:pPr>
        <w:spacing w:line="360" w:lineRule="auto"/>
        <w:ind w:firstLine="560" w:firstLineChars="200"/>
        <w:rPr>
          <w:rFonts w:eastAsia="仿宋_GB2312"/>
          <w:sz w:val="28"/>
          <w:szCs w:val="28"/>
        </w:rPr>
      </w:pPr>
      <w:r>
        <w:rPr>
          <w:rFonts w:hint="eastAsia" w:eastAsia="仿宋_GB2312"/>
          <w:sz w:val="28"/>
          <w:szCs w:val="28"/>
        </w:rPr>
        <w:t>系统能够对通过监控点视频检测分析区域（临近监控单元的2个车道）的机动车进行自动记录，抓拍1张照片并生成一条机动车通行记录。</w:t>
      </w:r>
    </w:p>
    <w:p>
      <w:pPr>
        <w:spacing w:line="360" w:lineRule="auto"/>
        <w:ind w:firstLine="562" w:firstLineChars="200"/>
        <w:rPr>
          <w:rFonts w:eastAsia="仿宋_GB2312"/>
          <w:b/>
          <w:sz w:val="28"/>
          <w:szCs w:val="28"/>
        </w:rPr>
      </w:pPr>
      <w:r>
        <w:rPr>
          <w:rFonts w:hint="eastAsia" w:eastAsia="仿宋_GB2312"/>
          <w:b/>
          <w:sz w:val="28"/>
          <w:szCs w:val="28"/>
        </w:rPr>
        <w:t>图片上传</w:t>
      </w:r>
    </w:p>
    <w:p>
      <w:pPr>
        <w:spacing w:line="360" w:lineRule="auto"/>
        <w:ind w:firstLine="560" w:firstLineChars="200"/>
        <w:rPr>
          <w:rFonts w:eastAsia="仿宋_GB2312"/>
          <w:sz w:val="28"/>
          <w:szCs w:val="28"/>
        </w:rPr>
      </w:pPr>
      <w:r>
        <w:rPr>
          <w:rFonts w:hint="eastAsia" w:eastAsia="仿宋_GB2312"/>
          <w:sz w:val="28"/>
          <w:szCs w:val="28"/>
        </w:rPr>
        <w:t>抓拍的图片可根据市公安局要求的格式，推送到上级平台进行存储及处理。采集的图片直接推动到市平台，由市平台再进行下发。</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330" w:name="_Toc7170786"/>
      <w:bookmarkEnd w:id="330"/>
      <w:bookmarkStart w:id="331" w:name="_Toc7170798"/>
      <w:bookmarkEnd w:id="331"/>
      <w:bookmarkStart w:id="332" w:name="_Toc7170785"/>
      <w:bookmarkEnd w:id="332"/>
      <w:bookmarkStart w:id="333" w:name="_Toc6244547"/>
      <w:bookmarkEnd w:id="333"/>
      <w:bookmarkStart w:id="334" w:name="_Toc6244552"/>
      <w:bookmarkEnd w:id="334"/>
      <w:bookmarkStart w:id="335" w:name="_Toc6244551"/>
      <w:bookmarkEnd w:id="335"/>
      <w:bookmarkStart w:id="336" w:name="_Toc6244542"/>
      <w:bookmarkEnd w:id="336"/>
      <w:bookmarkStart w:id="337" w:name="_Toc7170788"/>
      <w:bookmarkEnd w:id="337"/>
      <w:bookmarkStart w:id="338" w:name="_Toc6244541"/>
      <w:bookmarkEnd w:id="338"/>
      <w:bookmarkStart w:id="339" w:name="_Toc7170790"/>
      <w:bookmarkEnd w:id="339"/>
      <w:bookmarkStart w:id="340" w:name="_Toc7170795"/>
      <w:bookmarkEnd w:id="340"/>
      <w:bookmarkStart w:id="341" w:name="_Toc6244549"/>
      <w:bookmarkEnd w:id="341"/>
      <w:bookmarkStart w:id="342" w:name="_Toc6244540"/>
      <w:bookmarkEnd w:id="342"/>
      <w:bookmarkStart w:id="343" w:name="_Toc6244539"/>
      <w:bookmarkEnd w:id="343"/>
      <w:bookmarkStart w:id="344" w:name="_Toc6244546"/>
      <w:bookmarkEnd w:id="344"/>
      <w:bookmarkStart w:id="345" w:name="_Toc6244538"/>
      <w:bookmarkEnd w:id="345"/>
      <w:bookmarkStart w:id="346" w:name="_Toc7170797"/>
      <w:bookmarkEnd w:id="346"/>
      <w:bookmarkStart w:id="347" w:name="_Toc7170810"/>
      <w:bookmarkEnd w:id="347"/>
      <w:bookmarkStart w:id="348" w:name="_Toc7170799"/>
      <w:bookmarkEnd w:id="348"/>
      <w:bookmarkStart w:id="349" w:name="_Toc7170789"/>
      <w:bookmarkEnd w:id="349"/>
      <w:bookmarkStart w:id="350" w:name="_Toc6244562"/>
      <w:bookmarkEnd w:id="350"/>
      <w:bookmarkStart w:id="351" w:name="_Toc6244545"/>
      <w:bookmarkEnd w:id="351"/>
      <w:bookmarkStart w:id="352" w:name="_Toc7170792"/>
      <w:bookmarkEnd w:id="352"/>
      <w:bookmarkStart w:id="353" w:name="_Toc6244550"/>
      <w:bookmarkEnd w:id="353"/>
      <w:bookmarkStart w:id="354" w:name="_Toc6244544"/>
      <w:bookmarkEnd w:id="354"/>
      <w:bookmarkStart w:id="355" w:name="_Toc7170787"/>
      <w:bookmarkEnd w:id="355"/>
      <w:bookmarkStart w:id="356" w:name="_Toc7170796"/>
      <w:bookmarkEnd w:id="356"/>
      <w:bookmarkStart w:id="357" w:name="_Toc6244548"/>
      <w:bookmarkEnd w:id="357"/>
      <w:bookmarkStart w:id="358" w:name="_Toc7170791"/>
      <w:bookmarkEnd w:id="358"/>
      <w:bookmarkStart w:id="359" w:name="_Toc6244543"/>
      <w:bookmarkEnd w:id="359"/>
      <w:bookmarkStart w:id="360" w:name="_Toc7170793"/>
      <w:bookmarkEnd w:id="360"/>
      <w:bookmarkStart w:id="361" w:name="_Toc7170794"/>
      <w:bookmarkEnd w:id="361"/>
      <w:bookmarkStart w:id="362" w:name="_Toc7170806"/>
      <w:bookmarkEnd w:id="362"/>
      <w:bookmarkStart w:id="363" w:name="_Toc6244556"/>
      <w:bookmarkEnd w:id="363"/>
      <w:bookmarkStart w:id="364" w:name="_Toc6244535"/>
      <w:bookmarkEnd w:id="364"/>
      <w:bookmarkStart w:id="365" w:name="_Toc6244559"/>
      <w:bookmarkEnd w:id="365"/>
      <w:bookmarkStart w:id="366" w:name="_Toc7170805"/>
      <w:bookmarkEnd w:id="366"/>
      <w:bookmarkStart w:id="367" w:name="_Toc7170800"/>
      <w:bookmarkEnd w:id="367"/>
      <w:bookmarkStart w:id="368" w:name="_Toc7170803"/>
      <w:bookmarkEnd w:id="368"/>
      <w:bookmarkStart w:id="369" w:name="_Toc6244532"/>
      <w:bookmarkEnd w:id="369"/>
      <w:bookmarkStart w:id="370" w:name="_Toc6244554"/>
      <w:bookmarkEnd w:id="370"/>
      <w:bookmarkStart w:id="371" w:name="_Toc6244537"/>
      <w:bookmarkEnd w:id="371"/>
      <w:bookmarkStart w:id="372" w:name="_Toc6244536"/>
      <w:bookmarkEnd w:id="372"/>
      <w:bookmarkStart w:id="373" w:name="_Toc7170783"/>
      <w:bookmarkEnd w:id="373"/>
      <w:bookmarkStart w:id="374" w:name="_Toc6244534"/>
      <w:bookmarkEnd w:id="374"/>
      <w:bookmarkStart w:id="375" w:name="_Toc7170779"/>
      <w:bookmarkEnd w:id="375"/>
      <w:bookmarkStart w:id="376" w:name="_Toc7170781"/>
      <w:bookmarkEnd w:id="376"/>
      <w:bookmarkStart w:id="377" w:name="_Toc6244533"/>
      <w:bookmarkEnd w:id="377"/>
      <w:bookmarkStart w:id="378" w:name="_Toc7170801"/>
      <w:bookmarkEnd w:id="378"/>
      <w:bookmarkStart w:id="379" w:name="_Toc7170782"/>
      <w:bookmarkEnd w:id="379"/>
      <w:bookmarkStart w:id="380" w:name="_Toc7170809"/>
      <w:bookmarkEnd w:id="380"/>
      <w:bookmarkStart w:id="381" w:name="_Toc6244553"/>
      <w:bookmarkEnd w:id="381"/>
      <w:bookmarkStart w:id="382" w:name="_Toc7170784"/>
      <w:bookmarkEnd w:id="382"/>
      <w:bookmarkStart w:id="383" w:name="_Toc6244558"/>
      <w:bookmarkEnd w:id="383"/>
      <w:bookmarkStart w:id="384" w:name="_Toc6244561"/>
      <w:bookmarkEnd w:id="384"/>
      <w:bookmarkStart w:id="385" w:name="_Toc6244555"/>
      <w:bookmarkEnd w:id="385"/>
      <w:bookmarkStart w:id="386" w:name="_Toc7170807"/>
      <w:bookmarkEnd w:id="386"/>
      <w:bookmarkStart w:id="387" w:name="_Toc7170804"/>
      <w:bookmarkEnd w:id="387"/>
      <w:bookmarkStart w:id="388" w:name="_Toc7170780"/>
      <w:bookmarkEnd w:id="388"/>
      <w:bookmarkStart w:id="389" w:name="_Toc6244557"/>
      <w:bookmarkEnd w:id="389"/>
      <w:bookmarkStart w:id="390" w:name="_Toc7170802"/>
      <w:bookmarkEnd w:id="390"/>
      <w:bookmarkStart w:id="391" w:name="_Toc7170808"/>
      <w:bookmarkEnd w:id="391"/>
      <w:bookmarkStart w:id="392" w:name="_Toc6244560"/>
      <w:bookmarkEnd w:id="392"/>
      <w:bookmarkStart w:id="393" w:name="_Toc6244531"/>
      <w:bookmarkEnd w:id="393"/>
      <w:bookmarkStart w:id="394" w:name="_Toc12881138"/>
      <w:r>
        <w:rPr>
          <w:rFonts w:hint="eastAsia" w:ascii="Arial" w:hAnsi="Arial" w:eastAsia="仿宋_GB2312"/>
          <w:b/>
          <w:bCs/>
          <w:sz w:val="28"/>
          <w:szCs w:val="32"/>
        </w:rPr>
        <w:t>三维地图展示系统</w:t>
      </w:r>
      <w:bookmarkEnd w:id="394"/>
    </w:p>
    <w:p>
      <w:pPr>
        <w:spacing w:line="360" w:lineRule="auto"/>
        <w:ind w:firstLine="560" w:firstLineChars="200"/>
        <w:rPr>
          <w:rFonts w:eastAsia="仿宋_GB2312"/>
          <w:sz w:val="28"/>
        </w:rPr>
      </w:pPr>
      <w:r>
        <w:rPr>
          <w:rFonts w:hint="eastAsia" w:eastAsia="仿宋_GB2312"/>
          <w:sz w:val="28"/>
          <w:szCs w:val="28"/>
        </w:rPr>
        <w:t>三维监控地图展示系统，系统包括1个6</w:t>
      </w:r>
      <w:r>
        <w:rPr>
          <w:rFonts w:eastAsia="仿宋_GB2312"/>
          <w:sz w:val="28"/>
          <w:szCs w:val="28"/>
        </w:rPr>
        <w:t>5</w:t>
      </w:r>
      <w:r>
        <w:rPr>
          <w:rFonts w:hint="eastAsia" w:eastAsia="仿宋_GB2312"/>
          <w:sz w:val="28"/>
          <w:szCs w:val="28"/>
        </w:rPr>
        <w:t>英寸触摸显示大屏和三维监控地图。三维监控地图通过触摸显示大屏展示。</w:t>
      </w:r>
    </w:p>
    <w:p>
      <w:pPr>
        <w:spacing w:line="360" w:lineRule="auto"/>
        <w:ind w:firstLine="560" w:firstLineChars="200"/>
        <w:rPr>
          <w:rFonts w:eastAsia="仿宋_GB2312"/>
          <w:sz w:val="28"/>
        </w:rPr>
      </w:pPr>
      <w:r>
        <w:rPr>
          <w:rFonts w:hint="eastAsia" w:eastAsia="仿宋_GB2312"/>
          <w:sz w:val="28"/>
        </w:rPr>
        <w:t>触摸显示大屏要求65英寸，支持4k超高清（3840×2160）；触摸屏不低于16点触摸控制；主机要求（windows10+安卓）双系统/I7/4G/120G固态硬盘；含壁挂支架。</w:t>
      </w:r>
    </w:p>
    <w:p>
      <w:pPr>
        <w:spacing w:line="360" w:lineRule="auto"/>
        <w:ind w:firstLine="560" w:firstLineChars="200"/>
        <w:rPr>
          <w:rFonts w:eastAsia="仿宋_GB2312"/>
          <w:sz w:val="28"/>
        </w:rPr>
      </w:pPr>
      <w:r>
        <w:rPr>
          <w:rFonts w:hint="eastAsia" w:eastAsia="仿宋_GB2312"/>
          <w:sz w:val="28"/>
        </w:rPr>
        <w:t>三维地图建模面积按照4</w:t>
      </w:r>
      <w:r>
        <w:rPr>
          <w:rFonts w:eastAsia="仿宋_GB2312"/>
          <w:sz w:val="28"/>
        </w:rPr>
        <w:t>2</w:t>
      </w:r>
      <w:r>
        <w:rPr>
          <w:rFonts w:hint="eastAsia" w:eastAsia="仿宋_GB2312"/>
          <w:sz w:val="28"/>
        </w:rPr>
        <w:t>平方公里计算，要求覆盖慈东工业区规划总面积，三维建模精度不低于0</w:t>
      </w:r>
      <w:r>
        <w:rPr>
          <w:rFonts w:eastAsia="仿宋_GB2312"/>
          <w:sz w:val="28"/>
        </w:rPr>
        <w:t>.5</w:t>
      </w:r>
      <w:r>
        <w:rPr>
          <w:rFonts w:hint="eastAsia" w:eastAsia="仿宋_GB2312"/>
          <w:sz w:val="28"/>
        </w:rPr>
        <w:t>米。</w:t>
      </w:r>
    </w:p>
    <w:p>
      <w:pPr>
        <w:spacing w:line="360" w:lineRule="auto"/>
        <w:ind w:firstLine="560" w:firstLineChars="200"/>
        <w:rPr>
          <w:rFonts w:eastAsia="仿宋_GB2312"/>
          <w:sz w:val="28"/>
        </w:rPr>
      </w:pPr>
      <w:r>
        <w:rPr>
          <w:rFonts w:hint="eastAsia" w:eastAsia="仿宋_GB2312"/>
          <w:sz w:val="28"/>
        </w:rPr>
        <w:t>系统的高清影像数据将通过</w:t>
      </w:r>
      <w:r>
        <w:rPr>
          <w:rFonts w:hint="eastAsia" w:eastAsia="仿宋_GB2312"/>
          <w:sz w:val="28"/>
          <w:szCs w:val="28"/>
        </w:rPr>
        <w:t>无人机航拍采集。采集后的影像数据经过三维建模形成辖区三维模型。在辖区三维模型基础上叠加监控摄像机，从而实现监控相机在三维地图上的直观展示。</w:t>
      </w:r>
    </w:p>
    <w:p>
      <w:pPr>
        <w:spacing w:line="360" w:lineRule="auto"/>
        <w:ind w:firstLine="560" w:firstLineChars="200"/>
        <w:rPr>
          <w:rFonts w:eastAsia="仿宋_GB2312"/>
          <w:sz w:val="28"/>
        </w:rPr>
      </w:pPr>
      <w:r>
        <w:rPr>
          <w:rFonts w:hint="eastAsia" w:eastAsia="仿宋_GB2312"/>
          <w:sz w:val="28"/>
        </w:rPr>
        <w:t>三维地图展示系统是一个直观展示辖区内视频监控点位分布的系统。辖区内所有的监控摄像机按照不同的类型，叠加到辖区的三维实景地图上。通过触摸大屏，可以对三维地图进行移动，缩放，查找等操作，方便用户对辖区监控分布情况的直观展示。</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95" w:name="_Toc12881139"/>
      <w:r>
        <w:rPr>
          <w:rFonts w:hint="eastAsia" w:eastAsia="仿宋_GB2312"/>
          <w:b/>
          <w:bCs/>
          <w:sz w:val="28"/>
          <w:szCs w:val="28"/>
        </w:rPr>
        <w:t>倾斜摄影</w:t>
      </w:r>
      <w:bookmarkEnd w:id="395"/>
    </w:p>
    <w:p>
      <w:pPr>
        <w:spacing w:line="360" w:lineRule="auto"/>
        <w:ind w:firstLine="560" w:firstLineChars="200"/>
        <w:rPr>
          <w:rFonts w:eastAsia="仿宋_GB2312"/>
          <w:sz w:val="28"/>
        </w:rPr>
      </w:pPr>
      <w:r>
        <w:rPr>
          <w:rFonts w:hint="eastAsia" w:eastAsia="仿宋_GB2312"/>
          <w:sz w:val="28"/>
        </w:rPr>
        <w:t>倾斜摄影（oblique image）是指由一定倾斜角的航摄相机所获取的影像。倾斜摄影技术是国际测绘遥感领域近年发展起来的一项高新技术，通过在同一飞行平台上搭载多台传感器，同时从垂直、倾斜等不同角度采集影像，获取地面物体更为完整准确的信息。如下图所示：</w:t>
      </w:r>
    </w:p>
    <w:p>
      <w:pPr>
        <w:spacing w:line="360" w:lineRule="auto"/>
        <w:rPr>
          <w:rFonts w:eastAsia="仿宋_GB2312"/>
          <w:sz w:val="28"/>
        </w:rPr>
      </w:pPr>
      <w:r>
        <w:rPr>
          <w:rFonts w:hint="eastAsia" w:eastAsia="仿宋_GB2312"/>
          <w:sz w:val="28"/>
        </w:rPr>
        <w:drawing>
          <wp:inline distT="0" distB="0" distL="114300" distR="114300">
            <wp:extent cx="5274310" cy="2042160"/>
            <wp:effectExtent l="0" t="0" r="2540" b="1524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27"/>
                    <a:stretch>
                      <a:fillRect/>
                    </a:stretch>
                  </pic:blipFill>
                  <pic:spPr>
                    <a:xfrm>
                      <a:off x="0" y="0"/>
                      <a:ext cx="5274310" cy="2042160"/>
                    </a:xfrm>
                    <a:prstGeom prst="rect">
                      <a:avLst/>
                    </a:prstGeom>
                    <a:noFill/>
                    <a:ln>
                      <a:noFill/>
                    </a:ln>
                  </pic:spPr>
                </pic:pic>
              </a:graphicData>
            </a:graphic>
          </wp:inline>
        </w:drawing>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396" w:name="_Toc12881140"/>
      <w:r>
        <w:rPr>
          <w:rFonts w:hint="eastAsia" w:eastAsia="仿宋_GB2312"/>
          <w:b/>
          <w:bCs/>
          <w:sz w:val="28"/>
          <w:szCs w:val="28"/>
        </w:rPr>
        <w:t>三维建模</w:t>
      </w:r>
      <w:bookmarkEnd w:id="396"/>
    </w:p>
    <w:p>
      <w:pPr>
        <w:spacing w:line="360" w:lineRule="auto"/>
        <w:ind w:firstLine="560" w:firstLineChars="200"/>
        <w:rPr>
          <w:rFonts w:eastAsia="仿宋_GB2312"/>
          <w:sz w:val="28"/>
        </w:rPr>
      </w:pPr>
      <w:r>
        <w:rPr>
          <w:rFonts w:hint="eastAsia" w:eastAsia="仿宋_GB2312"/>
          <w:sz w:val="28"/>
        </w:rPr>
        <w:t>倾斜摄影建模：多角度航拍带有倾斜角度的影像，通过专业的建模处理软件，全自动的生成模型的过程(仅需要倾斜影像)。</w:t>
      </w:r>
    </w:p>
    <w:p>
      <w:pPr>
        <w:spacing w:line="360" w:lineRule="auto"/>
        <w:ind w:firstLine="560" w:firstLineChars="200"/>
        <w:rPr>
          <w:rFonts w:eastAsia="仿宋_GB2312"/>
          <w:sz w:val="28"/>
        </w:rPr>
      </w:pPr>
      <w:r>
        <w:rPr>
          <w:rFonts w:hint="eastAsia" w:eastAsia="仿宋_GB2312"/>
          <w:sz w:val="28"/>
        </w:rPr>
        <w:t>倾斜摄影自动化生成的模型本质上是mesh模型，自动化软件一般经过几何校正、联合平差等处理流程，可运算生成基于真实影像的超高密度点云，并以此生成基于真实影像纹理的高分辨率实景三维模型。</w:t>
      </w:r>
    </w:p>
    <w:p>
      <w:pPr>
        <w:spacing w:line="360" w:lineRule="auto"/>
        <w:ind w:firstLine="560" w:firstLineChars="200"/>
        <w:rPr>
          <w:rFonts w:eastAsia="仿宋_GB2312"/>
          <w:sz w:val="28"/>
        </w:rPr>
      </w:pPr>
      <w:r>
        <w:rPr>
          <w:rFonts w:hint="eastAsia" w:eastAsia="仿宋_GB2312"/>
          <w:sz w:val="28"/>
        </w:rPr>
        <w:t>三维建模过程依次是点云图</w:t>
      </w:r>
      <w:r>
        <w:rPr>
          <w:rFonts w:eastAsia="仿宋_GB2312"/>
          <w:sz w:val="28"/>
        </w:rPr>
        <w:sym w:font="Wingdings" w:char="F0E0"/>
      </w:r>
      <w:r>
        <w:rPr>
          <w:rFonts w:hint="eastAsia" w:eastAsia="仿宋_GB2312"/>
          <w:sz w:val="28"/>
        </w:rPr>
        <w:t>点云构建TIN模型</w:t>
      </w:r>
      <w:r>
        <w:rPr>
          <w:rFonts w:eastAsia="仿宋_GB2312"/>
          <w:sz w:val="28"/>
        </w:rPr>
        <w:sym w:font="Wingdings" w:char="F0E0"/>
      </w:r>
      <w:r>
        <w:rPr>
          <w:rFonts w:hint="eastAsia" w:eastAsia="仿宋_GB2312"/>
          <w:sz w:val="28"/>
        </w:rPr>
        <w:t>纹理映射构建真实三维模型。</w:t>
      </w:r>
    </w:p>
    <w:p>
      <w:pPr>
        <w:spacing w:line="360" w:lineRule="auto"/>
        <w:ind w:firstLine="560" w:firstLineChars="200"/>
        <w:rPr>
          <w:rFonts w:eastAsia="仿宋_GB2312"/>
          <w:sz w:val="28"/>
        </w:rPr>
      </w:pPr>
      <w:r>
        <w:rPr>
          <w:rFonts w:hint="eastAsia" w:eastAsia="仿宋_GB2312"/>
          <w:sz w:val="28"/>
        </w:rPr>
        <w:t xml:space="preserve">点云图如下所示： </w:t>
      </w:r>
    </w:p>
    <w:p>
      <w:pPr>
        <w:widowControl/>
        <w:shd w:val="clear" w:color="auto" w:fill="FFFFFF"/>
        <w:spacing w:after="240" w:line="420" w:lineRule="atLeast"/>
        <w:ind w:firstLine="560"/>
        <w:jc w:val="center"/>
        <w:rPr>
          <w:rFonts w:ascii="微软雅黑" w:hAnsi="微软雅黑" w:eastAsia="微软雅黑" w:cs="宋体"/>
          <w:color w:val="333333"/>
          <w:spacing w:val="8"/>
          <w:kern w:val="0"/>
          <w:sz w:val="24"/>
        </w:rPr>
      </w:pPr>
      <w:r>
        <w:rPr>
          <w:rFonts w:ascii="微软雅黑" w:hAnsi="微软雅黑" w:eastAsia="微软雅黑" w:cs="宋体"/>
          <w:color w:val="333333"/>
          <w:spacing w:val="8"/>
          <w:kern w:val="0"/>
          <w:sz w:val="24"/>
        </w:rPr>
        <w:drawing>
          <wp:inline distT="0" distB="0" distL="114300" distR="114300">
            <wp:extent cx="5274310" cy="3345180"/>
            <wp:effectExtent l="0" t="0" r="2540" b="762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28"/>
                    <a:stretch>
                      <a:fillRect/>
                    </a:stretch>
                  </pic:blipFill>
                  <pic:spPr>
                    <a:xfrm>
                      <a:off x="0" y="0"/>
                      <a:ext cx="5274310" cy="3345180"/>
                    </a:xfrm>
                    <a:prstGeom prst="rect">
                      <a:avLst/>
                    </a:prstGeom>
                    <a:noFill/>
                    <a:ln>
                      <a:noFill/>
                    </a:ln>
                  </pic:spPr>
                </pic:pic>
              </a:graphicData>
            </a:graphic>
          </wp:inline>
        </w:drawing>
      </w:r>
    </w:p>
    <w:p>
      <w:pPr>
        <w:spacing w:line="360" w:lineRule="auto"/>
        <w:ind w:firstLine="560" w:firstLineChars="200"/>
        <w:rPr>
          <w:rFonts w:eastAsia="仿宋_GB2312"/>
          <w:sz w:val="28"/>
        </w:rPr>
      </w:pPr>
    </w:p>
    <w:p>
      <w:pPr>
        <w:spacing w:line="360" w:lineRule="auto"/>
        <w:ind w:firstLine="560" w:firstLineChars="200"/>
        <w:rPr>
          <w:rFonts w:eastAsia="仿宋_GB2312"/>
          <w:sz w:val="28"/>
        </w:rPr>
      </w:pPr>
      <w:r>
        <w:rPr>
          <w:rFonts w:hint="eastAsia" w:eastAsia="仿宋_GB2312"/>
          <w:sz w:val="28"/>
        </w:rPr>
        <w:t>点云构建TIN模型，如下图所示：</w:t>
      </w:r>
    </w:p>
    <w:p>
      <w:pPr>
        <w:spacing w:line="360" w:lineRule="auto"/>
        <w:ind w:firstLine="560" w:firstLineChars="200"/>
        <w:rPr>
          <w:rFonts w:eastAsia="仿宋_GB2312"/>
          <w:sz w:val="28"/>
        </w:rPr>
      </w:pPr>
      <w:r>
        <w:rPr>
          <w:rFonts w:eastAsia="仿宋_GB2312"/>
          <w:sz w:val="28"/>
        </w:rPr>
        <w:drawing>
          <wp:inline distT="0" distB="0" distL="114300" distR="114300">
            <wp:extent cx="5274310" cy="3318510"/>
            <wp:effectExtent l="0" t="0" r="2540" b="1524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29"/>
                    <a:stretch>
                      <a:fillRect/>
                    </a:stretch>
                  </pic:blipFill>
                  <pic:spPr>
                    <a:xfrm>
                      <a:off x="0" y="0"/>
                      <a:ext cx="5274310" cy="3318510"/>
                    </a:xfrm>
                    <a:prstGeom prst="rect">
                      <a:avLst/>
                    </a:prstGeom>
                    <a:noFill/>
                    <a:ln>
                      <a:noFill/>
                    </a:ln>
                  </pic:spPr>
                </pic:pic>
              </a:graphicData>
            </a:graphic>
          </wp:inline>
        </w:drawing>
      </w:r>
    </w:p>
    <w:p>
      <w:pPr>
        <w:spacing w:line="360" w:lineRule="auto"/>
        <w:ind w:firstLine="560" w:firstLineChars="200"/>
        <w:rPr>
          <w:rFonts w:eastAsia="仿宋_GB2312"/>
          <w:sz w:val="28"/>
        </w:rPr>
      </w:pPr>
      <w:r>
        <w:rPr>
          <w:rFonts w:eastAsia="仿宋_GB2312"/>
          <w:sz w:val="28"/>
        </w:rPr>
        <w:drawing>
          <wp:inline distT="0" distB="0" distL="114300" distR="114300">
            <wp:extent cx="5267325" cy="3293745"/>
            <wp:effectExtent l="0" t="0" r="9525" b="1905"/>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30"/>
                    <a:stretch>
                      <a:fillRect/>
                    </a:stretch>
                  </pic:blipFill>
                  <pic:spPr>
                    <a:xfrm>
                      <a:off x="0" y="0"/>
                      <a:ext cx="5267325" cy="3293745"/>
                    </a:xfrm>
                    <a:prstGeom prst="rect">
                      <a:avLst/>
                    </a:prstGeom>
                    <a:noFill/>
                    <a:ln>
                      <a:noFill/>
                    </a:ln>
                  </pic:spPr>
                </pic:pic>
              </a:graphicData>
            </a:graphic>
          </wp:inline>
        </w:drawing>
      </w:r>
    </w:p>
    <w:p>
      <w:pPr>
        <w:spacing w:line="360" w:lineRule="auto"/>
        <w:ind w:firstLine="560" w:firstLineChars="200"/>
        <w:rPr>
          <w:rFonts w:eastAsia="仿宋_GB2312"/>
          <w:sz w:val="28"/>
        </w:rPr>
      </w:pPr>
    </w:p>
    <w:p>
      <w:pPr>
        <w:spacing w:line="360" w:lineRule="auto"/>
        <w:ind w:firstLine="560" w:firstLineChars="200"/>
        <w:rPr>
          <w:rFonts w:eastAsia="仿宋_GB2312"/>
          <w:sz w:val="28"/>
        </w:rPr>
      </w:pPr>
      <w:r>
        <w:rPr>
          <w:rFonts w:hint="eastAsia" w:eastAsia="仿宋_GB2312"/>
          <w:sz w:val="28"/>
        </w:rPr>
        <w:t>纹理映射构建真实三维模型如下所示：</w:t>
      </w:r>
    </w:p>
    <w:p>
      <w:pPr>
        <w:spacing w:line="360" w:lineRule="auto"/>
        <w:ind w:firstLine="560" w:firstLineChars="200"/>
        <w:rPr>
          <w:rFonts w:eastAsia="仿宋_GB2312"/>
          <w:sz w:val="28"/>
        </w:rPr>
      </w:pPr>
      <w:r>
        <w:rPr>
          <w:rFonts w:eastAsia="仿宋_GB2312"/>
          <w:sz w:val="28"/>
        </w:rPr>
        <w:drawing>
          <wp:inline distT="0" distB="0" distL="114300" distR="114300">
            <wp:extent cx="5274310" cy="3296920"/>
            <wp:effectExtent l="0" t="0" r="2540" b="1778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31"/>
                    <a:stretch>
                      <a:fillRect/>
                    </a:stretch>
                  </pic:blipFill>
                  <pic:spPr>
                    <a:xfrm>
                      <a:off x="0" y="0"/>
                      <a:ext cx="5274310" cy="3296920"/>
                    </a:xfrm>
                    <a:prstGeom prst="rect">
                      <a:avLst/>
                    </a:prstGeom>
                    <a:noFill/>
                    <a:ln>
                      <a:noFill/>
                    </a:ln>
                  </pic:spPr>
                </pic:pic>
              </a:graphicData>
            </a:graphic>
          </wp:inline>
        </w:drawing>
      </w:r>
    </w:p>
    <w:p>
      <w:pPr>
        <w:spacing w:line="360" w:lineRule="auto"/>
        <w:ind w:firstLine="560" w:firstLineChars="200"/>
        <w:rPr>
          <w:rFonts w:eastAsia="仿宋_GB2312"/>
          <w:sz w:val="28"/>
        </w:rPr>
      </w:pPr>
      <w:r>
        <w:rPr>
          <w:rFonts w:eastAsia="仿宋_GB2312"/>
          <w:sz w:val="28"/>
        </w:rPr>
        <w:drawing>
          <wp:inline distT="0" distB="0" distL="114300" distR="114300">
            <wp:extent cx="5274310" cy="3295015"/>
            <wp:effectExtent l="0" t="0" r="2540" b="635"/>
            <wp:docPr id="25" name="图片 30" descr="C:\Users\lenovo\AppData\Local\Temp\1556173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descr="C:\Users\lenovo\AppData\Local\Temp\1556173897(1).png"/>
                    <pic:cNvPicPr>
                      <a:picLocks noChangeAspect="1"/>
                    </pic:cNvPicPr>
                  </pic:nvPicPr>
                  <pic:blipFill>
                    <a:blip r:embed="rId32"/>
                    <a:stretch>
                      <a:fillRect/>
                    </a:stretch>
                  </pic:blipFill>
                  <pic:spPr>
                    <a:xfrm>
                      <a:off x="0" y="0"/>
                      <a:ext cx="5274310" cy="3295015"/>
                    </a:xfrm>
                    <a:prstGeom prst="rect">
                      <a:avLst/>
                    </a:prstGeom>
                    <a:noFill/>
                    <a:ln>
                      <a:noFill/>
                    </a:ln>
                  </pic:spPr>
                </pic:pic>
              </a:graphicData>
            </a:graphic>
          </wp:inline>
        </w:drawing>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r>
        <w:rPr>
          <w:rFonts w:hint="eastAsia" w:ascii="Arial" w:hAnsi="Arial" w:eastAsia="仿宋_GB2312"/>
          <w:b/>
          <w:bCs/>
          <w:sz w:val="28"/>
          <w:szCs w:val="32"/>
        </w:rPr>
        <w:t>大屏及拼接控制设备改造</w:t>
      </w:r>
    </w:p>
    <w:p>
      <w:pPr>
        <w:spacing w:line="360" w:lineRule="auto"/>
        <w:ind w:firstLine="560" w:firstLineChars="200"/>
        <w:rPr>
          <w:rFonts w:hint="eastAsia" w:eastAsia="仿宋_GB2312"/>
          <w:sz w:val="28"/>
        </w:rPr>
      </w:pPr>
      <w:r>
        <w:rPr>
          <w:rFonts w:hint="eastAsia" w:eastAsia="仿宋_GB2312"/>
          <w:sz w:val="28"/>
        </w:rPr>
        <w:t>为了保证</w:t>
      </w:r>
      <w:r>
        <w:rPr>
          <w:rFonts w:eastAsia="仿宋_GB2312"/>
          <w:sz w:val="28"/>
        </w:rPr>
        <w:t>800</w:t>
      </w:r>
      <w:r>
        <w:rPr>
          <w:rFonts w:hint="eastAsia" w:eastAsia="仿宋_GB2312"/>
          <w:sz w:val="28"/>
        </w:rPr>
        <w:t>万像素和9</w:t>
      </w:r>
      <w:r>
        <w:rPr>
          <w:rFonts w:eastAsia="仿宋_GB2312"/>
          <w:sz w:val="28"/>
        </w:rPr>
        <w:t>00</w:t>
      </w:r>
      <w:r>
        <w:rPr>
          <w:rFonts w:hint="eastAsia" w:eastAsia="仿宋_GB2312"/>
          <w:sz w:val="28"/>
        </w:rPr>
        <w:t>万像素的摄像机视频正常解码上墙，发挥超高清摄像机的优势，拟对慈东边防***一楼监控大屏进行升级改造。新增视频综合平台1套，拼接大屏1</w:t>
      </w:r>
      <w:r>
        <w:rPr>
          <w:rFonts w:eastAsia="仿宋_GB2312"/>
          <w:sz w:val="28"/>
        </w:rPr>
        <w:t>5</w:t>
      </w:r>
      <w:r>
        <w:rPr>
          <w:rFonts w:hint="eastAsia" w:eastAsia="仿宋_GB2312"/>
          <w:sz w:val="28"/>
        </w:rPr>
        <w:t>块以及配套设备。主要设备具体参数要求如下：</w:t>
      </w:r>
    </w:p>
    <w:p>
      <w:pPr>
        <w:numPr>
          <w:ilvl w:val="0"/>
          <w:numId w:val="22"/>
        </w:numPr>
        <w:spacing w:line="360" w:lineRule="auto"/>
        <w:rPr>
          <w:rFonts w:eastAsia="仿宋_GB2312"/>
          <w:b/>
          <w:bCs/>
          <w:sz w:val="28"/>
        </w:rPr>
      </w:pPr>
      <w:r>
        <w:rPr>
          <w:rFonts w:hint="eastAsia" w:eastAsia="仿宋_GB2312"/>
          <w:b/>
          <w:bCs/>
          <w:sz w:val="28"/>
        </w:rPr>
        <w:t>拼接大屏</w:t>
      </w:r>
    </w:p>
    <w:p>
      <w:pPr>
        <w:spacing w:line="360" w:lineRule="auto"/>
        <w:ind w:firstLine="560" w:firstLineChars="200"/>
        <w:rPr>
          <w:rFonts w:hint="eastAsia" w:eastAsia="仿宋_GB2312"/>
          <w:sz w:val="28"/>
        </w:rPr>
      </w:pPr>
      <w:r>
        <w:rPr>
          <w:rFonts w:hint="eastAsia" w:eastAsia="仿宋_GB2312"/>
          <w:sz w:val="28"/>
        </w:rPr>
        <w:t>1、 采用工业级面板，尺寸≥46 inch</w:t>
      </w:r>
    </w:p>
    <w:p>
      <w:pPr>
        <w:spacing w:line="360" w:lineRule="auto"/>
        <w:ind w:firstLine="560" w:firstLineChars="200"/>
        <w:rPr>
          <w:rFonts w:hint="eastAsia" w:eastAsia="仿宋_GB2312"/>
          <w:sz w:val="28"/>
        </w:rPr>
      </w:pPr>
      <w:r>
        <w:rPr>
          <w:rFonts w:hint="eastAsia" w:eastAsia="仿宋_GB2312"/>
          <w:sz w:val="28"/>
        </w:rPr>
        <w:t>2、 物理拼缝≤1.7mm</w:t>
      </w:r>
    </w:p>
    <w:p>
      <w:pPr>
        <w:spacing w:line="360" w:lineRule="auto"/>
        <w:ind w:firstLine="560" w:firstLineChars="200"/>
        <w:rPr>
          <w:rFonts w:hint="eastAsia" w:eastAsia="仿宋_GB2312"/>
          <w:sz w:val="28"/>
        </w:rPr>
      </w:pPr>
      <w:r>
        <w:rPr>
          <w:rFonts w:hint="eastAsia" w:eastAsia="仿宋_GB2312"/>
          <w:sz w:val="28"/>
        </w:rPr>
        <w:t>3、 亮度≥700 cd/m2</w:t>
      </w:r>
    </w:p>
    <w:p>
      <w:pPr>
        <w:spacing w:line="360" w:lineRule="auto"/>
        <w:ind w:firstLine="560" w:firstLineChars="200"/>
        <w:rPr>
          <w:rFonts w:hint="eastAsia" w:eastAsia="仿宋_GB2312"/>
          <w:sz w:val="28"/>
        </w:rPr>
      </w:pPr>
      <w:r>
        <w:rPr>
          <w:rFonts w:hint="eastAsia" w:eastAsia="仿宋_GB2312"/>
          <w:sz w:val="28"/>
        </w:rPr>
        <w:t>4、 对比度≥4000:1</w:t>
      </w:r>
    </w:p>
    <w:p>
      <w:pPr>
        <w:spacing w:line="360" w:lineRule="auto"/>
        <w:ind w:firstLine="560" w:firstLineChars="200"/>
        <w:rPr>
          <w:rFonts w:hint="eastAsia" w:eastAsia="仿宋_GB2312"/>
          <w:sz w:val="28"/>
        </w:rPr>
      </w:pPr>
      <w:r>
        <w:rPr>
          <w:rFonts w:hint="eastAsia" w:eastAsia="仿宋_GB2312"/>
          <w:sz w:val="28"/>
        </w:rPr>
        <w:t>5、 分辨率不小于1920*1080</w:t>
      </w:r>
    </w:p>
    <w:p>
      <w:pPr>
        <w:spacing w:line="360" w:lineRule="auto"/>
        <w:ind w:firstLine="560" w:firstLineChars="200"/>
        <w:rPr>
          <w:rFonts w:hint="eastAsia" w:eastAsia="仿宋_GB2312"/>
          <w:sz w:val="28"/>
        </w:rPr>
      </w:pPr>
      <w:r>
        <w:rPr>
          <w:rFonts w:hint="eastAsia" w:eastAsia="仿宋_GB2312"/>
          <w:sz w:val="28"/>
        </w:rPr>
        <w:t>6、 提供三星原厂面板授权证明复印件</w:t>
      </w:r>
    </w:p>
    <w:p>
      <w:pPr>
        <w:spacing w:line="360" w:lineRule="auto"/>
        <w:ind w:firstLine="560" w:firstLineChars="200"/>
        <w:rPr>
          <w:rFonts w:hint="eastAsia" w:eastAsia="仿宋_GB2312"/>
          <w:sz w:val="28"/>
        </w:rPr>
      </w:pPr>
      <w:r>
        <w:rPr>
          <w:rFonts w:hint="eastAsia" w:eastAsia="仿宋_GB2312"/>
          <w:sz w:val="28"/>
        </w:rPr>
        <w:t>7、 视频输入接口至少具备1个DVI接口，1个HDMI接口，1个VGA接口</w:t>
      </w:r>
    </w:p>
    <w:p>
      <w:pPr>
        <w:spacing w:line="360" w:lineRule="auto"/>
        <w:ind w:firstLine="560" w:firstLineChars="200"/>
        <w:rPr>
          <w:rFonts w:hint="eastAsia" w:eastAsia="仿宋_GB2312"/>
          <w:sz w:val="28"/>
        </w:rPr>
      </w:pPr>
      <w:r>
        <w:rPr>
          <w:rFonts w:hint="eastAsia" w:eastAsia="仿宋_GB2312"/>
          <w:sz w:val="28"/>
        </w:rPr>
        <w:t>8、 液晶拼接显示单元整机采用冷轧钢板材质，结构件需一体成型，显示屏具备完整后壳，不得以支架或挡板替代，无任何裸露在外的电路线，整体美观大方。</w:t>
      </w:r>
    </w:p>
    <w:p>
      <w:pPr>
        <w:spacing w:line="360" w:lineRule="auto"/>
        <w:ind w:firstLine="560" w:firstLineChars="200"/>
        <w:rPr>
          <w:rFonts w:hint="eastAsia" w:eastAsia="仿宋_GB2312"/>
          <w:sz w:val="28"/>
        </w:rPr>
      </w:pPr>
      <w:r>
        <w:rPr>
          <w:rFonts w:hint="eastAsia" w:eastAsia="仿宋_GB2312"/>
          <w:sz w:val="28"/>
        </w:rPr>
        <w:t>9、 控制接口：1个输入RS-232接口，1个输出RS-232接口,1个红外接口，1个USB接口，具备U盘内视频，文档等文件的直接播放功能；液晶单元软件程序支持通过USB口升级。</w:t>
      </w:r>
    </w:p>
    <w:p>
      <w:pPr>
        <w:spacing w:line="360" w:lineRule="auto"/>
        <w:ind w:firstLine="560" w:firstLineChars="200"/>
        <w:rPr>
          <w:rFonts w:hint="eastAsia" w:eastAsia="仿宋_GB2312"/>
          <w:sz w:val="28"/>
        </w:rPr>
      </w:pPr>
      <w:r>
        <w:rPr>
          <w:rFonts w:hint="eastAsia" w:eastAsia="仿宋_GB2312"/>
          <w:sz w:val="28"/>
        </w:rPr>
        <w:t>10、 多个液晶拼接显示单元具备一键色彩调整功能，配合独有的色彩调校传感器和核心算法可实现快速调整屏幕色差。</w:t>
      </w:r>
    </w:p>
    <w:p>
      <w:pPr>
        <w:spacing w:line="360" w:lineRule="auto"/>
        <w:ind w:firstLine="560" w:firstLineChars="200"/>
        <w:rPr>
          <w:rFonts w:hint="eastAsia" w:eastAsia="仿宋_GB2312"/>
          <w:sz w:val="28"/>
        </w:rPr>
      </w:pPr>
      <w:r>
        <w:rPr>
          <w:rFonts w:hint="eastAsia" w:eastAsia="仿宋_GB2312"/>
          <w:sz w:val="28"/>
        </w:rPr>
        <w:t>11、 设备应支持被CS 客户端集中管理 ，支持多级用户权限管理、支持多场景模式管理。</w:t>
      </w:r>
    </w:p>
    <w:p>
      <w:pPr>
        <w:spacing w:line="360" w:lineRule="auto"/>
        <w:ind w:firstLine="560" w:firstLineChars="200"/>
        <w:rPr>
          <w:rFonts w:hint="eastAsia" w:eastAsia="仿宋_GB2312"/>
          <w:sz w:val="28"/>
        </w:rPr>
      </w:pPr>
      <w:r>
        <w:rPr>
          <w:rFonts w:hint="eastAsia" w:eastAsia="仿宋_GB2312"/>
          <w:sz w:val="28"/>
        </w:rPr>
        <w:t>12、 液晶拼接显示单元具备四级色温模式自动调整功能，同时支持色温无级调节，可在 2000K 至 12000K 之间调节。</w:t>
      </w:r>
    </w:p>
    <w:p>
      <w:pPr>
        <w:spacing w:line="360" w:lineRule="auto"/>
        <w:ind w:firstLine="560" w:firstLineChars="200"/>
        <w:rPr>
          <w:rFonts w:hint="eastAsia" w:eastAsia="仿宋_GB2312"/>
          <w:sz w:val="28"/>
        </w:rPr>
      </w:pPr>
      <w:r>
        <w:rPr>
          <w:rFonts w:hint="eastAsia" w:eastAsia="仿宋_GB2312"/>
          <w:sz w:val="28"/>
        </w:rPr>
        <w:t>13、 晶拼接显示单元具备自动、16:9、4:3三种图像缩放显示模式。</w:t>
      </w:r>
    </w:p>
    <w:p>
      <w:pPr>
        <w:spacing w:line="360" w:lineRule="auto"/>
        <w:ind w:firstLine="560" w:firstLineChars="200"/>
        <w:rPr>
          <w:rFonts w:hint="eastAsia" w:eastAsia="仿宋_GB2312"/>
          <w:sz w:val="28"/>
        </w:rPr>
      </w:pPr>
      <w:r>
        <w:rPr>
          <w:rFonts w:hint="eastAsia" w:eastAsia="仿宋_GB2312"/>
          <w:sz w:val="28"/>
        </w:rPr>
        <w:t>14、 液晶拼接显示单元具备显示图像0°、90°、180°、270°四种放置播放模式。</w:t>
      </w:r>
    </w:p>
    <w:p>
      <w:pPr>
        <w:spacing w:line="360" w:lineRule="auto"/>
        <w:ind w:firstLine="560" w:firstLineChars="200"/>
        <w:rPr>
          <w:rFonts w:hint="eastAsia" w:eastAsia="仿宋_GB2312"/>
          <w:sz w:val="28"/>
        </w:rPr>
      </w:pPr>
      <w:r>
        <w:rPr>
          <w:rFonts w:hint="eastAsia" w:eastAsia="仿宋_GB2312"/>
          <w:sz w:val="28"/>
        </w:rPr>
        <w:t>15、 设备需具备色彩诊断能力，并能对色彩进行自动修正。</w:t>
      </w:r>
    </w:p>
    <w:p>
      <w:pPr>
        <w:spacing w:line="360" w:lineRule="auto"/>
        <w:ind w:firstLine="560" w:firstLineChars="200"/>
        <w:rPr>
          <w:rFonts w:hint="eastAsia" w:eastAsia="仿宋_GB2312"/>
          <w:sz w:val="28"/>
        </w:rPr>
      </w:pPr>
      <w:r>
        <w:rPr>
          <w:rFonts w:hint="eastAsia" w:eastAsia="仿宋_GB2312"/>
          <w:sz w:val="28"/>
        </w:rPr>
        <w:t>16、 液晶拼接显示单元具备去蓝光护眼功能，开启护眼模式后，蓝光量可下降30%，减弱蓝光对观看人员的眼睛进行有效保护。</w:t>
      </w:r>
    </w:p>
    <w:p>
      <w:pPr>
        <w:spacing w:line="360" w:lineRule="auto"/>
        <w:ind w:firstLine="560" w:firstLineChars="200"/>
        <w:rPr>
          <w:rFonts w:hint="eastAsia" w:eastAsia="仿宋_GB2312"/>
          <w:sz w:val="28"/>
        </w:rPr>
      </w:pPr>
      <w:r>
        <w:rPr>
          <w:rFonts w:hint="eastAsia" w:eastAsia="仿宋_GB2312"/>
          <w:sz w:val="28"/>
        </w:rPr>
        <w:t>17、 自动化实现不同规格以及不同规模拼接墙的拼缝补偿，从而提高拼缝补偿效率。</w:t>
      </w:r>
    </w:p>
    <w:p>
      <w:pPr>
        <w:spacing w:line="360" w:lineRule="auto"/>
        <w:ind w:firstLine="560" w:firstLineChars="200"/>
        <w:rPr>
          <w:rFonts w:hint="eastAsia" w:eastAsia="仿宋_GB2312"/>
          <w:sz w:val="28"/>
        </w:rPr>
      </w:pPr>
      <w:r>
        <w:rPr>
          <w:rFonts w:hint="eastAsia" w:eastAsia="仿宋_GB2312"/>
          <w:sz w:val="28"/>
        </w:rPr>
        <w:t>18、 液晶拼接显示单元具备节能模式，打开节能模式液晶拼接屏正常运行时的平均功耗最高可以降低50%。</w:t>
      </w:r>
    </w:p>
    <w:p>
      <w:pPr>
        <w:spacing w:line="360" w:lineRule="auto"/>
        <w:ind w:firstLine="560" w:firstLineChars="200"/>
        <w:rPr>
          <w:rFonts w:hint="eastAsia" w:eastAsia="仿宋_GB2312"/>
          <w:sz w:val="28"/>
        </w:rPr>
      </w:pPr>
      <w:r>
        <w:rPr>
          <w:rFonts w:hint="eastAsia" w:eastAsia="仿宋_GB2312"/>
          <w:sz w:val="28"/>
        </w:rPr>
        <w:t>19、 液晶拼接显示显示单元的色彩还原准确性指标ΔE≤0.9。</w:t>
      </w:r>
    </w:p>
    <w:p>
      <w:pPr>
        <w:spacing w:line="360" w:lineRule="auto"/>
        <w:ind w:firstLine="560" w:firstLineChars="200"/>
        <w:rPr>
          <w:rFonts w:eastAsia="仿宋_GB2312"/>
          <w:sz w:val="28"/>
        </w:rPr>
      </w:pPr>
      <w:r>
        <w:rPr>
          <w:rFonts w:hint="eastAsia" w:eastAsia="仿宋_GB2312"/>
          <w:sz w:val="28"/>
        </w:rPr>
        <w:t>20、 液晶拼接显示单元具备防止长时间运行造成的极化现象</w:t>
      </w:r>
    </w:p>
    <w:p>
      <w:pPr>
        <w:numPr>
          <w:ilvl w:val="0"/>
          <w:numId w:val="22"/>
        </w:numPr>
        <w:spacing w:line="360" w:lineRule="auto"/>
        <w:rPr>
          <w:rFonts w:eastAsia="仿宋_GB2312"/>
          <w:b/>
          <w:bCs/>
          <w:sz w:val="28"/>
        </w:rPr>
      </w:pPr>
      <w:r>
        <w:rPr>
          <w:rFonts w:hint="eastAsia" w:eastAsia="仿宋_GB2312"/>
          <w:b/>
          <w:bCs/>
          <w:sz w:val="28"/>
        </w:rPr>
        <w:t>视频综合平台</w:t>
      </w:r>
    </w:p>
    <w:p>
      <w:pPr>
        <w:spacing w:line="360" w:lineRule="auto"/>
        <w:ind w:firstLine="560" w:firstLineChars="200"/>
        <w:rPr>
          <w:rFonts w:hint="eastAsia" w:eastAsia="仿宋_GB2312"/>
          <w:sz w:val="28"/>
        </w:rPr>
      </w:pPr>
      <w:r>
        <w:rPr>
          <w:rFonts w:hint="eastAsia" w:eastAsia="仿宋_GB2312"/>
          <w:sz w:val="28"/>
        </w:rPr>
        <w:t>1、 支持1200W/4K/1080P/720P/D1/4CIF/CIF分辨率解码</w:t>
      </w:r>
    </w:p>
    <w:p>
      <w:pPr>
        <w:spacing w:line="360" w:lineRule="auto"/>
        <w:ind w:firstLine="560" w:firstLineChars="200"/>
        <w:rPr>
          <w:rFonts w:hint="eastAsia" w:eastAsia="仿宋_GB2312"/>
          <w:sz w:val="28"/>
        </w:rPr>
      </w:pPr>
      <w:r>
        <w:rPr>
          <w:rFonts w:hint="eastAsia" w:eastAsia="仿宋_GB2312"/>
          <w:sz w:val="28"/>
        </w:rPr>
        <w:t>2、 支持9:16、16:9、4:3、3:4等多种比例图像解码输出上墙</w:t>
      </w:r>
    </w:p>
    <w:p>
      <w:pPr>
        <w:spacing w:line="360" w:lineRule="auto"/>
        <w:ind w:firstLine="560" w:firstLineChars="200"/>
        <w:rPr>
          <w:rFonts w:hint="eastAsia" w:eastAsia="仿宋_GB2312"/>
          <w:sz w:val="28"/>
        </w:rPr>
      </w:pPr>
      <w:r>
        <w:rPr>
          <w:rFonts w:hint="eastAsia" w:eastAsia="仿宋_GB2312"/>
          <w:sz w:val="28"/>
        </w:rPr>
        <w:t>3、 方便整个电视墙的快速布局，具备自定义电视墙布局功能，一键完成对整个电视墙的布局</w:t>
      </w:r>
    </w:p>
    <w:p>
      <w:pPr>
        <w:spacing w:line="360" w:lineRule="auto"/>
        <w:ind w:firstLine="560" w:firstLineChars="200"/>
        <w:rPr>
          <w:rFonts w:hint="eastAsia" w:eastAsia="仿宋_GB2312"/>
          <w:sz w:val="28"/>
        </w:rPr>
      </w:pPr>
      <w:r>
        <w:rPr>
          <w:rFonts w:hint="eastAsia" w:eastAsia="仿宋_GB2312"/>
          <w:sz w:val="28"/>
        </w:rPr>
        <w:t>4、 便于操作人员快速识别电视墙不同业务，实况、回放、轮切、轮巡业务都有不同的颜色标注加以区分</w:t>
      </w:r>
    </w:p>
    <w:p>
      <w:pPr>
        <w:spacing w:line="360" w:lineRule="auto"/>
        <w:ind w:firstLine="560" w:firstLineChars="200"/>
        <w:rPr>
          <w:rFonts w:hint="eastAsia" w:eastAsia="仿宋_GB2312"/>
          <w:sz w:val="28"/>
        </w:rPr>
      </w:pPr>
      <w:r>
        <w:rPr>
          <w:rFonts w:hint="eastAsia" w:eastAsia="仿宋_GB2312"/>
          <w:sz w:val="28"/>
        </w:rPr>
        <w:t>5、 支持拼接屏的手动、定时、倒计时开关机</w:t>
      </w:r>
    </w:p>
    <w:p>
      <w:pPr>
        <w:spacing w:line="360" w:lineRule="auto"/>
        <w:ind w:firstLine="560" w:firstLineChars="200"/>
        <w:rPr>
          <w:rFonts w:hint="eastAsia" w:eastAsia="仿宋_GB2312"/>
          <w:sz w:val="28"/>
        </w:rPr>
      </w:pPr>
      <w:r>
        <w:rPr>
          <w:rFonts w:hint="eastAsia" w:eastAsia="仿宋_GB2312"/>
          <w:sz w:val="28"/>
        </w:rPr>
        <w:t>6、 支持码流解密功能，可以对加密的IPC码流数据进行解码，并输出</w:t>
      </w:r>
    </w:p>
    <w:p>
      <w:pPr>
        <w:spacing w:line="360" w:lineRule="auto"/>
        <w:ind w:firstLine="560" w:firstLineChars="200"/>
        <w:rPr>
          <w:rFonts w:hint="eastAsia" w:eastAsia="仿宋_GB2312"/>
          <w:sz w:val="28"/>
        </w:rPr>
      </w:pPr>
      <w:r>
        <w:rPr>
          <w:rFonts w:hint="eastAsia" w:eastAsia="仿宋_GB2312"/>
          <w:sz w:val="28"/>
        </w:rPr>
        <w:t>7、 支持告警联动到指定电视墙窗口，并加以红框警示</w:t>
      </w:r>
    </w:p>
    <w:p>
      <w:pPr>
        <w:spacing w:line="360" w:lineRule="auto"/>
        <w:ind w:firstLine="560" w:firstLineChars="200"/>
        <w:rPr>
          <w:rFonts w:hint="eastAsia" w:eastAsia="仿宋_GB2312"/>
          <w:sz w:val="28"/>
        </w:rPr>
      </w:pPr>
      <w:r>
        <w:rPr>
          <w:rFonts w:hint="eastAsia" w:eastAsia="仿宋_GB2312"/>
          <w:sz w:val="28"/>
        </w:rPr>
        <w:t>8、 设备资源不足时可直接在电视墙上显示解码资源不足</w:t>
      </w:r>
    </w:p>
    <w:p>
      <w:pPr>
        <w:spacing w:line="360" w:lineRule="auto"/>
        <w:ind w:firstLine="560" w:firstLineChars="200"/>
        <w:rPr>
          <w:rFonts w:hint="eastAsia" w:eastAsia="仿宋_GB2312"/>
          <w:sz w:val="28"/>
        </w:rPr>
      </w:pPr>
      <w:r>
        <w:rPr>
          <w:rFonts w:hint="eastAsia" w:eastAsia="仿宋_GB2312"/>
          <w:sz w:val="28"/>
        </w:rPr>
        <w:t>9、 单屏支持1/4/6/8/9/13/16分屏</w:t>
      </w:r>
    </w:p>
    <w:p>
      <w:pPr>
        <w:spacing w:line="360" w:lineRule="auto"/>
        <w:ind w:firstLine="560" w:firstLineChars="200"/>
        <w:rPr>
          <w:rFonts w:hint="eastAsia" w:eastAsia="仿宋_GB2312"/>
          <w:sz w:val="28"/>
        </w:rPr>
      </w:pPr>
      <w:r>
        <w:rPr>
          <w:rFonts w:hint="eastAsia" w:eastAsia="仿宋_GB2312"/>
          <w:sz w:val="28"/>
        </w:rPr>
        <w:t>10、 窗口漫游过程中，窗口可不刷黑</w:t>
      </w:r>
    </w:p>
    <w:p>
      <w:pPr>
        <w:spacing w:line="360" w:lineRule="auto"/>
        <w:ind w:firstLine="560" w:firstLineChars="200"/>
        <w:rPr>
          <w:rFonts w:hint="eastAsia" w:eastAsia="仿宋_GB2312"/>
          <w:sz w:val="28"/>
        </w:rPr>
      </w:pPr>
      <w:r>
        <w:rPr>
          <w:rFonts w:hint="eastAsia" w:eastAsia="仿宋_GB2312"/>
          <w:sz w:val="28"/>
        </w:rPr>
        <w:t>11、 在轮切过程中，切换时窗口不刷黑</w:t>
      </w:r>
    </w:p>
    <w:p>
      <w:pPr>
        <w:spacing w:line="360" w:lineRule="auto"/>
        <w:ind w:firstLine="560" w:firstLineChars="200"/>
        <w:rPr>
          <w:rFonts w:hint="eastAsia" w:eastAsia="仿宋_GB2312"/>
          <w:sz w:val="28"/>
        </w:rPr>
      </w:pPr>
      <w:r>
        <w:rPr>
          <w:rFonts w:hint="eastAsia" w:eastAsia="仿宋_GB2312"/>
          <w:sz w:val="28"/>
        </w:rPr>
        <w:t>12、 支持多个场景间的切换，可保存64个场景</w:t>
      </w:r>
    </w:p>
    <w:p>
      <w:pPr>
        <w:spacing w:line="360" w:lineRule="auto"/>
        <w:ind w:firstLine="560" w:firstLineChars="200"/>
        <w:rPr>
          <w:rFonts w:hint="eastAsia" w:eastAsia="仿宋_GB2312"/>
          <w:sz w:val="28"/>
        </w:rPr>
      </w:pPr>
      <w:r>
        <w:rPr>
          <w:rFonts w:hint="eastAsia" w:eastAsia="仿宋_GB2312"/>
          <w:sz w:val="28"/>
        </w:rPr>
        <w:t>13、 场景布局发生改变的情况下，电视墙从100路实况的场景切换到100路实况的场景的切换时间＜1S</w:t>
      </w:r>
    </w:p>
    <w:p>
      <w:pPr>
        <w:spacing w:line="360" w:lineRule="auto"/>
        <w:ind w:firstLine="560" w:firstLineChars="200"/>
        <w:rPr>
          <w:rFonts w:hint="eastAsia" w:eastAsia="仿宋_GB2312"/>
          <w:sz w:val="28"/>
        </w:rPr>
      </w:pPr>
      <w:r>
        <w:rPr>
          <w:rFonts w:hint="eastAsia" w:eastAsia="仿宋_GB2312"/>
          <w:sz w:val="28"/>
        </w:rPr>
        <w:t>14、 场景切换过程中，实况画面不会出现刷黑的情况，所有画面无缝切换</w:t>
      </w:r>
    </w:p>
    <w:p>
      <w:pPr>
        <w:spacing w:line="360" w:lineRule="auto"/>
        <w:ind w:firstLine="560" w:firstLineChars="200"/>
        <w:rPr>
          <w:rFonts w:hint="eastAsia" w:eastAsia="仿宋_GB2312"/>
          <w:sz w:val="28"/>
        </w:rPr>
      </w:pPr>
      <w:r>
        <w:rPr>
          <w:rFonts w:hint="eastAsia" w:eastAsia="仿宋_GB2312"/>
          <w:sz w:val="28"/>
        </w:rPr>
        <w:t>15、 支持后端给实况叠加OSD</w:t>
      </w:r>
    </w:p>
    <w:p>
      <w:pPr>
        <w:spacing w:line="360" w:lineRule="auto"/>
        <w:ind w:firstLine="560" w:firstLineChars="200"/>
        <w:rPr>
          <w:rFonts w:hint="eastAsia" w:eastAsia="仿宋_GB2312"/>
          <w:sz w:val="28"/>
        </w:rPr>
      </w:pPr>
      <w:r>
        <w:rPr>
          <w:rFonts w:hint="eastAsia" w:eastAsia="仿宋_GB2312"/>
          <w:sz w:val="28"/>
        </w:rPr>
        <w:t>16、 设备同一输入视频图像在上下两个屏幕拼接显示的时差&lt;33ms</w:t>
      </w:r>
    </w:p>
    <w:p>
      <w:pPr>
        <w:spacing w:line="360" w:lineRule="auto"/>
        <w:ind w:firstLine="560" w:firstLineChars="200"/>
        <w:rPr>
          <w:rFonts w:hint="eastAsia" w:eastAsia="仿宋_GB2312"/>
          <w:sz w:val="28"/>
        </w:rPr>
      </w:pPr>
      <w:r>
        <w:rPr>
          <w:rFonts w:hint="eastAsia" w:eastAsia="仿宋_GB2312"/>
          <w:sz w:val="28"/>
        </w:rPr>
        <w:t>17、 同一输入通道的视频图像在不同输出端口显示的失步误差＜1ms</w:t>
      </w:r>
    </w:p>
    <w:p>
      <w:pPr>
        <w:spacing w:line="360" w:lineRule="auto"/>
        <w:ind w:firstLine="560" w:firstLineChars="200"/>
        <w:rPr>
          <w:rFonts w:hint="eastAsia" w:eastAsia="仿宋_GB2312"/>
          <w:sz w:val="28"/>
        </w:rPr>
      </w:pPr>
      <w:r>
        <w:rPr>
          <w:rFonts w:hint="eastAsia" w:eastAsia="仿宋_GB2312"/>
          <w:sz w:val="28"/>
        </w:rPr>
        <w:t>18、 输入输出板卡支持热插拔，直接拔插后，上墙业务可自动恢复</w:t>
      </w:r>
    </w:p>
    <w:p>
      <w:pPr>
        <w:spacing w:line="360" w:lineRule="auto"/>
        <w:ind w:firstLine="560" w:firstLineChars="200"/>
        <w:rPr>
          <w:rFonts w:hint="eastAsia" w:eastAsia="仿宋_GB2312"/>
          <w:sz w:val="28"/>
        </w:rPr>
      </w:pPr>
      <w:r>
        <w:rPr>
          <w:rFonts w:hint="eastAsia" w:eastAsia="仿宋_GB2312"/>
          <w:sz w:val="28"/>
        </w:rPr>
        <w:t>19、 入输出板卡支持混插，可以插入设备的任意槽位中</w:t>
      </w:r>
    </w:p>
    <w:p>
      <w:pPr>
        <w:spacing w:line="360" w:lineRule="auto"/>
        <w:ind w:firstLine="560" w:firstLineChars="200"/>
        <w:rPr>
          <w:rFonts w:hint="eastAsia" w:eastAsia="仿宋_GB2312"/>
          <w:sz w:val="28"/>
        </w:rPr>
      </w:pPr>
      <w:r>
        <w:rPr>
          <w:rFonts w:hint="eastAsia" w:eastAsia="仿宋_GB2312"/>
          <w:sz w:val="28"/>
        </w:rPr>
        <w:t>20、 支持设备正反面都可以插卡</w:t>
      </w:r>
    </w:p>
    <w:p>
      <w:pPr>
        <w:spacing w:line="360" w:lineRule="auto"/>
        <w:ind w:firstLine="560" w:firstLineChars="200"/>
        <w:rPr>
          <w:rFonts w:hint="eastAsia" w:eastAsia="仿宋_GB2312"/>
          <w:sz w:val="28"/>
        </w:rPr>
      </w:pPr>
      <w:r>
        <w:rPr>
          <w:rFonts w:hint="eastAsia" w:eastAsia="仿宋_GB2312"/>
          <w:sz w:val="28"/>
        </w:rPr>
        <w:t>21、 持插入4张板卡，每张卡8个输出口，最大32输出口</w:t>
      </w:r>
    </w:p>
    <w:p>
      <w:pPr>
        <w:spacing w:line="360" w:lineRule="auto"/>
        <w:ind w:firstLine="560" w:firstLineChars="200"/>
        <w:rPr>
          <w:rFonts w:hint="eastAsia" w:eastAsia="仿宋_GB2312"/>
          <w:sz w:val="28"/>
        </w:rPr>
      </w:pPr>
      <w:r>
        <w:rPr>
          <w:rFonts w:hint="eastAsia" w:eastAsia="仿宋_GB2312"/>
          <w:sz w:val="28"/>
        </w:rPr>
        <w:t>22、 设备支持≥8个光口,支持≥8个电口,支持≥8个风扇,单板支持≥8个独立音频口</w:t>
      </w:r>
    </w:p>
    <w:p>
      <w:pPr>
        <w:spacing w:line="360" w:lineRule="auto"/>
        <w:ind w:firstLine="560" w:firstLineChars="200"/>
        <w:rPr>
          <w:rFonts w:hint="eastAsia" w:eastAsia="仿宋_GB2312"/>
          <w:sz w:val="28"/>
        </w:rPr>
      </w:pPr>
      <w:r>
        <w:rPr>
          <w:rFonts w:hint="eastAsia" w:eastAsia="仿宋_GB2312"/>
          <w:sz w:val="28"/>
        </w:rPr>
        <w:t>23、 可与原有视频监控平台无缝对接</w:t>
      </w:r>
    </w:p>
    <w:p>
      <w:pPr>
        <w:keepNext/>
        <w:keepLines/>
        <w:numPr>
          <w:ilvl w:val="0"/>
          <w:numId w:val="3"/>
        </w:numPr>
        <w:spacing w:line="360" w:lineRule="auto"/>
        <w:ind w:left="602" w:hanging="602" w:hangingChars="200"/>
        <w:outlineLvl w:val="0"/>
        <w:rPr>
          <w:rFonts w:eastAsia="黑体"/>
          <w:b/>
          <w:bCs/>
          <w:kern w:val="44"/>
          <w:sz w:val="30"/>
          <w:szCs w:val="30"/>
        </w:rPr>
      </w:pPr>
      <w:bookmarkStart w:id="397" w:name="_Toc7170824"/>
      <w:bookmarkEnd w:id="397"/>
      <w:bookmarkStart w:id="398" w:name="_Toc6244567"/>
      <w:bookmarkEnd w:id="398"/>
      <w:bookmarkStart w:id="399" w:name="_Toc7170815"/>
      <w:bookmarkEnd w:id="399"/>
      <w:bookmarkStart w:id="400" w:name="_Toc6244566"/>
      <w:bookmarkEnd w:id="400"/>
      <w:bookmarkStart w:id="401" w:name="_Toc7170816"/>
      <w:bookmarkEnd w:id="401"/>
      <w:bookmarkStart w:id="402" w:name="_Toc7170826"/>
      <w:bookmarkEnd w:id="402"/>
      <w:bookmarkStart w:id="403" w:name="_Toc7170828"/>
      <w:bookmarkEnd w:id="403"/>
      <w:bookmarkStart w:id="404" w:name="_Toc6244565"/>
      <w:bookmarkEnd w:id="404"/>
      <w:bookmarkStart w:id="405" w:name="_Toc7170827"/>
      <w:bookmarkEnd w:id="405"/>
      <w:bookmarkStart w:id="406" w:name="_Toc7170829"/>
      <w:bookmarkEnd w:id="406"/>
      <w:bookmarkStart w:id="407" w:name="_Toc7170814"/>
      <w:bookmarkEnd w:id="407"/>
      <w:bookmarkStart w:id="408" w:name="_Toc6244581"/>
      <w:bookmarkEnd w:id="408"/>
      <w:bookmarkStart w:id="409" w:name="_Toc7170830"/>
      <w:bookmarkEnd w:id="409"/>
      <w:bookmarkStart w:id="410" w:name="_Toc7170831"/>
      <w:bookmarkEnd w:id="410"/>
      <w:bookmarkStart w:id="411" w:name="_Toc6244580"/>
      <w:bookmarkEnd w:id="411"/>
      <w:bookmarkStart w:id="412" w:name="_Toc6244579"/>
      <w:bookmarkEnd w:id="412"/>
      <w:bookmarkStart w:id="413" w:name="_Toc6244575"/>
      <w:bookmarkEnd w:id="413"/>
      <w:bookmarkStart w:id="414" w:name="_Toc6244577"/>
      <w:bookmarkEnd w:id="414"/>
      <w:bookmarkStart w:id="415" w:name="_Toc7170825"/>
      <w:bookmarkEnd w:id="415"/>
      <w:bookmarkStart w:id="416" w:name="_Toc6244578"/>
      <w:bookmarkEnd w:id="416"/>
      <w:bookmarkStart w:id="417" w:name="_Toc6244576"/>
      <w:bookmarkEnd w:id="417"/>
      <w:bookmarkStart w:id="418" w:name="_Toc7170822"/>
      <w:bookmarkEnd w:id="418"/>
      <w:bookmarkStart w:id="419" w:name="_Toc7170819"/>
      <w:bookmarkEnd w:id="419"/>
      <w:bookmarkStart w:id="420" w:name="_Toc6244570"/>
      <w:bookmarkEnd w:id="420"/>
      <w:bookmarkStart w:id="421" w:name="_Toc414365422"/>
      <w:bookmarkEnd w:id="421"/>
      <w:bookmarkStart w:id="422" w:name="_Toc6244574"/>
      <w:bookmarkEnd w:id="422"/>
      <w:bookmarkStart w:id="423" w:name="_Toc7170823"/>
      <w:bookmarkEnd w:id="423"/>
      <w:bookmarkStart w:id="424" w:name="_Toc414259860"/>
      <w:bookmarkEnd w:id="424"/>
      <w:bookmarkStart w:id="425" w:name="_Toc7170820"/>
      <w:bookmarkEnd w:id="425"/>
      <w:bookmarkStart w:id="426" w:name="_Toc6244569"/>
      <w:bookmarkEnd w:id="426"/>
      <w:bookmarkStart w:id="427" w:name="_Toc6244564"/>
      <w:bookmarkEnd w:id="427"/>
      <w:bookmarkStart w:id="428" w:name="_Toc414365424"/>
      <w:bookmarkEnd w:id="428"/>
      <w:bookmarkStart w:id="429" w:name="_Toc7170817"/>
      <w:bookmarkEnd w:id="429"/>
      <w:bookmarkStart w:id="430" w:name="_Toc6244568"/>
      <w:bookmarkEnd w:id="430"/>
      <w:bookmarkStart w:id="431" w:name="_Toc7170821"/>
      <w:bookmarkEnd w:id="431"/>
      <w:bookmarkStart w:id="432" w:name="_Toc414259859"/>
      <w:bookmarkEnd w:id="432"/>
      <w:bookmarkStart w:id="433" w:name="_Toc6244572"/>
      <w:bookmarkEnd w:id="433"/>
      <w:bookmarkStart w:id="434" w:name="_Toc414365423"/>
      <w:bookmarkEnd w:id="434"/>
      <w:bookmarkStart w:id="435" w:name="_Toc7170818"/>
      <w:bookmarkEnd w:id="435"/>
      <w:bookmarkStart w:id="436" w:name="_Toc6244571"/>
      <w:bookmarkEnd w:id="436"/>
      <w:bookmarkStart w:id="437" w:name="_Toc414259861"/>
      <w:bookmarkEnd w:id="437"/>
      <w:bookmarkStart w:id="438" w:name="_Toc6244573"/>
      <w:bookmarkEnd w:id="438"/>
      <w:bookmarkStart w:id="439" w:name="_Toc9349"/>
      <w:bookmarkStart w:id="440" w:name="_Toc24359"/>
      <w:bookmarkStart w:id="441" w:name="_Toc12881141"/>
      <w:bookmarkStart w:id="442" w:name="_Toc4268"/>
      <w:bookmarkStart w:id="443" w:name="_Toc13749"/>
      <w:bookmarkStart w:id="444" w:name="_Toc401041597"/>
      <w:bookmarkStart w:id="445" w:name="_Toc414365432"/>
      <w:r>
        <w:rPr>
          <w:rFonts w:hint="eastAsia" w:eastAsia="黑体"/>
          <w:b/>
          <w:bCs/>
          <w:kern w:val="44"/>
          <w:sz w:val="30"/>
          <w:szCs w:val="30"/>
        </w:rPr>
        <w:t>项目运维管理</w:t>
      </w:r>
      <w:bookmarkEnd w:id="439"/>
      <w:bookmarkEnd w:id="440"/>
      <w:bookmarkEnd w:id="441"/>
      <w:bookmarkEnd w:id="442"/>
      <w:bookmarkEnd w:id="443"/>
    </w:p>
    <w:p>
      <w:pPr>
        <w:keepNext/>
        <w:keepLines/>
        <w:numPr>
          <w:ilvl w:val="1"/>
          <w:numId w:val="3"/>
        </w:numPr>
        <w:tabs>
          <w:tab w:val="left" w:pos="1560"/>
        </w:tabs>
        <w:spacing w:before="260" w:after="260" w:line="415" w:lineRule="auto"/>
        <w:outlineLvl w:val="1"/>
        <w:rPr>
          <w:rFonts w:ascii="Arial" w:hAnsi="Arial" w:eastAsia="仿宋_GB2312"/>
          <w:b/>
          <w:bCs/>
          <w:sz w:val="28"/>
          <w:szCs w:val="28"/>
        </w:rPr>
      </w:pPr>
      <w:bookmarkStart w:id="446" w:name="_Toc12881142"/>
      <w:bookmarkStart w:id="447" w:name="_Toc22777"/>
      <w:bookmarkStart w:id="448" w:name="_Toc23358"/>
      <w:bookmarkStart w:id="449" w:name="_Toc484439882"/>
      <w:bookmarkStart w:id="450" w:name="_Toc28508"/>
      <w:bookmarkStart w:id="451" w:name="_Toc22764"/>
      <w:bookmarkStart w:id="452" w:name="_Toc31927"/>
      <w:r>
        <w:rPr>
          <w:rFonts w:hint="eastAsia" w:ascii="Arial" w:hAnsi="Arial" w:eastAsia="仿宋_GB2312"/>
          <w:b/>
          <w:bCs/>
          <w:sz w:val="28"/>
          <w:szCs w:val="28"/>
        </w:rPr>
        <w:t>项目建设管理</w:t>
      </w:r>
      <w:bookmarkEnd w:id="446"/>
      <w:bookmarkEnd w:id="447"/>
      <w:bookmarkEnd w:id="448"/>
      <w:bookmarkEnd w:id="449"/>
      <w:bookmarkEnd w:id="450"/>
      <w:bookmarkEnd w:id="451"/>
      <w:bookmarkEnd w:id="452"/>
    </w:p>
    <w:p>
      <w:pPr>
        <w:spacing w:line="360" w:lineRule="auto"/>
        <w:ind w:firstLine="560" w:firstLineChars="200"/>
        <w:rPr>
          <w:rFonts w:ascii="仿宋_GB2312" w:eastAsia="仿宋_GB2312"/>
          <w:sz w:val="28"/>
          <w:szCs w:val="28"/>
        </w:rPr>
      </w:pPr>
      <w:r>
        <w:rPr>
          <w:rFonts w:hint="eastAsia" w:ascii="仿宋_GB2312" w:eastAsia="仿宋_GB2312"/>
          <w:sz w:val="28"/>
          <w:szCs w:val="28"/>
        </w:rPr>
        <w:t>滨海治安监控二期项目是一项综合性的工程，人力、物力、财力投入巨大，涉及面广，影响长远。为确保该系统建设工作的顺利进行和整体效益的发挥，需按省市建设管理要求，推进工程建设。</w:t>
      </w:r>
    </w:p>
    <w:p>
      <w:pPr>
        <w:keepNext/>
        <w:keepLines/>
        <w:numPr>
          <w:ilvl w:val="1"/>
          <w:numId w:val="3"/>
        </w:numPr>
        <w:tabs>
          <w:tab w:val="left" w:pos="1560"/>
        </w:tabs>
        <w:spacing w:before="260" w:after="260" w:line="415" w:lineRule="auto"/>
        <w:outlineLvl w:val="1"/>
        <w:rPr>
          <w:rFonts w:ascii="Arial" w:hAnsi="Arial" w:eastAsia="仿宋_GB2312"/>
          <w:b/>
          <w:bCs/>
          <w:sz w:val="28"/>
          <w:szCs w:val="28"/>
        </w:rPr>
      </w:pPr>
      <w:bookmarkStart w:id="453" w:name="_Toc333235185"/>
      <w:bookmarkStart w:id="454" w:name="_Toc468719520"/>
      <w:bookmarkStart w:id="455" w:name="_Toc16592"/>
      <w:bookmarkStart w:id="456" w:name="_Toc333238281"/>
      <w:bookmarkStart w:id="457" w:name="_Toc390616127"/>
      <w:bookmarkStart w:id="458" w:name="_Toc484439883"/>
      <w:bookmarkStart w:id="459" w:name="_Toc19141"/>
      <w:bookmarkStart w:id="460" w:name="_Toc332985182"/>
      <w:bookmarkStart w:id="461" w:name="_Toc12881143"/>
      <w:bookmarkStart w:id="462" w:name="_Toc18402"/>
      <w:bookmarkStart w:id="463" w:name="_Toc333236868"/>
      <w:bookmarkStart w:id="464" w:name="_Toc30297"/>
      <w:bookmarkStart w:id="465" w:name="_Toc390589902"/>
      <w:bookmarkStart w:id="466" w:name="_Toc21347"/>
      <w:r>
        <w:rPr>
          <w:rFonts w:hint="eastAsia" w:ascii="Arial" w:hAnsi="Arial" w:eastAsia="仿宋_GB2312"/>
          <w:b/>
          <w:bCs/>
          <w:sz w:val="28"/>
          <w:szCs w:val="28"/>
        </w:rPr>
        <w:t>项目组织保障</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spacing w:line="360" w:lineRule="auto"/>
        <w:ind w:firstLine="560" w:firstLineChars="200"/>
        <w:rPr>
          <w:rFonts w:ascii="仿宋_GB2312" w:eastAsia="仿宋_GB2312"/>
          <w:sz w:val="28"/>
          <w:szCs w:val="28"/>
        </w:rPr>
      </w:pPr>
      <w:r>
        <w:rPr>
          <w:rFonts w:hint="eastAsia" w:ascii="仿宋_GB2312" w:eastAsia="仿宋_GB2312"/>
          <w:sz w:val="28"/>
          <w:szCs w:val="28"/>
        </w:rPr>
        <w:t>在项目的建设工程中应成立工程建设领导小组，其具体职能：主要是负责本级工程建设目标、发展规划、指导方针、政策及重大事项的领导和决策。要求主要领导亲自抓，分管领导具体抓，各有关单位要明确职责任务，密切协作，形成合力，坚持领导到位、措施到位、责任到位，确保项目建设工作顺利进行。</w:t>
      </w:r>
    </w:p>
    <w:p>
      <w:pPr>
        <w:keepNext/>
        <w:keepLines/>
        <w:numPr>
          <w:ilvl w:val="1"/>
          <w:numId w:val="3"/>
        </w:numPr>
        <w:tabs>
          <w:tab w:val="left" w:pos="567"/>
        </w:tabs>
        <w:spacing w:before="260" w:after="260" w:line="416" w:lineRule="auto"/>
        <w:ind w:left="567"/>
        <w:outlineLvl w:val="1"/>
        <w:rPr>
          <w:rFonts w:ascii="Arial" w:hAnsi="Arial" w:eastAsia="仿宋_GB2312" w:cs="仿宋_GB2312"/>
          <w:b/>
          <w:bCs/>
          <w:sz w:val="28"/>
          <w:szCs w:val="28"/>
        </w:rPr>
      </w:pPr>
      <w:bookmarkStart w:id="467" w:name="_Toc390616142"/>
      <w:bookmarkStart w:id="468" w:name="_Toc484439885"/>
      <w:bookmarkStart w:id="469" w:name="_Toc89"/>
      <w:bookmarkStart w:id="470" w:name="_Toc15487"/>
      <w:bookmarkStart w:id="471" w:name="_Toc14119"/>
      <w:bookmarkStart w:id="472" w:name="_Toc12881144"/>
      <w:bookmarkStart w:id="473" w:name="_Toc333236883"/>
      <w:bookmarkStart w:id="474" w:name="_Toc15277"/>
      <w:bookmarkStart w:id="475" w:name="_Toc468719522"/>
      <w:bookmarkStart w:id="476" w:name="_Toc29455"/>
      <w:bookmarkStart w:id="477" w:name="_Toc390589917"/>
      <w:bookmarkStart w:id="478" w:name="_Toc333238296"/>
      <w:bookmarkStart w:id="479" w:name="_Toc333235188"/>
      <w:bookmarkStart w:id="480" w:name="_Toc332985197"/>
      <w:r>
        <w:rPr>
          <w:rFonts w:hint="eastAsia" w:ascii="Arial" w:hAnsi="Arial" w:eastAsia="仿宋_GB2312" w:cs="仿宋_GB2312"/>
          <w:b/>
          <w:bCs/>
          <w:sz w:val="28"/>
          <w:szCs w:val="28"/>
        </w:rPr>
        <w:t>项目维护服务</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spacing w:line="360" w:lineRule="auto"/>
        <w:ind w:firstLine="560" w:firstLineChars="200"/>
        <w:rPr>
          <w:rFonts w:ascii="仿宋_GB2312" w:eastAsia="仿宋_GB2312"/>
          <w:sz w:val="28"/>
          <w:szCs w:val="28"/>
        </w:rPr>
      </w:pPr>
      <w:r>
        <w:rPr>
          <w:rFonts w:hint="eastAsia" w:ascii="仿宋_GB2312" w:eastAsia="仿宋_GB2312"/>
          <w:sz w:val="28"/>
          <w:szCs w:val="28"/>
        </w:rPr>
        <w:t>项目的运维范围包括新增所有点位的前端设备、传输网络和后台设备。</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中标单位在系统建成通过竣工验收后5年内需提供如下服务：</w:t>
      </w:r>
    </w:p>
    <w:p>
      <w:pPr>
        <w:spacing w:line="360" w:lineRule="auto"/>
        <w:ind w:firstLine="560" w:firstLineChars="200"/>
        <w:jc w:val="left"/>
        <w:rPr>
          <w:rFonts w:ascii="仿宋_GB2312" w:hAnsi="Courier New" w:eastAsia="仿宋_GB2312" w:cs="仿宋_GB2312"/>
          <w:sz w:val="28"/>
        </w:rPr>
      </w:pPr>
      <w:r>
        <w:rPr>
          <w:rFonts w:hint="eastAsia" w:ascii="仿宋_GB2312" w:hAnsi="Courier New" w:eastAsia="仿宋_GB2312" w:cs="仿宋_GB2312"/>
          <w:sz w:val="28"/>
        </w:rPr>
        <w:t>1）中标单位必须保证在维护期间除去地震、洪水、战争因素外每天监控摄像头完好率在95%以上（包括因人为因素造成的前端监控设备故障），必须安排专用车辆和人员作为日常维护力量。（上述完好率包括图像清晰、无遮挡、控制正常、前端监控点外观正常等）。</w:t>
      </w:r>
    </w:p>
    <w:p>
      <w:pPr>
        <w:spacing w:line="360" w:lineRule="auto"/>
        <w:ind w:firstLine="560" w:firstLineChars="200"/>
        <w:jc w:val="left"/>
        <w:rPr>
          <w:rFonts w:ascii="仿宋_GB2312" w:hAnsi="Courier New" w:eastAsia="仿宋_GB2312" w:cs="仿宋_GB2312"/>
          <w:sz w:val="28"/>
        </w:rPr>
      </w:pPr>
      <w:r>
        <w:rPr>
          <w:rFonts w:hint="eastAsia" w:ascii="仿宋_GB2312" w:hAnsi="Courier New" w:eastAsia="仿宋_GB2312" w:cs="仿宋_GB2312"/>
          <w:sz w:val="28"/>
        </w:rPr>
        <w:t>2）设备维修和故障件替换服务，确保系统处于正常工作状态：供应商应提供快速技术服务，接到报修电话后，服务响应时间为20分钟，在2小时内解决问题，重大故障应在8小时内解决。若故障无法在12小时内解决的，中标单位应提供备品备件进行临时更换，待维修设备维修完成后更换，以保证系统正常运行。</w:t>
      </w:r>
    </w:p>
    <w:p>
      <w:pPr>
        <w:spacing w:line="360" w:lineRule="auto"/>
        <w:ind w:firstLine="560" w:firstLineChars="200"/>
        <w:jc w:val="left"/>
        <w:rPr>
          <w:rFonts w:ascii="仿宋_GB2312" w:hAnsi="Courier New" w:eastAsia="仿宋_GB2312" w:cs="仿宋_GB2312"/>
          <w:sz w:val="28"/>
        </w:rPr>
      </w:pPr>
      <w:r>
        <w:rPr>
          <w:rFonts w:hint="eastAsia" w:ascii="仿宋_GB2312" w:hAnsi="Courier New" w:eastAsia="仿宋_GB2312" w:cs="仿宋_GB2312"/>
          <w:sz w:val="28"/>
        </w:rPr>
        <w:t>3）每周</w:t>
      </w:r>
      <w:r>
        <w:rPr>
          <w:rFonts w:ascii="仿宋_GB2312" w:hAnsi="Courier New" w:eastAsia="仿宋_GB2312" w:cs="仿宋_GB2312"/>
          <w:sz w:val="28"/>
        </w:rPr>
        <w:t>7×24</w:t>
      </w:r>
      <w:r>
        <w:rPr>
          <w:rFonts w:hint="eastAsia" w:ascii="仿宋_GB2312" w:hAnsi="Courier New" w:eastAsia="仿宋_GB2312" w:cs="仿宋_GB2312"/>
          <w:sz w:val="28"/>
        </w:rPr>
        <w:t>小时技术支持，需落实具体的技术服务人员，负责日常视频监控平台专用软件的升级和维护。</w:t>
      </w:r>
    </w:p>
    <w:p>
      <w:pPr>
        <w:spacing w:line="360" w:lineRule="auto"/>
        <w:ind w:firstLine="560" w:firstLineChars="200"/>
        <w:jc w:val="left"/>
        <w:rPr>
          <w:rFonts w:ascii="仿宋_GB2312" w:hAnsi="Courier New" w:eastAsia="仿宋_GB2312" w:cs="仿宋_GB2312"/>
          <w:sz w:val="28"/>
        </w:rPr>
      </w:pPr>
      <w:r>
        <w:rPr>
          <w:rFonts w:hint="eastAsia" w:ascii="仿宋_GB2312" w:hAnsi="Courier New" w:eastAsia="仿宋_GB2312" w:cs="仿宋_GB2312"/>
          <w:sz w:val="28"/>
        </w:rPr>
        <w:t>4）在运维期内，免费提供总点位数的</w:t>
      </w:r>
      <w:r>
        <w:rPr>
          <w:rFonts w:ascii="仿宋_GB2312" w:hAnsi="Courier New" w:eastAsia="仿宋_GB2312" w:cs="仿宋_GB2312"/>
          <w:sz w:val="28"/>
        </w:rPr>
        <w:t>10</w:t>
      </w:r>
      <w:r>
        <w:rPr>
          <w:rFonts w:hint="eastAsia" w:ascii="仿宋_GB2312" w:hAnsi="Courier New" w:eastAsia="仿宋_GB2312" w:cs="仿宋_GB2312"/>
          <w:sz w:val="28"/>
        </w:rPr>
        <w:t>%的摄像点位的迁移服务。</w:t>
      </w:r>
    </w:p>
    <w:p>
      <w:pPr>
        <w:spacing w:line="360" w:lineRule="auto"/>
        <w:ind w:firstLine="560" w:firstLineChars="200"/>
        <w:jc w:val="left"/>
        <w:rPr>
          <w:rFonts w:ascii="仿宋_GB2312" w:hAnsi="Courier New" w:eastAsia="仿宋_GB2312" w:cs="仿宋_GB2312"/>
          <w:sz w:val="28"/>
        </w:rPr>
      </w:pPr>
      <w:r>
        <w:rPr>
          <w:rFonts w:hint="eastAsia" w:ascii="仿宋_GB2312" w:hAnsi="Courier New" w:eastAsia="仿宋_GB2312" w:cs="仿宋_GB2312"/>
          <w:sz w:val="28"/>
        </w:rPr>
        <w:t>5）配合业主单位的重大活动的技术保障工作。</w:t>
      </w:r>
    </w:p>
    <w:p>
      <w:pPr>
        <w:spacing w:line="360" w:lineRule="auto"/>
        <w:ind w:firstLine="560" w:firstLineChars="200"/>
        <w:rPr>
          <w:rFonts w:eastAsia="仿宋_GB2312"/>
          <w:sz w:val="28"/>
          <w:szCs w:val="28"/>
        </w:rPr>
      </w:pPr>
      <w:r>
        <w:rPr>
          <w:rFonts w:hint="eastAsia" w:eastAsia="仿宋_GB2312"/>
          <w:sz w:val="28"/>
          <w:szCs w:val="28"/>
        </w:rPr>
        <w:t>6）提供前端主要设备5%的备品备件。</w:t>
      </w:r>
    </w:p>
    <w:p>
      <w:pPr>
        <w:keepNext/>
        <w:keepLines/>
        <w:numPr>
          <w:ilvl w:val="0"/>
          <w:numId w:val="3"/>
        </w:numPr>
        <w:spacing w:line="360" w:lineRule="auto"/>
        <w:ind w:left="602" w:hanging="602" w:hangingChars="200"/>
        <w:outlineLvl w:val="0"/>
        <w:rPr>
          <w:rFonts w:eastAsia="黑体"/>
          <w:b/>
          <w:bCs/>
          <w:kern w:val="44"/>
          <w:sz w:val="30"/>
          <w:szCs w:val="30"/>
        </w:rPr>
      </w:pPr>
      <w:bookmarkStart w:id="481" w:name="_Toc23534"/>
      <w:bookmarkStart w:id="482" w:name="_Toc25522"/>
      <w:bookmarkStart w:id="483" w:name="_Toc14013"/>
      <w:bookmarkStart w:id="484" w:name="_Toc12881145"/>
      <w:bookmarkStart w:id="485" w:name="_Toc22319"/>
      <w:r>
        <w:rPr>
          <w:rFonts w:hint="eastAsia" w:eastAsia="黑体"/>
          <w:b/>
          <w:bCs/>
          <w:kern w:val="44"/>
          <w:sz w:val="30"/>
          <w:szCs w:val="30"/>
        </w:rPr>
        <w:t>招标方案</w:t>
      </w:r>
      <w:bookmarkEnd w:id="444"/>
      <w:bookmarkEnd w:id="445"/>
      <w:bookmarkEnd w:id="481"/>
      <w:bookmarkEnd w:id="482"/>
      <w:bookmarkEnd w:id="483"/>
      <w:bookmarkEnd w:id="484"/>
      <w:bookmarkEnd w:id="485"/>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486" w:name="_Toc401041598"/>
      <w:bookmarkStart w:id="487" w:name="_Toc12881146"/>
      <w:bookmarkStart w:id="488" w:name="_Toc15999"/>
      <w:bookmarkStart w:id="489" w:name="_Toc1101"/>
      <w:bookmarkStart w:id="490" w:name="_Toc414365433"/>
      <w:bookmarkStart w:id="491" w:name="_Toc9325"/>
      <w:bookmarkStart w:id="492" w:name="_Toc5405"/>
      <w:r>
        <w:rPr>
          <w:rFonts w:hint="eastAsia" w:ascii="Arial" w:hAnsi="Arial" w:eastAsia="仿宋_GB2312"/>
          <w:b/>
          <w:bCs/>
          <w:sz w:val="28"/>
          <w:szCs w:val="32"/>
        </w:rPr>
        <w:t>招标范围</w:t>
      </w:r>
      <w:bookmarkEnd w:id="486"/>
      <w:bookmarkEnd w:id="487"/>
      <w:bookmarkEnd w:id="488"/>
      <w:bookmarkEnd w:id="489"/>
      <w:bookmarkEnd w:id="490"/>
      <w:bookmarkEnd w:id="491"/>
      <w:bookmarkEnd w:id="492"/>
    </w:p>
    <w:p>
      <w:pPr>
        <w:widowControl/>
        <w:spacing w:line="360" w:lineRule="auto"/>
        <w:ind w:firstLine="560" w:firstLineChars="200"/>
        <w:rPr>
          <w:rFonts w:ascii="仿宋_GB2312" w:eastAsia="仿宋_GB2312"/>
          <w:color w:val="000000"/>
          <w:sz w:val="28"/>
          <w:szCs w:val="28"/>
        </w:rPr>
      </w:pPr>
      <w:r>
        <w:rPr>
          <w:rFonts w:hint="eastAsia" w:ascii="仿宋_GB2312" w:eastAsia="仿宋_GB2312"/>
          <w:sz w:val="28"/>
          <w:szCs w:val="28"/>
        </w:rPr>
        <w:t>本项目建设范围包括项目工程建设及5年运维（含5年光缆租赁、5年运行维护）。</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493" w:name="_Toc11503"/>
      <w:bookmarkStart w:id="494" w:name="_Toc414365434"/>
      <w:bookmarkStart w:id="495" w:name="_Toc12881147"/>
      <w:bookmarkStart w:id="496" w:name="_Toc2455"/>
      <w:bookmarkStart w:id="497" w:name="_Toc569"/>
      <w:bookmarkStart w:id="498" w:name="_Toc2885"/>
      <w:bookmarkStart w:id="499" w:name="_Toc401041599"/>
      <w:r>
        <w:rPr>
          <w:rFonts w:hint="eastAsia" w:ascii="Arial" w:hAnsi="Arial" w:eastAsia="仿宋_GB2312"/>
          <w:b/>
          <w:bCs/>
          <w:sz w:val="28"/>
          <w:szCs w:val="32"/>
        </w:rPr>
        <w:t>招标形式</w:t>
      </w:r>
      <w:bookmarkEnd w:id="493"/>
      <w:bookmarkEnd w:id="494"/>
      <w:bookmarkEnd w:id="495"/>
      <w:bookmarkEnd w:id="496"/>
      <w:bookmarkEnd w:id="497"/>
      <w:bookmarkEnd w:id="498"/>
      <w:bookmarkEnd w:id="499"/>
    </w:p>
    <w:p>
      <w:pPr>
        <w:spacing w:line="360" w:lineRule="auto"/>
        <w:ind w:firstLine="560" w:firstLineChars="200"/>
        <w:rPr>
          <w:rFonts w:ascii="仿宋_GB2312" w:eastAsia="仿宋_GB2312"/>
          <w:sz w:val="28"/>
          <w:szCs w:val="28"/>
        </w:rPr>
      </w:pPr>
      <w:r>
        <w:rPr>
          <w:rFonts w:hint="eastAsia" w:ascii="仿宋_GB2312" w:eastAsia="仿宋_GB2312"/>
          <w:sz w:val="28"/>
          <w:szCs w:val="28"/>
        </w:rPr>
        <w:t>建设项目拟采用租赁方式，通过政府招标平台或委托招标代理公司采用公开招标形式进行采购。</w:t>
      </w:r>
    </w:p>
    <w:p>
      <w:pPr>
        <w:keepNext/>
        <w:keepLines/>
        <w:numPr>
          <w:ilvl w:val="0"/>
          <w:numId w:val="3"/>
        </w:numPr>
        <w:spacing w:line="360" w:lineRule="auto"/>
        <w:ind w:left="602" w:hanging="602" w:hangingChars="200"/>
        <w:outlineLvl w:val="0"/>
        <w:rPr>
          <w:rFonts w:eastAsia="黑体"/>
          <w:b/>
          <w:bCs/>
          <w:kern w:val="44"/>
          <w:sz w:val="30"/>
          <w:szCs w:val="30"/>
        </w:rPr>
      </w:pPr>
      <w:bookmarkStart w:id="500" w:name="_Toc9091"/>
      <w:bookmarkStart w:id="501" w:name="_Toc414365435"/>
      <w:bookmarkStart w:id="502" w:name="_Toc401041600"/>
      <w:bookmarkStart w:id="503" w:name="_Toc12881148"/>
      <w:bookmarkStart w:id="504" w:name="_Toc11271"/>
      <w:bookmarkStart w:id="505" w:name="_Toc26070"/>
      <w:bookmarkStart w:id="506" w:name="_Toc13492"/>
      <w:r>
        <w:rPr>
          <w:rFonts w:hint="eastAsia" w:eastAsia="黑体"/>
          <w:b/>
          <w:bCs/>
          <w:kern w:val="44"/>
          <w:sz w:val="30"/>
          <w:szCs w:val="30"/>
        </w:rPr>
        <w:t>环保、消防、职业安全、职业卫生和节能</w:t>
      </w:r>
      <w:bookmarkEnd w:id="500"/>
      <w:bookmarkEnd w:id="501"/>
      <w:bookmarkEnd w:id="502"/>
      <w:bookmarkEnd w:id="503"/>
      <w:bookmarkEnd w:id="504"/>
      <w:bookmarkEnd w:id="505"/>
      <w:bookmarkEnd w:id="506"/>
    </w:p>
    <w:p>
      <w:pPr>
        <w:keepNext/>
        <w:keepLines/>
        <w:numPr>
          <w:ilvl w:val="1"/>
          <w:numId w:val="3"/>
        </w:numPr>
        <w:tabs>
          <w:tab w:val="left" w:pos="1560"/>
        </w:tabs>
        <w:spacing w:before="260" w:after="260" w:line="415" w:lineRule="auto"/>
        <w:outlineLvl w:val="1"/>
        <w:rPr>
          <w:rFonts w:ascii="仿宋_GB2312" w:hAnsi="Arial" w:eastAsia="仿宋_GB2312"/>
          <w:b/>
          <w:bCs/>
          <w:sz w:val="28"/>
          <w:szCs w:val="28"/>
        </w:rPr>
      </w:pPr>
      <w:bookmarkStart w:id="507" w:name="_Toc401041601"/>
      <w:bookmarkStart w:id="508" w:name="_Toc414365436"/>
      <w:bookmarkStart w:id="509" w:name="_Toc7946"/>
      <w:bookmarkStart w:id="510" w:name="_Toc27101"/>
      <w:bookmarkStart w:id="511" w:name="_Toc6779"/>
      <w:bookmarkStart w:id="512" w:name="_Toc12881149"/>
      <w:bookmarkStart w:id="513" w:name="_Toc29054"/>
      <w:r>
        <w:rPr>
          <w:rFonts w:hint="eastAsia" w:ascii="Arial" w:hAnsi="Arial" w:eastAsia="仿宋_GB2312"/>
          <w:b/>
          <w:bCs/>
          <w:sz w:val="28"/>
          <w:szCs w:val="32"/>
        </w:rPr>
        <w:t>环境影响</w:t>
      </w:r>
      <w:bookmarkEnd w:id="507"/>
      <w:bookmarkEnd w:id="508"/>
      <w:r>
        <w:rPr>
          <w:rFonts w:hint="eastAsia" w:ascii="Arial" w:hAnsi="Arial" w:eastAsia="仿宋_GB2312"/>
          <w:b/>
          <w:bCs/>
          <w:sz w:val="28"/>
          <w:szCs w:val="32"/>
        </w:rPr>
        <w:t>和环保措施</w:t>
      </w:r>
      <w:bookmarkEnd w:id="509"/>
      <w:bookmarkEnd w:id="510"/>
      <w:bookmarkEnd w:id="511"/>
      <w:bookmarkEnd w:id="512"/>
      <w:bookmarkEnd w:id="513"/>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514" w:name="_Toc19665"/>
      <w:bookmarkStart w:id="515" w:name="_Toc12881150"/>
      <w:r>
        <w:rPr>
          <w:rFonts w:hint="eastAsia" w:eastAsia="仿宋_GB2312"/>
          <w:b/>
          <w:bCs/>
          <w:sz w:val="28"/>
          <w:szCs w:val="28"/>
        </w:rPr>
        <w:t>环境影响因素分析</w:t>
      </w:r>
      <w:bookmarkEnd w:id="514"/>
      <w:bookmarkEnd w:id="515"/>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本项目建设期间对环境影响的主要因素为废气和固体废弃物和噪声。</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废气：在项目建设过程中产生的废气主要为粉尘。主要视频点位开挖过程中开挖混泥土路面产生。固体废弃物：建设期固体废弃物主要为基础开挖和混泥土路面破碎产生的渣土和混泥土块。</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噪声：主要来源施工期间各类施工机械发生的声音。</w:t>
      </w:r>
    </w:p>
    <w:p>
      <w:pPr>
        <w:keepNext/>
        <w:keepLines/>
        <w:numPr>
          <w:ilvl w:val="2"/>
          <w:numId w:val="3"/>
        </w:numPr>
        <w:tabs>
          <w:tab w:val="left" w:pos="425"/>
          <w:tab w:val="left" w:pos="1418"/>
          <w:tab w:val="left" w:pos="1560"/>
        </w:tabs>
        <w:spacing w:before="260" w:after="260" w:line="416" w:lineRule="auto"/>
        <w:outlineLvl w:val="2"/>
        <w:rPr>
          <w:rFonts w:eastAsia="仿宋_GB2312"/>
          <w:b/>
          <w:bCs/>
          <w:sz w:val="28"/>
          <w:szCs w:val="28"/>
        </w:rPr>
      </w:pPr>
      <w:bookmarkStart w:id="516" w:name="_Toc12881151"/>
      <w:bookmarkStart w:id="517" w:name="_Toc9216"/>
      <w:r>
        <w:rPr>
          <w:rFonts w:hint="eastAsia" w:eastAsia="仿宋_GB2312"/>
          <w:b/>
          <w:bCs/>
          <w:sz w:val="28"/>
          <w:szCs w:val="28"/>
        </w:rPr>
        <w:t>可采取的环保措施</w:t>
      </w:r>
      <w:bookmarkEnd w:id="516"/>
      <w:bookmarkEnd w:id="517"/>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在建设期间加强管理、文明施工，建筑材料轻装轻卸，减少施工噪音，破路前，对路面进行洒水，降低粉尘的产生。</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建设期间，产生的固体废弃物由施工单位负责处理，可回收部分进行可回收利用，建设过程中的产生渣土应尽量用作本项目绿化底土，不可利用的，应外运妥善处置。在采取严格科学的管理和有效的环保治理手段后，可将各污染物对环境的影响控制在允许的范围内，从环保角度分析，本项目是科学的。</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18" w:name="_Toc12881152"/>
      <w:bookmarkStart w:id="519" w:name="_Toc32051"/>
      <w:bookmarkStart w:id="520" w:name="_Toc401041602"/>
      <w:bookmarkStart w:id="521" w:name="_Toc24544"/>
      <w:bookmarkStart w:id="522" w:name="_Toc414365437"/>
      <w:bookmarkStart w:id="523" w:name="_Toc24062"/>
      <w:bookmarkStart w:id="524" w:name="_Toc22256"/>
      <w:r>
        <w:rPr>
          <w:rFonts w:hint="eastAsia" w:ascii="Arial" w:hAnsi="Arial" w:eastAsia="仿宋_GB2312"/>
          <w:b/>
          <w:bCs/>
          <w:sz w:val="28"/>
          <w:szCs w:val="32"/>
        </w:rPr>
        <w:t>消防措施</w:t>
      </w:r>
      <w:bookmarkEnd w:id="518"/>
      <w:bookmarkEnd w:id="519"/>
      <w:bookmarkEnd w:id="520"/>
      <w:bookmarkEnd w:id="521"/>
      <w:bookmarkEnd w:id="522"/>
      <w:bookmarkEnd w:id="523"/>
      <w:bookmarkEnd w:id="524"/>
    </w:p>
    <w:p>
      <w:pPr>
        <w:widowControl/>
        <w:spacing w:line="360" w:lineRule="auto"/>
        <w:ind w:firstLine="560" w:firstLineChars="200"/>
        <w:rPr>
          <w:rFonts w:ascii="仿宋_GB2312" w:eastAsia="仿宋_GB2312"/>
          <w:sz w:val="28"/>
          <w:szCs w:val="28"/>
        </w:rPr>
      </w:pPr>
      <w:bookmarkStart w:id="525" w:name="_Toc414365438"/>
      <w:bookmarkStart w:id="526" w:name="_Toc401041603"/>
      <w:r>
        <w:rPr>
          <w:rFonts w:hint="eastAsia" w:ascii="仿宋_GB2312" w:eastAsia="仿宋_GB2312"/>
          <w:sz w:val="28"/>
          <w:szCs w:val="28"/>
        </w:rPr>
        <w:t>本项目的建设和运维过程中，主要是加强对设备和设施的消防监督检查，落实消防安全责任制，要做到责任清楚，目标明确，严格考核，把防火安全责任落到实处。同时要抓好防火宣传教育，提高全员的防火意识，普及防火基础知识。本次项目机房为原有自建机房，本期新增机房防火门及机房门禁系统，新增机房温湿度报警器，以提高机房消防安全水平，满足机房安全要求。</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27" w:name="_Toc4248"/>
      <w:bookmarkStart w:id="528" w:name="_Toc14081"/>
      <w:bookmarkStart w:id="529" w:name="_Toc17041"/>
      <w:bookmarkStart w:id="530" w:name="_Toc12881153"/>
      <w:bookmarkStart w:id="531" w:name="_Toc11168"/>
      <w:r>
        <w:rPr>
          <w:rFonts w:hint="eastAsia" w:ascii="Arial" w:hAnsi="Arial" w:eastAsia="仿宋_GB2312"/>
          <w:b/>
          <w:bCs/>
          <w:sz w:val="28"/>
          <w:szCs w:val="32"/>
        </w:rPr>
        <w:t>职业安全和卫生措施</w:t>
      </w:r>
      <w:bookmarkEnd w:id="525"/>
      <w:bookmarkEnd w:id="526"/>
      <w:bookmarkEnd w:id="527"/>
      <w:bookmarkEnd w:id="528"/>
      <w:bookmarkEnd w:id="529"/>
      <w:bookmarkEnd w:id="530"/>
      <w:bookmarkEnd w:id="531"/>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项目建设与维护人员应全面遵守职业安全和健康的相关法规，严格遵守操作规程。定期对员工进行技术培训、安全教育，确保文明生产，建立安全、健康和高效的工作环境，坚决杜绝事故的发生。</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为了最大限度地减小现场粉尘噪声级电磁对工作人员健康的影响，在工程实施过程中，配发口罩和安全帽等设备，保证现场施工人员安全。</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同时对施工现场做好安全防护措施，避免因施工对附近其他居民造成安全隐患。</w:t>
      </w:r>
    </w:p>
    <w:p>
      <w:pPr>
        <w:keepNext/>
        <w:keepLines/>
        <w:numPr>
          <w:ilvl w:val="1"/>
          <w:numId w:val="3"/>
        </w:numPr>
        <w:tabs>
          <w:tab w:val="left" w:pos="567"/>
        </w:tabs>
        <w:spacing w:before="260" w:after="260" w:line="416" w:lineRule="auto"/>
        <w:ind w:left="567"/>
        <w:outlineLvl w:val="1"/>
        <w:rPr>
          <w:rFonts w:ascii="Arial" w:hAnsi="Arial" w:eastAsia="仿宋_GB2312" w:cs="仿宋_GB2312"/>
          <w:b/>
          <w:bCs/>
          <w:sz w:val="28"/>
          <w:szCs w:val="28"/>
        </w:rPr>
      </w:pPr>
      <w:bookmarkStart w:id="532" w:name="_Toc30691"/>
      <w:bookmarkStart w:id="533" w:name="_Toc11607"/>
      <w:bookmarkStart w:id="534" w:name="_Toc12881154"/>
      <w:bookmarkStart w:id="535" w:name="_Toc9549"/>
      <w:bookmarkStart w:id="536" w:name="_Toc11408"/>
      <w:r>
        <w:rPr>
          <w:rFonts w:hint="eastAsia" w:ascii="Arial" w:hAnsi="Arial" w:eastAsia="仿宋_GB2312" w:cs="仿宋_GB2312"/>
          <w:b/>
          <w:bCs/>
          <w:sz w:val="28"/>
          <w:szCs w:val="28"/>
        </w:rPr>
        <w:t>节能目标及措施</w:t>
      </w:r>
      <w:bookmarkEnd w:id="532"/>
      <w:bookmarkEnd w:id="533"/>
      <w:bookmarkEnd w:id="534"/>
      <w:bookmarkEnd w:id="535"/>
      <w:bookmarkEnd w:id="536"/>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本项目的主要用能是电能，主要为前端视频摄像机，后端的服务器、进行供电。为达到项目节电目标，主要措施是加强设备选型及设备运维管理。</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在设备选型中，选择低功耗的摄像机，配置电能计量仪表，以便进行用电分项计量。</w:t>
      </w:r>
    </w:p>
    <w:p>
      <w:pPr>
        <w:keepNext/>
        <w:keepLines/>
        <w:numPr>
          <w:ilvl w:val="0"/>
          <w:numId w:val="3"/>
        </w:numPr>
        <w:spacing w:line="360" w:lineRule="auto"/>
        <w:ind w:left="602" w:hanging="602" w:hangingChars="200"/>
        <w:outlineLvl w:val="0"/>
        <w:rPr>
          <w:rFonts w:eastAsia="黑体"/>
          <w:b/>
          <w:bCs/>
          <w:kern w:val="44"/>
          <w:sz w:val="30"/>
          <w:szCs w:val="30"/>
        </w:rPr>
      </w:pPr>
      <w:bookmarkStart w:id="537" w:name="_Toc28200"/>
      <w:bookmarkStart w:id="538" w:name="_Toc12881155"/>
      <w:bookmarkStart w:id="539" w:name="_Toc29517"/>
      <w:bookmarkStart w:id="540" w:name="_Toc8938"/>
      <w:bookmarkStart w:id="541" w:name="_Toc401041604"/>
      <w:bookmarkStart w:id="542" w:name="_Toc28111"/>
      <w:bookmarkStart w:id="543" w:name="_Toc414365439"/>
      <w:r>
        <w:rPr>
          <w:rFonts w:hint="eastAsia" w:eastAsia="黑体"/>
          <w:b/>
          <w:bCs/>
          <w:kern w:val="44"/>
          <w:sz w:val="30"/>
          <w:szCs w:val="30"/>
        </w:rPr>
        <w:t>项目组织机构和人员培训</w:t>
      </w:r>
      <w:bookmarkEnd w:id="537"/>
      <w:bookmarkEnd w:id="538"/>
      <w:bookmarkEnd w:id="539"/>
      <w:bookmarkEnd w:id="540"/>
      <w:bookmarkEnd w:id="541"/>
      <w:bookmarkEnd w:id="542"/>
      <w:bookmarkEnd w:id="543"/>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44" w:name="_Toc12881156"/>
      <w:bookmarkStart w:id="545" w:name="_Toc8215"/>
      <w:bookmarkStart w:id="546" w:name="_Toc15841"/>
      <w:bookmarkStart w:id="547" w:name="_Toc9201"/>
      <w:bookmarkStart w:id="548" w:name="_Toc401041606"/>
      <w:bookmarkStart w:id="549" w:name="_Toc6149"/>
      <w:bookmarkStart w:id="550" w:name="_Toc414365441"/>
      <w:r>
        <w:rPr>
          <w:rFonts w:hint="eastAsia" w:ascii="Arial" w:hAnsi="Arial" w:eastAsia="仿宋_GB2312"/>
          <w:b/>
          <w:bCs/>
          <w:sz w:val="28"/>
          <w:szCs w:val="32"/>
        </w:rPr>
        <w:t>项目建设及运维机构</w:t>
      </w:r>
      <w:bookmarkEnd w:id="544"/>
      <w:bookmarkEnd w:id="545"/>
      <w:bookmarkEnd w:id="546"/>
      <w:bookmarkEnd w:id="547"/>
      <w:bookmarkEnd w:id="548"/>
      <w:bookmarkEnd w:id="549"/>
      <w:bookmarkEnd w:id="550"/>
    </w:p>
    <w:p>
      <w:pPr>
        <w:widowControl/>
        <w:spacing w:line="360" w:lineRule="auto"/>
        <w:ind w:firstLine="562" w:firstLineChars="200"/>
        <w:rPr>
          <w:rFonts w:ascii="仿宋_GB2312" w:eastAsia="仿宋_GB2312"/>
          <w:b/>
          <w:bCs/>
          <w:sz w:val="28"/>
          <w:szCs w:val="28"/>
        </w:rPr>
      </w:pPr>
      <w:r>
        <w:rPr>
          <w:rFonts w:hint="eastAsia" w:ascii="仿宋_GB2312" w:eastAsia="仿宋_GB2312"/>
          <w:b/>
          <w:bCs/>
          <w:sz w:val="28"/>
          <w:szCs w:val="28"/>
        </w:rPr>
        <w:t>1、项目建设机构</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本项目建设机构为浙江慈溪滨海经济开发区管理委员会。</w:t>
      </w:r>
    </w:p>
    <w:p>
      <w:pPr>
        <w:widowControl/>
        <w:spacing w:line="360" w:lineRule="auto"/>
        <w:ind w:firstLine="560" w:firstLineChars="200"/>
        <w:rPr>
          <w:rFonts w:ascii="仿宋_GB2312" w:hAnsi="宋体" w:eastAsia="仿宋_GB2312" w:cs="宋体"/>
          <w:kern w:val="0"/>
          <w:sz w:val="28"/>
          <w:szCs w:val="28"/>
        </w:rPr>
      </w:pPr>
      <w:r>
        <w:rPr>
          <w:rFonts w:hint="eastAsia" w:ascii="仿宋_GB2312" w:hAnsi="仿宋" w:eastAsia="仿宋_GB2312"/>
          <w:sz w:val="28"/>
          <w:szCs w:val="28"/>
        </w:rPr>
        <w:t>主要职责是：组织协调有关部门和专业机构，组织制定项目建议书、初步设计和技术设计方案；配合有关部门进行项目可行性论证和技术评估等工作；负责具体组织和协调项目实施工作；负责项目的经费申请和计划管理；负责落实领导小组交办的工作；具体负责项目中的各项工作</w:t>
      </w:r>
      <w:r>
        <w:rPr>
          <w:rFonts w:hint="eastAsia" w:ascii="仿宋_GB2312" w:hAnsi="宋体" w:eastAsia="仿宋_GB2312" w:cs="宋体"/>
          <w:kern w:val="0"/>
          <w:sz w:val="28"/>
          <w:szCs w:val="28"/>
        </w:rPr>
        <w:t>。</w:t>
      </w:r>
    </w:p>
    <w:p>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根据项目管理的程序和内容，项目中主要工作包括：项目实施管理和项目培训管理和项目运维管理等。</w:t>
      </w:r>
    </w:p>
    <w:p>
      <w:pPr>
        <w:spacing w:line="360" w:lineRule="auto"/>
        <w:ind w:firstLine="560" w:firstLineChars="200"/>
        <w:rPr>
          <w:rFonts w:ascii="仿宋_GB2312" w:hAnsi="仿宋" w:eastAsia="仿宋_GB2312"/>
        </w:rPr>
      </w:pPr>
      <w:r>
        <w:rPr>
          <w:rFonts w:hint="eastAsia" w:ascii="仿宋_GB2312" w:hAnsi="仿宋" w:eastAsia="仿宋_GB2312"/>
          <w:sz w:val="28"/>
          <w:szCs w:val="28"/>
        </w:rPr>
        <w:t>负责项目招投标的组织工作，负责组织、协调开发商、系统集成商在项目开发期间的各项工作。协调开发商、系统集成商在项目测试和实施阶段的各项工作；组织系统实施工作。根据项目进展情况，适时组织各项培训工作。</w:t>
      </w:r>
    </w:p>
    <w:p>
      <w:pPr>
        <w:widowControl/>
        <w:spacing w:line="360" w:lineRule="auto"/>
        <w:ind w:firstLine="562" w:firstLineChars="200"/>
        <w:rPr>
          <w:rFonts w:ascii="仿宋_GB2312" w:eastAsia="仿宋_GB2312"/>
          <w:b/>
          <w:sz w:val="28"/>
          <w:szCs w:val="28"/>
        </w:rPr>
      </w:pPr>
      <w:r>
        <w:rPr>
          <w:rFonts w:hint="eastAsia" w:ascii="仿宋_GB2312" w:eastAsia="仿宋_GB2312"/>
          <w:b/>
          <w:sz w:val="28"/>
          <w:szCs w:val="28"/>
        </w:rPr>
        <w:t>2、项目运维机构</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项目运维机构为中标单位，由于</w:t>
      </w:r>
      <w:r>
        <w:rPr>
          <w:rFonts w:hint="eastAsia" w:ascii="仿宋_GB2312" w:hAnsi="Calibri" w:eastAsia="仿宋_GB2312"/>
          <w:sz w:val="28"/>
          <w:szCs w:val="28"/>
        </w:rPr>
        <w:t>本项目采用5年的运维模式，5年后设备归业主所有，所以中标单位需</w:t>
      </w:r>
      <w:r>
        <w:rPr>
          <w:rFonts w:hint="eastAsia" w:ascii="仿宋_GB2312" w:eastAsia="仿宋_GB2312"/>
          <w:sz w:val="28"/>
          <w:szCs w:val="28"/>
        </w:rPr>
        <w:t>负责项目建成后5年的运维服务。</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51" w:name="_Toc12881157"/>
      <w:bookmarkStart w:id="552" w:name="_Toc5219"/>
      <w:bookmarkStart w:id="553" w:name="_Toc10531"/>
      <w:bookmarkStart w:id="554" w:name="_Toc11273"/>
      <w:bookmarkStart w:id="555" w:name="_Toc27656"/>
      <w:r>
        <w:rPr>
          <w:rFonts w:hint="eastAsia" w:ascii="Arial" w:hAnsi="Arial" w:eastAsia="仿宋_GB2312"/>
          <w:b/>
          <w:bCs/>
          <w:sz w:val="28"/>
          <w:szCs w:val="32"/>
        </w:rPr>
        <w:t>人员配置</w:t>
      </w:r>
      <w:bookmarkEnd w:id="551"/>
      <w:bookmarkEnd w:id="552"/>
      <w:bookmarkEnd w:id="553"/>
      <w:bookmarkEnd w:id="554"/>
      <w:bookmarkEnd w:id="555"/>
    </w:p>
    <w:p>
      <w:pPr>
        <w:widowControl/>
        <w:spacing w:line="360" w:lineRule="auto"/>
        <w:ind w:firstLine="560" w:firstLineChars="200"/>
      </w:pPr>
      <w:r>
        <w:rPr>
          <w:rFonts w:hint="eastAsia" w:ascii="仿宋_GB2312" w:eastAsia="仿宋_GB2312"/>
          <w:sz w:val="28"/>
          <w:szCs w:val="28"/>
        </w:rPr>
        <w:t>在滨海开发区管委会抽调1-2个负责人，负责本项目建设的管理、协调，要求中标单位成立项目组，负责项目的施工、安装及后期的运维管理。</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56" w:name="_Toc401041608"/>
      <w:bookmarkStart w:id="557" w:name="_Toc29959"/>
      <w:bookmarkStart w:id="558" w:name="_Toc12881158"/>
      <w:bookmarkStart w:id="559" w:name="_Toc26736"/>
      <w:bookmarkStart w:id="560" w:name="_Toc414365443"/>
      <w:bookmarkStart w:id="561" w:name="_Toc4476"/>
      <w:bookmarkStart w:id="562" w:name="_Toc8432"/>
      <w:r>
        <w:rPr>
          <w:rFonts w:hint="eastAsia" w:ascii="Arial" w:hAnsi="Arial" w:eastAsia="仿宋_GB2312"/>
          <w:b/>
          <w:bCs/>
          <w:sz w:val="28"/>
          <w:szCs w:val="32"/>
        </w:rPr>
        <w:t>人员培训方案</w:t>
      </w:r>
      <w:bookmarkEnd w:id="556"/>
      <w:bookmarkEnd w:id="557"/>
      <w:bookmarkEnd w:id="558"/>
      <w:bookmarkEnd w:id="559"/>
      <w:bookmarkEnd w:id="560"/>
      <w:bookmarkEnd w:id="561"/>
      <w:bookmarkEnd w:id="562"/>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培训的内容分两部分：业务培训和技术培训。</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业务培训内容包括系统业务知识、操作流程、使用技巧、系统运行问题汇总解答等内容。培训对象是普通的操作人员、系统维护人员，使他们能够熟练的使用系统。</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技术培训内容包括系统维护、系统设置、高级使用技巧、系统维护问题汇总解答等内容。培训对象是高级维护人员，使他们对能够高效及时地解决系统突发运行故障；能够顺利的完成系统的日常运维工作，保证系统的正常运行。</w:t>
      </w:r>
    </w:p>
    <w:p>
      <w:pPr>
        <w:keepNext/>
        <w:keepLines/>
        <w:numPr>
          <w:ilvl w:val="0"/>
          <w:numId w:val="3"/>
        </w:numPr>
        <w:spacing w:line="360" w:lineRule="auto"/>
        <w:ind w:left="602" w:hanging="602" w:hangingChars="200"/>
        <w:outlineLvl w:val="0"/>
        <w:rPr>
          <w:rFonts w:eastAsia="黑体"/>
          <w:b/>
          <w:bCs/>
          <w:kern w:val="44"/>
          <w:sz w:val="30"/>
          <w:szCs w:val="30"/>
        </w:rPr>
      </w:pPr>
      <w:bookmarkStart w:id="563" w:name="_Toc23047"/>
      <w:bookmarkStart w:id="564" w:name="_Toc12881159"/>
      <w:bookmarkStart w:id="565" w:name="_Toc401041609"/>
      <w:bookmarkStart w:id="566" w:name="_Toc414365444"/>
      <w:bookmarkStart w:id="567" w:name="_Toc7521"/>
      <w:bookmarkStart w:id="568" w:name="_Toc16680"/>
      <w:bookmarkStart w:id="569" w:name="_Toc20130"/>
      <w:r>
        <w:rPr>
          <w:rFonts w:hint="eastAsia" w:eastAsia="黑体"/>
          <w:b/>
          <w:bCs/>
          <w:kern w:val="44"/>
          <w:sz w:val="30"/>
          <w:szCs w:val="30"/>
        </w:rPr>
        <w:t>项目实施进度</w:t>
      </w:r>
      <w:bookmarkEnd w:id="563"/>
      <w:bookmarkEnd w:id="564"/>
      <w:bookmarkEnd w:id="565"/>
      <w:bookmarkEnd w:id="566"/>
      <w:bookmarkEnd w:id="567"/>
      <w:bookmarkEnd w:id="568"/>
      <w:bookmarkEnd w:id="569"/>
    </w:p>
    <w:p>
      <w:pPr>
        <w:spacing w:line="360" w:lineRule="auto"/>
        <w:ind w:firstLine="560" w:firstLineChars="200"/>
        <w:rPr>
          <w:rFonts w:ascii="仿宋_GB2312" w:hAnsi="Calibri" w:eastAsia="仿宋_GB2312"/>
          <w:sz w:val="28"/>
          <w:szCs w:val="28"/>
        </w:rPr>
      </w:pPr>
      <w:r>
        <w:rPr>
          <w:rFonts w:hint="eastAsia" w:ascii="仿宋_GB2312" w:hAnsi="Calibri" w:eastAsia="仿宋_GB2312"/>
          <w:sz w:val="28"/>
          <w:szCs w:val="28"/>
        </w:rPr>
        <w:t>项目计划201</w:t>
      </w:r>
      <w:r>
        <w:rPr>
          <w:rFonts w:ascii="仿宋_GB2312" w:hAnsi="Calibri" w:eastAsia="仿宋_GB2312"/>
          <w:sz w:val="28"/>
          <w:szCs w:val="28"/>
        </w:rPr>
        <w:t>9</w:t>
      </w:r>
      <w:r>
        <w:rPr>
          <w:rFonts w:hint="eastAsia" w:ascii="仿宋_GB2312" w:hAnsi="Calibri" w:eastAsia="仿宋_GB2312"/>
          <w:sz w:val="28"/>
          <w:szCs w:val="28"/>
        </w:rPr>
        <w:t>年8月完成方案评审工作；201</w:t>
      </w:r>
      <w:r>
        <w:rPr>
          <w:rFonts w:ascii="仿宋_GB2312" w:hAnsi="Calibri" w:eastAsia="仿宋_GB2312"/>
          <w:sz w:val="28"/>
          <w:szCs w:val="28"/>
        </w:rPr>
        <w:t>9</w:t>
      </w:r>
      <w:r>
        <w:rPr>
          <w:rFonts w:hint="eastAsia" w:ascii="仿宋_GB2312" w:hAnsi="Calibri" w:eastAsia="仿宋_GB2312"/>
          <w:sz w:val="28"/>
          <w:szCs w:val="28"/>
        </w:rPr>
        <w:t>年9月完成项目招标；2019年10月完成合同签订并开始实施；2020年2月项目基本完成，投入运行；具体安排如下：</w:t>
      </w:r>
    </w:p>
    <w:p>
      <w:pPr>
        <w:widowControl/>
        <w:spacing w:line="360" w:lineRule="auto"/>
        <w:ind w:firstLine="562" w:firstLineChars="200"/>
        <w:rPr>
          <w:rFonts w:ascii="仿宋_GB2312" w:eastAsia="仿宋_GB2312"/>
          <w:b/>
          <w:bCs/>
          <w:sz w:val="28"/>
          <w:szCs w:val="28"/>
        </w:rPr>
      </w:pPr>
      <w:bookmarkStart w:id="570" w:name="_Toc15759"/>
      <w:bookmarkStart w:id="571" w:name="_Toc17532"/>
      <w:r>
        <w:rPr>
          <w:rFonts w:hint="eastAsia" w:ascii="仿宋_GB2312" w:eastAsia="仿宋_GB2312"/>
          <w:b/>
          <w:bCs/>
          <w:sz w:val="28"/>
          <w:szCs w:val="28"/>
        </w:rPr>
        <w:t>1、前期方案编制（201</w:t>
      </w:r>
      <w:r>
        <w:rPr>
          <w:rFonts w:ascii="仿宋_GB2312" w:eastAsia="仿宋_GB2312"/>
          <w:b/>
          <w:bCs/>
          <w:sz w:val="28"/>
          <w:szCs w:val="28"/>
        </w:rPr>
        <w:t>9</w:t>
      </w:r>
      <w:r>
        <w:rPr>
          <w:rFonts w:hint="eastAsia" w:ascii="仿宋_GB2312" w:eastAsia="仿宋_GB2312"/>
          <w:b/>
          <w:bCs/>
          <w:sz w:val="28"/>
          <w:szCs w:val="28"/>
        </w:rPr>
        <w:t>年8月）</w:t>
      </w:r>
      <w:bookmarkEnd w:id="570"/>
      <w:bookmarkEnd w:id="571"/>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2018年</w:t>
      </w:r>
      <w:r>
        <w:rPr>
          <w:rFonts w:ascii="仿宋_GB2312" w:eastAsia="仿宋_GB2312"/>
          <w:sz w:val="28"/>
          <w:szCs w:val="28"/>
        </w:rPr>
        <w:t>12</w:t>
      </w:r>
      <w:r>
        <w:rPr>
          <w:rFonts w:hint="eastAsia" w:ascii="仿宋_GB2312" w:eastAsia="仿宋_GB2312"/>
          <w:sz w:val="28"/>
          <w:szCs w:val="28"/>
        </w:rPr>
        <w:t>-</w:t>
      </w:r>
      <w:r>
        <w:rPr>
          <w:rFonts w:ascii="仿宋_GB2312" w:eastAsia="仿宋_GB2312"/>
          <w:sz w:val="28"/>
          <w:szCs w:val="28"/>
        </w:rPr>
        <w:t>2019</w:t>
      </w:r>
      <w:r>
        <w:rPr>
          <w:rFonts w:hint="eastAsia" w:ascii="仿宋_GB2312" w:eastAsia="仿宋_GB2312"/>
          <w:sz w:val="28"/>
          <w:szCs w:val="28"/>
        </w:rPr>
        <w:t>年8月，相关单位编制好建设方案；201</w:t>
      </w:r>
      <w:r>
        <w:rPr>
          <w:rFonts w:ascii="仿宋_GB2312" w:eastAsia="仿宋_GB2312"/>
          <w:sz w:val="28"/>
          <w:szCs w:val="28"/>
        </w:rPr>
        <w:t>9</w:t>
      </w:r>
      <w:r>
        <w:rPr>
          <w:rFonts w:hint="eastAsia" w:ascii="仿宋_GB2312" w:eastAsia="仿宋_GB2312"/>
          <w:sz w:val="28"/>
          <w:szCs w:val="28"/>
        </w:rPr>
        <w:t>年8月底完成建设方案的编制、评审、立项工作，落实项目资金预算。</w:t>
      </w:r>
    </w:p>
    <w:p>
      <w:pPr>
        <w:widowControl/>
        <w:spacing w:line="360" w:lineRule="auto"/>
        <w:ind w:firstLine="562" w:firstLineChars="200"/>
        <w:rPr>
          <w:rFonts w:ascii="仿宋_GB2312" w:eastAsia="仿宋_GB2312"/>
          <w:b/>
          <w:bCs/>
          <w:sz w:val="28"/>
          <w:szCs w:val="28"/>
        </w:rPr>
      </w:pPr>
      <w:bookmarkStart w:id="572" w:name="_Toc9579"/>
      <w:bookmarkStart w:id="573" w:name="_Toc31123"/>
      <w:r>
        <w:rPr>
          <w:rFonts w:hint="eastAsia" w:ascii="仿宋_GB2312" w:eastAsia="仿宋_GB2312"/>
          <w:b/>
          <w:bCs/>
          <w:sz w:val="28"/>
          <w:szCs w:val="28"/>
        </w:rPr>
        <w:t>2、项目建设招标（201</w:t>
      </w:r>
      <w:r>
        <w:rPr>
          <w:rFonts w:ascii="仿宋_GB2312" w:eastAsia="仿宋_GB2312"/>
          <w:b/>
          <w:bCs/>
          <w:sz w:val="28"/>
          <w:szCs w:val="28"/>
        </w:rPr>
        <w:t>9</w:t>
      </w:r>
      <w:r>
        <w:rPr>
          <w:rFonts w:hint="eastAsia" w:ascii="仿宋_GB2312" w:eastAsia="仿宋_GB2312"/>
          <w:b/>
          <w:bCs/>
          <w:sz w:val="28"/>
          <w:szCs w:val="28"/>
        </w:rPr>
        <w:t>年9月）</w:t>
      </w:r>
      <w:bookmarkEnd w:id="572"/>
      <w:bookmarkEnd w:id="573"/>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201</w:t>
      </w:r>
      <w:r>
        <w:rPr>
          <w:rFonts w:ascii="仿宋_GB2312" w:eastAsia="仿宋_GB2312"/>
          <w:sz w:val="28"/>
          <w:szCs w:val="28"/>
        </w:rPr>
        <w:t>9</w:t>
      </w:r>
      <w:r>
        <w:rPr>
          <w:rFonts w:hint="eastAsia" w:ascii="仿宋_GB2312" w:eastAsia="仿宋_GB2312"/>
          <w:sz w:val="28"/>
          <w:szCs w:val="28"/>
        </w:rPr>
        <w:t>年9月，完成项目招标工作，确定项目中标单位，完成合同签订和施工前的相关准备工作。</w:t>
      </w:r>
    </w:p>
    <w:p>
      <w:pPr>
        <w:widowControl/>
        <w:spacing w:line="360" w:lineRule="auto"/>
        <w:ind w:firstLine="562" w:firstLineChars="200"/>
        <w:rPr>
          <w:rFonts w:ascii="仿宋_GB2312" w:eastAsia="仿宋_GB2312"/>
          <w:b/>
          <w:bCs/>
          <w:sz w:val="28"/>
          <w:szCs w:val="28"/>
        </w:rPr>
      </w:pPr>
      <w:bookmarkStart w:id="574" w:name="_Toc7181"/>
      <w:bookmarkStart w:id="575" w:name="_Toc6318"/>
      <w:r>
        <w:rPr>
          <w:rFonts w:hint="eastAsia" w:ascii="仿宋_GB2312" w:eastAsia="仿宋_GB2312"/>
          <w:b/>
          <w:bCs/>
          <w:sz w:val="28"/>
          <w:szCs w:val="28"/>
        </w:rPr>
        <w:t>3、项目建设阶段（201</w:t>
      </w:r>
      <w:r>
        <w:rPr>
          <w:rFonts w:ascii="仿宋_GB2312" w:eastAsia="仿宋_GB2312"/>
          <w:b/>
          <w:bCs/>
          <w:sz w:val="28"/>
          <w:szCs w:val="28"/>
        </w:rPr>
        <w:t>9</w:t>
      </w:r>
      <w:r>
        <w:rPr>
          <w:rFonts w:hint="eastAsia" w:ascii="仿宋_GB2312" w:eastAsia="仿宋_GB2312"/>
          <w:b/>
          <w:bCs/>
          <w:sz w:val="28"/>
          <w:szCs w:val="28"/>
        </w:rPr>
        <w:t>年10月-2020年2月）</w:t>
      </w:r>
      <w:bookmarkEnd w:id="574"/>
      <w:bookmarkEnd w:id="575"/>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2019年10月至2</w:t>
      </w:r>
      <w:r>
        <w:rPr>
          <w:rFonts w:ascii="仿宋_GB2312" w:eastAsia="仿宋_GB2312"/>
          <w:sz w:val="28"/>
          <w:szCs w:val="28"/>
        </w:rPr>
        <w:t>0</w:t>
      </w:r>
      <w:r>
        <w:rPr>
          <w:rFonts w:hint="eastAsia" w:ascii="仿宋_GB2312" w:eastAsia="仿宋_GB2312"/>
          <w:sz w:val="28"/>
          <w:szCs w:val="28"/>
        </w:rPr>
        <w:t>20年2月，完成项目前端、传输网络及后端主机、存储等设备的采购、安装、部署和联调工作，完成系统上线。</w:t>
      </w:r>
    </w:p>
    <w:p>
      <w:pPr>
        <w:widowControl/>
        <w:spacing w:line="360" w:lineRule="auto"/>
        <w:ind w:firstLine="562" w:firstLineChars="200"/>
        <w:rPr>
          <w:rFonts w:ascii="仿宋_GB2312" w:eastAsia="仿宋_GB2312"/>
          <w:b/>
          <w:bCs/>
          <w:sz w:val="28"/>
          <w:szCs w:val="28"/>
        </w:rPr>
      </w:pPr>
      <w:bookmarkStart w:id="576" w:name="_Toc22478"/>
      <w:bookmarkStart w:id="577" w:name="_Toc7762"/>
      <w:r>
        <w:rPr>
          <w:rFonts w:hint="eastAsia" w:ascii="仿宋_GB2312" w:eastAsia="仿宋_GB2312"/>
          <w:b/>
          <w:bCs/>
          <w:sz w:val="28"/>
          <w:szCs w:val="28"/>
        </w:rPr>
        <w:t>4、项目验收（20</w:t>
      </w:r>
      <w:r>
        <w:rPr>
          <w:rFonts w:ascii="仿宋_GB2312" w:eastAsia="仿宋_GB2312"/>
          <w:b/>
          <w:bCs/>
          <w:sz w:val="28"/>
          <w:szCs w:val="28"/>
        </w:rPr>
        <w:t>20</w:t>
      </w:r>
      <w:r>
        <w:rPr>
          <w:rFonts w:hint="eastAsia" w:ascii="仿宋_GB2312" w:eastAsia="仿宋_GB2312"/>
          <w:b/>
          <w:bCs/>
          <w:sz w:val="28"/>
          <w:szCs w:val="28"/>
        </w:rPr>
        <w:t>年5月）</w:t>
      </w:r>
      <w:bookmarkEnd w:id="576"/>
      <w:bookmarkEnd w:id="577"/>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20</w:t>
      </w:r>
      <w:r>
        <w:rPr>
          <w:rFonts w:ascii="仿宋_GB2312" w:eastAsia="仿宋_GB2312"/>
          <w:sz w:val="28"/>
          <w:szCs w:val="28"/>
        </w:rPr>
        <w:t>20</w:t>
      </w:r>
      <w:r>
        <w:rPr>
          <w:rFonts w:hint="eastAsia" w:ascii="仿宋_GB2312" w:eastAsia="仿宋_GB2312"/>
          <w:sz w:val="28"/>
          <w:szCs w:val="28"/>
        </w:rPr>
        <w:t>年5月底，完成项目验收，进入运维期。</w:t>
      </w:r>
    </w:p>
    <w:p>
      <w:pPr>
        <w:keepNext/>
        <w:keepLines/>
        <w:numPr>
          <w:ilvl w:val="0"/>
          <w:numId w:val="3"/>
        </w:numPr>
        <w:tabs>
          <w:tab w:val="left" w:pos="567"/>
          <w:tab w:val="clear" w:pos="1560"/>
        </w:tabs>
        <w:spacing w:line="360" w:lineRule="auto"/>
        <w:ind w:left="602" w:hanging="602" w:hangingChars="200"/>
        <w:outlineLvl w:val="0"/>
        <w:rPr>
          <w:rFonts w:eastAsia="黑体"/>
          <w:b/>
          <w:bCs/>
          <w:kern w:val="44"/>
          <w:sz w:val="30"/>
          <w:szCs w:val="30"/>
        </w:rPr>
      </w:pPr>
      <w:bookmarkStart w:id="578" w:name="_Toc12881160"/>
      <w:r>
        <w:rPr>
          <w:rFonts w:hint="eastAsia" w:eastAsia="黑体"/>
          <w:b/>
          <w:bCs/>
          <w:kern w:val="44"/>
          <w:sz w:val="30"/>
          <w:szCs w:val="30"/>
        </w:rPr>
        <w:t>投资概算和资金来源</w:t>
      </w:r>
      <w:bookmarkEnd w:id="578"/>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79" w:name="_Toc498611492"/>
      <w:bookmarkStart w:id="580" w:name="_Toc414365448"/>
      <w:bookmarkStart w:id="581" w:name="_Toc12881161"/>
      <w:bookmarkStart w:id="582" w:name="_Toc401041613"/>
      <w:r>
        <w:rPr>
          <w:rFonts w:hint="eastAsia" w:ascii="Arial" w:hAnsi="Arial" w:eastAsia="仿宋_GB2312"/>
          <w:b/>
          <w:bCs/>
          <w:sz w:val="28"/>
          <w:szCs w:val="32"/>
        </w:rPr>
        <w:t>投资估算依据及说明</w:t>
      </w:r>
      <w:bookmarkEnd w:id="579"/>
      <w:bookmarkEnd w:id="580"/>
      <w:bookmarkEnd w:id="581"/>
      <w:bookmarkEnd w:id="582"/>
    </w:p>
    <w:p>
      <w:pPr>
        <w:spacing w:line="360" w:lineRule="auto"/>
        <w:ind w:firstLine="560" w:firstLineChars="200"/>
        <w:rPr>
          <w:rFonts w:ascii="仿宋_GB2312" w:eastAsia="仿宋_GB2312"/>
          <w:sz w:val="28"/>
        </w:rPr>
      </w:pPr>
      <w:r>
        <w:rPr>
          <w:rFonts w:hint="eastAsia" w:ascii="仿宋_GB2312" w:eastAsia="仿宋_GB2312"/>
          <w:sz w:val="28"/>
        </w:rPr>
        <w:t>（1）设备费根据对主流产品市场询价，并适当考虑政府采购的优惠。</w:t>
      </w:r>
    </w:p>
    <w:p>
      <w:pPr>
        <w:spacing w:line="360" w:lineRule="auto"/>
        <w:ind w:firstLine="560" w:firstLineChars="200"/>
        <w:rPr>
          <w:rFonts w:ascii="仿宋_GB2312" w:eastAsia="仿宋_GB2312"/>
          <w:sz w:val="28"/>
        </w:rPr>
      </w:pPr>
      <w:r>
        <w:rPr>
          <w:rFonts w:hint="eastAsia" w:ascii="仿宋_GB2312" w:eastAsia="仿宋_GB2312"/>
          <w:sz w:val="28"/>
        </w:rPr>
        <w:t>（2）安装调试费：前端设备采购费的10%+其他采购费（除前端设备、软件开发和授权外）的8%。</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bookmarkStart w:id="583" w:name="_Toc498611493"/>
      <w:bookmarkStart w:id="584" w:name="_Toc414365449"/>
      <w:bookmarkStart w:id="585" w:name="_Toc401041614"/>
      <w:bookmarkStart w:id="586" w:name="_Toc12881162"/>
      <w:r>
        <w:rPr>
          <w:rFonts w:hint="eastAsia" w:ascii="Arial" w:hAnsi="Arial" w:eastAsia="仿宋_GB2312"/>
          <w:b/>
          <w:bCs/>
          <w:sz w:val="28"/>
          <w:szCs w:val="32"/>
        </w:rPr>
        <w:t>投资预算</w:t>
      </w:r>
      <w:bookmarkEnd w:id="583"/>
      <w:bookmarkEnd w:id="584"/>
      <w:bookmarkEnd w:id="585"/>
      <w:bookmarkEnd w:id="586"/>
    </w:p>
    <w:p>
      <w:pPr>
        <w:spacing w:line="360" w:lineRule="auto"/>
        <w:ind w:firstLine="478" w:firstLineChars="171"/>
        <w:rPr>
          <w:rFonts w:ascii="仿宋_GB2312" w:eastAsia="仿宋_GB2312"/>
          <w:sz w:val="28"/>
        </w:rPr>
      </w:pPr>
      <w:bookmarkStart w:id="587" w:name="_Toc480363098"/>
      <w:bookmarkEnd w:id="587"/>
      <w:bookmarkStart w:id="588" w:name="_Toc479336345"/>
      <w:bookmarkEnd w:id="588"/>
      <w:bookmarkStart w:id="589" w:name="_Toc414365450"/>
      <w:bookmarkStart w:id="590" w:name="_Toc498611494"/>
      <w:bookmarkStart w:id="591" w:name="_Toc278895574"/>
      <w:bookmarkStart w:id="592" w:name="_Toc401041615"/>
      <w:r>
        <w:rPr>
          <w:rFonts w:hint="eastAsia" w:ascii="仿宋_GB2312" w:eastAsia="仿宋_GB2312"/>
          <w:sz w:val="28"/>
        </w:rPr>
        <w:t>滨海治安监控二期总投资预算为</w:t>
      </w:r>
      <w:r>
        <w:rPr>
          <w:rFonts w:ascii="仿宋_GB2312" w:eastAsia="仿宋_GB2312"/>
          <w:sz w:val="28"/>
        </w:rPr>
        <w:t>8</w:t>
      </w:r>
      <w:r>
        <w:rPr>
          <w:rFonts w:hint="eastAsia" w:ascii="仿宋_GB2312" w:eastAsia="仿宋_GB2312"/>
          <w:sz w:val="28"/>
        </w:rPr>
        <w:t>,</w:t>
      </w:r>
      <w:r>
        <w:rPr>
          <w:rFonts w:ascii="仿宋_GB2312" w:eastAsia="仿宋_GB2312"/>
          <w:sz w:val="28"/>
        </w:rPr>
        <w:t>232</w:t>
      </w:r>
      <w:r>
        <w:rPr>
          <w:rFonts w:hint="eastAsia" w:ascii="仿宋_GB2312" w:eastAsia="仿宋_GB2312"/>
          <w:sz w:val="28"/>
        </w:rPr>
        <w:t>,</w:t>
      </w:r>
      <w:r>
        <w:rPr>
          <w:rFonts w:ascii="仿宋_GB2312" w:eastAsia="仿宋_GB2312"/>
          <w:sz w:val="28"/>
        </w:rPr>
        <w:t>379</w:t>
      </w:r>
      <w:r>
        <w:rPr>
          <w:rFonts w:hint="eastAsia" w:ascii="仿宋_GB2312" w:eastAsia="仿宋_GB2312"/>
          <w:sz w:val="28"/>
        </w:rPr>
        <w:t>元，其中建设费为</w:t>
      </w:r>
      <w:r>
        <w:rPr>
          <w:rFonts w:ascii="仿宋_GB2312" w:eastAsia="仿宋_GB2312"/>
          <w:sz w:val="28"/>
        </w:rPr>
        <w:t>6,268,840</w:t>
      </w:r>
      <w:r>
        <w:rPr>
          <w:rFonts w:hint="eastAsia" w:ascii="仿宋_GB2312" w:eastAsia="仿宋_GB2312"/>
          <w:sz w:val="28"/>
        </w:rPr>
        <w:t>元，5年运维费及其他费用（含光纤租赁费和资金使用费）为</w:t>
      </w:r>
      <w:r>
        <w:rPr>
          <w:rFonts w:ascii="仿宋_GB2312" w:eastAsia="仿宋_GB2312"/>
          <w:sz w:val="28"/>
        </w:rPr>
        <w:t>1,963,540</w:t>
      </w:r>
      <w:r>
        <w:rPr>
          <w:rFonts w:hint="eastAsia" w:ascii="仿宋_GB2312" w:eastAsia="仿宋_GB2312"/>
          <w:sz w:val="28"/>
        </w:rPr>
        <w:t>元。</w:t>
      </w:r>
    </w:p>
    <w:p>
      <w:pPr>
        <w:spacing w:line="360" w:lineRule="auto"/>
        <w:ind w:firstLine="481" w:firstLineChars="171"/>
        <w:rPr>
          <w:rFonts w:ascii="仿宋_GB2312" w:eastAsia="仿宋_GB2312"/>
          <w:b/>
          <w:bCs/>
          <w:sz w:val="28"/>
        </w:rPr>
      </w:pPr>
      <w:bookmarkStart w:id="593" w:name="_Toc12881163"/>
      <w:r>
        <w:rPr>
          <w:rFonts w:hint="eastAsia" w:eastAsia="仿宋_GB2312"/>
          <w:b/>
          <w:bCs/>
          <w:sz w:val="28"/>
        </w:rPr>
        <w:t>本期项目建设选用租赁方式，5年内设备产权归中标单位所有，5年后设备产权归</w:t>
      </w:r>
      <w:r>
        <w:rPr>
          <w:rFonts w:hint="eastAsia" w:eastAsia="仿宋_GB2312"/>
          <w:b/>
          <w:bCs/>
          <w:sz w:val="28"/>
          <w:szCs w:val="22"/>
        </w:rPr>
        <w:t>浙江慈溪滨海经济开发区管理委员会</w:t>
      </w:r>
      <w:r>
        <w:rPr>
          <w:rFonts w:hint="eastAsia" w:eastAsia="仿宋_GB2312"/>
          <w:b/>
          <w:bCs/>
          <w:sz w:val="28"/>
        </w:rPr>
        <w:t>所有。本期所有建设费用、运维及其他费用采取分期付款模式。中标单位负责建设和</w:t>
      </w:r>
      <w:r>
        <w:rPr>
          <w:rFonts w:eastAsia="仿宋_GB2312"/>
          <w:b/>
          <w:bCs/>
          <w:sz w:val="28"/>
        </w:rPr>
        <w:t>5</w:t>
      </w:r>
      <w:r>
        <w:rPr>
          <w:rFonts w:hint="eastAsia" w:eastAsia="仿宋_GB2312"/>
          <w:b/>
          <w:bCs/>
          <w:sz w:val="28"/>
        </w:rPr>
        <w:t>年内的运行维护。总费用分5年分期支付，每年12月底支付总费用的20%。</w:t>
      </w:r>
    </w:p>
    <w:p>
      <w:pPr>
        <w:keepNext/>
        <w:keepLines/>
        <w:numPr>
          <w:ilvl w:val="1"/>
          <w:numId w:val="3"/>
        </w:numPr>
        <w:tabs>
          <w:tab w:val="left" w:pos="1560"/>
        </w:tabs>
        <w:spacing w:before="260" w:after="260" w:line="415" w:lineRule="auto"/>
        <w:outlineLvl w:val="1"/>
        <w:rPr>
          <w:rFonts w:ascii="Arial" w:hAnsi="Arial" w:eastAsia="仿宋_GB2312"/>
          <w:b/>
          <w:bCs/>
          <w:sz w:val="28"/>
          <w:szCs w:val="32"/>
        </w:rPr>
      </w:pPr>
      <w:r>
        <w:rPr>
          <w:rFonts w:hint="eastAsia" w:ascii="Arial" w:hAnsi="Arial" w:eastAsia="仿宋_GB2312"/>
          <w:b/>
          <w:bCs/>
          <w:sz w:val="28"/>
          <w:szCs w:val="32"/>
        </w:rPr>
        <w:t>资金来源与落实情况</w:t>
      </w:r>
      <w:bookmarkEnd w:id="589"/>
      <w:bookmarkEnd w:id="590"/>
      <w:bookmarkEnd w:id="591"/>
      <w:bookmarkEnd w:id="592"/>
      <w:bookmarkEnd w:id="593"/>
    </w:p>
    <w:p>
      <w:pPr>
        <w:spacing w:line="360" w:lineRule="auto"/>
        <w:ind w:firstLine="560" w:firstLineChars="200"/>
        <w:rPr>
          <w:rFonts w:ascii="仿宋_GB2312" w:eastAsia="仿宋_GB2312"/>
          <w:sz w:val="28"/>
        </w:rPr>
      </w:pPr>
      <w:r>
        <w:rPr>
          <w:rFonts w:hint="eastAsia" w:ascii="仿宋_GB2312" w:eastAsia="仿宋_GB2312"/>
          <w:sz w:val="28"/>
        </w:rPr>
        <w:t>项目所需资金由浙江慈溪滨海开发区管委会财政配套解决。</w:t>
      </w:r>
    </w:p>
    <w:p>
      <w:pPr>
        <w:keepNext/>
        <w:keepLines/>
        <w:numPr>
          <w:ilvl w:val="0"/>
          <w:numId w:val="3"/>
        </w:numPr>
        <w:tabs>
          <w:tab w:val="left" w:pos="567"/>
          <w:tab w:val="clear" w:pos="1560"/>
        </w:tabs>
        <w:spacing w:line="360" w:lineRule="auto"/>
        <w:ind w:left="602" w:hanging="602" w:hangingChars="200"/>
        <w:outlineLvl w:val="0"/>
        <w:rPr>
          <w:rFonts w:eastAsia="黑体"/>
          <w:b/>
          <w:bCs/>
          <w:kern w:val="44"/>
          <w:sz w:val="30"/>
          <w:szCs w:val="30"/>
        </w:rPr>
      </w:pPr>
      <w:bookmarkStart w:id="594" w:name="_Toc3481"/>
      <w:bookmarkStart w:id="595" w:name="_Toc12881164"/>
      <w:bookmarkStart w:id="596" w:name="_Toc27576"/>
      <w:bookmarkStart w:id="597" w:name="_Toc16727"/>
      <w:bookmarkStart w:id="598" w:name="_Toc414365451"/>
      <w:bookmarkStart w:id="599" w:name="_Toc11860"/>
      <w:bookmarkStart w:id="600" w:name="_Toc401041616"/>
      <w:r>
        <w:rPr>
          <w:rFonts w:hint="eastAsia" w:eastAsia="黑体"/>
          <w:b/>
          <w:bCs/>
          <w:kern w:val="44"/>
          <w:sz w:val="30"/>
          <w:szCs w:val="30"/>
        </w:rPr>
        <w:t>社会和经济效益分析</w:t>
      </w:r>
      <w:bookmarkEnd w:id="594"/>
      <w:bookmarkEnd w:id="595"/>
      <w:bookmarkEnd w:id="596"/>
      <w:bookmarkEnd w:id="597"/>
      <w:bookmarkEnd w:id="598"/>
      <w:bookmarkEnd w:id="599"/>
      <w:bookmarkEnd w:id="600"/>
    </w:p>
    <w:p>
      <w:pPr>
        <w:keepNext/>
        <w:keepLines/>
        <w:numPr>
          <w:ilvl w:val="1"/>
          <w:numId w:val="3"/>
        </w:numPr>
        <w:tabs>
          <w:tab w:val="left" w:pos="851"/>
        </w:tabs>
        <w:spacing w:before="260" w:after="260" w:line="415" w:lineRule="auto"/>
        <w:outlineLvl w:val="1"/>
        <w:rPr>
          <w:rFonts w:ascii="Arial" w:hAnsi="Arial" w:eastAsia="仿宋_GB2312"/>
          <w:b/>
          <w:bCs/>
          <w:sz w:val="28"/>
          <w:szCs w:val="32"/>
        </w:rPr>
      </w:pPr>
      <w:bookmarkStart w:id="601" w:name="_Toc16413"/>
      <w:bookmarkStart w:id="602" w:name="_Toc1009"/>
      <w:bookmarkStart w:id="603" w:name="_Toc406583533"/>
      <w:bookmarkStart w:id="604" w:name="_Toc12881165"/>
      <w:bookmarkStart w:id="605" w:name="_Toc30519"/>
      <w:bookmarkStart w:id="606" w:name="_Toc414365452"/>
      <w:bookmarkStart w:id="607" w:name="_Toc14015"/>
      <w:r>
        <w:rPr>
          <w:rFonts w:hint="eastAsia" w:ascii="Arial" w:hAnsi="Arial" w:eastAsia="仿宋_GB2312"/>
          <w:b/>
          <w:bCs/>
          <w:sz w:val="28"/>
          <w:szCs w:val="32"/>
        </w:rPr>
        <w:t>社会效益</w:t>
      </w:r>
      <w:bookmarkEnd w:id="601"/>
      <w:bookmarkEnd w:id="602"/>
      <w:bookmarkEnd w:id="603"/>
      <w:bookmarkEnd w:id="604"/>
      <w:bookmarkEnd w:id="605"/>
      <w:bookmarkEnd w:id="606"/>
      <w:bookmarkEnd w:id="607"/>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通过本项目建设，将大大提升滨海开发区的综合管理能力，治安能力和服务能力，间接改善经济发展环境，促进城市经济发展。实现各部门信息资源的共享利用，增加管理的科学性、服务的高效性。也可大大减少社会突发问题，降低危害居民生命财产行为的发生。</w:t>
      </w:r>
    </w:p>
    <w:p>
      <w:pPr>
        <w:keepNext/>
        <w:keepLines/>
        <w:numPr>
          <w:ilvl w:val="1"/>
          <w:numId w:val="3"/>
        </w:numPr>
        <w:tabs>
          <w:tab w:val="left" w:pos="851"/>
        </w:tabs>
        <w:spacing w:before="260" w:after="260" w:line="415" w:lineRule="auto"/>
        <w:outlineLvl w:val="1"/>
        <w:rPr>
          <w:rFonts w:ascii="Arial" w:hAnsi="Arial" w:eastAsia="仿宋_GB2312"/>
          <w:b/>
          <w:bCs/>
          <w:sz w:val="28"/>
          <w:szCs w:val="32"/>
        </w:rPr>
      </w:pPr>
      <w:bookmarkStart w:id="608" w:name="_Toc26805"/>
      <w:bookmarkStart w:id="609" w:name="_Toc406583534"/>
      <w:bookmarkStart w:id="610" w:name="_Toc12881166"/>
      <w:bookmarkStart w:id="611" w:name="_Toc3096"/>
      <w:bookmarkStart w:id="612" w:name="_Toc8470"/>
      <w:bookmarkStart w:id="613" w:name="_Toc414365453"/>
      <w:bookmarkStart w:id="614" w:name="_Toc29184"/>
      <w:r>
        <w:rPr>
          <w:rFonts w:hint="eastAsia" w:ascii="Arial" w:hAnsi="Arial" w:eastAsia="仿宋_GB2312"/>
          <w:b/>
          <w:bCs/>
          <w:sz w:val="28"/>
          <w:szCs w:val="32"/>
        </w:rPr>
        <w:t>经济效益</w:t>
      </w:r>
      <w:bookmarkEnd w:id="608"/>
      <w:bookmarkEnd w:id="609"/>
      <w:bookmarkEnd w:id="610"/>
      <w:bookmarkEnd w:id="611"/>
      <w:bookmarkEnd w:id="612"/>
      <w:bookmarkEnd w:id="613"/>
      <w:bookmarkEnd w:id="614"/>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随着滨海视频监控系统的建立，可以在对内综合服务和对外公众服务方面产生重大的社会效益。</w:t>
      </w:r>
    </w:p>
    <w:p>
      <w:pPr>
        <w:spacing w:line="360" w:lineRule="auto"/>
        <w:ind w:firstLine="560" w:firstLineChars="200"/>
        <w:rPr>
          <w:rFonts w:ascii="仿宋_GB2312" w:hAnsi="仿宋" w:eastAsia="仿宋_GB2312" w:cs="仿宋"/>
          <w:sz w:val="28"/>
          <w:szCs w:val="28"/>
        </w:rPr>
      </w:pPr>
      <w:r>
        <w:rPr>
          <w:rFonts w:hint="eastAsia" w:ascii="仿宋_GB2312" w:eastAsia="仿宋_GB2312"/>
          <w:sz w:val="28"/>
          <w:szCs w:val="28"/>
        </w:rPr>
        <w:t>项目的建成后，能有效改进</w:t>
      </w:r>
      <w:r>
        <w:rPr>
          <w:rFonts w:hint="eastAsia" w:ascii="仿宋_GB2312" w:hAnsi="宋体" w:eastAsia="仿宋_GB2312" w:cs="宋体"/>
          <w:kern w:val="0"/>
          <w:sz w:val="28"/>
          <w:szCs w:val="28"/>
        </w:rPr>
        <w:t>辖区管理手段，</w:t>
      </w:r>
      <w:r>
        <w:rPr>
          <w:rFonts w:hint="eastAsia" w:ascii="仿宋_GB2312" w:eastAsia="仿宋_GB2312"/>
          <w:sz w:val="28"/>
          <w:szCs w:val="28"/>
        </w:rPr>
        <w:t>进一步健全管控体系，全面构建智慧村镇。</w:t>
      </w:r>
      <w:bookmarkStart w:id="615" w:name="OLE_LINK3"/>
      <w:bookmarkStart w:id="616" w:name="OLE_LINK2"/>
      <w:r>
        <w:rPr>
          <w:rFonts w:hint="eastAsia" w:ascii="仿宋_GB2312" w:hAnsi="仿宋" w:eastAsia="仿宋_GB2312" w:cs="仿宋"/>
          <w:sz w:val="28"/>
          <w:szCs w:val="28"/>
        </w:rPr>
        <w:t>当村镇管理和服务的水平不断提升，村镇面貌的日趋改善、社会持续井然，将带来极大的社会效益</w:t>
      </w:r>
      <w:bookmarkEnd w:id="615"/>
      <w:bookmarkEnd w:id="616"/>
      <w:r>
        <w:rPr>
          <w:rFonts w:hint="eastAsia" w:ascii="仿宋_GB2312" w:hAnsi="仿宋" w:eastAsia="仿宋_GB2312" w:cs="仿宋"/>
          <w:sz w:val="28"/>
          <w:szCs w:val="28"/>
        </w:rPr>
        <w:t>。</w:t>
      </w:r>
    </w:p>
    <w:p>
      <w:pPr>
        <w:keepNext/>
        <w:keepLines/>
        <w:numPr>
          <w:ilvl w:val="0"/>
          <w:numId w:val="3"/>
        </w:numPr>
        <w:tabs>
          <w:tab w:val="left" w:pos="567"/>
          <w:tab w:val="clear" w:pos="1560"/>
        </w:tabs>
        <w:spacing w:line="360" w:lineRule="auto"/>
        <w:ind w:left="602" w:hanging="602" w:hangingChars="200"/>
        <w:outlineLvl w:val="0"/>
        <w:rPr>
          <w:rFonts w:eastAsia="黑体"/>
          <w:b/>
          <w:bCs/>
          <w:kern w:val="44"/>
          <w:sz w:val="30"/>
          <w:szCs w:val="30"/>
        </w:rPr>
      </w:pPr>
      <w:bookmarkStart w:id="617" w:name="_Toc414365454"/>
      <w:bookmarkStart w:id="618" w:name="_Toc12881167"/>
      <w:bookmarkStart w:id="619" w:name="_Toc17184"/>
      <w:bookmarkStart w:id="620" w:name="_Toc5474"/>
      <w:bookmarkStart w:id="621" w:name="_Toc396734626"/>
      <w:bookmarkStart w:id="622" w:name="_Toc401041617"/>
      <w:bookmarkStart w:id="623" w:name="_Toc399499263"/>
      <w:bookmarkStart w:id="624" w:name="_Toc11603"/>
      <w:bookmarkStart w:id="625" w:name="_Toc5016"/>
      <w:r>
        <w:rPr>
          <w:rFonts w:hint="eastAsia" w:eastAsia="黑体"/>
          <w:b/>
          <w:bCs/>
          <w:kern w:val="44"/>
          <w:sz w:val="30"/>
          <w:szCs w:val="30"/>
        </w:rPr>
        <w:t>项目风险与风险对策</w:t>
      </w:r>
      <w:bookmarkEnd w:id="617"/>
      <w:bookmarkEnd w:id="618"/>
      <w:bookmarkEnd w:id="619"/>
      <w:bookmarkEnd w:id="620"/>
      <w:bookmarkEnd w:id="621"/>
      <w:bookmarkEnd w:id="622"/>
      <w:bookmarkEnd w:id="623"/>
      <w:bookmarkEnd w:id="624"/>
      <w:bookmarkEnd w:id="625"/>
    </w:p>
    <w:p>
      <w:pPr>
        <w:keepNext/>
        <w:keepLines/>
        <w:numPr>
          <w:ilvl w:val="1"/>
          <w:numId w:val="3"/>
        </w:numPr>
        <w:tabs>
          <w:tab w:val="left" w:pos="851"/>
        </w:tabs>
        <w:spacing w:before="260" w:after="260" w:line="415" w:lineRule="auto"/>
        <w:outlineLvl w:val="1"/>
        <w:rPr>
          <w:rFonts w:ascii="Arial" w:hAnsi="Arial" w:eastAsia="仿宋_GB2312"/>
          <w:b/>
          <w:bCs/>
          <w:sz w:val="28"/>
          <w:szCs w:val="32"/>
        </w:rPr>
      </w:pPr>
      <w:bookmarkStart w:id="626" w:name="_Toc399499264"/>
      <w:bookmarkStart w:id="627" w:name="_Toc414365455"/>
      <w:bookmarkStart w:id="628" w:name="_Toc396734627"/>
      <w:bookmarkStart w:id="629" w:name="_Toc401041618"/>
      <w:bookmarkStart w:id="630" w:name="_Toc5280"/>
      <w:bookmarkStart w:id="631" w:name="_Toc6760"/>
      <w:bookmarkStart w:id="632" w:name="_Toc12881168"/>
      <w:bookmarkStart w:id="633" w:name="_Toc11382"/>
      <w:bookmarkStart w:id="634" w:name="_Toc13699"/>
      <w:r>
        <w:rPr>
          <w:rFonts w:hint="eastAsia" w:ascii="Arial" w:hAnsi="Arial" w:eastAsia="仿宋_GB2312"/>
          <w:b/>
          <w:bCs/>
          <w:sz w:val="28"/>
          <w:szCs w:val="32"/>
        </w:rPr>
        <w:t>风险</w:t>
      </w:r>
      <w:bookmarkEnd w:id="626"/>
      <w:bookmarkEnd w:id="627"/>
      <w:bookmarkEnd w:id="628"/>
      <w:bookmarkEnd w:id="629"/>
      <w:r>
        <w:rPr>
          <w:rFonts w:hint="eastAsia" w:ascii="Arial" w:hAnsi="Arial" w:eastAsia="仿宋_GB2312"/>
          <w:b/>
          <w:bCs/>
          <w:sz w:val="28"/>
          <w:szCs w:val="32"/>
        </w:rPr>
        <w:t>分析</w:t>
      </w:r>
      <w:bookmarkEnd w:id="630"/>
      <w:bookmarkEnd w:id="631"/>
      <w:bookmarkEnd w:id="632"/>
      <w:bookmarkEnd w:id="633"/>
      <w:bookmarkEnd w:id="634"/>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 xml:space="preserve">本项目建设内容多、周期短、难度大，相应的系统实施风险性也较大。归纳起来主要在以下几方面存在风险： </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1）管理风险：因为项目涉及的范围广，施工场地及环境复杂，不可控因素较多，如果项目的管理单位和人员不能采取周全、有效的措施来进行项目的推进，项目的建设进度和质量都会存在很大的风险。</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2）项目技术风险：对项目采用的技术进行分析，如果项目采用的技术、设备可靠性和稳定性不够，将给项目功能的顺利实现造成风险。</w:t>
      </w:r>
    </w:p>
    <w:p>
      <w:pPr>
        <w:keepNext/>
        <w:keepLines/>
        <w:numPr>
          <w:ilvl w:val="1"/>
          <w:numId w:val="3"/>
        </w:numPr>
        <w:tabs>
          <w:tab w:val="left" w:pos="851"/>
        </w:tabs>
        <w:spacing w:before="260" w:after="260" w:line="415" w:lineRule="auto"/>
        <w:outlineLvl w:val="1"/>
        <w:rPr>
          <w:rFonts w:ascii="Arial" w:hAnsi="Arial" w:eastAsia="仿宋_GB2312"/>
          <w:b/>
          <w:bCs/>
          <w:sz w:val="28"/>
          <w:szCs w:val="32"/>
        </w:rPr>
      </w:pPr>
      <w:bookmarkStart w:id="635" w:name="_Toc30444"/>
      <w:bookmarkStart w:id="636" w:name="_Toc24646"/>
      <w:bookmarkStart w:id="637" w:name="_Toc12881169"/>
      <w:bookmarkStart w:id="638" w:name="_Toc16049"/>
      <w:bookmarkStart w:id="639" w:name="_Toc12743"/>
      <w:r>
        <w:rPr>
          <w:rFonts w:hint="eastAsia" w:ascii="Arial" w:hAnsi="Arial" w:eastAsia="仿宋_GB2312"/>
          <w:b/>
          <w:bCs/>
          <w:sz w:val="28"/>
          <w:szCs w:val="32"/>
        </w:rPr>
        <w:t>风险应对</w:t>
      </w:r>
      <w:bookmarkEnd w:id="635"/>
      <w:bookmarkEnd w:id="636"/>
      <w:bookmarkEnd w:id="637"/>
      <w:bookmarkEnd w:id="638"/>
      <w:bookmarkEnd w:id="639"/>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为了将本项目的风险降到最小，需要采取如下规避措施：</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1）加强项目各方的协调，加强对施工现场的管理领导。</w:t>
      </w:r>
    </w:p>
    <w:p>
      <w:pPr>
        <w:widowControl/>
        <w:spacing w:line="360" w:lineRule="auto"/>
        <w:ind w:firstLine="560" w:firstLineChars="200"/>
        <w:rPr>
          <w:rFonts w:ascii="仿宋_GB2312" w:eastAsia="仿宋_GB2312"/>
          <w:sz w:val="28"/>
          <w:szCs w:val="28"/>
        </w:rPr>
      </w:pPr>
      <w:r>
        <w:rPr>
          <w:rFonts w:hint="eastAsia" w:ascii="仿宋_GB2312" w:eastAsia="仿宋_GB2312"/>
          <w:sz w:val="28"/>
          <w:szCs w:val="28"/>
        </w:rPr>
        <w:t>2）选择优秀的中标单位从事本项目的系统建设，提高项目建设的成功概率。</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3）做好技术和设备的选型，在确保先进行的同时，保证系统的可靠和稳定。</w:t>
      </w:r>
    </w:p>
    <w:p>
      <w:pPr>
        <w:spacing w:line="360" w:lineRule="auto"/>
        <w:ind w:firstLine="560" w:firstLineChars="200"/>
        <w:rPr>
          <w:rFonts w:ascii="仿宋_GB2312" w:eastAsia="仿宋_GB2312"/>
          <w:sz w:val="28"/>
          <w:szCs w:val="28"/>
        </w:rPr>
      </w:pPr>
    </w:p>
    <w:p>
      <w:pPr>
        <w:pStyle w:val="2"/>
        <w:tabs>
          <w:tab w:val="left" w:pos="567"/>
        </w:tabs>
        <w:rPr>
          <w:rFonts w:hint="eastAsia"/>
          <w:b/>
          <w:sz w:val="30"/>
          <w:szCs w:val="30"/>
        </w:rPr>
      </w:pPr>
      <w:bookmarkStart w:id="640" w:name="_Toc12881171"/>
      <w:bookmarkStart w:id="641" w:name="_Toc495995172"/>
      <w:r>
        <w:rPr>
          <w:b/>
          <w:sz w:val="30"/>
          <w:szCs w:val="30"/>
        </w:rPr>
        <w:t>附表</w:t>
      </w:r>
      <w:r>
        <w:rPr>
          <w:rFonts w:hint="eastAsia"/>
          <w:b/>
          <w:sz w:val="30"/>
          <w:szCs w:val="30"/>
        </w:rPr>
        <w:t>1：项目设备参数明细表</w:t>
      </w:r>
      <w:bookmarkEnd w:id="640"/>
      <w:bookmarkEnd w:id="641"/>
    </w:p>
    <w:tbl>
      <w:tblPr>
        <w:tblStyle w:val="51"/>
        <w:tblW w:w="0" w:type="auto"/>
        <w:tblInd w:w="0" w:type="dxa"/>
        <w:tblLayout w:type="fixed"/>
        <w:tblCellMar>
          <w:top w:w="0" w:type="dxa"/>
          <w:left w:w="0" w:type="dxa"/>
          <w:bottom w:w="0" w:type="dxa"/>
          <w:right w:w="0" w:type="dxa"/>
        </w:tblCellMar>
      </w:tblPr>
      <w:tblGrid>
        <w:gridCol w:w="1085"/>
        <w:gridCol w:w="970"/>
        <w:gridCol w:w="808"/>
        <w:gridCol w:w="6371"/>
        <w:gridCol w:w="343"/>
        <w:gridCol w:w="423"/>
      </w:tblGrid>
      <w:tr>
        <w:tblPrEx>
          <w:tblCellMar>
            <w:top w:w="0" w:type="dxa"/>
            <w:left w:w="0" w:type="dxa"/>
            <w:bottom w:w="0" w:type="dxa"/>
            <w:right w:w="0" w:type="dxa"/>
          </w:tblCellMar>
        </w:tblPrEx>
        <w:trPr>
          <w:trHeight w:val="518"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序号</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设备名称</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推荐品牌</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技术参数</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单位</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数量</w:t>
            </w:r>
          </w:p>
        </w:tc>
      </w:tr>
      <w:tr>
        <w:tblPrEx>
          <w:tblCellMar>
            <w:top w:w="0" w:type="dxa"/>
            <w:left w:w="0" w:type="dxa"/>
            <w:bottom w:w="0" w:type="dxa"/>
            <w:right w:w="0" w:type="dxa"/>
          </w:tblCellMar>
        </w:tblPrEx>
        <w:trPr>
          <w:trHeight w:val="518" w:hRule="atLeast"/>
        </w:trPr>
        <w:tc>
          <w:tcPr>
            <w:tcW w:w="1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1、前端监控设备</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6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r>
      <w:tr>
        <w:tblPrEx>
          <w:tblCellMar>
            <w:top w:w="0" w:type="dxa"/>
            <w:left w:w="0" w:type="dxa"/>
            <w:bottom w:w="0" w:type="dxa"/>
            <w:right w:w="0" w:type="dxa"/>
          </w:tblCellMar>
        </w:tblPrEx>
        <w:trPr>
          <w:trHeight w:val="90" w:hRule="atLeast"/>
        </w:trPr>
        <w:tc>
          <w:tcPr>
            <w:tcW w:w="1085" w:type="dxa"/>
            <w:tcBorders>
              <w:top w:val="single" w:color="000000" w:sz="4" w:space="0"/>
              <w:left w:val="single" w:color="000000" w:sz="4" w:space="0"/>
              <w:bottom w:val="nil"/>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多目全景摄像机</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1、内置4个1/1.8英寸2MP Progressive Scan CMOS传感器、特写相机内置1/2.8英寸CMOS传感器。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2、具有1个10M/100M/1000M自适应以太网RJ45接口；1个光纤接口；2路报警输入接口；1路报警输出接口；1路音频输入、1路音频输出接口；1个RS485接口；1个TF卡插槽。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3、内置8GB eMMC芯片,提供公安部检验报告复印件加盖供应商公章为证。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4、内置GPU芯片,提供公安部检验报告复印件加盖供应商公章为证。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5、内置防抖陀螺仪,提供公安部检验报告复印件加盖供应商公章为证。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6、IPC支持光口、电口同时使用，电口可以串接供给另外1台IPC正常使用。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7、全景相机：不小于1900TVL（分辨率设置为4096x1800、帧率设置为 25fps 码率设置为8Mbps、RJ45输出），特写相机：不小于1100TVL（分辨率设置为1920 ×1080、帧率设置为 30fps 码率设置为2Mbps、RJ45输出）。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8、在红外灯关闭情况下：全景相机：彩色：≤0.002 lx（AGC ON, 应能分辨反射式视频矩阵测试卡中彩色色块），黑白：≤0.0002 lx（AGC ON，应能分辨反射式视频分辨率测试卡中圆形轮廓），特写相机：彩色：≤0.0001 lx（AGC ON, 应能分辨反射式视频矩阵测试卡中彩色色块），黑白：≤0.0001 lx（AGC ON，应能分辨反射式视频分辨率测试卡中圆形轮廓）。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9、具有自动、关闭、开启光学透雾设置选项，透雾等级1-9可调。当检查到雾的浓度达到设定的阈值时，可自动在数字透雾和光学透雾之间进行切换,提供公安部检验报告复印件加盖供应商公章为证。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10、具有宽动态自动设置选项。在环境亮度变化时，可自动在宽动态关闭和开启间进行切换,提供公安部检验报告复印件加盖供应商公章为证。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11、静态场景，相同图像质量下，使用H.265/H.264编码格式开启智能编码高级模式与基础模式相比，码率可节省码流85%。动态场景，相同图像质量下，使用H.265/H.264编码格式开启智能编码高级模式与基础模式相比，码率可节省码流50%。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12、在设定的侦测区域内具有目标移动时，可在客户端给出报警提示，可同时支持18×22个区域移动侦测。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13、样机支持双路iSCSI直存方式存储，存储方式包括IPSAN、云存储。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14、电源电压在AC/DC24V±25%范围内变化时，样机应能正常工作。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15、可将视频图像存储至TF卡或客户端，支持256GB TF卡。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16、全景相机：可识别距样机50m处的人体轮廓，特写相机：可识别距样机250m处的人体轮廓。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17、摄像机可通过RS485外接数字拾音器，并能在WEB端听到拾音器采集的声音。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18、通过Web点击或者框选全景相机画面任意位置，特写相机可自动联动至全景相机指定区域，并将该区域聚焦于画面中心。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19、可通过设置越界检测、区域入侵、离开区域、进入区域规则，对设定区域内触发事件的运动目标进行跟踪。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20、支持在全景相机WEB界面中手动选择任意目标，驱动特写相机对全景相机指定目标进行持续跟踪。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21、支持GPS/北斗定位功能，并能够在监视画面叠加设备所在的经纬度信息。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22、★样机可配置启用或关闭视频内容保护功能，启用该功能时可对视频图像码流（包括符合国标 GB/T 28181-2011 中编码规范要求的视频码流）进行随机混淆处理，即对每帧视频图像编码随机改变每帧视频数据报文中若干字节的内容后再进行网络传输,提供公安部检验报告复印件加盖供应商公章为证。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23、通过提取样机通信网络数据包方式获得的经过数字随机混淆处理的视频码流无法正常播放。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24、将经过样机视频内容保护处理的视频转换为普通视频（可被通用播放器正常播放）需要单独授权,提供公安部检验报告复印件加盖供应商公章为证。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25、样机可支持内置数字证书，并支持采用数字证书对解码秘钥进行加密,提供公安部检验报告复印件加盖供应商公章为证。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26、样机启用视频内容保护功能后，视频码流中的解码秘钥应能够周期性动态变化，变化周期可设置为10分钟至1个月,提供公安部检验报告复印件加盖供应商公章为证。</w:t>
            </w:r>
          </w:p>
        </w:tc>
        <w:tc>
          <w:tcPr>
            <w:tcW w:w="34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931" w:hRule="atLeast"/>
        </w:trPr>
        <w:tc>
          <w:tcPr>
            <w:tcW w:w="10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400万人车一体抓拍球机（人车一体）</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Style w:val="83"/>
                <w:rFonts w:hint="default"/>
                <w:lang w:bidi="ar"/>
              </w:rPr>
              <w:t>1、采用1/1.8英寸COMS传感器，像元大小3.0μm（H）×3.0μm（V），提供公安部检验报告复印件加盖供应商公章为证。</w:t>
            </w:r>
            <w:r>
              <w:rPr>
                <w:rStyle w:val="83"/>
                <w:rFonts w:hint="default"/>
                <w:lang w:bidi="ar"/>
              </w:rPr>
              <w:br w:type="textWrapping"/>
            </w:r>
            <w:r>
              <w:rPr>
                <w:rStyle w:val="83"/>
                <w:rFonts w:hint="default"/>
                <w:lang w:bidi="ar"/>
              </w:rPr>
              <w:t>2、内置GPU芯片。</w:t>
            </w:r>
            <w:r>
              <w:rPr>
                <w:rStyle w:val="83"/>
                <w:rFonts w:hint="default"/>
                <w:lang w:bidi="ar"/>
              </w:rPr>
              <w:br w:type="textWrapping"/>
            </w:r>
            <w:r>
              <w:rPr>
                <w:rStyle w:val="83"/>
                <w:rFonts w:hint="default"/>
                <w:lang w:bidi="ar"/>
              </w:rPr>
              <w:t>3、内置8GB eMMC，提供公安部检验报告复印件加盖供应商公章为证。</w:t>
            </w:r>
            <w:r>
              <w:rPr>
                <w:rStyle w:val="83"/>
                <w:rFonts w:hint="default"/>
                <w:lang w:bidi="ar"/>
              </w:rPr>
              <w:br w:type="textWrapping"/>
            </w:r>
            <w:r>
              <w:rPr>
                <w:rStyle w:val="83"/>
                <w:rFonts w:hint="default"/>
                <w:lang w:bidi="ar"/>
              </w:rPr>
              <w:t>4、最低照度：彩色≤0.001lx，黑白≤0.0005lx。</w:t>
            </w:r>
            <w:r>
              <w:rPr>
                <w:rStyle w:val="83"/>
                <w:rFonts w:hint="default"/>
                <w:lang w:bidi="ar"/>
              </w:rPr>
              <w:br w:type="textWrapping"/>
            </w:r>
            <w:r>
              <w:rPr>
                <w:rStyle w:val="83"/>
                <w:rFonts w:hint="default"/>
                <w:lang w:bidi="ar"/>
              </w:rPr>
              <w:t>5、支持五码流：主码流分辨率为2688x1520，帧率为60帧/s，码率为4Mbps；子码流分辨率为1920x1080，帧率为60帧/s，码率为2Mbps；第三码流分辨率为720x576，帧率为60帧/s，码率为1Mbps；第四码流分辨率为720x576，帧率为60帧/s，码率为1Mbps；第五码流分辨率为720x576，帧率为60帧/s，码率为1Mbp，提供公安部检验报告复印件加盖供应商公章为证。</w:t>
            </w:r>
            <w:r>
              <w:rPr>
                <w:rStyle w:val="83"/>
                <w:rFonts w:hint="default"/>
                <w:lang w:bidi="ar"/>
              </w:rPr>
              <w:br w:type="textWrapping"/>
            </w:r>
            <w:r>
              <w:rPr>
                <w:rStyle w:val="83"/>
                <w:rFonts w:hint="default"/>
                <w:lang w:bidi="ar"/>
              </w:rPr>
              <w:t>6、延时≤90ms,灰度等级13级，宽动态120dB。</w:t>
            </w:r>
            <w:r>
              <w:rPr>
                <w:rStyle w:val="83"/>
                <w:rFonts w:hint="default"/>
                <w:lang w:bidi="ar"/>
              </w:rPr>
              <w:br w:type="textWrapping"/>
            </w:r>
            <w:r>
              <w:rPr>
                <w:rStyle w:val="83"/>
                <w:rFonts w:hint="default"/>
                <w:lang w:bidi="ar"/>
              </w:rPr>
              <w:t>7、通过红外补光，可识别距摄像机500m处的目标。</w:t>
            </w:r>
            <w:r>
              <w:rPr>
                <w:rStyle w:val="83"/>
                <w:rFonts w:hint="default"/>
                <w:lang w:bidi="ar"/>
              </w:rPr>
              <w:br w:type="textWrapping"/>
            </w:r>
            <w:r>
              <w:rPr>
                <w:rStyle w:val="83"/>
                <w:rFonts w:hint="default"/>
                <w:lang w:bidi="ar"/>
              </w:rPr>
              <w:t>8、★支持对全屏区域或指定区域出现的机动车、非机动车及行人同时进行检测和跟踪，可最多检测出不少于60个目标同时出现在视频图像中，提供公安部检验报告复印件加盖供应商公章为证。</w:t>
            </w:r>
            <w:r>
              <w:rPr>
                <w:rStyle w:val="70"/>
                <w:rFonts w:hint="default"/>
                <w:lang w:bidi="ar"/>
              </w:rPr>
              <w:br w:type="textWrapping"/>
            </w:r>
            <w:r>
              <w:rPr>
                <w:rStyle w:val="70"/>
                <w:rFonts w:hint="default"/>
                <w:lang w:bidi="ar"/>
              </w:rPr>
              <w:t>9、支持机动车、非机动车和行人分类和抓拍，提供公安部检验报告复印件加盖供应商公章为证。</w:t>
            </w:r>
            <w:r>
              <w:rPr>
                <w:rStyle w:val="70"/>
                <w:rFonts w:hint="default"/>
                <w:lang w:bidi="ar"/>
              </w:rPr>
              <w:br w:type="textWrapping"/>
            </w:r>
            <w:r>
              <w:rPr>
                <w:rStyle w:val="70"/>
                <w:rFonts w:hint="default"/>
                <w:lang w:bidi="ar"/>
              </w:rPr>
              <w:t>10、可识别车身颜色、车款、车型，准确率≥99.9%。</w:t>
            </w:r>
            <w:r>
              <w:rPr>
                <w:rStyle w:val="70"/>
                <w:rFonts w:hint="default"/>
                <w:lang w:bidi="ar"/>
              </w:rPr>
              <w:br w:type="textWrapping"/>
            </w:r>
            <w:r>
              <w:rPr>
                <w:rStyle w:val="70"/>
                <w:rFonts w:hint="default"/>
                <w:lang w:bidi="ar"/>
              </w:rPr>
              <w:t>11、可抓拍车牌并识别车牌号码，准确率≥99.9%。</w:t>
            </w:r>
            <w:r>
              <w:rPr>
                <w:rStyle w:val="70"/>
                <w:rFonts w:hint="default"/>
                <w:lang w:bidi="ar"/>
              </w:rPr>
              <w:br w:type="textWrapping"/>
            </w:r>
            <w:r>
              <w:rPr>
                <w:rStyle w:val="70"/>
                <w:rFonts w:hint="default"/>
                <w:lang w:bidi="ar"/>
              </w:rPr>
              <w:t>12、可抓拍非机动车并提取结构化信息，准确率≥99.9%。</w:t>
            </w:r>
            <w:r>
              <w:rPr>
                <w:rStyle w:val="70"/>
                <w:rFonts w:hint="default"/>
                <w:lang w:bidi="ar"/>
              </w:rPr>
              <w:br w:type="textWrapping"/>
            </w:r>
            <w:r>
              <w:rPr>
                <w:rStyle w:val="70"/>
                <w:rFonts w:hint="default"/>
                <w:lang w:bidi="ar"/>
              </w:rPr>
              <w:t>13、可抓拍行人并提取结构化信息，准确率≥99.9%。</w:t>
            </w:r>
            <w:r>
              <w:rPr>
                <w:rStyle w:val="70"/>
                <w:rFonts w:hint="default"/>
                <w:lang w:bidi="ar"/>
              </w:rPr>
              <w:br w:type="textWrapping"/>
            </w:r>
            <w:r>
              <w:rPr>
                <w:rStyle w:val="70"/>
                <w:rFonts w:hint="default"/>
                <w:lang w:bidi="ar"/>
              </w:rPr>
              <w:t>14、具有目标跟踪功能，可对设定区域的运动目标进行跟踪，可设定持续跟踪时间，可自动变倍。</w:t>
            </w:r>
            <w:r>
              <w:rPr>
                <w:rStyle w:val="70"/>
                <w:rFonts w:hint="default"/>
                <w:lang w:bidi="ar"/>
              </w:rPr>
              <w:br w:type="textWrapping"/>
            </w:r>
            <w:r>
              <w:rPr>
                <w:rStyle w:val="70"/>
                <w:rFonts w:hint="default"/>
                <w:lang w:bidi="ar"/>
              </w:rPr>
              <w:t>15、具有智能编码功能，静态场景，相同图像质量下，使用H.265/H.264编码格式开启智能编码高级模式与基础模式相比，码率可节省码流85%；动态场景，相同图像质量下，使用H.265/H.264编码格式开启智能编码高级模式与基础模式相比，码率可节省码流50%。</w:t>
            </w:r>
            <w:r>
              <w:rPr>
                <w:rStyle w:val="70"/>
                <w:rFonts w:hint="default"/>
                <w:lang w:bidi="ar"/>
              </w:rPr>
              <w:br w:type="textWrapping"/>
            </w:r>
            <w:r>
              <w:rPr>
                <w:rStyle w:val="70"/>
                <w:rFonts w:hint="default"/>
                <w:lang w:bidi="ar"/>
              </w:rPr>
              <w:t>16、防护等级不低于IP67。</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27</w:t>
            </w:r>
          </w:p>
        </w:tc>
      </w:tr>
      <w:tr>
        <w:tblPrEx>
          <w:tblCellMar>
            <w:top w:w="0" w:type="dxa"/>
            <w:left w:w="0" w:type="dxa"/>
            <w:bottom w:w="0" w:type="dxa"/>
            <w:right w:w="0" w:type="dxa"/>
          </w:tblCellMar>
        </w:tblPrEx>
        <w:trPr>
          <w:trHeight w:val="3150" w:hRule="atLeast"/>
        </w:trPr>
        <w:tc>
          <w:tcPr>
            <w:tcW w:w="10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200万室内人脸抓拍筒机（人脸相机）</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Style w:val="70"/>
                <w:rFonts w:hint="default"/>
                <w:lang w:bidi="ar"/>
              </w:rPr>
              <w:t>1、靶面尺寸1/1.8英寸，内置一个8GeMMC芯片、1个MA2450GPU芯片，提供公安部检验报告复印件加盖供应商公章为证。</w:t>
            </w:r>
            <w:r>
              <w:rPr>
                <w:rStyle w:val="70"/>
                <w:rFonts w:hint="default"/>
                <w:lang w:bidi="ar"/>
              </w:rPr>
              <w:br w:type="textWrapping"/>
            </w:r>
            <w:r>
              <w:rPr>
                <w:rStyle w:val="70"/>
                <w:rFonts w:hint="default"/>
                <w:lang w:bidi="ar"/>
              </w:rPr>
              <w:t>2、照度≥135dB，宽动态能力≥136，信噪比≥61dB，亮度等级≥11级。</w:t>
            </w:r>
            <w:r>
              <w:rPr>
                <w:rStyle w:val="70"/>
                <w:rFonts w:hint="default"/>
                <w:lang w:bidi="ar"/>
              </w:rPr>
              <w:br w:type="textWrapping"/>
            </w:r>
            <w:r>
              <w:rPr>
                <w:rStyle w:val="70"/>
                <w:rFonts w:hint="default"/>
                <w:lang w:bidi="ar"/>
              </w:rPr>
              <w:t>3、最低照度：彩色0.0002lx，黑白0.0001lx。</w:t>
            </w:r>
            <w:r>
              <w:rPr>
                <w:rStyle w:val="70"/>
                <w:rFonts w:hint="default"/>
                <w:lang w:bidi="ar"/>
              </w:rPr>
              <w:br w:type="textWrapping"/>
            </w:r>
            <w:r>
              <w:rPr>
                <w:rStyle w:val="70"/>
                <w:rFonts w:hint="default"/>
                <w:lang w:bidi="ar"/>
              </w:rPr>
              <w:t>4、可对出现在监控场景内的两眼瞳距不小于20像素的人脸进行检测，同时叠加目标提示框。</w:t>
            </w:r>
            <w:r>
              <w:rPr>
                <w:rStyle w:val="70"/>
                <w:rFonts w:hint="default"/>
                <w:lang w:bidi="ar"/>
              </w:rPr>
              <w:br w:type="textWrapping"/>
            </w:r>
            <w:r>
              <w:rPr>
                <w:rStyle w:val="70"/>
                <w:rFonts w:hint="default"/>
                <w:lang w:bidi="ar"/>
              </w:rPr>
              <w:t>5、支持同时检测监控场景内出现的不少于40张人脸图片，并可进行抓拍机人脸跟踪，提供公安部检验报告复印件加盖供应商公章为证。</w:t>
            </w:r>
            <w:r>
              <w:rPr>
                <w:rStyle w:val="70"/>
                <w:rFonts w:hint="default"/>
                <w:lang w:bidi="ar"/>
              </w:rPr>
              <w:br w:type="textWrapping"/>
            </w:r>
            <w:r>
              <w:rPr>
                <w:rStyle w:val="70"/>
                <w:rFonts w:hint="default"/>
                <w:lang w:bidi="ar"/>
              </w:rPr>
              <w:t>6、支持检出刘海遮挡眉毛、头发遮挡眼镜、戴普通眼镜、戴墨镜、戴帽子、半边脸、戴口罩、戴口罩侧脸等遮挡方式人脸，提供公安部检验报告复印件加盖供应商公章为证。</w:t>
            </w:r>
            <w:r>
              <w:rPr>
                <w:rStyle w:val="70"/>
                <w:rFonts w:hint="default"/>
                <w:lang w:bidi="ar"/>
              </w:rPr>
              <w:br w:type="textWrapping"/>
            </w:r>
            <w:r>
              <w:rPr>
                <w:rStyle w:val="70"/>
                <w:rFonts w:hint="default"/>
                <w:lang w:bidi="ar"/>
              </w:rPr>
              <w:t>7、人脸检出标准不低于试验标准：采用5人依次循环通行进行试验，试验人员通过速度不小于1m/s，人员通过时间间隔不小于1s，重复20次，人脸检出人次达到100次。</w:t>
            </w:r>
            <w:r>
              <w:rPr>
                <w:rStyle w:val="70"/>
                <w:rFonts w:hint="default"/>
                <w:lang w:bidi="ar"/>
              </w:rPr>
              <w:br w:type="textWrapping"/>
            </w:r>
            <w:r>
              <w:rPr>
                <w:rStyle w:val="70"/>
                <w:rFonts w:hint="default"/>
                <w:lang w:bidi="ar"/>
              </w:rPr>
              <w:t>8、支持检出水平转动角不超过±90°、仰角不超过±65°、倾斜角不超过±45°姿态角度的人脸，支持在走廊模式下检测人脸并抓拍，提供公安部检验报告复印件加盖供应商公章为证。</w:t>
            </w:r>
            <w:r>
              <w:rPr>
                <w:rStyle w:val="70"/>
                <w:rFonts w:hint="default"/>
                <w:lang w:bidi="ar"/>
              </w:rPr>
              <w:br w:type="textWrapping"/>
            </w:r>
            <w:r>
              <w:rPr>
                <w:rStyle w:val="70"/>
                <w:rFonts w:hint="default"/>
                <w:lang w:bidi="ar"/>
              </w:rPr>
              <w:t>9、人脸检测完成后，可通过平台客户端软件显示人员年龄段、性别、是否微笑以及是否戴眼镜信息。</w:t>
            </w:r>
            <w:r>
              <w:rPr>
                <w:rStyle w:val="70"/>
                <w:rFonts w:hint="default"/>
                <w:lang w:bidi="ar"/>
              </w:rPr>
              <w:br w:type="textWrapping"/>
            </w:r>
            <w:r>
              <w:rPr>
                <w:rStyle w:val="83"/>
                <w:rFonts w:hint="default"/>
                <w:lang w:bidi="ar"/>
              </w:rPr>
              <w:t>10、★支持以ISCSI直存方式进行双路传输数据，提供公安部检验报告复印件加盖供应商公章为证。</w:t>
            </w:r>
            <w:r>
              <w:rPr>
                <w:rStyle w:val="70"/>
                <w:rFonts w:hint="default"/>
                <w:lang w:bidi="ar"/>
              </w:rPr>
              <w:br w:type="textWrapping"/>
            </w:r>
            <w:r>
              <w:rPr>
                <w:rStyle w:val="70"/>
                <w:rFonts w:hint="default"/>
                <w:lang w:bidi="ar"/>
              </w:rPr>
              <w:t>11、防护等级不低于IP67。</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w:t>
            </w:r>
          </w:p>
        </w:tc>
      </w:tr>
      <w:tr>
        <w:tblPrEx>
          <w:tblCellMar>
            <w:top w:w="0" w:type="dxa"/>
            <w:left w:w="0" w:type="dxa"/>
            <w:bottom w:w="0" w:type="dxa"/>
            <w:right w:w="0" w:type="dxa"/>
          </w:tblCellMar>
        </w:tblPrEx>
        <w:trPr>
          <w:trHeight w:val="4725" w:hRule="atLeast"/>
        </w:trPr>
        <w:tc>
          <w:tcPr>
            <w:tcW w:w="108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600万人脸抓拍枪机（人脸相机）</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Style w:val="83"/>
                <w:rFonts w:hint="default"/>
                <w:lang w:bidi="ar"/>
              </w:rPr>
              <w:t>1、靶面尺寸1/1.8"英寸，图像分辨率≥1800线。</w:t>
            </w:r>
            <w:r>
              <w:rPr>
                <w:rStyle w:val="83"/>
                <w:rFonts w:hint="default"/>
                <w:lang w:bidi="ar"/>
              </w:rPr>
              <w:br w:type="textWrapping"/>
            </w:r>
            <w:r>
              <w:rPr>
                <w:rStyle w:val="83"/>
                <w:rFonts w:hint="default"/>
                <w:lang w:bidi="ar"/>
              </w:rPr>
              <w:t>2、★摄像机具有P-IRIS/DC-IRIS接口，可以精确控制镜头光圈大小 ，提供公安部检验报告复印件加盖供应商公章为证。</w:t>
            </w:r>
            <w:r>
              <w:rPr>
                <w:rStyle w:val="83"/>
                <w:rFonts w:hint="default"/>
                <w:lang w:bidi="ar"/>
              </w:rPr>
              <w:br w:type="textWrapping"/>
            </w:r>
            <w:r>
              <w:rPr>
                <w:rStyle w:val="83"/>
                <w:rFonts w:hint="default"/>
                <w:lang w:bidi="ar"/>
              </w:rPr>
              <w:t>3、信噪比≥58dB，亮度等级≥11级，照度适应范围≥135dB，宽动态能力综合得分≥80。</w:t>
            </w:r>
            <w:r>
              <w:rPr>
                <w:rStyle w:val="83"/>
                <w:rFonts w:hint="default"/>
                <w:lang w:bidi="ar"/>
              </w:rPr>
              <w:br w:type="textWrapping"/>
            </w:r>
            <w:r>
              <w:rPr>
                <w:rStyle w:val="83"/>
                <w:rFonts w:hint="default"/>
                <w:lang w:bidi="ar"/>
              </w:rPr>
              <w:t>4、最低照度：彩色0.0005lx，黑白0.0001lx。</w:t>
            </w:r>
            <w:r>
              <w:rPr>
                <w:rStyle w:val="83"/>
                <w:rFonts w:hint="default"/>
                <w:lang w:bidi="ar"/>
              </w:rPr>
              <w:br w:type="textWrapping"/>
            </w:r>
            <w:r>
              <w:rPr>
                <w:rStyle w:val="83"/>
                <w:rFonts w:hint="default"/>
                <w:lang w:bidi="ar"/>
              </w:rPr>
              <w:t>5、支持宽动态条纹抑制功能，在IE浏览器下，可开启/关闭宽动态条纹抑制功能。能有效抑制摄像机在室内场景下产生的条纹，还原真实清晰图像 ，提供公安部检验报告复印件加盖供应商公章为证。</w:t>
            </w:r>
            <w:r>
              <w:rPr>
                <w:rStyle w:val="83"/>
                <w:rFonts w:hint="default"/>
                <w:lang w:bidi="ar"/>
              </w:rPr>
              <w:br w:type="textWrapping"/>
            </w:r>
            <w:r>
              <w:rPr>
                <w:rStyle w:val="83"/>
                <w:rFonts w:hint="default"/>
                <w:lang w:bidi="ar"/>
              </w:rPr>
              <w:t>6、支持不少于H.265、H.264（Main Profile、High Profile、Baseline profile）、M-JPEG编码。</w:t>
            </w:r>
            <w:r>
              <w:rPr>
                <w:rStyle w:val="83"/>
                <w:rFonts w:hint="default"/>
                <w:lang w:bidi="ar"/>
              </w:rPr>
              <w:br w:type="textWrapping"/>
            </w:r>
            <w:r>
              <w:rPr>
                <w:rStyle w:val="83"/>
                <w:rFonts w:hint="default"/>
                <w:lang w:bidi="ar"/>
              </w:rPr>
              <w:t>7、支持智能编码功能，静态场景开启智能编码高级模式，比基础模式码流节省85%，动态场景下，开启智能编码高级模式，比基础模式码流节省50%。</w:t>
            </w:r>
            <w:r>
              <w:rPr>
                <w:rStyle w:val="83"/>
                <w:rFonts w:hint="default"/>
                <w:lang w:bidi="ar"/>
              </w:rPr>
              <w:br w:type="textWrapping"/>
            </w:r>
            <w:r>
              <w:rPr>
                <w:rStyle w:val="83"/>
                <w:rFonts w:hint="default"/>
                <w:lang w:bidi="ar"/>
              </w:rPr>
              <w:t>8、支持3码流，主码流3072×2048@30fps，子码流1920×1080@30fps，第三码流640×360@60fps。</w:t>
            </w:r>
            <w:r>
              <w:rPr>
                <w:rStyle w:val="83"/>
                <w:rFonts w:hint="default"/>
                <w:lang w:bidi="ar"/>
              </w:rPr>
              <w:br w:type="textWrapping"/>
            </w:r>
            <w:r>
              <w:rPr>
                <w:rStyle w:val="83"/>
                <w:rFonts w:hint="default"/>
                <w:lang w:bidi="ar"/>
              </w:rPr>
              <w:t>9、支持光学透雾，支持自动、开启、关闭光学透雾，透雾等级1~9级可调。</w:t>
            </w:r>
            <w:r>
              <w:rPr>
                <w:rStyle w:val="83"/>
                <w:rFonts w:hint="default"/>
                <w:lang w:bidi="ar"/>
              </w:rPr>
              <w:br w:type="textWrapping"/>
            </w:r>
            <w:r>
              <w:rPr>
                <w:rStyle w:val="83"/>
                <w:rFonts w:hint="default"/>
                <w:lang w:bidi="ar"/>
              </w:rPr>
              <w:t>10、支持移动侦测，当设定侦测区域内有目标移动时，可在客户端给出报警提示，可同时支持不少于18*22个区域的移动侦测 ，提供公安部检验报告复印件加盖供应商公章为证。</w:t>
            </w:r>
            <w:r>
              <w:rPr>
                <w:rStyle w:val="83"/>
                <w:rFonts w:hint="default"/>
                <w:lang w:bidi="ar"/>
              </w:rPr>
              <w:br w:type="textWrapping"/>
            </w:r>
            <w:r>
              <w:rPr>
                <w:rStyle w:val="83"/>
                <w:rFonts w:hint="default"/>
                <w:lang w:bidi="ar"/>
              </w:rPr>
              <w:t>11、可通过客户端软件对画面中的不少于40个人脸进行检测和抓拍 ，提供公安部检验报告复印件加盖供应商公章为证。</w:t>
            </w:r>
            <w:r>
              <w:rPr>
                <w:rStyle w:val="83"/>
                <w:rFonts w:hint="default"/>
                <w:lang w:bidi="ar"/>
              </w:rPr>
              <w:br w:type="textWrapping"/>
            </w:r>
            <w:r>
              <w:rPr>
                <w:rStyle w:val="83"/>
                <w:rFonts w:hint="default"/>
                <w:lang w:bidi="ar"/>
              </w:rPr>
              <w:t>12、叠加的OSD可在屏幕中滚动显示，支持添加图片OSD，支持通过RS485接口叠加OSD。</w:t>
            </w:r>
            <w:r>
              <w:rPr>
                <w:rStyle w:val="83"/>
                <w:rFonts w:hint="default"/>
                <w:lang w:bidi="ar"/>
              </w:rPr>
              <w:br w:type="textWrapping"/>
            </w:r>
            <w:r>
              <w:rPr>
                <w:rStyle w:val="83"/>
                <w:rFonts w:hint="default"/>
                <w:lang w:bidi="ar"/>
              </w:rPr>
              <w:t>13、摄像机具备人脸优选功能，支持将同一个人的多张人脸选择最优的进行编码传输。</w:t>
            </w:r>
            <w:r>
              <w:rPr>
                <w:rStyle w:val="83"/>
                <w:rFonts w:hint="default"/>
                <w:lang w:bidi="ar"/>
              </w:rPr>
              <w:br w:type="textWrapping"/>
            </w:r>
            <w:r>
              <w:rPr>
                <w:rStyle w:val="83"/>
                <w:rFonts w:hint="default"/>
                <w:lang w:bidi="ar"/>
              </w:rPr>
              <w:t>14、摄像机支持在走廊模式下检测人脸并抓拍。</w:t>
            </w:r>
            <w:r>
              <w:rPr>
                <w:rStyle w:val="83"/>
                <w:rFonts w:hint="default"/>
                <w:lang w:bidi="ar"/>
              </w:rPr>
              <w:br w:type="textWrapping"/>
            </w:r>
            <w:r>
              <w:rPr>
                <w:rStyle w:val="83"/>
                <w:rFonts w:hint="default"/>
                <w:lang w:bidi="ar"/>
              </w:rPr>
              <w:t>15、摄像机支持友好密码策略，启用友好密码策略，与摄像机处于同一网段地址时，可使用普通密码进行访问，跨网段的地址智能启用复杂度高的密码（至少8位，由大小写字母、数字、特殊字符组成）登陆和访问摄像机 ，提供公安部检验报告复印件加盖供应商公章为证。</w:t>
            </w:r>
            <w:r>
              <w:rPr>
                <w:rStyle w:val="83"/>
                <w:rFonts w:hint="default"/>
                <w:lang w:bidi="ar"/>
              </w:rPr>
              <w:br w:type="textWrapping"/>
            </w:r>
            <w:r>
              <w:rPr>
                <w:rStyle w:val="83"/>
                <w:rFonts w:hint="default"/>
                <w:lang w:bidi="ar"/>
              </w:rPr>
              <w:t>16、具有网关ARP绑定功能，有效防范ARP攻击，提升安全性。</w:t>
            </w:r>
            <w:r>
              <w:rPr>
                <w:rStyle w:val="70"/>
                <w:rFonts w:hint="default"/>
                <w:lang w:bidi="ar"/>
              </w:rPr>
              <w:br w:type="textWrapping"/>
            </w:r>
            <w:r>
              <w:rPr>
                <w:rStyle w:val="70"/>
                <w:rFonts w:hint="default"/>
                <w:lang w:bidi="ar"/>
              </w:rPr>
              <w:t>17、设备防护等级不低于IP66。</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800"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暖光常亮灯</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1、光源暖色柔和不刺眼，避免光污染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2、全天候适应性，无惧各类恶劣天气</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3、补光均匀，照射图像清晰不会产生拖尾或过度曝光</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4、IP68防护等级，具有良好的防水、防尘性能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5、支持RS485协议、按键调节两种调光方式，可多档位线性连续调光</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6、光源类型：大功率暖光LED</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7、最佳补光距离：12m~25m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8、控制方式：支持内控(光敏自动控制)、外控(相机通过RS485控制)</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450"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枪机高清镜头</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1/1.7'' 8百万手动变焦15-70mm 恒定F1.5 C镜头</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5400" w:hRule="atLeast"/>
        </w:trPr>
        <w:tc>
          <w:tcPr>
            <w:tcW w:w="108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800万人脸抓拍枪机（人脸相机）</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Style w:val="70"/>
                <w:rFonts w:hint="default"/>
                <w:lang w:bidi="ar"/>
              </w:rPr>
              <w:t>1、靶面尺寸1/1.8英寸。</w:t>
            </w:r>
            <w:r>
              <w:rPr>
                <w:rStyle w:val="70"/>
                <w:rFonts w:hint="default"/>
                <w:lang w:bidi="ar"/>
              </w:rPr>
              <w:br w:type="textWrapping"/>
            </w:r>
            <w:r>
              <w:rPr>
                <w:rStyle w:val="70"/>
                <w:rFonts w:hint="default"/>
                <w:lang w:bidi="ar"/>
              </w:rPr>
              <w:t>2、最低照度，彩色：0.005，黑白：0.0001。</w:t>
            </w:r>
            <w:r>
              <w:rPr>
                <w:rStyle w:val="70"/>
                <w:rFonts w:hint="default"/>
                <w:lang w:bidi="ar"/>
              </w:rPr>
              <w:br w:type="textWrapping"/>
            </w:r>
            <w:r>
              <w:rPr>
                <w:rStyle w:val="70"/>
                <w:rFonts w:hint="default"/>
                <w:lang w:bidi="ar"/>
              </w:rPr>
              <w:t>3、在设定的侦测区域内具有目标移动时，可在客户端给出报警提示。</w:t>
            </w:r>
            <w:r>
              <w:rPr>
                <w:rStyle w:val="70"/>
                <w:rFonts w:hint="default"/>
                <w:lang w:bidi="ar"/>
              </w:rPr>
              <w:br w:type="textWrapping"/>
            </w:r>
            <w:r>
              <w:rPr>
                <w:rStyle w:val="70"/>
                <w:rFonts w:hint="default"/>
                <w:lang w:bidi="ar"/>
              </w:rPr>
              <w:t>4、具有认证模式，可通过IE浏览器或客户端设置身份认证模式，设置选项包括basic、digest和无三种选项，提供公安部检验报告复印件加盖供应商公章为证。</w:t>
            </w:r>
            <w:r>
              <w:rPr>
                <w:rStyle w:val="70"/>
                <w:rFonts w:hint="default"/>
                <w:lang w:bidi="ar"/>
              </w:rPr>
              <w:br w:type="textWrapping"/>
            </w:r>
            <w:r>
              <w:rPr>
                <w:rStyle w:val="70"/>
                <w:rFonts w:hint="default"/>
                <w:lang w:bidi="ar"/>
              </w:rPr>
              <w:t>5、具有滚动OSD功能，可添加图片OSD。</w:t>
            </w:r>
            <w:r>
              <w:rPr>
                <w:rStyle w:val="70"/>
                <w:rFonts w:hint="default"/>
                <w:lang w:bidi="ar"/>
              </w:rPr>
              <w:br w:type="textWrapping"/>
            </w:r>
            <w:r>
              <w:rPr>
                <w:rStyle w:val="83"/>
                <w:rFonts w:hint="default"/>
                <w:lang w:bidi="ar"/>
              </w:rPr>
              <w:t>6、可识别距相机100m处的人体轮廓。</w:t>
            </w:r>
            <w:r>
              <w:rPr>
                <w:rStyle w:val="83"/>
                <w:rFonts w:hint="default"/>
                <w:lang w:bidi="ar"/>
              </w:rPr>
              <w:br w:type="textWrapping"/>
            </w:r>
            <w:r>
              <w:rPr>
                <w:rStyle w:val="83"/>
                <w:rFonts w:hint="default"/>
                <w:lang w:bidi="ar"/>
              </w:rPr>
              <w:t>7、★可对出现在监控场景内的两眼瞳距不小于40像素的人脸进行检测，同时叠加目标提示框。支持人脸抓拍，可通过客户端软件对画面中不少于40个人脸进行检测和抓拍。人脸检出率不小于99%。可选择全屏或者绘制任意多边形作为人脸检测区域，提供公安部检验报告复印件加盖供应商公章为证。</w:t>
            </w:r>
            <w:r>
              <w:rPr>
                <w:rStyle w:val="83"/>
                <w:rFonts w:hint="default"/>
                <w:lang w:bidi="ar"/>
              </w:rPr>
              <w:br w:type="textWrapping"/>
            </w:r>
            <w:r>
              <w:rPr>
                <w:rStyle w:val="83"/>
                <w:rFonts w:hint="default"/>
                <w:lang w:bidi="ar"/>
              </w:rPr>
              <w:t>8、支持人脸自动曝光、人脸优选、人脸小图优化功能，提供公安部检验报告复印件加盖供应商公章为证。</w:t>
            </w:r>
            <w:r>
              <w:rPr>
                <w:rStyle w:val="83"/>
                <w:rFonts w:hint="default"/>
                <w:lang w:bidi="ar"/>
              </w:rPr>
              <w:br w:type="textWrapping"/>
            </w:r>
            <w:r>
              <w:rPr>
                <w:rStyle w:val="83"/>
                <w:rFonts w:hint="default"/>
                <w:lang w:bidi="ar"/>
              </w:rPr>
              <w:t>9、人脸检测完成后，可通过平台客户端软件显示人员年龄段、性别、是否微笑以及是否戴眼镜信息。</w:t>
            </w:r>
            <w:r>
              <w:rPr>
                <w:rStyle w:val="83"/>
                <w:rFonts w:hint="default"/>
                <w:lang w:bidi="ar"/>
              </w:rPr>
              <w:br w:type="textWrapping"/>
            </w:r>
            <w:r>
              <w:rPr>
                <w:rStyle w:val="83"/>
                <w:rFonts w:hint="default"/>
                <w:lang w:bidi="ar"/>
              </w:rPr>
              <w:t>10、★摄像机可配置启用或关闭视频内容保护功能，启用该功能时可对视频图像码流进行随机混淆处理，即对每帧视频图像编码随机改变每帧视频数据报文中若干字节的内容后再进行网络传输，提供公安部检验报告复印件加盖供应商公章为证。</w:t>
            </w:r>
            <w:r>
              <w:rPr>
                <w:rStyle w:val="70"/>
                <w:rFonts w:hint="default"/>
                <w:lang w:bidi="ar"/>
              </w:rPr>
              <w:br w:type="textWrapping"/>
            </w:r>
            <w:r>
              <w:rPr>
                <w:rStyle w:val="70"/>
                <w:rFonts w:hint="default"/>
                <w:lang w:bidi="ar"/>
              </w:rPr>
              <w:t>11、通过提取摄像机通信网络数据包方式获得的经过数字随机混淆处理的视频码流无法正常播放。</w:t>
            </w:r>
            <w:r>
              <w:rPr>
                <w:rStyle w:val="70"/>
                <w:rFonts w:hint="default"/>
                <w:lang w:bidi="ar"/>
              </w:rPr>
              <w:br w:type="textWrapping"/>
            </w:r>
            <w:r>
              <w:rPr>
                <w:rStyle w:val="70"/>
                <w:rFonts w:hint="default"/>
                <w:lang w:bidi="ar"/>
              </w:rPr>
              <w:t>12、摄像机机可对符合国标GB/T28181-2011中编码规范要求的视频码流启用视频内容保护功能，提供公安部检验报告复印件加盖供应商公章为证。</w:t>
            </w:r>
            <w:r>
              <w:rPr>
                <w:rStyle w:val="70"/>
                <w:rFonts w:hint="default"/>
                <w:lang w:bidi="ar"/>
              </w:rPr>
              <w:br w:type="textWrapping"/>
            </w:r>
            <w:r>
              <w:rPr>
                <w:rStyle w:val="70"/>
                <w:rFonts w:hint="default"/>
                <w:lang w:bidi="ar"/>
              </w:rPr>
              <w:t>13、摄像机启用视频内容保护功能后，从摄像机存储介质（SD卡等）中直接拷贝或下载的视频数据，只有解码密钥的用户才能正常播放，缺少解码密钥则无法正常播放。</w:t>
            </w:r>
            <w:r>
              <w:rPr>
                <w:rStyle w:val="70"/>
                <w:rFonts w:hint="default"/>
                <w:lang w:bidi="ar"/>
              </w:rPr>
              <w:br w:type="textWrapping"/>
            </w:r>
            <w:r>
              <w:rPr>
                <w:rStyle w:val="70"/>
                <w:rFonts w:hint="default"/>
                <w:lang w:bidi="ar"/>
              </w:rPr>
              <w:t>14、摄像机启用视频内容保护功能后，只有经过授权并具有解码密钥的用户才能通过平台软件正常播放、回放和下载摄像机回传的视频数据；缺少解码密钥的用户无法正常播放、回放和下载摄像机回传的视频数据。</w:t>
            </w:r>
            <w:r>
              <w:rPr>
                <w:rStyle w:val="70"/>
                <w:rFonts w:hint="default"/>
                <w:lang w:bidi="ar"/>
              </w:rPr>
              <w:br w:type="textWrapping"/>
            </w:r>
            <w:r>
              <w:rPr>
                <w:rStyle w:val="70"/>
                <w:rFonts w:hint="default"/>
                <w:lang w:bidi="ar"/>
              </w:rPr>
              <w:t>15、摄像机启用视频内容保护功能后，视频码流中的解码密钥应能够周期性动态变化，变化周期可通过IMP安全管理系统软件和VM图像应用平台软件设置为10分钟至1个月。</w:t>
            </w:r>
            <w:r>
              <w:rPr>
                <w:rStyle w:val="70"/>
                <w:rFonts w:hint="default"/>
                <w:lang w:bidi="ar"/>
              </w:rPr>
              <w:br w:type="textWrapping"/>
            </w:r>
            <w:r>
              <w:rPr>
                <w:rStyle w:val="70"/>
                <w:rFonts w:hint="default"/>
                <w:lang w:bidi="ar"/>
              </w:rPr>
              <w:t>16、防护等级不低于IP66。</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r>
      <w:tr>
        <w:tblPrEx>
          <w:tblCellMar>
            <w:top w:w="0" w:type="dxa"/>
            <w:left w:w="0" w:type="dxa"/>
            <w:bottom w:w="0" w:type="dxa"/>
            <w:right w:w="0" w:type="dxa"/>
          </w:tblCellMar>
        </w:tblPrEx>
        <w:trPr>
          <w:trHeight w:val="2025"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暖光常亮灯</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1、光源暖色柔和不刺眼，避免光污染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2、全天候适应性，无惧各类恶劣天气</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3、补光均匀，照射图像清晰不会产生拖尾或过度曝光</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4、IP68防护等级，具有良好的防水、防尘性能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5、支持RS485协议、按键调节两种调光方式，可多档位线性连续调光</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6、光源类型：大功率暖光LED</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7、最佳补光距离：12m~25m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8、控制方式：支持内控(光敏自动控制)、外控(相机通过RS485控制)</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9、工作环境：-40℃~+60℃，10%~95%RH</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r>
      <w:tr>
        <w:tblPrEx>
          <w:tblCellMar>
            <w:top w:w="0" w:type="dxa"/>
            <w:left w:w="0" w:type="dxa"/>
            <w:bottom w:w="0" w:type="dxa"/>
            <w:right w:w="0" w:type="dxa"/>
          </w:tblCellMar>
        </w:tblPrEx>
        <w:trPr>
          <w:trHeight w:val="285"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枪机高清镜头</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1/1.7'' 8百万手动变焦15-70mm 恒定F1.5 C镜头</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r>
      <w:tr>
        <w:tblPrEx>
          <w:tblCellMar>
            <w:top w:w="0" w:type="dxa"/>
            <w:left w:w="0" w:type="dxa"/>
            <w:bottom w:w="0" w:type="dxa"/>
            <w:right w:w="0" w:type="dxa"/>
          </w:tblCellMar>
        </w:tblPrEx>
        <w:trPr>
          <w:trHeight w:val="4725" w:hRule="atLeast"/>
        </w:trPr>
        <w:tc>
          <w:tcPr>
            <w:tcW w:w="108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900万人车一体抓拍机（人车一体）</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Style w:val="70"/>
                <w:rFonts w:hint="default"/>
                <w:lang w:bidi="ar"/>
              </w:rPr>
              <w:t>1、900万像素图像传感器，靶面尺寸不小于1英寸。</w:t>
            </w:r>
            <w:r>
              <w:rPr>
                <w:rStyle w:val="70"/>
                <w:rFonts w:hint="default"/>
                <w:lang w:bidi="ar"/>
              </w:rPr>
              <w:br w:type="textWrapping"/>
            </w:r>
            <w:r>
              <w:rPr>
                <w:rStyle w:val="70"/>
                <w:rFonts w:hint="default"/>
                <w:lang w:bidi="ar"/>
              </w:rPr>
              <w:t>2、支持焦距11-40mm P-iris高清步进光圈镜头和DC-IRIS变焦镜头。</w:t>
            </w:r>
            <w:r>
              <w:rPr>
                <w:rStyle w:val="70"/>
                <w:rFonts w:hint="default"/>
                <w:lang w:bidi="ar"/>
              </w:rPr>
              <w:br w:type="textWrapping"/>
            </w:r>
            <w:r>
              <w:rPr>
                <w:rStyle w:val="70"/>
                <w:rFonts w:hint="default"/>
                <w:lang w:bidi="ar"/>
              </w:rPr>
              <w:t>3、图像分辨率不小于4096×2160，帧率1-25帧可调。</w:t>
            </w:r>
            <w:r>
              <w:rPr>
                <w:rStyle w:val="70"/>
                <w:rFonts w:hint="default"/>
                <w:lang w:bidi="ar"/>
              </w:rPr>
              <w:br w:type="textWrapping"/>
            </w:r>
            <w:r>
              <w:rPr>
                <w:rStyle w:val="83"/>
                <w:rFonts w:hint="default"/>
                <w:lang w:bidi="ar"/>
              </w:rPr>
              <w:t>4、</w:t>
            </w:r>
            <w:r>
              <w:rPr>
                <w:rFonts w:hint="eastAsia" w:ascii="黑体" w:hAnsi="黑体" w:eastAsia="黑体" w:cs="黑体"/>
                <w:kern w:val="0"/>
                <w:sz w:val="22"/>
                <w:szCs w:val="22"/>
              </w:rPr>
              <w:t>★</w:t>
            </w:r>
            <w:r>
              <w:rPr>
                <w:rStyle w:val="83"/>
                <w:rFonts w:hint="default"/>
                <w:lang w:bidi="ar"/>
              </w:rPr>
              <w:t>前端抓拍设备支持网络串接，支持电口或者SFP口接入网络，提供公安部检验报告复印件加盖供应商公章为证。</w:t>
            </w:r>
            <w:r>
              <w:rPr>
                <w:rStyle w:val="83"/>
                <w:rFonts w:hint="default"/>
                <w:lang w:bidi="ar"/>
              </w:rPr>
              <w:br w:type="textWrapping"/>
            </w:r>
            <w:r>
              <w:rPr>
                <w:rStyle w:val="83"/>
                <w:rFonts w:hint="default"/>
                <w:lang w:bidi="ar"/>
              </w:rPr>
              <w:t>5、</w:t>
            </w:r>
            <w:r>
              <w:rPr>
                <w:rFonts w:hint="eastAsia" w:ascii="黑体" w:hAnsi="黑体" w:eastAsia="黑体" w:cs="黑体"/>
                <w:kern w:val="0"/>
                <w:sz w:val="22"/>
                <w:szCs w:val="22"/>
              </w:rPr>
              <w:t>★</w:t>
            </w:r>
            <w:r>
              <w:rPr>
                <w:rStyle w:val="83"/>
                <w:rFonts w:hint="default"/>
                <w:lang w:bidi="ar"/>
              </w:rPr>
              <w:t>具有本地存储功能，可将图像信息存储在eMMC存储芯片上，存储空间不小于32G，提供公安部检验报告复印件加盖供应商公章为证。</w:t>
            </w:r>
            <w:r>
              <w:rPr>
                <w:rStyle w:val="70"/>
                <w:rFonts w:hint="default"/>
                <w:lang w:bidi="ar"/>
              </w:rPr>
              <w:br w:type="textWrapping"/>
            </w:r>
            <w:r>
              <w:rPr>
                <w:rStyle w:val="70"/>
                <w:rFonts w:hint="default"/>
                <w:lang w:bidi="ar"/>
              </w:rPr>
              <w:t>6、设备应支持白光爆闪、红外爆闪、白光频闪和常亮等补光模式，并具有自定义时间和自动切换功能。</w:t>
            </w:r>
            <w:r>
              <w:rPr>
                <w:rStyle w:val="70"/>
                <w:rFonts w:hint="default"/>
                <w:lang w:bidi="ar"/>
              </w:rPr>
              <w:br w:type="textWrapping"/>
            </w:r>
            <w:r>
              <w:rPr>
                <w:rStyle w:val="70"/>
                <w:rFonts w:hint="default"/>
                <w:lang w:bidi="ar"/>
              </w:rPr>
              <w:t>7、设备支持视频、地感线圈、雷达触发方式中的一种或多种，且可通过WEB界面配置，同时支持视频与雷达、线圈检测自动切换功能。在以上触发方式下，白天和晚上的捕获率均不小于99.5%。</w:t>
            </w:r>
            <w:r>
              <w:rPr>
                <w:rStyle w:val="70"/>
                <w:rFonts w:hint="default"/>
                <w:lang w:bidi="ar"/>
              </w:rPr>
              <w:br w:type="textWrapping"/>
            </w:r>
            <w:r>
              <w:rPr>
                <w:rStyle w:val="70"/>
                <w:rFonts w:hint="default"/>
                <w:lang w:bidi="ar"/>
              </w:rPr>
              <w:t>8、同时支持播放比例匹配、录像预案、视频来源配置功能，提供公安部检验报告复印件加盖供应商公章为证。</w:t>
            </w:r>
            <w:r>
              <w:rPr>
                <w:rStyle w:val="70"/>
                <w:rFonts w:hint="default"/>
                <w:lang w:bidi="ar"/>
              </w:rPr>
              <w:br w:type="textWrapping"/>
            </w:r>
            <w:r>
              <w:rPr>
                <w:rStyle w:val="70"/>
                <w:rFonts w:hint="default"/>
                <w:lang w:bidi="ar"/>
              </w:rPr>
              <w:t>9、实况OSD不少于透明、空心、描边、背景和反色5种效果；照片OSD不少于透明、背景和反色3种效果，提供公安部检验报告复印件加盖供应商公章为证。</w:t>
            </w:r>
            <w:r>
              <w:rPr>
                <w:rStyle w:val="70"/>
                <w:rFonts w:hint="default"/>
                <w:lang w:bidi="ar"/>
              </w:rPr>
              <w:br w:type="textWrapping"/>
            </w:r>
            <w:r>
              <w:rPr>
                <w:rStyle w:val="70"/>
                <w:rFonts w:hint="default"/>
                <w:lang w:bidi="ar"/>
              </w:rPr>
              <w:t>10、包含新能源车牌前提下,车辆号牌白天、晚上识别准确率不小于99.5%。</w:t>
            </w:r>
            <w:r>
              <w:rPr>
                <w:rStyle w:val="70"/>
                <w:rFonts w:hint="default"/>
                <w:lang w:bidi="ar"/>
              </w:rPr>
              <w:br w:type="textWrapping"/>
            </w:r>
            <w:r>
              <w:rPr>
                <w:rStyle w:val="70"/>
                <w:rFonts w:hint="default"/>
                <w:lang w:bidi="ar"/>
              </w:rPr>
              <w:t>11、具有对使馆、朝鲜、农用车、泥头车、民航、湛钢等特殊车牌识别功能，提供公安部检验报告复印件加盖供应商公章为证。</w:t>
            </w:r>
            <w:r>
              <w:rPr>
                <w:rStyle w:val="70"/>
                <w:rFonts w:hint="default"/>
                <w:lang w:bidi="ar"/>
              </w:rPr>
              <w:br w:type="textWrapping"/>
            </w:r>
            <w:r>
              <w:rPr>
                <w:rStyle w:val="70"/>
                <w:rFonts w:hint="default"/>
                <w:lang w:bidi="ar"/>
              </w:rPr>
              <w:t>12、具备无牌车辆处理功能检查，支持对无牌车辆进行过滤，可选是否生成通行记录、违法记录。</w:t>
            </w:r>
            <w:r>
              <w:rPr>
                <w:rStyle w:val="70"/>
                <w:rFonts w:hint="default"/>
                <w:lang w:bidi="ar"/>
              </w:rPr>
              <w:br w:type="textWrapping"/>
            </w:r>
            <w:r>
              <w:rPr>
                <w:rStyle w:val="70"/>
                <w:rFonts w:hint="default"/>
                <w:lang w:bidi="ar"/>
              </w:rPr>
              <w:t>13、支持非机动车道人脸抓拍识别。</w:t>
            </w:r>
            <w:r>
              <w:rPr>
                <w:rStyle w:val="70"/>
                <w:rFonts w:hint="default"/>
                <w:lang w:bidi="ar"/>
              </w:rPr>
              <w:br w:type="textWrapping"/>
            </w:r>
            <w:r>
              <w:rPr>
                <w:rStyle w:val="70"/>
                <w:rFonts w:hint="default"/>
                <w:lang w:bidi="ar"/>
              </w:rPr>
              <w:t>14、支持开车打电话、未系安全带检测功能，全天检出率不小于98％，误检率不大于2％。</w:t>
            </w:r>
            <w:r>
              <w:rPr>
                <w:rStyle w:val="70"/>
                <w:rFonts w:hint="default"/>
                <w:lang w:bidi="ar"/>
              </w:rPr>
              <w:br w:type="textWrapping"/>
            </w:r>
            <w:r>
              <w:rPr>
                <w:rStyle w:val="70"/>
                <w:rFonts w:hint="default"/>
                <w:lang w:bidi="ar"/>
              </w:rPr>
              <w:t>15、支持3600种车辆子品牌识别，全天识别准确率不小于95％，提供公安部检验报告复印件加盖供应商公章为证。</w:t>
            </w:r>
            <w:r>
              <w:rPr>
                <w:rStyle w:val="70"/>
                <w:rFonts w:hint="default"/>
                <w:lang w:bidi="ar"/>
              </w:rPr>
              <w:br w:type="textWrapping"/>
            </w:r>
            <w:r>
              <w:rPr>
                <w:rStyle w:val="70"/>
                <w:rFonts w:hint="default"/>
                <w:lang w:bidi="ar"/>
              </w:rPr>
              <w:t>16、支持登录安全性、数据安全性、服务及端口安全性、网络协议安全检测，提供公安部检验报告复印件加盖供应商公章为证。</w:t>
            </w:r>
            <w:r>
              <w:rPr>
                <w:rStyle w:val="70"/>
                <w:rFonts w:hint="default"/>
                <w:lang w:bidi="ar"/>
              </w:rPr>
              <w:br w:type="textWrapping"/>
            </w:r>
            <w:r>
              <w:rPr>
                <w:rStyle w:val="70"/>
                <w:rFonts w:hint="default"/>
                <w:lang w:bidi="ar"/>
              </w:rPr>
              <w:t>17、支持ARP防攻击、IP地址访问控制、IP地址搜索功能。</w:t>
            </w:r>
            <w:r>
              <w:rPr>
                <w:rStyle w:val="70"/>
                <w:rFonts w:hint="default"/>
                <w:lang w:bidi="ar"/>
              </w:rPr>
              <w:br w:type="textWrapping"/>
            </w:r>
            <w:r>
              <w:rPr>
                <w:rStyle w:val="70"/>
                <w:rFonts w:hint="default"/>
                <w:lang w:bidi="ar"/>
              </w:rPr>
              <w:t>18、设备护罩支持侧开方式。</w:t>
            </w:r>
            <w:r>
              <w:rPr>
                <w:rStyle w:val="70"/>
                <w:rFonts w:hint="default"/>
                <w:lang w:bidi="ar"/>
              </w:rPr>
              <w:br w:type="textWrapping"/>
            </w:r>
            <w:r>
              <w:rPr>
                <w:rStyle w:val="70"/>
                <w:rFonts w:hint="default"/>
                <w:lang w:bidi="ar"/>
              </w:rPr>
              <w:t>19、防护等级不低于IP67。</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43</w:t>
            </w:r>
          </w:p>
        </w:tc>
      </w:tr>
      <w:tr>
        <w:tblPrEx>
          <w:tblCellMar>
            <w:top w:w="0" w:type="dxa"/>
            <w:left w:w="0" w:type="dxa"/>
            <w:bottom w:w="0" w:type="dxa"/>
            <w:right w:w="0" w:type="dxa"/>
          </w:tblCellMar>
        </w:tblPrEx>
        <w:trPr>
          <w:trHeight w:val="450"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枪机高清镜头</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C接口定焦50mm镜头F2.3</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43</w:t>
            </w:r>
          </w:p>
        </w:tc>
      </w:tr>
      <w:tr>
        <w:tblPrEx>
          <w:tblCellMar>
            <w:top w:w="0" w:type="dxa"/>
            <w:left w:w="0" w:type="dxa"/>
            <w:bottom w:w="0" w:type="dxa"/>
            <w:right w:w="0" w:type="dxa"/>
          </w:tblCellMar>
        </w:tblPrEx>
        <w:trPr>
          <w:trHeight w:val="1185"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频闪补光灯</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原装进口大功率白光LED光源</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 色温不小于5000k</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 光通量不低于1550lm</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 有效补光距离12-20米</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 补光功率小于20W</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 触发方式：电平量触发</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 防护等级：IP66</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 寿命：50000小时</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9. 基准轴上的峰值光照度应小于等于300lx，平均光照度应小于等于50lx；在制造商标称的补光区域内，峰值光照度应大于等于基准轴上峰值光照度的50%</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43</w:t>
            </w:r>
          </w:p>
        </w:tc>
      </w:tr>
      <w:tr>
        <w:tblPrEx>
          <w:tblCellMar>
            <w:top w:w="0" w:type="dxa"/>
            <w:left w:w="0" w:type="dxa"/>
            <w:bottom w:w="0" w:type="dxa"/>
            <w:right w:w="0" w:type="dxa"/>
          </w:tblCellMar>
        </w:tblPrEx>
        <w:trPr>
          <w:trHeight w:val="1185" w:hRule="atLeast"/>
        </w:trPr>
        <w:tc>
          <w:tcPr>
            <w:tcW w:w="108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18"/>
                <w:szCs w:val="18"/>
              </w:rPr>
            </w:pP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闪光补光灯</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触发方式：光耦</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 色温不小于5800 K</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 输出能量：300焦耳</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 闪光持续时间：1/30ms</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 连续两次补光之间最小时间间隔≤50ms</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 触发方式：电平</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 回电时间：≤60ms</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 有效补光距离：补光距离18-28米</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9. 支持卡口抓拍进行同步补光，在摄像机抓拍的图片看到补光效果。</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10. 寿命：≥500万次。</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11. 电源范围AC220±20%，频率50±2Hz</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12. 平均功耗小于4.5W</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13. 防护等级：IP66</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14. 适用-40℃～70℃温度环境气候工作</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15. 内置蜂窝罩光栅，可降低对周边道路行人的光线干扰</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w:t>
            </w:r>
          </w:p>
        </w:tc>
      </w:tr>
      <w:tr>
        <w:tblPrEx>
          <w:tblCellMar>
            <w:top w:w="0" w:type="dxa"/>
            <w:left w:w="0" w:type="dxa"/>
            <w:bottom w:w="0" w:type="dxa"/>
            <w:right w:w="0" w:type="dxa"/>
          </w:tblCellMar>
        </w:tblPrEx>
        <w:trPr>
          <w:trHeight w:val="517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800万像素结构化枪机</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1、1/1.8英寸逐行扫描800万像素CMOS图像传感器。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w:t>
            </w:r>
            <w:r>
              <w:rPr>
                <w:rFonts w:hint="eastAsia" w:ascii="黑体" w:hAnsi="黑体" w:eastAsia="黑体" w:cs="黑体"/>
                <w:kern w:val="0"/>
                <w:sz w:val="22"/>
                <w:szCs w:val="22"/>
              </w:rPr>
              <w:t>★</w:t>
            </w:r>
            <w:r>
              <w:rPr>
                <w:rFonts w:hint="eastAsia" w:ascii="宋体" w:hAnsi="宋体" w:cs="宋体"/>
                <w:color w:val="000000"/>
                <w:kern w:val="0"/>
                <w:sz w:val="18"/>
                <w:szCs w:val="18"/>
                <w:lang w:bidi="ar"/>
              </w:rPr>
              <w:t>内置GPU芯片，提供公安部检验报告复印件加盖供应商公章为证。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3、内置8GB eMMC，提供公安部检验报告复印件加盖供应商公章为证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4、0.0005lux(F1.2，AGC ON，彩色)，0.0001lux(F1.2，AGC ON，黑白)。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5、120dB光学宽动态。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6、分辨率为3840x2160，帧率为30帧/s。</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7、在设定的侦测区域内具有目标移动时，可在客户端给出报警提示。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8、具有认证模式，可通过IE浏览器或客户端设置身份认证模式，设置选项包括basic、digest和无三种选项。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9、具有滚动OSD功能，可添加图片OSD。</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10、支持提取机动车、非机动车、行人抓拍、人脸的属性信息，提供公安部检验报告复印件加盖供应商公章为证。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11、支持机动车、非机动车、行人抓拍、人脸抓拍，抓拍率≥90%，提供公安部检验报告复印件加盖供应商公章为证。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12、可将视频图像存储至TF卡或客户端，最大支持256GBTF卡。</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13、具有防篡改功能，当视频文件被篡改后，可通过专用播放器软件给出信息提示。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14、支持音频1入1出，告警2入1出，1路RS485串口。</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15、支持光学透雾。</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16、设备可配置启用或关闭视频内容保护功能，启用该功能时可对视频图像码流（包括符合国标 GB/T 28181-2011 中编码规范要求的视频码流）进行随机混淆处理，即对每帧视频图像编码随机改变每帧视频数据报文中若干字节的内容后再进行网络传输，提供公安部检验报告复印件加盖供应商公章为证。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17、通过提取设备通信网络数据包方式获得的经过数字随机混淆处理的视频码流无法正常播放。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18、将经过设备视频内容保护处理的视频转换为普通视频（可被通用播放器正常播放）需要单独授权。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19、</w:t>
            </w:r>
            <w:r>
              <w:rPr>
                <w:rFonts w:hint="eastAsia" w:ascii="黑体" w:hAnsi="黑体" w:eastAsia="黑体" w:cs="黑体"/>
                <w:kern w:val="0"/>
                <w:sz w:val="22"/>
                <w:szCs w:val="22"/>
              </w:rPr>
              <w:t>★</w:t>
            </w:r>
            <w:r>
              <w:rPr>
                <w:rFonts w:hint="eastAsia" w:ascii="宋体" w:hAnsi="宋体" w:cs="宋体"/>
                <w:color w:val="000000"/>
                <w:kern w:val="0"/>
                <w:sz w:val="18"/>
                <w:szCs w:val="18"/>
                <w:lang w:bidi="ar"/>
              </w:rPr>
              <w:t xml:space="preserve">设备可支持内置数字证书，并支持采用数字证书对解码秘钥进行加密，提供公安部检验报告复印件加盖供应商公章为证。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20、设备启用视频内容保护功能后，视频码流中的解码秘钥应能够周期性动态变化，变化周期可设置为10分钟至1个月。</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21、IP66防护等级。</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196</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枪机高清镜头</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镜头靶面尺寸同摄像机，采用自动光圈，具体按现场要求配置。镜头像数不低于摄像机像数。镜头的接口类型与摄像机的接口一致。</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196</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SD卡</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金士顿，闪迪、三星</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至少16G内存以上,用于摄像机缓存补录、读写速率不低于16M/s。</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304</w:t>
            </w:r>
          </w:p>
        </w:tc>
      </w:tr>
      <w:tr>
        <w:tblPrEx>
          <w:tblCellMar>
            <w:top w:w="0" w:type="dxa"/>
            <w:left w:w="0" w:type="dxa"/>
            <w:bottom w:w="0" w:type="dxa"/>
            <w:right w:w="0" w:type="dxa"/>
          </w:tblCellMar>
        </w:tblPrEx>
        <w:trPr>
          <w:trHeight w:val="1283"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枪机护罩、支架</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1、防护等级IP66；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2、压铸铝结构，聚酯粉末涂层；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3、内部空间应能容纳相应摄像机和镜头组合；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4、支架与枪机护罩配套支架。 </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196</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摄像机电源</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监控专用电源</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230</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补光灯</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功率：根据现场环境选择</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196</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6.7米监控立杆</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含基础浇筑、标志牌、现场垃圾清运及绿化或地面恢复,详见设计图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153</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4米监控立杆</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含基础浇筑、标志牌、现场垃圾清运及绿化或地面恢复,详见设计图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3米监控立杆</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含基础浇筑、标志牌、现场垃圾清运及绿化或地面恢复,详见设计图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4米金属挑臂</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含标志牌,详见设计图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148</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17</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3米金属挑臂</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含标志牌,详见设计图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2米金属挑臂</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含标志牌,详见设计图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0.6米金属挑臂</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含标志牌,详见设计图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壁挂支架</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定制，具体根据现场施工确定，角度可调节，带锁紧装置。</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38</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壁挂机箱</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机箱尺寸300*400*200mm,箱体采用厚度1.2MM不锈钢喷塑，支架及螺丝采用304不锈钢，箱体丝印“滨海监控及标志”；采用棕胶密条与箱体门紧合，防雨水进入；机箱内含电气开关、插座，采用国内知名品牌，箱内安装散热风扇；箱体防护等级为IP54。</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38</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室外抱杆控制箱</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含有必要的空开、插板、专业电源等；箱体结构祥见设计图</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只</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210</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23</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辅材</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含各种管线等施工材料</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210</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2、传输网络设备</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6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OLT业务板卡</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华三、华为、思科</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业务板GPBD，每个业务板16个Pon口，每个Pon口可下接256台ONU</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ONU设备</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华三、华为、思科</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与中心OLT配套</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304</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以太网交换机</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华三、华为、思科</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交换容量≥19Tbps, 包转发率≥2800Mpps；整机槽位数≥8；其中业务插槽数≥6个，主控槽数≥2；单槽位能够同时提供千兆光口、千兆电口、万兆光口，且实际可用端口总数≥48；配置双主控 ；配置电源模块数量≥2；配置万兆光口≥4个,千兆光口≥20个，千兆电口≥24个</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千兆光模块</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华三、华为、思科</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SFP-GE-多模模块-(850nm,0.55km,LC)</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3、视频存储设备</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6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r>
      <w:tr>
        <w:tblPrEx>
          <w:tblCellMar>
            <w:top w:w="0" w:type="dxa"/>
            <w:left w:w="0" w:type="dxa"/>
            <w:bottom w:w="0" w:type="dxa"/>
            <w:right w:w="0" w:type="dxa"/>
          </w:tblCellMar>
        </w:tblPrEx>
        <w:trPr>
          <w:trHeight w:val="427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视频集中存储磁盘阵列</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 4U高度，提供24盘位，支持SATA盘（1TB/2TB/3TB/4TB/5TB/6TB)、SSD盘。</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 提供256路4M接入存储性能。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 支持磁盘、电源、电池热插拔功能。</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 RAID功能支持JBOD、RAID0、5、6，创建RAID过程可即插即用，无需等待。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5、提供动态重建功能，根据业务压力不同，RAID阵列自动动态调整重建速率，提供公安部检验报告复印件加盖供应商公章为证。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6、支持磁盘预拷贝功能，支持对磁盘S.M.A.R.T信息检查，对S.M.A.R.T信息有异常的磁盘进行数据拷贝及替换，提供公安部检验报告复印件加盖供应商公章为证。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7. 在256路2M业务压力下，RAID中磁盘发生故障，RAID处于降级、重建状态，不影响数据写入。</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8、支持局部重建功能，当RAID中的磁盘拔掉后短时间内再插上，该磁盘能恢复到原有的RAID中，提供公安部检验报告复印件加盖供应商公章为证。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9. 支持视频流直接写入存储。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10、</w:t>
            </w:r>
            <w:r>
              <w:rPr>
                <w:rFonts w:hint="eastAsia" w:ascii="黑体" w:hAnsi="黑体" w:eastAsia="黑体" w:cs="黑体"/>
                <w:kern w:val="0"/>
                <w:sz w:val="22"/>
                <w:szCs w:val="22"/>
              </w:rPr>
              <w:t>★</w:t>
            </w:r>
            <w:r>
              <w:rPr>
                <w:rFonts w:hint="eastAsia" w:ascii="宋体" w:hAnsi="宋体" w:cs="宋体"/>
                <w:color w:val="000000"/>
                <w:kern w:val="0"/>
                <w:sz w:val="18"/>
                <w:szCs w:val="18"/>
                <w:lang w:bidi="ar"/>
              </w:rPr>
              <w:t>支持数据保险箱功能，异常掉电后设备在缓存中的数据不丢失，可通过数码管显示缓存数据的保存进度，提供公安部检验报告复印件加盖供应商公章为证。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 xml:space="preserve">11. </w:t>
            </w:r>
            <w:r>
              <w:rPr>
                <w:rFonts w:hint="eastAsia" w:ascii="黑体" w:hAnsi="黑体" w:eastAsia="黑体" w:cs="黑体"/>
                <w:kern w:val="0"/>
                <w:sz w:val="22"/>
                <w:szCs w:val="22"/>
              </w:rPr>
              <w:t>★</w:t>
            </w:r>
            <w:r>
              <w:rPr>
                <w:rFonts w:hint="eastAsia" w:ascii="宋体" w:hAnsi="宋体" w:cs="宋体"/>
                <w:color w:val="000000"/>
                <w:kern w:val="0"/>
                <w:sz w:val="18"/>
                <w:szCs w:val="18"/>
                <w:lang w:bidi="ar"/>
              </w:rPr>
              <w:t>提供图形化页面管理功能，可图形化显示磁盘状态、RAID状态、RAID容量使用状态、CPU、内存、每网口带宽使用率、逻辑卷资源的读写流量、主板温度、BBU电池状态、风扇状态、系统状态、告警指示灯、数码管、PCIE插槽状态，提供公安部检验报告复印件加盖供应商公章为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12. 支持IP冲突、网口降速、电源故障、风扇故障、电池故障及RAID故障、磁盘故障、降级RAID无热备盘等告警。</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13. 满配硬盘状态下，整机功率≤500W。</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14.支持硬盘漫游功能，硬盘更换槽位后可在图形界面上显示硬盘新的所在槽位，且不影响RAID使用。</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硬盘</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西数、希捷、东芝</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4T硬盘；7200RPM；SATA3接口。</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块</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144</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4、三维地图展示系统</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6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触摸显示一体机</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MAXHUB、仙视、瀚想、</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65英寸，4k超高清（3840×2160）；不低于16点触摸控制；（windows10+安卓）双系统/I7/4G/120G固态硬盘；含壁挂支架</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实景航拍</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无人机航拍采集高清影像数据,慈东工业区面积按照42平方公里计算，每平方公里4000元</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三维GIS建模</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对航拍影像数据进行加工处理，形成三维模型，建模精度不低于0.5米；工作量5人月，每人月按照20000元计算</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三维地图二次开发</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把监控相机叠加到三维地图；要求能区分相机类型，相机总数不超过1000台；工作量2.5人月，每人月按照20000元计算</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b/>
                <w:color w:val="000000"/>
                <w:sz w:val="18"/>
                <w:szCs w:val="18"/>
              </w:rPr>
            </w:pPr>
            <w:r>
              <w:rPr>
                <w:rFonts w:hint="eastAsia" w:ascii="宋体" w:hAnsi="宋体" w:cs="宋体"/>
                <w:b/>
                <w:color w:val="000000"/>
                <w:kern w:val="0"/>
                <w:sz w:val="18"/>
                <w:szCs w:val="18"/>
                <w:lang w:bidi="ar"/>
              </w:rPr>
              <w:t>5、其他</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8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63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b/>
                <w:color w:val="000000"/>
                <w:sz w:val="18"/>
                <w:szCs w:val="18"/>
              </w:rPr>
            </w:pP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机柜</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国产</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42U标准机柜</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摄像机接入授权</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视频管理服务软件-视频接入许可-500路授权</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IPSAN接入授权</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视频管理服务软件-IPSAN接入许可-1台授权</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r>
      <w:tr>
        <w:tblPrEx>
          <w:tblCellMar>
            <w:top w:w="0" w:type="dxa"/>
            <w:left w:w="0" w:type="dxa"/>
            <w:bottom w:w="0" w:type="dxa"/>
            <w:right w:w="0" w:type="dxa"/>
          </w:tblCellMar>
        </w:tblPrEx>
        <w:trPr>
          <w:trHeight w:val="607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46寸1.7mm拼缝高亮LCD拼接显示单元</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 采用工业级面板，尺寸≥46 inch</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 物理拼缝≤1.7mm</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 亮度≥700 cd/m2</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 对比度≥4000:1</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 分辨率不小于1920*1080</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 提供三星原厂面板授权证明复印件</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 视频输入接口至少具备1个DVI接口，1个HDMI接口，1个VGA接口</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 液晶拼接显示单元整机采用冷轧钢板材质，结构件需一体成型，显示屏具备完整后壳，不得以支架或挡板替代，无任何裸露在外的电路线，整体美观大方。</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 控制接口：1个输入RS-232接口，1个输出RS-232接口,1个红外接口，1个USB接口，具备U盘内视频，文档等文件的直接播放功能；液晶单元软件程序支持通过USB口升级。</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10. 多个液晶拼接显示单元具备一键色彩调整功能，配合独有的色彩调校传感器和核心算法可实现快速调整屏幕色差。（需提供封面盖有CNAS章的国家权威检测机构出具的报告复印件）</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11. 设备应支持被CS 客户端集中管理 ，支持多级用户权限管理、支持多场景模式管理。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12.液晶拼接显示单元具备四级色温模式自动调整功能，同时支持色温无级调节，可在 2000K 至 12000K 之间调节。（需提供封面盖有CNAS章的国家权威检测机构出具的报告复印件）</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13. 液晶拼接显示单元具备自动、16:9、4:3三种图像缩放显示模式。</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14. 液晶拼接显示单元具备显示图像0°、90°、180°、270°四种放置播放模式。（需提供封面盖有CNAS章的国家权威检测机构出具的报告复印件）</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15. 设备需具备色彩诊断能力，并能对色彩进行自动修正。</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 xml:space="preserve">16. </w:t>
            </w:r>
            <w:r>
              <w:rPr>
                <w:rFonts w:hint="eastAsia" w:ascii="黑体" w:hAnsi="黑体" w:eastAsia="黑体" w:cs="黑体"/>
                <w:kern w:val="0"/>
                <w:sz w:val="22"/>
                <w:szCs w:val="22"/>
              </w:rPr>
              <w:t>★</w:t>
            </w:r>
            <w:r>
              <w:rPr>
                <w:rFonts w:hint="eastAsia" w:ascii="宋体" w:hAnsi="宋体" w:cs="宋体"/>
                <w:color w:val="000000"/>
                <w:kern w:val="0"/>
                <w:sz w:val="18"/>
                <w:szCs w:val="18"/>
                <w:lang w:bidi="ar"/>
              </w:rPr>
              <w:t>液晶拼接显示单元具备去蓝光护眼功能，开启护眼模式后，蓝光量可下降30%，减弱蓝光对观看人员的眼睛进行有效保护。（需提供封面盖有CNAS章的国家权威检测机构出具的报告复印件）</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17. 自动化实现不同规格以及不同规模拼接墙的拼缝补偿，从而提高拼缝补偿效率。</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18. 液晶拼接显示单元具备节能模式，打开节能模式液晶拼接屏正常运行时的平均功耗最高可以降低50%。（需提供封面盖有CNAS章的国家权威检测机构出具的报告复印件）</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19. 液晶拼接显示显示单元的色彩还原准确性指标ΔE≤0.9。</w:t>
            </w:r>
          </w:p>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 液晶拼接显示单元具备防止长时间运行造成的极化现象(提供国家版权局出具的文件复印件)</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w:t>
            </w:r>
          </w:p>
        </w:tc>
      </w:tr>
      <w:tr>
        <w:tblPrEx>
          <w:tblCellMar>
            <w:top w:w="0" w:type="dxa"/>
            <w:left w:w="0" w:type="dxa"/>
            <w:bottom w:w="0" w:type="dxa"/>
            <w:right w:w="0" w:type="dxa"/>
          </w:tblCellMar>
        </w:tblPrEx>
        <w:trPr>
          <w:trHeight w:val="225"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15米DVI-D线缆</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定制</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15米DVI-D线缆-拼接屏专用</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条</w:t>
            </w:r>
          </w:p>
        </w:tc>
        <w:tc>
          <w:tcPr>
            <w:tcW w:w="4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拼接屏落地式支架</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sz w:val="18"/>
                <w:szCs w:val="18"/>
              </w:rPr>
              <w:t>46寸/47寸/49寸拼接屏落地式支架(标准直立式)</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LCD拼接系统工程安装服务</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lang w:bidi="ar"/>
              </w:rPr>
            </w:pP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sz w:val="18"/>
                <w:szCs w:val="18"/>
              </w:rPr>
              <w:t>LCD拼接系统工程安装服务</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15</w:t>
            </w:r>
          </w:p>
        </w:tc>
      </w:tr>
      <w:tr>
        <w:tblPrEx>
          <w:tblCellMar>
            <w:top w:w="0" w:type="dxa"/>
            <w:left w:w="0" w:type="dxa"/>
            <w:bottom w:w="0" w:type="dxa"/>
            <w:right w:w="0" w:type="dxa"/>
          </w:tblCellMar>
        </w:tblPrEx>
        <w:trPr>
          <w:trHeight w:val="540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视频综合平台</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 支持1200W/4K/1080P/720P/D1/4CIF/CIF分辨率解码</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 支持9:16、16:9、4:3、3:4等多种比例图像解码输出上墙</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 方便整个电视墙的快速布局，具备自定义电视墙布局功能，一键完成对整个电视墙的布局</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 便于操作人员快速识别电视墙不同业务，实况、回放、轮切、轮巡业务都有不同的颜色标注加以区分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 支持拼接屏的手动、定时、倒计时开关机</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 支持码流解密功能，可以对加密的IPC码流数据进行解码，并输出（以公安部检测报告为准）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 支持告警联动到指定电视墙窗口，并加以红框警示</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 设备资源不足时可直接在电视墙上显示解码资源不足</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 单屏支持1/4/6/8/9/13/16分屏</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10. 窗口漫游过程中，窗口可不刷黑</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11. 在轮切过程中，切换时窗口不刷黑（以公安部检测报告为准）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 支持多个场景间的切换，可保存64个场景</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13. 场景布局发生改变的情况下，电视墙从100路实况的场景切换到100路实况的场景的切换时间＜1S（以公安部检测报告为准）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14. 场景切换过程中，实况画面不会出现刷黑的情况，所有画面无缝切换（以公安部检测报告为准）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15. 支持后端给实况叠加OSD</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16. 设备同一输入视频图像在上下两个屏幕拼接显示的时差&lt;33ms</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17. 同一输入通道的视频图像在不同输出端口显示的失步误差＜1ms（以公安部检测报告为准）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18. 输入输出板卡支持热插拔，直接拔插后，上墙业务可自动恢复</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19. 输入输出板卡支持混插，可以插入设备的任意槽位中</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20. 支持设备正反面都可以插卡（以公安部检测报告为准）</w:t>
            </w:r>
          </w:p>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21. 持插入4张板卡，每张卡8个输出口，最大32输出口</w:t>
            </w:r>
          </w:p>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22. </w:t>
            </w:r>
            <w:r>
              <w:rPr>
                <w:rFonts w:hint="eastAsia" w:ascii="黑体" w:hAnsi="黑体" w:eastAsia="黑体" w:cs="黑体"/>
                <w:kern w:val="0"/>
                <w:sz w:val="22"/>
                <w:szCs w:val="22"/>
              </w:rPr>
              <w:t>★</w:t>
            </w:r>
            <w:r>
              <w:rPr>
                <w:rFonts w:hint="eastAsia" w:ascii="宋体" w:hAnsi="宋体" w:cs="宋体"/>
                <w:color w:val="000000"/>
                <w:kern w:val="0"/>
                <w:sz w:val="18"/>
                <w:szCs w:val="18"/>
                <w:lang w:bidi="ar"/>
              </w:rPr>
              <w:t>设备支持≥8个光口,支持≥8个电口,支持≥8个风扇,单板支持≥8个独立音频口（以公安部检测报告为准）</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9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主控板模块</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视频综合平台主控板模块</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DVI视频输入编码板模块</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视频综合平台DVI视频输入编码板模块</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DVI视频解码输出板模块</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宇视、华为、海康</w:t>
            </w: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视频综合平台DVI视频解码输出板模块</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r>
      <w:tr>
        <w:tblPrEx>
          <w:tblCellMar>
            <w:top w:w="0" w:type="dxa"/>
            <w:left w:w="0" w:type="dxa"/>
            <w:bottom w:w="0" w:type="dxa"/>
            <w:right w:w="0" w:type="dxa"/>
          </w:tblCellMar>
        </w:tblPrEx>
        <w:trPr>
          <w:trHeight w:val="450" w:hRule="atLeast"/>
        </w:trPr>
        <w:tc>
          <w:tcPr>
            <w:tcW w:w="10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9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机房装修（大屏部分）</w:t>
            </w:r>
          </w:p>
        </w:tc>
        <w:tc>
          <w:tcPr>
            <w:tcW w:w="8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lang w:bidi="ar"/>
              </w:rPr>
            </w:pPr>
          </w:p>
        </w:tc>
        <w:tc>
          <w:tcPr>
            <w:tcW w:w="6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定制</w:t>
            </w:r>
          </w:p>
        </w:tc>
        <w:tc>
          <w:tcPr>
            <w:tcW w:w="3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套</w:t>
            </w:r>
          </w:p>
        </w:tc>
        <w:tc>
          <w:tcPr>
            <w:tcW w:w="4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r>
    </w:tbl>
    <w:p>
      <w:pPr>
        <w:pStyle w:val="3"/>
        <w:ind w:firstLine="301"/>
        <w:rPr>
          <w:rFonts w:hint="eastAsia"/>
          <w:b/>
          <w:sz w:val="30"/>
          <w:szCs w:val="30"/>
        </w:rPr>
      </w:pPr>
    </w:p>
    <w:p>
      <w:pPr>
        <w:pStyle w:val="3"/>
        <w:ind w:firstLine="301"/>
        <w:rPr>
          <w:rFonts w:hint="eastAsia"/>
          <w:b/>
          <w:sz w:val="30"/>
          <w:szCs w:val="30"/>
        </w:rPr>
      </w:pPr>
    </w:p>
    <w:p>
      <w:pPr>
        <w:pStyle w:val="3"/>
        <w:ind w:firstLine="301"/>
        <w:rPr>
          <w:rFonts w:hint="eastAsia"/>
          <w:b/>
          <w:sz w:val="30"/>
          <w:szCs w:val="30"/>
        </w:rPr>
      </w:pPr>
    </w:p>
    <w:p>
      <w:pPr>
        <w:pStyle w:val="3"/>
        <w:ind w:firstLine="301"/>
        <w:rPr>
          <w:rFonts w:hint="eastAsia"/>
          <w:b/>
          <w:sz w:val="30"/>
          <w:szCs w:val="30"/>
        </w:rPr>
      </w:pPr>
    </w:p>
    <w:p>
      <w:pPr>
        <w:pStyle w:val="3"/>
        <w:ind w:firstLine="301"/>
        <w:rPr>
          <w:rFonts w:hint="eastAsia"/>
          <w:b/>
          <w:sz w:val="30"/>
          <w:szCs w:val="30"/>
        </w:rPr>
      </w:pPr>
    </w:p>
    <w:p>
      <w:pPr>
        <w:pStyle w:val="3"/>
        <w:ind w:firstLine="301"/>
        <w:rPr>
          <w:rFonts w:hint="eastAsia"/>
          <w:b/>
          <w:sz w:val="30"/>
          <w:szCs w:val="30"/>
        </w:rPr>
      </w:pPr>
    </w:p>
    <w:p>
      <w:pPr>
        <w:rPr>
          <w:rFonts w:eastAsia="黑体"/>
          <w:kern w:val="44"/>
          <w:sz w:val="28"/>
          <w:szCs w:val="28"/>
        </w:rPr>
      </w:pPr>
    </w:p>
    <w:p>
      <w:pPr>
        <w:spacing w:line="480" w:lineRule="exact"/>
        <w:ind w:firstLine="643" w:firstLineChars="200"/>
        <w:jc w:val="center"/>
        <w:rPr>
          <w:rFonts w:hint="eastAsia"/>
          <w:b/>
          <w:sz w:val="32"/>
          <w:szCs w:val="32"/>
        </w:rPr>
      </w:pPr>
    </w:p>
    <w:p>
      <w:pPr>
        <w:spacing w:line="480" w:lineRule="exact"/>
        <w:ind w:firstLine="643" w:firstLineChars="200"/>
        <w:jc w:val="center"/>
        <w:rPr>
          <w:rFonts w:hint="eastAsia" w:cs="Arial"/>
          <w:b/>
          <w:bCs/>
          <w:szCs w:val="21"/>
        </w:rPr>
      </w:pPr>
      <w:r>
        <w:rPr>
          <w:b/>
          <w:sz w:val="32"/>
          <w:szCs w:val="32"/>
        </w:rPr>
        <w:br w:type="page"/>
      </w:r>
      <w:r>
        <w:rPr>
          <w:rFonts w:hint="eastAsia"/>
          <w:b/>
          <w:sz w:val="32"/>
          <w:szCs w:val="32"/>
        </w:rPr>
        <w:t>第三部分  投标人须知</w:t>
      </w:r>
      <w:bookmarkEnd w:id="9"/>
    </w:p>
    <w:p>
      <w:pPr>
        <w:spacing w:line="360" w:lineRule="auto"/>
        <w:jc w:val="center"/>
        <w:rPr>
          <w:rFonts w:hint="eastAsia"/>
          <w:b/>
          <w:sz w:val="30"/>
          <w:szCs w:val="30"/>
        </w:rPr>
      </w:pPr>
      <w:r>
        <w:rPr>
          <w:rFonts w:hint="eastAsia"/>
          <w:b/>
          <w:sz w:val="30"/>
          <w:szCs w:val="30"/>
        </w:rPr>
        <w:t>前附表</w:t>
      </w:r>
    </w:p>
    <w:p>
      <w:pPr>
        <w:spacing w:line="240" w:lineRule="exact"/>
        <w:jc w:val="center"/>
        <w:rPr>
          <w:rFonts w:hint="eastAsia"/>
          <w:b/>
          <w:szCs w:val="21"/>
        </w:rPr>
      </w:pPr>
    </w:p>
    <w:tbl>
      <w:tblPr>
        <w:tblStyle w:val="5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0"/>
        <w:gridCol w:w="89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b/>
                <w:bCs/>
              </w:rPr>
            </w:pPr>
            <w:r>
              <w:rPr>
                <w:b/>
                <w:bCs/>
              </w:rPr>
              <w:t>序号</w:t>
            </w:r>
          </w:p>
        </w:tc>
        <w:tc>
          <w:tcPr>
            <w:tcW w:w="8924" w:type="dxa"/>
            <w:tcBorders>
              <w:top w:val="single" w:color="auto" w:sz="4" w:space="0"/>
              <w:left w:val="single" w:color="auto" w:sz="4" w:space="0"/>
              <w:bottom w:val="single" w:color="auto" w:sz="4" w:space="0"/>
            </w:tcBorders>
            <w:noWrap w:val="0"/>
            <w:vAlign w:val="center"/>
          </w:tcPr>
          <w:p>
            <w:pPr>
              <w:spacing w:line="400" w:lineRule="exact"/>
              <w:jc w:val="center"/>
              <w:rPr>
                <w:b/>
                <w:bCs/>
              </w:rPr>
            </w:pPr>
            <w:r>
              <w:rPr>
                <w:b/>
                <w:bCs/>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pPr>
            <w:r>
              <w:t>1</w:t>
            </w:r>
          </w:p>
        </w:tc>
        <w:tc>
          <w:tcPr>
            <w:tcW w:w="8924" w:type="dxa"/>
            <w:tcBorders>
              <w:top w:val="single" w:color="auto" w:sz="4" w:space="0"/>
              <w:left w:val="single" w:color="auto" w:sz="4" w:space="0"/>
              <w:bottom w:val="single" w:color="auto" w:sz="4" w:space="0"/>
            </w:tcBorders>
            <w:noWrap w:val="0"/>
            <w:vAlign w:val="center"/>
          </w:tcPr>
          <w:p>
            <w:pPr>
              <w:spacing w:line="400" w:lineRule="exact"/>
              <w:rPr>
                <w:rFonts w:hint="eastAsia"/>
              </w:rPr>
            </w:pPr>
            <w:r>
              <w:t>项目名称：</w:t>
            </w:r>
            <w:r>
              <w:rPr>
                <w:rFonts w:hint="eastAsia"/>
              </w:rPr>
              <w:t>浙江慈溪滨海经济开发区天网工程二期（社会治安动态视频监控系统二期）项目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pPr>
            <w:r>
              <w:t>2</w:t>
            </w:r>
          </w:p>
        </w:tc>
        <w:tc>
          <w:tcPr>
            <w:tcW w:w="8924" w:type="dxa"/>
            <w:tcBorders>
              <w:top w:val="single" w:color="auto" w:sz="4" w:space="0"/>
              <w:left w:val="single" w:color="auto" w:sz="4" w:space="0"/>
              <w:bottom w:val="single" w:color="auto" w:sz="4" w:space="0"/>
            </w:tcBorders>
            <w:noWrap w:val="0"/>
            <w:vAlign w:val="center"/>
          </w:tcPr>
          <w:p>
            <w:pPr>
              <w:spacing w:line="400" w:lineRule="exact"/>
              <w:rPr>
                <w:rFonts w:hint="eastAsia"/>
              </w:rPr>
            </w:pPr>
            <w:r>
              <w:t>招标编号</w:t>
            </w:r>
            <w:r>
              <w:rPr>
                <w:rFonts w:hint="eastAsia"/>
              </w:rPr>
              <w:t>：NBGODOZB419057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pPr>
            <w:r>
              <w:t>3</w:t>
            </w:r>
          </w:p>
        </w:tc>
        <w:tc>
          <w:tcPr>
            <w:tcW w:w="8924" w:type="dxa"/>
            <w:tcBorders>
              <w:top w:val="single" w:color="auto" w:sz="4" w:space="0"/>
              <w:left w:val="single" w:color="auto" w:sz="4" w:space="0"/>
              <w:bottom w:val="single" w:color="auto" w:sz="4" w:space="0"/>
            </w:tcBorders>
            <w:noWrap w:val="0"/>
            <w:vAlign w:val="center"/>
          </w:tcPr>
          <w:p>
            <w:pPr>
              <w:spacing w:line="400" w:lineRule="exact"/>
              <w:rPr>
                <w:rFonts w:hint="eastAsia"/>
              </w:rPr>
            </w:pPr>
            <w:r>
              <w:t>招标单位：</w:t>
            </w:r>
            <w:r>
              <w:rPr>
                <w:rFonts w:hint="eastAsia"/>
              </w:rPr>
              <w:t>浙江慈溪滨海经济开发区管理委员会</w:t>
            </w:r>
          </w:p>
          <w:p>
            <w:pPr>
              <w:spacing w:line="400" w:lineRule="exact"/>
              <w:rPr>
                <w:rFonts w:hint="eastAsia"/>
              </w:rPr>
            </w:pPr>
            <w:r>
              <w:t>联系人：</w:t>
            </w:r>
            <w:r>
              <w:rPr>
                <w:rFonts w:hint="eastAsia"/>
                <w:szCs w:val="21"/>
              </w:rPr>
              <w:t>李先生</w:t>
            </w:r>
          </w:p>
          <w:p>
            <w:pPr>
              <w:spacing w:line="400" w:lineRule="exact"/>
              <w:rPr>
                <w:rFonts w:hint="eastAsia"/>
              </w:rPr>
            </w:pPr>
            <w:r>
              <w:t>电话:</w:t>
            </w:r>
            <w:r>
              <w:rPr>
                <w:rFonts w:hint="eastAsia"/>
              </w:rPr>
              <w:t>：</w:t>
            </w:r>
            <w:r>
              <w:rPr>
                <w:rFonts w:hint="eastAsia"/>
                <w:szCs w:val="21"/>
              </w:rPr>
              <w:t>0574-63332318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4</w:t>
            </w:r>
          </w:p>
        </w:tc>
        <w:tc>
          <w:tcPr>
            <w:tcW w:w="8924" w:type="dxa"/>
            <w:tcBorders>
              <w:top w:val="single" w:color="auto" w:sz="4" w:space="0"/>
              <w:left w:val="single" w:color="auto" w:sz="4" w:space="0"/>
              <w:bottom w:val="single" w:color="auto" w:sz="4" w:space="0"/>
            </w:tcBorders>
            <w:noWrap w:val="0"/>
            <w:vAlign w:val="center"/>
          </w:tcPr>
          <w:p>
            <w:pPr>
              <w:spacing w:line="440" w:lineRule="exact"/>
              <w:rPr>
                <w:szCs w:val="21"/>
              </w:rPr>
            </w:pPr>
            <w:r>
              <w:rPr>
                <w:rFonts w:hint="eastAsia"/>
                <w:szCs w:val="21"/>
              </w:rPr>
              <w:t>投标保证金：人民币</w:t>
            </w:r>
            <w:r>
              <w:rPr>
                <w:rFonts w:hint="eastAsia"/>
                <w:szCs w:val="21"/>
                <w:u w:val="single"/>
              </w:rPr>
              <w:t>140000</w:t>
            </w:r>
            <w:r>
              <w:rPr>
                <w:rFonts w:hint="eastAsia"/>
                <w:szCs w:val="21"/>
              </w:rPr>
              <w:t xml:space="preserve">元整 </w:t>
            </w:r>
          </w:p>
          <w:p>
            <w:pPr>
              <w:widowControl/>
              <w:spacing w:line="440" w:lineRule="exact"/>
              <w:jc w:val="left"/>
              <w:rPr>
                <w:rFonts w:hint="eastAsia"/>
                <w:szCs w:val="21"/>
              </w:rPr>
            </w:pPr>
            <w:r>
              <w:rPr>
                <w:rFonts w:hint="eastAsia"/>
                <w:szCs w:val="21"/>
              </w:rPr>
              <w:t>如需开具保证金收据，按以下内容办理：</w:t>
            </w:r>
          </w:p>
          <w:p>
            <w:pPr>
              <w:widowControl/>
              <w:spacing w:line="440" w:lineRule="exact"/>
              <w:jc w:val="left"/>
              <w:rPr>
                <w:rFonts w:cs="宋体"/>
                <w:kern w:val="0"/>
                <w:szCs w:val="21"/>
              </w:rPr>
            </w:pPr>
            <w:r>
              <w:rPr>
                <w:rFonts w:hint="eastAsia"/>
                <w:szCs w:val="21"/>
              </w:rPr>
              <w:t>办理投标保证金收据地点：宁波市鄞州区和济街118号A座6楼613</w:t>
            </w:r>
          </w:p>
          <w:p>
            <w:pPr>
              <w:spacing w:line="440" w:lineRule="exact"/>
            </w:pPr>
            <w:r>
              <w:rPr>
                <w:rFonts w:hint="eastAsia"/>
                <w:szCs w:val="21"/>
              </w:rPr>
              <w:t>办理投标保证金收据时间：每天上午8:30-12:00，下午14:00-17:00，为使投标商的投标保证金能在开标前及时到帐，不影响投标活动，请及时缴纳交纳。</w:t>
            </w:r>
          </w:p>
          <w:p>
            <w:pPr>
              <w:spacing w:line="440" w:lineRule="exact"/>
              <w:rPr>
                <w:szCs w:val="21"/>
              </w:rPr>
            </w:pPr>
            <w:r>
              <w:rPr>
                <w:rFonts w:hint="eastAsia"/>
                <w:szCs w:val="21"/>
              </w:rPr>
              <w:t>财务联系方式：0574-87311847</w:t>
            </w:r>
          </w:p>
          <w:p>
            <w:pPr>
              <w:spacing w:line="440" w:lineRule="exact"/>
              <w:rPr>
                <w:szCs w:val="21"/>
              </w:rPr>
            </w:pPr>
            <w:r>
              <w:rPr>
                <w:rFonts w:hint="eastAsia"/>
                <w:szCs w:val="21"/>
              </w:rPr>
              <w:t>开户单位名称：</w:t>
            </w:r>
            <w:r>
              <w:rPr>
                <w:rFonts w:hint="eastAsia" w:ascii="宋体"/>
              </w:rPr>
              <w:t>宁波国际投资咨询有限公司</w:t>
            </w:r>
          </w:p>
          <w:p>
            <w:pPr>
              <w:spacing w:line="440" w:lineRule="exact"/>
              <w:rPr>
                <w:szCs w:val="21"/>
              </w:rPr>
            </w:pPr>
            <w:r>
              <w:rPr>
                <w:rFonts w:hint="eastAsia"/>
                <w:szCs w:val="21"/>
              </w:rPr>
              <w:t xml:space="preserve">开户行：上海浦东发展银行宁波分行中兴支行   </w:t>
            </w:r>
          </w:p>
          <w:p>
            <w:pPr>
              <w:spacing w:line="440" w:lineRule="exact"/>
              <w:rPr>
                <w:rFonts w:hint="eastAsia"/>
                <w:szCs w:val="21"/>
              </w:rPr>
            </w:pPr>
            <w:r>
              <w:rPr>
                <w:rFonts w:hint="eastAsia"/>
                <w:szCs w:val="21"/>
              </w:rPr>
              <w:t>帐号：94160078801100000003</w:t>
            </w:r>
          </w:p>
          <w:p>
            <w:pPr>
              <w:spacing w:line="400" w:lineRule="exact"/>
            </w:pPr>
            <w:r>
              <w:rPr>
                <w:rFonts w:hint="eastAsia" w:ascii="宋体" w:hAnsi="宋体" w:cs="宋体"/>
                <w:kern w:val="0"/>
                <w:sz w:val="22"/>
                <w:szCs w:val="22"/>
              </w:rPr>
              <w:t>▲</w:t>
            </w:r>
            <w:r>
              <w:rPr>
                <w:rFonts w:hint="eastAsia"/>
                <w:b/>
              </w:rPr>
              <w:t>未按上述规定缴纳投标保证金的投标人，将不得参与投标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5</w:t>
            </w:r>
          </w:p>
        </w:tc>
        <w:tc>
          <w:tcPr>
            <w:tcW w:w="8924" w:type="dxa"/>
            <w:tcBorders>
              <w:top w:val="single" w:color="auto" w:sz="4" w:space="0"/>
              <w:left w:val="single" w:color="auto" w:sz="4" w:space="0"/>
              <w:bottom w:val="single" w:color="auto" w:sz="4" w:space="0"/>
            </w:tcBorders>
            <w:noWrap w:val="0"/>
            <w:vAlign w:val="center"/>
          </w:tcPr>
          <w:p>
            <w:pPr>
              <w:spacing w:line="400" w:lineRule="exact"/>
            </w:pPr>
            <w:r>
              <w:rPr>
                <w:rFonts w:hint="eastAsia"/>
                <w:szCs w:val="21"/>
              </w:rPr>
              <w:t>答疑和澄清：如对本次招标文件存在疑问，请将书面文件在2019年10月8日16:00之前，送至宁波国际投资咨询有限公司，采购代理机构将视情做统一答复。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6</w:t>
            </w:r>
          </w:p>
        </w:tc>
        <w:tc>
          <w:tcPr>
            <w:tcW w:w="8924" w:type="dxa"/>
            <w:tcBorders>
              <w:top w:val="single" w:color="auto" w:sz="4" w:space="0"/>
              <w:left w:val="single" w:color="auto" w:sz="4" w:space="0"/>
              <w:bottom w:val="single" w:color="auto" w:sz="4" w:space="0"/>
            </w:tcBorders>
            <w:noWrap w:val="0"/>
            <w:vAlign w:val="center"/>
          </w:tcPr>
          <w:p>
            <w:pPr>
              <w:spacing w:line="440" w:lineRule="exact"/>
            </w:pPr>
            <w:r>
              <w:t>投标截止时间及地点：</w:t>
            </w:r>
            <w:r>
              <w:rPr>
                <w:rFonts w:hint="eastAsia"/>
              </w:rPr>
              <w:t>供应商应于2019年10月17日10时00分（北京时间）前将投标文件密封送交到慈溪市公共资源交易中心第5开标室（慈溪市白沙路街道南二环东路1355号，南二环东路与东三环南路交叉口东首，原水立方），逾期送达或未密封将予以拒收（或作无效投标文件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7</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开标时间及地点：</w:t>
            </w:r>
            <w:r>
              <w:rPr>
                <w:rFonts w:hint="eastAsia"/>
              </w:rPr>
              <w:t>本次招标将于2019年10月17日10时00分（北京时间）在慈溪市公共资源交易中心第5开标室（慈溪市白沙路街道南二环东路1355号，南二环东路与东三环南路交叉口东首，原水立方）开标，供应商可以派授权代表出席开标会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8</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评标结果公告：评标结果公告于</w:t>
            </w:r>
            <w:r>
              <w:rPr>
                <w:rFonts w:hint="eastAsia"/>
                <w:szCs w:val="21"/>
              </w:rPr>
              <w:t>浙江政府采购网（</w:t>
            </w:r>
            <w:r>
              <w:rPr>
                <w:rFonts w:hint="eastAsia"/>
                <w:szCs w:val="21"/>
              </w:rPr>
              <w:fldChar w:fldCharType="begin"/>
            </w:r>
            <w:r>
              <w:rPr>
                <w:rFonts w:hint="eastAsia"/>
                <w:szCs w:val="21"/>
              </w:rPr>
              <w:instrText xml:space="preserve"> HYPERLINK "http://www.zjzfcg.gov.cn" </w:instrText>
            </w:r>
            <w:r>
              <w:rPr>
                <w:rFonts w:hint="eastAsia"/>
                <w:szCs w:val="21"/>
              </w:rPr>
              <w:fldChar w:fldCharType="separate"/>
            </w:r>
            <w:r>
              <w:rPr>
                <w:rFonts w:hint="eastAsia"/>
                <w:szCs w:val="21"/>
              </w:rPr>
              <w:t>www.zjzfcg.gov.cn</w:t>
            </w:r>
            <w:r>
              <w:rPr>
                <w:rFonts w:hint="eastAsia"/>
                <w:szCs w:val="21"/>
              </w:rPr>
              <w:fldChar w:fldCharType="end"/>
            </w:r>
            <w:r>
              <w:rPr>
                <w:rFonts w:hint="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9</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投标文件正本1份、副本</w:t>
            </w:r>
            <w:r>
              <w:rPr>
                <w:rFonts w:hint="eastAsia"/>
              </w:rPr>
              <w:t>6</w:t>
            </w:r>
            <w: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t>1</w:t>
            </w:r>
            <w:r>
              <w:rPr>
                <w:rFonts w:hint="eastAsia"/>
              </w:rPr>
              <w:t>0</w:t>
            </w:r>
          </w:p>
        </w:tc>
        <w:tc>
          <w:tcPr>
            <w:tcW w:w="8924" w:type="dxa"/>
            <w:tcBorders>
              <w:top w:val="single" w:color="auto" w:sz="4" w:space="0"/>
              <w:left w:val="single" w:color="auto" w:sz="4" w:space="0"/>
              <w:bottom w:val="single" w:color="auto" w:sz="4" w:space="0"/>
            </w:tcBorders>
            <w:noWrap w:val="0"/>
            <w:vAlign w:val="center"/>
          </w:tcPr>
          <w:p>
            <w:pPr>
              <w:spacing w:line="400" w:lineRule="exact"/>
            </w:pPr>
            <w:r>
              <w:rPr>
                <w:rFonts w:hint="eastAsia"/>
              </w:rPr>
              <w:t>服务期限：自终验合格之日开始为期5年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11</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售后服务：</w:t>
            </w:r>
            <w:r>
              <w:rPr>
                <w:rFonts w:hint="eastAsia"/>
              </w:rPr>
              <w:t>在12小时内修复故障或更换设备，使系统恢复正常运行。监控中心设备应于4小时之内修复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12</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投标报价</w:t>
            </w:r>
            <w:r>
              <w:rPr>
                <w:rFonts w:hint="eastAsia"/>
              </w:rPr>
              <w:t>：投标报价为本项目招标文件约定的全部报价范围和工程内容的总费用。招标清单中投标人没有填入单价或价格的子目，其费用视为已分摊在招标清单中其他相关子目的单价或价格之中。承包人必须按招标人指令完成招标清单中未填入单价或价格的子目，但不能得到结算与支付。</w:t>
            </w:r>
            <w:r>
              <w:rPr>
                <w:rFonts w:hint="eastAsia" w:ascii="宋体" w:hAnsi="宋体"/>
              </w:rPr>
              <w:t>符合合同条款规定的全部费用应认为已被计入有标价的</w:t>
            </w:r>
            <w:r>
              <w:rPr>
                <w:rFonts w:hint="eastAsia"/>
              </w:rPr>
              <w:t>招标清单</w:t>
            </w:r>
            <w:r>
              <w:rPr>
                <w:rFonts w:hint="eastAsia" w:ascii="宋体" w:hAnsi="宋体"/>
              </w:rPr>
              <w:t>所列各子目之中，未列子目不予计量的工作，其费用应视为已分摊在本合同的有关子目的单价或总额价之中。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t>1</w:t>
            </w:r>
            <w:r>
              <w:rPr>
                <w:rFonts w:hint="eastAsia"/>
              </w:rPr>
              <w:t>3</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项目预算：最高限价</w:t>
            </w:r>
            <w:r>
              <w:rPr>
                <w:rFonts w:hint="eastAsia"/>
                <w:u w:val="single"/>
              </w:rPr>
              <w:t xml:space="preserve"> 823.2379</w:t>
            </w:r>
            <w:r>
              <w:rPr>
                <w:rFonts w:hint="eastAsia"/>
              </w:rPr>
              <w:t>万元</w:t>
            </w:r>
            <w:r>
              <w:t>，投标报价超过最高限价的投标文件作无效标处理。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14</w:t>
            </w:r>
          </w:p>
        </w:tc>
        <w:tc>
          <w:tcPr>
            <w:tcW w:w="8924" w:type="dxa"/>
            <w:tcBorders>
              <w:top w:val="single" w:color="auto" w:sz="4" w:space="0"/>
              <w:left w:val="single" w:color="auto" w:sz="4" w:space="0"/>
              <w:bottom w:val="single" w:color="auto" w:sz="4" w:space="0"/>
            </w:tcBorders>
            <w:noWrap w:val="0"/>
            <w:vAlign w:val="center"/>
          </w:tcPr>
          <w:p>
            <w:pPr>
              <w:spacing w:line="400" w:lineRule="exact"/>
              <w:rPr>
                <w:rFonts w:hint="eastAsia" w:ascii="宋体" w:hAnsi="宋体"/>
                <w:szCs w:val="21"/>
              </w:rPr>
            </w:pPr>
            <w:r>
              <w:rPr>
                <w:rFonts w:ascii="宋体" w:hAnsi="宋体"/>
                <w:szCs w:val="21"/>
              </w:rPr>
              <w:t>付款方法：</w:t>
            </w:r>
          </w:p>
          <w:p>
            <w:pPr>
              <w:adjustRightInd w:val="0"/>
              <w:snapToGrid w:val="0"/>
              <w:spacing w:line="360" w:lineRule="auto"/>
              <w:rPr>
                <w:rFonts w:hint="eastAsia"/>
              </w:rPr>
            </w:pPr>
            <w:r>
              <w:rPr>
                <w:rFonts w:hint="eastAsia" w:ascii="宋体" w:hAnsi="宋体"/>
                <w:szCs w:val="21"/>
              </w:rPr>
              <w:t>分五期支付，按年结算，本项目自验收合格后开始计费，每年12月底付合同款的20%。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15</w:t>
            </w:r>
          </w:p>
        </w:tc>
        <w:tc>
          <w:tcPr>
            <w:tcW w:w="8924" w:type="dxa"/>
            <w:tcBorders>
              <w:top w:val="single" w:color="auto" w:sz="4" w:space="0"/>
              <w:left w:val="single" w:color="auto" w:sz="4" w:space="0"/>
              <w:bottom w:val="single" w:color="auto" w:sz="4" w:space="0"/>
            </w:tcBorders>
            <w:noWrap w:val="0"/>
            <w:vAlign w:val="center"/>
          </w:tcPr>
          <w:p>
            <w:pPr>
              <w:spacing w:line="400" w:lineRule="exact"/>
            </w:pPr>
            <w:r>
              <w:rPr>
                <w:rFonts w:hint="eastAsia" w:ascii="宋体" w:hAnsi="宋体" w:cs="宋体"/>
              </w:rPr>
              <w:t>履约保证金：中标人在与招标人签订合同后向招标人支付</w:t>
            </w:r>
            <w:r>
              <w:rPr>
                <w:rFonts w:ascii="宋体" w:hAnsi="宋体" w:cs="宋体"/>
              </w:rPr>
              <w:t>10%</w:t>
            </w:r>
            <w:r>
              <w:rPr>
                <w:rFonts w:hint="eastAsia" w:ascii="宋体" w:hAnsi="宋体" w:cs="宋体"/>
              </w:rPr>
              <w:t>的履约保证金</w:t>
            </w:r>
            <w:r>
              <w:rPr>
                <w:rFonts w:hint="eastAsia" w:ascii="宋体" w:hAnsi="宋体"/>
                <w:szCs w:val="21"/>
              </w:rPr>
              <w:t>（不接受银行保函）</w:t>
            </w:r>
            <w:r>
              <w:rPr>
                <w:rFonts w:hint="eastAsia" w:ascii="宋体" w:hAnsi="宋体" w:cs="宋体"/>
              </w:rPr>
              <w:t>；</w:t>
            </w:r>
            <w:r>
              <w:rPr>
                <w:rFonts w:hint="eastAsia" w:ascii="宋体" w:hAnsi="宋体"/>
                <w:szCs w:val="21"/>
              </w:rPr>
              <w:t>在项目验收合格之日起，12个月后退还中标人。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16</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投标文件有效期：自投标截止日起60天。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17</w:t>
            </w:r>
          </w:p>
        </w:tc>
        <w:tc>
          <w:tcPr>
            <w:tcW w:w="8924" w:type="dxa"/>
            <w:tcBorders>
              <w:top w:val="single" w:color="auto" w:sz="4" w:space="0"/>
              <w:left w:val="single" w:color="auto" w:sz="4" w:space="0"/>
              <w:bottom w:val="single" w:color="auto" w:sz="4" w:space="0"/>
            </w:tcBorders>
            <w:noWrap w:val="0"/>
            <w:vAlign w:val="center"/>
          </w:tcPr>
          <w:p>
            <w:pPr>
              <w:spacing w:line="400" w:lineRule="exact"/>
            </w:pPr>
            <w:r>
              <w:t>解释：本招标文件的解释权属于招标单位。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930" w:type="dxa"/>
            <w:tcBorders>
              <w:top w:val="single" w:color="auto" w:sz="4" w:space="0"/>
              <w:bottom w:val="single" w:color="auto" w:sz="4" w:space="0"/>
              <w:right w:val="single" w:color="auto" w:sz="4" w:space="0"/>
            </w:tcBorders>
            <w:noWrap w:val="0"/>
            <w:vAlign w:val="center"/>
          </w:tcPr>
          <w:p>
            <w:pPr>
              <w:spacing w:line="400" w:lineRule="exact"/>
              <w:jc w:val="center"/>
              <w:rPr>
                <w:rFonts w:hint="eastAsia"/>
              </w:rPr>
            </w:pPr>
            <w:r>
              <w:rPr>
                <w:rFonts w:hint="eastAsia"/>
              </w:rPr>
              <w:t>18</w:t>
            </w:r>
          </w:p>
        </w:tc>
        <w:tc>
          <w:tcPr>
            <w:tcW w:w="8924" w:type="dxa"/>
            <w:tcBorders>
              <w:top w:val="single" w:color="auto" w:sz="4" w:space="0"/>
              <w:left w:val="single" w:color="auto" w:sz="4" w:space="0"/>
              <w:bottom w:val="single" w:color="auto" w:sz="4" w:space="0"/>
            </w:tcBorders>
            <w:noWrap w:val="0"/>
            <w:vAlign w:val="center"/>
          </w:tcPr>
          <w:p>
            <w:pPr>
              <w:spacing w:line="400" w:lineRule="exact"/>
              <w:rPr>
                <w:rFonts w:hint="eastAsia"/>
              </w:rPr>
            </w:pPr>
            <w:r>
              <w:rPr>
                <w:rFonts w:hint="eastAsia"/>
              </w:rPr>
              <w:t>中标服务费：中标通知书发出7天内，招标代理单位按以下标准向中标单位收取中标服务费。该费用须中标单位在领取中标通知书前一次性付清。</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8"/>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中标金额（万元） </w:t>
                  </w:r>
                </w:p>
              </w:tc>
              <w:tc>
                <w:tcPr>
                  <w:tcW w:w="3402" w:type="dxa"/>
                  <w:noWrap w:val="0"/>
                  <w:vAlign w:val="top"/>
                </w:tcPr>
                <w:p>
                  <w:pPr>
                    <w:spacing w:line="300" w:lineRule="exact"/>
                    <w:rPr>
                      <w:rFonts w:ascii="宋体" w:hAnsi="宋体"/>
                      <w:szCs w:val="21"/>
                    </w:rPr>
                  </w:pPr>
                  <w:r>
                    <w:rPr>
                      <w:rFonts w:hint="eastAsia" w:ascii="宋体" w:hAnsi="宋体"/>
                      <w:szCs w:val="21"/>
                    </w:rPr>
                    <w:t>服务</w:t>
                  </w:r>
                  <w:r>
                    <w:rPr>
                      <w:rFonts w:ascii="宋体" w:hAnsi="宋体"/>
                      <w:szCs w:val="21"/>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100以下</w:t>
                  </w:r>
                </w:p>
              </w:tc>
              <w:tc>
                <w:tcPr>
                  <w:tcW w:w="3402" w:type="dxa"/>
                  <w:noWrap w:val="0"/>
                  <w:vAlign w:val="top"/>
                </w:tcPr>
                <w:p>
                  <w:pPr>
                    <w:spacing w:line="300" w:lineRule="exact"/>
                    <w:rPr>
                      <w:rFonts w:ascii="宋体" w:hAnsi="宋体"/>
                      <w:szCs w:val="21"/>
                    </w:rPr>
                  </w:pPr>
                  <w:r>
                    <w:rPr>
                      <w:rFonts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100-50</w:t>
                  </w:r>
                  <w:r>
                    <w:rPr>
                      <w:rFonts w:hint="eastAsia" w:ascii="宋体" w:hAnsi="宋体"/>
                      <w:szCs w:val="21"/>
                    </w:rPr>
                    <w:t>0</w:t>
                  </w:r>
                  <w:r>
                    <w:rPr>
                      <w:rFonts w:ascii="宋体" w:hAnsi="宋体"/>
                      <w:szCs w:val="21"/>
                    </w:rPr>
                    <w:t>      </w:t>
                  </w:r>
                  <w:r>
                    <w:rPr>
                      <w:rFonts w:hint="eastAsia" w:ascii="宋体" w:hAnsi="宋体"/>
                      <w:szCs w:val="21"/>
                    </w:rPr>
                    <w:t xml:space="preserve">    </w:t>
                  </w:r>
                </w:p>
              </w:tc>
              <w:tc>
                <w:tcPr>
                  <w:tcW w:w="3402" w:type="dxa"/>
                  <w:noWrap w:val="0"/>
                  <w:vAlign w:val="top"/>
                </w:tcPr>
                <w:p>
                  <w:pPr>
                    <w:spacing w:line="300" w:lineRule="exact"/>
                    <w:rPr>
                      <w:rFonts w:ascii="宋体" w:hAnsi="宋体"/>
                      <w:szCs w:val="21"/>
                    </w:rPr>
                  </w:pPr>
                  <w:r>
                    <w:rPr>
                      <w:rFonts w:hint="eastAsia" w:ascii="宋体" w:hAnsi="宋体"/>
                      <w:szCs w:val="21"/>
                    </w:rPr>
                    <w:t>0.8</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500-1000</w:t>
                  </w:r>
                </w:p>
              </w:tc>
              <w:tc>
                <w:tcPr>
                  <w:tcW w:w="3402" w:type="dxa"/>
                  <w:noWrap w:val="0"/>
                  <w:vAlign w:val="top"/>
                </w:tcPr>
                <w:p>
                  <w:pPr>
                    <w:spacing w:line="300" w:lineRule="exact"/>
                    <w:rPr>
                      <w:rFonts w:ascii="宋体" w:hAnsi="宋体"/>
                      <w:szCs w:val="21"/>
                    </w:rPr>
                  </w:pPr>
                  <w:r>
                    <w:rPr>
                      <w:rFonts w:ascii="宋体" w:hAnsi="宋体"/>
                      <w:szCs w:val="21"/>
                    </w:rPr>
                    <w:t>0.</w:t>
                  </w:r>
                  <w:r>
                    <w:rPr>
                      <w:rFonts w:hint="eastAsia" w:ascii="宋体" w:hAnsi="宋体"/>
                      <w:szCs w:val="21"/>
                    </w:rPr>
                    <w:t>45</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1000-5000</w:t>
                  </w:r>
                </w:p>
              </w:tc>
              <w:tc>
                <w:tcPr>
                  <w:tcW w:w="3402" w:type="dxa"/>
                  <w:noWrap w:val="0"/>
                  <w:vAlign w:val="top"/>
                </w:tcPr>
                <w:p>
                  <w:pPr>
                    <w:spacing w:line="300" w:lineRule="exact"/>
                    <w:rPr>
                      <w:rFonts w:ascii="宋体" w:hAnsi="宋体"/>
                      <w:szCs w:val="21"/>
                    </w:rPr>
                  </w:pPr>
                  <w:r>
                    <w:rPr>
                      <w:rFonts w:ascii="宋体" w:hAnsi="宋体"/>
                      <w:szCs w:val="21"/>
                    </w:rPr>
                    <w:t>0.</w:t>
                  </w:r>
                  <w:r>
                    <w:rPr>
                      <w:rFonts w:hint="eastAsia" w:ascii="宋体" w:hAnsi="宋体"/>
                      <w:szCs w:val="21"/>
                    </w:rPr>
                    <w:t>25</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5000-10000</w:t>
                  </w:r>
                </w:p>
              </w:tc>
              <w:tc>
                <w:tcPr>
                  <w:tcW w:w="3402" w:type="dxa"/>
                  <w:noWrap w:val="0"/>
                  <w:vAlign w:val="top"/>
                </w:tcPr>
                <w:p>
                  <w:pPr>
                    <w:spacing w:line="300" w:lineRule="exact"/>
                    <w:rPr>
                      <w:rFonts w:ascii="宋体" w:hAnsi="宋体"/>
                      <w:szCs w:val="21"/>
                    </w:rPr>
                  </w:pPr>
                  <w:r>
                    <w:rPr>
                      <w:rFonts w:ascii="宋体" w:hAnsi="宋体"/>
                      <w:szCs w:val="21"/>
                    </w:rPr>
                    <w:t>0.</w:t>
                  </w:r>
                  <w:r>
                    <w:rPr>
                      <w:rFonts w:hint="eastAsia" w:ascii="宋体" w:hAnsi="宋体"/>
                      <w:szCs w:val="21"/>
                    </w:rPr>
                    <w:t>1</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10000-100000</w:t>
                  </w:r>
                </w:p>
              </w:tc>
              <w:tc>
                <w:tcPr>
                  <w:tcW w:w="3402" w:type="dxa"/>
                  <w:noWrap w:val="0"/>
                  <w:vAlign w:val="top"/>
                </w:tcPr>
                <w:p>
                  <w:pPr>
                    <w:spacing w:line="300" w:lineRule="exact"/>
                    <w:rPr>
                      <w:rFonts w:ascii="宋体" w:hAnsi="宋体"/>
                      <w:szCs w:val="21"/>
                    </w:rPr>
                  </w:pPr>
                  <w:r>
                    <w:rPr>
                      <w:rFonts w:ascii="宋体" w:hAnsi="宋体"/>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28" w:type="dxa"/>
                  <w:noWrap w:val="0"/>
                  <w:vAlign w:val="top"/>
                </w:tcPr>
                <w:p>
                  <w:pPr>
                    <w:spacing w:line="300" w:lineRule="exact"/>
                    <w:ind w:left="108"/>
                    <w:rPr>
                      <w:rFonts w:ascii="宋体" w:hAnsi="宋体"/>
                      <w:szCs w:val="21"/>
                    </w:rPr>
                  </w:pPr>
                  <w:r>
                    <w:rPr>
                      <w:rFonts w:ascii="宋体" w:hAnsi="宋体"/>
                      <w:szCs w:val="21"/>
                    </w:rPr>
                    <w:t>1000000以上</w:t>
                  </w:r>
                </w:p>
              </w:tc>
              <w:tc>
                <w:tcPr>
                  <w:tcW w:w="3402" w:type="dxa"/>
                  <w:noWrap w:val="0"/>
                  <w:vAlign w:val="top"/>
                </w:tcPr>
                <w:p>
                  <w:pPr>
                    <w:spacing w:line="300" w:lineRule="exact"/>
                    <w:rPr>
                      <w:rFonts w:ascii="宋体" w:hAnsi="宋体"/>
                      <w:szCs w:val="21"/>
                    </w:rPr>
                  </w:pPr>
                  <w:r>
                    <w:rPr>
                      <w:rFonts w:ascii="宋体" w:hAnsi="宋体"/>
                      <w:szCs w:val="21"/>
                    </w:rPr>
                    <w:t>0.01%</w:t>
                  </w:r>
                </w:p>
              </w:tc>
            </w:tr>
          </w:tbl>
          <w:p>
            <w:pPr>
              <w:spacing w:line="400" w:lineRule="exact"/>
            </w:pPr>
          </w:p>
        </w:tc>
      </w:tr>
    </w:tbl>
    <w:p>
      <w:pPr>
        <w:pStyle w:val="67"/>
        <w:keepNext w:val="0"/>
        <w:keepLines w:val="0"/>
        <w:widowControl/>
        <w:spacing w:before="0" w:after="0" w:line="360" w:lineRule="auto"/>
        <w:ind w:firstLine="913" w:firstLineChars="433"/>
        <w:jc w:val="left"/>
        <w:outlineLvl w:val="2"/>
        <w:rPr>
          <w:rFonts w:hint="eastAsia"/>
          <w:bCs w:val="0"/>
          <w:sz w:val="21"/>
          <w:szCs w:val="21"/>
        </w:rPr>
      </w:pPr>
    </w:p>
    <w:p>
      <w:pPr>
        <w:pStyle w:val="67"/>
        <w:keepNext w:val="0"/>
        <w:keepLines w:val="0"/>
        <w:widowControl/>
        <w:spacing w:before="0" w:after="0" w:line="360" w:lineRule="auto"/>
        <w:jc w:val="left"/>
        <w:outlineLvl w:val="2"/>
        <w:rPr>
          <w:rFonts w:ascii="Times New Roman" w:hAnsi="Times New Roman"/>
          <w:kern w:val="0"/>
          <w:sz w:val="21"/>
          <w:szCs w:val="21"/>
        </w:rPr>
      </w:pPr>
      <w:r>
        <w:rPr>
          <w:b w:val="0"/>
          <w:szCs w:val="21"/>
        </w:rPr>
        <w:br w:type="page"/>
      </w:r>
      <w:bookmarkStart w:id="642" w:name="_Toc413319826"/>
      <w:r>
        <w:rPr>
          <w:rFonts w:hint="eastAsia"/>
          <w:b w:val="0"/>
          <w:szCs w:val="21"/>
        </w:rPr>
        <w:t xml:space="preserve">   </w:t>
      </w:r>
      <w:r>
        <w:rPr>
          <w:rFonts w:ascii="Times New Roman" w:hAnsi="Times New Roman"/>
          <w:kern w:val="0"/>
          <w:sz w:val="21"/>
          <w:szCs w:val="21"/>
        </w:rPr>
        <w:t>一、说明</w:t>
      </w:r>
    </w:p>
    <w:p>
      <w:pPr>
        <w:ind w:firstLine="420" w:firstLineChars="200"/>
      </w:pPr>
      <w:r>
        <w:t>1、招标代理机构：宁波国际投资咨询有限公司。</w:t>
      </w:r>
    </w:p>
    <w:p>
      <w:pPr>
        <w:spacing w:line="440" w:lineRule="exact"/>
        <w:ind w:firstLine="420" w:firstLineChars="200"/>
      </w:pPr>
      <w:r>
        <w:t>2、招标人：</w:t>
      </w:r>
      <w:r>
        <w:rPr>
          <w:rFonts w:hint="eastAsia"/>
        </w:rPr>
        <w:t>浙江慈溪滨海经济开发区管理委员会</w:t>
      </w:r>
      <w:r>
        <w:t>。</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二、采购方式</w:t>
      </w:r>
    </w:p>
    <w:p>
      <w:pPr>
        <w:spacing w:line="440" w:lineRule="exact"/>
        <w:ind w:firstLine="420" w:firstLineChars="200"/>
      </w:pPr>
      <w:r>
        <w:t>本次采购采用公开招标方式进行。</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三、投标委托</w:t>
      </w:r>
    </w:p>
    <w:p>
      <w:pPr>
        <w:spacing w:line="440" w:lineRule="exact"/>
        <w:ind w:firstLine="422" w:firstLineChars="200"/>
        <w:rPr>
          <w:b/>
          <w:bCs/>
        </w:rPr>
      </w:pPr>
      <w:r>
        <w:rPr>
          <w:b/>
          <w:bCs/>
        </w:rPr>
        <w:t>投标人代表须携带有效身份证件。如投标人代表不是法定代表人（或企业负责人），须有法定代表人（或企业负责人）出具的授权委托书（格式见附件）。</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四、投标费用</w:t>
      </w:r>
    </w:p>
    <w:p>
      <w:pPr>
        <w:spacing w:line="440" w:lineRule="exact"/>
        <w:ind w:firstLine="420" w:firstLineChars="200"/>
      </w:pPr>
      <w:r>
        <w:t>不论投标结果如何，投标人均应自行承担所有与投标有关的全部费用。</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五、联合体投标</w:t>
      </w:r>
    </w:p>
    <w:p>
      <w:pPr>
        <w:spacing w:line="440" w:lineRule="exact"/>
        <w:ind w:firstLine="420" w:firstLineChars="200"/>
        <w:rPr>
          <w:rFonts w:hint="eastAsia"/>
        </w:rPr>
      </w:pPr>
      <w:r>
        <w:rPr>
          <w:rFonts w:hint="eastAsia"/>
          <w:szCs w:val="21"/>
        </w:rPr>
        <w:t>本项目</w:t>
      </w:r>
      <w:r>
        <w:rPr>
          <w:rFonts w:hint="eastAsia"/>
          <w:szCs w:val="21"/>
          <w:u w:val="single"/>
        </w:rPr>
        <w:t>不接受</w:t>
      </w:r>
      <w:r>
        <w:rPr>
          <w:rFonts w:hint="eastAsia"/>
          <w:szCs w:val="21"/>
        </w:rPr>
        <w:t>联合体投标。</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六、转包与分包</w:t>
      </w:r>
    </w:p>
    <w:p>
      <w:pPr>
        <w:spacing w:line="440" w:lineRule="exact"/>
        <w:ind w:firstLine="420" w:firstLineChars="200"/>
        <w:rPr>
          <w:kern w:val="0"/>
        </w:rPr>
      </w:pPr>
      <w:r>
        <w:rPr>
          <w:rFonts w:hint="eastAsia"/>
          <w:kern w:val="0"/>
        </w:rPr>
        <w:t>允许按国家有关规定分包，禁止违法</w:t>
      </w:r>
      <w:r>
        <w:rPr>
          <w:kern w:val="0"/>
        </w:rPr>
        <w:t>转包。</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七、招标文件</w:t>
      </w:r>
    </w:p>
    <w:p>
      <w:pPr>
        <w:spacing w:line="360" w:lineRule="auto"/>
        <w:ind w:firstLine="420" w:firstLineChars="200"/>
      </w:pPr>
      <w:r>
        <w:t>（一）招标文件的构成。本招标文件由以下部份组成：</w:t>
      </w:r>
    </w:p>
    <w:p>
      <w:pPr>
        <w:spacing w:line="360" w:lineRule="auto"/>
        <w:ind w:firstLine="420" w:firstLineChars="200"/>
      </w:pPr>
      <w:r>
        <w:t>1、招标公告</w:t>
      </w:r>
    </w:p>
    <w:p>
      <w:pPr>
        <w:spacing w:line="360" w:lineRule="auto"/>
        <w:ind w:firstLine="420" w:firstLineChars="200"/>
      </w:pPr>
      <w:r>
        <w:t>2、招标需求</w:t>
      </w:r>
    </w:p>
    <w:p>
      <w:pPr>
        <w:spacing w:line="360" w:lineRule="auto"/>
        <w:ind w:firstLine="420" w:firstLineChars="200"/>
      </w:pPr>
      <w:r>
        <w:t>3、投标人须知</w:t>
      </w:r>
    </w:p>
    <w:p>
      <w:pPr>
        <w:spacing w:line="360" w:lineRule="auto"/>
        <w:ind w:firstLine="420" w:firstLineChars="200"/>
      </w:pPr>
      <w:r>
        <w:t>4、评标办法及标准</w:t>
      </w:r>
    </w:p>
    <w:p>
      <w:pPr>
        <w:spacing w:line="360" w:lineRule="auto"/>
        <w:ind w:firstLine="420" w:firstLineChars="200"/>
      </w:pPr>
      <w:r>
        <w:t>5、合同主要条款</w:t>
      </w:r>
    </w:p>
    <w:p>
      <w:pPr>
        <w:spacing w:line="360" w:lineRule="auto"/>
        <w:ind w:firstLine="420" w:firstLineChars="200"/>
      </w:pPr>
      <w:r>
        <w:t>6、投标文件格式</w:t>
      </w:r>
    </w:p>
    <w:p>
      <w:pPr>
        <w:spacing w:line="360" w:lineRule="auto"/>
        <w:ind w:firstLine="420" w:firstLineChars="200"/>
      </w:pPr>
      <w:r>
        <w:t>7、本项目招标文件的澄清、答复、修改、补充的内容</w:t>
      </w:r>
    </w:p>
    <w:p>
      <w:pPr>
        <w:spacing w:line="360" w:lineRule="auto"/>
        <w:ind w:firstLine="420" w:firstLineChars="200"/>
      </w:pPr>
      <w:r>
        <w:t>（二）投标人的风险</w:t>
      </w:r>
    </w:p>
    <w:p>
      <w:pPr>
        <w:spacing w:line="360" w:lineRule="auto"/>
        <w:ind w:firstLine="420" w:firstLineChars="200"/>
      </w:pPr>
      <w:r>
        <w:t>投标人没有按照招标文件要求提供全部资料，或者投标人没有对招标文件在各方面作出实质性响应是投标人的风险，并可能导致其投标无效或被拒绝。</w:t>
      </w:r>
    </w:p>
    <w:p>
      <w:pPr>
        <w:spacing w:line="360" w:lineRule="auto"/>
        <w:ind w:firstLine="420" w:firstLineChars="200"/>
      </w:pPr>
      <w:r>
        <w:t xml:space="preserve">（三）招标文件的澄清与修改 </w:t>
      </w:r>
    </w:p>
    <w:p>
      <w:pPr>
        <w:spacing w:line="440" w:lineRule="exact"/>
        <w:ind w:firstLine="420" w:firstLineChars="200"/>
        <w:rPr>
          <w:rFonts w:hint="eastAsia"/>
          <w:szCs w:val="21"/>
        </w:rPr>
      </w:pPr>
      <w:r>
        <w:rPr>
          <w:rFonts w:hint="eastAsia"/>
          <w:szCs w:val="21"/>
        </w:rPr>
        <w:t>1、投标人应认真阅读本招标文件，如对本次招标文件存在疑问，投标人必须在投标须知前附表规定的截止时间之前，以书面形式要求采购代理机构或采购人澄清。采购代理机构或采购人对已发出的招标文件进行必要澄清、答复、修改或补充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spacing w:line="440" w:lineRule="exact"/>
        <w:ind w:firstLine="420" w:firstLineChars="200"/>
      </w:pPr>
      <w:r>
        <w:t>2、招标代理机构必须以书面形式答复投标人要求澄清的问题，并将不包含问题来源的答复书面通知所有已报名的投标人。</w:t>
      </w:r>
    </w:p>
    <w:p>
      <w:pPr>
        <w:spacing w:line="440" w:lineRule="exact"/>
        <w:ind w:firstLine="420" w:firstLineChars="200"/>
      </w:pPr>
      <w:r>
        <w:t>3、招标文件澄清、答复、修改、补充的内容为招标文件的组成部分。当招标文件与招标文件的答复、澄清、修改、补充通知就同一内容的表述不一致时，以最后发出的书面文件为准。</w:t>
      </w:r>
    </w:p>
    <w:p>
      <w:pPr>
        <w:spacing w:line="440" w:lineRule="exact"/>
        <w:ind w:firstLine="420" w:firstLineChars="200"/>
      </w:pPr>
      <w:r>
        <w:t>4、招标文件的澄清、答复、修改或补充都应该通过本代理机构以法定形式发布，招标人非通过本机构，不得擅自澄清、答复、修改或补充招标文件。</w:t>
      </w:r>
    </w:p>
    <w:p>
      <w:pPr>
        <w:pStyle w:val="67"/>
        <w:keepNext w:val="0"/>
        <w:keepLines w:val="0"/>
        <w:widowControl/>
        <w:spacing w:before="0" w:after="0" w:line="360" w:lineRule="auto"/>
        <w:ind w:firstLine="422" w:firstLineChars="200"/>
        <w:jc w:val="left"/>
        <w:outlineLvl w:val="2"/>
        <w:rPr>
          <w:rFonts w:hint="eastAsia" w:ascii="Times New Roman" w:hAnsi="Times New Roman"/>
          <w:kern w:val="0"/>
          <w:sz w:val="21"/>
          <w:szCs w:val="21"/>
        </w:rPr>
      </w:pPr>
      <w:r>
        <w:rPr>
          <w:rFonts w:ascii="Times New Roman" w:hAnsi="Times New Roman"/>
          <w:kern w:val="0"/>
          <w:sz w:val="21"/>
          <w:szCs w:val="21"/>
        </w:rPr>
        <w:t>八、投标文件的编制</w:t>
      </w:r>
    </w:p>
    <w:p>
      <w:pPr>
        <w:spacing w:line="360" w:lineRule="auto"/>
        <w:ind w:firstLine="420" w:firstLineChars="200"/>
        <w:jc w:val="left"/>
      </w:pPr>
      <w:r>
        <w:t>（一）投标文件的组成</w:t>
      </w:r>
    </w:p>
    <w:p>
      <w:pPr>
        <w:spacing w:line="360" w:lineRule="auto"/>
        <w:ind w:firstLine="420" w:firstLineChars="200"/>
        <w:jc w:val="left"/>
        <w:rPr>
          <w:rFonts w:hint="eastAsia" w:ascii="宋体" w:hAnsi="宋体" w:cs="宋体"/>
        </w:rPr>
      </w:pPr>
      <w:r>
        <w:rPr>
          <w:rFonts w:hint="eastAsia" w:ascii="宋体" w:hAnsi="宋体" w:cs="宋体"/>
        </w:rPr>
        <w:t>投标文件由资格审查文件、商务技术文件和报价文件三部分组成。</w:t>
      </w:r>
    </w:p>
    <w:p>
      <w:pPr>
        <w:snapToGrid w:val="0"/>
        <w:spacing w:line="360" w:lineRule="auto"/>
        <w:ind w:firstLine="411" w:firstLineChars="196"/>
        <w:jc w:val="left"/>
        <w:rPr>
          <w:rFonts w:hint="eastAsia" w:ascii="宋体" w:hAnsi="宋体" w:cs="宋体"/>
          <w:b/>
          <w:szCs w:val="21"/>
        </w:rPr>
      </w:pPr>
      <w:r>
        <w:rPr>
          <w:rFonts w:hint="eastAsia"/>
        </w:rPr>
        <w:sym w:font="Wingdings" w:char="F081"/>
      </w:r>
      <w:r>
        <w:rPr>
          <w:rFonts w:hint="eastAsia"/>
        </w:rPr>
        <w:t>资格审查文件</w:t>
      </w:r>
    </w:p>
    <w:p>
      <w:pPr>
        <w:spacing w:line="360" w:lineRule="auto"/>
        <w:ind w:firstLine="420" w:firstLineChars="200"/>
        <w:jc w:val="left"/>
        <w:rPr>
          <w:rFonts w:hint="eastAsia" w:ascii="宋体" w:hAnsi="宋体" w:cs="宋体"/>
          <w:szCs w:val="21"/>
        </w:rPr>
      </w:pPr>
      <w:r>
        <w:rPr>
          <w:rFonts w:hint="eastAsia" w:ascii="宋体" w:hAnsi="宋体" w:cs="宋体"/>
          <w:szCs w:val="21"/>
          <w:lang w:bidi="ar"/>
        </w:rPr>
        <w:t>1、资格证明文件：</w:t>
      </w:r>
    </w:p>
    <w:p>
      <w:pPr>
        <w:spacing w:line="360" w:lineRule="auto"/>
        <w:ind w:firstLine="420" w:firstLineChars="200"/>
        <w:jc w:val="left"/>
        <w:rPr>
          <w:rFonts w:hint="eastAsia" w:ascii="宋体" w:hAnsi="宋体" w:cs="宋体"/>
          <w:szCs w:val="21"/>
        </w:rPr>
      </w:pPr>
      <w:r>
        <w:rPr>
          <w:rFonts w:hint="eastAsia" w:ascii="宋体" w:hAnsi="宋体" w:cs="宋体"/>
          <w:szCs w:val="21"/>
          <w:lang w:bidi="ar"/>
        </w:rPr>
        <w:t>1.1、资格条件自查表（格式见附件）</w:t>
      </w:r>
    </w:p>
    <w:p>
      <w:pPr>
        <w:spacing w:line="360" w:lineRule="auto"/>
        <w:ind w:firstLine="420" w:firstLineChars="200"/>
        <w:jc w:val="left"/>
        <w:rPr>
          <w:rFonts w:hint="eastAsia" w:ascii="宋体" w:hAnsi="宋体" w:cs="宋体"/>
          <w:szCs w:val="21"/>
        </w:rPr>
      </w:pPr>
      <w:r>
        <w:rPr>
          <w:rFonts w:hint="eastAsia" w:ascii="宋体" w:hAnsi="宋体" w:cs="宋体"/>
          <w:szCs w:val="21"/>
          <w:lang w:bidi="ar"/>
        </w:rPr>
        <w:t>1.2、</w:t>
      </w:r>
      <w:r>
        <w:rPr>
          <w:rFonts w:hint="eastAsia"/>
        </w:rPr>
        <w:t>投标人营业执照（或事业法人登记证）、其他组织（个体工商户）的营业执照或者民办非企业单位登记证书复印件、</w:t>
      </w:r>
      <w:r>
        <w:rPr>
          <w:rFonts w:hint="eastAsia" w:ascii="宋体" w:hAnsi="宋体" w:cs="宋体"/>
          <w:lang w:bidi="ar"/>
        </w:rPr>
        <w:t>提供光纤网络资源情况说明加盖供应商公章、【分支机构投标的，还须提供总公司（总机构）授权书原件加盖供应商公章或房产权证复印件加盖供应商公章或其他有效财产证明材料复印件加盖供应商公章】</w:t>
      </w:r>
      <w:r>
        <w:rPr>
          <w:rFonts w:hint="eastAsia"/>
        </w:rPr>
        <w:t>；</w:t>
      </w:r>
    </w:p>
    <w:p>
      <w:pPr>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1.3、投标人的2018年12月份财务报表复印件，如投标人新成立不足一年，提供银行出具的资信证明材料复印件；</w:t>
      </w:r>
    </w:p>
    <w:p>
      <w:pPr>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1.4、</w:t>
      </w:r>
      <w:r>
        <w:rPr>
          <w:rFonts w:hint="eastAsia"/>
        </w:rPr>
        <w:t>距开标前三个月中任一个月开具的缴纳税收的凭据证明材料复印件；如依法免税的，应提供相应文件证明其依法免税；</w:t>
      </w:r>
    </w:p>
    <w:p>
      <w:pPr>
        <w:spacing w:line="360" w:lineRule="auto"/>
        <w:ind w:firstLine="420" w:firstLineChars="200"/>
        <w:jc w:val="left"/>
        <w:rPr>
          <w:rFonts w:hint="eastAsia"/>
        </w:rPr>
      </w:pPr>
      <w:r>
        <w:rPr>
          <w:rFonts w:hint="eastAsia" w:ascii="宋体" w:hAnsi="宋体" w:cs="宋体"/>
          <w:szCs w:val="21"/>
          <w:lang w:bidi="ar"/>
        </w:rPr>
        <w:t>1.5、</w:t>
      </w:r>
      <w:r>
        <w:rPr>
          <w:rFonts w:hint="eastAsia"/>
        </w:rPr>
        <w:t>距开标前三个月中任一个月开具的缴纳社会保险的凭据证明材料复印件；如依法不需要缴纳社会保障资金的，应提供相应文件证明其依法不需要缴纳社会保障资金；</w:t>
      </w:r>
    </w:p>
    <w:p>
      <w:pPr>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1.6、</w:t>
      </w:r>
      <w:r>
        <w:rPr>
          <w:rFonts w:ascii="宋体" w:hAnsi="宋体"/>
          <w:szCs w:val="21"/>
        </w:rPr>
        <w:t>投标保证金缴纳凭证（银行汇单或者代理机构开具的收款收据</w:t>
      </w:r>
      <w:r>
        <w:rPr>
          <w:rFonts w:hint="eastAsia" w:ascii="宋体" w:hAnsi="宋体"/>
          <w:szCs w:val="21"/>
        </w:rPr>
        <w:t>；格式自拟，投标文件中附满足招标文件规定的</w:t>
      </w:r>
      <w:r>
        <w:rPr>
          <w:rFonts w:ascii="宋体" w:hAnsi="宋体"/>
          <w:szCs w:val="21"/>
        </w:rPr>
        <w:t>投标保证金缴纳凭证</w:t>
      </w:r>
      <w:r>
        <w:rPr>
          <w:rFonts w:hint="eastAsia" w:ascii="宋体" w:hAnsi="宋体"/>
          <w:szCs w:val="21"/>
        </w:rPr>
        <w:t>资料复印件</w:t>
      </w:r>
      <w:r>
        <w:rPr>
          <w:rFonts w:ascii="宋体" w:hAnsi="宋体"/>
          <w:szCs w:val="21"/>
        </w:rPr>
        <w:t>）</w:t>
      </w:r>
    </w:p>
    <w:p>
      <w:pPr>
        <w:spacing w:line="360" w:lineRule="auto"/>
        <w:ind w:firstLine="420" w:firstLineChars="200"/>
        <w:jc w:val="left"/>
        <w:rPr>
          <w:rFonts w:hint="eastAsia" w:ascii="Arial" w:hAnsi="Arial" w:cs="宋体"/>
        </w:rPr>
      </w:pPr>
      <w:r>
        <w:rPr>
          <w:rFonts w:hint="eastAsia" w:ascii="宋体" w:hAnsi="宋体" w:cs="宋体"/>
          <w:szCs w:val="21"/>
          <w:lang w:bidi="ar"/>
        </w:rPr>
        <w:t>1.7、</w:t>
      </w:r>
      <w:r>
        <w:rPr>
          <w:rFonts w:hint="eastAsia" w:ascii="Arial" w:hAnsi="Arial" w:cs="宋体"/>
        </w:rPr>
        <w:t>书面声明</w:t>
      </w:r>
      <w:r>
        <w:rPr>
          <w:rFonts w:hint="eastAsia" w:ascii="宋体" w:hAnsi="宋体" w:cs="宋体"/>
          <w:szCs w:val="21"/>
          <w:lang w:bidi="ar"/>
        </w:rPr>
        <w:t>（格式见附件）</w:t>
      </w:r>
      <w:r>
        <w:rPr>
          <w:rFonts w:hint="eastAsia" w:ascii="Arial" w:hAnsi="Arial" w:cs="宋体"/>
        </w:rPr>
        <w:t>；</w:t>
      </w:r>
    </w:p>
    <w:p>
      <w:pPr>
        <w:snapToGrid w:val="0"/>
        <w:spacing w:line="360" w:lineRule="auto"/>
        <w:jc w:val="left"/>
        <w:rPr>
          <w:rFonts w:hint="eastAsia" w:ascii="宋体" w:hAnsi="宋体" w:cs="宋体"/>
          <w:b/>
          <w:szCs w:val="21"/>
        </w:rPr>
      </w:pPr>
    </w:p>
    <w:p>
      <w:pPr>
        <w:snapToGrid w:val="0"/>
        <w:spacing w:line="360" w:lineRule="auto"/>
        <w:ind w:firstLine="411" w:firstLineChars="196"/>
        <w:jc w:val="left"/>
        <w:rPr>
          <w:rFonts w:hint="eastAsia"/>
        </w:rPr>
      </w:pPr>
      <w:r>
        <w:rPr>
          <w:rFonts w:hint="eastAsia"/>
        </w:rPr>
        <w:sym w:font="Wingdings" w:char="0082"/>
      </w:r>
      <w:r>
        <w:rPr>
          <w:rFonts w:hint="eastAsia"/>
        </w:rPr>
        <w:t>商务技术文件：</w:t>
      </w:r>
    </w:p>
    <w:p>
      <w:pPr>
        <w:spacing w:line="360" w:lineRule="auto"/>
        <w:ind w:firstLine="420" w:firstLineChars="200"/>
        <w:jc w:val="left"/>
        <w:rPr>
          <w:rFonts w:hint="eastAsia" w:ascii="宋体" w:hAnsi="宋体" w:cs="宋体"/>
          <w:lang w:bidi="ar"/>
        </w:rPr>
      </w:pPr>
      <w:r>
        <w:rPr>
          <w:rFonts w:hint="eastAsia" w:ascii="宋体" w:hAnsi="宋体" w:cs="宋体"/>
          <w:szCs w:val="21"/>
          <w:lang w:bidi="ar"/>
        </w:rPr>
        <w:t>1、</w:t>
      </w:r>
      <w:r>
        <w:rPr>
          <w:rFonts w:hint="eastAsia" w:ascii="宋体" w:hAnsi="宋体" w:cs="宋体"/>
          <w:lang w:bidi="ar"/>
        </w:rPr>
        <w:t>项目投标人响应表（</w:t>
      </w:r>
      <w:r>
        <w:rPr>
          <w:rFonts w:hint="eastAsia" w:ascii="宋体" w:hAnsi="宋体" w:cs="宋体"/>
          <w:szCs w:val="21"/>
          <w:lang w:bidi="ar"/>
        </w:rPr>
        <w:t>格式见附件</w:t>
      </w:r>
      <w:r>
        <w:rPr>
          <w:rFonts w:hint="eastAsia" w:ascii="宋体" w:hAnsi="宋体" w:cs="宋体"/>
          <w:lang w:bidi="ar"/>
        </w:rPr>
        <w:t>）；</w:t>
      </w:r>
    </w:p>
    <w:p>
      <w:pPr>
        <w:spacing w:line="360" w:lineRule="auto"/>
        <w:ind w:firstLine="420" w:firstLineChars="200"/>
        <w:jc w:val="left"/>
        <w:rPr>
          <w:rFonts w:hint="eastAsia" w:ascii="宋体" w:hAnsi="宋体" w:cs="宋体"/>
          <w:lang w:bidi="ar"/>
        </w:rPr>
      </w:pPr>
      <w:r>
        <w:rPr>
          <w:rFonts w:hint="eastAsia" w:ascii="宋体" w:hAnsi="宋体" w:cs="宋体"/>
          <w:bCs/>
          <w:szCs w:val="21"/>
          <w:lang w:bidi="ar"/>
        </w:rPr>
        <w:t>2、</w:t>
      </w:r>
      <w:r>
        <w:rPr>
          <w:rFonts w:hint="eastAsia" w:ascii="宋体" w:hAnsi="宋体" w:cs="宋体"/>
          <w:lang w:bidi="ar"/>
        </w:rPr>
        <w:t>符合性自查表（</w:t>
      </w:r>
      <w:r>
        <w:rPr>
          <w:rFonts w:hint="eastAsia" w:ascii="宋体" w:hAnsi="宋体" w:cs="宋体"/>
          <w:szCs w:val="21"/>
          <w:lang w:bidi="ar"/>
        </w:rPr>
        <w:t>格式见附件</w:t>
      </w:r>
      <w:r>
        <w:rPr>
          <w:rFonts w:hint="eastAsia" w:ascii="宋体" w:hAnsi="宋体" w:cs="宋体"/>
          <w:lang w:bidi="ar"/>
        </w:rPr>
        <w:t>）；</w:t>
      </w:r>
    </w:p>
    <w:p>
      <w:pPr>
        <w:spacing w:line="360" w:lineRule="auto"/>
        <w:ind w:firstLine="420" w:firstLineChars="200"/>
        <w:jc w:val="left"/>
        <w:rPr>
          <w:rFonts w:hint="eastAsia" w:ascii="宋体" w:hAnsi="宋体" w:cs="宋体"/>
          <w:szCs w:val="21"/>
        </w:rPr>
      </w:pPr>
      <w:r>
        <w:rPr>
          <w:rFonts w:hint="eastAsia" w:ascii="宋体" w:hAnsi="宋体" w:cs="宋体"/>
          <w:lang w:bidi="ar"/>
        </w:rPr>
        <w:t>3、</w:t>
      </w:r>
      <w:r>
        <w:rPr>
          <w:rFonts w:hint="eastAsia" w:ascii="宋体" w:hAnsi="宋体" w:cs="宋体"/>
          <w:szCs w:val="21"/>
          <w:lang w:bidi="ar"/>
        </w:rPr>
        <w:t>投标供应商一般情况（格式见附件）</w:t>
      </w:r>
      <w:r>
        <w:rPr>
          <w:rFonts w:hint="eastAsia" w:ascii="宋体" w:hAnsi="宋体" w:cs="宋体"/>
          <w:lang w:bidi="ar"/>
        </w:rPr>
        <w:t>；</w:t>
      </w:r>
    </w:p>
    <w:p>
      <w:pPr>
        <w:pStyle w:val="20"/>
        <w:spacing w:line="360" w:lineRule="auto"/>
        <w:ind w:firstLine="420" w:firstLineChars="200"/>
        <w:rPr>
          <w:rFonts w:hint="eastAsia" w:ascii="宋体" w:hAnsi="宋体" w:cs="宋体"/>
        </w:rPr>
      </w:pPr>
      <w:r>
        <w:rPr>
          <w:rFonts w:hint="eastAsia" w:ascii="宋体" w:hAnsi="宋体" w:cs="宋体"/>
          <w:lang w:bidi="ar"/>
        </w:rPr>
        <w:t>4、法定代表人</w:t>
      </w:r>
      <w:r>
        <w:rPr>
          <w:rFonts w:hint="eastAsia"/>
        </w:rPr>
        <w:t>（或企业负责人）</w:t>
      </w:r>
      <w:r>
        <w:rPr>
          <w:rFonts w:hint="eastAsia" w:ascii="宋体" w:hAnsi="宋体" w:cs="宋体"/>
          <w:lang w:bidi="ar"/>
        </w:rPr>
        <w:t>身份证明或法定代表人</w:t>
      </w:r>
      <w:r>
        <w:rPr>
          <w:rFonts w:hint="eastAsia"/>
        </w:rPr>
        <w:t>（或企业负责人）</w:t>
      </w:r>
      <w:r>
        <w:rPr>
          <w:rFonts w:hint="eastAsia" w:ascii="宋体" w:hAnsi="宋体" w:cs="宋体"/>
          <w:lang w:bidi="ar"/>
        </w:rPr>
        <w:t>授权书和被授权代表身份证复印件（投标人代表为法定代表人</w:t>
      </w:r>
      <w:r>
        <w:rPr>
          <w:rFonts w:hint="eastAsia"/>
        </w:rPr>
        <w:t>（或企业负责人）</w:t>
      </w:r>
      <w:r>
        <w:rPr>
          <w:rFonts w:hint="eastAsia" w:ascii="宋体" w:hAnsi="宋体" w:cs="宋体"/>
          <w:lang w:bidi="ar"/>
        </w:rPr>
        <w:t>的提供法定代表人</w:t>
      </w:r>
      <w:r>
        <w:rPr>
          <w:rFonts w:hint="eastAsia"/>
        </w:rPr>
        <w:t>（或企业负责人）</w:t>
      </w:r>
      <w:r>
        <w:rPr>
          <w:rFonts w:hint="eastAsia" w:ascii="宋体" w:hAnsi="宋体" w:cs="宋体"/>
          <w:lang w:bidi="ar"/>
        </w:rPr>
        <w:t>身份证明，投标人的代表若为非法定代表人</w:t>
      </w:r>
      <w:r>
        <w:rPr>
          <w:rFonts w:hint="eastAsia"/>
        </w:rPr>
        <w:t>（或企业负责人）</w:t>
      </w:r>
      <w:r>
        <w:rPr>
          <w:rFonts w:hint="eastAsia" w:ascii="宋体" w:hAnsi="宋体" w:cs="宋体"/>
          <w:lang w:bidi="ar"/>
        </w:rPr>
        <w:t>的，须提交法定代表人</w:t>
      </w:r>
      <w:r>
        <w:rPr>
          <w:rFonts w:hint="eastAsia"/>
        </w:rPr>
        <w:t>（或企业负责人）</w:t>
      </w:r>
      <w:r>
        <w:rPr>
          <w:rFonts w:hint="eastAsia" w:ascii="宋体" w:hAnsi="宋体" w:cs="宋体"/>
          <w:lang w:bidi="ar"/>
        </w:rPr>
        <w:t>授权书及被授权代表在开标前三个月中任一个月的养老保险缴纳证明资料）（格式见附件）；</w:t>
      </w:r>
    </w:p>
    <w:p>
      <w:pPr>
        <w:spacing w:line="360" w:lineRule="auto"/>
        <w:ind w:firstLine="420" w:firstLineChars="200"/>
        <w:rPr>
          <w:rFonts w:hint="eastAsia" w:ascii="宋体" w:hAnsi="宋体" w:cs="宋体"/>
          <w:lang w:bidi="ar"/>
        </w:rPr>
      </w:pPr>
      <w:r>
        <w:rPr>
          <w:rFonts w:hint="eastAsia" w:ascii="宋体" w:hAnsi="宋体" w:cs="宋体"/>
          <w:lang w:bidi="ar"/>
        </w:rPr>
        <w:t>5、商务条款响应表（格式见附件）；</w:t>
      </w:r>
    </w:p>
    <w:p>
      <w:pPr>
        <w:spacing w:line="360" w:lineRule="auto"/>
        <w:ind w:firstLine="420" w:firstLineChars="200"/>
        <w:rPr>
          <w:rFonts w:hint="eastAsia" w:ascii="宋体" w:hAnsi="宋体" w:cs="宋体"/>
          <w:lang w:bidi="ar"/>
        </w:rPr>
      </w:pPr>
      <w:r>
        <w:rPr>
          <w:rFonts w:hint="eastAsia" w:ascii="宋体" w:hAnsi="宋体" w:cs="宋体"/>
          <w:lang w:bidi="ar"/>
        </w:rPr>
        <w:t>6、</w:t>
      </w:r>
      <w:r>
        <w:rPr>
          <w:rFonts w:hint="eastAsia" w:ascii="宋体" w:hAnsi="宋体"/>
          <w:szCs w:val="21"/>
        </w:rPr>
        <w:t>技术条款响应表</w:t>
      </w:r>
      <w:r>
        <w:rPr>
          <w:rFonts w:hint="eastAsia" w:ascii="宋体" w:hAnsi="宋体" w:cs="宋体"/>
          <w:lang w:bidi="ar"/>
        </w:rPr>
        <w:t>（格式见附件）；</w:t>
      </w:r>
    </w:p>
    <w:p>
      <w:pPr>
        <w:spacing w:line="360" w:lineRule="auto"/>
        <w:ind w:firstLine="420" w:firstLineChars="200"/>
        <w:rPr>
          <w:rFonts w:hint="eastAsia" w:ascii="宋体" w:hAnsi="宋体" w:cs="宋体"/>
          <w:lang w:bidi="ar"/>
        </w:rPr>
      </w:pPr>
      <w:r>
        <w:rPr>
          <w:rFonts w:hint="eastAsia" w:ascii="宋体" w:hAnsi="宋体" w:cs="宋体"/>
          <w:lang w:bidi="ar"/>
        </w:rPr>
        <w:t>7、项目总体设计方案；</w:t>
      </w:r>
    </w:p>
    <w:p>
      <w:pPr>
        <w:spacing w:line="360" w:lineRule="auto"/>
        <w:ind w:firstLine="420" w:firstLineChars="200"/>
        <w:rPr>
          <w:rFonts w:hint="eastAsia" w:ascii="宋体" w:hAnsi="宋体" w:cs="宋体"/>
          <w:lang w:bidi="ar"/>
        </w:rPr>
      </w:pPr>
      <w:r>
        <w:rPr>
          <w:rFonts w:ascii="宋体" w:hAnsi="宋体" w:cs="宋体"/>
          <w:lang w:bidi="ar"/>
        </w:rPr>
        <w:t>8、</w:t>
      </w:r>
      <w:r>
        <w:rPr>
          <w:rFonts w:hint="eastAsia" w:ascii="宋体" w:hAnsi="宋体" w:cs="宋体"/>
          <w:lang w:bidi="ar"/>
        </w:rPr>
        <w:t>整个系统的体系架构、技术架构、功能架构设计，</w:t>
      </w:r>
      <w:r>
        <w:rPr>
          <w:rFonts w:hint="eastAsia" w:ascii="宋体" w:hAnsi="宋体"/>
          <w:szCs w:val="21"/>
        </w:rPr>
        <w:t>系统的整体布设，系统的拓扑图细化设计</w:t>
      </w:r>
      <w:r>
        <w:rPr>
          <w:rFonts w:hint="eastAsia" w:ascii="宋体" w:hAnsi="宋体" w:cs="宋体"/>
          <w:lang w:bidi="ar"/>
        </w:rPr>
        <w:t>；</w:t>
      </w:r>
    </w:p>
    <w:p>
      <w:pPr>
        <w:spacing w:line="360" w:lineRule="auto"/>
        <w:ind w:firstLine="420" w:firstLineChars="200"/>
        <w:rPr>
          <w:rFonts w:hint="eastAsia" w:ascii="宋体" w:hAnsi="宋体" w:cs="宋体"/>
          <w:lang w:bidi="ar"/>
        </w:rPr>
      </w:pPr>
      <w:r>
        <w:rPr>
          <w:rFonts w:ascii="宋体" w:hAnsi="宋体" w:cs="宋体"/>
          <w:lang w:bidi="ar"/>
        </w:rPr>
        <w:t>9、</w:t>
      </w:r>
      <w:r>
        <w:rPr>
          <w:rFonts w:hint="eastAsia" w:ascii="宋体" w:hAnsi="宋体" w:cs="宋体"/>
          <w:lang w:bidi="ar"/>
        </w:rPr>
        <w:t>难点及关键点应对方案；</w:t>
      </w:r>
    </w:p>
    <w:p>
      <w:pPr>
        <w:spacing w:line="360" w:lineRule="auto"/>
        <w:ind w:firstLine="420" w:firstLineChars="200"/>
        <w:rPr>
          <w:rFonts w:hint="eastAsia" w:ascii="宋体" w:hAnsi="宋体" w:cs="宋体"/>
          <w:lang w:bidi="ar"/>
        </w:rPr>
      </w:pPr>
      <w:r>
        <w:rPr>
          <w:rFonts w:ascii="宋体" w:hAnsi="宋体" w:cs="宋体"/>
          <w:lang w:bidi="ar"/>
        </w:rPr>
        <w:t>10</w:t>
      </w:r>
      <w:r>
        <w:rPr>
          <w:rFonts w:hint="eastAsia" w:ascii="宋体" w:hAnsi="宋体" w:cs="宋体"/>
          <w:lang w:bidi="ar"/>
        </w:rPr>
        <w:t>、二期网络传输方案与一期监控网络架构、市级天网工程中心平台对接方案、充分利用原有网络，减少重复投资实施方案；</w:t>
      </w:r>
    </w:p>
    <w:p>
      <w:pPr>
        <w:spacing w:line="360" w:lineRule="auto"/>
        <w:ind w:firstLine="420" w:firstLineChars="200"/>
        <w:rPr>
          <w:rFonts w:hint="eastAsia" w:ascii="宋体" w:hAnsi="宋体"/>
          <w:bCs/>
          <w:szCs w:val="21"/>
        </w:rPr>
      </w:pPr>
      <w:r>
        <w:rPr>
          <w:rFonts w:ascii="宋体" w:hAnsi="宋体"/>
          <w:bCs/>
          <w:szCs w:val="21"/>
        </w:rPr>
        <w:t>1</w:t>
      </w:r>
      <w:r>
        <w:rPr>
          <w:rFonts w:hint="eastAsia" w:ascii="宋体" w:hAnsi="宋体"/>
          <w:bCs/>
          <w:szCs w:val="21"/>
        </w:rPr>
        <w:t>1</w:t>
      </w:r>
      <w:r>
        <w:rPr>
          <w:rFonts w:ascii="宋体" w:hAnsi="宋体"/>
          <w:bCs/>
          <w:szCs w:val="21"/>
        </w:rPr>
        <w:t>、</w:t>
      </w:r>
      <w:r>
        <w:rPr>
          <w:rFonts w:hint="eastAsia" w:ascii="宋体" w:hAnsi="宋体"/>
          <w:bCs/>
          <w:szCs w:val="21"/>
        </w:rPr>
        <w:t>数据安全管理方案；</w:t>
      </w:r>
    </w:p>
    <w:p>
      <w:pPr>
        <w:spacing w:line="360" w:lineRule="auto"/>
        <w:ind w:firstLine="420" w:firstLineChars="200"/>
        <w:rPr>
          <w:rFonts w:ascii="宋体" w:hAnsi="宋体"/>
          <w:bCs/>
          <w:szCs w:val="21"/>
        </w:rPr>
      </w:pPr>
      <w:r>
        <w:rPr>
          <w:rFonts w:hint="eastAsia" w:ascii="宋体" w:hAnsi="宋体"/>
          <w:bCs/>
          <w:szCs w:val="21"/>
        </w:rPr>
        <w:t>12、系统的应急方案；</w:t>
      </w:r>
    </w:p>
    <w:p>
      <w:pPr>
        <w:spacing w:line="360" w:lineRule="auto"/>
        <w:ind w:firstLine="420" w:firstLineChars="200"/>
        <w:rPr>
          <w:rFonts w:hint="eastAsia" w:ascii="宋体" w:hAnsi="宋体"/>
          <w:bCs/>
          <w:szCs w:val="21"/>
        </w:rPr>
      </w:pPr>
      <w:r>
        <w:rPr>
          <w:rFonts w:hint="eastAsia" w:ascii="宋体" w:hAnsi="宋体" w:cs="宋体"/>
          <w:lang w:bidi="ar"/>
        </w:rPr>
        <w:t>13、</w:t>
      </w:r>
      <w:r>
        <w:rPr>
          <w:rFonts w:hint="eastAsia" w:ascii="宋体" w:hAnsi="宋体" w:cs="宋体"/>
          <w:szCs w:val="21"/>
        </w:rPr>
        <w:t>施工方案（包含但不限于施工方案、设备集成方案、系统调试及验收方案、质量控制措施、安全施工、文明施工及环保施工控制措施等内容）</w:t>
      </w:r>
      <w:r>
        <w:rPr>
          <w:rFonts w:hint="eastAsia" w:ascii="宋体" w:hAnsi="宋体"/>
          <w:bCs/>
          <w:szCs w:val="21"/>
        </w:rPr>
        <w:t>；</w:t>
      </w:r>
    </w:p>
    <w:p>
      <w:pPr>
        <w:spacing w:line="360" w:lineRule="auto"/>
        <w:ind w:firstLine="420" w:firstLineChars="200"/>
        <w:rPr>
          <w:rFonts w:hint="eastAsia" w:ascii="宋体" w:hAnsi="宋体"/>
          <w:bCs/>
          <w:szCs w:val="21"/>
        </w:rPr>
      </w:pPr>
      <w:r>
        <w:rPr>
          <w:rFonts w:hint="eastAsia" w:ascii="宋体" w:hAnsi="宋体"/>
          <w:bCs/>
          <w:szCs w:val="21"/>
        </w:rPr>
        <w:t>14、进度计划及工期保证措施、项目质量及保证措施；</w:t>
      </w:r>
    </w:p>
    <w:p>
      <w:pPr>
        <w:spacing w:line="360" w:lineRule="auto"/>
        <w:ind w:firstLine="420" w:firstLineChars="200"/>
        <w:rPr>
          <w:rFonts w:hint="eastAsia" w:ascii="宋体" w:hAnsi="宋体"/>
          <w:bCs/>
          <w:szCs w:val="21"/>
        </w:rPr>
      </w:pPr>
      <w:r>
        <w:rPr>
          <w:rFonts w:hint="eastAsia" w:ascii="宋体" w:hAnsi="宋体"/>
          <w:bCs/>
          <w:szCs w:val="21"/>
        </w:rPr>
        <w:t>15、针对本项目提供的其他优惠承诺、服务措施和合理化建议；</w:t>
      </w:r>
    </w:p>
    <w:p>
      <w:pPr>
        <w:spacing w:line="360" w:lineRule="auto"/>
        <w:ind w:firstLine="420" w:firstLineChars="200"/>
        <w:rPr>
          <w:rFonts w:hint="eastAsia" w:ascii="宋体" w:hAnsi="宋体"/>
          <w:bCs/>
          <w:szCs w:val="21"/>
        </w:rPr>
      </w:pPr>
      <w:r>
        <w:rPr>
          <w:rFonts w:hint="eastAsia" w:ascii="宋体" w:hAnsi="宋体"/>
          <w:bCs/>
          <w:szCs w:val="21"/>
        </w:rPr>
        <w:t>16、项目负责人资质介绍；</w:t>
      </w:r>
    </w:p>
    <w:p>
      <w:pPr>
        <w:spacing w:line="360" w:lineRule="auto"/>
        <w:ind w:firstLine="420" w:firstLineChars="200"/>
        <w:rPr>
          <w:rFonts w:ascii="宋体" w:hAnsi="宋体"/>
          <w:bCs/>
          <w:szCs w:val="21"/>
        </w:rPr>
      </w:pPr>
      <w:r>
        <w:rPr>
          <w:rFonts w:hint="eastAsia" w:ascii="宋体" w:hAnsi="宋体"/>
          <w:bCs/>
          <w:szCs w:val="21"/>
        </w:rPr>
        <w:t>17、公司资质介绍；</w:t>
      </w:r>
    </w:p>
    <w:p>
      <w:pPr>
        <w:spacing w:line="360" w:lineRule="auto"/>
        <w:ind w:firstLine="420" w:firstLineChars="200"/>
        <w:rPr>
          <w:rFonts w:hint="eastAsia" w:ascii="宋体" w:hAnsi="宋体" w:cs="宋体"/>
          <w:lang w:bidi="ar"/>
        </w:rPr>
      </w:pPr>
      <w:r>
        <w:rPr>
          <w:rFonts w:hint="eastAsia" w:ascii="宋体" w:hAnsi="宋体" w:cs="宋体"/>
          <w:lang w:bidi="ar"/>
        </w:rPr>
        <w:t>18、</w:t>
      </w:r>
      <w:r>
        <w:rPr>
          <w:rFonts w:hint="eastAsia" w:ascii="宋体" w:hAnsi="宋体"/>
          <w:bCs/>
          <w:szCs w:val="21"/>
        </w:rPr>
        <w:t>类似招标项目案例</w:t>
      </w:r>
      <w:r>
        <w:rPr>
          <w:rFonts w:hint="eastAsia" w:ascii="宋体" w:hAnsi="宋体" w:cs="宋体"/>
          <w:lang w:bidi="ar"/>
        </w:rPr>
        <w:t>（格式见附件）；</w:t>
      </w:r>
    </w:p>
    <w:p>
      <w:pPr>
        <w:spacing w:line="360" w:lineRule="auto"/>
        <w:ind w:firstLine="420" w:firstLineChars="200"/>
        <w:rPr>
          <w:rFonts w:ascii="宋体" w:hAnsi="宋体" w:cs="宋体"/>
          <w:lang w:bidi="ar"/>
        </w:rPr>
      </w:pPr>
      <w:r>
        <w:rPr>
          <w:rFonts w:hint="eastAsia" w:ascii="宋体" w:hAnsi="宋体" w:cs="宋体"/>
          <w:lang w:bidi="ar"/>
        </w:rPr>
        <w:t>19、售后服务方案；</w:t>
      </w:r>
    </w:p>
    <w:p>
      <w:pPr>
        <w:spacing w:line="360" w:lineRule="auto"/>
        <w:ind w:firstLine="420" w:firstLineChars="200"/>
        <w:rPr>
          <w:rFonts w:hint="eastAsia" w:ascii="宋体" w:hAnsi="宋体" w:cs="宋体"/>
          <w:lang w:bidi="ar"/>
        </w:rPr>
      </w:pPr>
      <w:r>
        <w:rPr>
          <w:rFonts w:hint="eastAsia" w:ascii="宋体" w:hAnsi="宋体" w:cs="宋体"/>
          <w:lang w:bidi="ar"/>
        </w:rPr>
        <w:t>20、</w:t>
      </w:r>
      <w:r>
        <w:rPr>
          <w:rFonts w:hint="eastAsia" w:ascii="宋体" w:hAnsi="宋体" w:cs="宋体"/>
          <w:lang w:val="zh-CN" w:bidi="ar"/>
        </w:rPr>
        <w:t>其它本招标文件要求提供的技术商务部分材料。</w:t>
      </w:r>
    </w:p>
    <w:p>
      <w:pPr>
        <w:spacing w:line="360" w:lineRule="auto"/>
        <w:ind w:firstLine="420" w:firstLineChars="200"/>
        <w:rPr>
          <w:rFonts w:hint="eastAsia" w:ascii="宋体" w:hAnsi="宋体" w:cs="宋体"/>
          <w:lang w:bidi="ar"/>
        </w:rPr>
      </w:pPr>
      <w:r>
        <w:rPr>
          <w:rFonts w:hint="eastAsia" w:ascii="宋体" w:hAnsi="宋体" w:cs="宋体"/>
          <w:lang w:bidi="ar"/>
        </w:rPr>
        <w:sym w:font="Wingdings" w:char="F083"/>
      </w:r>
      <w:r>
        <w:rPr>
          <w:rFonts w:hint="eastAsia" w:ascii="宋体" w:hAnsi="宋体" w:cs="宋体"/>
          <w:lang w:bidi="ar"/>
        </w:rPr>
        <w:t>报价文件</w:t>
      </w:r>
    </w:p>
    <w:p>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cs="宋体"/>
        </w:rPr>
        <w:t>投标书</w:t>
      </w:r>
      <w:r>
        <w:rPr>
          <w:rFonts w:hint="eastAsia" w:ascii="宋体" w:hAnsi="宋体" w:cs="宋体"/>
          <w:szCs w:val="21"/>
        </w:rPr>
        <w:t>（格式见附件）；</w:t>
      </w:r>
    </w:p>
    <w:p>
      <w:pPr>
        <w:spacing w:line="360" w:lineRule="auto"/>
        <w:ind w:firstLine="420" w:firstLineChars="200"/>
        <w:jc w:val="left"/>
        <w:rPr>
          <w:rFonts w:hint="eastAsia" w:ascii="宋体" w:hAnsi="宋体" w:cs="宋体"/>
          <w:szCs w:val="21"/>
        </w:rPr>
      </w:pPr>
      <w:r>
        <w:rPr>
          <w:rFonts w:hint="eastAsia" w:ascii="宋体" w:hAnsi="宋体" w:cs="宋体"/>
          <w:szCs w:val="21"/>
        </w:rPr>
        <w:t>2、开标一览表（格式见附件）；</w:t>
      </w:r>
    </w:p>
    <w:p>
      <w:pPr>
        <w:spacing w:line="360" w:lineRule="auto"/>
        <w:ind w:firstLine="420" w:firstLineChars="200"/>
        <w:jc w:val="left"/>
        <w:rPr>
          <w:rFonts w:hint="eastAsia" w:ascii="宋体" w:hAnsi="宋体"/>
          <w:szCs w:val="21"/>
        </w:rPr>
      </w:pPr>
      <w:r>
        <w:rPr>
          <w:rFonts w:hint="eastAsia" w:ascii="宋体" w:hAnsi="宋体" w:cs="宋体"/>
          <w:szCs w:val="21"/>
        </w:rPr>
        <w:t>3、投标报价明细表（格式见附件）；</w:t>
      </w:r>
    </w:p>
    <w:p>
      <w:pPr>
        <w:spacing w:line="360" w:lineRule="auto"/>
        <w:ind w:firstLine="420" w:firstLineChars="200"/>
        <w:jc w:val="left"/>
        <w:rPr>
          <w:rFonts w:hint="eastAsia" w:ascii="宋体" w:hAnsi="宋体" w:cs="宋体"/>
          <w:szCs w:val="21"/>
        </w:rPr>
      </w:pPr>
      <w:r>
        <w:rPr>
          <w:rFonts w:hint="eastAsia" w:ascii="宋体" w:hAnsi="宋体"/>
          <w:szCs w:val="21"/>
        </w:rPr>
        <w:t>4、</w:t>
      </w:r>
      <w:r>
        <w:rPr>
          <w:rFonts w:hint="eastAsia" w:ascii="宋体" w:hAnsi="宋体" w:cs="宋体"/>
          <w:szCs w:val="21"/>
        </w:rPr>
        <w:t>中小企业声明函（格式见附件）</w:t>
      </w:r>
    </w:p>
    <w:p>
      <w:pPr>
        <w:spacing w:line="360" w:lineRule="auto"/>
        <w:ind w:firstLine="420" w:firstLineChars="200"/>
        <w:jc w:val="left"/>
        <w:rPr>
          <w:rFonts w:hint="eastAsia" w:ascii="宋体" w:hAnsi="宋体" w:cs="宋体"/>
          <w:szCs w:val="21"/>
        </w:rPr>
      </w:pPr>
      <w:r>
        <w:rPr>
          <w:rFonts w:hint="eastAsia" w:ascii="宋体" w:hAnsi="宋体" w:cs="宋体"/>
          <w:szCs w:val="21"/>
        </w:rPr>
        <w:t>5、残疾人福利性单位声明函（格式见附件，如是请提供）</w:t>
      </w:r>
    </w:p>
    <w:p>
      <w:pPr>
        <w:spacing w:line="360" w:lineRule="auto"/>
        <w:ind w:firstLine="420" w:firstLineChars="200"/>
        <w:jc w:val="left"/>
        <w:rPr>
          <w:rFonts w:hint="eastAsia" w:ascii="宋体" w:hAnsi="宋体" w:cs="宋体"/>
          <w:szCs w:val="21"/>
        </w:rPr>
      </w:pPr>
      <w:r>
        <w:rPr>
          <w:rFonts w:hint="eastAsia" w:ascii="宋体" w:hAnsi="宋体" w:cs="宋体"/>
          <w:szCs w:val="21"/>
        </w:rPr>
        <w:t>6、其它本招标文件要求提供的报价部分材料。</w:t>
      </w:r>
    </w:p>
    <w:p>
      <w:pPr>
        <w:spacing w:line="440" w:lineRule="exact"/>
        <w:rPr>
          <w:b/>
          <w:bCs/>
          <w:iCs/>
          <w:sz w:val="24"/>
        </w:rPr>
      </w:pPr>
      <w:r>
        <w:rPr>
          <w:b/>
          <w:bCs/>
          <w:iCs/>
          <w:sz w:val="24"/>
        </w:rPr>
        <w:t>注：投标文件至少包含以上内容，招标文件提供格式的需参照提供的格式编制，未提供格式的格式自拟，投标单位应结合评标办法的相关评分内容补充完善投标文件的内容。</w:t>
      </w:r>
    </w:p>
    <w:p>
      <w:pPr>
        <w:spacing w:line="360" w:lineRule="auto"/>
        <w:ind w:firstLine="420" w:firstLineChars="200"/>
        <w:jc w:val="left"/>
      </w:pPr>
      <w:r>
        <w:t>（二）投标文件的语言及计量</w:t>
      </w:r>
    </w:p>
    <w:p>
      <w:pPr>
        <w:spacing w:line="440" w:lineRule="exact"/>
        <w:ind w:firstLine="420" w:firstLineChars="200"/>
      </w:pPr>
      <w:r>
        <w:t>1、投标文件以及投标方与招标方就有关投标事宜的所有来往函电，均应以中文汉语书写。除签名、盖章、专用名称等特殊情形外，以中文汉语以外的文字表述的投标文件视同未提供。</w:t>
      </w:r>
    </w:p>
    <w:p>
      <w:pPr>
        <w:spacing w:line="440" w:lineRule="exact"/>
        <w:ind w:firstLine="420" w:firstLineChars="200"/>
      </w:pPr>
      <w:r>
        <w:t>2、投标计量单位，招标文件已有明确规定的，使用招标文件规定的计量单位；招标文件没有规定的，应采用中华人民共和国法定计量单位（货币单位：人民币元），否则视同未响应。</w:t>
      </w:r>
    </w:p>
    <w:p>
      <w:pPr>
        <w:spacing w:line="360" w:lineRule="auto"/>
        <w:ind w:firstLine="420" w:firstLineChars="200"/>
        <w:jc w:val="left"/>
      </w:pPr>
      <w:r>
        <w:t>（三）投标报价</w:t>
      </w:r>
    </w:p>
    <w:p>
      <w:pPr>
        <w:spacing w:line="440" w:lineRule="exact"/>
        <w:ind w:firstLine="420" w:firstLineChars="200"/>
      </w:pPr>
      <w:r>
        <w:t>1、投标报价应按招标文件中相关附表格式填写。</w:t>
      </w:r>
    </w:p>
    <w:p>
      <w:pPr>
        <w:spacing w:line="440" w:lineRule="exact"/>
        <w:ind w:firstLine="420" w:firstLineChars="200"/>
        <w:rPr>
          <w:rFonts w:hint="eastAsia"/>
        </w:rPr>
      </w:pPr>
      <w:r>
        <w:t>2、</w:t>
      </w:r>
      <w:r>
        <w:rPr>
          <w:rFonts w:hint="eastAsia"/>
        </w:rPr>
        <w:t>投标报价为本项目招标文件约定的全部报价范围和项目内容的总费用。招标清单中投标人没有填入单价或价格的子目，其费用视为已分摊在招标清单中其他相关子目的单价或价格之中。承包人必须按招标人指令完成招标清单中未填人单价或价格的子目，但不能得到结算与支付。</w:t>
      </w:r>
      <w:r>
        <w:rPr>
          <w:rFonts w:hint="eastAsia" w:ascii="宋体" w:hAnsi="宋体"/>
        </w:rPr>
        <w:t>符合合同条款规定的全部费用应认为已被计入有标价的</w:t>
      </w:r>
      <w:r>
        <w:rPr>
          <w:rFonts w:hint="eastAsia"/>
        </w:rPr>
        <w:t>招标清单</w:t>
      </w:r>
      <w:r>
        <w:rPr>
          <w:rFonts w:hint="eastAsia" w:ascii="宋体" w:hAnsi="宋体"/>
        </w:rPr>
        <w:t>所列各子目之中，未列子目不予计量的工作，其费用应视为已分摊在本合同的有关子目的单价或总额价之中。</w:t>
      </w:r>
    </w:p>
    <w:p>
      <w:pPr>
        <w:spacing w:line="440" w:lineRule="exact"/>
        <w:ind w:firstLine="420" w:firstLineChars="200"/>
      </w:pPr>
      <w:r>
        <w:t>3、投标文件只允许有一个报价，有选择的或有条件的报价将不予接受。</w:t>
      </w:r>
    </w:p>
    <w:p>
      <w:pPr>
        <w:spacing w:line="360" w:lineRule="auto"/>
        <w:ind w:firstLine="420" w:firstLineChars="200"/>
        <w:jc w:val="left"/>
      </w:pPr>
      <w:r>
        <w:t>（四）投标文件的有效期</w:t>
      </w:r>
    </w:p>
    <w:p>
      <w:pPr>
        <w:spacing w:line="440" w:lineRule="exact"/>
        <w:ind w:firstLine="550" w:firstLineChars="250"/>
      </w:pPr>
      <w:r>
        <w:rPr>
          <w:rFonts w:hint="eastAsia" w:ascii="宋体" w:hAnsi="宋体" w:cs="宋体"/>
          <w:kern w:val="0"/>
          <w:sz w:val="22"/>
          <w:szCs w:val="22"/>
        </w:rPr>
        <w:t>▲</w:t>
      </w:r>
      <w:r>
        <w:t>1、自投标截止日起</w:t>
      </w:r>
      <w:r>
        <w:rPr>
          <w:u w:val="single"/>
        </w:rPr>
        <w:t>60</w:t>
      </w:r>
      <w:r>
        <w:t>天投标文件应保持有效。有效期不足的投标文件将被拒绝。</w:t>
      </w:r>
    </w:p>
    <w:p>
      <w:pPr>
        <w:spacing w:line="440" w:lineRule="exact"/>
        <w:ind w:firstLine="525" w:firstLineChars="250"/>
      </w:pPr>
      <w:r>
        <w:t>2、在特殊情况下，招标人可与投标人协商延长投标书的有效期，这种要求和答复均以书面形式进行。</w:t>
      </w:r>
    </w:p>
    <w:p>
      <w:pPr>
        <w:spacing w:line="440" w:lineRule="exact"/>
        <w:ind w:firstLine="525" w:firstLineChars="250"/>
      </w:pPr>
      <w:r>
        <w:t>3、投标人可拒绝接受延期要求而不会导致投标保证金被没收。同意延长有效期的投标人需要相应延长投标保证金的有效期，但不能修改投标文件。</w:t>
      </w:r>
    </w:p>
    <w:p>
      <w:pPr>
        <w:spacing w:line="440" w:lineRule="exact"/>
        <w:ind w:firstLine="525" w:firstLineChars="250"/>
      </w:pPr>
      <w:r>
        <w:t>4、中标人的投标文件自开标之日起至合同履行完毕均应保持有效。</w:t>
      </w:r>
    </w:p>
    <w:p>
      <w:pPr>
        <w:spacing w:line="360" w:lineRule="auto"/>
        <w:ind w:firstLine="420" w:firstLineChars="200"/>
        <w:jc w:val="left"/>
      </w:pPr>
      <w:r>
        <w:t>（五）投标保证金</w:t>
      </w:r>
    </w:p>
    <w:p>
      <w:pPr>
        <w:spacing w:line="440" w:lineRule="exact"/>
        <w:ind w:firstLine="316" w:firstLineChars="150"/>
      </w:pPr>
      <w:r>
        <w:rPr>
          <w:b/>
        </w:rPr>
        <w:t>▲</w:t>
      </w:r>
      <w:r>
        <w:t>1、投标人须按规定提交投标保证金。否则，其投标将被拒绝。</w:t>
      </w:r>
    </w:p>
    <w:p>
      <w:pPr>
        <w:spacing w:line="440" w:lineRule="exact"/>
        <w:ind w:firstLine="525" w:firstLineChars="250"/>
      </w:pPr>
      <w:r>
        <w:t>2、若一次投多个标项，只需交纳一个标项的投标保证金（按所需保证金最大额的标准交纳为准）。</w:t>
      </w:r>
    </w:p>
    <w:p>
      <w:pPr>
        <w:spacing w:line="440" w:lineRule="exact"/>
        <w:ind w:firstLine="525" w:firstLineChars="250"/>
      </w:pPr>
      <w:r>
        <w:t>3、保证金缴纳形式：投标人的保证金缴纳必须从投标企业工商注册所在地的基本账户中划转，不得缴纳现金。从他人账户、投标人企业的其他账户缴纳的投标保证金无效。</w:t>
      </w:r>
    </w:p>
    <w:p>
      <w:pPr>
        <w:spacing w:line="440" w:lineRule="exact"/>
        <w:ind w:firstLine="525" w:firstLineChars="250"/>
      </w:pPr>
      <w:r>
        <w:t>4、未中标人的投标保证金在中标通知书发出后5个工作日内退还。</w:t>
      </w:r>
    </w:p>
    <w:p>
      <w:pPr>
        <w:spacing w:line="440" w:lineRule="exact"/>
        <w:ind w:firstLine="525" w:firstLineChars="250"/>
      </w:pPr>
      <w:r>
        <w:t>5、中标人的投标保证金在合同签订后5个工作日内凭与招标人签订的合同原件退还。</w:t>
      </w:r>
    </w:p>
    <w:p>
      <w:pPr>
        <w:spacing w:line="440" w:lineRule="exact"/>
        <w:ind w:firstLine="525" w:firstLineChars="250"/>
      </w:pPr>
      <w:r>
        <w:t>6、保证金不计息。</w:t>
      </w:r>
    </w:p>
    <w:p>
      <w:pPr>
        <w:spacing w:line="440" w:lineRule="exact"/>
        <w:ind w:firstLine="525" w:firstLineChars="250"/>
      </w:pPr>
      <w:r>
        <w:t>7、为使投标人的投标保证金能在开标前及时到帐，不影响投标活动，请按投标人须知前附表的规定时间交纳。投标单位在投标保证金缴纳后，</w:t>
      </w:r>
      <w:r>
        <w:rPr>
          <w:rFonts w:hint="eastAsia"/>
        </w:rPr>
        <w:t>如需</w:t>
      </w:r>
      <w:r>
        <w:t>收据可到招标代理公司财务处开具投标保证金收款收据。</w:t>
      </w:r>
    </w:p>
    <w:p>
      <w:pPr>
        <w:spacing w:line="440" w:lineRule="exact"/>
        <w:ind w:firstLine="525" w:firstLineChars="250"/>
      </w:pPr>
      <w:r>
        <w:t>8、投标人有下列情形之一的，投标保证金将不予退还：</w:t>
      </w:r>
    </w:p>
    <w:p>
      <w:pPr>
        <w:spacing w:line="440" w:lineRule="exact"/>
        <w:ind w:firstLine="420" w:firstLineChars="200"/>
      </w:pPr>
      <w:r>
        <w:t>（1）投标人在投标有效期内撤回投标文件的；</w:t>
      </w:r>
    </w:p>
    <w:p>
      <w:pPr>
        <w:spacing w:line="440" w:lineRule="exact"/>
        <w:ind w:firstLine="420" w:firstLineChars="200"/>
      </w:pPr>
      <w:r>
        <w:t>（2）投标人在投标过程中弄虚作假，提供虚假材料的；</w:t>
      </w:r>
    </w:p>
    <w:p>
      <w:pPr>
        <w:spacing w:line="440" w:lineRule="exact"/>
        <w:ind w:firstLine="420" w:firstLineChars="200"/>
      </w:pPr>
      <w:r>
        <w:t>（3）中标人无正当理由不与招标人签订合同的；</w:t>
      </w:r>
    </w:p>
    <w:p>
      <w:pPr>
        <w:spacing w:line="440" w:lineRule="exact"/>
        <w:ind w:firstLine="420" w:firstLineChars="200"/>
      </w:pPr>
      <w:r>
        <w:t>（4）其他严重扰乱招投标程序的。</w:t>
      </w:r>
    </w:p>
    <w:p>
      <w:pPr>
        <w:spacing w:line="360" w:lineRule="auto"/>
        <w:ind w:firstLine="420" w:firstLineChars="200"/>
        <w:jc w:val="left"/>
      </w:pPr>
      <w:r>
        <w:t>（六）投标文件的签署和份数</w:t>
      </w:r>
    </w:p>
    <w:p>
      <w:pPr>
        <w:spacing w:line="440" w:lineRule="exact"/>
        <w:ind w:firstLine="525" w:firstLineChars="250"/>
      </w:pPr>
      <w:r>
        <w:t>1、投标人应按本招标文件规定的格式和顺序编制、装订投标文件并标注页码，投标文件内容不完整、编排混乱导致投标文件被误读、漏读或者查找不到相关内容的，是投标人的责任。</w:t>
      </w:r>
    </w:p>
    <w:p>
      <w:pPr>
        <w:spacing w:line="360" w:lineRule="auto"/>
        <w:ind w:firstLine="525" w:firstLineChars="250"/>
        <w:jc w:val="left"/>
      </w:pPr>
      <w:r>
        <w:t>2、投标人应按投标须知前附表规定的份数要求制作投标文件，并分别装订成册，封面应注明“正本”、“副本”字样。</w:t>
      </w:r>
    </w:p>
    <w:p>
      <w:pPr>
        <w:spacing w:line="440" w:lineRule="exact"/>
        <w:ind w:firstLine="525" w:firstLineChars="250"/>
      </w:pPr>
      <w:r>
        <w:t>3、投标文件的正本需打印或用不褪色的墨水填写，投标文件正本除本《投标人须知》中规定的可提供复印件外均须提供原件。</w:t>
      </w:r>
      <w:r>
        <w:rPr>
          <w:b/>
          <w:bCs/>
        </w:rPr>
        <w:t>副本可为正本的复印件。</w:t>
      </w:r>
    </w:p>
    <w:p>
      <w:pPr>
        <w:spacing w:line="440" w:lineRule="exact"/>
        <w:ind w:firstLine="525" w:firstLineChars="250"/>
      </w:pPr>
      <w:r>
        <w:t>4、投标文件须由投标人在规定位置盖公章并由法定代表人（或企业负责人）或法定代表人（或企业负责人）的授权委托人签署，投标人应写全称。</w:t>
      </w:r>
    </w:p>
    <w:p>
      <w:pPr>
        <w:spacing w:line="440" w:lineRule="exact"/>
        <w:ind w:firstLine="525" w:firstLineChars="250"/>
      </w:pPr>
      <w:r>
        <w:t>5、投标文件不得涂改，若有修改错漏处，须加盖单位公章或者法定代表人（或企业负责人）或授权委托人签字或盖章。投标文件因字迹潦草或表达不清所引起的后果由投标人负责。</w:t>
      </w:r>
    </w:p>
    <w:p>
      <w:pPr>
        <w:spacing w:line="360" w:lineRule="auto"/>
        <w:ind w:firstLine="420" w:firstLineChars="200"/>
        <w:jc w:val="left"/>
      </w:pPr>
      <w:r>
        <w:t>（七）投标文件的包装、递交、修改和撤回</w:t>
      </w:r>
    </w:p>
    <w:p>
      <w:pPr>
        <w:spacing w:line="440" w:lineRule="exact"/>
        <w:ind w:firstLine="420" w:firstLineChars="200"/>
        <w:rPr>
          <w:b/>
          <w:bCs/>
        </w:rPr>
      </w:pPr>
      <w:r>
        <w:t>1、投标人应将投标文件密封包装，包装封面上应注明“投标项目名称、招标编号、投标单位名称”字样，并在包装封口处加盖投标人公章。</w:t>
      </w:r>
    </w:p>
    <w:p>
      <w:pPr>
        <w:spacing w:line="440" w:lineRule="exact"/>
        <w:ind w:firstLine="420" w:firstLineChars="200"/>
      </w:pPr>
      <w:r>
        <w:t>2、投标人应在规定的投标截止时间前递交投标文件。</w:t>
      </w:r>
    </w:p>
    <w:p>
      <w:pPr>
        <w:spacing w:line="440" w:lineRule="exact"/>
        <w:ind w:firstLine="420" w:firstLineChars="200"/>
      </w:pPr>
      <w:r>
        <w:t>3、未按规定密封或标记的投标文件将被拒绝，由此造成投标文件被误投或提前拆封的风险由投标人承担。</w:t>
      </w:r>
    </w:p>
    <w:p>
      <w:pPr>
        <w:spacing w:line="440" w:lineRule="exact"/>
        <w:ind w:firstLine="420" w:firstLineChars="200"/>
      </w:pPr>
      <w:r>
        <w:t>4、投标人在投标截止时间之前，可以对已提交的投标文件进行修改或撤回，并书面通知招标代理机构；投标截止时间后，投标人不得撤回、修改投标文件。修改后重新递交的投标文件应当按本招标文件的要求签署、盖章和密封。</w:t>
      </w:r>
    </w:p>
    <w:p>
      <w:pPr>
        <w:spacing w:line="360" w:lineRule="auto"/>
        <w:ind w:firstLine="420" w:firstLineChars="200"/>
        <w:jc w:val="left"/>
      </w:pPr>
      <w:r>
        <w:t>（八）投标无效的情形</w:t>
      </w:r>
    </w:p>
    <w:p>
      <w:pPr>
        <w:spacing w:line="440" w:lineRule="exact"/>
        <w:ind w:firstLine="420" w:firstLineChars="200"/>
      </w:pPr>
      <w:r>
        <w:t>实质上没有响应招标文件要求的投标将被视为无效投标。投标人不得通过修正或撤消不合要求的偏离或保留从而使其投标成为实质上响应的投标。</w:t>
      </w:r>
    </w:p>
    <w:p>
      <w:pPr>
        <w:spacing w:line="440" w:lineRule="exact"/>
        <w:ind w:firstLine="420" w:firstLineChars="200"/>
      </w:pPr>
      <w:r>
        <w:t>1、投标文件出现下列情形之一的，被认为初审不合格的,为无效投标文件，不得进入评标：</w:t>
      </w:r>
    </w:p>
    <w:p>
      <w:pPr>
        <w:spacing w:line="440" w:lineRule="exact"/>
        <w:ind w:firstLine="420" w:firstLineChars="200"/>
        <w:rPr>
          <w:rFonts w:hint="eastAsia"/>
        </w:rPr>
      </w:pPr>
      <w:r>
        <w:rPr>
          <w:rFonts w:hint="eastAsia"/>
        </w:rPr>
        <w:t>（1）未按照招标文件的规定提交投标保证金的；</w:t>
      </w:r>
    </w:p>
    <w:p>
      <w:pPr>
        <w:spacing w:line="440" w:lineRule="exact"/>
        <w:ind w:firstLine="420" w:firstLineChars="200"/>
        <w:rPr>
          <w:rFonts w:hint="eastAsia"/>
        </w:rPr>
      </w:pPr>
      <w:r>
        <w:rPr>
          <w:rFonts w:hint="eastAsia"/>
        </w:rPr>
        <w:t>（2）投标文件应盖公章而未盖公章或盖非公司公章、未装订、未密封、未有效授权（如有授权）、未提供开标一览表的、投标函、法定代表人（或企业负责人）授权书（如有）等填写不完整的；</w:t>
      </w:r>
    </w:p>
    <w:p>
      <w:pPr>
        <w:spacing w:line="440" w:lineRule="exact"/>
        <w:ind w:firstLine="420" w:firstLineChars="200"/>
        <w:rPr>
          <w:rFonts w:hint="eastAsia"/>
        </w:rPr>
      </w:pPr>
      <w:r>
        <w:rPr>
          <w:rFonts w:hint="eastAsia"/>
        </w:rPr>
        <w:t>（3）不具备招标文件中规定的资格要求的；</w:t>
      </w:r>
    </w:p>
    <w:p>
      <w:pPr>
        <w:spacing w:line="440" w:lineRule="exact"/>
        <w:ind w:firstLine="420" w:firstLineChars="200"/>
        <w:rPr>
          <w:rFonts w:hint="eastAsia"/>
        </w:rPr>
      </w:pPr>
      <w:r>
        <w:rPr>
          <w:rFonts w:hint="eastAsia"/>
        </w:rPr>
        <w:t>（4）报价超过招标文件中规定的预算金额或者最高限价的；</w:t>
      </w:r>
    </w:p>
    <w:p>
      <w:pPr>
        <w:spacing w:line="440" w:lineRule="exact"/>
        <w:ind w:firstLine="420" w:firstLineChars="200"/>
        <w:rPr>
          <w:rFonts w:hint="eastAsia"/>
        </w:rPr>
      </w:pPr>
      <w:r>
        <w:rPr>
          <w:rFonts w:hint="eastAsia"/>
        </w:rPr>
        <w:t>（5）投标文件含有采购人不能接受的附加条件的；</w:t>
      </w:r>
    </w:p>
    <w:p>
      <w:pPr>
        <w:spacing w:line="440" w:lineRule="exact"/>
        <w:ind w:firstLine="420" w:firstLineChars="200"/>
        <w:rPr>
          <w:rFonts w:hint="eastAsia"/>
        </w:rPr>
      </w:pPr>
      <w:r>
        <w:rPr>
          <w:rFonts w:hint="eastAsia"/>
        </w:rPr>
        <w:t>（6）法律、法规和招标文件规定的其他无效情形；</w:t>
      </w:r>
    </w:p>
    <w:p>
      <w:pPr>
        <w:spacing w:line="440" w:lineRule="exact"/>
        <w:ind w:firstLine="420" w:firstLineChars="200"/>
        <w:rPr>
          <w:rFonts w:hint="eastAsia"/>
        </w:rPr>
      </w:pPr>
      <w:r>
        <w:rPr>
          <w:rFonts w:hint="eastAsia"/>
        </w:rPr>
        <w:t>（7）投标人应当遵循公平竞争的原则，不得恶意串通，不得妨碍其他投标人的竞争行为，不得损害采购人或者其他投标人的合法权益。</w:t>
      </w:r>
    </w:p>
    <w:p>
      <w:pPr>
        <w:spacing w:line="440" w:lineRule="exact"/>
        <w:ind w:firstLine="420" w:firstLineChars="200"/>
      </w:pPr>
      <w:r>
        <w:t>2、投标文件有下述情形之一的，属于重大偏差，视为未能对招标文件做出实质性的响应，作无效标处理。</w:t>
      </w:r>
    </w:p>
    <w:p>
      <w:pPr>
        <w:spacing w:line="440" w:lineRule="exact"/>
        <w:ind w:firstLine="420" w:firstLineChars="200"/>
      </w:pPr>
      <w:r>
        <w:t>（1）投标有效期、交货时间、质保期等条款不能满足招标文件要求的；</w:t>
      </w:r>
    </w:p>
    <w:p>
      <w:pPr>
        <w:spacing w:line="440" w:lineRule="exact"/>
        <w:ind w:firstLine="420" w:firstLineChars="200"/>
      </w:pPr>
      <w:r>
        <w:t>（2）带“</w:t>
      </w:r>
      <w:r>
        <w:rPr>
          <w:b/>
        </w:rPr>
        <w:t>▲</w:t>
      </w:r>
      <w:r>
        <w:t>”的款项不能满足招标文件要求的；</w:t>
      </w:r>
    </w:p>
    <w:p>
      <w:pPr>
        <w:spacing w:line="440" w:lineRule="exact"/>
        <w:ind w:firstLine="420" w:firstLineChars="200"/>
      </w:pPr>
      <w:r>
        <w:t>（3）投标文件附有招标人不能接受的条件；</w:t>
      </w:r>
    </w:p>
    <w:p>
      <w:pPr>
        <w:spacing w:line="440" w:lineRule="exact"/>
        <w:ind w:firstLine="420" w:firstLineChars="200"/>
      </w:pPr>
      <w:r>
        <w:t>（4）经评标委员会评审技术方案不可行的；</w:t>
      </w:r>
    </w:p>
    <w:p>
      <w:pPr>
        <w:spacing w:line="440" w:lineRule="exact"/>
        <w:ind w:firstLine="420" w:firstLineChars="200"/>
        <w:rPr>
          <w:rFonts w:hint="eastAsia"/>
        </w:rPr>
      </w:pPr>
      <w:r>
        <w:t>（5）</w:t>
      </w:r>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20" w:firstLineChars="200"/>
        <w:rPr>
          <w:rFonts w:hint="eastAsia"/>
        </w:rPr>
      </w:pPr>
      <w:r>
        <w:rPr>
          <w:rFonts w:hint="eastAsia"/>
        </w:rPr>
        <w:t>3、有下列情形之一的，视为投标人串通投标，其投标无效：</w:t>
      </w:r>
    </w:p>
    <w:p>
      <w:pPr>
        <w:spacing w:line="440" w:lineRule="exact"/>
        <w:ind w:firstLine="420" w:firstLineChars="200"/>
        <w:rPr>
          <w:rFonts w:hint="eastAsia"/>
        </w:rPr>
      </w:pPr>
      <w:r>
        <w:rPr>
          <w:rFonts w:hint="eastAsia"/>
        </w:rPr>
        <w:t>（1）不同投标人的投标文件由同一单位或者个人编制；</w:t>
      </w:r>
    </w:p>
    <w:p>
      <w:pPr>
        <w:spacing w:line="440" w:lineRule="exact"/>
        <w:ind w:firstLine="420" w:firstLineChars="200"/>
        <w:rPr>
          <w:rFonts w:hint="eastAsia"/>
        </w:rPr>
      </w:pPr>
      <w:r>
        <w:t>（</w:t>
      </w:r>
      <w:r>
        <w:rPr>
          <w:rFonts w:hint="eastAsia"/>
        </w:rPr>
        <w:t>2</w:t>
      </w:r>
      <w:r>
        <w:t>）</w:t>
      </w:r>
      <w:r>
        <w:rPr>
          <w:rFonts w:hint="eastAsia"/>
        </w:rPr>
        <w:t>不同投标人委托同一单位或者个人办理投标事宜；</w:t>
      </w:r>
    </w:p>
    <w:p>
      <w:pPr>
        <w:spacing w:line="440" w:lineRule="exact"/>
        <w:ind w:firstLine="420" w:firstLineChars="200"/>
        <w:rPr>
          <w:rFonts w:hint="eastAsia"/>
        </w:rPr>
      </w:pPr>
      <w:r>
        <w:rPr>
          <w:rFonts w:hint="eastAsia"/>
        </w:rPr>
        <w:t>（3）不同投标人的投标文件载明的项目管理成员或者联系人员为同一人；</w:t>
      </w:r>
    </w:p>
    <w:p>
      <w:pPr>
        <w:spacing w:line="440" w:lineRule="exact"/>
        <w:ind w:firstLine="420" w:firstLineChars="200"/>
        <w:rPr>
          <w:rFonts w:hint="eastAsia"/>
        </w:rPr>
      </w:pPr>
      <w:r>
        <w:rPr>
          <w:rFonts w:hint="eastAsia"/>
        </w:rPr>
        <w:t>（4）不同投标人的投标文件异常一致或者投标报价呈规律性差异；</w:t>
      </w:r>
    </w:p>
    <w:p>
      <w:pPr>
        <w:spacing w:line="440" w:lineRule="exact"/>
        <w:ind w:firstLine="420" w:firstLineChars="200"/>
        <w:rPr>
          <w:rFonts w:hint="eastAsia"/>
        </w:rPr>
      </w:pPr>
      <w:r>
        <w:rPr>
          <w:rFonts w:hint="eastAsia"/>
        </w:rPr>
        <w:t>（5）不同投标人的投标文件相互混装；</w:t>
      </w:r>
    </w:p>
    <w:p>
      <w:pPr>
        <w:spacing w:line="440" w:lineRule="exact"/>
        <w:ind w:firstLine="420" w:firstLineChars="200"/>
        <w:rPr>
          <w:rFonts w:hint="eastAsia"/>
        </w:rPr>
      </w:pPr>
      <w:r>
        <w:rPr>
          <w:rFonts w:hint="eastAsia"/>
        </w:rPr>
        <w:t>（6）不同投标人的投标保证金从同一单位或者个人的账户转出。</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九、开标</w:t>
      </w:r>
    </w:p>
    <w:p>
      <w:pPr>
        <w:spacing w:line="440" w:lineRule="exact"/>
        <w:ind w:firstLine="420" w:firstLineChars="200"/>
      </w:pPr>
      <w:r>
        <w:t>1、招标代理机构将在规定的时间和地点进行开标，投标人的法定代表人（或企业负责人）或其授权代表应参加开标会并签到。投标人的法定代表人（或企业负责人）或其授权代表未按时签到的，视同放弃开标监督权利、认可开标结果。</w:t>
      </w:r>
    </w:p>
    <w:p>
      <w:pPr>
        <w:spacing w:line="440" w:lineRule="exact"/>
        <w:ind w:firstLine="420" w:firstLineChars="200"/>
      </w:pPr>
      <w:r>
        <w:t>2、</w:t>
      </w:r>
      <w:r>
        <w:rPr>
          <w:rFonts w:hint="eastAsia"/>
        </w:rPr>
        <w:t>开标时，由投标人代表检查各投标文件的密封情况，确认无误后，工作人员当众拆封。先开启资格审查文件和商务技术文件，清点投标文件正本、副本数量，符合招标文件要求的送评标室评审；不符合要求的当场退还投标人，并由投标人代表签字确认。资格审查文件和商务技术文件评审结束后，主持人宣告资格审查文件和商务技术文件评审无效供应商名称及理由，无效供应商代表在评标结束后可收回未拆封的报价文件并签字确认；公布资格审查和商务技术评审符合采购需求的供应商名单并公布商务技术得分情况后再开启报价文件并进行唱标，唱标内容为投标文件正本中“开标一览表”内容并作记录。</w:t>
      </w:r>
    </w:p>
    <w:p>
      <w:pPr>
        <w:spacing w:line="420" w:lineRule="exact"/>
        <w:ind w:firstLine="420" w:firstLineChars="200"/>
      </w:pPr>
      <w:r>
        <w:t>3、确认无异议后，开标会结束。</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十、评标</w:t>
      </w:r>
    </w:p>
    <w:p>
      <w:pPr>
        <w:spacing w:line="420" w:lineRule="exact"/>
        <w:ind w:firstLine="420" w:firstLineChars="200"/>
      </w:pPr>
      <w:r>
        <w:t>1、评标委员会由专家和招标人代表组成。评标委员会以公平、公正、客观的评标原则，不带任何倾向性和启发性；不得向外界透露任何与评标有关的内容；任何单位和个人不得干扰、影响评标的正常进行；评标委员会及有关工作人员不得私下与投标人接触。投标人在评标过程中所进行的试图影响评标结果的不公正活动，可能导致其投标被拒绝。</w:t>
      </w:r>
    </w:p>
    <w:p>
      <w:pPr>
        <w:spacing w:line="420" w:lineRule="exact"/>
        <w:ind w:firstLine="420" w:firstLineChars="200"/>
      </w:pPr>
      <w:r>
        <w:t>2、实质审查与比较</w:t>
      </w:r>
    </w:p>
    <w:p>
      <w:pPr>
        <w:spacing w:line="420" w:lineRule="exact"/>
        <w:ind w:firstLine="420" w:firstLineChars="200"/>
      </w:pPr>
      <w:r>
        <w:t>（1）评标委员会审查投标文件的实质性内容是否符合招标文件的实质性要求。</w:t>
      </w:r>
    </w:p>
    <w:p>
      <w:pPr>
        <w:spacing w:line="420" w:lineRule="exact"/>
        <w:ind w:firstLine="420" w:firstLineChars="200"/>
      </w:pPr>
      <w:r>
        <w:t>（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pPr>
        <w:spacing w:line="420" w:lineRule="exact"/>
        <w:ind w:firstLine="420" w:firstLineChars="200"/>
      </w:pPr>
      <w:r>
        <w:t>（3）各投标方的技术部分得分为所有评委有效评分的算术平均数，由指定专人进行计算复核。</w:t>
      </w:r>
    </w:p>
    <w:p>
      <w:pPr>
        <w:spacing w:line="420" w:lineRule="exact"/>
        <w:ind w:firstLine="420" w:firstLineChars="200"/>
      </w:pPr>
      <w:r>
        <w:t>（4）代理机构工作人员协助评标委员会根据本项目的评分标准计算各投标人的报价得分。</w:t>
      </w:r>
    </w:p>
    <w:p>
      <w:pPr>
        <w:spacing w:line="420" w:lineRule="exact"/>
        <w:ind w:firstLine="420" w:firstLineChars="200"/>
      </w:pPr>
      <w:r>
        <w:t>（5）评标委员会完成评标后,评委对各部分得分汇总,计算出本项目最终得分。评标委员会按评标原则推荐中标候选人同时起草评标报告。</w:t>
      </w:r>
    </w:p>
    <w:p>
      <w:pPr>
        <w:spacing w:line="420" w:lineRule="exact"/>
        <w:ind w:firstLine="420" w:firstLineChars="200"/>
      </w:pPr>
      <w:r>
        <w:t>3、澄清问题的形式</w:t>
      </w:r>
    </w:p>
    <w:p>
      <w:pPr>
        <w:spacing w:line="420" w:lineRule="exact"/>
        <w:ind w:firstLine="420" w:firstLineChars="200"/>
      </w:pPr>
      <w: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spacing w:line="420" w:lineRule="exact"/>
        <w:ind w:firstLine="420" w:firstLineChars="200"/>
      </w:pPr>
      <w:r>
        <w:t>4、错误修正</w:t>
      </w:r>
    </w:p>
    <w:p>
      <w:pPr>
        <w:spacing w:line="420" w:lineRule="exact"/>
        <w:ind w:firstLine="420" w:firstLineChars="200"/>
      </w:pPr>
      <w:r>
        <w:t>投标文件如果出现计算或表达上的错误，修正错误的原则如下：</w:t>
      </w:r>
    </w:p>
    <w:p>
      <w:pPr>
        <w:spacing w:line="420" w:lineRule="exact"/>
        <w:ind w:firstLine="420" w:firstLineChars="200"/>
      </w:pPr>
      <w:r>
        <w:t>1、开标一览表总价与投标报价明细表汇总数不一致的，</w:t>
      </w:r>
      <w:r>
        <w:rPr>
          <w:kern w:val="0"/>
        </w:rPr>
        <w:t>以开标一览表为准；</w:t>
      </w:r>
    </w:p>
    <w:p>
      <w:pPr>
        <w:spacing w:line="420" w:lineRule="exact"/>
        <w:ind w:firstLine="420" w:firstLineChars="200"/>
      </w:pPr>
      <w:r>
        <w:t>2、投标文件的大写金额和小写金额不一致的，以大写金额为准；</w:t>
      </w:r>
    </w:p>
    <w:p>
      <w:pPr>
        <w:spacing w:line="420" w:lineRule="exact"/>
        <w:ind w:firstLine="420" w:firstLineChars="200"/>
        <w:rPr>
          <w:rFonts w:hint="eastAsia"/>
        </w:rPr>
      </w:pPr>
      <w:r>
        <w:t>3、</w:t>
      </w:r>
      <w:r>
        <w:rPr>
          <w:rFonts w:hint="eastAsia"/>
        </w:rPr>
        <w:t>单价金额小数点或者百分比有明显错位的，以开标一览表的总价为准，并修改单价；</w:t>
      </w:r>
    </w:p>
    <w:p>
      <w:pPr>
        <w:spacing w:line="420" w:lineRule="exact"/>
        <w:ind w:firstLine="420" w:firstLineChars="200"/>
      </w:pPr>
      <w:r>
        <w:t>4、总价金额与按单价汇总金额不一致的，以</w:t>
      </w:r>
      <w:r>
        <w:rPr>
          <w:rFonts w:hint="eastAsia"/>
        </w:rPr>
        <w:t>单价</w:t>
      </w:r>
      <w:r>
        <w:t>金额</w:t>
      </w:r>
      <w:r>
        <w:rPr>
          <w:rFonts w:hint="eastAsia"/>
        </w:rPr>
        <w:t>计算为准</w:t>
      </w:r>
      <w:r>
        <w:t>；</w:t>
      </w:r>
    </w:p>
    <w:p>
      <w:pPr>
        <w:spacing w:line="420" w:lineRule="exact"/>
        <w:ind w:firstLine="420" w:firstLineChars="200"/>
      </w:pPr>
      <w:r>
        <w:rPr>
          <w:rFonts w:hint="eastAsia"/>
        </w:rPr>
        <w:t>5、</w:t>
      </w:r>
      <w:r>
        <w:t>对不同文字文本投标文件的解释发生异议的，以中文文本为准。</w:t>
      </w:r>
    </w:p>
    <w:p>
      <w:pPr>
        <w:spacing w:line="420" w:lineRule="exact"/>
        <w:ind w:firstLine="420" w:firstLineChars="200"/>
      </w:pPr>
      <w: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十一、定标</w:t>
      </w:r>
    </w:p>
    <w:p>
      <w:pPr>
        <w:spacing w:line="420" w:lineRule="exact"/>
        <w:ind w:firstLine="420" w:firstLineChars="200"/>
      </w:pPr>
      <w: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67"/>
        <w:keepNext w:val="0"/>
        <w:keepLines w:val="0"/>
        <w:widowControl/>
        <w:spacing w:before="0" w:after="0" w:line="360" w:lineRule="auto"/>
        <w:ind w:firstLine="422" w:firstLineChars="200"/>
        <w:jc w:val="left"/>
        <w:outlineLvl w:val="2"/>
        <w:rPr>
          <w:rFonts w:ascii="Times New Roman" w:hAnsi="Times New Roman"/>
          <w:kern w:val="0"/>
          <w:sz w:val="21"/>
          <w:szCs w:val="21"/>
        </w:rPr>
      </w:pPr>
      <w:r>
        <w:rPr>
          <w:rFonts w:ascii="Times New Roman" w:hAnsi="Times New Roman"/>
          <w:kern w:val="0"/>
          <w:sz w:val="21"/>
          <w:szCs w:val="21"/>
        </w:rPr>
        <w:t>十二、合同授予</w:t>
      </w:r>
    </w:p>
    <w:p>
      <w:pPr>
        <w:spacing w:line="440" w:lineRule="exact"/>
        <w:ind w:firstLine="420" w:firstLineChars="200"/>
      </w:pPr>
      <w:r>
        <w:t>1、评标结束后，招标代理机构将在</w:t>
      </w:r>
      <w:r>
        <w:rPr>
          <w:rFonts w:hint="eastAsia"/>
          <w:szCs w:val="21"/>
        </w:rPr>
        <w:t>浙江政府采购网（</w:t>
      </w:r>
      <w:r>
        <w:rPr>
          <w:rFonts w:hint="eastAsia"/>
          <w:szCs w:val="21"/>
        </w:rPr>
        <w:fldChar w:fldCharType="begin"/>
      </w:r>
      <w:r>
        <w:rPr>
          <w:rFonts w:hint="eastAsia"/>
          <w:szCs w:val="21"/>
        </w:rPr>
        <w:instrText xml:space="preserve"> HYPERLINK "http://www.zjzfcg.gov.cn" </w:instrText>
      </w:r>
      <w:r>
        <w:rPr>
          <w:rFonts w:hint="eastAsia"/>
          <w:szCs w:val="21"/>
        </w:rPr>
        <w:fldChar w:fldCharType="separate"/>
      </w:r>
      <w:r>
        <w:rPr>
          <w:rFonts w:hint="eastAsia"/>
          <w:szCs w:val="21"/>
        </w:rPr>
        <w:t>www.zjzfcg.gov.cn</w:t>
      </w:r>
      <w:r>
        <w:rPr>
          <w:rFonts w:hint="eastAsia"/>
          <w:szCs w:val="21"/>
        </w:rPr>
        <w:fldChar w:fldCharType="end"/>
      </w:r>
      <w:r>
        <w:rPr>
          <w:rFonts w:hint="eastAsia"/>
          <w:szCs w:val="21"/>
        </w:rPr>
        <w:t>）</w:t>
      </w:r>
      <w:r>
        <w:t>发布中标公告，公示期满，如无投标人质疑，招标方向中标人签发《中标通知书》。</w:t>
      </w:r>
    </w:p>
    <w:p>
      <w:pPr>
        <w:spacing w:line="440" w:lineRule="exact"/>
        <w:ind w:firstLine="420" w:firstLineChars="200"/>
      </w:pPr>
      <w:r>
        <w:t>2、招标人与中标人应当按《中标通知书》中规定的时间内签订采购合同。招投标文件和投标时的承诺是采购合同的组成部分。</w:t>
      </w:r>
    </w:p>
    <w:p>
      <w:pPr>
        <w:spacing w:line="440" w:lineRule="exact"/>
        <w:ind w:firstLine="420" w:firstLineChars="200"/>
      </w:pPr>
      <w:r>
        <w:t>3、中标人拖延、拒签合同的,将被扣罚投标保证金并取消中标资格。</w:t>
      </w:r>
    </w:p>
    <w:p>
      <w:pPr>
        <w:spacing w:line="440" w:lineRule="exact"/>
        <w:ind w:firstLine="420" w:firstLineChars="200"/>
      </w:pPr>
      <w:r>
        <w:t>4、</w:t>
      </w:r>
      <w:r>
        <w:rPr>
          <w:rFonts w:hint="eastAsia" w:ascii="宋体" w:hAnsi="宋体" w:cs="宋体"/>
        </w:rPr>
        <w:t>中标人在与招标人签订合同后向招标人支付</w:t>
      </w:r>
      <w:r>
        <w:rPr>
          <w:rFonts w:ascii="宋体" w:hAnsi="宋体" w:cs="宋体"/>
        </w:rPr>
        <w:t>10%</w:t>
      </w:r>
      <w:r>
        <w:rPr>
          <w:rFonts w:hint="eastAsia" w:ascii="宋体" w:hAnsi="宋体" w:cs="宋体"/>
        </w:rPr>
        <w:t>履约保证金，同时凭合同原件无息退还投标保证金，中标人应在所承诺的期限内履行合同，因中标人的原因造成逾期的，应承担损失，具体违约处罚由合同双方约定。</w:t>
      </w:r>
    </w:p>
    <w:p>
      <w:pPr>
        <w:spacing w:line="440" w:lineRule="exact"/>
        <w:ind w:firstLine="422" w:firstLineChars="200"/>
        <w:rPr>
          <w:b/>
          <w:bCs/>
        </w:rPr>
      </w:pPr>
      <w:r>
        <w:rPr>
          <w:b/>
          <w:bCs/>
        </w:rPr>
        <w:t>十三、解释权</w:t>
      </w:r>
    </w:p>
    <w:p>
      <w:pPr>
        <w:spacing w:line="440" w:lineRule="exact"/>
        <w:ind w:firstLine="420" w:firstLineChars="200"/>
      </w:pPr>
      <w: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或投标邀请函）、投标人须知、评标办法、投标文件格式的先后顺序解释；同一文件中就同一事项的约定不一致的，以逻辑顺序在后者为准；同一文件不同版本之间有不一致的，以形成时间在后者为准。</w:t>
      </w:r>
    </w:p>
    <w:p>
      <w:pPr>
        <w:spacing w:line="440" w:lineRule="exact"/>
        <w:ind w:firstLine="420" w:firstLineChars="200"/>
      </w:pPr>
    </w:p>
    <w:p>
      <w:pPr>
        <w:spacing w:line="440" w:lineRule="exact"/>
        <w:jc w:val="center"/>
        <w:rPr>
          <w:rFonts w:hint="eastAsia"/>
          <w:szCs w:val="21"/>
        </w:rPr>
      </w:pPr>
      <w:r>
        <w:br w:type="page"/>
      </w:r>
      <w:r>
        <w:rPr>
          <w:rFonts w:hint="eastAsia"/>
          <w:b/>
          <w:sz w:val="32"/>
          <w:szCs w:val="32"/>
        </w:rPr>
        <w:t>第四部分  评标办法及评分标准</w:t>
      </w:r>
      <w:bookmarkEnd w:id="642"/>
    </w:p>
    <w:p>
      <w:pPr>
        <w:spacing w:line="400" w:lineRule="exact"/>
        <w:rPr>
          <w:rFonts w:hint="eastAsia"/>
          <w:b/>
          <w:sz w:val="32"/>
          <w:szCs w:val="32"/>
        </w:rPr>
      </w:pPr>
    </w:p>
    <w:p>
      <w:pPr>
        <w:spacing w:line="360" w:lineRule="auto"/>
        <w:ind w:firstLine="420" w:firstLineChars="200"/>
        <w:rPr>
          <w:rFonts w:hint="eastAsia" w:ascii="宋体" w:hAnsi="宋体"/>
          <w:szCs w:val="21"/>
        </w:rPr>
      </w:pPr>
      <w:r>
        <w:rPr>
          <w:rFonts w:hint="eastAsia" w:ascii="宋体" w:hAnsi="宋体"/>
          <w:szCs w:val="21"/>
        </w:rPr>
        <w:t>本评标办法将严格遵照《政府采购法》、国家财政部第87号令的规定和有关的法规，并结合招标项目的实际情况制定。本评标标准是对 “投标须知”相关条款的具体表述或补充，如有矛盾，应以本办法为准。</w:t>
      </w:r>
    </w:p>
    <w:p>
      <w:pPr>
        <w:spacing w:line="360" w:lineRule="auto"/>
        <w:rPr>
          <w:rFonts w:hint="eastAsia" w:ascii="宋体" w:hAnsi="宋体"/>
          <w:b/>
          <w:szCs w:val="21"/>
          <w:u w:val="single"/>
        </w:rPr>
      </w:pPr>
      <w:r>
        <w:rPr>
          <w:rFonts w:hint="eastAsia" w:ascii="宋体" w:hAnsi="宋体"/>
          <w:b/>
          <w:szCs w:val="21"/>
          <w:u w:val="single"/>
        </w:rPr>
        <w:t>一.</w:t>
      </w:r>
      <w:r>
        <w:rPr>
          <w:rFonts w:hint="eastAsia" w:ascii="宋体" w:hAnsi="宋体"/>
          <w:b/>
          <w:szCs w:val="21"/>
          <w:u w:val="single"/>
        </w:rPr>
        <w:tab/>
      </w:r>
      <w:r>
        <w:rPr>
          <w:rFonts w:hint="eastAsia" w:ascii="宋体" w:hAnsi="宋体"/>
          <w:b/>
          <w:szCs w:val="21"/>
          <w:u w:val="single"/>
        </w:rPr>
        <w:t xml:space="preserve"> 总则</w:t>
      </w:r>
    </w:p>
    <w:p>
      <w:pPr>
        <w:spacing w:line="360" w:lineRule="auto"/>
        <w:ind w:firstLine="420" w:firstLineChars="200"/>
        <w:rPr>
          <w:rFonts w:hint="eastAsia" w:ascii="宋体" w:hAnsi="宋体"/>
          <w:szCs w:val="21"/>
        </w:rPr>
      </w:pPr>
      <w:r>
        <w:rPr>
          <w:rFonts w:hint="eastAsia" w:ascii="宋体" w:hAnsi="宋体"/>
          <w:szCs w:val="21"/>
        </w:rPr>
        <w:t>评标活动遵循公平、公正、科学、择优的原则；评标活动依法进行，评标过程严格保密；评标活动及当事人接受依法实施的监督。</w:t>
      </w:r>
    </w:p>
    <w:p>
      <w:pPr>
        <w:spacing w:line="360" w:lineRule="auto"/>
        <w:ind w:firstLine="420" w:firstLineChars="200"/>
        <w:rPr>
          <w:rFonts w:hint="eastAsia" w:ascii="宋体" w:hAnsi="宋体"/>
          <w:b/>
          <w:szCs w:val="21"/>
        </w:rPr>
      </w:pPr>
      <w:r>
        <w:rPr>
          <w:rFonts w:hint="eastAsia" w:ascii="宋体" w:hAnsi="宋体"/>
          <w:szCs w:val="21"/>
        </w:rPr>
        <w:t>本评标办法采用</w:t>
      </w:r>
      <w:r>
        <w:rPr>
          <w:rFonts w:hint="eastAsia" w:ascii="宋体" w:hAnsi="宋体"/>
          <w:b/>
          <w:szCs w:val="21"/>
        </w:rPr>
        <w:t>资格后审，综合评分法。</w:t>
      </w:r>
    </w:p>
    <w:p>
      <w:pPr>
        <w:spacing w:line="360" w:lineRule="auto"/>
        <w:ind w:firstLine="413" w:firstLineChars="196"/>
        <w:rPr>
          <w:rFonts w:hint="eastAsia" w:ascii="宋体" w:hAnsi="宋体"/>
          <w:b/>
          <w:kern w:val="11"/>
          <w:szCs w:val="21"/>
          <w:u w:val="single"/>
        </w:rPr>
      </w:pPr>
      <w:r>
        <w:rPr>
          <w:rFonts w:hint="eastAsia" w:ascii="宋体" w:hAnsi="宋体"/>
          <w:b/>
          <w:kern w:val="11"/>
          <w:szCs w:val="21"/>
          <w:u w:val="single"/>
        </w:rPr>
        <w:t>招标人或招标代理机构对各投标人进行资格后审，并按合格或不合格对资格后审进行评价，若资格后审被评价为不合格，则不再对其投标文件进行评审。</w:t>
      </w:r>
    </w:p>
    <w:p>
      <w:pPr>
        <w:spacing w:line="360" w:lineRule="auto"/>
        <w:rPr>
          <w:rFonts w:hint="eastAsia" w:ascii="宋体" w:hAnsi="宋体"/>
          <w:b/>
          <w:szCs w:val="21"/>
          <w:u w:val="single"/>
        </w:rPr>
      </w:pPr>
      <w:r>
        <w:rPr>
          <w:rFonts w:hint="eastAsia" w:ascii="宋体" w:hAnsi="宋体"/>
          <w:b/>
          <w:szCs w:val="21"/>
          <w:u w:val="single"/>
        </w:rPr>
        <w:t>二.</w:t>
      </w:r>
      <w:r>
        <w:rPr>
          <w:rFonts w:hint="eastAsia" w:ascii="宋体" w:hAnsi="宋体"/>
          <w:b/>
          <w:szCs w:val="21"/>
          <w:u w:val="single"/>
        </w:rPr>
        <w:tab/>
      </w:r>
      <w:r>
        <w:rPr>
          <w:rFonts w:hint="eastAsia" w:ascii="宋体" w:hAnsi="宋体"/>
          <w:b/>
          <w:szCs w:val="21"/>
          <w:u w:val="single"/>
        </w:rPr>
        <w:t xml:space="preserve"> 评标组织</w:t>
      </w:r>
    </w:p>
    <w:p>
      <w:pPr>
        <w:spacing w:line="360" w:lineRule="auto"/>
        <w:ind w:firstLine="420" w:firstLineChars="200"/>
        <w:rPr>
          <w:rFonts w:hint="eastAsia" w:ascii="宋体" w:hAnsi="宋体"/>
          <w:szCs w:val="21"/>
        </w:rPr>
      </w:pPr>
      <w:r>
        <w:rPr>
          <w:rFonts w:hint="eastAsia" w:ascii="宋体" w:hAnsi="宋体"/>
          <w:szCs w:val="21"/>
        </w:rPr>
        <w:t>评标委员会：依法组建的评标委员会负责本次招标的评标活动，并向采购人推荐1名中标候选人。</w:t>
      </w:r>
    </w:p>
    <w:p>
      <w:pPr>
        <w:spacing w:line="360" w:lineRule="auto"/>
        <w:rPr>
          <w:rFonts w:hint="eastAsia" w:ascii="宋体" w:hAnsi="宋体"/>
          <w:b/>
          <w:szCs w:val="21"/>
          <w:u w:val="single"/>
        </w:rPr>
      </w:pPr>
      <w:r>
        <w:rPr>
          <w:rFonts w:hint="eastAsia" w:ascii="宋体" w:hAnsi="宋体"/>
          <w:b/>
          <w:szCs w:val="21"/>
          <w:u w:val="single"/>
        </w:rPr>
        <w:t>三.</w:t>
      </w:r>
      <w:r>
        <w:rPr>
          <w:rFonts w:hint="eastAsia" w:ascii="宋体" w:hAnsi="宋体"/>
          <w:b/>
          <w:szCs w:val="21"/>
          <w:u w:val="single"/>
        </w:rPr>
        <w:tab/>
      </w:r>
      <w:r>
        <w:rPr>
          <w:rFonts w:hint="eastAsia" w:ascii="宋体" w:hAnsi="宋体"/>
          <w:b/>
          <w:szCs w:val="21"/>
          <w:u w:val="single"/>
        </w:rPr>
        <w:t>评标程序</w:t>
      </w:r>
    </w:p>
    <w:p>
      <w:pPr>
        <w:spacing w:line="360" w:lineRule="auto"/>
        <w:rPr>
          <w:rFonts w:hint="eastAsia" w:ascii="宋体" w:hAnsi="宋体"/>
          <w:b/>
          <w:szCs w:val="21"/>
        </w:rPr>
      </w:pPr>
      <w:r>
        <w:rPr>
          <w:rFonts w:hint="eastAsia" w:ascii="宋体" w:hAnsi="宋体"/>
          <w:b/>
          <w:szCs w:val="21"/>
        </w:rPr>
        <w:t>1.</w:t>
      </w:r>
      <w:r>
        <w:rPr>
          <w:rFonts w:hint="eastAsia" w:ascii="宋体" w:hAnsi="宋体"/>
          <w:szCs w:val="21"/>
        </w:rPr>
        <w:t xml:space="preserve"> </w:t>
      </w:r>
      <w:r>
        <w:rPr>
          <w:rFonts w:hint="eastAsia" w:ascii="宋体" w:hAnsi="宋体"/>
          <w:b/>
          <w:szCs w:val="21"/>
        </w:rPr>
        <w:t>资格审查</w:t>
      </w:r>
    </w:p>
    <w:p>
      <w:pPr>
        <w:spacing w:line="360" w:lineRule="auto"/>
        <w:ind w:firstLine="420" w:firstLineChars="200"/>
        <w:rPr>
          <w:rFonts w:hint="eastAsia" w:ascii="宋体" w:hAnsi="宋体"/>
          <w:b/>
          <w:szCs w:val="21"/>
        </w:rPr>
      </w:pPr>
      <w:r>
        <w:rPr>
          <w:rFonts w:hint="eastAsia" w:ascii="宋体" w:hAnsi="宋体"/>
          <w:szCs w:val="21"/>
        </w:rPr>
        <w:t>审查供应商的资格条件是否满足招标文件的供应商资格要求。</w:t>
      </w:r>
    </w:p>
    <w:p>
      <w:pPr>
        <w:spacing w:line="360" w:lineRule="auto"/>
        <w:rPr>
          <w:rFonts w:hint="eastAsia" w:ascii="宋体" w:hAnsi="宋体"/>
          <w:b/>
          <w:szCs w:val="21"/>
        </w:rPr>
      </w:pPr>
      <w:r>
        <w:rPr>
          <w:rFonts w:hint="eastAsia" w:ascii="宋体" w:hAnsi="宋体"/>
          <w:b/>
          <w:szCs w:val="21"/>
        </w:rPr>
        <w:t>2. 重大偏差评审</w:t>
      </w:r>
    </w:p>
    <w:p>
      <w:pPr>
        <w:spacing w:line="360" w:lineRule="auto"/>
        <w:ind w:firstLine="420" w:firstLineChars="200"/>
        <w:rPr>
          <w:rFonts w:hint="eastAsia" w:ascii="宋体" w:hAnsi="宋体"/>
          <w:szCs w:val="21"/>
        </w:rPr>
      </w:pPr>
      <w:r>
        <w:rPr>
          <w:rFonts w:hint="eastAsia" w:ascii="宋体" w:hAnsi="宋体"/>
          <w:szCs w:val="21"/>
        </w:rPr>
        <w:t>2.1投标文件是否对招标文件提出的所有实质性要求和条件作出响应，有无重大偏差；如有重大偏差项目之一者，作废标处理。重大偏差项目如下：</w:t>
      </w:r>
    </w:p>
    <w:p>
      <w:pPr>
        <w:spacing w:line="360" w:lineRule="auto"/>
        <w:ind w:firstLine="420" w:firstLineChars="200"/>
        <w:rPr>
          <w:rFonts w:hint="eastAsia" w:ascii="宋体" w:hAnsi="宋体"/>
          <w:szCs w:val="21"/>
        </w:rPr>
      </w:pPr>
      <w:r>
        <w:rPr>
          <w:rFonts w:hint="eastAsia" w:ascii="宋体" w:hAnsi="宋体"/>
          <w:szCs w:val="21"/>
        </w:rPr>
        <w:t>（1）供应商未按招标文件要求提交投标保证金的；</w:t>
      </w:r>
    </w:p>
    <w:p>
      <w:pPr>
        <w:spacing w:line="360" w:lineRule="auto"/>
        <w:ind w:firstLine="420" w:firstLineChars="200"/>
        <w:rPr>
          <w:rFonts w:hint="eastAsia" w:ascii="宋体" w:hAnsi="宋体"/>
          <w:szCs w:val="21"/>
        </w:rPr>
      </w:pPr>
      <w:r>
        <w:rPr>
          <w:rFonts w:hint="eastAsia" w:ascii="宋体" w:hAnsi="宋体"/>
          <w:szCs w:val="21"/>
        </w:rPr>
        <w:t>（2）投标文件未按招标文件要求密封的；</w:t>
      </w:r>
    </w:p>
    <w:p>
      <w:pPr>
        <w:spacing w:line="360" w:lineRule="auto"/>
        <w:ind w:firstLine="420" w:firstLineChars="200"/>
        <w:rPr>
          <w:rFonts w:hint="eastAsia" w:ascii="宋体" w:hAnsi="宋体"/>
          <w:szCs w:val="21"/>
        </w:rPr>
      </w:pPr>
      <w:r>
        <w:rPr>
          <w:rFonts w:hint="eastAsia" w:ascii="宋体" w:hAnsi="宋体"/>
          <w:szCs w:val="21"/>
        </w:rPr>
        <w:t>（3）投标文件未按招标文件规定份数递交的；</w:t>
      </w:r>
    </w:p>
    <w:p>
      <w:pPr>
        <w:spacing w:line="360" w:lineRule="auto"/>
        <w:ind w:firstLine="420" w:firstLineChars="200"/>
        <w:rPr>
          <w:rFonts w:hint="eastAsia" w:ascii="宋体" w:hAnsi="宋体"/>
          <w:szCs w:val="21"/>
        </w:rPr>
      </w:pPr>
      <w:r>
        <w:rPr>
          <w:rFonts w:hint="eastAsia" w:ascii="宋体" w:hAnsi="宋体"/>
          <w:szCs w:val="21"/>
        </w:rPr>
        <w:t>（4）投标文件的组成不符合招标文件的要求；</w:t>
      </w:r>
    </w:p>
    <w:p>
      <w:pPr>
        <w:spacing w:line="360" w:lineRule="auto"/>
        <w:ind w:firstLine="420" w:firstLineChars="200"/>
        <w:rPr>
          <w:rFonts w:hint="eastAsia" w:ascii="宋体" w:hAnsi="宋体"/>
          <w:szCs w:val="21"/>
        </w:rPr>
      </w:pPr>
      <w:r>
        <w:rPr>
          <w:rFonts w:hint="eastAsia" w:ascii="宋体" w:hAnsi="宋体"/>
          <w:szCs w:val="21"/>
        </w:rPr>
        <w:t>（5）供应商递交两份或两份以上内容不同的投标文件，未声明那一份有效或投标文件的投标函中有两个或两个以上不同的总报价，未声明那一份有效；</w:t>
      </w:r>
    </w:p>
    <w:p>
      <w:pPr>
        <w:spacing w:line="360" w:lineRule="auto"/>
        <w:ind w:firstLine="420" w:firstLineChars="200"/>
        <w:rPr>
          <w:rFonts w:hint="eastAsia" w:ascii="宋体" w:hAnsi="宋体"/>
          <w:szCs w:val="21"/>
        </w:rPr>
      </w:pPr>
      <w:r>
        <w:rPr>
          <w:rFonts w:hint="eastAsia" w:ascii="宋体" w:hAnsi="宋体"/>
          <w:szCs w:val="21"/>
        </w:rPr>
        <w:t>（6）投标文件对于标有“</w:t>
      </w:r>
      <w:r>
        <w:rPr>
          <w:rFonts w:hint="eastAsia" w:ascii="宋体" w:hAnsi="宋体" w:cs="宋体"/>
          <w:color w:val="000000"/>
          <w:kern w:val="0"/>
          <w:sz w:val="18"/>
          <w:szCs w:val="18"/>
          <w:lang w:bidi="ar"/>
        </w:rPr>
        <w:t>▲</w:t>
      </w:r>
      <w:r>
        <w:rPr>
          <w:rFonts w:hint="eastAsia" w:ascii="宋体" w:hAnsi="宋体" w:cs="宋体"/>
          <w:kern w:val="0"/>
          <w:szCs w:val="21"/>
        </w:rPr>
        <w:t>”的条款响应为负偏离的；</w:t>
      </w:r>
    </w:p>
    <w:p>
      <w:pPr>
        <w:spacing w:line="360" w:lineRule="auto"/>
        <w:ind w:firstLine="420" w:firstLineChars="200"/>
        <w:rPr>
          <w:rFonts w:hint="eastAsia" w:ascii="宋体" w:hAnsi="宋体"/>
          <w:szCs w:val="21"/>
        </w:rPr>
      </w:pPr>
      <w:r>
        <w:rPr>
          <w:rFonts w:hint="eastAsia" w:ascii="宋体" w:hAnsi="宋体"/>
          <w:szCs w:val="21"/>
        </w:rPr>
        <w:t>（7）投标报价存在漏报或少报的；</w:t>
      </w:r>
    </w:p>
    <w:p>
      <w:pPr>
        <w:spacing w:line="360" w:lineRule="auto"/>
        <w:ind w:firstLine="420" w:firstLineChars="200"/>
        <w:rPr>
          <w:rFonts w:hint="eastAsia" w:ascii="宋体" w:hAnsi="宋体"/>
          <w:szCs w:val="21"/>
        </w:rPr>
      </w:pPr>
      <w:r>
        <w:rPr>
          <w:rFonts w:hint="eastAsia" w:ascii="宋体" w:hAnsi="宋体"/>
          <w:szCs w:val="21"/>
        </w:rPr>
        <w:t>（8）投标文件有不符合法律、法规的内容。</w:t>
      </w:r>
    </w:p>
    <w:p>
      <w:pPr>
        <w:spacing w:line="360" w:lineRule="auto"/>
        <w:rPr>
          <w:rFonts w:hint="eastAsia" w:ascii="宋体" w:hAnsi="宋体"/>
          <w:szCs w:val="21"/>
        </w:rPr>
      </w:pPr>
      <w:r>
        <w:rPr>
          <w:rFonts w:hint="eastAsia" w:ascii="宋体" w:hAnsi="宋体"/>
          <w:szCs w:val="21"/>
        </w:rPr>
        <w:t>注：对存在细微偏差的投标文件，可通知供应商进行必要的澄清和补正。</w:t>
      </w:r>
    </w:p>
    <w:p>
      <w:pPr>
        <w:spacing w:line="360" w:lineRule="auto"/>
        <w:ind w:firstLine="420" w:firstLineChars="200"/>
        <w:rPr>
          <w:rFonts w:hint="eastAsia" w:ascii="宋体" w:hAnsi="宋体"/>
          <w:szCs w:val="21"/>
        </w:rPr>
      </w:pPr>
      <w:r>
        <w:rPr>
          <w:rFonts w:hint="eastAsia" w:ascii="宋体" w:hAnsi="宋体"/>
          <w:szCs w:val="21"/>
        </w:rPr>
        <w:t>2.2投标文件的澄清和补正</w:t>
      </w:r>
    </w:p>
    <w:p>
      <w:pPr>
        <w:spacing w:line="360" w:lineRule="auto"/>
        <w:ind w:firstLine="420" w:firstLineChars="200"/>
        <w:rPr>
          <w:rFonts w:hint="eastAsia" w:ascii="宋体" w:hAnsi="宋体"/>
          <w:szCs w:val="21"/>
        </w:rPr>
      </w:pPr>
      <w:r>
        <w:rPr>
          <w:rFonts w:hint="eastAsia" w:ascii="宋体" w:hAnsi="宋体"/>
          <w:szCs w:val="21"/>
        </w:rPr>
        <w:t>（1）在评标过程中，评标委员会可以书面形式要求供应商对所提交投标文件中不明确的内容进行书面澄清或说明，或者对细微偏差进行补正。评标委员会不接受供应商主动提出的澄清、说明或补正。</w:t>
      </w:r>
    </w:p>
    <w:p>
      <w:pPr>
        <w:spacing w:line="360" w:lineRule="auto"/>
        <w:ind w:firstLine="420" w:firstLineChars="200"/>
        <w:rPr>
          <w:rFonts w:hint="eastAsia" w:ascii="宋体" w:hAnsi="宋体"/>
          <w:szCs w:val="21"/>
        </w:rPr>
        <w:sectPr>
          <w:headerReference r:id="rId4" w:type="default"/>
          <w:footerReference r:id="rId5" w:type="default"/>
          <w:pgSz w:w="11906" w:h="16838"/>
          <w:pgMar w:top="1701" w:right="1417" w:bottom="1134" w:left="1417" w:header="851" w:footer="992" w:gutter="0"/>
          <w:cols w:space="720" w:num="1"/>
          <w:docGrid w:linePitch="312" w:charSpace="0"/>
        </w:sectPr>
      </w:pPr>
    </w:p>
    <w:p>
      <w:pPr>
        <w:spacing w:line="360" w:lineRule="auto"/>
        <w:ind w:firstLine="420" w:firstLineChars="200"/>
        <w:rPr>
          <w:rFonts w:hint="eastAsia" w:ascii="宋体" w:hAnsi="宋体"/>
          <w:szCs w:val="21"/>
        </w:rPr>
      </w:pPr>
      <w:r>
        <w:rPr>
          <w:rFonts w:hint="eastAsia" w:ascii="宋体" w:hAnsi="宋体"/>
          <w:szCs w:val="21"/>
        </w:rPr>
        <w:t>（2）澄清、说明和补正不得改变投标文件的实质性内容（算术性错误修正的除外）。供应商的书面澄清、说明和补正属于投标文件的组成部分。</w:t>
      </w:r>
    </w:p>
    <w:p>
      <w:pPr>
        <w:spacing w:line="360" w:lineRule="auto"/>
        <w:ind w:firstLine="420" w:firstLineChars="200"/>
        <w:rPr>
          <w:rFonts w:hint="eastAsia" w:ascii="宋体" w:hAnsi="宋体"/>
          <w:szCs w:val="21"/>
        </w:rPr>
      </w:pPr>
      <w:r>
        <w:rPr>
          <w:rFonts w:hint="eastAsia" w:ascii="宋体" w:hAnsi="宋体"/>
          <w:szCs w:val="21"/>
        </w:rPr>
        <w:t>（3）评标委员会对供应商提交的澄清、说明或补正有疑问的，可以要求供应商进一步澄清、说明或补正，直至满足评标委员会的要求。</w:t>
      </w:r>
    </w:p>
    <w:p>
      <w:pPr>
        <w:spacing w:line="360" w:lineRule="auto"/>
        <w:rPr>
          <w:rFonts w:hint="eastAsia" w:ascii="宋体" w:hAnsi="宋体"/>
          <w:b/>
          <w:szCs w:val="21"/>
        </w:rPr>
      </w:pPr>
    </w:p>
    <w:p>
      <w:pPr>
        <w:spacing w:line="360" w:lineRule="auto"/>
        <w:rPr>
          <w:rFonts w:hint="eastAsia" w:ascii="宋体" w:hAnsi="宋体"/>
          <w:b/>
          <w:szCs w:val="21"/>
        </w:rPr>
      </w:pPr>
      <w:r>
        <w:rPr>
          <w:rFonts w:hint="eastAsia" w:ascii="宋体" w:hAnsi="宋体"/>
          <w:b/>
          <w:szCs w:val="21"/>
        </w:rPr>
        <w:t>3．最高限价与评标分值构成</w:t>
      </w:r>
    </w:p>
    <w:p>
      <w:pPr>
        <w:tabs>
          <w:tab w:val="left" w:pos="560"/>
        </w:tabs>
        <w:spacing w:line="360" w:lineRule="auto"/>
        <w:ind w:firstLine="413" w:firstLineChars="196"/>
        <w:rPr>
          <w:b/>
          <w:szCs w:val="21"/>
        </w:rPr>
      </w:pPr>
      <w:r>
        <w:rPr>
          <w:rFonts w:hint="eastAsia" w:ascii="宋体" w:hAnsi="宋体"/>
          <w:b/>
          <w:szCs w:val="21"/>
        </w:rPr>
        <w:t>本项目的最高限价为人民币</w:t>
      </w:r>
      <w:r>
        <w:rPr>
          <w:rFonts w:hint="eastAsia" w:ascii="宋体" w:hAnsi="宋体"/>
          <w:b/>
          <w:szCs w:val="21"/>
          <w:u w:val="single"/>
        </w:rPr>
        <w:t>823.2379</w:t>
      </w:r>
      <w:r>
        <w:rPr>
          <w:rFonts w:hint="eastAsia" w:ascii="宋体" w:hAnsi="宋体"/>
          <w:b/>
          <w:szCs w:val="21"/>
        </w:rPr>
        <w:t>万元，超过限价的投标将作废标处理。评标办法为综合评分法，满分100分，由技术部分和报价两部分分值组成，其中技术部分（包括技术分、商务分）为60分，价格部分为40分。</w:t>
      </w:r>
    </w:p>
    <w:p>
      <w:pPr>
        <w:spacing w:line="360" w:lineRule="auto"/>
        <w:jc w:val="center"/>
        <w:rPr>
          <w:rFonts w:hint="eastAsia" w:ascii="宋体" w:hAnsi="宋体"/>
        </w:rPr>
      </w:pPr>
      <w:r>
        <w:rPr>
          <w:rFonts w:hint="eastAsia" w:ascii="宋体" w:hAnsi="宋体"/>
        </w:rPr>
        <w:t>综合评分法评分表（兼评委打分表）</w:t>
      </w:r>
    </w:p>
    <w:p>
      <w:pPr>
        <w:spacing w:line="360" w:lineRule="auto"/>
        <w:rPr>
          <w:rFonts w:hint="eastAsia" w:ascii="宋体" w:hAnsi="宋体"/>
        </w:rPr>
      </w:pPr>
      <w:r>
        <w:rPr>
          <w:rFonts w:hint="eastAsia" w:ascii="宋体" w:hAnsi="宋体"/>
        </w:rPr>
        <w:t>采购编号：</w:t>
      </w:r>
    </w:p>
    <w:tbl>
      <w:tblPr>
        <w:tblStyle w:val="5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81"/>
        <w:gridCol w:w="109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7517" w:type="dxa"/>
            <w:gridSpan w:val="2"/>
            <w:noWrap w:val="0"/>
            <w:vAlign w:val="top"/>
          </w:tcPr>
          <w:p>
            <w:pPr>
              <w:spacing w:line="400" w:lineRule="exact"/>
              <w:ind w:right="420" w:firstLine="4410" w:firstLineChars="2100"/>
              <w:rPr>
                <w:rFonts w:ascii="宋体" w:hAnsi="宋体"/>
                <w:szCs w:val="21"/>
              </w:rPr>
            </w:pPr>
            <w:r>
              <w:rPr>
                <w:rFonts w:hint="eastAsia" w:ascii="宋体" w:hAnsi="宋体"/>
                <w:szCs w:val="21"/>
              </w:rPr>
              <w:t>投标单位</w:t>
            </w:r>
          </w:p>
          <w:p>
            <w:pPr>
              <w:spacing w:line="400" w:lineRule="exact"/>
              <w:ind w:firstLine="945" w:firstLineChars="450"/>
              <w:rPr>
                <w:rFonts w:ascii="宋体" w:hAnsi="宋体"/>
                <w:szCs w:val="21"/>
              </w:rPr>
            </w:pPr>
          </w:p>
        </w:tc>
        <w:tc>
          <w:tcPr>
            <w:tcW w:w="1094" w:type="dxa"/>
            <w:noWrap w:val="0"/>
            <w:vAlign w:val="center"/>
          </w:tcPr>
          <w:p>
            <w:pPr>
              <w:spacing w:line="320" w:lineRule="exact"/>
              <w:jc w:val="center"/>
              <w:rPr>
                <w:rFonts w:ascii="宋体" w:hAnsi="宋体"/>
                <w:szCs w:val="21"/>
              </w:rPr>
            </w:pPr>
          </w:p>
        </w:tc>
        <w:tc>
          <w:tcPr>
            <w:tcW w:w="1094" w:type="dxa"/>
            <w:noWrap w:val="0"/>
            <w:vAlign w:val="center"/>
          </w:tcPr>
          <w:p>
            <w:pPr>
              <w:spacing w:line="32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17" w:type="dxa"/>
            <w:gridSpan w:val="2"/>
            <w:noWrap w:val="0"/>
            <w:vAlign w:val="center"/>
          </w:tcPr>
          <w:p>
            <w:pPr>
              <w:spacing w:line="400" w:lineRule="exact"/>
              <w:jc w:val="center"/>
              <w:rPr>
                <w:rFonts w:ascii="宋体" w:hAnsi="宋体"/>
                <w:szCs w:val="21"/>
              </w:rPr>
            </w:pPr>
            <w:r>
              <w:rPr>
                <w:rFonts w:hint="eastAsia" w:ascii="宋体" w:hAnsi="宋体"/>
                <w:b/>
                <w:szCs w:val="21"/>
              </w:rPr>
              <w:t>总分100分</w:t>
            </w:r>
          </w:p>
        </w:tc>
        <w:tc>
          <w:tcPr>
            <w:tcW w:w="1094" w:type="dxa"/>
            <w:noWrap w:val="0"/>
            <w:vAlign w:val="center"/>
          </w:tcPr>
          <w:p>
            <w:pPr>
              <w:spacing w:line="320" w:lineRule="exact"/>
              <w:jc w:val="center"/>
              <w:rPr>
                <w:rFonts w:ascii="宋体" w:hAnsi="宋体"/>
                <w:szCs w:val="21"/>
              </w:rPr>
            </w:pPr>
            <w:r>
              <w:rPr>
                <w:rFonts w:hint="eastAsia" w:ascii="宋体" w:hAnsi="宋体"/>
                <w:szCs w:val="21"/>
              </w:rPr>
              <w:t>分值</w:t>
            </w:r>
          </w:p>
        </w:tc>
        <w:tc>
          <w:tcPr>
            <w:tcW w:w="1094" w:type="dxa"/>
            <w:noWrap w:val="0"/>
            <w:vAlign w:val="center"/>
          </w:tcPr>
          <w:p>
            <w:pPr>
              <w:spacing w:line="32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6" w:type="dxa"/>
            <w:vMerge w:val="restart"/>
            <w:noWrap w:val="0"/>
            <w:vAlign w:val="center"/>
          </w:tcPr>
          <w:p>
            <w:pPr>
              <w:spacing w:line="400" w:lineRule="exact"/>
              <w:jc w:val="center"/>
              <w:rPr>
                <w:rFonts w:ascii="宋体" w:hAnsi="宋体"/>
                <w:szCs w:val="21"/>
              </w:rPr>
            </w:pPr>
            <w:r>
              <w:rPr>
                <w:rFonts w:hint="eastAsia" w:ascii="宋体" w:hAnsi="宋体"/>
                <w:szCs w:val="21"/>
              </w:rPr>
              <w:t>技术分45分</w:t>
            </w:r>
          </w:p>
        </w:tc>
        <w:tc>
          <w:tcPr>
            <w:tcW w:w="6781" w:type="dxa"/>
            <w:noWrap w:val="0"/>
            <w:vAlign w:val="center"/>
          </w:tcPr>
          <w:p>
            <w:pPr>
              <w:spacing w:line="400" w:lineRule="exact"/>
              <w:jc w:val="left"/>
              <w:rPr>
                <w:rFonts w:ascii="宋体" w:hAnsi="宋体"/>
                <w:bCs/>
                <w:szCs w:val="21"/>
              </w:rPr>
            </w:pPr>
            <w:r>
              <w:rPr>
                <w:rFonts w:hint="eastAsia" w:ascii="宋体" w:hAnsi="宋体"/>
                <w:bCs/>
                <w:szCs w:val="21"/>
              </w:rPr>
              <w:t>“第二部分  项目背景及采购需求”响应性（10分）：</w:t>
            </w:r>
          </w:p>
          <w:p>
            <w:pPr>
              <w:spacing w:line="400" w:lineRule="exact"/>
              <w:jc w:val="left"/>
              <w:rPr>
                <w:rFonts w:ascii="宋体" w:hAnsi="宋体"/>
                <w:bCs/>
                <w:szCs w:val="21"/>
              </w:rPr>
            </w:pPr>
            <w:r>
              <w:rPr>
                <w:rFonts w:hint="eastAsia" w:ascii="宋体" w:hAnsi="宋体"/>
                <w:bCs/>
                <w:szCs w:val="21"/>
              </w:rPr>
              <w:t>完全响应招标文件“第二部分  项目背景及采购需求”附表1“项目设备参数明细表”中指标的得10分；“</w:t>
            </w:r>
            <w:r>
              <w:rPr>
                <w:rFonts w:hint="eastAsia" w:ascii="黑体" w:hAnsi="黑体" w:eastAsia="黑体" w:cs="黑体"/>
                <w:bCs/>
                <w:szCs w:val="21"/>
              </w:rPr>
              <w:t>★</w:t>
            </w:r>
            <w:r>
              <w:rPr>
                <w:rFonts w:hint="eastAsia" w:ascii="宋体" w:hAnsi="宋体"/>
                <w:bCs/>
                <w:szCs w:val="21"/>
              </w:rPr>
              <w:t>”指标为重要指标，每负偏离一条指标扣1分；其他指标为非重要指标，每负偏离一条指标扣0.5分；扣完为止。</w:t>
            </w:r>
          </w:p>
        </w:tc>
        <w:tc>
          <w:tcPr>
            <w:tcW w:w="1094" w:type="dxa"/>
            <w:noWrap w:val="0"/>
            <w:vAlign w:val="center"/>
          </w:tcPr>
          <w:p>
            <w:pPr>
              <w:spacing w:line="300" w:lineRule="exact"/>
              <w:jc w:val="center"/>
              <w:rPr>
                <w:rFonts w:ascii="宋体" w:hAnsi="宋体"/>
                <w:szCs w:val="21"/>
              </w:rPr>
            </w:pPr>
            <w:r>
              <w:rPr>
                <w:rFonts w:hint="eastAsia" w:ascii="宋体" w:hAnsi="宋体"/>
                <w:szCs w:val="21"/>
              </w:rPr>
              <w:t>10</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bCs/>
                <w:szCs w:val="21"/>
              </w:rPr>
              <w:t>投标供应商的总体设计方案是否遵循相关国家标准，设计理念是否先进、</w:t>
            </w:r>
            <w:r>
              <w:rPr>
                <w:rFonts w:hint="eastAsia" w:ascii="宋体" w:hAnsi="宋体"/>
                <w:szCs w:val="21"/>
              </w:rPr>
              <w:t>结构是否完整、内容是否齐全、表述是否准确、条理是否清晰，是否具有</w:t>
            </w:r>
            <w:r>
              <w:rPr>
                <w:rFonts w:hint="eastAsia" w:ascii="宋体" w:hAnsi="宋体"/>
                <w:bCs/>
                <w:szCs w:val="21"/>
              </w:rPr>
              <w:t>较强可操作性、可扩展性（4分）：</w:t>
            </w:r>
          </w:p>
          <w:p>
            <w:pPr>
              <w:spacing w:line="400" w:lineRule="exact"/>
              <w:jc w:val="left"/>
              <w:rPr>
                <w:rFonts w:ascii="宋体" w:hAnsi="宋体"/>
                <w:bCs/>
                <w:szCs w:val="21"/>
              </w:rPr>
            </w:pPr>
            <w:r>
              <w:rPr>
                <w:rFonts w:hint="eastAsia" w:ascii="宋体" w:hAnsi="宋体"/>
                <w:szCs w:val="21"/>
              </w:rPr>
              <w:t>阐述的设计理念先进、结构完整、内容全面详细、表达准确、条理清晰、可操作性强的为优的得4-2分，阐述的设计理念先进、结构基本完整但内容不够详细、表达准确、条理较为清晰、可操作性一般的为良的得2-1分，设计理念落后、结构不完整、内容不全面、条理不清晰、操作性差的被评为差的得1-0分</w:t>
            </w:r>
            <w:r>
              <w:rPr>
                <w:rFonts w:hint="eastAsia" w:ascii="宋体" w:hAnsi="宋体"/>
                <w:bCs/>
                <w:szCs w:val="21"/>
              </w:rPr>
              <w:t>（未提供的得0分）。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4</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szCs w:val="21"/>
              </w:rPr>
            </w:pPr>
            <w:r>
              <w:rPr>
                <w:rFonts w:hint="eastAsia" w:ascii="宋体" w:hAnsi="宋体"/>
                <w:bCs/>
                <w:szCs w:val="21"/>
              </w:rPr>
              <w:t>整个</w:t>
            </w:r>
            <w:r>
              <w:rPr>
                <w:rFonts w:hint="eastAsia" w:ascii="宋体" w:hAnsi="宋体"/>
                <w:szCs w:val="21"/>
              </w:rPr>
              <w:t>系统的体系架构、技术架构、功能架构设计是否完整，系统的整体布设是否科学、合理，系统的拓扑图细化设计是否充分体现可靠性要求（3分）：</w:t>
            </w:r>
          </w:p>
          <w:p>
            <w:pPr>
              <w:spacing w:line="400" w:lineRule="exact"/>
              <w:jc w:val="left"/>
              <w:rPr>
                <w:rFonts w:ascii="宋体" w:hAnsi="宋体"/>
                <w:bCs/>
                <w:szCs w:val="21"/>
              </w:rPr>
            </w:pPr>
            <w:r>
              <w:rPr>
                <w:rFonts w:hint="eastAsia" w:ascii="宋体" w:hAnsi="宋体"/>
                <w:bCs/>
                <w:szCs w:val="21"/>
              </w:rPr>
              <w:t>系统架构设计完整、整体布设科学、合理且可行为优的得3-2分，系统架构设计基本完整但不够详细、整体布设科学、合理且可行为良的得2-1分，系统架构设计不全、整体布设不合理或不可行为差的得1-0（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3</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szCs w:val="21"/>
              </w:rPr>
            </w:pPr>
            <w:r>
              <w:rPr>
                <w:rFonts w:hint="eastAsia" w:ascii="宋体" w:hAnsi="宋体"/>
                <w:bCs/>
                <w:szCs w:val="21"/>
              </w:rPr>
              <w:t>投标供应商</w:t>
            </w:r>
            <w:r>
              <w:rPr>
                <w:rFonts w:hint="eastAsia" w:ascii="宋体" w:hAnsi="宋体"/>
              </w:rPr>
              <w:t>对本项目的难点及关键点的应对方案是否分析清晰、到位，建议及措施是否合理、有效、可操作性</w:t>
            </w:r>
            <w:r>
              <w:rPr>
                <w:rFonts w:hint="eastAsia" w:ascii="宋体" w:hAnsi="宋体"/>
                <w:szCs w:val="21"/>
              </w:rPr>
              <w:t>（4分）：</w:t>
            </w:r>
          </w:p>
          <w:p>
            <w:pPr>
              <w:spacing w:line="400" w:lineRule="exact"/>
              <w:jc w:val="left"/>
              <w:rPr>
                <w:rFonts w:ascii="宋体" w:hAnsi="宋体"/>
                <w:bCs/>
                <w:szCs w:val="21"/>
              </w:rPr>
            </w:pPr>
            <w:r>
              <w:rPr>
                <w:rFonts w:hint="eastAsia" w:ascii="宋体" w:hAnsi="宋体"/>
                <w:bCs/>
                <w:szCs w:val="21"/>
              </w:rPr>
              <w:t>应对方案分析到位、条理清晰、建议及措施合理且可行为优的得4-2分，应对方案分析基本到位但不详细、条理不够清晰、建议及措施合理且可行为良的得2-1分，应对方案分析不全、条理不清晰、建议及措施不合理或不可行为差得1-0（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4</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bCs/>
                <w:szCs w:val="21"/>
              </w:rPr>
              <w:t>投标供应商对本项目的现状及需求分析是否透彻，问题剖析是否准确（4分）：</w:t>
            </w:r>
          </w:p>
          <w:p>
            <w:pPr>
              <w:spacing w:line="400" w:lineRule="exact"/>
              <w:jc w:val="left"/>
              <w:rPr>
                <w:rFonts w:ascii="宋体" w:hAnsi="宋体"/>
                <w:szCs w:val="21"/>
              </w:rPr>
            </w:pPr>
            <w:r>
              <w:rPr>
                <w:rFonts w:hint="eastAsia" w:ascii="宋体" w:hAnsi="宋体"/>
                <w:bCs/>
                <w:szCs w:val="21"/>
              </w:rPr>
              <w:t>需求分析到位、剖析准确为优的得4-2分，需求分析基本到位但不详细、剖析不够准确为良的得2-1分，需求分析不全、剖析不准确为差得1-0（未提供的得0分）。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4</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bCs/>
                <w:szCs w:val="21"/>
              </w:rPr>
              <w:t>二期网络传输方案与一期监控网络架构、市级天网工程中心平台对接方案、充分利用原有网络，减少重复投资实施方案是否完善合理（4分）：</w:t>
            </w:r>
          </w:p>
          <w:p>
            <w:pPr>
              <w:spacing w:line="400" w:lineRule="exact"/>
              <w:jc w:val="left"/>
              <w:rPr>
                <w:rFonts w:ascii="宋体" w:hAnsi="宋体"/>
                <w:bCs/>
                <w:szCs w:val="21"/>
              </w:rPr>
            </w:pPr>
            <w:r>
              <w:rPr>
                <w:rFonts w:hint="eastAsia" w:ascii="宋体" w:hAnsi="宋体"/>
                <w:bCs/>
                <w:szCs w:val="21"/>
              </w:rPr>
              <w:t>实施方案全面详细、合理且可行的4-2分；实施方案基本完整但不详细，合理且可行的2-1分；实施方案内容不全，不合理或不可行的1-0分（未提供的得0分）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4</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hint="eastAsia" w:ascii="宋体" w:hAnsi="宋体"/>
                <w:bCs/>
                <w:szCs w:val="21"/>
              </w:rPr>
            </w:pPr>
            <w:r>
              <w:rPr>
                <w:rFonts w:hint="eastAsia" w:ascii="宋体" w:hAnsi="宋体"/>
                <w:bCs/>
                <w:szCs w:val="21"/>
              </w:rPr>
              <w:t>投标供应商的数据安全管理方案是否完整，是否充分体现可靠性要求（3分）：</w:t>
            </w:r>
          </w:p>
          <w:p>
            <w:pPr>
              <w:spacing w:line="400" w:lineRule="exact"/>
              <w:jc w:val="left"/>
              <w:rPr>
                <w:rFonts w:ascii="宋体" w:hAnsi="宋体"/>
                <w:bCs/>
                <w:szCs w:val="21"/>
              </w:rPr>
            </w:pPr>
            <w:r>
              <w:rPr>
                <w:rFonts w:hint="eastAsia" w:ascii="宋体" w:hAnsi="宋体"/>
                <w:bCs/>
                <w:szCs w:val="21"/>
              </w:rPr>
              <w:t>阐述内容全面详细、合理且可行的3-2分；阐述内容基本完整但不详细，合理且可行的2-1分；阐述内容不全，不合理或不可行的1-0分（未提供的得0分）。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3</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szCs w:val="21"/>
              </w:rPr>
              <w:t>系统的应急方案是否设计合理，充分考虑采购人的实际使用需求</w:t>
            </w:r>
            <w:r>
              <w:rPr>
                <w:rFonts w:hint="eastAsia" w:ascii="宋体" w:hAnsi="宋体"/>
                <w:bCs/>
                <w:szCs w:val="21"/>
              </w:rPr>
              <w:t>（3分）：</w:t>
            </w:r>
          </w:p>
          <w:p>
            <w:pPr>
              <w:spacing w:line="400" w:lineRule="exact"/>
              <w:jc w:val="left"/>
              <w:rPr>
                <w:rFonts w:ascii="宋体" w:hAnsi="宋体"/>
                <w:bCs/>
                <w:szCs w:val="21"/>
              </w:rPr>
            </w:pPr>
            <w:r>
              <w:rPr>
                <w:rFonts w:hint="eastAsia" w:ascii="宋体" w:hAnsi="宋体"/>
                <w:bCs/>
                <w:szCs w:val="21"/>
              </w:rPr>
              <w:t>应急方案全面详细、合理且可行的3-2分；应急方案基本完整但不详细，合理且可行的2-1分；应急方案内容不全，不合理或不可行的1-0分（未提供的得0分）。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3</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szCs w:val="21"/>
              </w:rPr>
              <w:t>投标供应商对实施过程的总体部署组织实施方案是否完整、合理、可行，是否能确保安全文明施工</w:t>
            </w:r>
            <w:r>
              <w:rPr>
                <w:rFonts w:hint="eastAsia" w:ascii="宋体" w:hAnsi="宋体"/>
                <w:bCs/>
                <w:szCs w:val="21"/>
              </w:rPr>
              <w:t>（3分）：</w:t>
            </w:r>
          </w:p>
          <w:p>
            <w:pPr>
              <w:spacing w:line="400" w:lineRule="exact"/>
              <w:jc w:val="left"/>
              <w:rPr>
                <w:rFonts w:ascii="宋体" w:hAnsi="宋体"/>
                <w:szCs w:val="21"/>
              </w:rPr>
            </w:pPr>
            <w:r>
              <w:rPr>
                <w:rFonts w:hint="eastAsia" w:ascii="宋体" w:hAnsi="宋体"/>
                <w:bCs/>
                <w:szCs w:val="21"/>
              </w:rPr>
              <w:t>实施方案全面详细、合理且可行的3-2分；实施方案基本完整但不详细，合理且可行的2-1分；实施方案内容不全，不合理或不可行的1-0分（未提供的得0分）。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3</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szCs w:val="21"/>
              </w:rPr>
              <w:t>投标供应商对进度计划及工期保证措施、项目质量及保证措施是否完整、合理、可行</w:t>
            </w:r>
            <w:r>
              <w:rPr>
                <w:rFonts w:hint="eastAsia" w:ascii="宋体" w:hAnsi="宋体"/>
                <w:bCs/>
                <w:szCs w:val="21"/>
              </w:rPr>
              <w:t>（3分）：</w:t>
            </w:r>
          </w:p>
          <w:p>
            <w:pPr>
              <w:spacing w:line="400" w:lineRule="exact"/>
              <w:jc w:val="left"/>
              <w:rPr>
                <w:rFonts w:ascii="宋体" w:hAnsi="宋体"/>
                <w:szCs w:val="21"/>
              </w:rPr>
            </w:pPr>
            <w:r>
              <w:rPr>
                <w:rFonts w:hint="eastAsia" w:ascii="宋体" w:hAnsi="宋体"/>
                <w:bCs/>
                <w:szCs w:val="21"/>
              </w:rPr>
              <w:t>计划全面详细、合理且可行的3-2分；计划基本完整但不详细，合理且可行的2-1分；计划内容不全，不合理或不可行的1-0分（未提供的得0分）。</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3</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736" w:type="dxa"/>
            <w:vMerge w:val="continue"/>
            <w:noWrap w:val="0"/>
            <w:vAlign w:val="center"/>
          </w:tcPr>
          <w:p>
            <w:pPr>
              <w:widowControl/>
              <w:jc w:val="left"/>
              <w:rPr>
                <w:rFonts w:ascii="宋体" w:hAnsi="宋体"/>
                <w:szCs w:val="21"/>
              </w:rPr>
            </w:pPr>
          </w:p>
        </w:tc>
        <w:tc>
          <w:tcPr>
            <w:tcW w:w="6781" w:type="dxa"/>
            <w:noWrap w:val="0"/>
            <w:vAlign w:val="center"/>
          </w:tcPr>
          <w:p>
            <w:pPr>
              <w:spacing w:line="400" w:lineRule="exact"/>
              <w:jc w:val="left"/>
              <w:rPr>
                <w:rFonts w:hint="eastAsia" w:ascii="宋体" w:hAnsi="宋体"/>
                <w:bCs/>
                <w:szCs w:val="21"/>
              </w:rPr>
            </w:pPr>
            <w:r>
              <w:rPr>
                <w:rFonts w:hint="eastAsia" w:ascii="宋体" w:hAnsi="宋体"/>
                <w:bCs/>
                <w:szCs w:val="21"/>
              </w:rPr>
              <w:t>投标供应商针对本项目提供的其他优惠承诺、服务措施和合理化建议是否充足、周到、有建设性（4分）：</w:t>
            </w:r>
          </w:p>
          <w:p>
            <w:pPr>
              <w:spacing w:line="400" w:lineRule="exact"/>
              <w:jc w:val="left"/>
              <w:rPr>
                <w:rFonts w:ascii="宋体" w:hAnsi="宋体"/>
                <w:szCs w:val="21"/>
              </w:rPr>
            </w:pPr>
            <w:r>
              <w:rPr>
                <w:rFonts w:hint="eastAsia" w:ascii="宋体" w:hAnsi="宋体"/>
                <w:bCs/>
                <w:szCs w:val="21"/>
              </w:rPr>
              <w:t>服务措施、合理化建议针对性、建设性强、内容全面且有其他优惠承诺的为优的得</w:t>
            </w:r>
            <w:r>
              <w:rPr>
                <w:rFonts w:ascii="宋体" w:hAnsi="宋体"/>
                <w:bCs/>
                <w:szCs w:val="21"/>
              </w:rPr>
              <w:t>4</w:t>
            </w:r>
            <w:r>
              <w:rPr>
                <w:rFonts w:hint="eastAsia" w:ascii="宋体" w:hAnsi="宋体"/>
                <w:bCs/>
                <w:szCs w:val="21"/>
              </w:rPr>
              <w:t>-2分，服务措施、合理化建议有一定针对性、建设性、内容基本完整且有其他优惠承诺的为良的得2-1分，服务措施、合理化建议针对性、建设性差、内容不全或无其他优惠承诺的被评为差得1-0。</w:t>
            </w:r>
          </w:p>
        </w:tc>
        <w:tc>
          <w:tcPr>
            <w:tcW w:w="1094" w:type="dxa"/>
            <w:noWrap w:val="0"/>
            <w:vAlign w:val="center"/>
          </w:tcPr>
          <w:p>
            <w:pPr>
              <w:spacing w:line="300" w:lineRule="exact"/>
              <w:jc w:val="center"/>
              <w:rPr>
                <w:rFonts w:ascii="宋体" w:hAnsi="宋体"/>
                <w:bCs/>
                <w:szCs w:val="21"/>
              </w:rPr>
            </w:pPr>
            <w:r>
              <w:rPr>
                <w:rFonts w:hint="eastAsia" w:ascii="宋体" w:hAnsi="宋体"/>
                <w:bCs/>
                <w:szCs w:val="21"/>
              </w:rPr>
              <w:t>4</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0" w:hRule="atLeast"/>
        </w:trPr>
        <w:tc>
          <w:tcPr>
            <w:tcW w:w="736" w:type="dxa"/>
            <w:vMerge w:val="restart"/>
            <w:noWrap w:val="0"/>
            <w:vAlign w:val="center"/>
          </w:tcPr>
          <w:p>
            <w:pPr>
              <w:spacing w:line="400" w:lineRule="exact"/>
              <w:jc w:val="center"/>
              <w:rPr>
                <w:rFonts w:ascii="宋体" w:hAnsi="宋体"/>
                <w:szCs w:val="21"/>
              </w:rPr>
            </w:pPr>
            <w:r>
              <w:rPr>
                <w:rFonts w:hint="eastAsia" w:ascii="宋体" w:hAnsi="宋体"/>
                <w:szCs w:val="21"/>
              </w:rPr>
              <w:t>商务分15分</w:t>
            </w:r>
          </w:p>
        </w:tc>
        <w:tc>
          <w:tcPr>
            <w:tcW w:w="6781" w:type="dxa"/>
            <w:noWrap w:val="0"/>
            <w:vAlign w:val="center"/>
          </w:tcPr>
          <w:p>
            <w:pPr>
              <w:spacing w:line="400" w:lineRule="exact"/>
              <w:rPr>
                <w:rFonts w:ascii="宋体" w:hAnsi="宋体"/>
                <w:szCs w:val="21"/>
              </w:rPr>
            </w:pPr>
            <w:r>
              <w:rPr>
                <w:rFonts w:hint="eastAsia" w:ascii="宋体" w:hAnsi="宋体"/>
                <w:szCs w:val="21"/>
              </w:rPr>
              <w:t>项目负责人资质：（2分）</w:t>
            </w:r>
          </w:p>
          <w:p>
            <w:pPr>
              <w:spacing w:line="400" w:lineRule="exact"/>
              <w:rPr>
                <w:rFonts w:ascii="宋体" w:hAnsi="宋体"/>
                <w:szCs w:val="21"/>
              </w:rPr>
            </w:pPr>
            <w:r>
              <w:rPr>
                <w:rFonts w:hint="eastAsia" w:ascii="宋体" w:hAnsi="宋体"/>
                <w:szCs w:val="21"/>
              </w:rPr>
              <w:t>项目负责人具有注册信息安全专业人员证书（CISP）、项目管理专业人士资格认证证书（PMP）的，具有2份的得2分，具有1份的得1分，未提供的不得分。</w:t>
            </w:r>
          </w:p>
        </w:tc>
        <w:tc>
          <w:tcPr>
            <w:tcW w:w="1094" w:type="dxa"/>
            <w:noWrap w:val="0"/>
            <w:vAlign w:val="center"/>
          </w:tcPr>
          <w:p>
            <w:pPr>
              <w:spacing w:line="300" w:lineRule="exact"/>
              <w:jc w:val="center"/>
              <w:rPr>
                <w:rFonts w:ascii="宋体" w:hAnsi="宋体"/>
                <w:szCs w:val="21"/>
              </w:rPr>
            </w:pPr>
            <w:r>
              <w:rPr>
                <w:rFonts w:hint="eastAsia" w:ascii="宋体" w:hAnsi="宋体"/>
                <w:szCs w:val="21"/>
              </w:rPr>
              <w:t>2</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0" w:hRule="atLeast"/>
        </w:trPr>
        <w:tc>
          <w:tcPr>
            <w:tcW w:w="736" w:type="dxa"/>
            <w:vMerge w:val="continue"/>
            <w:noWrap w:val="0"/>
            <w:vAlign w:val="center"/>
          </w:tcPr>
          <w:p>
            <w:pPr>
              <w:spacing w:line="400" w:lineRule="exact"/>
              <w:jc w:val="center"/>
              <w:rPr>
                <w:rFonts w:ascii="宋体" w:hAnsi="宋体"/>
                <w:szCs w:val="21"/>
              </w:rPr>
            </w:pPr>
          </w:p>
        </w:tc>
        <w:tc>
          <w:tcPr>
            <w:tcW w:w="6781" w:type="dxa"/>
            <w:noWrap w:val="0"/>
            <w:vAlign w:val="center"/>
          </w:tcPr>
          <w:p>
            <w:pPr>
              <w:spacing w:line="400" w:lineRule="exact"/>
              <w:rPr>
                <w:rFonts w:ascii="宋体" w:hAnsi="宋体"/>
                <w:szCs w:val="21"/>
              </w:rPr>
            </w:pPr>
            <w:r>
              <w:rPr>
                <w:rFonts w:hint="eastAsia" w:ascii="宋体" w:hAnsi="宋体"/>
                <w:szCs w:val="21"/>
              </w:rPr>
              <w:t>公司资质：（</w:t>
            </w:r>
            <w:r>
              <w:rPr>
                <w:rFonts w:ascii="宋体" w:hAnsi="宋体"/>
                <w:szCs w:val="21"/>
              </w:rPr>
              <w:t>5</w:t>
            </w:r>
            <w:r>
              <w:rPr>
                <w:rFonts w:hint="eastAsia" w:ascii="宋体" w:hAnsi="宋体"/>
                <w:szCs w:val="21"/>
              </w:rPr>
              <w:t>分）</w:t>
            </w:r>
          </w:p>
          <w:p>
            <w:pPr>
              <w:spacing w:line="400" w:lineRule="exact"/>
              <w:rPr>
                <w:rFonts w:ascii="宋体" w:hAnsi="宋体"/>
                <w:szCs w:val="21"/>
              </w:rPr>
            </w:pPr>
            <w:r>
              <w:rPr>
                <w:rFonts w:hint="eastAsia" w:ascii="宋体" w:hAnsi="宋体"/>
                <w:szCs w:val="21"/>
              </w:rPr>
              <w:t>投标人或上级公司具有有效期内的质量管理体系认证证书（ISO 9001）、信息技术服务管理体系认证证书（ISO 20000）、信息安全管理体系认证证书（ISO 27001）、环境管理体系认证证书（ISO 14001）、信息技术服务运行维护标准符合性证书（ITSS</w:t>
            </w:r>
            <w:r>
              <w:rPr>
                <w:rFonts w:ascii="宋体" w:hAnsi="宋体"/>
                <w:szCs w:val="21"/>
              </w:rPr>
              <w:t>）</w:t>
            </w:r>
            <w:r>
              <w:rPr>
                <w:rFonts w:hint="eastAsia" w:ascii="宋体" w:hAnsi="宋体"/>
                <w:szCs w:val="21"/>
              </w:rPr>
              <w:t>。以上证书有5份的得5分、4份的得4分、3份的得3分、2份的得2分、1份的得1分，未提供的不得分。</w:t>
            </w:r>
          </w:p>
        </w:tc>
        <w:tc>
          <w:tcPr>
            <w:tcW w:w="1094" w:type="dxa"/>
            <w:noWrap w:val="0"/>
            <w:vAlign w:val="center"/>
          </w:tcPr>
          <w:p>
            <w:pPr>
              <w:spacing w:line="300" w:lineRule="exact"/>
              <w:jc w:val="center"/>
              <w:rPr>
                <w:rFonts w:ascii="宋体" w:hAnsi="宋体"/>
                <w:szCs w:val="21"/>
              </w:rPr>
            </w:pPr>
            <w:r>
              <w:rPr>
                <w:rFonts w:hint="eastAsia" w:ascii="宋体" w:hAnsi="宋体"/>
                <w:szCs w:val="21"/>
              </w:rPr>
              <w:t>5</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0" w:hRule="atLeast"/>
        </w:trPr>
        <w:tc>
          <w:tcPr>
            <w:tcW w:w="736" w:type="dxa"/>
            <w:vMerge w:val="continue"/>
            <w:noWrap w:val="0"/>
            <w:vAlign w:val="center"/>
          </w:tcPr>
          <w:p>
            <w:pPr>
              <w:spacing w:line="400" w:lineRule="exact"/>
              <w:jc w:val="center"/>
              <w:rPr>
                <w:rFonts w:ascii="宋体" w:hAnsi="宋体"/>
                <w:szCs w:val="21"/>
              </w:rPr>
            </w:pPr>
          </w:p>
        </w:tc>
        <w:tc>
          <w:tcPr>
            <w:tcW w:w="6781" w:type="dxa"/>
            <w:noWrap w:val="0"/>
            <w:vAlign w:val="center"/>
          </w:tcPr>
          <w:p>
            <w:pPr>
              <w:spacing w:line="400" w:lineRule="exact"/>
              <w:rPr>
                <w:rFonts w:ascii="宋体" w:hAnsi="宋体"/>
                <w:bCs/>
                <w:szCs w:val="21"/>
              </w:rPr>
            </w:pPr>
            <w:r>
              <w:rPr>
                <w:rFonts w:hint="eastAsia" w:ascii="宋体" w:hAnsi="宋体"/>
                <w:bCs/>
                <w:szCs w:val="21"/>
              </w:rPr>
              <w:t>类似招标项目案例：（3分）</w:t>
            </w:r>
          </w:p>
          <w:p>
            <w:pPr>
              <w:spacing w:line="400" w:lineRule="exact"/>
              <w:rPr>
                <w:rFonts w:ascii="宋体" w:hAnsi="宋体"/>
                <w:bCs/>
                <w:szCs w:val="21"/>
              </w:rPr>
            </w:pPr>
            <w:r>
              <w:rPr>
                <w:rFonts w:hint="eastAsia" w:ascii="宋体" w:hAnsi="宋体"/>
                <w:bCs/>
                <w:szCs w:val="21"/>
              </w:rPr>
              <w:t>投标供应商提供201</w:t>
            </w:r>
            <w:r>
              <w:rPr>
                <w:rFonts w:ascii="宋体" w:hAnsi="宋体"/>
                <w:bCs/>
                <w:szCs w:val="21"/>
              </w:rPr>
              <w:t>6</w:t>
            </w:r>
            <w:r>
              <w:rPr>
                <w:rFonts w:hint="eastAsia" w:ascii="宋体" w:hAnsi="宋体"/>
                <w:bCs/>
                <w:szCs w:val="21"/>
              </w:rPr>
              <w:t>年1月1日（含）至今类似成功案例，每</w:t>
            </w:r>
            <w:r>
              <w:rPr>
                <w:rFonts w:ascii="宋体" w:hAnsi="宋体"/>
                <w:bCs/>
                <w:szCs w:val="21"/>
              </w:rPr>
              <w:t>提供一个的得1分</w:t>
            </w:r>
            <w:r>
              <w:rPr>
                <w:rFonts w:hint="eastAsia" w:ascii="宋体" w:hAnsi="宋体"/>
                <w:bCs/>
                <w:szCs w:val="21"/>
              </w:rPr>
              <w:t>，</w:t>
            </w:r>
            <w:r>
              <w:rPr>
                <w:rFonts w:ascii="宋体" w:hAnsi="宋体"/>
                <w:bCs/>
                <w:szCs w:val="21"/>
              </w:rPr>
              <w:t>最高得3</w:t>
            </w:r>
            <w:r>
              <w:rPr>
                <w:rFonts w:hint="eastAsia" w:ascii="宋体" w:hAnsi="宋体"/>
                <w:bCs/>
                <w:szCs w:val="21"/>
              </w:rPr>
              <w:t>分。</w:t>
            </w:r>
          </w:p>
          <w:p>
            <w:pPr>
              <w:spacing w:line="400" w:lineRule="exact"/>
              <w:rPr>
                <w:rFonts w:ascii="宋体" w:hAnsi="宋体"/>
                <w:szCs w:val="21"/>
              </w:rPr>
            </w:pPr>
            <w:r>
              <w:rPr>
                <w:rFonts w:hint="eastAsia" w:ascii="宋体" w:hAnsi="宋体"/>
                <w:szCs w:val="21"/>
              </w:rPr>
              <w:t>须提供类似案例合同复印件，否则不得分。</w:t>
            </w:r>
          </w:p>
        </w:tc>
        <w:tc>
          <w:tcPr>
            <w:tcW w:w="1094" w:type="dxa"/>
            <w:noWrap w:val="0"/>
            <w:vAlign w:val="center"/>
          </w:tcPr>
          <w:p>
            <w:pPr>
              <w:spacing w:line="300" w:lineRule="exact"/>
              <w:jc w:val="center"/>
              <w:rPr>
                <w:rFonts w:ascii="宋体" w:hAnsi="宋体"/>
                <w:szCs w:val="21"/>
              </w:rPr>
            </w:pPr>
            <w:r>
              <w:rPr>
                <w:rFonts w:ascii="宋体" w:hAnsi="宋体"/>
                <w:szCs w:val="21"/>
              </w:rPr>
              <w:t>3</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0" w:hRule="atLeast"/>
        </w:trPr>
        <w:tc>
          <w:tcPr>
            <w:tcW w:w="736" w:type="dxa"/>
            <w:vMerge w:val="continue"/>
            <w:noWrap w:val="0"/>
            <w:vAlign w:val="center"/>
          </w:tcPr>
          <w:p>
            <w:pPr>
              <w:spacing w:line="400" w:lineRule="exact"/>
              <w:jc w:val="center"/>
              <w:rPr>
                <w:rFonts w:ascii="宋体" w:hAnsi="宋体"/>
                <w:szCs w:val="21"/>
              </w:rPr>
            </w:pPr>
          </w:p>
        </w:tc>
        <w:tc>
          <w:tcPr>
            <w:tcW w:w="6781" w:type="dxa"/>
            <w:noWrap w:val="0"/>
            <w:vAlign w:val="center"/>
          </w:tcPr>
          <w:p>
            <w:pPr>
              <w:spacing w:line="400" w:lineRule="exact"/>
              <w:jc w:val="left"/>
              <w:rPr>
                <w:rFonts w:ascii="宋体" w:hAnsi="宋体"/>
                <w:bCs/>
                <w:szCs w:val="21"/>
              </w:rPr>
            </w:pPr>
            <w:r>
              <w:rPr>
                <w:rFonts w:hint="eastAsia" w:ascii="宋体" w:hAnsi="宋体"/>
                <w:bCs/>
                <w:szCs w:val="21"/>
              </w:rPr>
              <w:t>售后服务方案：（5分）</w:t>
            </w:r>
          </w:p>
          <w:p>
            <w:pPr>
              <w:spacing w:line="400" w:lineRule="exact"/>
              <w:jc w:val="left"/>
              <w:rPr>
                <w:rFonts w:ascii="宋体" w:hAnsi="宋体"/>
                <w:bCs/>
                <w:szCs w:val="21"/>
              </w:rPr>
            </w:pPr>
            <w:r>
              <w:rPr>
                <w:rFonts w:hint="eastAsia" w:ascii="宋体" w:hAnsi="宋体"/>
                <w:bCs/>
                <w:szCs w:val="21"/>
              </w:rPr>
              <w:t>根据投标供应商提供售后服务方案（包括培训、备品备件、维护响应时间等）是否完善、详实，考虑周全，方式是否多样性进行评议（5分）：</w:t>
            </w:r>
          </w:p>
          <w:p>
            <w:pPr>
              <w:spacing w:line="400" w:lineRule="exact"/>
              <w:rPr>
                <w:rFonts w:ascii="宋体" w:hAnsi="宋体"/>
                <w:szCs w:val="21"/>
              </w:rPr>
            </w:pPr>
            <w:r>
              <w:rPr>
                <w:rFonts w:hint="eastAsia" w:ascii="宋体" w:hAnsi="宋体"/>
                <w:szCs w:val="21"/>
              </w:rPr>
              <w:t>阐述内容全面详细的为优得5-3</w:t>
            </w:r>
            <w:r>
              <w:rPr>
                <w:rFonts w:ascii="宋体" w:hAnsi="宋体"/>
                <w:szCs w:val="21"/>
              </w:rPr>
              <w:t>分；</w:t>
            </w:r>
            <w:r>
              <w:rPr>
                <w:rFonts w:hint="eastAsia" w:ascii="宋体" w:hAnsi="宋体"/>
                <w:szCs w:val="21"/>
              </w:rPr>
              <w:t>阐述内容基本完整但不详细的为良3-1</w:t>
            </w:r>
            <w:r>
              <w:rPr>
                <w:rFonts w:ascii="宋体" w:hAnsi="宋体"/>
                <w:szCs w:val="21"/>
              </w:rPr>
              <w:t>分；</w:t>
            </w:r>
            <w:r>
              <w:rPr>
                <w:rFonts w:hint="eastAsia" w:ascii="宋体" w:hAnsi="宋体"/>
                <w:szCs w:val="21"/>
              </w:rPr>
              <w:t>阐述内容不全的为差得1-0</w:t>
            </w:r>
            <w:r>
              <w:rPr>
                <w:rFonts w:ascii="宋体" w:hAnsi="宋体"/>
                <w:szCs w:val="21"/>
              </w:rPr>
              <w:t>分</w:t>
            </w:r>
            <w:r>
              <w:rPr>
                <w:rFonts w:hint="eastAsia" w:ascii="宋体" w:hAnsi="宋体"/>
                <w:szCs w:val="21"/>
              </w:rPr>
              <w:t>（未提供的得0分）</w:t>
            </w:r>
            <w:r>
              <w:rPr>
                <w:rFonts w:hint="eastAsia" w:ascii="宋体" w:hAnsi="宋体"/>
                <w:bCs/>
                <w:szCs w:val="21"/>
              </w:rPr>
              <w:t>。</w:t>
            </w:r>
          </w:p>
        </w:tc>
        <w:tc>
          <w:tcPr>
            <w:tcW w:w="1094" w:type="dxa"/>
            <w:noWrap w:val="0"/>
            <w:vAlign w:val="center"/>
          </w:tcPr>
          <w:p>
            <w:pPr>
              <w:spacing w:line="300" w:lineRule="exact"/>
              <w:jc w:val="center"/>
              <w:rPr>
                <w:rFonts w:ascii="宋体" w:hAnsi="宋体"/>
                <w:szCs w:val="21"/>
              </w:rPr>
            </w:pPr>
            <w:r>
              <w:rPr>
                <w:rFonts w:hint="eastAsia" w:ascii="宋体" w:hAnsi="宋体"/>
                <w:szCs w:val="21"/>
              </w:rPr>
              <w:t>5</w:t>
            </w:r>
          </w:p>
        </w:tc>
        <w:tc>
          <w:tcPr>
            <w:tcW w:w="1094" w:type="dxa"/>
            <w:noWrap w:val="0"/>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7" w:hRule="atLeast"/>
        </w:trPr>
        <w:tc>
          <w:tcPr>
            <w:tcW w:w="736" w:type="dxa"/>
            <w:noWrap w:val="0"/>
            <w:vAlign w:val="center"/>
          </w:tcPr>
          <w:p>
            <w:pPr>
              <w:spacing w:line="400" w:lineRule="exact"/>
              <w:jc w:val="center"/>
              <w:rPr>
                <w:rFonts w:ascii="宋体" w:hAnsi="宋体"/>
                <w:szCs w:val="21"/>
              </w:rPr>
            </w:pPr>
            <w:r>
              <w:rPr>
                <w:rFonts w:hint="eastAsia" w:ascii="宋体" w:hAnsi="宋体"/>
                <w:szCs w:val="21"/>
              </w:rPr>
              <w:t>价格分40分</w:t>
            </w:r>
          </w:p>
        </w:tc>
        <w:tc>
          <w:tcPr>
            <w:tcW w:w="6781" w:type="dxa"/>
            <w:noWrap w:val="0"/>
            <w:vAlign w:val="center"/>
          </w:tcPr>
          <w:p>
            <w:pPr>
              <w:spacing w:line="400" w:lineRule="exact"/>
              <w:rPr>
                <w:rFonts w:ascii="宋体" w:hAnsi="宋体"/>
                <w:szCs w:val="21"/>
              </w:rPr>
            </w:pPr>
            <w:r>
              <w:rPr>
                <w:rFonts w:hint="eastAsia" w:ascii="宋体" w:hAnsi="宋体"/>
                <w:szCs w:val="21"/>
              </w:rPr>
              <w:t>参与评审的价格=投标报价-小微企业价格扣除优惠值6%</w:t>
            </w:r>
          </w:p>
          <w:p>
            <w:pPr>
              <w:spacing w:line="400" w:lineRule="exact"/>
              <w:rPr>
                <w:rFonts w:ascii="宋体" w:hAnsi="宋体"/>
                <w:szCs w:val="21"/>
              </w:rPr>
            </w:pPr>
            <w:r>
              <w:rPr>
                <w:rFonts w:hint="eastAsia" w:ascii="宋体" w:hAnsi="宋体"/>
                <w:szCs w:val="21"/>
              </w:rPr>
              <w:t>评标基准价=满足招标文件要求且“参与评审的价格”中最低的价格为评标基准价。</w:t>
            </w:r>
          </w:p>
          <w:p>
            <w:pPr>
              <w:spacing w:line="400" w:lineRule="exact"/>
              <w:rPr>
                <w:rFonts w:ascii="宋体" w:hAnsi="宋体"/>
                <w:szCs w:val="21"/>
              </w:rPr>
            </w:pPr>
            <w:r>
              <w:rPr>
                <w:rFonts w:hint="eastAsia" w:ascii="宋体" w:hAnsi="宋体"/>
                <w:szCs w:val="21"/>
              </w:rPr>
              <w:t>基准价得分为满分40分，其他投标报价得分计算公式如下：</w:t>
            </w:r>
          </w:p>
          <w:p>
            <w:pPr>
              <w:spacing w:line="400" w:lineRule="exact"/>
              <w:rPr>
                <w:rFonts w:ascii="宋体" w:hAnsi="宋体"/>
                <w:szCs w:val="21"/>
              </w:rPr>
            </w:pPr>
            <w:r>
              <w:rPr>
                <w:rFonts w:hint="eastAsia" w:ascii="宋体" w:hAnsi="宋体"/>
                <w:szCs w:val="21"/>
              </w:rPr>
              <w:t>投标报价得分=(评标基准价/参与评审的价格)×40%×100</w:t>
            </w:r>
          </w:p>
          <w:p>
            <w:pPr>
              <w:spacing w:line="400" w:lineRule="exact"/>
              <w:rPr>
                <w:rFonts w:ascii="宋体" w:hAnsi="宋体"/>
                <w:szCs w:val="21"/>
              </w:rPr>
            </w:pPr>
            <w:r>
              <w:rPr>
                <w:rFonts w:hint="eastAsia" w:ascii="宋体" w:hAnsi="宋体"/>
                <w:szCs w:val="21"/>
              </w:rPr>
              <w:t>得分四舍五入保留到小数点后一位。</w:t>
            </w:r>
          </w:p>
        </w:tc>
        <w:tc>
          <w:tcPr>
            <w:tcW w:w="1094" w:type="dxa"/>
            <w:noWrap w:val="0"/>
            <w:vAlign w:val="center"/>
          </w:tcPr>
          <w:p>
            <w:pPr>
              <w:spacing w:line="300" w:lineRule="exact"/>
              <w:jc w:val="center"/>
              <w:rPr>
                <w:rFonts w:ascii="宋体" w:hAnsi="宋体"/>
                <w:szCs w:val="21"/>
              </w:rPr>
            </w:pPr>
            <w:r>
              <w:rPr>
                <w:rFonts w:hint="eastAsia" w:ascii="宋体" w:hAnsi="宋体"/>
                <w:szCs w:val="21"/>
              </w:rPr>
              <w:t>40</w:t>
            </w:r>
          </w:p>
        </w:tc>
        <w:tc>
          <w:tcPr>
            <w:tcW w:w="1094" w:type="dxa"/>
            <w:noWrap w:val="0"/>
            <w:vAlign w:val="center"/>
          </w:tcPr>
          <w:p>
            <w:pPr>
              <w:spacing w:line="300" w:lineRule="exact"/>
              <w:jc w:val="center"/>
              <w:rPr>
                <w:rFonts w:ascii="宋体" w:hAnsi="宋体"/>
                <w:szCs w:val="21"/>
              </w:rPr>
            </w:pPr>
          </w:p>
        </w:tc>
      </w:tr>
    </w:tbl>
    <w:p>
      <w:pPr>
        <w:spacing w:line="360" w:lineRule="auto"/>
        <w:rPr>
          <w:rFonts w:hint="eastAsia" w:ascii="宋体" w:hAnsi="宋体"/>
          <w:szCs w:val="21"/>
        </w:rPr>
      </w:pPr>
      <w:r>
        <w:rPr>
          <w:rFonts w:hint="eastAsia" w:ascii="宋体" w:hAnsi="宋体"/>
          <w:szCs w:val="21"/>
        </w:rPr>
        <w:t>备注：</w:t>
      </w:r>
    </w:p>
    <w:p>
      <w:pPr>
        <w:spacing w:line="360" w:lineRule="auto"/>
        <w:rPr>
          <w:rFonts w:hint="eastAsia" w:ascii="宋体" w:hAnsi="宋体"/>
        </w:rPr>
      </w:pPr>
      <w:r>
        <w:rPr>
          <w:rFonts w:hint="eastAsia" w:ascii="宋体" w:hAnsi="宋体"/>
          <w:szCs w:val="21"/>
        </w:rPr>
        <w:t>（1）技术部分打分</w:t>
      </w:r>
      <w:r>
        <w:rPr>
          <w:rFonts w:hint="eastAsia" w:ascii="宋体" w:hAnsi="宋体"/>
        </w:rPr>
        <w:t>取评委的算术平均值（计算结果保留二位小数，第三位四舍五入）。</w:t>
      </w:r>
    </w:p>
    <w:p>
      <w:pPr>
        <w:spacing w:line="360" w:lineRule="auto"/>
        <w:rPr>
          <w:rFonts w:hint="eastAsia" w:ascii="宋体" w:hAnsi="宋体"/>
        </w:rPr>
      </w:pPr>
      <w:r>
        <w:rPr>
          <w:rFonts w:hint="eastAsia" w:ascii="宋体" w:hAnsi="宋体"/>
        </w:rPr>
        <w:t>（2）重大事件由评委会集体讨论，须有三分之二或以上的评委签字认可。</w:t>
      </w:r>
    </w:p>
    <w:p>
      <w:pPr>
        <w:spacing w:line="360" w:lineRule="auto"/>
        <w:rPr>
          <w:rFonts w:hint="eastAsia" w:ascii="宋体" w:hAnsi="宋体"/>
        </w:rPr>
      </w:pPr>
      <w:r>
        <w:rPr>
          <w:rFonts w:hint="eastAsia" w:ascii="宋体" w:hAnsi="宋体"/>
        </w:rPr>
        <w:t>（3）表格中分值重复的地方，下限含，上限不含。</w:t>
      </w:r>
    </w:p>
    <w:p>
      <w:pPr>
        <w:spacing w:line="360" w:lineRule="auto"/>
        <w:rPr>
          <w:rFonts w:hint="eastAsia" w:ascii="宋体" w:hAnsi="宋体"/>
          <w:b/>
          <w:szCs w:val="21"/>
        </w:rPr>
      </w:pPr>
      <w:r>
        <w:rPr>
          <w:rFonts w:hint="eastAsia" w:ascii="宋体" w:hAnsi="宋体"/>
          <w:b/>
          <w:szCs w:val="21"/>
        </w:rPr>
        <w:t>4.确定中标候选人</w:t>
      </w:r>
    </w:p>
    <w:p>
      <w:pPr>
        <w:spacing w:line="360" w:lineRule="auto"/>
        <w:ind w:firstLine="413" w:firstLineChars="196"/>
        <w:rPr>
          <w:rFonts w:hint="eastAsia" w:ascii="宋体" w:hAnsi="宋体"/>
          <w:b/>
          <w:szCs w:val="21"/>
          <w:u w:val="single"/>
        </w:rPr>
      </w:pPr>
      <w:r>
        <w:rPr>
          <w:rFonts w:hint="eastAsia" w:ascii="宋体" w:hAnsi="宋体"/>
          <w:b/>
          <w:szCs w:val="21"/>
        </w:rPr>
        <w:t>综合得分=技术分+商务分+价格分</w:t>
      </w:r>
    </w:p>
    <w:p>
      <w:pPr>
        <w:spacing w:line="360" w:lineRule="auto"/>
        <w:ind w:firstLine="422" w:firstLineChars="200"/>
        <w:rPr>
          <w:rFonts w:hint="eastAsia" w:ascii="宋体" w:hAnsi="宋体"/>
          <w:szCs w:val="21"/>
        </w:rPr>
      </w:pPr>
      <w:r>
        <w:rPr>
          <w:rFonts w:hint="eastAsia" w:ascii="宋体" w:hAnsi="宋体"/>
          <w:b/>
          <w:szCs w:val="21"/>
        </w:rPr>
        <w:t>本项目仅推荐一名中标候选人</w:t>
      </w:r>
      <w:r>
        <w:rPr>
          <w:rFonts w:hint="eastAsia" w:ascii="宋体" w:hAnsi="宋体"/>
          <w:szCs w:val="21"/>
        </w:rPr>
        <w:t>，综合得分由高到低顺序排列。</w:t>
      </w:r>
      <w:r>
        <w:rPr>
          <w:rFonts w:ascii="宋体" w:hAnsi="宋体"/>
          <w:szCs w:val="21"/>
        </w:rPr>
        <w:t>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szCs w:val="21"/>
        </w:rPr>
        <w:t>。</w:t>
      </w:r>
    </w:p>
    <w:p>
      <w:pPr>
        <w:spacing w:line="360" w:lineRule="auto"/>
        <w:rPr>
          <w:rFonts w:hint="eastAsia" w:ascii="宋体" w:hAnsi="宋体"/>
          <w:b/>
          <w:szCs w:val="21"/>
          <w:u w:val="single"/>
        </w:rPr>
      </w:pPr>
      <w:r>
        <w:rPr>
          <w:rFonts w:hint="eastAsia" w:ascii="宋体" w:hAnsi="宋体"/>
          <w:b/>
          <w:szCs w:val="21"/>
        </w:rPr>
        <w:t xml:space="preserve">    </w:t>
      </w:r>
      <w:r>
        <w:rPr>
          <w:rFonts w:hint="eastAsia" w:ascii="宋体" w:hAnsi="宋体"/>
        </w:rPr>
        <w:t>评标结果网上公告结束后，推荐中标候选人将被确定为中标供应商。</w:t>
      </w:r>
    </w:p>
    <w:p>
      <w:pPr>
        <w:tabs>
          <w:tab w:val="center" w:pos="4819"/>
          <w:tab w:val="right" w:pos="9638"/>
        </w:tabs>
        <w:spacing w:line="440" w:lineRule="exact"/>
        <w:jc w:val="center"/>
        <w:outlineLvl w:val="0"/>
        <w:rPr>
          <w:rFonts w:hint="eastAsia"/>
          <w:b/>
          <w:bCs/>
          <w:sz w:val="32"/>
          <w:szCs w:val="32"/>
        </w:rPr>
      </w:pPr>
      <w:bookmarkStart w:id="643" w:name="_Toc413319827"/>
      <w:r>
        <w:rPr>
          <w:b/>
        </w:rPr>
        <w:br w:type="page"/>
      </w:r>
      <w:r>
        <w:rPr>
          <w:rFonts w:hint="eastAsia"/>
          <w:b/>
          <w:sz w:val="32"/>
          <w:szCs w:val="32"/>
        </w:rPr>
        <w:t xml:space="preserve">第五部分  </w:t>
      </w:r>
      <w:bookmarkEnd w:id="643"/>
      <w:r>
        <w:rPr>
          <w:rFonts w:hint="eastAsia"/>
          <w:b/>
          <w:bCs/>
          <w:sz w:val="32"/>
          <w:szCs w:val="32"/>
        </w:rPr>
        <w:t>合同主要条款</w:t>
      </w:r>
    </w:p>
    <w:p>
      <w:pPr>
        <w:spacing w:line="360" w:lineRule="auto"/>
        <w:ind w:right="-176" w:rightChars="-84" w:firstLine="315" w:firstLineChars="150"/>
        <w:rPr>
          <w:rFonts w:hint="eastAsia" w:ascii="宋体" w:hAnsi="宋体"/>
          <w:szCs w:val="21"/>
        </w:rPr>
      </w:pPr>
      <w:bookmarkStart w:id="644" w:name="_Toc413319828"/>
    </w:p>
    <w:p>
      <w:pPr>
        <w:spacing w:line="360" w:lineRule="auto"/>
        <w:ind w:right="-176" w:rightChars="-84" w:firstLine="315" w:firstLineChars="150"/>
        <w:rPr>
          <w:rFonts w:ascii="宋体" w:hAnsi="宋体"/>
          <w:szCs w:val="21"/>
        </w:rPr>
      </w:pPr>
      <w:r>
        <w:rPr>
          <w:rFonts w:hint="eastAsia" w:ascii="宋体" w:hAnsi="宋体"/>
          <w:szCs w:val="21"/>
        </w:rPr>
        <w:t xml:space="preserve">甲方： </w:t>
      </w:r>
      <w:r>
        <w:rPr>
          <w:rFonts w:ascii="宋体" w:hAnsi="宋体"/>
          <w:szCs w:val="21"/>
        </w:rPr>
        <w:t xml:space="preserve">             </w:t>
      </w:r>
      <w:r>
        <w:rPr>
          <w:rFonts w:hint="eastAsia" w:ascii="宋体" w:hAnsi="宋体"/>
          <w:szCs w:val="21"/>
        </w:rPr>
        <w:t xml:space="preserve">   （以下简称“甲方” ）</w:t>
      </w:r>
    </w:p>
    <w:p>
      <w:pPr>
        <w:spacing w:line="360" w:lineRule="auto"/>
        <w:ind w:right="-176" w:rightChars="-84" w:firstLine="315" w:firstLineChars="150"/>
        <w:rPr>
          <w:rFonts w:ascii="宋体" w:hAnsi="宋体"/>
          <w:szCs w:val="21"/>
        </w:rPr>
      </w:pPr>
      <w:r>
        <w:rPr>
          <w:rFonts w:hint="eastAsia" w:ascii="宋体" w:hAnsi="宋体"/>
          <w:szCs w:val="21"/>
        </w:rPr>
        <w:t xml:space="preserve">地址：                                  </w:t>
      </w:r>
    </w:p>
    <w:p>
      <w:pPr>
        <w:spacing w:line="360" w:lineRule="auto"/>
        <w:ind w:right="-176" w:rightChars="-84" w:firstLine="315" w:firstLineChars="150"/>
        <w:rPr>
          <w:rFonts w:ascii="宋体" w:hAnsi="宋体"/>
          <w:szCs w:val="21"/>
        </w:rPr>
      </w:pPr>
      <w:r>
        <w:rPr>
          <w:rFonts w:hint="eastAsia" w:ascii="宋体" w:hAnsi="宋体"/>
          <w:szCs w:val="21"/>
        </w:rPr>
        <w:t xml:space="preserve">电话：                                  </w:t>
      </w:r>
    </w:p>
    <w:p>
      <w:pPr>
        <w:spacing w:line="360" w:lineRule="auto"/>
        <w:ind w:right="-176" w:rightChars="-84" w:firstLine="315" w:firstLineChars="150"/>
        <w:rPr>
          <w:rFonts w:ascii="宋体" w:hAnsi="宋体"/>
          <w:szCs w:val="21"/>
        </w:rPr>
      </w:pPr>
      <w:r>
        <w:rPr>
          <w:rFonts w:hint="eastAsia" w:ascii="宋体" w:hAnsi="宋体"/>
          <w:szCs w:val="21"/>
        </w:rPr>
        <w:t xml:space="preserve">乙方： </w:t>
      </w:r>
      <w:r>
        <w:rPr>
          <w:rFonts w:ascii="宋体" w:hAnsi="宋体"/>
          <w:szCs w:val="21"/>
        </w:rPr>
        <w:t xml:space="preserve">                 </w:t>
      </w:r>
      <w:r>
        <w:rPr>
          <w:rFonts w:hint="eastAsia" w:ascii="宋体" w:hAnsi="宋体"/>
          <w:szCs w:val="21"/>
        </w:rPr>
        <w:t>（以下简称“乙方” ）</w:t>
      </w:r>
    </w:p>
    <w:p>
      <w:pPr>
        <w:spacing w:line="360" w:lineRule="auto"/>
        <w:ind w:right="-176" w:rightChars="-84" w:firstLine="315" w:firstLineChars="150"/>
        <w:rPr>
          <w:rFonts w:ascii="宋体" w:hAnsi="宋体"/>
          <w:szCs w:val="21"/>
        </w:rPr>
      </w:pPr>
      <w:r>
        <w:rPr>
          <w:rFonts w:hint="eastAsia" w:ascii="宋体" w:hAnsi="宋体"/>
          <w:szCs w:val="21"/>
        </w:rPr>
        <w:t xml:space="preserve">地址：                                </w:t>
      </w:r>
    </w:p>
    <w:p>
      <w:pPr>
        <w:spacing w:line="360" w:lineRule="auto"/>
        <w:ind w:right="-176" w:rightChars="-84" w:firstLine="315" w:firstLineChars="150"/>
        <w:rPr>
          <w:rFonts w:ascii="宋体" w:hAnsi="宋体"/>
          <w:szCs w:val="21"/>
        </w:rPr>
      </w:pPr>
      <w:r>
        <w:rPr>
          <w:rFonts w:hint="eastAsia" w:ascii="宋体" w:hAnsi="宋体"/>
          <w:szCs w:val="21"/>
        </w:rPr>
        <w:t xml:space="preserve">电话：                                  </w:t>
      </w:r>
    </w:p>
    <w:p>
      <w:pPr>
        <w:spacing w:line="360" w:lineRule="auto"/>
        <w:ind w:left="-176" w:leftChars="-84" w:right="-176" w:rightChars="-84" w:firstLine="562" w:firstLineChars="200"/>
        <w:outlineLvl w:val="0"/>
        <w:rPr>
          <w:rFonts w:ascii="宋体" w:hAnsi="宋体"/>
          <w:b/>
          <w:sz w:val="28"/>
          <w:szCs w:val="28"/>
        </w:rPr>
      </w:pPr>
      <w:r>
        <w:rPr>
          <w:rFonts w:hint="eastAsia" w:ascii="宋体" w:hAnsi="宋体"/>
          <w:b/>
          <w:sz w:val="28"/>
          <w:szCs w:val="28"/>
        </w:rPr>
        <w:t>一、概述</w:t>
      </w:r>
    </w:p>
    <w:p>
      <w:pPr>
        <w:spacing w:before="120" w:beforeLines="50" w:after="120" w:afterLines="50" w:line="360" w:lineRule="auto"/>
        <w:ind w:firstLine="525" w:firstLineChars="250"/>
        <w:rPr>
          <w:rFonts w:ascii="宋体" w:hAnsi="宋体"/>
          <w:szCs w:val="21"/>
        </w:rPr>
      </w:pPr>
      <w:r>
        <w:rPr>
          <w:rFonts w:hint="eastAsia" w:ascii="宋体" w:hAnsi="宋体"/>
          <w:szCs w:val="21"/>
        </w:rPr>
        <w:t xml:space="preserve">滨海开发区治安动态视频监控系统二期扩容租赁服务采购项目（以下简称"本项目"）由乙方提供该信息服务项目的光纤物理线路、引电工程、补光工程及相关设备集成建设、维护、业务开通、业务调整、日常运行、系统升级等相关服务。本合同的适用法律为《中华人民共和国合同法》及其他有关法律、法规、规定。双方以真诚合作的态度，就如下条款达成一致，并特签署此合同。合同具体条款如下：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（一）工程地点：滨海开发区。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（二）合同商务部分语言文字：中文；技术文件文字：中文。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（三）合同组成文件： </w:t>
      </w:r>
    </w:p>
    <w:p>
      <w:pPr>
        <w:spacing w:line="360" w:lineRule="auto"/>
        <w:ind w:left="-176" w:leftChars="-84" w:right="-176" w:rightChars="-84" w:firstLine="420" w:firstLineChars="200"/>
        <w:rPr>
          <w:rFonts w:ascii="宋体" w:hAnsi="宋体"/>
          <w:szCs w:val="21"/>
        </w:rPr>
      </w:pPr>
      <w:r>
        <w:rPr>
          <w:rFonts w:hint="eastAsia" w:ascii="宋体" w:hAnsi="宋体"/>
          <w:szCs w:val="21"/>
        </w:rPr>
        <w:t>1、在本项目有效期内，合同双方一致同意的所有书面文件。</w:t>
      </w:r>
    </w:p>
    <w:p>
      <w:pPr>
        <w:spacing w:line="360" w:lineRule="auto"/>
        <w:ind w:left="-176" w:leftChars="-84" w:right="-176" w:rightChars="-84" w:firstLine="420" w:firstLineChars="200"/>
        <w:rPr>
          <w:rFonts w:ascii="宋体" w:hAnsi="宋体"/>
          <w:szCs w:val="21"/>
        </w:rPr>
      </w:pPr>
      <w:r>
        <w:rPr>
          <w:rFonts w:hint="eastAsia" w:ascii="宋体" w:hAnsi="宋体"/>
          <w:szCs w:val="21"/>
        </w:rPr>
        <w:t>2、本项目设计文件、招标文件、 投标文件。</w:t>
      </w:r>
    </w:p>
    <w:p>
      <w:pPr>
        <w:spacing w:line="360" w:lineRule="auto"/>
        <w:ind w:left="-176" w:leftChars="-84" w:right="-176" w:rightChars="-84" w:firstLine="420" w:firstLineChars="200"/>
        <w:rPr>
          <w:rFonts w:ascii="宋体" w:hAnsi="宋体"/>
          <w:szCs w:val="21"/>
        </w:rPr>
      </w:pPr>
      <w:r>
        <w:rPr>
          <w:rFonts w:hint="eastAsia" w:ascii="宋体" w:hAnsi="宋体"/>
          <w:szCs w:val="21"/>
        </w:rPr>
        <w:t>3、若上述合同组成文件与本合同抵触，以本合同书为准。</w:t>
      </w:r>
    </w:p>
    <w:p>
      <w:pPr>
        <w:spacing w:line="360" w:lineRule="auto"/>
        <w:ind w:left="-176" w:leftChars="-84" w:right="-176" w:rightChars="-84" w:firstLine="562" w:firstLineChars="200"/>
        <w:outlineLvl w:val="0"/>
        <w:rPr>
          <w:rFonts w:ascii="宋体" w:hAnsi="宋体"/>
          <w:b/>
          <w:sz w:val="28"/>
          <w:szCs w:val="28"/>
        </w:rPr>
      </w:pPr>
      <w:r>
        <w:rPr>
          <w:rFonts w:hint="eastAsia" w:ascii="宋体" w:hAnsi="宋体"/>
          <w:b/>
          <w:sz w:val="28"/>
          <w:szCs w:val="28"/>
        </w:rPr>
        <w:t>二、合同主要内容</w:t>
      </w:r>
    </w:p>
    <w:p>
      <w:pPr>
        <w:spacing w:line="360" w:lineRule="auto"/>
        <w:ind w:left="-176" w:leftChars="-84" w:right="-176" w:rightChars="-84" w:firstLine="420" w:firstLineChars="200"/>
        <w:rPr>
          <w:rFonts w:ascii="宋体" w:hAnsi="宋体"/>
          <w:szCs w:val="21"/>
        </w:rPr>
      </w:pPr>
      <w:r>
        <w:rPr>
          <w:rFonts w:hint="eastAsia" w:ascii="宋体" w:hAnsi="宋体"/>
          <w:szCs w:val="21"/>
        </w:rPr>
        <w:t>1、提供所涉及到的设备和材料并进行监控系统的安装调试；系统光纤网络建设；系统供电建设；系统信息服务相关的技术支持和技术培训；系统相关技术服务（含系统管理、运行维护、系统保障、性能调优、故障排除、例行巡检、应急服务、逐年升级）等。</w:t>
      </w:r>
    </w:p>
    <w:p>
      <w:pPr>
        <w:spacing w:line="360" w:lineRule="auto"/>
        <w:ind w:left="-176" w:leftChars="-84" w:right="-176" w:rightChars="-84" w:firstLine="420" w:firstLineChars="200"/>
        <w:rPr>
          <w:rFonts w:ascii="宋体" w:hAnsi="宋体"/>
          <w:szCs w:val="21"/>
        </w:rPr>
      </w:pPr>
      <w:r>
        <w:rPr>
          <w:rFonts w:hint="eastAsia" w:ascii="宋体" w:hAnsi="宋体"/>
          <w:szCs w:val="21"/>
        </w:rPr>
        <w:t>2、本项目自乙方安装调试完成，通过甲方会同慈溪市公安局技防管理部门组织相关人员验收，验收合格交付甲方使用时，信息服务费用随即开始按年度收取。本设计方案涉及的点位全部安装结束并通过试运行后组织验收。后续增加点位按本次招标的价格和技术要求分批建设和验收。</w:t>
      </w:r>
    </w:p>
    <w:p>
      <w:pPr>
        <w:spacing w:line="360" w:lineRule="auto"/>
        <w:ind w:left="-176" w:leftChars="-84" w:right="-176" w:rightChars="-84" w:firstLine="420" w:firstLineChars="200"/>
        <w:rPr>
          <w:rFonts w:ascii="宋体" w:hAnsi="宋体"/>
          <w:szCs w:val="21"/>
        </w:rPr>
      </w:pPr>
      <w:r>
        <w:rPr>
          <w:rFonts w:ascii="宋体" w:hAnsi="宋体"/>
          <w:szCs w:val="21"/>
        </w:rPr>
        <w:t>3</w:t>
      </w:r>
      <w:r>
        <w:rPr>
          <w:rFonts w:hint="eastAsia" w:ascii="宋体" w:hAnsi="宋体"/>
          <w:szCs w:val="21"/>
        </w:rPr>
        <w:t>、本项目工程建设需要与滨海区监控一期平台和市级天网工程中心平台进行规范化无缝联网、对接。</w:t>
      </w:r>
      <w:r>
        <w:rPr>
          <w:rFonts w:ascii="宋体" w:hAnsi="宋体"/>
          <w:szCs w:val="21"/>
        </w:rPr>
        <w:t xml:space="preserve"> </w:t>
      </w:r>
    </w:p>
    <w:p>
      <w:pPr>
        <w:spacing w:line="360" w:lineRule="auto"/>
        <w:ind w:left="-176" w:leftChars="-84" w:right="-176" w:rightChars="-84" w:firstLine="420" w:firstLineChars="200"/>
        <w:rPr>
          <w:rFonts w:ascii="宋体" w:hAnsi="宋体"/>
          <w:szCs w:val="21"/>
        </w:rPr>
      </w:pPr>
      <w:r>
        <w:rPr>
          <w:rFonts w:ascii="宋体" w:hAnsi="宋体"/>
          <w:szCs w:val="21"/>
        </w:rPr>
        <w:t>4</w:t>
      </w:r>
      <w:r>
        <w:rPr>
          <w:rFonts w:hint="eastAsia" w:ascii="宋体" w:hAnsi="宋体"/>
          <w:szCs w:val="21"/>
        </w:rPr>
        <w:t>、项目开工前，甲方有权按实际需要调整最终建设点位数量和布点位置。甲乙双方可拟定点位确认表模板。</w:t>
      </w:r>
    </w:p>
    <w:p>
      <w:pPr>
        <w:spacing w:line="360" w:lineRule="auto"/>
        <w:ind w:right="-176" w:rightChars="-84"/>
        <w:rPr>
          <w:rFonts w:ascii="宋体" w:hAnsi="宋体"/>
          <w:szCs w:val="21"/>
        </w:rPr>
      </w:pPr>
      <w:r>
        <w:rPr>
          <w:rFonts w:hint="eastAsia" w:ascii="宋体" w:hAnsi="宋体"/>
          <w:szCs w:val="21"/>
        </w:rPr>
        <w:t xml:space="preserve">  </w:t>
      </w:r>
      <w:r>
        <w:rPr>
          <w:rFonts w:ascii="宋体" w:hAnsi="宋体"/>
          <w:szCs w:val="21"/>
        </w:rPr>
        <w:t>5</w:t>
      </w:r>
      <w:r>
        <w:rPr>
          <w:rFonts w:hint="eastAsia" w:ascii="宋体" w:hAnsi="宋体"/>
          <w:szCs w:val="21"/>
        </w:rPr>
        <w:t>、市电引电工程。包括从控制箱到市电连接处的材料及施工、维护费。如需安装电表箱，由中标单位协调。</w:t>
      </w:r>
    </w:p>
    <w:p>
      <w:pPr>
        <w:spacing w:line="360" w:lineRule="auto"/>
        <w:ind w:right="-176" w:rightChars="-84" w:firstLine="315" w:firstLineChars="150"/>
        <w:rPr>
          <w:rFonts w:ascii="宋体" w:hAnsi="宋体"/>
          <w:szCs w:val="21"/>
        </w:rPr>
      </w:pPr>
      <w:r>
        <w:rPr>
          <w:rFonts w:ascii="宋体" w:hAnsi="宋体"/>
          <w:szCs w:val="21"/>
        </w:rPr>
        <w:t>6</w:t>
      </w:r>
      <w:r>
        <w:rPr>
          <w:rFonts w:hint="eastAsia" w:ascii="宋体" w:hAnsi="宋体"/>
          <w:szCs w:val="21"/>
        </w:rPr>
        <w:t>、乙方应确保监控平台及网络系统能够满足后续项目扩容需要。</w:t>
      </w:r>
    </w:p>
    <w:p>
      <w:pPr>
        <w:spacing w:line="360" w:lineRule="auto"/>
        <w:ind w:right="-176" w:rightChars="-84" w:firstLine="315" w:firstLineChars="150"/>
        <w:rPr>
          <w:rFonts w:ascii="宋体" w:hAnsi="宋体"/>
          <w:szCs w:val="21"/>
        </w:rPr>
      </w:pPr>
      <w:r>
        <w:rPr>
          <w:rFonts w:ascii="宋体" w:hAnsi="宋体"/>
          <w:szCs w:val="21"/>
        </w:rPr>
        <w:t>7</w:t>
      </w:r>
      <w:r>
        <w:rPr>
          <w:rFonts w:hint="eastAsia" w:ascii="宋体" w:hAnsi="宋体"/>
          <w:szCs w:val="21"/>
        </w:rPr>
        <w:t>、 规划区块新增点位技术要求甲方可根据后续技术要求进行设备选型，乙方须充分配合，且资费不得高于本次招标价格；</w:t>
      </w:r>
    </w:p>
    <w:p>
      <w:pPr>
        <w:spacing w:line="360" w:lineRule="auto"/>
        <w:ind w:right="-176" w:rightChars="-84" w:firstLine="315" w:firstLineChars="150"/>
        <w:rPr>
          <w:rFonts w:ascii="宋体" w:hAnsi="宋体"/>
          <w:szCs w:val="21"/>
        </w:rPr>
      </w:pPr>
      <w:r>
        <w:rPr>
          <w:rFonts w:ascii="宋体" w:hAnsi="宋体"/>
          <w:szCs w:val="21"/>
        </w:rPr>
        <w:t>8</w:t>
      </w:r>
      <w:r>
        <w:rPr>
          <w:rFonts w:hint="eastAsia" w:ascii="宋体" w:hAnsi="宋体"/>
          <w:szCs w:val="21"/>
        </w:rPr>
        <w:t>、本次工程施工安全由乙方负责评估，乙方须确保项目施工无安全责任事故，后续所有施工、维护责任和甲方没有关系，甲方有权按相关规定检查指导乙方工作情况。</w:t>
      </w:r>
    </w:p>
    <w:p>
      <w:pPr>
        <w:spacing w:line="360" w:lineRule="auto"/>
        <w:ind w:right="-176" w:rightChars="-84" w:firstLine="315" w:firstLineChars="150"/>
        <w:rPr>
          <w:rFonts w:ascii="宋体" w:hAnsi="宋体"/>
          <w:szCs w:val="21"/>
        </w:rPr>
      </w:pPr>
      <w:r>
        <w:rPr>
          <w:rFonts w:ascii="宋体" w:hAnsi="宋体"/>
          <w:szCs w:val="21"/>
        </w:rPr>
        <w:t>9</w:t>
      </w:r>
      <w:r>
        <w:rPr>
          <w:rFonts w:hint="eastAsia" w:ascii="宋体" w:hAnsi="宋体"/>
          <w:szCs w:val="21"/>
        </w:rPr>
        <w:t>、人脸抓拍及全结构化设备的业务功能必须满足市局所设定的技术标准并实现所需业务功能。</w:t>
      </w:r>
    </w:p>
    <w:p>
      <w:pPr>
        <w:spacing w:line="360" w:lineRule="auto"/>
        <w:ind w:right="-176" w:rightChars="-84" w:firstLine="315" w:firstLineChars="15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、监控指挥中心大屏拼接系统的改造需包含整体装修布局，与原指挥中心保持美观一致性，且整个系统需与触摸显示系统及三维地图系统无缝对接,具体装修方案由各投标人自行实地勘测，最终方案报甲方确认。</w:t>
      </w:r>
    </w:p>
    <w:p>
      <w:pPr>
        <w:spacing w:line="360" w:lineRule="auto"/>
        <w:ind w:right="-176" w:rightChars="-84" w:firstLine="315" w:firstLineChars="15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、所有前端感知设备的结构化数据及视频数据需与慈溪市公安局大数据中心无缝对接，保证人、车、电瓶车等全结构化大数据分析应用。</w:t>
      </w:r>
    </w:p>
    <w:p>
      <w:pPr>
        <w:spacing w:line="360" w:lineRule="auto"/>
        <w:ind w:right="-176" w:rightChars="-84" w:firstLine="315" w:firstLineChars="15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、所有前端感知设备需满足滨海开发区治安防控建设5年的规划要求，保证系统的先进性及可延续性。</w:t>
      </w:r>
    </w:p>
    <w:p>
      <w:pPr>
        <w:spacing w:line="360" w:lineRule="auto"/>
        <w:ind w:right="-176" w:rightChars="-84" w:firstLine="315" w:firstLineChars="150"/>
        <w:rPr>
          <w:rFonts w:ascii="宋体" w:hAnsi="宋体"/>
          <w:szCs w:val="21"/>
        </w:rPr>
      </w:pPr>
      <w:r>
        <w:rPr>
          <w:rFonts w:hint="eastAsia" w:ascii="宋体" w:hAnsi="宋体"/>
          <w:szCs w:val="21"/>
        </w:rPr>
        <w:t>13、三维地图更新服务，三维地图展示系统建设完成后须保证整个租期（五年）内免费更新，软件更新进度须与开发区建设进步保持同步，否则，租赁服务费不予支付。</w:t>
      </w:r>
    </w:p>
    <w:p>
      <w:pPr>
        <w:spacing w:line="360" w:lineRule="auto"/>
        <w:ind w:left="-176" w:leftChars="-84" w:right="-176" w:rightChars="-84" w:firstLine="562" w:firstLineChars="200"/>
        <w:outlineLvl w:val="0"/>
        <w:rPr>
          <w:rFonts w:ascii="宋体" w:hAnsi="宋体"/>
          <w:b/>
          <w:sz w:val="28"/>
          <w:szCs w:val="28"/>
        </w:rPr>
      </w:pPr>
      <w:r>
        <w:rPr>
          <w:rFonts w:hint="eastAsia" w:ascii="宋体" w:hAnsi="宋体"/>
          <w:b/>
          <w:sz w:val="28"/>
          <w:szCs w:val="28"/>
        </w:rPr>
        <w:t xml:space="preserve">三、权利和义务 </w:t>
      </w:r>
    </w:p>
    <w:p>
      <w:pPr>
        <w:spacing w:line="360" w:lineRule="auto"/>
        <w:ind w:left="-176" w:leftChars="-84" w:right="-176" w:rightChars="-84" w:firstLine="420" w:firstLineChars="200"/>
        <w:outlineLvl w:val="0"/>
        <w:rPr>
          <w:rFonts w:ascii="宋体" w:hAnsi="宋体"/>
          <w:szCs w:val="21"/>
        </w:rPr>
      </w:pPr>
      <w:r>
        <w:rPr>
          <w:rFonts w:hint="eastAsia" w:ascii="宋体" w:hAnsi="宋体"/>
          <w:szCs w:val="21"/>
        </w:rPr>
        <w:t xml:space="preserve">（一）甲方的权利 </w:t>
      </w:r>
    </w:p>
    <w:p>
      <w:pPr>
        <w:spacing w:line="360" w:lineRule="auto"/>
        <w:ind w:left="-176" w:leftChars="-84" w:right="-176" w:rightChars="-84" w:firstLine="420" w:firstLineChars="200"/>
        <w:rPr>
          <w:rFonts w:ascii="宋体" w:hAnsi="宋体"/>
          <w:szCs w:val="21"/>
        </w:rPr>
      </w:pPr>
      <w:r>
        <w:rPr>
          <w:rFonts w:hint="eastAsia" w:ascii="宋体" w:hAnsi="宋体"/>
          <w:szCs w:val="21"/>
        </w:rPr>
        <w:t>1、本项目的总体架构和技术标准按设计方案执行。</w:t>
      </w:r>
    </w:p>
    <w:p>
      <w:pPr>
        <w:spacing w:line="360" w:lineRule="auto"/>
        <w:ind w:left="-176" w:leftChars="-84" w:right="-176" w:rightChars="-84" w:firstLine="420" w:firstLineChars="200"/>
        <w:rPr>
          <w:rFonts w:ascii="宋体" w:hAnsi="宋体"/>
          <w:szCs w:val="21"/>
        </w:rPr>
      </w:pPr>
      <w:r>
        <w:rPr>
          <w:rFonts w:ascii="宋体" w:hAnsi="宋体"/>
          <w:szCs w:val="21"/>
        </w:rPr>
        <w:t>2</w:t>
      </w:r>
      <w:r>
        <w:rPr>
          <w:rFonts w:hint="eastAsia" w:ascii="宋体" w:hAnsi="宋体"/>
          <w:szCs w:val="21"/>
        </w:rPr>
        <w:t>、甲方要求乙方承建本项目时应遵循开放系统的原则，能提供符合国际标准的软件、硬件、通信、网络、操作系统和数据库管理系统等方面的接口和协议，并为今后的二次开发预留接口。</w:t>
      </w:r>
    </w:p>
    <w:p>
      <w:pPr>
        <w:spacing w:line="360" w:lineRule="auto"/>
        <w:ind w:left="-176" w:leftChars="-84" w:right="-176" w:rightChars="-84" w:firstLine="420" w:firstLineChars="200"/>
        <w:rPr>
          <w:rFonts w:ascii="宋体" w:hAnsi="宋体"/>
          <w:szCs w:val="21"/>
        </w:rPr>
      </w:pPr>
      <w:r>
        <w:rPr>
          <w:rFonts w:ascii="宋体" w:hAnsi="宋体"/>
          <w:szCs w:val="21"/>
        </w:rPr>
        <w:t>3</w:t>
      </w:r>
      <w:r>
        <w:rPr>
          <w:rFonts w:hint="eastAsia" w:ascii="宋体" w:hAnsi="宋体"/>
          <w:szCs w:val="21"/>
        </w:rPr>
        <w:t>、本项目中图像数据的所有权归属甲方，未经甲方同意，乙方不得私自泄露、转让给第三方使用，一经发现按相关法律法规进行处理。</w:t>
      </w:r>
    </w:p>
    <w:p>
      <w:pPr>
        <w:spacing w:line="360" w:lineRule="auto"/>
        <w:ind w:left="-176" w:leftChars="-84" w:right="-176" w:rightChars="-84" w:firstLine="420" w:firstLineChars="200"/>
        <w:rPr>
          <w:rFonts w:ascii="宋体" w:hAnsi="宋体"/>
          <w:szCs w:val="21"/>
        </w:rPr>
      </w:pPr>
      <w:r>
        <w:rPr>
          <w:rFonts w:ascii="宋体" w:hAnsi="宋体"/>
          <w:szCs w:val="21"/>
        </w:rPr>
        <w:t>4</w:t>
      </w:r>
      <w:r>
        <w:rPr>
          <w:rFonts w:hint="eastAsia" w:ascii="宋体" w:hAnsi="宋体"/>
          <w:szCs w:val="21"/>
        </w:rPr>
        <w:t>、本项目的账号管理权、图像应用及管理权归属甲方，乙方须进行信息安全培训，可由甲方组织。</w:t>
      </w:r>
    </w:p>
    <w:p>
      <w:pPr>
        <w:spacing w:line="360" w:lineRule="auto"/>
        <w:ind w:left="-176" w:leftChars="-84" w:right="-176" w:rightChars="-84" w:firstLine="420" w:firstLineChars="200"/>
        <w:rPr>
          <w:rFonts w:ascii="宋体" w:hAnsi="宋体"/>
          <w:szCs w:val="21"/>
        </w:rPr>
      </w:pPr>
      <w:r>
        <w:rPr>
          <w:rFonts w:ascii="宋体" w:hAnsi="宋体"/>
          <w:szCs w:val="21"/>
        </w:rPr>
        <w:t>5</w:t>
      </w:r>
      <w:r>
        <w:rPr>
          <w:rFonts w:hint="eastAsia" w:ascii="宋体" w:hAnsi="宋体"/>
          <w:szCs w:val="21"/>
        </w:rPr>
        <w:t>、甲方对乙方的平台不能正常运行或因平台技术维护原因造成图像数据丢失有权要求乙方及时改进。如遇乙方平台技术升级、承载网链路割接等，在征得甲方同意的基础上，乙方应提前1天通知甲方，说明可能造成的影响和范围，并确保每次平台技术升级和承载网链路割接在 3天内完成。 乙方应将相关实施方案报甲方审核同意后实施，否则按违约和系统故障进行扣费处理。</w:t>
      </w:r>
    </w:p>
    <w:p>
      <w:pPr>
        <w:spacing w:line="360" w:lineRule="auto"/>
        <w:ind w:left="-176" w:leftChars="-84" w:right="-176" w:rightChars="-84" w:firstLine="420" w:firstLineChars="200"/>
        <w:rPr>
          <w:rFonts w:ascii="宋体" w:hAnsi="宋体"/>
          <w:szCs w:val="21"/>
        </w:rPr>
      </w:pPr>
      <w:r>
        <w:rPr>
          <w:rFonts w:ascii="宋体" w:hAnsi="宋体"/>
          <w:szCs w:val="21"/>
        </w:rPr>
        <w:t>6</w:t>
      </w:r>
      <w:r>
        <w:rPr>
          <w:rFonts w:hint="eastAsia" w:ascii="宋体" w:hAnsi="宋体"/>
          <w:szCs w:val="21"/>
        </w:rPr>
        <w:t>、在项目运营期内甲方有权要求乙方及时更新系统技术水准，提升服务水平，以满足甲方业务需求优先。</w:t>
      </w:r>
    </w:p>
    <w:p>
      <w:pPr>
        <w:spacing w:line="360" w:lineRule="auto"/>
        <w:ind w:left="-176" w:leftChars="-84" w:right="-176" w:rightChars="-84" w:firstLine="420" w:firstLineChars="200"/>
        <w:outlineLvl w:val="0"/>
        <w:rPr>
          <w:rFonts w:ascii="宋体" w:hAnsi="宋体"/>
          <w:szCs w:val="21"/>
        </w:rPr>
      </w:pPr>
      <w:r>
        <w:rPr>
          <w:rFonts w:hint="eastAsia" w:ascii="宋体" w:hAnsi="宋体"/>
          <w:szCs w:val="21"/>
        </w:rPr>
        <w:t xml:space="preserve">（二）甲方的义务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1、合理使用相关的线路与设备，不得将本项目进行经营性活动或转租、转让给其他任何单位或个人使用。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2、保证由甲方自行投资并连接到本项目的有关设备符合国家主管部门规定的质量标准和技术要求，保证符合相关的技术标准和规范。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3、应根据合同规定按时支付相关费用。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4、甲方应配合乙方进行本项目建设安装工作中的相关协调事宜和各项准备工作。主要包括：协助乙方做好相关部门的协调工作，如建设、电力、城管、交通、娱乐场所、机关单位等各部门，配合乙方完成前期准备工作。 </w:t>
      </w:r>
    </w:p>
    <w:p>
      <w:pPr>
        <w:spacing w:line="360" w:lineRule="auto"/>
        <w:ind w:left="-176" w:leftChars="-84" w:right="-176" w:rightChars="-84" w:firstLine="420" w:firstLineChars="200"/>
        <w:rPr>
          <w:rFonts w:ascii="宋体" w:hAnsi="宋体"/>
          <w:szCs w:val="21"/>
        </w:rPr>
      </w:pPr>
      <w:r>
        <w:rPr>
          <w:rFonts w:hint="eastAsia" w:ascii="宋体" w:hAnsi="宋体"/>
          <w:szCs w:val="21"/>
        </w:rPr>
        <w:t>5、甲乙双方应当维护置于甲方场地内的乙方设备的安全，如因人为原因损坏或失窃，费用由责任方承担，在未找到责任人前，乙方有义务先行修复，以保证系统的正常运行，否则按故障处理。乙方向责任方追究索赔，甲方协助解决。</w:t>
      </w:r>
    </w:p>
    <w:p>
      <w:pPr>
        <w:spacing w:line="360" w:lineRule="auto"/>
        <w:ind w:left="-176" w:leftChars="-84" w:right="-176" w:rightChars="-84" w:firstLine="420" w:firstLineChars="200"/>
        <w:rPr>
          <w:rFonts w:ascii="宋体" w:hAnsi="宋体"/>
          <w:szCs w:val="21"/>
        </w:rPr>
      </w:pPr>
      <w:r>
        <w:rPr>
          <w:rFonts w:hint="eastAsia" w:ascii="宋体" w:hAnsi="宋体"/>
          <w:szCs w:val="21"/>
        </w:rPr>
        <w:t>6 、甲方负责整个系统运营的电费。</w:t>
      </w:r>
    </w:p>
    <w:p>
      <w:pPr>
        <w:spacing w:line="360" w:lineRule="auto"/>
        <w:ind w:left="-176" w:leftChars="-84" w:right="-176" w:rightChars="-84" w:firstLine="420" w:firstLineChars="200"/>
        <w:outlineLvl w:val="0"/>
        <w:rPr>
          <w:rFonts w:ascii="宋体" w:hAnsi="宋体"/>
          <w:szCs w:val="21"/>
        </w:rPr>
      </w:pPr>
      <w:r>
        <w:rPr>
          <w:rFonts w:hint="eastAsia" w:ascii="宋体" w:hAnsi="宋体"/>
          <w:szCs w:val="21"/>
        </w:rPr>
        <w:t xml:space="preserve">（三）乙方的权利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1、乙方有权按照合同，收取相关费用，以保证本项目的正常运营。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2、如甲方在签署合同后，不能按时履行付款义务，乙方按照合同约定，有权停止欠费方的本合同项下有关的服务和业务，并有权对所欠费用进行追缴。 </w:t>
      </w:r>
    </w:p>
    <w:p>
      <w:pPr>
        <w:spacing w:line="360" w:lineRule="auto"/>
        <w:ind w:left="-176" w:leftChars="-84" w:right="-176" w:rightChars="-84" w:firstLine="420" w:firstLineChars="200"/>
        <w:outlineLvl w:val="0"/>
        <w:rPr>
          <w:rFonts w:ascii="宋体" w:hAnsi="宋体"/>
          <w:szCs w:val="21"/>
        </w:rPr>
      </w:pPr>
      <w:r>
        <w:rPr>
          <w:rFonts w:hint="eastAsia" w:ascii="宋体" w:hAnsi="宋体"/>
          <w:szCs w:val="21"/>
        </w:rPr>
        <w:t>（四）乙方的义务</w:t>
      </w:r>
    </w:p>
    <w:p>
      <w:pPr>
        <w:spacing w:line="360" w:lineRule="auto"/>
        <w:ind w:left="-176" w:leftChars="-84" w:right="-176" w:rightChars="-84" w:firstLine="420" w:firstLineChars="200"/>
        <w:rPr>
          <w:rFonts w:ascii="宋体" w:hAnsi="宋体"/>
          <w:szCs w:val="21"/>
        </w:rPr>
      </w:pPr>
      <w:r>
        <w:rPr>
          <w:rFonts w:hint="eastAsia" w:ascii="宋体" w:hAnsi="宋体"/>
          <w:szCs w:val="21"/>
        </w:rPr>
        <w:t>1、</w:t>
      </w:r>
      <w:r>
        <w:rPr>
          <w:rFonts w:ascii="宋体" w:hAnsi="宋体"/>
          <w:szCs w:val="21"/>
        </w:rPr>
        <w:t>乙方</w:t>
      </w:r>
      <w:r>
        <w:rPr>
          <w:rFonts w:hint="eastAsia" w:ascii="宋体" w:hAnsi="宋体"/>
          <w:szCs w:val="21"/>
        </w:rPr>
        <w:t>需承诺保证所供监控主设备在租赁期内的先进性，且不断完善系统功能，确保甲方应用的需求。最低标准为：软件平台和硬件设备须保持和市级天网设备同步升级，满足市公安局相关技术要求。</w:t>
      </w:r>
    </w:p>
    <w:p>
      <w:pPr>
        <w:spacing w:line="360" w:lineRule="auto"/>
        <w:ind w:left="-176" w:leftChars="-84" w:right="-176" w:rightChars="-84" w:firstLine="420" w:firstLineChars="200"/>
        <w:rPr>
          <w:rFonts w:ascii="宋体" w:hAnsi="宋体"/>
          <w:szCs w:val="21"/>
        </w:rPr>
      </w:pPr>
      <w:r>
        <w:rPr>
          <w:rFonts w:hint="eastAsia" w:ascii="宋体" w:hAnsi="宋体"/>
          <w:szCs w:val="21"/>
        </w:rPr>
        <w:t>2、乙方需在签订合同前，提供监控主设备厂家的质量保证书和售后服务承诺书盖章原件。</w:t>
      </w:r>
    </w:p>
    <w:p>
      <w:pPr>
        <w:spacing w:line="360" w:lineRule="auto"/>
        <w:ind w:firstLine="210" w:firstLineChars="100"/>
        <w:rPr>
          <w:rFonts w:ascii="宋体" w:hAnsi="Calibri"/>
          <w:sz w:val="24"/>
        </w:rPr>
      </w:pPr>
      <w:r>
        <w:rPr>
          <w:rFonts w:ascii="宋体" w:hAnsi="宋体"/>
          <w:szCs w:val="21"/>
        </w:rPr>
        <w:t>3</w:t>
      </w:r>
      <w:r>
        <w:rPr>
          <w:rFonts w:hint="eastAsia" w:ascii="宋体" w:hAnsi="宋体"/>
          <w:szCs w:val="21"/>
        </w:rPr>
        <w:t>、乙方按设计要求进行施工，保证所提供设备达到整套系统运行质量要求，</w:t>
      </w:r>
      <w:r>
        <w:rPr>
          <w:rFonts w:hint="eastAsia" w:ascii="宋体" w:hAnsi="Calibri"/>
          <w:szCs w:val="21"/>
        </w:rPr>
        <w:t>符合招标文件、国家相关主管部门的质量标准和技术要求（标准不一致时，按高标准要求执行），</w:t>
      </w:r>
      <w:r>
        <w:rPr>
          <w:rFonts w:hint="eastAsia" w:ascii="宋体" w:hAnsi="宋体"/>
          <w:szCs w:val="21"/>
        </w:rPr>
        <w:t>保证满足甲方正常工作需求。</w:t>
      </w:r>
    </w:p>
    <w:p>
      <w:pPr>
        <w:spacing w:line="360" w:lineRule="auto"/>
        <w:ind w:left="-176" w:leftChars="-84" w:right="-176" w:rightChars="-84" w:firstLine="420" w:firstLineChars="200"/>
        <w:rPr>
          <w:rFonts w:ascii="宋体" w:hAnsi="宋体"/>
          <w:szCs w:val="21"/>
        </w:rPr>
      </w:pPr>
      <w:r>
        <w:rPr>
          <w:rFonts w:ascii="宋体" w:hAnsi="宋体"/>
          <w:szCs w:val="21"/>
        </w:rPr>
        <w:t>4</w:t>
      </w:r>
      <w:r>
        <w:rPr>
          <w:rFonts w:hint="eastAsia" w:ascii="宋体" w:hAnsi="宋体"/>
          <w:szCs w:val="21"/>
        </w:rPr>
        <w:t>、乙方投标文件中提供的技术方案和设备配置如低于甲方设计方案的要求，乙方有义务按照设计方案执行。项目执行过程中，当投标设备停产或升级时，乙方可提供更改后的设备供甲方使用，设备标准不得低于招标文件中规定的技术要求，且服务价格不变。乙方按照设计方案的要求，对每个监控点位具体布局进行勘察和深化设计，供甲方决策。</w:t>
      </w:r>
    </w:p>
    <w:p>
      <w:pPr>
        <w:spacing w:line="360" w:lineRule="auto"/>
        <w:ind w:firstLine="315" w:firstLineChars="150"/>
        <w:rPr>
          <w:rFonts w:ascii="宋体" w:hAnsi="Calibri"/>
          <w:sz w:val="24"/>
        </w:rPr>
      </w:pPr>
      <w:r>
        <w:rPr>
          <w:rFonts w:ascii="宋体" w:hAnsi="宋体"/>
          <w:szCs w:val="21"/>
        </w:rPr>
        <w:t>5</w:t>
      </w:r>
      <w:r>
        <w:rPr>
          <w:rFonts w:hint="eastAsia" w:ascii="宋体" w:hAnsi="宋体"/>
          <w:szCs w:val="21"/>
        </w:rPr>
        <w:t>、</w:t>
      </w:r>
      <w:r>
        <w:rPr>
          <w:rFonts w:hint="eastAsia" w:ascii="宋体" w:hAnsi="Calibri"/>
          <w:szCs w:val="21"/>
        </w:rPr>
        <w:t>乙方必须接受甲方、监理对于项目的管理和监督，及时向甲方和监理同时提交各种设计深化方案、实施方案、计划、报告等项目文档。针对监理对项目实施过程中指出的问题，应该积极给予答复并解决。对于监理提出的整改要求应服从并实施整改措施。</w:t>
      </w:r>
      <w:r>
        <w:rPr>
          <w:rFonts w:hint="eastAsia" w:ascii="宋体" w:hAnsi="宋体"/>
          <w:szCs w:val="21"/>
        </w:rPr>
        <w:t>乙方可就甲方的设计方案提出优化建议，经设计、监理单位和甲方确认后执行，服务费价格不变。</w:t>
      </w:r>
    </w:p>
    <w:p>
      <w:pPr>
        <w:spacing w:line="360" w:lineRule="auto"/>
        <w:ind w:left="-176" w:leftChars="-84" w:right="-176" w:rightChars="-84" w:firstLine="420" w:firstLineChars="200"/>
        <w:rPr>
          <w:rFonts w:ascii="宋体" w:hAnsi="宋体"/>
          <w:szCs w:val="21"/>
        </w:rPr>
      </w:pPr>
      <w:r>
        <w:rPr>
          <w:rFonts w:ascii="宋体" w:hAnsi="宋体"/>
          <w:szCs w:val="21"/>
        </w:rPr>
        <w:t>6</w:t>
      </w:r>
      <w:r>
        <w:rPr>
          <w:rFonts w:hint="eastAsia" w:ascii="宋体" w:hAnsi="宋体"/>
          <w:szCs w:val="21"/>
        </w:rPr>
        <w:t>、乙方基于公共网络运营商的治安监控工程，建立视频光纤承载专用网（不得使用裸光纤，不得与其他网络共网共用），保证数据的安全。</w:t>
      </w:r>
    </w:p>
    <w:p>
      <w:pPr>
        <w:spacing w:line="360" w:lineRule="auto"/>
        <w:ind w:left="-176" w:leftChars="-84" w:right="-176" w:rightChars="-84" w:firstLine="420" w:firstLineChars="200"/>
        <w:rPr>
          <w:rFonts w:ascii="宋体" w:hAnsi="宋体"/>
          <w:szCs w:val="21"/>
        </w:rPr>
      </w:pPr>
      <w:r>
        <w:rPr>
          <w:rFonts w:ascii="宋体" w:hAnsi="宋体"/>
          <w:szCs w:val="21"/>
        </w:rPr>
        <w:t>7</w:t>
      </w:r>
      <w:r>
        <w:rPr>
          <w:rFonts w:hint="eastAsia" w:ascii="宋体" w:hAnsi="宋体"/>
          <w:szCs w:val="21"/>
        </w:rPr>
        <w:t xml:space="preserve">、乙方所提供的通讯线路和设备质量应符合相关部门的质量标准和技术要求，并满足本项目需求。 </w:t>
      </w:r>
    </w:p>
    <w:p>
      <w:pPr>
        <w:spacing w:line="360" w:lineRule="auto"/>
        <w:ind w:left="-176" w:leftChars="-84" w:right="-176" w:rightChars="-84" w:firstLine="420" w:firstLineChars="200"/>
        <w:rPr>
          <w:rFonts w:ascii="宋体" w:hAnsi="宋体"/>
          <w:szCs w:val="21"/>
        </w:rPr>
      </w:pPr>
      <w:r>
        <w:rPr>
          <w:rFonts w:ascii="宋体" w:hAnsi="宋体"/>
          <w:szCs w:val="21"/>
        </w:rPr>
        <w:t>8</w:t>
      </w:r>
      <w:r>
        <w:rPr>
          <w:rFonts w:hint="eastAsia" w:ascii="宋体" w:hAnsi="宋体"/>
          <w:szCs w:val="21"/>
        </w:rPr>
        <w:t xml:space="preserve">、乙方负责建立本项目的技术档案和维护档案并提供给甲方。 </w:t>
      </w:r>
    </w:p>
    <w:p>
      <w:pPr>
        <w:spacing w:line="360" w:lineRule="auto"/>
        <w:ind w:left="-176" w:leftChars="-84" w:right="-176" w:rightChars="-84" w:firstLine="420" w:firstLineChars="200"/>
        <w:rPr>
          <w:rFonts w:ascii="宋体" w:hAnsi="宋体"/>
          <w:szCs w:val="21"/>
        </w:rPr>
      </w:pPr>
      <w:r>
        <w:rPr>
          <w:rFonts w:ascii="宋体" w:hAnsi="宋体"/>
          <w:szCs w:val="21"/>
        </w:rPr>
        <w:t>9</w:t>
      </w:r>
      <w:r>
        <w:rPr>
          <w:rFonts w:hint="eastAsia" w:ascii="宋体" w:hAnsi="宋体"/>
          <w:szCs w:val="21"/>
        </w:rPr>
        <w:t xml:space="preserve">、乙方负责监控图像集中存储设备及服务器的配置和管理，不具有监控图像浏览、录像调用权限。乙方应做好运行维护人员的保密安全教育和管理，未经甲方允许不得对系统中的图像数据进行下载和传播。 </w:t>
      </w:r>
    </w:p>
    <w:p>
      <w:pPr>
        <w:spacing w:line="360" w:lineRule="auto"/>
        <w:ind w:left="-176" w:leftChars="-84" w:right="-176" w:rightChars="-84" w:firstLine="420" w:firstLineChars="200"/>
        <w:rPr>
          <w:rFonts w:ascii="宋体" w:hAnsi="宋体"/>
          <w:szCs w:val="21"/>
        </w:rPr>
      </w:pPr>
      <w:r>
        <w:rPr>
          <w:rFonts w:ascii="宋体" w:hAnsi="宋体"/>
          <w:szCs w:val="21"/>
        </w:rPr>
        <w:t>10</w:t>
      </w:r>
      <w:r>
        <w:rPr>
          <w:rFonts w:hint="eastAsia" w:ascii="宋体" w:hAnsi="宋体"/>
          <w:szCs w:val="21"/>
        </w:rPr>
        <w:t xml:space="preserve">、乙方应指定专门的联络人，负责本项目的技术咨询、业务开通、平台维护、前端及监控中心软硬件维护的接洽工作。 </w:t>
      </w:r>
    </w:p>
    <w:p>
      <w:pPr>
        <w:spacing w:line="360" w:lineRule="auto"/>
        <w:ind w:left="-176" w:leftChars="-84" w:right="-176" w:rightChars="-84"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 xml:space="preserve">、乙方保证提供本项目存储设备进行24小时实时存储，并以4Mbps的码率存储1080P图像，所有图像存储时间至少30天以上，车辆和人员的结构化数据需实时上传至市局监控平台。 </w:t>
      </w:r>
    </w:p>
    <w:p>
      <w:pPr>
        <w:spacing w:line="360" w:lineRule="auto"/>
        <w:ind w:left="-176" w:leftChars="-84" w:right="-176" w:rightChars="-84"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、乙方为甲方提供及时优质的服务，保障网络的运行稳定，负责故障的全程处理，并确定专人联系。联系人：               联系方式：</w:t>
      </w:r>
    </w:p>
    <w:p>
      <w:pPr>
        <w:spacing w:line="360" w:lineRule="auto"/>
        <w:ind w:left="-176" w:leftChars="-84" w:right="-176" w:rightChars="-84" w:firstLine="420" w:firstLineChars="200"/>
        <w:rPr>
          <w:rFonts w:ascii="宋体" w:hAnsi="Calibri"/>
          <w:szCs w:val="21"/>
        </w:rPr>
      </w:pPr>
      <w:r>
        <w:rPr>
          <w:rFonts w:hint="eastAsia" w:ascii="宋体" w:hAnsi="宋体"/>
          <w:szCs w:val="21"/>
        </w:rPr>
        <w:t>13、电力施工的人员需具备电工证书，高空瞭望设备等施工人员需具备高空作业证书。</w:t>
      </w:r>
      <w:r>
        <w:rPr>
          <w:rFonts w:hint="eastAsia" w:ascii="宋体" w:hAnsi="Calibri"/>
          <w:szCs w:val="21"/>
        </w:rPr>
        <w:t>合同有效期内，因乙方的建设、运营维护行为和服务给第三人的人身、财产造成损害的，乙方应自行承担全部赔偿责任。</w:t>
      </w:r>
    </w:p>
    <w:p>
      <w:pPr>
        <w:spacing w:line="360" w:lineRule="auto"/>
        <w:ind w:left="-176" w:leftChars="-84" w:right="-176" w:rightChars="-84" w:firstLine="562" w:firstLineChars="200"/>
        <w:rPr>
          <w:rFonts w:ascii="宋体" w:hAnsi="Calibri"/>
          <w:b/>
          <w:sz w:val="28"/>
          <w:szCs w:val="28"/>
        </w:rPr>
      </w:pPr>
      <w:r>
        <w:rPr>
          <w:rFonts w:hint="eastAsia" w:ascii="宋体" w:hAnsi="Calibri"/>
          <w:b/>
          <w:sz w:val="28"/>
          <w:szCs w:val="28"/>
        </w:rPr>
        <w:t>四、项目建设管理</w:t>
      </w:r>
    </w:p>
    <w:p>
      <w:pPr>
        <w:spacing w:line="360" w:lineRule="auto"/>
        <w:ind w:left="-176" w:leftChars="-84" w:right="-176" w:rightChars="-84" w:firstLine="420" w:firstLineChars="200"/>
        <w:rPr>
          <w:rFonts w:ascii="宋体" w:hAnsi="Calibri"/>
          <w:szCs w:val="21"/>
        </w:rPr>
      </w:pPr>
      <w:r>
        <w:rPr>
          <w:rFonts w:hint="eastAsia" w:ascii="宋体" w:hAnsi="Calibri"/>
          <w:szCs w:val="21"/>
        </w:rPr>
        <w:t>1、设计要求</w:t>
      </w:r>
    </w:p>
    <w:p>
      <w:pPr>
        <w:widowControl/>
        <w:suppressAutoHyphens/>
        <w:spacing w:line="360" w:lineRule="auto"/>
        <w:ind w:firstLine="480"/>
        <w:jc w:val="left"/>
        <w:rPr>
          <w:rFonts w:ascii="宋体" w:hAnsi="Calibri"/>
          <w:szCs w:val="21"/>
        </w:rPr>
      </w:pPr>
      <w:r>
        <w:rPr>
          <w:rFonts w:hint="eastAsia" w:ascii="宋体" w:hAnsi="Calibri"/>
          <w:szCs w:val="21"/>
        </w:rPr>
        <w:t>乙方签订合同10日内完成项目深化设计，设计方案和相应图纸经甲方审批同意后才可用于指导实际的施工工作；</w:t>
      </w:r>
      <w:r>
        <w:rPr>
          <w:rFonts w:hint="eastAsia" w:ascii="宋体" w:hAnsi="Calibri"/>
          <w:szCs w:val="21"/>
          <w:lang w:eastAsia="ar-SA"/>
        </w:rPr>
        <w:t>施工图纸设计可根据施工进度分批提供，经甲方批准通过后，方可根据施工图纸进行施工。</w:t>
      </w:r>
    </w:p>
    <w:p>
      <w:pPr>
        <w:widowControl/>
        <w:suppressAutoHyphens/>
        <w:spacing w:line="360" w:lineRule="auto"/>
        <w:ind w:firstLine="210" w:firstLineChars="100"/>
        <w:jc w:val="left"/>
        <w:rPr>
          <w:rFonts w:ascii="宋体" w:hAnsi="Calibri"/>
          <w:szCs w:val="21"/>
        </w:rPr>
      </w:pPr>
      <w:r>
        <w:rPr>
          <w:rFonts w:hint="eastAsia" w:ascii="宋体" w:hAnsi="Calibri"/>
          <w:szCs w:val="21"/>
        </w:rPr>
        <w:t>2、设备采购要求</w:t>
      </w:r>
    </w:p>
    <w:p>
      <w:pPr>
        <w:widowControl/>
        <w:suppressAutoHyphens/>
        <w:spacing w:line="360" w:lineRule="auto"/>
        <w:ind w:firstLine="210" w:firstLineChars="100"/>
        <w:jc w:val="left"/>
        <w:rPr>
          <w:rFonts w:ascii="宋体" w:hAnsi="Calibri"/>
          <w:szCs w:val="21"/>
        </w:rPr>
      </w:pPr>
      <w:r>
        <w:rPr>
          <w:rFonts w:hint="eastAsia" w:ascii="宋体" w:hAnsi="Calibri"/>
          <w:szCs w:val="21"/>
        </w:rPr>
        <w:t>在设备采购过程中，乙方必须将拟采购的设备的技术要求交由甲方和监理方认可。甲方和监理单位有权要求乙方对主要设备提供第三方的检测报告，如发现不符合工程需要或低于投标时承诺的档次，甲方有权要求乙方更换设备直到符合要求，所需费用由乙方承担。</w:t>
      </w:r>
    </w:p>
    <w:p>
      <w:pPr>
        <w:spacing w:line="360" w:lineRule="auto"/>
        <w:ind w:left="244" w:right="-176" w:rightChars="-84"/>
        <w:rPr>
          <w:rFonts w:ascii="宋体" w:hAnsi="宋体"/>
          <w:szCs w:val="21"/>
        </w:rPr>
      </w:pPr>
      <w:r>
        <w:rPr>
          <w:rFonts w:hint="eastAsia" w:ascii="宋体" w:hAnsi="宋体"/>
          <w:szCs w:val="21"/>
        </w:rPr>
        <w:t>3、第三方检测服务</w:t>
      </w:r>
    </w:p>
    <w:p>
      <w:pPr>
        <w:spacing w:line="360" w:lineRule="auto"/>
        <w:ind w:left="244" w:leftChars="116" w:right="-176" w:rightChars="-84"/>
        <w:rPr>
          <w:rFonts w:ascii="宋体" w:hAnsi="宋体"/>
          <w:szCs w:val="21"/>
        </w:rPr>
      </w:pPr>
      <w:r>
        <w:rPr>
          <w:rFonts w:hint="eastAsia" w:ascii="宋体" w:hAnsi="宋体"/>
          <w:szCs w:val="21"/>
        </w:rPr>
        <w:t>工程验收前须由第三方进行全面技术检测，检测单位由甲方指定，检测内容包括但不限于：1）杆件施工深度、壁厚、材料做工、接地等是否符合相关工程规范；</w:t>
      </w:r>
    </w:p>
    <w:p>
      <w:pPr>
        <w:numPr>
          <w:ilvl w:val="0"/>
          <w:numId w:val="23"/>
        </w:numPr>
        <w:spacing w:line="360" w:lineRule="auto"/>
        <w:ind w:left="244" w:leftChars="116" w:right="-176" w:rightChars="-84"/>
        <w:rPr>
          <w:rFonts w:ascii="宋体" w:hAnsi="宋体"/>
          <w:szCs w:val="21"/>
        </w:rPr>
      </w:pPr>
      <w:r>
        <w:rPr>
          <w:rFonts w:hint="eastAsia" w:ascii="宋体" w:hAnsi="宋体"/>
          <w:szCs w:val="21"/>
        </w:rPr>
        <w:t>图像质量是否和设计要求相符；</w:t>
      </w:r>
    </w:p>
    <w:p>
      <w:pPr>
        <w:numPr>
          <w:ilvl w:val="0"/>
          <w:numId w:val="23"/>
        </w:numPr>
        <w:spacing w:line="360" w:lineRule="auto"/>
        <w:ind w:left="244" w:leftChars="116" w:right="-176" w:rightChars="-84"/>
        <w:rPr>
          <w:rFonts w:ascii="宋体" w:hAnsi="宋体"/>
          <w:szCs w:val="21"/>
        </w:rPr>
      </w:pPr>
      <w:r>
        <w:rPr>
          <w:rFonts w:hint="eastAsia" w:ascii="宋体" w:hAnsi="宋体"/>
          <w:szCs w:val="21"/>
        </w:rPr>
        <w:t>点位位置是否和设计内容相符；</w:t>
      </w:r>
    </w:p>
    <w:p>
      <w:pPr>
        <w:numPr>
          <w:ilvl w:val="0"/>
          <w:numId w:val="23"/>
        </w:numPr>
        <w:spacing w:line="360" w:lineRule="auto"/>
        <w:ind w:left="244" w:leftChars="116" w:right="-176" w:rightChars="-84"/>
        <w:rPr>
          <w:rFonts w:ascii="宋体" w:hAnsi="宋体"/>
          <w:szCs w:val="21"/>
        </w:rPr>
      </w:pPr>
      <w:r>
        <w:rPr>
          <w:rFonts w:hint="eastAsia" w:ascii="宋体" w:hAnsi="宋体"/>
          <w:szCs w:val="21"/>
        </w:rPr>
        <w:t>其他检测机构认为应当检测的事项。</w:t>
      </w:r>
    </w:p>
    <w:p>
      <w:pPr>
        <w:spacing w:line="360" w:lineRule="auto"/>
        <w:ind w:firstLine="210" w:firstLineChars="100"/>
        <w:rPr>
          <w:rFonts w:ascii="宋体" w:hAnsi="Calibri"/>
          <w:szCs w:val="21"/>
        </w:rPr>
      </w:pPr>
      <w:r>
        <w:rPr>
          <w:rFonts w:hint="eastAsia" w:ascii="宋体" w:hAnsi="Calibri"/>
          <w:szCs w:val="21"/>
        </w:rPr>
        <w:t>4、工期要求</w:t>
      </w:r>
    </w:p>
    <w:p>
      <w:pPr>
        <w:spacing w:line="360" w:lineRule="auto"/>
        <w:ind w:left="-176" w:leftChars="-84" w:right="-176" w:rightChars="-84" w:firstLine="420" w:firstLineChars="200"/>
        <w:rPr>
          <w:rFonts w:ascii="宋体" w:hAnsi="宋体"/>
          <w:szCs w:val="21"/>
        </w:rPr>
      </w:pPr>
      <w:r>
        <w:rPr>
          <w:rFonts w:hint="eastAsia" w:ascii="宋体" w:hAnsi="宋体"/>
          <w:szCs w:val="21"/>
        </w:rPr>
        <w:t>乙方必须在合同签订后</w:t>
      </w:r>
      <w:r>
        <w:rPr>
          <w:rFonts w:ascii="宋体" w:hAnsi="宋体"/>
          <w:szCs w:val="21"/>
        </w:rPr>
        <w:t>120</w:t>
      </w:r>
      <w:r>
        <w:rPr>
          <w:rFonts w:hint="eastAsia" w:ascii="宋体" w:hAnsi="宋体"/>
          <w:szCs w:val="21"/>
        </w:rPr>
        <w:t>日历天内完成整个项目施工，系统试运行1个月后由甲方会同相关部门、相关人员验收，30天内通过项目最终验收，验收合格后交付甲方使用，信息服务费用随即开始按年度计费。</w:t>
      </w:r>
    </w:p>
    <w:p>
      <w:pPr>
        <w:spacing w:line="360" w:lineRule="auto"/>
        <w:ind w:left="244" w:right="-176" w:rightChars="-84"/>
        <w:rPr>
          <w:rFonts w:ascii="宋体" w:hAnsi="宋体"/>
          <w:szCs w:val="21"/>
        </w:rPr>
      </w:pPr>
      <w:r>
        <w:rPr>
          <w:rFonts w:hint="eastAsia" w:ascii="宋体" w:hAnsi="宋体"/>
          <w:szCs w:val="21"/>
        </w:rPr>
        <w:t>项目服务期：自验收合格之日开始，为期五年。</w:t>
      </w:r>
    </w:p>
    <w:p>
      <w:pPr>
        <w:spacing w:line="360" w:lineRule="auto"/>
        <w:ind w:left="-176" w:leftChars="-84" w:right="-176" w:rightChars="-84" w:firstLine="562" w:firstLineChars="200"/>
        <w:rPr>
          <w:rFonts w:ascii="宋体" w:hAnsi="宋体"/>
          <w:b/>
          <w:sz w:val="28"/>
          <w:szCs w:val="28"/>
        </w:rPr>
      </w:pPr>
      <w:r>
        <w:rPr>
          <w:rFonts w:ascii="宋体" w:hAnsi="宋体"/>
          <w:b/>
          <w:sz w:val="28"/>
          <w:szCs w:val="28"/>
        </w:rPr>
        <w:t>五、运维服务要求</w:t>
      </w:r>
    </w:p>
    <w:p>
      <w:pPr>
        <w:spacing w:line="360" w:lineRule="auto"/>
        <w:ind w:left="-176" w:leftChars="-84" w:right="-176" w:rightChars="-84" w:firstLine="420" w:firstLineChars="200"/>
        <w:rPr>
          <w:rFonts w:ascii="宋体" w:hAnsi="宋体"/>
          <w:szCs w:val="21"/>
        </w:rPr>
      </w:pPr>
      <w:r>
        <w:rPr>
          <w:rFonts w:hint="eastAsia" w:ascii="宋体" w:hAnsi="宋体"/>
          <w:szCs w:val="21"/>
        </w:rPr>
        <w:t>1、服务范围</w:t>
      </w:r>
    </w:p>
    <w:p>
      <w:pPr>
        <w:widowControl/>
        <w:suppressAutoHyphens/>
        <w:spacing w:line="360" w:lineRule="auto"/>
        <w:ind w:firstLine="480"/>
        <w:jc w:val="left"/>
        <w:rPr>
          <w:rFonts w:ascii="宋体" w:hAnsi="Calibri"/>
          <w:szCs w:val="21"/>
          <w:lang w:eastAsia="ar-SA"/>
        </w:rPr>
      </w:pPr>
      <w:r>
        <w:rPr>
          <w:rFonts w:hint="eastAsia" w:ascii="宋体" w:hAnsi="Calibri"/>
          <w:szCs w:val="21"/>
          <w:lang w:eastAsia="ar-SA"/>
        </w:rPr>
        <w:t>乙方对系统的运维服务包括对构成系统的所有</w:t>
      </w:r>
      <w:r>
        <w:rPr>
          <w:rFonts w:hint="eastAsia" w:ascii="宋体" w:hAnsi="Calibri"/>
          <w:szCs w:val="21"/>
        </w:rPr>
        <w:t>前端</w:t>
      </w:r>
      <w:r>
        <w:rPr>
          <w:rFonts w:hint="eastAsia" w:ascii="宋体" w:hAnsi="Calibri"/>
          <w:szCs w:val="21"/>
          <w:lang w:eastAsia="ar-SA"/>
        </w:rPr>
        <w:t>设施、硬件、网络、供电设施、防雷设施、第三方软件、应用软件等的维护、维修、更换故障设备和产品升级等。</w:t>
      </w:r>
    </w:p>
    <w:p>
      <w:pPr>
        <w:widowControl/>
        <w:suppressAutoHyphens/>
        <w:spacing w:line="360" w:lineRule="auto"/>
        <w:ind w:firstLine="480"/>
        <w:jc w:val="left"/>
        <w:rPr>
          <w:rFonts w:ascii="宋体" w:hAnsi="Calibri"/>
          <w:szCs w:val="21"/>
        </w:rPr>
      </w:pPr>
      <w:r>
        <w:rPr>
          <w:rFonts w:hint="eastAsia" w:ascii="宋体" w:hAnsi="Calibri"/>
          <w:szCs w:val="21"/>
        </w:rPr>
        <w:t>乙方需免费提供五年服务期内实景航拍及三维地图的更新服务并提供相应的技术指导和培训工作。</w:t>
      </w:r>
    </w:p>
    <w:p>
      <w:pPr>
        <w:spacing w:line="360" w:lineRule="auto"/>
        <w:ind w:firstLine="525" w:firstLineChars="250"/>
        <w:rPr>
          <w:rFonts w:ascii="宋体" w:hAnsi="Calibri"/>
          <w:szCs w:val="21"/>
        </w:rPr>
      </w:pPr>
      <w:r>
        <w:rPr>
          <w:rFonts w:hint="eastAsia" w:ascii="宋体" w:hAnsi="Calibri"/>
          <w:szCs w:val="21"/>
        </w:rPr>
        <w:t>乙方应与设备供应商签订合理的运维服务保障协议，保证提供充足的备品备件资源。</w:t>
      </w:r>
    </w:p>
    <w:p>
      <w:pPr>
        <w:spacing w:line="360" w:lineRule="auto"/>
        <w:ind w:left="-176" w:leftChars="-84" w:right="-176" w:rightChars="-84" w:firstLine="420" w:firstLineChars="200"/>
        <w:rPr>
          <w:rFonts w:ascii="宋体" w:hAnsi="宋体"/>
          <w:szCs w:val="21"/>
        </w:rPr>
      </w:pPr>
      <w:r>
        <w:rPr>
          <w:rFonts w:hint="eastAsia" w:ascii="宋体" w:hAnsi="宋体"/>
          <w:szCs w:val="21"/>
        </w:rPr>
        <w:t>2、服务内容</w:t>
      </w:r>
    </w:p>
    <w:p>
      <w:pPr>
        <w:spacing w:line="360" w:lineRule="auto"/>
        <w:ind w:firstLine="435"/>
        <w:rPr>
          <w:rFonts w:ascii="宋体" w:hAnsi="Calibri"/>
          <w:szCs w:val="21"/>
        </w:rPr>
      </w:pPr>
      <w:r>
        <w:rPr>
          <w:rFonts w:hint="eastAsia" w:ascii="宋体" w:hAnsi="Calibri"/>
          <w:szCs w:val="21"/>
        </w:rPr>
        <w:t>乙方应提供的运维服务内容包括日常运作、服务咨询、巡检保养、主动监测、故障修复、特殊保障和升级优化。</w:t>
      </w:r>
    </w:p>
    <w:p>
      <w:pPr>
        <w:spacing w:line="360" w:lineRule="auto"/>
        <w:ind w:firstLine="435"/>
        <w:rPr>
          <w:rFonts w:ascii="宋体" w:hAnsi="Calibri"/>
          <w:szCs w:val="21"/>
        </w:rPr>
      </w:pPr>
      <w:r>
        <w:rPr>
          <w:rFonts w:hint="eastAsia" w:ascii="宋体" w:hAnsi="Calibri"/>
          <w:szCs w:val="21"/>
        </w:rPr>
        <w:t>3、日常运作</w:t>
      </w:r>
    </w:p>
    <w:p>
      <w:pPr>
        <w:spacing w:line="360" w:lineRule="auto"/>
        <w:ind w:firstLine="420" w:firstLineChars="200"/>
        <w:rPr>
          <w:rFonts w:ascii="宋体" w:hAnsi="Calibri"/>
          <w:szCs w:val="21"/>
        </w:rPr>
      </w:pPr>
      <w:r>
        <w:rPr>
          <w:rFonts w:hint="eastAsia" w:ascii="宋体" w:hAnsi="Calibri"/>
          <w:szCs w:val="21"/>
        </w:rPr>
        <w:t>乙方应建立运维服务中心，并设立专门的技术及维护服务队伍。中心提供免费的服务热线电话，在热线电话发生故障情况下，应提供其他备份的方便和迅速的联系方式。运维中心应在5年服务期日历天内全天候（7×24小时）运行。</w:t>
      </w:r>
    </w:p>
    <w:p>
      <w:pPr>
        <w:spacing w:line="360" w:lineRule="auto"/>
        <w:ind w:firstLine="435"/>
        <w:rPr>
          <w:rFonts w:ascii="宋体" w:hAnsi="Calibri"/>
          <w:szCs w:val="21"/>
        </w:rPr>
      </w:pPr>
      <w:r>
        <w:rPr>
          <w:rFonts w:hint="eastAsia" w:ascii="宋体" w:hAnsi="Calibri"/>
          <w:szCs w:val="21"/>
        </w:rPr>
        <w:t>4、人员队伍建设</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1）乙方必须建立完善的本地化服务队伍，至少包括管理负责人、联络人员、档案管理员、服务总工程师；足够、专业的前端现场服务工程师和中心网络维护工程师，充足的维修技术人员。工程师应受过专业培训，能独立处理一般的技术故障。以上人员要长住本市。乙方应与系统主控设备厂家签订技术支持协定，确保系统出现的任何故障都能及时修复。 </w:t>
      </w:r>
    </w:p>
    <w:p>
      <w:pPr>
        <w:spacing w:line="360" w:lineRule="auto"/>
        <w:ind w:left="-176" w:leftChars="-84" w:right="-176" w:rightChars="-84" w:firstLine="420" w:firstLineChars="200"/>
        <w:rPr>
          <w:rFonts w:ascii="宋体" w:hAnsi="宋体"/>
          <w:szCs w:val="21"/>
        </w:rPr>
      </w:pPr>
      <w:r>
        <w:rPr>
          <w:rFonts w:hint="eastAsia" w:ascii="宋体" w:hAnsi="宋体"/>
          <w:szCs w:val="21"/>
        </w:rPr>
        <w:t>（2）乙方拟派往本项目的现场常驻人员中至少包含一名项目负责人和一名技术工程师，其中项目负责人应具有计算机类专业本科或以上学历，工作年限不少于5年；技术工程师应具有计算机类专业大专或以上学历，工作年限不少于1年。</w:t>
      </w:r>
    </w:p>
    <w:p>
      <w:pPr>
        <w:spacing w:line="360" w:lineRule="auto"/>
        <w:ind w:firstLine="435"/>
        <w:rPr>
          <w:rFonts w:ascii="宋体" w:hAnsi="宋体"/>
          <w:szCs w:val="21"/>
        </w:rPr>
      </w:pPr>
      <w:r>
        <w:rPr>
          <w:rFonts w:hint="eastAsia" w:ascii="宋体" w:hAnsi="宋体"/>
          <w:szCs w:val="21"/>
        </w:rPr>
        <w:t>在服务期内，常驻人员不得随意更换，如需更换，需向甲方进行具体说明，并征得甲方同意后允许更换，更换的人员要求不得低于原常驻人员的要求。甲方有权提出更换常驻人员。项目常驻人员需定期向甲方上交项目运行月报和年终总结，周报上交时间为每周二，月报上交时间为每月5号前，年终总结上交时间为年租期截止日后5工作日内。</w:t>
      </w:r>
    </w:p>
    <w:p>
      <w:pPr>
        <w:spacing w:line="360" w:lineRule="auto"/>
        <w:ind w:firstLine="435"/>
        <w:rPr>
          <w:rFonts w:ascii="宋体" w:hAnsi="宋体"/>
          <w:szCs w:val="21"/>
        </w:rPr>
      </w:pPr>
      <w:r>
        <w:rPr>
          <w:rFonts w:hint="eastAsia" w:ascii="宋体" w:hAnsi="宋体"/>
          <w:szCs w:val="21"/>
        </w:rPr>
        <w:t>5、备品备件</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   （1）乙方应配备足够的交通车辆及登高设备，保证维修人员和设备及时运送到现场，保证安全、及时的维修服务。</w:t>
      </w:r>
    </w:p>
    <w:p>
      <w:pPr>
        <w:spacing w:line="360" w:lineRule="auto"/>
        <w:ind w:left="-176" w:leftChars="-84" w:right="-176" w:rightChars="-84" w:firstLine="840" w:firstLineChars="400"/>
        <w:rPr>
          <w:rFonts w:ascii="宋体" w:hAnsi="宋体"/>
          <w:szCs w:val="21"/>
        </w:rPr>
      </w:pPr>
      <w:r>
        <w:rPr>
          <w:rFonts w:hint="eastAsia" w:ascii="宋体" w:hAnsi="宋体"/>
          <w:szCs w:val="21"/>
        </w:rPr>
        <w:t>（2）乙方应配备不低于总点位数5</w:t>
      </w:r>
      <w:r>
        <w:rPr>
          <w:rFonts w:ascii="宋体" w:hAnsi="宋体"/>
          <w:szCs w:val="21"/>
        </w:rPr>
        <w:t>%</w:t>
      </w:r>
      <w:r>
        <w:rPr>
          <w:rFonts w:hint="eastAsia" w:ascii="宋体" w:hAnsi="宋体"/>
          <w:szCs w:val="21"/>
        </w:rPr>
        <w:t>的备品备件，保证及时维修和更换设备。</w:t>
      </w:r>
    </w:p>
    <w:p>
      <w:pPr>
        <w:spacing w:line="360" w:lineRule="auto"/>
        <w:ind w:left="-176" w:leftChars="-84" w:right="-176" w:rightChars="-84" w:firstLine="420" w:firstLineChars="200"/>
        <w:rPr>
          <w:rFonts w:ascii="宋体" w:hAnsi="宋体"/>
          <w:szCs w:val="21"/>
        </w:rPr>
      </w:pPr>
      <w:r>
        <w:rPr>
          <w:rFonts w:hint="eastAsia" w:ascii="宋体" w:hAnsi="Calibri"/>
          <w:szCs w:val="21"/>
        </w:rPr>
        <w:t>6、</w:t>
      </w:r>
      <w:r>
        <w:rPr>
          <w:rFonts w:hint="eastAsia" w:ascii="宋体" w:hAnsi="宋体"/>
          <w:szCs w:val="21"/>
        </w:rPr>
        <w:t>系统日常运营保障机制</w:t>
      </w:r>
    </w:p>
    <w:p>
      <w:pPr>
        <w:spacing w:line="360" w:lineRule="auto"/>
        <w:ind w:left="-176" w:leftChars="-84" w:right="-176" w:rightChars="-84" w:firstLine="420" w:firstLineChars="200"/>
        <w:rPr>
          <w:rFonts w:ascii="宋体" w:hAnsi="宋体"/>
          <w:szCs w:val="21"/>
        </w:rPr>
      </w:pPr>
      <w:r>
        <w:rPr>
          <w:rFonts w:hint="eastAsia" w:ascii="宋体" w:hAnsi="宋体"/>
          <w:szCs w:val="21"/>
        </w:rPr>
        <w:t>（1）信息服务的完好标准：以前端到分中心到中心，在监控、补光、传输、存储、回放、监控系统平台软硬件等方面同时符合设计要求为标准。乙方未能达到上述标准的视为发生故障（停电不计）。要求每月及时擦洗摄像机，保证图像清晰，相关记录定期上交到甲方。</w:t>
      </w:r>
    </w:p>
    <w:p>
      <w:pPr>
        <w:spacing w:line="360" w:lineRule="auto"/>
        <w:ind w:left="-176" w:leftChars="-84" w:right="-176" w:rightChars="-84" w:firstLine="420" w:firstLineChars="200"/>
        <w:rPr>
          <w:rFonts w:ascii="宋体" w:hAnsi="宋体"/>
          <w:szCs w:val="21"/>
        </w:rPr>
      </w:pPr>
      <w:r>
        <w:rPr>
          <w:rFonts w:hint="eastAsia" w:ascii="宋体" w:hAnsi="宋体"/>
          <w:szCs w:val="21"/>
        </w:rPr>
        <w:t>（2）若发生故障，未能在</w:t>
      </w:r>
      <w:r>
        <w:rPr>
          <w:rFonts w:ascii="宋体" w:hAnsi="宋体"/>
          <w:szCs w:val="21"/>
        </w:rPr>
        <w:t>24</w:t>
      </w:r>
      <w:r>
        <w:rPr>
          <w:rFonts w:hint="eastAsia" w:ascii="宋体" w:hAnsi="宋体"/>
          <w:szCs w:val="21"/>
        </w:rPr>
        <w:t>小时内修复，扣除故障点当日服务费，每超过6小时加扣故障点的日服务费，最高扣款额为年服务费总额。因正常停电导致点位离线故障不扣款，其它故障如图像干扰、视频丢失、中心平台故障、网络设备故障等按受影响点位数量进行扣款。</w:t>
      </w:r>
    </w:p>
    <w:p>
      <w:pPr>
        <w:spacing w:line="360" w:lineRule="auto"/>
        <w:ind w:left="-176" w:leftChars="-84" w:right="-176" w:rightChars="-84" w:firstLine="420" w:firstLineChars="200"/>
        <w:rPr>
          <w:rFonts w:ascii="宋体" w:hAnsi="宋体"/>
          <w:szCs w:val="21"/>
        </w:rPr>
      </w:pPr>
      <w:r>
        <w:rPr>
          <w:rFonts w:hint="eastAsia" w:ascii="宋体" w:hAnsi="宋体"/>
          <w:szCs w:val="21"/>
        </w:rPr>
        <w:t>（3）乙方在系统建成后，应通过网管系统或管理平台向甲方提供系统运行日报表，内容包括网络运行情况和线路通断率等。每个月输出月报表，报表格式根据甲方要求产生。</w:t>
      </w:r>
    </w:p>
    <w:p>
      <w:pPr>
        <w:spacing w:line="360" w:lineRule="auto"/>
        <w:ind w:left="-176" w:leftChars="-84" w:right="-176" w:rightChars="-84" w:firstLine="420" w:firstLineChars="200"/>
        <w:rPr>
          <w:rFonts w:ascii="宋体" w:hAnsi="宋体"/>
          <w:szCs w:val="21"/>
        </w:rPr>
      </w:pPr>
      <w:r>
        <w:rPr>
          <w:rFonts w:hint="eastAsia" w:ascii="宋体" w:hAnsi="宋体"/>
          <w:szCs w:val="21"/>
        </w:rPr>
        <w:t>（4）在有突发性或群体性社会事件或其他重大事件发生时，乙方接到甲方通知后</w:t>
      </w:r>
      <w:r>
        <w:rPr>
          <w:rFonts w:ascii="宋体" w:hAnsi="宋体"/>
          <w:szCs w:val="21"/>
        </w:rPr>
        <w:t>1</w:t>
      </w:r>
      <w:r>
        <w:rPr>
          <w:rFonts w:hint="eastAsia" w:ascii="宋体" w:hAnsi="宋体"/>
          <w:szCs w:val="21"/>
        </w:rPr>
        <w:t>小时内必须到现场提供技术等支撑性服务。如需要建设应急监控点位，乙方必须完全响应。无需立杆应急监控点位施工期在2天以内，需新立杆应急监控点位施工期在4天以内。应急监控点位费用按实际工程量审计价结算。</w:t>
      </w:r>
    </w:p>
    <w:p>
      <w:pPr>
        <w:spacing w:line="360" w:lineRule="auto"/>
        <w:ind w:left="-176" w:leftChars="-84" w:right="-176" w:rightChars="-84" w:firstLine="630" w:firstLineChars="300"/>
        <w:rPr>
          <w:rFonts w:ascii="宋体" w:hAnsi="宋体"/>
          <w:szCs w:val="21"/>
        </w:rPr>
      </w:pPr>
      <w:r>
        <w:rPr>
          <w:rFonts w:hint="eastAsia" w:ascii="宋体" w:hAnsi="宋体"/>
          <w:szCs w:val="21"/>
        </w:rPr>
        <w:t>（5）因修路或其他不可抗力因素导致的点位短时间内无法修复上线的，乙方因无条件免费负责点位的暂挂工作，暂挂位置由甲方确定。</w:t>
      </w:r>
    </w:p>
    <w:p>
      <w:pPr>
        <w:spacing w:line="360" w:lineRule="auto"/>
        <w:ind w:right="-176" w:rightChars="-84" w:firstLine="420" w:firstLineChars="200"/>
        <w:rPr>
          <w:rFonts w:ascii="宋体" w:hAnsi="宋体"/>
          <w:szCs w:val="21"/>
        </w:rPr>
      </w:pPr>
      <w:r>
        <w:rPr>
          <w:rFonts w:hint="eastAsia" w:ascii="宋体" w:hAnsi="宋体"/>
          <w:szCs w:val="21"/>
        </w:rPr>
        <w:t>（6）乙方需每个月至少进行一次人脸抓拍及全结构化设备抓拍识别率的统计工作，并将统计数据书面向甲方汇报。</w:t>
      </w:r>
    </w:p>
    <w:p>
      <w:pPr>
        <w:spacing w:line="360" w:lineRule="auto"/>
        <w:ind w:left="-176" w:leftChars="-84" w:right="-176" w:rightChars="-84" w:firstLine="630" w:firstLineChars="300"/>
        <w:rPr>
          <w:rFonts w:ascii="宋体" w:hAnsi="宋体"/>
          <w:szCs w:val="21"/>
        </w:rPr>
      </w:pPr>
      <w:r>
        <w:rPr>
          <w:rFonts w:hint="eastAsia" w:ascii="宋体" w:hAnsi="Calibri"/>
          <w:szCs w:val="21"/>
        </w:rPr>
        <w:t>（7）</w:t>
      </w:r>
      <w:r>
        <w:rPr>
          <w:rFonts w:hint="eastAsia" w:ascii="宋体" w:hAnsi="宋体"/>
          <w:szCs w:val="21"/>
        </w:rPr>
        <w:t>乙方须建立一套针对本项目的监控系统故障报修管理系统，用于对日常系统故障进行统计分析，系统应能支持10个以上的系统管理人员登陆以进行日常业务操作。系统所形成的故障数据最终作为服务费故障扣款的依据，如故障类型、超时扣款方法、故障时间，以及对应的数据报表制度，每日一表，每周、月一汇总，报表需施工方和甲方代表共同签字生效，最终作为全年故障扣款的依据。</w:t>
      </w:r>
    </w:p>
    <w:p>
      <w:pPr>
        <w:spacing w:line="360" w:lineRule="auto"/>
        <w:ind w:left="-176" w:leftChars="-84" w:right="-176" w:rightChars="-84" w:firstLine="630" w:firstLineChars="300"/>
        <w:rPr>
          <w:rFonts w:ascii="宋体" w:hAnsi="宋体"/>
          <w:szCs w:val="21"/>
        </w:rPr>
      </w:pPr>
      <w:r>
        <w:rPr>
          <w:rFonts w:ascii="宋体" w:hAnsi="宋体"/>
          <w:szCs w:val="21"/>
        </w:rPr>
        <w:t>（</w:t>
      </w:r>
      <w:r>
        <w:rPr>
          <w:rFonts w:hint="eastAsia" w:ascii="宋体" w:hAnsi="宋体"/>
          <w:szCs w:val="21"/>
        </w:rPr>
        <w:t>8）乙方应定期对系统进行全面维护。每月不少于一次的巡检（监控主机、存储主机运行状态、性能变化；机箱、镜头、护罩等除尘；摄像机取景范围的调整，补光灯亮度调整，摄像头树木遮挡剪修，管道、线缆的检查等等并解决存在的问题、网络系统及平台服务器的巡检），每次巡检要有详细记录并由甲方书面确认。乙方每年应对杆件和箱体进行一次维护，确保表面整洁，无锈迹。</w:t>
      </w:r>
    </w:p>
    <w:p>
      <w:pPr>
        <w:spacing w:line="360" w:lineRule="auto"/>
        <w:ind w:left="-176" w:leftChars="-84" w:right="-176" w:rightChars="-84" w:firstLine="630" w:firstLineChars="300"/>
        <w:rPr>
          <w:rFonts w:ascii="宋体" w:hAnsi="宋体"/>
          <w:szCs w:val="21"/>
        </w:rPr>
      </w:pPr>
      <w:r>
        <w:rPr>
          <w:rFonts w:ascii="宋体" w:hAnsi="宋体"/>
          <w:szCs w:val="21"/>
        </w:rPr>
        <w:t>（</w:t>
      </w:r>
      <w:r>
        <w:rPr>
          <w:rFonts w:hint="eastAsia" w:ascii="宋体" w:hAnsi="宋体"/>
          <w:szCs w:val="21"/>
        </w:rPr>
        <w:t>9）乙方联络人员应在工作日星期一、星期三、星期五上午在慈东***机房上班，上班时间须密切联系***监控中心值班人员，了解统计系统运行情况，接收临时保修要求，记录并向管理负责人汇报，管理负责人及时安排相关人员进行维修。每次维修行为要有维修单，详细记录报修时间、修复时间、故障情况、处理办法和结果，维修单须甲方书面确认。</w:t>
      </w:r>
    </w:p>
    <w:p>
      <w:pPr>
        <w:spacing w:line="360" w:lineRule="auto"/>
        <w:ind w:left="-176" w:leftChars="-84" w:right="-176" w:rightChars="-84" w:firstLine="630" w:firstLineChars="300"/>
        <w:rPr>
          <w:rFonts w:ascii="宋体" w:hAnsi="宋体"/>
          <w:szCs w:val="21"/>
        </w:rPr>
      </w:pPr>
      <w:r>
        <w:rPr>
          <w:rFonts w:ascii="宋体" w:hAnsi="宋体"/>
          <w:szCs w:val="21"/>
        </w:rPr>
        <w:t>（</w:t>
      </w:r>
      <w:r>
        <w:rPr>
          <w:rFonts w:hint="eastAsia" w:ascii="宋体" w:hAnsi="宋体"/>
          <w:szCs w:val="21"/>
        </w:rPr>
        <w:t>10）在整个服务期内乙方负责处理监控前端树木遮挡、电线遮挡等日常维护问题，甲方负责具体协调工作。费用全部由乙方承担。</w:t>
      </w:r>
    </w:p>
    <w:p>
      <w:pPr>
        <w:spacing w:line="360" w:lineRule="auto"/>
        <w:ind w:left="-176" w:leftChars="-84" w:right="-176" w:rightChars="-84" w:firstLine="630" w:firstLineChars="300"/>
        <w:rPr>
          <w:rFonts w:ascii="宋体" w:hAnsi="宋体"/>
          <w:szCs w:val="21"/>
        </w:rPr>
      </w:pPr>
      <w:r>
        <w:rPr>
          <w:rFonts w:ascii="宋体" w:hAnsi="宋体"/>
          <w:szCs w:val="21"/>
        </w:rPr>
        <w:t>（</w:t>
      </w:r>
      <w:r>
        <w:rPr>
          <w:rFonts w:hint="eastAsia" w:ascii="宋体" w:hAnsi="宋体"/>
          <w:szCs w:val="21"/>
        </w:rPr>
        <w:t>11）乙方负责项目涉及所有借杆(包括运营商及其他部门所属）施工部分的顺利实施及服务期内杆件的维护和有效使用。</w:t>
      </w:r>
    </w:p>
    <w:p>
      <w:pPr>
        <w:spacing w:line="360" w:lineRule="auto"/>
        <w:ind w:left="-176" w:leftChars="-84" w:right="-176" w:rightChars="-84" w:firstLine="630" w:firstLineChars="3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）乙方应无条件免费负责甲方提出的中心、分中心移位的要求；每年前端摄像机的移位数不超过总点位数1</w:t>
      </w:r>
      <w:r>
        <w:rPr>
          <w:rFonts w:ascii="宋体" w:hAnsi="宋体"/>
          <w:szCs w:val="21"/>
        </w:rPr>
        <w:t>0</w:t>
      </w:r>
      <w:r>
        <w:rPr>
          <w:rFonts w:hint="eastAsia" w:ascii="宋体" w:hAnsi="宋体"/>
          <w:szCs w:val="21"/>
        </w:rPr>
        <w:t>%的，乙方应无条件免费负责甲方提出的前端移位要求，移位工作涉及所有费用由乙方承担。若超出1</w:t>
      </w:r>
      <w:r>
        <w:rPr>
          <w:rFonts w:ascii="宋体" w:hAnsi="宋体"/>
          <w:szCs w:val="21"/>
        </w:rPr>
        <w:t>0</w:t>
      </w:r>
      <w:r>
        <w:rPr>
          <w:rFonts w:hint="eastAsia" w:ascii="宋体" w:hAnsi="宋体"/>
          <w:szCs w:val="21"/>
        </w:rPr>
        <w:t>% ，超出部分按实际工程量审计价结算。中心、分中心及每10个点的移位工作均应在甲方下达任务单后30日内完成。</w:t>
      </w:r>
    </w:p>
    <w:p>
      <w:pPr>
        <w:spacing w:line="360" w:lineRule="auto"/>
        <w:ind w:left="-176" w:leftChars="-84" w:right="-176" w:rightChars="-84" w:firstLine="420" w:firstLineChars="200"/>
        <w:rPr>
          <w:rFonts w:ascii="宋体" w:hAnsi="宋体"/>
          <w:szCs w:val="21"/>
        </w:rPr>
      </w:pPr>
      <w:r>
        <w:rPr>
          <w:rFonts w:ascii="宋体" w:hAnsi="宋体"/>
          <w:szCs w:val="21"/>
        </w:rPr>
        <w:t>7</w:t>
      </w:r>
      <w:r>
        <w:rPr>
          <w:rFonts w:hint="eastAsia" w:ascii="宋体" w:hAnsi="宋体"/>
          <w:szCs w:val="21"/>
        </w:rPr>
        <w:t>、监控前端接电费用由乙方承担。</w:t>
      </w:r>
    </w:p>
    <w:p>
      <w:pPr>
        <w:spacing w:line="360" w:lineRule="auto"/>
        <w:ind w:left="-176" w:leftChars="-84" w:right="-176" w:rightChars="-84" w:firstLine="420" w:firstLineChars="200"/>
        <w:rPr>
          <w:rFonts w:ascii="宋体" w:hAnsi="宋体"/>
          <w:szCs w:val="21"/>
        </w:rPr>
      </w:pPr>
      <w:r>
        <w:rPr>
          <w:rFonts w:ascii="宋体" w:hAnsi="宋体"/>
          <w:szCs w:val="21"/>
        </w:rPr>
        <w:t>8</w:t>
      </w:r>
      <w:r>
        <w:rPr>
          <w:rFonts w:hint="eastAsia" w:ascii="宋体" w:hAnsi="宋体"/>
          <w:szCs w:val="21"/>
        </w:rPr>
        <w:t>、乙方提供的系统软件为当前最新版本，服务期内有新版本时，乙方负责免费升级。如上级管理部门有要求接入其他相关设备或与上级联网，乙方免费且及时负责提供相关软件接口及协议，并协助乙方完成接入和联网工作。</w:t>
      </w:r>
    </w:p>
    <w:p>
      <w:pPr>
        <w:spacing w:line="360" w:lineRule="auto"/>
        <w:ind w:left="-176" w:leftChars="-84" w:right="-176" w:rightChars="-84" w:firstLine="562" w:firstLineChars="200"/>
        <w:outlineLvl w:val="0"/>
        <w:rPr>
          <w:rFonts w:ascii="宋体" w:hAnsi="宋体"/>
          <w:b/>
          <w:sz w:val="28"/>
          <w:szCs w:val="28"/>
        </w:rPr>
      </w:pPr>
      <w:r>
        <w:rPr>
          <w:rFonts w:hint="eastAsia" w:ascii="宋体" w:hAnsi="宋体"/>
          <w:b/>
          <w:sz w:val="28"/>
          <w:szCs w:val="28"/>
        </w:rPr>
        <w:t xml:space="preserve">六、合同价格、支付及服务到期处理 </w:t>
      </w:r>
    </w:p>
    <w:p>
      <w:pPr>
        <w:spacing w:line="360" w:lineRule="auto"/>
        <w:ind w:left="-176" w:leftChars="-84" w:right="-176" w:rightChars="-84" w:firstLine="420" w:firstLineChars="200"/>
        <w:rPr>
          <w:rFonts w:ascii="宋体" w:hAnsi="宋体"/>
          <w:szCs w:val="21"/>
        </w:rPr>
      </w:pPr>
      <w:r>
        <w:rPr>
          <w:rFonts w:hint="eastAsia" w:ascii="宋体" w:hAnsi="宋体"/>
          <w:szCs w:val="21"/>
        </w:rPr>
        <w:t>（一）项目整体信息服务价格：</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整个系统五年服务价人民币大写： </w:t>
      </w:r>
      <w:r>
        <w:rPr>
          <w:rFonts w:ascii="宋体" w:hAnsi="宋体"/>
          <w:szCs w:val="21"/>
        </w:rPr>
        <w:t xml:space="preserve">          </w:t>
      </w:r>
      <w:r>
        <w:rPr>
          <w:rFonts w:hint="eastAsia" w:ascii="宋体" w:hAnsi="宋体"/>
          <w:szCs w:val="21"/>
        </w:rPr>
        <w:t xml:space="preserve"> 元（</w:t>
      </w:r>
      <w:r>
        <w:rPr>
          <w:rFonts w:ascii="宋体" w:hAnsi="宋体"/>
          <w:sz w:val="24"/>
        </w:rPr>
        <w:t xml:space="preserve">     </w:t>
      </w:r>
      <w:r>
        <w:rPr>
          <w:rFonts w:hint="eastAsia" w:ascii="宋体" w:hAnsi="宋体"/>
          <w:szCs w:val="21"/>
        </w:rPr>
        <w:t>元整），年服务价人民币大写:</w:t>
      </w:r>
      <w:r>
        <w:rPr>
          <w:rFonts w:ascii="宋体" w:hAnsi="宋体"/>
          <w:szCs w:val="21"/>
        </w:rPr>
        <w:t xml:space="preserve">  </w:t>
      </w:r>
      <w:r>
        <w:rPr>
          <w:rFonts w:hint="eastAsia" w:ascii="宋体" w:hAnsi="宋体"/>
          <w:szCs w:val="21"/>
        </w:rPr>
        <w:t xml:space="preserve"> 元（</w:t>
      </w:r>
      <w:r>
        <w:rPr>
          <w:rFonts w:ascii="宋体" w:hAnsi="宋体"/>
          <w:sz w:val="24"/>
        </w:rPr>
        <w:t xml:space="preserve">         </w:t>
      </w:r>
      <w:r>
        <w:rPr>
          <w:rFonts w:hint="eastAsia" w:ascii="宋体" w:hAnsi="宋体"/>
          <w:szCs w:val="21"/>
        </w:rPr>
        <w:t>元整）。涉及到监控点位增减产生的费用，最终按投标文件相对应的价格结算。</w:t>
      </w:r>
    </w:p>
    <w:p>
      <w:pPr>
        <w:spacing w:line="360" w:lineRule="auto"/>
        <w:ind w:left="-176" w:leftChars="-84" w:right="-176" w:rightChars="-84" w:firstLine="420" w:firstLineChars="200"/>
        <w:rPr>
          <w:rFonts w:ascii="宋体" w:hAnsi="宋体"/>
          <w:szCs w:val="21"/>
        </w:rPr>
      </w:pPr>
      <w:r>
        <w:rPr>
          <w:rFonts w:ascii="宋体" w:hAnsi="宋体"/>
          <w:szCs w:val="21"/>
        </w:rPr>
        <w:t>1</w:t>
      </w:r>
      <w:r>
        <w:rPr>
          <w:rFonts w:hint="eastAsia" w:ascii="宋体" w:hAnsi="宋体"/>
          <w:szCs w:val="21"/>
        </w:rPr>
        <w:t>、多目全景摄像机</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hint="eastAsia" w:ascii="宋体" w:hAnsi="宋体"/>
          <w:szCs w:val="21"/>
        </w:rPr>
        <w:t>2、400万人车一体抓拍球机（人车一体）</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ascii="宋体" w:hAnsi="宋体"/>
          <w:szCs w:val="21"/>
        </w:rPr>
        <w:t>3</w:t>
      </w:r>
      <w:r>
        <w:rPr>
          <w:rFonts w:hint="eastAsia" w:ascii="宋体" w:hAnsi="宋体"/>
          <w:szCs w:val="21"/>
        </w:rPr>
        <w:t>、200万室内人脸抓拍筒机（人脸相机）</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ascii="宋体" w:hAnsi="宋体"/>
          <w:szCs w:val="21"/>
        </w:rPr>
        <w:t>4</w:t>
      </w:r>
      <w:r>
        <w:rPr>
          <w:rFonts w:hint="eastAsia" w:ascii="宋体" w:hAnsi="宋体"/>
          <w:szCs w:val="21"/>
        </w:rPr>
        <w:t>、600万人脸抓拍枪机（人脸相机）</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ascii="宋体" w:hAnsi="宋体"/>
          <w:szCs w:val="21"/>
        </w:rPr>
        <w:t>5</w:t>
      </w:r>
      <w:r>
        <w:rPr>
          <w:rFonts w:hint="eastAsia" w:ascii="宋体" w:hAnsi="宋体"/>
          <w:szCs w:val="21"/>
        </w:rPr>
        <w:t>、800万人脸抓拍枪机（人脸相机）</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ascii="宋体" w:hAnsi="宋体"/>
          <w:szCs w:val="21"/>
        </w:rPr>
        <w:t>6</w:t>
      </w:r>
      <w:r>
        <w:rPr>
          <w:rFonts w:hint="eastAsia" w:ascii="宋体" w:hAnsi="宋体"/>
          <w:szCs w:val="21"/>
        </w:rPr>
        <w:t>、900万人车一体抓拍机（人车一体）</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ascii="宋体" w:hAnsi="宋体"/>
          <w:szCs w:val="21"/>
        </w:rPr>
        <w:t>7</w:t>
      </w:r>
      <w:r>
        <w:rPr>
          <w:rFonts w:hint="eastAsia" w:ascii="宋体" w:hAnsi="宋体"/>
          <w:szCs w:val="21"/>
        </w:rPr>
        <w:t>、800万像素结构化枪机</w:t>
      </w:r>
      <w:r>
        <w:rPr>
          <w:szCs w:val="22"/>
        </w:rPr>
        <w:t>综合年租赁费</w:t>
      </w:r>
      <w:r>
        <w:rPr>
          <w:rFonts w:hint="eastAsia"/>
          <w:szCs w:val="22"/>
          <w:u w:val="single"/>
        </w:rPr>
        <w:t xml:space="preserve">         </w:t>
      </w:r>
      <w:r>
        <w:rPr>
          <w:szCs w:val="22"/>
        </w:rPr>
        <w:t>元/</w:t>
      </w:r>
      <w:r>
        <w:rPr>
          <w:rFonts w:hint="eastAsia"/>
          <w:szCs w:val="22"/>
        </w:rPr>
        <w:t>套</w:t>
      </w:r>
      <w:r>
        <w:rPr>
          <w:szCs w:val="22"/>
        </w:rPr>
        <w:t>/年</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（二）付款方式： </w:t>
      </w:r>
    </w:p>
    <w:p>
      <w:pPr>
        <w:spacing w:line="360" w:lineRule="auto"/>
        <w:ind w:left="-176" w:leftChars="-84" w:right="-176" w:rightChars="-84" w:firstLine="420" w:firstLineChars="200"/>
        <w:rPr>
          <w:rFonts w:ascii="宋体" w:hAnsi="宋体"/>
          <w:szCs w:val="21"/>
        </w:rPr>
      </w:pPr>
      <w:r>
        <w:rPr>
          <w:rFonts w:hint="eastAsia" w:ascii="宋体" w:hAnsi="宋体"/>
          <w:szCs w:val="21"/>
        </w:rPr>
        <w:t>第一年：系统安装调试完成，由甲方验收合格后，在12月3</w:t>
      </w:r>
      <w:r>
        <w:rPr>
          <w:rFonts w:ascii="宋体" w:hAnsi="宋体"/>
          <w:szCs w:val="21"/>
        </w:rPr>
        <w:t>0</w:t>
      </w:r>
      <w:r>
        <w:rPr>
          <w:rFonts w:hint="eastAsia" w:ascii="宋体" w:hAnsi="宋体"/>
          <w:szCs w:val="21"/>
        </w:rPr>
        <w:t>日前由滨海开发区管委会支付五年总服务费的</w:t>
      </w:r>
      <w:r>
        <w:rPr>
          <w:rFonts w:ascii="宋体" w:hAnsi="宋体"/>
          <w:szCs w:val="21"/>
        </w:rPr>
        <w:t>20</w:t>
      </w:r>
      <w:r>
        <w:rPr>
          <w:rFonts w:hint="eastAsia" w:ascii="宋体" w:hAnsi="宋体"/>
          <w:szCs w:val="21"/>
        </w:rPr>
        <w:t>%。</w:t>
      </w:r>
    </w:p>
    <w:p>
      <w:pPr>
        <w:spacing w:line="360" w:lineRule="auto"/>
        <w:ind w:left="-176" w:leftChars="-84" w:right="-176" w:rightChars="-84" w:firstLine="420" w:firstLineChars="200"/>
        <w:rPr>
          <w:rFonts w:ascii="宋体" w:hAnsi="宋体"/>
          <w:szCs w:val="21"/>
        </w:rPr>
      </w:pPr>
      <w:r>
        <w:rPr>
          <w:rFonts w:hint="eastAsia" w:ascii="宋体" w:hAnsi="宋体"/>
          <w:szCs w:val="21"/>
        </w:rPr>
        <w:t>第二年至第五年：每年</w:t>
      </w:r>
      <w:r>
        <w:rPr>
          <w:rFonts w:ascii="宋体" w:hAnsi="宋体"/>
          <w:szCs w:val="21"/>
        </w:rPr>
        <w:t>1</w:t>
      </w:r>
      <w:r>
        <w:rPr>
          <w:rFonts w:hint="eastAsia" w:ascii="宋体" w:hAnsi="宋体"/>
          <w:szCs w:val="21"/>
        </w:rPr>
        <w:t>2月3</w:t>
      </w:r>
      <w:r>
        <w:rPr>
          <w:rFonts w:ascii="宋体" w:hAnsi="宋体"/>
          <w:szCs w:val="21"/>
        </w:rPr>
        <w:t>0</w:t>
      </w:r>
      <w:r>
        <w:rPr>
          <w:rFonts w:hint="eastAsia" w:ascii="宋体" w:hAnsi="宋体"/>
          <w:szCs w:val="21"/>
        </w:rPr>
        <w:t>日前由滨海开发区管委会支付五年总服务费的</w:t>
      </w:r>
      <w:r>
        <w:rPr>
          <w:rFonts w:ascii="宋体" w:hAnsi="宋体"/>
          <w:szCs w:val="21"/>
        </w:rPr>
        <w:t>20</w:t>
      </w:r>
      <w:r>
        <w:rPr>
          <w:rFonts w:hint="eastAsia" w:ascii="宋体" w:hAnsi="宋体"/>
          <w:szCs w:val="21"/>
        </w:rPr>
        <w:t>%，同时扣除上一年应扣除的款项；</w:t>
      </w:r>
    </w:p>
    <w:p>
      <w:pPr>
        <w:spacing w:line="360" w:lineRule="auto"/>
        <w:ind w:left="-176" w:leftChars="-84" w:right="-176" w:rightChars="-84" w:firstLine="420" w:firstLineChars="200"/>
        <w:rPr>
          <w:rFonts w:ascii="宋体" w:hAnsi="宋体"/>
          <w:szCs w:val="21"/>
        </w:rPr>
      </w:pPr>
      <w:r>
        <w:rPr>
          <w:rFonts w:hint="eastAsia" w:ascii="宋体" w:hAnsi="宋体"/>
          <w:szCs w:val="21"/>
        </w:rPr>
        <w:t>双方同意以结算支付凭证作为支付时间依据。</w:t>
      </w:r>
    </w:p>
    <w:p>
      <w:pPr>
        <w:spacing w:line="360" w:lineRule="auto"/>
        <w:ind w:left="-176" w:leftChars="-84" w:right="-176" w:rightChars="-84" w:firstLine="420" w:firstLineChars="200"/>
        <w:rPr>
          <w:rFonts w:ascii="宋体" w:hAnsi="宋体"/>
          <w:szCs w:val="21"/>
        </w:rPr>
      </w:pPr>
      <w:r>
        <w:rPr>
          <w:rFonts w:hint="eastAsia" w:ascii="宋体" w:hAnsi="宋体"/>
          <w:szCs w:val="21"/>
        </w:rPr>
        <w:t>（三）服务到期</w:t>
      </w:r>
    </w:p>
    <w:p>
      <w:pPr>
        <w:spacing w:line="360" w:lineRule="auto"/>
        <w:ind w:left="-176" w:leftChars="-84" w:right="-176" w:rightChars="-84" w:firstLine="420" w:firstLineChars="200"/>
        <w:rPr>
          <w:rFonts w:ascii="宋体" w:hAnsi="宋体"/>
          <w:szCs w:val="21"/>
        </w:rPr>
      </w:pPr>
      <w:r>
        <w:rPr>
          <w:rFonts w:hint="eastAsia" w:ascii="宋体" w:hAnsi="宋体"/>
          <w:szCs w:val="21"/>
        </w:rPr>
        <w:t>1、本项目服务到期后，双方同意本项目中的全部设备（不包括光缆）产权归甲方所有。</w:t>
      </w:r>
    </w:p>
    <w:p>
      <w:pPr>
        <w:spacing w:line="360" w:lineRule="auto"/>
        <w:ind w:left="-176" w:leftChars="-84" w:right="-176" w:rightChars="-84" w:firstLine="420" w:firstLineChars="200"/>
        <w:rPr>
          <w:rFonts w:ascii="宋体" w:hAnsi="宋体"/>
          <w:szCs w:val="21"/>
        </w:rPr>
      </w:pPr>
      <w:r>
        <w:rPr>
          <w:rFonts w:hint="eastAsia" w:ascii="宋体" w:hAnsi="宋体"/>
          <w:szCs w:val="21"/>
        </w:rPr>
        <w:t>2、服务期满后，如甲方继续租用乙方的光纤，每条光纤（每点按一条计）的每年服务费不得高于360元。如委托乙方对系统进行维护维修，每点每年维护费（含配件费、人工费等全部费用）不得高于1000元。续签协议应在合同到期前3个月内签署。如乙方不同意出租光纤，则按每个监控点1000元标准补偿甲方二次建设费，在支付第五年租金时扣除此费用。</w:t>
      </w:r>
    </w:p>
    <w:p>
      <w:pPr>
        <w:spacing w:line="360" w:lineRule="auto"/>
        <w:ind w:left="-176" w:leftChars="-84" w:right="-176" w:rightChars="-84" w:firstLine="562" w:firstLineChars="200"/>
        <w:rPr>
          <w:rFonts w:ascii="宋体" w:hAnsi="宋体"/>
          <w:b/>
          <w:sz w:val="28"/>
          <w:szCs w:val="28"/>
        </w:rPr>
      </w:pPr>
      <w:r>
        <w:rPr>
          <w:rFonts w:hint="eastAsia" w:ascii="宋体" w:hAnsi="宋体"/>
          <w:b/>
          <w:sz w:val="28"/>
          <w:szCs w:val="28"/>
        </w:rPr>
        <w:t xml:space="preserve">七、违约责任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任何一方未履行本合同项下的任何一项条款均被视为违约。任何一方在收到对方的具体说明违约情况的书面通知后，如确认违约行为存在，则应在二十天内对违约行为予以纠正并书面通知对方；如认为违约行为不存在，则应在二十天内向对方提出书面异议或说明。在此情形下，甲乙双方可就此问题进行协商，协商不成，按本合同争议条款解决。违约方应承担因自己的违约行为而造成的法律责任。 </w:t>
      </w:r>
    </w:p>
    <w:p>
      <w:pPr>
        <w:spacing w:line="360" w:lineRule="auto"/>
        <w:ind w:left="-176" w:leftChars="-84" w:right="-176" w:rightChars="-84" w:firstLine="420" w:firstLineChars="200"/>
        <w:rPr>
          <w:rFonts w:ascii="宋体" w:hAnsi="宋体"/>
          <w:szCs w:val="21"/>
        </w:rPr>
      </w:pPr>
      <w:r>
        <w:rPr>
          <w:rFonts w:hint="eastAsia" w:ascii="宋体" w:hAnsi="宋体"/>
          <w:szCs w:val="21"/>
        </w:rPr>
        <w:t>由于乙方自身原因，未能按时完成项目建设（中标人必须在合同签订后1</w:t>
      </w:r>
      <w:r>
        <w:rPr>
          <w:rFonts w:ascii="宋体" w:hAnsi="宋体"/>
          <w:szCs w:val="21"/>
        </w:rPr>
        <w:t>2</w:t>
      </w:r>
      <w:r>
        <w:rPr>
          <w:rFonts w:hint="eastAsia" w:ascii="宋体" w:hAnsi="宋体"/>
          <w:szCs w:val="21"/>
        </w:rPr>
        <w:t>0日历日内完成设备供货、系统建设和试运行，系统试运行1个月后开始项目终验， 30天内通过项目最终验收），则从次日起，每延误一日，甲方有权要求乙方支付1000元/天的罚金；当延误工期一个月未完成的，</w:t>
      </w:r>
      <w:r>
        <w:rPr>
          <w:rFonts w:ascii="宋体" w:hAnsi="宋体"/>
          <w:szCs w:val="21"/>
        </w:rPr>
        <w:t>则本工程涉及所有设备及系统产权自动归甲方所有，并将履约保证金</w:t>
      </w:r>
      <w:r>
        <w:rPr>
          <w:rFonts w:hint="eastAsia" w:ascii="宋体" w:hAnsi="宋体"/>
          <w:szCs w:val="21"/>
        </w:rPr>
        <w:t>作</w:t>
      </w:r>
      <w:r>
        <w:rPr>
          <w:rFonts w:ascii="宋体" w:hAnsi="宋体"/>
          <w:szCs w:val="21"/>
        </w:rPr>
        <w:t>为违约金冲抵给甲方，本项目合同自然终止</w:t>
      </w:r>
      <w:r>
        <w:rPr>
          <w:rFonts w:hint="eastAsia" w:ascii="宋体" w:hAnsi="宋体"/>
          <w:szCs w:val="21"/>
        </w:rPr>
        <w:t>。</w:t>
      </w:r>
    </w:p>
    <w:p>
      <w:pPr>
        <w:spacing w:line="360" w:lineRule="auto"/>
        <w:ind w:left="-176" w:leftChars="-84" w:right="-176" w:rightChars="-84" w:firstLine="420" w:firstLineChars="200"/>
        <w:rPr>
          <w:rFonts w:ascii="宋体" w:hAnsi="宋体"/>
          <w:szCs w:val="21"/>
        </w:rPr>
      </w:pPr>
      <w:r>
        <w:rPr>
          <w:rFonts w:hint="eastAsia" w:ascii="宋体" w:hAnsi="宋体"/>
          <w:szCs w:val="21"/>
        </w:rPr>
        <w:t>由于乙方自身原因，累计超过30天以上且整个系统10%以上同时不能提供完好的信息服务，甲方有权中止服务协议，拒付剩余服务费，工程涉及的所有材料设备产权归甲方所有。</w:t>
      </w:r>
    </w:p>
    <w:p>
      <w:pPr>
        <w:spacing w:line="360" w:lineRule="auto"/>
        <w:ind w:left="-176" w:leftChars="-84" w:right="-176" w:rightChars="-84" w:firstLine="420" w:firstLineChars="200"/>
        <w:rPr>
          <w:rFonts w:ascii="宋体" w:hAnsi="宋体"/>
          <w:szCs w:val="21"/>
        </w:rPr>
      </w:pPr>
      <w:r>
        <w:rPr>
          <w:rFonts w:hint="eastAsia" w:ascii="宋体" w:hAnsi="宋体"/>
          <w:szCs w:val="21"/>
        </w:rPr>
        <w:t>乙方应全面及时履行本合同约定的义务，否则甲方有权暂缓支付乙方服务费，直至双方达成补偿或处罚协议，乙方信息服务不得因此停止。</w:t>
      </w:r>
    </w:p>
    <w:p>
      <w:pPr>
        <w:spacing w:line="360" w:lineRule="auto"/>
        <w:ind w:left="-176" w:leftChars="-84" w:right="-176" w:rightChars="-84" w:firstLine="562" w:firstLineChars="200"/>
        <w:rPr>
          <w:rFonts w:ascii="宋体" w:hAnsi="宋体"/>
          <w:b/>
          <w:sz w:val="28"/>
          <w:szCs w:val="28"/>
        </w:rPr>
      </w:pPr>
      <w:r>
        <w:rPr>
          <w:rFonts w:hint="eastAsia" w:ascii="宋体" w:hAnsi="宋体"/>
          <w:b/>
          <w:sz w:val="28"/>
          <w:szCs w:val="28"/>
        </w:rPr>
        <w:t xml:space="preserve">八、保密信息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（一）合同双方保证由任何一方提供的涉及国家安全的视为具有保密性质的所有信息均将被认同为保密信息，并由双方以对方要求的保密信息的保护方式，保证其安全性。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（二）乙方对在系统建设和售后服务期间所获得的甲方的情报和资料有保密义务，并承担保密的责任。不论本合同是否变更、解除、终止，本条款均有效。甲方比照前述条件对乙方承担对等的保密义务。 </w:t>
      </w:r>
    </w:p>
    <w:p>
      <w:pPr>
        <w:spacing w:line="360" w:lineRule="auto"/>
        <w:ind w:firstLine="105" w:firstLineChars="50"/>
        <w:rPr>
          <w:rFonts w:ascii="宋体" w:hAnsi="宋体"/>
          <w:szCs w:val="21"/>
        </w:rPr>
      </w:pPr>
      <w:r>
        <w:rPr>
          <w:rFonts w:hint="eastAsia" w:ascii="宋体" w:hAnsi="宋体"/>
          <w:szCs w:val="21"/>
        </w:rPr>
        <w:t>（三）未经对方书面许可，任何一方不得向第三方提供或披露与对方业务有关的资料和信息，法律另有规定的除外。</w:t>
      </w:r>
    </w:p>
    <w:p>
      <w:pPr>
        <w:spacing w:line="360" w:lineRule="auto"/>
        <w:ind w:left="-176" w:leftChars="-84" w:right="-176" w:rightChars="-84" w:firstLine="562" w:firstLineChars="200"/>
        <w:rPr>
          <w:rFonts w:ascii="宋体" w:hAnsi="宋体"/>
          <w:b/>
          <w:sz w:val="28"/>
          <w:szCs w:val="28"/>
        </w:rPr>
      </w:pPr>
      <w:r>
        <w:rPr>
          <w:rFonts w:hint="eastAsia" w:ascii="宋体" w:hAnsi="宋体"/>
          <w:b/>
          <w:sz w:val="28"/>
          <w:szCs w:val="28"/>
        </w:rPr>
        <w:t xml:space="preserve"> 九、不可抗力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（一）如果双方中任何一方由于战争、严重火灾、水灾、台风和地震以及其它经双方同意属于不可抗力的事故，致使合同履行受阻时，履行合同的期限应予延长，延长的期限应相当于事故所影响的时间。 </w:t>
      </w:r>
    </w:p>
    <w:p>
      <w:pPr>
        <w:spacing w:line="360" w:lineRule="auto"/>
        <w:ind w:left="-176" w:leftChars="-84" w:right="-176" w:rightChars="-84" w:firstLine="420" w:firstLineChars="200"/>
        <w:rPr>
          <w:rFonts w:ascii="宋体" w:hAnsi="宋体"/>
          <w:szCs w:val="21"/>
        </w:rPr>
      </w:pPr>
      <w:r>
        <w:rPr>
          <w:rFonts w:hint="eastAsia" w:ascii="宋体" w:hAnsi="宋体"/>
          <w:szCs w:val="21"/>
        </w:rPr>
        <w:t>（二）受事故影响的一方应在不可抗力的事故发生后尽快以书面、邮寄或传真方式通知另一方，并在事故发生后 14 天内，将有关部门出具的证明文件用挂号信寄给或送给另一方。如果不可抗力影响时间延续 120 天以上的，双方应通过友好协商在合理的时间内达成进一步履行合同的合同。</w:t>
      </w:r>
    </w:p>
    <w:p>
      <w:pPr>
        <w:spacing w:line="360" w:lineRule="auto"/>
        <w:ind w:left="-176" w:leftChars="-84" w:right="-176" w:rightChars="-84" w:firstLine="562" w:firstLineChars="200"/>
        <w:rPr>
          <w:rFonts w:ascii="宋体" w:hAnsi="宋体"/>
          <w:b/>
          <w:sz w:val="28"/>
          <w:szCs w:val="28"/>
        </w:rPr>
      </w:pPr>
      <w:r>
        <w:rPr>
          <w:rFonts w:hint="eastAsia" w:ascii="宋体" w:hAnsi="宋体"/>
          <w:b/>
          <w:sz w:val="28"/>
          <w:szCs w:val="28"/>
        </w:rPr>
        <w:t>十、争议解决</w:t>
      </w:r>
    </w:p>
    <w:p>
      <w:pPr>
        <w:spacing w:line="360" w:lineRule="auto"/>
        <w:ind w:left="-176" w:leftChars="-84" w:right="-176" w:rightChars="-84" w:firstLine="420" w:firstLineChars="200"/>
        <w:rPr>
          <w:rFonts w:ascii="宋体" w:hAnsi="宋体"/>
          <w:szCs w:val="21"/>
        </w:rPr>
      </w:pPr>
      <w:r>
        <w:rPr>
          <w:rFonts w:hint="eastAsia" w:ascii="宋体" w:hAnsi="宋体"/>
          <w:szCs w:val="21"/>
        </w:rPr>
        <w:t>（一）双方一致同意建立协商制度，加强日常情况沟通，及时处理各项问题。</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（二）双方因本合同的履行而发生的争议，应由双方友好协商解决。协商不成提请慈溪市人民法院解决。 </w:t>
      </w:r>
    </w:p>
    <w:p>
      <w:pPr>
        <w:spacing w:line="360" w:lineRule="auto"/>
        <w:ind w:left="-176" w:leftChars="-84" w:right="-176" w:rightChars="-84" w:firstLine="562" w:firstLineChars="200"/>
        <w:rPr>
          <w:rFonts w:ascii="宋体" w:hAnsi="宋体"/>
          <w:b/>
          <w:sz w:val="28"/>
          <w:szCs w:val="28"/>
        </w:rPr>
      </w:pPr>
      <w:r>
        <w:rPr>
          <w:rFonts w:hint="eastAsia" w:ascii="宋体" w:hAnsi="宋体"/>
          <w:b/>
          <w:sz w:val="28"/>
          <w:szCs w:val="28"/>
        </w:rPr>
        <w:t xml:space="preserve">十一、合同的有效期限、变更、解除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（一）本合同及所含附件自合同签订之日起生效。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（二）合同签订后双方任何一方不得单方面解除合同，否则赔偿对方损失。 </w:t>
      </w:r>
    </w:p>
    <w:p>
      <w:pPr>
        <w:spacing w:line="360" w:lineRule="auto"/>
        <w:ind w:left="-176" w:leftChars="-84" w:right="-176" w:rightChars="-84" w:firstLine="562" w:firstLineChars="200"/>
        <w:rPr>
          <w:rFonts w:ascii="宋体" w:hAnsi="宋体"/>
          <w:b/>
          <w:sz w:val="28"/>
          <w:szCs w:val="28"/>
        </w:rPr>
      </w:pPr>
      <w:r>
        <w:rPr>
          <w:rFonts w:ascii="宋体" w:hAnsi="宋体"/>
          <w:b/>
          <w:sz w:val="28"/>
          <w:szCs w:val="28"/>
        </w:rPr>
        <w:t xml:space="preserve"> </w:t>
      </w:r>
      <w:r>
        <w:rPr>
          <w:rFonts w:hint="eastAsia" w:ascii="宋体" w:hAnsi="宋体"/>
          <w:b/>
          <w:sz w:val="28"/>
          <w:szCs w:val="28"/>
        </w:rPr>
        <w:t xml:space="preserve">十二、附则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（一）本合同包含合同正本及一个附件：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附件：《主要设备材料手册》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（二）合同正本以及附件其条款受国家《合同法》的保护，附件作为合同正本的有效补充，与合同正本具有同等的法律效力。 </w:t>
      </w:r>
    </w:p>
    <w:p>
      <w:pPr>
        <w:spacing w:line="360" w:lineRule="auto"/>
        <w:ind w:left="-176" w:leftChars="-84" w:right="-176" w:rightChars="-84" w:firstLine="420" w:firstLineChars="200"/>
        <w:rPr>
          <w:rFonts w:ascii="宋体" w:hAnsi="宋体"/>
          <w:szCs w:val="21"/>
        </w:rPr>
      </w:pPr>
      <w:r>
        <w:rPr>
          <w:rFonts w:hint="eastAsia" w:ascii="宋体" w:hAnsi="宋体"/>
          <w:szCs w:val="21"/>
        </w:rPr>
        <w:t>（三）本合同签订后，甲乙双方如需要提出修改时，经双方协商一致后，可以签订补充合同，作为本合同补充合同。补充合同与本合同具有同等效力。</w:t>
      </w:r>
    </w:p>
    <w:p>
      <w:pPr>
        <w:spacing w:line="360" w:lineRule="auto"/>
        <w:ind w:left="-176" w:leftChars="-84" w:right="-176" w:rightChars="-84" w:firstLine="420" w:firstLineChars="200"/>
        <w:rPr>
          <w:rFonts w:ascii="宋体" w:hAnsi="宋体"/>
          <w:szCs w:val="21"/>
        </w:rPr>
      </w:pPr>
      <w:r>
        <w:rPr>
          <w:rFonts w:hint="eastAsia" w:ascii="宋体" w:hAnsi="宋体"/>
          <w:szCs w:val="21"/>
        </w:rPr>
        <w:t>（四）如果本合同的任何条款在任何时候变成不合法、无效或不可强制执行而不从根本上影响本合同的效力时，本合同的其它条款应不受影响。</w:t>
      </w:r>
    </w:p>
    <w:p>
      <w:pPr>
        <w:spacing w:line="360" w:lineRule="auto"/>
        <w:ind w:left="-176" w:leftChars="-84" w:right="-176" w:rightChars="-84" w:firstLine="420" w:firstLineChars="200"/>
        <w:rPr>
          <w:rFonts w:ascii="宋体" w:hAnsi="宋体"/>
          <w:szCs w:val="21"/>
        </w:rPr>
      </w:pPr>
      <w:r>
        <w:rPr>
          <w:rFonts w:hint="eastAsia" w:ascii="宋体" w:hAnsi="宋体"/>
          <w:szCs w:val="21"/>
        </w:rPr>
        <w:t>（五）未经甲乙双方书面确认，任何一方不得自行变更或修改本合同。</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（六）本合同的任何内容不应被视为或解释为双方之间具有合资、合伙、代理关系。 </w:t>
      </w: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（七）本合同未尽事宜由甲乙双方协商解决。 </w:t>
      </w:r>
    </w:p>
    <w:p>
      <w:pPr>
        <w:spacing w:line="360" w:lineRule="auto"/>
        <w:ind w:left="-176" w:leftChars="-84" w:right="-176" w:rightChars="-84" w:firstLine="420" w:firstLineChars="200"/>
        <w:rPr>
          <w:rFonts w:ascii="宋体" w:hAnsi="宋体"/>
          <w:szCs w:val="21"/>
        </w:rPr>
      </w:pPr>
      <w:r>
        <w:rPr>
          <w:rFonts w:hint="eastAsia" w:ascii="宋体" w:hAnsi="宋体"/>
          <w:szCs w:val="21"/>
        </w:rPr>
        <w:t>（八）本合同一式五份，甲乙双方各执两份，一份报慈溪市公共资源交易管理办公室备案。每份合同具有同等法律效力。</w:t>
      </w:r>
    </w:p>
    <w:p>
      <w:pPr>
        <w:spacing w:line="360" w:lineRule="auto"/>
        <w:ind w:left="-176" w:leftChars="-84" w:right="-176" w:rightChars="-84" w:firstLine="420" w:firstLineChars="200"/>
        <w:rPr>
          <w:rFonts w:ascii="宋体" w:hAnsi="宋体"/>
          <w:szCs w:val="21"/>
        </w:rPr>
      </w:pPr>
      <w:r>
        <w:rPr>
          <w:rFonts w:hint="eastAsia" w:ascii="宋体" w:hAnsi="宋体"/>
          <w:szCs w:val="21"/>
        </w:rPr>
        <w:t>（九）本合同自双方负责人或委托代理人签字并加盖公章之日起生效。</w:t>
      </w:r>
    </w:p>
    <w:p>
      <w:pPr>
        <w:spacing w:line="360" w:lineRule="auto"/>
        <w:ind w:left="-176" w:leftChars="-84" w:right="-176" w:rightChars="-84" w:firstLine="420" w:firstLineChars="200"/>
        <w:rPr>
          <w:rFonts w:ascii="宋体" w:hAnsi="宋体"/>
          <w:szCs w:val="21"/>
        </w:rPr>
      </w:pPr>
    </w:p>
    <w:p>
      <w:pPr>
        <w:spacing w:line="360" w:lineRule="auto"/>
        <w:ind w:left="-176" w:leftChars="-84" w:right="-176" w:rightChars="-84" w:firstLine="420" w:firstLineChars="200"/>
        <w:rPr>
          <w:rFonts w:ascii="宋体" w:hAnsi="宋体"/>
          <w:szCs w:val="21"/>
        </w:rPr>
      </w:pPr>
      <w:r>
        <w:rPr>
          <w:rFonts w:hint="eastAsia" w:ascii="宋体" w:hAnsi="宋体"/>
          <w:szCs w:val="21"/>
        </w:rPr>
        <w:t xml:space="preserve">甲  方：        </w:t>
      </w:r>
      <w:r>
        <w:rPr>
          <w:rFonts w:ascii="宋体" w:hAnsi="宋体"/>
          <w:szCs w:val="21"/>
        </w:rPr>
        <w:t xml:space="preserve">                   </w:t>
      </w:r>
      <w:r>
        <w:rPr>
          <w:rFonts w:hint="eastAsia" w:ascii="宋体" w:hAnsi="宋体"/>
          <w:szCs w:val="21"/>
        </w:rPr>
        <w:t xml:space="preserve">乙  方： </w:t>
      </w:r>
    </w:p>
    <w:p>
      <w:pPr>
        <w:spacing w:line="360" w:lineRule="auto"/>
        <w:ind w:left="-176" w:leftChars="-84" w:right="-176" w:rightChars="-84" w:firstLine="420" w:firstLineChars="200"/>
        <w:rPr>
          <w:rFonts w:ascii="宋体" w:hAnsi="宋体"/>
          <w:szCs w:val="21"/>
        </w:rPr>
      </w:pPr>
      <w:r>
        <w:rPr>
          <w:rFonts w:hint="eastAsia" w:ascii="宋体" w:hAnsi="宋体"/>
          <w:szCs w:val="21"/>
        </w:rPr>
        <w:t>负 责 人（签字）：                  负 责 人（签字）：</w:t>
      </w:r>
    </w:p>
    <w:p>
      <w:pPr>
        <w:spacing w:line="360" w:lineRule="auto"/>
        <w:ind w:left="-176" w:leftChars="-84" w:right="-176" w:rightChars="-84" w:firstLine="420" w:firstLineChars="200"/>
        <w:rPr>
          <w:rFonts w:ascii="宋体" w:hAnsi="宋体"/>
          <w:szCs w:val="21"/>
        </w:rPr>
      </w:pPr>
      <w:r>
        <w:rPr>
          <w:rFonts w:hint="eastAsia" w:ascii="宋体" w:hAnsi="宋体"/>
          <w:szCs w:val="21"/>
        </w:rPr>
        <w:t>联 系 人：                         联 系 人：</w:t>
      </w:r>
    </w:p>
    <w:p>
      <w:pPr>
        <w:spacing w:line="360" w:lineRule="auto"/>
        <w:ind w:left="-176" w:leftChars="-84" w:right="-176" w:rightChars="-84" w:firstLine="420" w:firstLineChars="200"/>
        <w:rPr>
          <w:rFonts w:ascii="宋体" w:hAnsi="宋体"/>
          <w:szCs w:val="21"/>
        </w:rPr>
      </w:pPr>
      <w:r>
        <w:rPr>
          <w:rFonts w:hint="eastAsia" w:ascii="宋体" w:hAnsi="宋体"/>
          <w:szCs w:val="21"/>
        </w:rPr>
        <w:t>地    址：                         地    址：</w:t>
      </w:r>
    </w:p>
    <w:p>
      <w:pPr>
        <w:spacing w:line="360" w:lineRule="auto"/>
        <w:ind w:left="-176" w:leftChars="-84" w:right="-176" w:rightChars="-84" w:firstLine="420" w:firstLineChars="200"/>
        <w:rPr>
          <w:rFonts w:ascii="宋体" w:hAnsi="宋体"/>
          <w:szCs w:val="21"/>
        </w:rPr>
      </w:pPr>
      <w:r>
        <w:rPr>
          <w:rFonts w:hint="eastAsia" w:ascii="宋体" w:hAnsi="宋体"/>
          <w:szCs w:val="21"/>
        </w:rPr>
        <w:t>电    话：                         电    话：</w:t>
      </w:r>
    </w:p>
    <w:p>
      <w:pPr>
        <w:spacing w:line="360" w:lineRule="auto"/>
        <w:ind w:right="744"/>
        <w:jc w:val="right"/>
        <w:rPr>
          <w:rFonts w:hint="eastAsia" w:ascii="宋体" w:hAnsi="宋体"/>
          <w:spacing w:val="-16"/>
          <w:szCs w:val="21"/>
        </w:rPr>
      </w:pPr>
    </w:p>
    <w:p>
      <w:pPr>
        <w:spacing w:line="360" w:lineRule="auto"/>
        <w:ind w:right="744"/>
        <w:jc w:val="right"/>
        <w:rPr>
          <w:rFonts w:ascii="宋体" w:hAnsi="宋体"/>
          <w:spacing w:val="-16"/>
          <w:szCs w:val="21"/>
        </w:rPr>
      </w:pPr>
      <w:r>
        <w:rPr>
          <w:rFonts w:hint="eastAsia" w:ascii="宋体" w:hAnsi="宋体"/>
          <w:spacing w:val="-16"/>
          <w:szCs w:val="21"/>
        </w:rPr>
        <w:t>签约时间：</w:t>
      </w:r>
      <w:r>
        <w:rPr>
          <w:rFonts w:hint="eastAsia" w:ascii="宋体" w:hAnsi="宋体"/>
          <w:spacing w:val="-16"/>
          <w:szCs w:val="21"/>
          <w:u w:val="single"/>
        </w:rPr>
        <w:t xml:space="preserve">      </w:t>
      </w:r>
      <w:r>
        <w:rPr>
          <w:rFonts w:hint="eastAsia" w:ascii="宋体" w:hAnsi="宋体"/>
          <w:spacing w:val="-16"/>
          <w:szCs w:val="21"/>
        </w:rPr>
        <w:t>年</w:t>
      </w:r>
      <w:r>
        <w:rPr>
          <w:rFonts w:hint="eastAsia" w:ascii="宋体" w:hAnsi="宋体"/>
          <w:spacing w:val="-16"/>
          <w:szCs w:val="21"/>
          <w:u w:val="single"/>
        </w:rPr>
        <w:t xml:space="preserve">    </w:t>
      </w:r>
      <w:r>
        <w:rPr>
          <w:rFonts w:hint="eastAsia" w:ascii="宋体" w:hAnsi="宋体"/>
          <w:spacing w:val="-16"/>
          <w:szCs w:val="21"/>
        </w:rPr>
        <w:t>月</w:t>
      </w:r>
      <w:r>
        <w:rPr>
          <w:rFonts w:hint="eastAsia" w:ascii="宋体" w:hAnsi="宋体"/>
          <w:spacing w:val="-16"/>
          <w:szCs w:val="21"/>
          <w:u w:val="single"/>
        </w:rPr>
        <w:t xml:space="preserve">    </w:t>
      </w:r>
      <w:r>
        <w:rPr>
          <w:rFonts w:hint="eastAsia" w:ascii="宋体" w:hAnsi="宋体"/>
          <w:spacing w:val="-16"/>
          <w:szCs w:val="21"/>
        </w:rPr>
        <w:t>日</w:t>
      </w:r>
    </w:p>
    <w:p>
      <w:pPr>
        <w:spacing w:line="360" w:lineRule="auto"/>
        <w:jc w:val="center"/>
        <w:rPr>
          <w:rFonts w:ascii="宋体" w:hAnsi="宋体"/>
          <w:szCs w:val="21"/>
          <w:u w:val="single"/>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签约地点：</w:t>
      </w:r>
      <w:r>
        <w:rPr>
          <w:rFonts w:hint="eastAsia" w:ascii="宋体" w:hAnsi="宋体"/>
          <w:szCs w:val="21"/>
          <w:u w:val="single"/>
        </w:rPr>
        <w:t xml:space="preserve">               </w:t>
      </w:r>
    </w:p>
    <w:p>
      <w:pPr>
        <w:spacing w:line="360" w:lineRule="auto"/>
        <w:jc w:val="center"/>
        <w:rPr>
          <w:rFonts w:ascii="宋体" w:hAnsi="宋体"/>
          <w:szCs w:val="21"/>
          <w:u w:val="single"/>
        </w:rPr>
      </w:pPr>
    </w:p>
    <w:p>
      <w:pPr>
        <w:spacing w:line="360" w:lineRule="auto"/>
        <w:rPr>
          <w:rFonts w:hint="eastAsia" w:ascii="宋体" w:hAnsi="宋体"/>
        </w:rPr>
      </w:pPr>
    </w:p>
    <w:p>
      <w:pPr>
        <w:spacing w:line="360" w:lineRule="auto"/>
        <w:rPr>
          <w:rFonts w:hint="eastAsia" w:ascii="宋体" w:hAnsi="宋体"/>
        </w:rPr>
      </w:pPr>
    </w:p>
    <w:p>
      <w:pPr>
        <w:spacing w:line="360" w:lineRule="auto"/>
        <w:rPr>
          <w:rFonts w:hint="eastAsia" w:ascii="宋体" w:hAnsi="宋体"/>
        </w:rPr>
      </w:pPr>
    </w:p>
    <w:p>
      <w:pPr>
        <w:spacing w:line="400" w:lineRule="exact"/>
        <w:jc w:val="center"/>
        <w:outlineLvl w:val="0"/>
        <w:rPr>
          <w:rFonts w:eastAsia="黑体"/>
          <w:b/>
          <w:sz w:val="32"/>
        </w:rPr>
      </w:pPr>
      <w:r>
        <w:rPr>
          <w:rFonts w:hint="eastAsia"/>
          <w:b/>
          <w:sz w:val="32"/>
          <w:szCs w:val="32"/>
        </w:rPr>
        <w:br w:type="page"/>
      </w:r>
      <w:bookmarkStart w:id="645" w:name="_Toc413763921"/>
      <w:r>
        <w:rPr>
          <w:rFonts w:hint="eastAsia" w:eastAsia="黑体"/>
          <w:b/>
          <w:sz w:val="32"/>
        </w:rPr>
        <w:t>第六部份  商务条款</w:t>
      </w:r>
      <w:bookmarkEnd w:id="645"/>
    </w:p>
    <w:p>
      <w:pPr>
        <w:spacing w:line="400" w:lineRule="exact"/>
        <w:rPr>
          <w:bCs/>
          <w:sz w:val="24"/>
        </w:rPr>
      </w:pPr>
    </w:p>
    <w:tbl>
      <w:tblPr>
        <w:tblStyle w:val="51"/>
        <w:tblW w:w="0" w:type="auto"/>
        <w:tblInd w:w="108" w:type="dxa"/>
        <w:tblLayout w:type="fixed"/>
        <w:tblCellMar>
          <w:top w:w="0" w:type="dxa"/>
          <w:left w:w="108" w:type="dxa"/>
          <w:bottom w:w="0" w:type="dxa"/>
          <w:right w:w="108" w:type="dxa"/>
        </w:tblCellMar>
      </w:tblPr>
      <w:tblGrid>
        <w:gridCol w:w="927"/>
        <w:gridCol w:w="7998"/>
      </w:tblGrid>
      <w:tr>
        <w:tblPrEx>
          <w:tblCellMar>
            <w:top w:w="0" w:type="dxa"/>
            <w:left w:w="108" w:type="dxa"/>
            <w:bottom w:w="0" w:type="dxa"/>
            <w:right w:w="108" w:type="dxa"/>
          </w:tblCellMar>
        </w:tblPrEx>
        <w:trPr>
          <w:trHeight w:val="640" w:hRule="atLeast"/>
        </w:trPr>
        <w:tc>
          <w:tcPr>
            <w:tcW w:w="927" w:type="dxa"/>
            <w:tcBorders>
              <w:top w:val="single" w:color="000000" w:sz="12" w:space="0"/>
              <w:left w:val="single" w:color="000000" w:sz="12" w:space="0"/>
              <w:bottom w:val="single" w:color="000000" w:sz="6" w:space="0"/>
              <w:right w:val="single" w:color="000000" w:sz="6" w:space="0"/>
            </w:tcBorders>
            <w:noWrap w:val="0"/>
            <w:vAlign w:val="center"/>
          </w:tcPr>
          <w:p>
            <w:pPr>
              <w:autoSpaceDE w:val="0"/>
              <w:autoSpaceDN w:val="0"/>
              <w:adjustRightInd w:val="0"/>
              <w:jc w:val="center"/>
              <w:rPr>
                <w:rFonts w:ascii="宋体" w:hAnsi="宋体"/>
                <w:b/>
                <w:bCs/>
                <w:szCs w:val="21"/>
              </w:rPr>
            </w:pPr>
            <w:r>
              <w:rPr>
                <w:rFonts w:hint="eastAsia" w:ascii="宋体" w:hAnsi="宋体"/>
                <w:b/>
                <w:bCs/>
                <w:szCs w:val="21"/>
              </w:rPr>
              <w:t>序号</w:t>
            </w:r>
          </w:p>
        </w:tc>
        <w:tc>
          <w:tcPr>
            <w:tcW w:w="7998" w:type="dxa"/>
            <w:tcBorders>
              <w:top w:val="single" w:color="000000" w:sz="12" w:space="0"/>
              <w:left w:val="nil"/>
              <w:bottom w:val="single" w:color="000000" w:sz="6" w:space="0"/>
              <w:right w:val="single" w:color="000000" w:sz="12" w:space="0"/>
            </w:tcBorders>
            <w:noWrap w:val="0"/>
            <w:vAlign w:val="center"/>
          </w:tcPr>
          <w:p>
            <w:pPr>
              <w:autoSpaceDE w:val="0"/>
              <w:autoSpaceDN w:val="0"/>
              <w:adjustRightInd w:val="0"/>
              <w:jc w:val="center"/>
              <w:rPr>
                <w:rFonts w:ascii="宋体" w:hAnsi="宋体"/>
                <w:b/>
                <w:bCs/>
                <w:szCs w:val="21"/>
              </w:rPr>
            </w:pPr>
            <w:r>
              <w:rPr>
                <w:rFonts w:hint="eastAsia" w:ascii="宋体" w:hAnsi="宋体"/>
                <w:b/>
                <w:bCs/>
                <w:szCs w:val="21"/>
                <w:lang w:val="zh-CN"/>
              </w:rPr>
              <w:t>内</w:t>
            </w:r>
            <w:r>
              <w:rPr>
                <w:rFonts w:ascii="宋体" w:hAnsi="宋体"/>
                <w:b/>
                <w:bCs/>
                <w:szCs w:val="21"/>
              </w:rPr>
              <w:t xml:space="preserve">      </w:t>
            </w:r>
            <w:r>
              <w:rPr>
                <w:rFonts w:hint="eastAsia" w:ascii="宋体" w:hAnsi="宋体"/>
                <w:b/>
                <w:bCs/>
                <w:szCs w:val="21"/>
                <w:lang w:val="zh-CN"/>
              </w:rPr>
              <w:t>容</w:t>
            </w:r>
          </w:p>
        </w:tc>
      </w:tr>
      <w:tr>
        <w:tblPrEx>
          <w:tblCellMar>
            <w:top w:w="0" w:type="dxa"/>
            <w:left w:w="108" w:type="dxa"/>
            <w:bottom w:w="0" w:type="dxa"/>
            <w:right w:w="108" w:type="dxa"/>
          </w:tblCellMar>
        </w:tblPrEx>
        <w:trPr>
          <w:trHeight w:val="640" w:hRule="atLeast"/>
        </w:trPr>
        <w:tc>
          <w:tcPr>
            <w:tcW w:w="927" w:type="dxa"/>
            <w:tcBorders>
              <w:top w:val="single" w:color="000000" w:sz="12"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bCs/>
                <w:szCs w:val="21"/>
              </w:rPr>
            </w:pPr>
            <w:r>
              <w:rPr>
                <w:rFonts w:hint="eastAsia" w:ascii="宋体" w:hAnsi="宋体"/>
                <w:bCs/>
                <w:szCs w:val="21"/>
              </w:rPr>
              <w:t>1</w:t>
            </w:r>
          </w:p>
        </w:tc>
        <w:tc>
          <w:tcPr>
            <w:tcW w:w="7998" w:type="dxa"/>
            <w:tcBorders>
              <w:top w:val="single" w:color="000000" w:sz="12" w:space="0"/>
              <w:left w:val="nil"/>
              <w:bottom w:val="single" w:color="000000" w:sz="6" w:space="0"/>
              <w:right w:val="single" w:color="000000" w:sz="12"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服务地点：采购人指定地点。</w:t>
            </w:r>
          </w:p>
        </w:tc>
      </w:tr>
      <w:tr>
        <w:tblPrEx>
          <w:tblCellMar>
            <w:top w:w="0" w:type="dxa"/>
            <w:left w:w="108" w:type="dxa"/>
            <w:bottom w:w="0" w:type="dxa"/>
            <w:right w:w="108" w:type="dxa"/>
          </w:tblCellMar>
        </w:tblPrEx>
        <w:trPr>
          <w:trHeight w:val="810" w:hRule="atLeast"/>
        </w:trPr>
        <w:tc>
          <w:tcPr>
            <w:tcW w:w="927" w:type="dxa"/>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hint="eastAsia" w:ascii="宋体" w:hAnsi="宋体"/>
                <w:szCs w:val="21"/>
                <w:lang w:val="zh-CN"/>
              </w:rPr>
              <w:t>2</w:t>
            </w:r>
          </w:p>
        </w:tc>
        <w:tc>
          <w:tcPr>
            <w:tcW w:w="7998" w:type="dxa"/>
            <w:tcBorders>
              <w:top w:val="single" w:color="000000" w:sz="6" w:space="0"/>
              <w:left w:val="nil"/>
              <w:bottom w:val="single" w:color="000000" w:sz="6" w:space="0"/>
              <w:right w:val="single" w:color="000000" w:sz="12"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实施周期：投标供应商必须在</w:t>
            </w:r>
            <w:r>
              <w:rPr>
                <w:rFonts w:ascii="宋体" w:hAnsi="宋体"/>
                <w:szCs w:val="21"/>
                <w:lang w:val="zh-CN"/>
              </w:rPr>
              <w:t>5</w:t>
            </w:r>
            <w:r>
              <w:rPr>
                <w:rFonts w:hint="eastAsia" w:ascii="宋体" w:hAnsi="宋体"/>
                <w:szCs w:val="21"/>
                <w:lang w:val="zh-CN"/>
              </w:rPr>
              <w:t>个月内完成浙江慈溪滨海经济开发区天网工程二期（社会治安动态视频监控系统二期）项目工程整体安装调试工作，试运行一个月，经验收合格后，正式提供租赁服务。租赁服务期限：五年。</w:t>
            </w:r>
          </w:p>
        </w:tc>
      </w:tr>
      <w:tr>
        <w:tblPrEx>
          <w:tblCellMar>
            <w:top w:w="0" w:type="dxa"/>
            <w:left w:w="108" w:type="dxa"/>
            <w:bottom w:w="0" w:type="dxa"/>
            <w:right w:w="108" w:type="dxa"/>
          </w:tblCellMar>
        </w:tblPrEx>
        <w:trPr>
          <w:trHeight w:val="810" w:hRule="atLeast"/>
        </w:trPr>
        <w:tc>
          <w:tcPr>
            <w:tcW w:w="927" w:type="dxa"/>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hint="eastAsia" w:ascii="宋体" w:hAnsi="宋体"/>
                <w:szCs w:val="21"/>
                <w:lang w:val="zh-CN"/>
              </w:rPr>
              <w:t>3</w:t>
            </w:r>
          </w:p>
        </w:tc>
        <w:tc>
          <w:tcPr>
            <w:tcW w:w="7998" w:type="dxa"/>
            <w:tcBorders>
              <w:top w:val="single" w:color="000000" w:sz="6" w:space="0"/>
              <w:left w:val="nil"/>
              <w:bottom w:val="single" w:color="000000" w:sz="6" w:space="0"/>
              <w:right w:val="single" w:color="000000" w:sz="12"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付款方法和条件：</w:t>
            </w:r>
            <w:r>
              <w:rPr>
                <w:rFonts w:hint="eastAsia" w:ascii="宋体" w:hAnsi="宋体"/>
                <w:szCs w:val="21"/>
              </w:rPr>
              <w:t>详见第五章第3.</w:t>
            </w:r>
            <w:r>
              <w:rPr>
                <w:rFonts w:ascii="宋体" w:hAnsi="宋体"/>
                <w:szCs w:val="21"/>
              </w:rPr>
              <w:t>3</w:t>
            </w:r>
            <w:r>
              <w:rPr>
                <w:rFonts w:hint="eastAsia" w:ascii="宋体" w:hAnsi="宋体"/>
                <w:szCs w:val="21"/>
              </w:rPr>
              <w:t>条。</w:t>
            </w:r>
          </w:p>
        </w:tc>
      </w:tr>
      <w:tr>
        <w:tblPrEx>
          <w:tblCellMar>
            <w:top w:w="0" w:type="dxa"/>
            <w:left w:w="108" w:type="dxa"/>
            <w:bottom w:w="0" w:type="dxa"/>
            <w:right w:w="108" w:type="dxa"/>
          </w:tblCellMar>
        </w:tblPrEx>
        <w:trPr>
          <w:trHeight w:val="810" w:hRule="atLeast"/>
        </w:trPr>
        <w:tc>
          <w:tcPr>
            <w:tcW w:w="927" w:type="dxa"/>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hint="eastAsia" w:ascii="宋体" w:hAnsi="宋体"/>
                <w:szCs w:val="21"/>
                <w:lang w:val="zh-CN"/>
              </w:rPr>
              <w:t>4</w:t>
            </w:r>
          </w:p>
        </w:tc>
        <w:tc>
          <w:tcPr>
            <w:tcW w:w="7998" w:type="dxa"/>
            <w:tcBorders>
              <w:top w:val="single" w:color="000000" w:sz="6" w:space="0"/>
              <w:left w:val="nil"/>
              <w:bottom w:val="single" w:color="000000" w:sz="6" w:space="0"/>
              <w:right w:val="single" w:color="000000" w:sz="12" w:space="0"/>
            </w:tcBorders>
            <w:noWrap w:val="0"/>
            <w:vAlign w:val="center"/>
          </w:tcPr>
          <w:p>
            <w:pPr>
              <w:spacing w:line="400" w:lineRule="exact"/>
              <w:rPr>
                <w:rFonts w:ascii="宋体" w:hAnsi="宋体"/>
                <w:szCs w:val="21"/>
              </w:rPr>
            </w:pPr>
            <w:r>
              <w:rPr>
                <w:rFonts w:hint="eastAsia" w:ascii="宋体" w:hAnsi="宋体"/>
                <w:szCs w:val="21"/>
                <w:lang w:val="zh-CN"/>
              </w:rPr>
              <w:t>售后服务：</w:t>
            </w:r>
            <w:r>
              <w:rPr>
                <w:rFonts w:hint="eastAsia" w:ascii="宋体" w:hAnsi="宋体"/>
                <w:szCs w:val="21"/>
              </w:rPr>
              <w:t>详见第五章第2.4.11条。</w:t>
            </w:r>
          </w:p>
        </w:tc>
      </w:tr>
      <w:tr>
        <w:tblPrEx>
          <w:tblCellMar>
            <w:top w:w="0" w:type="dxa"/>
            <w:left w:w="108" w:type="dxa"/>
            <w:bottom w:w="0" w:type="dxa"/>
            <w:right w:w="108" w:type="dxa"/>
          </w:tblCellMar>
        </w:tblPrEx>
        <w:trPr>
          <w:trHeight w:val="810" w:hRule="atLeast"/>
        </w:trPr>
        <w:tc>
          <w:tcPr>
            <w:tcW w:w="927" w:type="dxa"/>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hint="eastAsia" w:ascii="宋体" w:hAnsi="宋体"/>
                <w:szCs w:val="21"/>
                <w:lang w:val="zh-CN"/>
              </w:rPr>
              <w:t>5</w:t>
            </w:r>
          </w:p>
        </w:tc>
        <w:tc>
          <w:tcPr>
            <w:tcW w:w="7998" w:type="dxa"/>
            <w:tcBorders>
              <w:top w:val="single" w:color="000000" w:sz="6" w:space="0"/>
              <w:left w:val="nil"/>
              <w:bottom w:val="single" w:color="000000" w:sz="6" w:space="0"/>
              <w:right w:val="single" w:color="000000" w:sz="12" w:space="0"/>
            </w:tcBorders>
            <w:noWrap w:val="0"/>
            <w:vAlign w:val="center"/>
          </w:tcPr>
          <w:p>
            <w:pPr>
              <w:spacing w:line="400" w:lineRule="exact"/>
            </w:pPr>
            <w:r>
              <w:rPr>
                <w:rFonts w:hint="eastAsia" w:ascii="宋体" w:hAnsi="宋体"/>
                <w:szCs w:val="21"/>
                <w:lang w:val="zh-CN"/>
              </w:rPr>
              <w:t>履约保证金金额：中标人提供的履约保证金为合同价款的10％。在签订合同后支付给采购人，</w:t>
            </w:r>
            <w:r>
              <w:rPr>
                <w:rFonts w:hint="eastAsia" w:ascii="宋体" w:hAnsi="宋体"/>
                <w:szCs w:val="21"/>
              </w:rPr>
              <w:t>在项目验收合格之日起，12个月后退还中标人。</w:t>
            </w:r>
          </w:p>
        </w:tc>
      </w:tr>
      <w:tr>
        <w:tblPrEx>
          <w:tblCellMar>
            <w:top w:w="0" w:type="dxa"/>
            <w:left w:w="108" w:type="dxa"/>
            <w:bottom w:w="0" w:type="dxa"/>
            <w:right w:w="108" w:type="dxa"/>
          </w:tblCellMar>
        </w:tblPrEx>
        <w:trPr>
          <w:trHeight w:val="810" w:hRule="atLeast"/>
        </w:trPr>
        <w:tc>
          <w:tcPr>
            <w:tcW w:w="927" w:type="dxa"/>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hint="eastAsia" w:ascii="宋体" w:hAnsi="宋体"/>
                <w:szCs w:val="21"/>
                <w:lang w:val="zh-CN"/>
              </w:rPr>
              <w:t>6</w:t>
            </w:r>
          </w:p>
        </w:tc>
        <w:tc>
          <w:tcPr>
            <w:tcW w:w="7998" w:type="dxa"/>
            <w:tcBorders>
              <w:top w:val="single" w:color="000000" w:sz="6" w:space="0"/>
              <w:left w:val="nil"/>
              <w:bottom w:val="single" w:color="000000" w:sz="6" w:space="0"/>
              <w:right w:val="single" w:color="000000" w:sz="12"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履约保证金形式：</w:t>
            </w:r>
          </w:p>
          <w:p>
            <w:pPr>
              <w:autoSpaceDE w:val="0"/>
              <w:autoSpaceDN w:val="0"/>
              <w:adjustRightInd w:val="0"/>
              <w:spacing w:line="400" w:lineRule="exact"/>
              <w:rPr>
                <w:rFonts w:ascii="宋体" w:hAnsi="宋体"/>
                <w:szCs w:val="21"/>
                <w:lang w:val="zh-CN"/>
              </w:rPr>
            </w:pPr>
            <w:r>
              <w:rPr>
                <w:rFonts w:hint="eastAsia" w:ascii="宋体" w:hAnsi="宋体"/>
                <w:szCs w:val="21"/>
                <w:lang w:val="zh-CN"/>
              </w:rPr>
              <w:t>可选择：银行汇票（电汇）、支票（仅限于使用宁波大市区范围内的银行开具的支票）。</w:t>
            </w:r>
          </w:p>
        </w:tc>
      </w:tr>
      <w:tr>
        <w:tblPrEx>
          <w:tblCellMar>
            <w:top w:w="0" w:type="dxa"/>
            <w:left w:w="108" w:type="dxa"/>
            <w:bottom w:w="0" w:type="dxa"/>
            <w:right w:w="108" w:type="dxa"/>
          </w:tblCellMar>
        </w:tblPrEx>
        <w:trPr>
          <w:trHeight w:val="90" w:hRule="atLeast"/>
        </w:trPr>
        <w:tc>
          <w:tcPr>
            <w:tcW w:w="927" w:type="dxa"/>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hint="eastAsia" w:ascii="宋体" w:hAnsi="宋体"/>
                <w:szCs w:val="21"/>
                <w:lang w:val="zh-CN"/>
              </w:rPr>
              <w:t>7</w:t>
            </w:r>
          </w:p>
        </w:tc>
        <w:tc>
          <w:tcPr>
            <w:tcW w:w="7998" w:type="dxa"/>
            <w:tcBorders>
              <w:top w:val="single" w:color="000000" w:sz="6" w:space="0"/>
              <w:left w:val="nil"/>
              <w:bottom w:val="single" w:color="000000" w:sz="6" w:space="0"/>
              <w:right w:val="single" w:color="000000" w:sz="12"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授予合同：按照招标文件的规定、中标供应商的投标响应及中标通知书确定的金额签订合同。</w:t>
            </w:r>
          </w:p>
        </w:tc>
      </w:tr>
      <w:tr>
        <w:tblPrEx>
          <w:tblCellMar>
            <w:top w:w="0" w:type="dxa"/>
            <w:left w:w="108" w:type="dxa"/>
            <w:bottom w:w="0" w:type="dxa"/>
            <w:right w:w="108" w:type="dxa"/>
          </w:tblCellMar>
        </w:tblPrEx>
        <w:trPr>
          <w:trHeight w:val="810" w:hRule="atLeast"/>
        </w:trPr>
        <w:tc>
          <w:tcPr>
            <w:tcW w:w="927" w:type="dxa"/>
            <w:tcBorders>
              <w:top w:val="single" w:color="000000" w:sz="6" w:space="0"/>
              <w:left w:val="single" w:color="000000" w:sz="12" w:space="0"/>
              <w:bottom w:val="single" w:color="auto" w:sz="12" w:space="0"/>
              <w:right w:val="single" w:color="000000" w:sz="6" w:space="0"/>
            </w:tcBorders>
            <w:noWrap w:val="0"/>
            <w:vAlign w:val="center"/>
          </w:tcPr>
          <w:p>
            <w:pPr>
              <w:autoSpaceDE w:val="0"/>
              <w:autoSpaceDN w:val="0"/>
              <w:adjustRightInd w:val="0"/>
              <w:spacing w:line="400" w:lineRule="exact"/>
              <w:jc w:val="center"/>
              <w:rPr>
                <w:rFonts w:ascii="宋体" w:hAnsi="宋体"/>
                <w:szCs w:val="21"/>
                <w:lang w:val="zh-CN"/>
              </w:rPr>
            </w:pPr>
            <w:r>
              <w:rPr>
                <w:rFonts w:ascii="宋体" w:hAnsi="宋体"/>
                <w:szCs w:val="21"/>
              </w:rPr>
              <w:t>▲</w:t>
            </w:r>
            <w:r>
              <w:rPr>
                <w:rFonts w:hint="eastAsia" w:ascii="宋体" w:hAnsi="宋体"/>
                <w:szCs w:val="21"/>
                <w:lang w:val="zh-CN"/>
              </w:rPr>
              <w:t>8</w:t>
            </w:r>
          </w:p>
        </w:tc>
        <w:tc>
          <w:tcPr>
            <w:tcW w:w="7998" w:type="dxa"/>
            <w:tcBorders>
              <w:top w:val="single" w:color="000000" w:sz="6" w:space="0"/>
              <w:left w:val="nil"/>
              <w:bottom w:val="single" w:color="auto" w:sz="12" w:space="0"/>
              <w:right w:val="single" w:color="000000" w:sz="12"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合同签订时间：中标通知书发出之日起30天内签订合同。</w:t>
            </w:r>
          </w:p>
        </w:tc>
      </w:tr>
    </w:tbl>
    <w:p>
      <w:pPr>
        <w:spacing w:line="400" w:lineRule="exact"/>
        <w:rPr>
          <w:rFonts w:eastAsia="黑体"/>
          <w:b/>
          <w:sz w:val="32"/>
        </w:rPr>
      </w:pPr>
    </w:p>
    <w:p>
      <w:pPr>
        <w:spacing w:line="440" w:lineRule="exact"/>
        <w:jc w:val="center"/>
        <w:outlineLvl w:val="0"/>
        <w:rPr>
          <w:b/>
          <w:sz w:val="32"/>
          <w:szCs w:val="32"/>
        </w:rPr>
      </w:pPr>
    </w:p>
    <w:p>
      <w:pPr>
        <w:pageBreakBefore/>
        <w:spacing w:line="440" w:lineRule="exact"/>
        <w:jc w:val="center"/>
        <w:outlineLvl w:val="0"/>
        <w:rPr>
          <w:rFonts w:hint="eastAsia"/>
          <w:b/>
          <w:sz w:val="32"/>
          <w:szCs w:val="32"/>
        </w:rPr>
      </w:pPr>
      <w:r>
        <w:rPr>
          <w:rFonts w:hint="eastAsia"/>
          <w:b/>
          <w:sz w:val="32"/>
          <w:szCs w:val="32"/>
        </w:rPr>
        <w:t>第七部分　投标文件格式</w:t>
      </w:r>
      <w:bookmarkEnd w:id="644"/>
    </w:p>
    <w:p>
      <w:pPr>
        <w:pStyle w:val="30"/>
        <w:kinsoku w:val="0"/>
        <w:overflowPunct w:val="0"/>
        <w:ind w:left="361" w:leftChars="0"/>
        <w:jc w:val="left"/>
        <w:rPr>
          <w:rFonts w:hint="eastAsia"/>
          <w:b/>
        </w:rPr>
      </w:pPr>
    </w:p>
    <w:p>
      <w:pPr>
        <w:rPr>
          <w:rFonts w:hint="eastAsia" w:ascii="宋体" w:hAnsi="宋体" w:cs="宋体"/>
        </w:rPr>
      </w:pPr>
      <w:r>
        <w:rPr>
          <w:rFonts w:hint="eastAsia" w:ascii="宋体" w:hAnsi="宋体" w:cs="宋体"/>
          <w:lang w:bidi="ar"/>
        </w:rPr>
        <w:t>一、资格审查文件的外包装封面格式：</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jc w:val="center"/>
        <w:rPr>
          <w:rFonts w:hint="eastAsia" w:ascii="宋体" w:hAnsi="宋体" w:cs="宋体"/>
          <w:sz w:val="44"/>
          <w:szCs w:val="44"/>
        </w:rPr>
      </w:pPr>
      <w:r>
        <w:rPr>
          <w:rFonts w:hint="eastAsia" w:ascii="宋体" w:hAnsi="宋体" w:cs="宋体"/>
          <w:sz w:val="44"/>
          <w:szCs w:val="44"/>
          <w:lang w:bidi="ar"/>
        </w:rPr>
        <w:t>资格审查文件</w:t>
      </w:r>
    </w:p>
    <w:p>
      <w:pPr>
        <w:rPr>
          <w:rFonts w:hint="eastAsia" w:ascii="宋体" w:hAnsi="宋体" w:cs="宋体"/>
          <w:szCs w:val="21"/>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项目名称：                        项目</w:t>
      </w:r>
    </w:p>
    <w:p>
      <w:pPr>
        <w:spacing w:line="360" w:lineRule="auto"/>
        <w:rPr>
          <w:rFonts w:hint="eastAsia" w:ascii="宋体" w:hAnsi="宋体" w:cs="宋体"/>
        </w:rPr>
      </w:pPr>
      <w:r>
        <w:rPr>
          <w:rFonts w:hint="eastAsia" w:ascii="宋体" w:hAnsi="宋体" w:cs="宋体"/>
          <w:lang w:bidi="ar"/>
        </w:rPr>
        <w:t xml:space="preserve">项目编号： </w:t>
      </w:r>
    </w:p>
    <w:p>
      <w:pPr>
        <w:spacing w:line="360" w:lineRule="auto"/>
        <w:rPr>
          <w:rFonts w:hint="eastAsia" w:ascii="宋体" w:hAnsi="宋体" w:cs="宋体"/>
        </w:rPr>
      </w:pPr>
      <w:r>
        <w:rPr>
          <w:rFonts w:hint="eastAsia" w:ascii="宋体" w:hAnsi="宋体" w:cs="宋体"/>
          <w:lang w:bidi="ar"/>
        </w:rPr>
        <w:t>投标人名称：</w:t>
      </w:r>
    </w:p>
    <w:p>
      <w:pPr>
        <w:spacing w:line="360" w:lineRule="auto"/>
        <w:rPr>
          <w:rFonts w:hint="eastAsia" w:ascii="宋体" w:hAnsi="宋体" w:cs="宋体"/>
        </w:rPr>
      </w:pPr>
      <w:r>
        <w:rPr>
          <w:rFonts w:hint="eastAsia" w:ascii="宋体" w:hAnsi="宋体" w:cs="宋体"/>
          <w:lang w:bidi="ar"/>
        </w:rPr>
        <w:t>投标人地址：</w:t>
      </w:r>
    </w:p>
    <w:p>
      <w:pPr>
        <w:spacing w:line="360" w:lineRule="auto"/>
        <w:rPr>
          <w:rFonts w:hint="eastAsia" w:ascii="宋体" w:hAnsi="宋体" w:cs="宋体"/>
        </w:rPr>
      </w:pPr>
      <w:r>
        <w:rPr>
          <w:rFonts w:hint="eastAsia" w:ascii="宋体" w:hAnsi="宋体" w:cs="宋体"/>
          <w:lang w:bidi="ar"/>
        </w:rPr>
        <w:t>在  年  月  日  时  分之前不得启封</w:t>
      </w:r>
    </w:p>
    <w:p>
      <w:pPr>
        <w:spacing w:line="360" w:lineRule="auto"/>
        <w:rPr>
          <w:rFonts w:hint="eastAsia" w:ascii="宋体" w:hAnsi="宋体" w:cs="宋体"/>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 xml:space="preserve">                                                    （投标人公章）</w:t>
      </w:r>
    </w:p>
    <w:p>
      <w:pPr>
        <w:spacing w:line="360" w:lineRule="auto"/>
        <w:rPr>
          <w:rFonts w:hint="eastAsia" w:ascii="宋体" w:hAnsi="宋体" w:cs="宋体"/>
        </w:rPr>
      </w:pPr>
      <w:r>
        <w:rPr>
          <w:rFonts w:hint="eastAsia" w:ascii="宋体" w:hAnsi="宋体" w:cs="宋体"/>
          <w:lang w:bidi="ar"/>
        </w:rPr>
        <w:t xml:space="preserve">                                                      年  月  日</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二、资格审查文件封面格式： </w:t>
      </w:r>
    </w:p>
    <w:p>
      <w:pPr>
        <w:rPr>
          <w:rFonts w:hint="eastAsia" w:ascii="宋体" w:hAnsi="宋体" w:cs="宋体"/>
        </w:rPr>
      </w:pPr>
      <w:r>
        <w:rPr>
          <w:rFonts w:hint="eastAsia" w:ascii="宋体" w:hAnsi="宋体" w:cs="宋体"/>
          <w:lang w:bidi="ar"/>
        </w:rPr>
        <w:t xml:space="preserve">                                                        正本/或副本</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jc w:val="center"/>
        <w:rPr>
          <w:rFonts w:hint="eastAsia" w:ascii="宋体" w:hAnsi="宋体" w:cs="宋体"/>
          <w:sz w:val="44"/>
          <w:szCs w:val="44"/>
        </w:rPr>
      </w:pPr>
      <w:r>
        <w:rPr>
          <w:rFonts w:hint="eastAsia" w:ascii="宋体" w:hAnsi="宋体" w:cs="宋体"/>
          <w:sz w:val="44"/>
          <w:szCs w:val="44"/>
          <w:lang w:bidi="ar"/>
        </w:rPr>
        <w:t>资格审查文件</w:t>
      </w:r>
    </w:p>
    <w:p>
      <w:pPr>
        <w:rPr>
          <w:rFonts w:hint="eastAsia" w:ascii="宋体" w:hAnsi="宋体" w:cs="宋体"/>
          <w:szCs w:val="21"/>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项目名称：                        项目</w:t>
      </w:r>
    </w:p>
    <w:p>
      <w:pPr>
        <w:spacing w:line="360" w:lineRule="auto"/>
        <w:rPr>
          <w:rFonts w:hint="eastAsia" w:ascii="宋体" w:hAnsi="宋体" w:cs="宋体"/>
        </w:rPr>
      </w:pPr>
      <w:r>
        <w:rPr>
          <w:rFonts w:hint="eastAsia" w:ascii="宋体" w:hAnsi="宋体" w:cs="宋体"/>
          <w:lang w:bidi="ar"/>
        </w:rPr>
        <w:t xml:space="preserve">项目编号： </w:t>
      </w:r>
    </w:p>
    <w:p>
      <w:pPr>
        <w:spacing w:line="360" w:lineRule="auto"/>
        <w:rPr>
          <w:rFonts w:hint="eastAsia" w:ascii="宋体" w:hAnsi="宋体" w:cs="宋体"/>
        </w:rPr>
      </w:pPr>
      <w:r>
        <w:rPr>
          <w:rFonts w:hint="eastAsia" w:ascii="宋体" w:hAnsi="宋体" w:cs="宋体"/>
          <w:lang w:bidi="ar"/>
        </w:rPr>
        <w:t>投标人名称：</w:t>
      </w:r>
    </w:p>
    <w:p>
      <w:pPr>
        <w:spacing w:line="360" w:lineRule="auto"/>
        <w:rPr>
          <w:rFonts w:hint="eastAsia" w:ascii="宋体" w:hAnsi="宋体" w:cs="宋体"/>
        </w:rPr>
      </w:pPr>
      <w:r>
        <w:rPr>
          <w:rFonts w:hint="eastAsia" w:ascii="宋体" w:hAnsi="宋体" w:cs="宋体"/>
          <w:lang w:bidi="ar"/>
        </w:rPr>
        <w:t>投标人地址：</w:t>
      </w:r>
    </w:p>
    <w:p>
      <w:pPr>
        <w:spacing w:line="360" w:lineRule="auto"/>
        <w:rPr>
          <w:rFonts w:hint="eastAsia" w:ascii="宋体" w:hAnsi="宋体" w:cs="宋体"/>
        </w:rPr>
      </w:pPr>
      <w:r>
        <w:rPr>
          <w:rFonts w:hint="eastAsia" w:ascii="宋体" w:hAnsi="宋体" w:cs="宋体"/>
          <w:lang w:bidi="ar"/>
        </w:rPr>
        <w:t xml:space="preserve"> </w:t>
      </w:r>
    </w:p>
    <w:p>
      <w:pPr>
        <w:spacing w:line="360" w:lineRule="auto"/>
        <w:ind w:firstLine="5355" w:firstLineChars="2550"/>
        <w:rPr>
          <w:rFonts w:hint="eastAsia" w:ascii="宋体" w:hAnsi="宋体" w:cs="宋体"/>
        </w:rPr>
      </w:pPr>
      <w:r>
        <w:rPr>
          <w:rFonts w:hint="eastAsia" w:ascii="宋体" w:hAnsi="宋体" w:cs="宋体"/>
          <w:lang w:bidi="ar"/>
        </w:rPr>
        <w:t>（投标人公章）</w:t>
      </w:r>
    </w:p>
    <w:p>
      <w:pPr>
        <w:widowControl/>
        <w:jc w:val="left"/>
        <w:rPr>
          <w:rFonts w:hint="eastAsia" w:ascii="宋体" w:hAnsi="宋体" w:cs="宋体"/>
        </w:rPr>
      </w:pPr>
      <w:r>
        <w:rPr>
          <w:rFonts w:hint="eastAsia" w:ascii="宋体" w:hAnsi="宋体" w:cs="宋体"/>
          <w:lang w:bidi="ar"/>
        </w:rPr>
        <w:t xml:space="preserve">                                                       年  月  日</w:t>
      </w:r>
    </w:p>
    <w:p>
      <w:pPr>
        <w:spacing w:line="360" w:lineRule="auto"/>
        <w:rPr>
          <w:rFonts w:hint="eastAsia" w:ascii="宋体" w:hAnsi="宋体" w:cs="宋体"/>
        </w:rPr>
      </w:pPr>
    </w:p>
    <w:p>
      <w:pPr>
        <w:spacing w:line="360" w:lineRule="auto"/>
        <w:rPr>
          <w:rStyle w:val="105"/>
          <w:rFonts w:hint="eastAsia" w:ascii="宋体" w:hAnsi="宋体" w:cs="宋体"/>
          <w:sz w:val="28"/>
          <w:szCs w:val="28"/>
        </w:rPr>
      </w:pPr>
      <w:r>
        <w:rPr>
          <w:rStyle w:val="105"/>
          <w:rFonts w:hint="eastAsia" w:ascii="宋体" w:hAnsi="宋体" w:cs="宋体"/>
          <w:sz w:val="28"/>
          <w:szCs w:val="28"/>
        </w:rPr>
        <w:br w:type="page"/>
      </w:r>
      <w:r>
        <w:rPr>
          <w:rFonts w:hint="eastAsia" w:ascii="宋体" w:hAnsi="宋体" w:cs="宋体"/>
          <w:b/>
          <w:szCs w:val="21"/>
          <w:lang w:bidi="ar"/>
        </w:rPr>
        <w:t>资格审查文件包括：</w:t>
      </w:r>
    </w:p>
    <w:p>
      <w:pPr>
        <w:spacing w:line="360" w:lineRule="auto"/>
        <w:ind w:firstLine="420" w:firstLineChars="200"/>
        <w:jc w:val="left"/>
        <w:rPr>
          <w:rFonts w:hint="eastAsia" w:ascii="宋体" w:hAnsi="宋体" w:cs="宋体"/>
          <w:szCs w:val="21"/>
        </w:rPr>
      </w:pPr>
      <w:r>
        <w:rPr>
          <w:rFonts w:hint="eastAsia" w:ascii="宋体" w:hAnsi="宋体" w:cs="宋体"/>
          <w:szCs w:val="21"/>
          <w:lang w:bidi="ar"/>
        </w:rPr>
        <w:t>1、资格证明文件：</w:t>
      </w:r>
    </w:p>
    <w:p>
      <w:pPr>
        <w:spacing w:line="360" w:lineRule="auto"/>
        <w:ind w:firstLine="420" w:firstLineChars="200"/>
        <w:jc w:val="left"/>
        <w:rPr>
          <w:rFonts w:hint="eastAsia" w:ascii="宋体" w:hAnsi="宋体" w:cs="宋体"/>
          <w:szCs w:val="21"/>
        </w:rPr>
      </w:pPr>
      <w:r>
        <w:rPr>
          <w:rFonts w:hint="eastAsia" w:ascii="宋体" w:hAnsi="宋体" w:cs="宋体"/>
          <w:szCs w:val="21"/>
          <w:lang w:bidi="ar"/>
        </w:rPr>
        <w:t>1.1、资格条件自查表（格式见附件）</w:t>
      </w:r>
    </w:p>
    <w:p>
      <w:pPr>
        <w:spacing w:line="360" w:lineRule="auto"/>
        <w:ind w:firstLine="420" w:firstLineChars="200"/>
        <w:jc w:val="left"/>
        <w:rPr>
          <w:rFonts w:hint="eastAsia" w:ascii="宋体" w:hAnsi="宋体" w:cs="宋体"/>
          <w:szCs w:val="21"/>
        </w:rPr>
      </w:pPr>
      <w:r>
        <w:rPr>
          <w:rFonts w:hint="eastAsia" w:ascii="宋体" w:hAnsi="宋体" w:cs="宋体"/>
          <w:szCs w:val="21"/>
          <w:lang w:bidi="ar"/>
        </w:rPr>
        <w:t>1.2、投标人营业执照（或事业法人登记证）、其他组织（个体工商户）的营业执照或者民办非企业单位登记证书复印件、提供光纤网络资源情况说明加盖供应商公章、【分支机构投标的，还须提供总公司（总机构）授权书原件加盖供应商公章或房产权证复印件加盖供应商公章或其他有效财产证明材料复印件加盖供应商公章】</w:t>
      </w:r>
      <w:r>
        <w:rPr>
          <w:rFonts w:hint="eastAsia"/>
        </w:rPr>
        <w:t>；</w:t>
      </w:r>
    </w:p>
    <w:p>
      <w:pPr>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1.3、投标人的2018年12月份财务报表复印件，如投标人新成立不足一年，提供银行出具的资信证明材料复印件；</w:t>
      </w:r>
    </w:p>
    <w:p>
      <w:pPr>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1.4、</w:t>
      </w:r>
      <w:r>
        <w:rPr>
          <w:rFonts w:hint="eastAsia"/>
        </w:rPr>
        <w:t>距开标前三个月中任一个月开具的缴纳税收的凭据证明材料复印件；如依法免税的，应提供相应文件证明其依法免税；</w:t>
      </w:r>
    </w:p>
    <w:p>
      <w:pPr>
        <w:spacing w:line="360" w:lineRule="auto"/>
        <w:ind w:firstLine="420" w:firstLineChars="200"/>
        <w:jc w:val="left"/>
        <w:rPr>
          <w:rFonts w:hint="eastAsia"/>
        </w:rPr>
      </w:pPr>
      <w:r>
        <w:rPr>
          <w:rFonts w:hint="eastAsia" w:ascii="宋体" w:hAnsi="宋体" w:cs="宋体"/>
          <w:szCs w:val="21"/>
          <w:lang w:bidi="ar"/>
        </w:rPr>
        <w:t>1.5、</w:t>
      </w:r>
      <w:r>
        <w:rPr>
          <w:rFonts w:hint="eastAsia"/>
        </w:rPr>
        <w:t>距开标前三个月中任一个月开具的缴纳社会保险的凭据证明材料复印件；如依法不需要缴纳社会保障资金的，应提供相应文件证明其依法不需要缴纳社会保障资金；</w:t>
      </w:r>
    </w:p>
    <w:p>
      <w:pPr>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1.6、</w:t>
      </w:r>
      <w:r>
        <w:rPr>
          <w:rFonts w:ascii="宋体" w:hAnsi="宋体"/>
          <w:szCs w:val="21"/>
        </w:rPr>
        <w:t>投标保证金缴纳凭证（银行汇单或者代理机构开具的收款收据</w:t>
      </w:r>
      <w:r>
        <w:rPr>
          <w:rFonts w:hint="eastAsia" w:ascii="宋体" w:hAnsi="宋体"/>
          <w:szCs w:val="21"/>
        </w:rPr>
        <w:t>；格式自拟，投标文件中附满足招标文件规定的</w:t>
      </w:r>
      <w:r>
        <w:rPr>
          <w:rFonts w:ascii="宋体" w:hAnsi="宋体"/>
          <w:szCs w:val="21"/>
        </w:rPr>
        <w:t>投标保证金缴纳凭证</w:t>
      </w:r>
      <w:r>
        <w:rPr>
          <w:rFonts w:hint="eastAsia" w:ascii="宋体" w:hAnsi="宋体"/>
          <w:szCs w:val="21"/>
        </w:rPr>
        <w:t>资料复印件</w:t>
      </w:r>
      <w:r>
        <w:rPr>
          <w:rFonts w:ascii="宋体" w:hAnsi="宋体"/>
          <w:szCs w:val="21"/>
        </w:rPr>
        <w:t>）</w:t>
      </w:r>
    </w:p>
    <w:p>
      <w:pPr>
        <w:spacing w:line="360" w:lineRule="auto"/>
        <w:ind w:firstLine="420" w:firstLineChars="200"/>
        <w:rPr>
          <w:rStyle w:val="105"/>
          <w:rFonts w:hint="eastAsia" w:ascii="宋体" w:hAnsi="宋体" w:cs="宋体"/>
          <w:sz w:val="28"/>
          <w:szCs w:val="28"/>
        </w:rPr>
      </w:pPr>
      <w:r>
        <w:rPr>
          <w:rFonts w:hint="eastAsia" w:ascii="宋体" w:hAnsi="宋体" w:cs="宋体"/>
          <w:szCs w:val="21"/>
          <w:lang w:bidi="ar"/>
        </w:rPr>
        <w:t>1.7、</w:t>
      </w:r>
      <w:r>
        <w:rPr>
          <w:rFonts w:hint="eastAsia" w:ascii="Arial" w:hAnsi="Arial" w:cs="宋体"/>
        </w:rPr>
        <w:t>书面声明</w:t>
      </w:r>
      <w:r>
        <w:rPr>
          <w:rFonts w:hint="eastAsia" w:ascii="宋体" w:hAnsi="宋体" w:cs="宋体"/>
          <w:szCs w:val="21"/>
          <w:lang w:bidi="ar"/>
        </w:rPr>
        <w:t>（格式见附件）</w:t>
      </w:r>
      <w:r>
        <w:rPr>
          <w:rFonts w:hint="eastAsia" w:ascii="Arial" w:hAnsi="Arial" w:cs="宋体"/>
        </w:rPr>
        <w:t>；</w:t>
      </w:r>
      <w:r>
        <w:rPr>
          <w:rFonts w:hint="eastAsia" w:ascii="Arial" w:hAnsi="Arial" w:cs="宋体"/>
        </w:rPr>
        <w:br w:type="page"/>
      </w:r>
      <w:r>
        <w:rPr>
          <w:rStyle w:val="105"/>
          <w:rFonts w:hint="eastAsia" w:ascii="宋体" w:hAnsi="宋体" w:cs="宋体"/>
          <w:sz w:val="28"/>
          <w:szCs w:val="28"/>
        </w:rPr>
        <w:t>附件一、资格条件自查表</w:t>
      </w:r>
    </w:p>
    <w:p>
      <w:pPr>
        <w:adjustRightInd w:val="0"/>
        <w:snapToGrid w:val="0"/>
        <w:jc w:val="center"/>
        <w:rPr>
          <w:rFonts w:hint="eastAsia" w:ascii="宋体" w:hAnsi="宋体" w:cs="宋体"/>
          <w:b/>
          <w:sz w:val="24"/>
        </w:rPr>
      </w:pPr>
      <w:r>
        <w:rPr>
          <w:rFonts w:hint="eastAsia" w:ascii="宋体" w:hAnsi="宋体" w:cs="宋体"/>
          <w:b/>
          <w:sz w:val="24"/>
          <w:lang w:bidi="ar"/>
        </w:rPr>
        <w:t>①</w:t>
      </w:r>
      <w:r>
        <w:rPr>
          <w:rFonts w:hint="eastAsia" w:ascii="宋体" w:hAnsi="宋体" w:cs="宋体"/>
          <w:b/>
          <w:sz w:val="24"/>
        </w:rPr>
        <w:t>资格条件自查表</w:t>
      </w:r>
    </w:p>
    <w:tbl>
      <w:tblPr>
        <w:tblStyle w:val="51"/>
        <w:tblW w:w="0" w:type="auto"/>
        <w:jc w:val="center"/>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Layout w:type="fixed"/>
        <w:tblCellMar>
          <w:top w:w="150" w:type="dxa"/>
          <w:left w:w="150" w:type="dxa"/>
          <w:bottom w:w="150" w:type="dxa"/>
          <w:right w:w="150" w:type="dxa"/>
        </w:tblCellMar>
      </w:tblPr>
      <w:tblGrid>
        <w:gridCol w:w="845"/>
        <w:gridCol w:w="4290"/>
        <w:gridCol w:w="1291"/>
        <w:gridCol w:w="2654"/>
      </w:tblGrid>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712" w:hRule="atLeast"/>
          <w:jc w:val="center"/>
        </w:trPr>
        <w:tc>
          <w:tcPr>
            <w:tcW w:w="845" w:type="dxa"/>
            <w:tcBorders>
              <w:top w:val="single" w:color="auto" w:sz="12" w:space="0"/>
              <w:left w:val="single" w:color="auto" w:sz="12" w:space="0"/>
              <w:bottom w:val="inset" w:color="111111" w:sz="6" w:space="0"/>
              <w:right w:val="inset" w:color="111111" w:sz="6" w:space="0"/>
            </w:tcBorders>
            <w:noWrap w:val="0"/>
            <w:vAlign w:val="center"/>
          </w:tcPr>
          <w:p>
            <w:pPr>
              <w:adjustRightInd w:val="0"/>
              <w:snapToGrid w:val="0"/>
              <w:jc w:val="center"/>
              <w:rPr>
                <w:rFonts w:hint="eastAsia" w:ascii="宋体" w:hAnsi="宋体" w:cs="宋体"/>
                <w:szCs w:val="21"/>
              </w:rPr>
            </w:pPr>
            <w:r>
              <w:rPr>
                <w:rFonts w:hint="eastAsia" w:ascii="宋体" w:hAnsi="宋体" w:cs="宋体"/>
                <w:b/>
                <w:szCs w:val="21"/>
                <w:lang w:bidi="ar"/>
              </w:rPr>
              <w:t>评审内容</w:t>
            </w:r>
          </w:p>
        </w:tc>
        <w:tc>
          <w:tcPr>
            <w:tcW w:w="4290" w:type="dxa"/>
            <w:tcBorders>
              <w:top w:val="single" w:color="auto" w:sz="12" w:space="0"/>
              <w:left w:val="inset" w:color="111111" w:sz="6" w:space="0"/>
              <w:bottom w:val="inset" w:color="111111" w:sz="6" w:space="0"/>
              <w:right w:val="inset" w:color="111111" w:sz="6" w:space="0"/>
            </w:tcBorders>
            <w:noWrap w:val="0"/>
            <w:vAlign w:val="center"/>
          </w:tcPr>
          <w:p>
            <w:pPr>
              <w:adjustRightInd w:val="0"/>
              <w:snapToGrid w:val="0"/>
              <w:jc w:val="center"/>
              <w:rPr>
                <w:rFonts w:hint="eastAsia" w:ascii="宋体" w:hAnsi="宋体" w:cs="宋体"/>
                <w:szCs w:val="21"/>
              </w:rPr>
            </w:pPr>
            <w:r>
              <w:rPr>
                <w:rFonts w:hint="eastAsia" w:ascii="宋体" w:hAnsi="宋体" w:cs="宋体"/>
                <w:b/>
                <w:szCs w:val="21"/>
                <w:lang w:bidi="ar"/>
              </w:rPr>
              <w:t>招标文件要求</w:t>
            </w:r>
          </w:p>
        </w:tc>
        <w:tc>
          <w:tcPr>
            <w:tcW w:w="1291" w:type="dxa"/>
            <w:tcBorders>
              <w:top w:val="single" w:color="auto" w:sz="12" w:space="0"/>
              <w:left w:val="inset" w:color="111111" w:sz="6" w:space="0"/>
              <w:bottom w:val="inset" w:color="111111" w:sz="6" w:space="0"/>
              <w:right w:val="inset" w:color="111111" w:sz="6" w:space="0"/>
            </w:tcBorders>
            <w:noWrap w:val="0"/>
            <w:vAlign w:val="center"/>
          </w:tcPr>
          <w:p>
            <w:pPr>
              <w:adjustRightInd w:val="0"/>
              <w:snapToGrid w:val="0"/>
              <w:jc w:val="center"/>
              <w:rPr>
                <w:rFonts w:hint="eastAsia" w:ascii="宋体" w:hAnsi="宋体" w:cs="宋体"/>
                <w:szCs w:val="21"/>
              </w:rPr>
            </w:pPr>
            <w:r>
              <w:rPr>
                <w:rFonts w:hint="eastAsia" w:ascii="宋体" w:hAnsi="宋体" w:cs="宋体"/>
                <w:b/>
                <w:szCs w:val="21"/>
                <w:lang w:bidi="ar"/>
              </w:rPr>
              <w:t>自查结论</w:t>
            </w:r>
          </w:p>
        </w:tc>
        <w:tc>
          <w:tcPr>
            <w:tcW w:w="2654" w:type="dxa"/>
            <w:tcBorders>
              <w:top w:val="single" w:color="auto" w:sz="12" w:space="0"/>
              <w:left w:val="inset" w:color="111111" w:sz="6" w:space="0"/>
              <w:bottom w:val="inset" w:color="111111" w:sz="6"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b/>
                <w:szCs w:val="21"/>
                <w:lang w:bidi="ar"/>
              </w:rPr>
              <w:t>证明资料</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48" w:hRule="atLeast"/>
          <w:jc w:val="center"/>
        </w:trPr>
        <w:tc>
          <w:tcPr>
            <w:tcW w:w="845" w:type="dxa"/>
            <w:vMerge w:val="restart"/>
            <w:tcBorders>
              <w:top w:val="inset" w:color="111111" w:sz="6" w:space="0"/>
              <w:left w:val="single" w:color="auto" w:sz="12" w:space="0"/>
              <w:right w:val="inset" w:color="111111" w:sz="6" w:space="0"/>
            </w:tcBorders>
            <w:noWrap w:val="0"/>
            <w:vAlign w:val="center"/>
          </w:tcPr>
          <w:p>
            <w:pPr>
              <w:pStyle w:val="46"/>
              <w:adjustRightInd w:val="0"/>
              <w:snapToGrid w:val="0"/>
              <w:jc w:val="center"/>
              <w:rPr>
                <w:rFonts w:hint="eastAsia" w:cs="宋体"/>
                <w:b/>
                <w:sz w:val="21"/>
                <w:szCs w:val="21"/>
              </w:rPr>
            </w:pPr>
            <w:r>
              <w:rPr>
                <w:rFonts w:hint="eastAsia" w:cs="宋体"/>
                <w:b/>
                <w:sz w:val="21"/>
                <w:szCs w:val="21"/>
                <w:lang w:bidi="ar"/>
              </w:rPr>
              <w:t>资</w:t>
            </w:r>
          </w:p>
          <w:p>
            <w:pPr>
              <w:pStyle w:val="46"/>
              <w:adjustRightInd w:val="0"/>
              <w:snapToGrid w:val="0"/>
              <w:jc w:val="center"/>
              <w:rPr>
                <w:rFonts w:hint="eastAsia" w:cs="宋体"/>
                <w:b/>
                <w:sz w:val="21"/>
                <w:szCs w:val="21"/>
              </w:rPr>
            </w:pPr>
            <w:r>
              <w:rPr>
                <w:rFonts w:hint="eastAsia" w:cs="宋体"/>
                <w:b/>
                <w:sz w:val="21"/>
                <w:szCs w:val="21"/>
                <w:lang w:bidi="ar"/>
              </w:rPr>
              <w:t>格</w:t>
            </w:r>
          </w:p>
          <w:p>
            <w:pPr>
              <w:pStyle w:val="46"/>
              <w:adjustRightInd w:val="0"/>
              <w:snapToGrid w:val="0"/>
              <w:jc w:val="center"/>
              <w:rPr>
                <w:rFonts w:hint="eastAsia" w:cs="宋体"/>
                <w:b/>
                <w:sz w:val="21"/>
                <w:szCs w:val="21"/>
              </w:rPr>
            </w:pPr>
            <w:r>
              <w:rPr>
                <w:rFonts w:hint="eastAsia" w:cs="宋体"/>
                <w:b/>
                <w:sz w:val="21"/>
                <w:szCs w:val="21"/>
                <w:lang w:bidi="ar"/>
              </w:rPr>
              <w:t>性</w:t>
            </w:r>
          </w:p>
          <w:p>
            <w:pPr>
              <w:pStyle w:val="46"/>
              <w:adjustRightInd w:val="0"/>
              <w:snapToGrid w:val="0"/>
              <w:jc w:val="center"/>
              <w:rPr>
                <w:rFonts w:hint="eastAsia" w:cs="宋体"/>
                <w:b/>
                <w:sz w:val="21"/>
                <w:szCs w:val="21"/>
              </w:rPr>
            </w:pPr>
            <w:r>
              <w:rPr>
                <w:rFonts w:hint="eastAsia" w:cs="宋体"/>
                <w:b/>
                <w:sz w:val="21"/>
                <w:szCs w:val="21"/>
                <w:lang w:bidi="ar"/>
              </w:rPr>
              <w:t>审</w:t>
            </w:r>
          </w:p>
          <w:p>
            <w:pPr>
              <w:pStyle w:val="46"/>
              <w:adjustRightInd w:val="0"/>
              <w:snapToGrid w:val="0"/>
              <w:jc w:val="center"/>
              <w:rPr>
                <w:rFonts w:hint="eastAsia" w:cs="宋体"/>
                <w:b/>
                <w:sz w:val="21"/>
                <w:szCs w:val="21"/>
                <w:lang w:bidi="ar"/>
              </w:rPr>
            </w:pPr>
            <w:r>
              <w:rPr>
                <w:rFonts w:hint="eastAsia" w:cs="宋体"/>
                <w:b/>
                <w:sz w:val="21"/>
                <w:szCs w:val="21"/>
                <w:lang w:bidi="ar"/>
              </w:rPr>
              <w:t>查</w:t>
            </w:r>
          </w:p>
        </w:tc>
        <w:tc>
          <w:tcPr>
            <w:tcW w:w="8235" w:type="dxa"/>
            <w:gridSpan w:val="3"/>
            <w:tcBorders>
              <w:top w:val="inset" w:color="111111" w:sz="6" w:space="0"/>
              <w:left w:val="inset" w:color="111111" w:sz="6" w:space="0"/>
              <w:bottom w:val="single" w:color="auto" w:sz="4" w:space="0"/>
              <w:right w:val="single" w:color="auto" w:sz="12" w:space="0"/>
            </w:tcBorders>
            <w:noWrap w:val="0"/>
            <w:vAlign w:val="center"/>
          </w:tcPr>
          <w:p>
            <w:pPr>
              <w:adjustRightInd w:val="0"/>
              <w:snapToGrid w:val="0"/>
              <w:jc w:val="left"/>
              <w:rPr>
                <w:rFonts w:hint="eastAsia" w:ascii="宋体" w:hAnsi="宋体" w:cs="宋体"/>
                <w:szCs w:val="21"/>
                <w:lang w:bidi="ar"/>
              </w:rPr>
            </w:pPr>
            <w:r>
              <w:rPr>
                <w:rFonts w:hint="eastAsia" w:ascii="宋体" w:hAnsi="宋体" w:cs="宋体"/>
                <w:szCs w:val="21"/>
              </w:rPr>
              <w:t>一、投标人具备《政府采购法》第二十二条所规定的条件：</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48" w:hRule="atLeast"/>
          <w:jc w:val="center"/>
        </w:trPr>
        <w:tc>
          <w:tcPr>
            <w:tcW w:w="845" w:type="dxa"/>
            <w:vMerge w:val="continue"/>
            <w:tcBorders>
              <w:left w:val="single" w:color="auto" w:sz="12" w:space="0"/>
              <w:right w:val="inset" w:color="111111" w:sz="6" w:space="0"/>
            </w:tcBorders>
            <w:noWrap w:val="0"/>
            <w:vAlign w:val="center"/>
          </w:tcPr>
          <w:p>
            <w:pPr>
              <w:pStyle w:val="46"/>
              <w:adjustRightInd w:val="0"/>
              <w:snapToGrid w:val="0"/>
              <w:jc w:val="center"/>
              <w:rPr>
                <w:rFonts w:hint="eastAsia" w:cs="宋体"/>
                <w:b/>
                <w:sz w:val="21"/>
                <w:szCs w:val="21"/>
              </w:rPr>
            </w:pPr>
          </w:p>
        </w:tc>
        <w:tc>
          <w:tcPr>
            <w:tcW w:w="4290" w:type="dxa"/>
            <w:tcBorders>
              <w:top w:val="inset" w:color="111111" w:sz="6"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1.符合《中华人民共和国政府采购法》第二十二条规定的供应商资格条件</w:t>
            </w:r>
            <w:r>
              <w:rPr>
                <w:rFonts w:hint="eastAsia"/>
                <w:szCs w:val="21"/>
              </w:rPr>
              <w:t>和浙财采监【2013】24号《关于规范政府采购供应商资格设定及资格审查的通知》第六条规定</w:t>
            </w:r>
          </w:p>
        </w:tc>
        <w:tc>
          <w:tcPr>
            <w:tcW w:w="1291" w:type="dxa"/>
            <w:vMerge w:val="restart"/>
            <w:tcBorders>
              <w:top w:val="inset" w:color="111111" w:sz="6" w:space="0"/>
              <w:left w:val="inset" w:color="111111" w:sz="6" w:space="0"/>
              <w:bottom w:val="single" w:color="auto" w:sz="2"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 xml:space="preserve">□通过 </w:t>
            </w:r>
          </w:p>
          <w:p>
            <w:pPr>
              <w:adjustRightInd w:val="0"/>
              <w:snapToGrid w:val="0"/>
              <w:rPr>
                <w:rFonts w:hint="eastAsia" w:ascii="宋体" w:hAnsi="宋体" w:cs="宋体"/>
                <w:szCs w:val="21"/>
              </w:rPr>
            </w:pPr>
            <w:r>
              <w:rPr>
                <w:rFonts w:hint="eastAsia" w:ascii="宋体" w:hAnsi="宋体" w:cs="宋体"/>
                <w:szCs w:val="21"/>
                <w:lang w:bidi="ar"/>
              </w:rPr>
              <w:t>□不通过</w:t>
            </w:r>
          </w:p>
        </w:tc>
        <w:tc>
          <w:tcPr>
            <w:tcW w:w="2654" w:type="dxa"/>
            <w:tcBorders>
              <w:top w:val="inset" w:color="111111" w:sz="6"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bidi="ar"/>
              </w:rPr>
              <w:t>第（ ）页-（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487"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inset" w:color="111111" w:sz="6" w:space="0"/>
              <w:left w:val="inset" w:color="111111" w:sz="6" w:space="0"/>
              <w:bottom w:val="single" w:color="auto" w:sz="4" w:space="0"/>
              <w:right w:val="inset" w:color="111111" w:sz="6" w:space="0"/>
            </w:tcBorders>
            <w:noWrap w:val="0"/>
            <w:vAlign w:val="center"/>
          </w:tcPr>
          <w:p>
            <w:pPr>
              <w:rPr>
                <w:rFonts w:hint="eastAsia" w:ascii="宋体" w:hAnsi="宋体" w:cs="宋体"/>
              </w:rPr>
            </w:pPr>
            <w:r>
              <w:rPr>
                <w:rFonts w:hint="eastAsia" w:ascii="宋体" w:hAnsi="宋体" w:cs="宋体"/>
                <w:lang w:bidi="ar"/>
              </w:rPr>
              <w:t>2.</w:t>
            </w:r>
            <w:r>
              <w:rPr>
                <w:rFonts w:hint="eastAsia"/>
              </w:rPr>
              <w:t xml:space="preserve"> 有效的企业法人营业执照（或事业法人登记证）、其他组织（个体工商户）的营业执照或者民办非企业单位登记证书复印件；</w:t>
            </w:r>
          </w:p>
        </w:tc>
        <w:tc>
          <w:tcPr>
            <w:tcW w:w="1291" w:type="dxa"/>
            <w:vMerge w:val="continue"/>
            <w:tcBorders>
              <w:top w:val="inset" w:color="111111" w:sz="6" w:space="0"/>
              <w:left w:val="inset" w:color="111111" w:sz="6" w:space="0"/>
              <w:bottom w:val="single" w:color="auto" w:sz="2" w:space="0"/>
              <w:right w:val="inset" w:color="111111" w:sz="6" w:space="0"/>
            </w:tcBorders>
            <w:noWrap w:val="0"/>
            <w:vAlign w:val="center"/>
          </w:tcPr>
          <w:p>
            <w:pPr>
              <w:rPr>
                <w:rFonts w:hint="eastAsia" w:ascii="宋体" w:hAnsi="宋体" w:cs="宋体"/>
                <w:sz w:val="20"/>
              </w:rPr>
            </w:pPr>
          </w:p>
        </w:tc>
        <w:tc>
          <w:tcPr>
            <w:tcW w:w="2654" w:type="dxa"/>
            <w:tcBorders>
              <w:top w:val="inset" w:color="111111" w:sz="6"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192"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inset" w:color="111111" w:sz="6"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3.投标投标人如果有名称变更的，应提供由行政主管部门出具的变更证明文件。</w:t>
            </w:r>
          </w:p>
        </w:tc>
        <w:tc>
          <w:tcPr>
            <w:tcW w:w="1291" w:type="dxa"/>
            <w:vMerge w:val="continue"/>
            <w:tcBorders>
              <w:top w:val="inset" w:color="111111" w:sz="6" w:space="0"/>
              <w:left w:val="inset" w:color="111111" w:sz="6" w:space="0"/>
              <w:bottom w:val="single" w:color="auto" w:sz="2" w:space="0"/>
              <w:right w:val="inset" w:color="111111" w:sz="6" w:space="0"/>
            </w:tcBorders>
            <w:noWrap w:val="0"/>
            <w:vAlign w:val="center"/>
          </w:tcPr>
          <w:p>
            <w:pPr>
              <w:rPr>
                <w:rFonts w:hint="eastAsia" w:ascii="宋体" w:hAnsi="宋体" w:cs="宋体"/>
                <w:sz w:val="20"/>
              </w:rPr>
            </w:pPr>
          </w:p>
        </w:tc>
        <w:tc>
          <w:tcPr>
            <w:tcW w:w="2654" w:type="dxa"/>
            <w:tcBorders>
              <w:top w:val="inset" w:color="111111" w:sz="6"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bidi="ar"/>
              </w:rPr>
              <w:t>第（ ）页-（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889"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single" w:color="auto" w:sz="4"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lang w:bidi="ar"/>
              </w:rPr>
            </w:pPr>
            <w:r>
              <w:rPr>
                <w:rFonts w:hint="eastAsia" w:ascii="宋体" w:hAnsi="宋体" w:cs="宋体"/>
                <w:szCs w:val="21"/>
                <w:lang w:bidi="ar"/>
              </w:rPr>
              <w:t>4. 投标人的2018年12月份财务报表复印件，如投标人新成立不足一年，提供银行出具的资信证明材料复印件；</w:t>
            </w:r>
          </w:p>
        </w:tc>
        <w:tc>
          <w:tcPr>
            <w:tcW w:w="1291" w:type="dxa"/>
            <w:vMerge w:val="continue"/>
            <w:tcBorders>
              <w:top w:val="inset" w:color="111111" w:sz="6" w:space="0"/>
              <w:left w:val="inset" w:color="111111" w:sz="6" w:space="0"/>
              <w:bottom w:val="single" w:color="auto" w:sz="2" w:space="0"/>
              <w:right w:val="inset" w:color="111111" w:sz="6" w:space="0"/>
            </w:tcBorders>
            <w:noWrap w:val="0"/>
            <w:vAlign w:val="center"/>
          </w:tcPr>
          <w:p>
            <w:pPr>
              <w:rPr>
                <w:rFonts w:hint="eastAsia" w:ascii="宋体" w:hAnsi="宋体" w:cs="宋体"/>
                <w:sz w:val="20"/>
              </w:rPr>
            </w:pPr>
          </w:p>
        </w:tc>
        <w:tc>
          <w:tcPr>
            <w:tcW w:w="2654" w:type="dxa"/>
            <w:tcBorders>
              <w:top w:val="single" w:color="auto" w:sz="4"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90"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single" w:color="auto" w:sz="4"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lang w:bidi="ar"/>
              </w:rPr>
            </w:pPr>
            <w:r>
              <w:rPr>
                <w:rFonts w:hint="eastAsia" w:ascii="宋体" w:hAnsi="宋体" w:cs="宋体"/>
                <w:szCs w:val="21"/>
                <w:lang w:bidi="ar"/>
              </w:rPr>
              <w:t>5、</w:t>
            </w:r>
            <w:r>
              <w:rPr>
                <w:rFonts w:hint="eastAsia"/>
              </w:rPr>
              <w:t>距开标前三个月中任一个月开具的缴纳税收的凭据证明材料复印件；如依法免税的，应提供相应文件证明其依法免税；</w:t>
            </w:r>
          </w:p>
        </w:tc>
        <w:tc>
          <w:tcPr>
            <w:tcW w:w="1291" w:type="dxa"/>
            <w:vMerge w:val="continue"/>
            <w:tcBorders>
              <w:top w:val="inset" w:color="111111" w:sz="6" w:space="0"/>
              <w:left w:val="inset" w:color="111111" w:sz="6" w:space="0"/>
              <w:bottom w:val="single" w:color="auto" w:sz="2" w:space="0"/>
              <w:right w:val="inset" w:color="111111" w:sz="6" w:space="0"/>
            </w:tcBorders>
            <w:noWrap w:val="0"/>
            <w:vAlign w:val="center"/>
          </w:tcPr>
          <w:p>
            <w:pPr>
              <w:rPr>
                <w:rFonts w:hint="eastAsia" w:ascii="宋体" w:hAnsi="宋体" w:cs="宋体"/>
                <w:sz w:val="20"/>
              </w:rPr>
            </w:pPr>
          </w:p>
        </w:tc>
        <w:tc>
          <w:tcPr>
            <w:tcW w:w="2654" w:type="dxa"/>
            <w:tcBorders>
              <w:top w:val="single" w:color="auto" w:sz="4"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90"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single" w:color="auto" w:sz="4"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lang w:bidi="ar"/>
              </w:rPr>
            </w:pPr>
            <w:r>
              <w:rPr>
                <w:rFonts w:hint="eastAsia" w:ascii="宋体" w:hAnsi="宋体" w:cs="宋体"/>
                <w:szCs w:val="21"/>
                <w:lang w:bidi="ar"/>
              </w:rPr>
              <w:t>6、</w:t>
            </w:r>
            <w:r>
              <w:rPr>
                <w:rFonts w:hint="eastAsia"/>
              </w:rPr>
              <w:t>距开标前三个月中任一个月开具的缴纳社会保险的凭据证明材料复印件；如依法不需要缴纳社会保障资金的，应提供相应文件证明其依法不需要缴纳社会保障资金；</w:t>
            </w:r>
          </w:p>
        </w:tc>
        <w:tc>
          <w:tcPr>
            <w:tcW w:w="1291" w:type="dxa"/>
            <w:vMerge w:val="continue"/>
            <w:tcBorders>
              <w:top w:val="inset" w:color="111111" w:sz="6" w:space="0"/>
              <w:left w:val="inset" w:color="111111" w:sz="6" w:space="0"/>
              <w:bottom w:val="single" w:color="auto" w:sz="2" w:space="0"/>
              <w:right w:val="inset" w:color="111111" w:sz="6" w:space="0"/>
            </w:tcBorders>
            <w:noWrap w:val="0"/>
            <w:vAlign w:val="center"/>
          </w:tcPr>
          <w:p>
            <w:pPr>
              <w:rPr>
                <w:rFonts w:hint="eastAsia" w:ascii="宋体" w:hAnsi="宋体" w:cs="宋体"/>
                <w:sz w:val="20"/>
              </w:rPr>
            </w:pPr>
          </w:p>
        </w:tc>
        <w:tc>
          <w:tcPr>
            <w:tcW w:w="2654" w:type="dxa"/>
            <w:tcBorders>
              <w:top w:val="single" w:color="auto" w:sz="4"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90"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single" w:color="auto" w:sz="4"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lang w:bidi="ar"/>
              </w:rPr>
            </w:pPr>
            <w:r>
              <w:rPr>
                <w:rFonts w:hint="eastAsia" w:ascii="Arial" w:hAnsi="Arial"/>
                <w:bCs/>
                <w:szCs w:val="28"/>
              </w:rPr>
              <w:t>7、</w:t>
            </w:r>
            <w:r>
              <w:rPr>
                <w:rFonts w:hint="eastAsia" w:ascii="Arial" w:hAnsi="Arial" w:cs="宋体"/>
                <w:kern w:val="0"/>
                <w:szCs w:val="21"/>
                <w:lang w:bidi="ar"/>
              </w:rPr>
              <w:t>具有履行合同所必需的设备和专业技术能力、参加政府采购活动前3年内在经营活动中没有重大违法记录（提供《书面声明》）。</w:t>
            </w:r>
          </w:p>
        </w:tc>
        <w:tc>
          <w:tcPr>
            <w:tcW w:w="1291" w:type="dxa"/>
            <w:vMerge w:val="continue"/>
            <w:tcBorders>
              <w:top w:val="inset" w:color="111111" w:sz="6" w:space="0"/>
              <w:left w:val="inset" w:color="111111" w:sz="6" w:space="0"/>
              <w:bottom w:val="single" w:color="auto" w:sz="2" w:space="0"/>
              <w:right w:val="inset" w:color="111111" w:sz="6" w:space="0"/>
            </w:tcBorders>
            <w:noWrap w:val="0"/>
            <w:vAlign w:val="top"/>
          </w:tcPr>
          <w:p>
            <w:pPr>
              <w:rPr>
                <w:rFonts w:hint="eastAsia" w:ascii="宋体" w:hAnsi="宋体" w:cs="宋体"/>
                <w:sz w:val="20"/>
              </w:rPr>
            </w:pPr>
          </w:p>
        </w:tc>
        <w:tc>
          <w:tcPr>
            <w:tcW w:w="2654" w:type="dxa"/>
            <w:tcBorders>
              <w:top w:val="single" w:color="auto" w:sz="4"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szCs w:val="21"/>
              </w:rPr>
              <w:t>第（ ）页-（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682"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single" w:color="auto" w:sz="4" w:space="0"/>
              <w:left w:val="inset" w:color="111111" w:sz="6" w:space="0"/>
              <w:bottom w:val="single" w:color="auto" w:sz="4" w:space="0"/>
              <w:right w:val="inset" w:color="111111" w:sz="6" w:space="0"/>
            </w:tcBorders>
            <w:noWrap w:val="0"/>
            <w:vAlign w:val="center"/>
          </w:tcPr>
          <w:p>
            <w:pPr>
              <w:adjustRightInd w:val="0"/>
              <w:snapToGrid w:val="0"/>
              <w:rPr>
                <w:rFonts w:hint="eastAsia" w:ascii="宋体" w:hAnsi="宋体" w:cs="宋体"/>
                <w:szCs w:val="21"/>
                <w:lang w:bidi="ar"/>
              </w:rPr>
            </w:pPr>
            <w:r>
              <w:rPr>
                <w:rFonts w:hint="eastAsia" w:ascii="宋体" w:hAnsi="宋体" w:cs="宋体"/>
                <w:lang w:bidi="ar"/>
              </w:rPr>
              <w:t>二、具有运营光纤网络资源的法人单位或其分支机构【（1）提供光纤网络资源情况说明加盖供应商公章；（2）分支机构投标的，还须提供总公司（总机构）授权书原件加盖供应商公章或房产权证复印件加盖供应商公章或其他有效财产证明材料复印件加盖供应商公章。】</w:t>
            </w:r>
          </w:p>
        </w:tc>
        <w:tc>
          <w:tcPr>
            <w:tcW w:w="1291" w:type="dxa"/>
            <w:tcBorders>
              <w:top w:val="inset" w:color="111111" w:sz="6" w:space="0"/>
              <w:left w:val="inset" w:color="111111" w:sz="6" w:space="0"/>
              <w:bottom w:val="single" w:color="auto" w:sz="2"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 xml:space="preserve">□通过 </w:t>
            </w:r>
          </w:p>
          <w:p>
            <w:pPr>
              <w:adjustRightInd w:val="0"/>
              <w:snapToGrid w:val="0"/>
              <w:rPr>
                <w:rFonts w:hint="eastAsia" w:ascii="宋体" w:hAnsi="宋体" w:cs="宋体"/>
                <w:szCs w:val="21"/>
                <w:lang w:bidi="ar"/>
              </w:rPr>
            </w:pPr>
            <w:r>
              <w:rPr>
                <w:rFonts w:hint="eastAsia" w:ascii="宋体" w:hAnsi="宋体" w:cs="宋体"/>
                <w:szCs w:val="21"/>
                <w:lang w:bidi="ar"/>
              </w:rPr>
              <w:t>□不通过</w:t>
            </w:r>
          </w:p>
        </w:tc>
        <w:tc>
          <w:tcPr>
            <w:tcW w:w="2654" w:type="dxa"/>
            <w:tcBorders>
              <w:top w:val="single" w:color="auto" w:sz="4" w:space="0"/>
              <w:left w:val="inset" w:color="111111" w:sz="6"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第（ ）页-（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1587"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inset" w:color="111111" w:sz="6" w:space="0"/>
              <w:left w:val="inset" w:color="111111" w:sz="6" w:space="0"/>
              <w:bottom w:val="inset" w:color="111111" w:sz="6"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三、</w:t>
            </w:r>
            <w:r>
              <w:rPr>
                <w:rFonts w:hint="eastAsia" w:ascii="宋体" w:hAnsi="宋体" w:cs="宋体"/>
                <w:lang w:bidi="ar"/>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r>
              <w:rPr>
                <w:rFonts w:hint="eastAsia" w:ascii="宋体" w:hAnsi="宋体" w:cs="宋体"/>
                <w:bCs/>
                <w:szCs w:val="21"/>
                <w:lang w:bidi="ar"/>
              </w:rPr>
              <w:t>。</w:t>
            </w:r>
            <w:r>
              <w:rPr>
                <w:rFonts w:hint="eastAsia" w:ascii="Arial" w:hAnsi="Arial" w:cs="宋体"/>
                <w:kern w:val="0"/>
                <w:szCs w:val="21"/>
                <w:lang w:bidi="ar"/>
              </w:rPr>
              <w:t>（提供《书面声明》）</w:t>
            </w:r>
          </w:p>
        </w:tc>
        <w:tc>
          <w:tcPr>
            <w:tcW w:w="1291" w:type="dxa"/>
            <w:tcBorders>
              <w:top w:val="inset" w:color="111111" w:sz="6" w:space="0"/>
              <w:left w:val="inset" w:color="111111" w:sz="6" w:space="0"/>
              <w:bottom w:val="inset" w:color="111111" w:sz="6"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 xml:space="preserve">□通过 </w:t>
            </w:r>
          </w:p>
          <w:p>
            <w:pPr>
              <w:adjustRightInd w:val="0"/>
              <w:snapToGrid w:val="0"/>
              <w:rPr>
                <w:rFonts w:hint="eastAsia" w:ascii="宋体" w:hAnsi="宋体" w:cs="宋体"/>
                <w:szCs w:val="21"/>
              </w:rPr>
            </w:pPr>
            <w:r>
              <w:rPr>
                <w:rFonts w:hint="eastAsia" w:ascii="宋体" w:hAnsi="宋体" w:cs="宋体"/>
                <w:szCs w:val="21"/>
                <w:lang w:bidi="ar"/>
              </w:rPr>
              <w:t>□不通过</w:t>
            </w:r>
          </w:p>
        </w:tc>
        <w:tc>
          <w:tcPr>
            <w:tcW w:w="2654" w:type="dxa"/>
            <w:tcBorders>
              <w:top w:val="inset" w:color="111111" w:sz="6" w:space="0"/>
              <w:left w:val="inset" w:color="111111" w:sz="6" w:space="0"/>
              <w:bottom w:val="inset" w:color="111111" w:sz="6"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bidi="ar"/>
              </w:rPr>
              <w:t>第（ ）页-（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89" w:hRule="atLeast"/>
          <w:jc w:val="center"/>
        </w:trPr>
        <w:tc>
          <w:tcPr>
            <w:tcW w:w="845" w:type="dxa"/>
            <w:vMerge w:val="continue"/>
            <w:tcBorders>
              <w:left w:val="single" w:color="auto" w:sz="12" w:space="0"/>
              <w:right w:val="inset" w:color="111111" w:sz="6" w:space="0"/>
            </w:tcBorders>
            <w:noWrap w:val="0"/>
            <w:vAlign w:val="center"/>
          </w:tcPr>
          <w:p>
            <w:pPr>
              <w:rPr>
                <w:rFonts w:hint="eastAsia" w:ascii="宋体" w:hAnsi="宋体" w:cs="宋体"/>
                <w:sz w:val="20"/>
              </w:rPr>
            </w:pPr>
          </w:p>
        </w:tc>
        <w:tc>
          <w:tcPr>
            <w:tcW w:w="4290" w:type="dxa"/>
            <w:tcBorders>
              <w:top w:val="inset" w:color="111111" w:sz="6" w:space="0"/>
              <w:left w:val="inset" w:color="111111" w:sz="6" w:space="0"/>
              <w:bottom w:val="inset" w:color="111111" w:sz="6" w:space="0"/>
              <w:right w:val="inset" w:color="111111" w:sz="6" w:space="0"/>
            </w:tcBorders>
            <w:noWrap w:val="0"/>
            <w:vAlign w:val="center"/>
          </w:tcPr>
          <w:p>
            <w:pPr>
              <w:adjustRightInd w:val="0"/>
              <w:snapToGrid w:val="0"/>
              <w:rPr>
                <w:rFonts w:hint="eastAsia" w:ascii="宋体" w:hAnsi="宋体" w:cs="宋体"/>
                <w:szCs w:val="21"/>
                <w:lang w:bidi="ar"/>
              </w:rPr>
            </w:pPr>
            <w:r>
              <w:rPr>
                <w:rFonts w:hint="eastAsia" w:ascii="宋体" w:hAnsi="宋体" w:cs="宋体"/>
                <w:szCs w:val="21"/>
                <w:lang w:bidi="ar"/>
              </w:rPr>
              <w:t>四、投标人未被信用中国网站（www.creditchina.gov.cn）列入失信被执行人、重大税收违法案件当事人名单，未被中国政府采购网（www.ccgp.gov.cn）列入政府采购严重违法失信行为记录名单。</w:t>
            </w:r>
          </w:p>
        </w:tc>
        <w:tc>
          <w:tcPr>
            <w:tcW w:w="1291" w:type="dxa"/>
            <w:tcBorders>
              <w:top w:val="inset" w:color="111111" w:sz="6" w:space="0"/>
              <w:left w:val="inset" w:color="111111" w:sz="6" w:space="0"/>
              <w:bottom w:val="inset" w:color="111111" w:sz="6" w:space="0"/>
              <w:right w:val="inset" w:color="111111" w:sz="6" w:space="0"/>
            </w:tcBorders>
            <w:noWrap w:val="0"/>
            <w:vAlign w:val="center"/>
          </w:tcPr>
          <w:p>
            <w:pPr>
              <w:adjustRightInd w:val="0"/>
              <w:snapToGrid w:val="0"/>
              <w:rPr>
                <w:rFonts w:hint="eastAsia" w:ascii="宋体" w:hAnsi="宋体" w:cs="宋体"/>
                <w:szCs w:val="21"/>
              </w:rPr>
            </w:pPr>
            <w:r>
              <w:rPr>
                <w:rFonts w:hint="eastAsia" w:ascii="宋体" w:hAnsi="宋体" w:cs="宋体"/>
                <w:szCs w:val="21"/>
                <w:lang w:bidi="ar"/>
              </w:rPr>
              <w:t xml:space="preserve">□通过 </w:t>
            </w:r>
          </w:p>
          <w:p>
            <w:pPr>
              <w:adjustRightInd w:val="0"/>
              <w:snapToGrid w:val="0"/>
              <w:rPr>
                <w:rFonts w:hint="eastAsia" w:ascii="宋体" w:hAnsi="宋体" w:cs="宋体"/>
                <w:szCs w:val="21"/>
                <w:lang w:bidi="ar"/>
              </w:rPr>
            </w:pPr>
            <w:r>
              <w:rPr>
                <w:rFonts w:hint="eastAsia" w:ascii="宋体" w:hAnsi="宋体" w:cs="宋体"/>
                <w:szCs w:val="21"/>
                <w:lang w:bidi="ar"/>
              </w:rPr>
              <w:t>□不通过</w:t>
            </w:r>
          </w:p>
        </w:tc>
        <w:tc>
          <w:tcPr>
            <w:tcW w:w="2654" w:type="dxa"/>
            <w:tcBorders>
              <w:top w:val="inset" w:color="111111" w:sz="6" w:space="0"/>
              <w:left w:val="inset" w:color="111111" w:sz="6" w:space="0"/>
              <w:bottom w:val="inset" w:color="111111" w:sz="6" w:space="0"/>
              <w:right w:val="single" w:color="auto" w:sz="12" w:space="0"/>
            </w:tcBorders>
            <w:noWrap w:val="0"/>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第（ ）页-（  ）页</w:t>
            </w:r>
          </w:p>
        </w:tc>
      </w:tr>
    </w:tbl>
    <w:p>
      <w:pPr>
        <w:rPr>
          <w:rFonts w:hint="eastAsia" w:ascii="宋体" w:hAnsi="宋体" w:cs="宋体"/>
        </w:rPr>
      </w:pPr>
    </w:p>
    <w:p>
      <w:pPr>
        <w:pStyle w:val="20"/>
        <w:ind w:firstLine="3780" w:firstLineChars="1800"/>
        <w:rPr>
          <w:rFonts w:hint="eastAsia" w:ascii="宋体" w:hAnsi="宋体" w:cs="宋体"/>
          <w:lang w:bidi="ar"/>
        </w:rPr>
      </w:pPr>
    </w:p>
    <w:p>
      <w:pPr>
        <w:pStyle w:val="20"/>
        <w:jc w:val="right"/>
        <w:rPr>
          <w:rFonts w:hint="eastAsia" w:ascii="宋体" w:hAnsi="宋体" w:cs="宋体"/>
          <w:lang w:bidi="ar"/>
        </w:rPr>
      </w:pPr>
      <w:r>
        <w:rPr>
          <w:rFonts w:hint="eastAsia" w:ascii="宋体" w:hAnsi="宋体" w:cs="宋体"/>
          <w:lang w:bidi="ar"/>
        </w:rPr>
        <w:t>法定代表人（或企业负责人）或授权代表签字：（签字或盖章）</w:t>
      </w:r>
    </w:p>
    <w:p>
      <w:pPr>
        <w:spacing w:line="360" w:lineRule="auto"/>
        <w:ind w:firstLine="4095" w:firstLineChars="1950"/>
        <w:rPr>
          <w:rFonts w:hint="eastAsia" w:ascii="宋体" w:hAnsi="宋体" w:cs="宋体"/>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 xml:space="preserve">                                              投标人盖章（公章）：         </w:t>
      </w:r>
    </w:p>
    <w:p>
      <w:pPr>
        <w:rPr>
          <w:rStyle w:val="105"/>
          <w:rFonts w:hint="eastAsia" w:ascii="宋体" w:hAnsi="宋体" w:cs="宋体"/>
          <w:sz w:val="28"/>
          <w:szCs w:val="28"/>
        </w:rPr>
      </w:pPr>
      <w:r>
        <w:rPr>
          <w:rFonts w:hint="eastAsia" w:ascii="宋体" w:hAnsi="宋体" w:cs="宋体"/>
          <w:lang w:bidi="ar"/>
        </w:rPr>
        <w:t xml:space="preserve">                                              日  期：</w:t>
      </w:r>
    </w:p>
    <w:p>
      <w:pPr>
        <w:widowControl/>
        <w:adjustRightInd w:val="0"/>
        <w:spacing w:line="360" w:lineRule="auto"/>
        <w:jc w:val="left"/>
        <w:rPr>
          <w:rFonts w:hint="eastAsia" w:ascii="Arial" w:hAnsi="Arial"/>
          <w:b/>
          <w:szCs w:val="21"/>
        </w:rPr>
      </w:pPr>
      <w:r>
        <w:rPr>
          <w:rStyle w:val="105"/>
          <w:rFonts w:hint="eastAsia" w:ascii="宋体" w:hAnsi="宋体" w:cs="宋体"/>
          <w:sz w:val="28"/>
          <w:szCs w:val="28"/>
        </w:rPr>
        <w:br w:type="page"/>
      </w:r>
      <w:r>
        <w:rPr>
          <w:rStyle w:val="105"/>
          <w:rFonts w:hint="eastAsia" w:ascii="宋体" w:hAnsi="宋体" w:cs="宋体"/>
          <w:sz w:val="28"/>
          <w:szCs w:val="28"/>
        </w:rPr>
        <w:t>附件二：</w:t>
      </w:r>
    </w:p>
    <w:p>
      <w:pPr>
        <w:widowControl/>
        <w:spacing w:line="360" w:lineRule="auto"/>
        <w:jc w:val="center"/>
        <w:rPr>
          <w:rFonts w:hint="eastAsia" w:ascii="Arial" w:hAnsi="Arial"/>
          <w:b/>
          <w:spacing w:val="-4"/>
          <w:sz w:val="24"/>
        </w:rPr>
      </w:pPr>
      <w:r>
        <w:rPr>
          <w:rFonts w:hint="eastAsia" w:ascii="Arial" w:hAnsi="Arial"/>
          <w:b/>
          <w:spacing w:val="-4"/>
          <w:sz w:val="24"/>
        </w:rPr>
        <w:t>书面声明</w:t>
      </w:r>
    </w:p>
    <w:p>
      <w:pPr>
        <w:widowControl/>
        <w:spacing w:line="360" w:lineRule="auto"/>
        <w:jc w:val="center"/>
        <w:rPr>
          <w:rFonts w:hint="eastAsia" w:ascii="Arial" w:hAnsi="Arial"/>
          <w:b/>
          <w:spacing w:val="-4"/>
          <w:sz w:val="24"/>
        </w:rPr>
      </w:pPr>
    </w:p>
    <w:p>
      <w:pPr>
        <w:widowControl/>
        <w:spacing w:line="360" w:lineRule="auto"/>
        <w:jc w:val="left"/>
        <w:rPr>
          <w:rFonts w:hint="eastAsia" w:ascii="Arial" w:hAnsi="Arial"/>
          <w:b/>
          <w:bCs/>
          <w:szCs w:val="16"/>
          <w:lang w:bidi="ar"/>
        </w:rPr>
      </w:pPr>
      <w:r>
        <w:rPr>
          <w:rFonts w:hint="eastAsia" w:ascii="Arial" w:hAnsi="Arial"/>
          <w:b/>
          <w:bCs/>
          <w:szCs w:val="16"/>
          <w:lang w:bidi="ar"/>
        </w:rPr>
        <w:t>我方郑重承诺：</w:t>
      </w:r>
    </w:p>
    <w:p>
      <w:pPr>
        <w:widowControl/>
        <w:numPr>
          <w:ilvl w:val="0"/>
          <w:numId w:val="24"/>
        </w:numPr>
        <w:spacing w:line="360" w:lineRule="auto"/>
        <w:ind w:right="159" w:firstLine="420" w:firstLineChars="200"/>
        <w:jc w:val="left"/>
        <w:rPr>
          <w:rFonts w:hint="eastAsia" w:ascii="Arial" w:hAnsi="Arial" w:cs="宋体"/>
          <w:kern w:val="0"/>
          <w:szCs w:val="21"/>
          <w:lang w:bidi="ar"/>
        </w:rPr>
      </w:pPr>
      <w:r>
        <w:rPr>
          <w:rFonts w:hint="eastAsia" w:ascii="Arial" w:hAnsi="Arial" w:cs="宋体"/>
          <w:kern w:val="0"/>
          <w:szCs w:val="21"/>
          <w:lang w:bidi="ar"/>
        </w:rPr>
        <w:t>具有履行合同所必需的设备和专业技术能力；</w:t>
      </w:r>
    </w:p>
    <w:p>
      <w:pPr>
        <w:widowControl/>
        <w:numPr>
          <w:ilvl w:val="0"/>
          <w:numId w:val="24"/>
        </w:numPr>
        <w:spacing w:line="360" w:lineRule="auto"/>
        <w:ind w:right="159" w:firstLine="420" w:firstLineChars="200"/>
        <w:jc w:val="left"/>
        <w:rPr>
          <w:rFonts w:hint="eastAsia" w:ascii="Arial" w:hAnsi="Arial" w:cs="宋体"/>
          <w:kern w:val="0"/>
          <w:szCs w:val="21"/>
          <w:lang w:bidi="ar"/>
        </w:rPr>
      </w:pPr>
      <w:r>
        <w:rPr>
          <w:rFonts w:hint="eastAsia" w:ascii="Arial" w:hAnsi="Arial" w:cs="宋体"/>
          <w:kern w:val="0"/>
          <w:szCs w:val="21"/>
          <w:lang w:bidi="ar"/>
        </w:rPr>
        <w:t>参加政府采购活动前3年内在经营活动中没有重大违法记录；</w:t>
      </w:r>
    </w:p>
    <w:p>
      <w:pPr>
        <w:widowControl/>
        <w:numPr>
          <w:ilvl w:val="0"/>
          <w:numId w:val="24"/>
        </w:numPr>
        <w:spacing w:line="360" w:lineRule="auto"/>
        <w:ind w:right="159" w:firstLine="420" w:firstLineChars="200"/>
        <w:jc w:val="left"/>
        <w:rPr>
          <w:rFonts w:hint="eastAsia" w:ascii="Arial" w:hAnsi="Arial" w:cs="宋体"/>
          <w:kern w:val="0"/>
          <w:szCs w:val="21"/>
        </w:rPr>
      </w:pPr>
      <w:r>
        <w:rPr>
          <w:rFonts w:hint="eastAsia" w:ascii="Arial" w:hAnsi="Arial" w:cs="宋体"/>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本项目的投标。</w:t>
      </w:r>
    </w:p>
    <w:p>
      <w:pPr>
        <w:widowControl/>
        <w:numPr>
          <w:ilvl w:val="0"/>
          <w:numId w:val="24"/>
        </w:numPr>
        <w:spacing w:line="360" w:lineRule="auto"/>
        <w:ind w:right="159" w:firstLine="420" w:firstLineChars="200"/>
        <w:jc w:val="left"/>
        <w:rPr>
          <w:rFonts w:hint="eastAsia" w:ascii="Arial" w:hAnsi="Arial"/>
        </w:rPr>
      </w:pPr>
      <w:r>
        <w:rPr>
          <w:rFonts w:hint="eastAsia" w:hAnsi="宋体" w:cs="宋体"/>
        </w:rPr>
        <w:t>我方非该整体项目或其中分项目前期工作提供过设计、编制、管理等服务的法人及</w:t>
      </w:r>
      <w:r>
        <w:rPr>
          <w:rFonts w:hint="eastAsia" w:ascii="Arial" w:hAnsi="Arial"/>
        </w:rPr>
        <w:t>附属单位。</w:t>
      </w:r>
    </w:p>
    <w:p>
      <w:pPr>
        <w:widowControl/>
        <w:numPr>
          <w:ilvl w:val="0"/>
          <w:numId w:val="24"/>
        </w:numPr>
        <w:spacing w:line="360" w:lineRule="auto"/>
        <w:ind w:right="159" w:firstLine="420" w:firstLineChars="200"/>
        <w:jc w:val="left"/>
        <w:rPr>
          <w:rFonts w:hint="eastAsia" w:ascii="Arial" w:hAnsi="Arial"/>
        </w:rPr>
      </w:pPr>
      <w:r>
        <w:rPr>
          <w:rFonts w:hint="eastAsia" w:ascii="Arial" w:hAnsi="Arial"/>
        </w:rPr>
        <w:t>我方及法定代表人或授权代表中均无行贿犯罪记录。</w:t>
      </w:r>
    </w:p>
    <w:p>
      <w:pPr>
        <w:widowControl/>
        <w:spacing w:line="360" w:lineRule="auto"/>
        <w:ind w:right="159" w:firstLine="420" w:firstLineChars="200"/>
        <w:jc w:val="left"/>
        <w:rPr>
          <w:rFonts w:hint="eastAsia" w:ascii="Arial" w:hAnsi="Arial"/>
        </w:rPr>
      </w:pPr>
      <w:r>
        <w:rPr>
          <w:rFonts w:hint="eastAsia" w:ascii="Arial" w:hAnsi="Arial"/>
        </w:rPr>
        <w:t>特此承诺！</w:t>
      </w:r>
    </w:p>
    <w:p>
      <w:pPr>
        <w:widowControl/>
        <w:spacing w:line="360" w:lineRule="auto"/>
        <w:ind w:right="159" w:firstLine="420" w:firstLineChars="200"/>
        <w:jc w:val="left"/>
        <w:rPr>
          <w:rFonts w:hint="eastAsia" w:ascii="Arial" w:hAnsi="Arial"/>
        </w:rPr>
      </w:pPr>
    </w:p>
    <w:p>
      <w:pPr>
        <w:widowControl/>
        <w:spacing w:line="360" w:lineRule="auto"/>
        <w:ind w:right="159" w:firstLine="420" w:firstLineChars="200"/>
        <w:jc w:val="left"/>
        <w:rPr>
          <w:rFonts w:hint="eastAsia" w:ascii="Arial" w:hAnsi="Arial"/>
        </w:rPr>
      </w:pPr>
    </w:p>
    <w:p>
      <w:pPr>
        <w:widowControl/>
        <w:spacing w:line="360" w:lineRule="auto"/>
        <w:ind w:right="159" w:firstLine="420" w:firstLineChars="200"/>
        <w:jc w:val="left"/>
        <w:rPr>
          <w:rFonts w:hint="eastAsia" w:ascii="Arial" w:hAnsi="Arial"/>
        </w:rPr>
      </w:pPr>
    </w:p>
    <w:p>
      <w:pPr>
        <w:widowControl/>
        <w:spacing w:line="360" w:lineRule="auto"/>
        <w:ind w:right="159" w:firstLine="420" w:firstLineChars="200"/>
        <w:jc w:val="left"/>
        <w:rPr>
          <w:rFonts w:hint="eastAsia" w:ascii="Arial" w:hAnsi="Arial"/>
        </w:rPr>
      </w:pPr>
    </w:p>
    <w:p>
      <w:pPr>
        <w:widowControl/>
        <w:adjustRightInd w:val="0"/>
        <w:spacing w:line="360" w:lineRule="auto"/>
        <w:jc w:val="left"/>
        <w:rPr>
          <w:rFonts w:hint="eastAsia" w:ascii="Arial" w:hAnsi="Arial"/>
        </w:rPr>
      </w:pPr>
      <w:r>
        <w:rPr>
          <w:rFonts w:hint="eastAsia" w:ascii="Arial" w:hAnsi="Arial"/>
        </w:rPr>
        <w:t>投标人（盖章）：</w:t>
      </w:r>
    </w:p>
    <w:p>
      <w:pPr>
        <w:pStyle w:val="20"/>
        <w:jc w:val="both"/>
        <w:rPr>
          <w:rFonts w:hint="eastAsia" w:ascii="宋体" w:hAnsi="宋体" w:cs="宋体"/>
          <w:lang w:bidi="ar"/>
        </w:rPr>
      </w:pPr>
      <w:r>
        <w:rPr>
          <w:rFonts w:hint="eastAsia" w:ascii="宋体" w:hAnsi="宋体" w:cs="宋体"/>
          <w:lang w:bidi="ar"/>
        </w:rPr>
        <w:t>法定代表人（或企业负责人）或授权代表签字：（签字或盖章）</w:t>
      </w:r>
    </w:p>
    <w:p>
      <w:pPr>
        <w:rPr>
          <w:rStyle w:val="105"/>
          <w:rFonts w:hint="eastAsia" w:ascii="宋体" w:hAnsi="宋体" w:cs="宋体"/>
          <w:sz w:val="28"/>
          <w:szCs w:val="28"/>
        </w:rPr>
      </w:pPr>
      <w:r>
        <w:rPr>
          <w:rFonts w:hint="eastAsia" w:ascii="Arial" w:hAnsi="Arial"/>
        </w:rPr>
        <w:t>日  期：</w:t>
      </w: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Style w:val="105"/>
          <w:rFonts w:hint="eastAsia" w:ascii="宋体" w:hAnsi="宋体" w:cs="宋体"/>
          <w:sz w:val="28"/>
          <w:szCs w:val="28"/>
        </w:rPr>
      </w:pPr>
    </w:p>
    <w:p>
      <w:pPr>
        <w:rPr>
          <w:rFonts w:hint="eastAsia" w:ascii="宋体" w:hAnsi="宋体" w:cs="宋体"/>
        </w:rPr>
      </w:pPr>
      <w:r>
        <w:rPr>
          <w:rFonts w:hint="eastAsia" w:ascii="宋体" w:hAnsi="宋体" w:cs="宋体"/>
          <w:lang w:bidi="ar"/>
        </w:rPr>
        <w:br w:type="page"/>
      </w:r>
      <w:r>
        <w:rPr>
          <w:rFonts w:hint="eastAsia" w:ascii="宋体" w:hAnsi="宋体" w:cs="宋体"/>
          <w:lang w:bidi="ar"/>
        </w:rPr>
        <w:t>二、商务技术文件的外包装封面格式：</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jc w:val="center"/>
        <w:rPr>
          <w:rFonts w:hint="eastAsia" w:ascii="宋体" w:hAnsi="宋体" w:cs="宋体"/>
          <w:sz w:val="44"/>
          <w:szCs w:val="44"/>
        </w:rPr>
      </w:pPr>
      <w:r>
        <w:rPr>
          <w:rFonts w:hint="eastAsia" w:ascii="宋体" w:hAnsi="宋体" w:cs="宋体"/>
          <w:sz w:val="44"/>
          <w:szCs w:val="44"/>
          <w:lang w:bidi="ar"/>
        </w:rPr>
        <w:t>商务技术文件</w:t>
      </w:r>
    </w:p>
    <w:p>
      <w:pPr>
        <w:rPr>
          <w:rFonts w:hint="eastAsia" w:ascii="宋体" w:hAnsi="宋体" w:cs="宋体"/>
          <w:szCs w:val="21"/>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项目名称：                        项目</w:t>
      </w:r>
    </w:p>
    <w:p>
      <w:pPr>
        <w:spacing w:line="360" w:lineRule="auto"/>
        <w:rPr>
          <w:rFonts w:hint="eastAsia" w:ascii="宋体" w:hAnsi="宋体" w:cs="宋体"/>
        </w:rPr>
      </w:pPr>
      <w:r>
        <w:rPr>
          <w:rFonts w:hint="eastAsia" w:ascii="宋体" w:hAnsi="宋体" w:cs="宋体"/>
          <w:lang w:bidi="ar"/>
        </w:rPr>
        <w:t xml:space="preserve">项目编号： </w:t>
      </w:r>
    </w:p>
    <w:p>
      <w:pPr>
        <w:spacing w:line="360" w:lineRule="auto"/>
        <w:rPr>
          <w:rFonts w:hint="eastAsia" w:ascii="宋体" w:hAnsi="宋体" w:cs="宋体"/>
        </w:rPr>
      </w:pPr>
      <w:r>
        <w:rPr>
          <w:rFonts w:hint="eastAsia" w:ascii="宋体" w:hAnsi="宋体" w:cs="宋体"/>
          <w:lang w:bidi="ar"/>
        </w:rPr>
        <w:t>投标人名称：</w:t>
      </w:r>
    </w:p>
    <w:p>
      <w:pPr>
        <w:spacing w:line="360" w:lineRule="auto"/>
        <w:rPr>
          <w:rFonts w:hint="eastAsia" w:ascii="宋体" w:hAnsi="宋体" w:cs="宋体"/>
        </w:rPr>
      </w:pPr>
      <w:r>
        <w:rPr>
          <w:rFonts w:hint="eastAsia" w:ascii="宋体" w:hAnsi="宋体" w:cs="宋体"/>
          <w:lang w:bidi="ar"/>
        </w:rPr>
        <w:t>投标人地址：</w:t>
      </w:r>
    </w:p>
    <w:p>
      <w:pPr>
        <w:spacing w:line="360" w:lineRule="auto"/>
        <w:rPr>
          <w:rFonts w:hint="eastAsia" w:ascii="宋体" w:hAnsi="宋体" w:cs="宋体"/>
        </w:rPr>
      </w:pPr>
      <w:r>
        <w:rPr>
          <w:rFonts w:hint="eastAsia" w:ascii="宋体" w:hAnsi="宋体" w:cs="宋体"/>
          <w:lang w:bidi="ar"/>
        </w:rPr>
        <w:t>在  年  月  日  时  分之前不得启封</w:t>
      </w:r>
    </w:p>
    <w:p>
      <w:pPr>
        <w:spacing w:line="360" w:lineRule="auto"/>
        <w:rPr>
          <w:rFonts w:hint="eastAsia" w:ascii="宋体" w:hAnsi="宋体" w:cs="宋体"/>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 xml:space="preserve">                                                    （投标人公章）</w:t>
      </w:r>
    </w:p>
    <w:p>
      <w:pPr>
        <w:spacing w:line="360" w:lineRule="auto"/>
        <w:rPr>
          <w:rFonts w:hint="eastAsia" w:ascii="宋体" w:hAnsi="宋体" w:cs="宋体"/>
        </w:rPr>
      </w:pPr>
      <w:r>
        <w:rPr>
          <w:rFonts w:hint="eastAsia" w:ascii="宋体" w:hAnsi="宋体" w:cs="宋体"/>
          <w:lang w:bidi="ar"/>
        </w:rPr>
        <w:t xml:space="preserve">                                                      年  月  日</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二、商务技术文件封面格式： </w:t>
      </w:r>
    </w:p>
    <w:p>
      <w:pPr>
        <w:rPr>
          <w:rFonts w:hint="eastAsia" w:ascii="宋体" w:hAnsi="宋体" w:cs="宋体"/>
        </w:rPr>
      </w:pPr>
      <w:r>
        <w:rPr>
          <w:rFonts w:hint="eastAsia" w:ascii="宋体" w:hAnsi="宋体" w:cs="宋体"/>
          <w:lang w:bidi="ar"/>
        </w:rPr>
        <w:t xml:space="preserve">                                                        正本/或副本</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jc w:val="center"/>
        <w:rPr>
          <w:rFonts w:hint="eastAsia" w:ascii="宋体" w:hAnsi="宋体" w:cs="宋体"/>
          <w:sz w:val="44"/>
          <w:szCs w:val="44"/>
        </w:rPr>
      </w:pPr>
      <w:r>
        <w:rPr>
          <w:rFonts w:hint="eastAsia" w:ascii="宋体" w:hAnsi="宋体" w:cs="宋体"/>
          <w:sz w:val="44"/>
          <w:szCs w:val="44"/>
          <w:lang w:bidi="ar"/>
        </w:rPr>
        <w:t>商务技术文件</w:t>
      </w:r>
    </w:p>
    <w:p>
      <w:pPr>
        <w:rPr>
          <w:rFonts w:hint="eastAsia" w:ascii="宋体" w:hAnsi="宋体" w:cs="宋体"/>
          <w:szCs w:val="21"/>
        </w:rPr>
      </w:pPr>
      <w:r>
        <w:rPr>
          <w:rFonts w:hint="eastAsia" w:ascii="宋体" w:hAnsi="宋体" w:cs="宋体"/>
          <w:lang w:bidi="ar"/>
        </w:rPr>
        <w:t xml:space="preserve"> </w:t>
      </w:r>
    </w:p>
    <w:p>
      <w:pPr>
        <w:spacing w:line="360" w:lineRule="auto"/>
        <w:rPr>
          <w:rFonts w:hint="eastAsia" w:ascii="宋体" w:hAnsi="宋体" w:cs="宋体"/>
        </w:rPr>
      </w:pPr>
      <w:r>
        <w:rPr>
          <w:rFonts w:hint="eastAsia" w:ascii="宋体" w:hAnsi="宋体" w:cs="宋体"/>
          <w:lang w:bidi="ar"/>
        </w:rPr>
        <w:t>项目名称：                        项目</w:t>
      </w:r>
    </w:p>
    <w:p>
      <w:pPr>
        <w:spacing w:line="360" w:lineRule="auto"/>
        <w:rPr>
          <w:rFonts w:hint="eastAsia" w:ascii="宋体" w:hAnsi="宋体" w:cs="宋体"/>
        </w:rPr>
      </w:pPr>
      <w:r>
        <w:rPr>
          <w:rFonts w:hint="eastAsia" w:ascii="宋体" w:hAnsi="宋体" w:cs="宋体"/>
          <w:lang w:bidi="ar"/>
        </w:rPr>
        <w:t xml:space="preserve">项目编号： </w:t>
      </w:r>
    </w:p>
    <w:p>
      <w:pPr>
        <w:spacing w:line="360" w:lineRule="auto"/>
        <w:rPr>
          <w:rFonts w:hint="eastAsia" w:ascii="宋体" w:hAnsi="宋体" w:cs="宋体"/>
        </w:rPr>
      </w:pPr>
      <w:r>
        <w:rPr>
          <w:rFonts w:hint="eastAsia" w:ascii="宋体" w:hAnsi="宋体" w:cs="宋体"/>
          <w:lang w:bidi="ar"/>
        </w:rPr>
        <w:t>投标人名称：</w:t>
      </w:r>
    </w:p>
    <w:p>
      <w:pPr>
        <w:spacing w:line="360" w:lineRule="auto"/>
        <w:rPr>
          <w:rFonts w:hint="eastAsia" w:ascii="宋体" w:hAnsi="宋体" w:cs="宋体"/>
        </w:rPr>
      </w:pPr>
      <w:r>
        <w:rPr>
          <w:rFonts w:hint="eastAsia" w:ascii="宋体" w:hAnsi="宋体" w:cs="宋体"/>
          <w:lang w:bidi="ar"/>
        </w:rPr>
        <w:t>投标人地址：</w:t>
      </w:r>
    </w:p>
    <w:p>
      <w:pPr>
        <w:spacing w:line="360" w:lineRule="auto"/>
        <w:rPr>
          <w:rFonts w:hint="eastAsia" w:ascii="宋体" w:hAnsi="宋体" w:cs="宋体"/>
        </w:rPr>
      </w:pPr>
      <w:r>
        <w:rPr>
          <w:rFonts w:hint="eastAsia" w:ascii="宋体" w:hAnsi="宋体" w:cs="宋体"/>
          <w:lang w:bidi="ar"/>
        </w:rPr>
        <w:t xml:space="preserve"> </w:t>
      </w:r>
    </w:p>
    <w:p>
      <w:pPr>
        <w:spacing w:line="360" w:lineRule="auto"/>
        <w:ind w:firstLine="5355" w:firstLineChars="2550"/>
        <w:rPr>
          <w:rFonts w:hint="eastAsia" w:ascii="宋体" w:hAnsi="宋体" w:cs="宋体"/>
        </w:rPr>
      </w:pPr>
      <w:r>
        <w:rPr>
          <w:rFonts w:hint="eastAsia" w:ascii="宋体" w:hAnsi="宋体" w:cs="宋体"/>
          <w:lang w:bidi="ar"/>
        </w:rPr>
        <w:t>（投标人公章）</w:t>
      </w:r>
    </w:p>
    <w:p>
      <w:pPr>
        <w:widowControl/>
        <w:jc w:val="left"/>
        <w:rPr>
          <w:rFonts w:hint="eastAsia" w:ascii="宋体" w:hAnsi="宋体" w:cs="宋体"/>
          <w:lang w:bidi="ar"/>
        </w:rPr>
      </w:pPr>
      <w:r>
        <w:rPr>
          <w:rFonts w:hint="eastAsia" w:ascii="宋体" w:hAnsi="宋体" w:cs="宋体"/>
          <w:lang w:bidi="ar"/>
        </w:rPr>
        <w:t xml:space="preserve">                                                       年  月  日</w:t>
      </w: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widowControl/>
        <w:jc w:val="left"/>
        <w:rPr>
          <w:rFonts w:hint="eastAsia" w:ascii="宋体" w:hAnsi="宋体" w:cs="宋体"/>
          <w:lang w:bidi="ar"/>
        </w:rPr>
      </w:pPr>
    </w:p>
    <w:p>
      <w:pPr>
        <w:spacing w:line="360" w:lineRule="auto"/>
        <w:ind w:firstLine="422" w:firstLineChars="200"/>
        <w:rPr>
          <w:rFonts w:hint="eastAsia" w:ascii="宋体" w:hAnsi="宋体" w:cs="宋体"/>
          <w:b/>
          <w:szCs w:val="21"/>
          <w:lang w:bidi="ar"/>
        </w:rPr>
      </w:pPr>
    </w:p>
    <w:p>
      <w:pPr>
        <w:spacing w:line="360" w:lineRule="auto"/>
        <w:ind w:firstLine="422" w:firstLineChars="200"/>
        <w:rPr>
          <w:rFonts w:hint="eastAsia" w:ascii="宋体" w:hAnsi="宋体" w:cs="宋体"/>
          <w:b/>
          <w:szCs w:val="21"/>
          <w:lang w:bidi="ar"/>
        </w:rPr>
      </w:pPr>
    </w:p>
    <w:p>
      <w:pPr>
        <w:spacing w:line="360" w:lineRule="auto"/>
        <w:ind w:firstLine="422" w:firstLineChars="200"/>
        <w:rPr>
          <w:rFonts w:hint="eastAsia" w:ascii="宋体" w:hAnsi="宋体" w:cs="宋体"/>
        </w:rPr>
      </w:pPr>
      <w:r>
        <w:rPr>
          <w:rFonts w:hint="eastAsia" w:ascii="宋体" w:hAnsi="宋体" w:cs="宋体"/>
          <w:b/>
          <w:szCs w:val="21"/>
          <w:lang w:bidi="ar"/>
        </w:rPr>
        <w:br w:type="page"/>
      </w:r>
      <w:r>
        <w:rPr>
          <w:rFonts w:hint="eastAsia" w:ascii="宋体" w:hAnsi="宋体" w:cs="宋体"/>
          <w:b/>
          <w:szCs w:val="21"/>
          <w:lang w:bidi="ar"/>
        </w:rPr>
        <w:t>商务技术文件包括：</w:t>
      </w:r>
    </w:p>
    <w:p>
      <w:pPr>
        <w:spacing w:line="360" w:lineRule="auto"/>
        <w:ind w:firstLine="420" w:firstLineChars="200"/>
        <w:jc w:val="left"/>
        <w:rPr>
          <w:rFonts w:hint="eastAsia" w:ascii="宋体" w:hAnsi="宋体" w:cs="宋体"/>
          <w:lang w:bidi="ar"/>
        </w:rPr>
      </w:pPr>
      <w:r>
        <w:rPr>
          <w:rFonts w:hint="eastAsia" w:ascii="宋体" w:hAnsi="宋体" w:cs="宋体"/>
          <w:szCs w:val="21"/>
          <w:lang w:bidi="ar"/>
        </w:rPr>
        <w:t>1、</w:t>
      </w:r>
      <w:r>
        <w:rPr>
          <w:rFonts w:hint="eastAsia" w:ascii="宋体" w:hAnsi="宋体" w:cs="宋体"/>
          <w:lang w:bidi="ar"/>
        </w:rPr>
        <w:t>项目投标人响应表（</w:t>
      </w:r>
      <w:r>
        <w:rPr>
          <w:rFonts w:hint="eastAsia" w:ascii="宋体" w:hAnsi="宋体" w:cs="宋体"/>
          <w:szCs w:val="21"/>
          <w:lang w:bidi="ar"/>
        </w:rPr>
        <w:t>格式见附件</w:t>
      </w:r>
      <w:r>
        <w:rPr>
          <w:rFonts w:hint="eastAsia" w:ascii="宋体" w:hAnsi="宋体" w:cs="宋体"/>
          <w:lang w:bidi="ar"/>
        </w:rPr>
        <w:t>）；</w:t>
      </w:r>
    </w:p>
    <w:p>
      <w:pPr>
        <w:spacing w:line="360" w:lineRule="auto"/>
        <w:ind w:firstLine="420" w:firstLineChars="200"/>
        <w:jc w:val="left"/>
        <w:rPr>
          <w:rFonts w:hint="eastAsia" w:ascii="宋体" w:hAnsi="宋体" w:cs="宋体"/>
          <w:lang w:bidi="ar"/>
        </w:rPr>
      </w:pPr>
      <w:r>
        <w:rPr>
          <w:rFonts w:hint="eastAsia" w:ascii="宋体" w:hAnsi="宋体" w:cs="宋体"/>
          <w:bCs/>
          <w:szCs w:val="21"/>
          <w:lang w:bidi="ar"/>
        </w:rPr>
        <w:t>2、</w:t>
      </w:r>
      <w:r>
        <w:rPr>
          <w:rFonts w:hint="eastAsia" w:ascii="宋体" w:hAnsi="宋体" w:cs="宋体"/>
          <w:lang w:bidi="ar"/>
        </w:rPr>
        <w:t>符合性自查表（</w:t>
      </w:r>
      <w:r>
        <w:rPr>
          <w:rFonts w:hint="eastAsia" w:ascii="宋体" w:hAnsi="宋体" w:cs="宋体"/>
          <w:szCs w:val="21"/>
          <w:lang w:bidi="ar"/>
        </w:rPr>
        <w:t>格式见附件</w:t>
      </w:r>
      <w:r>
        <w:rPr>
          <w:rFonts w:hint="eastAsia" w:ascii="宋体" w:hAnsi="宋体" w:cs="宋体"/>
          <w:lang w:bidi="ar"/>
        </w:rPr>
        <w:t>）；</w:t>
      </w:r>
    </w:p>
    <w:p>
      <w:pPr>
        <w:spacing w:line="360" w:lineRule="auto"/>
        <w:ind w:firstLine="420" w:firstLineChars="200"/>
        <w:jc w:val="left"/>
        <w:rPr>
          <w:rFonts w:hint="eastAsia" w:ascii="宋体" w:hAnsi="宋体" w:cs="宋体"/>
          <w:szCs w:val="21"/>
        </w:rPr>
      </w:pPr>
      <w:r>
        <w:rPr>
          <w:rFonts w:hint="eastAsia" w:ascii="宋体" w:hAnsi="宋体" w:cs="宋体"/>
          <w:lang w:bidi="ar"/>
        </w:rPr>
        <w:t>3、</w:t>
      </w:r>
      <w:r>
        <w:rPr>
          <w:rFonts w:hint="eastAsia" w:ascii="宋体" w:hAnsi="宋体" w:cs="宋体"/>
          <w:szCs w:val="21"/>
          <w:lang w:bidi="ar"/>
        </w:rPr>
        <w:t>投标供应商一般情况（格式见附件）</w:t>
      </w:r>
      <w:r>
        <w:rPr>
          <w:rFonts w:hint="eastAsia" w:ascii="宋体" w:hAnsi="宋体" w:cs="宋体"/>
          <w:lang w:bidi="ar"/>
        </w:rPr>
        <w:t>；</w:t>
      </w:r>
    </w:p>
    <w:p>
      <w:pPr>
        <w:pStyle w:val="20"/>
        <w:spacing w:line="360" w:lineRule="auto"/>
        <w:ind w:firstLine="420" w:firstLineChars="200"/>
        <w:rPr>
          <w:rFonts w:hint="eastAsia" w:ascii="宋体" w:hAnsi="宋体" w:cs="宋体"/>
        </w:rPr>
      </w:pPr>
      <w:r>
        <w:rPr>
          <w:rFonts w:hint="eastAsia" w:ascii="宋体" w:hAnsi="宋体" w:cs="宋体"/>
          <w:lang w:bidi="ar"/>
        </w:rPr>
        <w:t>4、法定代表人</w:t>
      </w:r>
      <w:r>
        <w:rPr>
          <w:rFonts w:hint="eastAsia"/>
        </w:rPr>
        <w:t>（或企业负责人）</w:t>
      </w:r>
      <w:r>
        <w:rPr>
          <w:rFonts w:hint="eastAsia" w:ascii="宋体" w:hAnsi="宋体" w:cs="宋体"/>
          <w:lang w:bidi="ar"/>
        </w:rPr>
        <w:t>身份证明或法定代表人</w:t>
      </w:r>
      <w:r>
        <w:rPr>
          <w:rFonts w:hint="eastAsia"/>
        </w:rPr>
        <w:t>（或企业负责人）</w:t>
      </w:r>
      <w:r>
        <w:rPr>
          <w:rFonts w:hint="eastAsia" w:ascii="宋体" w:hAnsi="宋体" w:cs="宋体"/>
          <w:lang w:bidi="ar"/>
        </w:rPr>
        <w:t>授权书和被授权代表身份证复印件（投标人代表为法定代表人</w:t>
      </w:r>
      <w:r>
        <w:rPr>
          <w:rFonts w:hint="eastAsia"/>
        </w:rPr>
        <w:t>（或企业负责人）</w:t>
      </w:r>
      <w:r>
        <w:rPr>
          <w:rFonts w:hint="eastAsia" w:ascii="宋体" w:hAnsi="宋体" w:cs="宋体"/>
          <w:lang w:bidi="ar"/>
        </w:rPr>
        <w:t>的提供法定代表人</w:t>
      </w:r>
      <w:r>
        <w:rPr>
          <w:rFonts w:hint="eastAsia"/>
        </w:rPr>
        <w:t>（或企业负责人）</w:t>
      </w:r>
      <w:r>
        <w:rPr>
          <w:rFonts w:hint="eastAsia" w:ascii="宋体" w:hAnsi="宋体" w:cs="宋体"/>
          <w:lang w:bidi="ar"/>
        </w:rPr>
        <w:t>身份证明，投标人的代表若为非法定代表人</w:t>
      </w:r>
      <w:r>
        <w:rPr>
          <w:rFonts w:hint="eastAsia"/>
        </w:rPr>
        <w:t>（或企业负责人）</w:t>
      </w:r>
      <w:r>
        <w:rPr>
          <w:rFonts w:hint="eastAsia" w:ascii="宋体" w:hAnsi="宋体" w:cs="宋体"/>
          <w:lang w:bidi="ar"/>
        </w:rPr>
        <w:t>的，须提交法定代表人</w:t>
      </w:r>
      <w:r>
        <w:rPr>
          <w:rFonts w:hint="eastAsia"/>
        </w:rPr>
        <w:t>（或企业负责人）</w:t>
      </w:r>
      <w:r>
        <w:rPr>
          <w:rFonts w:hint="eastAsia" w:ascii="宋体" w:hAnsi="宋体" w:cs="宋体"/>
          <w:lang w:bidi="ar"/>
        </w:rPr>
        <w:t>授权书及被授权代表在开标前三个月中任一个月的养老保险缴纳证明资料）（格式见附件）；</w:t>
      </w:r>
    </w:p>
    <w:p>
      <w:pPr>
        <w:spacing w:line="360" w:lineRule="auto"/>
        <w:ind w:firstLine="420" w:firstLineChars="200"/>
        <w:rPr>
          <w:rFonts w:hint="eastAsia" w:ascii="宋体" w:hAnsi="宋体" w:cs="宋体"/>
          <w:lang w:bidi="ar"/>
        </w:rPr>
      </w:pPr>
      <w:r>
        <w:rPr>
          <w:rFonts w:hint="eastAsia" w:ascii="宋体" w:hAnsi="宋体" w:cs="宋体"/>
          <w:lang w:bidi="ar"/>
        </w:rPr>
        <w:t>5、商务条款响应表（格式见附件）；</w:t>
      </w:r>
    </w:p>
    <w:p>
      <w:pPr>
        <w:spacing w:line="360" w:lineRule="auto"/>
        <w:ind w:firstLine="420" w:firstLineChars="200"/>
        <w:rPr>
          <w:rFonts w:hint="eastAsia" w:ascii="宋体" w:hAnsi="宋体" w:cs="宋体"/>
          <w:lang w:bidi="ar"/>
        </w:rPr>
      </w:pPr>
      <w:r>
        <w:rPr>
          <w:rFonts w:hint="eastAsia" w:ascii="宋体" w:hAnsi="宋体" w:cs="宋体"/>
          <w:lang w:bidi="ar"/>
        </w:rPr>
        <w:t>6、</w:t>
      </w:r>
      <w:r>
        <w:rPr>
          <w:rFonts w:hint="eastAsia" w:ascii="宋体" w:hAnsi="宋体"/>
          <w:szCs w:val="21"/>
        </w:rPr>
        <w:t>技术条款响应表</w:t>
      </w:r>
      <w:r>
        <w:rPr>
          <w:rFonts w:hint="eastAsia" w:ascii="宋体" w:hAnsi="宋体" w:cs="宋体"/>
          <w:lang w:bidi="ar"/>
        </w:rPr>
        <w:t>（格式见附件）；</w:t>
      </w:r>
    </w:p>
    <w:p>
      <w:pPr>
        <w:spacing w:line="360" w:lineRule="auto"/>
        <w:ind w:firstLine="420" w:firstLineChars="200"/>
        <w:rPr>
          <w:rFonts w:hint="eastAsia" w:ascii="宋体" w:hAnsi="宋体" w:cs="宋体"/>
          <w:lang w:bidi="ar"/>
        </w:rPr>
      </w:pPr>
      <w:r>
        <w:rPr>
          <w:rFonts w:hint="eastAsia" w:ascii="宋体" w:hAnsi="宋体" w:cs="宋体"/>
          <w:lang w:bidi="ar"/>
        </w:rPr>
        <w:t>7、项目总体设计方案；</w:t>
      </w:r>
    </w:p>
    <w:p>
      <w:pPr>
        <w:spacing w:line="360" w:lineRule="auto"/>
        <w:ind w:firstLine="420" w:firstLineChars="200"/>
        <w:rPr>
          <w:rFonts w:hint="eastAsia" w:ascii="宋体" w:hAnsi="宋体" w:cs="宋体"/>
          <w:lang w:bidi="ar"/>
        </w:rPr>
      </w:pPr>
      <w:r>
        <w:rPr>
          <w:rFonts w:ascii="宋体" w:hAnsi="宋体" w:cs="宋体"/>
          <w:lang w:bidi="ar"/>
        </w:rPr>
        <w:t>8、</w:t>
      </w:r>
      <w:r>
        <w:rPr>
          <w:rFonts w:hint="eastAsia" w:ascii="宋体" w:hAnsi="宋体" w:cs="宋体"/>
          <w:lang w:bidi="ar"/>
        </w:rPr>
        <w:t>整个系统的体系架构、技术架构、功能架构设计，</w:t>
      </w:r>
      <w:r>
        <w:rPr>
          <w:rFonts w:hint="eastAsia" w:ascii="宋体" w:hAnsi="宋体"/>
          <w:szCs w:val="21"/>
        </w:rPr>
        <w:t>系统的整体布设，系统的拓扑图细化设计</w:t>
      </w:r>
      <w:r>
        <w:rPr>
          <w:rFonts w:hint="eastAsia" w:ascii="宋体" w:hAnsi="宋体" w:cs="宋体"/>
          <w:lang w:bidi="ar"/>
        </w:rPr>
        <w:t>；</w:t>
      </w:r>
    </w:p>
    <w:p>
      <w:pPr>
        <w:spacing w:line="360" w:lineRule="auto"/>
        <w:ind w:firstLine="420" w:firstLineChars="200"/>
        <w:rPr>
          <w:rFonts w:hint="eastAsia" w:ascii="宋体" w:hAnsi="宋体" w:cs="宋体"/>
          <w:lang w:bidi="ar"/>
        </w:rPr>
      </w:pPr>
      <w:r>
        <w:rPr>
          <w:rFonts w:ascii="宋体" w:hAnsi="宋体" w:cs="宋体"/>
          <w:lang w:bidi="ar"/>
        </w:rPr>
        <w:t>9、</w:t>
      </w:r>
      <w:r>
        <w:rPr>
          <w:rFonts w:hint="eastAsia" w:ascii="宋体" w:hAnsi="宋体" w:cs="宋体"/>
          <w:lang w:bidi="ar"/>
        </w:rPr>
        <w:t>难点及关键点应对方案；</w:t>
      </w:r>
    </w:p>
    <w:p>
      <w:pPr>
        <w:spacing w:line="360" w:lineRule="auto"/>
        <w:ind w:firstLine="420" w:firstLineChars="200"/>
        <w:rPr>
          <w:rFonts w:hint="eastAsia" w:ascii="宋体" w:hAnsi="宋体" w:cs="宋体"/>
          <w:lang w:bidi="ar"/>
        </w:rPr>
      </w:pPr>
      <w:r>
        <w:rPr>
          <w:rFonts w:ascii="宋体" w:hAnsi="宋体" w:cs="宋体"/>
          <w:lang w:bidi="ar"/>
        </w:rPr>
        <w:t>10</w:t>
      </w:r>
      <w:r>
        <w:rPr>
          <w:rFonts w:hint="eastAsia" w:ascii="宋体" w:hAnsi="宋体" w:cs="宋体"/>
          <w:lang w:bidi="ar"/>
        </w:rPr>
        <w:t>、二期网络传输方案与一期监控网络架构、市级天网工程中心平台对接方案、充分利用原有网络，减少重复投资实施方案；</w:t>
      </w:r>
    </w:p>
    <w:p>
      <w:pPr>
        <w:spacing w:line="360" w:lineRule="auto"/>
        <w:ind w:firstLine="420" w:firstLineChars="200"/>
        <w:rPr>
          <w:rFonts w:hint="eastAsia" w:ascii="宋体" w:hAnsi="宋体"/>
          <w:bCs/>
          <w:szCs w:val="21"/>
        </w:rPr>
      </w:pPr>
      <w:r>
        <w:rPr>
          <w:rFonts w:ascii="宋体" w:hAnsi="宋体"/>
          <w:bCs/>
          <w:szCs w:val="21"/>
        </w:rPr>
        <w:t>1</w:t>
      </w:r>
      <w:r>
        <w:rPr>
          <w:rFonts w:hint="eastAsia" w:ascii="宋体" w:hAnsi="宋体"/>
          <w:bCs/>
          <w:szCs w:val="21"/>
        </w:rPr>
        <w:t>1</w:t>
      </w:r>
      <w:r>
        <w:rPr>
          <w:rFonts w:ascii="宋体" w:hAnsi="宋体"/>
          <w:bCs/>
          <w:szCs w:val="21"/>
        </w:rPr>
        <w:t>、</w:t>
      </w:r>
      <w:r>
        <w:rPr>
          <w:rFonts w:hint="eastAsia" w:ascii="宋体" w:hAnsi="宋体"/>
          <w:bCs/>
          <w:szCs w:val="21"/>
        </w:rPr>
        <w:t>数据安全管理方案；</w:t>
      </w:r>
    </w:p>
    <w:p>
      <w:pPr>
        <w:spacing w:line="360" w:lineRule="auto"/>
        <w:ind w:firstLine="420" w:firstLineChars="200"/>
        <w:rPr>
          <w:rFonts w:ascii="宋体" w:hAnsi="宋体"/>
          <w:bCs/>
          <w:szCs w:val="21"/>
        </w:rPr>
      </w:pPr>
      <w:r>
        <w:rPr>
          <w:rFonts w:hint="eastAsia" w:ascii="宋体" w:hAnsi="宋体"/>
          <w:bCs/>
          <w:szCs w:val="21"/>
        </w:rPr>
        <w:t>12、系统的应急方案；</w:t>
      </w:r>
    </w:p>
    <w:p>
      <w:pPr>
        <w:spacing w:line="360" w:lineRule="auto"/>
        <w:ind w:firstLine="420" w:firstLineChars="200"/>
        <w:rPr>
          <w:rFonts w:hint="eastAsia" w:ascii="宋体" w:hAnsi="宋体"/>
          <w:bCs/>
          <w:szCs w:val="21"/>
        </w:rPr>
      </w:pPr>
      <w:r>
        <w:rPr>
          <w:rFonts w:hint="eastAsia" w:ascii="宋体" w:hAnsi="宋体" w:cs="宋体"/>
          <w:lang w:bidi="ar"/>
        </w:rPr>
        <w:t>13、</w:t>
      </w:r>
      <w:r>
        <w:rPr>
          <w:rFonts w:hint="eastAsia" w:ascii="宋体" w:hAnsi="宋体" w:cs="宋体"/>
          <w:szCs w:val="21"/>
        </w:rPr>
        <w:t>施工方案（包含但不限于施工方案、设备集成方案、系统调试及验收方案、质量控制措施、安全施工、文明施工及环保施工控制措施等内容）</w:t>
      </w:r>
      <w:r>
        <w:rPr>
          <w:rFonts w:hint="eastAsia" w:ascii="宋体" w:hAnsi="宋体"/>
          <w:bCs/>
          <w:szCs w:val="21"/>
        </w:rPr>
        <w:t>；</w:t>
      </w:r>
    </w:p>
    <w:p>
      <w:pPr>
        <w:spacing w:line="360" w:lineRule="auto"/>
        <w:ind w:firstLine="420" w:firstLineChars="200"/>
        <w:rPr>
          <w:rFonts w:hint="eastAsia" w:ascii="宋体" w:hAnsi="宋体"/>
          <w:bCs/>
          <w:szCs w:val="21"/>
        </w:rPr>
      </w:pPr>
      <w:r>
        <w:rPr>
          <w:rFonts w:hint="eastAsia" w:ascii="宋体" w:hAnsi="宋体"/>
          <w:bCs/>
          <w:szCs w:val="21"/>
        </w:rPr>
        <w:t>14、进度计划及工期保证措施、项目质量及保证措施；</w:t>
      </w:r>
    </w:p>
    <w:p>
      <w:pPr>
        <w:spacing w:line="360" w:lineRule="auto"/>
        <w:ind w:firstLine="420" w:firstLineChars="200"/>
        <w:rPr>
          <w:rFonts w:hint="eastAsia" w:ascii="宋体" w:hAnsi="宋体"/>
          <w:bCs/>
          <w:szCs w:val="21"/>
        </w:rPr>
      </w:pPr>
      <w:r>
        <w:rPr>
          <w:rFonts w:hint="eastAsia" w:ascii="宋体" w:hAnsi="宋体"/>
          <w:bCs/>
          <w:szCs w:val="21"/>
        </w:rPr>
        <w:t>15、针对本项目提供的其他优惠承诺、服务措施和合理化建议；</w:t>
      </w:r>
    </w:p>
    <w:p>
      <w:pPr>
        <w:spacing w:line="360" w:lineRule="auto"/>
        <w:ind w:firstLine="420" w:firstLineChars="200"/>
        <w:rPr>
          <w:rFonts w:hint="eastAsia" w:ascii="宋体" w:hAnsi="宋体"/>
          <w:bCs/>
          <w:szCs w:val="21"/>
        </w:rPr>
      </w:pPr>
      <w:r>
        <w:rPr>
          <w:rFonts w:hint="eastAsia" w:ascii="宋体" w:hAnsi="宋体"/>
          <w:bCs/>
          <w:szCs w:val="21"/>
        </w:rPr>
        <w:t>16、项目负责人资质介绍；</w:t>
      </w:r>
    </w:p>
    <w:p>
      <w:pPr>
        <w:spacing w:line="360" w:lineRule="auto"/>
        <w:ind w:firstLine="420" w:firstLineChars="200"/>
        <w:rPr>
          <w:rFonts w:ascii="宋体" w:hAnsi="宋体"/>
          <w:bCs/>
          <w:szCs w:val="21"/>
        </w:rPr>
      </w:pPr>
      <w:r>
        <w:rPr>
          <w:rFonts w:hint="eastAsia" w:ascii="宋体" w:hAnsi="宋体"/>
          <w:bCs/>
          <w:szCs w:val="21"/>
        </w:rPr>
        <w:t>17、公司资质介绍；</w:t>
      </w:r>
    </w:p>
    <w:p>
      <w:pPr>
        <w:spacing w:line="360" w:lineRule="auto"/>
        <w:ind w:firstLine="420" w:firstLineChars="200"/>
        <w:rPr>
          <w:rFonts w:hint="eastAsia" w:ascii="宋体" w:hAnsi="宋体" w:cs="宋体"/>
          <w:lang w:bidi="ar"/>
        </w:rPr>
      </w:pPr>
      <w:r>
        <w:rPr>
          <w:rFonts w:hint="eastAsia" w:ascii="宋体" w:hAnsi="宋体" w:cs="宋体"/>
          <w:lang w:bidi="ar"/>
        </w:rPr>
        <w:t>18、同类项目业绩（格式见附件）；</w:t>
      </w:r>
    </w:p>
    <w:p>
      <w:pPr>
        <w:spacing w:line="360" w:lineRule="auto"/>
        <w:ind w:firstLine="420" w:firstLineChars="200"/>
        <w:rPr>
          <w:rFonts w:ascii="宋体" w:hAnsi="宋体" w:cs="宋体"/>
          <w:lang w:bidi="ar"/>
        </w:rPr>
      </w:pPr>
      <w:r>
        <w:rPr>
          <w:rFonts w:hint="eastAsia" w:ascii="宋体" w:hAnsi="宋体" w:cs="宋体"/>
          <w:lang w:bidi="ar"/>
        </w:rPr>
        <w:t>19、售后服务方案；</w:t>
      </w:r>
    </w:p>
    <w:p>
      <w:pPr>
        <w:spacing w:line="360" w:lineRule="auto"/>
        <w:ind w:firstLine="420" w:firstLineChars="200"/>
        <w:rPr>
          <w:rFonts w:hint="eastAsia" w:ascii="宋体" w:hAnsi="宋体" w:cs="宋体"/>
          <w:lang w:bidi="ar"/>
        </w:rPr>
      </w:pPr>
      <w:r>
        <w:rPr>
          <w:rFonts w:hint="eastAsia" w:ascii="宋体" w:hAnsi="宋体" w:cs="宋体"/>
          <w:lang w:bidi="ar"/>
        </w:rPr>
        <w:t>20、</w:t>
      </w:r>
      <w:r>
        <w:rPr>
          <w:rFonts w:hint="eastAsia" w:ascii="宋体" w:hAnsi="宋体" w:cs="宋体"/>
          <w:lang w:val="zh-CN" w:bidi="ar"/>
        </w:rPr>
        <w:t>其它本招标文件要求提供的技术商务部分材料。</w:t>
      </w:r>
    </w:p>
    <w:p>
      <w:pPr>
        <w:spacing w:line="360" w:lineRule="auto"/>
        <w:ind w:firstLine="420" w:firstLineChars="200"/>
        <w:jc w:val="left"/>
        <w:rPr>
          <w:rStyle w:val="105"/>
          <w:rFonts w:hint="eastAsia" w:ascii="宋体" w:hAnsi="宋体" w:cs="宋体"/>
          <w:sz w:val="28"/>
          <w:szCs w:val="28"/>
        </w:rPr>
      </w:pPr>
      <w:r>
        <w:rPr>
          <w:rFonts w:hint="eastAsia" w:ascii="宋体" w:hAnsi="宋体" w:cs="宋体"/>
          <w:lang w:val="zh-CN" w:bidi="ar"/>
        </w:rPr>
        <w:br w:type="page"/>
      </w:r>
      <w:r>
        <w:rPr>
          <w:rStyle w:val="105"/>
          <w:rFonts w:hint="eastAsia" w:ascii="宋体" w:hAnsi="宋体" w:cs="宋体"/>
          <w:sz w:val="28"/>
          <w:szCs w:val="28"/>
        </w:rPr>
        <w:t>附件三、项目投标人响应表</w:t>
      </w:r>
    </w:p>
    <w:p>
      <w:pPr>
        <w:jc w:val="center"/>
        <w:rPr>
          <w:rFonts w:hint="eastAsia" w:ascii="宋体" w:hAnsi="宋体" w:cs="宋体"/>
          <w:b/>
          <w:sz w:val="32"/>
          <w:szCs w:val="32"/>
        </w:rPr>
      </w:pPr>
      <w:r>
        <w:rPr>
          <w:rFonts w:hint="eastAsia" w:ascii="宋体" w:hAnsi="宋体" w:cs="宋体"/>
          <w:b/>
          <w:sz w:val="32"/>
          <w:szCs w:val="32"/>
          <w:lang w:bidi="ar"/>
        </w:rPr>
        <w:t>项目投标人响应表</w:t>
      </w:r>
    </w:p>
    <w:p>
      <w:pPr>
        <w:rPr>
          <w:rFonts w:hint="eastAsia" w:ascii="宋体" w:hAnsi="宋体" w:cs="宋体"/>
        </w:rPr>
      </w:pPr>
    </w:p>
    <w:p>
      <w:pPr>
        <w:rPr>
          <w:rFonts w:hint="eastAsia" w:ascii="宋体" w:hAnsi="宋体" w:cs="宋体"/>
        </w:rPr>
      </w:pPr>
      <w:r>
        <w:rPr>
          <w:rFonts w:hint="eastAsia" w:ascii="宋体" w:hAnsi="宋体" w:cs="宋体"/>
          <w:lang w:bidi="ar"/>
        </w:rPr>
        <w:t xml:space="preserve"> 招标编号：                      项目名称：                 </w:t>
      </w:r>
    </w:p>
    <w:tbl>
      <w:tblPr>
        <w:tblStyle w:val="51"/>
        <w:tblW w:w="0" w:type="auto"/>
        <w:tblInd w:w="93" w:type="dxa"/>
        <w:tblLayout w:type="fixed"/>
        <w:tblCellMar>
          <w:top w:w="0" w:type="dxa"/>
          <w:left w:w="108" w:type="dxa"/>
          <w:bottom w:w="0" w:type="dxa"/>
          <w:right w:w="108" w:type="dxa"/>
        </w:tblCellMar>
      </w:tblPr>
      <w:tblGrid>
        <w:gridCol w:w="724"/>
        <w:gridCol w:w="6241"/>
        <w:gridCol w:w="1843"/>
      </w:tblGrid>
      <w:tr>
        <w:tblPrEx>
          <w:tblCellMar>
            <w:top w:w="0" w:type="dxa"/>
            <w:left w:w="108" w:type="dxa"/>
            <w:bottom w:w="0" w:type="dxa"/>
            <w:right w:w="108" w:type="dxa"/>
          </w:tblCellMar>
        </w:tblPrEx>
        <w:trPr>
          <w:trHeight w:val="596"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序号</w:t>
            </w:r>
          </w:p>
        </w:tc>
        <w:tc>
          <w:tcPr>
            <w:tcW w:w="62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评审内容</w:t>
            </w: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证明文件</w:t>
            </w:r>
          </w:p>
        </w:tc>
      </w:tr>
      <w:tr>
        <w:tblPrEx>
          <w:tblCellMar>
            <w:top w:w="0" w:type="dxa"/>
            <w:left w:w="108" w:type="dxa"/>
            <w:bottom w:w="0" w:type="dxa"/>
            <w:right w:w="108" w:type="dxa"/>
          </w:tblCellMar>
        </w:tblPrEx>
        <w:trPr>
          <w:trHeight w:val="593" w:hRule="atLeast"/>
        </w:trPr>
        <w:tc>
          <w:tcPr>
            <w:tcW w:w="724"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nil"/>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3" w:hRule="atLeast"/>
        </w:trPr>
        <w:tc>
          <w:tcPr>
            <w:tcW w:w="724"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nil"/>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520" w:hRule="atLeast"/>
        </w:trPr>
        <w:tc>
          <w:tcPr>
            <w:tcW w:w="724"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nil"/>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531" w:hRule="atLeast"/>
        </w:trPr>
        <w:tc>
          <w:tcPr>
            <w:tcW w:w="724"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nil"/>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nil"/>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07"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08"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75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624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rPr>
            </w:pP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rPr>
            </w:pPr>
            <w:r>
              <w:rPr>
                <w:rFonts w:hint="eastAsia" w:ascii="宋体" w:hAnsi="宋体" w:cs="宋体"/>
                <w:lang w:bidi="ar"/>
              </w:rPr>
              <w:t>见（  ）页</w:t>
            </w:r>
          </w:p>
        </w:tc>
      </w:tr>
    </w:tbl>
    <w:p>
      <w:pPr>
        <w:pStyle w:val="20"/>
      </w:pPr>
      <w:r>
        <w:rPr>
          <w:rFonts w:hint="eastAsia"/>
        </w:rPr>
        <w:t>根据评分标准逐条填写（价格分除外）。</w:t>
      </w:r>
    </w:p>
    <w:p>
      <w:pPr>
        <w:spacing w:line="400" w:lineRule="exact"/>
        <w:rPr>
          <w:rFonts w:hint="eastAsia" w:ascii="宋体" w:hAnsi="宋体" w:cs="宋体"/>
          <w:b/>
        </w:rPr>
      </w:pPr>
    </w:p>
    <w:p>
      <w:pPr>
        <w:spacing w:line="400" w:lineRule="exact"/>
        <w:ind w:firstLine="3150" w:firstLineChars="1500"/>
        <w:jc w:val="right"/>
        <w:rPr>
          <w:rFonts w:hint="eastAsia" w:ascii="宋体" w:hAnsi="宋体" w:cs="宋体"/>
          <w:szCs w:val="21"/>
        </w:rPr>
      </w:pPr>
      <w:r>
        <w:rPr>
          <w:rFonts w:hint="eastAsia" w:ascii="宋体" w:hAnsi="宋体" w:cs="宋体"/>
          <w:szCs w:val="21"/>
          <w:lang w:bidi="ar"/>
        </w:rPr>
        <w:t xml:space="preserve">投标人（公章）：             </w:t>
      </w:r>
    </w:p>
    <w:p>
      <w:pPr>
        <w:spacing w:line="360" w:lineRule="auto"/>
        <w:rPr>
          <w:rFonts w:hint="eastAsia" w:ascii="宋体" w:hAnsi="宋体" w:cs="宋体"/>
          <w:szCs w:val="21"/>
        </w:rPr>
      </w:pPr>
    </w:p>
    <w:p>
      <w:pPr>
        <w:pStyle w:val="20"/>
        <w:jc w:val="right"/>
        <w:rPr>
          <w:rFonts w:hint="eastAsia" w:ascii="宋体" w:hAnsi="宋体" w:cs="宋体"/>
          <w:lang w:bidi="ar"/>
        </w:rPr>
      </w:pPr>
      <w:r>
        <w:rPr>
          <w:rFonts w:hint="eastAsia" w:ascii="宋体" w:hAnsi="宋体" w:cs="宋体"/>
          <w:szCs w:val="21"/>
          <w:lang w:bidi="ar"/>
        </w:rPr>
        <w:t xml:space="preserve"> </w:t>
      </w:r>
      <w:r>
        <w:rPr>
          <w:rFonts w:hint="eastAsia" w:ascii="宋体" w:hAnsi="宋体" w:cs="宋体"/>
          <w:lang w:bidi="ar"/>
        </w:rPr>
        <w:t>法定代表人（或企业负责人）或授权代表签字：（签字或盖章）</w:t>
      </w:r>
    </w:p>
    <w:p>
      <w:pPr>
        <w:spacing w:line="360" w:lineRule="auto"/>
        <w:ind w:firstLine="3255" w:firstLineChars="1550"/>
        <w:jc w:val="right"/>
        <w:rPr>
          <w:rFonts w:hint="eastAsia" w:ascii="宋体" w:hAnsi="宋体" w:cs="宋体"/>
          <w:szCs w:val="21"/>
        </w:rPr>
      </w:pPr>
    </w:p>
    <w:p>
      <w:pPr>
        <w:spacing w:line="400" w:lineRule="exact"/>
        <w:ind w:left="525" w:leftChars="250" w:firstLine="1470" w:firstLineChars="700"/>
        <w:rPr>
          <w:rFonts w:hint="eastAsia" w:ascii="宋体" w:hAnsi="宋体" w:cs="宋体"/>
          <w:szCs w:val="21"/>
        </w:rPr>
      </w:pPr>
    </w:p>
    <w:p>
      <w:pPr>
        <w:spacing w:line="360" w:lineRule="auto"/>
        <w:ind w:firstLine="420" w:firstLineChars="200"/>
        <w:jc w:val="left"/>
        <w:rPr>
          <w:rStyle w:val="105"/>
          <w:rFonts w:hint="eastAsia" w:ascii="宋体" w:hAnsi="宋体" w:cs="宋体"/>
          <w:sz w:val="28"/>
          <w:szCs w:val="28"/>
        </w:rPr>
      </w:pPr>
      <w:r>
        <w:rPr>
          <w:rFonts w:hint="eastAsia" w:ascii="宋体" w:hAnsi="宋体" w:cs="宋体"/>
          <w:szCs w:val="21"/>
          <w:lang w:bidi="ar"/>
        </w:rPr>
        <w:t xml:space="preserve">                                                                 </w:t>
      </w: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日</w:t>
      </w:r>
      <w:r>
        <w:rPr>
          <w:rFonts w:hint="eastAsia" w:ascii="宋体" w:hAnsi="宋体" w:cs="宋体"/>
          <w:lang w:bidi="ar"/>
        </w:rPr>
        <w:br w:type="page"/>
      </w:r>
      <w:r>
        <w:rPr>
          <w:rStyle w:val="105"/>
          <w:rFonts w:hint="eastAsia" w:ascii="宋体" w:hAnsi="宋体" w:cs="宋体"/>
          <w:sz w:val="28"/>
          <w:szCs w:val="28"/>
        </w:rPr>
        <w:t>附件四、符合性自查表；</w:t>
      </w:r>
    </w:p>
    <w:p>
      <w:pPr>
        <w:jc w:val="center"/>
        <w:rPr>
          <w:rFonts w:hint="eastAsia" w:ascii="宋体" w:hAnsi="宋体" w:cs="宋体"/>
          <w:b/>
        </w:rPr>
      </w:pPr>
      <w:r>
        <w:rPr>
          <w:rFonts w:hint="eastAsia" w:ascii="宋体" w:hAnsi="宋体" w:cs="宋体"/>
          <w:b/>
          <w:lang w:bidi="ar"/>
        </w:rPr>
        <w:t>②符合性自查表</w:t>
      </w:r>
    </w:p>
    <w:p>
      <w:pPr>
        <w:jc w:val="center"/>
        <w:rPr>
          <w:rFonts w:hint="eastAsia" w:ascii="宋体" w:hAnsi="宋体" w:cs="宋体"/>
          <w:b/>
        </w:rPr>
      </w:pPr>
    </w:p>
    <w:tbl>
      <w:tblPr>
        <w:tblStyle w:val="51"/>
        <w:tblW w:w="0" w:type="auto"/>
        <w:jc w:val="center"/>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Layout w:type="fixed"/>
        <w:tblCellMar>
          <w:top w:w="150" w:type="dxa"/>
          <w:left w:w="150" w:type="dxa"/>
          <w:bottom w:w="150" w:type="dxa"/>
          <w:right w:w="150" w:type="dxa"/>
        </w:tblCellMar>
      </w:tblPr>
      <w:tblGrid>
        <w:gridCol w:w="831"/>
        <w:gridCol w:w="4221"/>
        <w:gridCol w:w="1270"/>
        <w:gridCol w:w="2611"/>
      </w:tblGrid>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547" w:hRule="atLeast"/>
          <w:jc w:val="center"/>
        </w:trPr>
        <w:tc>
          <w:tcPr>
            <w:tcW w:w="831" w:type="dxa"/>
            <w:tcBorders>
              <w:top w:val="single" w:color="auto" w:sz="12" w:space="0"/>
              <w:left w:val="single" w:color="auto" w:sz="12" w:space="0"/>
              <w:bottom w:val="outset" w:color="111111" w:sz="6" w:space="0"/>
              <w:right w:val="outset" w:color="111111" w:sz="6" w:space="0"/>
            </w:tcBorders>
            <w:noWrap w:val="0"/>
            <w:vAlign w:val="center"/>
          </w:tcPr>
          <w:p>
            <w:pPr>
              <w:spacing w:line="240" w:lineRule="exact"/>
              <w:jc w:val="center"/>
              <w:rPr>
                <w:rFonts w:hint="eastAsia" w:ascii="宋体" w:hAnsi="宋体" w:cs="宋体"/>
              </w:rPr>
            </w:pPr>
            <w:r>
              <w:rPr>
                <w:rFonts w:hint="eastAsia" w:ascii="宋体" w:hAnsi="宋体" w:cs="宋体"/>
                <w:lang w:bidi="ar"/>
              </w:rPr>
              <w:t>评审内容</w:t>
            </w:r>
          </w:p>
        </w:tc>
        <w:tc>
          <w:tcPr>
            <w:tcW w:w="4221" w:type="dxa"/>
            <w:tcBorders>
              <w:top w:val="single" w:color="auto" w:sz="12" w:space="0"/>
              <w:left w:val="outset" w:color="111111" w:sz="6" w:space="0"/>
              <w:bottom w:val="outset" w:color="111111" w:sz="6" w:space="0"/>
              <w:right w:val="outset" w:color="111111" w:sz="6" w:space="0"/>
            </w:tcBorders>
            <w:noWrap w:val="0"/>
            <w:vAlign w:val="center"/>
          </w:tcPr>
          <w:p>
            <w:pPr>
              <w:spacing w:line="240" w:lineRule="exact"/>
              <w:jc w:val="center"/>
              <w:rPr>
                <w:rFonts w:hint="eastAsia" w:ascii="宋体" w:hAnsi="宋体" w:cs="宋体"/>
              </w:rPr>
            </w:pPr>
            <w:r>
              <w:rPr>
                <w:rFonts w:hint="eastAsia" w:ascii="宋体" w:hAnsi="宋体" w:cs="宋体"/>
                <w:szCs w:val="21"/>
                <w:lang w:bidi="ar"/>
              </w:rPr>
              <w:t>招标</w:t>
            </w:r>
            <w:r>
              <w:rPr>
                <w:rFonts w:hint="eastAsia" w:ascii="宋体" w:hAnsi="宋体" w:cs="宋体"/>
                <w:lang w:bidi="ar"/>
              </w:rPr>
              <w:t>文件要求</w:t>
            </w:r>
          </w:p>
        </w:tc>
        <w:tc>
          <w:tcPr>
            <w:tcW w:w="1270" w:type="dxa"/>
            <w:tcBorders>
              <w:top w:val="single" w:color="auto" w:sz="12" w:space="0"/>
              <w:left w:val="outset" w:color="111111" w:sz="6" w:space="0"/>
              <w:bottom w:val="outset" w:color="111111" w:sz="6" w:space="0"/>
              <w:right w:val="outset" w:color="111111" w:sz="6" w:space="0"/>
            </w:tcBorders>
            <w:noWrap w:val="0"/>
            <w:vAlign w:val="center"/>
          </w:tcPr>
          <w:p>
            <w:pPr>
              <w:spacing w:line="240" w:lineRule="exact"/>
              <w:jc w:val="center"/>
              <w:rPr>
                <w:rFonts w:hint="eastAsia" w:ascii="宋体" w:hAnsi="宋体" w:cs="宋体"/>
              </w:rPr>
            </w:pPr>
            <w:r>
              <w:rPr>
                <w:rFonts w:hint="eastAsia" w:ascii="宋体" w:hAnsi="宋体" w:cs="宋体"/>
                <w:lang w:bidi="ar"/>
              </w:rPr>
              <w:t>自查结论</w:t>
            </w:r>
          </w:p>
        </w:tc>
        <w:tc>
          <w:tcPr>
            <w:tcW w:w="2611" w:type="dxa"/>
            <w:tcBorders>
              <w:top w:val="single" w:color="auto" w:sz="12" w:space="0"/>
              <w:left w:val="outset" w:color="111111" w:sz="6" w:space="0"/>
              <w:bottom w:val="outset" w:color="111111" w:sz="6" w:space="0"/>
              <w:right w:val="single" w:color="auto" w:sz="12" w:space="0"/>
            </w:tcBorders>
            <w:noWrap w:val="0"/>
            <w:vAlign w:val="center"/>
          </w:tcPr>
          <w:p>
            <w:pPr>
              <w:spacing w:line="240" w:lineRule="exact"/>
              <w:jc w:val="center"/>
              <w:rPr>
                <w:rFonts w:hint="eastAsia" w:ascii="宋体" w:hAnsi="宋体" w:cs="宋体"/>
              </w:rPr>
            </w:pPr>
            <w:r>
              <w:rPr>
                <w:rFonts w:hint="eastAsia" w:ascii="宋体" w:hAnsi="宋体" w:cs="宋体"/>
                <w:lang w:bidi="ar"/>
              </w:rPr>
              <w:t>证明资料</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543" w:hRule="atLeast"/>
          <w:jc w:val="center"/>
        </w:trPr>
        <w:tc>
          <w:tcPr>
            <w:tcW w:w="831" w:type="dxa"/>
            <w:vMerge w:val="restart"/>
            <w:tcBorders>
              <w:top w:val="outset" w:color="111111" w:sz="6" w:space="0"/>
              <w:left w:val="single" w:color="auto" w:sz="12" w:space="0"/>
              <w:bottom w:val="outset" w:color="111111" w:sz="6" w:space="0"/>
              <w:right w:val="outset" w:color="111111" w:sz="6" w:space="0"/>
            </w:tcBorders>
            <w:noWrap w:val="0"/>
            <w:vAlign w:val="center"/>
          </w:tcPr>
          <w:p>
            <w:pPr>
              <w:rPr>
                <w:rFonts w:hint="eastAsia" w:ascii="宋体" w:hAnsi="宋体" w:cs="宋体"/>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1、投标人按</w:t>
            </w:r>
            <w:r>
              <w:rPr>
                <w:rFonts w:hint="eastAsia" w:ascii="宋体" w:hAnsi="宋体" w:cs="宋体"/>
                <w:szCs w:val="21"/>
                <w:lang w:bidi="ar"/>
              </w:rPr>
              <w:t>招标</w:t>
            </w:r>
            <w:r>
              <w:rPr>
                <w:rFonts w:hint="eastAsia" w:ascii="宋体" w:hAnsi="宋体" w:cs="宋体"/>
                <w:lang w:bidi="ar"/>
              </w:rPr>
              <w:t>文件要求缴纳投标保证金的；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 xml:space="preserve">□通过 </w:t>
            </w:r>
          </w:p>
          <w:p>
            <w:pPr>
              <w:spacing w:line="240" w:lineRule="exact"/>
              <w:rPr>
                <w:rFonts w:hint="eastAsia" w:ascii="宋体" w:hAnsi="宋体" w:cs="宋体"/>
              </w:rPr>
            </w:pPr>
            <w:r>
              <w:rPr>
                <w:rFonts w:hint="eastAsia" w:ascii="宋体" w:hAnsi="宋体" w:cs="宋体"/>
                <w:lang w:bidi="ar"/>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40" w:lineRule="exact"/>
              <w:rPr>
                <w:rFonts w:hint="eastAsia" w:ascii="宋体" w:hAnsi="宋体" w:cs="宋体"/>
              </w:rPr>
            </w:pPr>
            <w:r>
              <w:rPr>
                <w:rFonts w:hint="eastAsia" w:ascii="宋体" w:hAnsi="宋体" w:cs="宋体"/>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669" w:hRule="atLeast"/>
          <w:jc w:val="center"/>
        </w:trPr>
        <w:tc>
          <w:tcPr>
            <w:tcW w:w="831" w:type="dxa"/>
            <w:vMerge w:val="continue"/>
            <w:tcBorders>
              <w:top w:val="outset" w:color="111111" w:sz="6" w:space="0"/>
              <w:left w:val="single" w:color="auto" w:sz="12" w:space="0"/>
              <w:bottom w:val="outset" w:color="111111" w:sz="6" w:space="0"/>
              <w:right w:val="outset" w:color="111111" w:sz="6" w:space="0"/>
            </w:tcBorders>
            <w:noWrap w:val="0"/>
            <w:vAlign w:val="center"/>
          </w:tcPr>
          <w:p>
            <w:pPr>
              <w:rPr>
                <w:rFonts w:hint="eastAsia" w:ascii="宋体" w:hAnsi="宋体" w:cs="宋体"/>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2、投标文件完全满足招标文件的实质性条款（即标注</w:t>
            </w:r>
            <w:r>
              <w:rPr>
                <w:rFonts w:hint="eastAsia" w:ascii="宋体" w:hAnsi="宋体" w:cs="宋体"/>
                <w:szCs w:val="21"/>
                <w:lang w:bidi="ar"/>
              </w:rPr>
              <w:t>▲</w:t>
            </w:r>
            <w:r>
              <w:rPr>
                <w:rFonts w:hint="eastAsia" w:ascii="宋体" w:hAnsi="宋体" w:cs="宋体"/>
                <w:lang w:bidi="ar"/>
              </w:rPr>
              <w:t>号条款）无负偏离的；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 xml:space="preserve">□通过 </w:t>
            </w:r>
          </w:p>
          <w:p>
            <w:pPr>
              <w:spacing w:line="240" w:lineRule="exact"/>
              <w:rPr>
                <w:rFonts w:hint="eastAsia" w:ascii="宋体" w:hAnsi="宋体" w:cs="宋体"/>
              </w:rPr>
            </w:pPr>
            <w:r>
              <w:rPr>
                <w:rFonts w:hint="eastAsia" w:ascii="宋体" w:hAnsi="宋体" w:cs="宋体"/>
                <w:lang w:bidi="ar"/>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40" w:lineRule="exact"/>
              <w:rPr>
                <w:rFonts w:hint="eastAsia" w:ascii="宋体" w:hAnsi="宋体" w:cs="宋体"/>
              </w:rPr>
            </w:pPr>
            <w:r>
              <w:rPr>
                <w:rFonts w:hint="eastAsia" w:ascii="宋体" w:hAnsi="宋体" w:cs="宋体"/>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82" w:hRule="atLeast"/>
          <w:jc w:val="center"/>
        </w:trPr>
        <w:tc>
          <w:tcPr>
            <w:tcW w:w="831" w:type="dxa"/>
            <w:vMerge w:val="continue"/>
            <w:tcBorders>
              <w:top w:val="outset" w:color="111111" w:sz="6" w:space="0"/>
              <w:left w:val="single" w:color="auto" w:sz="12" w:space="0"/>
              <w:bottom w:val="outset" w:color="111111" w:sz="6" w:space="0"/>
              <w:right w:val="outset" w:color="111111" w:sz="6" w:space="0"/>
            </w:tcBorders>
            <w:noWrap w:val="0"/>
            <w:vAlign w:val="center"/>
          </w:tcPr>
          <w:p>
            <w:pPr>
              <w:rPr>
                <w:rFonts w:hint="eastAsia" w:ascii="宋体" w:hAnsi="宋体" w:cs="宋体"/>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3、法定代表人（负责人）证明书/法定代表人（负责人）授权委托书。</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 xml:space="preserve">□通过 </w:t>
            </w:r>
          </w:p>
          <w:p>
            <w:pPr>
              <w:spacing w:line="240" w:lineRule="exact"/>
              <w:rPr>
                <w:rFonts w:hint="eastAsia" w:ascii="宋体" w:hAnsi="宋体" w:cs="宋体"/>
              </w:rPr>
            </w:pPr>
            <w:r>
              <w:rPr>
                <w:rFonts w:hint="eastAsia" w:ascii="宋体" w:hAnsi="宋体" w:cs="宋体"/>
                <w:lang w:bidi="ar"/>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40" w:lineRule="exact"/>
              <w:rPr>
                <w:rFonts w:hint="eastAsia" w:ascii="宋体" w:hAnsi="宋体" w:cs="宋体"/>
              </w:rPr>
            </w:pPr>
            <w:r>
              <w:rPr>
                <w:rFonts w:hint="eastAsia" w:ascii="宋体" w:hAnsi="宋体" w:cs="宋体"/>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82" w:hRule="atLeast"/>
          <w:jc w:val="center"/>
        </w:trPr>
        <w:tc>
          <w:tcPr>
            <w:tcW w:w="831" w:type="dxa"/>
            <w:vMerge w:val="continue"/>
            <w:tcBorders>
              <w:top w:val="outset" w:color="111111" w:sz="6" w:space="0"/>
              <w:left w:val="single" w:color="auto" w:sz="12" w:space="0"/>
              <w:bottom w:val="outset" w:color="111111" w:sz="6" w:space="0"/>
              <w:right w:val="outset" w:color="111111" w:sz="6" w:space="0"/>
            </w:tcBorders>
            <w:noWrap w:val="0"/>
            <w:vAlign w:val="center"/>
          </w:tcPr>
          <w:p>
            <w:pPr>
              <w:rPr>
                <w:rFonts w:hint="eastAsia" w:ascii="宋体" w:hAnsi="宋体" w:cs="宋体"/>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4、没有其他未实质性响应文件要求的。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 xml:space="preserve">□通过 </w:t>
            </w:r>
          </w:p>
          <w:p>
            <w:pPr>
              <w:spacing w:line="240" w:lineRule="exact"/>
              <w:rPr>
                <w:rFonts w:hint="eastAsia" w:ascii="宋体" w:hAnsi="宋体" w:cs="宋体"/>
              </w:rPr>
            </w:pPr>
            <w:r>
              <w:rPr>
                <w:rFonts w:hint="eastAsia" w:ascii="宋体" w:hAnsi="宋体" w:cs="宋体"/>
                <w:lang w:bidi="ar"/>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40" w:lineRule="exact"/>
              <w:rPr>
                <w:rFonts w:hint="eastAsia" w:ascii="宋体" w:hAnsi="宋体" w:cs="宋体"/>
              </w:rPr>
            </w:pPr>
            <w:r>
              <w:rPr>
                <w:rFonts w:hint="eastAsia" w:ascii="宋体" w:hAnsi="宋体" w:cs="宋体"/>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82" w:hRule="atLeast"/>
          <w:jc w:val="center"/>
        </w:trPr>
        <w:tc>
          <w:tcPr>
            <w:tcW w:w="831" w:type="dxa"/>
            <w:vMerge w:val="continue"/>
            <w:tcBorders>
              <w:top w:val="outset" w:color="111111" w:sz="6" w:space="0"/>
              <w:left w:val="single" w:color="auto" w:sz="12" w:space="0"/>
              <w:bottom w:val="outset" w:color="111111" w:sz="6" w:space="0"/>
              <w:right w:val="outset" w:color="111111" w:sz="6" w:space="0"/>
            </w:tcBorders>
            <w:noWrap w:val="0"/>
            <w:vAlign w:val="center"/>
          </w:tcPr>
          <w:p>
            <w:pPr>
              <w:rPr>
                <w:rFonts w:hint="eastAsia" w:ascii="宋体" w:hAnsi="宋体" w:cs="宋体"/>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5、投标文件没有招标文件中规定的其它无效投标条款的；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 xml:space="preserve">□通过 </w:t>
            </w:r>
          </w:p>
          <w:p>
            <w:pPr>
              <w:spacing w:line="240" w:lineRule="exact"/>
              <w:rPr>
                <w:rFonts w:hint="eastAsia" w:ascii="宋体" w:hAnsi="宋体" w:cs="宋体"/>
              </w:rPr>
            </w:pPr>
            <w:r>
              <w:rPr>
                <w:rFonts w:hint="eastAsia" w:ascii="宋体" w:hAnsi="宋体" w:cs="宋体"/>
                <w:lang w:bidi="ar"/>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40" w:lineRule="exact"/>
              <w:rPr>
                <w:rFonts w:hint="eastAsia" w:ascii="宋体" w:hAnsi="宋体" w:cs="宋体"/>
              </w:rPr>
            </w:pPr>
            <w:r>
              <w:rPr>
                <w:rFonts w:hint="eastAsia" w:ascii="宋体" w:hAnsi="宋体" w:cs="宋体"/>
                <w:lang w:bidi="ar"/>
              </w:rPr>
              <w:t>第（ ）页</w:t>
            </w:r>
          </w:p>
        </w:tc>
      </w:tr>
      <w:tr>
        <w:tblPrEx>
          <w:tblBorders>
            <w:top w:val="outset" w:color="111111" w:sz="6" w:space="0"/>
            <w:left w:val="outset" w:color="111111" w:sz="6" w:space="0"/>
            <w:bottom w:val="outset" w:color="111111" w:sz="6" w:space="0"/>
            <w:right w:val="outset" w:color="111111" w:sz="6" w:space="0"/>
            <w:insideH w:val="outset" w:color="auto" w:sz="6" w:space="0"/>
            <w:insideV w:val="outset" w:color="auto" w:sz="6" w:space="0"/>
          </w:tblBorders>
          <w:tblCellMar>
            <w:top w:w="150" w:type="dxa"/>
            <w:left w:w="150" w:type="dxa"/>
            <w:bottom w:w="150" w:type="dxa"/>
            <w:right w:w="150" w:type="dxa"/>
          </w:tblCellMar>
        </w:tblPrEx>
        <w:trPr>
          <w:trHeight w:val="382" w:hRule="atLeast"/>
          <w:jc w:val="center"/>
        </w:trPr>
        <w:tc>
          <w:tcPr>
            <w:tcW w:w="831" w:type="dxa"/>
            <w:vMerge w:val="continue"/>
            <w:tcBorders>
              <w:top w:val="outset" w:color="111111" w:sz="6" w:space="0"/>
              <w:left w:val="single" w:color="auto" w:sz="12" w:space="0"/>
              <w:bottom w:val="outset" w:color="111111" w:sz="6" w:space="0"/>
              <w:right w:val="outset" w:color="111111" w:sz="6" w:space="0"/>
            </w:tcBorders>
            <w:noWrap w:val="0"/>
            <w:vAlign w:val="center"/>
          </w:tcPr>
          <w:p>
            <w:pPr>
              <w:rPr>
                <w:rFonts w:hint="eastAsia" w:ascii="宋体" w:hAnsi="宋体" w:cs="宋体"/>
              </w:rPr>
            </w:pPr>
          </w:p>
        </w:tc>
        <w:tc>
          <w:tcPr>
            <w:tcW w:w="4221"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6、按有关法律、法规、规章不属于投标无效的。</w:t>
            </w:r>
          </w:p>
        </w:tc>
        <w:tc>
          <w:tcPr>
            <w:tcW w:w="1270" w:type="dxa"/>
            <w:tcBorders>
              <w:top w:val="outset" w:color="111111" w:sz="6" w:space="0"/>
              <w:left w:val="outset" w:color="111111" w:sz="6" w:space="0"/>
              <w:bottom w:val="outset" w:color="111111" w:sz="6" w:space="0"/>
              <w:right w:val="outset" w:color="111111" w:sz="6" w:space="0"/>
            </w:tcBorders>
            <w:noWrap w:val="0"/>
            <w:vAlign w:val="center"/>
          </w:tcPr>
          <w:p>
            <w:pPr>
              <w:spacing w:line="240" w:lineRule="exact"/>
              <w:rPr>
                <w:rFonts w:hint="eastAsia" w:ascii="宋体" w:hAnsi="宋体" w:cs="宋体"/>
              </w:rPr>
            </w:pPr>
            <w:r>
              <w:rPr>
                <w:rFonts w:hint="eastAsia" w:ascii="宋体" w:hAnsi="宋体" w:cs="宋体"/>
                <w:lang w:bidi="ar"/>
              </w:rPr>
              <w:t xml:space="preserve">□通过 </w:t>
            </w:r>
          </w:p>
          <w:p>
            <w:pPr>
              <w:spacing w:line="240" w:lineRule="exact"/>
              <w:rPr>
                <w:rFonts w:hint="eastAsia" w:ascii="宋体" w:hAnsi="宋体" w:cs="宋体"/>
              </w:rPr>
            </w:pPr>
            <w:r>
              <w:rPr>
                <w:rFonts w:hint="eastAsia" w:ascii="宋体" w:hAnsi="宋体" w:cs="宋体"/>
                <w:lang w:bidi="ar"/>
              </w:rPr>
              <w:t>□不通过</w:t>
            </w:r>
          </w:p>
        </w:tc>
        <w:tc>
          <w:tcPr>
            <w:tcW w:w="2611" w:type="dxa"/>
            <w:tcBorders>
              <w:top w:val="outset" w:color="111111" w:sz="6" w:space="0"/>
              <w:left w:val="outset" w:color="111111" w:sz="6" w:space="0"/>
              <w:bottom w:val="outset" w:color="111111" w:sz="6" w:space="0"/>
              <w:right w:val="single" w:color="auto" w:sz="12" w:space="0"/>
            </w:tcBorders>
            <w:noWrap w:val="0"/>
            <w:vAlign w:val="center"/>
          </w:tcPr>
          <w:p>
            <w:pPr>
              <w:spacing w:line="240" w:lineRule="exact"/>
              <w:rPr>
                <w:rFonts w:hint="eastAsia" w:ascii="宋体" w:hAnsi="宋体" w:cs="宋体"/>
              </w:rPr>
            </w:pPr>
            <w:r>
              <w:rPr>
                <w:rFonts w:hint="eastAsia" w:ascii="宋体" w:hAnsi="宋体" w:cs="宋体"/>
                <w:lang w:bidi="ar"/>
              </w:rPr>
              <w:t>第（ ）页</w:t>
            </w:r>
          </w:p>
        </w:tc>
      </w:tr>
    </w:tbl>
    <w:p>
      <w:pPr>
        <w:spacing w:line="360" w:lineRule="auto"/>
        <w:ind w:firstLine="4095" w:firstLineChars="1950"/>
        <w:rPr>
          <w:rFonts w:hint="eastAsia" w:ascii="宋体" w:hAnsi="宋体" w:cs="宋体"/>
        </w:rPr>
      </w:pPr>
      <w:r>
        <w:rPr>
          <w:rFonts w:hint="eastAsia" w:ascii="宋体" w:hAnsi="宋体" w:cs="宋体"/>
          <w:lang w:bidi="ar"/>
        </w:rPr>
        <w:t xml:space="preserve">法定代表人（或企业负责人）或授权代表签名：        </w:t>
      </w:r>
    </w:p>
    <w:p>
      <w:pPr>
        <w:spacing w:line="360" w:lineRule="auto"/>
        <w:rPr>
          <w:rFonts w:hint="eastAsia" w:ascii="宋体" w:hAnsi="宋体" w:cs="宋体"/>
        </w:rPr>
      </w:pPr>
      <w:r>
        <w:rPr>
          <w:rFonts w:hint="eastAsia" w:ascii="宋体" w:hAnsi="宋体" w:cs="宋体"/>
          <w:lang w:bidi="ar"/>
        </w:rPr>
        <w:t xml:space="preserve">                                              投标人盖章（公章）：         </w:t>
      </w:r>
    </w:p>
    <w:p>
      <w:pPr>
        <w:adjustRightInd w:val="0"/>
        <w:snapToGrid w:val="0"/>
        <w:spacing w:line="440" w:lineRule="exact"/>
        <w:jc w:val="center"/>
        <w:rPr>
          <w:rFonts w:hint="eastAsia" w:ascii="宋体" w:hAnsi="宋体" w:cs="宋体"/>
        </w:rPr>
      </w:pPr>
      <w:r>
        <w:rPr>
          <w:rFonts w:hint="eastAsia" w:ascii="宋体" w:hAnsi="宋体" w:cs="宋体"/>
          <w:lang w:bidi="ar"/>
        </w:rPr>
        <w:t xml:space="preserve">                                    日  期：</w:t>
      </w:r>
    </w:p>
    <w:p>
      <w:pPr>
        <w:adjustRightInd w:val="0"/>
        <w:snapToGrid w:val="0"/>
        <w:spacing w:line="440" w:lineRule="exact"/>
        <w:jc w:val="center"/>
        <w:rPr>
          <w:rFonts w:hint="eastAsia" w:ascii="宋体" w:hAnsi="宋体" w:cs="宋体"/>
        </w:rPr>
      </w:pPr>
    </w:p>
    <w:p>
      <w:pPr>
        <w:adjustRightInd w:val="0"/>
        <w:snapToGrid w:val="0"/>
        <w:spacing w:line="440" w:lineRule="exact"/>
        <w:jc w:val="center"/>
        <w:rPr>
          <w:rFonts w:hint="eastAsia" w:ascii="宋体" w:hAnsi="宋体" w:cs="宋体"/>
        </w:rPr>
      </w:pPr>
    </w:p>
    <w:p>
      <w:pPr>
        <w:spacing w:line="360" w:lineRule="auto"/>
        <w:ind w:firstLine="422" w:firstLineChars="200"/>
        <w:jc w:val="left"/>
        <w:rPr>
          <w:rFonts w:hint="eastAsia" w:ascii="宋体" w:hAnsi="宋体" w:cs="宋体"/>
          <w:szCs w:val="21"/>
          <w:lang w:bidi="ar"/>
        </w:rPr>
      </w:pPr>
      <w:r>
        <w:rPr>
          <w:rFonts w:hint="eastAsia" w:ascii="宋体" w:hAnsi="宋体" w:cs="宋体"/>
          <w:b/>
          <w:szCs w:val="21"/>
          <w:lang w:bidi="ar"/>
        </w:rPr>
        <w:t>备注：投标人自查表将作为投标投标人有效性审查的重要内容之一，投标投标人必须严格按照其内容及序列要求在投标文件中对应如实提供，对商务技术文件的任何缺漏和不符合项将会直接导致投标无效！</w:t>
      </w:r>
      <w:r>
        <w:rPr>
          <w:rFonts w:hint="eastAsia" w:ascii="宋体" w:hAnsi="宋体" w:cs="宋体"/>
          <w:lang w:bidi="ar"/>
        </w:rPr>
        <w:br w:type="page"/>
      </w:r>
      <w:r>
        <w:rPr>
          <w:rFonts w:hint="eastAsia" w:ascii="宋体" w:hAnsi="宋体" w:cs="宋体"/>
          <w:lang w:bidi="ar"/>
        </w:rPr>
        <w:t xml:space="preserve">  </w:t>
      </w:r>
      <w:r>
        <w:rPr>
          <w:rStyle w:val="105"/>
          <w:rFonts w:hint="eastAsia" w:ascii="宋体" w:hAnsi="宋体" w:cs="宋体"/>
          <w:sz w:val="28"/>
          <w:szCs w:val="28"/>
        </w:rPr>
        <w:t>附件五、投标供应商一般情况</w:t>
      </w:r>
    </w:p>
    <w:p>
      <w:pPr>
        <w:spacing w:line="360" w:lineRule="auto"/>
        <w:jc w:val="center"/>
        <w:rPr>
          <w:rFonts w:hint="eastAsia" w:ascii="宋体" w:hAnsi="宋体" w:cs="宋体"/>
          <w:b/>
          <w:sz w:val="24"/>
        </w:rPr>
      </w:pPr>
      <w:r>
        <w:rPr>
          <w:rFonts w:hint="eastAsia" w:ascii="宋体" w:hAnsi="宋体" w:cs="宋体"/>
          <w:b/>
          <w:sz w:val="24"/>
        </w:rPr>
        <w:t>投标供应商一般情况</w:t>
      </w:r>
    </w:p>
    <w:tbl>
      <w:tblPr>
        <w:tblStyle w:val="5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520"/>
        <w:gridCol w:w="1785"/>
        <w:gridCol w:w="3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1</w:t>
            </w:r>
          </w:p>
        </w:tc>
        <w:tc>
          <w:tcPr>
            <w:tcW w:w="8147" w:type="dxa"/>
            <w:gridSpan w:val="3"/>
            <w:noWrap w:val="0"/>
            <w:vAlign w:val="center"/>
          </w:tcPr>
          <w:p>
            <w:pPr>
              <w:rPr>
                <w:rFonts w:hint="eastAsia" w:ascii="宋体" w:hAnsi="宋体" w:cs="宋体"/>
                <w:sz w:val="24"/>
              </w:rPr>
            </w:pPr>
            <w:r>
              <w:rPr>
                <w:rFonts w:hint="eastAsia" w:ascii="宋体" w:hAnsi="宋体" w:cs="宋体"/>
                <w:sz w:val="24"/>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2</w:t>
            </w:r>
          </w:p>
        </w:tc>
        <w:tc>
          <w:tcPr>
            <w:tcW w:w="8147" w:type="dxa"/>
            <w:gridSpan w:val="3"/>
            <w:noWrap w:val="0"/>
            <w:vAlign w:val="center"/>
          </w:tcPr>
          <w:p>
            <w:pPr>
              <w:rPr>
                <w:rFonts w:hint="eastAsia" w:ascii="宋体" w:hAnsi="宋体" w:cs="宋体"/>
                <w:sz w:val="24"/>
              </w:rPr>
            </w:pPr>
            <w:r>
              <w:rPr>
                <w:rFonts w:hint="eastAsia" w:ascii="宋体" w:hAnsi="宋体" w:cs="宋体"/>
                <w:sz w:val="24"/>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3</w:t>
            </w:r>
          </w:p>
        </w:tc>
        <w:tc>
          <w:tcPr>
            <w:tcW w:w="8147" w:type="dxa"/>
            <w:gridSpan w:val="3"/>
            <w:noWrap w:val="0"/>
            <w:vAlign w:val="center"/>
          </w:tcPr>
          <w:p>
            <w:pPr>
              <w:rPr>
                <w:rFonts w:hint="eastAsia" w:ascii="宋体" w:hAnsi="宋体" w:cs="宋体"/>
                <w:sz w:val="24"/>
              </w:rPr>
            </w:pPr>
            <w:r>
              <w:rPr>
                <w:rFonts w:hint="eastAsia" w:ascii="宋体" w:hAnsi="宋体" w:cs="宋体"/>
                <w:sz w:val="24"/>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4</w:t>
            </w:r>
          </w:p>
        </w:tc>
        <w:tc>
          <w:tcPr>
            <w:tcW w:w="4305" w:type="dxa"/>
            <w:gridSpan w:val="2"/>
            <w:noWrap w:val="0"/>
            <w:vAlign w:val="center"/>
          </w:tcPr>
          <w:p>
            <w:pPr>
              <w:rPr>
                <w:rFonts w:hint="eastAsia" w:ascii="宋体" w:hAnsi="宋体" w:cs="宋体"/>
                <w:sz w:val="24"/>
              </w:rPr>
            </w:pPr>
            <w:r>
              <w:rPr>
                <w:rFonts w:hint="eastAsia" w:ascii="宋体" w:hAnsi="宋体" w:cs="宋体"/>
                <w:sz w:val="24"/>
              </w:rPr>
              <w:t>电  话：</w:t>
            </w:r>
          </w:p>
        </w:tc>
        <w:tc>
          <w:tcPr>
            <w:tcW w:w="3842" w:type="dxa"/>
            <w:noWrap w:val="0"/>
            <w:vAlign w:val="center"/>
          </w:tcPr>
          <w:p>
            <w:pPr>
              <w:rPr>
                <w:rFonts w:hint="eastAsia" w:ascii="宋体" w:hAnsi="宋体" w:cs="宋体"/>
                <w:sz w:val="24"/>
              </w:rPr>
            </w:pPr>
            <w:r>
              <w:rPr>
                <w:rFonts w:hint="eastAsia" w:ascii="宋体" w:hAnsi="宋体" w:cs="宋体"/>
                <w:sz w:val="24"/>
              </w:rPr>
              <w:t>联 系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5</w:t>
            </w:r>
          </w:p>
        </w:tc>
        <w:tc>
          <w:tcPr>
            <w:tcW w:w="4305" w:type="dxa"/>
            <w:gridSpan w:val="2"/>
            <w:noWrap w:val="0"/>
            <w:vAlign w:val="center"/>
          </w:tcPr>
          <w:p>
            <w:pPr>
              <w:rPr>
                <w:rFonts w:hint="eastAsia" w:ascii="宋体" w:hAnsi="宋体" w:cs="宋体"/>
                <w:sz w:val="24"/>
              </w:rPr>
            </w:pPr>
            <w:r>
              <w:rPr>
                <w:rFonts w:hint="eastAsia" w:ascii="宋体" w:hAnsi="宋体" w:cs="宋体"/>
                <w:sz w:val="24"/>
              </w:rPr>
              <w:t>传  真：</w:t>
            </w:r>
          </w:p>
        </w:tc>
        <w:tc>
          <w:tcPr>
            <w:tcW w:w="3842" w:type="dxa"/>
            <w:noWrap w:val="0"/>
            <w:vAlign w:val="center"/>
          </w:tcPr>
          <w:p>
            <w:pPr>
              <w:rPr>
                <w:rFonts w:hint="eastAsia" w:ascii="宋体" w:hAnsi="宋体" w:cs="宋体"/>
                <w:sz w:val="24"/>
              </w:rPr>
            </w:pPr>
            <w:r>
              <w:rPr>
                <w:rFonts w:hint="eastAsia" w:ascii="宋体" w:hAnsi="宋体" w:cs="宋体"/>
                <w:sz w:val="24"/>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6</w:t>
            </w:r>
          </w:p>
        </w:tc>
        <w:tc>
          <w:tcPr>
            <w:tcW w:w="4305" w:type="dxa"/>
            <w:gridSpan w:val="2"/>
            <w:noWrap w:val="0"/>
            <w:vAlign w:val="center"/>
          </w:tcPr>
          <w:p>
            <w:pPr>
              <w:rPr>
                <w:rFonts w:hint="eastAsia" w:ascii="宋体" w:hAnsi="宋体" w:cs="宋体"/>
                <w:sz w:val="24"/>
              </w:rPr>
            </w:pPr>
            <w:r>
              <w:rPr>
                <w:rFonts w:hint="eastAsia" w:ascii="宋体" w:hAnsi="宋体" w:cs="宋体"/>
                <w:sz w:val="24"/>
              </w:rPr>
              <w:t>注册地：</w:t>
            </w:r>
          </w:p>
        </w:tc>
        <w:tc>
          <w:tcPr>
            <w:tcW w:w="3842" w:type="dxa"/>
            <w:noWrap w:val="0"/>
            <w:vAlign w:val="center"/>
          </w:tcPr>
          <w:p>
            <w:pPr>
              <w:rPr>
                <w:rFonts w:hint="eastAsia" w:ascii="宋体" w:hAnsi="宋体" w:cs="宋体"/>
                <w:sz w:val="24"/>
              </w:rPr>
            </w:pPr>
            <w:r>
              <w:rPr>
                <w:rFonts w:hint="eastAsia" w:ascii="宋体" w:hAnsi="宋体" w:cs="宋体"/>
                <w:sz w:val="24"/>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7</w:t>
            </w:r>
          </w:p>
        </w:tc>
        <w:tc>
          <w:tcPr>
            <w:tcW w:w="8147" w:type="dxa"/>
            <w:gridSpan w:val="3"/>
            <w:noWrap w:val="0"/>
            <w:vAlign w:val="center"/>
          </w:tcPr>
          <w:p>
            <w:pPr>
              <w:rPr>
                <w:rFonts w:hint="eastAsia" w:ascii="宋体" w:hAnsi="宋体" w:cs="宋体"/>
                <w:sz w:val="24"/>
              </w:rPr>
            </w:pPr>
            <w:r>
              <w:rPr>
                <w:rFonts w:hint="eastAsia" w:ascii="宋体" w:hAnsi="宋体" w:cs="宋体"/>
                <w:sz w:val="24"/>
              </w:rPr>
              <w:t>公司的资质等级（请附上有关证书的复印件）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8</w:t>
            </w:r>
          </w:p>
        </w:tc>
        <w:tc>
          <w:tcPr>
            <w:tcW w:w="8147" w:type="dxa"/>
            <w:gridSpan w:val="3"/>
            <w:noWrap w:val="0"/>
            <w:vAlign w:val="center"/>
          </w:tcPr>
          <w:p>
            <w:pPr>
              <w:rPr>
                <w:rFonts w:hint="eastAsia" w:ascii="宋体" w:hAnsi="宋体" w:cs="宋体"/>
                <w:sz w:val="24"/>
              </w:rPr>
            </w:pPr>
            <w:r>
              <w:rPr>
                <w:rFonts w:hint="eastAsia" w:ascii="宋体" w:hAnsi="宋体" w:cs="宋体"/>
                <w:sz w:val="24"/>
              </w:rPr>
              <w:t>公司（是否通过，何种）质量保证体系认证（如通过请附相关证书复印件，提供认证机构年审监督报告）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30" w:type="dxa"/>
            <w:noWrap w:val="0"/>
            <w:vAlign w:val="center"/>
          </w:tcPr>
          <w:p>
            <w:pPr>
              <w:jc w:val="center"/>
              <w:rPr>
                <w:rFonts w:hint="eastAsia" w:ascii="宋体" w:hAnsi="宋体" w:cs="宋体"/>
                <w:sz w:val="24"/>
              </w:rPr>
            </w:pPr>
            <w:r>
              <w:rPr>
                <w:rFonts w:hint="eastAsia" w:ascii="宋体" w:hAnsi="宋体" w:cs="宋体"/>
                <w:sz w:val="24"/>
              </w:rPr>
              <w:t>9</w:t>
            </w:r>
          </w:p>
        </w:tc>
        <w:tc>
          <w:tcPr>
            <w:tcW w:w="2520" w:type="dxa"/>
            <w:noWrap w:val="0"/>
            <w:vAlign w:val="center"/>
          </w:tcPr>
          <w:p>
            <w:pPr>
              <w:rPr>
                <w:rFonts w:hint="eastAsia" w:ascii="宋体" w:hAnsi="宋体" w:cs="宋体"/>
                <w:sz w:val="24"/>
              </w:rPr>
            </w:pPr>
            <w:r>
              <w:rPr>
                <w:rFonts w:hint="eastAsia" w:ascii="宋体" w:hAnsi="宋体" w:cs="宋体"/>
                <w:sz w:val="24"/>
              </w:rPr>
              <w:t>其他需要说明的情况</w:t>
            </w:r>
          </w:p>
        </w:tc>
        <w:tc>
          <w:tcPr>
            <w:tcW w:w="5627" w:type="dxa"/>
            <w:gridSpan w:val="2"/>
            <w:noWrap w:val="0"/>
            <w:vAlign w:val="center"/>
          </w:tcPr>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p>
        </w:tc>
      </w:tr>
    </w:tbl>
    <w:p>
      <w:pPr>
        <w:spacing w:line="360" w:lineRule="auto"/>
        <w:ind w:firstLine="573"/>
        <w:rPr>
          <w:rFonts w:hint="eastAsia" w:ascii="宋体" w:hAnsi="宋体" w:cs="宋体"/>
          <w:sz w:val="24"/>
        </w:rPr>
      </w:pPr>
      <w:r>
        <w:rPr>
          <w:rFonts w:hint="eastAsia" w:ascii="宋体" w:hAnsi="宋体" w:cs="宋体"/>
          <w:sz w:val="24"/>
        </w:rPr>
        <w:t xml:space="preserve">             </w:t>
      </w:r>
    </w:p>
    <w:p>
      <w:pPr>
        <w:spacing w:line="360" w:lineRule="auto"/>
        <w:jc w:val="center"/>
        <w:rPr>
          <w:rFonts w:hint="eastAsia" w:ascii="宋体" w:hAnsi="宋体" w:cs="宋体"/>
          <w:sz w:val="24"/>
        </w:rPr>
      </w:pPr>
    </w:p>
    <w:p>
      <w:pPr>
        <w:spacing w:line="360" w:lineRule="auto"/>
        <w:jc w:val="center"/>
        <w:rPr>
          <w:rFonts w:hint="eastAsia" w:ascii="宋体" w:hAnsi="宋体" w:cs="宋体"/>
          <w:sz w:val="24"/>
        </w:rPr>
      </w:pPr>
    </w:p>
    <w:p>
      <w:pPr>
        <w:spacing w:line="360" w:lineRule="auto"/>
        <w:ind w:firstLine="3885" w:firstLineChars="1850"/>
        <w:rPr>
          <w:rFonts w:hint="eastAsia" w:ascii="宋体" w:hAnsi="宋体" w:cs="宋体"/>
          <w:szCs w:val="21"/>
        </w:rPr>
      </w:pPr>
      <w:r>
        <w:rPr>
          <w:rFonts w:hint="eastAsia" w:ascii="宋体" w:hAnsi="宋体" w:cs="宋体"/>
          <w:szCs w:val="21"/>
        </w:rPr>
        <w:t>投标供应商盖章：</w:t>
      </w:r>
      <w:r>
        <w:rPr>
          <w:rFonts w:hint="eastAsia" w:ascii="宋体" w:hAnsi="宋体" w:cs="宋体"/>
          <w:szCs w:val="21"/>
          <w:u w:val="single"/>
        </w:rPr>
        <w:t xml:space="preserve">   （公章）　</w:t>
      </w:r>
    </w:p>
    <w:p>
      <w:pPr>
        <w:pStyle w:val="20"/>
        <w:ind w:firstLine="3780" w:firstLineChars="1800"/>
        <w:rPr>
          <w:rFonts w:hint="eastAsia" w:ascii="宋体" w:hAnsi="宋体" w:cs="宋体"/>
          <w:szCs w:val="21"/>
          <w:lang w:bidi="ar"/>
        </w:rPr>
      </w:pPr>
    </w:p>
    <w:p>
      <w:pPr>
        <w:pStyle w:val="20"/>
        <w:rPr>
          <w:rFonts w:hint="eastAsia" w:ascii="宋体" w:hAnsi="宋体" w:cs="宋体"/>
          <w:szCs w:val="21"/>
          <w:u w:val="single"/>
        </w:rPr>
      </w:pPr>
      <w:r>
        <w:rPr>
          <w:rFonts w:hint="eastAsia" w:ascii="宋体" w:hAnsi="宋体" w:cs="宋体"/>
          <w:szCs w:val="21"/>
          <w:lang w:bidi="ar"/>
        </w:rPr>
        <w:t>法定代表人（或企业负责人）或授权代表签字：（签字或盖章）</w:t>
      </w:r>
      <w:r>
        <w:rPr>
          <w:rFonts w:hint="eastAsia" w:ascii="宋体" w:hAnsi="宋体" w:cs="宋体"/>
          <w:szCs w:val="21"/>
          <w:u w:val="single"/>
        </w:rPr>
        <w:t xml:space="preserve">             </w:t>
      </w:r>
    </w:p>
    <w:p>
      <w:pPr>
        <w:pStyle w:val="20"/>
        <w:rPr>
          <w:rFonts w:hint="eastAsia" w:ascii="宋体" w:hAnsi="宋体" w:cs="宋体"/>
          <w:szCs w:val="21"/>
          <w:u w:val="single"/>
        </w:rPr>
      </w:pPr>
    </w:p>
    <w:p>
      <w:pPr>
        <w:spacing w:line="360" w:lineRule="auto"/>
        <w:ind w:firstLine="4200" w:firstLineChars="2000"/>
        <w:jc w:val="left"/>
        <w:rPr>
          <w:rFonts w:hint="eastAsia"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ind w:firstLine="420" w:firstLineChars="200"/>
        <w:rPr>
          <w:rFonts w:hint="eastAsia" w:ascii="宋体" w:hAnsi="宋体" w:cs="宋体"/>
          <w:b/>
          <w:spacing w:val="20"/>
          <w:sz w:val="28"/>
          <w:szCs w:val="32"/>
          <w:lang w:bidi="ar"/>
        </w:rPr>
      </w:pPr>
      <w:r>
        <w:rPr>
          <w:rFonts w:hint="eastAsia" w:ascii="宋体" w:hAnsi="宋体" w:cs="宋体"/>
          <w:lang w:bidi="ar"/>
        </w:rPr>
        <w:br w:type="page"/>
      </w:r>
      <w:r>
        <w:rPr>
          <w:rStyle w:val="105"/>
          <w:rFonts w:hint="eastAsia" w:ascii="宋体" w:hAnsi="宋体" w:cs="宋体"/>
          <w:sz w:val="28"/>
          <w:szCs w:val="28"/>
        </w:rPr>
        <w:t>附件六-1、</w:t>
      </w:r>
    </w:p>
    <w:p>
      <w:pPr>
        <w:spacing w:line="360" w:lineRule="auto"/>
        <w:jc w:val="center"/>
        <w:rPr>
          <w:rFonts w:hint="eastAsia" w:ascii="宋体" w:hAnsi="宋体" w:cs="宋体"/>
          <w:b/>
          <w:spacing w:val="20"/>
          <w:sz w:val="28"/>
          <w:szCs w:val="32"/>
        </w:rPr>
      </w:pPr>
      <w:r>
        <w:rPr>
          <w:rFonts w:hint="eastAsia" w:ascii="宋体" w:hAnsi="宋体" w:cs="宋体"/>
          <w:b/>
          <w:spacing w:val="20"/>
          <w:sz w:val="28"/>
          <w:szCs w:val="32"/>
          <w:lang w:bidi="ar"/>
        </w:rPr>
        <w:t>法定代表人（或企业负责人）授权书</w:t>
      </w:r>
    </w:p>
    <w:p>
      <w:pPr>
        <w:spacing w:line="360" w:lineRule="auto"/>
        <w:jc w:val="center"/>
        <w:rPr>
          <w:rFonts w:hint="eastAsia" w:ascii="宋体" w:hAnsi="宋体" w:cs="宋体"/>
          <w:b/>
          <w:sz w:val="32"/>
          <w:szCs w:val="32"/>
        </w:rPr>
      </w:pPr>
      <w:r>
        <w:rPr>
          <w:rFonts w:hint="eastAsia" w:ascii="宋体" w:hAnsi="宋体" w:cs="宋体"/>
          <w:bCs/>
          <w:sz w:val="24"/>
          <w:lang w:bidi="ar"/>
        </w:rPr>
        <w:t>（法定代表人（或企业负责人）来投标的，此表不用）</w:t>
      </w:r>
    </w:p>
    <w:p>
      <w:pPr>
        <w:spacing w:line="360" w:lineRule="auto"/>
        <w:jc w:val="center"/>
        <w:rPr>
          <w:rFonts w:hint="eastAsia" w:ascii="宋体" w:hAnsi="宋体" w:cs="宋体"/>
          <w:b/>
          <w:spacing w:val="20"/>
          <w:sz w:val="28"/>
          <w:szCs w:val="32"/>
        </w:rPr>
      </w:pPr>
    </w:p>
    <w:p>
      <w:pPr>
        <w:spacing w:line="360" w:lineRule="auto"/>
        <w:ind w:left="540" w:leftChars="257" w:firstLine="1709" w:firstLineChars="608"/>
        <w:rPr>
          <w:rFonts w:hint="eastAsia" w:ascii="宋体" w:hAnsi="宋体" w:cs="宋体"/>
          <w:b/>
          <w:sz w:val="28"/>
          <w:szCs w:val="36"/>
        </w:rPr>
      </w:pPr>
    </w:p>
    <w:p>
      <w:pPr>
        <w:spacing w:line="360" w:lineRule="auto"/>
        <w:rPr>
          <w:rFonts w:hint="eastAsia" w:ascii="宋体" w:hAnsi="宋体" w:cs="宋体"/>
          <w:sz w:val="24"/>
        </w:rPr>
      </w:pPr>
      <w:r>
        <w:rPr>
          <w:rFonts w:hint="eastAsia" w:ascii="宋体" w:hAnsi="宋体" w:cs="宋体"/>
          <w:sz w:val="24"/>
          <w:lang w:bidi="ar"/>
        </w:rPr>
        <w:t>致：</w:t>
      </w:r>
      <w:r>
        <w:rPr>
          <w:rFonts w:hint="eastAsia" w:ascii="宋体" w:hAnsi="宋体" w:cs="宋体"/>
          <w:i/>
          <w:sz w:val="24"/>
          <w:lang w:bidi="ar"/>
        </w:rPr>
        <w:t>（招标方）</w:t>
      </w:r>
    </w:p>
    <w:p>
      <w:pPr>
        <w:spacing w:line="360" w:lineRule="auto"/>
        <w:rPr>
          <w:rFonts w:hint="eastAsia" w:ascii="宋体" w:hAnsi="宋体" w:cs="宋体"/>
          <w:sz w:val="24"/>
        </w:rPr>
      </w:pPr>
      <w:r>
        <w:rPr>
          <w:rFonts w:hint="eastAsia" w:ascii="宋体" w:hAnsi="宋体" w:cs="宋体"/>
          <w:sz w:val="24"/>
          <w:lang w:bidi="ar"/>
        </w:rPr>
        <w:t xml:space="preserve">     </w:t>
      </w:r>
      <w:r>
        <w:rPr>
          <w:rFonts w:hint="eastAsia" w:ascii="宋体" w:hAnsi="宋体" w:cs="宋体"/>
          <w:sz w:val="24"/>
          <w:u w:val="single"/>
          <w:lang w:bidi="ar"/>
        </w:rPr>
        <w:t xml:space="preserve">  （投标供应商全称）</w:t>
      </w:r>
      <w:r>
        <w:rPr>
          <w:rFonts w:hint="eastAsia" w:ascii="宋体" w:hAnsi="宋体" w:cs="宋体"/>
          <w:sz w:val="24"/>
          <w:lang w:bidi="ar"/>
        </w:rPr>
        <w:t>法定代表人（或企业负责人）</w:t>
      </w:r>
      <w:r>
        <w:rPr>
          <w:rFonts w:hint="eastAsia" w:ascii="宋体" w:hAnsi="宋体" w:cs="宋体"/>
          <w:sz w:val="24"/>
          <w:u w:val="single"/>
          <w:lang w:bidi="ar"/>
        </w:rPr>
        <w:t>（法定代表人（或企业负责人）姓名）</w:t>
      </w:r>
      <w:r>
        <w:rPr>
          <w:rFonts w:hint="eastAsia" w:ascii="宋体" w:hAnsi="宋体" w:cs="宋体"/>
          <w:sz w:val="24"/>
          <w:lang w:bidi="ar"/>
        </w:rPr>
        <w:t>授权</w:t>
      </w:r>
      <w:r>
        <w:rPr>
          <w:rFonts w:hint="eastAsia" w:ascii="宋体" w:hAnsi="宋体" w:cs="宋体"/>
          <w:sz w:val="24"/>
          <w:u w:val="single"/>
          <w:lang w:bidi="ar"/>
        </w:rPr>
        <w:t xml:space="preserve"> （授权代表姓名）</w:t>
      </w:r>
      <w:r>
        <w:rPr>
          <w:rFonts w:hint="eastAsia" w:ascii="宋体" w:hAnsi="宋体" w:cs="宋体"/>
          <w:sz w:val="24"/>
          <w:lang w:bidi="ar"/>
        </w:rPr>
        <w:t>为授权代表，参加</w:t>
      </w:r>
      <w:r>
        <w:rPr>
          <w:rFonts w:hint="eastAsia" w:ascii="宋体" w:hAnsi="宋体" w:cs="宋体"/>
          <w:sz w:val="24"/>
          <w:u w:val="single"/>
          <w:lang w:bidi="ar"/>
        </w:rPr>
        <w:t xml:space="preserve">  </w:t>
      </w:r>
      <w:r>
        <w:rPr>
          <w:rFonts w:hint="eastAsia" w:ascii="宋体" w:hAnsi="宋体" w:cs="宋体"/>
          <w:i/>
          <w:sz w:val="24"/>
          <w:u w:val="single"/>
          <w:lang w:bidi="ar"/>
        </w:rPr>
        <w:t>（招标方）</w:t>
      </w:r>
      <w:r>
        <w:rPr>
          <w:rFonts w:hint="eastAsia" w:ascii="宋体" w:hAnsi="宋体" w:cs="宋体"/>
          <w:sz w:val="24"/>
          <w:u w:val="single"/>
          <w:lang w:bidi="ar"/>
        </w:rPr>
        <w:t xml:space="preserve">  </w:t>
      </w:r>
      <w:r>
        <w:rPr>
          <w:rFonts w:hint="eastAsia" w:ascii="宋体" w:hAnsi="宋体" w:cs="宋体"/>
          <w:sz w:val="24"/>
          <w:lang w:bidi="ar"/>
        </w:rPr>
        <w:t>组织的</w:t>
      </w:r>
      <w:r>
        <w:rPr>
          <w:rFonts w:hint="eastAsia" w:ascii="宋体" w:hAnsi="宋体" w:cs="宋体"/>
          <w:sz w:val="24"/>
          <w:u w:val="single"/>
          <w:lang w:bidi="ar"/>
        </w:rPr>
        <w:t xml:space="preserve">             </w:t>
      </w:r>
      <w:r>
        <w:rPr>
          <w:rFonts w:hint="eastAsia" w:ascii="宋体" w:hAnsi="宋体" w:cs="宋体"/>
          <w:sz w:val="24"/>
          <w:lang w:bidi="ar"/>
        </w:rPr>
        <w:t>项目政府采购，项目编号为</w:t>
      </w:r>
      <w:r>
        <w:rPr>
          <w:rFonts w:hint="eastAsia" w:ascii="宋体" w:hAnsi="宋体" w:cs="宋体"/>
          <w:sz w:val="24"/>
          <w:u w:val="single"/>
          <w:lang w:bidi="ar"/>
        </w:rPr>
        <w:t xml:space="preserve">               </w:t>
      </w:r>
      <w:r>
        <w:rPr>
          <w:rFonts w:hint="eastAsia" w:ascii="宋体" w:hAnsi="宋体" w:cs="宋体"/>
          <w:sz w:val="24"/>
          <w:lang w:bidi="ar"/>
        </w:rPr>
        <w:t>，其在招投标活动中的一切活动本公司均予承认。</w:t>
      </w:r>
    </w:p>
    <w:p>
      <w:pPr>
        <w:spacing w:line="360" w:lineRule="auto"/>
        <w:rPr>
          <w:rFonts w:hint="eastAsia" w:ascii="宋体" w:hAnsi="宋体" w:cs="宋体"/>
          <w:sz w:val="24"/>
        </w:rPr>
      </w:pPr>
    </w:p>
    <w:p>
      <w:pPr>
        <w:spacing w:line="360" w:lineRule="auto"/>
        <w:ind w:firstLine="3840" w:firstLineChars="1600"/>
        <w:rPr>
          <w:rFonts w:hint="eastAsia" w:ascii="宋体" w:hAnsi="宋体" w:cs="宋体"/>
          <w:sz w:val="24"/>
        </w:rPr>
      </w:pPr>
      <w:r>
        <w:rPr>
          <w:rFonts w:hint="eastAsia" w:ascii="宋体" w:hAnsi="宋体" w:cs="宋体"/>
          <w:sz w:val="24"/>
          <w:lang w:bidi="ar"/>
        </w:rPr>
        <w:t>投标供应商盖章：</w:t>
      </w:r>
      <w:r>
        <w:rPr>
          <w:rFonts w:hint="eastAsia" w:ascii="宋体" w:hAnsi="宋体" w:cs="宋体"/>
          <w:sz w:val="24"/>
          <w:u w:val="single"/>
          <w:lang w:bidi="ar"/>
        </w:rPr>
        <w:t xml:space="preserve">   （公章）　</w:t>
      </w:r>
    </w:p>
    <w:p>
      <w:pPr>
        <w:snapToGrid w:val="0"/>
        <w:spacing w:line="360" w:lineRule="auto"/>
        <w:ind w:firstLine="3840" w:firstLineChars="1600"/>
        <w:rPr>
          <w:rFonts w:hint="eastAsia" w:ascii="宋体" w:hAnsi="宋体" w:cs="宋体"/>
          <w:sz w:val="24"/>
        </w:rPr>
      </w:pPr>
      <w:r>
        <w:rPr>
          <w:rFonts w:hint="eastAsia" w:ascii="宋体" w:hAnsi="宋体" w:cs="宋体"/>
          <w:sz w:val="24"/>
          <w:lang w:bidi="ar"/>
        </w:rPr>
        <w:t>法定代表人（或企业负责人）签字：</w:t>
      </w:r>
      <w:r>
        <w:rPr>
          <w:rFonts w:hint="eastAsia" w:ascii="宋体" w:hAnsi="宋体" w:cs="宋体"/>
          <w:sz w:val="24"/>
          <w:u w:val="single"/>
          <w:lang w:bidi="ar"/>
        </w:rPr>
        <w:t xml:space="preserve">             </w:t>
      </w:r>
    </w:p>
    <w:p>
      <w:pPr>
        <w:snapToGrid w:val="0"/>
        <w:spacing w:line="360" w:lineRule="auto"/>
        <w:ind w:firstLine="4440" w:firstLineChars="1850"/>
        <w:rPr>
          <w:rFonts w:hint="eastAsia" w:ascii="宋体" w:hAnsi="宋体" w:cs="宋体"/>
          <w:sz w:val="24"/>
        </w:rPr>
      </w:pPr>
      <w:r>
        <w:rPr>
          <w:rFonts w:hint="eastAsia" w:ascii="宋体" w:hAnsi="宋体" w:cs="宋体"/>
          <w:sz w:val="24"/>
          <w:u w:val="single"/>
          <w:lang w:bidi="ar"/>
        </w:rPr>
        <w:t xml:space="preserve">          </w:t>
      </w:r>
      <w:r>
        <w:rPr>
          <w:rFonts w:hint="eastAsia" w:ascii="宋体" w:hAnsi="宋体" w:cs="宋体"/>
          <w:sz w:val="24"/>
          <w:lang w:bidi="ar"/>
        </w:rPr>
        <w:t>年</w:t>
      </w:r>
      <w:r>
        <w:rPr>
          <w:rFonts w:hint="eastAsia" w:ascii="宋体" w:hAnsi="宋体" w:cs="宋体"/>
          <w:sz w:val="24"/>
          <w:u w:val="single"/>
          <w:lang w:bidi="ar"/>
        </w:rPr>
        <w:t xml:space="preserve">     </w:t>
      </w:r>
      <w:r>
        <w:rPr>
          <w:rFonts w:hint="eastAsia" w:ascii="宋体" w:hAnsi="宋体" w:cs="宋体"/>
          <w:sz w:val="24"/>
          <w:lang w:bidi="ar"/>
        </w:rPr>
        <w:t>月</w:t>
      </w:r>
      <w:r>
        <w:rPr>
          <w:rFonts w:hint="eastAsia" w:ascii="宋体" w:hAnsi="宋体" w:cs="宋体"/>
          <w:sz w:val="24"/>
          <w:u w:val="single"/>
          <w:lang w:bidi="ar"/>
        </w:rPr>
        <w:t xml:space="preserve">    </w:t>
      </w:r>
      <w:r>
        <w:rPr>
          <w:rFonts w:hint="eastAsia" w:ascii="宋体" w:hAnsi="宋体" w:cs="宋体"/>
          <w:sz w:val="24"/>
          <w:lang w:bidi="ar"/>
        </w:rPr>
        <w:t>日</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lang w:bidi="ar"/>
        </w:rPr>
        <w:t>附：</w:t>
      </w:r>
    </w:p>
    <w:p>
      <w:pPr>
        <w:spacing w:line="360" w:lineRule="auto"/>
        <w:ind w:firstLine="555"/>
        <w:rPr>
          <w:rFonts w:hint="eastAsia" w:ascii="宋体" w:hAnsi="宋体" w:cs="宋体"/>
          <w:sz w:val="24"/>
          <w:u w:val="single"/>
        </w:rPr>
      </w:pPr>
      <w:r>
        <w:rPr>
          <w:rFonts w:hint="eastAsia" w:ascii="宋体" w:hAnsi="宋体" w:cs="宋体"/>
          <w:sz w:val="24"/>
          <w:lang w:bidi="ar"/>
        </w:rPr>
        <w:t>授权代表姓名：</w:t>
      </w:r>
      <w:r>
        <w:rPr>
          <w:rFonts w:hint="eastAsia" w:ascii="宋体" w:hAnsi="宋体" w:cs="宋体"/>
          <w:sz w:val="24"/>
          <w:u w:val="single"/>
          <w:lang w:bidi="ar"/>
        </w:rPr>
        <w:t xml:space="preserve">                 </w:t>
      </w:r>
    </w:p>
    <w:p>
      <w:pPr>
        <w:spacing w:line="360" w:lineRule="auto"/>
        <w:ind w:firstLine="555"/>
        <w:rPr>
          <w:rFonts w:hint="eastAsia" w:ascii="宋体" w:hAnsi="宋体" w:cs="宋体"/>
          <w:sz w:val="24"/>
          <w:u w:val="single"/>
        </w:rPr>
      </w:pPr>
      <w:r>
        <w:rPr>
          <w:rFonts w:hint="eastAsia" w:ascii="宋体" w:hAnsi="宋体" w:cs="宋体"/>
          <w:sz w:val="24"/>
          <w:lang w:bidi="ar"/>
        </w:rPr>
        <w:t>授权代表身份证号码：</w:t>
      </w:r>
      <w:r>
        <w:rPr>
          <w:rFonts w:hint="eastAsia" w:ascii="宋体" w:hAnsi="宋体" w:cs="宋体"/>
          <w:sz w:val="24"/>
          <w:u w:val="single"/>
          <w:lang w:bidi="ar"/>
        </w:rPr>
        <w:t xml:space="preserve">           </w:t>
      </w:r>
    </w:p>
    <w:p>
      <w:pPr>
        <w:spacing w:line="360" w:lineRule="auto"/>
        <w:rPr>
          <w:rFonts w:hint="eastAsia" w:ascii="宋体" w:hAnsi="宋体" w:cs="宋体"/>
          <w:sz w:val="24"/>
          <w:u w:val="single"/>
        </w:rPr>
      </w:pPr>
      <w:r>
        <w:rPr>
          <w:rFonts w:hint="eastAsia" w:ascii="宋体" w:hAnsi="宋体" w:cs="宋体"/>
          <w:sz w:val="24"/>
          <w:lang w:bidi="ar"/>
        </w:rPr>
        <w:t xml:space="preserve">     职务：</w:t>
      </w:r>
      <w:r>
        <w:rPr>
          <w:rFonts w:hint="eastAsia" w:ascii="宋体" w:hAnsi="宋体" w:cs="宋体"/>
          <w:sz w:val="24"/>
          <w:u w:val="single"/>
          <w:lang w:bidi="ar"/>
        </w:rPr>
        <w:t xml:space="preserve">               　</w:t>
      </w:r>
    </w:p>
    <w:p>
      <w:pPr>
        <w:spacing w:line="360" w:lineRule="auto"/>
        <w:rPr>
          <w:rFonts w:hint="eastAsia" w:ascii="宋体" w:hAnsi="宋体" w:cs="宋体"/>
          <w:sz w:val="24"/>
          <w:u w:val="single"/>
        </w:rPr>
      </w:pPr>
      <w:r>
        <w:rPr>
          <w:rFonts w:hint="eastAsia" w:ascii="宋体" w:hAnsi="宋体" w:cs="宋体"/>
          <w:sz w:val="24"/>
          <w:lang w:bidi="ar"/>
        </w:rPr>
        <w:t xml:space="preserve">     详细通讯地址：</w:t>
      </w:r>
      <w:r>
        <w:rPr>
          <w:rFonts w:hint="eastAsia" w:ascii="宋体" w:hAnsi="宋体" w:cs="宋体"/>
          <w:sz w:val="24"/>
          <w:u w:val="single"/>
          <w:lang w:bidi="ar"/>
        </w:rPr>
        <w:t xml:space="preserve">                                  </w:t>
      </w:r>
    </w:p>
    <w:p>
      <w:pPr>
        <w:spacing w:line="360" w:lineRule="auto"/>
        <w:ind w:firstLine="600"/>
        <w:rPr>
          <w:rFonts w:hint="eastAsia" w:ascii="宋体" w:hAnsi="宋体" w:cs="宋体"/>
          <w:sz w:val="24"/>
          <w:u w:val="single"/>
        </w:rPr>
      </w:pPr>
      <w:r>
        <w:rPr>
          <w:rFonts w:hint="eastAsia" w:ascii="宋体" w:hAnsi="宋体" w:cs="宋体"/>
          <w:sz w:val="24"/>
          <w:lang w:bidi="ar"/>
        </w:rPr>
        <w:t>传真：</w:t>
      </w:r>
      <w:r>
        <w:rPr>
          <w:rFonts w:hint="eastAsia" w:ascii="宋体" w:hAnsi="宋体" w:cs="宋体"/>
          <w:sz w:val="24"/>
          <w:u w:val="single"/>
          <w:lang w:bidi="ar"/>
        </w:rPr>
        <w:t xml:space="preserve">         </w:t>
      </w:r>
      <w:r>
        <w:rPr>
          <w:rFonts w:hint="eastAsia" w:ascii="宋体" w:hAnsi="宋体" w:cs="宋体"/>
          <w:sz w:val="24"/>
          <w:lang w:bidi="ar"/>
        </w:rPr>
        <w:t xml:space="preserve"> 电话：</w:t>
      </w:r>
      <w:r>
        <w:rPr>
          <w:rFonts w:hint="eastAsia" w:ascii="宋体" w:hAnsi="宋体" w:cs="宋体"/>
          <w:sz w:val="24"/>
          <w:u w:val="single"/>
          <w:lang w:bidi="ar"/>
        </w:rPr>
        <w:t xml:space="preserve">         </w:t>
      </w:r>
      <w:r>
        <w:rPr>
          <w:rFonts w:hint="eastAsia" w:ascii="宋体" w:hAnsi="宋体" w:cs="宋体"/>
          <w:sz w:val="24"/>
          <w:lang w:bidi="ar"/>
        </w:rPr>
        <w:t xml:space="preserve"> 邮编：</w:t>
      </w:r>
      <w:r>
        <w:rPr>
          <w:rFonts w:hint="eastAsia" w:ascii="宋体" w:hAnsi="宋体" w:cs="宋体"/>
          <w:sz w:val="24"/>
          <w:u w:val="single"/>
          <w:lang w:bidi="ar"/>
        </w:rPr>
        <w:t xml:space="preserve">        </w:t>
      </w:r>
      <w:r>
        <w:rPr>
          <w:rFonts w:hint="eastAsia" w:ascii="宋体" w:hAnsi="宋体" w:cs="宋体"/>
          <w:sz w:val="24"/>
          <w:u w:val="single"/>
        </w:rPr>
        <w:t xml:space="preserve"> </w:t>
      </w:r>
    </w:p>
    <w:p>
      <w:pPr>
        <w:spacing w:line="360" w:lineRule="auto"/>
        <w:jc w:val="left"/>
        <w:rPr>
          <w:rStyle w:val="105"/>
          <w:rFonts w:hint="eastAsia" w:ascii="宋体" w:hAnsi="宋体" w:cs="宋体"/>
          <w:sz w:val="28"/>
          <w:szCs w:val="30"/>
        </w:rPr>
      </w:pPr>
    </w:p>
    <w:p>
      <w:pPr>
        <w:rPr>
          <w:rFonts w:hint="eastAsia" w:ascii="宋体" w:hAnsi="宋体" w:cs="宋体"/>
        </w:rPr>
      </w:pPr>
      <w:r>
        <w:rPr>
          <w:rFonts w:hint="eastAsia" w:ascii="宋体" w:hAnsi="宋体" w:cs="宋体"/>
          <w:b/>
          <w:bCs/>
        </w:rPr>
        <w:t>附被授权代表身份证复印件（正反面）及被授权代表在开标前三个月任一个月的养老保险缴纳证明资料</w:t>
      </w:r>
    </w:p>
    <w:p>
      <w:pPr>
        <w:spacing w:line="360" w:lineRule="auto"/>
        <w:jc w:val="left"/>
        <w:rPr>
          <w:rStyle w:val="105"/>
          <w:rFonts w:hint="eastAsia" w:ascii="宋体" w:hAnsi="宋体" w:cs="宋体"/>
          <w:sz w:val="28"/>
          <w:szCs w:val="30"/>
        </w:rPr>
      </w:pPr>
    </w:p>
    <w:p>
      <w:pPr>
        <w:spacing w:line="360" w:lineRule="auto"/>
        <w:jc w:val="left"/>
        <w:rPr>
          <w:rStyle w:val="105"/>
          <w:rFonts w:hint="eastAsia" w:ascii="宋体" w:hAnsi="宋体" w:cs="宋体"/>
          <w:sz w:val="28"/>
          <w:szCs w:val="30"/>
        </w:rPr>
      </w:pPr>
    </w:p>
    <w:p>
      <w:pPr>
        <w:spacing w:line="360" w:lineRule="auto"/>
        <w:jc w:val="left"/>
        <w:rPr>
          <w:rFonts w:hint="eastAsia" w:ascii="宋体" w:hAnsi="宋体" w:cs="宋体"/>
          <w:b/>
          <w:sz w:val="24"/>
        </w:rPr>
      </w:pPr>
    </w:p>
    <w:p>
      <w:pPr>
        <w:jc w:val="left"/>
        <w:rPr>
          <w:rStyle w:val="105"/>
          <w:rFonts w:hint="eastAsia" w:ascii="宋体" w:hAnsi="宋体" w:cs="宋体"/>
          <w:sz w:val="28"/>
          <w:szCs w:val="28"/>
        </w:rPr>
      </w:pPr>
      <w:r>
        <w:rPr>
          <w:rFonts w:hint="eastAsia" w:ascii="宋体" w:hAnsi="宋体" w:cs="宋体"/>
          <w:b/>
          <w:sz w:val="32"/>
          <w:szCs w:val="32"/>
          <w:lang w:bidi="ar"/>
        </w:rPr>
        <w:br w:type="page"/>
      </w:r>
      <w:r>
        <w:rPr>
          <w:rStyle w:val="105"/>
          <w:rFonts w:hint="eastAsia" w:ascii="宋体" w:hAnsi="宋体" w:cs="宋体"/>
          <w:sz w:val="28"/>
          <w:szCs w:val="28"/>
        </w:rPr>
        <w:t>附件六-2</w:t>
      </w:r>
    </w:p>
    <w:p>
      <w:pPr>
        <w:jc w:val="center"/>
        <w:rPr>
          <w:rFonts w:hint="eastAsia" w:ascii="宋体" w:hAnsi="宋体" w:cs="宋体"/>
          <w:b/>
          <w:sz w:val="32"/>
          <w:szCs w:val="32"/>
        </w:rPr>
      </w:pPr>
      <w:r>
        <w:rPr>
          <w:rFonts w:hint="eastAsia" w:ascii="宋体" w:hAnsi="宋体" w:cs="宋体"/>
          <w:b/>
          <w:sz w:val="32"/>
          <w:szCs w:val="32"/>
          <w:lang w:bidi="ar"/>
        </w:rPr>
        <w:t>法定代表人（或企业负责人）身份证明</w:t>
      </w:r>
    </w:p>
    <w:p>
      <w:pPr>
        <w:spacing w:line="480" w:lineRule="auto"/>
        <w:jc w:val="center"/>
        <w:rPr>
          <w:rFonts w:hint="eastAsia" w:ascii="宋体" w:hAnsi="宋体" w:cs="宋体"/>
          <w:b/>
          <w:sz w:val="24"/>
        </w:rPr>
      </w:pPr>
      <w:r>
        <w:rPr>
          <w:rFonts w:hint="eastAsia" w:ascii="宋体" w:hAnsi="宋体" w:cs="宋体"/>
          <w:bCs/>
          <w:sz w:val="24"/>
          <w:lang w:bidi="ar"/>
        </w:rPr>
        <w:t>（法定代表人（或企业负责人）不来投标的，此表不用）</w:t>
      </w:r>
    </w:p>
    <w:p>
      <w:pPr>
        <w:spacing w:line="480" w:lineRule="auto"/>
        <w:ind w:firstLine="420" w:firstLineChars="200"/>
        <w:rPr>
          <w:rFonts w:hint="eastAsia" w:ascii="宋体" w:hAnsi="宋体" w:cs="宋体"/>
          <w:szCs w:val="21"/>
        </w:rPr>
      </w:pPr>
      <w:r>
        <w:rPr>
          <w:rFonts w:hint="eastAsia" w:ascii="宋体" w:hAnsi="宋体" w:cs="宋体"/>
          <w:szCs w:val="21"/>
          <w:lang w:bidi="ar"/>
        </w:rPr>
        <w:t xml:space="preserve">供应商名称：                                      </w:t>
      </w:r>
    </w:p>
    <w:p>
      <w:pPr>
        <w:spacing w:line="480" w:lineRule="auto"/>
        <w:ind w:firstLine="420" w:firstLineChars="200"/>
        <w:rPr>
          <w:rFonts w:hint="eastAsia" w:ascii="宋体" w:hAnsi="宋体" w:cs="宋体"/>
          <w:szCs w:val="21"/>
        </w:rPr>
      </w:pPr>
      <w:r>
        <w:rPr>
          <w:rFonts w:hint="eastAsia" w:ascii="宋体" w:hAnsi="宋体" w:cs="宋体"/>
          <w:szCs w:val="21"/>
          <w:lang w:bidi="ar"/>
        </w:rPr>
        <w:t>单位性质：</w:t>
      </w:r>
      <w:r>
        <w:rPr>
          <w:rFonts w:hint="eastAsia" w:ascii="宋体" w:hAnsi="宋体" w:cs="宋体"/>
          <w:szCs w:val="21"/>
          <w:u w:val="single"/>
          <w:lang w:bidi="ar"/>
        </w:rPr>
        <w:t xml:space="preserve">                                         </w:t>
      </w:r>
      <w:r>
        <w:rPr>
          <w:rFonts w:hint="eastAsia" w:ascii="宋体" w:hAnsi="宋体" w:cs="宋体"/>
          <w:szCs w:val="21"/>
          <w:lang w:bidi="ar"/>
        </w:rPr>
        <w:t xml:space="preserve"> </w:t>
      </w:r>
    </w:p>
    <w:p>
      <w:pPr>
        <w:spacing w:line="480" w:lineRule="auto"/>
        <w:ind w:firstLine="420" w:firstLineChars="200"/>
        <w:rPr>
          <w:rFonts w:hint="eastAsia" w:ascii="宋体" w:hAnsi="宋体" w:cs="宋体"/>
          <w:szCs w:val="21"/>
        </w:rPr>
      </w:pPr>
      <w:r>
        <w:rPr>
          <w:rFonts w:hint="eastAsia" w:ascii="宋体" w:hAnsi="宋体" w:cs="宋体"/>
          <w:szCs w:val="21"/>
          <w:lang w:bidi="ar"/>
        </w:rPr>
        <w:t>地址：</w:t>
      </w:r>
      <w:r>
        <w:rPr>
          <w:rFonts w:hint="eastAsia" w:ascii="宋体" w:hAnsi="宋体" w:cs="宋体"/>
          <w:szCs w:val="21"/>
          <w:u w:val="single"/>
          <w:lang w:bidi="ar"/>
        </w:rPr>
        <w:t xml:space="preserve">                                              </w:t>
      </w:r>
    </w:p>
    <w:p>
      <w:pPr>
        <w:spacing w:line="480" w:lineRule="auto"/>
        <w:ind w:firstLine="420" w:firstLineChars="200"/>
        <w:rPr>
          <w:rFonts w:hint="eastAsia" w:ascii="宋体" w:hAnsi="宋体" w:cs="宋体"/>
          <w:szCs w:val="21"/>
        </w:rPr>
      </w:pPr>
      <w:r>
        <w:rPr>
          <w:rFonts w:hint="eastAsia" w:ascii="宋体" w:hAnsi="宋体" w:cs="宋体"/>
          <w:szCs w:val="21"/>
          <w:lang w:bidi="ar"/>
        </w:rPr>
        <w:t>成立时间：</w:t>
      </w: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＿日</w:t>
      </w:r>
    </w:p>
    <w:p>
      <w:pPr>
        <w:spacing w:line="480" w:lineRule="auto"/>
        <w:ind w:firstLine="420" w:firstLineChars="200"/>
        <w:rPr>
          <w:rFonts w:hint="eastAsia" w:ascii="宋体" w:hAnsi="宋体" w:cs="宋体"/>
          <w:szCs w:val="21"/>
        </w:rPr>
      </w:pPr>
      <w:r>
        <w:rPr>
          <w:rFonts w:hint="eastAsia" w:ascii="宋体" w:hAnsi="宋体" w:cs="宋体"/>
          <w:szCs w:val="21"/>
          <w:lang w:bidi="ar"/>
        </w:rPr>
        <w:t>经营期限：</w:t>
      </w:r>
      <w:r>
        <w:rPr>
          <w:rFonts w:hint="eastAsia" w:ascii="宋体" w:hAnsi="宋体" w:cs="宋体"/>
          <w:szCs w:val="21"/>
          <w:u w:val="single"/>
          <w:lang w:bidi="ar"/>
        </w:rPr>
        <w:t xml:space="preserve">                                </w:t>
      </w:r>
      <w:r>
        <w:rPr>
          <w:rFonts w:hint="eastAsia" w:ascii="宋体" w:hAnsi="宋体" w:cs="宋体"/>
          <w:szCs w:val="21"/>
          <w:lang w:bidi="ar"/>
        </w:rPr>
        <w:t xml:space="preserve"> </w:t>
      </w:r>
    </w:p>
    <w:p>
      <w:pPr>
        <w:spacing w:line="480" w:lineRule="auto"/>
        <w:ind w:firstLine="420" w:firstLineChars="200"/>
        <w:rPr>
          <w:rFonts w:hint="eastAsia" w:ascii="宋体" w:hAnsi="宋体" w:cs="宋体"/>
          <w:szCs w:val="21"/>
        </w:rPr>
      </w:pPr>
      <w:r>
        <w:rPr>
          <w:rFonts w:hint="eastAsia" w:ascii="宋体" w:hAnsi="宋体" w:cs="宋体"/>
          <w:szCs w:val="21"/>
          <w:lang w:bidi="ar"/>
        </w:rPr>
        <w:t>姓名：</w:t>
      </w:r>
      <w:r>
        <w:rPr>
          <w:rFonts w:hint="eastAsia" w:ascii="宋体" w:hAnsi="宋体" w:cs="宋体"/>
          <w:szCs w:val="21"/>
          <w:u w:val="single"/>
          <w:lang w:bidi="ar"/>
        </w:rPr>
        <w:t xml:space="preserve">       </w:t>
      </w:r>
      <w:r>
        <w:rPr>
          <w:rFonts w:hint="eastAsia" w:ascii="宋体" w:hAnsi="宋体" w:cs="宋体"/>
          <w:szCs w:val="21"/>
          <w:lang w:bidi="ar"/>
        </w:rPr>
        <w:t>性别：</w:t>
      </w:r>
      <w:r>
        <w:rPr>
          <w:rFonts w:hint="eastAsia" w:ascii="宋体" w:hAnsi="宋体" w:cs="宋体"/>
          <w:szCs w:val="21"/>
          <w:u w:val="single"/>
          <w:lang w:bidi="ar"/>
        </w:rPr>
        <w:t xml:space="preserve">      </w:t>
      </w:r>
      <w:r>
        <w:rPr>
          <w:rFonts w:hint="eastAsia" w:ascii="宋体" w:hAnsi="宋体" w:cs="宋体"/>
          <w:szCs w:val="21"/>
          <w:lang w:bidi="ar"/>
        </w:rPr>
        <w:t>年龄：</w:t>
      </w:r>
      <w:r>
        <w:rPr>
          <w:rFonts w:hint="eastAsia" w:ascii="宋体" w:hAnsi="宋体" w:cs="宋体"/>
          <w:szCs w:val="21"/>
          <w:u w:val="single"/>
          <w:lang w:bidi="ar"/>
        </w:rPr>
        <w:t xml:space="preserve">    周岁  </w:t>
      </w:r>
      <w:r>
        <w:rPr>
          <w:rFonts w:hint="eastAsia" w:ascii="宋体" w:hAnsi="宋体" w:cs="宋体"/>
          <w:szCs w:val="21"/>
          <w:lang w:bidi="ar"/>
        </w:rPr>
        <w:t>职务：</w:t>
      </w:r>
      <w:r>
        <w:rPr>
          <w:rFonts w:hint="eastAsia" w:ascii="宋体" w:hAnsi="宋体" w:cs="宋体"/>
          <w:szCs w:val="21"/>
          <w:u w:val="single"/>
          <w:lang w:bidi="ar"/>
        </w:rPr>
        <w:t xml:space="preserve">   </w:t>
      </w:r>
      <w:r>
        <w:rPr>
          <w:rFonts w:hint="eastAsia" w:ascii="宋体" w:hAnsi="宋体" w:cs="宋体"/>
          <w:szCs w:val="21"/>
          <w:lang w:bidi="ar"/>
        </w:rPr>
        <w:t>_</w:t>
      </w:r>
    </w:p>
    <w:p>
      <w:pPr>
        <w:spacing w:line="480" w:lineRule="auto"/>
        <w:ind w:firstLine="420" w:firstLineChars="200"/>
        <w:rPr>
          <w:rFonts w:hint="eastAsia" w:ascii="宋体" w:hAnsi="宋体" w:cs="宋体"/>
          <w:szCs w:val="21"/>
          <w:u w:val="single"/>
        </w:rPr>
      </w:pPr>
      <w:r>
        <w:rPr>
          <w:rFonts w:hint="eastAsia" w:ascii="宋体" w:hAnsi="宋体" w:cs="宋体"/>
          <w:szCs w:val="21"/>
          <w:lang w:bidi="ar"/>
        </w:rPr>
        <w:t>身份证号码：</w:t>
      </w:r>
      <w:r>
        <w:rPr>
          <w:rFonts w:hint="eastAsia" w:ascii="宋体" w:hAnsi="宋体" w:cs="宋体"/>
          <w:szCs w:val="21"/>
          <w:u w:val="single"/>
          <w:lang w:bidi="ar"/>
        </w:rPr>
        <w:t xml:space="preserve">                   </w:t>
      </w:r>
    </w:p>
    <w:p>
      <w:pPr>
        <w:spacing w:line="480" w:lineRule="auto"/>
        <w:ind w:firstLine="420" w:firstLineChars="200"/>
        <w:rPr>
          <w:rFonts w:hint="eastAsia" w:ascii="宋体" w:hAnsi="宋体" w:cs="宋体"/>
          <w:szCs w:val="21"/>
        </w:rPr>
      </w:pPr>
      <w:r>
        <w:rPr>
          <w:rFonts w:hint="eastAsia" w:ascii="宋体" w:hAnsi="宋体" w:cs="宋体"/>
          <w:szCs w:val="21"/>
          <w:lang w:bidi="ar"/>
        </w:rPr>
        <w:t>系</w:t>
      </w:r>
      <w:r>
        <w:rPr>
          <w:rFonts w:hint="eastAsia" w:ascii="宋体" w:hAnsi="宋体" w:cs="宋体"/>
          <w:szCs w:val="21"/>
          <w:u w:val="single"/>
          <w:lang w:bidi="ar"/>
        </w:rPr>
        <w:t xml:space="preserve">                                      </w:t>
      </w:r>
      <w:r>
        <w:rPr>
          <w:rFonts w:hint="eastAsia" w:ascii="宋体" w:hAnsi="宋体" w:cs="宋体"/>
          <w:szCs w:val="21"/>
          <w:lang w:bidi="ar"/>
        </w:rPr>
        <w:t>（供应商名称）的法定代表人</w:t>
      </w:r>
      <w:r>
        <w:rPr>
          <w:rFonts w:hint="eastAsia" w:ascii="宋体" w:hAnsi="宋体" w:cs="宋体"/>
          <w:sz w:val="24"/>
          <w:lang w:bidi="ar"/>
        </w:rPr>
        <w:t>（或企业负责人）</w:t>
      </w:r>
      <w:r>
        <w:rPr>
          <w:rFonts w:hint="eastAsia" w:ascii="宋体" w:hAnsi="宋体" w:cs="宋体"/>
          <w:szCs w:val="21"/>
          <w:lang w:bidi="ar"/>
        </w:rPr>
        <w:t>。</w:t>
      </w:r>
    </w:p>
    <w:p>
      <w:pPr>
        <w:spacing w:line="480" w:lineRule="auto"/>
        <w:ind w:firstLine="840" w:firstLineChars="400"/>
        <w:rPr>
          <w:rFonts w:hint="eastAsia" w:ascii="宋体" w:hAnsi="宋体" w:cs="宋体"/>
          <w:szCs w:val="21"/>
        </w:rPr>
      </w:pPr>
      <w:r>
        <w:rPr>
          <w:rFonts w:hint="eastAsia" w:ascii="宋体" w:hAnsi="宋体" w:cs="宋体"/>
          <w:szCs w:val="21"/>
          <w:lang w:bidi="ar"/>
        </w:rPr>
        <w:t>特此证明。</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wordWrap w:val="0"/>
        <w:spacing w:line="360" w:lineRule="auto"/>
        <w:jc w:val="right"/>
        <w:rPr>
          <w:rFonts w:hint="eastAsia" w:ascii="宋体" w:hAnsi="宋体" w:cs="宋体"/>
          <w:szCs w:val="21"/>
        </w:rPr>
      </w:pPr>
      <w:r>
        <w:rPr>
          <w:rFonts w:hint="eastAsia" w:ascii="宋体" w:hAnsi="宋体" w:cs="宋体"/>
          <w:szCs w:val="21"/>
          <w:lang w:bidi="ar"/>
        </w:rPr>
        <w:t>供应商：</w:t>
      </w:r>
      <w:r>
        <w:rPr>
          <w:rFonts w:hint="eastAsia" w:ascii="宋体" w:hAnsi="宋体" w:cs="宋体"/>
          <w:szCs w:val="21"/>
          <w:u w:val="single"/>
          <w:lang w:bidi="ar"/>
        </w:rPr>
        <w:t xml:space="preserve">                                </w:t>
      </w:r>
      <w:r>
        <w:rPr>
          <w:rFonts w:hint="eastAsia" w:ascii="宋体" w:hAnsi="宋体" w:cs="宋体"/>
          <w:szCs w:val="21"/>
          <w:lang w:bidi="ar"/>
        </w:rPr>
        <w:t>（盖单位公章）</w:t>
      </w:r>
    </w:p>
    <w:p>
      <w:pPr>
        <w:spacing w:line="360" w:lineRule="auto"/>
        <w:ind w:firstLine="4515" w:firstLineChars="2150"/>
        <w:rPr>
          <w:rFonts w:hint="eastAsia" w:ascii="宋体" w:hAnsi="宋体" w:cs="宋体"/>
          <w:szCs w:val="21"/>
          <w:u w:val="single"/>
        </w:rPr>
      </w:pPr>
    </w:p>
    <w:p>
      <w:pPr>
        <w:spacing w:line="360" w:lineRule="auto"/>
        <w:ind w:firstLine="3675" w:firstLineChars="1750"/>
        <w:rPr>
          <w:rFonts w:hint="eastAsia" w:ascii="宋体" w:hAnsi="宋体" w:cs="宋体"/>
          <w:szCs w:val="21"/>
        </w:rPr>
      </w:pP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日</w:t>
      </w:r>
    </w:p>
    <w:p>
      <w:pPr>
        <w:spacing w:line="360" w:lineRule="auto"/>
        <w:rPr>
          <w:rFonts w:hint="eastAsia" w:ascii="宋体" w:hAnsi="宋体" w:cs="宋体"/>
          <w:sz w:val="24"/>
        </w:rPr>
      </w:pPr>
    </w:p>
    <w:p>
      <w:pPr>
        <w:spacing w:line="360" w:lineRule="auto"/>
        <w:rPr>
          <w:rFonts w:hint="eastAsia" w:ascii="宋体" w:hAnsi="宋体" w:cs="宋体"/>
          <w:b/>
          <w:szCs w:val="21"/>
        </w:rPr>
      </w:pPr>
    </w:p>
    <w:p>
      <w:pPr>
        <w:spacing w:line="360" w:lineRule="auto"/>
        <w:rPr>
          <w:rFonts w:hint="eastAsia" w:ascii="宋体" w:hAnsi="宋体" w:cs="宋体"/>
          <w:b/>
          <w:szCs w:val="21"/>
        </w:rPr>
      </w:pPr>
    </w:p>
    <w:p>
      <w:pPr>
        <w:widowControl/>
        <w:jc w:val="left"/>
        <w:rPr>
          <w:rFonts w:hint="eastAsia" w:ascii="宋体" w:hAnsi="宋体" w:cs="宋体"/>
          <w:b/>
          <w:szCs w:val="21"/>
          <w:lang w:bidi="ar"/>
        </w:rPr>
      </w:pPr>
      <w:r>
        <w:rPr>
          <w:rFonts w:hint="eastAsia" w:ascii="宋体" w:hAnsi="宋体" w:cs="宋体"/>
          <w:b/>
          <w:szCs w:val="21"/>
          <w:lang w:bidi="ar"/>
        </w:rPr>
        <w:t>附法定代表人（或企业负责人）身份证复印件（正反面）：</w:t>
      </w:r>
    </w:p>
    <w:p>
      <w:pPr>
        <w:spacing w:line="360" w:lineRule="auto"/>
        <w:ind w:firstLine="422" w:firstLineChars="200"/>
        <w:rPr>
          <w:rStyle w:val="105"/>
          <w:rFonts w:hint="eastAsia" w:ascii="宋体" w:hAnsi="宋体" w:cs="宋体"/>
          <w:sz w:val="28"/>
          <w:szCs w:val="28"/>
        </w:rPr>
      </w:pPr>
      <w:r>
        <w:rPr>
          <w:rFonts w:hint="eastAsia" w:ascii="宋体" w:hAnsi="宋体" w:cs="宋体"/>
          <w:b/>
          <w:szCs w:val="21"/>
          <w:lang w:bidi="ar"/>
        </w:rPr>
        <w:br w:type="page"/>
      </w:r>
      <w:r>
        <w:rPr>
          <w:rStyle w:val="105"/>
          <w:rFonts w:hint="eastAsia" w:ascii="宋体" w:hAnsi="宋体" w:cs="宋体"/>
          <w:sz w:val="28"/>
          <w:szCs w:val="28"/>
        </w:rPr>
        <w:t>附件七、商务条款响应表</w:t>
      </w:r>
    </w:p>
    <w:p>
      <w:pPr>
        <w:spacing w:line="360" w:lineRule="auto"/>
        <w:jc w:val="center"/>
        <w:rPr>
          <w:rFonts w:hint="eastAsia" w:ascii="宋体" w:hAnsi="宋体" w:cs="宋体"/>
          <w:b/>
          <w:spacing w:val="20"/>
          <w:sz w:val="28"/>
          <w:szCs w:val="32"/>
        </w:rPr>
      </w:pPr>
      <w:r>
        <w:rPr>
          <w:rFonts w:hint="eastAsia" w:ascii="宋体" w:hAnsi="宋体" w:cs="宋体"/>
          <w:b/>
          <w:spacing w:val="20"/>
          <w:sz w:val="28"/>
          <w:szCs w:val="32"/>
        </w:rPr>
        <w:t>商务条款响应表</w:t>
      </w:r>
    </w:p>
    <w:p>
      <w:pPr>
        <w:spacing w:line="360" w:lineRule="auto"/>
        <w:rPr>
          <w:rFonts w:hint="eastAsia" w:ascii="宋体" w:hAnsi="宋体" w:cs="宋体"/>
          <w:b/>
          <w:sz w:val="28"/>
          <w:szCs w:val="30"/>
        </w:rPr>
      </w:pPr>
    </w:p>
    <w:p>
      <w:pPr>
        <w:adjustRightInd w:val="0"/>
        <w:snapToGrid w:val="0"/>
        <w:spacing w:line="360" w:lineRule="auto"/>
        <w:rPr>
          <w:rFonts w:hint="eastAsia" w:ascii="宋体" w:hAnsi="宋体" w:cs="宋体"/>
          <w:spacing w:val="20"/>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招标编号：</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pacing w:val="20"/>
          <w:sz w:val="24"/>
        </w:rPr>
        <w:t xml:space="preserve">   </w:t>
      </w:r>
    </w:p>
    <w:tbl>
      <w:tblPr>
        <w:tblStyle w:val="51"/>
        <w:tblpPr w:leftFromText="180" w:rightFromText="180" w:vertAnchor="text" w:horzAnchor="page" w:tblpX="1528" w:tblpY="20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1800"/>
        <w:gridCol w:w="2160"/>
        <w:gridCol w:w="2700"/>
        <w:gridCol w:w="13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r>
              <w:rPr>
                <w:rFonts w:hint="eastAsia" w:ascii="宋体" w:hAnsi="宋体" w:cs="宋体"/>
                <w:spacing w:val="20"/>
                <w:sz w:val="24"/>
              </w:rPr>
              <w:t>序号</w:t>
            </w:r>
          </w:p>
        </w:tc>
        <w:tc>
          <w:tcPr>
            <w:tcW w:w="1800" w:type="dxa"/>
            <w:noWrap w:val="0"/>
            <w:vAlign w:val="center"/>
          </w:tcPr>
          <w:p>
            <w:pPr>
              <w:adjustRightInd w:val="0"/>
              <w:snapToGrid w:val="0"/>
              <w:jc w:val="center"/>
              <w:rPr>
                <w:rFonts w:hint="eastAsia" w:ascii="宋体" w:hAnsi="宋体" w:cs="宋体"/>
              </w:rPr>
            </w:pPr>
            <w:r>
              <w:rPr>
                <w:rFonts w:hint="eastAsia" w:ascii="宋体" w:hAnsi="宋体" w:cs="宋体"/>
                <w:spacing w:val="20"/>
                <w:sz w:val="24"/>
              </w:rPr>
              <w:t>内 容</w:t>
            </w:r>
          </w:p>
        </w:tc>
        <w:tc>
          <w:tcPr>
            <w:tcW w:w="2160" w:type="dxa"/>
            <w:noWrap w:val="0"/>
            <w:vAlign w:val="center"/>
          </w:tcPr>
          <w:p>
            <w:pPr>
              <w:adjustRightInd w:val="0"/>
              <w:snapToGrid w:val="0"/>
              <w:jc w:val="center"/>
              <w:rPr>
                <w:rFonts w:hint="eastAsia" w:ascii="宋体" w:hAnsi="宋体" w:cs="宋体"/>
                <w:spacing w:val="20"/>
                <w:sz w:val="24"/>
              </w:rPr>
            </w:pPr>
            <w:r>
              <w:rPr>
                <w:rFonts w:hint="eastAsia" w:ascii="宋体" w:hAnsi="宋体" w:cs="宋体"/>
                <w:spacing w:val="20"/>
                <w:sz w:val="24"/>
              </w:rPr>
              <w:t>招标要求</w:t>
            </w:r>
          </w:p>
        </w:tc>
        <w:tc>
          <w:tcPr>
            <w:tcW w:w="2700" w:type="dxa"/>
            <w:noWrap w:val="0"/>
            <w:vAlign w:val="center"/>
          </w:tcPr>
          <w:p>
            <w:pPr>
              <w:adjustRightInd w:val="0"/>
              <w:snapToGrid w:val="0"/>
              <w:jc w:val="center"/>
              <w:rPr>
                <w:rFonts w:hint="eastAsia" w:ascii="宋体" w:hAnsi="宋体" w:cs="宋体"/>
                <w:spacing w:val="20"/>
                <w:sz w:val="24"/>
              </w:rPr>
            </w:pPr>
            <w:r>
              <w:rPr>
                <w:rFonts w:hint="eastAsia" w:ascii="宋体" w:hAnsi="宋体" w:cs="宋体"/>
                <w:spacing w:val="20"/>
                <w:sz w:val="24"/>
              </w:rPr>
              <w:t>投标响应</w:t>
            </w:r>
          </w:p>
        </w:tc>
        <w:tc>
          <w:tcPr>
            <w:tcW w:w="1356" w:type="dxa"/>
            <w:noWrap w:val="0"/>
            <w:vAlign w:val="center"/>
          </w:tcPr>
          <w:p>
            <w:pPr>
              <w:adjustRightInd w:val="0"/>
              <w:snapToGrid w:val="0"/>
              <w:jc w:val="center"/>
              <w:rPr>
                <w:rFonts w:hint="eastAsia" w:ascii="宋体" w:hAnsi="宋体" w:cs="宋体"/>
                <w:spacing w:val="20"/>
                <w:sz w:val="24"/>
              </w:rPr>
            </w:pPr>
            <w:r>
              <w:rPr>
                <w:rFonts w:hint="eastAsia" w:ascii="宋体" w:hAnsi="宋体" w:cs="宋体"/>
                <w:spacing w:val="20"/>
                <w:sz w:val="24"/>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1008" w:type="dxa"/>
            <w:noWrap w:val="0"/>
            <w:vAlign w:val="center"/>
          </w:tcPr>
          <w:p>
            <w:pPr>
              <w:adjustRightInd w:val="0"/>
              <w:snapToGrid w:val="0"/>
              <w:jc w:val="center"/>
              <w:rPr>
                <w:rFonts w:hint="eastAsia" w:ascii="宋体" w:hAnsi="宋体" w:cs="宋体"/>
                <w:spacing w:val="20"/>
                <w:sz w:val="24"/>
              </w:rPr>
            </w:pPr>
          </w:p>
        </w:tc>
        <w:tc>
          <w:tcPr>
            <w:tcW w:w="1800" w:type="dxa"/>
            <w:noWrap w:val="0"/>
            <w:vAlign w:val="center"/>
          </w:tcPr>
          <w:p>
            <w:pPr>
              <w:adjustRightInd w:val="0"/>
              <w:snapToGrid w:val="0"/>
              <w:jc w:val="center"/>
              <w:rPr>
                <w:rFonts w:hint="eastAsia" w:ascii="宋体" w:hAnsi="宋体" w:cs="宋体"/>
              </w:rPr>
            </w:pPr>
          </w:p>
        </w:tc>
        <w:tc>
          <w:tcPr>
            <w:tcW w:w="2160" w:type="dxa"/>
            <w:noWrap w:val="0"/>
            <w:vAlign w:val="center"/>
          </w:tcPr>
          <w:p>
            <w:pPr>
              <w:adjustRightInd w:val="0"/>
              <w:snapToGrid w:val="0"/>
              <w:jc w:val="center"/>
              <w:rPr>
                <w:rFonts w:hint="eastAsia" w:ascii="宋体" w:hAnsi="宋体" w:cs="宋体"/>
                <w:spacing w:val="20"/>
                <w:sz w:val="24"/>
              </w:rPr>
            </w:pPr>
          </w:p>
        </w:tc>
        <w:tc>
          <w:tcPr>
            <w:tcW w:w="2700" w:type="dxa"/>
            <w:noWrap w:val="0"/>
            <w:vAlign w:val="center"/>
          </w:tcPr>
          <w:p>
            <w:pPr>
              <w:adjustRightInd w:val="0"/>
              <w:snapToGrid w:val="0"/>
              <w:jc w:val="center"/>
              <w:rPr>
                <w:rFonts w:hint="eastAsia" w:ascii="宋体" w:hAnsi="宋体" w:cs="宋体"/>
                <w:spacing w:val="20"/>
                <w:sz w:val="24"/>
              </w:rPr>
            </w:pPr>
          </w:p>
        </w:tc>
        <w:tc>
          <w:tcPr>
            <w:tcW w:w="1356" w:type="dxa"/>
            <w:noWrap w:val="0"/>
            <w:vAlign w:val="center"/>
          </w:tcPr>
          <w:p>
            <w:pPr>
              <w:adjustRightInd w:val="0"/>
              <w:snapToGrid w:val="0"/>
              <w:jc w:val="center"/>
              <w:rPr>
                <w:rFonts w:hint="eastAsia" w:ascii="宋体" w:hAnsi="宋体" w:cs="宋体"/>
                <w:spacing w:val="20"/>
                <w:sz w:val="24"/>
              </w:rPr>
            </w:pPr>
          </w:p>
        </w:tc>
      </w:tr>
    </w:tbl>
    <w:p>
      <w:pPr>
        <w:adjustRightInd w:val="0"/>
        <w:snapToGrid w:val="0"/>
        <w:spacing w:line="360" w:lineRule="auto"/>
        <w:rPr>
          <w:rFonts w:hint="eastAsia" w:ascii="宋体" w:hAnsi="宋体" w:cs="宋体"/>
          <w:spacing w:val="20"/>
          <w:sz w:val="24"/>
        </w:rPr>
      </w:pPr>
      <w:r>
        <w:rPr>
          <w:rFonts w:hint="eastAsia" w:ascii="宋体" w:hAnsi="宋体" w:cs="宋体"/>
          <w:spacing w:val="20"/>
          <w:sz w:val="24"/>
        </w:rPr>
        <w:t>注：对照商务条款逐项比较填写</w:t>
      </w:r>
    </w:p>
    <w:p>
      <w:pPr>
        <w:adjustRightInd w:val="0"/>
        <w:snapToGrid w:val="0"/>
        <w:spacing w:line="360" w:lineRule="auto"/>
        <w:rPr>
          <w:rFonts w:hint="eastAsia" w:ascii="宋体" w:hAnsi="宋体" w:cs="宋体"/>
          <w:spacing w:val="20"/>
          <w:sz w:val="28"/>
          <w:szCs w:val="28"/>
        </w:rPr>
      </w:pPr>
    </w:p>
    <w:p>
      <w:pPr>
        <w:spacing w:line="360" w:lineRule="auto"/>
        <w:ind w:firstLine="4080" w:firstLineChars="1700"/>
        <w:rPr>
          <w:rFonts w:hint="eastAsia" w:ascii="宋体" w:hAnsi="宋体" w:cs="宋体"/>
          <w:sz w:val="24"/>
          <w:u w:val="single"/>
        </w:rPr>
      </w:pPr>
      <w:r>
        <w:rPr>
          <w:rFonts w:hint="eastAsia" w:ascii="宋体" w:hAnsi="宋体" w:cs="宋体"/>
          <w:sz w:val="24"/>
        </w:rPr>
        <w:t xml:space="preserve"> 投标供应商盖章</w:t>
      </w:r>
      <w:r>
        <w:rPr>
          <w:rFonts w:hint="eastAsia" w:ascii="宋体" w:hAnsi="宋体" w:cs="宋体"/>
          <w:sz w:val="24"/>
          <w:u w:val="single"/>
        </w:rPr>
        <w:t>（公章）</w:t>
      </w:r>
    </w:p>
    <w:p>
      <w:pPr>
        <w:snapToGrid w:val="0"/>
        <w:spacing w:line="360" w:lineRule="auto"/>
        <w:rPr>
          <w:rFonts w:hint="eastAsia" w:ascii="宋体" w:hAnsi="宋体" w:cs="宋体"/>
          <w:sz w:val="24"/>
        </w:rPr>
      </w:pPr>
      <w:r>
        <w:rPr>
          <w:rFonts w:hint="eastAsia" w:ascii="宋体" w:hAnsi="宋体" w:cs="宋体"/>
          <w:sz w:val="24"/>
        </w:rPr>
        <w:t>法定代表人</w:t>
      </w:r>
      <w:r>
        <w:rPr>
          <w:rFonts w:hint="eastAsia" w:ascii="宋体" w:hAnsi="宋体" w:cs="宋体"/>
          <w:sz w:val="24"/>
          <w:lang w:bidi="ar"/>
        </w:rPr>
        <w:t>（或企业负责人）</w:t>
      </w:r>
      <w:r>
        <w:rPr>
          <w:rFonts w:hint="eastAsia" w:ascii="宋体" w:hAnsi="宋体" w:cs="宋体"/>
          <w:spacing w:val="20"/>
          <w:sz w:val="24"/>
        </w:rPr>
        <w:t>或授权代表</w:t>
      </w:r>
      <w:r>
        <w:rPr>
          <w:rFonts w:hint="eastAsia" w:ascii="宋体" w:hAnsi="宋体" w:cs="宋体"/>
          <w:sz w:val="24"/>
        </w:rPr>
        <w:t>签字：（签字或盖章）</w:t>
      </w:r>
      <w:r>
        <w:rPr>
          <w:rFonts w:hint="eastAsia" w:ascii="宋体" w:hAnsi="宋体" w:cs="宋体"/>
          <w:sz w:val="24"/>
          <w:u w:val="single"/>
        </w:rPr>
        <w:t xml:space="preserve">             </w:t>
      </w:r>
    </w:p>
    <w:p>
      <w:pPr>
        <w:spacing w:line="360" w:lineRule="auto"/>
        <w:ind w:firstLine="3840" w:firstLineChars="160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rPr>
          <w:rFonts w:hint="eastAsia" w:ascii="宋体" w:hAnsi="宋体" w:cs="宋体"/>
          <w:sz w:val="24"/>
        </w:rPr>
      </w:pPr>
      <w:r>
        <w:rPr>
          <w:rFonts w:hint="eastAsia" w:ascii="宋体" w:hAnsi="宋体" w:cs="宋体"/>
          <w:sz w:val="24"/>
        </w:rPr>
        <w:br w:type="page"/>
      </w:r>
      <w:r>
        <w:rPr>
          <w:rStyle w:val="105"/>
          <w:rFonts w:hint="eastAsia" w:ascii="宋体" w:hAnsi="宋体" w:cs="宋体"/>
        </w:rPr>
        <w:t>附件八、技术条款响应表</w:t>
      </w:r>
    </w:p>
    <w:p>
      <w:pPr>
        <w:ind w:firstLine="211" w:firstLineChars="100"/>
        <w:jc w:val="center"/>
        <w:rPr>
          <w:rFonts w:hint="eastAsia"/>
          <w:b/>
        </w:rPr>
      </w:pPr>
    </w:p>
    <w:p>
      <w:pPr>
        <w:ind w:firstLine="211" w:firstLineChars="100"/>
        <w:jc w:val="center"/>
        <w:rPr>
          <w:rFonts w:hint="eastAsia" w:ascii="宋体" w:hAnsi="宋体"/>
        </w:rPr>
      </w:pPr>
      <w:r>
        <w:rPr>
          <w:rFonts w:hint="eastAsia"/>
          <w:b/>
        </w:rPr>
        <w:t>1、技术条款响应一览表</w:t>
      </w:r>
    </w:p>
    <w:p>
      <w:pPr>
        <w:ind w:firstLine="210" w:firstLineChars="100"/>
        <w:rPr>
          <w:rFonts w:hint="eastAsia"/>
        </w:rPr>
      </w:pPr>
    </w:p>
    <w:p>
      <w:pPr>
        <w:ind w:firstLine="210" w:firstLineChars="100"/>
        <w:rPr>
          <w:rFonts w:hint="eastAsia" w:ascii="宋体" w:hAnsi="宋体"/>
        </w:rPr>
      </w:pPr>
      <w:r>
        <w:rPr>
          <w:rFonts w:hint="eastAsia"/>
        </w:rPr>
        <w:t xml:space="preserve">标  项：                         </w:t>
      </w:r>
      <w:r>
        <w:rPr>
          <w:rFonts w:hint="eastAsia" w:ascii="宋体" w:hAnsi="宋体"/>
        </w:rPr>
        <w:t>项目名称：</w:t>
      </w:r>
    </w:p>
    <w:p>
      <w:pPr>
        <w:ind w:firstLine="210" w:firstLineChars="100"/>
        <w:rPr>
          <w:rFonts w:hint="eastAsia" w:ascii="宋体" w:hAnsi="宋体"/>
        </w:rPr>
      </w:pPr>
    </w:p>
    <w:tbl>
      <w:tblPr>
        <w:tblStyle w:val="5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688"/>
        <w:gridCol w:w="2835"/>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14" w:type="dxa"/>
            <w:noWrap w:val="0"/>
            <w:vAlign w:val="center"/>
          </w:tcPr>
          <w:p>
            <w:pPr>
              <w:jc w:val="center"/>
              <w:rPr>
                <w:rFonts w:hint="eastAsia" w:ascii="宋体" w:hAnsi="宋体"/>
                <w:szCs w:val="21"/>
              </w:rPr>
            </w:pPr>
            <w:r>
              <w:rPr>
                <w:rFonts w:hint="eastAsia" w:ascii="宋体" w:hAnsi="宋体"/>
                <w:szCs w:val="21"/>
              </w:rPr>
              <w:t>序号</w:t>
            </w:r>
          </w:p>
        </w:tc>
        <w:tc>
          <w:tcPr>
            <w:tcW w:w="2688" w:type="dxa"/>
            <w:noWrap w:val="0"/>
            <w:vAlign w:val="center"/>
          </w:tcPr>
          <w:p>
            <w:pPr>
              <w:ind w:firstLine="210" w:firstLineChars="100"/>
              <w:jc w:val="center"/>
              <w:rPr>
                <w:rFonts w:hint="eastAsia" w:ascii="宋体" w:hAnsi="宋体"/>
              </w:rPr>
            </w:pPr>
            <w:r>
              <w:rPr>
                <w:rFonts w:hint="eastAsia" w:ascii="宋体" w:hAnsi="宋体"/>
              </w:rPr>
              <w:t>招标文件要求</w:t>
            </w:r>
          </w:p>
        </w:tc>
        <w:tc>
          <w:tcPr>
            <w:tcW w:w="2835" w:type="dxa"/>
            <w:noWrap w:val="0"/>
            <w:vAlign w:val="center"/>
          </w:tcPr>
          <w:p>
            <w:pPr>
              <w:ind w:left="-78" w:leftChars="-37" w:right="-80" w:rightChars="-38"/>
              <w:jc w:val="center"/>
              <w:rPr>
                <w:rFonts w:hint="eastAsia" w:ascii="宋体" w:hAnsi="宋体"/>
              </w:rPr>
            </w:pPr>
            <w:r>
              <w:rPr>
                <w:rFonts w:hint="eastAsia" w:ascii="宋体" w:hAnsi="宋体"/>
              </w:rPr>
              <w:t>投标人响应描述</w:t>
            </w:r>
          </w:p>
        </w:tc>
        <w:tc>
          <w:tcPr>
            <w:tcW w:w="2694" w:type="dxa"/>
            <w:noWrap w:val="0"/>
            <w:vAlign w:val="center"/>
          </w:tcPr>
          <w:p>
            <w:pPr>
              <w:ind w:left="-78" w:leftChars="-37" w:right="-80" w:rightChars="-38"/>
              <w:jc w:val="center"/>
              <w:rPr>
                <w:rFonts w:hint="eastAsia" w:ascii="宋体" w:hAnsi="宋体"/>
              </w:rPr>
            </w:pPr>
            <w:r>
              <w:rPr>
                <w:rFonts w:hint="eastAsia" w:ascii="宋体" w:hAnsi="宋体"/>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14" w:type="dxa"/>
            <w:noWrap w:val="0"/>
            <w:vAlign w:val="top"/>
          </w:tcPr>
          <w:p>
            <w:pPr>
              <w:rPr>
                <w:rFonts w:hint="eastAsia" w:ascii="宋体" w:hAnsi="宋体"/>
              </w:rPr>
            </w:pPr>
          </w:p>
        </w:tc>
        <w:tc>
          <w:tcPr>
            <w:tcW w:w="2688" w:type="dxa"/>
            <w:noWrap w:val="0"/>
            <w:vAlign w:val="top"/>
          </w:tcPr>
          <w:p>
            <w:pPr>
              <w:rPr>
                <w:rFonts w:hint="eastAsia" w:ascii="宋体" w:hAnsi="宋体"/>
              </w:rPr>
            </w:pPr>
          </w:p>
        </w:tc>
        <w:tc>
          <w:tcPr>
            <w:tcW w:w="2835" w:type="dxa"/>
            <w:noWrap w:val="0"/>
            <w:vAlign w:val="top"/>
          </w:tcPr>
          <w:p>
            <w:pPr>
              <w:rPr>
                <w:rFonts w:hint="eastAsia" w:ascii="宋体" w:hAnsi="宋体"/>
              </w:rPr>
            </w:pPr>
          </w:p>
        </w:tc>
        <w:tc>
          <w:tcPr>
            <w:tcW w:w="2694" w:type="dxa"/>
            <w:noWrap w:val="0"/>
            <w:vAlign w:val="top"/>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14" w:type="dxa"/>
            <w:noWrap w:val="0"/>
            <w:vAlign w:val="top"/>
          </w:tcPr>
          <w:p>
            <w:pPr>
              <w:rPr>
                <w:rFonts w:hint="eastAsia" w:ascii="宋体" w:hAnsi="宋体"/>
              </w:rPr>
            </w:pPr>
          </w:p>
        </w:tc>
        <w:tc>
          <w:tcPr>
            <w:tcW w:w="2688" w:type="dxa"/>
            <w:noWrap w:val="0"/>
            <w:vAlign w:val="top"/>
          </w:tcPr>
          <w:p>
            <w:pPr>
              <w:rPr>
                <w:rFonts w:hint="eastAsia" w:ascii="宋体" w:hAnsi="宋体"/>
              </w:rPr>
            </w:pPr>
          </w:p>
        </w:tc>
        <w:tc>
          <w:tcPr>
            <w:tcW w:w="2835" w:type="dxa"/>
            <w:noWrap w:val="0"/>
            <w:vAlign w:val="top"/>
          </w:tcPr>
          <w:p>
            <w:pPr>
              <w:rPr>
                <w:rFonts w:hint="eastAsia" w:ascii="宋体" w:hAnsi="宋体"/>
              </w:rPr>
            </w:pPr>
          </w:p>
        </w:tc>
        <w:tc>
          <w:tcPr>
            <w:tcW w:w="2694" w:type="dxa"/>
            <w:noWrap w:val="0"/>
            <w:vAlign w:val="top"/>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14" w:type="dxa"/>
            <w:noWrap w:val="0"/>
            <w:vAlign w:val="top"/>
          </w:tcPr>
          <w:p>
            <w:pPr>
              <w:rPr>
                <w:rFonts w:hint="eastAsia" w:ascii="宋体" w:hAnsi="宋体"/>
              </w:rPr>
            </w:pPr>
          </w:p>
        </w:tc>
        <w:tc>
          <w:tcPr>
            <w:tcW w:w="2688" w:type="dxa"/>
            <w:noWrap w:val="0"/>
            <w:vAlign w:val="top"/>
          </w:tcPr>
          <w:p>
            <w:pPr>
              <w:rPr>
                <w:rFonts w:hint="eastAsia" w:ascii="宋体" w:hAnsi="宋体"/>
              </w:rPr>
            </w:pPr>
          </w:p>
        </w:tc>
        <w:tc>
          <w:tcPr>
            <w:tcW w:w="2835" w:type="dxa"/>
            <w:noWrap w:val="0"/>
            <w:vAlign w:val="top"/>
          </w:tcPr>
          <w:p>
            <w:pPr>
              <w:rPr>
                <w:rFonts w:hint="eastAsia" w:ascii="宋体" w:hAnsi="宋体"/>
              </w:rPr>
            </w:pPr>
          </w:p>
        </w:tc>
        <w:tc>
          <w:tcPr>
            <w:tcW w:w="2694" w:type="dxa"/>
            <w:noWrap w:val="0"/>
            <w:vAlign w:val="top"/>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14" w:type="dxa"/>
            <w:noWrap w:val="0"/>
            <w:vAlign w:val="top"/>
          </w:tcPr>
          <w:p>
            <w:pPr>
              <w:rPr>
                <w:rFonts w:hint="eastAsia" w:ascii="宋体" w:hAnsi="宋体"/>
              </w:rPr>
            </w:pPr>
          </w:p>
        </w:tc>
        <w:tc>
          <w:tcPr>
            <w:tcW w:w="2688" w:type="dxa"/>
            <w:noWrap w:val="0"/>
            <w:vAlign w:val="top"/>
          </w:tcPr>
          <w:p>
            <w:pPr>
              <w:rPr>
                <w:rFonts w:hint="eastAsia" w:ascii="宋体" w:hAnsi="宋体"/>
              </w:rPr>
            </w:pPr>
          </w:p>
        </w:tc>
        <w:tc>
          <w:tcPr>
            <w:tcW w:w="2835" w:type="dxa"/>
            <w:noWrap w:val="0"/>
            <w:vAlign w:val="top"/>
          </w:tcPr>
          <w:p>
            <w:pPr>
              <w:rPr>
                <w:rFonts w:hint="eastAsia" w:ascii="宋体" w:hAnsi="宋体"/>
              </w:rPr>
            </w:pPr>
          </w:p>
        </w:tc>
        <w:tc>
          <w:tcPr>
            <w:tcW w:w="2694" w:type="dxa"/>
            <w:noWrap w:val="0"/>
            <w:vAlign w:val="top"/>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14" w:type="dxa"/>
            <w:noWrap w:val="0"/>
            <w:vAlign w:val="top"/>
          </w:tcPr>
          <w:p>
            <w:pPr>
              <w:rPr>
                <w:rFonts w:hint="eastAsia" w:ascii="宋体" w:hAnsi="宋体"/>
              </w:rPr>
            </w:pPr>
          </w:p>
        </w:tc>
        <w:tc>
          <w:tcPr>
            <w:tcW w:w="2688" w:type="dxa"/>
            <w:noWrap w:val="0"/>
            <w:vAlign w:val="top"/>
          </w:tcPr>
          <w:p>
            <w:pPr>
              <w:rPr>
                <w:rFonts w:hint="eastAsia" w:ascii="宋体" w:hAnsi="宋体"/>
              </w:rPr>
            </w:pPr>
          </w:p>
        </w:tc>
        <w:tc>
          <w:tcPr>
            <w:tcW w:w="2835" w:type="dxa"/>
            <w:noWrap w:val="0"/>
            <w:vAlign w:val="top"/>
          </w:tcPr>
          <w:p>
            <w:pPr>
              <w:rPr>
                <w:rFonts w:hint="eastAsia" w:ascii="宋体" w:hAnsi="宋体"/>
              </w:rPr>
            </w:pPr>
          </w:p>
        </w:tc>
        <w:tc>
          <w:tcPr>
            <w:tcW w:w="2694" w:type="dxa"/>
            <w:noWrap w:val="0"/>
            <w:vAlign w:val="top"/>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14" w:type="dxa"/>
            <w:noWrap w:val="0"/>
            <w:vAlign w:val="top"/>
          </w:tcPr>
          <w:p>
            <w:pPr>
              <w:rPr>
                <w:rFonts w:hint="eastAsia" w:ascii="宋体" w:hAnsi="宋体"/>
              </w:rPr>
            </w:pPr>
            <w:r>
              <w:rPr>
                <w:rFonts w:ascii="宋体" w:hAnsi="宋体"/>
              </w:rPr>
              <w:t>……</w:t>
            </w:r>
          </w:p>
        </w:tc>
        <w:tc>
          <w:tcPr>
            <w:tcW w:w="2688" w:type="dxa"/>
            <w:noWrap w:val="0"/>
            <w:vAlign w:val="top"/>
          </w:tcPr>
          <w:p>
            <w:pPr>
              <w:rPr>
                <w:rFonts w:hint="eastAsia" w:ascii="宋体" w:hAnsi="宋体"/>
              </w:rPr>
            </w:pPr>
          </w:p>
        </w:tc>
        <w:tc>
          <w:tcPr>
            <w:tcW w:w="2835" w:type="dxa"/>
            <w:noWrap w:val="0"/>
            <w:vAlign w:val="top"/>
          </w:tcPr>
          <w:p>
            <w:pPr>
              <w:rPr>
                <w:rFonts w:hint="eastAsia" w:ascii="宋体" w:hAnsi="宋体"/>
              </w:rPr>
            </w:pPr>
          </w:p>
        </w:tc>
        <w:tc>
          <w:tcPr>
            <w:tcW w:w="2694" w:type="dxa"/>
            <w:noWrap w:val="0"/>
            <w:vAlign w:val="top"/>
          </w:tcPr>
          <w:p>
            <w:pPr>
              <w:rPr>
                <w:rFonts w:hint="eastAsia" w:ascii="宋体" w:hAnsi="宋体"/>
              </w:rPr>
            </w:pPr>
          </w:p>
        </w:tc>
      </w:tr>
    </w:tbl>
    <w:p>
      <w:pPr>
        <w:rPr>
          <w:rFonts w:hint="eastAsia" w:ascii="宋体" w:hAnsi="宋体"/>
          <w:b/>
        </w:rPr>
      </w:pPr>
    </w:p>
    <w:p>
      <w:pPr>
        <w:spacing w:line="360" w:lineRule="auto"/>
        <w:ind w:firstLine="422" w:firstLineChars="200"/>
        <w:rPr>
          <w:rFonts w:hint="eastAsia" w:ascii="宋体" w:hAnsi="宋体"/>
          <w:spacing w:val="4"/>
        </w:rPr>
      </w:pPr>
      <w:r>
        <w:rPr>
          <w:rFonts w:hint="eastAsia" w:ascii="宋体" w:hAnsi="宋体"/>
          <w:b/>
        </w:rPr>
        <w:t>说明：</w:t>
      </w:r>
      <w:r>
        <w:rPr>
          <w:rFonts w:hint="eastAsia" w:ascii="宋体" w:hAnsi="宋体"/>
        </w:rPr>
        <w:t>投标人必须对应采购文件技术条款逐条应答并按要求填写上表。</w:t>
      </w:r>
      <w:r>
        <w:rPr>
          <w:rFonts w:hint="eastAsia" w:ascii="宋体" w:hAnsi="宋体" w:cs="宋体"/>
          <w:kern w:val="0"/>
          <w:szCs w:val="21"/>
        </w:rPr>
        <w:t>条款要求提供的相关证明资料必须一并提供，否则视为负偏离。</w:t>
      </w:r>
    </w:p>
    <w:p>
      <w:pPr>
        <w:adjustRightInd w:val="0"/>
        <w:snapToGrid w:val="0"/>
        <w:spacing w:line="360" w:lineRule="auto"/>
        <w:ind w:left="424" w:leftChars="202"/>
        <w:rPr>
          <w:rFonts w:hint="eastAsia" w:ascii="宋体" w:hAnsi="宋体"/>
          <w:spacing w:val="4"/>
        </w:rPr>
      </w:pPr>
    </w:p>
    <w:p>
      <w:pPr>
        <w:spacing w:line="360" w:lineRule="auto"/>
        <w:ind w:firstLine="3675" w:firstLineChars="1750"/>
        <w:rPr>
          <w:rFonts w:hint="eastAsia"/>
        </w:rPr>
      </w:pPr>
      <w:r>
        <w:rPr>
          <w:rFonts w:hint="eastAsia"/>
        </w:rPr>
        <w:t>投标人（盖章）</w:t>
      </w:r>
    </w:p>
    <w:p>
      <w:pPr>
        <w:spacing w:line="360" w:lineRule="auto"/>
        <w:rPr>
          <w:rFonts w:hint="eastAsia"/>
        </w:rPr>
      </w:pPr>
      <w:r>
        <w:rPr>
          <w:rFonts w:hint="eastAsia"/>
        </w:rPr>
        <w:t xml:space="preserve">                                  法定代表人（或企业负责人）或其授权委托人（签名或印章）：</w:t>
      </w:r>
    </w:p>
    <w:p>
      <w:pPr>
        <w:spacing w:line="360" w:lineRule="auto"/>
        <w:rPr>
          <w:rFonts w:hint="eastAsia"/>
        </w:rPr>
      </w:pPr>
      <w:r>
        <w:rPr>
          <w:rFonts w:hint="eastAsia"/>
        </w:rPr>
        <w:t xml:space="preserve">                                  日    期：</w:t>
      </w:r>
    </w:p>
    <w:p>
      <w:pPr>
        <w:rPr>
          <w:rFonts w:hint="eastAsia"/>
        </w:rPr>
      </w:pPr>
    </w:p>
    <w:p>
      <w:pPr>
        <w:rPr>
          <w:rFonts w:hint="eastAsia"/>
        </w:rPr>
      </w:pPr>
    </w:p>
    <w:p>
      <w:pPr>
        <w:spacing w:line="360" w:lineRule="auto"/>
        <w:ind w:firstLine="3855" w:firstLineChars="1600"/>
        <w:rPr>
          <w:rStyle w:val="105"/>
          <w:rFonts w:ascii="宋体" w:hAnsi="宋体" w:cs="宋体"/>
          <w:sz w:val="28"/>
          <w:szCs w:val="28"/>
        </w:rPr>
      </w:pPr>
      <w:r>
        <w:rPr>
          <w:b/>
          <w:sz w:val="24"/>
        </w:rPr>
        <w:br w:type="page"/>
      </w:r>
      <w:r>
        <w:rPr>
          <w:rFonts w:hint="eastAsia" w:ascii="宋体" w:hAnsi="宋体" w:cs="宋体"/>
          <w:lang w:bidi="ar"/>
        </w:rPr>
        <w:t xml:space="preserve">   </w:t>
      </w:r>
    </w:p>
    <w:p>
      <w:pPr>
        <w:spacing w:line="360" w:lineRule="auto"/>
        <w:ind w:firstLine="560" w:firstLineChars="200"/>
        <w:rPr>
          <w:rFonts w:hint="eastAsia" w:ascii="宋体" w:hAnsi="宋体" w:cs="宋体"/>
          <w:lang w:bidi="ar"/>
        </w:rPr>
      </w:pPr>
      <w:r>
        <w:rPr>
          <w:rStyle w:val="105"/>
          <w:rFonts w:hint="eastAsia" w:ascii="宋体" w:hAnsi="宋体" w:cs="宋体"/>
          <w:sz w:val="28"/>
          <w:szCs w:val="28"/>
        </w:rPr>
        <w:t>附件十一、同类项目业绩</w:t>
      </w:r>
    </w:p>
    <w:p>
      <w:pPr>
        <w:pStyle w:val="20"/>
        <w:spacing w:line="360" w:lineRule="exact"/>
        <w:jc w:val="center"/>
        <w:rPr>
          <w:rFonts w:hint="eastAsia" w:ascii="宋体" w:hAnsi="宋体" w:cs="宋体"/>
          <w:b/>
          <w:sz w:val="24"/>
        </w:rPr>
      </w:pPr>
      <w:r>
        <w:rPr>
          <w:rFonts w:hint="eastAsia" w:ascii="宋体" w:hAnsi="宋体" w:cs="宋体"/>
          <w:b/>
          <w:sz w:val="24"/>
          <w:szCs w:val="22"/>
        </w:rPr>
        <w:t>同类项目业</w:t>
      </w:r>
      <w:r>
        <w:rPr>
          <w:rFonts w:hint="eastAsia" w:ascii="宋体" w:hAnsi="宋体" w:cs="宋体"/>
          <w:b/>
          <w:sz w:val="24"/>
        </w:rPr>
        <w:t>绩</w:t>
      </w:r>
    </w:p>
    <w:p>
      <w:pPr>
        <w:spacing w:line="360" w:lineRule="exact"/>
        <w:rPr>
          <w:rFonts w:hint="eastAsia" w:ascii="宋体" w:hAnsi="宋体" w:cs="宋体"/>
          <w:sz w:val="24"/>
        </w:rPr>
      </w:pPr>
      <w:r>
        <w:rPr>
          <w:rFonts w:hint="eastAsia" w:ascii="宋体" w:hAnsi="宋体" w:cs="宋体"/>
          <w:szCs w:val="21"/>
        </w:rPr>
        <w:t xml:space="preserve">招标编号：                                      招标项目名称：              </w:t>
      </w:r>
    </w:p>
    <w:tbl>
      <w:tblPr>
        <w:tblStyle w:val="51"/>
        <w:tblW w:w="0" w:type="auto"/>
        <w:tblInd w:w="0" w:type="dxa"/>
        <w:tblLayout w:type="fixed"/>
        <w:tblCellMar>
          <w:top w:w="0" w:type="dxa"/>
          <w:left w:w="108" w:type="dxa"/>
          <w:bottom w:w="0" w:type="dxa"/>
          <w:right w:w="108" w:type="dxa"/>
        </w:tblCellMar>
      </w:tblPr>
      <w:tblGrid>
        <w:gridCol w:w="763"/>
        <w:gridCol w:w="1505"/>
        <w:gridCol w:w="1266"/>
        <w:gridCol w:w="1413"/>
        <w:gridCol w:w="1260"/>
        <w:gridCol w:w="1260"/>
        <w:gridCol w:w="1997"/>
      </w:tblGrid>
      <w:tr>
        <w:tblPrEx>
          <w:tblCellMar>
            <w:top w:w="0" w:type="dxa"/>
            <w:left w:w="108" w:type="dxa"/>
            <w:bottom w:w="0" w:type="dxa"/>
            <w:right w:w="108" w:type="dxa"/>
          </w:tblCellMar>
        </w:tblPrEx>
        <w:trPr>
          <w:trHeight w:val="605" w:hRule="atLeast"/>
        </w:trPr>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序号</w:t>
            </w: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项目名称</w:t>
            </w: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合同金额（元）</w:t>
            </w:r>
          </w:p>
        </w:tc>
        <w:tc>
          <w:tcPr>
            <w:tcW w:w="1413"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业主单位</w:t>
            </w: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业主单位联系人电话</w:t>
            </w: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签订时间</w:t>
            </w:r>
          </w:p>
        </w:tc>
        <w:tc>
          <w:tcPr>
            <w:tcW w:w="1997"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rPr>
            </w:pPr>
            <w:r>
              <w:rPr>
                <w:rFonts w:hint="eastAsia" w:ascii="宋体" w:hAnsi="宋体" w:cs="宋体"/>
                <w:spacing w:val="20"/>
              </w:rPr>
              <w:t>备注</w:t>
            </w: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r>
        <w:tblPrEx>
          <w:tblCellMar>
            <w:top w:w="0" w:type="dxa"/>
            <w:left w:w="108" w:type="dxa"/>
            <w:bottom w:w="0" w:type="dxa"/>
            <w:right w:w="108" w:type="dxa"/>
          </w:tblCellMar>
        </w:tblPrEx>
        <w:tc>
          <w:tcPr>
            <w:tcW w:w="763" w:type="dxa"/>
            <w:tcBorders>
              <w:top w:val="single" w:color="000000" w:sz="4" w:space="0"/>
              <w:left w:val="single" w:color="000000" w:sz="4" w:space="0"/>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505"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266"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413"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c>
          <w:tcPr>
            <w:tcW w:w="1260" w:type="dxa"/>
            <w:tcBorders>
              <w:top w:val="single" w:color="000000" w:sz="4" w:space="0"/>
              <w:left w:val="nil"/>
              <w:bottom w:val="single" w:color="000000" w:sz="4" w:space="0"/>
              <w:right w:val="single" w:color="000000" w:sz="4" w:space="0"/>
            </w:tcBorders>
            <w:noWrap w:val="0"/>
            <w:vAlign w:val="center"/>
          </w:tcPr>
          <w:p>
            <w:pPr>
              <w:pStyle w:val="200"/>
              <w:spacing w:line="360" w:lineRule="auto"/>
              <w:jc w:val="center"/>
              <w:rPr>
                <w:rFonts w:hint="eastAsia" w:ascii="宋体" w:hAnsi="宋体" w:cs="宋体"/>
                <w:spacing w:val="20"/>
                <w:sz w:val="28"/>
                <w:szCs w:val="28"/>
              </w:rPr>
            </w:pPr>
          </w:p>
        </w:tc>
        <w:tc>
          <w:tcPr>
            <w:tcW w:w="1997" w:type="dxa"/>
            <w:tcBorders>
              <w:top w:val="single" w:color="000000" w:sz="4" w:space="0"/>
              <w:left w:val="nil"/>
              <w:bottom w:val="single" w:color="000000" w:sz="4" w:space="0"/>
              <w:right w:val="single" w:color="000000" w:sz="4" w:space="0"/>
            </w:tcBorders>
            <w:noWrap w:val="0"/>
            <w:vAlign w:val="top"/>
          </w:tcPr>
          <w:p>
            <w:pPr>
              <w:pStyle w:val="200"/>
              <w:spacing w:line="360" w:lineRule="auto"/>
              <w:jc w:val="center"/>
              <w:rPr>
                <w:rFonts w:hint="eastAsia" w:ascii="宋体" w:hAnsi="宋体" w:cs="宋体"/>
                <w:spacing w:val="20"/>
                <w:sz w:val="28"/>
                <w:szCs w:val="28"/>
              </w:rPr>
            </w:pPr>
          </w:p>
        </w:tc>
      </w:tr>
    </w:tbl>
    <w:p>
      <w:pPr>
        <w:pStyle w:val="144"/>
        <w:spacing w:line="360" w:lineRule="auto"/>
        <w:ind w:firstLine="0"/>
        <w:rPr>
          <w:rFonts w:hint="eastAsia"/>
          <w:b/>
          <w:bCs/>
        </w:rPr>
      </w:pPr>
      <w:r>
        <w:rPr>
          <w:rFonts w:hint="eastAsia"/>
          <w:b/>
          <w:bCs/>
        </w:rPr>
        <w:t>1. 此表在不改变表式的情况下，可自行制作。</w:t>
      </w:r>
    </w:p>
    <w:p>
      <w:pPr>
        <w:pStyle w:val="20"/>
        <w:rPr>
          <w:rFonts w:hint="eastAsia" w:ascii="宋体" w:hAnsi="宋体" w:cs="宋体"/>
        </w:rPr>
      </w:pPr>
      <w:r>
        <w:rPr>
          <w:rFonts w:hint="eastAsia" w:ascii="宋体" w:hAnsi="宋体" w:cs="宋体"/>
          <w:b/>
          <w:bCs/>
          <w:spacing w:val="20"/>
        </w:rPr>
        <w:t>2</w:t>
      </w:r>
      <w:r>
        <w:rPr>
          <w:rFonts w:hint="eastAsia" w:ascii="宋体" w:hAnsi="宋体" w:cs="宋体"/>
          <w:b/>
          <w:bCs/>
          <w:kern w:val="0"/>
          <w:szCs w:val="21"/>
        </w:rPr>
        <w:t>. 表中项目按评标办法要求提供，表后附按评标办法要求附相关证明材料。</w:t>
      </w:r>
    </w:p>
    <w:p>
      <w:pPr>
        <w:pStyle w:val="20"/>
        <w:rPr>
          <w:rFonts w:hint="eastAsia" w:ascii="宋体" w:hAnsi="宋体" w:cs="宋体"/>
          <w:b/>
          <w:bCs/>
          <w:kern w:val="0"/>
          <w:szCs w:val="21"/>
        </w:rPr>
      </w:pPr>
    </w:p>
    <w:p>
      <w:pPr>
        <w:spacing w:line="400" w:lineRule="exact"/>
        <w:rPr>
          <w:rFonts w:hint="eastAsia" w:ascii="宋体" w:hAnsi="宋体" w:cs="宋体"/>
          <w:sz w:val="24"/>
        </w:rPr>
      </w:pPr>
      <w:r>
        <w:rPr>
          <w:rFonts w:hint="eastAsia" w:ascii="宋体" w:hAnsi="宋体" w:cs="宋体"/>
          <w:sz w:val="24"/>
        </w:rPr>
        <w:t>投标供应商（公章）：</w:t>
      </w:r>
    </w:p>
    <w:p>
      <w:pPr>
        <w:spacing w:line="400" w:lineRule="exact"/>
        <w:ind w:left="525" w:leftChars="250" w:firstLine="2640" w:firstLineChars="1100"/>
        <w:rPr>
          <w:rFonts w:hint="eastAsia" w:ascii="宋体" w:hAnsi="宋体" w:cs="宋体"/>
          <w:sz w:val="24"/>
        </w:rPr>
      </w:pPr>
    </w:p>
    <w:p>
      <w:pPr>
        <w:spacing w:line="400" w:lineRule="exact"/>
        <w:rPr>
          <w:rFonts w:hint="eastAsia" w:ascii="宋体" w:hAnsi="宋体" w:cs="宋体"/>
          <w:sz w:val="24"/>
        </w:rPr>
      </w:pPr>
      <w:r>
        <w:rPr>
          <w:rFonts w:hint="eastAsia" w:ascii="宋体" w:hAnsi="宋体" w:cs="宋体"/>
          <w:sz w:val="24"/>
        </w:rPr>
        <w:t>法定代表人</w:t>
      </w:r>
      <w:r>
        <w:rPr>
          <w:rFonts w:hint="eastAsia" w:ascii="宋体" w:hAnsi="宋体" w:cs="宋体"/>
          <w:sz w:val="24"/>
          <w:lang w:bidi="ar"/>
        </w:rPr>
        <w:t>（或企业负责人）</w:t>
      </w:r>
      <w:r>
        <w:rPr>
          <w:rFonts w:hint="eastAsia" w:ascii="宋体" w:hAnsi="宋体" w:cs="宋体"/>
          <w:sz w:val="24"/>
        </w:rPr>
        <w:t>或其委托代理人：（签字或盖章）</w:t>
      </w:r>
    </w:p>
    <w:p>
      <w:pPr>
        <w:tabs>
          <w:tab w:val="left" w:pos="2625"/>
        </w:tabs>
        <w:spacing w:line="400" w:lineRule="exact"/>
        <w:ind w:firstLine="2976" w:firstLineChars="1240"/>
        <w:rPr>
          <w:rFonts w:hint="eastAsia" w:ascii="宋体" w:hAnsi="宋体" w:cs="宋体"/>
          <w:sz w:val="24"/>
        </w:rPr>
      </w:pPr>
    </w:p>
    <w:p>
      <w:pPr>
        <w:spacing w:line="400" w:lineRule="exact"/>
        <w:jc w:val="righ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日</w:t>
      </w:r>
    </w:p>
    <w:p>
      <w:pPr>
        <w:spacing w:line="360" w:lineRule="auto"/>
        <w:ind w:firstLine="420" w:firstLineChars="200"/>
        <w:rPr>
          <w:rFonts w:hint="eastAsia" w:ascii="宋体" w:hAnsi="宋体" w:cs="宋体"/>
        </w:rPr>
      </w:pPr>
      <w:r>
        <w:rPr>
          <w:rFonts w:hint="eastAsia" w:ascii="宋体" w:hAnsi="宋体" w:cs="宋体"/>
          <w:lang w:bidi="ar"/>
        </w:rPr>
        <w:br w:type="page"/>
      </w:r>
      <w:r>
        <w:rPr>
          <w:rFonts w:hint="eastAsia" w:ascii="宋体" w:hAnsi="宋体" w:cs="宋体"/>
          <w:lang w:bidi="ar"/>
        </w:rPr>
        <w:t>三、报价文件的外包装封面格式：</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jc w:val="center"/>
        <w:rPr>
          <w:rFonts w:hint="eastAsia" w:ascii="宋体" w:hAnsi="宋体" w:cs="宋体"/>
          <w:b/>
          <w:sz w:val="32"/>
          <w:szCs w:val="32"/>
        </w:rPr>
      </w:pPr>
      <w:r>
        <w:rPr>
          <w:rFonts w:hint="eastAsia" w:ascii="宋体" w:hAnsi="宋体" w:cs="宋体"/>
          <w:b/>
          <w:sz w:val="32"/>
          <w:szCs w:val="32"/>
          <w:lang w:bidi="ar"/>
        </w:rPr>
        <w:t>报价文件</w:t>
      </w:r>
    </w:p>
    <w:p>
      <w:pPr>
        <w:rPr>
          <w:rFonts w:hint="eastAsia" w:ascii="宋体" w:hAnsi="宋体" w:cs="宋体"/>
          <w:szCs w:val="21"/>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项目名称：                        项目</w:t>
      </w:r>
    </w:p>
    <w:p>
      <w:pPr>
        <w:rPr>
          <w:rFonts w:hint="eastAsia" w:ascii="宋体" w:hAnsi="宋体" w:cs="宋体"/>
        </w:rPr>
      </w:pPr>
      <w:r>
        <w:rPr>
          <w:rFonts w:hint="eastAsia" w:ascii="宋体" w:hAnsi="宋体" w:cs="宋体"/>
          <w:lang w:bidi="ar"/>
        </w:rPr>
        <w:t xml:space="preserve">项目编号： </w:t>
      </w:r>
    </w:p>
    <w:p>
      <w:pPr>
        <w:rPr>
          <w:rFonts w:hint="eastAsia" w:ascii="宋体" w:hAnsi="宋体" w:cs="宋体"/>
        </w:rPr>
      </w:pPr>
      <w:r>
        <w:rPr>
          <w:rFonts w:hint="eastAsia" w:ascii="宋体" w:hAnsi="宋体" w:cs="宋体"/>
          <w:lang w:bidi="ar"/>
        </w:rPr>
        <w:t>投标人名称：</w:t>
      </w:r>
    </w:p>
    <w:p>
      <w:pPr>
        <w:rPr>
          <w:rFonts w:hint="eastAsia" w:ascii="宋体" w:hAnsi="宋体" w:cs="宋体"/>
        </w:rPr>
      </w:pPr>
      <w:r>
        <w:rPr>
          <w:rFonts w:hint="eastAsia" w:ascii="宋体" w:hAnsi="宋体" w:cs="宋体"/>
          <w:lang w:bidi="ar"/>
        </w:rPr>
        <w:t>投标人地址：</w:t>
      </w:r>
    </w:p>
    <w:p>
      <w:pPr>
        <w:rPr>
          <w:rFonts w:hint="eastAsia" w:ascii="宋体" w:hAnsi="宋体" w:cs="宋体"/>
        </w:rPr>
      </w:pPr>
      <w:r>
        <w:rPr>
          <w:rFonts w:hint="eastAsia" w:ascii="宋体" w:hAnsi="宋体" w:cs="宋体"/>
          <w:lang w:bidi="ar"/>
        </w:rPr>
        <w:t>在  年  月  日  时  分之前不得启封</w:t>
      </w:r>
    </w:p>
    <w:p>
      <w:pPr>
        <w:rPr>
          <w:rFonts w:hint="eastAsia" w:ascii="宋体" w:hAnsi="宋体" w:cs="宋体"/>
        </w:rPr>
      </w:pPr>
      <w:r>
        <w:rPr>
          <w:rFonts w:hint="eastAsia" w:ascii="宋体" w:hAnsi="宋体" w:cs="宋体"/>
          <w:lang w:bidi="ar"/>
        </w:rPr>
        <w:t xml:space="preserve"> </w:t>
      </w:r>
    </w:p>
    <w:p>
      <w:pPr>
        <w:ind w:firstLine="5460" w:firstLineChars="2600"/>
        <w:rPr>
          <w:rFonts w:hint="eastAsia" w:ascii="宋体" w:hAnsi="宋体" w:cs="宋体"/>
        </w:rPr>
      </w:pPr>
      <w:r>
        <w:rPr>
          <w:rFonts w:hint="eastAsia" w:ascii="宋体" w:hAnsi="宋体" w:cs="宋体"/>
          <w:lang w:bidi="ar"/>
        </w:rPr>
        <w:t>（投标人公章）</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年  月  日</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四、报价文件封面格式： </w:t>
      </w:r>
    </w:p>
    <w:p>
      <w:pPr>
        <w:rPr>
          <w:rFonts w:hint="eastAsia" w:ascii="宋体" w:hAnsi="宋体" w:cs="宋体"/>
        </w:rPr>
      </w:pPr>
      <w:r>
        <w:rPr>
          <w:rFonts w:hint="eastAsia" w:ascii="宋体" w:hAnsi="宋体" w:cs="宋体"/>
          <w:lang w:bidi="ar"/>
        </w:rPr>
        <w:t xml:space="preserve">                                                    </w:t>
      </w:r>
    </w:p>
    <w:p>
      <w:pPr>
        <w:jc w:val="right"/>
        <w:rPr>
          <w:rFonts w:hint="eastAsia" w:ascii="宋体" w:hAnsi="宋体" w:cs="宋体"/>
        </w:rPr>
      </w:pPr>
      <w:r>
        <w:rPr>
          <w:rFonts w:hint="eastAsia" w:ascii="宋体" w:hAnsi="宋体" w:cs="宋体"/>
          <w:lang w:bidi="ar"/>
        </w:rPr>
        <w:t>正本/或副本</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报价文件</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项目名称：                   项目</w:t>
      </w:r>
    </w:p>
    <w:p>
      <w:pPr>
        <w:rPr>
          <w:rFonts w:hint="eastAsia" w:ascii="宋体" w:hAnsi="宋体" w:cs="宋体"/>
        </w:rPr>
      </w:pPr>
      <w:r>
        <w:rPr>
          <w:rFonts w:hint="eastAsia" w:ascii="宋体" w:hAnsi="宋体" w:cs="宋体"/>
          <w:lang w:bidi="ar"/>
        </w:rPr>
        <w:t xml:space="preserve">项目编号： </w:t>
      </w:r>
    </w:p>
    <w:p>
      <w:pPr>
        <w:rPr>
          <w:rFonts w:hint="eastAsia" w:ascii="宋体" w:hAnsi="宋体" w:cs="宋体"/>
        </w:rPr>
      </w:pPr>
      <w:r>
        <w:rPr>
          <w:rFonts w:hint="eastAsia" w:ascii="宋体" w:hAnsi="宋体" w:cs="宋体"/>
          <w:lang w:bidi="ar"/>
        </w:rPr>
        <w:t>投标人名称：</w:t>
      </w:r>
    </w:p>
    <w:p>
      <w:pPr>
        <w:rPr>
          <w:rFonts w:hint="eastAsia" w:ascii="宋体" w:hAnsi="宋体" w:cs="宋体"/>
        </w:rPr>
      </w:pPr>
      <w:r>
        <w:rPr>
          <w:rFonts w:hint="eastAsia" w:ascii="宋体" w:hAnsi="宋体" w:cs="宋体"/>
          <w:lang w:bidi="ar"/>
        </w:rPr>
        <w:t>投标人地址：</w:t>
      </w:r>
    </w:p>
    <w:p>
      <w:pPr>
        <w:rPr>
          <w:rFonts w:hint="eastAsia" w:ascii="宋体" w:hAnsi="宋体" w:cs="宋体"/>
        </w:rPr>
      </w:pPr>
      <w:r>
        <w:rPr>
          <w:rFonts w:hint="eastAsia" w:ascii="宋体" w:hAnsi="宋体" w:cs="宋体"/>
          <w:lang w:bidi="ar"/>
        </w:rPr>
        <w:t xml:space="preserve"> </w:t>
      </w:r>
    </w:p>
    <w:p>
      <w:pPr>
        <w:rPr>
          <w:rFonts w:hint="eastAsia" w:ascii="宋体" w:hAnsi="宋体" w:cs="宋体"/>
        </w:rPr>
      </w:pPr>
      <w:r>
        <w:rPr>
          <w:rFonts w:hint="eastAsia" w:ascii="宋体" w:hAnsi="宋体" w:cs="宋体"/>
          <w:lang w:bidi="ar"/>
        </w:rPr>
        <w:t xml:space="preserve"> </w:t>
      </w:r>
    </w:p>
    <w:p>
      <w:pPr>
        <w:ind w:firstLine="5670" w:firstLineChars="2700"/>
        <w:rPr>
          <w:rFonts w:hint="eastAsia" w:ascii="宋体" w:hAnsi="宋体" w:cs="宋体"/>
        </w:rPr>
      </w:pPr>
      <w:r>
        <w:rPr>
          <w:rFonts w:hint="eastAsia" w:ascii="宋体" w:hAnsi="宋体" w:cs="宋体"/>
          <w:lang w:bidi="ar"/>
        </w:rPr>
        <w:t>（投标人公章）</w:t>
      </w:r>
    </w:p>
    <w:p>
      <w:pPr>
        <w:rPr>
          <w:rFonts w:hint="eastAsia" w:ascii="宋体" w:hAnsi="宋体" w:cs="宋体"/>
        </w:rPr>
      </w:pPr>
      <w:r>
        <w:rPr>
          <w:rFonts w:hint="eastAsia" w:ascii="宋体" w:hAnsi="宋体" w:cs="宋体"/>
          <w:lang w:bidi="ar"/>
        </w:rPr>
        <w:t xml:space="preserve"> </w:t>
      </w:r>
    </w:p>
    <w:p>
      <w:pPr>
        <w:widowControl/>
        <w:jc w:val="left"/>
        <w:rPr>
          <w:rFonts w:hint="eastAsia" w:ascii="宋体" w:hAnsi="宋体" w:cs="宋体"/>
        </w:rPr>
      </w:pPr>
      <w:r>
        <w:rPr>
          <w:rFonts w:hint="eastAsia" w:ascii="宋体" w:hAnsi="宋体" w:cs="宋体"/>
          <w:lang w:bidi="ar"/>
        </w:rPr>
        <w:t xml:space="preserve">                                                          年  月  日</w:t>
      </w:r>
    </w:p>
    <w:p>
      <w:pPr>
        <w:spacing w:line="360" w:lineRule="auto"/>
        <w:ind w:firstLine="210" w:firstLineChars="100"/>
        <w:rPr>
          <w:rFonts w:hint="eastAsia" w:ascii="宋体" w:hAnsi="宋体" w:cs="宋体"/>
        </w:rPr>
      </w:pPr>
    </w:p>
    <w:p>
      <w:pPr>
        <w:spacing w:line="360" w:lineRule="auto"/>
        <w:ind w:firstLine="210" w:firstLineChars="100"/>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jc w:val="left"/>
        <w:rPr>
          <w:rFonts w:hint="eastAsia" w:ascii="宋体" w:hAnsi="宋体" w:cs="宋体"/>
        </w:rPr>
      </w:pPr>
    </w:p>
    <w:p>
      <w:pPr>
        <w:adjustRightInd w:val="0"/>
        <w:snapToGrid w:val="0"/>
        <w:spacing w:line="360" w:lineRule="auto"/>
        <w:jc w:val="left"/>
        <w:rPr>
          <w:rFonts w:hint="eastAsia" w:ascii="宋体" w:hAnsi="宋体" w:cs="宋体"/>
          <w:b/>
          <w:szCs w:val="21"/>
          <w:lang w:bidi="ar"/>
        </w:rPr>
      </w:pPr>
      <w:r>
        <w:rPr>
          <w:rFonts w:hint="eastAsia" w:ascii="宋体" w:hAnsi="宋体" w:cs="宋体"/>
          <w:b/>
          <w:szCs w:val="21"/>
          <w:lang w:bidi="ar"/>
        </w:rPr>
        <w:t>报价文件包括：</w:t>
      </w:r>
    </w:p>
    <w:p>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cs="宋体"/>
        </w:rPr>
        <w:t>投标书</w:t>
      </w:r>
      <w:r>
        <w:rPr>
          <w:rFonts w:hint="eastAsia" w:ascii="宋体" w:hAnsi="宋体" w:cs="宋体"/>
          <w:szCs w:val="21"/>
        </w:rPr>
        <w:t>（格式见附件）；</w:t>
      </w:r>
    </w:p>
    <w:p>
      <w:pPr>
        <w:spacing w:line="360" w:lineRule="auto"/>
        <w:ind w:firstLine="420" w:firstLineChars="200"/>
        <w:jc w:val="left"/>
        <w:rPr>
          <w:rFonts w:hint="eastAsia" w:ascii="宋体" w:hAnsi="宋体" w:cs="宋体"/>
          <w:szCs w:val="21"/>
        </w:rPr>
      </w:pPr>
      <w:r>
        <w:rPr>
          <w:rFonts w:hint="eastAsia" w:ascii="宋体" w:hAnsi="宋体" w:cs="宋体"/>
          <w:szCs w:val="21"/>
        </w:rPr>
        <w:t>2、开标一览表（格式见附件）；</w:t>
      </w:r>
    </w:p>
    <w:p>
      <w:pPr>
        <w:spacing w:line="360" w:lineRule="auto"/>
        <w:ind w:firstLine="420" w:firstLineChars="200"/>
        <w:jc w:val="left"/>
        <w:rPr>
          <w:rFonts w:hint="eastAsia" w:ascii="宋体" w:hAnsi="宋体" w:cs="宋体"/>
          <w:szCs w:val="21"/>
        </w:rPr>
      </w:pPr>
      <w:r>
        <w:rPr>
          <w:rFonts w:ascii="宋体" w:hAnsi="宋体" w:cs="宋体"/>
          <w:szCs w:val="21"/>
        </w:rPr>
        <w:t>3</w:t>
      </w:r>
      <w:r>
        <w:rPr>
          <w:rFonts w:hint="eastAsia" w:ascii="宋体" w:hAnsi="宋体" w:cs="宋体"/>
          <w:szCs w:val="21"/>
        </w:rPr>
        <w:t>、投标报价明细表（格式见附件）；</w:t>
      </w:r>
    </w:p>
    <w:p>
      <w:pPr>
        <w:spacing w:line="360" w:lineRule="auto"/>
        <w:ind w:firstLine="420" w:firstLineChars="200"/>
        <w:jc w:val="left"/>
        <w:rPr>
          <w:rFonts w:hint="eastAsia" w:ascii="宋体" w:hAnsi="宋体" w:cs="宋体"/>
          <w:szCs w:val="21"/>
        </w:rPr>
      </w:pPr>
      <w:r>
        <w:rPr>
          <w:rFonts w:ascii="宋体" w:hAnsi="宋体" w:cs="宋体"/>
          <w:szCs w:val="21"/>
        </w:rPr>
        <w:t>4</w:t>
      </w:r>
      <w:r>
        <w:rPr>
          <w:rFonts w:hint="eastAsia" w:ascii="宋体" w:hAnsi="宋体" w:cs="宋体"/>
          <w:szCs w:val="21"/>
        </w:rPr>
        <w:t>、中小企业声明函（格式见附件）</w:t>
      </w:r>
    </w:p>
    <w:p>
      <w:pPr>
        <w:spacing w:line="360" w:lineRule="auto"/>
        <w:ind w:firstLine="420" w:firstLineChars="200"/>
        <w:jc w:val="left"/>
        <w:rPr>
          <w:rFonts w:hint="eastAsia" w:ascii="宋体" w:hAnsi="宋体" w:cs="宋体"/>
          <w:szCs w:val="21"/>
        </w:rPr>
      </w:pPr>
      <w:r>
        <w:rPr>
          <w:rFonts w:ascii="宋体" w:hAnsi="宋体" w:cs="宋体"/>
          <w:szCs w:val="21"/>
        </w:rPr>
        <w:t>5</w:t>
      </w:r>
      <w:r>
        <w:rPr>
          <w:rFonts w:hint="eastAsia" w:ascii="宋体" w:hAnsi="宋体" w:cs="宋体"/>
          <w:szCs w:val="21"/>
        </w:rPr>
        <w:t>、残疾人福利性单位声明函（格式见附件，如是请提供）</w:t>
      </w:r>
    </w:p>
    <w:p>
      <w:pPr>
        <w:spacing w:line="360" w:lineRule="auto"/>
        <w:ind w:firstLine="420" w:firstLineChars="200"/>
        <w:jc w:val="left"/>
        <w:rPr>
          <w:rFonts w:hint="eastAsia" w:ascii="宋体" w:hAnsi="宋体" w:cs="宋体"/>
        </w:rPr>
      </w:pPr>
      <w:r>
        <w:rPr>
          <w:rFonts w:ascii="宋体" w:hAnsi="宋体" w:cs="宋体"/>
          <w:szCs w:val="21"/>
        </w:rPr>
        <w:t>6</w:t>
      </w:r>
      <w:r>
        <w:rPr>
          <w:rFonts w:hint="eastAsia" w:ascii="宋体" w:hAnsi="宋体" w:cs="宋体"/>
          <w:szCs w:val="21"/>
        </w:rPr>
        <w:t>、其它本招标文件要求提供的报价部分材料。</w:t>
      </w: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adjustRightInd w:val="0"/>
        <w:snapToGrid w:val="0"/>
        <w:jc w:val="left"/>
        <w:rPr>
          <w:rFonts w:hint="eastAsia" w:ascii="宋体" w:hAnsi="宋体" w:cs="宋体"/>
          <w:b/>
          <w:szCs w:val="21"/>
          <w:lang w:bidi="ar"/>
        </w:rPr>
      </w:pPr>
    </w:p>
    <w:p>
      <w:pPr>
        <w:rPr>
          <w:rFonts w:hint="eastAsia" w:ascii="宋体" w:hAnsi="宋体" w:cs="宋体"/>
          <w:b/>
        </w:rPr>
      </w:pPr>
    </w:p>
    <w:p>
      <w:pPr>
        <w:rPr>
          <w:rFonts w:hint="eastAsia" w:ascii="宋体" w:hAnsi="宋体" w:cs="宋体"/>
        </w:rPr>
      </w:pPr>
    </w:p>
    <w:p>
      <w:pPr>
        <w:spacing w:line="360" w:lineRule="auto"/>
        <w:rPr>
          <w:rStyle w:val="105"/>
          <w:rFonts w:hint="eastAsia" w:ascii="宋体" w:hAnsi="宋体" w:cs="宋体"/>
          <w:sz w:val="28"/>
          <w:szCs w:val="28"/>
        </w:rPr>
      </w:pPr>
      <w:r>
        <w:rPr>
          <w:rFonts w:hint="eastAsia" w:ascii="宋体" w:hAnsi="宋体" w:cs="宋体"/>
          <w:b/>
        </w:rPr>
        <w:br w:type="page"/>
      </w:r>
      <w:r>
        <w:rPr>
          <w:rStyle w:val="105"/>
          <w:rFonts w:hint="eastAsia" w:ascii="宋体" w:hAnsi="宋体" w:cs="宋体"/>
          <w:sz w:val="28"/>
          <w:szCs w:val="28"/>
        </w:rPr>
        <w:t>附件十二、投标书</w:t>
      </w:r>
    </w:p>
    <w:p>
      <w:pPr>
        <w:spacing w:line="360" w:lineRule="auto"/>
        <w:jc w:val="center"/>
        <w:rPr>
          <w:rFonts w:hint="eastAsia" w:ascii="宋体" w:hAnsi="宋体" w:cs="宋体"/>
          <w:b/>
          <w:sz w:val="28"/>
          <w:szCs w:val="28"/>
        </w:rPr>
      </w:pPr>
      <w:r>
        <w:rPr>
          <w:rFonts w:hint="eastAsia" w:ascii="宋体" w:hAnsi="宋体" w:cs="宋体"/>
          <w:b/>
          <w:sz w:val="28"/>
          <w:szCs w:val="32"/>
        </w:rPr>
        <w:t>投 标 书</w:t>
      </w:r>
    </w:p>
    <w:p>
      <w:pPr>
        <w:pStyle w:val="22"/>
        <w:spacing w:line="360" w:lineRule="auto"/>
        <w:ind w:firstLine="0"/>
        <w:rPr>
          <w:sz w:val="21"/>
          <w:szCs w:val="21"/>
        </w:rPr>
      </w:pPr>
      <w:r>
        <w:rPr>
          <w:sz w:val="21"/>
          <w:szCs w:val="21"/>
        </w:rPr>
        <w:t>致</w:t>
      </w:r>
      <w:r>
        <w:rPr>
          <w:iCs/>
          <w:sz w:val="21"/>
          <w:szCs w:val="21"/>
          <w:u w:val="single"/>
        </w:rPr>
        <w:t>宁波国际投资咨询有限公司</w:t>
      </w:r>
      <w:r>
        <w:rPr>
          <w:sz w:val="21"/>
          <w:szCs w:val="21"/>
        </w:rPr>
        <w:t>：</w:t>
      </w:r>
    </w:p>
    <w:p>
      <w:pPr>
        <w:pStyle w:val="22"/>
        <w:spacing w:line="360" w:lineRule="auto"/>
        <w:rPr>
          <w:sz w:val="21"/>
          <w:szCs w:val="21"/>
        </w:rPr>
      </w:pPr>
      <w:r>
        <w:rPr>
          <w:sz w:val="21"/>
          <w:szCs w:val="21"/>
          <w:u w:val="single"/>
        </w:rPr>
        <w:t xml:space="preserve">  </w:t>
      </w:r>
      <w:r>
        <w:rPr>
          <w:i/>
          <w:iCs/>
          <w:sz w:val="21"/>
          <w:szCs w:val="21"/>
          <w:u w:val="single"/>
        </w:rPr>
        <w:t>（供应商全称）</w:t>
      </w:r>
      <w:r>
        <w:rPr>
          <w:sz w:val="21"/>
          <w:szCs w:val="21"/>
          <w:u w:val="single"/>
        </w:rPr>
        <w:t xml:space="preserve">  </w:t>
      </w:r>
      <w:r>
        <w:rPr>
          <w:sz w:val="21"/>
          <w:szCs w:val="21"/>
        </w:rPr>
        <w:t xml:space="preserve"> 授权</w:t>
      </w:r>
      <w:r>
        <w:rPr>
          <w:sz w:val="21"/>
          <w:szCs w:val="21"/>
          <w:u w:val="single"/>
        </w:rPr>
        <w:t xml:space="preserve"> </w:t>
      </w:r>
      <w:r>
        <w:rPr>
          <w:i/>
          <w:iCs/>
          <w:sz w:val="21"/>
          <w:szCs w:val="21"/>
          <w:u w:val="single"/>
        </w:rPr>
        <w:t xml:space="preserve">（全权代表姓名、职务）   </w:t>
      </w:r>
      <w:r>
        <w:rPr>
          <w:sz w:val="21"/>
          <w:szCs w:val="21"/>
          <w:u w:val="single"/>
        </w:rPr>
        <w:t xml:space="preserve"> </w:t>
      </w:r>
      <w:r>
        <w:rPr>
          <w:sz w:val="21"/>
          <w:szCs w:val="21"/>
        </w:rPr>
        <w:t xml:space="preserve">为本公司合法代理人，参加贵方组织的 </w:t>
      </w:r>
      <w:r>
        <w:rPr>
          <w:sz w:val="21"/>
          <w:szCs w:val="21"/>
          <w:u w:val="single"/>
        </w:rPr>
        <w:t xml:space="preserve">   </w:t>
      </w:r>
      <w:r>
        <w:rPr>
          <w:i/>
          <w:iCs/>
          <w:sz w:val="21"/>
          <w:szCs w:val="21"/>
          <w:u w:val="single"/>
        </w:rPr>
        <w:t>（招标编号、招标项目名称）</w:t>
      </w:r>
      <w:r>
        <w:rPr>
          <w:sz w:val="21"/>
          <w:szCs w:val="21"/>
          <w:u w:val="single"/>
        </w:rPr>
        <w:t xml:space="preserve">      </w:t>
      </w:r>
      <w:r>
        <w:rPr>
          <w:sz w:val="21"/>
          <w:szCs w:val="21"/>
        </w:rPr>
        <w:t>招投标活动，代表本公司处理招投标活动中的一切事宜，为对</w:t>
      </w:r>
      <w:r>
        <w:rPr>
          <w:sz w:val="21"/>
          <w:szCs w:val="21"/>
          <w:u w:val="single"/>
        </w:rPr>
        <w:t xml:space="preserve">     </w:t>
      </w:r>
      <w:r>
        <w:rPr>
          <w:i/>
          <w:iCs/>
          <w:sz w:val="21"/>
          <w:szCs w:val="21"/>
          <w:u w:val="single"/>
        </w:rPr>
        <w:t>（项目名称）</w:t>
      </w:r>
      <w:r>
        <w:rPr>
          <w:sz w:val="21"/>
          <w:szCs w:val="21"/>
          <w:u w:val="single"/>
        </w:rPr>
        <w:t xml:space="preserve">              </w:t>
      </w:r>
      <w:r>
        <w:rPr>
          <w:sz w:val="21"/>
          <w:szCs w:val="21"/>
        </w:rPr>
        <w:t>进行投标，在此：</w:t>
      </w:r>
    </w:p>
    <w:p>
      <w:pPr>
        <w:pStyle w:val="22"/>
        <w:numPr>
          <w:ilvl w:val="0"/>
          <w:numId w:val="25"/>
        </w:numPr>
        <w:tabs>
          <w:tab w:val="left" w:pos="525"/>
        </w:tabs>
        <w:spacing w:line="360" w:lineRule="auto"/>
        <w:ind w:left="0" w:firstLine="0"/>
        <w:jc w:val="both"/>
        <w:rPr>
          <w:sz w:val="21"/>
          <w:szCs w:val="21"/>
        </w:rPr>
      </w:pPr>
      <w:r>
        <w:rPr>
          <w:sz w:val="21"/>
          <w:szCs w:val="21"/>
        </w:rPr>
        <w:t>提供招标文件中“投标须知”规定的全部投标文件：投标文件正本1份、副本</w:t>
      </w:r>
      <w:r>
        <w:rPr>
          <w:rFonts w:hint="eastAsia"/>
          <w:sz w:val="21"/>
          <w:szCs w:val="21"/>
        </w:rPr>
        <w:t>6</w:t>
      </w:r>
      <w:r>
        <w:rPr>
          <w:sz w:val="21"/>
          <w:szCs w:val="21"/>
        </w:rPr>
        <w:t>份</w:t>
      </w:r>
    </w:p>
    <w:p>
      <w:pPr>
        <w:pStyle w:val="22"/>
        <w:numPr>
          <w:ilvl w:val="0"/>
          <w:numId w:val="25"/>
        </w:numPr>
        <w:tabs>
          <w:tab w:val="left" w:pos="525"/>
        </w:tabs>
        <w:spacing w:line="360" w:lineRule="auto"/>
        <w:ind w:left="0" w:firstLine="0"/>
        <w:jc w:val="both"/>
        <w:rPr>
          <w:sz w:val="21"/>
          <w:szCs w:val="21"/>
        </w:rPr>
      </w:pPr>
      <w:r>
        <w:rPr>
          <w:sz w:val="21"/>
          <w:szCs w:val="21"/>
        </w:rPr>
        <w:t xml:space="preserve">提交的投标保证金为人民币 </w:t>
      </w:r>
      <w:r>
        <w:rPr>
          <w:sz w:val="21"/>
          <w:szCs w:val="21"/>
          <w:u w:val="single"/>
        </w:rPr>
        <w:t xml:space="preserve">         </w:t>
      </w:r>
      <w:r>
        <w:rPr>
          <w:sz w:val="21"/>
          <w:szCs w:val="21"/>
        </w:rPr>
        <w:t xml:space="preserve"> 元，投标保证金为</w:t>
      </w:r>
      <w:r>
        <w:rPr>
          <w:sz w:val="21"/>
          <w:szCs w:val="21"/>
          <w:u w:val="single"/>
        </w:rPr>
        <w:t xml:space="preserve">  </w:t>
      </w:r>
      <w:r>
        <w:rPr>
          <w:i/>
          <w:iCs/>
          <w:sz w:val="21"/>
          <w:szCs w:val="21"/>
          <w:u w:val="single"/>
        </w:rPr>
        <w:t>（形式）</w:t>
      </w:r>
      <w:r>
        <w:rPr>
          <w:sz w:val="21"/>
          <w:szCs w:val="21"/>
          <w:u w:val="single"/>
        </w:rPr>
        <w:t xml:space="preserve">   </w:t>
      </w:r>
      <w:r>
        <w:rPr>
          <w:sz w:val="21"/>
          <w:szCs w:val="21"/>
        </w:rPr>
        <w:t xml:space="preserve">。 </w:t>
      </w:r>
    </w:p>
    <w:p>
      <w:pPr>
        <w:pStyle w:val="22"/>
        <w:numPr>
          <w:ilvl w:val="0"/>
          <w:numId w:val="25"/>
        </w:numPr>
        <w:tabs>
          <w:tab w:val="left" w:pos="525"/>
        </w:tabs>
        <w:spacing w:line="360" w:lineRule="auto"/>
        <w:ind w:left="0" w:firstLine="0"/>
        <w:jc w:val="both"/>
        <w:rPr>
          <w:sz w:val="21"/>
          <w:szCs w:val="21"/>
        </w:rPr>
      </w:pPr>
      <w:r>
        <w:rPr>
          <w:sz w:val="21"/>
          <w:szCs w:val="21"/>
        </w:rPr>
        <w:t>据此函，签字代表宣布并承诺如下：</w:t>
      </w:r>
    </w:p>
    <w:p>
      <w:pPr>
        <w:pStyle w:val="22"/>
        <w:spacing w:line="360" w:lineRule="auto"/>
        <w:ind w:firstLine="0"/>
        <w:rPr>
          <w:sz w:val="21"/>
          <w:szCs w:val="21"/>
        </w:rPr>
      </w:pPr>
      <w:r>
        <w:rPr>
          <w:sz w:val="21"/>
          <w:szCs w:val="21"/>
        </w:rPr>
        <w:t>（1）投标报价已经包含了应纳的税金及招标文件规定的报价方式应包含的其它费用。</w:t>
      </w:r>
    </w:p>
    <w:p>
      <w:pPr>
        <w:pStyle w:val="22"/>
        <w:spacing w:line="360" w:lineRule="auto"/>
        <w:ind w:firstLine="0"/>
        <w:rPr>
          <w:sz w:val="21"/>
          <w:szCs w:val="21"/>
        </w:rPr>
      </w:pPr>
      <w:r>
        <w:rPr>
          <w:sz w:val="21"/>
          <w:szCs w:val="21"/>
        </w:rPr>
        <w:t>（2） 本投标自开标之日起</w:t>
      </w:r>
      <w:r>
        <w:rPr>
          <w:sz w:val="21"/>
          <w:szCs w:val="21"/>
          <w:u w:val="single"/>
        </w:rPr>
        <w:t xml:space="preserve">  60 </w:t>
      </w:r>
      <w:r>
        <w:rPr>
          <w:sz w:val="21"/>
          <w:szCs w:val="21"/>
        </w:rPr>
        <w:t>天内有效。</w:t>
      </w:r>
    </w:p>
    <w:p>
      <w:pPr>
        <w:pStyle w:val="22"/>
        <w:spacing w:line="360" w:lineRule="auto"/>
        <w:ind w:firstLine="0"/>
        <w:rPr>
          <w:sz w:val="21"/>
          <w:szCs w:val="21"/>
        </w:rPr>
      </w:pPr>
      <w:r>
        <w:rPr>
          <w:sz w:val="21"/>
          <w:szCs w:val="21"/>
        </w:rPr>
        <w:t>（3） 我们已详细审查全部招标文件及有关的澄清/修改文件(若有的话)，我们完全理解并同意放弃对这方面提出任何异议的权利。保证遵守招标文件有关条款规定。</w:t>
      </w:r>
    </w:p>
    <w:p>
      <w:pPr>
        <w:pStyle w:val="22"/>
        <w:spacing w:line="360" w:lineRule="auto"/>
        <w:ind w:firstLine="0"/>
        <w:rPr>
          <w:sz w:val="21"/>
          <w:szCs w:val="21"/>
        </w:rPr>
      </w:pPr>
      <w:r>
        <w:rPr>
          <w:sz w:val="21"/>
          <w:szCs w:val="21"/>
        </w:rPr>
        <w:t>（4） 保证遵守招标文件有关条款规定。</w:t>
      </w:r>
    </w:p>
    <w:p>
      <w:pPr>
        <w:pStyle w:val="22"/>
        <w:spacing w:line="360" w:lineRule="auto"/>
        <w:ind w:firstLine="0"/>
        <w:rPr>
          <w:sz w:val="21"/>
          <w:szCs w:val="21"/>
        </w:rPr>
      </w:pPr>
      <w:r>
        <w:rPr>
          <w:sz w:val="21"/>
          <w:szCs w:val="21"/>
        </w:rPr>
        <w:t>（5）承诺应贵方要求提供任何与该项目投标有关的数据、情况和技术资料。</w:t>
      </w:r>
    </w:p>
    <w:p>
      <w:pPr>
        <w:pStyle w:val="22"/>
        <w:spacing w:line="360" w:lineRule="auto"/>
        <w:ind w:firstLine="0"/>
        <w:rPr>
          <w:sz w:val="21"/>
          <w:szCs w:val="21"/>
        </w:rPr>
      </w:pPr>
      <w:r>
        <w:rPr>
          <w:sz w:val="21"/>
          <w:szCs w:val="21"/>
        </w:rPr>
        <w:t>（6）我们承诺，与为招标人采购本次招标的项目进行设计、编制规范和其他文件</w:t>
      </w:r>
      <w:r>
        <w:rPr>
          <w:rFonts w:hint="eastAsia"/>
          <w:sz w:val="21"/>
          <w:szCs w:val="21"/>
        </w:rPr>
        <w:t>，</w:t>
      </w:r>
      <w:r>
        <w:rPr>
          <w:sz w:val="21"/>
          <w:szCs w:val="21"/>
        </w:rPr>
        <w:t>所委托的咨询公司或其附属机构无任何直接或间接的关联。</w:t>
      </w:r>
    </w:p>
    <w:p>
      <w:pPr>
        <w:pStyle w:val="22"/>
        <w:numPr>
          <w:ilvl w:val="0"/>
          <w:numId w:val="25"/>
        </w:numPr>
        <w:spacing w:line="360" w:lineRule="auto"/>
        <w:ind w:left="0" w:firstLine="0"/>
        <w:jc w:val="both"/>
        <w:rPr>
          <w:sz w:val="21"/>
          <w:szCs w:val="21"/>
        </w:rPr>
      </w:pPr>
      <w:r>
        <w:rPr>
          <w:sz w:val="21"/>
          <w:szCs w:val="21"/>
        </w:rPr>
        <w:t>与本投标有关的一切往来通讯请寄：</w:t>
      </w:r>
    </w:p>
    <w:p>
      <w:pPr>
        <w:pStyle w:val="22"/>
        <w:spacing w:line="360" w:lineRule="auto"/>
        <w:rPr>
          <w:sz w:val="21"/>
          <w:szCs w:val="21"/>
        </w:rPr>
      </w:pPr>
      <w:r>
        <w:rPr>
          <w:sz w:val="21"/>
          <w:szCs w:val="21"/>
        </w:rPr>
        <w:t>地址：</w:t>
      </w:r>
      <w:r>
        <w:rPr>
          <w:sz w:val="21"/>
          <w:szCs w:val="21"/>
          <w:u w:val="single"/>
        </w:rPr>
        <w:t xml:space="preserve">                                                   </w:t>
      </w:r>
    </w:p>
    <w:p>
      <w:pPr>
        <w:pStyle w:val="22"/>
        <w:spacing w:line="360" w:lineRule="auto"/>
        <w:rPr>
          <w:sz w:val="21"/>
          <w:szCs w:val="21"/>
          <w:u w:val="single"/>
        </w:rPr>
      </w:pPr>
      <w:r>
        <w:rPr>
          <w:sz w:val="21"/>
          <w:szCs w:val="21"/>
        </w:rPr>
        <w:t>邮编：</w:t>
      </w:r>
      <w:r>
        <w:rPr>
          <w:sz w:val="21"/>
          <w:szCs w:val="21"/>
          <w:u w:val="single"/>
        </w:rPr>
        <w:t xml:space="preserve">            </w:t>
      </w:r>
      <w:r>
        <w:rPr>
          <w:sz w:val="21"/>
          <w:szCs w:val="21"/>
        </w:rPr>
        <w:t>电话：</w:t>
      </w:r>
      <w:r>
        <w:rPr>
          <w:sz w:val="21"/>
          <w:szCs w:val="21"/>
          <w:u w:val="single"/>
        </w:rPr>
        <w:t xml:space="preserve">              </w:t>
      </w:r>
      <w:r>
        <w:rPr>
          <w:sz w:val="21"/>
          <w:szCs w:val="21"/>
        </w:rPr>
        <w:t>传真：</w:t>
      </w:r>
      <w:r>
        <w:rPr>
          <w:sz w:val="21"/>
          <w:szCs w:val="21"/>
          <w:u w:val="single"/>
        </w:rPr>
        <w:t xml:space="preserve">             </w:t>
      </w:r>
    </w:p>
    <w:p>
      <w:pPr>
        <w:spacing w:line="460" w:lineRule="exact"/>
        <w:rPr>
          <w:szCs w:val="21"/>
        </w:rPr>
      </w:pPr>
      <w:r>
        <w:rPr>
          <w:szCs w:val="21"/>
        </w:rPr>
        <w:t>投标单位（公章）：                     法定代表人（或企业负责人）或授权代表（</w:t>
      </w:r>
      <w:r>
        <w:rPr>
          <w:rFonts w:hint="eastAsia"/>
          <w:szCs w:val="21"/>
        </w:rPr>
        <w:t>签字或盖章</w:t>
      </w:r>
      <w:r>
        <w:rPr>
          <w:szCs w:val="21"/>
        </w:rPr>
        <w:t>）：</w:t>
      </w:r>
    </w:p>
    <w:p>
      <w:pPr>
        <w:snapToGrid w:val="0"/>
        <w:spacing w:line="360" w:lineRule="auto"/>
        <w:ind w:firstLine="3885" w:firstLineChars="1850"/>
        <w:rPr>
          <w:rFonts w:hint="eastAsia" w:ascii="宋体" w:hAnsi="宋体" w:cs="宋体"/>
          <w:sz w:val="24"/>
        </w:rPr>
      </w:pPr>
      <w:r>
        <w:rPr>
          <w:szCs w:val="21"/>
        </w:rPr>
        <w:t>日   期：     年   月   日</w:t>
      </w:r>
    </w:p>
    <w:p>
      <w:pPr>
        <w:spacing w:line="360" w:lineRule="auto"/>
        <w:rPr>
          <w:rFonts w:hint="eastAsia" w:ascii="宋体" w:hAnsi="宋体" w:cs="宋体"/>
        </w:rPr>
      </w:pPr>
    </w:p>
    <w:p>
      <w:pPr>
        <w:rPr>
          <w:rFonts w:hint="eastAsia" w:ascii="宋体" w:hAnsi="宋体" w:cs="宋体"/>
        </w:rPr>
      </w:pPr>
    </w:p>
    <w:p>
      <w:pPr>
        <w:rPr>
          <w:rFonts w:hint="eastAsia" w:ascii="宋体" w:hAnsi="宋体" w:cs="宋体"/>
        </w:rPr>
      </w:pPr>
      <w:r>
        <w:rPr>
          <w:rFonts w:hint="eastAsia" w:ascii="宋体" w:hAnsi="宋体" w:cs="宋体"/>
        </w:rPr>
        <w:t xml:space="preserve"> </w:t>
      </w: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r>
        <w:rPr>
          <w:rFonts w:hint="eastAsia" w:ascii="宋体" w:hAnsi="宋体" w:cs="宋体"/>
        </w:rPr>
        <w:br w:type="page"/>
      </w:r>
      <w:r>
        <w:rPr>
          <w:rStyle w:val="105"/>
          <w:rFonts w:hint="eastAsia" w:ascii="宋体" w:hAnsi="宋体" w:cs="宋体"/>
          <w:sz w:val="28"/>
          <w:szCs w:val="28"/>
        </w:rPr>
        <w:t>附件十三、开标一览表</w:t>
      </w:r>
    </w:p>
    <w:p>
      <w:pPr>
        <w:rPr>
          <w:rFonts w:hint="eastAsia" w:ascii="宋体" w:hAnsi="宋体" w:cs="宋体"/>
        </w:rPr>
      </w:pPr>
    </w:p>
    <w:p>
      <w:pPr>
        <w:pStyle w:val="22"/>
        <w:ind w:firstLine="0"/>
        <w:jc w:val="center"/>
        <w:rPr>
          <w:rFonts w:hint="eastAsia" w:cs="宋体"/>
          <w:b/>
        </w:rPr>
      </w:pPr>
      <w:r>
        <w:rPr>
          <w:rFonts w:hint="eastAsia" w:cs="宋体"/>
          <w:b/>
        </w:rPr>
        <w:t>开标一览表</w:t>
      </w:r>
    </w:p>
    <w:p>
      <w:pPr>
        <w:spacing w:line="460" w:lineRule="exact"/>
      </w:pPr>
      <w:r>
        <w:t>项目名称：＿＿＿＿＿＿＿＿＿＿＿＿               招标编号：＿＿＿＿＿＿＿＿</w:t>
      </w:r>
    </w:p>
    <w:tbl>
      <w:tblPr>
        <w:tblStyle w:val="51"/>
        <w:tblW w:w="0" w:type="auto"/>
        <w:jc w:val="center"/>
        <w:tblLayout w:type="fixed"/>
        <w:tblCellMar>
          <w:top w:w="0" w:type="dxa"/>
          <w:left w:w="108" w:type="dxa"/>
          <w:bottom w:w="0" w:type="dxa"/>
          <w:right w:w="108" w:type="dxa"/>
        </w:tblCellMar>
      </w:tblPr>
      <w:tblGrid>
        <w:gridCol w:w="1276"/>
        <w:gridCol w:w="2310"/>
        <w:gridCol w:w="2552"/>
        <w:gridCol w:w="2450"/>
      </w:tblGrid>
      <w:tr>
        <w:tblPrEx>
          <w:tblCellMar>
            <w:top w:w="0" w:type="dxa"/>
            <w:left w:w="108" w:type="dxa"/>
            <w:bottom w:w="0" w:type="dxa"/>
            <w:right w:w="108" w:type="dxa"/>
          </w:tblCellMar>
        </w:tblPrEx>
        <w:trPr>
          <w:trHeight w:val="836" w:hRule="atLeast"/>
          <w:jc w:val="center"/>
        </w:trPr>
        <w:tc>
          <w:tcPr>
            <w:tcW w:w="1276" w:type="dxa"/>
            <w:tcBorders>
              <w:top w:val="single" w:color="000000" w:sz="4" w:space="0"/>
              <w:left w:val="single" w:color="000000" w:sz="4" w:space="0"/>
              <w:bottom w:val="single" w:color="auto" w:sz="4" w:space="0"/>
              <w:right w:val="single" w:color="000000" w:sz="4" w:space="0"/>
            </w:tcBorders>
            <w:shd w:val="solid" w:color="FFFFFF" w:fill="auto"/>
            <w:noWrap w:val="0"/>
            <w:tcMar>
              <w:top w:w="0" w:type="dxa"/>
              <w:left w:w="108" w:type="dxa"/>
              <w:bottom w:w="0" w:type="dxa"/>
              <w:right w:w="108" w:type="dxa"/>
            </w:tcMar>
            <w:vAlign w:val="center"/>
          </w:tcPr>
          <w:p>
            <w:pPr>
              <w:shd w:val="solid" w:color="FFFFFF" w:fill="auto"/>
              <w:autoSpaceDN w:val="0"/>
              <w:spacing w:after="120" w:line="360" w:lineRule="auto"/>
              <w:jc w:val="center"/>
              <w:rPr>
                <w:rFonts w:ascii="宋体" w:hAnsi="宋体"/>
                <w:sz w:val="24"/>
              </w:rPr>
            </w:pPr>
            <w:r>
              <w:rPr>
                <w:rFonts w:ascii="宋体" w:hAnsi="宋体"/>
                <w:sz w:val="24"/>
              </w:rPr>
              <w:t>序号</w:t>
            </w:r>
          </w:p>
        </w:tc>
        <w:tc>
          <w:tcPr>
            <w:tcW w:w="2310" w:type="dxa"/>
            <w:tcBorders>
              <w:top w:val="single" w:color="000000" w:sz="4" w:space="0"/>
              <w:left w:val="single" w:color="000000" w:sz="4" w:space="0"/>
              <w:bottom w:val="single" w:color="000000" w:sz="4" w:space="0"/>
              <w:right w:val="single" w:color="auto" w:sz="4" w:space="0"/>
            </w:tcBorders>
            <w:shd w:val="solid" w:color="FFFFFF" w:fill="auto"/>
            <w:noWrap w:val="0"/>
            <w:tcMar>
              <w:top w:w="0" w:type="dxa"/>
              <w:left w:w="108" w:type="dxa"/>
              <w:bottom w:w="0" w:type="dxa"/>
              <w:right w:w="108" w:type="dxa"/>
            </w:tcMar>
            <w:vAlign w:val="center"/>
          </w:tcPr>
          <w:p>
            <w:pPr>
              <w:shd w:val="solid" w:color="FFFFFF" w:fill="auto"/>
              <w:autoSpaceDN w:val="0"/>
              <w:spacing w:after="120" w:line="360" w:lineRule="auto"/>
              <w:jc w:val="center"/>
              <w:rPr>
                <w:rFonts w:ascii="宋体" w:hAnsi="宋体"/>
                <w:sz w:val="24"/>
              </w:rPr>
            </w:pPr>
            <w:r>
              <w:rPr>
                <w:rFonts w:hint="eastAsia" w:ascii="宋体" w:hAnsi="宋体"/>
                <w:sz w:val="24"/>
              </w:rPr>
              <w:t>项目名称</w:t>
            </w:r>
          </w:p>
        </w:tc>
        <w:tc>
          <w:tcPr>
            <w:tcW w:w="2552" w:type="dxa"/>
            <w:tcBorders>
              <w:top w:val="single" w:color="000000" w:sz="4" w:space="0"/>
              <w:left w:val="single" w:color="auto" w:sz="4" w:space="0"/>
              <w:bottom w:val="single" w:color="000000" w:sz="4" w:space="0"/>
              <w:right w:val="single" w:color="000000" w:sz="4" w:space="0"/>
            </w:tcBorders>
            <w:shd w:val="solid" w:color="FFFFFF" w:fill="auto"/>
            <w:noWrap w:val="0"/>
            <w:vAlign w:val="center"/>
          </w:tcPr>
          <w:p>
            <w:pPr>
              <w:shd w:val="solid" w:color="FFFFFF" w:fill="auto"/>
              <w:autoSpaceDN w:val="0"/>
              <w:spacing w:after="120"/>
              <w:jc w:val="center"/>
              <w:rPr>
                <w:rFonts w:ascii="宋体" w:hAnsi="宋体"/>
                <w:sz w:val="24"/>
              </w:rPr>
            </w:pPr>
            <w:r>
              <w:rPr>
                <w:rFonts w:hint="eastAsia" w:ascii="宋体" w:hAnsi="宋体"/>
                <w:sz w:val="24"/>
              </w:rPr>
              <w:t>一年租赁费用[元]</w:t>
            </w:r>
          </w:p>
        </w:tc>
        <w:tc>
          <w:tcPr>
            <w:tcW w:w="2450"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center"/>
          </w:tcPr>
          <w:p>
            <w:pPr>
              <w:shd w:val="solid" w:color="FFFFFF" w:fill="auto"/>
              <w:autoSpaceDN w:val="0"/>
              <w:spacing w:after="120"/>
              <w:rPr>
                <w:rFonts w:ascii="宋体" w:hAnsi="宋体"/>
                <w:sz w:val="24"/>
              </w:rPr>
            </w:pPr>
            <w:r>
              <w:rPr>
                <w:rFonts w:hint="eastAsia" w:ascii="宋体" w:hAnsi="宋体"/>
                <w:sz w:val="24"/>
              </w:rPr>
              <w:t>五年租赁费用[元]</w:t>
            </w:r>
          </w:p>
        </w:tc>
      </w:tr>
      <w:tr>
        <w:tblPrEx>
          <w:tblCellMar>
            <w:top w:w="0" w:type="dxa"/>
            <w:left w:w="108" w:type="dxa"/>
            <w:bottom w:w="0" w:type="dxa"/>
            <w:right w:w="108" w:type="dxa"/>
          </w:tblCellMar>
        </w:tblPrEx>
        <w:trPr>
          <w:trHeight w:val="1078" w:hRule="atLeast"/>
          <w:jc w:val="center"/>
        </w:trPr>
        <w:tc>
          <w:tcPr>
            <w:tcW w:w="1276" w:type="dxa"/>
            <w:tcBorders>
              <w:top w:val="single" w:color="auto" w:sz="4" w:space="0"/>
              <w:left w:val="single" w:color="000000" w:sz="4" w:space="0"/>
              <w:bottom w:val="single" w:color="auto" w:sz="4" w:space="0"/>
              <w:right w:val="single" w:color="000000" w:sz="4" w:space="0"/>
            </w:tcBorders>
            <w:shd w:val="solid" w:color="FFFFFF" w:fill="auto"/>
            <w:noWrap w:val="0"/>
            <w:tcMar>
              <w:top w:w="0" w:type="dxa"/>
              <w:left w:w="108" w:type="dxa"/>
              <w:bottom w:w="0" w:type="dxa"/>
              <w:right w:w="108" w:type="dxa"/>
            </w:tcMar>
            <w:vAlign w:val="center"/>
          </w:tcPr>
          <w:p>
            <w:pPr>
              <w:shd w:val="solid" w:color="FFFFFF" w:fill="auto"/>
              <w:autoSpaceDN w:val="0"/>
              <w:spacing w:after="120" w:line="360" w:lineRule="auto"/>
              <w:jc w:val="center"/>
              <w:rPr>
                <w:rFonts w:ascii="宋体" w:hAnsi="宋体"/>
                <w:sz w:val="24"/>
              </w:rPr>
            </w:pPr>
            <w:r>
              <w:rPr>
                <w:rFonts w:hint="eastAsia" w:ascii="宋体" w:hAnsi="宋体"/>
                <w:sz w:val="24"/>
              </w:rPr>
              <w:t>1</w:t>
            </w:r>
          </w:p>
        </w:tc>
        <w:tc>
          <w:tcPr>
            <w:tcW w:w="2310" w:type="dxa"/>
            <w:tcBorders>
              <w:top w:val="single" w:color="000000" w:sz="4" w:space="0"/>
              <w:left w:val="single" w:color="000000" w:sz="4" w:space="0"/>
              <w:bottom w:val="single" w:color="000000" w:sz="4" w:space="0"/>
              <w:right w:val="single" w:color="auto" w:sz="4" w:space="0"/>
            </w:tcBorders>
            <w:shd w:val="solid" w:color="FFFFFF" w:fill="auto"/>
            <w:noWrap w:val="0"/>
            <w:tcMar>
              <w:top w:w="0" w:type="dxa"/>
              <w:left w:w="108" w:type="dxa"/>
              <w:bottom w:w="0" w:type="dxa"/>
              <w:right w:w="108" w:type="dxa"/>
            </w:tcMar>
            <w:vAlign w:val="center"/>
          </w:tcPr>
          <w:p>
            <w:pPr>
              <w:shd w:val="solid" w:color="FFFFFF" w:fill="auto"/>
              <w:autoSpaceDN w:val="0"/>
              <w:snapToGrid w:val="0"/>
              <w:jc w:val="center"/>
              <w:rPr>
                <w:rFonts w:ascii="宋体" w:hAnsi="宋体"/>
                <w:sz w:val="24"/>
              </w:rPr>
            </w:pPr>
          </w:p>
        </w:tc>
        <w:tc>
          <w:tcPr>
            <w:tcW w:w="2552" w:type="dxa"/>
            <w:tcBorders>
              <w:top w:val="single" w:color="000000" w:sz="4" w:space="0"/>
              <w:left w:val="single" w:color="auto" w:sz="4" w:space="0"/>
              <w:bottom w:val="single" w:color="000000" w:sz="4" w:space="0"/>
              <w:right w:val="single" w:color="000000" w:sz="4" w:space="0"/>
            </w:tcBorders>
            <w:shd w:val="solid" w:color="FFFFFF" w:fill="auto"/>
            <w:noWrap w:val="0"/>
            <w:vAlign w:val="center"/>
          </w:tcPr>
          <w:p>
            <w:pPr>
              <w:shd w:val="solid" w:color="FFFFFF" w:fill="auto"/>
              <w:autoSpaceDN w:val="0"/>
              <w:snapToGrid w:val="0"/>
              <w:jc w:val="center"/>
              <w:rPr>
                <w:rFonts w:ascii="宋体" w:hAnsi="宋体"/>
                <w:sz w:val="24"/>
              </w:rPr>
            </w:pPr>
          </w:p>
        </w:tc>
        <w:tc>
          <w:tcPr>
            <w:tcW w:w="2450"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center"/>
          </w:tcPr>
          <w:p>
            <w:pPr>
              <w:shd w:val="solid" w:color="FFFFFF" w:fill="auto"/>
              <w:autoSpaceDN w:val="0"/>
              <w:spacing w:after="120" w:line="360" w:lineRule="auto"/>
              <w:ind w:left="420"/>
              <w:jc w:val="center"/>
              <w:rPr>
                <w:rFonts w:ascii="宋体" w:hAnsi="宋体"/>
                <w:sz w:val="24"/>
              </w:rPr>
            </w:pPr>
          </w:p>
        </w:tc>
      </w:tr>
      <w:tr>
        <w:tblPrEx>
          <w:tblCellMar>
            <w:top w:w="0" w:type="dxa"/>
            <w:left w:w="108" w:type="dxa"/>
            <w:bottom w:w="0" w:type="dxa"/>
            <w:right w:w="108" w:type="dxa"/>
          </w:tblCellMar>
        </w:tblPrEx>
        <w:trPr>
          <w:trHeight w:val="1078" w:hRule="atLeast"/>
          <w:jc w:val="center"/>
        </w:trPr>
        <w:tc>
          <w:tcPr>
            <w:tcW w:w="6138" w:type="dxa"/>
            <w:gridSpan w:val="3"/>
            <w:tcBorders>
              <w:top w:val="single" w:color="auto" w:sz="4" w:space="0"/>
              <w:left w:val="single" w:color="000000" w:sz="4" w:space="0"/>
              <w:bottom w:val="single" w:color="auto" w:sz="4" w:space="0"/>
              <w:right w:val="single" w:color="000000" w:sz="4" w:space="0"/>
            </w:tcBorders>
            <w:shd w:val="solid" w:color="FFFFFF" w:fill="auto"/>
            <w:noWrap w:val="0"/>
            <w:tcMar>
              <w:top w:w="0" w:type="dxa"/>
              <w:left w:w="108" w:type="dxa"/>
              <w:bottom w:w="0" w:type="dxa"/>
              <w:right w:w="108" w:type="dxa"/>
            </w:tcMar>
            <w:vAlign w:val="center"/>
          </w:tcPr>
          <w:p>
            <w:pPr>
              <w:shd w:val="solid" w:color="FFFFFF" w:fill="auto"/>
              <w:autoSpaceDN w:val="0"/>
              <w:snapToGrid w:val="0"/>
              <w:jc w:val="center"/>
              <w:rPr>
                <w:rFonts w:ascii="宋体" w:hAnsi="宋体"/>
                <w:sz w:val="24"/>
              </w:rPr>
            </w:pPr>
            <w:r>
              <w:rPr>
                <w:rFonts w:hint="eastAsia" w:ascii="宋体" w:hAnsi="宋体"/>
                <w:sz w:val="24"/>
              </w:rPr>
              <w:t>投标总价(大写)</w:t>
            </w:r>
          </w:p>
        </w:tc>
        <w:tc>
          <w:tcPr>
            <w:tcW w:w="2450" w:type="dxa"/>
            <w:tcBorders>
              <w:top w:val="single" w:color="000000" w:sz="4" w:space="0"/>
              <w:left w:val="single" w:color="000000" w:sz="4" w:space="0"/>
              <w:bottom w:val="single" w:color="auto" w:sz="4" w:space="0"/>
              <w:right w:val="single" w:color="000000" w:sz="4" w:space="0"/>
            </w:tcBorders>
            <w:shd w:val="solid" w:color="FFFFFF" w:fill="auto"/>
            <w:noWrap w:val="0"/>
            <w:tcMar>
              <w:top w:w="0" w:type="dxa"/>
              <w:left w:w="108" w:type="dxa"/>
              <w:bottom w:w="0" w:type="dxa"/>
              <w:right w:w="108" w:type="dxa"/>
            </w:tcMar>
            <w:vAlign w:val="center"/>
          </w:tcPr>
          <w:p>
            <w:pPr>
              <w:shd w:val="solid" w:color="FFFFFF" w:fill="auto"/>
              <w:autoSpaceDN w:val="0"/>
              <w:spacing w:after="120" w:line="360" w:lineRule="auto"/>
              <w:ind w:left="420"/>
              <w:jc w:val="center"/>
              <w:rPr>
                <w:rFonts w:ascii="宋体" w:hAnsi="宋体"/>
                <w:sz w:val="24"/>
              </w:rPr>
            </w:pPr>
          </w:p>
        </w:tc>
      </w:tr>
    </w:tbl>
    <w:p>
      <w:pPr>
        <w:spacing w:line="360" w:lineRule="auto"/>
        <w:rPr>
          <w:rFonts w:hint="eastAsia" w:ascii="宋体" w:hAnsi="宋体" w:cs="宋体"/>
          <w:b/>
        </w:rPr>
      </w:pPr>
      <w:r>
        <w:rPr>
          <w:rFonts w:hint="eastAsia" w:ascii="宋体" w:hAnsi="宋体" w:cs="宋体"/>
        </w:rPr>
        <w:t>备注：</w:t>
      </w:r>
      <w:r>
        <w:rPr>
          <w:rFonts w:hint="eastAsia" w:ascii="宋体" w:hAnsi="宋体" w:cs="宋体"/>
          <w:b/>
        </w:rPr>
        <w:t>五年租赁费用=一年租赁费用×5；</w:t>
      </w:r>
    </w:p>
    <w:p>
      <w:pPr>
        <w:spacing w:line="360" w:lineRule="auto"/>
        <w:ind w:firstLine="527" w:firstLineChars="250"/>
        <w:rPr>
          <w:rFonts w:hint="eastAsia" w:ascii="宋体" w:hAnsi="宋体" w:cs="宋体"/>
          <w:b/>
        </w:rPr>
      </w:pPr>
      <w:r>
        <w:rPr>
          <w:rFonts w:hint="eastAsia" w:ascii="宋体" w:hAnsi="宋体" w:cs="宋体"/>
          <w:b/>
        </w:rPr>
        <w:t>一年租赁费用与投标报价明细表中“年租赁费合计”一致；</w:t>
      </w:r>
    </w:p>
    <w:p>
      <w:pPr>
        <w:spacing w:line="360" w:lineRule="auto"/>
        <w:ind w:firstLine="527" w:firstLineChars="250"/>
        <w:rPr>
          <w:rFonts w:hint="eastAsia" w:ascii="宋体" w:hAnsi="宋体" w:cs="宋体"/>
          <w:b/>
        </w:rPr>
      </w:pPr>
      <w:r>
        <w:rPr>
          <w:rFonts w:hint="eastAsia" w:ascii="宋体" w:hAnsi="宋体" w:cs="宋体"/>
          <w:b/>
        </w:rPr>
        <w:t>一年租赁费用与各类型摄像机单台综合年租赁费报价表中“年租赁费合计”一致；</w:t>
      </w:r>
    </w:p>
    <w:p>
      <w:pPr>
        <w:spacing w:line="460" w:lineRule="exact"/>
      </w:pPr>
    </w:p>
    <w:p>
      <w:pPr>
        <w:spacing w:line="460" w:lineRule="exact"/>
      </w:pPr>
      <w:r>
        <w:t>投标单位（公章）：                     法定代表人（或企业负责人）或授权代表（签字或盖章）：</w:t>
      </w:r>
    </w:p>
    <w:p>
      <w:pPr>
        <w:spacing w:line="460" w:lineRule="exact"/>
      </w:pPr>
    </w:p>
    <w:p>
      <w:pPr>
        <w:spacing w:line="460" w:lineRule="exact"/>
      </w:pPr>
      <w:r>
        <w:t xml:space="preserve">                                           日   期：     年   月   日</w:t>
      </w:r>
    </w:p>
    <w:p>
      <w:pPr>
        <w:spacing w:line="360" w:lineRule="auto"/>
        <w:rPr>
          <w:rStyle w:val="105"/>
          <w:rFonts w:hint="eastAsia" w:ascii="宋体" w:hAnsi="宋体" w:cs="宋体"/>
          <w:sz w:val="28"/>
          <w:szCs w:val="28"/>
        </w:rPr>
      </w:pPr>
      <w:r>
        <w:rPr>
          <w:rStyle w:val="105"/>
          <w:rFonts w:hint="eastAsia" w:ascii="宋体" w:hAnsi="宋体" w:cs="宋体"/>
          <w:sz w:val="28"/>
          <w:szCs w:val="28"/>
        </w:rPr>
        <w:t>附件十四、投标报价明细表</w:t>
      </w:r>
    </w:p>
    <w:p>
      <w:pPr>
        <w:spacing w:line="460" w:lineRule="exact"/>
      </w:pPr>
      <w:r>
        <w:t>项目名称：＿＿＿＿＿＿＿＿＿＿＿＿               招标编号：＿＿＿＿＿＿＿＿</w:t>
      </w:r>
    </w:p>
    <w:tbl>
      <w:tblPr>
        <w:tblStyle w:val="51"/>
        <w:tblW w:w="0" w:type="auto"/>
        <w:tblInd w:w="113" w:type="dxa"/>
        <w:tblLayout w:type="fixed"/>
        <w:tblCellMar>
          <w:top w:w="0" w:type="dxa"/>
          <w:left w:w="108" w:type="dxa"/>
          <w:bottom w:w="0" w:type="dxa"/>
          <w:right w:w="108" w:type="dxa"/>
        </w:tblCellMar>
      </w:tblPr>
      <w:tblGrid>
        <w:gridCol w:w="800"/>
        <w:gridCol w:w="2280"/>
        <w:gridCol w:w="1040"/>
        <w:gridCol w:w="1040"/>
        <w:gridCol w:w="1860"/>
        <w:gridCol w:w="1520"/>
      </w:tblGrid>
      <w:tr>
        <w:tblPrEx>
          <w:tblCellMar>
            <w:top w:w="0" w:type="dxa"/>
            <w:left w:w="108" w:type="dxa"/>
            <w:bottom w:w="0" w:type="dxa"/>
            <w:right w:w="108" w:type="dxa"/>
          </w:tblCellMar>
        </w:tblPrEx>
        <w:trPr>
          <w:trHeight w:val="56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28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设备名称</w:t>
            </w:r>
          </w:p>
        </w:tc>
        <w:tc>
          <w:tcPr>
            <w:tcW w:w="104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单位</w:t>
            </w:r>
          </w:p>
        </w:tc>
        <w:tc>
          <w:tcPr>
            <w:tcW w:w="104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数量</w:t>
            </w:r>
          </w:p>
        </w:tc>
        <w:tc>
          <w:tcPr>
            <w:tcW w:w="186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年租赁费综合单价</w:t>
            </w:r>
            <w:r>
              <w:rPr>
                <w:b/>
                <w:bCs/>
                <w:color w:val="000000"/>
                <w:kern w:val="0"/>
                <w:szCs w:val="21"/>
              </w:rPr>
              <w:t xml:space="preserve"> </w:t>
            </w:r>
            <w:r>
              <w:rPr>
                <w:rFonts w:hint="eastAsia" w:ascii="宋体" w:hAnsi="宋体" w:cs="宋体"/>
                <w:b/>
                <w:bCs/>
                <w:color w:val="000000"/>
                <w:kern w:val="0"/>
                <w:szCs w:val="21"/>
              </w:rPr>
              <w:t>（元</w:t>
            </w:r>
            <w:r>
              <w:rPr>
                <w:b/>
                <w:bCs/>
                <w:color w:val="000000"/>
                <w:kern w:val="0"/>
                <w:szCs w:val="21"/>
              </w:rPr>
              <w:t>/</w:t>
            </w:r>
            <w:r>
              <w:rPr>
                <w:rFonts w:hint="eastAsia" w:ascii="宋体" w:hAnsi="宋体" w:cs="宋体"/>
                <w:b/>
                <w:bCs/>
                <w:color w:val="000000"/>
                <w:kern w:val="0"/>
                <w:szCs w:val="21"/>
              </w:rPr>
              <w:t>年）</w:t>
            </w:r>
          </w:p>
        </w:tc>
        <w:tc>
          <w:tcPr>
            <w:tcW w:w="152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合计（元）</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1、前端监控设备</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nil"/>
              <w:left w:val="nil"/>
              <w:bottom w:val="single" w:color="auto" w:sz="4" w:space="0"/>
              <w:right w:val="single" w:color="auto" w:sz="4" w:space="0"/>
            </w:tcBorders>
            <w:shd w:val="clear" w:color="000000" w:fill="FFFFFF"/>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多目全景摄像机</w:t>
            </w:r>
          </w:p>
        </w:tc>
        <w:tc>
          <w:tcPr>
            <w:tcW w:w="1040" w:type="dxa"/>
            <w:tcBorders>
              <w:top w:val="nil"/>
              <w:left w:val="nil"/>
              <w:bottom w:val="single" w:color="auto" w:sz="4" w:space="0"/>
              <w:right w:val="single" w:color="auto" w:sz="4" w:space="0"/>
            </w:tcBorders>
            <w:shd w:val="clear" w:color="auto" w:fill="auto"/>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54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400万人车一体抓拍球机（人车一体）</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27</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54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200万室内人脸抓拍筒机（人脸相机）</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54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600万人脸抓拍枪机（人脸相机）</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暖光常亮灯</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枪机高清镜头</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54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800万人脸抓拍枪机（人脸相机）</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8</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暖光常亮灯</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9</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枪机高清镜头</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54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10</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900万人车一体抓拍机（人车一体）</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43</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枪机高清镜头</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43</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频闪补光灯</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43</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13</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闪光补光灯</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40</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14</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800万像素结构化枪机</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枪机高清镜头</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SD卡</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张</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304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17</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枪机护罩、支架</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摄像机电源</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230</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补光灯</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20</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6.7米监控立杆</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153</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21</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4米监控立杆</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20</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3米监控立杆</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23</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4米金属挑臂</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148</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24</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3米金属挑臂</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25</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25</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2米金属挑臂</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26</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0.6米金属挑臂</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27</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壁挂支架</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38</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28</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壁挂机箱</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个</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38</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29</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室外抱杆控制箱</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只</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210</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30</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辅材</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210</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2、传输网络设备</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OLT业务板卡</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ONU设备</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304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以太网交换机</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千兆光模块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3、视频存储设备</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视频集中存储磁盘阵列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硬盘</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144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4、三维地图展示系统</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触摸显示一体机</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实景航拍</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三维GIS建模</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三维地图二次开发</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5、其他</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04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机柜</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摄像机接入授权</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项</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IPSAN接入授权</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46寸1.7mm拼缝高亮LCD拼接显示单元</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15米DVI-D线缆</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条</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拼接屏落地式支架</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LCD拼接系统工程安装服务</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视频综合平台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主控板模块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2280" w:type="dxa"/>
            <w:tcBorders>
              <w:top w:val="nil"/>
              <w:left w:val="nil"/>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DVI视频输入编码板模块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2280" w:type="dxa"/>
            <w:tcBorders>
              <w:top w:val="nil"/>
              <w:left w:val="nil"/>
              <w:bottom w:val="single" w:color="auto" w:sz="4" w:space="0"/>
              <w:right w:val="single" w:color="auto" w:sz="4" w:space="0"/>
            </w:tcBorders>
            <w:noWrap w:val="0"/>
            <w:vAlign w:val="center"/>
          </w:tcPr>
          <w:p>
            <w:pPr>
              <w:widowControl/>
              <w:jc w:val="left"/>
              <w:textAlignment w:val="center"/>
              <w:rPr>
                <w:rFonts w:hint="eastAsia" w:ascii="宋体" w:hAnsi="宋体" w:cs="宋体"/>
                <w:color w:val="000000"/>
                <w:kern w:val="0"/>
                <w:szCs w:val="21"/>
              </w:rPr>
            </w:pPr>
            <w:r>
              <w:rPr>
                <w:rFonts w:hint="eastAsia" w:ascii="宋体" w:hAnsi="宋体" w:cs="宋体"/>
                <w:color w:val="000000"/>
                <w:kern w:val="0"/>
                <w:sz w:val="18"/>
                <w:szCs w:val="18"/>
                <w:lang w:bidi="ar"/>
              </w:rPr>
              <w:t>DVI视频解码输出板模块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台</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800"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2280" w:type="dxa"/>
            <w:tcBorders>
              <w:top w:val="nil"/>
              <w:left w:val="nil"/>
              <w:bottom w:val="single" w:color="auto" w:sz="4" w:space="0"/>
              <w:right w:val="single" w:color="auto" w:sz="4" w:space="0"/>
            </w:tcBorders>
            <w:noWrap w:val="0"/>
            <w:vAlign w:val="center"/>
          </w:tcPr>
          <w:p>
            <w:pPr>
              <w:widowControl/>
              <w:jc w:val="left"/>
              <w:textAlignment w:val="center"/>
              <w:rPr>
                <w:rFonts w:hint="eastAsia" w:ascii="宋体" w:hAnsi="宋体" w:cs="宋体"/>
                <w:color w:val="000000"/>
                <w:kern w:val="0"/>
                <w:szCs w:val="21"/>
              </w:rPr>
            </w:pPr>
            <w:r>
              <w:rPr>
                <w:rFonts w:hint="eastAsia" w:ascii="宋体" w:hAnsi="宋体" w:cs="宋体"/>
                <w:color w:val="000000"/>
                <w:kern w:val="0"/>
                <w:sz w:val="18"/>
                <w:szCs w:val="18"/>
                <w:lang w:bidi="ar"/>
              </w:rPr>
              <w:t>机房装修（大屏部分）</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设备及材料合计（元）</w:t>
            </w:r>
          </w:p>
        </w:tc>
        <w:tc>
          <w:tcPr>
            <w:tcW w:w="1040" w:type="dxa"/>
            <w:tcBorders>
              <w:top w:val="single" w:color="auto" w:sz="4" w:space="0"/>
              <w:left w:val="single" w:color="auto" w:sz="4" w:space="0"/>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4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left"/>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6、设备调试及引电</w:t>
            </w:r>
          </w:p>
        </w:tc>
        <w:tc>
          <w:tcPr>
            <w:tcW w:w="1040" w:type="dxa"/>
            <w:tcBorders>
              <w:top w:val="single" w:color="auto" w:sz="4" w:space="0"/>
              <w:left w:val="single" w:color="auto" w:sz="4" w:space="0"/>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4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9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设备安装调试费</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304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9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室外引电费用</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304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设备调试及引电合计（元）</w:t>
            </w:r>
          </w:p>
        </w:tc>
        <w:tc>
          <w:tcPr>
            <w:tcW w:w="1040" w:type="dxa"/>
            <w:tcBorders>
              <w:top w:val="single" w:color="auto" w:sz="4" w:space="0"/>
              <w:left w:val="single" w:color="auto" w:sz="4" w:space="0"/>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40" w:type="dxa"/>
            <w:tcBorders>
              <w:top w:val="nil"/>
              <w:left w:val="nil"/>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4120" w:type="dxa"/>
            <w:gridSpan w:val="3"/>
            <w:tcBorders>
              <w:top w:val="single" w:color="auto" w:sz="4" w:space="0"/>
              <w:left w:val="single" w:color="auto" w:sz="4" w:space="0"/>
              <w:bottom w:val="single" w:color="auto" w:sz="4" w:space="0"/>
              <w:right w:val="single" w:color="auto" w:sz="4" w:space="0"/>
            </w:tcBorders>
            <w:noWrap w:val="0"/>
            <w:vAlign w:val="bottom"/>
          </w:tcPr>
          <w:p>
            <w:pPr>
              <w:widowControl/>
              <w:jc w:val="left"/>
              <w:rPr>
                <w:rFonts w:hint="eastAsia" w:ascii="宋体" w:hAnsi="宋体" w:cs="宋体"/>
                <w:b/>
                <w:bCs/>
                <w:color w:val="000000"/>
                <w:kern w:val="0"/>
                <w:szCs w:val="21"/>
              </w:rPr>
            </w:pPr>
            <w:r>
              <w:rPr>
                <w:rFonts w:hint="eastAsia" w:ascii="宋体" w:hAnsi="宋体" w:cs="宋体"/>
                <w:b/>
                <w:bCs/>
                <w:color w:val="000000"/>
                <w:kern w:val="0"/>
                <w:szCs w:val="21"/>
              </w:rPr>
              <w:t>7、工程维护、财务费及光纤租赁</w:t>
            </w:r>
          </w:p>
        </w:tc>
        <w:tc>
          <w:tcPr>
            <w:tcW w:w="1040"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9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财务费</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项</w:t>
            </w:r>
          </w:p>
        </w:tc>
        <w:tc>
          <w:tcPr>
            <w:tcW w:w="1040"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9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前端设备维护费</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304</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9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中心设备维护费</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项</w:t>
            </w:r>
          </w:p>
        </w:tc>
        <w:tc>
          <w:tcPr>
            <w:tcW w:w="1040"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Cs w:val="21"/>
              </w:rPr>
            </w:pPr>
            <w:r>
              <w:rPr>
                <w:rFonts w:hint="eastAsia" w:ascii="宋体" w:hAnsi="宋体" w:cs="宋体"/>
                <w:color w:val="000000"/>
                <w:kern w:val="0"/>
                <w:szCs w:val="21"/>
              </w:rPr>
              <w:t>光纤租赁费</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套</w:t>
            </w:r>
          </w:p>
        </w:tc>
        <w:tc>
          <w:tcPr>
            <w:tcW w:w="1040" w:type="dxa"/>
            <w:tcBorders>
              <w:top w:val="nil"/>
              <w:left w:val="single" w:color="auto" w:sz="4" w:space="0"/>
              <w:bottom w:val="nil"/>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304</w:t>
            </w:r>
          </w:p>
        </w:tc>
        <w:tc>
          <w:tcPr>
            <w:tcW w:w="1860" w:type="dxa"/>
            <w:tcBorders>
              <w:top w:val="nil"/>
              <w:left w:val="nil"/>
              <w:bottom w:val="nil"/>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nil"/>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4120" w:type="dxa"/>
            <w:gridSpan w:val="3"/>
            <w:tcBorders>
              <w:top w:val="single" w:color="auto" w:sz="4" w:space="0"/>
              <w:left w:val="single" w:color="auto" w:sz="4" w:space="0"/>
              <w:bottom w:val="single" w:color="auto" w:sz="4" w:space="0"/>
              <w:right w:val="single" w:color="auto" w:sz="4" w:space="0"/>
            </w:tcBorders>
            <w:noWrap w:val="0"/>
            <w:vAlign w:val="bottom"/>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工程维护、财务费及光纤租赁合计（元）</w:t>
            </w:r>
          </w:p>
        </w:tc>
        <w:tc>
          <w:tcPr>
            <w:tcW w:w="1040" w:type="dxa"/>
            <w:tcBorders>
              <w:top w:val="single" w:color="auto" w:sz="4" w:space="0"/>
              <w:left w:val="nil"/>
              <w:bottom w:val="single" w:color="auto" w:sz="4" w:space="0"/>
              <w:right w:val="single" w:color="auto" w:sz="4" w:space="0"/>
            </w:tcBorders>
            <w:noWrap w:val="0"/>
            <w:vAlign w:val="bottom"/>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860" w:type="dxa"/>
            <w:tcBorders>
              <w:top w:val="single" w:color="auto" w:sz="4" w:space="0"/>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single" w:color="auto" w:sz="4" w:space="0"/>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0" w:hRule="atLeast"/>
        </w:trPr>
        <w:tc>
          <w:tcPr>
            <w:tcW w:w="3080"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年租赁费合计（元）</w:t>
            </w:r>
          </w:p>
        </w:tc>
        <w:tc>
          <w:tcPr>
            <w:tcW w:w="104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4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86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520" w:type="dxa"/>
            <w:tcBorders>
              <w:top w:val="nil"/>
              <w:left w:val="nil"/>
              <w:bottom w:val="single" w:color="auto" w:sz="4" w:space="0"/>
              <w:right w:val="single" w:color="auto" w:sz="4" w:space="0"/>
            </w:tcBorders>
            <w:noWrap w:val="0"/>
            <w:vAlign w:val="bottom"/>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pPr>
        <w:spacing w:line="440" w:lineRule="exact"/>
      </w:pPr>
    </w:p>
    <w:tbl>
      <w:tblPr>
        <w:tblStyle w:val="51"/>
        <w:tblW w:w="0" w:type="auto"/>
        <w:tblInd w:w="0" w:type="dxa"/>
        <w:tblLayout w:type="fixed"/>
        <w:tblCellMar>
          <w:top w:w="0" w:type="dxa"/>
          <w:left w:w="0" w:type="dxa"/>
          <w:bottom w:w="0" w:type="dxa"/>
          <w:right w:w="0" w:type="dxa"/>
        </w:tblCellMar>
      </w:tblPr>
      <w:tblGrid>
        <w:gridCol w:w="1060"/>
        <w:gridCol w:w="2499"/>
        <w:gridCol w:w="1276"/>
        <w:gridCol w:w="2268"/>
        <w:gridCol w:w="1417"/>
      </w:tblGrid>
      <w:tr>
        <w:tblPrEx>
          <w:tblCellMar>
            <w:top w:w="0" w:type="dxa"/>
            <w:left w:w="0" w:type="dxa"/>
            <w:bottom w:w="0" w:type="dxa"/>
            <w:right w:w="0" w:type="dxa"/>
          </w:tblCellMar>
        </w:tblPrEx>
        <w:trPr>
          <w:trHeight w:val="270" w:hRule="atLeast"/>
        </w:trPr>
        <w:tc>
          <w:tcPr>
            <w:tcW w:w="8520" w:type="dxa"/>
            <w:gridSpan w:val="5"/>
            <w:tcBorders>
              <w:top w:val="nil"/>
              <w:left w:val="nil"/>
              <w:bottom w:val="single" w:color="auto" w:sz="4" w:space="0"/>
              <w:right w:val="nil"/>
            </w:tcBorders>
            <w:noWrap w:val="0"/>
            <w:tcMar>
              <w:top w:w="15" w:type="dxa"/>
              <w:left w:w="15" w:type="dxa"/>
              <w:bottom w:w="0" w:type="dxa"/>
              <w:right w:w="15" w:type="dxa"/>
            </w:tcMar>
            <w:vAlign w:val="center"/>
          </w:tcPr>
          <w:p>
            <w:pPr>
              <w:spacing w:line="360" w:lineRule="auto"/>
              <w:jc w:val="center"/>
              <w:rPr>
                <w:rFonts w:ascii="宋体" w:hAnsi="宋体" w:cs="宋体"/>
                <w:b/>
                <w:sz w:val="24"/>
              </w:rPr>
            </w:pPr>
            <w:r>
              <w:rPr>
                <w:rFonts w:hint="eastAsia"/>
                <w:b/>
                <w:sz w:val="24"/>
              </w:rPr>
              <w:t>各类型摄像机单台综合年租赁费报价表</w:t>
            </w:r>
          </w:p>
        </w:tc>
      </w:tr>
      <w:tr>
        <w:tblPrEx>
          <w:tblCellMar>
            <w:top w:w="0" w:type="dxa"/>
            <w:left w:w="0" w:type="dxa"/>
            <w:bottom w:w="0" w:type="dxa"/>
            <w:right w:w="0" w:type="dxa"/>
          </w:tblCellMar>
        </w:tblPrEx>
        <w:trPr>
          <w:trHeight w:val="510" w:hRule="atLeast"/>
        </w:trPr>
        <w:tc>
          <w:tcPr>
            <w:tcW w:w="1060" w:type="dxa"/>
            <w:tcBorders>
              <w:top w:val="nil"/>
              <w:left w:val="single" w:color="auto" w:sz="8"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b/>
                <w:bCs/>
                <w:szCs w:val="21"/>
              </w:rPr>
            </w:pPr>
            <w:r>
              <w:rPr>
                <w:rFonts w:hint="eastAsia"/>
                <w:b/>
                <w:bCs/>
                <w:szCs w:val="21"/>
              </w:rPr>
              <w:t>序号</w:t>
            </w:r>
          </w:p>
        </w:tc>
        <w:tc>
          <w:tcPr>
            <w:tcW w:w="2499" w:type="dxa"/>
            <w:tcBorders>
              <w:top w:val="nil"/>
              <w:left w:val="single" w:color="auto" w:sz="8"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b/>
                <w:bCs/>
                <w:szCs w:val="21"/>
              </w:rPr>
            </w:pPr>
            <w:r>
              <w:rPr>
                <w:rFonts w:hint="eastAsia"/>
                <w:b/>
                <w:bCs/>
                <w:szCs w:val="21"/>
              </w:rPr>
              <w:t>内容</w:t>
            </w:r>
          </w:p>
        </w:tc>
        <w:tc>
          <w:tcPr>
            <w:tcW w:w="1276" w:type="dxa"/>
            <w:tcBorders>
              <w:top w:val="nil"/>
              <w:left w:val="single" w:color="auto" w:sz="4" w:space="0"/>
              <w:bottom w:val="single" w:color="auto" w:sz="4" w:space="0"/>
              <w:right w:val="single" w:color="auto" w:sz="4" w:space="0"/>
            </w:tcBorders>
            <w:noWrap w:val="0"/>
            <w:vAlign w:val="center"/>
          </w:tcPr>
          <w:p>
            <w:pPr>
              <w:jc w:val="center"/>
              <w:rPr>
                <w:rFonts w:ascii="宋体" w:hAnsi="宋体" w:cs="宋体"/>
                <w:b/>
                <w:bCs/>
                <w:szCs w:val="21"/>
              </w:rPr>
            </w:pPr>
            <w:r>
              <w:rPr>
                <w:rFonts w:hint="eastAsia" w:ascii="宋体" w:hAnsi="宋体" w:cs="宋体"/>
                <w:b/>
                <w:bCs/>
                <w:szCs w:val="21"/>
              </w:rPr>
              <w:t>数量</w:t>
            </w:r>
          </w:p>
        </w:tc>
        <w:tc>
          <w:tcPr>
            <w:tcW w:w="2268" w:type="dxa"/>
            <w:tcBorders>
              <w:top w:val="nil"/>
              <w:left w:val="single" w:color="auto" w:sz="4" w:space="0"/>
              <w:bottom w:val="single" w:color="auto" w:sz="4" w:space="0"/>
              <w:right w:val="single" w:color="auto" w:sz="4" w:space="0"/>
            </w:tcBorders>
            <w:noWrap w:val="0"/>
            <w:vAlign w:val="center"/>
          </w:tcPr>
          <w:p>
            <w:pPr>
              <w:jc w:val="center"/>
              <w:rPr>
                <w:rFonts w:hint="eastAsia"/>
                <w:b/>
              </w:rPr>
            </w:pPr>
            <w:r>
              <w:rPr>
                <w:rFonts w:hint="eastAsia"/>
                <w:b/>
              </w:rPr>
              <w:t>综合年租赁费单价</w:t>
            </w:r>
          </w:p>
          <w:p>
            <w:pPr>
              <w:jc w:val="center"/>
              <w:rPr>
                <w:rFonts w:ascii="宋体" w:hAnsi="宋体" w:cs="宋体"/>
                <w:b/>
                <w:bCs/>
                <w:szCs w:val="21"/>
              </w:rPr>
            </w:pPr>
            <w:r>
              <w:rPr>
                <w:rFonts w:hint="eastAsia"/>
                <w:b/>
              </w:rPr>
              <w:t>（</w:t>
            </w:r>
            <w:r>
              <w:rPr>
                <w:b/>
                <w:szCs w:val="22"/>
              </w:rPr>
              <w:t>元/</w:t>
            </w:r>
            <w:r>
              <w:rPr>
                <w:rFonts w:hint="eastAsia"/>
                <w:b/>
                <w:szCs w:val="22"/>
              </w:rPr>
              <w:t>套</w:t>
            </w:r>
            <w:r>
              <w:rPr>
                <w:b/>
                <w:szCs w:val="22"/>
              </w:rPr>
              <w:t>/年</w:t>
            </w:r>
            <w:r>
              <w:rPr>
                <w:rFonts w:hint="eastAsia"/>
                <w:b/>
                <w:szCs w:val="22"/>
              </w:rPr>
              <w:t>）</w:t>
            </w:r>
          </w:p>
        </w:tc>
        <w:tc>
          <w:tcPr>
            <w:tcW w:w="1417" w:type="dxa"/>
            <w:tcBorders>
              <w:top w:val="single" w:color="auto" w:sz="4" w:space="0"/>
              <w:left w:val="single" w:color="auto" w:sz="8" w:space="0"/>
              <w:bottom w:val="single" w:color="auto" w:sz="4" w:space="0"/>
              <w:right w:val="single" w:color="000000" w:sz="4" w:space="0"/>
            </w:tcBorders>
            <w:noWrap w:val="0"/>
            <w:tcMar>
              <w:top w:w="15" w:type="dxa"/>
              <w:left w:w="15" w:type="dxa"/>
              <w:bottom w:w="0" w:type="dxa"/>
              <w:right w:w="15" w:type="dxa"/>
            </w:tcMar>
            <w:vAlign w:val="center"/>
          </w:tcPr>
          <w:p>
            <w:pPr>
              <w:jc w:val="center"/>
              <w:rPr>
                <w:rFonts w:ascii="宋体" w:hAnsi="宋体" w:cs="宋体"/>
                <w:b/>
                <w:bCs/>
                <w:szCs w:val="21"/>
              </w:rPr>
            </w:pPr>
            <w:r>
              <w:rPr>
                <w:rFonts w:hint="eastAsia"/>
                <w:b/>
                <w:bCs/>
                <w:szCs w:val="21"/>
              </w:rPr>
              <w:t>合计</w:t>
            </w:r>
          </w:p>
        </w:tc>
      </w:tr>
      <w:tr>
        <w:tblPrEx>
          <w:tblCellMar>
            <w:top w:w="0" w:type="dxa"/>
            <w:left w:w="0" w:type="dxa"/>
            <w:bottom w:w="0" w:type="dxa"/>
            <w:right w:w="0" w:type="dxa"/>
          </w:tblCellMar>
        </w:tblPrEx>
        <w:trPr>
          <w:trHeight w:val="510" w:hRule="atLeast"/>
        </w:trPr>
        <w:tc>
          <w:tcPr>
            <w:tcW w:w="1060"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Cs w:val="21"/>
              </w:rPr>
            </w:pPr>
            <w:r>
              <w:rPr>
                <w:rFonts w:hint="eastAsia"/>
                <w:szCs w:val="21"/>
              </w:rPr>
              <w:t>1</w:t>
            </w:r>
          </w:p>
        </w:tc>
        <w:tc>
          <w:tcPr>
            <w:tcW w:w="249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200万室内人脸抓拍筒机（人脸相机）</w:t>
            </w:r>
            <w:r>
              <w:rPr>
                <w:rFonts w:ascii="宋体" w:hAnsi="宋体" w:cs="宋体"/>
                <w:szCs w:val="21"/>
              </w:rPr>
              <w:t xml:space="preserve"> </w:t>
            </w:r>
          </w:p>
        </w:tc>
        <w:tc>
          <w:tcPr>
            <w:tcW w:w="1276" w:type="dxa"/>
            <w:tcBorders>
              <w:top w:val="nil"/>
              <w:left w:val="nil"/>
              <w:bottom w:val="single" w:color="auto" w:sz="4" w:space="0"/>
              <w:right w:val="single" w:color="auto" w:sz="4" w:space="0"/>
            </w:tcBorders>
            <w:noWrap w:val="0"/>
            <w:vAlign w:val="center"/>
          </w:tcPr>
          <w:p>
            <w:pPr>
              <w:jc w:val="center"/>
              <w:rPr>
                <w:szCs w:val="22"/>
              </w:rPr>
            </w:pPr>
            <w:r>
              <w:rPr>
                <w:szCs w:val="22"/>
              </w:rPr>
              <w:t>12</w:t>
            </w:r>
            <w:r>
              <w:rPr>
                <w:rFonts w:hint="eastAsia"/>
                <w:szCs w:val="22"/>
              </w:rPr>
              <w:t>套</w:t>
            </w:r>
          </w:p>
        </w:tc>
        <w:tc>
          <w:tcPr>
            <w:tcW w:w="2268" w:type="dxa"/>
            <w:tcBorders>
              <w:top w:val="nil"/>
              <w:left w:val="nil"/>
              <w:bottom w:val="single" w:color="auto" w:sz="4" w:space="0"/>
              <w:right w:val="single" w:color="auto" w:sz="4" w:space="0"/>
            </w:tcBorders>
            <w:noWrap w:val="0"/>
            <w:vAlign w:val="center"/>
          </w:tcPr>
          <w:p>
            <w:pPr>
              <w:rPr>
                <w:rFonts w:ascii="宋体" w:hAnsi="宋体" w:cs="宋体"/>
                <w:szCs w:val="21"/>
              </w:rPr>
            </w:pPr>
          </w:p>
        </w:tc>
        <w:tc>
          <w:tcPr>
            <w:tcW w:w="1417"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510" w:hRule="atLeast"/>
        </w:trPr>
        <w:tc>
          <w:tcPr>
            <w:tcW w:w="1060"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Cs w:val="21"/>
              </w:rPr>
            </w:pPr>
            <w:r>
              <w:rPr>
                <w:rFonts w:hint="eastAsia"/>
                <w:szCs w:val="21"/>
              </w:rPr>
              <w:t>2</w:t>
            </w:r>
          </w:p>
        </w:tc>
        <w:tc>
          <w:tcPr>
            <w:tcW w:w="249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ascii="宋体" w:hAnsi="宋体" w:cs="宋体"/>
                <w:szCs w:val="21"/>
              </w:rPr>
            </w:pPr>
            <w:r>
              <w:rPr>
                <w:rFonts w:hint="eastAsia" w:ascii="宋体" w:hAnsi="宋体" w:cs="宋体"/>
                <w:szCs w:val="21"/>
              </w:rPr>
              <w:t>400万人车一体抓拍球机（人车一体）</w:t>
            </w:r>
            <w:r>
              <w:rPr>
                <w:rFonts w:ascii="宋体" w:hAnsi="宋体" w:cs="宋体"/>
                <w:szCs w:val="21"/>
              </w:rPr>
              <w:t xml:space="preserve"> </w:t>
            </w:r>
          </w:p>
        </w:tc>
        <w:tc>
          <w:tcPr>
            <w:tcW w:w="1276" w:type="dxa"/>
            <w:tcBorders>
              <w:top w:val="nil"/>
              <w:left w:val="nil"/>
              <w:bottom w:val="single" w:color="auto" w:sz="4" w:space="0"/>
              <w:right w:val="single" w:color="auto" w:sz="4" w:space="0"/>
            </w:tcBorders>
            <w:noWrap w:val="0"/>
            <w:vAlign w:val="center"/>
          </w:tcPr>
          <w:p>
            <w:pPr>
              <w:jc w:val="center"/>
              <w:rPr>
                <w:szCs w:val="22"/>
              </w:rPr>
            </w:pPr>
            <w:r>
              <w:rPr>
                <w:szCs w:val="22"/>
              </w:rPr>
              <w:t>27</w:t>
            </w:r>
            <w:r>
              <w:rPr>
                <w:rFonts w:hint="eastAsia"/>
                <w:szCs w:val="22"/>
              </w:rPr>
              <w:t>套</w:t>
            </w:r>
          </w:p>
        </w:tc>
        <w:tc>
          <w:tcPr>
            <w:tcW w:w="2268" w:type="dxa"/>
            <w:tcBorders>
              <w:top w:val="nil"/>
              <w:left w:val="nil"/>
              <w:bottom w:val="single" w:color="auto" w:sz="4" w:space="0"/>
              <w:right w:val="single" w:color="auto" w:sz="4" w:space="0"/>
            </w:tcBorders>
            <w:noWrap w:val="0"/>
            <w:vAlign w:val="center"/>
          </w:tcPr>
          <w:p>
            <w:pPr>
              <w:rPr>
                <w:rFonts w:ascii="宋体" w:hAnsi="宋体" w:cs="宋体"/>
                <w:szCs w:val="21"/>
              </w:rPr>
            </w:pPr>
          </w:p>
        </w:tc>
        <w:tc>
          <w:tcPr>
            <w:tcW w:w="1417"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540" w:hRule="atLeast"/>
        </w:trPr>
        <w:tc>
          <w:tcPr>
            <w:tcW w:w="1060"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3</w:t>
            </w:r>
          </w:p>
        </w:tc>
        <w:tc>
          <w:tcPr>
            <w:tcW w:w="249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ascii="宋体" w:hAnsi="宋体" w:cs="宋体"/>
                <w:sz w:val="22"/>
                <w:szCs w:val="22"/>
              </w:rPr>
            </w:pPr>
            <w:r>
              <w:rPr>
                <w:rFonts w:hint="eastAsia"/>
                <w:szCs w:val="22"/>
              </w:rPr>
              <w:t>600万人脸抓拍枪机（人脸相机）</w:t>
            </w:r>
          </w:p>
        </w:tc>
        <w:tc>
          <w:tcPr>
            <w:tcW w:w="1276" w:type="dxa"/>
            <w:tcBorders>
              <w:top w:val="nil"/>
              <w:left w:val="nil"/>
              <w:bottom w:val="single" w:color="auto" w:sz="4" w:space="0"/>
              <w:right w:val="single" w:color="auto" w:sz="4" w:space="0"/>
            </w:tcBorders>
            <w:noWrap w:val="0"/>
            <w:vAlign w:val="center"/>
          </w:tcPr>
          <w:p>
            <w:pPr>
              <w:jc w:val="center"/>
              <w:rPr>
                <w:szCs w:val="22"/>
              </w:rPr>
            </w:pPr>
            <w:r>
              <w:rPr>
                <w:szCs w:val="22"/>
              </w:rPr>
              <w:t>4</w:t>
            </w:r>
            <w:r>
              <w:rPr>
                <w:rFonts w:hint="eastAsia"/>
                <w:szCs w:val="22"/>
              </w:rPr>
              <w:t>套</w:t>
            </w:r>
          </w:p>
        </w:tc>
        <w:tc>
          <w:tcPr>
            <w:tcW w:w="2268" w:type="dxa"/>
            <w:tcBorders>
              <w:top w:val="nil"/>
              <w:left w:val="nil"/>
              <w:bottom w:val="single" w:color="auto" w:sz="4" w:space="0"/>
              <w:right w:val="single" w:color="auto" w:sz="4" w:space="0"/>
            </w:tcBorders>
            <w:noWrap w:val="0"/>
            <w:vAlign w:val="center"/>
          </w:tcPr>
          <w:p>
            <w:pPr>
              <w:rPr>
                <w:rFonts w:ascii="宋体" w:hAnsi="宋体" w:cs="宋体"/>
                <w:sz w:val="22"/>
                <w:szCs w:val="22"/>
              </w:rPr>
            </w:pPr>
          </w:p>
        </w:tc>
        <w:tc>
          <w:tcPr>
            <w:tcW w:w="1417"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467" w:hRule="atLeast"/>
        </w:trPr>
        <w:tc>
          <w:tcPr>
            <w:tcW w:w="1060"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 w:val="22"/>
                <w:szCs w:val="22"/>
              </w:rPr>
            </w:pPr>
            <w:r>
              <w:rPr>
                <w:rFonts w:hint="eastAsia"/>
                <w:sz w:val="22"/>
                <w:szCs w:val="22"/>
              </w:rPr>
              <w:t>4</w:t>
            </w:r>
          </w:p>
        </w:tc>
        <w:tc>
          <w:tcPr>
            <w:tcW w:w="249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rPr>
                <w:rFonts w:ascii="宋体" w:hAnsi="宋体" w:cs="宋体"/>
                <w:sz w:val="22"/>
                <w:szCs w:val="22"/>
              </w:rPr>
            </w:pPr>
            <w:r>
              <w:rPr>
                <w:rFonts w:hint="eastAsia" w:ascii="宋体" w:hAnsi="宋体" w:cs="宋体"/>
                <w:sz w:val="22"/>
                <w:szCs w:val="22"/>
              </w:rPr>
              <w:t>800万人脸抓拍枪机（人脸相机）</w:t>
            </w:r>
          </w:p>
        </w:tc>
        <w:tc>
          <w:tcPr>
            <w:tcW w:w="1276" w:type="dxa"/>
            <w:tcBorders>
              <w:top w:val="nil"/>
              <w:left w:val="nil"/>
              <w:bottom w:val="single" w:color="auto" w:sz="4" w:space="0"/>
              <w:right w:val="single" w:color="auto" w:sz="4" w:space="0"/>
            </w:tcBorders>
            <w:noWrap w:val="0"/>
            <w:vAlign w:val="center"/>
          </w:tcPr>
          <w:p>
            <w:pPr>
              <w:jc w:val="center"/>
              <w:rPr>
                <w:szCs w:val="22"/>
              </w:rPr>
            </w:pPr>
            <w:r>
              <w:rPr>
                <w:szCs w:val="22"/>
              </w:rPr>
              <w:t>18</w:t>
            </w:r>
            <w:r>
              <w:rPr>
                <w:rFonts w:hint="eastAsia"/>
                <w:szCs w:val="22"/>
              </w:rPr>
              <w:t>套</w:t>
            </w:r>
          </w:p>
        </w:tc>
        <w:tc>
          <w:tcPr>
            <w:tcW w:w="2268" w:type="dxa"/>
            <w:tcBorders>
              <w:top w:val="nil"/>
              <w:left w:val="nil"/>
              <w:bottom w:val="single" w:color="auto" w:sz="4" w:space="0"/>
              <w:right w:val="single" w:color="auto" w:sz="4" w:space="0"/>
            </w:tcBorders>
            <w:noWrap w:val="0"/>
            <w:vAlign w:val="center"/>
          </w:tcPr>
          <w:p>
            <w:pPr>
              <w:rPr>
                <w:rFonts w:ascii="宋体" w:hAnsi="宋体" w:cs="宋体"/>
                <w:sz w:val="22"/>
                <w:szCs w:val="22"/>
              </w:rPr>
            </w:pPr>
          </w:p>
        </w:tc>
        <w:tc>
          <w:tcPr>
            <w:tcW w:w="1417"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467" w:hRule="atLeast"/>
        </w:trPr>
        <w:tc>
          <w:tcPr>
            <w:tcW w:w="10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sz w:val="22"/>
                <w:szCs w:val="22"/>
              </w:rPr>
            </w:pPr>
            <w:r>
              <w:rPr>
                <w:rFonts w:hint="eastAsia"/>
                <w:sz w:val="22"/>
                <w:szCs w:val="22"/>
              </w:rPr>
              <w:t>5</w:t>
            </w:r>
          </w:p>
        </w:tc>
        <w:tc>
          <w:tcPr>
            <w:tcW w:w="249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sz w:val="22"/>
                <w:szCs w:val="22"/>
              </w:rPr>
            </w:pPr>
            <w:r>
              <w:rPr>
                <w:rFonts w:hint="eastAsia"/>
                <w:szCs w:val="22"/>
              </w:rPr>
              <w:t>900万人车一体抓拍机（人车一体）</w:t>
            </w:r>
          </w:p>
        </w:tc>
        <w:tc>
          <w:tcPr>
            <w:tcW w:w="1276" w:type="dxa"/>
            <w:tcBorders>
              <w:top w:val="single" w:color="auto" w:sz="4" w:space="0"/>
              <w:left w:val="nil"/>
              <w:bottom w:val="single" w:color="auto" w:sz="4" w:space="0"/>
              <w:right w:val="single" w:color="auto" w:sz="4" w:space="0"/>
            </w:tcBorders>
            <w:noWrap w:val="0"/>
            <w:vAlign w:val="center"/>
          </w:tcPr>
          <w:p>
            <w:pPr>
              <w:jc w:val="center"/>
              <w:rPr>
                <w:rFonts w:hint="eastAsia"/>
                <w:szCs w:val="22"/>
              </w:rPr>
            </w:pPr>
            <w:r>
              <w:rPr>
                <w:szCs w:val="22"/>
              </w:rPr>
              <w:t>43</w:t>
            </w:r>
            <w:r>
              <w:rPr>
                <w:rFonts w:hint="eastAsia"/>
                <w:szCs w:val="22"/>
              </w:rPr>
              <w:t>套</w:t>
            </w:r>
          </w:p>
        </w:tc>
        <w:tc>
          <w:tcPr>
            <w:tcW w:w="2268" w:type="dxa"/>
            <w:tcBorders>
              <w:top w:val="single" w:color="auto" w:sz="4" w:space="0"/>
              <w:left w:val="nil"/>
              <w:bottom w:val="single" w:color="auto" w:sz="4" w:space="0"/>
              <w:right w:val="single" w:color="auto" w:sz="4" w:space="0"/>
            </w:tcBorders>
            <w:noWrap w:val="0"/>
            <w:vAlign w:val="center"/>
          </w:tcPr>
          <w:p>
            <w:pPr>
              <w:rPr>
                <w:rFonts w:hint="eastAsia"/>
                <w:sz w:val="22"/>
                <w:szCs w:val="22"/>
              </w:rPr>
            </w:pPr>
          </w:p>
        </w:tc>
        <w:tc>
          <w:tcPr>
            <w:tcW w:w="141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467" w:hRule="atLeast"/>
        </w:trPr>
        <w:tc>
          <w:tcPr>
            <w:tcW w:w="10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sz w:val="22"/>
                <w:szCs w:val="22"/>
              </w:rPr>
            </w:pPr>
            <w:r>
              <w:rPr>
                <w:rFonts w:hint="eastAsia"/>
                <w:sz w:val="22"/>
                <w:szCs w:val="22"/>
              </w:rPr>
              <w:t>6</w:t>
            </w:r>
          </w:p>
        </w:tc>
        <w:tc>
          <w:tcPr>
            <w:tcW w:w="249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sz w:val="22"/>
                <w:szCs w:val="22"/>
              </w:rPr>
            </w:pPr>
            <w:r>
              <w:rPr>
                <w:rFonts w:hint="eastAsia"/>
                <w:szCs w:val="22"/>
              </w:rPr>
              <w:t>800万像素结构化枪机</w:t>
            </w:r>
          </w:p>
        </w:tc>
        <w:tc>
          <w:tcPr>
            <w:tcW w:w="1276" w:type="dxa"/>
            <w:tcBorders>
              <w:top w:val="single" w:color="auto" w:sz="4" w:space="0"/>
              <w:left w:val="nil"/>
              <w:bottom w:val="single" w:color="auto" w:sz="4" w:space="0"/>
              <w:right w:val="single" w:color="auto" w:sz="4" w:space="0"/>
            </w:tcBorders>
            <w:noWrap w:val="0"/>
            <w:vAlign w:val="center"/>
          </w:tcPr>
          <w:p>
            <w:pPr>
              <w:jc w:val="center"/>
              <w:rPr>
                <w:rFonts w:hint="eastAsia"/>
                <w:szCs w:val="22"/>
              </w:rPr>
            </w:pPr>
            <w:r>
              <w:rPr>
                <w:szCs w:val="22"/>
              </w:rPr>
              <w:t>196</w:t>
            </w:r>
            <w:r>
              <w:rPr>
                <w:rFonts w:hint="eastAsia"/>
                <w:szCs w:val="22"/>
              </w:rPr>
              <w:t>套</w:t>
            </w:r>
          </w:p>
        </w:tc>
        <w:tc>
          <w:tcPr>
            <w:tcW w:w="2268" w:type="dxa"/>
            <w:tcBorders>
              <w:top w:val="single" w:color="auto" w:sz="4" w:space="0"/>
              <w:left w:val="nil"/>
              <w:bottom w:val="single" w:color="auto" w:sz="4" w:space="0"/>
              <w:right w:val="single" w:color="auto" w:sz="4" w:space="0"/>
            </w:tcBorders>
            <w:noWrap w:val="0"/>
            <w:vAlign w:val="center"/>
          </w:tcPr>
          <w:p>
            <w:pPr>
              <w:rPr>
                <w:rFonts w:hint="eastAsia"/>
                <w:sz w:val="22"/>
                <w:szCs w:val="22"/>
              </w:rPr>
            </w:pPr>
          </w:p>
        </w:tc>
        <w:tc>
          <w:tcPr>
            <w:tcW w:w="141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467" w:hRule="atLeast"/>
        </w:trPr>
        <w:tc>
          <w:tcPr>
            <w:tcW w:w="106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sz w:val="22"/>
                <w:szCs w:val="22"/>
              </w:rPr>
            </w:pPr>
            <w:r>
              <w:rPr>
                <w:rFonts w:hint="eastAsia"/>
                <w:sz w:val="22"/>
                <w:szCs w:val="22"/>
              </w:rPr>
              <w:t>7</w:t>
            </w:r>
          </w:p>
        </w:tc>
        <w:tc>
          <w:tcPr>
            <w:tcW w:w="249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rPr>
                <w:rFonts w:hint="eastAsia"/>
                <w:szCs w:val="22"/>
              </w:rPr>
            </w:pPr>
            <w:r>
              <w:rPr>
                <w:rFonts w:hint="eastAsia"/>
                <w:szCs w:val="22"/>
              </w:rPr>
              <w:t>多目全景摄像机</w:t>
            </w:r>
          </w:p>
        </w:tc>
        <w:tc>
          <w:tcPr>
            <w:tcW w:w="1276" w:type="dxa"/>
            <w:tcBorders>
              <w:top w:val="single" w:color="auto" w:sz="4" w:space="0"/>
              <w:left w:val="nil"/>
              <w:bottom w:val="single" w:color="auto" w:sz="4" w:space="0"/>
              <w:right w:val="single" w:color="auto" w:sz="4" w:space="0"/>
            </w:tcBorders>
            <w:noWrap w:val="0"/>
            <w:vAlign w:val="center"/>
          </w:tcPr>
          <w:p>
            <w:pPr>
              <w:jc w:val="center"/>
              <w:rPr>
                <w:rFonts w:hint="eastAsia"/>
                <w:szCs w:val="22"/>
              </w:rPr>
            </w:pPr>
            <w:r>
              <w:rPr>
                <w:rFonts w:hint="eastAsia"/>
                <w:szCs w:val="22"/>
              </w:rPr>
              <w:t>4套</w:t>
            </w:r>
          </w:p>
        </w:tc>
        <w:tc>
          <w:tcPr>
            <w:tcW w:w="2268" w:type="dxa"/>
            <w:tcBorders>
              <w:top w:val="single" w:color="auto" w:sz="4" w:space="0"/>
              <w:left w:val="nil"/>
              <w:bottom w:val="single" w:color="auto" w:sz="4" w:space="0"/>
              <w:right w:val="single" w:color="auto" w:sz="4" w:space="0"/>
            </w:tcBorders>
            <w:noWrap w:val="0"/>
            <w:vAlign w:val="center"/>
          </w:tcPr>
          <w:p>
            <w:pPr>
              <w:rPr>
                <w:rFonts w:hint="eastAsia"/>
                <w:sz w:val="22"/>
                <w:szCs w:val="22"/>
              </w:rPr>
            </w:pPr>
          </w:p>
        </w:tc>
        <w:tc>
          <w:tcPr>
            <w:tcW w:w="141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 w:val="22"/>
                <w:szCs w:val="22"/>
              </w:rPr>
            </w:pPr>
          </w:p>
        </w:tc>
      </w:tr>
      <w:tr>
        <w:tblPrEx>
          <w:tblCellMar>
            <w:top w:w="0" w:type="dxa"/>
            <w:left w:w="0" w:type="dxa"/>
            <w:bottom w:w="0" w:type="dxa"/>
            <w:right w:w="0" w:type="dxa"/>
          </w:tblCellMar>
        </w:tblPrEx>
        <w:trPr>
          <w:trHeight w:val="467" w:hRule="atLeast"/>
        </w:trPr>
        <w:tc>
          <w:tcPr>
            <w:tcW w:w="7103" w:type="dxa"/>
            <w:gridSpan w:val="4"/>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szCs w:val="22"/>
              </w:rPr>
            </w:pPr>
            <w:r>
              <w:rPr>
                <w:rFonts w:hint="eastAsia"/>
                <w:szCs w:val="22"/>
              </w:rPr>
              <w:t>年租赁费合计</w:t>
            </w:r>
          </w:p>
        </w:tc>
        <w:tc>
          <w:tcPr>
            <w:tcW w:w="141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宋体"/>
                <w:sz w:val="22"/>
                <w:szCs w:val="22"/>
              </w:rPr>
            </w:pPr>
          </w:p>
        </w:tc>
      </w:tr>
    </w:tbl>
    <w:p>
      <w:pPr>
        <w:spacing w:line="440" w:lineRule="exact"/>
      </w:pPr>
      <w:r>
        <w:t>注：投标人应详细列出招标文件规定的所有费用的明细表</w:t>
      </w:r>
      <w:r>
        <w:rPr>
          <w:rFonts w:hint="eastAsia"/>
        </w:rPr>
        <w:t>，本表“</w:t>
      </w:r>
      <w:r>
        <w:t>投标价合计</w:t>
      </w:r>
      <w:r>
        <w:rPr>
          <w:rFonts w:hint="eastAsia"/>
        </w:rPr>
        <w:t>”应与“开标一览表”中的“</w:t>
      </w:r>
      <w:r>
        <w:t>投标</w:t>
      </w:r>
      <w:r>
        <w:rPr>
          <w:rFonts w:hint="eastAsia"/>
        </w:rPr>
        <w:t>总价”保持一致</w:t>
      </w:r>
      <w:r>
        <w:t>。</w:t>
      </w:r>
    </w:p>
    <w:p>
      <w:pPr>
        <w:spacing w:line="460" w:lineRule="exact"/>
      </w:pPr>
    </w:p>
    <w:p>
      <w:pPr>
        <w:spacing w:line="460" w:lineRule="exact"/>
      </w:pPr>
      <w:r>
        <w:t>投标单位（公章）：                     法定代表人</w:t>
      </w:r>
      <w:r>
        <w:rPr>
          <w:rFonts w:hint="eastAsia"/>
        </w:rPr>
        <w:t>（或企业负责人）</w:t>
      </w:r>
      <w:r>
        <w:t>或授权代表（签字或盖章）：</w:t>
      </w:r>
    </w:p>
    <w:p>
      <w:pPr>
        <w:spacing w:line="460" w:lineRule="exact"/>
      </w:pPr>
    </w:p>
    <w:p>
      <w:pPr>
        <w:spacing w:line="460" w:lineRule="exact"/>
      </w:pPr>
      <w:r>
        <w:t xml:space="preserve">                                           日   期：     年   月   日</w:t>
      </w:r>
    </w:p>
    <w:p>
      <w:pPr>
        <w:rPr>
          <w:rFonts w:ascii="宋体" w:hAnsi="宋体" w:cs="宋体"/>
        </w:rPr>
      </w:pPr>
      <w:r>
        <w:rPr>
          <w:rFonts w:ascii="宋体" w:hAnsi="宋体" w:cs="宋体"/>
        </w:rPr>
        <w:br w:type="page"/>
      </w:r>
    </w:p>
    <w:p>
      <w:pPr>
        <w:spacing w:line="360" w:lineRule="auto"/>
        <w:rPr>
          <w:rFonts w:hint="eastAsia" w:ascii="宋体" w:hAnsi="宋体" w:cs="宋体"/>
          <w:b/>
          <w:bCs/>
          <w:sz w:val="28"/>
        </w:rPr>
      </w:pPr>
      <w:r>
        <w:rPr>
          <w:rFonts w:hint="eastAsia" w:ascii="宋体" w:hAnsi="宋体" w:cs="宋体"/>
          <w:b/>
          <w:bCs/>
          <w:sz w:val="28"/>
        </w:rPr>
        <w:t>附件十四、中小企业声明函</w:t>
      </w:r>
    </w:p>
    <w:p>
      <w:pPr>
        <w:pStyle w:val="46"/>
        <w:spacing w:after="120" w:line="520" w:lineRule="exact"/>
        <w:ind w:left="420" w:leftChars="200"/>
        <w:jc w:val="center"/>
        <w:rPr>
          <w:rFonts w:hint="eastAsia" w:cs="宋体"/>
          <w:b/>
          <w:sz w:val="28"/>
        </w:rPr>
      </w:pPr>
      <w:r>
        <w:rPr>
          <w:rFonts w:hint="eastAsia" w:cs="宋体"/>
          <w:b/>
          <w:sz w:val="28"/>
        </w:rPr>
        <w:t>中小企业声明函</w:t>
      </w:r>
    </w:p>
    <w:p>
      <w:pPr>
        <w:spacing w:line="588" w:lineRule="exact"/>
        <w:rPr>
          <w:rFonts w:hint="eastAsia" w:ascii="宋体" w:hAnsi="宋体" w:cs="宋体"/>
          <w:b/>
          <w:spacing w:val="6"/>
          <w:sz w:val="30"/>
          <w:szCs w:val="30"/>
        </w:rPr>
      </w:pPr>
    </w:p>
    <w:p>
      <w:pPr>
        <w:pStyle w:val="46"/>
        <w:spacing w:after="120" w:line="480" w:lineRule="exact"/>
        <w:ind w:left="420" w:leftChars="200" w:firstLine="420" w:firstLineChars="200"/>
        <w:rPr>
          <w:rFonts w:hint="eastAsia" w:cs="宋体"/>
        </w:rPr>
      </w:pPr>
      <w:r>
        <w:rPr>
          <w:rFonts w:hint="eastAsia" w:cs="宋体"/>
          <w:sz w:val="21"/>
        </w:rPr>
        <w:t>本公司郑重声明，根据《政府采购促进中小企业发展暂行办法》（财库[2011]181号）的规定，本公司为</w:t>
      </w:r>
      <w:r>
        <w:rPr>
          <w:rFonts w:hint="eastAsia" w:cs="宋体"/>
          <w:sz w:val="21"/>
          <w:u w:val="single"/>
        </w:rPr>
        <w:t xml:space="preserve">     （请填写：中型、小型、微型）</w:t>
      </w:r>
      <w:r>
        <w:rPr>
          <w:rFonts w:hint="eastAsia" w:cs="宋体"/>
          <w:sz w:val="21"/>
        </w:rPr>
        <w:t>企业。即，本公司同时满足以下条件：</w:t>
      </w:r>
    </w:p>
    <w:p>
      <w:pPr>
        <w:pStyle w:val="46"/>
        <w:spacing w:after="120" w:line="480" w:lineRule="exact"/>
        <w:ind w:left="420" w:leftChars="200"/>
        <w:rPr>
          <w:rFonts w:hint="eastAsia" w:cs="宋体"/>
        </w:rPr>
      </w:pPr>
      <w:r>
        <w:rPr>
          <w:rFonts w:hint="eastAsia" w:cs="宋体"/>
          <w:sz w:val="21"/>
        </w:rPr>
        <w:t>1.根据《工业和信息化部、国家统计局、国家发展和改革委员会、财政部关于印发中小企业划型标准规定的通知》（工信部联企业[2011]300号）规定的划分标准，本公司为</w:t>
      </w:r>
      <w:r>
        <w:rPr>
          <w:rFonts w:hint="eastAsia" w:cs="宋体"/>
          <w:sz w:val="21"/>
          <w:u w:val="single"/>
        </w:rPr>
        <w:t>（请填写：中型、小型、微型）</w:t>
      </w:r>
      <w:r>
        <w:rPr>
          <w:rFonts w:hint="eastAsia" w:cs="宋体"/>
          <w:sz w:val="21"/>
        </w:rPr>
        <w:t>企业。</w:t>
      </w:r>
    </w:p>
    <w:p>
      <w:pPr>
        <w:pStyle w:val="46"/>
        <w:spacing w:after="120" w:line="480" w:lineRule="exact"/>
        <w:ind w:left="420" w:leftChars="200"/>
        <w:rPr>
          <w:rFonts w:hint="eastAsia" w:cs="宋体"/>
        </w:rPr>
      </w:pPr>
      <w:r>
        <w:rPr>
          <w:rFonts w:hint="eastAsia" w:cs="宋体"/>
          <w:sz w:val="21"/>
        </w:rPr>
        <w:t>2.本公司参加______单位的______项目采购活动提供本企业制造的货物，由本企业承担工程、提供服务，或者提供其他</w:t>
      </w:r>
      <w:r>
        <w:rPr>
          <w:rFonts w:hint="eastAsia" w:cs="宋体"/>
          <w:sz w:val="21"/>
          <w:u w:val="single"/>
        </w:rPr>
        <w:t>（请填写：中型、小型、微型）</w:t>
      </w:r>
      <w:r>
        <w:rPr>
          <w:rFonts w:hint="eastAsia" w:cs="宋体"/>
          <w:sz w:val="21"/>
        </w:rPr>
        <w:t>企业制造的货物。本条所称货物不包括使用大型企业注册商标的货物。</w:t>
      </w:r>
    </w:p>
    <w:p>
      <w:pPr>
        <w:pStyle w:val="46"/>
        <w:spacing w:after="120" w:line="480" w:lineRule="exact"/>
        <w:ind w:left="420" w:leftChars="200"/>
        <w:rPr>
          <w:rFonts w:hint="eastAsia" w:cs="宋体"/>
        </w:rPr>
      </w:pPr>
      <w:r>
        <w:rPr>
          <w:rFonts w:hint="eastAsia" w:cs="宋体"/>
          <w:sz w:val="21"/>
        </w:rPr>
        <w:t>本公司对上述声明的真实性负责。如有虚假，将依法承担相应责任。</w:t>
      </w:r>
    </w:p>
    <w:p>
      <w:pPr>
        <w:pStyle w:val="46"/>
        <w:spacing w:after="120" w:line="480" w:lineRule="exact"/>
        <w:ind w:left="420" w:leftChars="200"/>
        <w:rPr>
          <w:rFonts w:hint="eastAsia" w:cs="宋体"/>
        </w:rPr>
      </w:pPr>
    </w:p>
    <w:p>
      <w:pPr>
        <w:pStyle w:val="46"/>
        <w:spacing w:after="120" w:line="480" w:lineRule="exact"/>
        <w:ind w:left="420" w:leftChars="200"/>
        <w:rPr>
          <w:rFonts w:hint="eastAsia" w:cs="宋体"/>
        </w:rPr>
      </w:pPr>
      <w:r>
        <w:rPr>
          <w:rFonts w:hint="eastAsia" w:cs="宋体"/>
          <w:sz w:val="21"/>
        </w:rPr>
        <w:t>企业名称（盖章）：</w:t>
      </w:r>
    </w:p>
    <w:p>
      <w:pPr>
        <w:widowControl/>
        <w:jc w:val="left"/>
        <w:rPr>
          <w:rFonts w:hint="eastAsia" w:ascii="宋体" w:hAnsi="宋体" w:cs="宋体"/>
        </w:rPr>
      </w:pPr>
      <w:r>
        <w:rPr>
          <w:rFonts w:hint="eastAsia" w:ascii="宋体" w:hAnsi="宋体" w:cs="宋体"/>
        </w:rPr>
        <w:t xml:space="preserve">    日  期</w:t>
      </w:r>
    </w:p>
    <w:p>
      <w:pPr>
        <w:spacing w:line="360" w:lineRule="auto"/>
        <w:rPr>
          <w:rFonts w:hint="eastAsia" w:ascii="宋体" w:hAnsi="宋体" w:cs="宋体"/>
          <w:sz w:val="28"/>
        </w:rPr>
        <w:sectPr>
          <w:pgSz w:w="11906" w:h="16838"/>
          <w:pgMar w:top="1701" w:right="1417" w:bottom="1134" w:left="1417" w:header="851" w:footer="992" w:gutter="0"/>
          <w:cols w:space="720" w:num="1"/>
          <w:docGrid w:linePitch="312" w:charSpace="0"/>
        </w:sectPr>
      </w:pPr>
    </w:p>
    <w:tbl>
      <w:tblPr>
        <w:tblStyle w:val="51"/>
        <w:tblW w:w="0" w:type="auto"/>
        <w:tblInd w:w="0" w:type="dxa"/>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CellMar>
            <w:top w:w="0" w:type="dxa"/>
            <w:left w:w="108" w:type="dxa"/>
            <w:bottom w:w="0" w:type="dxa"/>
            <w:right w:w="108" w:type="dxa"/>
          </w:tblCellMar>
        </w:tblPrEx>
        <w:trPr>
          <w:trHeight w:val="235" w:hRule="atLeast"/>
        </w:trPr>
        <w:tc>
          <w:tcPr>
            <w:tcW w:w="14811" w:type="dxa"/>
            <w:gridSpan w:val="10"/>
            <w:noWrap w:val="0"/>
            <w:tcMar>
              <w:top w:w="15" w:type="dxa"/>
              <w:left w:w="15" w:type="dxa"/>
              <w:bottom w:w="15" w:type="dxa"/>
              <w:right w:w="15" w:type="dxa"/>
            </w:tcMar>
            <w:vAlign w:val="bottom"/>
          </w:tcPr>
          <w:p>
            <w:pPr>
              <w:widowControl/>
              <w:jc w:val="center"/>
              <w:textAlignment w:val="bottom"/>
              <w:rPr>
                <w:rFonts w:hint="eastAsia" w:ascii="宋体" w:hAnsi="宋体" w:cs="宋体"/>
                <w:b/>
                <w:sz w:val="32"/>
                <w:szCs w:val="32"/>
              </w:rPr>
            </w:pPr>
            <w:r>
              <w:rPr>
                <w:rFonts w:hint="eastAsia" w:ascii="宋体" w:hAnsi="宋体" w:cs="宋体"/>
                <w:b/>
                <w:kern w:val="0"/>
                <w:sz w:val="32"/>
                <w:szCs w:val="32"/>
                <w:lang w:bidi="ar"/>
              </w:rPr>
              <w:t>中小微行业划型标准规定</w:t>
            </w:r>
            <w:r>
              <w:rPr>
                <w:rFonts w:hint="eastAsia" w:ascii="宋体" w:hAnsi="宋体" w:cs="宋体"/>
                <w:b/>
                <w:kern w:val="0"/>
                <w:sz w:val="24"/>
                <w:lang w:bidi="ar"/>
              </w:rPr>
              <w:t>（根据工信部联企业〔2011〕300号制定）</w:t>
            </w:r>
          </w:p>
        </w:tc>
      </w:tr>
      <w:tr>
        <w:tblPrEx>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noWrap w:val="0"/>
            <w:tcMar>
              <w:top w:w="15" w:type="dxa"/>
              <w:left w:w="15" w:type="dxa"/>
              <w:bottom w:w="15" w:type="dxa"/>
              <w:right w:w="15" w:type="dxa"/>
            </w:tcMar>
            <w:vAlign w:val="center"/>
          </w:tcPr>
          <w:p>
            <w:pPr>
              <w:widowControl/>
              <w:jc w:val="center"/>
              <w:textAlignment w:val="center"/>
              <w:rPr>
                <w:rFonts w:hint="eastAsia" w:ascii="宋体" w:hAnsi="宋体" w:cs="宋体"/>
                <w:b/>
                <w:sz w:val="24"/>
              </w:rPr>
            </w:pPr>
            <w:r>
              <w:rPr>
                <w:rFonts w:hint="eastAsia" w:ascii="宋体" w:hAnsi="宋体" w:cs="宋体"/>
                <w:b/>
                <w:kern w:val="0"/>
                <w:sz w:val="24"/>
                <w:lang w:bidi="ar"/>
              </w:rPr>
              <w:t>行业</w:t>
            </w:r>
          </w:p>
        </w:tc>
        <w:tc>
          <w:tcPr>
            <w:tcW w:w="4508" w:type="dxa"/>
            <w:gridSpan w:val="3"/>
            <w:tcBorders>
              <w:top w:val="single" w:color="000000" w:sz="12"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center"/>
              <w:textAlignment w:val="bottom"/>
              <w:rPr>
                <w:rFonts w:hint="eastAsia" w:ascii="宋体" w:hAnsi="宋体" w:cs="宋体"/>
                <w:b/>
                <w:sz w:val="24"/>
              </w:rPr>
            </w:pPr>
            <w:r>
              <w:rPr>
                <w:rFonts w:hint="eastAsia" w:ascii="宋体" w:hAnsi="宋体" w:cs="宋体"/>
                <w:b/>
                <w:kern w:val="0"/>
                <w:sz w:val="24"/>
                <w:lang w:bidi="ar"/>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center"/>
              <w:textAlignment w:val="bottom"/>
              <w:rPr>
                <w:rFonts w:hint="eastAsia" w:ascii="宋体" w:hAnsi="宋体" w:cs="宋体"/>
                <w:b/>
                <w:sz w:val="24"/>
              </w:rPr>
            </w:pPr>
            <w:r>
              <w:rPr>
                <w:rFonts w:hint="eastAsia" w:ascii="宋体" w:hAnsi="宋体" w:cs="宋体"/>
                <w:b/>
                <w:kern w:val="0"/>
                <w:sz w:val="24"/>
                <w:lang w:bidi="ar"/>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center"/>
              <w:textAlignment w:val="bottom"/>
              <w:rPr>
                <w:rFonts w:hint="eastAsia" w:ascii="宋体" w:hAnsi="宋体" w:cs="宋体"/>
                <w:b/>
                <w:sz w:val="24"/>
              </w:rPr>
            </w:pPr>
            <w:r>
              <w:rPr>
                <w:rFonts w:hint="eastAsia" w:ascii="宋体" w:hAnsi="宋体" w:cs="宋体"/>
                <w:b/>
                <w:kern w:val="0"/>
                <w:sz w:val="24"/>
                <w:lang w:bidi="ar"/>
              </w:rPr>
              <w:t>微型企业</w:t>
            </w:r>
          </w:p>
        </w:tc>
      </w:tr>
      <w:tr>
        <w:tblPrEx>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noWrap w:val="0"/>
            <w:tcMar>
              <w:top w:w="15" w:type="dxa"/>
              <w:left w:w="15" w:type="dxa"/>
              <w:bottom w:w="15" w:type="dxa"/>
              <w:right w:w="15" w:type="dxa"/>
            </w:tcMar>
            <w:vAlign w:val="center"/>
          </w:tcPr>
          <w:p>
            <w:pPr>
              <w:rPr>
                <w:rFonts w:hint="eastAsia" w:ascii="宋体" w:hAnsi="宋体" w:cs="宋体"/>
              </w:rPr>
            </w:pP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从业人员X　　　（人）</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营业收入 Y    （万元）</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资产总额 Z　 （万元）</w:t>
            </w: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从业人员X（人）</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营业收入Y　　（万元）</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资产总额Z　　（万元）</w:t>
            </w: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从业人员X（人）</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营业收入Y（万元）</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资产总额Z（万元）</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500≤Y＜20000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50≤Y＜500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Y＜50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2、工业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300≤X＜1000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2000≤Y＜40000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20≤X＜300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300≤Y＜2000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X＜20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Y＜300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3、建筑业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6000≤Y＜80000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5000≤Z＜80000</w:t>
            </w: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300≤Y＜6000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300≤Z＜5000</w:t>
            </w: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Y＜300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Z＜300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4、批发业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20≤X＜200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5000≤Y＜40000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5≤X＜20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1000≤Y＜5000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X＜5</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5、零售业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50≤X＜300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500≤Y＜20000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10≤X＜50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100≤Y＜500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300≤X＜1000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3000≤Y＜30000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20≤X＜300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200≤Y＜3000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X＜20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V＜200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7、仓储业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100≤X＜200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1000≤Y＜30000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20≤X＜100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100≤Y＜1000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X＜20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8、邮政业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300≤X＜1000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2000≤Y＜30000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20≤X＜300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100≤Y＜2000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X＜20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9、住宿业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100≤X＜300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2000≤Y＜10000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10≤X＜100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100≤Y＜2000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10、餐饮业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100≤X＜300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2000≤Y＜10000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10≤X＜100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100≤Y＜2000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V＜100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11、信息传输业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100≤X＜2000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1000≤Y＜100000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10≤X＜100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100≤Y＜1000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100≤X＜300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1000≤Y＜10000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10≤X＜100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50≤Y＜1000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Y＜50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13、房地产开发经营</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1000≤Y＜200000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5000≤Z＜10000</w:t>
            </w: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100≤Y＜1000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2000≤Z＜5000</w:t>
            </w: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Y＜100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Z＜2000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14、物业管理</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300≤X＜1000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1000≤Y＜5000</w:t>
            </w: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100≤X＜300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500≤Y＜1000</w:t>
            </w: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Y＜500</w:t>
            </w: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15、租赁和商务服务业</w:t>
            </w:r>
          </w:p>
        </w:tc>
        <w:tc>
          <w:tcPr>
            <w:tcW w:w="1383"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100≤X＜300</w:t>
            </w:r>
          </w:p>
        </w:tc>
        <w:tc>
          <w:tcPr>
            <w:tcW w:w="15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550"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8000≤Z＜120000</w:t>
            </w:r>
          </w:p>
        </w:tc>
        <w:tc>
          <w:tcPr>
            <w:tcW w:w="1182"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10≤X＜100</w:t>
            </w:r>
          </w:p>
        </w:tc>
        <w:tc>
          <w:tcPr>
            <w:tcW w:w="1387"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42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 xml:space="preserve"> 100≤Z＜8000</w:t>
            </w:r>
          </w:p>
        </w:tc>
        <w:tc>
          <w:tcPr>
            <w:tcW w:w="1010" w:type="dxa"/>
            <w:tcBorders>
              <w:top w:val="single" w:color="000000" w:sz="4" w:space="0"/>
              <w:left w:val="single" w:color="000000" w:sz="12" w:space="0"/>
              <w:bottom w:val="single" w:color="000000" w:sz="4"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2145" w:type="dxa"/>
            <w:tcBorders>
              <w:top w:val="single" w:color="000000" w:sz="4" w:space="0"/>
              <w:left w:val="single" w:color="000000" w:sz="4" w:space="0"/>
              <w:bottom w:val="single" w:color="000000" w:sz="4"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Z＜100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16、其他未列明行业</w:t>
            </w:r>
          </w:p>
        </w:tc>
        <w:tc>
          <w:tcPr>
            <w:tcW w:w="1383" w:type="dxa"/>
            <w:tcBorders>
              <w:top w:val="single" w:color="000000" w:sz="4" w:space="0"/>
              <w:left w:val="single" w:color="000000" w:sz="12" w:space="0"/>
              <w:bottom w:val="single" w:color="000000" w:sz="12"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100≤X＜300</w:t>
            </w:r>
          </w:p>
        </w:tc>
        <w:tc>
          <w:tcPr>
            <w:tcW w:w="1575" w:type="dxa"/>
            <w:tcBorders>
              <w:top w:val="single" w:color="000000" w:sz="4" w:space="0"/>
              <w:left w:val="single" w:color="000000" w:sz="4" w:space="0"/>
              <w:bottom w:val="single" w:color="000000" w:sz="12"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550" w:type="dxa"/>
            <w:tcBorders>
              <w:top w:val="single" w:color="000000" w:sz="4" w:space="0"/>
              <w:left w:val="single" w:color="000000" w:sz="4" w:space="0"/>
              <w:bottom w:val="single" w:color="000000" w:sz="12"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182" w:type="dxa"/>
            <w:tcBorders>
              <w:top w:val="single" w:color="000000" w:sz="4" w:space="0"/>
              <w:left w:val="single" w:color="000000" w:sz="12" w:space="0"/>
              <w:bottom w:val="single" w:color="000000" w:sz="12"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10≤X＜100</w:t>
            </w:r>
          </w:p>
        </w:tc>
        <w:tc>
          <w:tcPr>
            <w:tcW w:w="1387" w:type="dxa"/>
            <w:tcBorders>
              <w:top w:val="single" w:color="000000" w:sz="4" w:space="0"/>
              <w:left w:val="single" w:color="000000" w:sz="4" w:space="0"/>
              <w:bottom w:val="single" w:color="000000" w:sz="12"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1425" w:type="dxa"/>
            <w:tcBorders>
              <w:top w:val="single" w:color="000000" w:sz="4" w:space="0"/>
              <w:left w:val="single" w:color="000000" w:sz="4" w:space="0"/>
              <w:bottom w:val="single" w:color="000000" w:sz="12"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c>
          <w:tcPr>
            <w:tcW w:w="1010" w:type="dxa"/>
            <w:tcBorders>
              <w:top w:val="single" w:color="000000" w:sz="4" w:space="0"/>
              <w:left w:val="single" w:color="000000" w:sz="12" w:space="0"/>
              <w:bottom w:val="single" w:color="000000" w:sz="12" w:space="0"/>
              <w:right w:val="single" w:color="000000" w:sz="4" w:space="0"/>
            </w:tcBorders>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X＜10</w:t>
            </w:r>
          </w:p>
        </w:tc>
        <w:tc>
          <w:tcPr>
            <w:tcW w:w="976" w:type="dxa"/>
            <w:tcBorders>
              <w:top w:val="single" w:color="000000" w:sz="4" w:space="0"/>
              <w:left w:val="single" w:color="000000" w:sz="4" w:space="0"/>
              <w:bottom w:val="single" w:color="000000" w:sz="12" w:space="0"/>
              <w:right w:val="single" w:color="000000" w:sz="4" w:space="0"/>
            </w:tcBorders>
            <w:noWrap w:val="0"/>
            <w:tcMar>
              <w:top w:w="15" w:type="dxa"/>
              <w:left w:w="15" w:type="dxa"/>
              <w:bottom w:w="15" w:type="dxa"/>
              <w:right w:w="15" w:type="dxa"/>
            </w:tcMar>
            <w:vAlign w:val="bottom"/>
          </w:tcPr>
          <w:p>
            <w:pPr>
              <w:rPr>
                <w:rFonts w:hint="eastAsia" w:ascii="宋体" w:hAnsi="宋体" w:cs="宋体"/>
                <w:sz w:val="20"/>
              </w:rPr>
            </w:pPr>
          </w:p>
        </w:tc>
        <w:tc>
          <w:tcPr>
            <w:tcW w:w="2145" w:type="dxa"/>
            <w:tcBorders>
              <w:top w:val="single" w:color="000000" w:sz="4" w:space="0"/>
              <w:left w:val="single" w:color="000000" w:sz="4" w:space="0"/>
              <w:bottom w:val="single" w:color="000000" w:sz="12" w:space="0"/>
              <w:right w:val="single" w:color="000000" w:sz="12" w:space="0"/>
            </w:tcBorders>
            <w:noWrap w:val="0"/>
            <w:tcMar>
              <w:top w:w="15" w:type="dxa"/>
              <w:left w:w="15" w:type="dxa"/>
              <w:bottom w:w="15" w:type="dxa"/>
              <w:right w:w="15" w:type="dxa"/>
            </w:tcMar>
            <w:vAlign w:val="bottom"/>
          </w:tcPr>
          <w:p>
            <w:pPr>
              <w:rPr>
                <w:rFonts w:hint="eastAsia" w:ascii="宋体" w:hAnsi="宋体" w:cs="宋体"/>
                <w:sz w:val="20"/>
              </w:rPr>
            </w:pPr>
          </w:p>
        </w:tc>
      </w:tr>
      <w:tr>
        <w:tblPrEx>
          <w:tblCellMar>
            <w:top w:w="0" w:type="dxa"/>
            <w:left w:w="108" w:type="dxa"/>
            <w:bottom w:w="0" w:type="dxa"/>
            <w:right w:w="108" w:type="dxa"/>
          </w:tblCellMar>
        </w:tblPrEx>
        <w:trPr>
          <w:trHeight w:val="187" w:hRule="atLeast"/>
        </w:trPr>
        <w:tc>
          <w:tcPr>
            <w:tcW w:w="14811" w:type="dxa"/>
            <w:gridSpan w:val="10"/>
            <w:noWrap w:val="0"/>
            <w:tcMar>
              <w:top w:w="15" w:type="dxa"/>
              <w:left w:w="15" w:type="dxa"/>
              <w:bottom w:w="15" w:type="dxa"/>
              <w:right w:w="15" w:type="dxa"/>
            </w:tcMar>
            <w:vAlign w:val="bottom"/>
          </w:tcPr>
          <w:p>
            <w:pPr>
              <w:widowControl/>
              <w:jc w:val="left"/>
              <w:textAlignment w:val="bottom"/>
              <w:rPr>
                <w:rFonts w:hint="eastAsia" w:ascii="宋体" w:hAnsi="宋体" w:cs="宋体"/>
                <w:sz w:val="20"/>
              </w:rPr>
            </w:pPr>
            <w:r>
              <w:rPr>
                <w:rFonts w:hint="eastAsia" w:ascii="宋体" w:hAnsi="宋体" w:cs="宋体"/>
                <w:kern w:val="0"/>
                <w:sz w:val="20"/>
                <w:lang w:bidi="ar"/>
              </w:rPr>
              <w:t>说明　1、企业类型的划分以统计部门的统计数据为依据。2、个体工商户和本规定以外的行业，参照本规定进行划型。</w:t>
            </w:r>
          </w:p>
        </w:tc>
      </w:tr>
      <w:tr>
        <w:tblPrEx>
          <w:tblCellMar>
            <w:top w:w="0" w:type="dxa"/>
            <w:left w:w="108" w:type="dxa"/>
            <w:bottom w:w="0" w:type="dxa"/>
            <w:right w:w="108" w:type="dxa"/>
          </w:tblCellMar>
        </w:tblPrEx>
        <w:trPr>
          <w:trHeight w:val="413" w:hRule="atLeast"/>
        </w:trPr>
        <w:tc>
          <w:tcPr>
            <w:tcW w:w="6686" w:type="dxa"/>
            <w:gridSpan w:val="4"/>
            <w:noWrap w:val="0"/>
            <w:tcMar>
              <w:top w:w="15" w:type="dxa"/>
              <w:left w:w="15" w:type="dxa"/>
              <w:bottom w:w="15" w:type="dxa"/>
              <w:right w:w="15" w:type="dxa"/>
            </w:tcMar>
            <w:vAlign w:val="bottom"/>
          </w:tcPr>
          <w:p>
            <w:pPr>
              <w:rPr>
                <w:rFonts w:hint="eastAsia" w:ascii="宋体" w:hAnsi="宋体" w:cs="宋体"/>
                <w:sz w:val="20"/>
              </w:rPr>
            </w:pPr>
            <w:r>
              <w:rPr>
                <w:rFonts w:hint="eastAsia" w:ascii="宋体" w:hAnsi="宋体" w:cs="宋体"/>
                <w:kern w:val="0"/>
                <w:sz w:val="20"/>
                <w:lang w:bidi="ar"/>
              </w:rPr>
              <w:t>　　　3、本规定的中型企业标准上限即为大型企业标准的下限。</w:t>
            </w:r>
          </w:p>
        </w:tc>
        <w:tc>
          <w:tcPr>
            <w:tcW w:w="1182" w:type="dxa"/>
            <w:noWrap w:val="0"/>
            <w:tcMar>
              <w:top w:w="15" w:type="dxa"/>
              <w:left w:w="15" w:type="dxa"/>
              <w:bottom w:w="15" w:type="dxa"/>
              <w:right w:w="15" w:type="dxa"/>
            </w:tcMar>
            <w:vAlign w:val="bottom"/>
          </w:tcPr>
          <w:p>
            <w:pPr>
              <w:rPr>
                <w:rFonts w:hint="eastAsia" w:ascii="宋体" w:hAnsi="宋体" w:cs="宋体"/>
                <w:sz w:val="20"/>
              </w:rPr>
            </w:pPr>
          </w:p>
        </w:tc>
        <w:tc>
          <w:tcPr>
            <w:tcW w:w="1387" w:type="dxa"/>
            <w:noWrap w:val="0"/>
            <w:tcMar>
              <w:top w:w="15" w:type="dxa"/>
              <w:left w:w="15" w:type="dxa"/>
              <w:bottom w:w="15" w:type="dxa"/>
              <w:right w:w="15" w:type="dxa"/>
            </w:tcMar>
            <w:vAlign w:val="bottom"/>
          </w:tcPr>
          <w:p>
            <w:pPr>
              <w:rPr>
                <w:rFonts w:hint="eastAsia" w:ascii="宋体" w:hAnsi="宋体" w:cs="宋体"/>
                <w:sz w:val="20"/>
              </w:rPr>
            </w:pPr>
          </w:p>
        </w:tc>
        <w:tc>
          <w:tcPr>
            <w:tcW w:w="1425" w:type="dxa"/>
            <w:noWrap w:val="0"/>
            <w:tcMar>
              <w:top w:w="15" w:type="dxa"/>
              <w:left w:w="15" w:type="dxa"/>
              <w:bottom w:w="15" w:type="dxa"/>
              <w:right w:w="15" w:type="dxa"/>
            </w:tcMar>
            <w:vAlign w:val="bottom"/>
          </w:tcPr>
          <w:p>
            <w:pPr>
              <w:rPr>
                <w:rFonts w:hint="eastAsia" w:ascii="宋体" w:hAnsi="宋体" w:cs="宋体"/>
                <w:sz w:val="20"/>
              </w:rPr>
            </w:pPr>
          </w:p>
        </w:tc>
        <w:tc>
          <w:tcPr>
            <w:tcW w:w="1010" w:type="dxa"/>
            <w:noWrap w:val="0"/>
            <w:tcMar>
              <w:top w:w="15" w:type="dxa"/>
              <w:left w:w="15" w:type="dxa"/>
              <w:bottom w:w="15" w:type="dxa"/>
              <w:right w:w="15" w:type="dxa"/>
            </w:tcMar>
            <w:vAlign w:val="bottom"/>
          </w:tcPr>
          <w:p>
            <w:pPr>
              <w:rPr>
                <w:rFonts w:hint="eastAsia" w:ascii="宋体" w:hAnsi="宋体" w:cs="宋体"/>
                <w:sz w:val="20"/>
              </w:rPr>
            </w:pPr>
          </w:p>
        </w:tc>
        <w:tc>
          <w:tcPr>
            <w:tcW w:w="976" w:type="dxa"/>
            <w:noWrap w:val="0"/>
            <w:tcMar>
              <w:top w:w="15" w:type="dxa"/>
              <w:left w:w="15" w:type="dxa"/>
              <w:bottom w:w="15" w:type="dxa"/>
              <w:right w:w="15" w:type="dxa"/>
            </w:tcMar>
            <w:vAlign w:val="bottom"/>
          </w:tcPr>
          <w:p>
            <w:pPr>
              <w:rPr>
                <w:rFonts w:hint="eastAsia" w:ascii="宋体" w:hAnsi="宋体" w:cs="宋体"/>
                <w:sz w:val="20"/>
              </w:rPr>
            </w:pPr>
          </w:p>
        </w:tc>
        <w:tc>
          <w:tcPr>
            <w:tcW w:w="2145" w:type="dxa"/>
            <w:noWrap w:val="0"/>
            <w:tcMar>
              <w:top w:w="15" w:type="dxa"/>
              <w:left w:w="15" w:type="dxa"/>
              <w:bottom w:w="15" w:type="dxa"/>
              <w:right w:w="15" w:type="dxa"/>
            </w:tcMar>
            <w:vAlign w:val="bottom"/>
          </w:tcPr>
          <w:p>
            <w:pPr>
              <w:rPr>
                <w:rFonts w:hint="eastAsia" w:ascii="宋体" w:hAnsi="宋体" w:cs="宋体"/>
                <w:sz w:val="20"/>
              </w:rPr>
            </w:pPr>
          </w:p>
        </w:tc>
      </w:tr>
    </w:tbl>
    <w:p>
      <w:pPr>
        <w:spacing w:line="360" w:lineRule="auto"/>
        <w:rPr>
          <w:rFonts w:hint="eastAsia" w:ascii="宋体" w:hAnsi="宋体" w:cs="宋体"/>
          <w:sz w:val="28"/>
        </w:rPr>
        <w:sectPr>
          <w:pgSz w:w="16838" w:h="11906" w:orient="landscape"/>
          <w:pgMar w:top="1417" w:right="1701" w:bottom="1417" w:left="1134" w:header="851" w:footer="992" w:gutter="0"/>
          <w:cols w:space="720" w:num="1"/>
          <w:docGrid w:linePitch="312" w:charSpace="0"/>
        </w:sectPr>
      </w:pPr>
    </w:p>
    <w:p>
      <w:pPr>
        <w:spacing w:line="360" w:lineRule="auto"/>
        <w:rPr>
          <w:rFonts w:hint="eastAsia" w:ascii="宋体" w:hAnsi="宋体" w:cs="宋体"/>
          <w:b/>
          <w:bCs/>
          <w:sz w:val="28"/>
        </w:rPr>
      </w:pPr>
      <w:r>
        <w:rPr>
          <w:rFonts w:hint="eastAsia" w:ascii="宋体" w:hAnsi="宋体" w:cs="宋体"/>
          <w:b/>
          <w:bCs/>
          <w:sz w:val="28"/>
        </w:rPr>
        <w:t>附件十五</w:t>
      </w:r>
    </w:p>
    <w:p>
      <w:pPr>
        <w:spacing w:line="360" w:lineRule="auto"/>
        <w:rPr>
          <w:rFonts w:hint="eastAsia" w:ascii="宋体" w:hAnsi="宋体" w:cs="宋体"/>
          <w:b/>
          <w:bCs/>
          <w:sz w:val="28"/>
        </w:rPr>
      </w:pPr>
    </w:p>
    <w:p>
      <w:pPr>
        <w:spacing w:line="480" w:lineRule="auto"/>
        <w:jc w:val="center"/>
        <w:rPr>
          <w:rFonts w:hint="eastAsia" w:ascii="宋体" w:hAnsi="宋体" w:cs="宋体"/>
          <w:b/>
          <w:bCs/>
          <w:sz w:val="24"/>
        </w:rPr>
      </w:pPr>
      <w:r>
        <w:rPr>
          <w:rFonts w:hint="eastAsia" w:ascii="宋体" w:hAnsi="宋体" w:cs="宋体"/>
          <w:b/>
          <w:bCs/>
          <w:sz w:val="24"/>
        </w:rPr>
        <w:t>残疾人福利性单位声明函（如有）</w:t>
      </w:r>
    </w:p>
    <w:p>
      <w:pPr>
        <w:spacing w:line="480" w:lineRule="auto"/>
        <w:ind w:firstLine="504" w:firstLineChars="200"/>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504" w:firstLineChars="200"/>
        <w:rPr>
          <w:rFonts w:hint="eastAsia" w:ascii="宋体" w:hAnsi="宋体" w:cs="宋体"/>
          <w:sz w:val="24"/>
        </w:rPr>
      </w:pPr>
      <w:r>
        <w:rPr>
          <w:rFonts w:hint="eastAsia" w:ascii="宋体" w:hAnsi="宋体" w:cs="宋体"/>
          <w:spacing w:val="6"/>
          <w:sz w:val="24"/>
        </w:rPr>
        <w:t>本单位对上述声明的真实性负责。如有虚假，将依法承担相应责任。</w:t>
      </w:r>
    </w:p>
    <w:p>
      <w:pPr>
        <w:spacing w:line="360" w:lineRule="auto"/>
        <w:rPr>
          <w:rFonts w:hint="eastAsia" w:ascii="宋体" w:hAnsi="宋体" w:cs="宋体"/>
          <w:sz w:val="28"/>
        </w:rPr>
      </w:pPr>
    </w:p>
    <w:p>
      <w:pPr>
        <w:spacing w:line="360" w:lineRule="auto"/>
        <w:rPr>
          <w:rFonts w:hint="eastAsia" w:ascii="宋体" w:hAnsi="宋体" w:cs="宋体"/>
          <w:sz w:val="28"/>
        </w:rPr>
      </w:pPr>
    </w:p>
    <w:p>
      <w:pPr>
        <w:spacing w:line="360" w:lineRule="auto"/>
        <w:rPr>
          <w:rFonts w:hint="eastAsia" w:ascii="宋体" w:hAnsi="宋体" w:cs="宋体"/>
          <w:sz w:val="28"/>
        </w:rPr>
      </w:pPr>
    </w:p>
    <w:p>
      <w:pPr>
        <w:spacing w:line="360" w:lineRule="auto"/>
        <w:rPr>
          <w:rFonts w:hint="eastAsia" w:ascii="宋体" w:hAnsi="宋体" w:cs="宋体"/>
          <w:sz w:val="28"/>
        </w:rPr>
      </w:pPr>
    </w:p>
    <w:p>
      <w:pPr>
        <w:spacing w:line="360" w:lineRule="auto"/>
        <w:rPr>
          <w:rFonts w:hint="eastAsia" w:ascii="宋体" w:hAnsi="宋体" w:cs="宋体"/>
          <w:sz w:val="28"/>
        </w:rPr>
      </w:pPr>
    </w:p>
    <w:p>
      <w:pPr>
        <w:pStyle w:val="46"/>
        <w:spacing w:after="120" w:line="480" w:lineRule="exact"/>
        <w:ind w:left="420" w:leftChars="200"/>
        <w:rPr>
          <w:rFonts w:hint="eastAsia" w:cs="宋体"/>
        </w:rPr>
      </w:pPr>
      <w:r>
        <w:rPr>
          <w:rFonts w:hint="eastAsia" w:cs="宋体"/>
          <w:sz w:val="21"/>
        </w:rPr>
        <w:t>企业名称（盖章）：</w:t>
      </w:r>
    </w:p>
    <w:p>
      <w:pPr>
        <w:rPr>
          <w:rFonts w:hint="eastAsia" w:ascii="宋体" w:hAnsi="宋体" w:cs="宋体"/>
        </w:rPr>
      </w:pPr>
      <w:r>
        <w:rPr>
          <w:rFonts w:hint="eastAsia" w:ascii="宋体" w:hAnsi="宋体" w:cs="宋体"/>
        </w:rPr>
        <w:t xml:space="preserve">    日  期</w:t>
      </w:r>
    </w:p>
    <w:p>
      <w:pPr>
        <w:spacing w:line="460" w:lineRule="exact"/>
        <w:rPr>
          <w:rFonts w:hint="eastAsia"/>
          <w:b/>
          <w:sz w:val="30"/>
          <w:szCs w:val="30"/>
        </w:rPr>
      </w:pPr>
    </w:p>
    <w:sectPr>
      <w:headerReference r:id="rId6" w:type="default"/>
      <w:footerReference r:id="rId7" w:type="default"/>
      <w:pgSz w:w="11906" w:h="16838"/>
      <w:pgMar w:top="1701" w:right="1417" w:bottom="1134"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DFKai-SB">
    <w:altName w:val="Microsoft JhengHei Light"/>
    <w:panose1 w:val="03000509000000000000"/>
    <w:charset w:val="88"/>
    <w:family w:val="script"/>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MS UI Gothic">
    <w:panose1 w:val="020B0600070205080204"/>
    <w:charset w:val="80"/>
    <w:family w:val="swiss"/>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W1)">
    <w:altName w:val="Arial"/>
    <w:panose1 w:val="020B0604020202020204"/>
    <w:charset w:val="00"/>
    <w:family w:val="swiss"/>
    <w:pitch w:val="default"/>
    <w:sig w:usb0="00000000" w:usb1="00000000" w:usb2="00000008" w:usb3="00000000" w:csb0="000001FF" w:csb1="00000000"/>
  </w:font>
  <w:font w:name=".pingfang sc">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eastAsia="仿宋_GB2312"/>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w:t>
                          </w:r>
                          <w:r>
                            <w:rPr>
                              <w:rFonts w:hint="eastAsia"/>
                              <w:lang w:eastAsia="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MNGjG7TAQAApAMAAA4AAABkcnMvZTJvRG9jLnhtbK1TS27bMBDd F8gdCO5jKQbiCoLloIWRIEDRFkh7AJoiLQL8gUNb8gXaG3TVTfc9l8/RISU5RbrJohtqhjN8M+/N aH03GE2OIoBytqE3i5ISYblrld039OuX++uKEojMtkw7Kxp6EkDvNldv1r2vxdJ1TrciEASxUPe+ oV2Mvi4K4J0wDBbOC4tB6YJhEd2wL9rAekQ3uliW5aroXWh9cFwA4O12DNIJMbwG0EmpuNg6fjDC xhE1CM0iUoJOeaCb3K2UgsdPUoKIRDcUmcZ8YhG0d+ksNmtW7wPzneJTC+w1LbzgZJiyWPQCtWWR kUNQ/0AZxYMDJ+OCO1OMRLIiyOKmfKHNU8e8yFxQavAX0eH/wfKPx8+BqLahyxUllhmc+PnH9/PP 3+df38gq6dN7qDHtyWNiHN67Abdmvge8TLQHGUz6IiGCcVT3dFFXDJHw9KhaVlWJIY6x2UH84vm5 DxAfhDMkGQ0NOL6sKjt+gDimzimpmnX3Sus8Qm1Jj6i31dvb/OISQnRtsUhiMXabrDjshonazrUn ZNbjDjTU4spToh8tSpzWZTbCbOxm4+CD2nd5n1Ir4N8dIraTu0wVRtipMA4v85wWLW3H337Oev65 Nn8A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PwQAAFtDb250ZW50X1R5cGVzXS54bWxQSwECFAAKAAAAAACHTuJAAAAAAAAAAAAAAAAABgAAAAAA AAAAABAAAAAhAwAAX3JlbHMvUEsBAhQAFAAAAAgAh07iQIoUZjzRAAAAlAEAAAsAAAAAAAAAAQAg AAAARQMAAF9yZWxzLy5yZWxzUEsBAhQACgAAAAAAh07iQAAAAAAAAAAAAAAAAAQAAAAAAAAAAAAQ AAAAAAAAAGRycy9QSwECFAAUAAAACACHTuJAaGmCS9MAAAAFAQAADwAAAAAAAAABACAAAAAiAAAA ZHJzL2Rvd25yZXYueG1sUEsBAhQAFAAAAAgAh07iQMNGjG7TAQAApAMAAA4AAAAAAAAAAQAgAAAA IgEAAGRycy9lMm9Eb2MueG1sUEsFBgAAAAAGAAYAWQEAAGcFAAAAAA== ">
              <v:fill on="f" focussize="0,0"/>
              <v:stroke on="f" weight="1.25pt"/>
              <v:imagedata o:title=""/>
              <o:lock v:ext="edit" aspectratio="f"/>
              <v:textbox inset="0mm,0mm,0mm,0mm" style="mso-fit-shape-to-text:t;">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164</w:t>
                          </w:r>
                          <w:r>
                            <w:rPr>
                              <w:rFonts w:hint="eastAsia"/>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BZ2TuDTAQAApAMAAA4AAABkcnMvZTJvRG9jLnhtbK1TS27bMBDd B+gdCO5rKQZSC4LloIWRokDRBkh6AJoiLQL8gUNb8gXaG3TVTfY9l8/RISU5RbrJohtqhjN8M+/N aH07GE2OIoBytqHXi5ISYblrld039Nvj3duKEojMtkw7Kxp6EkBvN2+u1r2vxdJ1TrciEASxUPe+ oV2Mvi4K4J0wDBbOC4tB6YJhEd2wL9rAekQ3uliW5buid6H1wXEBgLfbMUgnxPAaQCel4mLr+MEI G0fUIDSLSAk65YFucrdSCh6/SgkiEt1QZBrziUXQ3qWz2KxZvQ/Md4pPLbDXtPCCk2HKYtEL1JZF Rg5B/QNlFA8OnIwL7kwxEsmKIIvr8oU2Dx3zInNBqcFfRIf/B8u/HO8DUW1DlytKLDM48fPPH+df v89P38kq6dN7qDHtwWNiHD64Abdmvge8TLQHGUz6IiGCcVT3dFFXDJHw9KhaVlWJIY6x2UH84vm5 DxA/CmdIMhoacHxZVXb8DHFMnVNSNevulNZ5hNqSHlFvqtVNfnEJIbq2WCSxGLtNVhx2w0Rt59oT MutxBxpqceUp0Z8sSpzWZTbCbOxm4+CD2nd5n1Ir4N8fIraTu0wVRtipMA4v85wWLW3H337Oev65 Nn8AUEsDBAoAAAAAAIdO4kAAAAAAAAAAAAAAAAAGAAAAX3JlbHMvUEsDBBQAAAAIAIdO4kCKFGY8 0QAAAJQBAAALAAAAX3JlbHMvLnJlbHOlkMFqwzAMhu+DvYPRfXGawxijTi+j0GvpHsDYimMaW0Yy 2fr28w6DZfS2o36h7xP//vCZFrUiS6RsYNf1oDA78jEHA++X49MLKKk2e7tQRgM3FDiMjw/7My62 tiOZYxHVKFkMzLWWV63FzZisdFQwt81EnGxtIwddrLvagHro+2fNvxkwbpjq5A3wyQ+gLrfSzH/Y KTomoal2jpKmaYruHlUHtmWO7sg24Ru5RrMcsBrwLBoHalnXfgR9X7/7p97TRz7jutV+h4zrj1dv uhy/AFBLAwQUAAAACACHTuJAfublIPcAAADhAQAAEwAAAFtDb250ZW50X1R5cGVzXS54bWyVkUFO wzAQRfdI3MHyFiVOu0AIJemCtEtAqBxgZE8Si2RseUxob4+TthtEkVjaM/+/J7vcHMZBTBjYOqrk Ki+kQNLOWOoq+b7fZQ9ScAQyMDjCSh6R5aa+vSn3R48sUpq4kn2M/lEp1j2OwLnzSGnSujBCTMfQ KQ/6AzpU66K4V9pRRIpZnDtkXTbYwucQxfaQrk8mAQeW4um0OLMqCd4PVkNMpmoi84OSnQl5Si47 3FvPd0lDql8J8+Q64Jx7SU8TrEHxCiE+w5g0lAmsjPuigFP+d8lsOXLm2tZqzJvATYq94XSxutaO a9c4/d/y7ZK6dKvlg+pvUEsBAhQAFAAAAAgAh07iQH7m5SD3AAAA4QEAABMAAAAAAAAAAQAgAAAA PwQAAFtDb250ZW50X1R5cGVzXS54bWxQSwECFAAKAAAAAACHTuJAAAAAAAAAAAAAAAAABgAAAAAA AAAAABAAAAAhAwAAX3JlbHMvUEsBAhQAFAAAAAgAh07iQIoUZjzRAAAAlAEAAAsAAAAAAAAAAQAg AAAARQMAAF9yZWxzLy5yZWxzUEsBAhQACgAAAAAAh07iQAAAAAAAAAAAAAAAAAQAAAAAAAAAAAAQ AAAAAAAAAGRycy9QSwECFAAUAAAACACHTuJAaGmCS9MAAAAFAQAADwAAAAAAAAABACAAAAAiAAAA ZHJzL2Rvd25yZXYueG1sUEsBAhQAFAAAAAgAh07iQBZ2TuDTAQAApAMAAA4AAAAAAAAAAQAgAAAA IgEAAGRycy9lMm9Eb2MueG1sUEsFBgAAAAAGAAYAWQEAAGcFAAAAAA== ">
              <v:fill on="f" focussize="0,0"/>
              <v:stroke on="f" weight="1.25pt"/>
              <v:imagedata o:title=""/>
              <o:lock v:ext="edit" aspectratio="f"/>
              <v:textbox inset="0mm,0mm,0mm,0mm" style="mso-fit-shape-to-text:t;">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164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165</w:t>
                          </w:r>
                          <w:r>
                            <w:rPr>
                              <w:rFonts w:hint="eastAsia"/>
                              <w:lang w:eastAsia="zh-CN"/>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JF71VPSAQAApAMAAA4AAABkcnMvZTJvRG9jLnhtbK1TS27bMBDd F+gdCO5rKQbSCILlIIWRokCRFkhzAJoiLQL8gUNb8gXaG3TVTfc9l8/RISU5QbLJIhtqhjN8M+/N aHU9GE0OIoBytqEXi5ISYblrld019OHH7YeKEojMtkw7Kxp6FECv1+/frXpfi6XrnG5FIAhioe59 Q7sYfV0UwDthGCycFxaD0gXDIrphV7SB9YhudLEsy49F70Lrg+MCAG83Y5BOiOE1gE5KxcXG8b0R No6oQWgWkRJ0ygNd526lFDx+kxJEJLqhyDTmE4ugvU1nsV6xeheY7xSfWmCvaeEZJ8OUxaJnqA2L jOyDegFlFA8OnIwL7kwxEsmKIIuL8pk29x3zInNBqcGfRYe3g+V3h++BqLahS5y7ZQYnfvr96/Tn 3+nvT1IlfXoPNabde0yMwyc34NbM94CXifYgg0lfJEQwjuoez+qKIRKeHlXLqioxxDE2O4hfPD73 AeJn4QxJRkMDji+ryg5fIY6pc0qqZt2t0jqPUFvSI+pldXWZX5xDiK4tFkksxm6TFYftMFHbuvaI zHrcgYZaXHlK9BeLEqd1mY0wG9vZ2Pugdl3ep9QK+Jt9xHZyl6nCCDsVxuFlntOipe146uesx59r /R9QSwMECgAAAAAAh07iQAAAAAAAAAAAAAAAAAYAAABfcmVscy9QSwMEFAAAAAgAh07iQIoUZjzR AAAAlAEAAAsAAABfcmVscy8ucmVsc6WQwWrDMAyG74O9g9F9cZrDGKNOL6PQa+kewNiKYxpbRjLZ +vbzDoNl9LajfqHvE//+8JkWtSJLpGxg1/WgMDvyMQcD75fj0wsoqTZ7u1BGAzcUOIyPD/szLra2 I5ljEdUoWQzMtZZXrcXNmKx0VDC3zUScbG0jB12su9qAeuj7Z82/GTBumOrkDfDJD6Aut9LMf9gp OiahqXaOkqZpiu4eVQe2ZY7uyDbhG7lGsxywGvAsGgdqWdd+BH1fv/un3tNHPuO61X6HjOuPV2+6 HL8AUEsDBBQAAAAIAIdO4kB+5uUg9wAAAOEBAAATAAAAW0NvbnRlbnRfVHlwZXNdLnhtbJWRQU7D MBBF90jcwfIWJU67QAgl6YK0S0CoHGBkTxKLZGx5TGhvj5O2G0SRWNoz/78nu9wcxkFMGNg6quQq L6RA0s5Y6ir5vt9lD1JwBDIwOMJKHpHlpr69KfdHjyxSmriSfYz+USnWPY7AufNIadK6MEJMx9Ap D/oDOlTrorhX2lFEilmcO2RdNtjC5xDF9pCuTyYBB5bi6bQ4syoJ3g9WQ0ymaiLzg5KdCXlKLjvc W893SUOqXwnz5DrgnHtJTxOsQfEKIT7DmDSUCayM+6KAU/53yWw5cuba1mrMm8BNir3hdLG61o5r 1zj93/Ltkrp0q+WD6m9QSwECFAAUAAAACACHTuJAfublIPcAAADhAQAAEwAAAAAAAAABACAAAAA+ BAAAW0NvbnRlbnRfVHlwZXNdLnhtbFBLAQIUAAoAAAAAAIdO4kAAAAAAAAAAAAAAAAAGAAAAAAAA AAAAEAAAACADAABfcmVscy9QSwECFAAUAAAACACHTuJAihRmPNEAAACUAQAACwAAAAAAAAABACAA AABEAwAAX3JlbHMvLnJlbHNQSwECFAAKAAAAAACHTuJAAAAAAAAAAAAAAAAABAAAAAAAAAAAABAA AAAAAAAAZHJzL1BLAQIUABQAAAAIAIdO4kBoaYJL0wAAAAUBAAAPAAAAAAAAAAEAIAAAACIAAABk cnMvZG93bnJldi54bWxQSwECFAAUAAAACACHTuJAkXvVU9IBAACkAwAADgAAAAAAAAABACAAAAAi AQAAZHJzL2Uyb0RvYy54bWxQSwUGAAAAAAYABgBZAQAAZgUAAAAA ">
              <v:fill on="f" focussize="0,0"/>
              <v:stroke on="f" weight="1.25pt"/>
              <v:imagedata o:title=""/>
              <o:lock v:ext="edit" aspectratio="f"/>
              <v:textbox inset="0mm,0mm,0mm,0mm" style="mso-fit-shape-to-text:t;">
                <w:txbxContent>
                  <w:p>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165</w:t>
                    </w:r>
                    <w:r>
                      <w:rPr>
                        <w:rFonts w:hint="eastAsia"/>
                        <w:lang w:eastAsia="zh-CN"/>
                      </w:rPr>
                      <w:fldChar w:fldCharType="end"/>
                    </w:r>
                  </w:p>
                </w:txbxContent>
              </v:textbox>
            </v:shape>
          </w:pict>
        </mc:Fallback>
      </mc:AlternateContent>
    </w:r>
  </w:p>
  <w:p>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4153"/>
        <w:tab w:val="clear" w:pos="8306"/>
      </w:tabs>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372568"/>
    <w:multiLevelType w:val="singleLevel"/>
    <w:tmpl w:val="B1372568"/>
    <w:lvl w:ilvl="0" w:tentative="0">
      <w:start w:val="8"/>
      <w:numFmt w:val="chineseCounting"/>
      <w:suff w:val="nothing"/>
      <w:lvlText w:val="%1、"/>
      <w:lvlJc w:val="left"/>
      <w:rPr>
        <w:rFonts w:hint="eastAsia"/>
      </w:rPr>
    </w:lvl>
  </w:abstractNum>
  <w:abstractNum w:abstractNumId="1">
    <w:nsid w:val="C681C534"/>
    <w:multiLevelType w:val="singleLevel"/>
    <w:tmpl w:val="C681C534"/>
    <w:lvl w:ilvl="0" w:tentative="0">
      <w:start w:val="2"/>
      <w:numFmt w:val="decimal"/>
      <w:suff w:val="nothing"/>
      <w:lvlText w:val="%1）"/>
      <w:lvlJc w:val="left"/>
    </w:lvl>
  </w:abstractNum>
  <w:abstractNum w:abstractNumId="2">
    <w:nsid w:val="00000015"/>
    <w:multiLevelType w:val="singleLevel"/>
    <w:tmpl w:val="00000015"/>
    <w:lvl w:ilvl="0" w:tentative="0">
      <w:start w:val="1"/>
      <w:numFmt w:val="decimal"/>
      <w:suff w:val="nothing"/>
      <w:lvlText w:val="%1、"/>
      <w:lvlJc w:val="left"/>
    </w:lvl>
  </w:abstractNum>
  <w:abstractNum w:abstractNumId="3">
    <w:nsid w:val="11A75968"/>
    <w:multiLevelType w:val="multilevel"/>
    <w:tmpl w:val="11A75968"/>
    <w:lvl w:ilvl="0" w:tentative="0">
      <w:start w:val="1"/>
      <w:numFmt w:val="chineseCountingThousand"/>
      <w:lvlText w:val="%1. "/>
      <w:lvlJc w:val="left"/>
      <w:pPr>
        <w:tabs>
          <w:tab w:val="left" w:pos="1560"/>
        </w:tabs>
        <w:ind w:left="1560" w:hanging="425"/>
      </w:pPr>
      <w:rPr>
        <w:rFonts w:hint="eastAsia"/>
      </w:rPr>
    </w:lvl>
    <w:lvl w:ilvl="1" w:tentative="0">
      <w:start w:val="1"/>
      <w:numFmt w:val="decimal"/>
      <w:isLgl/>
      <w:lvlText w:val="%1.%2."/>
      <w:lvlJc w:val="left"/>
      <w:pPr>
        <w:tabs>
          <w:tab w:val="left" w:pos="709"/>
        </w:tabs>
        <w:ind w:left="709" w:hanging="567"/>
      </w:pPr>
      <w:rPr>
        <w:rFonts w:hint="eastAsia" w:ascii="仿宋_GB2312" w:eastAsia="仿宋_GB2312"/>
        <w:sz w:val="28"/>
        <w:szCs w:val="28"/>
      </w:rPr>
    </w:lvl>
    <w:lvl w:ilvl="2" w:tentative="0">
      <w:start w:val="1"/>
      <w:numFmt w:val="decimal"/>
      <w:isLgl/>
      <w:lvlText w:val="%1.%2.%3."/>
      <w:lvlJc w:val="left"/>
      <w:pPr>
        <w:tabs>
          <w:tab w:val="left" w:pos="851"/>
        </w:tabs>
        <w:ind w:left="851" w:hanging="709"/>
      </w:pPr>
      <w:rPr>
        <w:rFonts w:hint="default" w:ascii="Times New Roman" w:hAnsi="Times New Roman" w:cs="Times New Roman"/>
      </w:rPr>
    </w:lvl>
    <w:lvl w:ilvl="3" w:tentative="0">
      <w:start w:val="1"/>
      <w:numFmt w:val="decimal"/>
      <w:isLgl/>
      <w:lvlText w:val="%1.%2.%3.%4."/>
      <w:lvlJc w:val="left"/>
      <w:pPr>
        <w:tabs>
          <w:tab w:val="left" w:pos="993"/>
        </w:tabs>
        <w:ind w:left="993" w:hanging="851"/>
      </w:pPr>
      <w:rPr>
        <w:rFonts w:hint="eastAsia"/>
      </w:rPr>
    </w:lvl>
    <w:lvl w:ilvl="4" w:tentative="0">
      <w:start w:val="1"/>
      <w:numFmt w:val="decimal"/>
      <w:isLgl/>
      <w:lvlText w:val="%1.%2.%3.%4.%5."/>
      <w:lvlJc w:val="left"/>
      <w:pPr>
        <w:tabs>
          <w:tab w:val="left" w:pos="1134"/>
        </w:tabs>
        <w:ind w:left="1134" w:hanging="992"/>
      </w:pPr>
      <w:rPr>
        <w:rFonts w:hint="eastAsia"/>
      </w:rPr>
    </w:lvl>
    <w:lvl w:ilvl="5" w:tentative="0">
      <w:start w:val="1"/>
      <w:numFmt w:val="decimal"/>
      <w:lvlText w:val="%6、"/>
      <w:lvlJc w:val="left"/>
      <w:pPr>
        <w:ind w:left="862" w:hanging="720"/>
      </w:pPr>
      <w:rPr>
        <w:rFonts w:hint="default"/>
      </w:rPr>
    </w:lvl>
    <w:lvl w:ilvl="6" w:tentative="0">
      <w:start w:val="2"/>
      <w:numFmt w:val="decimal"/>
      <w:lvlText w:val="%7．"/>
      <w:lvlJc w:val="left"/>
      <w:pPr>
        <w:ind w:left="862" w:hanging="720"/>
      </w:pPr>
      <w:rPr>
        <w:rFonts w:hint="default"/>
      </w:rPr>
    </w:lvl>
    <w:lvl w:ilvl="7" w:tentative="0">
      <w:start w:val="1"/>
      <w:numFmt w:val="decimal"/>
      <w:lvlText w:val="%8."/>
      <w:lvlJc w:val="left"/>
      <w:pPr>
        <w:ind w:left="862" w:hanging="720"/>
      </w:pPr>
      <w:rPr>
        <w:rFonts w:hint="eastAsia"/>
      </w:rPr>
    </w:lvl>
    <w:lvl w:ilvl="8" w:tentative="0">
      <w:start w:val="1"/>
      <w:numFmt w:val="japaneseCounting"/>
      <w:lvlText w:val="（%9）"/>
      <w:lvlJc w:val="left"/>
      <w:pPr>
        <w:ind w:left="1027" w:hanging="885"/>
      </w:pPr>
      <w:rPr>
        <w:rFonts w:hint="default"/>
      </w:rPr>
    </w:lvl>
  </w:abstractNum>
  <w:abstractNum w:abstractNumId="4">
    <w:nsid w:val="142158BB"/>
    <w:multiLevelType w:val="multilevel"/>
    <w:tmpl w:val="142158BB"/>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
    <w:nsid w:val="19934A69"/>
    <w:multiLevelType w:val="multilevel"/>
    <w:tmpl w:val="19934A69"/>
    <w:lvl w:ilvl="0" w:tentative="0">
      <w:start w:val="1"/>
      <w:numFmt w:val="decimal"/>
      <w:lvlText w:val="（%1）"/>
      <w:lvlJc w:val="left"/>
      <w:pPr>
        <w:ind w:left="1459" w:hanging="75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BA2571C"/>
    <w:multiLevelType w:val="multilevel"/>
    <w:tmpl w:val="1BA2571C"/>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
    <w:nsid w:val="2BE70A3C"/>
    <w:multiLevelType w:val="multilevel"/>
    <w:tmpl w:val="2BE70A3C"/>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8">
    <w:nsid w:val="32180898"/>
    <w:multiLevelType w:val="multilevel"/>
    <w:tmpl w:val="32180898"/>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9">
    <w:nsid w:val="34822C43"/>
    <w:multiLevelType w:val="multilevel"/>
    <w:tmpl w:val="34822C4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10">
    <w:nsid w:val="43CA8CF3"/>
    <w:multiLevelType w:val="singleLevel"/>
    <w:tmpl w:val="43CA8CF3"/>
    <w:lvl w:ilvl="0" w:tentative="0">
      <w:start w:val="5"/>
      <w:numFmt w:val="decimal"/>
      <w:suff w:val="nothing"/>
      <w:lvlText w:val="%1、"/>
      <w:lvlJc w:val="left"/>
    </w:lvl>
  </w:abstractNum>
  <w:abstractNum w:abstractNumId="11">
    <w:nsid w:val="44C75A88"/>
    <w:multiLevelType w:val="multilevel"/>
    <w:tmpl w:val="44C75A88"/>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12">
    <w:nsid w:val="56FF30D1"/>
    <w:multiLevelType w:val="multilevel"/>
    <w:tmpl w:val="56FF30D1"/>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3">
    <w:nsid w:val="596D7D36"/>
    <w:multiLevelType w:val="multilevel"/>
    <w:tmpl w:val="596D7D3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4">
    <w:nsid w:val="5A5EAFD9"/>
    <w:multiLevelType w:val="singleLevel"/>
    <w:tmpl w:val="5A5EAFD9"/>
    <w:lvl w:ilvl="0" w:tentative="0">
      <w:start w:val="1"/>
      <w:numFmt w:val="bullet"/>
      <w:suff w:val="space"/>
      <w:lvlText w:val=""/>
      <w:lvlJc w:val="left"/>
      <w:pPr>
        <w:ind w:left="420" w:hanging="420"/>
      </w:pPr>
      <w:rPr>
        <w:rFonts w:hint="default" w:ascii="Wingdings" w:hAnsi="Wingdings"/>
      </w:rPr>
    </w:lvl>
  </w:abstractNum>
  <w:abstractNum w:abstractNumId="15">
    <w:nsid w:val="5A72AC79"/>
    <w:multiLevelType w:val="singleLevel"/>
    <w:tmpl w:val="5A72AC79"/>
    <w:lvl w:ilvl="0" w:tentative="0">
      <w:start w:val="1"/>
      <w:numFmt w:val="decimal"/>
      <w:suff w:val="nothing"/>
      <w:lvlText w:val="%1、"/>
      <w:lvlJc w:val="left"/>
    </w:lvl>
  </w:abstractNum>
  <w:abstractNum w:abstractNumId="16">
    <w:nsid w:val="5BEB0C50"/>
    <w:multiLevelType w:val="multilevel"/>
    <w:tmpl w:val="5BEB0C5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7">
    <w:nsid w:val="5C074A7D"/>
    <w:multiLevelType w:val="multilevel"/>
    <w:tmpl w:val="5C074A7D"/>
    <w:lvl w:ilvl="0" w:tentative="0">
      <w:start w:val="1"/>
      <w:numFmt w:val="bullet"/>
      <w:pStyle w:val="177"/>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8">
    <w:nsid w:val="674F11F7"/>
    <w:multiLevelType w:val="multilevel"/>
    <w:tmpl w:val="674F11F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9">
    <w:nsid w:val="6E4758BD"/>
    <w:multiLevelType w:val="multilevel"/>
    <w:tmpl w:val="6E4758BD"/>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0">
    <w:nsid w:val="709C65E2"/>
    <w:multiLevelType w:val="multilevel"/>
    <w:tmpl w:val="709C65E2"/>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1">
    <w:nsid w:val="71D9659B"/>
    <w:multiLevelType w:val="singleLevel"/>
    <w:tmpl w:val="71D9659B"/>
    <w:lvl w:ilvl="0" w:tentative="0">
      <w:start w:val="1"/>
      <w:numFmt w:val="decimal"/>
      <w:lvlText w:val="%1、"/>
      <w:lvlJc w:val="left"/>
      <w:pPr>
        <w:tabs>
          <w:tab w:val="left" w:pos="360"/>
        </w:tabs>
        <w:ind w:left="360" w:hanging="360"/>
      </w:pPr>
      <w:rPr>
        <w:rFonts w:hint="eastAsia"/>
      </w:rPr>
    </w:lvl>
  </w:abstractNum>
  <w:abstractNum w:abstractNumId="22">
    <w:nsid w:val="76125BF2"/>
    <w:multiLevelType w:val="multilevel"/>
    <w:tmpl w:val="76125BF2"/>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3">
    <w:nsid w:val="7A2B1B98"/>
    <w:multiLevelType w:val="multilevel"/>
    <w:tmpl w:val="7A2B1B98"/>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4">
    <w:nsid w:val="7D9C1C5F"/>
    <w:multiLevelType w:val="multilevel"/>
    <w:tmpl w:val="7D9C1C5F"/>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num w:numId="1">
    <w:abstractNumId w:val="17"/>
  </w:num>
  <w:num w:numId="2">
    <w:abstractNumId w:val="0"/>
  </w:num>
  <w:num w:numId="3">
    <w:abstractNumId w:val="3"/>
  </w:num>
  <w:num w:numId="4">
    <w:abstractNumId w:val="14"/>
  </w:num>
  <w:num w:numId="5">
    <w:abstractNumId w:val="5"/>
  </w:num>
  <w:num w:numId="6">
    <w:abstractNumId w:val="10"/>
  </w:num>
  <w:num w:numId="7">
    <w:abstractNumId w:val="9"/>
  </w:num>
  <w:num w:numId="8">
    <w:abstractNumId w:val="8"/>
  </w:num>
  <w:num w:numId="9">
    <w:abstractNumId w:val="16"/>
  </w:num>
  <w:num w:numId="10">
    <w:abstractNumId w:val="20"/>
  </w:num>
  <w:num w:numId="11">
    <w:abstractNumId w:val="24"/>
  </w:num>
  <w:num w:numId="12">
    <w:abstractNumId w:val="22"/>
  </w:num>
  <w:num w:numId="13">
    <w:abstractNumId w:val="4"/>
  </w:num>
  <w:num w:numId="14">
    <w:abstractNumId w:val="15"/>
  </w:num>
  <w:num w:numId="15">
    <w:abstractNumId w:val="7"/>
  </w:num>
  <w:num w:numId="16">
    <w:abstractNumId w:val="13"/>
  </w:num>
  <w:num w:numId="17">
    <w:abstractNumId w:val="19"/>
  </w:num>
  <w:num w:numId="18">
    <w:abstractNumId w:val="6"/>
  </w:num>
  <w:num w:numId="19">
    <w:abstractNumId w:val="23"/>
  </w:num>
  <w:num w:numId="20">
    <w:abstractNumId w:val="12"/>
  </w:num>
  <w:num w:numId="21">
    <w:abstractNumId w:val="18"/>
  </w:num>
  <w:num w:numId="22">
    <w:abstractNumId w:val="11"/>
  </w:num>
  <w:num w:numId="23">
    <w:abstractNumId w:val="1"/>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06"/>
    <w:rsid w:val="00003225"/>
    <w:rsid w:val="0000363D"/>
    <w:rsid w:val="00005F2C"/>
    <w:rsid w:val="0000718D"/>
    <w:rsid w:val="00010C68"/>
    <w:rsid w:val="00011F75"/>
    <w:rsid w:val="00014740"/>
    <w:rsid w:val="00016142"/>
    <w:rsid w:val="00016A8D"/>
    <w:rsid w:val="000177F6"/>
    <w:rsid w:val="00020482"/>
    <w:rsid w:val="00022AB0"/>
    <w:rsid w:val="00024387"/>
    <w:rsid w:val="0002607D"/>
    <w:rsid w:val="0002684A"/>
    <w:rsid w:val="00026EB2"/>
    <w:rsid w:val="0003242A"/>
    <w:rsid w:val="00032871"/>
    <w:rsid w:val="00033E1F"/>
    <w:rsid w:val="0003659F"/>
    <w:rsid w:val="00042044"/>
    <w:rsid w:val="000456ED"/>
    <w:rsid w:val="00046FA5"/>
    <w:rsid w:val="00052B5F"/>
    <w:rsid w:val="000535A5"/>
    <w:rsid w:val="000549B3"/>
    <w:rsid w:val="00054BDC"/>
    <w:rsid w:val="00055813"/>
    <w:rsid w:val="00060ADD"/>
    <w:rsid w:val="00061814"/>
    <w:rsid w:val="00061B0F"/>
    <w:rsid w:val="00061E63"/>
    <w:rsid w:val="00064F82"/>
    <w:rsid w:val="00065E3D"/>
    <w:rsid w:val="000661EE"/>
    <w:rsid w:val="00067680"/>
    <w:rsid w:val="000707F8"/>
    <w:rsid w:val="000722E6"/>
    <w:rsid w:val="000737E1"/>
    <w:rsid w:val="0007451B"/>
    <w:rsid w:val="00074AAD"/>
    <w:rsid w:val="000752EF"/>
    <w:rsid w:val="0007636B"/>
    <w:rsid w:val="000779E5"/>
    <w:rsid w:val="00080ED1"/>
    <w:rsid w:val="0008146F"/>
    <w:rsid w:val="00084CCD"/>
    <w:rsid w:val="00087402"/>
    <w:rsid w:val="00087C97"/>
    <w:rsid w:val="00090A12"/>
    <w:rsid w:val="00091E70"/>
    <w:rsid w:val="0009327F"/>
    <w:rsid w:val="0009343E"/>
    <w:rsid w:val="00094356"/>
    <w:rsid w:val="00095B37"/>
    <w:rsid w:val="000A008F"/>
    <w:rsid w:val="000A3DF2"/>
    <w:rsid w:val="000A413F"/>
    <w:rsid w:val="000A42CB"/>
    <w:rsid w:val="000A4DCC"/>
    <w:rsid w:val="000A4EE7"/>
    <w:rsid w:val="000A50D1"/>
    <w:rsid w:val="000A5C36"/>
    <w:rsid w:val="000B0C92"/>
    <w:rsid w:val="000B734A"/>
    <w:rsid w:val="000C06CF"/>
    <w:rsid w:val="000C17BF"/>
    <w:rsid w:val="000C1B77"/>
    <w:rsid w:val="000C35B7"/>
    <w:rsid w:val="000C4E4A"/>
    <w:rsid w:val="000C6A5E"/>
    <w:rsid w:val="000C77E4"/>
    <w:rsid w:val="000C7848"/>
    <w:rsid w:val="000D0993"/>
    <w:rsid w:val="000D0BFA"/>
    <w:rsid w:val="000D24C4"/>
    <w:rsid w:val="000D2D83"/>
    <w:rsid w:val="000D3A03"/>
    <w:rsid w:val="000D5E9C"/>
    <w:rsid w:val="000E166B"/>
    <w:rsid w:val="000E17D2"/>
    <w:rsid w:val="000E4236"/>
    <w:rsid w:val="000E6619"/>
    <w:rsid w:val="000E71C2"/>
    <w:rsid w:val="000F1463"/>
    <w:rsid w:val="000F3BAD"/>
    <w:rsid w:val="000F5C18"/>
    <w:rsid w:val="000F691D"/>
    <w:rsid w:val="001003AD"/>
    <w:rsid w:val="00103577"/>
    <w:rsid w:val="0010388B"/>
    <w:rsid w:val="00104945"/>
    <w:rsid w:val="00106A3D"/>
    <w:rsid w:val="00107E2B"/>
    <w:rsid w:val="0011142E"/>
    <w:rsid w:val="001145C4"/>
    <w:rsid w:val="0011481A"/>
    <w:rsid w:val="00117C64"/>
    <w:rsid w:val="00125468"/>
    <w:rsid w:val="001269BC"/>
    <w:rsid w:val="0012757D"/>
    <w:rsid w:val="001300F8"/>
    <w:rsid w:val="00130DAF"/>
    <w:rsid w:val="001314FD"/>
    <w:rsid w:val="00131CC8"/>
    <w:rsid w:val="001349B2"/>
    <w:rsid w:val="00134ECA"/>
    <w:rsid w:val="00135D96"/>
    <w:rsid w:val="00136485"/>
    <w:rsid w:val="0014164C"/>
    <w:rsid w:val="0014290F"/>
    <w:rsid w:val="001429B3"/>
    <w:rsid w:val="0014330E"/>
    <w:rsid w:val="00144091"/>
    <w:rsid w:val="001443F0"/>
    <w:rsid w:val="0014709D"/>
    <w:rsid w:val="00150033"/>
    <w:rsid w:val="001541A0"/>
    <w:rsid w:val="00154AB9"/>
    <w:rsid w:val="00155A04"/>
    <w:rsid w:val="00155E5D"/>
    <w:rsid w:val="00156E12"/>
    <w:rsid w:val="00161DDC"/>
    <w:rsid w:val="001634B7"/>
    <w:rsid w:val="00164AA0"/>
    <w:rsid w:val="001651E7"/>
    <w:rsid w:val="00165343"/>
    <w:rsid w:val="0016609D"/>
    <w:rsid w:val="001676D0"/>
    <w:rsid w:val="00170F24"/>
    <w:rsid w:val="001710B6"/>
    <w:rsid w:val="0017163A"/>
    <w:rsid w:val="00173CA0"/>
    <w:rsid w:val="001745A9"/>
    <w:rsid w:val="0017498A"/>
    <w:rsid w:val="00174C99"/>
    <w:rsid w:val="00177BE3"/>
    <w:rsid w:val="00180414"/>
    <w:rsid w:val="0018212E"/>
    <w:rsid w:val="001830EE"/>
    <w:rsid w:val="0018399B"/>
    <w:rsid w:val="00183C6E"/>
    <w:rsid w:val="0019359E"/>
    <w:rsid w:val="00197114"/>
    <w:rsid w:val="00197D49"/>
    <w:rsid w:val="00197F62"/>
    <w:rsid w:val="001A0338"/>
    <w:rsid w:val="001A2022"/>
    <w:rsid w:val="001B2D39"/>
    <w:rsid w:val="001B387F"/>
    <w:rsid w:val="001B3A52"/>
    <w:rsid w:val="001B47AB"/>
    <w:rsid w:val="001B63FB"/>
    <w:rsid w:val="001C6C13"/>
    <w:rsid w:val="001D07F8"/>
    <w:rsid w:val="001D20F5"/>
    <w:rsid w:val="001D43E5"/>
    <w:rsid w:val="001D44B4"/>
    <w:rsid w:val="001D57C1"/>
    <w:rsid w:val="001D6B8C"/>
    <w:rsid w:val="001D6FB7"/>
    <w:rsid w:val="001E073C"/>
    <w:rsid w:val="001E0CF4"/>
    <w:rsid w:val="001E163C"/>
    <w:rsid w:val="001E273B"/>
    <w:rsid w:val="001E2970"/>
    <w:rsid w:val="001E62AC"/>
    <w:rsid w:val="001E6335"/>
    <w:rsid w:val="001E6DFB"/>
    <w:rsid w:val="001E7335"/>
    <w:rsid w:val="001E73E2"/>
    <w:rsid w:val="001F25C6"/>
    <w:rsid w:val="001F3C50"/>
    <w:rsid w:val="001F6E29"/>
    <w:rsid w:val="001F7683"/>
    <w:rsid w:val="00200D81"/>
    <w:rsid w:val="00202668"/>
    <w:rsid w:val="00202B6A"/>
    <w:rsid w:val="002054DB"/>
    <w:rsid w:val="00206514"/>
    <w:rsid w:val="00207BE8"/>
    <w:rsid w:val="00212777"/>
    <w:rsid w:val="00214B10"/>
    <w:rsid w:val="00224BC8"/>
    <w:rsid w:val="00225259"/>
    <w:rsid w:val="00225A49"/>
    <w:rsid w:val="00225A5F"/>
    <w:rsid w:val="00225DD0"/>
    <w:rsid w:val="002305A7"/>
    <w:rsid w:val="00232088"/>
    <w:rsid w:val="00232459"/>
    <w:rsid w:val="00235B5A"/>
    <w:rsid w:val="00235FF2"/>
    <w:rsid w:val="00236036"/>
    <w:rsid w:val="00236B75"/>
    <w:rsid w:val="002410E4"/>
    <w:rsid w:val="00244C1C"/>
    <w:rsid w:val="00244F6B"/>
    <w:rsid w:val="0024775A"/>
    <w:rsid w:val="0025081B"/>
    <w:rsid w:val="002521DD"/>
    <w:rsid w:val="00253983"/>
    <w:rsid w:val="0026005B"/>
    <w:rsid w:val="00260CE7"/>
    <w:rsid w:val="00261EE3"/>
    <w:rsid w:val="00263F59"/>
    <w:rsid w:val="00264FF5"/>
    <w:rsid w:val="00266AFE"/>
    <w:rsid w:val="00267C0B"/>
    <w:rsid w:val="00273C55"/>
    <w:rsid w:val="00274742"/>
    <w:rsid w:val="00275713"/>
    <w:rsid w:val="002759D8"/>
    <w:rsid w:val="002759E7"/>
    <w:rsid w:val="0028047C"/>
    <w:rsid w:val="00281E4C"/>
    <w:rsid w:val="002834DC"/>
    <w:rsid w:val="00283767"/>
    <w:rsid w:val="002858DF"/>
    <w:rsid w:val="00290711"/>
    <w:rsid w:val="002909E5"/>
    <w:rsid w:val="002914EB"/>
    <w:rsid w:val="00293E01"/>
    <w:rsid w:val="00294485"/>
    <w:rsid w:val="00295BD9"/>
    <w:rsid w:val="002A12CF"/>
    <w:rsid w:val="002A241C"/>
    <w:rsid w:val="002A3109"/>
    <w:rsid w:val="002A35A8"/>
    <w:rsid w:val="002A37CD"/>
    <w:rsid w:val="002A4432"/>
    <w:rsid w:val="002A4D65"/>
    <w:rsid w:val="002A6189"/>
    <w:rsid w:val="002A65CE"/>
    <w:rsid w:val="002A6796"/>
    <w:rsid w:val="002B0E04"/>
    <w:rsid w:val="002B1B96"/>
    <w:rsid w:val="002B343F"/>
    <w:rsid w:val="002B44D3"/>
    <w:rsid w:val="002B6075"/>
    <w:rsid w:val="002B64DA"/>
    <w:rsid w:val="002C06C7"/>
    <w:rsid w:val="002C2ADA"/>
    <w:rsid w:val="002C4C3E"/>
    <w:rsid w:val="002C573D"/>
    <w:rsid w:val="002C7023"/>
    <w:rsid w:val="002C7C25"/>
    <w:rsid w:val="002D1285"/>
    <w:rsid w:val="002D5EEC"/>
    <w:rsid w:val="002D657A"/>
    <w:rsid w:val="002D7528"/>
    <w:rsid w:val="002D7792"/>
    <w:rsid w:val="002E3B27"/>
    <w:rsid w:val="002F0C02"/>
    <w:rsid w:val="002F32A1"/>
    <w:rsid w:val="00301613"/>
    <w:rsid w:val="00303290"/>
    <w:rsid w:val="003045D7"/>
    <w:rsid w:val="00312198"/>
    <w:rsid w:val="00313876"/>
    <w:rsid w:val="00315E41"/>
    <w:rsid w:val="00317141"/>
    <w:rsid w:val="003178AB"/>
    <w:rsid w:val="0032096B"/>
    <w:rsid w:val="00324B3F"/>
    <w:rsid w:val="00325E4F"/>
    <w:rsid w:val="00326035"/>
    <w:rsid w:val="00327016"/>
    <w:rsid w:val="0033198B"/>
    <w:rsid w:val="00332106"/>
    <w:rsid w:val="00334955"/>
    <w:rsid w:val="003355EC"/>
    <w:rsid w:val="003373A0"/>
    <w:rsid w:val="00337F22"/>
    <w:rsid w:val="00343F22"/>
    <w:rsid w:val="00344C20"/>
    <w:rsid w:val="00344F88"/>
    <w:rsid w:val="0035245B"/>
    <w:rsid w:val="00352886"/>
    <w:rsid w:val="00352A65"/>
    <w:rsid w:val="00355621"/>
    <w:rsid w:val="00360E10"/>
    <w:rsid w:val="00360FDE"/>
    <w:rsid w:val="00372264"/>
    <w:rsid w:val="0037526B"/>
    <w:rsid w:val="00376DBE"/>
    <w:rsid w:val="00380719"/>
    <w:rsid w:val="00383052"/>
    <w:rsid w:val="003838DA"/>
    <w:rsid w:val="0038537B"/>
    <w:rsid w:val="003861C7"/>
    <w:rsid w:val="003922D2"/>
    <w:rsid w:val="00393080"/>
    <w:rsid w:val="00393AEA"/>
    <w:rsid w:val="0039496C"/>
    <w:rsid w:val="00394E32"/>
    <w:rsid w:val="00396348"/>
    <w:rsid w:val="00396FA4"/>
    <w:rsid w:val="003A06F4"/>
    <w:rsid w:val="003A0799"/>
    <w:rsid w:val="003A1859"/>
    <w:rsid w:val="003A275C"/>
    <w:rsid w:val="003A6C8A"/>
    <w:rsid w:val="003B03B5"/>
    <w:rsid w:val="003B0420"/>
    <w:rsid w:val="003B0AC5"/>
    <w:rsid w:val="003B3310"/>
    <w:rsid w:val="003B37A4"/>
    <w:rsid w:val="003B7B98"/>
    <w:rsid w:val="003C1643"/>
    <w:rsid w:val="003C1AE0"/>
    <w:rsid w:val="003C42E3"/>
    <w:rsid w:val="003C6C76"/>
    <w:rsid w:val="003C6FD9"/>
    <w:rsid w:val="003C716C"/>
    <w:rsid w:val="003C74C8"/>
    <w:rsid w:val="003D016C"/>
    <w:rsid w:val="003D1DA0"/>
    <w:rsid w:val="003D218F"/>
    <w:rsid w:val="003D3F25"/>
    <w:rsid w:val="003D5ECB"/>
    <w:rsid w:val="003E0EBB"/>
    <w:rsid w:val="003E13E5"/>
    <w:rsid w:val="003E1BA0"/>
    <w:rsid w:val="003E3EC2"/>
    <w:rsid w:val="003E6E2B"/>
    <w:rsid w:val="003F1D8E"/>
    <w:rsid w:val="003F3296"/>
    <w:rsid w:val="003F3CAD"/>
    <w:rsid w:val="003F50B6"/>
    <w:rsid w:val="003F593E"/>
    <w:rsid w:val="003F5BCB"/>
    <w:rsid w:val="00400A2D"/>
    <w:rsid w:val="00401307"/>
    <w:rsid w:val="004024DC"/>
    <w:rsid w:val="00405476"/>
    <w:rsid w:val="00405C81"/>
    <w:rsid w:val="00405DE6"/>
    <w:rsid w:val="00406430"/>
    <w:rsid w:val="00407E07"/>
    <w:rsid w:val="00410B4F"/>
    <w:rsid w:val="00412D16"/>
    <w:rsid w:val="00413AA1"/>
    <w:rsid w:val="004163FC"/>
    <w:rsid w:val="004168B1"/>
    <w:rsid w:val="00420748"/>
    <w:rsid w:val="00420B24"/>
    <w:rsid w:val="00422933"/>
    <w:rsid w:val="00432525"/>
    <w:rsid w:val="0043316D"/>
    <w:rsid w:val="00433D76"/>
    <w:rsid w:val="00440DEA"/>
    <w:rsid w:val="004421D6"/>
    <w:rsid w:val="004441E4"/>
    <w:rsid w:val="00444FE1"/>
    <w:rsid w:val="004456D0"/>
    <w:rsid w:val="00445E7B"/>
    <w:rsid w:val="00453A38"/>
    <w:rsid w:val="004542C3"/>
    <w:rsid w:val="00455F45"/>
    <w:rsid w:val="0046203C"/>
    <w:rsid w:val="00463719"/>
    <w:rsid w:val="004646BA"/>
    <w:rsid w:val="00465CD1"/>
    <w:rsid w:val="00466E34"/>
    <w:rsid w:val="00467302"/>
    <w:rsid w:val="004703C5"/>
    <w:rsid w:val="00470507"/>
    <w:rsid w:val="00471ECA"/>
    <w:rsid w:val="00471F86"/>
    <w:rsid w:val="004749D0"/>
    <w:rsid w:val="00475A3E"/>
    <w:rsid w:val="00482D75"/>
    <w:rsid w:val="004834D6"/>
    <w:rsid w:val="0048394F"/>
    <w:rsid w:val="00485FE7"/>
    <w:rsid w:val="0048700D"/>
    <w:rsid w:val="004900C7"/>
    <w:rsid w:val="00490BBD"/>
    <w:rsid w:val="00492EF0"/>
    <w:rsid w:val="00493460"/>
    <w:rsid w:val="00493934"/>
    <w:rsid w:val="00494623"/>
    <w:rsid w:val="00494879"/>
    <w:rsid w:val="00494D60"/>
    <w:rsid w:val="004951A9"/>
    <w:rsid w:val="00495B2D"/>
    <w:rsid w:val="004973D6"/>
    <w:rsid w:val="004A05BD"/>
    <w:rsid w:val="004A1637"/>
    <w:rsid w:val="004A1889"/>
    <w:rsid w:val="004A1A56"/>
    <w:rsid w:val="004A2459"/>
    <w:rsid w:val="004B1998"/>
    <w:rsid w:val="004B2F33"/>
    <w:rsid w:val="004B337E"/>
    <w:rsid w:val="004C2103"/>
    <w:rsid w:val="004C2742"/>
    <w:rsid w:val="004C2EFF"/>
    <w:rsid w:val="004C50F1"/>
    <w:rsid w:val="004C7176"/>
    <w:rsid w:val="004C7928"/>
    <w:rsid w:val="004C7C34"/>
    <w:rsid w:val="004D1111"/>
    <w:rsid w:val="004D212D"/>
    <w:rsid w:val="004D27A3"/>
    <w:rsid w:val="004D2AE3"/>
    <w:rsid w:val="004D56A5"/>
    <w:rsid w:val="004D642B"/>
    <w:rsid w:val="004E2B7E"/>
    <w:rsid w:val="004E79BA"/>
    <w:rsid w:val="004E7B70"/>
    <w:rsid w:val="004F187B"/>
    <w:rsid w:val="004F37B7"/>
    <w:rsid w:val="004F3C92"/>
    <w:rsid w:val="004F45DB"/>
    <w:rsid w:val="004F78DE"/>
    <w:rsid w:val="004F7D5A"/>
    <w:rsid w:val="00502D0F"/>
    <w:rsid w:val="00504375"/>
    <w:rsid w:val="0050533A"/>
    <w:rsid w:val="00506AB9"/>
    <w:rsid w:val="0051076D"/>
    <w:rsid w:val="0051104A"/>
    <w:rsid w:val="00511643"/>
    <w:rsid w:val="005146AC"/>
    <w:rsid w:val="005150CC"/>
    <w:rsid w:val="005171DB"/>
    <w:rsid w:val="005215A6"/>
    <w:rsid w:val="00522897"/>
    <w:rsid w:val="0052368F"/>
    <w:rsid w:val="005326D7"/>
    <w:rsid w:val="00534219"/>
    <w:rsid w:val="00537E59"/>
    <w:rsid w:val="00541F25"/>
    <w:rsid w:val="005420C6"/>
    <w:rsid w:val="005424C2"/>
    <w:rsid w:val="005424F5"/>
    <w:rsid w:val="00542E0F"/>
    <w:rsid w:val="0054327E"/>
    <w:rsid w:val="00543526"/>
    <w:rsid w:val="005460C0"/>
    <w:rsid w:val="00546935"/>
    <w:rsid w:val="0054755D"/>
    <w:rsid w:val="00552033"/>
    <w:rsid w:val="005550BD"/>
    <w:rsid w:val="00555A81"/>
    <w:rsid w:val="00555DB4"/>
    <w:rsid w:val="00560676"/>
    <w:rsid w:val="00561E70"/>
    <w:rsid w:val="00562085"/>
    <w:rsid w:val="00562657"/>
    <w:rsid w:val="00563616"/>
    <w:rsid w:val="00564F26"/>
    <w:rsid w:val="00574A52"/>
    <w:rsid w:val="00574D0A"/>
    <w:rsid w:val="00577CAF"/>
    <w:rsid w:val="00581235"/>
    <w:rsid w:val="00581A85"/>
    <w:rsid w:val="00581B21"/>
    <w:rsid w:val="005836E2"/>
    <w:rsid w:val="00584DD3"/>
    <w:rsid w:val="00585B38"/>
    <w:rsid w:val="005904FD"/>
    <w:rsid w:val="00594655"/>
    <w:rsid w:val="005966FB"/>
    <w:rsid w:val="005A3D9D"/>
    <w:rsid w:val="005A53C6"/>
    <w:rsid w:val="005B15D7"/>
    <w:rsid w:val="005B396C"/>
    <w:rsid w:val="005B709F"/>
    <w:rsid w:val="005C23BF"/>
    <w:rsid w:val="005C2597"/>
    <w:rsid w:val="005C2AB5"/>
    <w:rsid w:val="005C3A63"/>
    <w:rsid w:val="005C4F51"/>
    <w:rsid w:val="005C50A5"/>
    <w:rsid w:val="005D1F89"/>
    <w:rsid w:val="005D3236"/>
    <w:rsid w:val="005D50F4"/>
    <w:rsid w:val="005D65D9"/>
    <w:rsid w:val="005D6FB7"/>
    <w:rsid w:val="005E338F"/>
    <w:rsid w:val="005E5EC7"/>
    <w:rsid w:val="005F136E"/>
    <w:rsid w:val="005F3525"/>
    <w:rsid w:val="005F4E94"/>
    <w:rsid w:val="005F7AEF"/>
    <w:rsid w:val="005F7FFA"/>
    <w:rsid w:val="00603E67"/>
    <w:rsid w:val="006040D8"/>
    <w:rsid w:val="006113E4"/>
    <w:rsid w:val="00613EAB"/>
    <w:rsid w:val="00614F98"/>
    <w:rsid w:val="0061616C"/>
    <w:rsid w:val="00616A0E"/>
    <w:rsid w:val="00617970"/>
    <w:rsid w:val="00620962"/>
    <w:rsid w:val="0062106E"/>
    <w:rsid w:val="00627964"/>
    <w:rsid w:val="00632A5E"/>
    <w:rsid w:val="00636D1E"/>
    <w:rsid w:val="006418CB"/>
    <w:rsid w:val="00642610"/>
    <w:rsid w:val="00642AE5"/>
    <w:rsid w:val="006444BA"/>
    <w:rsid w:val="00645F43"/>
    <w:rsid w:val="00646B6E"/>
    <w:rsid w:val="00651157"/>
    <w:rsid w:val="00652AEB"/>
    <w:rsid w:val="00653486"/>
    <w:rsid w:val="00653B9A"/>
    <w:rsid w:val="00654D82"/>
    <w:rsid w:val="006557A6"/>
    <w:rsid w:val="00656B3E"/>
    <w:rsid w:val="00656F0B"/>
    <w:rsid w:val="00657556"/>
    <w:rsid w:val="00657CD5"/>
    <w:rsid w:val="00660A89"/>
    <w:rsid w:val="00660C0D"/>
    <w:rsid w:val="0066147C"/>
    <w:rsid w:val="0066159F"/>
    <w:rsid w:val="00664F8E"/>
    <w:rsid w:val="0067130E"/>
    <w:rsid w:val="00674817"/>
    <w:rsid w:val="00674BA1"/>
    <w:rsid w:val="0067634B"/>
    <w:rsid w:val="0067642A"/>
    <w:rsid w:val="006778D5"/>
    <w:rsid w:val="0068168B"/>
    <w:rsid w:val="00683897"/>
    <w:rsid w:val="0068406A"/>
    <w:rsid w:val="00686252"/>
    <w:rsid w:val="00690B33"/>
    <w:rsid w:val="00695464"/>
    <w:rsid w:val="00695A96"/>
    <w:rsid w:val="00695C43"/>
    <w:rsid w:val="00696166"/>
    <w:rsid w:val="0069752E"/>
    <w:rsid w:val="00697EC6"/>
    <w:rsid w:val="006A0F35"/>
    <w:rsid w:val="006A108A"/>
    <w:rsid w:val="006A2BD1"/>
    <w:rsid w:val="006A47C7"/>
    <w:rsid w:val="006A69DA"/>
    <w:rsid w:val="006B09CA"/>
    <w:rsid w:val="006B2DC7"/>
    <w:rsid w:val="006B4783"/>
    <w:rsid w:val="006B7B38"/>
    <w:rsid w:val="006C08DA"/>
    <w:rsid w:val="006C13EF"/>
    <w:rsid w:val="006C1A2C"/>
    <w:rsid w:val="006C2D4A"/>
    <w:rsid w:val="006C3388"/>
    <w:rsid w:val="006C42F8"/>
    <w:rsid w:val="006C4E34"/>
    <w:rsid w:val="006C5C76"/>
    <w:rsid w:val="006C61BF"/>
    <w:rsid w:val="006C66A1"/>
    <w:rsid w:val="006D221D"/>
    <w:rsid w:val="006D3DC9"/>
    <w:rsid w:val="006D4603"/>
    <w:rsid w:val="006D68ED"/>
    <w:rsid w:val="006D7BE2"/>
    <w:rsid w:val="006E26C0"/>
    <w:rsid w:val="006E6642"/>
    <w:rsid w:val="006F165A"/>
    <w:rsid w:val="006F33AD"/>
    <w:rsid w:val="006F3F99"/>
    <w:rsid w:val="0070143E"/>
    <w:rsid w:val="0070284D"/>
    <w:rsid w:val="00703E19"/>
    <w:rsid w:val="00707EDF"/>
    <w:rsid w:val="007104FB"/>
    <w:rsid w:val="007143DB"/>
    <w:rsid w:val="00714B6C"/>
    <w:rsid w:val="0071761C"/>
    <w:rsid w:val="00720144"/>
    <w:rsid w:val="00720BBE"/>
    <w:rsid w:val="0072187A"/>
    <w:rsid w:val="00721DF3"/>
    <w:rsid w:val="00722138"/>
    <w:rsid w:val="00722539"/>
    <w:rsid w:val="00723570"/>
    <w:rsid w:val="0072596A"/>
    <w:rsid w:val="00730A3D"/>
    <w:rsid w:val="00732F90"/>
    <w:rsid w:val="00735590"/>
    <w:rsid w:val="007360A2"/>
    <w:rsid w:val="00737729"/>
    <w:rsid w:val="00737CAB"/>
    <w:rsid w:val="007441C0"/>
    <w:rsid w:val="00746E5E"/>
    <w:rsid w:val="00747156"/>
    <w:rsid w:val="00747B6F"/>
    <w:rsid w:val="00750043"/>
    <w:rsid w:val="00750B48"/>
    <w:rsid w:val="00751BE8"/>
    <w:rsid w:val="00752870"/>
    <w:rsid w:val="00752DDA"/>
    <w:rsid w:val="00761D39"/>
    <w:rsid w:val="00762D06"/>
    <w:rsid w:val="00763EE4"/>
    <w:rsid w:val="00764401"/>
    <w:rsid w:val="00765A20"/>
    <w:rsid w:val="00767AFB"/>
    <w:rsid w:val="00767FFE"/>
    <w:rsid w:val="0077182D"/>
    <w:rsid w:val="0077383F"/>
    <w:rsid w:val="00773D09"/>
    <w:rsid w:val="007754A5"/>
    <w:rsid w:val="00781F25"/>
    <w:rsid w:val="00782C51"/>
    <w:rsid w:val="007837E5"/>
    <w:rsid w:val="00790D94"/>
    <w:rsid w:val="0079385C"/>
    <w:rsid w:val="00797E47"/>
    <w:rsid w:val="007A027F"/>
    <w:rsid w:val="007A2BEA"/>
    <w:rsid w:val="007A38C0"/>
    <w:rsid w:val="007A3B42"/>
    <w:rsid w:val="007A4977"/>
    <w:rsid w:val="007A63EF"/>
    <w:rsid w:val="007A7D74"/>
    <w:rsid w:val="007B06E1"/>
    <w:rsid w:val="007B0C64"/>
    <w:rsid w:val="007B23BF"/>
    <w:rsid w:val="007B37F6"/>
    <w:rsid w:val="007B5E39"/>
    <w:rsid w:val="007B6242"/>
    <w:rsid w:val="007C0495"/>
    <w:rsid w:val="007C13A3"/>
    <w:rsid w:val="007C2C8F"/>
    <w:rsid w:val="007D32F6"/>
    <w:rsid w:val="007D3C51"/>
    <w:rsid w:val="007D5ED6"/>
    <w:rsid w:val="007E0CD9"/>
    <w:rsid w:val="007E2C02"/>
    <w:rsid w:val="007E2F9D"/>
    <w:rsid w:val="007E4644"/>
    <w:rsid w:val="007E5E03"/>
    <w:rsid w:val="007E7E84"/>
    <w:rsid w:val="007F136D"/>
    <w:rsid w:val="007F3734"/>
    <w:rsid w:val="007F3EE0"/>
    <w:rsid w:val="007F601B"/>
    <w:rsid w:val="00800253"/>
    <w:rsid w:val="0080041A"/>
    <w:rsid w:val="008013E5"/>
    <w:rsid w:val="0080246C"/>
    <w:rsid w:val="0080448B"/>
    <w:rsid w:val="00807CC0"/>
    <w:rsid w:val="00807DFE"/>
    <w:rsid w:val="00807E50"/>
    <w:rsid w:val="00810248"/>
    <w:rsid w:val="008117FF"/>
    <w:rsid w:val="008124CE"/>
    <w:rsid w:val="008124E9"/>
    <w:rsid w:val="00814DA4"/>
    <w:rsid w:val="0081525E"/>
    <w:rsid w:val="00817D95"/>
    <w:rsid w:val="00821B2E"/>
    <w:rsid w:val="008228A4"/>
    <w:rsid w:val="00822923"/>
    <w:rsid w:val="00825440"/>
    <w:rsid w:val="0082689A"/>
    <w:rsid w:val="00827D5A"/>
    <w:rsid w:val="008306D7"/>
    <w:rsid w:val="0083189D"/>
    <w:rsid w:val="0083277C"/>
    <w:rsid w:val="0083701C"/>
    <w:rsid w:val="0084124F"/>
    <w:rsid w:val="00841C10"/>
    <w:rsid w:val="00841C20"/>
    <w:rsid w:val="00842358"/>
    <w:rsid w:val="00842732"/>
    <w:rsid w:val="00845682"/>
    <w:rsid w:val="008468C0"/>
    <w:rsid w:val="008475CB"/>
    <w:rsid w:val="00852F75"/>
    <w:rsid w:val="00861516"/>
    <w:rsid w:val="008615CF"/>
    <w:rsid w:val="0086567B"/>
    <w:rsid w:val="008704B0"/>
    <w:rsid w:val="00870EB7"/>
    <w:rsid w:val="00870FE5"/>
    <w:rsid w:val="0087198D"/>
    <w:rsid w:val="0087302F"/>
    <w:rsid w:val="00873625"/>
    <w:rsid w:val="00873DE4"/>
    <w:rsid w:val="00876D6D"/>
    <w:rsid w:val="0088304E"/>
    <w:rsid w:val="008836F2"/>
    <w:rsid w:val="00885272"/>
    <w:rsid w:val="00892939"/>
    <w:rsid w:val="00893640"/>
    <w:rsid w:val="0089398D"/>
    <w:rsid w:val="00894608"/>
    <w:rsid w:val="0089594D"/>
    <w:rsid w:val="008A577A"/>
    <w:rsid w:val="008B1692"/>
    <w:rsid w:val="008B1801"/>
    <w:rsid w:val="008B5674"/>
    <w:rsid w:val="008B5BF7"/>
    <w:rsid w:val="008B74C1"/>
    <w:rsid w:val="008B7B26"/>
    <w:rsid w:val="008C032E"/>
    <w:rsid w:val="008C4797"/>
    <w:rsid w:val="008C739F"/>
    <w:rsid w:val="008C788D"/>
    <w:rsid w:val="008C7F2D"/>
    <w:rsid w:val="008D0CE1"/>
    <w:rsid w:val="008D2060"/>
    <w:rsid w:val="008D4B0A"/>
    <w:rsid w:val="008D53EA"/>
    <w:rsid w:val="008D6B3F"/>
    <w:rsid w:val="008E00FF"/>
    <w:rsid w:val="008E0622"/>
    <w:rsid w:val="008E0DFA"/>
    <w:rsid w:val="008E22CD"/>
    <w:rsid w:val="008E408D"/>
    <w:rsid w:val="008E4260"/>
    <w:rsid w:val="008E4563"/>
    <w:rsid w:val="008E56FD"/>
    <w:rsid w:val="008F1076"/>
    <w:rsid w:val="008F34C7"/>
    <w:rsid w:val="008F38E8"/>
    <w:rsid w:val="008F3E1C"/>
    <w:rsid w:val="008F4579"/>
    <w:rsid w:val="008F5050"/>
    <w:rsid w:val="008F5E62"/>
    <w:rsid w:val="009024E5"/>
    <w:rsid w:val="009037E0"/>
    <w:rsid w:val="00904939"/>
    <w:rsid w:val="00904F88"/>
    <w:rsid w:val="00905114"/>
    <w:rsid w:val="00912A7E"/>
    <w:rsid w:val="00916A34"/>
    <w:rsid w:val="00917645"/>
    <w:rsid w:val="009179DF"/>
    <w:rsid w:val="009208B1"/>
    <w:rsid w:val="00921C33"/>
    <w:rsid w:val="00921EBC"/>
    <w:rsid w:val="00925B5E"/>
    <w:rsid w:val="00927178"/>
    <w:rsid w:val="0092741D"/>
    <w:rsid w:val="0093148D"/>
    <w:rsid w:val="00931911"/>
    <w:rsid w:val="00932F24"/>
    <w:rsid w:val="00934A94"/>
    <w:rsid w:val="00934B78"/>
    <w:rsid w:val="00935E20"/>
    <w:rsid w:val="00936D87"/>
    <w:rsid w:val="00937BF2"/>
    <w:rsid w:val="00942257"/>
    <w:rsid w:val="00943CF0"/>
    <w:rsid w:val="00946181"/>
    <w:rsid w:val="00953F89"/>
    <w:rsid w:val="00956FEC"/>
    <w:rsid w:val="009570E6"/>
    <w:rsid w:val="009575D8"/>
    <w:rsid w:val="00964B97"/>
    <w:rsid w:val="00970CF0"/>
    <w:rsid w:val="00971874"/>
    <w:rsid w:val="00973028"/>
    <w:rsid w:val="009738C5"/>
    <w:rsid w:val="00974857"/>
    <w:rsid w:val="0097778C"/>
    <w:rsid w:val="009778DC"/>
    <w:rsid w:val="00982B91"/>
    <w:rsid w:val="0098510A"/>
    <w:rsid w:val="009862E4"/>
    <w:rsid w:val="009870B4"/>
    <w:rsid w:val="0099470F"/>
    <w:rsid w:val="00995D1B"/>
    <w:rsid w:val="009976A7"/>
    <w:rsid w:val="00997B38"/>
    <w:rsid w:val="009A2560"/>
    <w:rsid w:val="009A370E"/>
    <w:rsid w:val="009A4917"/>
    <w:rsid w:val="009A54D4"/>
    <w:rsid w:val="009A696B"/>
    <w:rsid w:val="009B0775"/>
    <w:rsid w:val="009B0EDC"/>
    <w:rsid w:val="009B1111"/>
    <w:rsid w:val="009B2333"/>
    <w:rsid w:val="009B3520"/>
    <w:rsid w:val="009B3886"/>
    <w:rsid w:val="009B3D57"/>
    <w:rsid w:val="009B41F0"/>
    <w:rsid w:val="009B59C3"/>
    <w:rsid w:val="009B6148"/>
    <w:rsid w:val="009B6B4B"/>
    <w:rsid w:val="009C005F"/>
    <w:rsid w:val="009C1544"/>
    <w:rsid w:val="009C38B8"/>
    <w:rsid w:val="009C40C0"/>
    <w:rsid w:val="009C6697"/>
    <w:rsid w:val="009D012C"/>
    <w:rsid w:val="009D1610"/>
    <w:rsid w:val="009D1A27"/>
    <w:rsid w:val="009D1A76"/>
    <w:rsid w:val="009D46CC"/>
    <w:rsid w:val="009D7C48"/>
    <w:rsid w:val="009E1F93"/>
    <w:rsid w:val="009E2174"/>
    <w:rsid w:val="009E63C3"/>
    <w:rsid w:val="009E730C"/>
    <w:rsid w:val="009F077C"/>
    <w:rsid w:val="009F135F"/>
    <w:rsid w:val="009F2F0F"/>
    <w:rsid w:val="009F6ED0"/>
    <w:rsid w:val="009F78A5"/>
    <w:rsid w:val="009F7B76"/>
    <w:rsid w:val="00A01D8D"/>
    <w:rsid w:val="00A01E26"/>
    <w:rsid w:val="00A03D33"/>
    <w:rsid w:val="00A04F61"/>
    <w:rsid w:val="00A05D67"/>
    <w:rsid w:val="00A14E20"/>
    <w:rsid w:val="00A15B05"/>
    <w:rsid w:val="00A201C4"/>
    <w:rsid w:val="00A23CBF"/>
    <w:rsid w:val="00A3106A"/>
    <w:rsid w:val="00A317D2"/>
    <w:rsid w:val="00A317EA"/>
    <w:rsid w:val="00A33AF7"/>
    <w:rsid w:val="00A35424"/>
    <w:rsid w:val="00A377D9"/>
    <w:rsid w:val="00A408ED"/>
    <w:rsid w:val="00A40F47"/>
    <w:rsid w:val="00A43BA9"/>
    <w:rsid w:val="00A4465D"/>
    <w:rsid w:val="00A51EA4"/>
    <w:rsid w:val="00A532EC"/>
    <w:rsid w:val="00A54117"/>
    <w:rsid w:val="00A55411"/>
    <w:rsid w:val="00A57245"/>
    <w:rsid w:val="00A61B09"/>
    <w:rsid w:val="00A650DA"/>
    <w:rsid w:val="00A65EA7"/>
    <w:rsid w:val="00A710F8"/>
    <w:rsid w:val="00A910AA"/>
    <w:rsid w:val="00A919F5"/>
    <w:rsid w:val="00A936B5"/>
    <w:rsid w:val="00A94578"/>
    <w:rsid w:val="00A96739"/>
    <w:rsid w:val="00A976B9"/>
    <w:rsid w:val="00AA1D8A"/>
    <w:rsid w:val="00AA2D10"/>
    <w:rsid w:val="00AA4315"/>
    <w:rsid w:val="00AA67C4"/>
    <w:rsid w:val="00AA75EC"/>
    <w:rsid w:val="00AB034E"/>
    <w:rsid w:val="00AB19E8"/>
    <w:rsid w:val="00AB5EF7"/>
    <w:rsid w:val="00AB656D"/>
    <w:rsid w:val="00AB6DB8"/>
    <w:rsid w:val="00AC0FA4"/>
    <w:rsid w:val="00AC1590"/>
    <w:rsid w:val="00AC56DF"/>
    <w:rsid w:val="00AC6B32"/>
    <w:rsid w:val="00AC79AC"/>
    <w:rsid w:val="00AC7D36"/>
    <w:rsid w:val="00AC7DB4"/>
    <w:rsid w:val="00AC7F69"/>
    <w:rsid w:val="00AD4FEA"/>
    <w:rsid w:val="00AD57EB"/>
    <w:rsid w:val="00AD7DBD"/>
    <w:rsid w:val="00AE0A26"/>
    <w:rsid w:val="00AE11A4"/>
    <w:rsid w:val="00AE23A3"/>
    <w:rsid w:val="00AE47B7"/>
    <w:rsid w:val="00AE7AF9"/>
    <w:rsid w:val="00AF0BC2"/>
    <w:rsid w:val="00AF105F"/>
    <w:rsid w:val="00AF215C"/>
    <w:rsid w:val="00AF4B6C"/>
    <w:rsid w:val="00AF4CBB"/>
    <w:rsid w:val="00AF6353"/>
    <w:rsid w:val="00AF6946"/>
    <w:rsid w:val="00B0012C"/>
    <w:rsid w:val="00B01239"/>
    <w:rsid w:val="00B02D74"/>
    <w:rsid w:val="00B0416D"/>
    <w:rsid w:val="00B04A7E"/>
    <w:rsid w:val="00B05AC7"/>
    <w:rsid w:val="00B07303"/>
    <w:rsid w:val="00B07445"/>
    <w:rsid w:val="00B102E4"/>
    <w:rsid w:val="00B12507"/>
    <w:rsid w:val="00B146A8"/>
    <w:rsid w:val="00B15683"/>
    <w:rsid w:val="00B15C09"/>
    <w:rsid w:val="00B167E3"/>
    <w:rsid w:val="00B17398"/>
    <w:rsid w:val="00B20106"/>
    <w:rsid w:val="00B21209"/>
    <w:rsid w:val="00B2270A"/>
    <w:rsid w:val="00B23603"/>
    <w:rsid w:val="00B23862"/>
    <w:rsid w:val="00B24274"/>
    <w:rsid w:val="00B27C45"/>
    <w:rsid w:val="00B32C78"/>
    <w:rsid w:val="00B335B3"/>
    <w:rsid w:val="00B35376"/>
    <w:rsid w:val="00B360BA"/>
    <w:rsid w:val="00B41BC7"/>
    <w:rsid w:val="00B41EF3"/>
    <w:rsid w:val="00B41F34"/>
    <w:rsid w:val="00B43C13"/>
    <w:rsid w:val="00B45145"/>
    <w:rsid w:val="00B455E0"/>
    <w:rsid w:val="00B50A7D"/>
    <w:rsid w:val="00B51487"/>
    <w:rsid w:val="00B51834"/>
    <w:rsid w:val="00B522E7"/>
    <w:rsid w:val="00B53205"/>
    <w:rsid w:val="00B54ADC"/>
    <w:rsid w:val="00B60A34"/>
    <w:rsid w:val="00B63433"/>
    <w:rsid w:val="00B64CA0"/>
    <w:rsid w:val="00B651C7"/>
    <w:rsid w:val="00B65A13"/>
    <w:rsid w:val="00B6615C"/>
    <w:rsid w:val="00B7218F"/>
    <w:rsid w:val="00B72757"/>
    <w:rsid w:val="00B73B7A"/>
    <w:rsid w:val="00B74FFC"/>
    <w:rsid w:val="00B75AA9"/>
    <w:rsid w:val="00B760FE"/>
    <w:rsid w:val="00B83B95"/>
    <w:rsid w:val="00B8499A"/>
    <w:rsid w:val="00B859AD"/>
    <w:rsid w:val="00B868E4"/>
    <w:rsid w:val="00B87645"/>
    <w:rsid w:val="00B877CE"/>
    <w:rsid w:val="00B9003B"/>
    <w:rsid w:val="00B90F20"/>
    <w:rsid w:val="00B92A83"/>
    <w:rsid w:val="00B93025"/>
    <w:rsid w:val="00B932B8"/>
    <w:rsid w:val="00B96E70"/>
    <w:rsid w:val="00BA23BB"/>
    <w:rsid w:val="00BA4756"/>
    <w:rsid w:val="00BA5D01"/>
    <w:rsid w:val="00BB08F2"/>
    <w:rsid w:val="00BB1DE4"/>
    <w:rsid w:val="00BB2BF2"/>
    <w:rsid w:val="00BB39A2"/>
    <w:rsid w:val="00BB4480"/>
    <w:rsid w:val="00BB4640"/>
    <w:rsid w:val="00BB5B0C"/>
    <w:rsid w:val="00BB5D92"/>
    <w:rsid w:val="00BB6F79"/>
    <w:rsid w:val="00BB7529"/>
    <w:rsid w:val="00BC4070"/>
    <w:rsid w:val="00BC4CE5"/>
    <w:rsid w:val="00BC5407"/>
    <w:rsid w:val="00BC75CC"/>
    <w:rsid w:val="00BC78DC"/>
    <w:rsid w:val="00BC7E26"/>
    <w:rsid w:val="00BD026B"/>
    <w:rsid w:val="00BD3926"/>
    <w:rsid w:val="00BD4578"/>
    <w:rsid w:val="00BD5D78"/>
    <w:rsid w:val="00BD6212"/>
    <w:rsid w:val="00BD6E7A"/>
    <w:rsid w:val="00BD7531"/>
    <w:rsid w:val="00BE1035"/>
    <w:rsid w:val="00BE1AE1"/>
    <w:rsid w:val="00BE6897"/>
    <w:rsid w:val="00BE7A70"/>
    <w:rsid w:val="00BF1061"/>
    <w:rsid w:val="00BF2E34"/>
    <w:rsid w:val="00BF2F9D"/>
    <w:rsid w:val="00BF4177"/>
    <w:rsid w:val="00BF46B5"/>
    <w:rsid w:val="00BF63A7"/>
    <w:rsid w:val="00BF78E7"/>
    <w:rsid w:val="00C00105"/>
    <w:rsid w:val="00C006B7"/>
    <w:rsid w:val="00C01EFB"/>
    <w:rsid w:val="00C10BAF"/>
    <w:rsid w:val="00C13B35"/>
    <w:rsid w:val="00C14836"/>
    <w:rsid w:val="00C16B5F"/>
    <w:rsid w:val="00C17C07"/>
    <w:rsid w:val="00C2246E"/>
    <w:rsid w:val="00C250F9"/>
    <w:rsid w:val="00C25795"/>
    <w:rsid w:val="00C2684D"/>
    <w:rsid w:val="00C27845"/>
    <w:rsid w:val="00C279A7"/>
    <w:rsid w:val="00C27FF6"/>
    <w:rsid w:val="00C319A8"/>
    <w:rsid w:val="00C323A9"/>
    <w:rsid w:val="00C32E03"/>
    <w:rsid w:val="00C33124"/>
    <w:rsid w:val="00C37192"/>
    <w:rsid w:val="00C421CD"/>
    <w:rsid w:val="00C42485"/>
    <w:rsid w:val="00C426CB"/>
    <w:rsid w:val="00C4395E"/>
    <w:rsid w:val="00C43D12"/>
    <w:rsid w:val="00C45717"/>
    <w:rsid w:val="00C46235"/>
    <w:rsid w:val="00C470D3"/>
    <w:rsid w:val="00C505C1"/>
    <w:rsid w:val="00C50AE2"/>
    <w:rsid w:val="00C50F51"/>
    <w:rsid w:val="00C52680"/>
    <w:rsid w:val="00C55206"/>
    <w:rsid w:val="00C5570E"/>
    <w:rsid w:val="00C55D67"/>
    <w:rsid w:val="00C56562"/>
    <w:rsid w:val="00C56BB4"/>
    <w:rsid w:val="00C5715E"/>
    <w:rsid w:val="00C60179"/>
    <w:rsid w:val="00C634C0"/>
    <w:rsid w:val="00C6539A"/>
    <w:rsid w:val="00C65579"/>
    <w:rsid w:val="00C6728E"/>
    <w:rsid w:val="00C7004E"/>
    <w:rsid w:val="00C705EA"/>
    <w:rsid w:val="00C71AD7"/>
    <w:rsid w:val="00C7367B"/>
    <w:rsid w:val="00C7527C"/>
    <w:rsid w:val="00C75379"/>
    <w:rsid w:val="00C7704A"/>
    <w:rsid w:val="00C8071A"/>
    <w:rsid w:val="00C82038"/>
    <w:rsid w:val="00C825F2"/>
    <w:rsid w:val="00C82C52"/>
    <w:rsid w:val="00C83AA7"/>
    <w:rsid w:val="00C84296"/>
    <w:rsid w:val="00C84BDA"/>
    <w:rsid w:val="00C85719"/>
    <w:rsid w:val="00C8645C"/>
    <w:rsid w:val="00C8723F"/>
    <w:rsid w:val="00C9123E"/>
    <w:rsid w:val="00C93413"/>
    <w:rsid w:val="00C938EB"/>
    <w:rsid w:val="00C96004"/>
    <w:rsid w:val="00C96ACF"/>
    <w:rsid w:val="00CA08CA"/>
    <w:rsid w:val="00CA494E"/>
    <w:rsid w:val="00CB48F9"/>
    <w:rsid w:val="00CB499E"/>
    <w:rsid w:val="00CB4DAB"/>
    <w:rsid w:val="00CB5613"/>
    <w:rsid w:val="00CB5B91"/>
    <w:rsid w:val="00CB65D7"/>
    <w:rsid w:val="00CC092C"/>
    <w:rsid w:val="00CC13A1"/>
    <w:rsid w:val="00CC1CCD"/>
    <w:rsid w:val="00CC31AD"/>
    <w:rsid w:val="00CC68EA"/>
    <w:rsid w:val="00CC7574"/>
    <w:rsid w:val="00CC7F72"/>
    <w:rsid w:val="00CD09BA"/>
    <w:rsid w:val="00CD0C67"/>
    <w:rsid w:val="00CD453E"/>
    <w:rsid w:val="00CD55D1"/>
    <w:rsid w:val="00CD58B3"/>
    <w:rsid w:val="00CD7813"/>
    <w:rsid w:val="00CE0DF9"/>
    <w:rsid w:val="00CE2781"/>
    <w:rsid w:val="00CE2B9F"/>
    <w:rsid w:val="00CE30A3"/>
    <w:rsid w:val="00CE3F1E"/>
    <w:rsid w:val="00CE4C29"/>
    <w:rsid w:val="00CF1FA0"/>
    <w:rsid w:val="00CF460B"/>
    <w:rsid w:val="00D03D22"/>
    <w:rsid w:val="00D04A50"/>
    <w:rsid w:val="00D148AB"/>
    <w:rsid w:val="00D17233"/>
    <w:rsid w:val="00D20CFB"/>
    <w:rsid w:val="00D23215"/>
    <w:rsid w:val="00D2434C"/>
    <w:rsid w:val="00D2546C"/>
    <w:rsid w:val="00D25B81"/>
    <w:rsid w:val="00D25E04"/>
    <w:rsid w:val="00D26C1E"/>
    <w:rsid w:val="00D27382"/>
    <w:rsid w:val="00D303BB"/>
    <w:rsid w:val="00D326E5"/>
    <w:rsid w:val="00D34229"/>
    <w:rsid w:val="00D34570"/>
    <w:rsid w:val="00D36A13"/>
    <w:rsid w:val="00D36ADB"/>
    <w:rsid w:val="00D40711"/>
    <w:rsid w:val="00D4348A"/>
    <w:rsid w:val="00D43597"/>
    <w:rsid w:val="00D575FE"/>
    <w:rsid w:val="00D5766E"/>
    <w:rsid w:val="00D57BA1"/>
    <w:rsid w:val="00D623C3"/>
    <w:rsid w:val="00D627F7"/>
    <w:rsid w:val="00D63570"/>
    <w:rsid w:val="00D64751"/>
    <w:rsid w:val="00D647EE"/>
    <w:rsid w:val="00D7218F"/>
    <w:rsid w:val="00D72651"/>
    <w:rsid w:val="00D726ED"/>
    <w:rsid w:val="00D72A56"/>
    <w:rsid w:val="00D756EF"/>
    <w:rsid w:val="00D76146"/>
    <w:rsid w:val="00D76854"/>
    <w:rsid w:val="00D76856"/>
    <w:rsid w:val="00D77711"/>
    <w:rsid w:val="00D81175"/>
    <w:rsid w:val="00D823FB"/>
    <w:rsid w:val="00D829FB"/>
    <w:rsid w:val="00D87B0F"/>
    <w:rsid w:val="00D87FBD"/>
    <w:rsid w:val="00DA1D2F"/>
    <w:rsid w:val="00DA2BA0"/>
    <w:rsid w:val="00DA515E"/>
    <w:rsid w:val="00DA7F23"/>
    <w:rsid w:val="00DB2166"/>
    <w:rsid w:val="00DB5DE7"/>
    <w:rsid w:val="00DC1081"/>
    <w:rsid w:val="00DC1F90"/>
    <w:rsid w:val="00DC43F9"/>
    <w:rsid w:val="00DC6510"/>
    <w:rsid w:val="00DC68FF"/>
    <w:rsid w:val="00DD080F"/>
    <w:rsid w:val="00DD0D88"/>
    <w:rsid w:val="00DD3928"/>
    <w:rsid w:val="00DD762F"/>
    <w:rsid w:val="00DE1D3A"/>
    <w:rsid w:val="00DE4302"/>
    <w:rsid w:val="00DE52EC"/>
    <w:rsid w:val="00DE5313"/>
    <w:rsid w:val="00DE5416"/>
    <w:rsid w:val="00DE5899"/>
    <w:rsid w:val="00DF52B7"/>
    <w:rsid w:val="00DF6586"/>
    <w:rsid w:val="00DF744B"/>
    <w:rsid w:val="00E00B9A"/>
    <w:rsid w:val="00E0233A"/>
    <w:rsid w:val="00E02D7E"/>
    <w:rsid w:val="00E03BE9"/>
    <w:rsid w:val="00E05C93"/>
    <w:rsid w:val="00E07502"/>
    <w:rsid w:val="00E07BCD"/>
    <w:rsid w:val="00E11290"/>
    <w:rsid w:val="00E11614"/>
    <w:rsid w:val="00E13A15"/>
    <w:rsid w:val="00E1601A"/>
    <w:rsid w:val="00E1642F"/>
    <w:rsid w:val="00E2056A"/>
    <w:rsid w:val="00E21089"/>
    <w:rsid w:val="00E216E7"/>
    <w:rsid w:val="00E2274C"/>
    <w:rsid w:val="00E22E4F"/>
    <w:rsid w:val="00E32946"/>
    <w:rsid w:val="00E36CCE"/>
    <w:rsid w:val="00E37BB4"/>
    <w:rsid w:val="00E37D21"/>
    <w:rsid w:val="00E406D5"/>
    <w:rsid w:val="00E4452A"/>
    <w:rsid w:val="00E4576C"/>
    <w:rsid w:val="00E47875"/>
    <w:rsid w:val="00E47F27"/>
    <w:rsid w:val="00E50ACC"/>
    <w:rsid w:val="00E50C3E"/>
    <w:rsid w:val="00E53B50"/>
    <w:rsid w:val="00E54066"/>
    <w:rsid w:val="00E5715A"/>
    <w:rsid w:val="00E603FF"/>
    <w:rsid w:val="00E61E6A"/>
    <w:rsid w:val="00E6217F"/>
    <w:rsid w:val="00E63C02"/>
    <w:rsid w:val="00E70538"/>
    <w:rsid w:val="00E7127C"/>
    <w:rsid w:val="00E7196A"/>
    <w:rsid w:val="00E82008"/>
    <w:rsid w:val="00E824AF"/>
    <w:rsid w:val="00E87154"/>
    <w:rsid w:val="00E90817"/>
    <w:rsid w:val="00E911A2"/>
    <w:rsid w:val="00E94242"/>
    <w:rsid w:val="00E96602"/>
    <w:rsid w:val="00E97543"/>
    <w:rsid w:val="00E97855"/>
    <w:rsid w:val="00EA3117"/>
    <w:rsid w:val="00EA33FD"/>
    <w:rsid w:val="00EA4A6C"/>
    <w:rsid w:val="00EA779A"/>
    <w:rsid w:val="00EA7A1B"/>
    <w:rsid w:val="00EA7A89"/>
    <w:rsid w:val="00EB190D"/>
    <w:rsid w:val="00EB1F7A"/>
    <w:rsid w:val="00EB4090"/>
    <w:rsid w:val="00EB533C"/>
    <w:rsid w:val="00EB5D5B"/>
    <w:rsid w:val="00EC05D4"/>
    <w:rsid w:val="00EC105C"/>
    <w:rsid w:val="00EC20C7"/>
    <w:rsid w:val="00EC4504"/>
    <w:rsid w:val="00EC483F"/>
    <w:rsid w:val="00EC4D5C"/>
    <w:rsid w:val="00EC5F8E"/>
    <w:rsid w:val="00EC6E6A"/>
    <w:rsid w:val="00EC7A84"/>
    <w:rsid w:val="00ED25E6"/>
    <w:rsid w:val="00ED296B"/>
    <w:rsid w:val="00ED3334"/>
    <w:rsid w:val="00ED3382"/>
    <w:rsid w:val="00ED3C72"/>
    <w:rsid w:val="00ED45E8"/>
    <w:rsid w:val="00ED6935"/>
    <w:rsid w:val="00ED7191"/>
    <w:rsid w:val="00EE047B"/>
    <w:rsid w:val="00EE341A"/>
    <w:rsid w:val="00EE5373"/>
    <w:rsid w:val="00EE5377"/>
    <w:rsid w:val="00EE58C8"/>
    <w:rsid w:val="00EF3420"/>
    <w:rsid w:val="00EF3CA1"/>
    <w:rsid w:val="00EF40B0"/>
    <w:rsid w:val="00EF7B73"/>
    <w:rsid w:val="00F00A52"/>
    <w:rsid w:val="00F02120"/>
    <w:rsid w:val="00F0234A"/>
    <w:rsid w:val="00F02DEF"/>
    <w:rsid w:val="00F05FA7"/>
    <w:rsid w:val="00F06814"/>
    <w:rsid w:val="00F06FCB"/>
    <w:rsid w:val="00F10BE6"/>
    <w:rsid w:val="00F110C3"/>
    <w:rsid w:val="00F12B1F"/>
    <w:rsid w:val="00F15B5E"/>
    <w:rsid w:val="00F16890"/>
    <w:rsid w:val="00F168EF"/>
    <w:rsid w:val="00F200E9"/>
    <w:rsid w:val="00F20BE8"/>
    <w:rsid w:val="00F218B5"/>
    <w:rsid w:val="00F21A9F"/>
    <w:rsid w:val="00F23A14"/>
    <w:rsid w:val="00F24A53"/>
    <w:rsid w:val="00F250A6"/>
    <w:rsid w:val="00F2586F"/>
    <w:rsid w:val="00F261D1"/>
    <w:rsid w:val="00F274FD"/>
    <w:rsid w:val="00F27FE2"/>
    <w:rsid w:val="00F308FB"/>
    <w:rsid w:val="00F31310"/>
    <w:rsid w:val="00F32159"/>
    <w:rsid w:val="00F346FE"/>
    <w:rsid w:val="00F35E2B"/>
    <w:rsid w:val="00F36E34"/>
    <w:rsid w:val="00F40C0D"/>
    <w:rsid w:val="00F40DD0"/>
    <w:rsid w:val="00F410F0"/>
    <w:rsid w:val="00F41384"/>
    <w:rsid w:val="00F41929"/>
    <w:rsid w:val="00F46833"/>
    <w:rsid w:val="00F46D10"/>
    <w:rsid w:val="00F515FC"/>
    <w:rsid w:val="00F53A37"/>
    <w:rsid w:val="00F542EE"/>
    <w:rsid w:val="00F54ACF"/>
    <w:rsid w:val="00F56B72"/>
    <w:rsid w:val="00F61604"/>
    <w:rsid w:val="00F61F75"/>
    <w:rsid w:val="00F6349A"/>
    <w:rsid w:val="00F634A8"/>
    <w:rsid w:val="00F671F8"/>
    <w:rsid w:val="00F71317"/>
    <w:rsid w:val="00F71C23"/>
    <w:rsid w:val="00F72654"/>
    <w:rsid w:val="00F729A1"/>
    <w:rsid w:val="00F73E32"/>
    <w:rsid w:val="00F752F9"/>
    <w:rsid w:val="00F75CC2"/>
    <w:rsid w:val="00F770FA"/>
    <w:rsid w:val="00F776F8"/>
    <w:rsid w:val="00F77718"/>
    <w:rsid w:val="00F8010D"/>
    <w:rsid w:val="00F82F0B"/>
    <w:rsid w:val="00F854C1"/>
    <w:rsid w:val="00F87760"/>
    <w:rsid w:val="00F8776D"/>
    <w:rsid w:val="00F92096"/>
    <w:rsid w:val="00F92921"/>
    <w:rsid w:val="00F93248"/>
    <w:rsid w:val="00F95C52"/>
    <w:rsid w:val="00FA04B5"/>
    <w:rsid w:val="00FB0C50"/>
    <w:rsid w:val="00FB0D29"/>
    <w:rsid w:val="00FB1053"/>
    <w:rsid w:val="00FB31B8"/>
    <w:rsid w:val="00FB554D"/>
    <w:rsid w:val="00FC0562"/>
    <w:rsid w:val="00FC17B7"/>
    <w:rsid w:val="00FC4459"/>
    <w:rsid w:val="00FC4533"/>
    <w:rsid w:val="00FC5666"/>
    <w:rsid w:val="00FC6252"/>
    <w:rsid w:val="00FC7445"/>
    <w:rsid w:val="00FC76FB"/>
    <w:rsid w:val="00FC7F13"/>
    <w:rsid w:val="00FD210D"/>
    <w:rsid w:val="00FD2277"/>
    <w:rsid w:val="00FD2974"/>
    <w:rsid w:val="00FD2F58"/>
    <w:rsid w:val="00FD344F"/>
    <w:rsid w:val="00FD454C"/>
    <w:rsid w:val="00FD48E5"/>
    <w:rsid w:val="00FD6B6A"/>
    <w:rsid w:val="00FD75BC"/>
    <w:rsid w:val="00FE07D5"/>
    <w:rsid w:val="00FE3280"/>
    <w:rsid w:val="00FE67EC"/>
    <w:rsid w:val="00FE6936"/>
    <w:rsid w:val="00FE78E0"/>
    <w:rsid w:val="00FF1646"/>
    <w:rsid w:val="00FF2FE1"/>
    <w:rsid w:val="00FF4259"/>
    <w:rsid w:val="00FF75A0"/>
    <w:rsid w:val="0107644F"/>
    <w:rsid w:val="01417224"/>
    <w:rsid w:val="01874DC2"/>
    <w:rsid w:val="02D1213D"/>
    <w:rsid w:val="04A07D3B"/>
    <w:rsid w:val="04FA7767"/>
    <w:rsid w:val="06E01DA6"/>
    <w:rsid w:val="085F7074"/>
    <w:rsid w:val="086933B8"/>
    <w:rsid w:val="0A2F373E"/>
    <w:rsid w:val="0F606661"/>
    <w:rsid w:val="107C2624"/>
    <w:rsid w:val="10FC7723"/>
    <w:rsid w:val="17523E2A"/>
    <w:rsid w:val="18780063"/>
    <w:rsid w:val="1E0A57C7"/>
    <w:rsid w:val="20343091"/>
    <w:rsid w:val="22C33D79"/>
    <w:rsid w:val="23E32294"/>
    <w:rsid w:val="24E953EF"/>
    <w:rsid w:val="25010615"/>
    <w:rsid w:val="252D76BC"/>
    <w:rsid w:val="25314CAA"/>
    <w:rsid w:val="25A23AF9"/>
    <w:rsid w:val="26BC0EEF"/>
    <w:rsid w:val="2A6308D2"/>
    <w:rsid w:val="2EE06222"/>
    <w:rsid w:val="3063134C"/>
    <w:rsid w:val="31925762"/>
    <w:rsid w:val="337F0785"/>
    <w:rsid w:val="34E23EE5"/>
    <w:rsid w:val="364B193A"/>
    <w:rsid w:val="36DC242C"/>
    <w:rsid w:val="379E1FAA"/>
    <w:rsid w:val="3BE56939"/>
    <w:rsid w:val="3C0D250B"/>
    <w:rsid w:val="3CA0112D"/>
    <w:rsid w:val="3D681574"/>
    <w:rsid w:val="3F8233C2"/>
    <w:rsid w:val="41C57A86"/>
    <w:rsid w:val="441702E2"/>
    <w:rsid w:val="450D718A"/>
    <w:rsid w:val="46136FB5"/>
    <w:rsid w:val="47C0074D"/>
    <w:rsid w:val="488B4619"/>
    <w:rsid w:val="4B1C4827"/>
    <w:rsid w:val="4C5D6EA3"/>
    <w:rsid w:val="4D3C498A"/>
    <w:rsid w:val="4DB2449F"/>
    <w:rsid w:val="4FC87022"/>
    <w:rsid w:val="537F671D"/>
    <w:rsid w:val="558B0E87"/>
    <w:rsid w:val="56FABB6E"/>
    <w:rsid w:val="57895D27"/>
    <w:rsid w:val="582B3381"/>
    <w:rsid w:val="58801C8D"/>
    <w:rsid w:val="598764B6"/>
    <w:rsid w:val="5A4545DB"/>
    <w:rsid w:val="5A557D03"/>
    <w:rsid w:val="5ABB0E49"/>
    <w:rsid w:val="5C1F6649"/>
    <w:rsid w:val="5D261933"/>
    <w:rsid w:val="5FBC51D8"/>
    <w:rsid w:val="5FCF7185"/>
    <w:rsid w:val="60154B1D"/>
    <w:rsid w:val="64F31DAC"/>
    <w:rsid w:val="65DD02EC"/>
    <w:rsid w:val="66AA3B76"/>
    <w:rsid w:val="66BB7DE2"/>
    <w:rsid w:val="66C40E77"/>
    <w:rsid w:val="671C6FD7"/>
    <w:rsid w:val="683E1840"/>
    <w:rsid w:val="6A470D51"/>
    <w:rsid w:val="6B374BF3"/>
    <w:rsid w:val="6B817E4D"/>
    <w:rsid w:val="6BCF7448"/>
    <w:rsid w:val="6F1F353C"/>
    <w:rsid w:val="6F9322DE"/>
    <w:rsid w:val="704D4A2C"/>
    <w:rsid w:val="7973650A"/>
    <w:rsid w:val="79EE2BBD"/>
    <w:rsid w:val="7C935EE2"/>
    <w:rsid w:val="7E662394"/>
    <w:rsid w:val="7EE74024"/>
    <w:rsid w:val="DD7C4861"/>
    <w:rsid w:val="FDBEFAAA"/>
    <w:rsid w:val="FEFF674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105"/>
    <w:qFormat/>
    <w:uiPriority w:val="0"/>
    <w:pPr>
      <w:autoSpaceDE w:val="0"/>
      <w:autoSpaceDN w:val="0"/>
      <w:adjustRightInd w:val="0"/>
      <w:jc w:val="left"/>
      <w:outlineLvl w:val="0"/>
    </w:pPr>
    <w:rPr>
      <w:kern w:val="0"/>
      <w:sz w:val="20"/>
      <w:szCs w:val="20"/>
    </w:rPr>
  </w:style>
  <w:style w:type="paragraph" w:styleId="5">
    <w:name w:val="heading 2"/>
    <w:basedOn w:val="1"/>
    <w:next w:val="1"/>
    <w:link w:val="93"/>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6">
    <w:name w:val="heading 3"/>
    <w:basedOn w:val="1"/>
    <w:next w:val="1"/>
    <w:link w:val="61"/>
    <w:qFormat/>
    <w:uiPriority w:val="0"/>
    <w:pPr>
      <w:autoSpaceDE w:val="0"/>
      <w:autoSpaceDN w:val="0"/>
      <w:adjustRightInd w:val="0"/>
      <w:jc w:val="left"/>
      <w:outlineLvl w:val="2"/>
    </w:pPr>
    <w:rPr>
      <w:kern w:val="0"/>
      <w:sz w:val="20"/>
      <w:szCs w:val="20"/>
    </w:rPr>
  </w:style>
  <w:style w:type="paragraph" w:styleId="7">
    <w:name w:val="heading 4"/>
    <w:basedOn w:val="1"/>
    <w:next w:val="3"/>
    <w:link w:val="126"/>
    <w:qFormat/>
    <w:uiPriority w:val="0"/>
    <w:pPr>
      <w:keepNext/>
      <w:keepLines/>
      <w:adjustRightInd w:val="0"/>
      <w:spacing w:before="280" w:after="290" w:line="376" w:lineRule="atLeast"/>
      <w:outlineLvl w:val="3"/>
    </w:pPr>
    <w:rPr>
      <w:rFonts w:ascii="Arial" w:hAnsi="Arial" w:eastAsia="黑体"/>
      <w:b/>
      <w:kern w:val="0"/>
      <w:sz w:val="28"/>
      <w:szCs w:val="20"/>
    </w:rPr>
  </w:style>
  <w:style w:type="paragraph" w:styleId="8">
    <w:name w:val="heading 5"/>
    <w:basedOn w:val="1"/>
    <w:next w:val="1"/>
    <w:link w:val="111"/>
    <w:qFormat/>
    <w:uiPriority w:val="0"/>
    <w:pPr>
      <w:keepNext/>
      <w:keepLines/>
      <w:spacing w:before="280" w:after="290" w:line="372" w:lineRule="auto"/>
      <w:outlineLvl w:val="4"/>
    </w:pPr>
    <w:rPr>
      <w:kern w:val="0"/>
      <w:sz w:val="24"/>
      <w:szCs w:val="20"/>
    </w:rPr>
  </w:style>
  <w:style w:type="paragraph" w:styleId="9">
    <w:name w:val="heading 6"/>
    <w:basedOn w:val="1"/>
    <w:next w:val="1"/>
    <w:link w:val="123"/>
    <w:qFormat/>
    <w:uiPriority w:val="0"/>
    <w:pPr>
      <w:keepNext/>
      <w:keepLines/>
      <w:spacing w:before="240" w:after="64" w:line="317" w:lineRule="auto"/>
      <w:outlineLvl w:val="5"/>
    </w:pPr>
    <w:rPr>
      <w:rFonts w:ascii="Arial Black" w:hAnsi="Arial Black" w:eastAsia="黑体"/>
      <w:b/>
      <w:kern w:val="0"/>
      <w:sz w:val="24"/>
      <w:szCs w:val="20"/>
    </w:rPr>
  </w:style>
  <w:style w:type="paragraph" w:styleId="10">
    <w:name w:val="heading 7"/>
    <w:basedOn w:val="1"/>
    <w:next w:val="11"/>
    <w:link w:val="71"/>
    <w:qFormat/>
    <w:uiPriority w:val="0"/>
    <w:pPr>
      <w:keepNext/>
      <w:keepLines/>
      <w:spacing w:before="240" w:after="64" w:line="317" w:lineRule="auto"/>
      <w:outlineLvl w:val="6"/>
    </w:pPr>
    <w:rPr>
      <w:b/>
      <w:kern w:val="0"/>
      <w:sz w:val="24"/>
      <w:szCs w:val="20"/>
    </w:rPr>
  </w:style>
  <w:style w:type="paragraph" w:styleId="12">
    <w:name w:val="heading 8"/>
    <w:basedOn w:val="1"/>
    <w:next w:val="11"/>
    <w:link w:val="63"/>
    <w:qFormat/>
    <w:uiPriority w:val="0"/>
    <w:pPr>
      <w:keepNext/>
      <w:keepLines/>
      <w:spacing w:before="240" w:after="64" w:line="317" w:lineRule="auto"/>
      <w:outlineLvl w:val="7"/>
    </w:pPr>
    <w:rPr>
      <w:rFonts w:ascii="Arial Black" w:hAnsi="Arial Black" w:eastAsia="黑体"/>
      <w:kern w:val="0"/>
      <w:sz w:val="24"/>
      <w:szCs w:val="20"/>
    </w:rPr>
  </w:style>
  <w:style w:type="paragraph" w:styleId="13">
    <w:name w:val="heading 9"/>
    <w:basedOn w:val="1"/>
    <w:next w:val="11"/>
    <w:link w:val="104"/>
    <w:qFormat/>
    <w:uiPriority w:val="0"/>
    <w:pPr>
      <w:keepNext/>
      <w:keepLines/>
      <w:spacing w:before="240" w:after="64" w:line="317" w:lineRule="auto"/>
      <w:outlineLvl w:val="8"/>
    </w:pPr>
    <w:rPr>
      <w:rFonts w:ascii="Arial Black" w:hAnsi="Arial Black" w:eastAsia="黑体"/>
      <w:kern w:val="0"/>
      <w:szCs w:val="20"/>
    </w:rPr>
  </w:style>
  <w:style w:type="character" w:default="1" w:styleId="53">
    <w:name w:val="Default Paragraph Font"/>
    <w:uiPriority w:val="0"/>
  </w:style>
  <w:style w:type="table" w:default="1" w:styleId="51">
    <w:name w:val="Normal Table"/>
    <w:semiHidden/>
    <w:uiPriority w:val="0"/>
    <w:tblPr>
      <w:tblCellMar>
        <w:top w:w="0" w:type="dxa"/>
        <w:left w:w="108" w:type="dxa"/>
        <w:bottom w:w="0" w:type="dxa"/>
        <w:right w:w="108" w:type="dxa"/>
      </w:tblCellMar>
    </w:tblPr>
  </w:style>
  <w:style w:type="paragraph" w:styleId="3">
    <w:name w:val="Body Text First Indent"/>
    <w:basedOn w:val="4"/>
    <w:link w:val="108"/>
    <w:uiPriority w:val="0"/>
    <w:pPr>
      <w:ind w:firstLine="420" w:firstLineChars="100"/>
    </w:pPr>
    <w:rPr>
      <w:szCs w:val="20"/>
    </w:rPr>
  </w:style>
  <w:style w:type="paragraph" w:styleId="4">
    <w:name w:val="Body Text"/>
    <w:basedOn w:val="1"/>
    <w:link w:val="109"/>
    <w:uiPriority w:val="0"/>
    <w:pPr>
      <w:spacing w:after="120"/>
    </w:pPr>
  </w:style>
  <w:style w:type="paragraph" w:styleId="11">
    <w:name w:val="Normal Indent"/>
    <w:basedOn w:val="1"/>
    <w:link w:val="97"/>
    <w:uiPriority w:val="0"/>
    <w:pPr>
      <w:ind w:firstLine="420"/>
    </w:pPr>
    <w:rPr>
      <w:szCs w:val="20"/>
    </w:rPr>
  </w:style>
  <w:style w:type="paragraph" w:styleId="14">
    <w:name w:val="List 3"/>
    <w:basedOn w:val="1"/>
    <w:uiPriority w:val="0"/>
    <w:pPr>
      <w:ind w:left="100" w:leftChars="400" w:hanging="200" w:hangingChars="200"/>
    </w:pPr>
    <w:rPr>
      <w:szCs w:val="20"/>
    </w:rPr>
  </w:style>
  <w:style w:type="paragraph" w:styleId="15">
    <w:name w:val="toc 7"/>
    <w:basedOn w:val="1"/>
    <w:next w:val="1"/>
    <w:unhideWhenUsed/>
    <w:uiPriority w:val="39"/>
    <w:pPr>
      <w:ind w:left="2520" w:leftChars="1200"/>
    </w:pPr>
    <w:rPr>
      <w:rFonts w:ascii="等线" w:hAnsi="等线" w:eastAsia="等线" w:cs="Times New Roman"/>
      <w:szCs w:val="22"/>
    </w:rPr>
  </w:style>
  <w:style w:type="paragraph" w:styleId="16">
    <w:name w:val="Note Heading"/>
    <w:basedOn w:val="1"/>
    <w:next w:val="1"/>
    <w:link w:val="90"/>
    <w:uiPriority w:val="0"/>
    <w:pPr>
      <w:jc w:val="center"/>
    </w:pPr>
    <w:rPr>
      <w:rFonts w:ascii="DFKai-SB" w:hAnsi="DFKai-SB" w:eastAsia="DFKai-SB"/>
      <w:sz w:val="20"/>
      <w:szCs w:val="20"/>
    </w:rPr>
  </w:style>
  <w:style w:type="paragraph" w:styleId="17">
    <w:name w:val="caption"/>
    <w:basedOn w:val="1"/>
    <w:next w:val="1"/>
    <w:qFormat/>
    <w:uiPriority w:val="0"/>
    <w:pPr>
      <w:overflowPunct w:val="0"/>
      <w:adjustRightInd w:val="0"/>
      <w:snapToGrid w:val="0"/>
      <w:spacing w:after="100" w:afterAutospacing="1"/>
      <w:jc w:val="center"/>
      <w:textAlignment w:val="baseline"/>
    </w:pPr>
    <w:rPr>
      <w:rFonts w:ascii="Cambria" w:hAnsi="Cambria" w:eastAsia="黑体"/>
      <w:sz w:val="24"/>
    </w:rPr>
  </w:style>
  <w:style w:type="paragraph" w:styleId="18">
    <w:name w:val="Document Map"/>
    <w:basedOn w:val="1"/>
    <w:uiPriority w:val="0"/>
    <w:pPr>
      <w:shd w:val="clear" w:color="auto" w:fill="000080"/>
    </w:pPr>
  </w:style>
  <w:style w:type="paragraph" w:styleId="19">
    <w:name w:val="toa heading"/>
    <w:basedOn w:val="1"/>
    <w:next w:val="1"/>
    <w:uiPriority w:val="0"/>
    <w:pPr>
      <w:spacing w:before="120" w:line="360" w:lineRule="auto"/>
      <w:ind w:firstLine="200" w:firstLineChars="200"/>
    </w:pPr>
    <w:rPr>
      <w:rFonts w:ascii="Arial" w:hAnsi="Arial"/>
      <w:sz w:val="24"/>
      <w:szCs w:val="20"/>
    </w:rPr>
  </w:style>
  <w:style w:type="paragraph" w:styleId="20">
    <w:name w:val="annotation text"/>
    <w:basedOn w:val="1"/>
    <w:link w:val="95"/>
    <w:uiPriority w:val="0"/>
    <w:pPr>
      <w:jc w:val="left"/>
    </w:pPr>
  </w:style>
  <w:style w:type="paragraph" w:styleId="21">
    <w:name w:val="Body Text 3"/>
    <w:basedOn w:val="1"/>
    <w:link w:val="96"/>
    <w:uiPriority w:val="0"/>
    <w:pPr>
      <w:jc w:val="center"/>
    </w:pPr>
  </w:style>
  <w:style w:type="paragraph" w:styleId="22">
    <w:name w:val="Body Text Indent"/>
    <w:basedOn w:val="1"/>
    <w:link w:val="106"/>
    <w:uiPriority w:val="0"/>
    <w:pPr>
      <w:ind w:firstLine="630"/>
      <w:jc w:val="left"/>
    </w:pPr>
    <w:rPr>
      <w:rFonts w:ascii="宋体" w:hAnsi="宋体"/>
      <w:sz w:val="30"/>
    </w:rPr>
  </w:style>
  <w:style w:type="paragraph" w:styleId="23">
    <w:name w:val="List 2"/>
    <w:basedOn w:val="1"/>
    <w:uiPriority w:val="0"/>
    <w:pPr>
      <w:ind w:left="100" w:leftChars="200" w:hanging="200" w:hangingChars="200"/>
    </w:pPr>
    <w:rPr>
      <w:szCs w:val="20"/>
    </w:rPr>
  </w:style>
  <w:style w:type="paragraph" w:styleId="24">
    <w:name w:val="List Continue"/>
    <w:basedOn w:val="1"/>
    <w:uiPriority w:val="0"/>
    <w:pPr>
      <w:spacing w:after="120"/>
      <w:ind w:left="420" w:leftChars="200"/>
    </w:pPr>
    <w:rPr>
      <w:szCs w:val="20"/>
    </w:rPr>
  </w:style>
  <w:style w:type="paragraph" w:styleId="25">
    <w:name w:val="Block Text"/>
    <w:basedOn w:val="1"/>
    <w:uiPriority w:val="0"/>
    <w:pPr>
      <w:ind w:left="178" w:leftChars="85" w:right="357" w:rightChars="170" w:firstLine="560" w:firstLineChars="200"/>
    </w:pPr>
    <w:rPr>
      <w:rFonts w:ascii="楷体_GB2312" w:hAnsi="华文中宋" w:eastAsia="楷体_GB2312"/>
      <w:sz w:val="28"/>
      <w:szCs w:val="20"/>
    </w:rPr>
  </w:style>
  <w:style w:type="paragraph" w:styleId="26">
    <w:name w:val="toc 5"/>
    <w:basedOn w:val="1"/>
    <w:next w:val="1"/>
    <w:unhideWhenUsed/>
    <w:uiPriority w:val="39"/>
    <w:pPr>
      <w:ind w:left="1680" w:leftChars="800"/>
    </w:pPr>
    <w:rPr>
      <w:rFonts w:ascii="等线" w:hAnsi="等线" w:eastAsia="等线" w:cs="Times New Roman"/>
      <w:szCs w:val="22"/>
    </w:rPr>
  </w:style>
  <w:style w:type="paragraph" w:styleId="27">
    <w:name w:val="toc 3"/>
    <w:basedOn w:val="1"/>
    <w:next w:val="1"/>
    <w:uiPriority w:val="39"/>
    <w:pPr>
      <w:ind w:left="840" w:leftChars="400"/>
    </w:pPr>
    <w:rPr>
      <w:szCs w:val="20"/>
    </w:rPr>
  </w:style>
  <w:style w:type="paragraph" w:styleId="28">
    <w:name w:val="Plain Text"/>
    <w:basedOn w:val="1"/>
    <w:link w:val="124"/>
    <w:uiPriority w:val="0"/>
    <w:rPr>
      <w:rFonts w:ascii="宋体" w:hAnsi="Courier New"/>
      <w:szCs w:val="20"/>
    </w:rPr>
  </w:style>
  <w:style w:type="paragraph" w:styleId="29">
    <w:name w:val="toc 8"/>
    <w:basedOn w:val="1"/>
    <w:next w:val="1"/>
    <w:unhideWhenUsed/>
    <w:uiPriority w:val="39"/>
    <w:pPr>
      <w:ind w:left="2940" w:leftChars="1400"/>
    </w:pPr>
    <w:rPr>
      <w:rFonts w:ascii="等线" w:hAnsi="等线" w:eastAsia="等线" w:cs="Times New Roman"/>
      <w:szCs w:val="22"/>
    </w:rPr>
  </w:style>
  <w:style w:type="paragraph" w:styleId="30">
    <w:name w:val="Date"/>
    <w:basedOn w:val="1"/>
    <w:next w:val="1"/>
    <w:link w:val="84"/>
    <w:uiPriority w:val="0"/>
    <w:pPr>
      <w:ind w:left="100" w:leftChars="2500"/>
    </w:pPr>
    <w:rPr>
      <w:sz w:val="28"/>
    </w:rPr>
  </w:style>
  <w:style w:type="paragraph" w:styleId="31">
    <w:name w:val="Body Text Indent 2"/>
    <w:basedOn w:val="1"/>
    <w:link w:val="81"/>
    <w:uiPriority w:val="0"/>
    <w:pPr>
      <w:spacing w:line="600" w:lineRule="exact"/>
      <w:ind w:firstLine="526" w:firstLineChars="217"/>
    </w:pPr>
    <w:rPr>
      <w:rFonts w:ascii="宋体" w:hAnsi="宋体"/>
      <w:sz w:val="24"/>
    </w:rPr>
  </w:style>
  <w:style w:type="paragraph" w:styleId="32">
    <w:name w:val="Balloon Text"/>
    <w:basedOn w:val="1"/>
    <w:link w:val="107"/>
    <w:uiPriority w:val="0"/>
    <w:rPr>
      <w:sz w:val="18"/>
      <w:szCs w:val="18"/>
    </w:rPr>
  </w:style>
  <w:style w:type="paragraph" w:styleId="33">
    <w:name w:val="footer"/>
    <w:basedOn w:val="1"/>
    <w:link w:val="82"/>
    <w:uiPriority w:val="99"/>
    <w:pPr>
      <w:tabs>
        <w:tab w:val="center" w:pos="4153"/>
        <w:tab w:val="right" w:pos="8306"/>
      </w:tabs>
      <w:snapToGrid w:val="0"/>
      <w:jc w:val="left"/>
    </w:pPr>
    <w:rPr>
      <w:rFonts w:eastAsia="黑体"/>
      <w:kern w:val="0"/>
      <w:sz w:val="18"/>
      <w:szCs w:val="18"/>
    </w:rPr>
  </w:style>
  <w:style w:type="paragraph" w:styleId="34">
    <w:name w:val="header"/>
    <w:basedOn w:val="1"/>
    <w:link w:val="80"/>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uiPriority w:val="39"/>
    <w:rPr>
      <w:szCs w:val="20"/>
    </w:rPr>
  </w:style>
  <w:style w:type="paragraph" w:styleId="36">
    <w:name w:val="toc 4"/>
    <w:basedOn w:val="1"/>
    <w:next w:val="1"/>
    <w:autoRedefine/>
    <w:unhideWhenUsed/>
    <w:uiPriority w:val="39"/>
    <w:pPr>
      <w:ind w:left="1260" w:leftChars="600"/>
    </w:pPr>
    <w:rPr>
      <w:rFonts w:ascii="等线" w:hAnsi="等线" w:eastAsia="等线" w:cs="Times New Roman"/>
      <w:szCs w:val="22"/>
    </w:rPr>
  </w:style>
  <w:style w:type="paragraph" w:styleId="37">
    <w:name w:val="Subtitle"/>
    <w:basedOn w:val="1"/>
    <w:next w:val="1"/>
    <w:qFormat/>
    <w:uiPriority w:val="0"/>
    <w:pPr>
      <w:spacing w:before="240" w:beforeLines="0" w:after="60" w:afterLines="0" w:line="312" w:lineRule="auto"/>
      <w:jc w:val="left"/>
      <w:outlineLvl w:val="1"/>
    </w:pPr>
    <w:rPr>
      <w:rFonts w:ascii="Cambria" w:hAnsi="Cambria"/>
      <w:b/>
      <w:bCs/>
      <w:kern w:val="28"/>
      <w:sz w:val="32"/>
      <w:szCs w:val="32"/>
    </w:rPr>
  </w:style>
  <w:style w:type="paragraph" w:styleId="38">
    <w:name w:val="List"/>
    <w:basedOn w:val="1"/>
    <w:uiPriority w:val="0"/>
    <w:pPr>
      <w:ind w:left="200" w:hanging="200" w:hangingChars="200"/>
    </w:pPr>
    <w:rPr>
      <w:szCs w:val="20"/>
    </w:rPr>
  </w:style>
  <w:style w:type="paragraph" w:styleId="39">
    <w:name w:val="toc 6"/>
    <w:basedOn w:val="1"/>
    <w:next w:val="1"/>
    <w:unhideWhenUsed/>
    <w:uiPriority w:val="39"/>
    <w:pPr>
      <w:ind w:left="2100" w:leftChars="1000"/>
    </w:pPr>
    <w:rPr>
      <w:rFonts w:ascii="等线" w:hAnsi="等线" w:eastAsia="等线" w:cs="Times New Roman"/>
      <w:szCs w:val="22"/>
    </w:rPr>
  </w:style>
  <w:style w:type="paragraph" w:styleId="40">
    <w:name w:val="List 5"/>
    <w:basedOn w:val="1"/>
    <w:uiPriority w:val="0"/>
    <w:pPr>
      <w:ind w:left="100" w:leftChars="800" w:hanging="200" w:hangingChars="200"/>
    </w:pPr>
    <w:rPr>
      <w:szCs w:val="20"/>
    </w:rPr>
  </w:style>
  <w:style w:type="paragraph" w:styleId="41">
    <w:name w:val="Body Text Indent 3"/>
    <w:basedOn w:val="1"/>
    <w:link w:val="92"/>
    <w:uiPriority w:val="0"/>
    <w:pPr>
      <w:spacing w:line="360" w:lineRule="auto"/>
      <w:ind w:firstLine="538" w:firstLineChars="192"/>
    </w:pPr>
    <w:rPr>
      <w:rFonts w:ascii="宋体" w:hAnsi="宋体"/>
      <w:sz w:val="28"/>
    </w:rPr>
  </w:style>
  <w:style w:type="paragraph" w:styleId="42">
    <w:name w:val="toc 2"/>
    <w:basedOn w:val="1"/>
    <w:next w:val="1"/>
    <w:uiPriority w:val="39"/>
    <w:pPr>
      <w:ind w:left="420" w:leftChars="200"/>
    </w:pPr>
  </w:style>
  <w:style w:type="paragraph" w:styleId="43">
    <w:name w:val="toc 9"/>
    <w:basedOn w:val="1"/>
    <w:next w:val="1"/>
    <w:unhideWhenUsed/>
    <w:uiPriority w:val="39"/>
    <w:pPr>
      <w:ind w:left="3360" w:leftChars="1600"/>
    </w:pPr>
    <w:rPr>
      <w:rFonts w:ascii="等线" w:hAnsi="等线" w:eastAsia="等线" w:cs="Times New Roman"/>
      <w:szCs w:val="22"/>
    </w:rPr>
  </w:style>
  <w:style w:type="paragraph" w:styleId="44">
    <w:name w:val="Body Text 2"/>
    <w:basedOn w:val="1"/>
    <w:link w:val="116"/>
    <w:uiPriority w:val="0"/>
    <w:pPr>
      <w:widowControl/>
      <w:spacing w:line="360" w:lineRule="auto"/>
      <w:jc w:val="left"/>
    </w:pPr>
    <w:rPr>
      <w:rFonts w:ascii="楷体" w:eastAsia="楷体"/>
      <w:b/>
      <w:sz w:val="24"/>
    </w:rPr>
  </w:style>
  <w:style w:type="paragraph" w:styleId="45">
    <w:name w:val="List 4"/>
    <w:basedOn w:val="1"/>
    <w:uiPriority w:val="0"/>
    <w:pPr>
      <w:ind w:left="100" w:leftChars="600" w:hanging="200" w:hangingChars="200"/>
    </w:pPr>
    <w:rPr>
      <w:szCs w:val="20"/>
    </w:rPr>
  </w:style>
  <w:style w:type="paragraph" w:styleId="46">
    <w:name w:val="Normal (Web)"/>
    <w:basedOn w:val="1"/>
    <w:uiPriority w:val="99"/>
    <w:rPr>
      <w:rFonts w:ascii="宋体" w:hAnsi="宋体"/>
      <w:sz w:val="18"/>
      <w:szCs w:val="18"/>
    </w:rPr>
  </w:style>
  <w:style w:type="paragraph" w:styleId="47">
    <w:name w:val="index 1"/>
    <w:basedOn w:val="1"/>
    <w:next w:val="1"/>
    <w:uiPriority w:val="0"/>
    <w:rPr>
      <w:szCs w:val="20"/>
    </w:rPr>
  </w:style>
  <w:style w:type="paragraph" w:styleId="48">
    <w:name w:val="Title"/>
    <w:basedOn w:val="1"/>
    <w:next w:val="1"/>
    <w:link w:val="60"/>
    <w:qFormat/>
    <w:uiPriority w:val="0"/>
    <w:pPr>
      <w:spacing w:before="240" w:after="60"/>
      <w:jc w:val="center"/>
      <w:outlineLvl w:val="0"/>
    </w:pPr>
    <w:rPr>
      <w:rFonts w:ascii="Cambria" w:hAnsi="Cambria"/>
      <w:b/>
      <w:bCs/>
      <w:sz w:val="32"/>
      <w:szCs w:val="32"/>
    </w:rPr>
  </w:style>
  <w:style w:type="paragraph" w:styleId="49">
    <w:name w:val="annotation subject"/>
    <w:basedOn w:val="20"/>
    <w:next w:val="20"/>
    <w:link w:val="77"/>
    <w:uiPriority w:val="0"/>
    <w:rPr>
      <w:b/>
      <w:bCs/>
    </w:rPr>
  </w:style>
  <w:style w:type="paragraph" w:styleId="50">
    <w:name w:val="Body Text First Indent 2"/>
    <w:basedOn w:val="22"/>
    <w:link w:val="117"/>
    <w:uiPriority w:val="0"/>
    <w:pPr>
      <w:spacing w:after="120"/>
      <w:ind w:left="420" w:leftChars="200" w:firstLine="420" w:firstLineChars="200"/>
      <w:jc w:val="both"/>
    </w:pPr>
    <w:rPr>
      <w:sz w:val="21"/>
    </w:rPr>
  </w:style>
  <w:style w:type="table" w:styleId="52">
    <w:name w:val="Table Grid"/>
    <w:basedOn w:val="5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basedOn w:val="53"/>
    <w:uiPriority w:val="0"/>
  </w:style>
  <w:style w:type="character" w:styleId="56">
    <w:name w:val="FollowedHyperlink"/>
    <w:autoRedefine/>
    <w:qFormat/>
    <w:uiPriority w:val="0"/>
    <w:rPr>
      <w:color w:val="000080"/>
      <w:u w:val="single"/>
    </w:rPr>
  </w:style>
  <w:style w:type="character" w:styleId="57">
    <w:name w:val="Emphasis"/>
    <w:autoRedefine/>
    <w:qFormat/>
    <w:uiPriority w:val="0"/>
    <w:rPr>
      <w:color w:val="CC0000"/>
    </w:rPr>
  </w:style>
  <w:style w:type="character" w:styleId="58">
    <w:name w:val="Hyperlink"/>
    <w:unhideWhenUsed/>
    <w:qFormat/>
    <w:uiPriority w:val="99"/>
    <w:rPr>
      <w:color w:val="0563C1"/>
      <w:u w:val="single"/>
    </w:rPr>
  </w:style>
  <w:style w:type="character" w:styleId="59">
    <w:name w:val="annotation reference"/>
    <w:autoRedefine/>
    <w:qFormat/>
    <w:uiPriority w:val="0"/>
    <w:rPr>
      <w:sz w:val="21"/>
      <w:szCs w:val="21"/>
    </w:rPr>
  </w:style>
  <w:style w:type="character" w:customStyle="1" w:styleId="60">
    <w:name w:val="标题 Char"/>
    <w:link w:val="48"/>
    <w:autoRedefine/>
    <w:qFormat/>
    <w:uiPriority w:val="0"/>
    <w:rPr>
      <w:rFonts w:ascii="Cambria" w:hAnsi="Cambria"/>
      <w:b/>
      <w:bCs/>
      <w:kern w:val="2"/>
      <w:sz w:val="32"/>
      <w:szCs w:val="32"/>
    </w:rPr>
  </w:style>
  <w:style w:type="character" w:customStyle="1" w:styleId="61">
    <w:name w:val="标题 3 Char"/>
    <w:link w:val="6"/>
    <w:autoRedefine/>
    <w:qFormat/>
    <w:uiPriority w:val="0"/>
  </w:style>
  <w:style w:type="character" w:customStyle="1" w:styleId="62">
    <w:name w:val="small181"/>
    <w:autoRedefine/>
    <w:qFormat/>
    <w:uiPriority w:val="0"/>
    <w:rPr>
      <w:rFonts w:hint="default"/>
      <w:sz w:val="18"/>
      <w:szCs w:val="18"/>
    </w:rPr>
  </w:style>
  <w:style w:type="character" w:customStyle="1" w:styleId="63">
    <w:name w:val="标题 8 Char"/>
    <w:link w:val="12"/>
    <w:qFormat/>
    <w:uiPriority w:val="0"/>
    <w:rPr>
      <w:rFonts w:ascii="Arial Black" w:hAnsi="Arial Black" w:eastAsia="黑体"/>
      <w:sz w:val="24"/>
    </w:rPr>
  </w:style>
  <w:style w:type="character" w:customStyle="1" w:styleId="64">
    <w:name w:val="t9h1"/>
    <w:autoRedefine/>
    <w:qFormat/>
    <w:uiPriority w:val="0"/>
    <w:rPr>
      <w:rFonts w:ascii="黑体" w:eastAsia="黑体"/>
      <w:b/>
      <w:bCs/>
      <w:sz w:val="30"/>
    </w:rPr>
  </w:style>
  <w:style w:type="character" w:customStyle="1" w:styleId="65">
    <w:name w:val="未处理的提及"/>
    <w:autoRedefine/>
    <w:unhideWhenUsed/>
    <w:qFormat/>
    <w:uiPriority w:val="99"/>
    <w:rPr>
      <w:color w:val="605E5C"/>
      <w:shd w:val="clear" w:color="auto" w:fill="E1DFDD"/>
    </w:rPr>
  </w:style>
  <w:style w:type="character" w:customStyle="1" w:styleId="66">
    <w:name w:val="样式1 Char"/>
    <w:link w:val="67"/>
    <w:autoRedefine/>
    <w:qFormat/>
    <w:locked/>
    <w:uiPriority w:val="99"/>
    <w:rPr>
      <w:rFonts w:ascii="Cambria" w:hAnsi="Cambria"/>
      <w:b/>
      <w:bCs/>
      <w:kern w:val="2"/>
      <w:sz w:val="32"/>
      <w:szCs w:val="32"/>
    </w:rPr>
  </w:style>
  <w:style w:type="paragraph" w:customStyle="1" w:styleId="67">
    <w:name w:val="样式1"/>
    <w:basedOn w:val="5"/>
    <w:link w:val="66"/>
    <w:autoRedefine/>
    <w:qFormat/>
    <w:uiPriority w:val="99"/>
    <w:pPr>
      <w:spacing w:line="413" w:lineRule="auto"/>
    </w:pPr>
    <w:rPr>
      <w:rFonts w:ascii="Cambria" w:hAnsi="Cambria" w:eastAsia="宋体"/>
    </w:rPr>
  </w:style>
  <w:style w:type="character" w:customStyle="1" w:styleId="68">
    <w:name w:val="正文（缩进） Char"/>
    <w:link w:val="69"/>
    <w:autoRedefine/>
    <w:qFormat/>
    <w:uiPriority w:val="0"/>
    <w:rPr>
      <w:rFonts w:ascii="宋体" w:hAnsi="宋体"/>
      <w:sz w:val="24"/>
      <w:szCs w:val="21"/>
    </w:rPr>
  </w:style>
  <w:style w:type="paragraph" w:customStyle="1" w:styleId="69">
    <w:name w:val="正文（缩进）"/>
    <w:basedOn w:val="4"/>
    <w:link w:val="68"/>
    <w:autoRedefine/>
    <w:qFormat/>
    <w:uiPriority w:val="0"/>
    <w:pPr>
      <w:widowControl/>
      <w:overflowPunct w:val="0"/>
      <w:autoSpaceDE w:val="0"/>
      <w:autoSpaceDN w:val="0"/>
      <w:adjustRightInd w:val="0"/>
      <w:snapToGrid w:val="0"/>
      <w:spacing w:before="60" w:after="60" w:line="360" w:lineRule="auto"/>
      <w:ind w:firstLine="400" w:firstLineChars="200"/>
      <w:jc w:val="left"/>
      <w:textAlignment w:val="baseline"/>
    </w:pPr>
    <w:rPr>
      <w:rFonts w:ascii="宋体" w:hAnsi="宋体"/>
      <w:kern w:val="0"/>
      <w:sz w:val="24"/>
      <w:szCs w:val="21"/>
    </w:rPr>
  </w:style>
  <w:style w:type="character" w:customStyle="1" w:styleId="70">
    <w:name w:val="font31"/>
    <w:basedOn w:val="53"/>
    <w:autoRedefine/>
    <w:qFormat/>
    <w:uiPriority w:val="0"/>
    <w:rPr>
      <w:rFonts w:hint="eastAsia" w:ascii="宋体" w:hAnsi="宋体" w:eastAsia="宋体" w:cs="宋体"/>
      <w:color w:val="000000"/>
      <w:sz w:val="18"/>
      <w:szCs w:val="18"/>
      <w:u w:val="none"/>
    </w:rPr>
  </w:style>
  <w:style w:type="character" w:customStyle="1" w:styleId="71">
    <w:name w:val="标题 7 Char"/>
    <w:link w:val="10"/>
    <w:autoRedefine/>
    <w:qFormat/>
    <w:uiPriority w:val="0"/>
    <w:rPr>
      <w:b/>
      <w:sz w:val="24"/>
    </w:rPr>
  </w:style>
  <w:style w:type="character" w:customStyle="1" w:styleId="72">
    <w:name w:val="章 Char Char1"/>
    <w:qFormat/>
    <w:uiPriority w:val="0"/>
    <w:rPr>
      <w:rFonts w:eastAsia="宋体"/>
      <w:b/>
      <w:kern w:val="44"/>
      <w:sz w:val="32"/>
      <w:szCs w:val="24"/>
      <w:lang w:val="en-US" w:eastAsia="zh-CN" w:bidi="ar-SA"/>
    </w:rPr>
  </w:style>
  <w:style w:type="character" w:customStyle="1" w:styleId="73">
    <w:name w:val="Table Text Char1"/>
    <w:link w:val="74"/>
    <w:qFormat/>
    <w:uiPriority w:val="0"/>
    <w:rPr>
      <w:rFonts w:ascii="Arial" w:hAnsi="Arial"/>
      <w:sz w:val="18"/>
      <w:lang w:val="en-US" w:eastAsia="zh-CN" w:bidi="ar-SA"/>
    </w:rPr>
  </w:style>
  <w:style w:type="paragraph" w:customStyle="1" w:styleId="74">
    <w:name w:val="Table Text"/>
    <w:link w:val="73"/>
    <w:autoRedefine/>
    <w:qFormat/>
    <w:uiPriority w:val="0"/>
    <w:pPr>
      <w:snapToGrid w:val="0"/>
      <w:spacing w:before="80" w:after="80"/>
    </w:pPr>
    <w:rPr>
      <w:rFonts w:ascii="Arial" w:hAnsi="Arial" w:eastAsia="宋体" w:cs="Times New Roman"/>
      <w:sz w:val="18"/>
      <w:lang w:val="en-US" w:eastAsia="zh-CN" w:bidi="ar-SA"/>
    </w:rPr>
  </w:style>
  <w:style w:type="character" w:customStyle="1" w:styleId="75">
    <w:name w:val="正文首行缩进 Char1"/>
    <w:qFormat/>
    <w:uiPriority w:val="0"/>
    <w:rPr>
      <w:rFonts w:eastAsia="仿宋_GB2312"/>
      <w:kern w:val="2"/>
      <w:sz w:val="28"/>
      <w:szCs w:val="24"/>
    </w:rPr>
  </w:style>
  <w:style w:type="character" w:customStyle="1" w:styleId="76">
    <w:name w:val="正文文本 Char"/>
    <w:autoRedefine/>
    <w:qFormat/>
    <w:uiPriority w:val="0"/>
    <w:rPr>
      <w:rFonts w:eastAsia="宋体"/>
      <w:kern w:val="2"/>
      <w:sz w:val="21"/>
      <w:szCs w:val="24"/>
      <w:lang w:val="en-US" w:eastAsia="zh-CN" w:bidi="ar-SA"/>
    </w:rPr>
  </w:style>
  <w:style w:type="character" w:customStyle="1" w:styleId="77">
    <w:name w:val="批注主题 Char"/>
    <w:link w:val="49"/>
    <w:qFormat/>
    <w:uiPriority w:val="0"/>
    <w:rPr>
      <w:rFonts w:eastAsia="宋体"/>
      <w:b/>
      <w:bCs/>
      <w:kern w:val="2"/>
      <w:sz w:val="21"/>
      <w:szCs w:val="24"/>
      <w:lang w:val="en-US" w:eastAsia="zh-CN" w:bidi="ar-SA"/>
    </w:rPr>
  </w:style>
  <w:style w:type="character" w:customStyle="1" w:styleId="78">
    <w:name w:val="二级正标题 Char"/>
    <w:link w:val="79"/>
    <w:qFormat/>
    <w:uiPriority w:val="0"/>
    <w:rPr>
      <w:rFonts w:ascii="宋体"/>
      <w:b/>
      <w:spacing w:val="10"/>
      <w:sz w:val="24"/>
      <w:szCs w:val="22"/>
      <w:lang w:val="en-US" w:eastAsia="zh-CN" w:bidi="ar-SA"/>
    </w:rPr>
  </w:style>
  <w:style w:type="paragraph" w:customStyle="1" w:styleId="79">
    <w:name w:val="二级正标题"/>
    <w:next w:val="69"/>
    <w:link w:val="78"/>
    <w:autoRedefine/>
    <w:qFormat/>
    <w:uiPriority w:val="0"/>
    <w:pPr>
      <w:spacing w:beforeLines="50" w:afterLines="50"/>
      <w:outlineLvl w:val="1"/>
    </w:pPr>
    <w:rPr>
      <w:rFonts w:ascii="宋体" w:hAnsi="Times New Roman" w:eastAsia="宋体" w:cs="Times New Roman"/>
      <w:b/>
      <w:spacing w:val="10"/>
      <w:sz w:val="24"/>
      <w:szCs w:val="22"/>
      <w:lang w:val="en-US" w:eastAsia="zh-CN" w:bidi="ar-SA"/>
    </w:rPr>
  </w:style>
  <w:style w:type="character" w:customStyle="1" w:styleId="80">
    <w:name w:val="页眉 Char"/>
    <w:link w:val="34"/>
    <w:autoRedefine/>
    <w:qFormat/>
    <w:uiPriority w:val="99"/>
    <w:rPr>
      <w:kern w:val="2"/>
      <w:sz w:val="18"/>
      <w:szCs w:val="18"/>
    </w:rPr>
  </w:style>
  <w:style w:type="character" w:customStyle="1" w:styleId="81">
    <w:name w:val="正文文本缩进 2 Char"/>
    <w:link w:val="31"/>
    <w:autoRedefine/>
    <w:semiHidden/>
    <w:qFormat/>
    <w:locked/>
    <w:uiPriority w:val="0"/>
    <w:rPr>
      <w:rFonts w:ascii="宋体" w:hAnsi="宋体" w:eastAsia="宋体"/>
      <w:kern w:val="2"/>
      <w:sz w:val="24"/>
      <w:szCs w:val="24"/>
      <w:lang w:val="en-US" w:eastAsia="zh-CN" w:bidi="ar-SA"/>
    </w:rPr>
  </w:style>
  <w:style w:type="character" w:customStyle="1" w:styleId="82">
    <w:name w:val="页脚 Char"/>
    <w:link w:val="33"/>
    <w:autoRedefine/>
    <w:qFormat/>
    <w:uiPriority w:val="99"/>
    <w:rPr>
      <w:rFonts w:eastAsia="黑体"/>
      <w:sz w:val="18"/>
      <w:szCs w:val="18"/>
    </w:rPr>
  </w:style>
  <w:style w:type="character" w:customStyle="1" w:styleId="83">
    <w:name w:val="font11"/>
    <w:basedOn w:val="53"/>
    <w:qFormat/>
    <w:uiPriority w:val="0"/>
    <w:rPr>
      <w:rFonts w:hint="eastAsia" w:ascii="宋体" w:hAnsi="宋体" w:eastAsia="宋体" w:cs="宋体"/>
      <w:color w:val="000000"/>
      <w:sz w:val="18"/>
      <w:szCs w:val="18"/>
      <w:u w:val="none"/>
    </w:rPr>
  </w:style>
  <w:style w:type="character" w:customStyle="1" w:styleId="84">
    <w:name w:val="日期 Char"/>
    <w:link w:val="30"/>
    <w:semiHidden/>
    <w:qFormat/>
    <w:locked/>
    <w:uiPriority w:val="0"/>
    <w:rPr>
      <w:rFonts w:eastAsia="宋体"/>
      <w:kern w:val="2"/>
      <w:sz w:val="28"/>
      <w:szCs w:val="24"/>
      <w:lang w:val="en-US" w:eastAsia="zh-CN" w:bidi="ar-SA"/>
    </w:rPr>
  </w:style>
  <w:style w:type="character" w:customStyle="1" w:styleId="85">
    <w:name w:val="四级正标题 Char"/>
    <w:link w:val="86"/>
    <w:autoRedefine/>
    <w:qFormat/>
    <w:uiPriority w:val="0"/>
    <w:rPr>
      <w:rFonts w:ascii="宋体"/>
      <w:b/>
      <w:spacing w:val="10"/>
      <w:sz w:val="24"/>
      <w:szCs w:val="22"/>
      <w:lang w:val="en-US" w:eastAsia="zh-CN" w:bidi="ar-SA"/>
    </w:rPr>
  </w:style>
  <w:style w:type="paragraph" w:customStyle="1" w:styleId="86">
    <w:name w:val="四级正标题"/>
    <w:next w:val="69"/>
    <w:link w:val="85"/>
    <w:qFormat/>
    <w:uiPriority w:val="0"/>
    <w:pPr>
      <w:spacing w:beforeLines="50" w:afterLines="50"/>
      <w:outlineLvl w:val="3"/>
    </w:pPr>
    <w:rPr>
      <w:rFonts w:ascii="宋体" w:hAnsi="Times New Roman" w:eastAsia="宋体" w:cs="Times New Roman"/>
      <w:b/>
      <w:spacing w:val="10"/>
      <w:sz w:val="24"/>
      <w:szCs w:val="22"/>
      <w:lang w:val="en-US" w:eastAsia="zh-CN" w:bidi="ar-SA"/>
    </w:rPr>
  </w:style>
  <w:style w:type="character" w:customStyle="1" w:styleId="87">
    <w:name w:val="注释标题 Char1"/>
    <w:autoRedefine/>
    <w:qFormat/>
    <w:uiPriority w:val="0"/>
    <w:rPr>
      <w:kern w:val="2"/>
      <w:sz w:val="21"/>
      <w:szCs w:val="24"/>
    </w:rPr>
  </w:style>
  <w:style w:type="character" w:customStyle="1" w:styleId="88">
    <w:name w:val="title"/>
    <w:basedOn w:val="53"/>
    <w:autoRedefine/>
    <w:qFormat/>
    <w:uiPriority w:val="0"/>
  </w:style>
  <w:style w:type="character" w:customStyle="1" w:styleId="89">
    <w:name w:val="layui-laypage-curr"/>
    <w:basedOn w:val="53"/>
    <w:autoRedefine/>
    <w:qFormat/>
    <w:uiPriority w:val="0"/>
  </w:style>
  <w:style w:type="character" w:customStyle="1" w:styleId="90">
    <w:name w:val="注释标题 Char"/>
    <w:link w:val="16"/>
    <w:qFormat/>
    <w:uiPriority w:val="0"/>
    <w:rPr>
      <w:rFonts w:ascii="DFKai-SB" w:hAnsi="DFKai-SB" w:eastAsia="DFKai-SB"/>
      <w:kern w:val="2"/>
    </w:rPr>
  </w:style>
  <w:style w:type="character" w:customStyle="1" w:styleId="91">
    <w:name w:val="节 Char Char"/>
    <w:qFormat/>
    <w:uiPriority w:val="0"/>
    <w:rPr>
      <w:rFonts w:ascii="Arial" w:hAnsi="Arial" w:eastAsia="黑体"/>
      <w:b/>
      <w:spacing w:val="10"/>
      <w:kern w:val="2"/>
      <w:sz w:val="30"/>
      <w:szCs w:val="24"/>
    </w:rPr>
  </w:style>
  <w:style w:type="character" w:customStyle="1" w:styleId="92">
    <w:name w:val="正文文本缩进 3 Char"/>
    <w:link w:val="41"/>
    <w:autoRedefine/>
    <w:semiHidden/>
    <w:qFormat/>
    <w:locked/>
    <w:uiPriority w:val="0"/>
    <w:rPr>
      <w:rFonts w:ascii="宋体" w:hAnsi="宋体" w:eastAsia="宋体"/>
      <w:kern w:val="2"/>
      <w:sz w:val="28"/>
      <w:szCs w:val="24"/>
      <w:lang w:val="en-US" w:eastAsia="zh-CN" w:bidi="ar-SA"/>
    </w:rPr>
  </w:style>
  <w:style w:type="character" w:customStyle="1" w:styleId="93">
    <w:name w:val="标题 2 Char"/>
    <w:link w:val="5"/>
    <w:autoRedefine/>
    <w:qFormat/>
    <w:uiPriority w:val="0"/>
    <w:rPr>
      <w:rFonts w:ascii="Arial" w:hAnsi="Arial" w:eastAsia="黑体"/>
      <w:b/>
      <w:bCs/>
      <w:kern w:val="2"/>
      <w:sz w:val="32"/>
      <w:szCs w:val="32"/>
      <w:lang w:val="en-US" w:eastAsia="zh-CN" w:bidi="ar-SA"/>
    </w:rPr>
  </w:style>
  <w:style w:type="character" w:customStyle="1" w:styleId="94">
    <w:name w:val="H1 Char"/>
    <w:qFormat/>
    <w:uiPriority w:val="0"/>
    <w:rPr>
      <w:rFonts w:eastAsia="宋体"/>
      <w:b/>
      <w:bCs/>
      <w:kern w:val="44"/>
      <w:sz w:val="44"/>
      <w:szCs w:val="44"/>
      <w:lang w:val="en-US" w:eastAsia="zh-CN" w:bidi="ar-SA"/>
    </w:rPr>
  </w:style>
  <w:style w:type="character" w:customStyle="1" w:styleId="95">
    <w:name w:val="批注文字 Char"/>
    <w:link w:val="20"/>
    <w:qFormat/>
    <w:locked/>
    <w:uiPriority w:val="0"/>
    <w:rPr>
      <w:rFonts w:eastAsia="宋体"/>
      <w:kern w:val="2"/>
      <w:sz w:val="21"/>
      <w:szCs w:val="24"/>
      <w:lang w:val="en-US" w:eastAsia="zh-CN" w:bidi="ar-SA"/>
    </w:rPr>
  </w:style>
  <w:style w:type="character" w:customStyle="1" w:styleId="96">
    <w:name w:val="正文文本 3 Char"/>
    <w:link w:val="21"/>
    <w:autoRedefine/>
    <w:qFormat/>
    <w:uiPriority w:val="0"/>
    <w:rPr>
      <w:kern w:val="2"/>
      <w:sz w:val="21"/>
      <w:szCs w:val="24"/>
    </w:rPr>
  </w:style>
  <w:style w:type="character" w:customStyle="1" w:styleId="97">
    <w:name w:val="正文缩进 Char"/>
    <w:link w:val="11"/>
    <w:qFormat/>
    <w:uiPriority w:val="0"/>
    <w:rPr>
      <w:kern w:val="2"/>
      <w:sz w:val="21"/>
    </w:rPr>
  </w:style>
  <w:style w:type="character" w:customStyle="1" w:styleId="98">
    <w:name w:val="标准正文格式 Char Char"/>
    <w:link w:val="99"/>
    <w:autoRedefine/>
    <w:qFormat/>
    <w:uiPriority w:val="0"/>
    <w:rPr>
      <w:rFonts w:ascii="宋体" w:eastAsia="仿宋_GB2312" w:cs="宋体"/>
      <w:color w:val="000000"/>
      <w:sz w:val="24"/>
    </w:rPr>
  </w:style>
  <w:style w:type="paragraph" w:customStyle="1" w:styleId="99">
    <w:name w:val="标准正文格式"/>
    <w:basedOn w:val="1"/>
    <w:link w:val="98"/>
    <w:autoRedefine/>
    <w:qFormat/>
    <w:uiPriority w:val="0"/>
    <w:pPr>
      <w:widowControl/>
      <w:adjustRightInd w:val="0"/>
      <w:spacing w:before="60" w:after="120" w:line="360" w:lineRule="auto"/>
      <w:ind w:firstLine="200" w:firstLineChars="200"/>
      <w:textAlignment w:val="baseline"/>
    </w:pPr>
    <w:rPr>
      <w:rFonts w:ascii="宋体" w:eastAsia="仿宋_GB2312"/>
      <w:color w:val="000000"/>
      <w:kern w:val="0"/>
      <w:sz w:val="24"/>
      <w:szCs w:val="20"/>
    </w:rPr>
  </w:style>
  <w:style w:type="character" w:customStyle="1" w:styleId="100">
    <w:name w:val="javascript1"/>
    <w:autoRedefine/>
    <w:qFormat/>
    <w:uiPriority w:val="0"/>
    <w:rPr>
      <w:sz w:val="18"/>
      <w:szCs w:val="18"/>
    </w:rPr>
  </w:style>
  <w:style w:type="character" w:customStyle="1" w:styleId="101">
    <w:name w:val="zn1"/>
    <w:autoRedefine/>
    <w:qFormat/>
    <w:uiPriority w:val="0"/>
    <w:rPr>
      <w:sz w:val="21"/>
      <w:szCs w:val="21"/>
    </w:rPr>
  </w:style>
  <w:style w:type="character" w:customStyle="1" w:styleId="102">
    <w:name w:val="项目符号1 Char"/>
    <w:link w:val="103"/>
    <w:autoRedefine/>
    <w:qFormat/>
    <w:uiPriority w:val="0"/>
    <w:rPr>
      <w:rFonts w:ascii="宋体" w:hAnsi="宋体"/>
      <w:szCs w:val="21"/>
      <w:lang w:val="en-GB"/>
    </w:rPr>
  </w:style>
  <w:style w:type="paragraph" w:customStyle="1" w:styleId="103">
    <w:name w:val="项目符号1"/>
    <w:basedOn w:val="4"/>
    <w:link w:val="102"/>
    <w:autoRedefine/>
    <w:qFormat/>
    <w:uiPriority w:val="0"/>
    <w:pPr>
      <w:widowControl/>
      <w:tabs>
        <w:tab w:val="left" w:pos="420"/>
      </w:tabs>
      <w:overflowPunct w:val="0"/>
      <w:autoSpaceDE w:val="0"/>
      <w:autoSpaceDN w:val="0"/>
      <w:adjustRightInd w:val="0"/>
      <w:spacing w:before="120"/>
      <w:ind w:firstLine="400"/>
      <w:textAlignment w:val="baseline"/>
    </w:pPr>
    <w:rPr>
      <w:rFonts w:ascii="宋体" w:hAnsi="宋体"/>
      <w:kern w:val="0"/>
      <w:sz w:val="20"/>
      <w:szCs w:val="21"/>
      <w:lang w:val="en-GB"/>
    </w:rPr>
  </w:style>
  <w:style w:type="character" w:customStyle="1" w:styleId="104">
    <w:name w:val="标题 9 Char"/>
    <w:link w:val="13"/>
    <w:qFormat/>
    <w:uiPriority w:val="0"/>
    <w:rPr>
      <w:rFonts w:ascii="Arial Black" w:hAnsi="Arial Black" w:eastAsia="黑体"/>
      <w:sz w:val="21"/>
    </w:rPr>
  </w:style>
  <w:style w:type="character" w:customStyle="1" w:styleId="105">
    <w:name w:val="标题 1 Char"/>
    <w:link w:val="2"/>
    <w:autoRedefine/>
    <w:qFormat/>
    <w:uiPriority w:val="0"/>
  </w:style>
  <w:style w:type="character" w:customStyle="1" w:styleId="106">
    <w:name w:val="正文文本缩进 Char"/>
    <w:link w:val="22"/>
    <w:autoRedefine/>
    <w:qFormat/>
    <w:uiPriority w:val="0"/>
    <w:rPr>
      <w:rFonts w:ascii="宋体" w:hAnsi="宋体" w:eastAsia="宋体"/>
      <w:kern w:val="2"/>
      <w:sz w:val="30"/>
      <w:szCs w:val="24"/>
      <w:lang w:val="en-US" w:eastAsia="zh-CN" w:bidi="ar-SA"/>
    </w:rPr>
  </w:style>
  <w:style w:type="character" w:customStyle="1" w:styleId="107">
    <w:name w:val="批注框文本 Char"/>
    <w:link w:val="32"/>
    <w:autoRedefine/>
    <w:qFormat/>
    <w:uiPriority w:val="0"/>
    <w:rPr>
      <w:kern w:val="2"/>
      <w:sz w:val="18"/>
      <w:szCs w:val="18"/>
    </w:rPr>
  </w:style>
  <w:style w:type="character" w:customStyle="1" w:styleId="108">
    <w:name w:val="正文首行缩进 Char"/>
    <w:basedOn w:val="109"/>
    <w:link w:val="3"/>
    <w:autoRedefine/>
    <w:qFormat/>
    <w:uiPriority w:val="0"/>
  </w:style>
  <w:style w:type="character" w:customStyle="1" w:styleId="109">
    <w:name w:val="正文文本 Char1"/>
    <w:link w:val="4"/>
    <w:autoRedefine/>
    <w:qFormat/>
    <w:uiPriority w:val="0"/>
    <w:rPr>
      <w:kern w:val="2"/>
      <w:sz w:val="21"/>
      <w:szCs w:val="24"/>
    </w:rPr>
  </w:style>
  <w:style w:type="character" w:customStyle="1" w:styleId="110">
    <w:name w:val="Char Char1"/>
    <w:qFormat/>
    <w:uiPriority w:val="0"/>
    <w:rPr>
      <w:rFonts w:ascii="宋体" w:hAnsi="Courier New" w:eastAsia="宋体" w:cs="Courier New"/>
      <w:kern w:val="2"/>
      <w:sz w:val="21"/>
      <w:szCs w:val="21"/>
      <w:lang w:val="en-US" w:eastAsia="zh-CN" w:bidi="ar-SA"/>
    </w:rPr>
  </w:style>
  <w:style w:type="character" w:customStyle="1" w:styleId="111">
    <w:name w:val="标题 5 Char"/>
    <w:link w:val="8"/>
    <w:autoRedefine/>
    <w:qFormat/>
    <w:uiPriority w:val="0"/>
    <w:rPr>
      <w:sz w:val="24"/>
    </w:rPr>
  </w:style>
  <w:style w:type="character" w:customStyle="1" w:styleId="112">
    <w:name w:val="三级正标题 Char"/>
    <w:link w:val="113"/>
    <w:qFormat/>
    <w:uiPriority w:val="0"/>
    <w:rPr>
      <w:rFonts w:ascii="宋体"/>
      <w:b/>
      <w:spacing w:val="10"/>
      <w:sz w:val="24"/>
      <w:szCs w:val="22"/>
      <w:lang w:val="en-US" w:eastAsia="zh-CN" w:bidi="ar-SA"/>
    </w:rPr>
  </w:style>
  <w:style w:type="paragraph" w:customStyle="1" w:styleId="113">
    <w:name w:val="三级正标题"/>
    <w:next w:val="69"/>
    <w:link w:val="112"/>
    <w:autoRedefine/>
    <w:qFormat/>
    <w:uiPriority w:val="0"/>
    <w:pPr>
      <w:spacing w:beforeLines="50" w:afterLines="50"/>
      <w:outlineLvl w:val="2"/>
    </w:pPr>
    <w:rPr>
      <w:rFonts w:ascii="宋体" w:hAnsi="Times New Roman" w:eastAsia="宋体" w:cs="Times New Roman"/>
      <w:b/>
      <w:spacing w:val="10"/>
      <w:sz w:val="24"/>
      <w:szCs w:val="22"/>
      <w:lang w:val="en-US" w:eastAsia="zh-CN" w:bidi="ar-SA"/>
    </w:rPr>
  </w:style>
  <w:style w:type="character" w:customStyle="1" w:styleId="114">
    <w:name w:val="样式 小四"/>
    <w:qFormat/>
    <w:uiPriority w:val="0"/>
    <w:rPr>
      <w:sz w:val="21"/>
    </w:rPr>
  </w:style>
  <w:style w:type="character" w:customStyle="1" w:styleId="115">
    <w:name w:val="unnamed11"/>
    <w:autoRedefine/>
    <w:qFormat/>
    <w:uiPriority w:val="0"/>
    <w:rPr>
      <w:sz w:val="18"/>
      <w:szCs w:val="18"/>
    </w:rPr>
  </w:style>
  <w:style w:type="character" w:customStyle="1" w:styleId="116">
    <w:name w:val="正文文本 2 Char"/>
    <w:link w:val="44"/>
    <w:qFormat/>
    <w:uiPriority w:val="0"/>
    <w:rPr>
      <w:rFonts w:ascii="楷体" w:eastAsia="楷体"/>
      <w:b/>
      <w:kern w:val="2"/>
      <w:sz w:val="24"/>
      <w:szCs w:val="24"/>
    </w:rPr>
  </w:style>
  <w:style w:type="character" w:customStyle="1" w:styleId="117">
    <w:name w:val="正文首行缩进 2 Char"/>
    <w:link w:val="50"/>
    <w:qFormat/>
    <w:uiPriority w:val="0"/>
    <w:rPr>
      <w:rFonts w:ascii="宋体" w:hAnsi="宋体" w:eastAsia="宋体"/>
      <w:kern w:val="2"/>
      <w:sz w:val="21"/>
      <w:szCs w:val="24"/>
      <w:lang w:val="en-US" w:eastAsia="zh-CN" w:bidi="ar-SA"/>
    </w:rPr>
  </w:style>
  <w:style w:type="character" w:customStyle="1" w:styleId="118">
    <w:name w:val="段 Char"/>
    <w:link w:val="119"/>
    <w:uiPriority w:val="0"/>
    <w:rPr>
      <w:rFonts w:ascii="宋体" w:hAnsi="宋体"/>
      <w:sz w:val="21"/>
      <w:lang w:val="en-US" w:eastAsia="zh-CN" w:bidi="ar-SA"/>
    </w:rPr>
  </w:style>
  <w:style w:type="paragraph" w:customStyle="1" w:styleId="119">
    <w:name w:val="段"/>
    <w:link w:val="118"/>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character" w:customStyle="1" w:styleId="120">
    <w:name w:val="章 Char Char"/>
    <w:uiPriority w:val="0"/>
    <w:rPr>
      <w:rFonts w:eastAsia="宋体"/>
      <w:b/>
      <w:kern w:val="44"/>
      <w:sz w:val="32"/>
      <w:szCs w:val="24"/>
      <w:lang w:val="en-US" w:eastAsia="zh-CN" w:bidi="ar-SA"/>
    </w:rPr>
  </w:style>
  <w:style w:type="character" w:customStyle="1" w:styleId="121">
    <w:name w:val="项目符号2 Char"/>
    <w:link w:val="122"/>
    <w:uiPriority w:val="0"/>
    <w:rPr>
      <w:rFonts w:ascii="宋体" w:hAnsi="宋体"/>
      <w:szCs w:val="21"/>
      <w:lang w:val="en-GB"/>
    </w:rPr>
  </w:style>
  <w:style w:type="paragraph" w:customStyle="1" w:styleId="122">
    <w:name w:val="项目符号2"/>
    <w:basedOn w:val="4"/>
    <w:link w:val="121"/>
    <w:qFormat/>
    <w:uiPriority w:val="0"/>
    <w:pPr>
      <w:widowControl/>
      <w:tabs>
        <w:tab w:val="left" w:pos="-380"/>
      </w:tabs>
      <w:overflowPunct w:val="0"/>
      <w:autoSpaceDE w:val="0"/>
      <w:autoSpaceDN w:val="0"/>
      <w:adjustRightInd w:val="0"/>
      <w:spacing w:before="120"/>
      <w:textAlignment w:val="baseline"/>
    </w:pPr>
    <w:rPr>
      <w:rFonts w:ascii="宋体" w:hAnsi="宋体"/>
      <w:kern w:val="0"/>
      <w:sz w:val="20"/>
      <w:szCs w:val="21"/>
      <w:lang w:val="en-GB"/>
    </w:rPr>
  </w:style>
  <w:style w:type="character" w:customStyle="1" w:styleId="123">
    <w:name w:val="标题 6 Char"/>
    <w:link w:val="9"/>
    <w:uiPriority w:val="0"/>
    <w:rPr>
      <w:rFonts w:ascii="Arial Black" w:hAnsi="Arial Black" w:eastAsia="黑体"/>
      <w:b/>
      <w:sz w:val="24"/>
    </w:rPr>
  </w:style>
  <w:style w:type="character" w:customStyle="1" w:styleId="124">
    <w:name w:val="纯文本 Char"/>
    <w:link w:val="28"/>
    <w:uiPriority w:val="0"/>
    <w:rPr>
      <w:rFonts w:ascii="宋体" w:hAnsi="Courier New" w:eastAsia="宋体"/>
      <w:kern w:val="2"/>
      <w:sz w:val="21"/>
      <w:lang w:val="en-US" w:eastAsia="zh-CN" w:bidi="ar-SA"/>
    </w:rPr>
  </w:style>
  <w:style w:type="character" w:customStyle="1" w:styleId="125">
    <w:name w:val="t91"/>
    <w:basedOn w:val="53"/>
    <w:uiPriority w:val="0"/>
  </w:style>
  <w:style w:type="character" w:customStyle="1" w:styleId="126">
    <w:name w:val="标题 4 Char"/>
    <w:link w:val="7"/>
    <w:uiPriority w:val="0"/>
    <w:rPr>
      <w:rFonts w:ascii="Arial" w:hAnsi="Arial" w:eastAsia="黑体"/>
      <w:b/>
      <w:sz w:val="28"/>
    </w:rPr>
  </w:style>
  <w:style w:type="paragraph" w:customStyle="1" w:styleId="127">
    <w:name w:val="1.1.1.1 标题"/>
    <w:basedOn w:val="1"/>
    <w:uiPriority w:val="0"/>
    <w:pPr>
      <w:keepNext/>
      <w:keepLines/>
      <w:tabs>
        <w:tab w:val="left" w:pos="360"/>
        <w:tab w:val="left" w:pos="780"/>
        <w:tab w:val="left" w:pos="2889"/>
      </w:tabs>
      <w:spacing w:line="240" w:lineRule="atLeast"/>
      <w:ind w:left="2889" w:leftChars="200" w:hanging="200" w:hangingChars="200"/>
      <w:jc w:val="left"/>
      <w:outlineLvl w:val="3"/>
    </w:pPr>
    <w:rPr>
      <w:kern w:val="44"/>
      <w:sz w:val="24"/>
      <w:szCs w:val="20"/>
    </w:rPr>
  </w:style>
  <w:style w:type="paragraph" w:customStyle="1" w:styleId="128">
    <w:name w:val="30"/>
    <w:basedOn w:val="1"/>
    <w:uiPriority w:val="0"/>
    <w:pPr>
      <w:widowControl/>
      <w:spacing w:line="360" w:lineRule="auto"/>
      <w:ind w:left="1276" w:hanging="1276"/>
    </w:pPr>
    <w:rPr>
      <w:rFonts w:ascii="宋体" w:hAnsi="宋体"/>
      <w:color w:val="000000"/>
      <w:kern w:val="0"/>
      <w:sz w:val="30"/>
      <w:szCs w:val="30"/>
    </w:rPr>
  </w:style>
  <w:style w:type="paragraph" w:customStyle="1" w:styleId="129">
    <w:name w:val="条文1"/>
    <w:basedOn w:val="1"/>
    <w:uiPriority w:val="0"/>
    <w:pPr>
      <w:tabs>
        <w:tab w:val="left" w:pos="720"/>
      </w:tabs>
      <w:spacing w:line="360" w:lineRule="auto"/>
    </w:pPr>
    <w:rPr>
      <w:rFonts w:ascii="MS UI Gothic" w:hAnsi="MS UI Gothic"/>
      <w:bCs/>
      <w:kern w:val="44"/>
      <w:sz w:val="24"/>
      <w:szCs w:val="44"/>
    </w:rPr>
  </w:style>
  <w:style w:type="paragraph" w:customStyle="1" w:styleId="130">
    <w:name w:val="Char Char Char Char Char Char Char1"/>
    <w:basedOn w:val="1"/>
    <w:uiPriority w:val="0"/>
    <w:rPr>
      <w:rFonts w:ascii="仿宋_GB2312" w:eastAsia="仿宋_GB2312"/>
      <w:b/>
      <w:sz w:val="32"/>
      <w:szCs w:val="32"/>
    </w:rPr>
  </w:style>
  <w:style w:type="paragraph" w:customStyle="1" w:styleId="131">
    <w:name w:val="大汉一级小标题"/>
    <w:basedOn w:val="1"/>
    <w:uiPriority w:val="0"/>
    <w:pPr>
      <w:tabs>
        <w:tab w:val="left" w:pos="0"/>
      </w:tabs>
      <w:spacing w:before="120" w:after="120"/>
      <w:ind w:left="720" w:hanging="720"/>
    </w:pPr>
    <w:rPr>
      <w:rFonts w:ascii="宋体"/>
      <w:b/>
      <w:sz w:val="36"/>
    </w:rPr>
  </w:style>
  <w:style w:type="paragraph" w:customStyle="1" w:styleId="132">
    <w:name w:val="分类级别1"/>
    <w:basedOn w:val="1"/>
    <w:uiPriority w:val="0"/>
    <w:pPr>
      <w:tabs>
        <w:tab w:val="left" w:pos="780"/>
      </w:tabs>
      <w:ind w:left="1125" w:hanging="564"/>
    </w:pPr>
    <w:rPr>
      <w:szCs w:val="20"/>
    </w:rPr>
  </w:style>
  <w:style w:type="paragraph" w:customStyle="1" w:styleId="133">
    <w:name w:val="项目"/>
    <w:basedOn w:val="4"/>
    <w:next w:val="4"/>
    <w:uiPriority w:val="0"/>
    <w:pPr>
      <w:tabs>
        <w:tab w:val="left" w:pos="360"/>
      </w:tabs>
      <w:spacing w:after="0" w:line="360" w:lineRule="auto"/>
      <w:ind w:left="360" w:hanging="360"/>
    </w:pPr>
    <w:rPr>
      <w:kern w:val="0"/>
      <w:sz w:val="24"/>
      <w:szCs w:val="20"/>
    </w:rPr>
  </w:style>
  <w:style w:type="paragraph" w:customStyle="1" w:styleId="134">
    <w:name w:val="1.1.1.1Heading3"/>
    <w:basedOn w:val="6"/>
    <w:uiPriority w:val="0"/>
    <w:pPr>
      <w:keepNext/>
      <w:widowControl/>
      <w:tabs>
        <w:tab w:val="left" w:pos="2292"/>
      </w:tabs>
      <w:autoSpaceDE/>
      <w:autoSpaceDN/>
      <w:adjustRightInd/>
      <w:spacing w:before="120" w:after="120"/>
      <w:ind w:left="2292" w:leftChars="236" w:right="-156" w:hanging="420"/>
    </w:pPr>
    <w:rPr>
      <w:rFonts w:ascii="Arial" w:hAnsi="Arial" w:eastAsia="黑体" w:cs="Arial"/>
      <w:b/>
      <w:bCs/>
      <w:sz w:val="24"/>
      <w:szCs w:val="16"/>
    </w:rPr>
  </w:style>
  <w:style w:type="paragraph" w:customStyle="1" w:styleId="135">
    <w:name w:val="正文段"/>
    <w:basedOn w:val="1"/>
    <w:uiPriority w:val="0"/>
    <w:pPr>
      <w:tabs>
        <w:tab w:val="left" w:pos="1214"/>
      </w:tabs>
      <w:snapToGrid w:val="0"/>
      <w:spacing w:after="240" w:line="240" w:lineRule="atLeast"/>
      <w:ind w:firstLine="425"/>
    </w:pPr>
    <w:rPr>
      <w:rFonts w:ascii="宋体"/>
      <w:sz w:val="24"/>
      <w:szCs w:val="20"/>
    </w:rPr>
  </w:style>
  <w:style w:type="paragraph" w:customStyle="1" w:styleId="136">
    <w:name w:val="样式 小四 段前: 5 磅 段后: 5 磅 首行缩进:  2 字符"/>
    <w:basedOn w:val="1"/>
    <w:uiPriority w:val="0"/>
    <w:pPr>
      <w:spacing w:before="100" w:afterLines="50" w:line="360" w:lineRule="auto"/>
    </w:pPr>
    <w:rPr>
      <w:rFonts w:ascii="宋体" w:hAnsi="宋体"/>
      <w:kern w:val="0"/>
      <w:sz w:val="24"/>
      <w:szCs w:val="21"/>
    </w:rPr>
  </w:style>
  <w:style w:type="paragraph" w:customStyle="1" w:styleId="137">
    <w:name w:val="默认段落字体 Para Char Char Char Char Char Char Char"/>
    <w:basedOn w:val="18"/>
    <w:uiPriority w:val="0"/>
    <w:pPr>
      <w:adjustRightInd w:val="0"/>
      <w:spacing w:line="436" w:lineRule="exact"/>
      <w:ind w:left="357"/>
      <w:jc w:val="left"/>
      <w:outlineLvl w:val="3"/>
    </w:pPr>
    <w:rPr>
      <w:rFonts w:ascii="Tahoma" w:hAnsi="Tahoma"/>
      <w:b/>
      <w:sz w:val="24"/>
    </w:rPr>
  </w:style>
  <w:style w:type="paragraph" w:styleId="138">
    <w:name w:val="List Paragraph"/>
    <w:basedOn w:val="1"/>
    <w:qFormat/>
    <w:uiPriority w:val="34"/>
    <w:pPr>
      <w:ind w:firstLine="420" w:firstLineChars="200"/>
    </w:pPr>
    <w:rPr>
      <w:rFonts w:ascii="Calibri" w:hAnsi="Calibri"/>
      <w:szCs w:val="22"/>
    </w:rPr>
  </w:style>
  <w:style w:type="paragraph" w:customStyle="1" w:styleId="139">
    <w:name w:val="默认段落字体 Para Char Char Char Char"/>
    <w:basedOn w:val="1"/>
    <w:uiPriority w:val="0"/>
    <w:pPr>
      <w:tabs>
        <w:tab w:val="left" w:pos="1094"/>
      </w:tabs>
      <w:adjustRightInd w:val="0"/>
      <w:spacing w:line="360" w:lineRule="auto"/>
      <w:ind w:left="1094" w:hanging="720"/>
    </w:pPr>
    <w:rPr>
      <w:kern w:val="0"/>
      <w:sz w:val="24"/>
      <w:szCs w:val="20"/>
    </w:rPr>
  </w:style>
  <w:style w:type="paragraph" w:customStyle="1" w:styleId="140">
    <w:name w:val="1 Char Char Char Char"/>
    <w:basedOn w:val="1"/>
    <w:uiPriority w:val="0"/>
    <w:pPr>
      <w:widowControl/>
      <w:spacing w:after="160" w:line="240" w:lineRule="exact"/>
      <w:jc w:val="left"/>
    </w:pPr>
    <w:rPr>
      <w:rFonts w:ascii="Tahoma" w:hAnsi="Tahoma" w:eastAsia="Times New Roman"/>
      <w:kern w:val="0"/>
      <w:sz w:val="28"/>
      <w:lang w:eastAsia="en-US"/>
    </w:rPr>
  </w:style>
  <w:style w:type="paragraph" w:customStyle="1" w:styleId="141">
    <w:name w:val="xl49"/>
    <w:basedOn w:val="1"/>
    <w:uiPriority w:val="0"/>
    <w:pPr>
      <w:widowControl/>
      <w:spacing w:before="100" w:beforeAutospacing="1" w:after="100" w:afterAutospacing="1"/>
      <w:jc w:val="center"/>
      <w:textAlignment w:val="center"/>
    </w:pPr>
    <w:rPr>
      <w:rFonts w:ascii="楷体_GB2312" w:hAnsi="宋体" w:eastAsia="楷体_GB2312"/>
      <w:b/>
      <w:kern w:val="0"/>
      <w:sz w:val="36"/>
      <w:szCs w:val="20"/>
    </w:rPr>
  </w:style>
  <w:style w:type="paragraph" w:customStyle="1" w:styleId="142">
    <w:name w:val="Bullet 1"/>
    <w:basedOn w:val="1"/>
    <w:uiPriority w:val="0"/>
    <w:pPr>
      <w:tabs>
        <w:tab w:val="left" w:pos="360"/>
        <w:tab w:val="left" w:pos="7920"/>
      </w:tabs>
      <w:spacing w:line="280" w:lineRule="exact"/>
      <w:ind w:left="360" w:hanging="360"/>
      <w:jc w:val="left"/>
    </w:pPr>
    <w:rPr>
      <w:rFonts w:ascii="Arial" w:hAnsi="Arial"/>
      <w:kern w:val="0"/>
      <w:sz w:val="19"/>
    </w:rPr>
  </w:style>
  <w:style w:type="paragraph" w:customStyle="1" w:styleId="143">
    <w:name w:val="Char"/>
    <w:basedOn w:val="18"/>
    <w:uiPriority w:val="0"/>
    <w:pPr>
      <w:widowControl/>
      <w:tabs>
        <w:tab w:val="left" w:pos="874"/>
      </w:tabs>
      <w:ind w:left="874" w:hanging="420"/>
      <w:jc w:val="left"/>
    </w:pPr>
  </w:style>
  <w:style w:type="paragraph" w:customStyle="1" w:styleId="144">
    <w:name w:val="p17"/>
    <w:basedOn w:val="1"/>
    <w:qFormat/>
    <w:uiPriority w:val="0"/>
    <w:pPr>
      <w:widowControl/>
      <w:snapToGrid w:val="0"/>
      <w:spacing w:line="315" w:lineRule="atLeast"/>
      <w:ind w:firstLine="420"/>
      <w:jc w:val="left"/>
    </w:pPr>
    <w:rPr>
      <w:rFonts w:ascii="宋体" w:hAnsi="宋体" w:cs="宋体"/>
      <w:kern w:val="0"/>
      <w:szCs w:val="21"/>
    </w:rPr>
  </w:style>
  <w:style w:type="paragraph" w:customStyle="1" w:styleId="145">
    <w:name w:val="缺省文本"/>
    <w:basedOn w:val="1"/>
    <w:uiPriority w:val="0"/>
    <w:pPr>
      <w:autoSpaceDE w:val="0"/>
      <w:autoSpaceDN w:val="0"/>
      <w:adjustRightInd w:val="0"/>
      <w:jc w:val="left"/>
    </w:pPr>
    <w:rPr>
      <w:rFonts w:eastAsia="Times New Roman"/>
      <w:kern w:val="0"/>
      <w:sz w:val="24"/>
      <w:lang w:eastAsia="en-US"/>
    </w:rPr>
  </w:style>
  <w:style w:type="paragraph" w:customStyle="1" w:styleId="146">
    <w:name w:val="Indent a)"/>
    <w:basedOn w:val="1"/>
    <w:uiPriority w:val="0"/>
    <w:pPr>
      <w:widowControl/>
      <w:tabs>
        <w:tab w:val="left" w:pos="1843"/>
        <w:tab w:val="right" w:pos="9072"/>
      </w:tabs>
      <w:suppressAutoHyphens/>
      <w:spacing w:line="360" w:lineRule="auto"/>
      <w:ind w:left="210" w:leftChars="100" w:right="-21" w:rightChars="-10" w:firstLine="210" w:firstLineChars="100"/>
    </w:pPr>
    <w:rPr>
      <w:rFonts w:ascii="宋体" w:hAnsi="宋体"/>
      <w:bCs/>
      <w:color w:val="FF0000"/>
      <w:szCs w:val="21"/>
    </w:rPr>
  </w:style>
  <w:style w:type="paragraph" w:customStyle="1" w:styleId="147">
    <w:name w:val="表格文字"/>
    <w:basedOn w:val="1"/>
    <w:uiPriority w:val="0"/>
    <w:pPr>
      <w:snapToGrid w:val="0"/>
      <w:spacing w:before="120"/>
    </w:pPr>
    <w:rPr>
      <w:szCs w:val="20"/>
    </w:rPr>
  </w:style>
  <w:style w:type="paragraph" w:customStyle="1" w:styleId="148">
    <w:name w:val="样式 标题 1 + 段前: 0.5 行 段后: 0.5 行"/>
    <w:basedOn w:val="2"/>
    <w:uiPriority w:val="0"/>
    <w:pPr>
      <w:keepNext/>
      <w:keepLines/>
      <w:tabs>
        <w:tab w:val="left" w:pos="1800"/>
      </w:tabs>
      <w:autoSpaceDE/>
      <w:autoSpaceDN/>
      <w:adjustRightInd/>
      <w:spacing w:before="340" w:beforeLines="200" w:after="330" w:afterLines="50" w:line="576" w:lineRule="auto"/>
      <w:jc w:val="both"/>
    </w:pPr>
    <w:rPr>
      <w:rFonts w:eastAsia="仿宋_GB2312"/>
      <w:b/>
      <w:bCs/>
      <w:kern w:val="44"/>
      <w:sz w:val="30"/>
    </w:rPr>
  </w:style>
  <w:style w:type="paragraph" w:customStyle="1" w:styleId="149">
    <w:name w:val="Char Char Char Char Char"/>
    <w:basedOn w:val="1"/>
    <w:uiPriority w:val="0"/>
    <w:rPr>
      <w:rFonts w:ascii="仿宋_GB2312" w:eastAsia="仿宋_GB2312"/>
      <w:b/>
      <w:sz w:val="32"/>
      <w:szCs w:val="32"/>
    </w:rPr>
  </w:style>
  <w:style w:type="paragraph" w:customStyle="1" w:styleId="150">
    <w:name w:val="Char Char Char Char Char Char1"/>
    <w:basedOn w:val="1"/>
    <w:uiPriority w:val="0"/>
    <w:pPr>
      <w:ind w:firstLine="200" w:firstLineChars="200"/>
    </w:pPr>
    <w:rPr>
      <w:szCs w:val="20"/>
    </w:rPr>
  </w:style>
  <w:style w:type="paragraph" w:customStyle="1" w:styleId="151">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2">
    <w:name w:val="样式 标题 2 + 段前: 0.5 行 段后: 0.5 行"/>
    <w:basedOn w:val="5"/>
    <w:uiPriority w:val="0"/>
    <w:pPr>
      <w:keepNext w:val="0"/>
      <w:keepLines w:val="0"/>
      <w:autoSpaceDE w:val="0"/>
      <w:autoSpaceDN w:val="0"/>
      <w:adjustRightInd w:val="0"/>
      <w:spacing w:beforeLines="150" w:afterLines="50" w:line="360" w:lineRule="auto"/>
      <w:ind w:left="272" w:hanging="272"/>
      <w:jc w:val="left"/>
    </w:pPr>
    <w:rPr>
      <w:rFonts w:ascii="Times New Roman" w:hAnsi="Times New Roman" w:eastAsia="仿宋_GB2312"/>
      <w:b w:val="0"/>
      <w:bCs w:val="0"/>
      <w:kern w:val="0"/>
      <w:sz w:val="28"/>
      <w:szCs w:val="20"/>
      <w:lang w:val="zh-CN"/>
    </w:rPr>
  </w:style>
  <w:style w:type="paragraph" w:customStyle="1" w:styleId="153">
    <w:name w:val="xl29"/>
    <w:basedOn w:val="1"/>
    <w:uiPriority w:val="0"/>
    <w:pPr>
      <w:widowControl/>
      <w:spacing w:before="100" w:beforeAutospacing="1" w:after="100" w:afterAutospacing="1"/>
      <w:jc w:val="center"/>
    </w:pPr>
    <w:rPr>
      <w:rFonts w:ascii="宋体" w:hAnsi="宋体"/>
      <w:kern w:val="0"/>
      <w:sz w:val="28"/>
      <w:szCs w:val="28"/>
    </w:rPr>
  </w:style>
  <w:style w:type="paragraph" w:customStyle="1" w:styleId="154">
    <w:name w:val="列出段落1"/>
    <w:basedOn w:val="1"/>
    <w:qFormat/>
    <w:uiPriority w:val="0"/>
    <w:pPr>
      <w:ind w:firstLine="420" w:firstLineChars="200"/>
    </w:pPr>
  </w:style>
  <w:style w:type="paragraph" w:customStyle="1" w:styleId="155">
    <w:name w:val="条目3"/>
    <w:basedOn w:val="28"/>
    <w:uiPriority w:val="0"/>
    <w:pPr>
      <w:spacing w:line="360" w:lineRule="auto"/>
    </w:pPr>
    <w:rPr>
      <w:rFonts w:cs="Courier New"/>
      <w:color w:val="000000"/>
      <w:sz w:val="24"/>
      <w:szCs w:val="21"/>
    </w:rPr>
  </w:style>
  <w:style w:type="paragraph" w:customStyle="1" w:styleId="156">
    <w:name w:val="_Style 155"/>
    <w:basedOn w:val="2"/>
    <w:next w:val="1"/>
    <w:qFormat/>
    <w:uiPriority w:val="0"/>
    <w:pPr>
      <w:keepNext/>
      <w:keepLines/>
      <w:widowControl/>
      <w:autoSpaceDE/>
      <w:autoSpaceDN/>
      <w:adjustRightInd/>
      <w:spacing w:before="240" w:line="259" w:lineRule="auto"/>
      <w:outlineLvl w:val="9"/>
    </w:pPr>
    <w:rPr>
      <w:rFonts w:ascii="Calibri Light" w:hAnsi="Calibri Light" w:eastAsia="宋体" w:cs="Times New Roman"/>
      <w:color w:val="2E74B5"/>
      <w:sz w:val="32"/>
      <w:szCs w:val="32"/>
    </w:rPr>
  </w:style>
  <w:style w:type="paragraph" w:customStyle="1" w:styleId="157">
    <w:name w:val="文档正文"/>
    <w:basedOn w:val="1"/>
    <w:uiPriority w:val="0"/>
    <w:rPr>
      <w:rFonts w:ascii="宋体" w:hAnsi="宋体" w:cs="Arial"/>
      <w:bCs/>
      <w:szCs w:val="21"/>
    </w:rPr>
  </w:style>
  <w:style w:type="paragraph" w:customStyle="1" w:styleId="158">
    <w:name w:val="Char2"/>
    <w:basedOn w:val="1"/>
    <w:uiPriority w:val="0"/>
    <w:pPr>
      <w:widowControl/>
      <w:spacing w:line="400" w:lineRule="exact"/>
      <w:jc w:val="center"/>
    </w:pPr>
    <w:rPr>
      <w:rFonts w:ascii="Verdana" w:hAnsi="Verdana" w:cs="Verdana"/>
      <w:kern w:val="0"/>
      <w:szCs w:val="21"/>
      <w:lang w:eastAsia="en-US"/>
    </w:rPr>
  </w:style>
  <w:style w:type="paragraph" w:customStyle="1" w:styleId="159">
    <w:name w:val="五级条标题"/>
    <w:basedOn w:val="1"/>
    <w:uiPriority w:val="0"/>
    <w:pPr>
      <w:widowControl/>
      <w:autoSpaceDE w:val="0"/>
      <w:autoSpaceDN w:val="0"/>
      <w:jc w:val="left"/>
    </w:pPr>
    <w:rPr>
      <w:rFonts w:ascii="宋体"/>
      <w:kern w:val="0"/>
      <w:sz w:val="20"/>
      <w:szCs w:val="20"/>
      <w:lang w:val="en-GB"/>
    </w:rPr>
  </w:style>
  <w:style w:type="paragraph" w:customStyle="1" w:styleId="160">
    <w:name w:val="Char1"/>
    <w:basedOn w:val="1"/>
    <w:uiPriority w:val="0"/>
    <w:pPr>
      <w:widowControl/>
      <w:spacing w:line="400" w:lineRule="exact"/>
      <w:jc w:val="center"/>
    </w:pPr>
    <w:rPr>
      <w:rFonts w:ascii="Verdana" w:hAnsi="Verdana" w:cs="Verdana"/>
      <w:kern w:val="0"/>
      <w:szCs w:val="21"/>
      <w:lang w:eastAsia="en-US"/>
    </w:rPr>
  </w:style>
  <w:style w:type="paragraph" w:customStyle="1" w:styleId="161">
    <w:name w:val="Char3"/>
    <w:basedOn w:val="18"/>
    <w:uiPriority w:val="0"/>
    <w:pPr>
      <w:widowControl/>
      <w:tabs>
        <w:tab w:val="left" w:pos="874"/>
      </w:tabs>
      <w:ind w:left="874" w:hanging="420"/>
      <w:jc w:val="left"/>
    </w:pPr>
  </w:style>
  <w:style w:type="paragraph" w:customStyle="1" w:styleId="162">
    <w:name w:val="第三级目录"/>
    <w:basedOn w:val="6"/>
    <w:next w:val="1"/>
    <w:qFormat/>
    <w:uiPriority w:val="0"/>
    <w:pPr>
      <w:keepNext/>
      <w:keepLines/>
      <w:autoSpaceDE/>
      <w:autoSpaceDN/>
      <w:adjustRightInd/>
      <w:spacing w:before="260" w:after="260" w:line="416" w:lineRule="auto"/>
      <w:jc w:val="both"/>
    </w:pPr>
    <w:rPr>
      <w:rFonts w:ascii="Calibri" w:hAnsi="Calibri"/>
      <w:b/>
      <w:bCs/>
      <w:kern w:val="2"/>
      <w:sz w:val="30"/>
      <w:szCs w:val="32"/>
      <w:lang w:val="en-GB"/>
    </w:rPr>
  </w:style>
  <w:style w:type="paragraph" w:customStyle="1" w:styleId="163">
    <w:name w:val="条目2"/>
    <w:basedOn w:val="28"/>
    <w:uiPriority w:val="0"/>
    <w:pPr>
      <w:tabs>
        <w:tab w:val="left" w:pos="420"/>
      </w:tabs>
      <w:spacing w:line="360" w:lineRule="auto"/>
      <w:ind w:left="420" w:hanging="420"/>
    </w:pPr>
    <w:rPr>
      <w:rFonts w:cs="Courier New"/>
      <w:color w:val="000000"/>
      <w:sz w:val="24"/>
      <w:szCs w:val="21"/>
    </w:rPr>
  </w:style>
  <w:style w:type="paragraph" w:customStyle="1" w:styleId="164">
    <w:name w:val="tabletext"/>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65">
    <w:name w:val="1"/>
    <w:basedOn w:val="1"/>
    <w:next w:val="28"/>
    <w:uiPriority w:val="0"/>
    <w:rPr>
      <w:rFonts w:ascii="宋体" w:hAnsi="Courier New" w:cs="Courier New"/>
      <w:szCs w:val="21"/>
    </w:rPr>
  </w:style>
  <w:style w:type="paragraph" w:customStyle="1" w:styleId="166">
    <w:name w:val="列表内容"/>
    <w:basedOn w:val="1"/>
    <w:next w:val="1"/>
    <w:uiPriority w:val="0"/>
    <w:pPr>
      <w:widowControl/>
      <w:tabs>
        <w:tab w:val="left" w:pos="840"/>
      </w:tabs>
      <w:ind w:left="840"/>
      <w:jc w:val="left"/>
    </w:pPr>
    <w:rPr>
      <w:kern w:val="0"/>
      <w:sz w:val="18"/>
      <w:szCs w:val="20"/>
    </w:rPr>
  </w:style>
  <w:style w:type="paragraph" w:customStyle="1" w:styleId="167">
    <w:name w:val="Defaul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168">
    <w:name w:val="表文字"/>
    <w:basedOn w:val="11"/>
    <w:uiPriority w:val="0"/>
    <w:pPr>
      <w:overflowPunct w:val="0"/>
      <w:autoSpaceDE w:val="0"/>
      <w:autoSpaceDN w:val="0"/>
      <w:adjustRightInd w:val="0"/>
      <w:snapToGrid w:val="0"/>
      <w:spacing w:line="360" w:lineRule="auto"/>
      <w:ind w:firstLine="0"/>
    </w:pPr>
    <w:rPr>
      <w:rFonts w:eastAsia="幼圆"/>
      <w:kern w:val="28"/>
      <w:lang w:val="en-US" w:eastAsia="zh-CN"/>
    </w:rPr>
  </w:style>
  <w:style w:type="paragraph" w:customStyle="1" w:styleId="169">
    <w:name w:val="样式2"/>
    <w:basedOn w:val="1"/>
    <w:uiPriority w:val="0"/>
    <w:pPr>
      <w:adjustRightInd w:val="0"/>
      <w:spacing w:line="410" w:lineRule="atLeast"/>
      <w:jc w:val="left"/>
      <w:textAlignment w:val="baseline"/>
    </w:pPr>
    <w:rPr>
      <w:kern w:val="0"/>
      <w:sz w:val="24"/>
      <w:szCs w:val="20"/>
    </w:rPr>
  </w:style>
  <w:style w:type="paragraph" w:customStyle="1" w:styleId="170">
    <w:name w:val="a"/>
    <w:basedOn w:val="1"/>
    <w:uiPriority w:val="0"/>
    <w:pPr>
      <w:widowControl/>
      <w:spacing w:before="100" w:beforeAutospacing="1" w:after="100" w:afterAutospacing="1"/>
      <w:jc w:val="left"/>
    </w:pPr>
    <w:rPr>
      <w:rFonts w:ascii="宋体" w:hAnsi="宋体" w:cs="宋体"/>
      <w:kern w:val="0"/>
      <w:sz w:val="24"/>
    </w:rPr>
  </w:style>
  <w:style w:type="paragraph" w:customStyle="1" w:styleId="171">
    <w:name w:val="列出段落7"/>
    <w:basedOn w:val="1"/>
    <w:qFormat/>
    <w:uiPriority w:val="0"/>
    <w:pPr>
      <w:ind w:firstLine="420" w:firstLineChars="200"/>
    </w:pPr>
    <w:rPr>
      <w:szCs w:val="21"/>
    </w:rPr>
  </w:style>
  <w:style w:type="paragraph" w:customStyle="1" w:styleId="172">
    <w:name w:val="1.1 标题"/>
    <w:basedOn w:val="2"/>
    <w:uiPriority w:val="0"/>
    <w:pPr>
      <w:keepNext/>
      <w:keepLines/>
      <w:numPr>
        <w:ilvl w:val="0"/>
        <w:numId w:val="0"/>
      </w:numPr>
      <w:tabs>
        <w:tab w:val="left" w:pos="840"/>
      </w:tabs>
      <w:autoSpaceDE/>
      <w:autoSpaceDN/>
      <w:adjustRightInd/>
      <w:spacing w:before="120" w:after="120"/>
      <w:ind w:left="840" w:hanging="420"/>
      <w:outlineLvl w:val="1"/>
    </w:pPr>
    <w:rPr>
      <w:rFonts w:eastAsia="黑体"/>
      <w:b/>
      <w:kern w:val="44"/>
      <w:sz w:val="24"/>
    </w:rPr>
  </w:style>
  <w:style w:type="paragraph" w:customStyle="1" w:styleId="173">
    <w:name w:val="Char Char Char Char Char Char Char"/>
    <w:basedOn w:val="1"/>
    <w:uiPriority w:val="0"/>
    <w:rPr>
      <w:rFonts w:ascii="仿宋_GB2312" w:eastAsia="仿宋_GB2312"/>
      <w:b/>
      <w:sz w:val="32"/>
      <w:szCs w:val="32"/>
    </w:rPr>
  </w:style>
  <w:style w:type="paragraph" w:customStyle="1" w:styleId="174">
    <w:name w:val="图"/>
    <w:basedOn w:val="1"/>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75">
    <w:name w:val="Char Char Char Char Char Char"/>
    <w:basedOn w:val="1"/>
    <w:uiPriority w:val="0"/>
    <w:pPr>
      <w:ind w:firstLine="200" w:firstLineChars="200"/>
    </w:pPr>
    <w:rPr>
      <w:rFonts w:ascii="Tahoma" w:hAnsi="Tahoma"/>
      <w:sz w:val="24"/>
      <w:szCs w:val="20"/>
    </w:rPr>
  </w:style>
  <w:style w:type="paragraph" w:customStyle="1" w:styleId="176">
    <w:name w:val=" Char"/>
    <w:basedOn w:val="18"/>
    <w:uiPriority w:val="0"/>
    <w:pPr>
      <w:widowControl/>
      <w:tabs>
        <w:tab w:val="left" w:pos="874"/>
      </w:tabs>
      <w:ind w:left="874" w:hanging="420"/>
      <w:jc w:val="left"/>
    </w:pPr>
  </w:style>
  <w:style w:type="paragraph" w:customStyle="1" w:styleId="177">
    <w:name w:val="列出段落2"/>
    <w:basedOn w:val="1"/>
    <w:qFormat/>
    <w:uiPriority w:val="34"/>
    <w:pPr>
      <w:widowControl w:val="0"/>
      <w:numPr>
        <w:ilvl w:val="0"/>
        <w:numId w:val="1"/>
      </w:numPr>
      <w:ind w:firstLine="0" w:firstLineChars="0"/>
    </w:pPr>
  </w:style>
  <w:style w:type="paragraph" w:customStyle="1" w:styleId="178">
    <w:name w:val="Char1 Char Char Char"/>
    <w:basedOn w:val="1"/>
    <w:uiPriority w:val="0"/>
    <w:rPr>
      <w:rFonts w:ascii="Tahoma" w:hAnsi="Tahoma"/>
      <w:sz w:val="24"/>
      <w:szCs w:val="20"/>
    </w:rPr>
  </w:style>
  <w:style w:type="paragraph" w:customStyle="1" w:styleId="179">
    <w:name w:val="分类级别2"/>
    <w:basedOn w:val="1"/>
    <w:uiPriority w:val="0"/>
    <w:pPr>
      <w:tabs>
        <w:tab w:val="left" w:pos="1125"/>
        <w:tab w:val="left" w:pos="1260"/>
      </w:tabs>
      <w:ind w:left="1125" w:hanging="564"/>
    </w:pPr>
    <w:rPr>
      <w:szCs w:val="20"/>
    </w:rPr>
  </w:style>
  <w:style w:type="paragraph" w:customStyle="1" w:styleId="180">
    <w:name w:val="正文2"/>
    <w:basedOn w:val="1"/>
    <w:qFormat/>
    <w:uiPriority w:val="0"/>
    <w:pPr>
      <w:ind w:firstLine="200" w:firstLineChars="200"/>
    </w:pPr>
    <w:rPr>
      <w:rFonts w:eastAsia="华文仿宋"/>
      <w:sz w:val="28"/>
    </w:rPr>
  </w:style>
  <w:style w:type="paragraph" w:customStyle="1" w:styleId="181">
    <w:name w:val="图注"/>
    <w:basedOn w:val="17"/>
    <w:qFormat/>
    <w:uiPriority w:val="0"/>
    <w:pPr>
      <w:widowControl w:val="0"/>
      <w:topLinePunct w:val="0"/>
      <w:adjustRightInd/>
      <w:snapToGrid/>
      <w:spacing w:before="0" w:after="0" w:line="240" w:lineRule="auto"/>
      <w:ind w:left="0"/>
      <w:jc w:val="center"/>
    </w:pPr>
    <w:rPr>
      <w:rFonts w:ascii="黑体" w:hAnsi="仿宋" w:eastAsia="仿宋" w:cs="黑体"/>
      <w:sz w:val="24"/>
      <w:szCs w:val="28"/>
      <w:lang w:val="en-GB" w:eastAsia="zh-CN"/>
    </w:rPr>
  </w:style>
  <w:style w:type="paragraph" w:customStyle="1" w:styleId="182">
    <w:name w:val="aboutus"/>
    <w:basedOn w:val="1"/>
    <w:uiPriority w:val="0"/>
    <w:pPr>
      <w:widowControl/>
      <w:spacing w:line="300" w:lineRule="atLeast"/>
      <w:jc w:val="left"/>
    </w:pPr>
    <w:rPr>
      <w:rFonts w:ascii="宋体" w:hAnsi="宋体" w:cs="宋体"/>
      <w:color w:val="000000"/>
      <w:kern w:val="0"/>
      <w:szCs w:val="21"/>
    </w:rPr>
  </w:style>
  <w:style w:type="paragraph" w:customStyle="1" w:styleId="183">
    <w:name w:val="RFI abc 1st Level"/>
    <w:basedOn w:val="1"/>
    <w:uiPriority w:val="0"/>
    <w:pPr>
      <w:widowControl/>
      <w:tabs>
        <w:tab w:val="left" w:pos="1440"/>
      </w:tabs>
      <w:ind w:left="1440" w:hanging="360"/>
    </w:pPr>
    <w:rPr>
      <w:rFonts w:ascii="Arial (W1)" w:hAnsi="Arial (W1)"/>
      <w:kern w:val="0"/>
      <w:sz w:val="24"/>
      <w:lang w:val="en-GB" w:eastAsia="en-US"/>
    </w:rPr>
  </w:style>
  <w:style w:type="paragraph" w:customStyle="1" w:styleId="184">
    <w:name w:val="文字排"/>
    <w:basedOn w:val="1"/>
    <w:uiPriority w:val="0"/>
    <w:pPr>
      <w:tabs>
        <w:tab w:val="left" w:pos="425"/>
      </w:tabs>
      <w:ind w:left="425" w:hanging="425"/>
    </w:pPr>
    <w:rPr>
      <w:spacing w:val="20"/>
      <w:sz w:val="20"/>
    </w:rPr>
  </w:style>
  <w:style w:type="paragraph" w:customStyle="1" w:styleId="185">
    <w:name w:val="大汉正文"/>
    <w:basedOn w:val="1"/>
    <w:uiPriority w:val="0"/>
    <w:pPr>
      <w:spacing w:line="360" w:lineRule="auto"/>
      <w:ind w:firstLine="200" w:firstLineChars="200"/>
      <w:jc w:val="left"/>
    </w:pPr>
    <w:rPr>
      <w:rFonts w:ascii="宋体"/>
      <w:kern w:val="0"/>
      <w:sz w:val="24"/>
    </w:rPr>
  </w:style>
  <w:style w:type="paragraph" w:customStyle="1" w:styleId="186">
    <w:name w:val="此正文"/>
    <w:basedOn w:val="1"/>
    <w:uiPriority w:val="0"/>
    <w:pPr>
      <w:spacing w:line="360" w:lineRule="auto"/>
      <w:ind w:firstLine="200" w:firstLineChars="200"/>
    </w:pPr>
    <w:rPr>
      <w:sz w:val="24"/>
    </w:rPr>
  </w:style>
  <w:style w:type="paragraph" w:customStyle="1" w:styleId="187">
    <w:name w:val="选项卡编号"/>
    <w:basedOn w:val="1"/>
    <w:uiPriority w:val="0"/>
    <w:pPr>
      <w:tabs>
        <w:tab w:val="left" w:pos="330"/>
        <w:tab w:val="left" w:pos="990"/>
      </w:tabs>
      <w:adjustRightInd w:val="0"/>
      <w:spacing w:before="60" w:after="60" w:line="310" w:lineRule="atLeast"/>
      <w:ind w:left="550" w:firstLine="29"/>
      <w:textAlignment w:val="bottom"/>
    </w:pPr>
    <w:rPr>
      <w:color w:val="000000"/>
      <w:spacing w:val="20"/>
      <w:kern w:val="0"/>
    </w:rPr>
  </w:style>
  <w:style w:type="paragraph" w:customStyle="1" w:styleId="188">
    <w:name w:val=" Char Char Char Char Char Char Char"/>
    <w:basedOn w:val="1"/>
    <w:uiPriority w:val="0"/>
    <w:rPr>
      <w:rFonts w:ascii="仿宋_GB2312" w:eastAsia="仿宋_GB2312"/>
      <w:b/>
      <w:sz w:val="32"/>
      <w:szCs w:val="32"/>
    </w:rPr>
  </w:style>
  <w:style w:type="paragraph" w:customStyle="1" w:styleId="189">
    <w:name w:val="小标题"/>
    <w:basedOn w:val="4"/>
    <w:uiPriority w:val="0"/>
    <w:pPr>
      <w:tabs>
        <w:tab w:val="left" w:pos="420"/>
      </w:tabs>
      <w:spacing w:before="60" w:after="60" w:line="360" w:lineRule="auto"/>
      <w:ind w:left="720" w:hanging="720"/>
    </w:pPr>
    <w:rPr>
      <w:rFonts w:eastAsia="黑体"/>
      <w:sz w:val="24"/>
      <w:szCs w:val="20"/>
    </w:rPr>
  </w:style>
  <w:style w:type="paragraph" w:customStyle="1" w:styleId="190">
    <w:name w:val="表内文字"/>
    <w:basedOn w:val="1"/>
    <w:uiPriority w:val="0"/>
    <w:pPr>
      <w:spacing w:line="500" w:lineRule="atLeast"/>
      <w:jc w:val="center"/>
    </w:pPr>
    <w:rPr>
      <w:rFonts w:ascii="楷体_GB2312" w:eastAsia="楷体_GB2312"/>
      <w:sz w:val="28"/>
    </w:rPr>
  </w:style>
  <w:style w:type="paragraph" w:customStyle="1" w:styleId="191">
    <w:name w:val="1.1.1 标题"/>
    <w:basedOn w:val="2"/>
    <w:uiPriority w:val="0"/>
    <w:pPr>
      <w:keepNext/>
      <w:keepLines/>
      <w:numPr>
        <w:ilvl w:val="0"/>
        <w:numId w:val="0"/>
      </w:numPr>
      <w:tabs>
        <w:tab w:val="left" w:pos="1260"/>
      </w:tabs>
      <w:autoSpaceDE/>
      <w:autoSpaceDN/>
      <w:adjustRightInd/>
      <w:ind w:left="1260" w:hanging="420"/>
      <w:outlineLvl w:val="2"/>
    </w:pPr>
    <w:rPr>
      <w:rFonts w:eastAsia="黑体"/>
      <w:kern w:val="44"/>
      <w:sz w:val="24"/>
    </w:rPr>
  </w:style>
  <w:style w:type="paragraph" w:customStyle="1" w:styleId="192">
    <w:name w:val="Char Char Char Char1"/>
    <w:basedOn w:val="1"/>
    <w:uiPriority w:val="0"/>
    <w:pPr>
      <w:widowControl/>
      <w:spacing w:after="160" w:line="240" w:lineRule="exact"/>
      <w:jc w:val="left"/>
    </w:pPr>
  </w:style>
  <w:style w:type="paragraph" w:customStyle="1" w:styleId="193">
    <w:name w:val=" Char Char Char Char1"/>
    <w:basedOn w:val="1"/>
    <w:uiPriority w:val="0"/>
    <w:pPr>
      <w:widowControl/>
      <w:spacing w:after="160" w:line="240" w:lineRule="exact"/>
      <w:jc w:val="left"/>
    </w:pPr>
  </w:style>
  <w:style w:type="paragraph" w:customStyle="1" w:styleId="194">
    <w:name w:val="Char Char Char Char Char Char Char Char Char Char Char Char1 Char"/>
    <w:basedOn w:val="18"/>
    <w:uiPriority w:val="0"/>
    <w:rPr>
      <w:rFonts w:ascii="Tahoma" w:hAnsi="Tahoma"/>
      <w:sz w:val="24"/>
    </w:rPr>
  </w:style>
  <w:style w:type="paragraph" w:customStyle="1" w:styleId="195">
    <w:name w:val="Char Char Char Char Char Char Char Char Char1 Char Char Char1 Char Char Char Char Char Char"/>
    <w:basedOn w:val="1"/>
    <w:uiPriority w:val="0"/>
    <w:pPr>
      <w:spacing w:line="360" w:lineRule="auto"/>
      <w:ind w:firstLine="200" w:firstLineChars="200"/>
    </w:pPr>
    <w:rPr>
      <w:rFonts w:ascii="宋体" w:hAnsi="宋体" w:cs="宋体"/>
      <w:sz w:val="24"/>
    </w:rPr>
  </w:style>
  <w:style w:type="paragraph" w:customStyle="1" w:styleId="196">
    <w:name w:val="_Style 8"/>
    <w:basedOn w:val="1"/>
    <w:uiPriority w:val="0"/>
    <w:rPr>
      <w:szCs w:val="20"/>
    </w:rPr>
  </w:style>
  <w:style w:type="paragraph" w:customStyle="1" w:styleId="197">
    <w:name w:val="p10"/>
    <w:basedOn w:val="1"/>
    <w:uiPriority w:val="0"/>
    <w:pPr>
      <w:widowControl/>
      <w:spacing w:before="100" w:after="100"/>
      <w:jc w:val="left"/>
    </w:pPr>
    <w:rPr>
      <w:rFonts w:hint="eastAsia" w:ascii="宋体" w:hAnsi="宋体"/>
      <w:color w:val="000000"/>
      <w:kern w:val="0"/>
    </w:rPr>
  </w:style>
  <w:style w:type="paragraph" w:customStyle="1" w:styleId="198">
    <w:name w:val="缩进四号"/>
    <w:basedOn w:val="1"/>
    <w:uiPriority w:val="0"/>
    <w:pPr>
      <w:tabs>
        <w:tab w:val="left" w:pos="624"/>
      </w:tabs>
      <w:spacing w:before="240" w:after="120" w:line="520" w:lineRule="exact"/>
      <w:ind w:left="624" w:hanging="454"/>
    </w:pPr>
    <w:rPr>
      <w:rFonts w:ascii="宋体"/>
      <w:sz w:val="24"/>
      <w:szCs w:val="20"/>
    </w:rPr>
  </w:style>
  <w:style w:type="paragraph" w:customStyle="1" w:styleId="199">
    <w:name w:val="Char11"/>
    <w:basedOn w:val="1"/>
    <w:uiPriority w:val="0"/>
    <w:rPr>
      <w:szCs w:val="20"/>
    </w:rPr>
  </w:style>
  <w:style w:type="paragraph" w:customStyle="1" w:styleId="200">
    <w:name w:val="p0"/>
    <w:basedOn w:val="1"/>
    <w:uiPriority w:val="0"/>
    <w:pPr>
      <w:widowControl/>
    </w:pPr>
    <w:rPr>
      <w:kern w:val="0"/>
      <w:szCs w:val="21"/>
    </w:rPr>
  </w:style>
  <w:style w:type="paragraph" w:customStyle="1" w:styleId="201">
    <w:name w:val="p12"/>
    <w:basedOn w:val="1"/>
    <w:uiPriority w:val="0"/>
    <w:pPr>
      <w:widowControl/>
      <w:spacing w:before="100" w:after="100"/>
      <w:jc w:val="left"/>
    </w:pPr>
    <w:rPr>
      <w:rFonts w:hint="eastAsia" w:ascii="宋体" w:hAnsi="宋体"/>
      <w:color w:val="000000"/>
      <w:kern w:val="0"/>
      <w:sz w:val="24"/>
    </w:rPr>
  </w:style>
  <w:style w:type="paragraph" w:customStyle="1" w:styleId="202">
    <w:name w:val="--规划正文"/>
    <w:basedOn w:val="1"/>
    <w:uiPriority w:val="0"/>
    <w:pPr>
      <w:widowControl/>
      <w:suppressAutoHyphens/>
      <w:spacing w:line="360" w:lineRule="auto"/>
      <w:ind w:firstLine="200"/>
      <w:jc w:val="left"/>
    </w:pPr>
    <w:rPr>
      <w:kern w:val="1"/>
      <w:szCs w:val="20"/>
    </w:rPr>
  </w:style>
  <w:style w:type="paragraph" w:customStyle="1" w:styleId="203">
    <w:name w:val="表格小4字"/>
    <w:basedOn w:val="1"/>
    <w:qFormat/>
    <w:uiPriority w:val="0"/>
    <w:pPr>
      <w:widowControl w:val="0"/>
      <w:adjustRightInd w:val="0"/>
      <w:snapToGrid w:val="0"/>
      <w:spacing w:line="264" w:lineRule="auto"/>
      <w:ind w:firstLine="0" w:firstLineChars="0"/>
      <w:jc w:val="left"/>
    </w:pPr>
    <w:rPr>
      <w:rFonts w:ascii="仿宋" w:hAnsi="仿宋"/>
      <w:kern w:val="2"/>
      <w:szCs w:val="28"/>
    </w:rPr>
  </w:style>
  <w:style w:type="paragraph" w:customStyle="1" w:styleId="204">
    <w:name w:val="Char Char Char Char"/>
    <w:basedOn w:val="1"/>
    <w:uiPriority w:val="0"/>
    <w:pPr>
      <w:widowControl/>
      <w:spacing w:after="160" w:afterLines="0" w:line="240" w:lineRule="exact"/>
      <w:jc w:val="left"/>
    </w:pPr>
  </w:style>
  <w:style w:type="paragraph" w:customStyle="1" w:styleId="205">
    <w:name w:val="默认段落字体 Para Char Char Char1 Char"/>
    <w:basedOn w:val="1"/>
    <w:uiPriority w:val="0"/>
    <w:pPr>
      <w:spacing w:line="240" w:lineRule="atLeast"/>
      <w:ind w:left="420" w:firstLine="420"/>
    </w:pPr>
    <w:rPr>
      <w:kern w:val="0"/>
      <w:szCs w:val="21"/>
    </w:rPr>
  </w:style>
  <w:style w:type="paragraph" w:customStyle="1" w:styleId="206">
    <w:name w:val="p1"/>
    <w:basedOn w:val="1"/>
    <w:uiPriority w:val="0"/>
    <w:pPr>
      <w:spacing w:before="0" w:beforeAutospacing="0" w:after="0" w:afterAutospacing="0"/>
      <w:ind w:left="0" w:right="0"/>
      <w:jc w:val="left"/>
    </w:pPr>
    <w:rPr>
      <w:rFonts w:ascii=".pingfang sc" w:hAnsi=".pingfang sc" w:eastAsia=".pingfang sc" w:cs=".pingfang sc"/>
      <w:kern w:val="0"/>
      <w:sz w:val="24"/>
      <w:szCs w:val="24"/>
      <w:lang w:val="en-US" w:eastAsia="zh-CN" w:bidi="ar"/>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ettings.xml" Type="http://schemas.openxmlformats.org/officeDocument/2006/relationships/settings"/><Relationship Id="rId20" Target="media/image12.jpe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footer1.xml" Type="http://schemas.openxmlformats.org/officeDocument/2006/relationships/footer"/><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customXml/item1.xml" Type="http://schemas.openxmlformats.org/officeDocument/2006/relationships/customXml"/><Relationship Id="rId34" Target="numbering.xml" Type="http://schemas.openxmlformats.org/officeDocument/2006/relationships/numbering"/><Relationship Id="rId35" Target="fontTable.xml" Type="http://schemas.openxmlformats.org/officeDocument/2006/relationships/fontTable"/><Relationship Id="rId4" Target="header1.xml" Type="http://schemas.openxmlformats.org/officeDocument/2006/relationships/head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165</Pages>
  <Words>13680</Words>
  <Characters>77977</Characters>
  <Lines>649</Lines>
  <Paragraphs>182</Paragraphs>
  <TotalTime>0</TotalTime>
  <ScaleCrop>false</ScaleCrop>
  <LinksUpToDate>false</LinksUpToDate>
  <CharactersWithSpaces>91475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2019-09-25T07:53:00Z</dcterms:created>
  <dc:creator>User</dc:creator>
  <cp:lastModifiedBy>WPS_1701756769</cp:lastModifiedBy>
  <cp:lastPrinted>2019-08-28T02:52:00Z</cp:lastPrinted>
  <dcterms:modified xsi:type="dcterms:W3CDTF">2024-02-22T08:50:20Z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51FF1224BEF84A72A15D03DB70CB16F1_13</vt:lpwstr>
  </property>
</Properties>
</file>