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left="0" w:leftChars="0" w:right="3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江北区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智慧城管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  <w:t>信息采集工作考核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办法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为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进一步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加强对信息采集工作的管理，提高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承包公司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服务质量和工作效率，保证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信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息采集工作的规范、准确、及时、高效运行，根据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《宁波市智慧城管信息采集规范要求》《宁波市智慧城管服务外包工作考核办法》等相关文件要求，</w:t>
      </w:r>
      <w:r>
        <w:rPr>
          <w:rFonts w:hint="default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信息采集员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eastAsia="zh-CN"/>
        </w:rPr>
        <w:t>要进行定时、全面、公正、细致地巡查，及时发现、采集和上报城市管理中存在的问题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，结合工作实际，制定本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  <w:lang w:val="en-US" w:eastAsia="zh-CN"/>
        </w:rPr>
        <w:t>办法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highlight w:val="none"/>
        </w:rPr>
        <w:t>。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总则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both"/>
        <w:textAlignment w:val="auto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left="0" w:leftChars="0" w:right="0" w:rightChars="0" w:firstLine="640" w:firstLineChars="200"/>
        <w:jc w:val="left"/>
        <w:textAlignment w:val="auto"/>
        <w:rPr>
          <w:rFonts w:hint="eastAsia" w:eastAsia="华文仿宋"/>
          <w:color w:val="auto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江北区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智慧城管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信息采集工作考核以全面、客观、公正、公开、规范为基本原则，以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力量配备指标、人员管理指标、采集业务指标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以及抽查考核结果为基本依据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，形成规范的综合考核体系。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both"/>
        <w:textAlignment w:val="auto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考核方式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left="0" w:leftChars="0" w:right="0" w:rightChars="0" w:firstLine="640" w:firstLineChars="200"/>
        <w:jc w:val="left"/>
        <w:textAlignment w:val="auto"/>
        <w:rPr>
          <w:rFonts w:hint="eastAsia" w:eastAsia="华文仿宋"/>
          <w:color w:val="auto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采取线上线下相结合的方式，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考核按月度进行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考核方式以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宁波市城市运行管理服务平台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为数据依托结合不定期抽查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both"/>
        <w:textAlignment w:val="auto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考核结果运用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left="0" w:leftChars="0" w:right="0" w:rightChars="0" w:firstLine="640" w:firstLineChars="200"/>
        <w:jc w:val="lef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江北区社会治理中心根据每月考核承包公司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绩效编制形成考核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报告</w:t>
      </w:r>
      <w:r>
        <w:rPr>
          <w:rFonts w:hint="eastAsia"/>
          <w:color w:val="auto"/>
          <w:highlight w:val="no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作为每季度采集费用的支付依据。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考核指标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第四条  力量配备</w:t>
      </w:r>
      <w:r>
        <w:rPr>
          <w:rFonts w:hint="default"/>
          <w:b/>
          <w:bCs/>
          <w:color w:val="auto"/>
          <w:sz w:val="32"/>
          <w:szCs w:val="32"/>
          <w:highlight w:val="none"/>
          <w:lang w:eastAsia="zh-CN"/>
        </w:rPr>
        <w:t>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配备数量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30" w:lineRule="exact"/>
        <w:ind w:left="0" w:right="0" w:rightChars="0" w:firstLine="640" w:firstLineChars="200"/>
        <w:jc w:val="both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信息采集队伍配备1名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项目负责人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信息采集员人数不得低于合同约定数量（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并提供花名册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、学历证明、居住证明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信息采集员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华文仿宋" w:hAnsi="华文仿宋" w:eastAsia="华文仿宋" w:cs="华文仿宋"/>
          <w:color w:val="auto"/>
          <w:kern w:val="2"/>
          <w:sz w:val="32"/>
          <w:szCs w:val="32"/>
          <w:highlight w:val="none"/>
          <w:lang w:val="en-US" w:eastAsia="zh-CN" w:bidi="ar"/>
        </w:rPr>
        <w:t>项目负责人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不得擅自变更，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信息采集员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如有变更，承包公司需提前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10天以书面形式告知，</w:t>
      </w:r>
      <w:r>
        <w:rPr>
          <w:rFonts w:hint="default" w:ascii="华文仿宋" w:hAnsi="华文仿宋" w:eastAsia="华文仿宋" w:cs="华文仿宋"/>
          <w:color w:val="auto"/>
          <w:kern w:val="2"/>
          <w:sz w:val="32"/>
          <w:szCs w:val="32"/>
          <w:highlight w:val="none"/>
          <w:lang w:val="en-US" w:eastAsia="zh-CN" w:bidi="ar"/>
        </w:rPr>
        <w:t>项目负责人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如有变更，承包公司需提前1个月以书面形式告知，且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需经发包单位同意方可变更。因擅自变更造成工作无法正常运行的，扣2分。</w:t>
      </w:r>
      <w:r>
        <w:rPr>
          <w:rFonts w:hint="default" w:ascii="华文仿宋" w:hAnsi="华文仿宋" w:eastAsia="华文仿宋" w:cs="华文仿宋"/>
          <w:color w:val="auto"/>
          <w:kern w:val="2"/>
          <w:sz w:val="32"/>
          <w:szCs w:val="32"/>
          <w:highlight w:val="none"/>
          <w:lang w:val="en-US" w:eastAsia="zh-CN" w:bidi="ar"/>
        </w:rPr>
        <w:t>项目负责人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或信息采集员暂离岗位的，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应提前3天以书面形式告知并做好工作对接，且暂离不得超过5天，如超过5天的，每人次扣1分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华文仿宋" w:hAnsi="华文仿宋" w:eastAsia="华文仿宋" w:cs="华文仿宋"/>
          <w:color w:val="auto"/>
          <w:kern w:val="2"/>
          <w:sz w:val="32"/>
          <w:szCs w:val="32"/>
          <w:highlight w:val="none"/>
          <w:lang w:val="en-US" w:eastAsia="zh-CN" w:bidi="ar"/>
        </w:rPr>
        <w:t>项目负责人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信息采集员离职后2天内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补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的，每少一人扣1分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，4天内未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补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的，每少一人扣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，以此类推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（二）年龄</w:t>
      </w:r>
      <w:r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30" w:lineRule="exact"/>
        <w:ind w:right="0" w:rightChars="0" w:firstLine="640" w:firstLineChars="200"/>
        <w:jc w:val="both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信息采集员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年龄要求在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周岁区间，其中20-30（含）周岁要求占比不高于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0%，31-45（含）周岁要求占比65%及以上，人数占比不达标的，每多或少1%扣1分。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（三）学历要求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3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信息采集员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学历在高中、中专、职高、技校的人数占比不低于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40%，大专及以上的人数占比不低于15%，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学历要求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不达标的，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每少1%扣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3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为提高信息采集员综合素质，要求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同时满足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年龄在45（含）周岁以下、学历在高中及以上、居住在江北辖区的人数占比达30%及以上，每少1%扣2分。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30" w:lineRule="exact"/>
        <w:ind w:right="0" w:rightChars="0" w:firstLine="640" w:firstLineChars="200"/>
        <w:jc w:val="both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所有信息采集员及项目负责人无犯罪记录处罚。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第五条  人员管理规范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（一）持证上岗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3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信息采集员在岗期间必须携带身份证和采集设备，如发现有未携带上述任何一项的，每发现一次，扣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（二）出勤管理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信息采集员须严格按照作息时间（夏令时：7:30-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21：00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，冬令时：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8：00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-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21：00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）要求按时上下班，工作时间内采集设备应登录“城管通”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APP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，打开GPS定位，且一直处于在线状态，区中心不定期通过江北区“一网统管”城市运行管理服务平台进行轨迹抽查，发现没有轨迹的按照脱岗处理；不定期拨打电话进行抽查，第一次未接通会在半小时后拨打第二次，两次均未接听按照失联处理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脱岗或失联每发现一次扣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（三）设备使用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采集设备应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实行定人、定机、定账号的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三定制度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，擅自改变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采集设备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的使用者或登录账号，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或将采集设备私自拆解、挪作他用的，每发现一次扣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1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分；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发现采集设备无法正常使用，未及时报告并送交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指定部门检测、维修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的，每发现一次扣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1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分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（四）教育培训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信息采集员的日常教育培训工作由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承包公司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组织实施，每月不少于一次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，每次不少于1学时（1学时=1小时），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每月底将教育培训的通知、照片、人员签到表（三者缺一不可）报发包单位，未提供的，少一次扣1分。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每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年度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培训时间累积不少于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12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个学时，不达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12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学时的，扣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分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。积极参加发包单位组织的培训，要求全员参加，每次培训参加人数少一人扣1分。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教育培训主要有党的路线、方针和政策，城市管理行政执法相关法律、法规、规章和规范性文件；信息采集员的行为规范、职业道德、岗位职责、工作纪律、工作方法与技巧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；业务相关知识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第六条</w:t>
      </w:r>
      <w:r>
        <w:rPr>
          <w:rFonts w:hint="eastAsia" w:ascii="华文仿宋" w:hAnsi="华文仿宋" w:eastAsia="华文仿宋" w:cs="华文仿宋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采集业务规范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（一）有效上报量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按照单位面积平均上报案件量计算（以覆盖的建成区域面积为基准）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月度该指标在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市六区考核排名前三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不予扣分，第四名扣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，第五名扣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1.5分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，第六名扣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（二）部件占比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每月采集上报的案件总数，部件数占比达8%及以上，每少1%扣1分。计算公式为：上报部件数/上报案件总数（巡查发现+视频上报）。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（三）差错数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华文仿宋" w:hAnsi="华文仿宋" w:eastAsia="华文仿宋" w:cs="华文仿宋"/>
          <w:color w:val="auto"/>
          <w:kern w:val="2"/>
          <w:sz w:val="32"/>
          <w:szCs w:val="32"/>
          <w:highlight w:val="none"/>
          <w:lang w:val="en-US" w:eastAsia="zh-CN" w:bidi="ar"/>
        </w:rPr>
        <w:t>每月采集上报的案件，因采集照片不规范，导致案件被作废无法立案的，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每发现一件扣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（四）案件质量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案件质量应达到市中心考核要求，包括问题描述规范准确、照片拍摄规范、大小类选择正确等，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被市中心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每月督查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通报的，每件扣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（五）漏报</w:t>
      </w:r>
      <w:r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按照不留空白，不留盲区，不留死角的要求，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信息采集员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要做到网格内的城市管理问题应采尽采。漏报率不高于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5%，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每增加1%扣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。计算公式为：采集漏报数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(考评督查重点类+普通类）/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采集校核基数（有效上报数+采集漏报数）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（六）采集督查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根据市中心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每月的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采集督查成绩排名进行考核，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月度该指标在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市六区考核排名前三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不予扣分，第四名扣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，第五名扣2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，第六名扣5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（七）主动发现率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根据市中心每月的主动发现率通报排名进行考核，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月度该指标在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市六区考核排名前三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不予扣分，第四名扣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，第五名扣1.5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，第六名扣2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（八）按时核查率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收到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核查指令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信息采集员必须按时回复（以市中心核定的时效为准，如有变更，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承包公司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需无条件服从）。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按时核查率不得低于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%，每低于1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%扣1分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承包公司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能提供相关资料证明是由设备故障、极端天气等不可抗力因素造成的核查超时案件除外）。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第七条  简易问题处置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信息采集员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应对情节轻微且力所能及的简易问题实施现场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处置（按文件后的简易问题的范围为准），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简易问题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处置量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市六区排名前三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不予扣分，第四名扣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，第五名扣2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，第六名扣5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jc w:val="center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奖惩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第八条  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承包公司被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行业主管部门、行政机关发文嘉奖、领导批示表扬的，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市级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每次奖励3000元，省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级每次奖励5000元，国家级每次奖励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（二）承包公司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提供的信息采集服务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受到媒体正面报道的，区级每次奖励1000元，市级奖励3000元，省级奖励5000元，国家级奖励10000元。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省、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大比武中获个人第一名的奖励承包公司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000元，第二名奖励承包公司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000元，第三名奖励承包公司1000元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；团体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第一名的奖励承包公司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000元，第二名奖励承包公司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000元，第三名奖励承包公司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000元；承包公司须给予获奖个人一定的奖励。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对建成区65平方公里核心区域以外的案件进行核查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，每核查结案1件给予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0.0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的加分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，每分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奖励2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000元，奖励金额计算公式为：得分*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000元。在防汛防台、各类创建活动、其它突击检查等应急保障行动期间，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协助开展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相应应急保障服务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的，根据宁波市最低工资标准，给予每人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0元/小时的奖励。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0" w:firstLineChars="200"/>
        <w:textAlignment w:val="auto"/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（五）在信息采集员日常工作中，存在见义勇为或好人好事的情形的，视情给予适当奖励。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合同期内，月度考核分在90分（不含）以上，每高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分给予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第九条  处罚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月度考核基准分为90分（含），每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下降1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分扣款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000元。考核成绩低于基准分的，低于部分分值乘以每分扣款额度得出扣款金额。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承包公司、项目负责人、信息采集员发生与工作相关的“吃、拿、卡、要”等问题，一经查实，每次视情节扣承包公司5000-10000元。对于出现“吃、拿、卡、要”及涉及泄密的项目负责人、信息采集员，要求承包公司给予调离江北区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智慧城管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信息采集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队伍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提供的信息采集服务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受到媒体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负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面报道的，区级每次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扣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1000元，市级每次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扣3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000元，省级每次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扣5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000元，国家级每次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扣1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被行业主管部门、行政机关发文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通报批评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、领导批示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整改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的，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市级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每次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3000元，省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级每次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5000元，国家级每次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扣10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000元。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）承包公司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项目负责人、信息采集员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应遵守保密规定，严禁泄露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采集设备内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任何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信息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，每发现一次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视情节扣承包公司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5000-10000元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第十条  合同期内，有以下情形之一的，发包单位有权终止合同。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连续三个月考核分数低于8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累计五个月考核分数低于80分。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1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连续两次或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累计三次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发生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第三章第九条第二、三、四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、五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款中任何一款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规定的情形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的。</w:t>
      </w:r>
    </w:p>
    <w:p>
      <w:pPr>
        <w:numPr>
          <w:ilvl w:val="0"/>
          <w:numId w:val="1"/>
        </w:numPr>
        <w:jc w:val="center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附则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本办法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考核指标涉及百分比的，不足1%的按1%计算，不足2%的按2%计算，以此类推。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奖惩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32"/>
          <w:szCs w:val="32"/>
          <w:highlight w:val="none"/>
          <w:lang w:eastAsia="zh-CN"/>
        </w:rPr>
        <w:t>款项按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highlight w:val="none"/>
          <w:lang w:eastAsia="zh-CN"/>
        </w:rPr>
        <w:t>月度计算、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32"/>
          <w:szCs w:val="32"/>
          <w:highlight w:val="none"/>
          <w:lang w:eastAsia="zh-CN"/>
        </w:rPr>
        <w:t>季度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结算。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  <w:t>如因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  <w:t>智慧城管运行实际需要，所产生的相关指标发生变化，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承包公司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  <w:t>必须无条件服从。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  <w:t xml:space="preserve"> 承担区中心交办的其他任务。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条  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本办法由江北区社会治理中心负责解释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，在合同周期内有权对考核办法进行调整修订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30" w:lineRule="exact"/>
        <w:ind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default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条  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2"/>
          <w:szCs w:val="32"/>
          <w:highlight w:val="none"/>
          <w:lang w:eastAsia="zh-CN"/>
        </w:rPr>
        <w:t>本办法自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2023年   月  日起实行，原北区矛调发〔2020〕11号文件同时作废。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方正小标宋简体"/>
          <w:color w:val="auto"/>
          <w:sz w:val="21"/>
          <w:szCs w:val="32"/>
          <w:highlight w:val="none"/>
          <w:u w:val="single" w:color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eastAsia="宋体" w:cs="方正小标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方正小标宋简体"/>
          <w:color w:val="auto"/>
          <w:sz w:val="32"/>
          <w:szCs w:val="32"/>
          <w:highlight w:val="none"/>
          <w:u w:val="single" w:color="auto"/>
        </w:rPr>
        <w:t xml:space="preserve">     </w:t>
      </w:r>
      <w:r>
        <w:rPr>
          <w:rFonts w:hint="eastAsia" w:ascii="宋体" w:hAnsi="宋体" w:eastAsia="宋体" w:cs="方正小标宋简体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方正小标宋简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宋体" w:cs="方正小标宋简体"/>
          <w:color w:val="auto"/>
          <w:sz w:val="32"/>
          <w:szCs w:val="32"/>
          <w:highlight w:val="none"/>
        </w:rPr>
        <w:t>月份江北区</w:t>
      </w:r>
      <w:r>
        <w:rPr>
          <w:rFonts w:hint="eastAsia" w:ascii="宋体" w:hAnsi="宋体" w:eastAsia="宋体" w:cs="方正小标宋简体"/>
          <w:color w:val="auto"/>
          <w:sz w:val="32"/>
          <w:szCs w:val="32"/>
          <w:highlight w:val="none"/>
          <w:lang w:eastAsia="zh-CN"/>
        </w:rPr>
        <w:t>智慧城管</w:t>
      </w:r>
      <w:r>
        <w:rPr>
          <w:rFonts w:hint="eastAsia" w:ascii="Arial" w:hAnsi="Arial" w:eastAsia="宋体" w:cs="方正小标宋简体"/>
          <w:color w:val="auto"/>
          <w:sz w:val="32"/>
          <w:szCs w:val="32"/>
          <w:highlight w:val="none"/>
        </w:rPr>
        <w:t>信息采集工作考核表</w:t>
      </w:r>
    </w:p>
    <w:tbl>
      <w:tblPr>
        <w:tblStyle w:val="5"/>
        <w:tblpPr w:leftFromText="180" w:rightFromText="180" w:vertAnchor="text" w:horzAnchor="page" w:tblpX="888" w:tblpY="1498"/>
        <w:tblOverlap w:val="never"/>
        <w:tblW w:w="14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6"/>
        <w:gridCol w:w="1260"/>
        <w:gridCol w:w="4500"/>
        <w:gridCol w:w="5328"/>
        <w:gridCol w:w="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考核内容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力量配备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规范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配备数量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color w:val="auto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color w:val="auto"/>
                <w:sz w:val="21"/>
                <w:highlight w:val="none"/>
              </w:rPr>
              <w:t>配备1名项目负责人，</w:t>
            </w:r>
            <w:r>
              <w:rPr>
                <w:rFonts w:hint="eastAsia" w:ascii="Arial" w:hAnsi="Arial" w:eastAsia="宋体"/>
                <w:color w:val="auto"/>
                <w:sz w:val="21"/>
                <w:highlight w:val="none"/>
                <w:lang w:eastAsia="zh-CN"/>
              </w:rPr>
              <w:t>信息采集员人数不得低于合同约定数量（</w:t>
            </w:r>
            <w:r>
              <w:rPr>
                <w:rFonts w:hint="eastAsia" w:ascii="Arial" w:hAnsi="Arial"/>
                <w:color w:val="auto"/>
                <w:sz w:val="21"/>
                <w:highlight w:val="none"/>
                <w:lang w:val="en-US" w:eastAsia="zh-CN"/>
              </w:rPr>
              <w:t>并提供花名册</w:t>
            </w:r>
            <w:r>
              <w:rPr>
                <w:rFonts w:hint="eastAsia" w:ascii="Arial" w:hAnsi="Arial" w:eastAsia="宋体"/>
                <w:color w:val="auto"/>
                <w:sz w:val="21"/>
                <w:highlight w:val="none"/>
                <w:lang w:eastAsia="zh-CN"/>
              </w:rPr>
              <w:t>）</w:t>
            </w:r>
            <w:r>
              <w:rPr>
                <w:rFonts w:hint="eastAsia" w:ascii="Arial" w:hAnsi="Arial"/>
                <w:color w:val="auto"/>
                <w:sz w:val="21"/>
                <w:highlight w:val="none"/>
                <w:lang w:eastAsia="zh-CN"/>
              </w:rPr>
              <w:t>。信息采集员和项目负责人不得擅自变更，信息采集员如有变更，承包公司需提前10天以书面形式告知，项目负责人如有变更，承包公司需提前1个月以书面形式告知，且均需经发包单位同意方可变更。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因擅自变更</w:t>
            </w:r>
            <w:r>
              <w:rPr>
                <w:rFonts w:hint="eastAsia" w:ascii="Arial" w:hAnsi="Arial"/>
                <w:color w:val="auto"/>
                <w:sz w:val="21"/>
                <w:highlight w:val="none"/>
                <w:lang w:eastAsia="zh-CN"/>
              </w:rPr>
              <w:t>信息采集员</w:t>
            </w:r>
            <w:r>
              <w:rPr>
                <w:rFonts w:hint="default" w:ascii="Arial" w:hAnsi="Arial"/>
                <w:color w:val="auto"/>
                <w:sz w:val="21"/>
                <w:highlight w:val="none"/>
                <w:lang w:eastAsia="zh-CN"/>
              </w:rPr>
              <w:t>或</w:t>
            </w:r>
            <w:r>
              <w:rPr>
                <w:rFonts w:hint="eastAsia" w:ascii="Arial" w:hAnsi="Arial"/>
                <w:color w:val="auto"/>
                <w:sz w:val="21"/>
                <w:highlight w:val="none"/>
                <w:lang w:eastAsia="zh-CN"/>
              </w:rPr>
              <w:t>项目负责人</w:t>
            </w:r>
            <w:r>
              <w:rPr>
                <w:rFonts w:hint="default" w:ascii="Arial" w:hAnsi="Arial"/>
                <w:color w:val="auto"/>
                <w:sz w:val="21"/>
                <w:highlight w:val="none"/>
                <w:lang w:eastAsia="zh-CN"/>
              </w:rPr>
              <w:t>，</w:t>
            </w:r>
            <w:r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造成工作无法正常运行的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，扣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项目负责人或信息采集员暂离岗位的，承包公司应提前3天以书面形式告知并做好工作对接，且暂离不得超过5天，如超过5天的，每人次扣1分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项目负责人或信息采集员离职后2天内未补足的，每少一人扣1分，4天内未补足的，每少一人扣2分，以此类推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年龄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default" w:ascii="Arial" w:hAnsi="Arial"/>
                <w:color w:val="auto"/>
                <w:sz w:val="21"/>
                <w:highlight w:val="none"/>
                <w:lang w:eastAsia="zh-CN"/>
              </w:rPr>
              <w:t>4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/>
                <w:color w:val="auto"/>
                <w:sz w:val="21"/>
                <w:highlight w:val="none"/>
              </w:rPr>
            </w:pPr>
            <w:r>
              <w:rPr>
                <w:rFonts w:hint="eastAsia" w:ascii="Arial" w:hAnsi="Arial" w:eastAsia="宋体"/>
                <w:color w:val="auto"/>
                <w:sz w:val="21"/>
                <w:highlight w:val="none"/>
              </w:rPr>
              <w:t>信息采集员年龄要求在20至60周岁区间，其中20-30（含）周岁要求占比不高于20%，31-45（含）周岁要求占比65%及以上</w:t>
            </w:r>
            <w:r>
              <w:rPr>
                <w:rFonts w:hint="default" w:ascii="Arial" w:hAnsi="Arial"/>
                <w:color w:val="auto"/>
                <w:sz w:val="21"/>
                <w:highlight w:val="none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1、20-3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0（含）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周岁要求占比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不高于2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0%，每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多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1%扣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分，不足1%的按照1%计算（下同）；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2、3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45（含）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周岁要求占比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65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%及以上，每少1%扣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学历要求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default" w:ascii="Arial" w:hAnsi="Arial"/>
                <w:color w:val="auto"/>
                <w:sz w:val="21"/>
                <w:highlight w:val="none"/>
                <w:lang w:eastAsia="zh-CN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/>
                <w:color w:val="auto"/>
                <w:sz w:val="21"/>
                <w:highlight w:val="none"/>
              </w:rPr>
            </w:pPr>
            <w:r>
              <w:rPr>
                <w:rFonts w:hint="eastAsia" w:ascii="Arial" w:hAnsi="Arial" w:eastAsia="宋体"/>
                <w:color w:val="auto"/>
                <w:sz w:val="21"/>
                <w:highlight w:val="none"/>
              </w:rPr>
              <w:t>要求信息采集员学历在高中、中专、职高、技校的人数占比不低于40%，大专及以上的人数占比不低于15%</w:t>
            </w:r>
            <w:r>
              <w:rPr>
                <w:rFonts w:hint="default" w:ascii="Arial" w:hAnsi="Arial"/>
                <w:color w:val="auto"/>
                <w:sz w:val="21"/>
                <w:highlight w:val="none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学历要求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不达标的，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每少1%扣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Arial" w:hAnsi="Arial"/>
                <w:color w:val="auto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Arial" w:hAnsi="Arial"/>
                <w:color w:val="auto"/>
                <w:sz w:val="21"/>
                <w:highlight w:val="none"/>
                <w:lang w:eastAsia="zh-CN"/>
              </w:rPr>
              <w:t>为提高信息采集员综合素质，要求年龄在45（含）周岁以下、学历在高中及以上、居住在江北辖区内，三项均符合的人数占比30%及以上</w:t>
            </w:r>
            <w:r>
              <w:rPr>
                <w:rFonts w:hint="default" w:ascii="Arial" w:hAnsi="Arial"/>
                <w:color w:val="auto"/>
                <w:sz w:val="21"/>
                <w:highlight w:val="none"/>
                <w:lang w:eastAsia="zh-CN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每少1%扣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人员管理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规范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持证上岗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信息采集员在岗期间必须携带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身份证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采集设备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信息采集员未携带身份证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或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采集设备的，每发现一次扣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出勤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信息采集员须严格按照作息时间（夏令时：7:30-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21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:00，冬令时：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8：0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21：00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要求按时上下班，工作时间内采集设备应登录“城管通”APP，打开GPS定位，且一直处于在线状态，区中心不定期通过江北区“一网统管”城市运行管理服务平台进行轨迹抽查，发现没有轨迹的按照脱岗处理；不定期拨打电话进行抽查，第一次未接通会在半小时后拨打第二次，两次均未接听按照失联处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脱岗或失联每发现一次扣1分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设备使用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集设备应实行定人、定机、定账号的“三定制度”，擅自改变采集设备的使用者或登录账号，或将采集设备私自拆解、挪作他用的，每发现一次扣1分；发现采集设备无法正常使用，未及时报告并送交指定部门检测、维修的，每发现一次扣1分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擅自改变采集设备的使用者或登录账号，或将采集设备私自拆解、挪作他用的，每发现一次扣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1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发现采集设备无法正常使用，未能及时报告并送交指定部门检测、维修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，每发现一次扣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1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分。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培训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textAlignment w:val="auto"/>
              <w:outlineLvl w:val="9"/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信息采集员的日常教育培训工作由承包公司组织实施，每月不少于一次，每次不少于1学时（1学时=1小时）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每月底将教育培训的通知、照片、人员情况报发包单位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  <w:t>未提供的，少一次扣1分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。每年度培训时间累积不少于12个学时，不达12学时的，扣2分。积极参加发包单位组织的培训，要求全员参加，每次培训参加人数少一人扣1分。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  <w:t>教育培训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</w:rPr>
              <w:t>每月不少于一次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，每次不少于1学时（1学时=1小时）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  <w:t>每月底将教育培训的通知、照片、</w:t>
            </w:r>
            <w:r>
              <w:rPr>
                <w:rFonts w:hint="eastAsia" w:ascii="Arial" w:hAnsi="Arial"/>
                <w:color w:val="auto"/>
                <w:szCs w:val="21"/>
                <w:highlight w:val="none"/>
                <w:lang w:val="en-US" w:eastAsia="zh-CN"/>
              </w:rPr>
              <w:t>人员签到表（三者缺一不可）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  <w:t>报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发包单位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  <w:t>，未提供的，少一次扣1分；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Arial" w:hAnsi="Arial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Cs w:val="21"/>
                <w:highlight w:val="none"/>
              </w:rPr>
              <w:t>每</w:t>
            </w:r>
            <w:r>
              <w:rPr>
                <w:rFonts w:hint="default" w:ascii="Arial" w:hAnsi="Arial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</w:rPr>
              <w:t>培训时间累积不少于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</w:rPr>
              <w:t>个学时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  <w:lang w:val="en-US" w:eastAsia="zh-CN"/>
              </w:rPr>
              <w:t>不达12学时的，扣2分</w:t>
            </w:r>
            <w:r>
              <w:rPr>
                <w:rFonts w:hint="eastAsia" w:ascii="Arial" w:hAnsi="Arial" w:eastAsia="宋体"/>
                <w:color w:val="auto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/>
                <w:color w:val="auto"/>
                <w:szCs w:val="21"/>
                <w:highlight w:val="none"/>
                <w:lang w:eastAsia="zh-CN"/>
              </w:rPr>
              <w:t>积极参加发包单位组织的培训，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要求全员参加，</w:t>
            </w:r>
            <w:r>
              <w:rPr>
                <w:rFonts w:hint="eastAsia" w:ascii="Arial" w:hAnsi="Arial"/>
                <w:color w:val="auto"/>
                <w:szCs w:val="21"/>
                <w:highlight w:val="none"/>
                <w:lang w:eastAsia="zh-CN"/>
              </w:rPr>
              <w:t>每次培训每少一人扣</w:t>
            </w:r>
            <w:r>
              <w:rPr>
                <w:rFonts w:hint="eastAsia" w:ascii="Arial" w:hAnsi="Arial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Arial"/>
                <w:color w:val="auto"/>
                <w:szCs w:val="21"/>
                <w:highlight w:val="none"/>
                <w:lang w:eastAsia="zh-CN"/>
              </w:rPr>
              <w:t>分。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采集业务规范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有效上报量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按照单位面积平均上报案件量计算（以覆盖的建成区域面积为基准），月度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有效上报量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在市六区的排名。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排名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前三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不予扣分，第四名扣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1分，第五名扣1.5分，第六名扣2分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部件占比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每月采集上报的案件总数，部件数占比达8%及以上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部件数占比达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8%及以上，每少1%扣1分。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差错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Arial" w:hAnsi="Arial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10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每月采集上报的案件，因采集照片不规范，导致案件被作废无法立案的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进行考核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差错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数每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发现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件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，扣1分。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案件质量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Arial" w:hAnsi="Arial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12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案件质量应达到市中心考核要求，包括问题描述规范准确；照片拍摄规范；大小类选择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正确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等。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被市中心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每月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督查通报的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每件扣1分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漏报率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按照不留空白，不留盲区，不留死角的要求，信息采集员要做到网格内的城市管理问题应采尽采。漏报率不高于5%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每增加1%扣1分。计算公式为：采集漏报数(考评督查重点类+普通类）/采集校核基数（有效上报数+采集漏报数）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 w:bidi="ar-SA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采集督查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Arial" w:hAnsi="Arial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根据市中心每月的采集督查成绩排名进行考核。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排名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前三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不予扣分，第四名扣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1分，第五名扣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分，第六名扣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主动发现率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根据市中心每月的主动发现率通报排名进行考核。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排名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前三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不予扣分，第四名扣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1分，第五名扣1.5分，第六名扣2分</w:t>
            </w: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按时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核查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率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收到核查指令，信息采集员必须按时回复（以市中心核定的时效为准，如有变更，承包公司需无条件服从）。按时核查率不得低于85%（承包公司能提供相关资料证明是由设备故障、极端天气等不可抗力因素造成的核查超时案件除外）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按时核查率不得低于</w:t>
            </w:r>
            <w:r>
              <w:rPr>
                <w:rFonts w:hint="eastAsia" w:ascii="Arial" w:hAnsi="Arial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，每低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1%扣1分。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宋体"/>
                <w:color w:val="auto"/>
                <w:kern w:val="0"/>
                <w:sz w:val="21"/>
                <w:szCs w:val="21"/>
                <w:highlight w:val="none"/>
              </w:rPr>
              <w:t>简易问题处置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简易问题处置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default" w:ascii="Arial" w:hAnsi="Arial"/>
                <w:color w:val="auto"/>
                <w:sz w:val="21"/>
                <w:highlight w:val="none"/>
                <w:lang w:eastAsia="zh-CN"/>
              </w:rPr>
              <w:t>5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Arial" w:hAnsi="Arial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eastAsia="宋体"/>
                <w:color w:val="auto"/>
                <w:sz w:val="21"/>
                <w:highlight w:val="none"/>
              </w:rPr>
              <w:t>对情节轻微且力所能及的简易问题实施</w:t>
            </w:r>
            <w:r>
              <w:rPr>
                <w:rFonts w:hint="default" w:ascii="Arial" w:hAnsi="Arial"/>
                <w:color w:val="auto"/>
                <w:sz w:val="21"/>
                <w:highlight w:val="none"/>
              </w:rPr>
              <w:t>现场</w:t>
            </w:r>
            <w:r>
              <w:rPr>
                <w:rFonts w:hint="eastAsia" w:ascii="Arial" w:hAnsi="Arial" w:eastAsia="宋体"/>
                <w:color w:val="auto"/>
                <w:sz w:val="21"/>
                <w:highlight w:val="none"/>
              </w:rPr>
              <w:t>处置。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根据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简易问题处置量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市六区排名前三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不予扣分，第四名扣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1分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，第五名扣2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，第六名扣5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0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eastAsia="宋体"/>
                <w:b/>
                <w:bCs/>
                <w:color w:val="auto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24"/>
          <w:szCs w:val="24"/>
          <w:highlight w:val="none"/>
        </w:rPr>
      </w:pPr>
      <w:r>
        <w:rPr>
          <w:rFonts w:hint="default" w:ascii="华文仿宋" w:hAnsi="华文仿宋" w:eastAsia="华文仿宋" w:cs="华文仿宋"/>
          <w:b/>
          <w:bCs/>
          <w:color w:val="auto"/>
          <w:sz w:val="24"/>
          <w:szCs w:val="24"/>
          <w:highlight w:val="none"/>
        </w:rPr>
        <w:t>实施人：                                      审批人：                                         确认人：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</w:rPr>
        <w:t>备注：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  <w:highlight w:val="none"/>
        </w:rPr>
        <w:t>简易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24"/>
          <w:szCs w:val="24"/>
          <w:highlight w:val="none"/>
        </w:rPr>
        <w:t>问题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  <w:highlight w:val="none"/>
        </w:rPr>
        <w:t>现场处置的范围包括：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不符合立案的小广告；绿地或主干道的小木板广告类；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垃圾箱小门打开或盖子移位，垃圾箱外的小袋装垃圾；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井盖轻微错位，在能力范围内；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交通护拦轻微移位、脱节、侧倒（非水泥柱等）；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非泊车位的停车（车主正准备停）单个现象，自行车停在泊车线外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val="en-US" w:eastAsia="zh-CN"/>
        </w:rPr>
        <w:t>停车方向错误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网络通讯交接箱门打开（设施不坏）；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主干道单个流浪乞讨；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单个影响交通及自身安全的无证商贩；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84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1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其他可以现场简易处置的问题。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65639B7-7EC5-4392-9380-5165A752EDD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18BDE9C5-CE0B-468A-8F13-1A41CD3EFC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9346949-6320-49DB-94D8-5371B3745A4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400" w:firstLineChars="30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D62ED"/>
    <w:multiLevelType w:val="singleLevel"/>
    <w:tmpl w:val="A49D62ED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FEAFBDB1"/>
    <w:multiLevelType w:val="singleLevel"/>
    <w:tmpl w:val="FEAFBD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30"/>
    <w:multiLevelType w:val="singleLevel"/>
    <w:tmpl w:val="00000030"/>
    <w:lvl w:ilvl="0" w:tentative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3">
    <w:nsid w:val="00000049"/>
    <w:multiLevelType w:val="singleLevel"/>
    <w:tmpl w:val="000000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FCA87B6"/>
    <w:multiLevelType w:val="singleLevel"/>
    <w:tmpl w:val="1FCA87B6"/>
    <w:lvl w:ilvl="0" w:tentative="0">
      <w:start w:val="11"/>
      <w:numFmt w:val="chineseCounting"/>
      <w:suff w:val="space"/>
      <w:lvlText w:val="第%1条"/>
      <w:lvlJc w:val="left"/>
      <w:rPr>
        <w:rFonts w:hint="eastAsia"/>
      </w:rPr>
    </w:lvl>
  </w:abstractNum>
  <w:abstractNum w:abstractNumId="5">
    <w:nsid w:val="3FB30A83"/>
    <w:multiLevelType w:val="singleLevel"/>
    <w:tmpl w:val="3FB30A8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0718CDF"/>
    <w:multiLevelType w:val="singleLevel"/>
    <w:tmpl w:val="40718CD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mRjYWNkZGZmZWFlY2ZkNjJkMTQ5MGI5YmE5NzMifQ=="/>
  </w:docVars>
  <w:rsids>
    <w:rsidRoot w:val="7DDC0BDE"/>
    <w:rsid w:val="01081EC2"/>
    <w:rsid w:val="03960095"/>
    <w:rsid w:val="05F9301F"/>
    <w:rsid w:val="063F2EFC"/>
    <w:rsid w:val="0664493D"/>
    <w:rsid w:val="0857635E"/>
    <w:rsid w:val="096411BD"/>
    <w:rsid w:val="09DC0C8E"/>
    <w:rsid w:val="0B810068"/>
    <w:rsid w:val="0D5E3F86"/>
    <w:rsid w:val="0DBA560F"/>
    <w:rsid w:val="0E8D1DA5"/>
    <w:rsid w:val="102D0E09"/>
    <w:rsid w:val="114A5E54"/>
    <w:rsid w:val="142E295E"/>
    <w:rsid w:val="192F1F52"/>
    <w:rsid w:val="1A6829F7"/>
    <w:rsid w:val="1C4544BB"/>
    <w:rsid w:val="1C6524B7"/>
    <w:rsid w:val="1CC02F2C"/>
    <w:rsid w:val="1DF7656A"/>
    <w:rsid w:val="1DF9C7B3"/>
    <w:rsid w:val="1F8EDE4E"/>
    <w:rsid w:val="1FC59E71"/>
    <w:rsid w:val="20293384"/>
    <w:rsid w:val="20362687"/>
    <w:rsid w:val="213D19C6"/>
    <w:rsid w:val="22100A18"/>
    <w:rsid w:val="22F9B8B4"/>
    <w:rsid w:val="25301D0D"/>
    <w:rsid w:val="27A005D7"/>
    <w:rsid w:val="2A6308E4"/>
    <w:rsid w:val="2C037E66"/>
    <w:rsid w:val="2C34136F"/>
    <w:rsid w:val="2DBDBA3F"/>
    <w:rsid w:val="2EE54CDF"/>
    <w:rsid w:val="30241C05"/>
    <w:rsid w:val="309479F9"/>
    <w:rsid w:val="30CE6CD3"/>
    <w:rsid w:val="31FF9E35"/>
    <w:rsid w:val="32260A0F"/>
    <w:rsid w:val="34401C96"/>
    <w:rsid w:val="369C67E3"/>
    <w:rsid w:val="36FE2C4B"/>
    <w:rsid w:val="39FBD329"/>
    <w:rsid w:val="3EE22D18"/>
    <w:rsid w:val="3F747261"/>
    <w:rsid w:val="3FADBBA9"/>
    <w:rsid w:val="3FDBF138"/>
    <w:rsid w:val="3FF79EB8"/>
    <w:rsid w:val="3FFD5C32"/>
    <w:rsid w:val="3FFDC7F8"/>
    <w:rsid w:val="42765A63"/>
    <w:rsid w:val="434D7A2D"/>
    <w:rsid w:val="4447607C"/>
    <w:rsid w:val="450E4F45"/>
    <w:rsid w:val="453F13E8"/>
    <w:rsid w:val="487D096B"/>
    <w:rsid w:val="49AC7EFC"/>
    <w:rsid w:val="4CEDE2DF"/>
    <w:rsid w:val="4E9F7F51"/>
    <w:rsid w:val="4F266763"/>
    <w:rsid w:val="4F7F7573"/>
    <w:rsid w:val="4FF6B6BF"/>
    <w:rsid w:val="51467D30"/>
    <w:rsid w:val="53582E9A"/>
    <w:rsid w:val="5474D81C"/>
    <w:rsid w:val="55E76FB3"/>
    <w:rsid w:val="568954F8"/>
    <w:rsid w:val="56AB117F"/>
    <w:rsid w:val="56F36C51"/>
    <w:rsid w:val="577F21D1"/>
    <w:rsid w:val="582453C1"/>
    <w:rsid w:val="590A624B"/>
    <w:rsid w:val="5AEA6214"/>
    <w:rsid w:val="5BBDE234"/>
    <w:rsid w:val="5CDFBA33"/>
    <w:rsid w:val="5DB61604"/>
    <w:rsid w:val="5DFB817F"/>
    <w:rsid w:val="5EF59B09"/>
    <w:rsid w:val="5EF944CF"/>
    <w:rsid w:val="5F1FE332"/>
    <w:rsid w:val="5FDB1AEA"/>
    <w:rsid w:val="5FE706FB"/>
    <w:rsid w:val="5FEF840C"/>
    <w:rsid w:val="602F1919"/>
    <w:rsid w:val="646707EA"/>
    <w:rsid w:val="67741006"/>
    <w:rsid w:val="677D3FE8"/>
    <w:rsid w:val="6AC60234"/>
    <w:rsid w:val="6D7F7E74"/>
    <w:rsid w:val="6D9E0D1F"/>
    <w:rsid w:val="6DE79900"/>
    <w:rsid w:val="6EAF1824"/>
    <w:rsid w:val="6EF79C50"/>
    <w:rsid w:val="6F7F5868"/>
    <w:rsid w:val="6FC78058"/>
    <w:rsid w:val="6FE50B74"/>
    <w:rsid w:val="6FFB3FE2"/>
    <w:rsid w:val="6FFFA285"/>
    <w:rsid w:val="73FF622C"/>
    <w:rsid w:val="747A361D"/>
    <w:rsid w:val="75CD5EA2"/>
    <w:rsid w:val="770A8F78"/>
    <w:rsid w:val="77DD85B8"/>
    <w:rsid w:val="793A26E8"/>
    <w:rsid w:val="79DDA61E"/>
    <w:rsid w:val="7A840560"/>
    <w:rsid w:val="7AFDA129"/>
    <w:rsid w:val="7B5F1FCE"/>
    <w:rsid w:val="7BDCF3C9"/>
    <w:rsid w:val="7C3311E0"/>
    <w:rsid w:val="7CFE1373"/>
    <w:rsid w:val="7D4E97FE"/>
    <w:rsid w:val="7D96EF47"/>
    <w:rsid w:val="7D9BCAA8"/>
    <w:rsid w:val="7DDC0BDE"/>
    <w:rsid w:val="7DFA397F"/>
    <w:rsid w:val="7DFEF51B"/>
    <w:rsid w:val="7DFF247B"/>
    <w:rsid w:val="7DFF628D"/>
    <w:rsid w:val="7EE7BFBE"/>
    <w:rsid w:val="7F7BCFA7"/>
    <w:rsid w:val="7F9B2474"/>
    <w:rsid w:val="7FB6D595"/>
    <w:rsid w:val="7FBF5DAA"/>
    <w:rsid w:val="7FC5703B"/>
    <w:rsid w:val="7FCF8FBA"/>
    <w:rsid w:val="7FEF3E89"/>
    <w:rsid w:val="7FFEDDD9"/>
    <w:rsid w:val="91BFA346"/>
    <w:rsid w:val="AFAB03B1"/>
    <w:rsid w:val="BCBDA56E"/>
    <w:rsid w:val="BE1EFD5D"/>
    <w:rsid w:val="BEDF7B22"/>
    <w:rsid w:val="BF9DB87F"/>
    <w:rsid w:val="BFADCEA0"/>
    <w:rsid w:val="BFFF9FC1"/>
    <w:rsid w:val="CAF3CF04"/>
    <w:rsid w:val="D7FE97F2"/>
    <w:rsid w:val="D8FBDC8A"/>
    <w:rsid w:val="DDDEDE05"/>
    <w:rsid w:val="DF5E01B5"/>
    <w:rsid w:val="DFBE8AD2"/>
    <w:rsid w:val="DFEC7E65"/>
    <w:rsid w:val="E73D5ADC"/>
    <w:rsid w:val="E7FE4117"/>
    <w:rsid w:val="E8F37E67"/>
    <w:rsid w:val="E9BFA299"/>
    <w:rsid w:val="EEF7D57C"/>
    <w:rsid w:val="EFEABA11"/>
    <w:rsid w:val="EFF4292A"/>
    <w:rsid w:val="F01228BD"/>
    <w:rsid w:val="F0DF117D"/>
    <w:rsid w:val="F3AF4247"/>
    <w:rsid w:val="F3FFB008"/>
    <w:rsid w:val="F6FDD599"/>
    <w:rsid w:val="F72FD12E"/>
    <w:rsid w:val="F7D7B9D0"/>
    <w:rsid w:val="F997CD9A"/>
    <w:rsid w:val="FADFA616"/>
    <w:rsid w:val="FCFFAE6A"/>
    <w:rsid w:val="FD3B9520"/>
    <w:rsid w:val="FD3ED755"/>
    <w:rsid w:val="FDCE2071"/>
    <w:rsid w:val="FDDF1A7A"/>
    <w:rsid w:val="FDDFD88C"/>
    <w:rsid w:val="FDF7F1AA"/>
    <w:rsid w:val="FDF92FE9"/>
    <w:rsid w:val="FEBF8113"/>
    <w:rsid w:val="FEC9C142"/>
    <w:rsid w:val="FEF712B2"/>
    <w:rsid w:val="FF3F9E0B"/>
    <w:rsid w:val="FF5FE1B9"/>
    <w:rsid w:val="FF6EF94A"/>
    <w:rsid w:val="FF7A362E"/>
    <w:rsid w:val="FFBEBCC2"/>
    <w:rsid w:val="FFD5D25D"/>
    <w:rsid w:val="FFD7EE17"/>
    <w:rsid w:val="FFF3D951"/>
    <w:rsid w:val="FFFDA591"/>
    <w:rsid w:val="FF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  <w:rPr>
      <w:rFonts w:eastAsia="楷体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2023-09-01T22:20:00Z</dcterms:created>
  <dc:creator>dell</dc:creator>
  <cp:lastModifiedBy>中基招标公司</cp:lastModifiedBy>
  <cp:lastPrinted>2023-09-22T16:02:00Z</cp:lastPrinted>
  <dcterms:modified xsi:type="dcterms:W3CDTF">2023-10-10T02:30:02Z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6222C3023BE14742A38FFE251C6CA924_11</vt:lpwstr>
  </property>
</Properties>
</file>