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4"/>
          <w:szCs w:val="44"/>
        </w:rPr>
      </w:pPr>
    </w:p>
    <w:p>
      <w:pPr>
        <w:adjustRightInd/>
        <w:spacing w:line="360" w:lineRule="auto"/>
        <w:jc w:val="both"/>
        <w:rPr>
          <w:rFonts w:hint="eastAsia" w:ascii="仿宋" w:hAnsi="仿宋" w:eastAsia="仿宋" w:cs="仿宋"/>
          <w:b/>
          <w:sz w:val="48"/>
          <w:szCs w:val="48"/>
        </w:rPr>
      </w:pPr>
    </w:p>
    <w:p>
      <w:pPr>
        <w:adjustRightInd/>
        <w:spacing w:line="360" w:lineRule="auto"/>
        <w:jc w:val="center"/>
        <w:rPr>
          <w:rFonts w:hint="eastAsia" w:ascii="仿宋" w:hAnsi="仿宋" w:eastAsia="仿宋" w:cs="仿宋"/>
          <w:sz w:val="44"/>
          <w:szCs w:val="44"/>
        </w:rPr>
      </w:pPr>
      <w:r>
        <w:rPr>
          <w:rFonts w:hint="eastAsia" w:ascii="仿宋" w:hAnsi="仿宋" w:eastAsia="仿宋" w:cs="仿宋"/>
          <w:sz w:val="44"/>
          <w:szCs w:val="44"/>
          <w:lang w:eastAsia="zh-CN"/>
        </w:rPr>
        <w:t>2022年至2024年县城花卉采购种植及养护项目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TZCG-TL2022-007</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eastAsia="zh-CN"/>
        </w:rPr>
        <w:t>：桐庐县市政园林建设管理处</w:t>
      </w:r>
    </w:p>
    <w:p>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w:t>
      </w:r>
      <w:r>
        <w:rPr>
          <w:rFonts w:hint="eastAsia" w:ascii="仿宋" w:hAnsi="仿宋" w:eastAsia="仿宋" w:cs="仿宋"/>
          <w:bCs/>
          <w:sz w:val="32"/>
          <w:szCs w:val="32"/>
        </w:rPr>
        <w:t>同舟国际工程管理有限公司</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十</w:t>
      </w:r>
      <w:r>
        <w:rPr>
          <w:rFonts w:hint="eastAsia" w:ascii="仿宋" w:hAnsi="仿宋" w:eastAsia="仿宋" w:cs="仿宋"/>
          <w:bCs/>
          <w:sz w:val="32"/>
          <w:szCs w:val="32"/>
        </w:rPr>
        <w:t>月</w:t>
      </w:r>
    </w:p>
    <w:p>
      <w:pPr>
        <w:spacing w:line="360" w:lineRule="auto"/>
        <w:jc w:val="center"/>
        <w:rPr>
          <w:rFonts w:hint="eastAsia" w:ascii="仿宋" w:hAnsi="仿宋" w:eastAsia="仿宋" w:cs="仿宋"/>
          <w:sz w:val="24"/>
        </w:rPr>
        <w:sectPr>
          <w:headerReference r:id="rId4" w:type="first"/>
          <w:footerReference r:id="rId6" w:type="first"/>
          <w:headerReference r:id="rId3" w:type="default"/>
          <w:footerReference r:id="rId5" w:type="even"/>
          <w:pgSz w:w="11905" w:h="16838"/>
          <w:pgMar w:top="1077" w:right="1417" w:bottom="1134" w:left="1417" w:header="851" w:footer="850" w:gutter="0"/>
          <w:cols w:space="0" w:num="1"/>
          <w:rtlGutter w:val="0"/>
          <w:docGrid w:linePitch="312" w:charSpace="0"/>
        </w:sectPr>
      </w:pPr>
    </w:p>
    <w:p>
      <w:pPr>
        <w:pStyle w:val="3"/>
        <w:rPr>
          <w:rFonts w:hint="eastAsia"/>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0" w:name="_Hlt91233176"/>
      <w:bookmarkEnd w:id="0"/>
      <w:bookmarkStart w:id="1"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2022年至2024年县城花卉采购种植及养护项目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sz w:val="24"/>
          <w:u w:val="single"/>
        </w:rPr>
        <w:t>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TZCG-TL2022-007</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2022年至2024年县城花卉采购种植及养护项目</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 xml:space="preserve">16000000 </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sz w:val="24"/>
          <w:lang w:val="en-US" w:eastAsia="zh-CN"/>
        </w:rPr>
        <w:t>16000000</w:t>
      </w:r>
      <w:r>
        <w:rPr>
          <w:rFonts w:hint="eastAsia" w:ascii="仿宋" w:hAnsi="仿宋" w:eastAsia="仿宋" w:cs="仿宋"/>
          <w:sz w:val="24"/>
        </w:rPr>
        <w:t xml:space="preserve">  </w:t>
      </w:r>
    </w:p>
    <w:p>
      <w:pPr>
        <w:pStyle w:val="18"/>
        <w:spacing w:line="360" w:lineRule="auto"/>
        <w:ind w:firstLine="480"/>
        <w:rPr>
          <w:rFonts w:hint="eastAsia" w:ascii="仿宋" w:hAnsi="仿宋" w:eastAsia="仿宋" w:cs="仿宋"/>
          <w:bCs/>
          <w:snapToGrid/>
          <w:color w:val="auto"/>
          <w:kern w:val="2"/>
          <w:sz w:val="24"/>
          <w:szCs w:val="24"/>
          <w:lang w:eastAsia="zh-CN"/>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2022年至2024年县城花卉采购种植及养护项目</w:t>
      </w:r>
    </w:p>
    <w:p>
      <w:pPr>
        <w:pStyle w:val="18"/>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主要内容：桐庐县市政园林建设管理处管辖范围内的花坛、花箱的</w:t>
      </w:r>
      <w:r>
        <w:rPr>
          <w:rFonts w:hint="eastAsia" w:ascii="仿宋" w:hAnsi="仿宋" w:eastAsia="仿宋" w:cs="仿宋"/>
          <w:bCs/>
          <w:snapToGrid/>
          <w:color w:val="auto"/>
          <w:kern w:val="2"/>
          <w:sz w:val="24"/>
          <w:szCs w:val="24"/>
          <w:lang w:eastAsia="zh-CN"/>
        </w:rPr>
        <w:t>花卉</w:t>
      </w:r>
      <w:r>
        <w:rPr>
          <w:rFonts w:hint="eastAsia" w:ascii="仿宋" w:hAnsi="仿宋" w:eastAsia="仿宋" w:cs="仿宋"/>
          <w:bCs/>
          <w:snapToGrid/>
          <w:color w:val="auto"/>
          <w:kern w:val="2"/>
          <w:sz w:val="24"/>
          <w:szCs w:val="24"/>
        </w:rPr>
        <w:t>更换清理种植及养护</w:t>
      </w:r>
      <w:r>
        <w:rPr>
          <w:rFonts w:hint="eastAsia" w:ascii="仿宋" w:hAnsi="仿宋" w:eastAsia="仿宋" w:cs="仿宋"/>
          <w:bCs/>
          <w:snapToGrid/>
          <w:color w:val="auto"/>
          <w:kern w:val="2"/>
          <w:sz w:val="24"/>
          <w:szCs w:val="24"/>
          <w:lang w:val="en-US" w:eastAsia="zh-CN"/>
        </w:rPr>
        <w:t>等</w:t>
      </w:r>
      <w:r>
        <w:rPr>
          <w:rFonts w:hint="eastAsia" w:ascii="仿宋" w:hAnsi="仿宋" w:eastAsia="仿宋" w:cs="仿宋"/>
          <w:bCs/>
          <w:snapToGrid/>
          <w:color w:val="auto"/>
          <w:kern w:val="2"/>
          <w:sz w:val="24"/>
          <w:szCs w:val="24"/>
        </w:rPr>
        <w:t>。详见招标文件第三部分采购需求。</w:t>
      </w:r>
    </w:p>
    <w:p>
      <w:pPr>
        <w:pStyle w:val="128"/>
        <w:ind w:firstLine="482"/>
        <w:outlineLvl w:val="2"/>
        <w:rPr>
          <w:rFonts w:hint="eastAsia" w:ascii="仿宋" w:hAnsi="仿宋" w:eastAsia="仿宋" w:cs="仿宋"/>
          <w:lang w:val="en-US" w:eastAsia="zh-CN"/>
        </w:rPr>
      </w:pPr>
      <w:r>
        <w:rPr>
          <w:rFonts w:hint="eastAsia" w:ascii="仿宋" w:hAnsi="仿宋" w:eastAsia="仿宋" w:cs="仿宋"/>
          <w:b/>
        </w:rPr>
        <w:t>合同履约期限：自合同签订之日起</w:t>
      </w:r>
      <w:r>
        <w:rPr>
          <w:rFonts w:hint="eastAsia" w:ascii="仿宋" w:hAnsi="仿宋" w:eastAsia="仿宋" w:cs="仿宋"/>
          <w:b/>
          <w:lang w:eastAsia="zh-CN"/>
        </w:rPr>
        <w:t>2</w:t>
      </w:r>
      <w:r>
        <w:rPr>
          <w:rFonts w:hint="eastAsia" w:ascii="仿宋" w:hAnsi="仿宋" w:eastAsia="仿宋" w:cs="仿宋"/>
          <w:b/>
        </w:rPr>
        <w:t>年</w:t>
      </w:r>
    </w:p>
    <w:p>
      <w:pPr>
        <w:pStyle w:val="18"/>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pStyle w:val="128"/>
        <w:ind w:firstLine="482"/>
        <w:outlineLvl w:val="2"/>
        <w:rPr>
          <w:rFonts w:hint="eastAsia" w:ascii="仿宋" w:hAnsi="仿宋" w:eastAsia="仿宋" w:cs="仿宋"/>
          <w:b/>
        </w:rPr>
      </w:pPr>
      <w:r>
        <w:rPr>
          <w:rFonts w:hint="eastAsia" w:ascii="仿宋" w:hAnsi="仿宋" w:eastAsia="仿宋" w:cs="仿宋"/>
          <w:b/>
        </w:rPr>
        <w:t>注：不得限制大中型企业与小微企业组成联合体参与投标。</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214102535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lang w:val="en-US" w:eastAsia="zh-CN"/>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lang w:val="en-US" w:eastAsia="zh-CN"/>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w:t>
      </w:r>
      <w:r>
        <w:rPr>
          <w:rFonts w:hint="eastAsia" w:ascii="仿宋" w:hAnsi="仿宋" w:eastAsia="仿宋" w:cs="仿宋"/>
          <w:sz w:val="24"/>
          <w:u w:val="single"/>
          <w:lang w:val="en-US" w:eastAsia="zh-CN"/>
        </w:rPr>
        <w:t>2</w:t>
      </w:r>
      <w:r>
        <w:rPr>
          <w:rFonts w:hint="eastAsia" w:ascii="仿宋" w:hAnsi="仿宋" w:eastAsia="仿宋" w:cs="仿宋"/>
          <w:sz w:val="24"/>
          <w:u w:val="single"/>
        </w:rPr>
        <w:t>年</w:t>
      </w:r>
      <w:r>
        <w:rPr>
          <w:rFonts w:hint="eastAsia" w:ascii="仿宋" w:hAnsi="仿宋" w:eastAsia="仿宋" w:cs="仿宋"/>
          <w:sz w:val="24"/>
          <w:u w:val="single"/>
          <w:lang w:val="en-US" w:eastAsia="zh-CN"/>
        </w:rPr>
        <w:t>11</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bCs/>
          <w:sz w:val="24"/>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w:t>
      </w:r>
      <w:r>
        <w:rPr>
          <w:rFonts w:hint="eastAsia" w:ascii="仿宋" w:hAnsi="仿宋" w:eastAsia="仿宋" w:cs="仿宋"/>
          <w:sz w:val="24"/>
          <w:lang w:eastAsia="zh-CN"/>
        </w:rPr>
        <w:t>桐庐县市政园林建设管理处</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浙江省杭州市桐庐县城南街道健康路9号</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郑康</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13805762408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 钱佳妮</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质疑联系方式：15968822236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同舟国际工程管理有限公司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桐庐县中艺大厦10楼</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柴思</w:t>
      </w:r>
      <w:r>
        <w:rPr>
          <w:rFonts w:hint="eastAsia" w:ascii="仿宋" w:hAnsi="仿宋" w:eastAsia="仿宋" w:cs="仿宋"/>
          <w:sz w:val="24"/>
        </w:rPr>
        <w:t xml:space="preserve">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项目联系方式（询问）：</w:t>
      </w:r>
      <w:r>
        <w:rPr>
          <w:rFonts w:hint="eastAsia" w:ascii="仿宋" w:hAnsi="仿宋" w:eastAsia="仿宋" w:cs="仿宋"/>
          <w:sz w:val="24"/>
          <w:lang w:eastAsia="zh-CN"/>
        </w:rPr>
        <w:t>18958171231</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王楚楚</w:t>
      </w:r>
      <w:r>
        <w:rPr>
          <w:rFonts w:hint="eastAsia" w:ascii="仿宋" w:hAnsi="仿宋" w:eastAsia="仿宋" w:cs="仿宋"/>
          <w:sz w:val="24"/>
        </w:rPr>
        <w:t xml:space="preserve">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质疑联系方式：</w:t>
      </w:r>
      <w:r>
        <w:rPr>
          <w:rFonts w:hint="eastAsia" w:ascii="仿宋" w:hAnsi="仿宋" w:eastAsia="仿宋" w:cs="仿宋"/>
          <w:sz w:val="24"/>
          <w:lang w:eastAsia="zh-CN"/>
        </w:rPr>
        <w:t>13516714497</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称：桐庐县财政局 </w:t>
      </w:r>
    </w:p>
    <w:p>
      <w:pPr>
        <w:spacing w:line="360" w:lineRule="auto"/>
        <w:ind w:firstLine="0" w:firstLineChars="0"/>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桐庐县春江路688号财税大楼</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联系人 ：</w:t>
      </w:r>
      <w:r>
        <w:rPr>
          <w:rFonts w:hint="eastAsia" w:ascii="仿宋" w:hAnsi="仿宋" w:eastAsia="仿宋" w:cs="仿宋"/>
          <w:sz w:val="24"/>
          <w:lang w:eastAsia="zh-CN"/>
        </w:rPr>
        <w:t>方翔</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w:t>
      </w:r>
      <w:r>
        <w:rPr>
          <w:rFonts w:hint="eastAsia" w:ascii="仿宋" w:hAnsi="仿宋" w:eastAsia="仿宋" w:cs="仿宋"/>
          <w:sz w:val="24"/>
          <w:lang w:eastAsia="zh-CN"/>
        </w:rPr>
        <w:t>0571-58507058</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4"/>
        <w:adjustRightInd/>
        <w:spacing w:line="360" w:lineRule="auto"/>
        <w:jc w:val="center"/>
        <w:outlineLvl w:val="0"/>
        <w:rPr>
          <w:rFonts w:hint="eastAsia" w:ascii="仿宋" w:hAnsi="仿宋" w:eastAsia="仿宋" w:cs="仿宋"/>
          <w:b/>
          <w:sz w:val="36"/>
          <w:szCs w:val="20"/>
        </w:rPr>
      </w:pPr>
    </w:p>
    <w:p>
      <w:pPr>
        <w:pStyle w:val="34"/>
        <w:adjustRightInd/>
        <w:spacing w:line="360" w:lineRule="auto"/>
        <w:jc w:val="center"/>
        <w:outlineLvl w:val="0"/>
        <w:rPr>
          <w:rFonts w:hint="eastAsia" w:ascii="仿宋" w:hAnsi="仿宋" w:eastAsia="仿宋" w:cs="仿宋"/>
          <w:b/>
          <w:sz w:val="36"/>
          <w:szCs w:val="20"/>
        </w:rPr>
      </w:pPr>
    </w:p>
    <w:p>
      <w:pPr>
        <w:pStyle w:val="34"/>
        <w:adjustRightInd/>
        <w:spacing w:line="360" w:lineRule="auto"/>
        <w:jc w:val="center"/>
        <w:outlineLvl w:val="0"/>
        <w:rPr>
          <w:rFonts w:hint="eastAsia" w:ascii="仿宋" w:hAnsi="仿宋" w:eastAsia="仿宋" w:cs="仿宋"/>
          <w:b/>
          <w:sz w:val="36"/>
          <w:szCs w:val="20"/>
        </w:rPr>
      </w:pPr>
    </w:p>
    <w:p>
      <w:pPr>
        <w:pStyle w:val="34"/>
        <w:adjustRightInd/>
        <w:spacing w:line="360" w:lineRule="auto"/>
        <w:jc w:val="center"/>
        <w:outlineLvl w:val="0"/>
        <w:rPr>
          <w:rFonts w:hint="eastAsia" w:ascii="仿宋" w:hAnsi="仿宋" w:eastAsia="仿宋" w:cs="仿宋"/>
          <w:b/>
          <w:sz w:val="36"/>
          <w:szCs w:val="20"/>
        </w:rPr>
      </w:pPr>
    </w:p>
    <w:p>
      <w:pPr>
        <w:pStyle w:val="34"/>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00" w:type="dxa"/>
        <w:tblInd w:w="-5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0"/>
        <w:gridCol w:w="2116"/>
        <w:gridCol w:w="6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6" w:hRule="atLeast"/>
          <w:tblHeader/>
        </w:trPr>
        <w:tc>
          <w:tcPr>
            <w:tcW w:w="70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11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项目</w:t>
            </w:r>
          </w:p>
        </w:tc>
        <w:tc>
          <w:tcPr>
            <w:tcW w:w="688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6" w:hRule="atLeast"/>
          <w:tblHeader/>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Times New Roman"/>
                <w:color w:val="auto"/>
                <w:sz w:val="24"/>
                <w:highlight w:val="none"/>
                <w:lang w:val="en-US" w:eastAsia="zh-CN"/>
              </w:rPr>
              <w:t>1</w:t>
            </w:r>
          </w:p>
        </w:tc>
        <w:tc>
          <w:tcPr>
            <w:tcW w:w="2116"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仿宋" w:hAnsi="仿宋" w:eastAsia="仿宋" w:cs="仿宋"/>
                <w:b/>
                <w:sz w:val="24"/>
              </w:rPr>
            </w:pPr>
            <w:r>
              <w:rPr>
                <w:rFonts w:hint="eastAsia" w:ascii="仿宋" w:hAnsi="仿宋" w:eastAsia="仿宋" w:cs="Times New Roman"/>
                <w:color w:val="auto"/>
                <w:sz w:val="24"/>
                <w:highlight w:val="none"/>
                <w:lang w:val="en-US" w:eastAsia="zh-CN"/>
              </w:rPr>
              <w:t>采购项目</w:t>
            </w: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仿宋"/>
                <w:color w:val="auto"/>
                <w:sz w:val="24"/>
                <w:highlight w:val="none"/>
                <w:u w:val="single"/>
                <w:lang w:val="en-US" w:eastAsia="zh-CN"/>
              </w:rPr>
            </w:pPr>
            <w:r>
              <w:rPr>
                <w:rFonts w:hint="eastAsia" w:ascii="仿宋" w:hAnsi="仿宋" w:eastAsia="仿宋" w:cs="Times New Roman"/>
                <w:color w:val="auto"/>
                <w:sz w:val="24"/>
                <w:highlight w:val="none"/>
                <w:lang w:val="en-US" w:eastAsia="zh-CN"/>
              </w:rPr>
              <w:t>项目名称：</w:t>
            </w:r>
            <w:r>
              <w:rPr>
                <w:rFonts w:hint="eastAsia" w:ascii="仿宋" w:hAnsi="仿宋" w:eastAsia="仿宋" w:cs="仿宋"/>
                <w:sz w:val="24"/>
                <w:lang w:eastAsia="zh-CN"/>
              </w:rPr>
              <w:t>2022年至2024年县城花卉采购种植及养护项目</w:t>
            </w:r>
          </w:p>
          <w:p>
            <w:pPr>
              <w:spacing w:line="360" w:lineRule="auto"/>
              <w:rPr>
                <w:rFonts w:hint="eastAsia" w:ascii="仿宋" w:hAnsi="仿宋" w:eastAsia="仿宋" w:cs="仿宋"/>
                <w:b/>
                <w:sz w:val="24"/>
              </w:rPr>
            </w:pPr>
            <w:r>
              <w:rPr>
                <w:rFonts w:hint="eastAsia" w:ascii="仿宋" w:hAnsi="仿宋" w:eastAsia="仿宋" w:cs="Times New Roman"/>
                <w:color w:val="auto"/>
                <w:sz w:val="24"/>
                <w:highlight w:val="none"/>
                <w:lang w:val="en-US" w:eastAsia="zh-CN"/>
              </w:rPr>
              <w:t>项目编号：</w:t>
            </w:r>
            <w:r>
              <w:rPr>
                <w:rFonts w:hint="eastAsia" w:ascii="仿宋" w:hAnsi="仿宋" w:eastAsia="仿宋" w:cs="仿宋"/>
                <w:sz w:val="24"/>
                <w:lang w:eastAsia="zh-CN"/>
              </w:rPr>
              <w:t>TZCG-TL2022-007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6" w:hRule="atLeast"/>
          <w:tblHeader/>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Times New Roman"/>
                <w:color w:val="auto"/>
                <w:sz w:val="24"/>
                <w:highlight w:val="none"/>
                <w:lang w:val="en-US" w:eastAsia="zh-CN"/>
              </w:rPr>
              <w:t>2</w:t>
            </w:r>
          </w:p>
        </w:tc>
        <w:tc>
          <w:tcPr>
            <w:tcW w:w="2116"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仿宋" w:hAnsi="仿宋" w:eastAsia="仿宋" w:cs="仿宋"/>
                <w:b/>
                <w:sz w:val="24"/>
              </w:rPr>
            </w:pPr>
            <w:r>
              <w:rPr>
                <w:rFonts w:hint="eastAsia" w:ascii="仿宋" w:hAnsi="仿宋" w:eastAsia="仿宋" w:cs="Times New Roman"/>
                <w:color w:val="auto"/>
                <w:sz w:val="24"/>
                <w:highlight w:val="none"/>
                <w:lang w:val="en-US" w:eastAsia="zh-CN"/>
              </w:rPr>
              <w:t>采购方式</w:t>
            </w: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sz w:val="24"/>
              </w:rPr>
            </w:pPr>
            <w:r>
              <w:rPr>
                <w:rFonts w:hint="eastAsia" w:ascii="仿宋" w:hAnsi="仿宋" w:eastAsia="仿宋" w:cs="Times New Roman"/>
                <w:color w:val="auto"/>
                <w:sz w:val="24"/>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6" w:hRule="atLeast"/>
          <w:tblHeader/>
        </w:trPr>
        <w:tc>
          <w:tcPr>
            <w:tcW w:w="7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211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项目属性</w:t>
            </w: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lang w:val="en-US" w:eastAsia="zh-CN"/>
              </w:rPr>
              <w:t>货物</w:t>
            </w:r>
            <w:r>
              <w:rPr>
                <w:rFonts w:hint="eastAsia" w:ascii="仿宋" w:hAnsi="仿宋" w:eastAsia="仿宋" w:cs="仿宋"/>
                <w:sz w:val="24"/>
              </w:rPr>
              <w:t>类</w:t>
            </w:r>
            <w:r>
              <w:rPr>
                <w:rFonts w:hint="eastAsia" w:ascii="仿宋" w:hAnsi="仿宋" w:eastAsia="仿宋" w:cs="仿宋"/>
                <w:sz w:val="24"/>
                <w:lang w:eastAsia="zh-CN"/>
              </w:rPr>
              <w:t>，</w:t>
            </w:r>
            <w:r>
              <w:rPr>
                <w:rFonts w:hint="eastAsia" w:ascii="仿宋" w:hAnsi="仿宋" w:eastAsia="仿宋" w:cs="仿宋"/>
                <w:sz w:val="24"/>
                <w:lang w:val="en-US" w:eastAsia="zh-CN"/>
              </w:rPr>
              <w:t>单一产品或核心产品为：</w:t>
            </w:r>
            <w:r>
              <w:rPr>
                <w:rFonts w:hint="eastAsia" w:ascii="仿宋" w:hAnsi="仿宋" w:eastAsia="仿宋" w:cs="仿宋"/>
                <w:sz w:val="24"/>
                <w:u w:val="single"/>
                <w:lang w:val="en-US" w:eastAsia="zh-CN"/>
              </w:rPr>
              <w:t xml:space="preserve"> 花卉 </w:t>
            </w:r>
            <w:r>
              <w:rPr>
                <w:rFonts w:hint="eastAsia" w:ascii="仿宋" w:hAnsi="仿宋" w:eastAsia="仿宋" w:cs="仿宋"/>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 w:hRule="atLeast"/>
          <w:tblHeader/>
        </w:trPr>
        <w:tc>
          <w:tcPr>
            <w:tcW w:w="7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211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采购标的及其对应的中小企业划分标准所属行业</w:t>
            </w:r>
          </w:p>
        </w:tc>
        <w:tc>
          <w:tcPr>
            <w:tcW w:w="6884"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kern w:val="0"/>
                <w:sz w:val="24"/>
                <w:lang w:eastAsia="zh-CN"/>
              </w:rPr>
            </w:pPr>
            <w:r>
              <w:rPr>
                <w:rFonts w:hint="eastAsia" w:ascii="仿宋" w:hAnsi="仿宋" w:eastAsia="仿宋" w:cs="仿宋"/>
                <w:kern w:val="0"/>
                <w:sz w:val="24"/>
              </w:rPr>
              <w:t>标的：</w:t>
            </w:r>
            <w:r>
              <w:rPr>
                <w:rFonts w:hint="eastAsia" w:ascii="仿宋" w:hAnsi="仿宋" w:eastAsia="仿宋" w:cs="仿宋"/>
                <w:sz w:val="24"/>
                <w:u w:val="single"/>
                <w:lang w:val="en-US" w:eastAsia="zh-CN"/>
              </w:rPr>
              <w:t xml:space="preserve"> 花卉 </w:t>
            </w:r>
            <w:r>
              <w:rPr>
                <w:rFonts w:hint="eastAsia" w:ascii="仿宋" w:hAnsi="仿宋" w:eastAsia="仿宋" w:cs="仿宋"/>
                <w:kern w:val="0"/>
                <w:sz w:val="24"/>
              </w:rPr>
              <w:t>，属于</w:t>
            </w:r>
            <w:r>
              <w:rPr>
                <w:rFonts w:hint="eastAsia" w:ascii="仿宋" w:hAnsi="仿宋" w:eastAsia="仿宋" w:cs="仿宋"/>
                <w:kern w:val="0"/>
                <w:sz w:val="24"/>
                <w:u w:val="single"/>
              </w:rPr>
              <w:t>农林牧渔业</w:t>
            </w:r>
            <w:r>
              <w:rPr>
                <w:rFonts w:hint="eastAsia" w:ascii="仿宋" w:hAnsi="仿宋" w:eastAsia="仿宋" w:cs="仿宋"/>
                <w:kern w:val="0"/>
                <w:sz w:val="24"/>
              </w:rPr>
              <w:t>行业</w:t>
            </w:r>
            <w:r>
              <w:rPr>
                <w:rFonts w:hint="eastAsia" w:ascii="仿宋" w:hAnsi="仿宋" w:eastAsia="仿宋" w:cs="仿宋"/>
                <w:kern w:val="0"/>
                <w:sz w:val="24"/>
                <w:lang w:eastAsia="zh-CN"/>
              </w:rPr>
              <w:t>。</w:t>
            </w:r>
          </w:p>
          <w:p>
            <w:pPr>
              <w:snapToGrid w:val="0"/>
              <w:rPr>
                <w:rFonts w:hint="eastAsia" w:ascii="仿宋" w:hAnsi="仿宋" w:eastAsia="仿宋" w:cs="仿宋"/>
                <w:lang w:val="en-US"/>
              </w:rPr>
            </w:pPr>
            <w:r>
              <w:rPr>
                <w:rFonts w:hint="eastAsia" w:ascii="仿宋" w:hAnsi="仿宋" w:eastAsia="仿宋" w:cs="仿宋"/>
                <w:b/>
                <w:bCs/>
                <w:kern w:val="0"/>
                <w:sz w:val="24"/>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blHeader/>
        </w:trPr>
        <w:tc>
          <w:tcPr>
            <w:tcW w:w="7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211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是否允许采购进口产品</w:t>
            </w: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0" w:hRule="atLeast"/>
          <w:tblHeader/>
        </w:trPr>
        <w:tc>
          <w:tcPr>
            <w:tcW w:w="7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211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0" w:firstLineChars="0"/>
              <w:jc w:val="center"/>
              <w:rPr>
                <w:rFonts w:hint="eastAsia" w:ascii="仿宋" w:hAnsi="仿宋" w:eastAsia="仿宋" w:cs="仿宋"/>
                <w:b w:val="0"/>
                <w:bCs/>
                <w:sz w:val="24"/>
              </w:rPr>
            </w:pPr>
            <w:r>
              <w:rPr>
                <w:rFonts w:hint="eastAsia" w:ascii="仿宋" w:hAnsi="仿宋" w:eastAsia="仿宋" w:cs="仿宋"/>
                <w:b w:val="0"/>
                <w:bCs/>
                <w:sz w:val="24"/>
              </w:rPr>
              <w:t>分包</w:t>
            </w: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 w:hRule="atLeast"/>
          <w:tblHeader/>
        </w:trPr>
        <w:tc>
          <w:tcPr>
            <w:tcW w:w="70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211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开标前答疑会或现场考察</w:t>
            </w: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9" w:hRule="atLeast"/>
          <w:tblHeader/>
        </w:trPr>
        <w:tc>
          <w:tcPr>
            <w:tcW w:w="70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211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样品提供</w:t>
            </w: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 w:hRule="atLeast"/>
          <w:tblHeader/>
        </w:trPr>
        <w:tc>
          <w:tcPr>
            <w:tcW w:w="70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211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方案讲解演示</w:t>
            </w: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2116"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投标人应当提供的资格、资信证明文件</w:t>
            </w:r>
          </w:p>
        </w:tc>
        <w:tc>
          <w:tcPr>
            <w:tcW w:w="688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0"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2116"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p>
        </w:tc>
        <w:tc>
          <w:tcPr>
            <w:tcW w:w="688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1" w:hRule="atLeast"/>
          <w:tblHeader/>
        </w:trPr>
        <w:tc>
          <w:tcPr>
            <w:tcW w:w="70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211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节能产品、环境标志产品</w:t>
            </w:r>
          </w:p>
        </w:tc>
        <w:tc>
          <w:tcPr>
            <w:tcW w:w="688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2" w:hRule="atLeast"/>
          <w:tblHeader/>
        </w:trPr>
        <w:tc>
          <w:tcPr>
            <w:tcW w:w="700"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211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报价要求</w:t>
            </w:r>
          </w:p>
        </w:tc>
        <w:tc>
          <w:tcPr>
            <w:tcW w:w="688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1" w:hRule="atLeast"/>
          <w:tblHeader/>
        </w:trPr>
        <w:tc>
          <w:tcPr>
            <w:tcW w:w="700"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2116"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中小企业信用融资</w:t>
            </w: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7" w:hRule="atLeast"/>
          <w:tblHeader/>
        </w:trPr>
        <w:tc>
          <w:tcPr>
            <w:tcW w:w="700"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2116"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b w:val="0"/>
                <w:bCs/>
              </w:rPr>
            </w:pP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0" w:hRule="atLeast"/>
          <w:tblHeader/>
        </w:trPr>
        <w:tc>
          <w:tcPr>
            <w:tcW w:w="700"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211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 xml:space="preserve">备份投标文件送达地点和签收人员 </w:t>
            </w:r>
          </w:p>
        </w:tc>
        <w:tc>
          <w:tcPr>
            <w:tcW w:w="6884"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lang w:val="en-US" w:eastAsia="zh-CN"/>
              </w:rPr>
              <w:t>桐庐县中艺大厦10楼</w:t>
            </w:r>
            <w:r>
              <w:rPr>
                <w:rFonts w:hint="eastAsia" w:ascii="仿宋" w:hAnsi="仿宋" w:eastAsia="仿宋" w:cs="仿宋"/>
                <w:sz w:val="24"/>
                <w:u w:val="single"/>
              </w:rPr>
              <w:t xml:space="preserve"> </w:t>
            </w:r>
            <w:r>
              <w:rPr>
                <w:rFonts w:hint="eastAsia" w:ascii="仿宋" w:hAnsi="仿宋" w:eastAsia="仿宋" w:cs="仿宋"/>
                <w:kern w:val="28"/>
                <w:sz w:val="24"/>
                <w:szCs w:val="24"/>
              </w:rPr>
              <w:t>；备份投标文件签收人员</w:t>
            </w:r>
            <w:r>
              <w:rPr>
                <w:rFonts w:hint="eastAsia" w:ascii="仿宋" w:hAnsi="仿宋" w:eastAsia="仿宋" w:cs="仿宋"/>
                <w:kern w:val="28"/>
                <w:sz w:val="24"/>
                <w:szCs w:val="24"/>
                <w:u w:val="none"/>
                <w:lang w:eastAsia="zh-CN"/>
              </w:rPr>
              <w:t>：</w:t>
            </w:r>
            <w:r>
              <w:rPr>
                <w:rFonts w:hint="eastAsia" w:ascii="仿宋" w:hAnsi="仿宋" w:eastAsia="仿宋" w:cs="仿宋"/>
                <w:kern w:val="28"/>
                <w:sz w:val="24"/>
                <w:szCs w:val="24"/>
                <w:u w:val="single"/>
                <w:lang w:val="en-US" w:eastAsia="zh-CN"/>
              </w:rPr>
              <w:t>柴思，</w:t>
            </w:r>
            <w:r>
              <w:rPr>
                <w:rFonts w:hint="eastAsia" w:ascii="仿宋" w:hAnsi="仿宋" w:eastAsia="仿宋" w:cs="仿宋"/>
                <w:kern w:val="28"/>
                <w:sz w:val="24"/>
                <w:szCs w:val="24"/>
              </w:rPr>
              <w:t>联系电话：</w:t>
            </w:r>
            <w:r>
              <w:rPr>
                <w:rFonts w:hint="eastAsia" w:ascii="仿宋" w:hAnsi="仿宋" w:eastAsia="仿宋" w:cs="仿宋"/>
                <w:sz w:val="24"/>
                <w:u w:val="single"/>
                <w:lang w:val="en-US" w:eastAsia="zh-CN"/>
              </w:rPr>
              <w:t>18958171231</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7" w:hRule="atLeast"/>
          <w:tblHeader/>
        </w:trPr>
        <w:tc>
          <w:tcPr>
            <w:tcW w:w="700"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211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sz w:val="24"/>
              </w:rPr>
            </w:pPr>
            <w:r>
              <w:rPr>
                <w:rFonts w:hint="eastAsia" w:ascii="仿宋" w:hAnsi="仿宋" w:eastAsia="仿宋" w:cs="仿宋"/>
                <w:b w:val="0"/>
                <w:bCs/>
                <w:sz w:val="24"/>
              </w:rPr>
              <w:t>代理服务费</w:t>
            </w: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napToGrid w:val="0"/>
                <w:kern w:val="28"/>
                <w:sz w:val="24"/>
              </w:rPr>
              <w:t>本次采购的招标代理服务费：按浙价服[2003]77号文件收费标准计取；不足4000元按4000元收取</w:t>
            </w:r>
            <w:r>
              <w:rPr>
                <w:rFonts w:hint="eastAsia" w:ascii="仿宋" w:hAnsi="仿宋" w:eastAsia="仿宋" w:cs="仿宋"/>
                <w:snapToGrid w:val="0"/>
                <w:kern w:val="28"/>
                <w:sz w:val="24"/>
                <w:lang w:eastAsia="zh-CN"/>
              </w:rPr>
              <w:t>；</w:t>
            </w:r>
          </w:p>
          <w:p>
            <w:pPr>
              <w:spacing w:line="360" w:lineRule="auto"/>
              <w:rPr>
                <w:rFonts w:hint="eastAsia" w:ascii="仿宋" w:hAnsi="仿宋" w:eastAsia="仿宋" w:cs="仿宋"/>
                <w:kern w:val="28"/>
                <w:sz w:val="24"/>
                <w:szCs w:val="24"/>
              </w:rPr>
            </w:pPr>
            <w:r>
              <w:rPr>
                <w:rFonts w:hint="eastAsia" w:ascii="仿宋" w:hAnsi="仿宋" w:eastAsia="仿宋" w:cs="仿宋"/>
                <w:sz w:val="24"/>
              </w:rPr>
              <w:t>以上费用由中标单位在领取中标通知书时，一次性支付给代理公司，上述费用应含在投标报价中（不得单独列项），投标人在投标报价让利中考虑上述费用。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0"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211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val="0"/>
                <w:bCs/>
                <w:sz w:val="24"/>
              </w:rPr>
              <w:t>其它说明</w:t>
            </w:r>
          </w:p>
        </w:tc>
        <w:tc>
          <w:tcPr>
            <w:tcW w:w="688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lang w:val="en-US" w:eastAsia="zh-CN"/>
              </w:rPr>
            </w:pPr>
            <w:r>
              <w:rPr>
                <w:rFonts w:hint="eastAsia" w:ascii="仿宋" w:hAnsi="仿宋" w:eastAsia="仿宋" w:cs="仿宋"/>
                <w:b/>
                <w:kern w:val="0"/>
                <w:sz w:val="24"/>
                <w:lang w:val="en-US" w:eastAsia="zh-CN"/>
              </w:rPr>
              <w:t>无</w:t>
            </w:r>
          </w:p>
        </w:tc>
      </w:tr>
      <w:bookmarkEnd w:id="9"/>
    </w:tbl>
    <w:p>
      <w:pPr>
        <w:adjustRightInd/>
        <w:spacing w:line="360" w:lineRule="auto"/>
        <w:jc w:val="center"/>
        <w:outlineLvl w:val="0"/>
        <w:rPr>
          <w:rFonts w:hint="eastAsia" w:ascii="仿宋" w:hAnsi="仿宋" w:eastAsia="仿宋" w:cs="仿宋"/>
          <w:b/>
          <w:sz w:val="32"/>
          <w:szCs w:val="20"/>
        </w:rPr>
      </w:pPr>
      <w:bookmarkStart w:id="10" w:name="_Toc164416483"/>
      <w:bookmarkStart w:id="11"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highlight w:val="yellow"/>
        </w:rPr>
        <w:t>3.3.2</w:t>
      </w:r>
      <w:r>
        <w:rPr>
          <w:rFonts w:hint="eastAsia" w:ascii="仿宋" w:hAnsi="仿宋" w:eastAsia="仿宋" w:cs="仿宋"/>
          <w:kern w:val="0"/>
          <w:sz w:val="24"/>
          <w:highlight w:val="yellow"/>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sz w:val="24"/>
          <w:lang w:val="en-US" w:eastAsia="zh-CN"/>
        </w:rPr>
        <w:t>2</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34"/>
        <w:spacing w:line="360" w:lineRule="auto"/>
        <w:ind w:firstLine="420" w:firstLineChars="200"/>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20" w:firstLineChars="200"/>
        <w:rPr>
          <w:rFonts w:hint="eastAsia" w:ascii="仿宋" w:hAnsi="仿宋" w:eastAsia="仿宋" w:cs="仿宋"/>
        </w:rPr>
      </w:pPr>
      <w:r>
        <w:rPr>
          <w:rFonts w:hint="eastAsia" w:ascii="仿宋" w:hAnsi="仿宋" w:eastAsia="仿宋" w:cs="仿宋"/>
        </w:rPr>
        <w:t>质疑函范本及制作说明详见附件2。</w:t>
      </w:r>
    </w:p>
    <w:p>
      <w:pPr>
        <w:pStyle w:val="34"/>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rPr>
      </w:pPr>
      <w:r>
        <w:rPr>
          <w:rFonts w:hint="eastAsia" w:ascii="仿宋" w:hAnsi="仿宋" w:eastAsia="仿宋" w:cs="仿宋"/>
        </w:rPr>
        <w:t>4.2.4对同一采购程序环节的质疑，供应商须在法定质疑期内一次性提出。</w:t>
      </w:r>
    </w:p>
    <w:p>
      <w:pPr>
        <w:pStyle w:val="34"/>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4"/>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34"/>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lang w:val="zh-CN"/>
        </w:rPr>
      </w:pPr>
      <w:r>
        <w:rPr>
          <w:rFonts w:hint="eastAsia" w:ascii="仿宋" w:hAnsi="仿宋" w:eastAsia="仿宋" w:cs="仿宋"/>
          <w:lang w:val="zh-CN"/>
        </w:rPr>
        <w:t>4.3供应商投诉</w:t>
      </w:r>
    </w:p>
    <w:p>
      <w:pPr>
        <w:pStyle w:val="34"/>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34"/>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34"/>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rPr>
      </w:pPr>
      <w:r>
        <w:rPr>
          <w:rFonts w:hint="eastAsia" w:ascii="仿宋" w:hAnsi="仿宋" w:eastAsia="仿宋" w:cs="仿宋"/>
        </w:rPr>
        <w:t>4.3.3供应商投诉应当有明确的请求和必要的证明材料。</w:t>
      </w:r>
    </w:p>
    <w:p>
      <w:pPr>
        <w:pStyle w:val="34"/>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34"/>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rPr>
      </w:pPr>
      <w:r>
        <w:rPr>
          <w:rFonts w:hint="eastAsia" w:ascii="仿宋" w:hAnsi="仿宋" w:eastAsia="仿宋" w:cs="仿宋"/>
        </w:rPr>
        <w:t>投诉书范本及制作说明详见附件3。</w:t>
      </w:r>
    </w:p>
    <w:p>
      <w:pPr>
        <w:pStyle w:val="34"/>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rPr>
      </w:pPr>
      <w:r>
        <w:rPr>
          <w:rFonts w:hint="eastAsia" w:ascii="仿宋" w:hAnsi="仿宋" w:eastAsia="仿宋" w:cs="仿宋"/>
        </w:rPr>
        <w:t>4.4在线质疑、投诉。</w:t>
      </w:r>
    </w:p>
    <w:p>
      <w:pPr>
        <w:pStyle w:val="34"/>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sz w:val="18"/>
          <w:szCs w:val="18"/>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sz w:val="18"/>
          <w:szCs w:val="18"/>
          <w:lang w:val="en-US"/>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8"/>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color w:val="FF0000"/>
          <w:sz w:val="24"/>
        </w:rPr>
      </w:pPr>
      <w:r>
        <w:rPr>
          <w:rFonts w:hint="eastAsia" w:ascii="仿宋" w:hAnsi="仿宋" w:eastAsia="仿宋" w:cs="仿宋"/>
          <w:sz w:val="24"/>
        </w:rPr>
        <w:t>11.2.6</w:t>
      </w:r>
      <w:r>
        <w:rPr>
          <w:rFonts w:hint="eastAsia" w:ascii="仿宋" w:hAnsi="仿宋" w:eastAsia="仿宋" w:cs="仿宋"/>
          <w:color w:val="auto"/>
          <w:sz w:val="24"/>
        </w:rPr>
        <w:t>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2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w:t>
      </w:r>
      <w:r>
        <w:rPr>
          <w:rFonts w:hint="eastAsia" w:ascii="仿宋" w:hAnsi="仿宋" w:eastAsia="仿宋" w:cs="仿宋"/>
          <w:b/>
          <w:color w:val="auto"/>
          <w:sz w:val="24"/>
          <w:szCs w:val="24"/>
        </w:rPr>
        <w:t>未</w:t>
      </w:r>
      <w:r>
        <w:rPr>
          <w:rFonts w:hint="eastAsia" w:ascii="仿宋" w:hAnsi="仿宋" w:eastAsia="仿宋" w:cs="仿宋"/>
          <w:b/>
          <w:sz w:val="24"/>
          <w:szCs w:val="24"/>
        </w:rPr>
        <w:t>在电子交易平台传输递交投标文件的，投标无效。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szCs w:val="21"/>
          <w:highlight w:val="none"/>
        </w:rPr>
        <w:t>4.2规定</w:t>
      </w:r>
      <w:r>
        <w:rPr>
          <w:rFonts w:hint="eastAsia" w:ascii="仿宋" w:hAnsi="仿宋" w:eastAsia="仿宋" w:cs="仿宋"/>
          <w:szCs w:val="21"/>
        </w:rPr>
        <w:t>的情形之一的，投标无效：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hint="eastAsia" w:ascii="仿宋" w:hAnsi="仿宋" w:eastAsia="仿宋" w:cs="仿宋"/>
          <w:b/>
          <w:sz w:val="32"/>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4"/>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241" w:firstLineChars="100"/>
        <w:contextualSpacing/>
        <w:rPr>
          <w:rFonts w:hint="eastAsia" w:ascii="仿宋" w:hAnsi="仿宋" w:eastAsia="仿宋" w:cs="仿宋"/>
          <w:b/>
          <w:sz w:val="24"/>
          <w:szCs w:val="20"/>
        </w:rPr>
      </w:pPr>
      <w:r>
        <w:rPr>
          <w:rFonts w:hint="eastAsia" w:ascii="仿宋" w:hAnsi="仿宋" w:eastAsia="仿宋" w:cs="仿宋"/>
          <w:b/>
          <w:sz w:val="24"/>
          <w:szCs w:val="20"/>
        </w:rPr>
        <w:t>19、资格审查</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w:t>
      </w:r>
      <w:r>
        <w:rPr>
          <w:rFonts w:hint="eastAsia" w:ascii="仿宋" w:hAnsi="仿宋" w:eastAsia="仿宋" w:cs="仿宋"/>
          <w:sz w:val="24"/>
          <w:highlight w:val="none"/>
        </w:rPr>
        <w:t>资格</w:t>
      </w:r>
      <w:r>
        <w:rPr>
          <w:rFonts w:hint="eastAsia" w:ascii="仿宋" w:hAnsi="仿宋" w:eastAsia="仿宋" w:cs="仿宋"/>
          <w:sz w:val="24"/>
        </w:rPr>
        <w:t>进行审查。</w:t>
      </w:r>
    </w:p>
    <w:p>
      <w:pPr>
        <w:pStyle w:val="12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sz w:val="24"/>
          <w:highlight w:val="yellow"/>
        </w:rPr>
        <w:t>资格审查情况、评审专家抽取规则、符合性审查情况、</w:t>
      </w:r>
      <w:bookmarkEnd w:id="13"/>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b/>
          <w:sz w:val="32"/>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w:t>
      </w:r>
      <w:r>
        <w:rPr>
          <w:rFonts w:hint="eastAsia" w:ascii="仿宋" w:hAnsi="仿宋" w:eastAsia="仿宋" w:cs="仿宋"/>
          <w:sz w:val="24"/>
          <w:lang w:val="en-US" w:eastAsia="zh-CN"/>
        </w:rPr>
        <w:t>1</w:t>
      </w:r>
      <w:r>
        <w:rPr>
          <w:rFonts w:hint="eastAsia" w:ascii="仿宋" w:hAnsi="仿宋" w:eastAsia="仿宋" w:cs="仿宋"/>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6"/>
        <w:ind w:left="0" w:firstLine="480" w:firstLineChars="200"/>
        <w:rPr>
          <w:rFonts w:hint="eastAsia" w:ascii="仿宋" w:hAnsi="仿宋" w:eastAsia="仿宋" w:cs="仿宋"/>
          <w:b/>
          <w:sz w:val="32"/>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2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2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2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28"/>
        <w:snapToGrid w:val="0"/>
        <w:spacing w:before="0"/>
        <w:ind w:firstLine="0" w:firstLineChars="0"/>
        <w:rPr>
          <w:rFonts w:hint="eastAsia" w:ascii="仿宋" w:hAnsi="仿宋" w:eastAsia="仿宋" w:cs="仿宋"/>
          <w:sz w:val="24"/>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kern w:val="0"/>
          <w:sz w:val="24"/>
        </w:rPr>
        <w:sectPr>
          <w:footerReference r:id="rId7" w:type="default"/>
          <w:pgSz w:w="11905" w:h="16838"/>
          <w:pgMar w:top="1077" w:right="1417" w:bottom="1134" w:left="1417" w:header="851" w:footer="850" w:gutter="0"/>
          <w:pgNumType w:fmt="decimal" w:start="2"/>
          <w:cols w:space="0" w:num="1"/>
          <w:rtlGutter w:val="0"/>
          <w:docGrid w:linePitch="312" w:charSpace="0"/>
        </w:sectPr>
      </w:pPr>
      <w:bookmarkStart w:id="14" w:name="_Hlt68403820"/>
      <w:bookmarkEnd w:id="14"/>
      <w:bookmarkStart w:id="15" w:name="_Hlt74714665"/>
      <w:bookmarkEnd w:id="15"/>
      <w:bookmarkStart w:id="16" w:name="_Hlt75236101"/>
      <w:bookmarkEnd w:id="16"/>
      <w:bookmarkStart w:id="17" w:name="_Hlt68073093"/>
      <w:bookmarkEnd w:id="17"/>
      <w:bookmarkStart w:id="18" w:name="_Hlt68072990"/>
      <w:bookmarkEnd w:id="18"/>
      <w:bookmarkStart w:id="19" w:name="_Hlt75236011"/>
      <w:bookmarkEnd w:id="19"/>
      <w:bookmarkStart w:id="20" w:name="_Hlt74729768"/>
      <w:bookmarkEnd w:id="20"/>
      <w:bookmarkStart w:id="21" w:name="_Hlt68072998"/>
      <w:bookmarkEnd w:id="21"/>
      <w:bookmarkStart w:id="22" w:name="_Hlt68057669"/>
      <w:bookmarkEnd w:id="22"/>
      <w:bookmarkStart w:id="23" w:name="_Hlt75236290"/>
      <w:bookmarkEnd w:id="23"/>
      <w:bookmarkStart w:id="24" w:name="_Hlt74730295"/>
      <w:bookmarkEnd w:id="24"/>
      <w:bookmarkStart w:id="25" w:name="_Hlt74707468"/>
      <w:bookmarkEnd w:id="25"/>
    </w:p>
    <w:bookmarkEnd w:id="10"/>
    <w:bookmarkEnd w:id="11"/>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pStyle w:val="6"/>
        <w:adjustRightInd w:val="0"/>
        <w:snapToGrid w:val="0"/>
        <w:spacing w:before="0" w:after="0" w:line="360" w:lineRule="auto"/>
        <w:rPr>
          <w:rFonts w:hint="eastAsia" w:ascii="仿宋" w:hAnsi="仿宋" w:eastAsia="仿宋" w:cs="仿宋"/>
          <w:color w:val="auto"/>
          <w:sz w:val="24"/>
          <w:szCs w:val="24"/>
        </w:rPr>
      </w:pPr>
      <w:bookmarkStart w:id="27" w:name="_Toc17993681"/>
      <w:bookmarkStart w:id="28" w:name="_Toc320089514"/>
      <w:bookmarkStart w:id="29" w:name="_Toc406429561"/>
      <w:r>
        <w:rPr>
          <w:rFonts w:hint="eastAsia" w:ascii="仿宋" w:hAnsi="仿宋" w:eastAsia="仿宋" w:cs="仿宋"/>
          <w:color w:val="auto"/>
          <w:sz w:val="24"/>
          <w:szCs w:val="24"/>
        </w:rPr>
        <w:t>一、招标内容</w:t>
      </w:r>
    </w:p>
    <w:p>
      <w:pPr>
        <w:pStyle w:val="859"/>
        <w:snapToGrid w:val="0"/>
        <w:ind w:firstLine="482"/>
        <w:jc w:val="left"/>
        <w:rPr>
          <w:rFonts w:hint="eastAsia" w:ascii="仿宋" w:hAnsi="仿宋" w:eastAsia="仿宋" w:cs="仿宋"/>
          <w:b/>
          <w:bCs/>
          <w:color w:val="auto"/>
          <w:szCs w:val="24"/>
        </w:rPr>
      </w:pPr>
      <w:r>
        <w:rPr>
          <w:rFonts w:hint="eastAsia" w:ascii="仿宋" w:hAnsi="仿宋" w:eastAsia="仿宋" w:cs="仿宋"/>
          <w:b/>
          <w:bCs/>
          <w:color w:val="auto"/>
          <w:szCs w:val="24"/>
        </w:rPr>
        <w:t>1、招标范围</w:t>
      </w:r>
      <w:r>
        <w:rPr>
          <w:rFonts w:hint="eastAsia" w:ascii="仿宋" w:hAnsi="仿宋" w:eastAsia="仿宋" w:cs="仿宋"/>
          <w:color w:val="auto"/>
          <w:szCs w:val="24"/>
        </w:rPr>
        <w:t>：</w:t>
      </w:r>
      <w:r>
        <w:rPr>
          <w:rFonts w:hint="eastAsia" w:ascii="仿宋" w:hAnsi="仿宋" w:eastAsia="仿宋" w:cs="仿宋"/>
          <w:color w:val="auto"/>
        </w:rPr>
        <w:t>桐庐县市政园林建设管理处管辖范围内的花坛、花箱的</w:t>
      </w:r>
      <w:r>
        <w:rPr>
          <w:rFonts w:hint="eastAsia" w:ascii="仿宋" w:hAnsi="仿宋" w:eastAsia="仿宋" w:cs="仿宋"/>
          <w:color w:val="auto"/>
          <w:lang w:eastAsia="zh-CN"/>
        </w:rPr>
        <w:t>花卉</w:t>
      </w:r>
      <w:r>
        <w:rPr>
          <w:rFonts w:hint="eastAsia" w:ascii="仿宋" w:hAnsi="仿宋" w:eastAsia="仿宋" w:cs="仿宋"/>
          <w:color w:val="auto"/>
        </w:rPr>
        <w:t>更换清理种植及养护</w:t>
      </w:r>
      <w:r>
        <w:rPr>
          <w:rFonts w:hint="eastAsia" w:ascii="仿宋" w:hAnsi="仿宋" w:eastAsia="仿宋" w:cs="仿宋"/>
          <w:color w:val="auto"/>
          <w:lang w:val="en-US" w:eastAsia="zh-CN"/>
        </w:rPr>
        <w:t>等</w:t>
      </w:r>
      <w:r>
        <w:rPr>
          <w:rFonts w:hint="eastAsia" w:ascii="仿宋" w:hAnsi="仿宋" w:eastAsia="仿宋" w:cs="仿宋"/>
          <w:color w:val="auto"/>
          <w:szCs w:val="24"/>
        </w:rPr>
        <w:t>。</w:t>
      </w:r>
    </w:p>
    <w:p>
      <w:pPr>
        <w:pStyle w:val="859"/>
        <w:snapToGrid w:val="0"/>
        <w:ind w:firstLine="482"/>
        <w:jc w:val="left"/>
        <w:rPr>
          <w:rFonts w:hint="eastAsia" w:ascii="仿宋" w:hAnsi="仿宋" w:eastAsia="仿宋" w:cs="仿宋"/>
          <w:b/>
          <w:bCs/>
          <w:color w:val="auto"/>
          <w:szCs w:val="24"/>
        </w:rPr>
      </w:pPr>
      <w:r>
        <w:rPr>
          <w:rFonts w:hint="eastAsia" w:ascii="仿宋" w:hAnsi="仿宋" w:eastAsia="仿宋" w:cs="仿宋"/>
          <w:b/>
          <w:bCs/>
          <w:color w:val="auto"/>
          <w:szCs w:val="24"/>
        </w:rPr>
        <w:t>2、采购清单内容</w:t>
      </w:r>
    </w:p>
    <w:tbl>
      <w:tblPr>
        <w:tblStyle w:val="62"/>
        <w:tblW w:w="9804" w:type="dxa"/>
        <w:tblInd w:w="-176" w:type="dxa"/>
        <w:tblLayout w:type="fixed"/>
        <w:tblCellMar>
          <w:top w:w="0" w:type="dxa"/>
          <w:left w:w="108" w:type="dxa"/>
          <w:bottom w:w="0" w:type="dxa"/>
          <w:right w:w="108" w:type="dxa"/>
        </w:tblCellMar>
      </w:tblPr>
      <w:tblGrid>
        <w:gridCol w:w="846"/>
        <w:gridCol w:w="1660"/>
        <w:gridCol w:w="1500"/>
        <w:gridCol w:w="5050"/>
        <w:gridCol w:w="748"/>
      </w:tblGrid>
      <w:tr>
        <w:tblPrEx>
          <w:tblCellMar>
            <w:top w:w="0" w:type="dxa"/>
            <w:left w:w="108" w:type="dxa"/>
            <w:bottom w:w="0" w:type="dxa"/>
            <w:right w:w="108" w:type="dxa"/>
          </w:tblCellMar>
        </w:tblPrEx>
        <w:trPr>
          <w:trHeight w:val="449"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auto"/>
                <w:kern w:val="0"/>
                <w:sz w:val="24"/>
              </w:rPr>
            </w:pPr>
            <w:bookmarkStart w:id="30" w:name="_Toc77071625"/>
            <w:bookmarkStart w:id="31" w:name="_Toc72322593"/>
            <w:r>
              <w:rPr>
                <w:rFonts w:hint="eastAsia" w:ascii="仿宋" w:hAnsi="仿宋" w:eastAsia="仿宋" w:cs="仿宋"/>
                <w:b/>
                <w:bCs/>
                <w:color w:val="auto"/>
                <w:kern w:val="0"/>
                <w:sz w:val="24"/>
              </w:rPr>
              <w:t>序号</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 w:val="24"/>
                <w:lang w:eastAsia="zh-CN"/>
              </w:rPr>
            </w:pPr>
            <w:r>
              <w:rPr>
                <w:rFonts w:hint="eastAsia" w:ascii="仿宋" w:hAnsi="仿宋" w:eastAsia="仿宋" w:cs="仿宋"/>
                <w:b/>
                <w:bCs/>
                <w:color w:val="auto"/>
                <w:kern w:val="0"/>
                <w:sz w:val="24"/>
                <w:lang w:val="en-US" w:eastAsia="zh-CN"/>
              </w:rPr>
              <w:t>名称</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面积</w:t>
            </w:r>
          </w:p>
        </w:tc>
        <w:tc>
          <w:tcPr>
            <w:tcW w:w="50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lang w:val="en-US" w:eastAsia="zh-CN"/>
              </w:rPr>
              <w:t>要求</w:t>
            </w:r>
          </w:p>
        </w:tc>
        <w:tc>
          <w:tcPr>
            <w:tcW w:w="7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备注</w:t>
            </w:r>
          </w:p>
        </w:tc>
      </w:tr>
      <w:tr>
        <w:tblPrEx>
          <w:tblCellMar>
            <w:top w:w="0" w:type="dxa"/>
            <w:left w:w="108" w:type="dxa"/>
            <w:bottom w:w="0" w:type="dxa"/>
            <w:right w:w="108" w:type="dxa"/>
          </w:tblCellMar>
        </w:tblPrEx>
        <w:trPr>
          <w:trHeight w:val="449"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auto"/>
                <w:kern w:val="0"/>
                <w:sz w:val="24"/>
              </w:rPr>
            </w:pPr>
            <w:r>
              <w:rPr>
                <w:rFonts w:hint="eastAsia" w:ascii="仿宋" w:hAnsi="仿宋" w:eastAsia="仿宋" w:cs="仿宋"/>
                <w:color w:val="auto"/>
                <w:kern w:val="0"/>
                <w:sz w:val="24"/>
                <w:lang w:val="en-US" w:eastAsia="zh-CN"/>
              </w:rPr>
              <w:t>1</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花卉栽植</w:t>
            </w:r>
          </w:p>
          <w:p>
            <w:pPr>
              <w:widowControl/>
              <w:jc w:val="center"/>
              <w:rPr>
                <w:rFonts w:hint="eastAsia" w:ascii="仿宋" w:hAnsi="仿宋" w:eastAsia="仿宋" w:cs="仿宋"/>
                <w:b/>
                <w:bCs/>
                <w:color w:val="auto"/>
                <w:kern w:val="0"/>
                <w:sz w:val="24"/>
                <w:lang w:val="en-US" w:eastAsia="zh-CN"/>
              </w:rPr>
            </w:pPr>
            <w:r>
              <w:rPr>
                <w:rFonts w:hint="eastAsia" w:ascii="仿宋" w:hAnsi="仿宋" w:eastAsia="仿宋" w:cs="仿宋"/>
                <w:color w:val="auto"/>
                <w:kern w:val="0"/>
                <w:sz w:val="24"/>
                <w:lang w:val="en-US" w:eastAsia="zh-CN"/>
              </w:rPr>
              <w:t>（摆放花箱）</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仿宋"/>
                <w:b/>
                <w:bCs/>
                <w:color w:val="auto"/>
                <w:kern w:val="0"/>
                <w:sz w:val="24"/>
                <w:lang w:val="en-US"/>
              </w:rPr>
            </w:pPr>
            <w:r>
              <w:rPr>
                <w:rFonts w:hint="eastAsia" w:ascii="仿宋" w:hAnsi="仿宋" w:eastAsia="仿宋" w:cs="仿宋"/>
                <w:color w:val="auto"/>
                <w:kern w:val="0"/>
                <w:sz w:val="24"/>
                <w:lang w:val="en-US" w:eastAsia="zh-CN"/>
              </w:rPr>
              <w:t>按要求</w:t>
            </w:r>
          </w:p>
        </w:tc>
        <w:tc>
          <w:tcPr>
            <w:tcW w:w="505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b/>
                <w:bCs/>
                <w:color w:val="auto"/>
                <w:kern w:val="0"/>
                <w:sz w:val="24"/>
                <w:lang w:val="en-US" w:eastAsia="zh-CN"/>
              </w:rPr>
            </w:pPr>
            <w:r>
              <w:rPr>
                <w:rFonts w:hint="eastAsia" w:ascii="仿宋" w:hAnsi="仿宋" w:eastAsia="仿宋" w:cs="仿宋"/>
                <w:color w:val="auto"/>
                <w:kern w:val="0"/>
                <w:sz w:val="24"/>
                <w:lang w:val="en-US" w:eastAsia="zh-CN"/>
              </w:rPr>
              <w:t>根据设计方案，业主认可后摆放，详见摆放清单，</w:t>
            </w:r>
            <w:r>
              <w:rPr>
                <w:rFonts w:hint="eastAsia" w:ascii="仿宋" w:hAnsi="仿宋" w:eastAsia="仿宋" w:cs="仿宋"/>
                <w:color w:val="auto"/>
                <w:kern w:val="0"/>
                <w:sz w:val="24"/>
              </w:rPr>
              <w:t>最终按实际完成量结算</w:t>
            </w:r>
            <w:r>
              <w:rPr>
                <w:rFonts w:hint="eastAsia" w:ascii="仿宋" w:hAnsi="仿宋" w:eastAsia="仿宋" w:cs="仿宋"/>
                <w:color w:val="auto"/>
                <w:kern w:val="0"/>
                <w:sz w:val="24"/>
                <w:lang w:eastAsia="zh-CN"/>
              </w:rPr>
              <w:t>。</w:t>
            </w:r>
          </w:p>
        </w:tc>
        <w:tc>
          <w:tcPr>
            <w:tcW w:w="74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b/>
                <w:bCs/>
                <w:color w:val="auto"/>
                <w:kern w:val="0"/>
                <w:sz w:val="24"/>
              </w:rPr>
            </w:pPr>
          </w:p>
        </w:tc>
      </w:tr>
      <w:tr>
        <w:tblPrEx>
          <w:tblCellMar>
            <w:top w:w="0" w:type="dxa"/>
            <w:left w:w="108" w:type="dxa"/>
            <w:bottom w:w="0" w:type="dxa"/>
            <w:right w:w="108" w:type="dxa"/>
          </w:tblCellMar>
        </w:tblPrEx>
        <w:trPr>
          <w:trHeight w:val="824"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栽植花卉</w:t>
            </w:r>
          </w:p>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江北</w:t>
            </w:r>
            <w:r>
              <w:rPr>
                <w:rFonts w:hint="eastAsia" w:ascii="仿宋" w:hAnsi="仿宋" w:eastAsia="仿宋" w:cs="仿宋"/>
                <w:color w:val="auto"/>
                <w:kern w:val="0"/>
                <w:sz w:val="24"/>
              </w:rPr>
              <w:t>花坛）</w:t>
            </w:r>
          </w:p>
        </w:tc>
        <w:tc>
          <w:tcPr>
            <w:tcW w:w="150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582.42m2</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具体详见测绘图纸</w:t>
            </w:r>
            <w:r>
              <w:rPr>
                <w:rFonts w:hint="eastAsia" w:ascii="仿宋" w:hAnsi="仿宋" w:eastAsia="仿宋" w:cs="仿宋"/>
                <w:color w:val="auto"/>
                <w:kern w:val="0"/>
                <w:sz w:val="24"/>
                <w:lang w:eastAsia="zh-CN"/>
              </w:rPr>
              <w:t>）</w:t>
            </w:r>
          </w:p>
        </w:tc>
        <w:tc>
          <w:tcPr>
            <w:tcW w:w="5050" w:type="dxa"/>
            <w:vMerge w:val="restart"/>
            <w:tcBorders>
              <w:top w:val="nil"/>
              <w:left w:val="nil"/>
              <w:right w:val="single" w:color="auto" w:sz="4" w:space="0"/>
            </w:tcBorders>
            <w:shd w:val="clear" w:color="auto" w:fill="auto"/>
            <w:vAlign w:val="center"/>
          </w:tcPr>
          <w:p>
            <w:pPr>
              <w:widowControl/>
              <w:jc w:val="left"/>
              <w:rPr>
                <w:rFonts w:hint="eastAsia" w:ascii="仿宋" w:hAnsi="仿宋" w:eastAsia="仿宋" w:cs="仿宋"/>
                <w:color w:val="auto"/>
                <w:kern w:val="0"/>
                <w:sz w:val="24"/>
              </w:rPr>
            </w:pPr>
            <w:r>
              <w:rPr>
                <w:rFonts w:hint="eastAsia"/>
              </w:rPr>
              <w:t>1</w:t>
            </w:r>
            <w:r>
              <w:rPr>
                <w:rFonts w:hint="eastAsia" w:ascii="仿宋" w:hAnsi="仿宋" w:eastAsia="仿宋" w:cs="仿宋"/>
                <w:color w:val="auto"/>
                <w:kern w:val="0"/>
                <w:sz w:val="24"/>
              </w:rPr>
              <w:t>、清理原花卉及花卉用地整理；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、株高或蓬径 ：H=20cm W=</w:t>
            </w:r>
            <w:r>
              <w:rPr>
                <w:rFonts w:hint="eastAsia" w:ascii="仿宋" w:hAnsi="仿宋" w:eastAsia="仿宋" w:cs="仿宋"/>
                <w:color w:val="auto"/>
                <w:kern w:val="0"/>
                <w:sz w:val="24"/>
                <w:lang w:val="en-US" w:eastAsia="zh-CN"/>
              </w:rPr>
              <w:t>20</w:t>
            </w:r>
            <w:r>
              <w:rPr>
                <w:rFonts w:hint="eastAsia" w:ascii="仿宋" w:hAnsi="仿宋" w:eastAsia="仿宋" w:cs="仿宋"/>
                <w:color w:val="auto"/>
                <w:kern w:val="0"/>
                <w:sz w:val="24"/>
              </w:rPr>
              <w:t>cm；</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、单位面积株数 ：49盆/m2，花坛区域种植；</w:t>
            </w:r>
          </w:p>
          <w:p>
            <w:pPr>
              <w:widowControl/>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、种植要求：120mm双色杯种植，</w:t>
            </w:r>
            <w:r>
              <w:rPr>
                <w:rFonts w:hint="eastAsia" w:ascii="仿宋" w:hAnsi="仿宋" w:eastAsia="仿宋" w:cs="仿宋"/>
                <w:color w:val="auto"/>
                <w:kern w:val="0"/>
                <w:sz w:val="24"/>
                <w:lang w:eastAsia="zh-CN"/>
              </w:rPr>
              <w:t>黄土不裸露；</w:t>
            </w:r>
          </w:p>
          <w:p>
            <w:pPr>
              <w:pStyle w:val="3"/>
              <w:ind w:left="0" w:leftChars="0" w:firstLine="0" w:firstLineChars="0"/>
              <w:rPr>
                <w:rFonts w:hint="default"/>
                <w:lang w:val="en-US"/>
              </w:rPr>
            </w:pPr>
            <w:r>
              <w:rPr>
                <w:rFonts w:hint="eastAsia" w:ascii="仿宋" w:hAnsi="仿宋" w:eastAsia="仿宋" w:cs="仿宋"/>
                <w:color w:val="auto"/>
                <w:kern w:val="0"/>
                <w:sz w:val="24"/>
                <w:lang w:val="en-US" w:eastAsia="zh-CN"/>
              </w:rPr>
              <w:t>5</w:t>
            </w:r>
            <w:r>
              <w:rPr>
                <w:rFonts w:hint="eastAsia" w:ascii="仿宋" w:hAnsi="仿宋" w:eastAsia="仿宋" w:cs="仿宋"/>
                <w:snapToGrid/>
                <w:color w:val="auto"/>
                <w:kern w:val="0"/>
                <w:sz w:val="24"/>
                <w:szCs w:val="24"/>
                <w:lang w:val="en-US" w:eastAsia="zh-CN" w:bidi="ar-SA"/>
              </w:rPr>
              <w:t>、最终按实际完成量结算。</w:t>
            </w:r>
          </w:p>
        </w:tc>
        <w:tc>
          <w:tcPr>
            <w:tcW w:w="7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具体详见更换计划</w:t>
            </w:r>
          </w:p>
        </w:tc>
      </w:tr>
      <w:tr>
        <w:tblPrEx>
          <w:tblCellMar>
            <w:top w:w="0" w:type="dxa"/>
            <w:left w:w="108" w:type="dxa"/>
            <w:bottom w:w="0" w:type="dxa"/>
            <w:right w:w="108" w:type="dxa"/>
          </w:tblCellMar>
        </w:tblPrEx>
        <w:trPr>
          <w:trHeight w:val="77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3</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栽植花卉</w:t>
            </w:r>
          </w:p>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江南</w:t>
            </w:r>
            <w:r>
              <w:rPr>
                <w:rFonts w:hint="eastAsia" w:ascii="仿宋" w:hAnsi="仿宋" w:eastAsia="仿宋" w:cs="仿宋"/>
                <w:color w:val="auto"/>
                <w:kern w:val="0"/>
                <w:sz w:val="24"/>
              </w:rPr>
              <w:t>花坛）</w:t>
            </w:r>
          </w:p>
        </w:tc>
        <w:tc>
          <w:tcPr>
            <w:tcW w:w="150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0"/>
                <w:sz w:val="24"/>
              </w:rPr>
            </w:pPr>
            <w:r>
              <w:rPr>
                <w:rFonts w:hint="eastAsia" w:ascii="仿宋" w:hAnsi="仿宋" w:eastAsia="仿宋" w:cs="仿宋"/>
                <w:b w:val="0"/>
                <w:bCs w:val="0"/>
                <w:color w:val="auto"/>
                <w:kern w:val="0"/>
                <w:sz w:val="24"/>
                <w:lang w:val="en-US" w:eastAsia="zh-CN"/>
              </w:rPr>
              <w:t>9362.38</w:t>
            </w:r>
            <w:r>
              <w:rPr>
                <w:rFonts w:hint="eastAsia" w:ascii="仿宋" w:hAnsi="仿宋" w:eastAsia="仿宋" w:cs="仿宋"/>
                <w:color w:val="auto"/>
                <w:kern w:val="0"/>
                <w:sz w:val="24"/>
              </w:rPr>
              <w:t>m2</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具体详见测绘图纸</w:t>
            </w:r>
            <w:r>
              <w:rPr>
                <w:rFonts w:hint="eastAsia" w:ascii="仿宋" w:hAnsi="仿宋" w:eastAsia="仿宋" w:cs="仿宋"/>
                <w:color w:val="auto"/>
                <w:kern w:val="0"/>
                <w:sz w:val="24"/>
                <w:lang w:eastAsia="zh-CN"/>
              </w:rPr>
              <w:t>）</w:t>
            </w:r>
          </w:p>
        </w:tc>
        <w:tc>
          <w:tcPr>
            <w:tcW w:w="5050"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lang w:val="en-US" w:eastAsia="zh-CN"/>
              </w:rPr>
            </w:pPr>
          </w:p>
        </w:tc>
        <w:tc>
          <w:tcPr>
            <w:tcW w:w="748" w:type="dxa"/>
            <w:vMerge w:val="continue"/>
            <w:tcBorders>
              <w:left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auto"/>
                <w:kern w:val="0"/>
                <w:sz w:val="24"/>
              </w:rPr>
            </w:pPr>
          </w:p>
        </w:tc>
      </w:tr>
      <w:tr>
        <w:tblPrEx>
          <w:tblCellMar>
            <w:top w:w="0" w:type="dxa"/>
            <w:left w:w="108" w:type="dxa"/>
            <w:bottom w:w="0" w:type="dxa"/>
            <w:right w:w="108" w:type="dxa"/>
          </w:tblCellMar>
        </w:tblPrEx>
        <w:trPr>
          <w:trHeight w:val="1349"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p>
        </w:tc>
        <w:tc>
          <w:tcPr>
            <w:tcW w:w="1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栽植花卉</w:t>
            </w:r>
          </w:p>
          <w:p>
            <w:pPr>
              <w:jc w:val="center"/>
              <w:rPr>
                <w:rFonts w:hint="default"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江北</w:t>
            </w:r>
            <w:r>
              <w:rPr>
                <w:rFonts w:hint="eastAsia" w:ascii="仿宋" w:hAnsi="仿宋" w:eastAsia="仿宋" w:cs="仿宋"/>
                <w:color w:val="auto"/>
                <w:kern w:val="0"/>
                <w:sz w:val="24"/>
              </w:rPr>
              <w:t>花箱）</w:t>
            </w:r>
            <w:r>
              <w:rPr>
                <w:rFonts w:hint="eastAsia" w:ascii="仿宋" w:hAnsi="仿宋" w:eastAsia="仿宋" w:cs="仿宋"/>
                <w:color w:val="auto"/>
                <w:kern w:val="0"/>
                <w:sz w:val="24"/>
                <w:lang w:val="en-US" w:eastAsia="zh-CN"/>
              </w:rPr>
              <w:t>229只</w:t>
            </w:r>
          </w:p>
        </w:tc>
        <w:tc>
          <w:tcPr>
            <w:tcW w:w="150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189.37m2</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具体详见测绘图纸</w:t>
            </w:r>
            <w:r>
              <w:rPr>
                <w:rFonts w:hint="eastAsia" w:ascii="仿宋" w:hAnsi="仿宋" w:eastAsia="仿宋" w:cs="仿宋"/>
                <w:color w:val="auto"/>
                <w:kern w:val="0"/>
                <w:sz w:val="24"/>
                <w:lang w:eastAsia="zh-CN"/>
              </w:rPr>
              <w:t>）</w:t>
            </w:r>
          </w:p>
        </w:tc>
        <w:tc>
          <w:tcPr>
            <w:tcW w:w="5050" w:type="dxa"/>
            <w:vMerge w:val="restart"/>
            <w:tcBorders>
              <w:top w:val="nil"/>
              <w:left w:val="nil"/>
              <w:right w:val="single" w:color="auto" w:sz="4" w:space="0"/>
            </w:tcBorders>
            <w:shd w:val="clear" w:color="auto" w:fill="auto"/>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1、清理原花卉及花卉用地整理；</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w:t>
            </w:r>
            <w:r>
              <w:rPr>
                <w:rFonts w:hint="eastAsia" w:ascii="仿宋" w:hAnsi="仿宋" w:eastAsia="仿宋" w:cs="仿宋"/>
                <w:b/>
                <w:bCs/>
                <w:color w:val="FF0000"/>
                <w:kern w:val="0"/>
                <w:sz w:val="24"/>
              </w:rPr>
              <w:t>株高或蓬径 ：H=20cm W=</w:t>
            </w:r>
            <w:r>
              <w:rPr>
                <w:rFonts w:hint="eastAsia" w:ascii="仿宋" w:hAnsi="仿宋" w:eastAsia="仿宋" w:cs="仿宋"/>
                <w:b/>
                <w:bCs/>
                <w:color w:val="FF0000"/>
                <w:kern w:val="0"/>
                <w:sz w:val="24"/>
                <w:lang w:val="en-US" w:eastAsia="zh-CN"/>
              </w:rPr>
              <w:t>20</w:t>
            </w:r>
            <w:r>
              <w:rPr>
                <w:rFonts w:hint="eastAsia" w:ascii="仿宋" w:hAnsi="仿宋" w:eastAsia="仿宋" w:cs="仿宋"/>
                <w:b/>
                <w:bCs/>
                <w:color w:val="FF0000"/>
                <w:kern w:val="0"/>
                <w:sz w:val="24"/>
              </w:rPr>
              <w:t>cm</w:t>
            </w:r>
            <w:r>
              <w:rPr>
                <w:rFonts w:hint="eastAsia" w:ascii="仿宋" w:hAnsi="仿宋" w:eastAsia="仿宋" w:cs="仿宋"/>
                <w:color w:val="auto"/>
                <w:kern w:val="0"/>
                <w:sz w:val="24"/>
              </w:rPr>
              <w:t>；</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、单位面积株数 ：56盆/m2，花箱区域种植；</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、种植要求：120mm双色杯种植，</w:t>
            </w:r>
            <w:r>
              <w:rPr>
                <w:rFonts w:hint="eastAsia" w:ascii="仿宋" w:hAnsi="仿宋" w:eastAsia="仿宋" w:cs="仿宋"/>
                <w:color w:val="auto"/>
                <w:kern w:val="0"/>
                <w:sz w:val="24"/>
                <w:lang w:eastAsia="zh-CN"/>
              </w:rPr>
              <w:t>黄土不裸露</w:t>
            </w:r>
            <w:r>
              <w:rPr>
                <w:rFonts w:hint="eastAsia" w:ascii="仿宋" w:hAnsi="仿宋" w:eastAsia="仿宋" w:cs="仿宋"/>
                <w:color w:val="auto"/>
                <w:kern w:val="0"/>
                <w:sz w:val="24"/>
              </w:rPr>
              <w:t>；</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、花箱每二期清洁一次；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、花箱清洁时间：二年共计5次；</w:t>
            </w:r>
          </w:p>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w:t>
            </w:r>
            <w:r>
              <w:rPr>
                <w:rFonts w:hint="eastAsia" w:ascii="仿宋" w:hAnsi="仿宋" w:eastAsia="仿宋" w:cs="仿宋"/>
                <w:b/>
                <w:bCs/>
                <w:color w:val="FF0000"/>
                <w:kern w:val="0"/>
                <w:sz w:val="24"/>
              </w:rPr>
              <w:t>总花箱数量共计</w:t>
            </w:r>
            <w:r>
              <w:rPr>
                <w:rFonts w:hint="eastAsia" w:ascii="仿宋" w:hAnsi="仿宋" w:eastAsia="仿宋" w:cs="仿宋"/>
                <w:b/>
                <w:bCs/>
                <w:color w:val="FF0000"/>
                <w:kern w:val="0"/>
                <w:sz w:val="24"/>
                <w:lang w:val="en-US" w:eastAsia="zh-CN"/>
              </w:rPr>
              <w:t>1159</w:t>
            </w:r>
            <w:r>
              <w:rPr>
                <w:rFonts w:hint="eastAsia" w:ascii="仿宋" w:hAnsi="仿宋" w:eastAsia="仿宋" w:cs="仿宋"/>
                <w:b/>
                <w:bCs/>
                <w:color w:val="FF0000"/>
                <w:kern w:val="0"/>
                <w:sz w:val="24"/>
              </w:rPr>
              <w:t>只</w:t>
            </w:r>
            <w:r>
              <w:rPr>
                <w:rFonts w:hint="eastAsia" w:ascii="仿宋" w:hAnsi="仿宋" w:eastAsia="仿宋" w:cs="仿宋"/>
                <w:color w:val="auto"/>
                <w:kern w:val="0"/>
                <w:sz w:val="24"/>
              </w:rPr>
              <w:t>，需修理维护工程量暂定；</w:t>
            </w:r>
          </w:p>
          <w:p>
            <w:pPr>
              <w:widowControl/>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、最终按实际完成量结算</w:t>
            </w:r>
            <w:r>
              <w:rPr>
                <w:rFonts w:hint="eastAsia" w:ascii="仿宋" w:hAnsi="仿宋" w:eastAsia="仿宋" w:cs="仿宋"/>
                <w:color w:val="auto"/>
                <w:kern w:val="0"/>
                <w:sz w:val="24"/>
                <w:lang w:eastAsia="zh-CN"/>
              </w:rPr>
              <w:t>。</w:t>
            </w:r>
          </w:p>
        </w:tc>
        <w:tc>
          <w:tcPr>
            <w:tcW w:w="7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、花箱每二期清洁一次；</w:t>
            </w:r>
          </w:p>
        </w:tc>
      </w:tr>
      <w:tr>
        <w:tblPrEx>
          <w:tblCellMar>
            <w:top w:w="0" w:type="dxa"/>
            <w:left w:w="108" w:type="dxa"/>
            <w:bottom w:w="0" w:type="dxa"/>
            <w:right w:w="108" w:type="dxa"/>
          </w:tblCellMar>
        </w:tblPrEx>
        <w:trPr>
          <w:trHeight w:val="9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栽植花卉</w:t>
            </w:r>
          </w:p>
          <w:p>
            <w:pPr>
              <w:widowControl/>
              <w:jc w:val="center"/>
              <w:rPr>
                <w:rFonts w:hint="default" w:ascii="仿宋" w:hAnsi="仿宋" w:eastAsia="仿宋" w:cs="仿宋"/>
                <w:color w:val="auto"/>
                <w:kern w:val="0"/>
                <w:sz w:val="24"/>
                <w:lang w:val="en-US"/>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江南</w:t>
            </w:r>
            <w:r>
              <w:rPr>
                <w:rFonts w:hint="eastAsia" w:ascii="仿宋" w:hAnsi="仿宋" w:eastAsia="仿宋" w:cs="仿宋"/>
                <w:color w:val="auto"/>
                <w:kern w:val="0"/>
                <w:sz w:val="24"/>
              </w:rPr>
              <w:t>花箱）</w:t>
            </w:r>
            <w:r>
              <w:rPr>
                <w:rFonts w:hint="eastAsia" w:ascii="仿宋" w:hAnsi="仿宋" w:eastAsia="仿宋" w:cs="仿宋"/>
                <w:color w:val="auto"/>
                <w:kern w:val="0"/>
                <w:sz w:val="24"/>
                <w:lang w:val="en-US" w:eastAsia="zh-CN"/>
              </w:rPr>
              <w:t>930只</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844.97</w:t>
            </w:r>
            <w:r>
              <w:rPr>
                <w:rFonts w:hint="eastAsia" w:ascii="仿宋" w:hAnsi="仿宋" w:eastAsia="仿宋" w:cs="仿宋"/>
                <w:color w:val="auto"/>
                <w:kern w:val="0"/>
                <w:sz w:val="24"/>
              </w:rPr>
              <w:t>m2</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具体详见测绘图纸</w:t>
            </w:r>
            <w:r>
              <w:rPr>
                <w:rFonts w:hint="eastAsia" w:ascii="仿宋" w:hAnsi="仿宋" w:eastAsia="仿宋" w:cs="仿宋"/>
                <w:color w:val="auto"/>
                <w:kern w:val="0"/>
                <w:sz w:val="24"/>
                <w:lang w:eastAsia="zh-CN"/>
              </w:rPr>
              <w:t>）</w:t>
            </w:r>
          </w:p>
        </w:tc>
        <w:tc>
          <w:tcPr>
            <w:tcW w:w="5050"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lang w:val="en-US" w:eastAsia="zh-CN"/>
              </w:rPr>
            </w:pPr>
          </w:p>
        </w:tc>
        <w:tc>
          <w:tcPr>
            <w:tcW w:w="7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auto"/>
                <w:kern w:val="0"/>
                <w:sz w:val="24"/>
              </w:rPr>
            </w:pPr>
          </w:p>
        </w:tc>
      </w:tr>
      <w:tr>
        <w:tblPrEx>
          <w:tblCellMar>
            <w:top w:w="0" w:type="dxa"/>
            <w:left w:w="108" w:type="dxa"/>
            <w:bottom w:w="0" w:type="dxa"/>
            <w:right w:w="108" w:type="dxa"/>
          </w:tblCellMar>
        </w:tblPrEx>
        <w:trPr>
          <w:trHeight w:val="631"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花箱破损修理</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w:t>
            </w:r>
          </w:p>
        </w:tc>
        <w:tc>
          <w:tcPr>
            <w:tcW w:w="50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暂定150个</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按实际完成量结算</w:t>
            </w:r>
            <w:r>
              <w:rPr>
                <w:rFonts w:hint="eastAsia" w:ascii="仿宋" w:hAnsi="仿宋" w:eastAsia="仿宋" w:cs="仿宋"/>
                <w:color w:val="auto"/>
                <w:kern w:val="0"/>
                <w:sz w:val="24"/>
                <w:lang w:eastAsia="zh-CN"/>
              </w:rPr>
              <w:t>。</w:t>
            </w:r>
          </w:p>
        </w:tc>
        <w:tc>
          <w:tcPr>
            <w:tcW w:w="7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auto"/>
                <w:kern w:val="0"/>
                <w:sz w:val="24"/>
              </w:rPr>
            </w:pPr>
          </w:p>
        </w:tc>
      </w:tr>
    </w:tbl>
    <w:p>
      <w:pPr>
        <w:rPr>
          <w:rFonts w:hint="eastAsia" w:ascii="仿宋" w:hAnsi="仿宋" w:eastAsia="仿宋" w:cs="仿宋"/>
          <w:sz w:val="24"/>
          <w:szCs w:val="24"/>
        </w:rPr>
      </w:pPr>
      <w:r>
        <w:rPr>
          <w:rFonts w:hint="eastAsia" w:ascii="仿宋" w:hAnsi="仿宋" w:eastAsia="仿宋" w:cs="仿宋"/>
          <w:sz w:val="24"/>
          <w:szCs w:val="24"/>
        </w:rPr>
        <w:t>县城花卉栽植（摆放花箱）更换</w:t>
      </w:r>
      <w:r>
        <w:rPr>
          <w:rFonts w:hint="eastAsia" w:ascii="仿宋" w:hAnsi="仿宋" w:eastAsia="仿宋" w:cs="仿宋"/>
          <w:sz w:val="24"/>
          <w:szCs w:val="24"/>
          <w:lang w:val="en-US" w:eastAsia="zh-CN"/>
        </w:rPr>
        <w:t>清单</w:t>
      </w:r>
      <w:r>
        <w:rPr>
          <w:rFonts w:hint="eastAsia" w:ascii="仿宋" w:hAnsi="仿宋" w:eastAsia="仿宋" w:cs="仿宋"/>
          <w:sz w:val="24"/>
          <w:szCs w:val="24"/>
        </w:rPr>
        <w:t>（一年更换</w:t>
      </w:r>
      <w:r>
        <w:rPr>
          <w:rFonts w:hint="eastAsia" w:ascii="仿宋" w:hAnsi="仿宋" w:eastAsia="仿宋" w:cs="仿宋"/>
          <w:sz w:val="24"/>
          <w:szCs w:val="24"/>
          <w:lang w:val="en-US" w:eastAsia="zh-CN"/>
        </w:rPr>
        <w:t>五</w:t>
      </w:r>
      <w:r>
        <w:rPr>
          <w:rFonts w:hint="eastAsia" w:ascii="仿宋" w:hAnsi="仿宋" w:eastAsia="仿宋" w:cs="仿宋"/>
          <w:sz w:val="24"/>
          <w:szCs w:val="24"/>
        </w:rPr>
        <w:t>期，部分更换时间可按实际天气情况进行调整,</w:t>
      </w:r>
      <w:r>
        <w:rPr>
          <w:rFonts w:hint="eastAsia" w:ascii="仿宋" w:hAnsi="仿宋" w:eastAsia="仿宋" w:cs="仿宋"/>
          <w:sz w:val="24"/>
          <w:szCs w:val="24"/>
          <w:lang w:eastAsia="zh-CN"/>
        </w:rPr>
        <w:t>花卉</w:t>
      </w:r>
      <w:r>
        <w:rPr>
          <w:rFonts w:hint="eastAsia" w:ascii="仿宋" w:hAnsi="仿宋" w:eastAsia="仿宋" w:cs="仿宋"/>
          <w:sz w:val="24"/>
          <w:szCs w:val="24"/>
        </w:rPr>
        <w:t>种类不限于以下表格品种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组合摆放，</w:t>
      </w:r>
      <w:r>
        <w:rPr>
          <w:rFonts w:hint="eastAsia" w:ascii="仿宋" w:hAnsi="仿宋" w:eastAsia="仿宋" w:cs="仿宋"/>
          <w:color w:val="auto"/>
          <w:kern w:val="0"/>
          <w:sz w:val="24"/>
        </w:rPr>
        <w:t>按实际完成量结算</w:t>
      </w:r>
      <w:r>
        <w:rPr>
          <w:rFonts w:hint="eastAsia" w:ascii="仿宋" w:hAnsi="仿宋" w:eastAsia="仿宋" w:cs="仿宋"/>
          <w:sz w:val="24"/>
          <w:szCs w:val="24"/>
        </w:rPr>
        <w:t>）</w:t>
      </w:r>
    </w:p>
    <w:tbl>
      <w:tblPr>
        <w:tblStyle w:val="62"/>
        <w:tblW w:w="94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1737"/>
        <w:gridCol w:w="1586"/>
        <w:gridCol w:w="867"/>
        <w:gridCol w:w="1067"/>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种类</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暂定摆放量</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杜鹃球</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冠丛高:60cm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蓬径:60cm</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业主指定区域的半径0.4m圆柱花箱(一个花箱一株)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杜鹃球</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冠高:100cm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蓬径:100cm</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业主指定区域的1.2m*1.2m方形花箱(一个花箱一株)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五色梅</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非洲狼尾草</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黄金菊</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金露</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蓝冰麦</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千屈菜</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亮金女贞</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无尽夏</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一品红</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子夜狼尾草</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火炬花</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彩叶草</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百子莲</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变叶木</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大麻叶释兰</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玉簪</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金叶满天星</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石灰灯</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火星花</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扶桑</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金鸡菊</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紫娇花</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花叶络石</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小丑火棘</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黄金构骨</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迷迭香</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穗花杜蓟</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朱蕉</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玉带草</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玛丽菊</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斑叶芒</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小兔子狼尾草</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蛇鞭菊</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三角梅</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紫薇</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西洋杜鹃花</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一品红</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矾根</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地径6-7cm</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茶花</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彩虹石竹</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海棠花</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仙客来</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牡丹</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郁金香</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洋水仙</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红宝石</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35盆</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雏菊</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月季</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端香</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玛格丽特</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倒挂金钩</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绣球花</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龙船花</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非洲菊</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黄金草</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千年木</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红掌</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天竺葵</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朱槿</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五色牵牛</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变色木</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姬小菊</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白玉兰</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百万小玲</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大理花</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杜鹃花</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非洲茉莉</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35盆</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鸿运当头</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夹竹桃</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金雀</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康乃馨</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丽格海棠</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鼠尾草</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双线竹芋</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小飞蓝</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也门铁</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紫罗兰</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1加仑</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盆</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县城花坛内</w:t>
      </w:r>
      <w:r>
        <w:rPr>
          <w:rFonts w:hint="eastAsia" w:ascii="仿宋" w:hAnsi="仿宋" w:eastAsia="仿宋" w:cs="仿宋"/>
          <w:sz w:val="24"/>
          <w:szCs w:val="24"/>
          <w:lang w:eastAsia="zh-CN"/>
        </w:rPr>
        <w:t>花卉</w:t>
      </w:r>
      <w:r>
        <w:rPr>
          <w:rFonts w:hint="eastAsia" w:ascii="仿宋" w:hAnsi="仿宋" w:eastAsia="仿宋" w:cs="仿宋"/>
          <w:sz w:val="24"/>
          <w:szCs w:val="24"/>
        </w:rPr>
        <w:t>更换计划（一年更换</w:t>
      </w:r>
      <w:r>
        <w:rPr>
          <w:rFonts w:hint="eastAsia" w:ascii="仿宋" w:hAnsi="仿宋" w:eastAsia="仿宋" w:cs="仿宋"/>
          <w:sz w:val="24"/>
          <w:szCs w:val="24"/>
          <w:lang w:val="en-US" w:eastAsia="zh-CN"/>
        </w:rPr>
        <w:t>五</w:t>
      </w:r>
      <w:r>
        <w:rPr>
          <w:rFonts w:hint="eastAsia" w:ascii="仿宋" w:hAnsi="仿宋" w:eastAsia="仿宋" w:cs="仿宋"/>
          <w:sz w:val="24"/>
          <w:szCs w:val="24"/>
        </w:rPr>
        <w:t>期，部分更换时间可按实际天气情况进行调整,</w:t>
      </w:r>
      <w:r>
        <w:rPr>
          <w:rFonts w:hint="eastAsia" w:ascii="仿宋" w:hAnsi="仿宋" w:eastAsia="仿宋" w:cs="仿宋"/>
          <w:sz w:val="24"/>
          <w:szCs w:val="24"/>
          <w:lang w:eastAsia="zh-CN"/>
        </w:rPr>
        <w:t>花卉</w:t>
      </w:r>
      <w:r>
        <w:rPr>
          <w:rFonts w:hint="eastAsia" w:ascii="仿宋" w:hAnsi="仿宋" w:eastAsia="仿宋" w:cs="仿宋"/>
          <w:sz w:val="24"/>
          <w:szCs w:val="24"/>
        </w:rPr>
        <w:t>种类不限于以下表格品种）</w:t>
      </w:r>
    </w:p>
    <w:tbl>
      <w:tblPr>
        <w:tblStyle w:val="63"/>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075"/>
        <w:gridCol w:w="3741"/>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60" w:type="dxa"/>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期次</w:t>
            </w:r>
          </w:p>
        </w:tc>
        <w:tc>
          <w:tcPr>
            <w:tcW w:w="1075" w:type="dxa"/>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更换</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时间</w:t>
            </w:r>
          </w:p>
        </w:tc>
        <w:tc>
          <w:tcPr>
            <w:tcW w:w="7256" w:type="dxa"/>
            <w:gridSpan w:val="2"/>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选用花卉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60" w:type="dxa"/>
            <w:vMerge w:val="continue"/>
            <w:noWrap w:val="0"/>
            <w:vAlign w:val="center"/>
          </w:tcPr>
          <w:p>
            <w:pPr>
              <w:spacing w:line="360" w:lineRule="auto"/>
              <w:rPr>
                <w:rFonts w:hint="eastAsia" w:ascii="仿宋" w:hAnsi="仿宋" w:eastAsia="仿宋" w:cs="仿宋"/>
                <w:sz w:val="24"/>
                <w:szCs w:val="24"/>
              </w:rPr>
            </w:pPr>
          </w:p>
        </w:tc>
        <w:tc>
          <w:tcPr>
            <w:tcW w:w="1075" w:type="dxa"/>
            <w:vMerge w:val="continue"/>
            <w:noWrap w:val="0"/>
            <w:vAlign w:val="center"/>
          </w:tcPr>
          <w:p>
            <w:pPr>
              <w:spacing w:line="360" w:lineRule="auto"/>
              <w:rPr>
                <w:rFonts w:hint="eastAsia" w:ascii="仿宋" w:hAnsi="仿宋" w:eastAsia="仿宋" w:cs="仿宋"/>
                <w:sz w:val="24"/>
                <w:szCs w:val="24"/>
              </w:rPr>
            </w:pPr>
          </w:p>
        </w:tc>
        <w:tc>
          <w:tcPr>
            <w:tcW w:w="3741"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常用花卉</w:t>
            </w:r>
          </w:p>
        </w:tc>
        <w:tc>
          <w:tcPr>
            <w:tcW w:w="351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备选花卉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106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第一期</w:t>
            </w:r>
          </w:p>
        </w:tc>
        <w:tc>
          <w:tcPr>
            <w:tcW w:w="10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十二月至次年</w:t>
            </w:r>
            <w:r>
              <w:rPr>
                <w:rFonts w:hint="eastAsia" w:ascii="仿宋" w:hAnsi="仿宋" w:eastAsia="仿宋" w:cs="仿宋"/>
                <w:sz w:val="24"/>
                <w:szCs w:val="24"/>
                <w:lang w:val="en-US" w:eastAsia="zh-CN"/>
              </w:rPr>
              <w:t>二</w:t>
            </w:r>
            <w:r>
              <w:rPr>
                <w:rFonts w:hint="eastAsia" w:ascii="仿宋" w:hAnsi="仿宋" w:eastAsia="仿宋" w:cs="仿宋"/>
                <w:sz w:val="24"/>
                <w:szCs w:val="24"/>
              </w:rPr>
              <w:t>月</w:t>
            </w:r>
          </w:p>
        </w:tc>
        <w:tc>
          <w:tcPr>
            <w:tcW w:w="374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三色堇、金盏菊、石竹、紫罗兰、雏菊、金鱼草、羽衣甘蓝、红叶甜菜、银叶菊、</w:t>
            </w:r>
            <w:r>
              <w:rPr>
                <w:rFonts w:hint="eastAsia" w:ascii="仿宋" w:hAnsi="仿宋" w:eastAsia="仿宋" w:cs="仿宋"/>
                <w:color w:val="191919"/>
                <w:sz w:val="24"/>
                <w:szCs w:val="24"/>
                <w:shd w:val="clear" w:color="auto" w:fill="FFFFFF"/>
              </w:rPr>
              <w:t>玛格丽特菊、长寿花、瓜叶菊、长春花、五色草、矢车</w:t>
            </w:r>
            <w:r>
              <w:rPr>
                <w:rFonts w:hint="eastAsia" w:ascii="仿宋" w:hAnsi="仿宋" w:eastAsia="仿宋" w:cs="仿宋"/>
                <w:sz w:val="24"/>
                <w:szCs w:val="24"/>
              </w:rPr>
              <w:t>菊</w:t>
            </w:r>
          </w:p>
        </w:tc>
        <w:tc>
          <w:tcPr>
            <w:tcW w:w="3515"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color w:val="191919"/>
                <w:sz w:val="24"/>
                <w:szCs w:val="24"/>
                <w:shd w:val="clear" w:color="auto" w:fill="FFFFFF"/>
              </w:rPr>
              <w:t>四季海棠、藿香蓟、天竺葵、蜀葵、白晶菊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第二期</w:t>
            </w:r>
          </w:p>
        </w:tc>
        <w:tc>
          <w:tcPr>
            <w:tcW w:w="10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月至</w:t>
            </w:r>
            <w:r>
              <w:rPr>
                <w:rFonts w:hint="eastAsia" w:ascii="仿宋" w:hAnsi="仿宋" w:eastAsia="仿宋" w:cs="仿宋"/>
                <w:sz w:val="24"/>
                <w:szCs w:val="24"/>
                <w:lang w:val="en-US" w:eastAsia="zh-CN"/>
              </w:rPr>
              <w:t>五</w:t>
            </w:r>
            <w:r>
              <w:rPr>
                <w:rFonts w:hint="eastAsia" w:ascii="仿宋" w:hAnsi="仿宋" w:eastAsia="仿宋" w:cs="仿宋"/>
                <w:sz w:val="24"/>
                <w:szCs w:val="24"/>
              </w:rPr>
              <w:t>月</w:t>
            </w:r>
          </w:p>
        </w:tc>
        <w:tc>
          <w:tcPr>
            <w:tcW w:w="3741" w:type="dxa"/>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长春花、石竹、</w:t>
            </w:r>
            <w:r>
              <w:rPr>
                <w:rFonts w:hint="eastAsia" w:ascii="仿宋" w:hAnsi="仿宋" w:eastAsia="仿宋" w:cs="仿宋"/>
                <w:color w:val="191919"/>
                <w:sz w:val="24"/>
                <w:szCs w:val="24"/>
                <w:shd w:val="clear" w:color="auto" w:fill="FFFFFF"/>
              </w:rPr>
              <w:t>藿香蓟、</w:t>
            </w:r>
            <w:r>
              <w:rPr>
                <w:rFonts w:hint="eastAsia" w:ascii="仿宋" w:hAnsi="仿宋" w:eastAsia="仿宋" w:cs="仿宋"/>
                <w:sz w:val="24"/>
                <w:szCs w:val="24"/>
              </w:rPr>
              <w:t>金鱼草、羽衣甘蓝、</w:t>
            </w:r>
            <w:r>
              <w:rPr>
                <w:rFonts w:hint="eastAsia" w:ascii="仿宋" w:hAnsi="仿宋" w:eastAsia="仿宋" w:cs="仿宋"/>
                <w:color w:val="191919"/>
                <w:sz w:val="24"/>
                <w:szCs w:val="24"/>
                <w:shd w:val="clear" w:color="auto" w:fill="FFFFFF"/>
              </w:rPr>
              <w:t>四季海棠、一串红、矢车菊、黄晶菊、矮牵牛、孔雀草、玛格丽特菊、瓜叶菊、报春花、长寿花</w:t>
            </w:r>
            <w:r>
              <w:rPr>
                <w:rFonts w:hint="eastAsia" w:ascii="仿宋" w:hAnsi="仿宋" w:eastAsia="仿宋" w:cs="仿宋"/>
                <w:color w:val="191919"/>
                <w:sz w:val="24"/>
                <w:szCs w:val="24"/>
                <w:shd w:val="clear" w:color="auto" w:fill="FFFFFF"/>
                <w:lang w:eastAsia="zh-CN"/>
              </w:rPr>
              <w:t>、</w:t>
            </w:r>
            <w:r>
              <w:rPr>
                <w:rFonts w:hint="eastAsia" w:ascii="仿宋" w:hAnsi="仿宋" w:eastAsia="仿宋" w:cs="仿宋"/>
                <w:color w:val="191919"/>
                <w:sz w:val="24"/>
                <w:szCs w:val="24"/>
                <w:shd w:val="clear" w:color="auto" w:fill="FFFFFF"/>
              </w:rPr>
              <w:t>朱唇、三色堇、月季、金盏菊、天竺葵、紫罗兰、美女樱、大花萱草、翠菊、蜀葵</w:t>
            </w:r>
          </w:p>
        </w:tc>
        <w:tc>
          <w:tcPr>
            <w:tcW w:w="3515" w:type="dxa"/>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color w:val="191919"/>
                <w:sz w:val="24"/>
                <w:szCs w:val="24"/>
                <w:shd w:val="clear" w:color="auto" w:fill="FFFFFF"/>
              </w:rPr>
              <w:t>酢浆草、蜀葵、五色草、香雪球、虞美人、羽扇豆、水仙、雏菊</w:t>
            </w:r>
            <w:r>
              <w:rPr>
                <w:rFonts w:hint="eastAsia" w:ascii="仿宋" w:hAnsi="仿宋" w:eastAsia="仿宋" w:cs="仿宋"/>
                <w:color w:val="191919"/>
                <w:sz w:val="24"/>
                <w:szCs w:val="24"/>
                <w:shd w:val="clear" w:color="auto" w:fill="FFFFFF"/>
                <w:lang w:eastAsia="zh-CN"/>
              </w:rPr>
              <w:t>、</w:t>
            </w:r>
            <w:r>
              <w:rPr>
                <w:rFonts w:hint="eastAsia" w:ascii="仿宋" w:hAnsi="仿宋" w:eastAsia="仿宋" w:cs="仿宋"/>
                <w:color w:val="191919"/>
                <w:sz w:val="24"/>
                <w:szCs w:val="24"/>
                <w:shd w:val="clear" w:color="auto" w:fill="FFFFFF"/>
              </w:rPr>
              <w:t>银杯草、荷包牡丹、鸢尾、</w:t>
            </w:r>
            <w:r>
              <w:rPr>
                <w:rFonts w:hint="eastAsia" w:ascii="仿宋" w:hAnsi="仿宋" w:eastAsia="仿宋" w:cs="仿宋"/>
                <w:color w:val="191919"/>
                <w:sz w:val="24"/>
                <w:szCs w:val="24"/>
                <w:shd w:val="clear" w:color="auto" w:fill="FFFFFF"/>
              </w:rPr>
              <w:fldChar w:fldCharType="begin"/>
            </w:r>
            <w:r>
              <w:rPr>
                <w:rFonts w:hint="eastAsia" w:ascii="仿宋" w:hAnsi="仿宋" w:eastAsia="仿宋" w:cs="仿宋"/>
                <w:color w:val="191919"/>
                <w:sz w:val="24"/>
                <w:szCs w:val="24"/>
                <w:shd w:val="clear" w:color="auto" w:fill="FFFFFF"/>
              </w:rPr>
              <w:instrText xml:space="preserve"> HYPERLINK "https://www.cmeii.com/huahuizhongzilei/2819.html" \t "_blank" </w:instrText>
            </w:r>
            <w:r>
              <w:rPr>
                <w:rFonts w:hint="eastAsia" w:ascii="仿宋" w:hAnsi="仿宋" w:eastAsia="仿宋" w:cs="仿宋"/>
                <w:color w:val="191919"/>
                <w:sz w:val="24"/>
                <w:szCs w:val="24"/>
                <w:shd w:val="clear" w:color="auto" w:fill="FFFFFF"/>
              </w:rPr>
              <w:fldChar w:fldCharType="separate"/>
            </w:r>
            <w:r>
              <w:rPr>
                <w:rFonts w:hint="eastAsia" w:ascii="仿宋" w:hAnsi="仿宋" w:eastAsia="仿宋" w:cs="仿宋"/>
                <w:color w:val="191919"/>
                <w:sz w:val="24"/>
                <w:szCs w:val="24"/>
                <w:shd w:val="clear" w:color="auto" w:fill="FFFFFF"/>
              </w:rPr>
              <w:t>花菱草</w:t>
            </w:r>
            <w:r>
              <w:rPr>
                <w:rFonts w:hint="eastAsia" w:ascii="仿宋" w:hAnsi="仿宋" w:eastAsia="仿宋" w:cs="仿宋"/>
                <w:color w:val="191919"/>
                <w:sz w:val="24"/>
                <w:szCs w:val="24"/>
                <w:shd w:val="clear" w:color="auto" w:fill="FFFFFF"/>
              </w:rPr>
              <w:fldChar w:fldCharType="end"/>
            </w:r>
            <w:r>
              <w:rPr>
                <w:rFonts w:hint="eastAsia" w:ascii="仿宋" w:hAnsi="仿宋" w:eastAsia="仿宋" w:cs="仿宋"/>
                <w:color w:val="191919"/>
                <w:sz w:val="24"/>
                <w:szCs w:val="24"/>
                <w:shd w:val="clear" w:color="auto" w:fill="FFFFFF"/>
              </w:rPr>
              <w:t>、郁金香、佛甲草、芍药、花烟草、福禄考、樱草、勿忘草、白晶菊、钓钟柳、风铃草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06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第三期</w:t>
            </w:r>
          </w:p>
        </w:tc>
        <w:tc>
          <w:tcPr>
            <w:tcW w:w="10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六月至七月</w:t>
            </w:r>
          </w:p>
        </w:tc>
        <w:tc>
          <w:tcPr>
            <w:tcW w:w="374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美女樱、硫华菊、长春花、鸡冠花、波斯菊、百日草、鼠尾草、千日红、半枝莲、石竹、</w:t>
            </w:r>
            <w:r>
              <w:rPr>
                <w:rFonts w:hint="eastAsia" w:ascii="仿宋" w:hAnsi="仿宋" w:eastAsia="仿宋" w:cs="仿宋"/>
                <w:color w:val="191919"/>
                <w:sz w:val="24"/>
                <w:szCs w:val="24"/>
                <w:shd w:val="clear" w:color="auto" w:fill="FFFFFF"/>
              </w:rPr>
              <w:t>四季海棠、朱唇、三色堇、月季、</w:t>
            </w:r>
            <w:r>
              <w:rPr>
                <w:rFonts w:hint="eastAsia" w:ascii="仿宋" w:hAnsi="仿宋" w:eastAsia="仿宋" w:cs="仿宋"/>
                <w:sz w:val="24"/>
                <w:szCs w:val="24"/>
              </w:rPr>
              <w:t>喜林草</w:t>
            </w:r>
          </w:p>
        </w:tc>
        <w:tc>
          <w:tcPr>
            <w:tcW w:w="3515"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color w:val="191919"/>
                <w:sz w:val="24"/>
                <w:szCs w:val="24"/>
                <w:shd w:val="clear" w:color="auto" w:fill="FFFFFF"/>
              </w:rPr>
              <w:t>薰衣草、花烟草、荷包牡丹、芍药、</w:t>
            </w:r>
            <w:r>
              <w:rPr>
                <w:rFonts w:hint="eastAsia" w:ascii="仿宋" w:hAnsi="仿宋" w:eastAsia="仿宋" w:cs="仿宋"/>
                <w:color w:val="191919"/>
                <w:sz w:val="24"/>
                <w:szCs w:val="24"/>
                <w:shd w:val="clear" w:color="auto" w:fill="FFFFFF"/>
              </w:rPr>
              <w:fldChar w:fldCharType="begin"/>
            </w:r>
            <w:r>
              <w:rPr>
                <w:rFonts w:hint="eastAsia" w:ascii="仿宋" w:hAnsi="仿宋" w:eastAsia="仿宋" w:cs="仿宋"/>
                <w:color w:val="191919"/>
                <w:sz w:val="24"/>
                <w:szCs w:val="24"/>
                <w:shd w:val="clear" w:color="auto" w:fill="FFFFFF"/>
              </w:rPr>
              <w:instrText xml:space="preserve"> HYPERLINK "https://www.cmeii.com/huahuizhongzilei/2819.html" \t "_blank" </w:instrText>
            </w:r>
            <w:r>
              <w:rPr>
                <w:rFonts w:hint="eastAsia" w:ascii="仿宋" w:hAnsi="仿宋" w:eastAsia="仿宋" w:cs="仿宋"/>
                <w:color w:val="191919"/>
                <w:sz w:val="24"/>
                <w:szCs w:val="24"/>
                <w:shd w:val="clear" w:color="auto" w:fill="FFFFFF"/>
              </w:rPr>
              <w:fldChar w:fldCharType="separate"/>
            </w:r>
            <w:r>
              <w:rPr>
                <w:rFonts w:hint="eastAsia" w:ascii="仿宋" w:hAnsi="仿宋" w:eastAsia="仿宋" w:cs="仿宋"/>
                <w:color w:val="191919"/>
                <w:sz w:val="24"/>
                <w:szCs w:val="24"/>
                <w:shd w:val="clear" w:color="auto" w:fill="FFFFFF"/>
              </w:rPr>
              <w:t>花菱草</w:t>
            </w:r>
            <w:r>
              <w:rPr>
                <w:rFonts w:hint="eastAsia" w:ascii="仿宋" w:hAnsi="仿宋" w:eastAsia="仿宋" w:cs="仿宋"/>
                <w:color w:val="191919"/>
                <w:sz w:val="24"/>
                <w:szCs w:val="24"/>
                <w:shd w:val="clear" w:color="auto" w:fill="FFFFFF"/>
              </w:rPr>
              <w:fldChar w:fldCharType="end"/>
            </w:r>
            <w:r>
              <w:rPr>
                <w:rFonts w:hint="eastAsia" w:ascii="仿宋" w:hAnsi="仿宋" w:eastAsia="仿宋" w:cs="仿宋"/>
                <w:color w:val="191919"/>
                <w:sz w:val="24"/>
                <w:szCs w:val="24"/>
                <w:shd w:val="clear" w:color="auto" w:fill="FFFFFF"/>
              </w:rPr>
              <w:t>、松果菊、洋凤仙、桔梗、洋凤仙、月见草、醉蝶花、香豌豆、彩叶芋、柳穿鱼、松果菊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第四期</w:t>
            </w:r>
          </w:p>
        </w:tc>
        <w:tc>
          <w:tcPr>
            <w:tcW w:w="10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八月至九月</w:t>
            </w:r>
          </w:p>
        </w:tc>
        <w:tc>
          <w:tcPr>
            <w:tcW w:w="374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长春花、孔雀草、观赏辣椒、朱唇、彩叶草、夏堇、鸡冠花、矮牵牛、万寿菊、美女樱、半枝莲、</w:t>
            </w:r>
            <w:r>
              <w:rPr>
                <w:rFonts w:hint="eastAsia" w:ascii="仿宋" w:hAnsi="仿宋" w:eastAsia="仿宋" w:cs="仿宋"/>
                <w:color w:val="191919"/>
                <w:sz w:val="24"/>
                <w:szCs w:val="24"/>
                <w:shd w:val="clear" w:color="auto" w:fill="FFFFFF"/>
              </w:rPr>
              <w:t>金盏菊、一串红、四季海棠、蜡菊</w:t>
            </w:r>
          </w:p>
        </w:tc>
        <w:tc>
          <w:tcPr>
            <w:tcW w:w="3515" w:type="dxa"/>
            <w:noWrap w:val="0"/>
            <w:vAlign w:val="center"/>
          </w:tcPr>
          <w:p>
            <w:pPr>
              <w:spacing w:line="360" w:lineRule="auto"/>
              <w:rPr>
                <w:rFonts w:hint="eastAsia" w:ascii="仿宋" w:hAnsi="仿宋" w:eastAsia="仿宋" w:cs="仿宋"/>
                <w:color w:val="191919"/>
                <w:sz w:val="24"/>
                <w:szCs w:val="24"/>
                <w:shd w:val="clear" w:color="auto" w:fill="FFFFFF"/>
              </w:rPr>
            </w:pPr>
            <w:r>
              <w:rPr>
                <w:rFonts w:hint="eastAsia" w:ascii="仿宋" w:hAnsi="仿宋" w:eastAsia="仿宋" w:cs="仿宋"/>
                <w:sz w:val="24"/>
                <w:szCs w:val="24"/>
              </w:rPr>
              <w:t>银杯草、</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"https://www.cmeii.com/huahuizhongzilei/2819.html"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花菱草</w:t>
            </w:r>
            <w:r>
              <w:rPr>
                <w:rFonts w:hint="eastAsia" w:ascii="仿宋" w:hAnsi="仿宋" w:eastAsia="仿宋" w:cs="仿宋"/>
                <w:sz w:val="24"/>
                <w:szCs w:val="24"/>
              </w:rPr>
              <w:fldChar w:fldCharType="end"/>
            </w:r>
            <w:r>
              <w:rPr>
                <w:rFonts w:hint="eastAsia" w:ascii="仿宋" w:hAnsi="仿宋" w:eastAsia="仿宋" w:cs="仿宋"/>
                <w:sz w:val="24"/>
                <w:szCs w:val="24"/>
              </w:rPr>
              <w:t>、福禄考、长药八宝、大花萱草、落新妇、柳穿鱼、桔梗、旱金莲、银叶菊、金鱼草、葱莲、醉蝶花、玉簪、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106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五</w:t>
            </w:r>
            <w:r>
              <w:rPr>
                <w:rFonts w:hint="eastAsia" w:ascii="仿宋" w:hAnsi="仿宋" w:eastAsia="仿宋" w:cs="仿宋"/>
                <w:sz w:val="24"/>
                <w:szCs w:val="24"/>
              </w:rPr>
              <w:t>期</w:t>
            </w:r>
          </w:p>
        </w:tc>
        <w:tc>
          <w:tcPr>
            <w:tcW w:w="10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十月至十一月</w:t>
            </w:r>
          </w:p>
        </w:tc>
        <w:tc>
          <w:tcPr>
            <w:tcW w:w="374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长春花、孔雀草、百日草、矮牵牛、洋凤仙、万寿菊、鸡冠花、</w:t>
            </w:r>
            <w:r>
              <w:rPr>
                <w:rFonts w:hint="eastAsia" w:ascii="仿宋" w:hAnsi="仿宋" w:eastAsia="仿宋" w:cs="仿宋"/>
                <w:color w:val="191919"/>
                <w:sz w:val="24"/>
                <w:szCs w:val="24"/>
                <w:shd w:val="clear" w:color="auto" w:fill="FFFFFF"/>
              </w:rPr>
              <w:t>四季海棠、千日红、翠菊、一串红、美女樱、红叶甜菜、玛格丽特菊、勋章菊</w:t>
            </w:r>
          </w:p>
        </w:tc>
        <w:tc>
          <w:tcPr>
            <w:tcW w:w="3515" w:type="dxa"/>
            <w:noWrap w:val="0"/>
            <w:vAlign w:val="center"/>
          </w:tcPr>
          <w:p>
            <w:pPr>
              <w:spacing w:line="360" w:lineRule="auto"/>
              <w:rPr>
                <w:rFonts w:hint="eastAsia" w:ascii="仿宋" w:hAnsi="仿宋" w:eastAsia="仿宋" w:cs="仿宋"/>
                <w:color w:val="191919"/>
                <w:sz w:val="24"/>
                <w:szCs w:val="24"/>
                <w:shd w:val="clear" w:color="auto" w:fill="FFFFFF"/>
              </w:rPr>
            </w:pPr>
            <w:r>
              <w:rPr>
                <w:rFonts w:hint="eastAsia" w:ascii="仿宋" w:hAnsi="仿宋" w:eastAsia="仿宋" w:cs="仿宋"/>
                <w:color w:val="191919"/>
                <w:sz w:val="24"/>
                <w:szCs w:val="24"/>
                <w:shd w:val="clear" w:color="auto" w:fill="FFFFFF"/>
              </w:rPr>
              <w:t>大丽花、藿香蓟、旱金莲、天人菊、长药八宝、彩叶芋、大花萱草、地被菊、福禄考、火炬花、玉簪、假龙头、五色草、荷兰菊、紫茉莉</w:t>
            </w: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县城花箱内</w:t>
      </w:r>
      <w:r>
        <w:rPr>
          <w:rFonts w:hint="eastAsia" w:ascii="仿宋" w:hAnsi="仿宋" w:eastAsia="仿宋" w:cs="仿宋"/>
          <w:sz w:val="24"/>
          <w:szCs w:val="24"/>
          <w:lang w:eastAsia="zh-CN"/>
        </w:rPr>
        <w:t>花卉</w:t>
      </w:r>
      <w:r>
        <w:rPr>
          <w:rFonts w:hint="eastAsia" w:ascii="仿宋" w:hAnsi="仿宋" w:eastAsia="仿宋" w:cs="仿宋"/>
          <w:sz w:val="24"/>
          <w:szCs w:val="24"/>
        </w:rPr>
        <w:t>更换计划（一年更换</w:t>
      </w:r>
      <w:r>
        <w:rPr>
          <w:rFonts w:hint="eastAsia" w:ascii="仿宋" w:hAnsi="仿宋" w:eastAsia="仿宋" w:cs="仿宋"/>
          <w:sz w:val="24"/>
          <w:szCs w:val="24"/>
          <w:lang w:val="en-US" w:eastAsia="zh-CN"/>
        </w:rPr>
        <w:t>五</w:t>
      </w:r>
      <w:r>
        <w:rPr>
          <w:rFonts w:hint="eastAsia" w:ascii="仿宋" w:hAnsi="仿宋" w:eastAsia="仿宋" w:cs="仿宋"/>
          <w:sz w:val="24"/>
          <w:szCs w:val="24"/>
        </w:rPr>
        <w:t>期，部分更换时间可按实际天气情况进行调整,</w:t>
      </w:r>
      <w:r>
        <w:rPr>
          <w:rFonts w:hint="eastAsia" w:ascii="仿宋" w:hAnsi="仿宋" w:eastAsia="仿宋" w:cs="仿宋"/>
          <w:sz w:val="24"/>
          <w:szCs w:val="24"/>
          <w:lang w:eastAsia="zh-CN"/>
        </w:rPr>
        <w:t>花卉</w:t>
      </w:r>
      <w:r>
        <w:rPr>
          <w:rFonts w:hint="eastAsia" w:ascii="仿宋" w:hAnsi="仿宋" w:eastAsia="仿宋" w:cs="仿宋"/>
          <w:sz w:val="24"/>
          <w:szCs w:val="24"/>
        </w:rPr>
        <w:t>种类不限于以下表格品种）</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375"/>
        <w:gridCol w:w="3701"/>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期次</w:t>
            </w:r>
          </w:p>
        </w:tc>
        <w:tc>
          <w:tcPr>
            <w:tcW w:w="1375" w:type="dxa"/>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更换时间</w:t>
            </w:r>
          </w:p>
        </w:tc>
        <w:tc>
          <w:tcPr>
            <w:tcW w:w="6852" w:type="dxa"/>
            <w:gridSpan w:val="2"/>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选用花卉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spacing w:line="360" w:lineRule="auto"/>
              <w:rPr>
                <w:rFonts w:hint="eastAsia" w:ascii="仿宋" w:hAnsi="仿宋" w:eastAsia="仿宋" w:cs="仿宋"/>
                <w:sz w:val="24"/>
                <w:szCs w:val="24"/>
              </w:rPr>
            </w:pPr>
          </w:p>
        </w:tc>
        <w:tc>
          <w:tcPr>
            <w:tcW w:w="1375" w:type="dxa"/>
            <w:vMerge w:val="continue"/>
            <w:noWrap w:val="0"/>
            <w:vAlign w:val="center"/>
          </w:tcPr>
          <w:p>
            <w:pPr>
              <w:spacing w:line="360" w:lineRule="auto"/>
              <w:rPr>
                <w:rFonts w:hint="eastAsia" w:ascii="仿宋" w:hAnsi="仿宋" w:eastAsia="仿宋" w:cs="仿宋"/>
                <w:sz w:val="24"/>
                <w:szCs w:val="24"/>
              </w:rPr>
            </w:pPr>
          </w:p>
        </w:tc>
        <w:tc>
          <w:tcPr>
            <w:tcW w:w="3701"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常用花卉</w:t>
            </w:r>
          </w:p>
        </w:tc>
        <w:tc>
          <w:tcPr>
            <w:tcW w:w="3151"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备选花卉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第一期</w:t>
            </w:r>
          </w:p>
        </w:tc>
        <w:tc>
          <w:tcPr>
            <w:tcW w:w="13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十二月至次年</w:t>
            </w:r>
            <w:r>
              <w:rPr>
                <w:rFonts w:hint="eastAsia" w:ascii="仿宋" w:hAnsi="仿宋" w:eastAsia="仿宋" w:cs="仿宋"/>
                <w:sz w:val="24"/>
                <w:szCs w:val="24"/>
                <w:lang w:val="en-US" w:eastAsia="zh-CN"/>
              </w:rPr>
              <w:t>二</w:t>
            </w:r>
            <w:r>
              <w:rPr>
                <w:rFonts w:hint="eastAsia" w:ascii="仿宋" w:hAnsi="仿宋" w:eastAsia="仿宋" w:cs="仿宋"/>
                <w:sz w:val="24"/>
                <w:szCs w:val="24"/>
              </w:rPr>
              <w:t>月</w:t>
            </w:r>
          </w:p>
        </w:tc>
        <w:tc>
          <w:tcPr>
            <w:tcW w:w="370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三色堇、金盏菊、石竹、紫罗兰、雏菊、羽衣甘蓝、一串红、百日草、四季海棠、</w:t>
            </w:r>
            <w:r>
              <w:rPr>
                <w:rFonts w:hint="eastAsia" w:ascii="仿宋" w:hAnsi="仿宋" w:eastAsia="仿宋" w:cs="仿宋"/>
                <w:color w:val="191919"/>
                <w:sz w:val="24"/>
                <w:szCs w:val="24"/>
                <w:shd w:val="clear" w:color="auto" w:fill="FFFFFF"/>
              </w:rPr>
              <w:t>长春花、长寿花、杜鹃、吊兰、</w:t>
            </w:r>
            <w:r>
              <w:rPr>
                <w:rFonts w:hint="eastAsia" w:ascii="仿宋" w:hAnsi="仿宋" w:eastAsia="仿宋" w:cs="仿宋"/>
                <w:sz w:val="24"/>
                <w:szCs w:val="24"/>
              </w:rPr>
              <w:t>茶梅、康乃馨</w:t>
            </w:r>
          </w:p>
        </w:tc>
        <w:tc>
          <w:tcPr>
            <w:tcW w:w="315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茵芋、凤梨、红掌、一品红、海棠、茶花、乒乓菊、绿萝、大花蕙兰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第二期</w:t>
            </w:r>
          </w:p>
        </w:tc>
        <w:tc>
          <w:tcPr>
            <w:tcW w:w="13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月至</w:t>
            </w:r>
            <w:r>
              <w:rPr>
                <w:rFonts w:hint="eastAsia" w:ascii="仿宋" w:hAnsi="仿宋" w:eastAsia="仿宋" w:cs="仿宋"/>
                <w:sz w:val="24"/>
                <w:szCs w:val="24"/>
                <w:lang w:val="en-US" w:eastAsia="zh-CN"/>
              </w:rPr>
              <w:t>五</w:t>
            </w:r>
            <w:r>
              <w:rPr>
                <w:rFonts w:hint="eastAsia" w:ascii="仿宋" w:hAnsi="仿宋" w:eastAsia="仿宋" w:cs="仿宋"/>
                <w:sz w:val="24"/>
                <w:szCs w:val="24"/>
              </w:rPr>
              <w:t>月</w:t>
            </w:r>
          </w:p>
        </w:tc>
        <w:tc>
          <w:tcPr>
            <w:tcW w:w="3701" w:type="dxa"/>
            <w:noWrap w:val="0"/>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报春花、三色堇、塔奇金盏菊、金鱼草、雏菊、紫罗兰、矮牵牛、凤梨、红掌、一串红、一品红、</w:t>
            </w:r>
            <w:r>
              <w:rPr>
                <w:rFonts w:hint="eastAsia" w:ascii="仿宋" w:hAnsi="仿宋" w:eastAsia="仿宋" w:cs="仿宋"/>
                <w:color w:val="191919"/>
                <w:sz w:val="24"/>
                <w:szCs w:val="24"/>
                <w:shd w:val="clear" w:color="auto" w:fill="FFFFFF"/>
              </w:rPr>
              <w:t>矢车菊、四季海棠、白晶菊、</w:t>
            </w:r>
            <w:r>
              <w:rPr>
                <w:rFonts w:hint="eastAsia" w:ascii="仿宋" w:hAnsi="仿宋" w:eastAsia="仿宋" w:cs="仿宋"/>
                <w:sz w:val="24"/>
                <w:szCs w:val="24"/>
              </w:rPr>
              <w:t>朱唇</w:t>
            </w:r>
            <w:r>
              <w:rPr>
                <w:rFonts w:hint="eastAsia" w:ascii="仿宋" w:hAnsi="仿宋" w:eastAsia="仿宋" w:cs="仿宋"/>
                <w:sz w:val="24"/>
                <w:szCs w:val="24"/>
                <w:lang w:val="en-US" w:eastAsia="zh-CN"/>
              </w:rPr>
              <w:t>、</w:t>
            </w:r>
            <w:r>
              <w:rPr>
                <w:rFonts w:hint="eastAsia" w:ascii="仿宋" w:hAnsi="仿宋" w:eastAsia="仿宋" w:cs="仿宋"/>
                <w:sz w:val="24"/>
                <w:szCs w:val="24"/>
              </w:rPr>
              <w:t>石竹、</w:t>
            </w:r>
            <w:r>
              <w:rPr>
                <w:rFonts w:hint="eastAsia" w:ascii="仿宋" w:hAnsi="仿宋" w:eastAsia="仿宋" w:cs="仿宋"/>
                <w:color w:val="191919"/>
                <w:sz w:val="24"/>
                <w:szCs w:val="24"/>
                <w:shd w:val="clear" w:color="auto" w:fill="FFFFFF"/>
              </w:rPr>
              <w:t>藿香蓟、波斯菊、</w:t>
            </w:r>
            <w:r>
              <w:rPr>
                <w:rFonts w:hint="eastAsia" w:ascii="仿宋" w:hAnsi="仿宋" w:eastAsia="仿宋" w:cs="仿宋"/>
                <w:sz w:val="24"/>
                <w:szCs w:val="24"/>
              </w:rPr>
              <w:t>美女樱、硫华菊、孔雀草、绣球花、吊兰、月季、一品红、花烟草、凤梨</w:t>
            </w:r>
          </w:p>
        </w:tc>
        <w:tc>
          <w:tcPr>
            <w:tcW w:w="3151" w:type="dxa"/>
            <w:noWrap w:val="0"/>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羽衣甘蓝、</w:t>
            </w:r>
            <w:r>
              <w:rPr>
                <w:rFonts w:hint="eastAsia" w:ascii="仿宋" w:hAnsi="仿宋" w:eastAsia="仿宋" w:cs="仿宋"/>
                <w:color w:val="191919"/>
                <w:sz w:val="24"/>
                <w:szCs w:val="24"/>
                <w:shd w:val="clear" w:color="auto" w:fill="FFFFFF"/>
              </w:rPr>
              <w:t>彩叶草、长寿花、香雪球、藿香蓟、瓜叶菊、</w:t>
            </w:r>
            <w:r>
              <w:rPr>
                <w:rFonts w:hint="eastAsia" w:ascii="仿宋" w:hAnsi="仿宋" w:eastAsia="仿宋" w:cs="仿宋"/>
                <w:sz w:val="24"/>
                <w:szCs w:val="24"/>
              </w:rPr>
              <w:t>茶梅、茶花、</w:t>
            </w:r>
            <w:r>
              <w:rPr>
                <w:rFonts w:hint="eastAsia" w:ascii="仿宋" w:hAnsi="仿宋" w:eastAsia="仿宋" w:cs="仿宋"/>
                <w:color w:val="191919"/>
                <w:sz w:val="24"/>
                <w:szCs w:val="24"/>
                <w:shd w:val="clear" w:color="auto" w:fill="FFFFFF"/>
              </w:rPr>
              <w:t>天堂鸟、迎春花、四季杜鹃</w:t>
            </w:r>
            <w:r>
              <w:rPr>
                <w:rFonts w:hint="eastAsia" w:ascii="仿宋" w:hAnsi="仿宋" w:eastAsia="仿宋" w:cs="仿宋"/>
                <w:color w:val="191919"/>
                <w:sz w:val="24"/>
                <w:szCs w:val="24"/>
                <w:shd w:val="clear" w:color="auto" w:fill="FFFFFF"/>
                <w:lang w:val="en-US" w:eastAsia="zh-CN"/>
              </w:rPr>
              <w:t>、</w:t>
            </w:r>
            <w:r>
              <w:rPr>
                <w:rFonts w:hint="eastAsia" w:ascii="仿宋" w:hAnsi="仿宋" w:eastAsia="仿宋" w:cs="仿宋"/>
                <w:sz w:val="24"/>
                <w:szCs w:val="24"/>
              </w:rPr>
              <w:t>茵芋、红掌、南天竹、山茶花、小龙柏、米兰、常春藤、鸢尾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第三期</w:t>
            </w:r>
          </w:p>
        </w:tc>
        <w:tc>
          <w:tcPr>
            <w:tcW w:w="13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六月至七月</w:t>
            </w:r>
          </w:p>
        </w:tc>
        <w:tc>
          <w:tcPr>
            <w:tcW w:w="370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美女樱、硫华菊、长春花、鸡冠花、波斯菊、矮牵牛、喜林草、百日草、观赏辣椒、朱唇、五色梅、中华常春藤、红掌、凤梨、变叶木</w:t>
            </w:r>
          </w:p>
        </w:tc>
        <w:tc>
          <w:tcPr>
            <w:tcW w:w="315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小龙柏、扶桑、金桔、米兰、小叶栀子、常春藤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第四期</w:t>
            </w:r>
          </w:p>
        </w:tc>
        <w:tc>
          <w:tcPr>
            <w:tcW w:w="13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八月至九月</w:t>
            </w:r>
          </w:p>
        </w:tc>
        <w:tc>
          <w:tcPr>
            <w:tcW w:w="370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美女樱、长春花、孔雀草、百日草、观赏辣椒、朱唇、矮牵牛、红掌、凤梨、鸡冠花、一串红、一品红、硫华菊、</w:t>
            </w:r>
            <w:r>
              <w:rPr>
                <w:rFonts w:hint="eastAsia" w:ascii="仿宋" w:hAnsi="仿宋" w:eastAsia="仿宋" w:cs="仿宋"/>
                <w:color w:val="191919"/>
                <w:sz w:val="24"/>
                <w:szCs w:val="24"/>
                <w:shd w:val="clear" w:color="auto" w:fill="FFFFFF"/>
              </w:rPr>
              <w:t>千日红、银叶菊</w:t>
            </w:r>
          </w:p>
        </w:tc>
        <w:tc>
          <w:tcPr>
            <w:tcW w:w="3151" w:type="dxa"/>
            <w:noWrap w:val="0"/>
            <w:vAlign w:val="center"/>
          </w:tcPr>
          <w:p>
            <w:pPr>
              <w:pStyle w:val="57"/>
              <w:shd w:val="clear" w:color="auto" w:fill="FFFFFF"/>
              <w:wordWrap w:val="0"/>
              <w:spacing w:line="450" w:lineRule="atLeast"/>
              <w:ind w:left="0" w:leftChars="0" w:firstLine="0" w:firstLineChars="0"/>
              <w:rPr>
                <w:rFonts w:hint="eastAsia" w:ascii="仿宋" w:hAnsi="仿宋" w:eastAsia="仿宋" w:cs="仿宋"/>
                <w:sz w:val="24"/>
                <w:szCs w:val="24"/>
              </w:rPr>
            </w:pPr>
            <w:r>
              <w:rPr>
                <w:rFonts w:hint="eastAsia" w:ascii="仿宋" w:hAnsi="仿宋" w:eastAsia="仿宋" w:cs="仿宋"/>
                <w:sz w:val="24"/>
                <w:szCs w:val="24"/>
                <w:shd w:val="clear" w:color="auto" w:fill="FFFFFF"/>
              </w:rPr>
              <w:t>金鸡菊、向日葵、万寿菊、夏堇、翠菊、月季、彩叶芋、荷兰菊、紫茉莉、大丽花</w:t>
            </w:r>
            <w:r>
              <w:rPr>
                <w:rFonts w:hint="eastAsia" w:ascii="仿宋" w:hAnsi="仿宋" w:eastAsia="仿宋" w:cs="仿宋"/>
                <w:sz w:val="24"/>
                <w:szCs w:val="24"/>
              </w:rPr>
              <w:t>、红仙丹、佛</w:t>
            </w:r>
            <w:r>
              <w:rPr>
                <w:rFonts w:hint="eastAsia" w:ascii="仿宋" w:hAnsi="仿宋" w:eastAsia="仿宋" w:cs="仿宋"/>
                <w:sz w:val="24"/>
                <w:szCs w:val="24"/>
                <w:shd w:val="clear" w:color="auto" w:fill="FFFFFF"/>
              </w:rPr>
              <w:t>手、紫花地丁、茶花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五</w:t>
            </w:r>
            <w:r>
              <w:rPr>
                <w:rFonts w:hint="eastAsia" w:ascii="仿宋" w:hAnsi="仿宋" w:eastAsia="仿宋" w:cs="仿宋"/>
                <w:sz w:val="24"/>
                <w:szCs w:val="24"/>
              </w:rPr>
              <w:t>期</w:t>
            </w:r>
          </w:p>
        </w:tc>
        <w:tc>
          <w:tcPr>
            <w:tcW w:w="1375"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十月至十一月</w:t>
            </w:r>
          </w:p>
        </w:tc>
        <w:tc>
          <w:tcPr>
            <w:tcW w:w="370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一串红、长春花、孔雀草、百日草、四季海棠、矮牵牛、早小菊、洋凤仙、凤梨、红掌、美女樱、</w:t>
            </w:r>
            <w:r>
              <w:rPr>
                <w:rFonts w:hint="eastAsia" w:ascii="仿宋" w:hAnsi="仿宋" w:eastAsia="仿宋" w:cs="仿宋"/>
                <w:color w:val="191919"/>
                <w:sz w:val="24"/>
                <w:szCs w:val="24"/>
                <w:shd w:val="clear" w:color="auto" w:fill="FFFFFF"/>
              </w:rPr>
              <w:t>翠菊、藿香蓟、</w:t>
            </w:r>
            <w:r>
              <w:rPr>
                <w:rFonts w:hint="eastAsia" w:ascii="仿宋" w:hAnsi="仿宋" w:eastAsia="仿宋" w:cs="仿宋"/>
                <w:sz w:val="24"/>
                <w:szCs w:val="24"/>
              </w:rPr>
              <w:t>一品红、</w:t>
            </w:r>
            <w:r>
              <w:rPr>
                <w:rFonts w:hint="eastAsia" w:ascii="仿宋" w:hAnsi="仿宋" w:eastAsia="仿宋" w:cs="仿宋"/>
                <w:color w:val="191919"/>
                <w:sz w:val="24"/>
                <w:szCs w:val="24"/>
                <w:shd w:val="clear" w:color="auto" w:fill="FFFFFF"/>
              </w:rPr>
              <w:t>夏堇</w:t>
            </w:r>
          </w:p>
        </w:tc>
        <w:tc>
          <w:tcPr>
            <w:tcW w:w="315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color w:val="191919"/>
                <w:sz w:val="24"/>
                <w:szCs w:val="24"/>
                <w:shd w:val="clear" w:color="auto" w:fill="FFFFFF"/>
              </w:rPr>
              <w:t>天人菊、荷兰菊、勋章菊、千日红、地被菊、红叶甜菜、仙客来</w:t>
            </w:r>
            <w:r>
              <w:rPr>
                <w:rFonts w:hint="eastAsia" w:ascii="仿宋" w:hAnsi="仿宋" w:eastAsia="仿宋" w:cs="仿宋"/>
                <w:sz w:val="24"/>
                <w:szCs w:val="24"/>
                <w:shd w:val="clear" w:color="auto" w:fill="FFFFFF"/>
              </w:rPr>
              <w:t>、茶花</w:t>
            </w:r>
          </w:p>
        </w:tc>
      </w:tr>
    </w:tbl>
    <w:p>
      <w:pPr>
        <w:rPr>
          <w:rFonts w:hint="eastAsia" w:ascii="仿宋" w:hAnsi="仿宋" w:eastAsia="仿宋" w:cs="仿宋"/>
          <w:sz w:val="24"/>
          <w:szCs w:val="24"/>
        </w:rPr>
      </w:pPr>
    </w:p>
    <w:p>
      <w:pPr>
        <w:pStyle w:val="6"/>
        <w:spacing w:before="0" w:after="0"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二、招标要求</w:t>
      </w:r>
      <w:bookmarkEnd w:id="30"/>
      <w:bookmarkEnd w:id="31"/>
    </w:p>
    <w:p>
      <w:pPr>
        <w:pStyle w:val="7"/>
        <w:spacing w:before="0" w:after="0" w:line="360" w:lineRule="auto"/>
        <w:rPr>
          <w:rFonts w:hint="eastAsia" w:ascii="仿宋" w:hAnsi="仿宋" w:eastAsia="仿宋" w:cs="仿宋"/>
          <w:color w:val="auto"/>
          <w:sz w:val="24"/>
          <w:szCs w:val="24"/>
        </w:rPr>
      </w:pPr>
      <w:bookmarkStart w:id="32" w:name="_Toc77071626"/>
      <w:bookmarkStart w:id="33" w:name="_Toc72322594"/>
      <w:r>
        <w:rPr>
          <w:rFonts w:hint="eastAsia" w:ascii="仿宋" w:hAnsi="仿宋" w:eastAsia="仿宋" w:cs="仿宋"/>
          <w:color w:val="auto"/>
          <w:sz w:val="24"/>
          <w:szCs w:val="24"/>
        </w:rPr>
        <w:t>1、人员要求</w:t>
      </w:r>
      <w:bookmarkEnd w:id="32"/>
      <w:bookmarkEnd w:id="33"/>
    </w:p>
    <w:tbl>
      <w:tblPr>
        <w:tblStyle w:val="62"/>
        <w:tblW w:w="10016"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39"/>
        <w:gridCol w:w="985"/>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54"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539"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岗位名称</w:t>
            </w:r>
          </w:p>
        </w:tc>
        <w:tc>
          <w:tcPr>
            <w:tcW w:w="985"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6738"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54"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539"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项目负责人</w:t>
            </w:r>
          </w:p>
        </w:tc>
        <w:tc>
          <w:tcPr>
            <w:tcW w:w="985"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1人</w:t>
            </w:r>
          </w:p>
        </w:tc>
        <w:tc>
          <w:tcPr>
            <w:tcW w:w="6738" w:type="dxa"/>
            <w:vAlign w:val="center"/>
          </w:tcPr>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具有园林绿化专业</w:t>
            </w:r>
            <w:r>
              <w:rPr>
                <w:rFonts w:hint="eastAsia" w:ascii="仿宋" w:hAnsi="仿宋" w:eastAsia="仿宋" w:cs="仿宋"/>
                <w:bCs/>
                <w:color w:val="auto"/>
                <w:sz w:val="24"/>
                <w:lang w:val="en-US" w:eastAsia="zh-CN"/>
              </w:rPr>
              <w:t>高</w:t>
            </w:r>
            <w:r>
              <w:rPr>
                <w:rFonts w:hint="eastAsia" w:ascii="仿宋" w:hAnsi="仿宋" w:eastAsia="仿宋" w:cs="仿宋"/>
                <w:bCs/>
                <w:color w:val="auto"/>
                <w:sz w:val="24"/>
              </w:rPr>
              <w:t>级及以上职称证书。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4"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1539"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总人数要求</w:t>
            </w:r>
          </w:p>
        </w:tc>
        <w:tc>
          <w:tcPr>
            <w:tcW w:w="985" w:type="dxa"/>
            <w:vAlign w:val="center"/>
          </w:tcPr>
          <w:p>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15</w:t>
            </w:r>
            <w:r>
              <w:rPr>
                <w:rFonts w:hint="eastAsia" w:ascii="仿宋" w:hAnsi="仿宋" w:eastAsia="仿宋" w:cs="仿宋"/>
                <w:bCs/>
                <w:color w:val="auto"/>
                <w:sz w:val="24"/>
              </w:rPr>
              <w:t>人</w:t>
            </w:r>
          </w:p>
        </w:tc>
        <w:tc>
          <w:tcPr>
            <w:tcW w:w="6738" w:type="dxa"/>
            <w:vAlign w:val="center"/>
          </w:tcPr>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拟投入本项目的项目负责人、作业人员的总人数最低要求。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016" w:type="dxa"/>
            <w:gridSpan w:val="4"/>
            <w:vAlign w:val="center"/>
          </w:tcPr>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说明：1.上述人员数量是招标人的最低要求。2.现场作业人员要求身体健康、无重大疾病、能胜任室外作业，</w:t>
            </w:r>
            <w:r>
              <w:rPr>
                <w:rFonts w:hint="default" w:ascii="仿宋" w:hAnsi="仿宋" w:eastAsia="仿宋" w:cs="仿宋"/>
                <w:b/>
                <w:bCs w:val="0"/>
                <w:color w:val="auto"/>
                <w:sz w:val="24"/>
              </w:rPr>
              <w:t>承诺</w:t>
            </w:r>
            <w:r>
              <w:rPr>
                <w:rFonts w:hint="eastAsia" w:ascii="仿宋" w:hAnsi="仿宋" w:eastAsia="仿宋" w:cs="仿宋"/>
                <w:bCs/>
                <w:color w:val="auto"/>
                <w:sz w:val="24"/>
              </w:rPr>
              <w:t>并在上岗作业前为其办理意外伤害保险，并将保险凭证交给发包人保管。</w:t>
            </w:r>
          </w:p>
        </w:tc>
      </w:tr>
    </w:tbl>
    <w:p>
      <w:pPr>
        <w:pStyle w:val="7"/>
        <w:snapToGrid w:val="0"/>
        <w:spacing w:before="0" w:after="0" w:line="360" w:lineRule="auto"/>
        <w:rPr>
          <w:rFonts w:hint="eastAsia" w:ascii="仿宋" w:hAnsi="仿宋" w:eastAsia="仿宋" w:cs="仿宋"/>
          <w:color w:val="auto"/>
          <w:sz w:val="24"/>
          <w:szCs w:val="24"/>
        </w:rPr>
      </w:pPr>
      <w:bookmarkStart w:id="34" w:name="_Toc72322592"/>
      <w:bookmarkStart w:id="35" w:name="_Toc77071627"/>
      <w:bookmarkStart w:id="36" w:name="_Toc72322596"/>
      <w:r>
        <w:rPr>
          <w:rFonts w:hint="eastAsia" w:ascii="仿宋" w:hAnsi="仿宋" w:eastAsia="仿宋" w:cs="仿宋"/>
          <w:color w:val="auto"/>
          <w:sz w:val="24"/>
          <w:szCs w:val="24"/>
        </w:rPr>
        <w:t>2、</w:t>
      </w:r>
      <w:bookmarkEnd w:id="34"/>
      <w:r>
        <w:rPr>
          <w:rFonts w:hint="eastAsia" w:ascii="仿宋" w:hAnsi="仿宋" w:eastAsia="仿宋" w:cs="仿宋"/>
          <w:color w:val="auto"/>
          <w:sz w:val="24"/>
          <w:szCs w:val="24"/>
        </w:rPr>
        <w:t>种植要求</w:t>
      </w:r>
      <w:bookmarkEnd w:id="35"/>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2.1场地平整必须满足种植绿地和地形造势等要求，不得随意破坏周边已种植树木和道路环境设施、设备等。</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2.2选苗优良、种植整齐、造型优美、布置搭配满足</w:t>
      </w:r>
      <w:r>
        <w:rPr>
          <w:rFonts w:hint="eastAsia" w:ascii="仿宋" w:hAnsi="仿宋" w:eastAsia="仿宋" w:cs="仿宋"/>
          <w:bCs/>
          <w:color w:val="auto"/>
          <w:sz w:val="24"/>
          <w:szCs w:val="24"/>
          <w:lang w:eastAsia="zh-CN"/>
        </w:rPr>
        <w:t>业主</w:t>
      </w:r>
      <w:r>
        <w:rPr>
          <w:rFonts w:hint="eastAsia" w:ascii="仿宋" w:hAnsi="仿宋" w:eastAsia="仿宋" w:cs="仿宋"/>
          <w:bCs/>
          <w:color w:val="auto"/>
          <w:sz w:val="24"/>
          <w:szCs w:val="24"/>
        </w:rPr>
        <w:t>要求，种植后一周内达到鲜花开放的要求，形象效果美观。</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2.3种植数量及品种必须满足</w:t>
      </w:r>
      <w:r>
        <w:rPr>
          <w:rFonts w:hint="eastAsia" w:ascii="仿宋" w:hAnsi="仿宋" w:eastAsia="仿宋" w:cs="仿宋"/>
          <w:bCs/>
          <w:color w:val="auto"/>
          <w:sz w:val="24"/>
          <w:szCs w:val="24"/>
          <w:lang w:eastAsia="zh-CN"/>
        </w:rPr>
        <w:t>业主</w:t>
      </w:r>
      <w:r>
        <w:rPr>
          <w:rFonts w:hint="eastAsia" w:ascii="仿宋" w:hAnsi="仿宋" w:eastAsia="仿宋" w:cs="仿宋"/>
          <w:bCs/>
          <w:color w:val="auto"/>
          <w:sz w:val="24"/>
          <w:szCs w:val="24"/>
        </w:rPr>
        <w:t>的要求，</w:t>
      </w:r>
      <w:r>
        <w:rPr>
          <w:rFonts w:hint="eastAsia" w:ascii="仿宋" w:hAnsi="仿宋" w:eastAsia="仿宋" w:cs="仿宋"/>
          <w:b/>
          <w:bCs w:val="0"/>
          <w:color w:val="auto"/>
          <w:sz w:val="24"/>
          <w:szCs w:val="24"/>
        </w:rPr>
        <w:t>每</w:t>
      </w:r>
      <w:r>
        <w:rPr>
          <w:rFonts w:hint="eastAsia" w:ascii="仿宋" w:hAnsi="仿宋" w:eastAsia="仿宋" w:cs="仿宋"/>
          <w:b/>
          <w:bCs w:val="0"/>
          <w:color w:val="auto"/>
          <w:sz w:val="24"/>
          <w:szCs w:val="24"/>
          <w:lang w:val="en-US" w:eastAsia="zh-CN"/>
        </w:rPr>
        <w:t>期</w:t>
      </w:r>
      <w:r>
        <w:rPr>
          <w:rFonts w:hint="eastAsia" w:ascii="仿宋" w:hAnsi="仿宋" w:eastAsia="仿宋" w:cs="仿宋"/>
          <w:b/>
          <w:bCs w:val="0"/>
          <w:color w:val="auto"/>
          <w:sz w:val="24"/>
          <w:szCs w:val="24"/>
        </w:rPr>
        <w:t>种植前</w:t>
      </w:r>
      <w:r>
        <w:rPr>
          <w:rFonts w:hint="eastAsia" w:ascii="仿宋" w:hAnsi="仿宋" w:eastAsia="仿宋" w:cs="仿宋"/>
          <w:b/>
          <w:bCs w:val="0"/>
          <w:color w:val="auto"/>
          <w:sz w:val="24"/>
          <w:szCs w:val="24"/>
          <w:lang w:val="en-US" w:eastAsia="zh-CN"/>
        </w:rPr>
        <w:t>一星期</w:t>
      </w:r>
      <w:r>
        <w:rPr>
          <w:rFonts w:hint="eastAsia" w:ascii="仿宋" w:hAnsi="仿宋" w:eastAsia="仿宋" w:cs="仿宋"/>
          <w:bCs/>
          <w:color w:val="auto"/>
          <w:sz w:val="24"/>
          <w:szCs w:val="24"/>
        </w:rPr>
        <w:t>根据业主方指令制定鲜花种植配置方案（</w:t>
      </w:r>
      <w:r>
        <w:rPr>
          <w:rFonts w:hint="eastAsia" w:ascii="仿宋" w:hAnsi="仿宋" w:eastAsia="仿宋" w:cs="仿宋"/>
          <w:b/>
          <w:bCs w:val="0"/>
          <w:color w:val="auto"/>
          <w:sz w:val="24"/>
          <w:szCs w:val="24"/>
          <w:lang w:val="en-US" w:eastAsia="zh-CN"/>
        </w:rPr>
        <w:t>根据图纸划分区块制定方案</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重要路段、节点须配有种植设计方案），鲜花种植配置方案须书面提交采购人确认，并由采购人核实书面回复后，方可实施种植。若</w:t>
      </w:r>
      <w:r>
        <w:rPr>
          <w:rFonts w:hint="eastAsia" w:ascii="仿宋" w:hAnsi="仿宋" w:eastAsia="仿宋" w:cs="仿宋"/>
          <w:bCs/>
          <w:color w:val="auto"/>
          <w:sz w:val="24"/>
          <w:szCs w:val="24"/>
          <w:lang w:eastAsia="zh-CN"/>
        </w:rPr>
        <w:t>中标供应商</w:t>
      </w:r>
      <w:r>
        <w:rPr>
          <w:rFonts w:hint="eastAsia" w:ascii="仿宋" w:hAnsi="仿宋" w:eastAsia="仿宋" w:cs="仿宋"/>
          <w:bCs/>
          <w:color w:val="auto"/>
          <w:sz w:val="24"/>
          <w:szCs w:val="24"/>
        </w:rPr>
        <w:t>未经</w:t>
      </w:r>
      <w:r>
        <w:rPr>
          <w:rFonts w:hint="eastAsia" w:ascii="仿宋" w:hAnsi="仿宋" w:eastAsia="仿宋" w:cs="仿宋"/>
          <w:bCs/>
          <w:color w:val="auto"/>
          <w:sz w:val="24"/>
          <w:szCs w:val="24"/>
          <w:lang w:eastAsia="zh-CN"/>
        </w:rPr>
        <w:t>业主</w:t>
      </w:r>
      <w:r>
        <w:rPr>
          <w:rFonts w:hint="eastAsia" w:ascii="仿宋" w:hAnsi="仿宋" w:eastAsia="仿宋" w:cs="仿宋"/>
          <w:bCs/>
          <w:color w:val="auto"/>
          <w:sz w:val="24"/>
          <w:szCs w:val="24"/>
        </w:rPr>
        <w:t>核实回复，自行开展</w:t>
      </w:r>
      <w:r>
        <w:rPr>
          <w:rFonts w:hint="eastAsia" w:ascii="仿宋" w:hAnsi="仿宋" w:eastAsia="仿宋" w:cs="仿宋"/>
          <w:bCs/>
          <w:color w:val="auto"/>
          <w:sz w:val="24"/>
          <w:szCs w:val="24"/>
          <w:lang w:eastAsia="zh-CN"/>
        </w:rPr>
        <w:t>花卉</w:t>
      </w:r>
      <w:r>
        <w:rPr>
          <w:rFonts w:hint="eastAsia" w:ascii="仿宋" w:hAnsi="仿宋" w:eastAsia="仿宋" w:cs="仿宋"/>
          <w:bCs/>
          <w:color w:val="auto"/>
          <w:sz w:val="24"/>
          <w:szCs w:val="24"/>
        </w:rPr>
        <w:t>种植工作，</w:t>
      </w:r>
      <w:r>
        <w:rPr>
          <w:rFonts w:hint="eastAsia" w:ascii="仿宋" w:hAnsi="仿宋" w:eastAsia="仿宋" w:cs="仿宋"/>
          <w:bCs/>
          <w:color w:val="auto"/>
          <w:sz w:val="24"/>
          <w:szCs w:val="24"/>
          <w:lang w:eastAsia="zh-CN"/>
        </w:rPr>
        <w:t>业主</w:t>
      </w:r>
      <w:r>
        <w:rPr>
          <w:rFonts w:hint="eastAsia" w:ascii="仿宋" w:hAnsi="仿宋" w:eastAsia="仿宋" w:cs="仿宋"/>
          <w:bCs/>
          <w:color w:val="auto"/>
          <w:sz w:val="24"/>
          <w:szCs w:val="24"/>
        </w:rPr>
        <w:t>有权拒收或退换货，由此造成的一切责任和后果由</w:t>
      </w:r>
      <w:r>
        <w:rPr>
          <w:rFonts w:hint="eastAsia" w:ascii="仿宋" w:hAnsi="仿宋" w:eastAsia="仿宋" w:cs="仿宋"/>
          <w:bCs/>
          <w:color w:val="auto"/>
          <w:sz w:val="24"/>
          <w:szCs w:val="24"/>
          <w:lang w:eastAsia="zh-CN"/>
        </w:rPr>
        <w:t>中标供应商</w:t>
      </w:r>
      <w:r>
        <w:rPr>
          <w:rFonts w:hint="eastAsia" w:ascii="仿宋" w:hAnsi="仿宋" w:eastAsia="仿宋" w:cs="仿宋"/>
          <w:bCs/>
          <w:color w:val="auto"/>
          <w:sz w:val="24"/>
          <w:szCs w:val="24"/>
        </w:rPr>
        <w:t>自行承担。每季</w:t>
      </w:r>
      <w:r>
        <w:rPr>
          <w:rFonts w:hint="eastAsia" w:ascii="仿宋" w:hAnsi="仿宋" w:eastAsia="仿宋" w:cs="仿宋"/>
          <w:bCs/>
          <w:color w:val="auto"/>
          <w:sz w:val="24"/>
          <w:szCs w:val="24"/>
          <w:lang w:eastAsia="zh-CN"/>
        </w:rPr>
        <w:t>中标供应商</w:t>
      </w:r>
      <w:r>
        <w:rPr>
          <w:rFonts w:hint="eastAsia" w:ascii="仿宋" w:hAnsi="仿宋" w:eastAsia="仿宋" w:cs="仿宋"/>
          <w:bCs/>
          <w:color w:val="auto"/>
          <w:sz w:val="24"/>
          <w:szCs w:val="24"/>
        </w:rPr>
        <w:t>种植</w:t>
      </w:r>
      <w:r>
        <w:rPr>
          <w:rFonts w:hint="eastAsia" w:ascii="仿宋" w:hAnsi="仿宋" w:eastAsia="仿宋" w:cs="仿宋"/>
          <w:bCs/>
          <w:color w:val="auto"/>
          <w:sz w:val="24"/>
          <w:szCs w:val="24"/>
          <w:lang w:eastAsia="zh-CN"/>
        </w:rPr>
        <w:t>花卉</w:t>
      </w:r>
      <w:r>
        <w:rPr>
          <w:rFonts w:hint="eastAsia" w:ascii="仿宋" w:hAnsi="仿宋" w:eastAsia="仿宋" w:cs="仿宋"/>
          <w:bCs/>
          <w:color w:val="auto"/>
          <w:sz w:val="24"/>
          <w:szCs w:val="24"/>
        </w:rPr>
        <w:t>品种必须采用附表所列每季品种的6种及以上。</w:t>
      </w:r>
    </w:p>
    <w:p>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如若发生所供</w:t>
      </w:r>
      <w:r>
        <w:rPr>
          <w:rFonts w:hint="eastAsia" w:ascii="仿宋" w:hAnsi="仿宋" w:eastAsia="仿宋" w:cs="仿宋"/>
          <w:bCs/>
          <w:color w:val="auto"/>
          <w:sz w:val="24"/>
          <w:szCs w:val="24"/>
          <w:lang w:eastAsia="zh-CN"/>
        </w:rPr>
        <w:t>花卉</w:t>
      </w:r>
      <w:r>
        <w:rPr>
          <w:rFonts w:hint="eastAsia" w:ascii="仿宋" w:hAnsi="仿宋" w:eastAsia="仿宋" w:cs="仿宋"/>
          <w:bCs/>
          <w:color w:val="auto"/>
          <w:sz w:val="24"/>
          <w:szCs w:val="24"/>
        </w:rPr>
        <w:t>的品种、规格、种植数量与</w:t>
      </w:r>
      <w:r>
        <w:rPr>
          <w:rFonts w:hint="eastAsia" w:ascii="仿宋" w:hAnsi="仿宋" w:eastAsia="仿宋" w:cs="仿宋"/>
          <w:bCs/>
          <w:color w:val="auto"/>
          <w:sz w:val="24"/>
          <w:szCs w:val="24"/>
          <w:lang w:eastAsia="zh-CN"/>
        </w:rPr>
        <w:t>业主</w:t>
      </w:r>
      <w:r>
        <w:rPr>
          <w:rFonts w:hint="eastAsia" w:ascii="仿宋" w:hAnsi="仿宋" w:eastAsia="仿宋" w:cs="仿宋"/>
          <w:bCs/>
          <w:color w:val="auto"/>
          <w:sz w:val="24"/>
          <w:szCs w:val="24"/>
        </w:rPr>
        <w:t>要求不符，</w:t>
      </w:r>
      <w:r>
        <w:rPr>
          <w:rFonts w:hint="eastAsia" w:ascii="仿宋" w:hAnsi="仿宋" w:eastAsia="仿宋" w:cs="仿宋"/>
          <w:bCs/>
          <w:color w:val="auto"/>
          <w:sz w:val="24"/>
          <w:szCs w:val="24"/>
          <w:lang w:eastAsia="zh-CN"/>
        </w:rPr>
        <w:t>业主</w:t>
      </w:r>
      <w:r>
        <w:rPr>
          <w:rFonts w:hint="eastAsia" w:ascii="仿宋" w:hAnsi="仿宋" w:eastAsia="仿宋" w:cs="仿宋"/>
          <w:bCs/>
          <w:color w:val="auto"/>
          <w:sz w:val="24"/>
          <w:szCs w:val="24"/>
        </w:rPr>
        <w:t>有权拒收或退换货，由此产生的一切责任和后果由</w:t>
      </w:r>
      <w:r>
        <w:rPr>
          <w:rFonts w:hint="eastAsia" w:ascii="仿宋" w:hAnsi="仿宋" w:eastAsia="仿宋" w:cs="仿宋"/>
          <w:bCs/>
          <w:color w:val="auto"/>
          <w:sz w:val="24"/>
          <w:szCs w:val="24"/>
          <w:lang w:eastAsia="zh-CN"/>
        </w:rPr>
        <w:t>中标供应商</w:t>
      </w:r>
      <w:r>
        <w:rPr>
          <w:rFonts w:hint="eastAsia" w:ascii="仿宋" w:hAnsi="仿宋" w:eastAsia="仿宋" w:cs="仿宋"/>
          <w:bCs/>
          <w:color w:val="auto"/>
          <w:sz w:val="24"/>
          <w:szCs w:val="24"/>
        </w:rPr>
        <w:t>承担。</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2.4</w:t>
      </w:r>
      <w:r>
        <w:rPr>
          <w:rFonts w:hint="eastAsia" w:ascii="仿宋" w:hAnsi="仿宋" w:eastAsia="仿宋" w:cs="仿宋"/>
          <w:bCs/>
          <w:color w:val="auto"/>
          <w:sz w:val="24"/>
          <w:szCs w:val="24"/>
          <w:lang w:eastAsia="zh-CN"/>
        </w:rPr>
        <w:t>花卉</w:t>
      </w:r>
      <w:r>
        <w:rPr>
          <w:rFonts w:hint="eastAsia" w:ascii="仿宋" w:hAnsi="仿宋" w:eastAsia="仿宋" w:cs="仿宋"/>
          <w:bCs/>
          <w:color w:val="auto"/>
          <w:sz w:val="24"/>
          <w:szCs w:val="24"/>
        </w:rPr>
        <w:t>布置的花期上必须有一定连续性，如若发现</w:t>
      </w:r>
      <w:r>
        <w:rPr>
          <w:rFonts w:hint="eastAsia" w:ascii="仿宋" w:hAnsi="仿宋" w:eastAsia="仿宋" w:cs="仿宋"/>
          <w:bCs/>
          <w:color w:val="auto"/>
          <w:sz w:val="24"/>
          <w:szCs w:val="24"/>
          <w:lang w:eastAsia="zh-CN"/>
        </w:rPr>
        <w:t>花卉</w:t>
      </w:r>
      <w:r>
        <w:rPr>
          <w:rFonts w:hint="eastAsia" w:ascii="仿宋" w:hAnsi="仿宋" w:eastAsia="仿宋" w:cs="仿宋"/>
          <w:bCs/>
          <w:color w:val="auto"/>
          <w:sz w:val="24"/>
          <w:szCs w:val="24"/>
        </w:rPr>
        <w:t>有开败迹象等现象，</w:t>
      </w:r>
      <w:r>
        <w:rPr>
          <w:rFonts w:hint="eastAsia" w:ascii="仿宋" w:hAnsi="仿宋" w:eastAsia="仿宋" w:cs="仿宋"/>
          <w:bCs/>
          <w:color w:val="auto"/>
          <w:sz w:val="24"/>
          <w:szCs w:val="24"/>
          <w:lang w:eastAsia="zh-CN"/>
        </w:rPr>
        <w:t>业主</w:t>
      </w:r>
      <w:r>
        <w:rPr>
          <w:rFonts w:hint="eastAsia" w:ascii="仿宋" w:hAnsi="仿宋" w:eastAsia="仿宋" w:cs="仿宋"/>
          <w:bCs/>
          <w:color w:val="auto"/>
          <w:sz w:val="24"/>
          <w:szCs w:val="24"/>
        </w:rPr>
        <w:t>有权要求</w:t>
      </w:r>
      <w:r>
        <w:rPr>
          <w:rFonts w:hint="eastAsia" w:ascii="仿宋" w:hAnsi="仿宋" w:eastAsia="仿宋" w:cs="仿宋"/>
          <w:bCs/>
          <w:color w:val="auto"/>
          <w:sz w:val="24"/>
          <w:szCs w:val="24"/>
          <w:lang w:eastAsia="zh-CN"/>
        </w:rPr>
        <w:t>中标供应商</w:t>
      </w:r>
      <w:r>
        <w:rPr>
          <w:rFonts w:hint="eastAsia" w:ascii="仿宋" w:hAnsi="仿宋" w:eastAsia="仿宋" w:cs="仿宋"/>
          <w:bCs/>
          <w:color w:val="auto"/>
          <w:sz w:val="24"/>
          <w:szCs w:val="24"/>
        </w:rPr>
        <w:t>及时更换。</w:t>
      </w:r>
    </w:p>
    <w:p>
      <w:pPr>
        <w:snapToGrid w:val="0"/>
        <w:spacing w:line="360" w:lineRule="auto"/>
        <w:rPr>
          <w:rFonts w:hint="default" w:ascii="仿宋" w:hAnsi="仿宋" w:eastAsia="仿宋" w:cs="仿宋"/>
          <w:bCs/>
          <w:color w:val="auto"/>
          <w:sz w:val="24"/>
          <w:szCs w:val="24"/>
        </w:rPr>
      </w:pPr>
      <w:r>
        <w:rPr>
          <w:rFonts w:hint="eastAsia" w:ascii="仿宋" w:hAnsi="仿宋" w:eastAsia="仿宋" w:cs="仿宋"/>
          <w:bCs/>
          <w:color w:val="auto"/>
          <w:sz w:val="24"/>
          <w:szCs w:val="24"/>
        </w:rPr>
        <w:t xml:space="preserve">  2.5换花时，必须深耕细耙，</w:t>
      </w:r>
      <w:r>
        <w:rPr>
          <w:rFonts w:hint="eastAsia" w:ascii="仿宋" w:hAnsi="仿宋" w:eastAsia="仿宋" w:cs="仿宋"/>
          <w:b/>
          <w:bCs w:val="0"/>
          <w:color w:val="auto"/>
          <w:sz w:val="24"/>
          <w:szCs w:val="24"/>
          <w:lang w:val="en-US" w:eastAsia="zh-CN"/>
        </w:rPr>
        <w:t>横竖有列</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要去除土层内的石块、草屑、残茎、落叶等杂物，按照</w:t>
      </w:r>
      <w:r>
        <w:rPr>
          <w:rFonts w:hint="eastAsia" w:ascii="仿宋" w:hAnsi="仿宋" w:eastAsia="仿宋" w:cs="仿宋"/>
          <w:bCs/>
          <w:color w:val="auto"/>
          <w:sz w:val="24"/>
          <w:szCs w:val="24"/>
          <w:lang w:eastAsia="zh-CN"/>
        </w:rPr>
        <w:t>业主</w:t>
      </w:r>
      <w:r>
        <w:rPr>
          <w:rFonts w:hint="eastAsia" w:ascii="仿宋" w:hAnsi="仿宋" w:eastAsia="仿宋" w:cs="仿宋"/>
          <w:bCs/>
          <w:color w:val="auto"/>
          <w:sz w:val="24"/>
          <w:szCs w:val="24"/>
        </w:rPr>
        <w:t>要求进行消毒</w:t>
      </w:r>
      <w:r>
        <w:rPr>
          <w:rFonts w:hint="default" w:ascii="仿宋" w:hAnsi="仿宋" w:eastAsia="仿宋" w:cs="仿宋"/>
          <w:bCs/>
          <w:color w:val="auto"/>
          <w:sz w:val="24"/>
          <w:szCs w:val="24"/>
        </w:rPr>
        <w:t>，</w:t>
      </w:r>
      <w:r>
        <w:rPr>
          <w:rFonts w:hint="eastAsia" w:ascii="仿宋" w:hAnsi="仿宋" w:eastAsia="仿宋" w:cs="仿宋"/>
          <w:b/>
          <w:bCs w:val="0"/>
          <w:color w:val="auto"/>
          <w:sz w:val="24"/>
          <w:szCs w:val="24"/>
          <w:lang w:val="en-US" w:eastAsia="zh-CN"/>
        </w:rPr>
        <w:t>花卉更换时</w:t>
      </w:r>
      <w:r>
        <w:rPr>
          <w:rFonts w:hint="default" w:ascii="仿宋" w:hAnsi="仿宋" w:eastAsia="仿宋" w:cs="仿宋"/>
          <w:b/>
          <w:bCs w:val="0"/>
          <w:color w:val="auto"/>
          <w:sz w:val="24"/>
          <w:szCs w:val="24"/>
        </w:rPr>
        <w:t>必须竖牌警示等</w:t>
      </w:r>
      <w:r>
        <w:rPr>
          <w:rFonts w:hint="default" w:ascii="仿宋" w:hAnsi="仿宋" w:eastAsia="仿宋" w:cs="仿宋"/>
          <w:bCs/>
          <w:color w:val="auto"/>
          <w:sz w:val="24"/>
          <w:szCs w:val="24"/>
        </w:rPr>
        <w:t>。</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2.6制定每月度完善的肥水计划，在花卉生长期应适当追肥，施肥量应根据花卉种类而定，施肥后应用</w:t>
      </w:r>
      <w:r>
        <w:rPr>
          <w:rFonts w:hint="eastAsia" w:ascii="仿宋" w:hAnsi="仿宋" w:eastAsia="仿宋" w:cs="仿宋"/>
          <w:bCs/>
          <w:color w:val="auto"/>
          <w:sz w:val="24"/>
          <w:szCs w:val="24"/>
          <w:lang w:val="en-US" w:eastAsia="zh-CN"/>
        </w:rPr>
        <w:t>需</w:t>
      </w:r>
      <w:r>
        <w:rPr>
          <w:rFonts w:hint="eastAsia" w:ascii="仿宋" w:hAnsi="仿宋" w:eastAsia="仿宋" w:cs="仿宋"/>
          <w:b/>
          <w:bCs w:val="0"/>
          <w:color w:val="auto"/>
          <w:sz w:val="24"/>
          <w:szCs w:val="24"/>
        </w:rPr>
        <w:t>清水喷淋</w:t>
      </w:r>
      <w:r>
        <w:rPr>
          <w:rFonts w:hint="eastAsia" w:ascii="仿宋" w:hAnsi="仿宋" w:eastAsia="仿宋" w:cs="仿宋"/>
          <w:bCs/>
          <w:color w:val="auto"/>
          <w:sz w:val="24"/>
          <w:szCs w:val="24"/>
        </w:rPr>
        <w:t>，严禁肥料污染花、叶、公园、景点等，严禁使用有异味的肥料。</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2.7根据天气情况，实施灌溉，夏季高温时浇水及时恰当，如遇到干旱情况，要及时安排合理的浇水计划，</w:t>
      </w:r>
      <w:r>
        <w:rPr>
          <w:rFonts w:hint="eastAsia" w:ascii="仿宋" w:hAnsi="仿宋" w:eastAsia="仿宋" w:cs="仿宋"/>
          <w:b/>
          <w:bCs w:val="0"/>
          <w:color w:val="auto"/>
          <w:sz w:val="24"/>
          <w:szCs w:val="24"/>
          <w:lang w:val="en-US" w:eastAsia="zh-CN"/>
        </w:rPr>
        <w:t>浇水需使用花洒等喷头</w:t>
      </w:r>
      <w:r>
        <w:rPr>
          <w:rFonts w:hint="eastAsia" w:ascii="仿宋" w:hAnsi="仿宋" w:eastAsia="仿宋" w:cs="仿宋"/>
          <w:b/>
          <w:bCs w:val="0"/>
          <w:color w:val="auto"/>
          <w:sz w:val="24"/>
          <w:szCs w:val="24"/>
        </w:rPr>
        <w:t>清水喷淋</w:t>
      </w:r>
      <w:r>
        <w:rPr>
          <w:rFonts w:hint="eastAsia" w:ascii="仿宋" w:hAnsi="仿宋" w:eastAsia="仿宋" w:cs="仿宋"/>
          <w:b/>
          <w:bCs w:val="0"/>
          <w:color w:val="auto"/>
          <w:sz w:val="24"/>
          <w:szCs w:val="24"/>
          <w:lang w:eastAsia="zh-CN"/>
        </w:rPr>
        <w:t>，</w:t>
      </w:r>
      <w:r>
        <w:rPr>
          <w:rFonts w:hint="eastAsia" w:ascii="仿宋" w:hAnsi="仿宋" w:eastAsia="仿宋" w:cs="仿宋"/>
          <w:bCs/>
          <w:color w:val="auto"/>
          <w:sz w:val="24"/>
          <w:szCs w:val="24"/>
        </w:rPr>
        <w:t>避免鲜花枯萎、发黄、萎蔫，</w:t>
      </w:r>
      <w:r>
        <w:rPr>
          <w:rFonts w:hint="eastAsia" w:ascii="仿宋" w:hAnsi="仿宋" w:eastAsia="仿宋" w:cs="仿宋"/>
          <w:b/>
          <w:bCs w:val="0"/>
          <w:color w:val="auto"/>
          <w:sz w:val="24"/>
          <w:szCs w:val="24"/>
          <w:lang w:val="en-US" w:eastAsia="zh-CN"/>
        </w:rPr>
        <w:t>严禁在浇水时将黄土冲刷至侧石路面等</w:t>
      </w:r>
      <w:r>
        <w:rPr>
          <w:rFonts w:hint="eastAsia" w:ascii="仿宋" w:hAnsi="仿宋" w:eastAsia="仿宋" w:cs="仿宋"/>
          <w:bCs/>
          <w:color w:val="auto"/>
          <w:sz w:val="24"/>
          <w:szCs w:val="24"/>
        </w:rPr>
        <w:t>影响景观效果。</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2.8</w:t>
      </w:r>
      <w:r>
        <w:rPr>
          <w:rFonts w:hint="eastAsia" w:ascii="仿宋" w:hAnsi="仿宋" w:eastAsia="仿宋" w:cs="仿宋"/>
          <w:bCs/>
          <w:color w:val="0000FF"/>
          <w:sz w:val="24"/>
          <w:szCs w:val="24"/>
        </w:rPr>
        <w:t>及时清除杂草、残花败叶，地上部分（包括石块、花钵、作业垃圾等）应及时修整。</w:t>
      </w:r>
      <w:r>
        <w:rPr>
          <w:rFonts w:hint="eastAsia" w:ascii="仿宋" w:hAnsi="仿宋" w:eastAsia="仿宋" w:cs="仿宋"/>
          <w:bCs/>
          <w:color w:val="0000FF"/>
          <w:sz w:val="24"/>
          <w:szCs w:val="24"/>
          <w:lang w:val="en-US" w:eastAsia="zh-CN"/>
        </w:rPr>
        <w:t>在当期内，</w:t>
      </w:r>
      <w:r>
        <w:rPr>
          <w:rFonts w:hint="eastAsia" w:ascii="仿宋" w:hAnsi="仿宋" w:eastAsia="仿宋" w:cs="仿宋"/>
          <w:bCs/>
          <w:color w:val="0000FF"/>
          <w:sz w:val="24"/>
          <w:szCs w:val="24"/>
        </w:rPr>
        <w:t>无明显缺株、死株及倒伏的花苗，由自身原因（养护不当、植株供应未达标）造成的缺株倒伏、枯枝残花</w:t>
      </w:r>
      <w:r>
        <w:rPr>
          <w:rFonts w:hint="eastAsia" w:ascii="仿宋" w:hAnsi="仿宋" w:eastAsia="仿宋" w:cs="仿宋"/>
          <w:bCs/>
          <w:color w:val="0000FF"/>
          <w:sz w:val="24"/>
          <w:szCs w:val="24"/>
          <w:lang w:eastAsia="zh-CN"/>
        </w:rPr>
        <w:t>，</w:t>
      </w:r>
      <w:r>
        <w:rPr>
          <w:rFonts w:hint="eastAsia" w:ascii="仿宋" w:hAnsi="仿宋" w:eastAsia="仿宋" w:cs="仿宋"/>
          <w:bCs/>
          <w:color w:val="0000FF"/>
          <w:sz w:val="24"/>
          <w:szCs w:val="24"/>
          <w:lang w:val="en-US" w:eastAsia="zh-CN"/>
        </w:rPr>
        <w:t>树根花卉修剪不及时导致长势不好的</w:t>
      </w:r>
      <w:r>
        <w:rPr>
          <w:rFonts w:hint="eastAsia" w:ascii="仿宋" w:hAnsi="仿宋" w:eastAsia="仿宋" w:cs="仿宋"/>
          <w:bCs/>
          <w:color w:val="0000FF"/>
          <w:sz w:val="24"/>
          <w:szCs w:val="24"/>
        </w:rPr>
        <w:t>，要在</w:t>
      </w:r>
      <w:r>
        <w:rPr>
          <w:rFonts w:hint="eastAsia" w:ascii="仿宋" w:hAnsi="仿宋" w:eastAsia="仿宋" w:cs="仿宋"/>
          <w:bCs/>
          <w:color w:val="0000FF"/>
          <w:sz w:val="24"/>
          <w:szCs w:val="24"/>
          <w:lang w:val="en-US" w:eastAsia="zh-CN"/>
        </w:rPr>
        <w:t>2</w:t>
      </w:r>
      <w:r>
        <w:rPr>
          <w:rFonts w:hint="eastAsia" w:ascii="仿宋" w:hAnsi="仿宋" w:eastAsia="仿宋" w:cs="仿宋"/>
          <w:bCs/>
          <w:color w:val="0000FF"/>
          <w:sz w:val="24"/>
          <w:szCs w:val="24"/>
        </w:rPr>
        <w:t>日内</w:t>
      </w:r>
      <w:r>
        <w:rPr>
          <w:rFonts w:hint="eastAsia" w:ascii="仿宋" w:hAnsi="仿宋" w:eastAsia="仿宋" w:cs="仿宋"/>
          <w:bCs/>
          <w:color w:val="0000FF"/>
          <w:sz w:val="24"/>
          <w:szCs w:val="24"/>
          <w:lang w:val="en-US" w:eastAsia="zh-CN"/>
        </w:rPr>
        <w:t>更换或</w:t>
      </w:r>
      <w:r>
        <w:rPr>
          <w:rFonts w:hint="eastAsia" w:ascii="仿宋" w:hAnsi="仿宋" w:eastAsia="仿宋" w:cs="仿宋"/>
          <w:bCs/>
          <w:color w:val="0000FF"/>
          <w:sz w:val="24"/>
          <w:szCs w:val="24"/>
        </w:rPr>
        <w:t>补植完毕；鲜花种植后发生偷、采、踩踏、死亡等现象，要在</w:t>
      </w:r>
      <w:r>
        <w:rPr>
          <w:rFonts w:hint="eastAsia" w:ascii="仿宋" w:hAnsi="仿宋" w:eastAsia="仿宋" w:cs="仿宋"/>
          <w:bCs/>
          <w:color w:val="0000FF"/>
          <w:sz w:val="24"/>
          <w:szCs w:val="24"/>
          <w:lang w:val="en-US" w:eastAsia="zh-CN"/>
        </w:rPr>
        <w:t>2</w:t>
      </w:r>
      <w:r>
        <w:rPr>
          <w:rFonts w:hint="eastAsia" w:ascii="仿宋" w:hAnsi="仿宋" w:eastAsia="仿宋" w:cs="仿宋"/>
          <w:bCs/>
          <w:color w:val="0000FF"/>
          <w:sz w:val="24"/>
          <w:szCs w:val="24"/>
        </w:rPr>
        <w:t>日内补植完毕，由此产生的一切费用均由</w:t>
      </w:r>
      <w:r>
        <w:rPr>
          <w:rFonts w:hint="eastAsia" w:ascii="仿宋" w:hAnsi="仿宋" w:eastAsia="仿宋" w:cs="仿宋"/>
          <w:bCs/>
          <w:color w:val="0000FF"/>
          <w:sz w:val="24"/>
          <w:szCs w:val="24"/>
          <w:lang w:eastAsia="zh-CN"/>
        </w:rPr>
        <w:t>中标供应商</w:t>
      </w:r>
      <w:r>
        <w:rPr>
          <w:rFonts w:hint="eastAsia" w:ascii="仿宋" w:hAnsi="仿宋" w:eastAsia="仿宋" w:cs="仿宋"/>
          <w:bCs/>
          <w:color w:val="0000FF"/>
          <w:sz w:val="24"/>
          <w:szCs w:val="24"/>
        </w:rPr>
        <w:t>自行承担。</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2.9应做好病虫害的防治工作，经常检查，及时防治。</w:t>
      </w:r>
    </w:p>
    <w:p>
      <w:pPr>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 xml:space="preserve">  2.10应急处置。包括绿地内积水处理、防台抗雪、防洪抗涝、节庆和重大活动等应急任务，以及应急物资储备等工作。</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color w:val="auto"/>
          <w:sz w:val="24"/>
          <w:szCs w:val="24"/>
        </w:rPr>
        <w:t xml:space="preserve">  2.11</w:t>
      </w:r>
      <w:r>
        <w:rPr>
          <w:rFonts w:hint="eastAsia" w:ascii="仿宋" w:hAnsi="仿宋" w:eastAsia="仿宋" w:cs="仿宋"/>
          <w:color w:val="auto"/>
          <w:sz w:val="24"/>
          <w:szCs w:val="24"/>
          <w:lang w:val="en-US" w:eastAsia="zh-CN"/>
        </w:rPr>
        <w:t>配合好文明检查，</w:t>
      </w:r>
      <w:r>
        <w:rPr>
          <w:rFonts w:hint="eastAsia" w:ascii="仿宋" w:hAnsi="仿宋" w:eastAsia="仿宋" w:cs="仿宋"/>
          <w:bCs/>
          <w:color w:val="auto"/>
          <w:sz w:val="24"/>
          <w:szCs w:val="24"/>
        </w:rPr>
        <w:t>做好政府联动等投诉件或反映件的处理、及时整改等工作。</w:t>
      </w:r>
    </w:p>
    <w:p>
      <w:pPr>
        <w:spacing w:line="360" w:lineRule="auto"/>
        <w:rPr>
          <w:rFonts w:hint="eastAsia" w:ascii="仿宋" w:hAnsi="仿宋" w:eastAsia="仿宋" w:cs="仿宋"/>
          <w:bCs/>
          <w:color w:val="auto"/>
          <w:sz w:val="24"/>
          <w:szCs w:val="24"/>
        </w:rPr>
      </w:pPr>
      <w:r>
        <w:rPr>
          <w:rFonts w:hint="eastAsia" w:ascii="仿宋" w:hAnsi="仿宋" w:eastAsia="仿宋" w:cs="仿宋"/>
          <w:color w:val="auto"/>
        </w:rPr>
        <w:t xml:space="preserve"> </w:t>
      </w:r>
      <w:r>
        <w:rPr>
          <w:rFonts w:hint="eastAsia" w:ascii="仿宋" w:hAnsi="仿宋" w:eastAsia="仿宋" w:cs="仿宋"/>
          <w:bCs/>
          <w:color w:val="auto"/>
          <w:sz w:val="24"/>
          <w:szCs w:val="24"/>
        </w:rPr>
        <w:t xml:space="preserve"> </w:t>
      </w:r>
      <w:bookmarkStart w:id="37" w:name="_Toc77071628"/>
      <w:r>
        <w:rPr>
          <w:rFonts w:hint="eastAsia" w:ascii="仿宋" w:hAnsi="仿宋" w:eastAsia="仿宋" w:cs="仿宋"/>
          <w:bCs/>
          <w:color w:val="auto"/>
          <w:sz w:val="24"/>
          <w:szCs w:val="24"/>
        </w:rPr>
        <w:t>2.12</w:t>
      </w:r>
      <w:r>
        <w:rPr>
          <w:rFonts w:hint="eastAsia" w:ascii="仿宋" w:hAnsi="仿宋" w:eastAsia="仿宋" w:cs="仿宋"/>
          <w:bCs/>
          <w:color w:val="auto"/>
          <w:sz w:val="24"/>
          <w:szCs w:val="24"/>
          <w:lang w:eastAsia="zh-CN"/>
        </w:rPr>
        <w:t>中标供应商</w:t>
      </w:r>
      <w:r>
        <w:rPr>
          <w:rFonts w:hint="eastAsia" w:ascii="仿宋" w:hAnsi="仿宋" w:eastAsia="仿宋" w:cs="仿宋"/>
          <w:bCs/>
          <w:color w:val="auto"/>
          <w:sz w:val="24"/>
          <w:szCs w:val="24"/>
        </w:rPr>
        <w:t>需将每季度的种植及养护资料于每季底前提交至采购人。</w:t>
      </w:r>
      <w:bookmarkEnd w:id="37"/>
    </w:p>
    <w:p>
      <w:pPr>
        <w:pStyle w:val="7"/>
        <w:snapToGrid w:val="0"/>
        <w:spacing w:before="0" w:after="0" w:line="360" w:lineRule="auto"/>
        <w:rPr>
          <w:rFonts w:hint="eastAsia" w:ascii="仿宋" w:hAnsi="仿宋" w:eastAsia="仿宋" w:cs="仿宋"/>
          <w:color w:val="auto"/>
          <w:sz w:val="24"/>
          <w:szCs w:val="24"/>
        </w:rPr>
      </w:pPr>
      <w:bookmarkStart w:id="38" w:name="_Toc77071629"/>
      <w:r>
        <w:rPr>
          <w:rFonts w:hint="eastAsia" w:ascii="仿宋" w:hAnsi="仿宋" w:eastAsia="仿宋" w:cs="仿宋"/>
          <w:color w:val="auto"/>
          <w:sz w:val="24"/>
          <w:szCs w:val="24"/>
        </w:rPr>
        <w:t>3、其他要求</w:t>
      </w:r>
      <w:bookmarkEnd w:id="36"/>
      <w:bookmarkEnd w:id="38"/>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3.1加强应急响应管理工作：</w:t>
      </w:r>
    </w:p>
    <w:p>
      <w:pPr>
        <w:numPr>
          <w:ilvl w:val="0"/>
          <w:numId w:val="1"/>
        </w:num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制定灾害性天气应急预案，建立应急救灾队伍，将应急预案和人员名单上报招标人备案。</w:t>
      </w:r>
    </w:p>
    <w:p>
      <w:pPr>
        <w:numPr>
          <w:ilvl w:val="0"/>
          <w:numId w:val="1"/>
        </w:num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建立应急备货制，备货的内容有：抗旱、抗涝、抗台、抗寒、抗雪等物资。</w:t>
      </w:r>
    </w:p>
    <w:p>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（3）遇灾害性天气，听从招标人统一指挥，及时组织人员夏季抗旱、抗台，冬季遇积雪必须及时组织人员进行抗雪。 </w:t>
      </w:r>
    </w:p>
    <w:p>
      <w:pPr>
        <w:snapToGrid w:val="0"/>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）服务期内应可预见的恶劣天气造成的绿化毁坏，由中标方负责补种、修复工作，费用由中标方承担。</w:t>
      </w:r>
    </w:p>
    <w:p>
      <w:pPr>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）服务期内因极端天气或不可抗力造成的绿化毁坏，由中标方负责补种、修复工作，费用由双方协商解决；极端天气或不可抗力的认定由采购人确定的为准。</w:t>
      </w:r>
    </w:p>
    <w:p>
      <w:pPr>
        <w:snapToGrid w:val="0"/>
        <w:spacing w:line="360" w:lineRule="auto"/>
        <w:ind w:firstLine="482" w:firstLineChars="200"/>
        <w:rPr>
          <w:rFonts w:hint="default" w:ascii="仿宋" w:hAnsi="仿宋" w:eastAsia="仿宋" w:cs="仿宋"/>
          <w:b/>
          <w:bCs/>
          <w:snapToGrid/>
          <w:color w:val="auto"/>
          <w:kern w:val="2"/>
          <w:sz w:val="24"/>
          <w:szCs w:val="24"/>
          <w:lang w:val="en-US" w:eastAsia="zh-CN" w:bidi="ar-SA"/>
        </w:rPr>
      </w:pPr>
      <w:r>
        <w:rPr>
          <w:rFonts w:hint="eastAsia" w:ascii="仿宋" w:hAnsi="仿宋" w:eastAsia="仿宋" w:cs="仿宋"/>
          <w:b/>
          <w:bCs/>
          <w:snapToGrid/>
          <w:color w:val="auto"/>
          <w:kern w:val="2"/>
          <w:sz w:val="24"/>
          <w:szCs w:val="24"/>
          <w:lang w:val="en-US" w:eastAsia="zh-CN" w:bidi="ar-SA"/>
        </w:rPr>
        <w:t>（6）服务期内，所有人员根据最新要求做好防疫措施并记录，禁止未满足防疫要求的工作人员进入施工场地，后果自负等等。</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3.2积极做好各类“迎检”和“创建”准备工作。</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0000FF"/>
          <w:sz w:val="24"/>
          <w:szCs w:val="24"/>
        </w:rPr>
        <w:t>3.3.成交人在服务期间，应当严格遵守安全生产作业的有关管理制度，并随时接受行业安全检查人员依法实施的监督检查，采取必要的安全防护措施，</w:t>
      </w:r>
      <w:r>
        <w:rPr>
          <w:rFonts w:hint="default" w:ascii="仿宋" w:hAnsi="仿宋" w:eastAsia="仿宋" w:cs="仿宋"/>
          <w:color w:val="0000FF"/>
          <w:sz w:val="24"/>
          <w:szCs w:val="24"/>
        </w:rPr>
        <w:t>如现场人员施工规范、穿反光背心、</w:t>
      </w:r>
      <w:r>
        <w:rPr>
          <w:rFonts w:hint="eastAsia" w:ascii="仿宋" w:hAnsi="仿宋" w:eastAsia="仿宋" w:cs="仿宋"/>
          <w:bCs/>
          <w:color w:val="0000FF"/>
          <w:sz w:val="24"/>
          <w:szCs w:val="24"/>
          <w:lang w:val="en-US" w:eastAsia="zh-CN"/>
        </w:rPr>
        <w:t>竖牌警示等</w:t>
      </w:r>
      <w:r>
        <w:rPr>
          <w:rFonts w:hint="default" w:ascii="仿宋" w:hAnsi="仿宋" w:eastAsia="仿宋" w:cs="仿宋"/>
          <w:color w:val="0000FF"/>
          <w:sz w:val="24"/>
          <w:szCs w:val="24"/>
        </w:rPr>
        <w:t>等，</w:t>
      </w:r>
      <w:r>
        <w:rPr>
          <w:rFonts w:hint="eastAsia" w:ascii="仿宋" w:hAnsi="仿宋" w:eastAsia="仿宋" w:cs="仿宋"/>
          <w:color w:val="0000FF"/>
          <w:sz w:val="24"/>
          <w:szCs w:val="24"/>
        </w:rPr>
        <w:t>消除事故隐患。由于成交人安全措施不力造成事故的责任和因此发生的费用，由成交人承担。</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3.4服务期间，成交人应遵守国家有关环境保护的政策、法规。</w:t>
      </w:r>
    </w:p>
    <w:p>
      <w:pPr>
        <w:snapToGrid w:val="0"/>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3.5服务期间，若发生安全事故，引起的事故纠纷，均由成交人承担责任，与招标人无关。</w:t>
      </w:r>
    </w:p>
    <w:p>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3.6服务期内造成（包括自然原因造成）的花卉死亡或损坏由成交人无偿补种修复。若成交人认为造成绿化、花卉死亡或者损坏的责任不在成交人，由成交人承担举证责任并处理后进行补种修复。</w:t>
      </w:r>
    </w:p>
    <w:p>
      <w:pPr>
        <w:adjustRightInd w:val="0"/>
        <w:snapToGrid w:val="0"/>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3.7建立完善的采购需求内的时花、绿化等内容的养护班组，制定养护岗位职责以及操作规程、养护制度（包括节假日值班制度、防汛防台期间的值班制度和应急抢险工作制度）。</w:t>
      </w:r>
    </w:p>
    <w:p>
      <w:pPr>
        <w:pStyle w:val="3"/>
        <w:keepNext w:val="0"/>
        <w:keepLines w:val="0"/>
        <w:pageBreakBefore w:val="0"/>
        <w:widowControl w:val="0"/>
        <w:kinsoku/>
        <w:wordWrap/>
        <w:overflowPunct/>
        <w:topLinePunct w:val="0"/>
        <w:autoSpaceDE/>
        <w:autoSpaceDN/>
        <w:bidi w:val="0"/>
        <w:adjustRightInd w:val="0"/>
        <w:spacing w:line="360" w:lineRule="auto"/>
        <w:ind w:left="0" w:leftChars="0" w:firstLine="241" w:firstLineChars="100"/>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3.8服务期内，如有以下情况将进行相应的处罚：</w:t>
      </w:r>
    </w:p>
    <w:p>
      <w:pPr>
        <w:pStyle w:val="3"/>
        <w:keepNext w:val="0"/>
        <w:keepLines w:val="0"/>
        <w:pageBreakBefore w:val="0"/>
        <w:widowControl w:val="0"/>
        <w:numPr>
          <w:ilvl w:val="0"/>
          <w:numId w:val="2"/>
        </w:numPr>
        <w:kinsoku/>
        <w:wordWrap/>
        <w:overflowPunct/>
        <w:topLinePunct w:val="0"/>
        <w:autoSpaceDE/>
        <w:autoSpaceDN/>
        <w:bidi w:val="0"/>
        <w:adjustRightInd w:val="0"/>
        <w:spacing w:line="360" w:lineRule="auto"/>
        <w:ind w:left="0" w:leftChars="0" w:firstLine="241" w:firstLineChars="100"/>
        <w:textAlignment w:val="auto"/>
        <w:rPr>
          <w:rFonts w:hint="default"/>
          <w:b/>
          <w:bCs/>
          <w:color w:val="FF0000"/>
          <w:lang w:val="en-US" w:eastAsia="zh-CN"/>
        </w:rPr>
      </w:pPr>
      <w:r>
        <w:rPr>
          <w:rFonts w:hint="eastAsia" w:ascii="仿宋" w:hAnsi="仿宋" w:eastAsia="仿宋" w:cs="仿宋"/>
          <w:b/>
          <w:bCs/>
          <w:snapToGrid/>
          <w:color w:val="FF0000"/>
          <w:kern w:val="2"/>
          <w:sz w:val="24"/>
          <w:szCs w:val="24"/>
          <w:lang w:val="en-US" w:eastAsia="zh-CN" w:bidi="ar-SA"/>
        </w:rPr>
        <w:t>造成上述2.8项，不及时更换或补植的，延期扣1000元/次。</w:t>
      </w:r>
    </w:p>
    <w:p>
      <w:pPr>
        <w:pStyle w:val="3"/>
        <w:keepNext w:val="0"/>
        <w:keepLines w:val="0"/>
        <w:pageBreakBefore w:val="0"/>
        <w:widowControl w:val="0"/>
        <w:numPr>
          <w:ilvl w:val="0"/>
          <w:numId w:val="2"/>
        </w:numPr>
        <w:kinsoku/>
        <w:wordWrap/>
        <w:overflowPunct/>
        <w:topLinePunct w:val="0"/>
        <w:autoSpaceDE/>
        <w:autoSpaceDN/>
        <w:bidi w:val="0"/>
        <w:adjustRightInd w:val="0"/>
        <w:spacing w:line="360" w:lineRule="auto"/>
        <w:ind w:left="0" w:leftChars="0" w:firstLine="241" w:firstLineChars="100"/>
        <w:textAlignment w:val="auto"/>
        <w:rPr>
          <w:rFonts w:hint="default"/>
          <w:b/>
          <w:bCs/>
          <w:color w:val="FF0000"/>
          <w:lang w:val="en-US" w:eastAsia="zh-CN"/>
        </w:rPr>
      </w:pPr>
      <w:r>
        <w:rPr>
          <w:rFonts w:hint="eastAsia" w:ascii="仿宋" w:hAnsi="仿宋" w:eastAsia="仿宋" w:cs="仿宋"/>
          <w:b/>
          <w:bCs/>
          <w:snapToGrid/>
          <w:color w:val="FF0000"/>
          <w:kern w:val="2"/>
          <w:sz w:val="24"/>
          <w:szCs w:val="24"/>
          <w:lang w:val="en-US" w:eastAsia="zh-CN" w:bidi="ar-SA"/>
        </w:rPr>
        <w:t>各类环境整改不及时的，扣2000元/次。</w:t>
      </w:r>
    </w:p>
    <w:p>
      <w:pPr>
        <w:pStyle w:val="3"/>
        <w:keepNext w:val="0"/>
        <w:keepLines w:val="0"/>
        <w:pageBreakBefore w:val="0"/>
        <w:widowControl w:val="0"/>
        <w:numPr>
          <w:ilvl w:val="0"/>
          <w:numId w:val="2"/>
        </w:numPr>
        <w:kinsoku/>
        <w:wordWrap/>
        <w:overflowPunct/>
        <w:topLinePunct w:val="0"/>
        <w:autoSpaceDE/>
        <w:autoSpaceDN/>
        <w:bidi w:val="0"/>
        <w:adjustRightInd w:val="0"/>
        <w:spacing w:line="360" w:lineRule="auto"/>
        <w:ind w:left="0" w:leftChars="0" w:firstLine="241" w:firstLineChars="100"/>
        <w:textAlignment w:val="auto"/>
        <w:rPr>
          <w:rFonts w:hint="default"/>
          <w:b/>
          <w:bCs/>
          <w:color w:val="FF0000"/>
          <w:lang w:val="en-US" w:eastAsia="zh-CN"/>
        </w:rPr>
      </w:pPr>
      <w:r>
        <w:rPr>
          <w:rFonts w:hint="eastAsia" w:ascii="仿宋" w:hAnsi="仿宋" w:eastAsia="仿宋" w:cs="仿宋"/>
          <w:b/>
          <w:bCs/>
          <w:snapToGrid/>
          <w:color w:val="FF0000"/>
          <w:kern w:val="2"/>
          <w:sz w:val="24"/>
          <w:szCs w:val="24"/>
          <w:lang w:val="en-US" w:eastAsia="zh-CN" w:bidi="ar-SA"/>
        </w:rPr>
        <w:t>配合相应的领导检查及文明城市检查，如造成不良影响的，被上级主管部门检查到，扣1000元/次；被市级主管部门检查到，扣5000元/次；被省级主管部门检查到，扣</w:t>
      </w:r>
      <w:r>
        <w:rPr>
          <w:rFonts w:hint="eastAsia" w:ascii="仿宋" w:hAnsi="仿宋" w:eastAsia="仿宋" w:cs="仿宋"/>
          <w:b/>
          <w:bCs/>
          <w:color w:val="FF0000"/>
          <w:sz w:val="24"/>
          <w:szCs w:val="24"/>
          <w:lang w:val="en-US" w:eastAsia="zh-CN"/>
        </w:rPr>
        <w:t>10000元/次；如被扣分的罚2000元/次。</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241" w:firstLineChars="100"/>
        <w:textAlignment w:val="auto"/>
        <w:rPr>
          <w:rFonts w:hint="default"/>
          <w:b/>
          <w:bCs/>
          <w:color w:val="FF0000"/>
          <w:lang w:val="en-US" w:eastAsia="zh-CN"/>
        </w:rPr>
      </w:pPr>
      <w:r>
        <w:rPr>
          <w:rFonts w:hint="eastAsia" w:ascii="仿宋" w:hAnsi="仿宋" w:eastAsia="仿宋" w:cs="仿宋"/>
          <w:b/>
          <w:bCs/>
          <w:snapToGrid/>
          <w:color w:val="FF0000"/>
          <w:kern w:val="2"/>
          <w:sz w:val="24"/>
          <w:szCs w:val="24"/>
          <w:lang w:val="en-US" w:eastAsia="zh-CN" w:bidi="ar-SA"/>
        </w:rPr>
        <w:t>如有12345、967000及其他媒体曝光的负面情况的，扣20000元/次。</w:t>
      </w:r>
    </w:p>
    <w:p>
      <w:pPr>
        <w:adjustRightInd w:val="0"/>
        <w:snapToGrid w:val="0"/>
        <w:spacing w:line="360" w:lineRule="auto"/>
        <w:ind w:firstLine="240" w:firstLineChars="1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r>
        <w:rPr>
          <w:rFonts w:hint="default" w:ascii="仿宋" w:hAnsi="仿宋" w:eastAsia="仿宋" w:cs="仿宋"/>
          <w:b w:val="0"/>
          <w:bCs w:val="0"/>
          <w:color w:val="auto"/>
          <w:sz w:val="24"/>
          <w:szCs w:val="24"/>
        </w:rPr>
        <w:t>9</w:t>
      </w:r>
      <w:r>
        <w:rPr>
          <w:rFonts w:hint="eastAsia" w:ascii="仿宋" w:hAnsi="仿宋" w:eastAsia="仿宋" w:cs="仿宋"/>
          <w:b w:val="0"/>
          <w:bCs w:val="0"/>
          <w:color w:val="auto"/>
          <w:sz w:val="24"/>
          <w:szCs w:val="24"/>
        </w:rPr>
        <w:t>少数因特殊要求的区域，招标人可根据需求，制定不同区域或其他单位实施，中标人不得对此提出异议。</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r>
        <w:rPr>
          <w:rFonts w:hint="default" w:ascii="仿宋" w:hAnsi="仿宋" w:eastAsia="仿宋" w:cs="仿宋"/>
          <w:color w:val="auto"/>
          <w:sz w:val="24"/>
          <w:szCs w:val="24"/>
        </w:rPr>
        <w:t>10</w:t>
      </w:r>
      <w:r>
        <w:rPr>
          <w:rFonts w:hint="eastAsia" w:ascii="仿宋" w:hAnsi="仿宋" w:eastAsia="仿宋" w:cs="仿宋"/>
          <w:color w:val="auto"/>
          <w:sz w:val="24"/>
          <w:szCs w:val="24"/>
        </w:rPr>
        <w:t>招标人有权提出认为不称职的主要管理、技术人员的更换，直至满意为止。</w:t>
      </w:r>
    </w:p>
    <w:p>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3.1</w:t>
      </w:r>
      <w:r>
        <w:rPr>
          <w:rFonts w:hint="default" w:ascii="仿宋" w:hAnsi="仿宋" w:eastAsia="仿宋" w:cs="仿宋"/>
          <w:b/>
          <w:color w:val="auto"/>
          <w:sz w:val="24"/>
          <w:szCs w:val="24"/>
        </w:rPr>
        <w:t>1</w:t>
      </w:r>
      <w:r>
        <w:rPr>
          <w:rFonts w:hint="eastAsia" w:ascii="仿宋" w:hAnsi="仿宋" w:eastAsia="仿宋" w:cs="仿宋"/>
          <w:b/>
          <w:color w:val="auto"/>
          <w:sz w:val="24"/>
          <w:szCs w:val="24"/>
          <w:lang w:eastAsia="zh-CN"/>
        </w:rPr>
        <w:t>中标供应商</w:t>
      </w:r>
      <w:r>
        <w:rPr>
          <w:rFonts w:hint="eastAsia" w:ascii="仿宋" w:hAnsi="仿宋" w:eastAsia="仿宋" w:cs="仿宋"/>
          <w:b/>
          <w:color w:val="auto"/>
          <w:sz w:val="24"/>
          <w:szCs w:val="24"/>
        </w:rPr>
        <w:t>必须严格按照招标人安排的进度完成项目，如果招标人发出服务指令后1日历天内</w:t>
      </w:r>
      <w:r>
        <w:rPr>
          <w:rFonts w:hint="eastAsia" w:ascii="仿宋" w:hAnsi="仿宋" w:eastAsia="仿宋" w:cs="仿宋"/>
          <w:b/>
          <w:color w:val="auto"/>
          <w:sz w:val="24"/>
          <w:szCs w:val="24"/>
          <w:lang w:eastAsia="zh-CN"/>
        </w:rPr>
        <w:t>中标供应商</w:t>
      </w:r>
      <w:r>
        <w:rPr>
          <w:rFonts w:hint="eastAsia" w:ascii="仿宋" w:hAnsi="仿宋" w:eastAsia="仿宋" w:cs="仿宋"/>
          <w:b/>
          <w:color w:val="auto"/>
          <w:sz w:val="24"/>
          <w:szCs w:val="24"/>
        </w:rPr>
        <w:t>无故不实施，或因</w:t>
      </w:r>
      <w:r>
        <w:rPr>
          <w:rFonts w:hint="eastAsia" w:ascii="仿宋" w:hAnsi="仿宋" w:eastAsia="仿宋" w:cs="仿宋"/>
          <w:b/>
          <w:color w:val="auto"/>
          <w:sz w:val="24"/>
          <w:szCs w:val="24"/>
          <w:lang w:eastAsia="zh-CN"/>
        </w:rPr>
        <w:t>中标供应商</w:t>
      </w:r>
      <w:r>
        <w:rPr>
          <w:rFonts w:hint="eastAsia" w:ascii="仿宋" w:hAnsi="仿宋" w:eastAsia="仿宋" w:cs="仿宋"/>
          <w:b/>
          <w:color w:val="auto"/>
          <w:sz w:val="24"/>
          <w:szCs w:val="24"/>
        </w:rPr>
        <w:t>原因造成实施时间严重滞后又无明显改进措施的，招标人有权要求</w:t>
      </w:r>
      <w:r>
        <w:rPr>
          <w:rFonts w:hint="eastAsia" w:ascii="仿宋" w:hAnsi="仿宋" w:eastAsia="仿宋" w:cs="仿宋"/>
          <w:b/>
          <w:color w:val="auto"/>
          <w:sz w:val="24"/>
          <w:szCs w:val="24"/>
          <w:lang w:eastAsia="zh-CN"/>
        </w:rPr>
        <w:t>中标供应商</w:t>
      </w:r>
      <w:r>
        <w:rPr>
          <w:rFonts w:hint="eastAsia" w:ascii="仿宋" w:hAnsi="仿宋" w:eastAsia="仿宋" w:cs="仿宋"/>
          <w:b/>
          <w:color w:val="auto"/>
          <w:sz w:val="24"/>
          <w:szCs w:val="24"/>
        </w:rPr>
        <w:t>无条件退场，并承担由此产生的一切损失，同时招标人有权安排其他服务队伍进场实施，费用经确认后从</w:t>
      </w:r>
      <w:r>
        <w:rPr>
          <w:rFonts w:hint="eastAsia" w:ascii="仿宋" w:hAnsi="仿宋" w:eastAsia="仿宋" w:cs="仿宋"/>
          <w:b/>
          <w:color w:val="auto"/>
          <w:sz w:val="24"/>
          <w:szCs w:val="24"/>
          <w:lang w:eastAsia="zh-CN"/>
        </w:rPr>
        <w:t>中标供应商</w:t>
      </w:r>
      <w:r>
        <w:rPr>
          <w:rFonts w:hint="eastAsia" w:ascii="仿宋" w:hAnsi="仿宋" w:eastAsia="仿宋" w:cs="仿宋"/>
          <w:b/>
          <w:color w:val="auto"/>
          <w:sz w:val="24"/>
          <w:szCs w:val="24"/>
        </w:rPr>
        <w:t>合同价款中扣除。</w:t>
      </w:r>
    </w:p>
    <w:p>
      <w:pPr>
        <w:pStyle w:val="3"/>
        <w:keepNext w:val="0"/>
        <w:keepLines w:val="0"/>
        <w:pageBreakBefore w:val="0"/>
        <w:widowControl w:val="0"/>
        <w:kinsoku/>
        <w:wordWrap/>
        <w:overflowPunct/>
        <w:topLinePunct w:val="0"/>
        <w:autoSpaceDE/>
        <w:autoSpaceDN/>
        <w:bidi w:val="0"/>
        <w:adjustRightInd w:val="0"/>
        <w:snapToGrid/>
        <w:spacing w:line="360" w:lineRule="auto"/>
        <w:ind w:left="0" w:leftChars="0" w:firstLine="241" w:firstLineChars="10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3.1</w:t>
      </w:r>
      <w:r>
        <w:rPr>
          <w:rFonts w:hint="default" w:ascii="仿宋" w:hAnsi="仿宋" w:eastAsia="仿宋" w:cs="仿宋"/>
          <w:b/>
          <w:color w:val="auto"/>
          <w:sz w:val="24"/>
          <w:szCs w:val="24"/>
          <w:lang w:eastAsia="zh-CN"/>
        </w:rPr>
        <w:t>2</w:t>
      </w:r>
      <w:r>
        <w:rPr>
          <w:rFonts w:hint="eastAsia" w:ascii="仿宋" w:hAnsi="仿宋" w:eastAsia="仿宋" w:cs="仿宋"/>
          <w:b/>
          <w:color w:val="auto"/>
          <w:sz w:val="24"/>
          <w:szCs w:val="24"/>
          <w:lang w:val="en-US" w:eastAsia="zh-CN"/>
        </w:rPr>
        <w:t>付款方式：</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签订完正式合同7个工作日内支付合同款总金额40%（具体以财政资金到位情况为准），而后根据工程实际情况分四个阶段（半年作为一个阶段），各阶段完成后，均按跟踪审计报告支付完成工程量的80%花卉款（含预付款金额），余款待工程竣工验收合格并经结算审定后一个月内全部付清。</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税费：本项目执行中相关的一切税费均由成交供应商负担。</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履约保证金：中标人在签订合同前向采购单位交纳履约保证金（接受转账、银行保函、保险机构保证保险保单、融资担保公司保函），按合同总金额的1%计收，履约结束后自动退还。</w:t>
      </w:r>
    </w:p>
    <w:bookmarkEnd w:id="27"/>
    <w:bookmarkEnd w:id="28"/>
    <w:bookmarkEnd w:id="29"/>
    <w:p>
      <w:pPr>
        <w:pStyle w:val="34"/>
        <w:snapToGrid w:val="0"/>
        <w:spacing w:before="120" w:after="120" w:line="348" w:lineRule="auto"/>
        <w:ind w:firstLine="241" w:firstLineChars="100"/>
        <w:rPr>
          <w:rFonts w:hint="default" w:ascii="仿宋" w:hAnsi="仿宋" w:eastAsia="仿宋" w:cs="仿宋"/>
          <w:snapToGrid w:val="0"/>
          <w:kern w:val="0"/>
          <w:sz w:val="24"/>
          <w:lang w:val="en-US" w:eastAsia="zh-CN"/>
        </w:rPr>
      </w:pPr>
      <w:r>
        <w:rPr>
          <w:rFonts w:hint="eastAsia" w:ascii="仿宋" w:hAnsi="仿宋" w:eastAsia="仿宋" w:cs="仿宋"/>
          <w:b/>
          <w:bCs/>
          <w:snapToGrid w:val="0"/>
          <w:kern w:val="0"/>
          <w:sz w:val="24"/>
          <w:lang w:val="en-US" w:eastAsia="zh-CN"/>
        </w:rPr>
        <w:t>3.1</w:t>
      </w:r>
      <w:r>
        <w:rPr>
          <w:rFonts w:hint="default" w:ascii="仿宋" w:hAnsi="仿宋" w:eastAsia="仿宋" w:cs="仿宋"/>
          <w:b/>
          <w:bCs/>
          <w:snapToGrid w:val="0"/>
          <w:kern w:val="0"/>
          <w:sz w:val="24"/>
          <w:lang w:eastAsia="zh-CN"/>
        </w:rPr>
        <w:t>3</w:t>
      </w:r>
      <w:r>
        <w:rPr>
          <w:rFonts w:hint="eastAsia" w:ascii="仿宋" w:hAnsi="仿宋" w:eastAsia="仿宋" w:cs="仿宋"/>
          <w:b/>
          <w:bCs/>
          <w:snapToGrid w:val="0"/>
          <w:kern w:val="0"/>
          <w:sz w:val="24"/>
          <w:lang w:val="en-US" w:eastAsia="zh-CN"/>
        </w:rPr>
        <w:t>本项目服务期限为2年，服务期内考核评分合格的，经主管部门同意后可顺延服务1年。</w:t>
      </w:r>
      <w:r>
        <w:rPr>
          <w:rFonts w:hint="eastAsia" w:ascii="仿宋" w:hAnsi="仿宋" w:eastAsia="仿宋" w:cs="仿宋"/>
          <w:snapToGrid w:val="0"/>
          <w:kern w:val="0"/>
          <w:sz w:val="24"/>
          <w:lang w:val="en-US" w:eastAsia="zh-CN"/>
        </w:rPr>
        <w:t>具体考核办法如下：</w:t>
      </w:r>
    </w:p>
    <w:tbl>
      <w:tblPr>
        <w:tblStyle w:val="62"/>
        <w:tblW w:w="9098" w:type="dxa"/>
        <w:jc w:val="center"/>
        <w:tblLayout w:type="fixed"/>
        <w:tblCellMar>
          <w:top w:w="17" w:type="dxa"/>
          <w:left w:w="57" w:type="dxa"/>
          <w:bottom w:w="17" w:type="dxa"/>
          <w:right w:w="57" w:type="dxa"/>
        </w:tblCellMar>
      </w:tblPr>
      <w:tblGrid>
        <w:gridCol w:w="898"/>
        <w:gridCol w:w="1023"/>
        <w:gridCol w:w="2196"/>
        <w:gridCol w:w="1011"/>
        <w:gridCol w:w="2089"/>
        <w:gridCol w:w="914"/>
        <w:gridCol w:w="967"/>
      </w:tblGrid>
      <w:tr>
        <w:tblPrEx>
          <w:tblCellMar>
            <w:top w:w="17" w:type="dxa"/>
            <w:left w:w="57" w:type="dxa"/>
            <w:bottom w:w="17" w:type="dxa"/>
            <w:right w:w="57" w:type="dxa"/>
          </w:tblCellMar>
        </w:tblPrEx>
        <w:trPr>
          <w:trHeight w:val="480" w:hRule="atLeast"/>
          <w:jc w:val="center"/>
        </w:trPr>
        <w:tc>
          <w:tcPr>
            <w:tcW w:w="909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b/>
              </w:rPr>
              <w:t>考核办法</w:t>
            </w:r>
          </w:p>
        </w:tc>
      </w:tr>
      <w:tr>
        <w:tblPrEx>
          <w:tblCellMar>
            <w:top w:w="17" w:type="dxa"/>
            <w:left w:w="57" w:type="dxa"/>
            <w:bottom w:w="17" w:type="dxa"/>
            <w:right w:w="57" w:type="dxa"/>
          </w:tblCellMar>
        </w:tblPrEx>
        <w:trPr>
          <w:trHeight w:val="480"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类别</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项目</w:t>
            </w: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评分标准</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得分</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备注</w:t>
            </w:r>
          </w:p>
        </w:tc>
      </w:tr>
      <w:tr>
        <w:tblPrEx>
          <w:tblCellMar>
            <w:top w:w="17" w:type="dxa"/>
            <w:left w:w="57" w:type="dxa"/>
            <w:bottom w:w="17" w:type="dxa"/>
            <w:right w:w="57" w:type="dxa"/>
          </w:tblCellMar>
        </w:tblPrEx>
        <w:trPr>
          <w:trHeight w:val="492" w:hRule="atLeast"/>
          <w:jc w:val="center"/>
        </w:trPr>
        <w:tc>
          <w:tcPr>
            <w:tcW w:w="8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考核总分（100分）</w:t>
            </w:r>
          </w:p>
        </w:tc>
        <w:tc>
          <w:tcPr>
            <w:tcW w:w="10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设计方案</w:t>
            </w:r>
          </w:p>
        </w:tc>
        <w:tc>
          <w:tcPr>
            <w:tcW w:w="5296" w:type="dxa"/>
            <w:gridSpan w:val="3"/>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鲜花景观更替配置有年度更新计划，所用</w:t>
            </w:r>
            <w:r>
              <w:rPr>
                <w:rFonts w:hint="eastAsia" w:ascii="仿宋" w:hAnsi="仿宋" w:eastAsia="仿宋" w:cs="仿宋"/>
                <w:color w:val="000000"/>
                <w:kern w:val="0"/>
                <w:szCs w:val="21"/>
                <w:lang w:eastAsia="zh-CN"/>
              </w:rPr>
              <w:t>花卉</w:t>
            </w:r>
            <w:r>
              <w:rPr>
                <w:rFonts w:hint="eastAsia" w:ascii="仿宋" w:hAnsi="仿宋" w:eastAsia="仿宋" w:cs="仿宋"/>
                <w:color w:val="000000"/>
                <w:kern w:val="0"/>
                <w:szCs w:val="21"/>
              </w:rPr>
              <w:t>品种未达到甲方规定标准的，每处扣</w:t>
            </w: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rPr>
              <w:t>分。</w:t>
            </w:r>
          </w:p>
        </w:tc>
        <w:tc>
          <w:tcPr>
            <w:tcW w:w="91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szCs w:val="21"/>
              </w:rPr>
            </w:pPr>
          </w:p>
        </w:tc>
      </w:tr>
      <w:tr>
        <w:trPr>
          <w:trHeight w:val="120" w:hRule="atLeast"/>
          <w:jc w:val="center"/>
        </w:trPr>
        <w:tc>
          <w:tcPr>
            <w:tcW w:w="898" w:type="dxa"/>
            <w:vMerge w:val="continue"/>
            <w:tcBorders>
              <w:left w:val="single" w:color="000000" w:sz="4" w:space="0"/>
              <w:right w:val="single" w:color="000000" w:sz="4" w:space="0"/>
            </w:tcBorders>
            <w:vAlign w:val="center"/>
          </w:tcPr>
          <w:p>
            <w:pPr>
              <w:widowControl/>
              <w:jc w:val="both"/>
              <w:textAlignment w:val="center"/>
              <w:rPr>
                <w:rFonts w:hint="eastAsia" w:ascii="仿宋" w:hAnsi="仿宋" w:eastAsia="仿宋" w:cs="仿宋"/>
                <w:color w:val="000000"/>
                <w:kern w:val="0"/>
                <w:szCs w:val="21"/>
              </w:rPr>
            </w:pPr>
          </w:p>
        </w:tc>
        <w:tc>
          <w:tcPr>
            <w:tcW w:w="102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安全施工</w:t>
            </w:r>
          </w:p>
        </w:tc>
        <w:tc>
          <w:tcPr>
            <w:tcW w:w="5296" w:type="dxa"/>
            <w:gridSpan w:val="3"/>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施工养护期间，施工人员未穿反光背心的，发现一人次扣0.5分；施工人员在施工时未设置警示标示等措施，发现一次扣0.5分。</w:t>
            </w:r>
          </w:p>
        </w:tc>
        <w:tc>
          <w:tcPr>
            <w:tcW w:w="914"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468" w:hRule="atLeast"/>
          <w:jc w:val="center"/>
        </w:trPr>
        <w:tc>
          <w:tcPr>
            <w:tcW w:w="898" w:type="dxa"/>
            <w:vMerge w:val="continue"/>
            <w:tcBorders>
              <w:left w:val="single" w:color="000000" w:sz="4" w:space="0"/>
              <w:right w:val="single" w:color="000000" w:sz="4" w:space="0"/>
            </w:tcBorders>
            <w:vAlign w:val="center"/>
          </w:tcPr>
          <w:p>
            <w:pPr>
              <w:widowControl/>
              <w:jc w:val="both"/>
              <w:textAlignment w:val="center"/>
              <w:rPr>
                <w:rFonts w:hint="eastAsia" w:ascii="仿宋" w:hAnsi="仿宋" w:eastAsia="仿宋" w:cs="仿宋"/>
                <w:color w:val="000000"/>
                <w:kern w:val="0"/>
                <w:szCs w:val="21"/>
              </w:rPr>
            </w:pPr>
          </w:p>
        </w:tc>
        <w:tc>
          <w:tcPr>
            <w:tcW w:w="102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不良影响</w:t>
            </w:r>
          </w:p>
        </w:tc>
        <w:tc>
          <w:tcPr>
            <w:tcW w:w="5296"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服务期内，造成上述3.8项处罚的，每次扣3分。</w:t>
            </w:r>
          </w:p>
        </w:tc>
        <w:tc>
          <w:tcPr>
            <w:tcW w:w="91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641"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val="en-US" w:eastAsia="zh-CN"/>
              </w:rPr>
              <w:t>花卉</w:t>
            </w:r>
            <w:r>
              <w:rPr>
                <w:rFonts w:hint="eastAsia" w:ascii="仿宋" w:hAnsi="仿宋" w:eastAsia="仿宋" w:cs="仿宋"/>
                <w:color w:val="000000"/>
                <w:kern w:val="0"/>
                <w:szCs w:val="21"/>
              </w:rPr>
              <w:t>种植及养护</w:t>
            </w: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花卉布置形式不合理、造型欠整齐美观，未按甲方要求更换的，每处扣1分；鲜花景观在花期上未有一定连续性，不及时更换的，每处扣1分。</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253"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花卉品种不符合环境要求的，每处扣1分。</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490"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花卉植株生长不健壮，花色不艳丽，每处扣1分。采用无花苗或已胜期的花苗，每处扣2分。</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421"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合同期间，甲方提出更换鲜花要求，乙方未在3个工作日内完成的，每处扣2分。</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278"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换花时，种植土未按甲方要求处理的，每处扣1分。</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291"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种植密度不足，</w:t>
            </w:r>
            <w:r>
              <w:rPr>
                <w:rFonts w:hint="eastAsia" w:ascii="仿宋" w:hAnsi="仿宋" w:eastAsia="仿宋" w:cs="仿宋"/>
                <w:color w:val="000000"/>
                <w:kern w:val="0"/>
                <w:szCs w:val="21"/>
                <w:lang w:val="en-US" w:eastAsia="zh-CN"/>
              </w:rPr>
              <w:t>黄土裸露的</w:t>
            </w:r>
            <w:r>
              <w:rPr>
                <w:rFonts w:hint="eastAsia" w:ascii="仿宋" w:hAnsi="仿宋" w:eastAsia="仿宋" w:cs="仿宋"/>
                <w:color w:val="000000"/>
                <w:kern w:val="0"/>
                <w:szCs w:val="21"/>
              </w:rPr>
              <w:t>每处扣1分。</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303"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花卉种植床高于侧石、花钵边缘或绿地平面，每处扣2分。</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1080"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除自然灾害和不可抗力因素外，由自身原因（养护不当、植株供应未达标）造成的缺株倒伏、枯枝残花，且未在规定时间内补植的，每处扣1分；鲜花种植后发生偷、采、踩踏、死亡等现象，未及时补缺、补植的，每处扣0.5分。</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452"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卫生消毒保洁</w:t>
            </w: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种植区内杂草未及时清除，每处扣1分；地上部分杂乱（包括石块、花钵、作业垃圾等）未及时修整的，每处扣1分。</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434"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val="en-US" w:eastAsia="zh-CN"/>
              </w:rPr>
              <w:t>鲜花种植好需横竖有列，</w:t>
            </w:r>
            <w:r>
              <w:rPr>
                <w:rFonts w:hint="eastAsia" w:ascii="仿宋" w:hAnsi="仿宋" w:eastAsia="仿宋" w:cs="仿宋"/>
                <w:color w:val="000000"/>
                <w:kern w:val="0"/>
                <w:szCs w:val="21"/>
              </w:rPr>
              <w:t>杂乱而未修整，影响效果的，每处扣1分。</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312"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每次换花期，未及时按甲方要求对种植土层进行消毒的，每处扣1分。</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510"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病虫害防治</w:t>
            </w:r>
          </w:p>
        </w:tc>
        <w:tc>
          <w:tcPr>
            <w:tcW w:w="529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有明显病虫害，影响鲜花景观的，</w:t>
            </w:r>
            <w:r>
              <w:rPr>
                <w:rFonts w:hint="eastAsia" w:ascii="仿宋" w:hAnsi="仿宋" w:eastAsia="仿宋" w:cs="仿宋"/>
                <w:color w:val="000000"/>
                <w:kern w:val="0"/>
                <w:szCs w:val="21"/>
                <w:lang w:val="en-US" w:eastAsia="zh-CN"/>
              </w:rPr>
              <w:t>未及时有效地防治，</w:t>
            </w:r>
            <w:r>
              <w:rPr>
                <w:rFonts w:hint="eastAsia" w:ascii="仿宋" w:hAnsi="仿宋" w:eastAsia="仿宋" w:cs="仿宋"/>
                <w:color w:val="000000"/>
                <w:kern w:val="0"/>
                <w:szCs w:val="21"/>
              </w:rPr>
              <w:t>每处扣1分；发生病虫害事故，该项全扣。</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393"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102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肥水管理</w:t>
            </w:r>
          </w:p>
        </w:tc>
        <w:tc>
          <w:tcPr>
            <w:tcW w:w="5296" w:type="dxa"/>
            <w:gridSpan w:val="3"/>
            <w:tcBorders>
              <w:top w:val="single" w:color="000000" w:sz="4" w:space="0"/>
              <w:left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无完善的肥、水计划扣1分/月度；由于肥、水管理不善造成的枯残、倒伏等现象，扣0.5分/平方米；使用有异味的肥料的，每处扣1分；施肥后未用清水喷淋的，每次扣1分；未按标准施肥、灌溉的，每次扣1分；夏季高温时浇水不及时恰当，造成鲜花枯萎、发黄、萎蔫，影响景观效果的，每处扣1分。</w:t>
            </w:r>
          </w:p>
        </w:tc>
        <w:tc>
          <w:tcPr>
            <w:tcW w:w="914" w:type="dxa"/>
            <w:tcBorders>
              <w:top w:val="single" w:color="000000" w:sz="4" w:space="0"/>
              <w:left w:val="single" w:color="000000" w:sz="4" w:space="0"/>
              <w:bottom w:val="single" w:color="000000" w:sz="4" w:space="0"/>
              <w:right w:val="single" w:color="000000" w:sz="4" w:space="0"/>
            </w:tcBorders>
          </w:tcPr>
          <w:p>
            <w:pPr>
              <w:jc w:val="left"/>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tcPr>
          <w:p>
            <w:pPr>
              <w:jc w:val="left"/>
              <w:rPr>
                <w:rFonts w:hint="eastAsia" w:ascii="仿宋" w:hAnsi="仿宋" w:eastAsia="仿宋" w:cs="仿宋"/>
                <w:color w:val="000000"/>
                <w:szCs w:val="21"/>
              </w:rPr>
            </w:pPr>
          </w:p>
        </w:tc>
      </w:tr>
      <w:tr>
        <w:tblPrEx>
          <w:tblCellMar>
            <w:top w:w="17" w:type="dxa"/>
            <w:left w:w="57" w:type="dxa"/>
            <w:bottom w:w="17" w:type="dxa"/>
            <w:right w:w="57" w:type="dxa"/>
          </w:tblCellMar>
        </w:tblPrEx>
        <w:trPr>
          <w:trHeight w:val="529" w:hRule="atLeast"/>
          <w:jc w:val="center"/>
        </w:trPr>
        <w:tc>
          <w:tcPr>
            <w:tcW w:w="19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考核人员签名</w:t>
            </w:r>
          </w:p>
        </w:tc>
        <w:tc>
          <w:tcPr>
            <w:tcW w:w="2196" w:type="dxa"/>
            <w:tcBorders>
              <w:top w:val="single" w:color="000000" w:sz="4" w:space="0"/>
              <w:left w:val="single" w:color="000000" w:sz="4" w:space="0"/>
              <w:bottom w:val="single" w:color="000000" w:sz="4" w:space="0"/>
            </w:tcBorders>
            <w:vAlign w:val="center"/>
          </w:tcPr>
          <w:p>
            <w:pPr>
              <w:rPr>
                <w:rFonts w:hint="eastAsia" w:ascii="仿宋" w:hAnsi="仿宋" w:eastAsia="仿宋" w:cs="仿宋"/>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考核日期</w:t>
            </w:r>
          </w:p>
        </w:tc>
        <w:tc>
          <w:tcPr>
            <w:tcW w:w="2089"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Cs w:val="21"/>
              </w:rPr>
            </w:pPr>
          </w:p>
        </w:tc>
        <w:tc>
          <w:tcPr>
            <w:tcW w:w="914" w:type="dxa"/>
            <w:tcBorders>
              <w:top w:val="single" w:color="000000" w:sz="4" w:space="0"/>
              <w:left w:val="single" w:color="000000" w:sz="4" w:space="0"/>
              <w:bottom w:val="single" w:color="000000" w:sz="4" w:space="0"/>
              <w:right w:val="single" w:color="000000" w:sz="4" w:space="0"/>
            </w:tcBorders>
          </w:tcPr>
          <w:p>
            <w:pPr>
              <w:jc w:val="left"/>
              <w:rPr>
                <w:rFonts w:hint="eastAsia" w:ascii="仿宋" w:hAnsi="仿宋" w:eastAsia="仿宋" w:cs="仿宋"/>
                <w:color w:val="000000"/>
                <w:szCs w:val="21"/>
              </w:rPr>
            </w:pPr>
          </w:p>
        </w:tc>
        <w:tc>
          <w:tcPr>
            <w:tcW w:w="967" w:type="dxa"/>
            <w:tcBorders>
              <w:top w:val="single" w:color="000000" w:sz="4" w:space="0"/>
              <w:left w:val="single" w:color="000000" w:sz="4" w:space="0"/>
              <w:bottom w:val="single" w:color="000000" w:sz="4" w:space="0"/>
              <w:right w:val="single" w:color="000000" w:sz="4" w:space="0"/>
            </w:tcBorders>
          </w:tcPr>
          <w:p>
            <w:pPr>
              <w:jc w:val="left"/>
              <w:rPr>
                <w:rFonts w:hint="eastAsia" w:ascii="仿宋" w:hAnsi="仿宋" w:eastAsia="仿宋" w:cs="仿宋"/>
                <w:color w:val="000000"/>
                <w:szCs w:val="21"/>
              </w:rPr>
            </w:pPr>
          </w:p>
        </w:tc>
      </w:tr>
    </w:tbl>
    <w:p>
      <w:pPr>
        <w:ind w:firstLine="241" w:firstLineChars="100"/>
        <w:rPr>
          <w:rFonts w:hint="eastAsia"/>
        </w:rPr>
      </w:pPr>
      <w:r>
        <w:rPr>
          <w:rFonts w:hint="eastAsia" w:ascii="仿宋" w:hAnsi="仿宋" w:eastAsia="仿宋" w:cs="仿宋"/>
          <w:b/>
          <w:color w:val="FF0000"/>
          <w:sz w:val="24"/>
        </w:rPr>
        <w:t>备注：考核总分为100分，以</w:t>
      </w:r>
      <w:r>
        <w:rPr>
          <w:rFonts w:hint="eastAsia" w:ascii="仿宋" w:hAnsi="仿宋" w:eastAsia="仿宋" w:cs="仿宋"/>
          <w:b/>
          <w:color w:val="FF0000"/>
          <w:sz w:val="24"/>
          <w:lang w:eastAsia="zh-CN"/>
        </w:rPr>
        <w:t>期（</w:t>
      </w:r>
      <w:r>
        <w:rPr>
          <w:rFonts w:hint="eastAsia" w:ascii="仿宋" w:hAnsi="仿宋" w:eastAsia="仿宋" w:cs="仿宋"/>
          <w:b/>
          <w:color w:val="FF0000"/>
          <w:sz w:val="24"/>
          <w:lang w:val="en-US" w:eastAsia="zh-CN"/>
        </w:rPr>
        <w:t>一年更换五期</w:t>
      </w:r>
      <w:r>
        <w:rPr>
          <w:rFonts w:hint="eastAsia" w:ascii="仿宋" w:hAnsi="仿宋" w:eastAsia="仿宋" w:cs="仿宋"/>
          <w:b/>
          <w:color w:val="FF0000"/>
          <w:sz w:val="24"/>
          <w:lang w:eastAsia="zh-CN"/>
        </w:rPr>
        <w:t>）</w:t>
      </w:r>
      <w:r>
        <w:rPr>
          <w:rFonts w:hint="eastAsia" w:ascii="仿宋" w:hAnsi="仿宋" w:eastAsia="仿宋" w:cs="仿宋"/>
          <w:b/>
          <w:color w:val="FF0000"/>
          <w:sz w:val="24"/>
        </w:rPr>
        <w:t>考核为单位，每</w:t>
      </w:r>
      <w:r>
        <w:rPr>
          <w:rFonts w:hint="eastAsia" w:ascii="仿宋" w:hAnsi="仿宋" w:eastAsia="仿宋" w:cs="仿宋"/>
          <w:b/>
          <w:color w:val="FF0000"/>
          <w:sz w:val="24"/>
          <w:lang w:eastAsia="zh-CN"/>
        </w:rPr>
        <w:t>期</w:t>
      </w:r>
      <w:r>
        <w:rPr>
          <w:rFonts w:hint="eastAsia" w:ascii="仿宋" w:hAnsi="仿宋" w:eastAsia="仿宋" w:cs="仿宋"/>
          <w:b/>
          <w:color w:val="FF0000"/>
          <w:sz w:val="24"/>
        </w:rPr>
        <w:t>汇总一次。每</w:t>
      </w:r>
      <w:r>
        <w:rPr>
          <w:rFonts w:hint="eastAsia" w:ascii="仿宋" w:hAnsi="仿宋" w:eastAsia="仿宋" w:cs="仿宋"/>
          <w:b/>
          <w:color w:val="FF0000"/>
          <w:sz w:val="24"/>
          <w:lang w:eastAsia="zh-CN"/>
        </w:rPr>
        <w:t>期</w:t>
      </w:r>
      <w:r>
        <w:rPr>
          <w:rFonts w:hint="eastAsia" w:ascii="仿宋" w:hAnsi="仿宋" w:eastAsia="仿宋" w:cs="仿宋"/>
          <w:b/>
          <w:color w:val="FF0000"/>
          <w:sz w:val="24"/>
        </w:rPr>
        <w:t>得分90分为合格，合同费用全额拨付；80-90分为基本合格，90分以下每少1分扣5000</w:t>
      </w:r>
      <w:r>
        <w:rPr>
          <w:rFonts w:hint="eastAsia" w:ascii="仿宋" w:hAnsi="仿宋" w:eastAsia="仿宋" w:cs="仿宋"/>
          <w:b/>
          <w:color w:val="FF0000"/>
          <w:sz w:val="24"/>
          <w:lang w:val="en-US" w:eastAsia="zh-CN"/>
        </w:rPr>
        <w:t>元</w:t>
      </w:r>
      <w:r>
        <w:rPr>
          <w:rFonts w:hint="eastAsia" w:ascii="仿宋" w:hAnsi="仿宋" w:eastAsia="仿宋" w:cs="仿宋"/>
          <w:b/>
          <w:color w:val="FF0000"/>
          <w:sz w:val="24"/>
        </w:rPr>
        <w:t>；80分以下为不合格，80分以下每少一分扣</w:t>
      </w:r>
      <w:r>
        <w:rPr>
          <w:rFonts w:hint="eastAsia" w:ascii="仿宋" w:hAnsi="仿宋" w:eastAsia="仿宋" w:cs="仿宋"/>
          <w:b/>
          <w:color w:val="FF0000"/>
          <w:sz w:val="24"/>
          <w:lang w:val="en-US" w:eastAsia="zh-CN"/>
        </w:rPr>
        <w:t>每</w:t>
      </w:r>
      <w:r>
        <w:rPr>
          <w:rFonts w:hint="eastAsia" w:ascii="仿宋" w:hAnsi="仿宋" w:eastAsia="仿宋" w:cs="仿宋"/>
          <w:b/>
          <w:color w:val="FF0000"/>
          <w:sz w:val="24"/>
          <w:lang w:eastAsia="zh-CN"/>
        </w:rPr>
        <w:t>期</w:t>
      </w:r>
      <w:r>
        <w:rPr>
          <w:rFonts w:hint="eastAsia" w:ascii="仿宋" w:hAnsi="仿宋" w:eastAsia="仿宋" w:cs="仿宋"/>
          <w:b/>
          <w:color w:val="FF0000"/>
          <w:sz w:val="24"/>
        </w:rPr>
        <w:t>总费用5%；连续两</w:t>
      </w:r>
      <w:r>
        <w:rPr>
          <w:rFonts w:hint="eastAsia" w:ascii="仿宋" w:hAnsi="仿宋" w:eastAsia="仿宋" w:cs="仿宋"/>
          <w:b/>
          <w:color w:val="FF0000"/>
          <w:sz w:val="24"/>
          <w:lang w:eastAsia="zh-CN"/>
        </w:rPr>
        <w:t>期</w:t>
      </w:r>
      <w:r>
        <w:rPr>
          <w:rFonts w:hint="eastAsia" w:ascii="仿宋" w:hAnsi="仿宋" w:eastAsia="仿宋" w:cs="仿宋"/>
          <w:b/>
          <w:color w:val="FF0000"/>
          <w:sz w:val="24"/>
        </w:rPr>
        <w:t>考核在80分以下或累</w:t>
      </w:r>
      <w:r>
        <w:rPr>
          <w:rFonts w:hint="eastAsia" w:ascii="仿宋" w:hAnsi="仿宋" w:eastAsia="仿宋" w:cs="仿宋"/>
          <w:b/>
          <w:color w:val="FF0000"/>
          <w:sz w:val="24"/>
          <w:lang w:eastAsia="zh-CN"/>
        </w:rPr>
        <w:t>期</w:t>
      </w:r>
      <w:r>
        <w:rPr>
          <w:rFonts w:hint="eastAsia" w:ascii="仿宋" w:hAnsi="仿宋" w:eastAsia="仿宋" w:cs="仿宋"/>
          <w:b/>
          <w:color w:val="FF0000"/>
          <w:sz w:val="24"/>
        </w:rPr>
        <w:t>考核分3次在80分以下，业主方有权单方终止合同，并一次性扣合同总额的5%并没收履约保证金。</w:t>
      </w:r>
    </w:p>
    <w:p>
      <w:pPr>
        <w:adjustRightInd/>
        <w:snapToGrid/>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39" w:name="_Toc184312115"/>
      <w:bookmarkEnd w:id="39"/>
      <w:bookmarkStart w:id="40" w:name="_Toc184312134"/>
      <w:bookmarkEnd w:id="40"/>
      <w:bookmarkStart w:id="41" w:name="_Toc184313252"/>
      <w:bookmarkEnd w:id="41"/>
      <w:bookmarkStart w:id="42" w:name="_Toc184313279"/>
      <w:bookmarkEnd w:id="42"/>
      <w:bookmarkStart w:id="43" w:name="_Toc184308044"/>
      <w:bookmarkEnd w:id="43"/>
      <w:bookmarkStart w:id="44" w:name="_Toc184314441"/>
      <w:bookmarkEnd w:id="44"/>
      <w:bookmarkStart w:id="45" w:name="_Toc184312067"/>
      <w:bookmarkEnd w:id="45"/>
      <w:bookmarkStart w:id="46" w:name="_Toc184314464"/>
      <w:bookmarkEnd w:id="46"/>
      <w:bookmarkStart w:id="47" w:name="_Toc184313256"/>
      <w:bookmarkEnd w:id="47"/>
      <w:bookmarkStart w:id="48" w:name="_Toc184313242"/>
      <w:bookmarkEnd w:id="48"/>
      <w:bookmarkStart w:id="49" w:name="_Toc184308069"/>
      <w:bookmarkEnd w:id="49"/>
      <w:bookmarkStart w:id="50" w:name="_Toc184312068"/>
      <w:bookmarkEnd w:id="50"/>
      <w:bookmarkStart w:id="51" w:name="_Toc184308074"/>
      <w:bookmarkEnd w:id="51"/>
      <w:bookmarkStart w:id="52" w:name="_Toc184313291"/>
      <w:bookmarkEnd w:id="52"/>
      <w:bookmarkStart w:id="53" w:name="_Toc184310329"/>
      <w:bookmarkEnd w:id="53"/>
      <w:bookmarkStart w:id="54" w:name="_Toc184313238"/>
      <w:bookmarkEnd w:id="54"/>
      <w:bookmarkStart w:id="55" w:name="_Toc184314471"/>
      <w:bookmarkEnd w:id="55"/>
      <w:bookmarkStart w:id="56" w:name="_Toc184313284"/>
      <w:bookmarkEnd w:id="56"/>
      <w:bookmarkStart w:id="57" w:name="_Toc184308058"/>
      <w:bookmarkEnd w:id="57"/>
      <w:bookmarkStart w:id="58" w:name="_Toc184308102"/>
      <w:bookmarkEnd w:id="58"/>
      <w:bookmarkStart w:id="59" w:name="_Toc184312106"/>
      <w:bookmarkEnd w:id="59"/>
      <w:bookmarkStart w:id="60" w:name="_Toc184314476"/>
      <w:bookmarkEnd w:id="60"/>
      <w:bookmarkStart w:id="61" w:name="_Toc184312110"/>
      <w:bookmarkEnd w:id="61"/>
      <w:bookmarkStart w:id="62" w:name="_Toc184312126"/>
      <w:bookmarkEnd w:id="62"/>
      <w:bookmarkStart w:id="63" w:name="_Toc184314477"/>
      <w:bookmarkEnd w:id="63"/>
      <w:bookmarkStart w:id="64" w:name="_Toc184312080"/>
      <w:bookmarkEnd w:id="64"/>
      <w:bookmarkStart w:id="65" w:name="_Toc184308097"/>
      <w:bookmarkEnd w:id="65"/>
      <w:bookmarkStart w:id="66" w:name="_Toc184308060"/>
      <w:bookmarkEnd w:id="66"/>
      <w:bookmarkStart w:id="67" w:name="_Toc184313261"/>
      <w:bookmarkEnd w:id="67"/>
      <w:bookmarkStart w:id="68" w:name="_Toc184312083"/>
      <w:bookmarkEnd w:id="68"/>
      <w:bookmarkStart w:id="69" w:name="_Toc184314443"/>
      <w:bookmarkEnd w:id="69"/>
      <w:bookmarkStart w:id="70" w:name="_Toc184308063"/>
      <w:bookmarkEnd w:id="70"/>
      <w:bookmarkStart w:id="71" w:name="_Toc184310282"/>
      <w:bookmarkEnd w:id="71"/>
      <w:bookmarkStart w:id="72" w:name="_Toc184314454"/>
      <w:bookmarkEnd w:id="72"/>
      <w:bookmarkStart w:id="73" w:name="_Toc184314456"/>
      <w:bookmarkEnd w:id="73"/>
      <w:bookmarkStart w:id="74" w:name="_Toc184310315"/>
      <w:bookmarkEnd w:id="74"/>
      <w:bookmarkStart w:id="75" w:name="_Toc184313274"/>
      <w:bookmarkEnd w:id="75"/>
      <w:bookmarkStart w:id="76" w:name="_Toc184314461"/>
      <w:bookmarkEnd w:id="76"/>
      <w:bookmarkStart w:id="77" w:name="_Toc184313295"/>
      <w:bookmarkEnd w:id="77"/>
      <w:bookmarkStart w:id="78" w:name="_Toc184308107"/>
      <w:bookmarkEnd w:id="78"/>
      <w:bookmarkStart w:id="79" w:name="_Toc184308095"/>
      <w:bookmarkEnd w:id="79"/>
      <w:bookmarkStart w:id="80" w:name="_Toc184310313"/>
      <w:bookmarkEnd w:id="80"/>
      <w:bookmarkStart w:id="81" w:name="_Toc184310306"/>
      <w:bookmarkEnd w:id="81"/>
      <w:bookmarkStart w:id="82" w:name="_Toc184312097"/>
      <w:bookmarkEnd w:id="82"/>
      <w:bookmarkStart w:id="83" w:name="_Toc184310298"/>
      <w:bookmarkEnd w:id="83"/>
      <w:bookmarkStart w:id="84" w:name="_Toc184310290"/>
      <w:bookmarkEnd w:id="84"/>
      <w:bookmarkStart w:id="85" w:name="_Toc184308073"/>
      <w:bookmarkEnd w:id="85"/>
      <w:bookmarkStart w:id="86" w:name="_Toc184310307"/>
      <w:bookmarkEnd w:id="86"/>
      <w:bookmarkStart w:id="87" w:name="_Toc184308101"/>
      <w:bookmarkEnd w:id="87"/>
      <w:bookmarkStart w:id="88" w:name="_Toc184312099"/>
      <w:bookmarkEnd w:id="88"/>
      <w:bookmarkStart w:id="89" w:name="_Toc184310314"/>
      <w:bookmarkEnd w:id="89"/>
      <w:bookmarkStart w:id="90" w:name="_Toc184314463"/>
      <w:bookmarkEnd w:id="90"/>
      <w:bookmarkStart w:id="91" w:name="_Toc184312077"/>
      <w:bookmarkEnd w:id="91"/>
      <w:bookmarkStart w:id="92" w:name="_Toc184312071"/>
      <w:bookmarkEnd w:id="92"/>
      <w:bookmarkStart w:id="93" w:name="_Toc184314432"/>
      <w:bookmarkEnd w:id="93"/>
      <w:bookmarkStart w:id="94" w:name="_Toc184313275"/>
      <w:bookmarkEnd w:id="94"/>
      <w:bookmarkStart w:id="95" w:name="_Toc184310310"/>
      <w:bookmarkEnd w:id="95"/>
      <w:bookmarkStart w:id="96" w:name="_Toc184312093"/>
      <w:bookmarkEnd w:id="96"/>
      <w:bookmarkStart w:id="97" w:name="_Toc184314469"/>
      <w:bookmarkEnd w:id="97"/>
      <w:bookmarkStart w:id="98" w:name="_Toc184313289"/>
      <w:bookmarkEnd w:id="98"/>
      <w:bookmarkStart w:id="99" w:name="_Toc184312123"/>
      <w:bookmarkEnd w:id="99"/>
      <w:bookmarkStart w:id="100" w:name="_Toc184310289"/>
      <w:bookmarkEnd w:id="100"/>
      <w:bookmarkStart w:id="101" w:name="_Toc184313283"/>
      <w:bookmarkEnd w:id="101"/>
      <w:bookmarkStart w:id="102" w:name="_Toc184314422"/>
      <w:bookmarkEnd w:id="102"/>
      <w:bookmarkStart w:id="103" w:name="_Toc184313258"/>
      <w:bookmarkEnd w:id="103"/>
      <w:bookmarkStart w:id="104" w:name="_Toc184313257"/>
      <w:bookmarkEnd w:id="104"/>
      <w:bookmarkStart w:id="105" w:name="_Toc184310311"/>
      <w:bookmarkEnd w:id="105"/>
      <w:bookmarkStart w:id="106" w:name="_Toc184308080"/>
      <w:bookmarkEnd w:id="106"/>
      <w:bookmarkStart w:id="107" w:name="_Toc184312092"/>
      <w:bookmarkEnd w:id="107"/>
      <w:bookmarkStart w:id="108" w:name="_Toc184310322"/>
      <w:bookmarkEnd w:id="108"/>
      <w:bookmarkStart w:id="109" w:name="_Toc184312130"/>
      <w:bookmarkEnd w:id="109"/>
      <w:bookmarkStart w:id="110" w:name="_Toc184314436"/>
      <w:bookmarkEnd w:id="110"/>
      <w:bookmarkStart w:id="111" w:name="_Toc184310309"/>
      <w:bookmarkEnd w:id="111"/>
      <w:bookmarkStart w:id="112" w:name="_Toc184312129"/>
      <w:bookmarkEnd w:id="112"/>
      <w:bookmarkStart w:id="113" w:name="_Toc184310337"/>
      <w:bookmarkEnd w:id="113"/>
      <w:bookmarkStart w:id="114" w:name="_Toc184312081"/>
      <w:bookmarkEnd w:id="114"/>
      <w:bookmarkStart w:id="115" w:name="_Toc184312125"/>
      <w:bookmarkEnd w:id="115"/>
      <w:bookmarkStart w:id="116" w:name="_Toc184310338"/>
      <w:bookmarkEnd w:id="116"/>
      <w:bookmarkStart w:id="117" w:name="_Toc184310296"/>
      <w:bookmarkEnd w:id="117"/>
      <w:bookmarkStart w:id="118" w:name="_Toc184313269"/>
      <w:bookmarkEnd w:id="118"/>
      <w:bookmarkStart w:id="119" w:name="_Toc184312116"/>
      <w:bookmarkEnd w:id="119"/>
      <w:bookmarkStart w:id="120" w:name="_Toc184310276"/>
      <w:bookmarkEnd w:id="120"/>
      <w:bookmarkStart w:id="121" w:name="_Toc184313255"/>
      <w:bookmarkEnd w:id="121"/>
      <w:bookmarkStart w:id="122" w:name="_Toc184312137"/>
      <w:bookmarkEnd w:id="122"/>
      <w:bookmarkStart w:id="123" w:name="_Toc184313265"/>
      <w:bookmarkEnd w:id="123"/>
      <w:bookmarkStart w:id="124" w:name="_Toc184308046"/>
      <w:bookmarkEnd w:id="124"/>
      <w:bookmarkStart w:id="125" w:name="_Toc184308061"/>
      <w:bookmarkEnd w:id="125"/>
      <w:bookmarkStart w:id="126" w:name="_Toc184312104"/>
      <w:bookmarkEnd w:id="126"/>
      <w:bookmarkStart w:id="127" w:name="_Toc184308057"/>
      <w:bookmarkEnd w:id="127"/>
      <w:bookmarkStart w:id="128" w:name="_Toc184308077"/>
      <w:bookmarkEnd w:id="128"/>
      <w:bookmarkStart w:id="129" w:name="_Toc184312098"/>
      <w:bookmarkEnd w:id="129"/>
      <w:bookmarkStart w:id="130" w:name="_Toc184314473"/>
      <w:bookmarkEnd w:id="130"/>
      <w:bookmarkStart w:id="131" w:name="_Toc184313301"/>
      <w:bookmarkEnd w:id="131"/>
      <w:bookmarkStart w:id="132" w:name="_Toc184312131"/>
      <w:bookmarkEnd w:id="132"/>
      <w:bookmarkStart w:id="133" w:name="_Toc184310320"/>
      <w:bookmarkEnd w:id="133"/>
      <w:bookmarkStart w:id="134" w:name="_Toc184310301"/>
      <w:bookmarkEnd w:id="134"/>
      <w:bookmarkStart w:id="135" w:name="_Toc184312069"/>
      <w:bookmarkEnd w:id="135"/>
      <w:bookmarkStart w:id="136" w:name="_Toc184313308"/>
      <w:bookmarkEnd w:id="136"/>
      <w:bookmarkStart w:id="137" w:name="_Toc184308065"/>
      <w:bookmarkEnd w:id="137"/>
      <w:bookmarkStart w:id="138" w:name="_Toc184314455"/>
      <w:bookmarkEnd w:id="138"/>
      <w:bookmarkStart w:id="139" w:name="_Toc184308059"/>
      <w:bookmarkEnd w:id="139"/>
      <w:bookmarkStart w:id="140" w:name="_Toc184314430"/>
      <w:bookmarkEnd w:id="140"/>
      <w:bookmarkStart w:id="141" w:name="_Toc184314412"/>
      <w:bookmarkEnd w:id="141"/>
      <w:bookmarkStart w:id="142" w:name="_Toc184310324"/>
      <w:bookmarkEnd w:id="142"/>
      <w:bookmarkStart w:id="143" w:name="_Toc184312084"/>
      <w:bookmarkEnd w:id="143"/>
      <w:bookmarkStart w:id="144" w:name="_Toc184314472"/>
      <w:bookmarkEnd w:id="144"/>
      <w:bookmarkStart w:id="145" w:name="_Toc184310303"/>
      <w:bookmarkEnd w:id="145"/>
      <w:bookmarkStart w:id="146" w:name="_Toc184314435"/>
      <w:bookmarkEnd w:id="146"/>
      <w:bookmarkStart w:id="147" w:name="_Toc184310274"/>
      <w:bookmarkEnd w:id="147"/>
      <w:bookmarkStart w:id="148" w:name="_Toc184312138"/>
      <w:bookmarkEnd w:id="148"/>
      <w:bookmarkStart w:id="149" w:name="_Toc184313270"/>
      <w:bookmarkEnd w:id="149"/>
      <w:bookmarkStart w:id="150" w:name="_Toc184308104"/>
      <w:bookmarkEnd w:id="150"/>
      <w:bookmarkStart w:id="151" w:name="_Toc184308096"/>
      <w:bookmarkEnd w:id="151"/>
      <w:bookmarkStart w:id="152" w:name="_Toc184310284"/>
      <w:bookmarkEnd w:id="152"/>
      <w:bookmarkStart w:id="153" w:name="_Toc184310317"/>
      <w:bookmarkEnd w:id="153"/>
      <w:bookmarkStart w:id="154" w:name="_Toc184308047"/>
      <w:bookmarkEnd w:id="154"/>
      <w:bookmarkStart w:id="155" w:name="_Toc184308037"/>
      <w:bookmarkEnd w:id="155"/>
      <w:bookmarkStart w:id="156" w:name="_Toc184314458"/>
      <w:bookmarkEnd w:id="156"/>
      <w:bookmarkStart w:id="157" w:name="_Toc184314429"/>
      <w:bookmarkEnd w:id="157"/>
      <w:bookmarkStart w:id="158" w:name="_Toc184313273"/>
      <w:bookmarkEnd w:id="158"/>
      <w:bookmarkStart w:id="159" w:name="_Toc184313248"/>
      <w:bookmarkEnd w:id="159"/>
      <w:bookmarkStart w:id="160" w:name="_Toc184313272"/>
      <w:bookmarkEnd w:id="160"/>
      <w:bookmarkStart w:id="161" w:name="_Toc184314438"/>
      <w:bookmarkEnd w:id="161"/>
      <w:bookmarkStart w:id="162" w:name="_Toc184308053"/>
      <w:bookmarkEnd w:id="162"/>
      <w:bookmarkStart w:id="163" w:name="_Toc184308105"/>
      <w:bookmarkEnd w:id="163"/>
      <w:bookmarkStart w:id="164" w:name="_Toc184312133"/>
      <w:bookmarkEnd w:id="164"/>
      <w:bookmarkStart w:id="165" w:name="_Toc184313282"/>
      <w:bookmarkEnd w:id="165"/>
      <w:bookmarkStart w:id="166" w:name="_Toc184313309"/>
      <w:bookmarkEnd w:id="166"/>
      <w:bookmarkStart w:id="167" w:name="_Toc184314425"/>
      <w:bookmarkEnd w:id="167"/>
      <w:bookmarkStart w:id="168" w:name="_Toc184312139"/>
      <w:bookmarkEnd w:id="168"/>
      <w:bookmarkStart w:id="169" w:name="_Toc184310323"/>
      <w:bookmarkEnd w:id="169"/>
      <w:bookmarkStart w:id="170" w:name="_Toc184312124"/>
      <w:bookmarkEnd w:id="170"/>
      <w:bookmarkStart w:id="171" w:name="_Toc184313286"/>
      <w:bookmarkEnd w:id="171"/>
      <w:bookmarkStart w:id="172" w:name="_Toc184314482"/>
      <w:bookmarkEnd w:id="172"/>
      <w:bookmarkStart w:id="173" w:name="_Toc184310308"/>
      <w:bookmarkEnd w:id="173"/>
      <w:bookmarkStart w:id="174" w:name="_Toc184314434"/>
      <w:bookmarkEnd w:id="174"/>
      <w:bookmarkStart w:id="175" w:name="_Toc184308099"/>
      <w:bookmarkEnd w:id="175"/>
      <w:bookmarkStart w:id="176" w:name="_Toc184310286"/>
      <w:bookmarkEnd w:id="176"/>
      <w:bookmarkStart w:id="177" w:name="_Toc184314450"/>
      <w:bookmarkEnd w:id="177"/>
      <w:bookmarkStart w:id="178" w:name="_Toc184312095"/>
      <w:bookmarkEnd w:id="178"/>
      <w:bookmarkStart w:id="179" w:name="_Toc184313281"/>
      <w:bookmarkEnd w:id="179"/>
      <w:bookmarkStart w:id="180" w:name="_Toc184308087"/>
      <w:bookmarkEnd w:id="180"/>
      <w:bookmarkStart w:id="181" w:name="_Toc184310312"/>
      <w:bookmarkEnd w:id="181"/>
      <w:bookmarkStart w:id="182" w:name="_Toc184314460"/>
      <w:bookmarkEnd w:id="182"/>
      <w:bookmarkStart w:id="183" w:name="_Toc184310325"/>
      <w:bookmarkEnd w:id="183"/>
      <w:bookmarkStart w:id="184" w:name="_Toc184314459"/>
      <w:bookmarkEnd w:id="184"/>
      <w:bookmarkStart w:id="185" w:name="_Toc184308048"/>
      <w:bookmarkEnd w:id="185"/>
      <w:bookmarkStart w:id="186" w:name="_Toc184314417"/>
      <w:bookmarkEnd w:id="186"/>
      <w:bookmarkStart w:id="187" w:name="_Toc184308106"/>
      <w:bookmarkEnd w:id="187"/>
      <w:bookmarkStart w:id="188" w:name="_Toc184313302"/>
      <w:bookmarkEnd w:id="188"/>
      <w:bookmarkStart w:id="189" w:name="_Toc184312117"/>
      <w:bookmarkEnd w:id="189"/>
      <w:bookmarkStart w:id="190" w:name="_Toc184308067"/>
      <w:bookmarkEnd w:id="190"/>
      <w:bookmarkStart w:id="191" w:name="_Toc184312114"/>
      <w:bookmarkEnd w:id="191"/>
      <w:bookmarkStart w:id="192" w:name="_Toc184308075"/>
      <w:bookmarkEnd w:id="192"/>
      <w:bookmarkStart w:id="193" w:name="_Toc184312087"/>
      <w:bookmarkEnd w:id="193"/>
      <w:bookmarkStart w:id="194" w:name="_Toc184312100"/>
      <w:bookmarkEnd w:id="194"/>
      <w:bookmarkStart w:id="195" w:name="_Toc184310341"/>
      <w:bookmarkEnd w:id="195"/>
      <w:bookmarkStart w:id="196" w:name="_Toc184313246"/>
      <w:bookmarkEnd w:id="196"/>
      <w:bookmarkStart w:id="197" w:name="_Toc184313260"/>
      <w:bookmarkEnd w:id="197"/>
      <w:bookmarkStart w:id="198" w:name="_Toc184314440"/>
      <w:bookmarkEnd w:id="198"/>
      <w:bookmarkStart w:id="199" w:name="_Toc184314481"/>
      <w:bookmarkEnd w:id="199"/>
      <w:bookmarkStart w:id="200" w:name="_Toc184314420"/>
      <w:bookmarkEnd w:id="200"/>
      <w:bookmarkStart w:id="201" w:name="_Toc184312085"/>
      <w:bookmarkEnd w:id="201"/>
      <w:bookmarkStart w:id="202" w:name="_Toc184313304"/>
      <w:bookmarkEnd w:id="202"/>
      <w:bookmarkStart w:id="203" w:name="_Toc184308092"/>
      <w:bookmarkEnd w:id="203"/>
      <w:bookmarkStart w:id="204" w:name="_Toc184308049"/>
      <w:bookmarkEnd w:id="204"/>
      <w:bookmarkStart w:id="205" w:name="_Toc184312127"/>
      <w:bookmarkEnd w:id="205"/>
      <w:bookmarkStart w:id="206" w:name="_Toc184308089"/>
      <w:bookmarkEnd w:id="206"/>
      <w:bookmarkStart w:id="207" w:name="_Toc184308090"/>
      <w:bookmarkEnd w:id="207"/>
      <w:bookmarkStart w:id="208" w:name="_Toc184314431"/>
      <w:bookmarkEnd w:id="208"/>
      <w:bookmarkStart w:id="209" w:name="_Toc184310330"/>
      <w:bookmarkEnd w:id="209"/>
      <w:bookmarkStart w:id="210" w:name="_Toc184308086"/>
      <w:bookmarkEnd w:id="210"/>
      <w:bookmarkStart w:id="211" w:name="_Toc184312086"/>
      <w:bookmarkEnd w:id="211"/>
      <w:bookmarkStart w:id="212" w:name="_Toc184314419"/>
      <w:bookmarkEnd w:id="212"/>
      <w:bookmarkStart w:id="213" w:name="_Toc184308066"/>
      <w:bookmarkEnd w:id="213"/>
      <w:bookmarkStart w:id="214" w:name="_Toc184314446"/>
      <w:bookmarkEnd w:id="214"/>
      <w:bookmarkStart w:id="215" w:name="_Toc184312079"/>
      <w:bookmarkEnd w:id="215"/>
      <w:bookmarkStart w:id="216" w:name="_Toc184314444"/>
      <w:bookmarkEnd w:id="216"/>
      <w:bookmarkStart w:id="217" w:name="_Toc184314428"/>
      <w:bookmarkEnd w:id="217"/>
      <w:bookmarkStart w:id="218" w:name="_Toc184314478"/>
      <w:bookmarkEnd w:id="218"/>
      <w:bookmarkStart w:id="219" w:name="_Toc184310277"/>
      <w:bookmarkEnd w:id="219"/>
      <w:bookmarkStart w:id="220" w:name="_Toc184314462"/>
      <w:bookmarkEnd w:id="220"/>
      <w:bookmarkStart w:id="221" w:name="_Toc184314442"/>
      <w:bookmarkEnd w:id="221"/>
      <w:bookmarkStart w:id="222" w:name="_Toc184310278"/>
      <w:bookmarkEnd w:id="222"/>
      <w:bookmarkStart w:id="223" w:name="_Toc184310318"/>
      <w:bookmarkEnd w:id="223"/>
      <w:bookmarkStart w:id="224" w:name="_Toc184308039"/>
      <w:bookmarkEnd w:id="224"/>
      <w:bookmarkStart w:id="225" w:name="_Toc184310342"/>
      <w:bookmarkEnd w:id="225"/>
      <w:bookmarkStart w:id="226" w:name="_Toc184312111"/>
      <w:bookmarkEnd w:id="226"/>
      <w:bookmarkStart w:id="227" w:name="_Toc184313250"/>
      <w:bookmarkEnd w:id="227"/>
      <w:bookmarkStart w:id="228" w:name="_Toc184308040"/>
      <w:bookmarkEnd w:id="228"/>
      <w:bookmarkStart w:id="229" w:name="_Toc184313276"/>
      <w:bookmarkEnd w:id="229"/>
      <w:bookmarkStart w:id="230" w:name="_Toc184312073"/>
      <w:bookmarkEnd w:id="230"/>
      <w:bookmarkStart w:id="231" w:name="_Toc184312101"/>
      <w:bookmarkEnd w:id="231"/>
      <w:bookmarkStart w:id="232" w:name="_Toc184310292"/>
      <w:bookmarkEnd w:id="232"/>
      <w:bookmarkStart w:id="233" w:name="_Toc184310333"/>
      <w:bookmarkEnd w:id="233"/>
      <w:bookmarkStart w:id="234" w:name="_Toc184310299"/>
      <w:bookmarkEnd w:id="234"/>
      <w:bookmarkStart w:id="235" w:name="_Toc184312136"/>
      <w:bookmarkEnd w:id="235"/>
      <w:bookmarkStart w:id="236" w:name="_Toc184310332"/>
      <w:bookmarkEnd w:id="236"/>
      <w:bookmarkStart w:id="237" w:name="_Toc184314480"/>
      <w:bookmarkEnd w:id="237"/>
      <w:bookmarkStart w:id="238" w:name="_Toc184314426"/>
      <w:bookmarkEnd w:id="238"/>
      <w:bookmarkStart w:id="239" w:name="_Toc184310305"/>
      <w:bookmarkEnd w:id="239"/>
      <w:bookmarkStart w:id="240" w:name="_Toc184308054"/>
      <w:bookmarkEnd w:id="240"/>
      <w:bookmarkStart w:id="241" w:name="_Toc184310281"/>
      <w:bookmarkEnd w:id="241"/>
      <w:bookmarkStart w:id="242" w:name="_Toc184312075"/>
      <w:bookmarkEnd w:id="242"/>
      <w:bookmarkStart w:id="243" w:name="_Toc184308093"/>
      <w:bookmarkEnd w:id="243"/>
      <w:bookmarkStart w:id="244" w:name="_Toc184310283"/>
      <w:bookmarkEnd w:id="244"/>
      <w:bookmarkStart w:id="245" w:name="_Toc184313285"/>
      <w:bookmarkEnd w:id="245"/>
      <w:bookmarkStart w:id="246" w:name="_Toc184308038"/>
      <w:bookmarkEnd w:id="246"/>
      <w:bookmarkStart w:id="247" w:name="_Toc184310316"/>
      <w:bookmarkEnd w:id="247"/>
      <w:bookmarkStart w:id="248" w:name="_Toc184310297"/>
      <w:bookmarkEnd w:id="248"/>
      <w:bookmarkStart w:id="249" w:name="_Toc184312132"/>
      <w:bookmarkEnd w:id="249"/>
      <w:bookmarkStart w:id="250" w:name="_Toc184312088"/>
      <w:bookmarkEnd w:id="250"/>
      <w:bookmarkStart w:id="251" w:name="_Toc184310302"/>
      <w:bookmarkEnd w:id="251"/>
      <w:bookmarkStart w:id="252" w:name="_Toc184308078"/>
      <w:bookmarkEnd w:id="252"/>
      <w:bookmarkStart w:id="253" w:name="_Toc184314474"/>
      <w:bookmarkEnd w:id="253"/>
      <w:bookmarkStart w:id="254" w:name="_Toc184312112"/>
      <w:bookmarkEnd w:id="254"/>
      <w:bookmarkStart w:id="255" w:name="_Toc184308041"/>
      <w:bookmarkEnd w:id="255"/>
      <w:bookmarkStart w:id="256" w:name="_Toc184314445"/>
      <w:bookmarkEnd w:id="256"/>
      <w:bookmarkStart w:id="257" w:name="_Toc184314453"/>
      <w:bookmarkEnd w:id="257"/>
      <w:bookmarkStart w:id="258" w:name="_Toc184313253"/>
      <w:bookmarkEnd w:id="258"/>
      <w:bookmarkStart w:id="259" w:name="_Toc184312070"/>
      <w:bookmarkEnd w:id="259"/>
      <w:bookmarkStart w:id="260" w:name="_Toc184314413"/>
      <w:bookmarkEnd w:id="260"/>
      <w:bookmarkStart w:id="261" w:name="_Toc184308062"/>
      <w:bookmarkEnd w:id="261"/>
      <w:bookmarkStart w:id="262" w:name="_Toc184313266"/>
      <w:bookmarkEnd w:id="262"/>
      <w:bookmarkStart w:id="263" w:name="_Toc184314457"/>
      <w:bookmarkEnd w:id="263"/>
      <w:bookmarkStart w:id="264" w:name="_Toc184312074"/>
      <w:bookmarkEnd w:id="264"/>
      <w:bookmarkStart w:id="265" w:name="_Toc184308076"/>
      <w:bookmarkEnd w:id="265"/>
      <w:bookmarkStart w:id="266" w:name="_Toc184312135"/>
      <w:bookmarkEnd w:id="266"/>
      <w:bookmarkStart w:id="267" w:name="_Toc184312102"/>
      <w:bookmarkEnd w:id="267"/>
      <w:bookmarkStart w:id="268" w:name="_Toc184310340"/>
      <w:bookmarkEnd w:id="268"/>
      <w:bookmarkStart w:id="269" w:name="_Toc184310273"/>
      <w:bookmarkEnd w:id="269"/>
      <w:bookmarkStart w:id="270" w:name="_Toc184308100"/>
      <w:bookmarkEnd w:id="270"/>
      <w:bookmarkStart w:id="271" w:name="_Toc184308108"/>
      <w:bookmarkEnd w:id="271"/>
      <w:bookmarkStart w:id="272" w:name="_Toc184308056"/>
      <w:bookmarkEnd w:id="272"/>
      <w:bookmarkStart w:id="273" w:name="_Toc184313241"/>
      <w:bookmarkEnd w:id="273"/>
      <w:bookmarkStart w:id="274" w:name="_Toc184313293"/>
      <w:bookmarkEnd w:id="274"/>
      <w:bookmarkStart w:id="275" w:name="_Toc184313264"/>
      <w:bookmarkEnd w:id="275"/>
      <w:bookmarkStart w:id="276" w:name="_Toc184312090"/>
      <w:bookmarkEnd w:id="276"/>
      <w:bookmarkStart w:id="277" w:name="_Toc184313277"/>
      <w:bookmarkEnd w:id="277"/>
      <w:bookmarkStart w:id="278" w:name="_Toc184313307"/>
      <w:bookmarkEnd w:id="278"/>
      <w:bookmarkStart w:id="279" w:name="_Toc184314449"/>
      <w:bookmarkEnd w:id="279"/>
      <w:bookmarkStart w:id="280" w:name="_Toc184310321"/>
      <w:bookmarkEnd w:id="280"/>
      <w:bookmarkStart w:id="281" w:name="_Toc184310335"/>
      <w:bookmarkEnd w:id="281"/>
      <w:bookmarkStart w:id="282" w:name="_Toc184313305"/>
      <w:bookmarkEnd w:id="282"/>
      <w:bookmarkStart w:id="283" w:name="_Toc184313299"/>
      <w:bookmarkEnd w:id="283"/>
      <w:bookmarkStart w:id="284" w:name="_Toc184312094"/>
      <w:bookmarkEnd w:id="284"/>
      <w:bookmarkStart w:id="285" w:name="_Toc184313259"/>
      <w:bookmarkEnd w:id="285"/>
      <w:bookmarkStart w:id="286" w:name="_Toc184308071"/>
      <w:bookmarkEnd w:id="286"/>
      <w:bookmarkStart w:id="287" w:name="_Toc184310280"/>
      <w:bookmarkEnd w:id="287"/>
      <w:bookmarkStart w:id="288" w:name="_Toc184310300"/>
      <w:bookmarkEnd w:id="288"/>
      <w:bookmarkStart w:id="289" w:name="_Toc184308070"/>
      <w:bookmarkEnd w:id="289"/>
      <w:bookmarkStart w:id="290" w:name="_Toc184313278"/>
      <w:bookmarkEnd w:id="290"/>
      <w:bookmarkStart w:id="291" w:name="_Toc184310319"/>
      <w:bookmarkEnd w:id="291"/>
      <w:bookmarkStart w:id="292" w:name="_Toc184310344"/>
      <w:bookmarkEnd w:id="292"/>
      <w:bookmarkStart w:id="293" w:name="_Toc184312105"/>
      <w:bookmarkEnd w:id="293"/>
      <w:bookmarkStart w:id="294" w:name="_Toc184313294"/>
      <w:bookmarkEnd w:id="294"/>
      <w:bookmarkStart w:id="295" w:name="_Toc184310328"/>
      <w:bookmarkEnd w:id="295"/>
      <w:bookmarkStart w:id="296" w:name="_Toc184308072"/>
      <w:bookmarkEnd w:id="296"/>
      <w:bookmarkStart w:id="297" w:name="_Toc184310293"/>
      <w:bookmarkEnd w:id="297"/>
      <w:bookmarkStart w:id="298" w:name="_Toc184313271"/>
      <w:bookmarkEnd w:id="298"/>
      <w:bookmarkStart w:id="299" w:name="_Toc184310327"/>
      <w:bookmarkEnd w:id="299"/>
      <w:bookmarkStart w:id="300" w:name="_Toc184314415"/>
      <w:bookmarkEnd w:id="300"/>
      <w:bookmarkStart w:id="301" w:name="_Toc184314421"/>
      <w:bookmarkEnd w:id="301"/>
      <w:bookmarkStart w:id="302" w:name="_Toc184312107"/>
      <w:bookmarkEnd w:id="302"/>
      <w:bookmarkStart w:id="303" w:name="_Toc184313267"/>
      <w:bookmarkEnd w:id="303"/>
      <w:bookmarkStart w:id="304" w:name="_Toc184310304"/>
      <w:bookmarkEnd w:id="304"/>
      <w:bookmarkStart w:id="305" w:name="_Toc184312108"/>
      <w:bookmarkEnd w:id="305"/>
      <w:bookmarkStart w:id="306" w:name="_Toc184310336"/>
      <w:bookmarkEnd w:id="306"/>
      <w:bookmarkStart w:id="307" w:name="_Toc184314475"/>
      <w:bookmarkEnd w:id="307"/>
      <w:bookmarkStart w:id="308" w:name="_Toc184314424"/>
      <w:bookmarkEnd w:id="308"/>
      <w:bookmarkStart w:id="309" w:name="_Toc184314467"/>
      <w:bookmarkEnd w:id="309"/>
      <w:bookmarkStart w:id="310" w:name="_Toc184310287"/>
      <w:bookmarkEnd w:id="310"/>
      <w:bookmarkStart w:id="311" w:name="_Toc184314451"/>
      <w:bookmarkEnd w:id="311"/>
      <w:bookmarkStart w:id="312" w:name="_Toc184308084"/>
      <w:bookmarkEnd w:id="312"/>
      <w:bookmarkStart w:id="313" w:name="_Toc184314414"/>
      <w:bookmarkEnd w:id="313"/>
      <w:bookmarkStart w:id="314" w:name="_Toc184313251"/>
      <w:bookmarkEnd w:id="314"/>
      <w:bookmarkStart w:id="315" w:name="_Toc184313287"/>
      <w:bookmarkEnd w:id="315"/>
      <w:bookmarkStart w:id="316" w:name="_Toc184313310"/>
      <w:bookmarkEnd w:id="316"/>
      <w:bookmarkStart w:id="317" w:name="_Toc184313280"/>
      <w:bookmarkEnd w:id="317"/>
      <w:bookmarkStart w:id="318" w:name="_Toc184313290"/>
      <w:bookmarkEnd w:id="318"/>
      <w:bookmarkStart w:id="319" w:name="_Toc184312118"/>
      <w:bookmarkEnd w:id="319"/>
      <w:bookmarkStart w:id="320" w:name="_Toc184313263"/>
      <w:bookmarkEnd w:id="320"/>
      <w:bookmarkStart w:id="321" w:name="_Toc184310295"/>
      <w:bookmarkEnd w:id="321"/>
      <w:bookmarkStart w:id="322" w:name="_Toc184312103"/>
      <w:bookmarkEnd w:id="322"/>
      <w:bookmarkStart w:id="323" w:name="_Toc184308051"/>
      <w:bookmarkEnd w:id="323"/>
      <w:bookmarkStart w:id="324" w:name="_Toc184313297"/>
      <w:bookmarkEnd w:id="324"/>
      <w:bookmarkStart w:id="325" w:name="_Toc184312113"/>
      <w:bookmarkEnd w:id="325"/>
      <w:bookmarkStart w:id="326" w:name="_Toc184312128"/>
      <w:bookmarkEnd w:id="326"/>
      <w:bookmarkStart w:id="327" w:name="_Toc184308042"/>
      <w:bookmarkEnd w:id="327"/>
      <w:bookmarkStart w:id="328" w:name="_Toc184310294"/>
      <w:bookmarkEnd w:id="328"/>
      <w:bookmarkStart w:id="329" w:name="_Toc184313292"/>
      <w:bookmarkEnd w:id="329"/>
      <w:bookmarkStart w:id="330" w:name="_Toc184313300"/>
      <w:bookmarkEnd w:id="330"/>
      <w:bookmarkStart w:id="331" w:name="_Toc184314439"/>
      <w:bookmarkEnd w:id="331"/>
      <w:bookmarkStart w:id="332" w:name="_Toc184313262"/>
      <w:bookmarkEnd w:id="332"/>
      <w:bookmarkStart w:id="333" w:name="_Toc184314452"/>
      <w:bookmarkEnd w:id="333"/>
      <w:bookmarkStart w:id="334" w:name="_Toc184313247"/>
      <w:bookmarkEnd w:id="334"/>
      <w:bookmarkStart w:id="335" w:name="_Toc184314410"/>
      <w:bookmarkEnd w:id="335"/>
      <w:bookmarkStart w:id="336" w:name="_Toc184313239"/>
      <w:bookmarkEnd w:id="336"/>
      <w:bookmarkStart w:id="337" w:name="_Toc184312120"/>
      <w:bookmarkEnd w:id="337"/>
      <w:bookmarkStart w:id="338" w:name="_Toc184308103"/>
      <w:bookmarkEnd w:id="338"/>
      <w:bookmarkStart w:id="339" w:name="_Toc184312091"/>
      <w:bookmarkEnd w:id="339"/>
      <w:bookmarkStart w:id="340" w:name="_Toc184312076"/>
      <w:bookmarkEnd w:id="340"/>
      <w:bookmarkStart w:id="341" w:name="_Toc184310343"/>
      <w:bookmarkEnd w:id="341"/>
      <w:bookmarkStart w:id="342" w:name="_Toc184313249"/>
      <w:bookmarkEnd w:id="342"/>
      <w:bookmarkStart w:id="343" w:name="_Toc184308091"/>
      <w:bookmarkEnd w:id="343"/>
      <w:bookmarkStart w:id="344" w:name="_Toc184313303"/>
      <w:bookmarkEnd w:id="344"/>
      <w:bookmarkStart w:id="345" w:name="_Toc184313268"/>
      <w:bookmarkEnd w:id="345"/>
      <w:bookmarkStart w:id="346" w:name="_Toc184312096"/>
      <w:bookmarkEnd w:id="346"/>
      <w:bookmarkStart w:id="347" w:name="_Toc184310291"/>
      <w:bookmarkEnd w:id="347"/>
      <w:bookmarkStart w:id="348" w:name="_Toc184308079"/>
      <w:bookmarkEnd w:id="348"/>
      <w:bookmarkStart w:id="349" w:name="_Toc184308064"/>
      <w:bookmarkEnd w:id="349"/>
      <w:bookmarkStart w:id="350" w:name="_Toc184310331"/>
      <w:bookmarkEnd w:id="350"/>
      <w:bookmarkStart w:id="351" w:name="_Toc184308055"/>
      <w:bookmarkEnd w:id="351"/>
      <w:bookmarkStart w:id="352" w:name="_Toc184314418"/>
      <w:bookmarkEnd w:id="352"/>
      <w:bookmarkStart w:id="353" w:name="_Toc184314423"/>
      <w:bookmarkEnd w:id="353"/>
      <w:bookmarkStart w:id="354" w:name="_Toc184313243"/>
      <w:bookmarkEnd w:id="354"/>
      <w:bookmarkStart w:id="355" w:name="_Toc184313240"/>
      <w:bookmarkEnd w:id="355"/>
      <w:bookmarkStart w:id="356" w:name="_Toc184308088"/>
      <w:bookmarkEnd w:id="356"/>
      <w:bookmarkStart w:id="357" w:name="_Toc184308052"/>
      <w:bookmarkEnd w:id="357"/>
      <w:bookmarkStart w:id="358" w:name="_Toc184310334"/>
      <w:bookmarkEnd w:id="358"/>
      <w:bookmarkStart w:id="359" w:name="_Toc184313296"/>
      <w:bookmarkEnd w:id="359"/>
      <w:bookmarkStart w:id="360" w:name="_Toc184312119"/>
      <w:bookmarkEnd w:id="360"/>
      <w:bookmarkStart w:id="361" w:name="_Toc184310279"/>
      <w:bookmarkEnd w:id="361"/>
      <w:bookmarkStart w:id="362" w:name="_Toc184308082"/>
      <w:bookmarkEnd w:id="362"/>
      <w:bookmarkStart w:id="363" w:name="_Toc184312072"/>
      <w:bookmarkEnd w:id="363"/>
      <w:bookmarkStart w:id="364" w:name="_Toc184314411"/>
      <w:bookmarkEnd w:id="364"/>
      <w:bookmarkStart w:id="365" w:name="_Toc184314433"/>
      <w:bookmarkEnd w:id="365"/>
      <w:bookmarkStart w:id="366" w:name="_Toc184308043"/>
      <w:bookmarkEnd w:id="366"/>
      <w:bookmarkStart w:id="367" w:name="_Toc184313288"/>
      <w:bookmarkEnd w:id="367"/>
      <w:bookmarkStart w:id="368" w:name="_Toc184308068"/>
      <w:bookmarkEnd w:id="368"/>
      <w:bookmarkStart w:id="369" w:name="_Toc184312121"/>
      <w:bookmarkEnd w:id="369"/>
      <w:bookmarkStart w:id="370" w:name="_Toc184308085"/>
      <w:bookmarkEnd w:id="370"/>
      <w:bookmarkStart w:id="371" w:name="_Toc184314466"/>
      <w:bookmarkEnd w:id="371"/>
      <w:bookmarkStart w:id="372" w:name="_Toc184308081"/>
      <w:bookmarkEnd w:id="372"/>
      <w:bookmarkStart w:id="373" w:name="_Toc184308094"/>
      <w:bookmarkEnd w:id="373"/>
      <w:bookmarkStart w:id="374" w:name="_Toc184313244"/>
      <w:bookmarkEnd w:id="374"/>
      <w:bookmarkStart w:id="375" w:name="_Toc184310272"/>
      <w:bookmarkEnd w:id="375"/>
      <w:bookmarkStart w:id="376" w:name="_Toc184314416"/>
      <w:bookmarkEnd w:id="376"/>
      <w:bookmarkStart w:id="377" w:name="_Toc184314437"/>
      <w:bookmarkEnd w:id="377"/>
      <w:bookmarkStart w:id="378" w:name="_Toc184312089"/>
      <w:bookmarkEnd w:id="378"/>
      <w:bookmarkStart w:id="379" w:name="_Toc184312078"/>
      <w:bookmarkEnd w:id="379"/>
      <w:bookmarkStart w:id="380" w:name="_Toc184310275"/>
      <w:bookmarkEnd w:id="380"/>
      <w:bookmarkStart w:id="381" w:name="_Toc184312109"/>
      <w:bookmarkEnd w:id="381"/>
      <w:bookmarkStart w:id="382" w:name="_Toc184314427"/>
      <w:bookmarkEnd w:id="382"/>
      <w:bookmarkStart w:id="383" w:name="_Toc184314470"/>
      <w:bookmarkEnd w:id="383"/>
      <w:bookmarkStart w:id="384" w:name="_Toc184313298"/>
      <w:bookmarkEnd w:id="384"/>
      <w:bookmarkStart w:id="385" w:name="_Toc184308098"/>
      <w:bookmarkEnd w:id="385"/>
      <w:bookmarkStart w:id="386" w:name="_Toc184310285"/>
      <w:bookmarkEnd w:id="386"/>
      <w:bookmarkStart w:id="387" w:name="_Toc184312082"/>
      <w:bookmarkEnd w:id="387"/>
      <w:bookmarkStart w:id="388" w:name="_Toc184313254"/>
      <w:bookmarkEnd w:id="388"/>
      <w:bookmarkStart w:id="389" w:name="_Toc184314479"/>
      <w:bookmarkEnd w:id="389"/>
      <w:bookmarkStart w:id="390" w:name="_Toc184314448"/>
      <w:bookmarkEnd w:id="390"/>
      <w:bookmarkStart w:id="391" w:name="_Toc184308083"/>
      <w:bookmarkEnd w:id="391"/>
      <w:bookmarkStart w:id="392" w:name="_Toc184308036"/>
      <w:bookmarkEnd w:id="392"/>
      <w:bookmarkStart w:id="393" w:name="_Toc184313306"/>
      <w:bookmarkEnd w:id="393"/>
      <w:bookmarkStart w:id="394" w:name="_Toc184314447"/>
      <w:bookmarkEnd w:id="394"/>
      <w:bookmarkStart w:id="395" w:name="_Toc184310288"/>
      <w:bookmarkEnd w:id="395"/>
      <w:bookmarkStart w:id="396" w:name="_Toc184308050"/>
      <w:bookmarkEnd w:id="396"/>
      <w:bookmarkStart w:id="397" w:name="_Toc184314468"/>
      <w:bookmarkEnd w:id="397"/>
      <w:bookmarkStart w:id="398" w:name="_Toc184310326"/>
      <w:bookmarkEnd w:id="398"/>
      <w:bookmarkStart w:id="399" w:name="_Toc184310339"/>
      <w:bookmarkEnd w:id="399"/>
      <w:bookmarkStart w:id="400" w:name="_Toc184308045"/>
      <w:bookmarkEnd w:id="400"/>
      <w:bookmarkStart w:id="401" w:name="_Toc184313245"/>
      <w:bookmarkEnd w:id="401"/>
      <w:bookmarkStart w:id="402" w:name="_Toc184312122"/>
      <w:bookmarkEnd w:id="402"/>
      <w:bookmarkStart w:id="403" w:name="_Toc184314465"/>
      <w:bookmarkEnd w:id="403"/>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1031" w:tblpY="126"/>
        <w:tblW w:w="53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6927"/>
        <w:gridCol w:w="55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98" w:type="pct"/>
            <w:vAlign w:val="center"/>
          </w:tcPr>
          <w:p>
            <w:pPr>
              <w:spacing w:line="360" w:lineRule="auto"/>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3460" w:type="pct"/>
            <w:vAlign w:val="center"/>
          </w:tcPr>
          <w:p>
            <w:pPr>
              <w:spacing w:line="360" w:lineRule="auto"/>
              <w:ind w:firstLine="1560" w:firstLineChars="650"/>
              <w:outlineLvl w:val="0"/>
              <w:rPr>
                <w:rFonts w:hint="eastAsia" w:ascii="仿宋" w:hAnsi="仿宋" w:eastAsia="仿宋" w:cs="仿宋"/>
                <w:bCs/>
                <w:sz w:val="24"/>
              </w:rPr>
            </w:pPr>
            <w:r>
              <w:rPr>
                <w:rFonts w:hint="eastAsia" w:ascii="仿宋" w:hAnsi="仿宋" w:eastAsia="仿宋" w:cs="仿宋"/>
                <w:bCs/>
                <w:sz w:val="24"/>
              </w:rPr>
              <w:t>评标标准</w:t>
            </w:r>
          </w:p>
        </w:tc>
        <w:tc>
          <w:tcPr>
            <w:tcW w:w="275" w:type="pct"/>
            <w:vAlign w:val="center"/>
          </w:tcPr>
          <w:p>
            <w:pPr>
              <w:spacing w:line="360" w:lineRule="auto"/>
              <w:outlineLvl w:val="0"/>
              <w:rPr>
                <w:rFonts w:hint="eastAsia" w:ascii="仿宋" w:hAnsi="仿宋" w:eastAsia="仿宋" w:cs="仿宋"/>
                <w:bCs/>
                <w:sz w:val="24"/>
              </w:rPr>
            </w:pPr>
            <w:r>
              <w:rPr>
                <w:rFonts w:hint="eastAsia" w:ascii="仿宋" w:hAnsi="仿宋" w:eastAsia="仿宋" w:cs="仿宋"/>
                <w:bCs/>
                <w:sz w:val="24"/>
              </w:rPr>
              <w:t>权重</w:t>
            </w:r>
          </w:p>
        </w:tc>
        <w:tc>
          <w:tcPr>
            <w:tcW w:w="966" w:type="pct"/>
          </w:tcPr>
          <w:p>
            <w:pPr>
              <w:spacing w:line="360" w:lineRule="auto"/>
              <w:outlineLvl w:val="0"/>
              <w:rPr>
                <w:rFonts w:hint="eastAsia"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98" w:type="pct"/>
            <w:vAlign w:val="center"/>
          </w:tcPr>
          <w:p>
            <w:pPr>
              <w:spacing w:line="360" w:lineRule="auto"/>
              <w:ind w:firstLine="0" w:firstLineChars="0"/>
              <w:jc w:val="center"/>
              <w:outlineLvl w:val="0"/>
              <w:rPr>
                <w:rFonts w:hint="eastAsia" w:ascii="仿宋" w:hAnsi="仿宋" w:eastAsia="仿宋" w:cs="仿宋"/>
                <w:sz w:val="24"/>
              </w:rPr>
            </w:pPr>
            <w:r>
              <w:rPr>
                <w:rFonts w:hint="eastAsia" w:ascii="仿宋" w:hAnsi="仿宋" w:eastAsia="仿宋" w:cs="仿宋"/>
                <w:sz w:val="24"/>
              </w:rPr>
              <w:t>1</w:t>
            </w:r>
          </w:p>
        </w:tc>
        <w:tc>
          <w:tcPr>
            <w:tcW w:w="3460"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投标人对本项目服务背景、整体概况、工作目的以及现状的理解情况。内容了解透彻、说明情况详实完整的得1-2分，了解凌乱、内容不全的得0-1分，了解错误及内容偏离的不得分。</w:t>
            </w:r>
          </w:p>
        </w:tc>
        <w:tc>
          <w:tcPr>
            <w:tcW w:w="275" w:type="pct"/>
          </w:tcPr>
          <w:p>
            <w:pPr>
              <w:rPr>
                <w:rFonts w:hint="eastAsia" w:ascii="仿宋" w:hAnsi="仿宋" w:eastAsia="仿宋" w:cs="仿宋"/>
              </w:rPr>
            </w:pPr>
          </w:p>
          <w:p>
            <w:pPr>
              <w:spacing w:line="360" w:lineRule="auto"/>
              <w:ind w:firstLine="0" w:firstLineChars="0"/>
              <w:outlineLvl w:val="0"/>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966" w:type="pc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u w:val="none"/>
                <w:lang w:bidi="ar"/>
              </w:rPr>
              <w:t>项目理解程度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98" w:type="pct"/>
            <w:vMerge w:val="restart"/>
            <w:vAlign w:val="center"/>
          </w:tcPr>
          <w:p>
            <w:pPr>
              <w:spacing w:line="360" w:lineRule="auto"/>
              <w:ind w:firstLine="0" w:firstLineChars="0"/>
              <w:jc w:val="center"/>
              <w:outlineLvl w:val="0"/>
              <w:rPr>
                <w:rFonts w:hint="eastAsia" w:ascii="仿宋" w:hAnsi="仿宋" w:eastAsia="仿宋" w:cs="仿宋"/>
                <w:sz w:val="24"/>
              </w:rPr>
            </w:pPr>
            <w:r>
              <w:rPr>
                <w:rFonts w:hint="eastAsia" w:ascii="仿宋" w:hAnsi="仿宋" w:eastAsia="仿宋" w:cs="仿宋"/>
                <w:sz w:val="24"/>
              </w:rPr>
              <w:t>2</w:t>
            </w:r>
          </w:p>
        </w:tc>
        <w:tc>
          <w:tcPr>
            <w:tcW w:w="3460" w:type="pct"/>
            <w:vAlign w:val="center"/>
          </w:tcPr>
          <w:p>
            <w:pPr>
              <w:spacing w:line="360" w:lineRule="auto"/>
              <w:outlineLvl w:val="0"/>
              <w:rPr>
                <w:rFonts w:hint="eastAsia" w:ascii="仿宋" w:hAnsi="仿宋" w:eastAsia="仿宋" w:cs="仿宋"/>
                <w:sz w:val="24"/>
                <w:lang w:val="en-US" w:eastAsia="zh-CN"/>
              </w:rPr>
            </w:pPr>
            <w:r>
              <w:rPr>
                <w:rFonts w:hint="eastAsia" w:ascii="仿宋" w:hAnsi="仿宋" w:eastAsia="仿宋" w:cs="仿宋"/>
                <w:sz w:val="24"/>
              </w:rPr>
              <w:t>（1）项目所需每年</w:t>
            </w:r>
            <w:r>
              <w:rPr>
                <w:rFonts w:hint="eastAsia" w:ascii="仿宋" w:hAnsi="仿宋" w:eastAsia="仿宋" w:cs="仿宋"/>
                <w:sz w:val="24"/>
                <w:lang w:val="en-US" w:eastAsia="zh-CN"/>
              </w:rPr>
              <w:t>五期更换</w:t>
            </w:r>
            <w:r>
              <w:rPr>
                <w:rFonts w:hint="eastAsia" w:ascii="仿宋" w:hAnsi="仿宋" w:eastAsia="仿宋" w:cs="仿宋"/>
                <w:sz w:val="24"/>
              </w:rPr>
              <w:t>时花的供货来源保障情况说明</w:t>
            </w:r>
            <w:r>
              <w:rPr>
                <w:rFonts w:hint="eastAsia" w:ascii="仿宋" w:hAnsi="仿宋" w:eastAsia="仿宋" w:cs="仿宋"/>
                <w:sz w:val="24"/>
                <w:lang w:eastAsia="zh-CN"/>
              </w:rPr>
              <w:t>。</w:t>
            </w:r>
            <w:r>
              <w:rPr>
                <w:rFonts w:hint="eastAsia" w:ascii="仿宋" w:hAnsi="仿宋" w:eastAsia="仿宋" w:cs="仿宋"/>
                <w:sz w:val="24"/>
                <w:lang w:val="en-US" w:eastAsia="zh-CN"/>
              </w:rPr>
              <w:t>自有或合作单个花卉基地50亩及以上的得1分，100亩及以上的得2分。花卉基地需要提供土地租赁协议、林木种子生产经营许可证、营业执照，合作的另需提供合作协议。</w:t>
            </w:r>
          </w:p>
        </w:tc>
        <w:tc>
          <w:tcPr>
            <w:tcW w:w="275" w:type="pct"/>
          </w:tcPr>
          <w:p>
            <w:pPr>
              <w:spacing w:line="360" w:lineRule="auto"/>
              <w:ind w:firstLine="0" w:firstLineChars="0"/>
              <w:outlineLvl w:val="0"/>
              <w:rPr>
                <w:rFonts w:hint="eastAsia" w:ascii="仿宋" w:hAnsi="仿宋" w:eastAsia="仿宋" w:cs="仿宋"/>
                <w:sz w:val="24"/>
                <w:lang w:val="en-US" w:eastAsia="zh-CN"/>
              </w:rPr>
            </w:pPr>
            <w:r>
              <w:rPr>
                <w:rFonts w:hint="eastAsia" w:ascii="仿宋" w:hAnsi="仿宋" w:eastAsia="仿宋" w:cs="仿宋"/>
                <w:lang w:val="en-US" w:eastAsia="zh-CN"/>
              </w:rPr>
              <w:t>2</w:t>
            </w:r>
          </w:p>
        </w:tc>
        <w:tc>
          <w:tcPr>
            <w:tcW w:w="966" w:type="pct"/>
            <w:vMerge w:val="restar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时花供货及实施方案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98" w:type="pct"/>
            <w:vMerge w:val="continue"/>
            <w:vAlign w:val="center"/>
          </w:tcPr>
          <w:p>
            <w:pPr>
              <w:spacing w:line="360" w:lineRule="auto"/>
              <w:ind w:firstLine="0" w:firstLineChars="0"/>
              <w:jc w:val="center"/>
              <w:outlineLvl w:val="0"/>
              <w:rPr>
                <w:rFonts w:hint="eastAsia" w:ascii="仿宋" w:hAnsi="仿宋" w:eastAsia="仿宋" w:cs="仿宋"/>
                <w:sz w:val="24"/>
              </w:rPr>
            </w:pPr>
          </w:p>
        </w:tc>
        <w:tc>
          <w:tcPr>
            <w:tcW w:w="3460"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（2）根据采购需求时花数量要求提供配送方案（包括车辆安排、配送时间、种植所需时间计划）</w:t>
            </w:r>
            <w:r>
              <w:rPr>
                <w:rFonts w:hint="eastAsia" w:ascii="仿宋" w:hAnsi="仿宋" w:eastAsia="仿宋" w:cs="仿宋"/>
                <w:sz w:val="24"/>
                <w:lang w:eastAsia="zh-CN"/>
              </w:rPr>
              <w:t>。</w:t>
            </w:r>
            <w:r>
              <w:rPr>
                <w:rFonts w:hint="eastAsia" w:ascii="仿宋" w:hAnsi="仿宋" w:eastAsia="仿宋" w:cs="仿宋"/>
                <w:sz w:val="24"/>
              </w:rPr>
              <w:t>方案内容周全、科学可行的得2-3分，内容比较周全、科学可行的得1-2分，内容不周全、不科学可行的得0-1分。</w:t>
            </w:r>
          </w:p>
        </w:tc>
        <w:tc>
          <w:tcPr>
            <w:tcW w:w="275" w:type="pct"/>
          </w:tcPr>
          <w:p>
            <w:pPr>
              <w:spacing w:line="360" w:lineRule="auto"/>
              <w:ind w:firstLine="0" w:firstLineChars="0"/>
              <w:outlineLvl w:val="0"/>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966" w:type="pct"/>
            <w:vMerge w:val="continue"/>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98" w:type="pct"/>
            <w:vMerge w:val="continue"/>
            <w:vAlign w:val="center"/>
          </w:tcPr>
          <w:p>
            <w:pPr>
              <w:spacing w:line="360" w:lineRule="auto"/>
              <w:ind w:firstLine="0" w:firstLineChars="0"/>
              <w:jc w:val="center"/>
              <w:outlineLvl w:val="0"/>
              <w:rPr>
                <w:rFonts w:hint="eastAsia" w:ascii="仿宋" w:hAnsi="仿宋" w:eastAsia="仿宋" w:cs="仿宋"/>
                <w:sz w:val="24"/>
              </w:rPr>
            </w:pPr>
          </w:p>
        </w:tc>
        <w:tc>
          <w:tcPr>
            <w:tcW w:w="3460"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（3）更换期内的时花种植密度养护开花率以及时花效果保持措施：包括人员、时间安排及对时花的针对性养护及时花效果的保持措施</w:t>
            </w:r>
            <w:r>
              <w:rPr>
                <w:rFonts w:hint="eastAsia" w:ascii="仿宋" w:hAnsi="仿宋" w:eastAsia="仿宋" w:cs="仿宋"/>
                <w:sz w:val="24"/>
                <w:lang w:eastAsia="zh-CN"/>
              </w:rPr>
              <w:t>。</w:t>
            </w:r>
            <w:r>
              <w:rPr>
                <w:rFonts w:hint="eastAsia" w:ascii="仿宋" w:hAnsi="仿宋" w:eastAsia="仿宋" w:cs="仿宋"/>
                <w:sz w:val="24"/>
              </w:rPr>
              <w:t>养护方案及时花效果保持措施科学、合理、完善的得2-3分，养护方案及时花效果保持措施比较科学、合理、完善的得1-2分，养护方案及时花效果保持措施不科学、不合理、不完善的得0-1分。</w:t>
            </w:r>
          </w:p>
        </w:tc>
        <w:tc>
          <w:tcPr>
            <w:tcW w:w="275" w:type="pct"/>
          </w:tcPr>
          <w:p>
            <w:pPr>
              <w:spacing w:line="360" w:lineRule="auto"/>
              <w:ind w:firstLine="0" w:firstLineChars="0"/>
              <w:outlineLvl w:val="0"/>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966" w:type="pct"/>
            <w:vMerge w:val="continue"/>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98" w:type="pct"/>
            <w:vMerge w:val="continue"/>
            <w:vAlign w:val="center"/>
          </w:tcPr>
          <w:p>
            <w:pPr>
              <w:spacing w:line="360" w:lineRule="auto"/>
              <w:ind w:firstLine="0" w:firstLineChars="0"/>
              <w:jc w:val="center"/>
              <w:outlineLvl w:val="0"/>
              <w:rPr>
                <w:rFonts w:hint="eastAsia" w:ascii="仿宋" w:hAnsi="仿宋" w:eastAsia="仿宋" w:cs="仿宋"/>
                <w:sz w:val="24"/>
              </w:rPr>
            </w:pPr>
          </w:p>
        </w:tc>
        <w:tc>
          <w:tcPr>
            <w:tcW w:w="3460" w:type="pct"/>
            <w:vAlign w:val="center"/>
          </w:tcPr>
          <w:p>
            <w:pPr>
              <w:spacing w:line="360" w:lineRule="auto"/>
              <w:outlineLvl w:val="0"/>
              <w:rPr>
                <w:rFonts w:hint="eastAsia" w:ascii="仿宋" w:hAnsi="仿宋" w:eastAsia="仿宋" w:cs="仿宋"/>
                <w:sz w:val="24"/>
                <w:lang w:eastAsia="zh-CN"/>
              </w:rPr>
            </w:pPr>
            <w:r>
              <w:rPr>
                <w:rFonts w:hint="eastAsia" w:ascii="仿宋" w:hAnsi="仿宋" w:eastAsia="仿宋" w:cs="仿宋"/>
                <w:sz w:val="24"/>
              </w:rPr>
              <w:t>（4）根据投标人拟派本项目管理人员、劳动力投入安排情况进行综合评审</w:t>
            </w:r>
            <w:r>
              <w:rPr>
                <w:rFonts w:hint="eastAsia" w:ascii="仿宋" w:hAnsi="仿宋" w:eastAsia="仿宋" w:cs="仿宋"/>
                <w:sz w:val="24"/>
                <w:lang w:eastAsia="zh-CN"/>
              </w:rPr>
              <w:t>。项目安排拟投入管理人员4人，车辆司机 4人，养护工人20人的得2分；项目安排拟投入管理人员3 人,车辆司机3人，养护工人15人的得1分；项目安排拟投入管理人员不足3人，车辆司机不足3人，养护工人不足 15人的得0分。以上拟投入管理人员需提供园林绿化专业中级及以上技术职称或技师及以上资格证书、驾驶员需提供驾驶证B证及以上驾驶证和所有拟投入人员在投标单位最近一个月已缴纳社保的证明材料复印件加盖公章。</w:t>
            </w:r>
          </w:p>
        </w:tc>
        <w:tc>
          <w:tcPr>
            <w:tcW w:w="275" w:type="pct"/>
          </w:tcPr>
          <w:p>
            <w:pPr>
              <w:spacing w:line="360" w:lineRule="auto"/>
              <w:ind w:firstLine="0" w:firstLineChars="0"/>
              <w:outlineLvl w:val="0"/>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966" w:type="pct"/>
            <w:vMerge w:val="continue"/>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98" w:type="pct"/>
            <w:vMerge w:val="restart"/>
            <w:vAlign w:val="center"/>
          </w:tcPr>
          <w:p>
            <w:pPr>
              <w:spacing w:line="360" w:lineRule="auto"/>
              <w:ind w:firstLine="0" w:firstLineChars="0"/>
              <w:jc w:val="center"/>
              <w:outlineLvl w:val="0"/>
              <w:rPr>
                <w:rFonts w:hint="eastAsia" w:ascii="仿宋" w:hAnsi="仿宋" w:eastAsia="仿宋" w:cs="仿宋"/>
                <w:sz w:val="24"/>
              </w:rPr>
            </w:pPr>
            <w:r>
              <w:rPr>
                <w:rFonts w:hint="eastAsia" w:ascii="仿宋" w:hAnsi="仿宋" w:eastAsia="仿宋" w:cs="仿宋"/>
                <w:sz w:val="24"/>
              </w:rPr>
              <w:t>3</w:t>
            </w:r>
          </w:p>
        </w:tc>
        <w:tc>
          <w:tcPr>
            <w:tcW w:w="3460" w:type="pct"/>
            <w:vAlign w:val="center"/>
          </w:tcPr>
          <w:p>
            <w:pPr>
              <w:spacing w:line="360" w:lineRule="auto"/>
              <w:outlineLvl w:val="0"/>
              <w:rPr>
                <w:rFonts w:hint="default" w:ascii="仿宋" w:hAnsi="仿宋" w:eastAsia="仿宋" w:cs="仿宋"/>
                <w:sz w:val="24"/>
                <w:lang w:val="en-US" w:eastAsia="zh-CN"/>
              </w:rPr>
            </w:pPr>
            <w:r>
              <w:rPr>
                <w:rFonts w:hint="eastAsia" w:ascii="仿宋" w:hAnsi="仿宋" w:eastAsia="仿宋" w:cs="仿宋"/>
                <w:sz w:val="24"/>
              </w:rPr>
              <w:t>根据</w:t>
            </w:r>
            <w:r>
              <w:rPr>
                <w:rFonts w:hint="eastAsia" w:ascii="仿宋" w:hAnsi="仿宋" w:eastAsia="仿宋" w:cs="仿宋"/>
                <w:sz w:val="24"/>
                <w:lang w:val="en-US" w:eastAsia="zh-CN"/>
              </w:rPr>
              <w:t>采购人要求</w:t>
            </w:r>
            <w:r>
              <w:rPr>
                <w:rFonts w:hint="eastAsia" w:ascii="仿宋" w:hAnsi="仿宋" w:eastAsia="仿宋" w:cs="仿宋"/>
                <w:sz w:val="24"/>
              </w:rPr>
              <w:t>供应商需提供</w:t>
            </w:r>
            <w:r>
              <w:rPr>
                <w:rFonts w:hint="eastAsia" w:ascii="仿宋" w:hAnsi="仿宋" w:eastAsia="仿宋" w:cs="仿宋"/>
                <w:sz w:val="24"/>
                <w:lang w:val="en-US" w:eastAsia="zh-CN"/>
              </w:rPr>
              <w:t>每期（1年5期更换期，2年共10期）更换花卉</w:t>
            </w:r>
            <w:r>
              <w:rPr>
                <w:rFonts w:hint="eastAsia" w:ascii="仿宋" w:hAnsi="仿宋" w:eastAsia="仿宋" w:cs="仿宋"/>
                <w:sz w:val="24"/>
              </w:rPr>
              <w:t>方案，从其美观度、设计理念的创新性、花卉绿植配备说明等方面进行打分。</w:t>
            </w:r>
            <w:r>
              <w:rPr>
                <w:rFonts w:hint="eastAsia" w:ascii="仿宋" w:hAnsi="仿宋" w:eastAsia="仿宋" w:cs="仿宋"/>
                <w:sz w:val="24"/>
                <w:lang w:val="en-US" w:eastAsia="zh-CN"/>
              </w:rPr>
              <w:t>每期</w:t>
            </w:r>
            <w:r>
              <w:rPr>
                <w:rFonts w:hint="eastAsia" w:ascii="仿宋" w:hAnsi="仿宋" w:eastAsia="仿宋" w:cs="仿宋"/>
                <w:sz w:val="24"/>
                <w:lang w:eastAsia="zh-CN"/>
              </w:rPr>
              <w:t>花卉</w:t>
            </w:r>
            <w:r>
              <w:rPr>
                <w:rFonts w:hint="eastAsia" w:ascii="仿宋" w:hAnsi="仿宋" w:eastAsia="仿宋" w:cs="仿宋"/>
                <w:sz w:val="24"/>
                <w:lang w:val="en-US" w:eastAsia="zh-CN"/>
              </w:rPr>
              <w:t>更换</w:t>
            </w:r>
            <w:r>
              <w:rPr>
                <w:rFonts w:hint="eastAsia" w:ascii="仿宋" w:hAnsi="仿宋" w:eastAsia="仿宋" w:cs="仿宋"/>
                <w:sz w:val="24"/>
              </w:rPr>
              <w:t>方案全面完整、切实美观、设计新颖、配置合理的得2-3分，</w:t>
            </w:r>
            <w:r>
              <w:rPr>
                <w:rFonts w:hint="eastAsia" w:ascii="仿宋" w:hAnsi="仿宋" w:eastAsia="仿宋" w:cs="仿宋"/>
                <w:sz w:val="24"/>
                <w:lang w:val="en-US" w:eastAsia="zh-CN"/>
              </w:rPr>
              <w:t>最高15分；每期</w:t>
            </w:r>
            <w:r>
              <w:rPr>
                <w:rFonts w:hint="eastAsia" w:ascii="仿宋" w:hAnsi="仿宋" w:eastAsia="仿宋" w:cs="仿宋"/>
                <w:sz w:val="24"/>
                <w:lang w:eastAsia="zh-CN"/>
              </w:rPr>
              <w:t>花卉</w:t>
            </w:r>
            <w:r>
              <w:rPr>
                <w:rFonts w:hint="eastAsia" w:ascii="仿宋" w:hAnsi="仿宋" w:eastAsia="仿宋" w:cs="仿宋"/>
                <w:sz w:val="24"/>
                <w:lang w:val="en-US" w:eastAsia="zh-CN"/>
              </w:rPr>
              <w:t>更换</w:t>
            </w:r>
            <w:r>
              <w:rPr>
                <w:rFonts w:hint="eastAsia" w:ascii="仿宋" w:hAnsi="仿宋" w:eastAsia="仿宋" w:cs="仿宋"/>
                <w:sz w:val="24"/>
              </w:rPr>
              <w:t>方案较为全面、设计较为新颖、配置较合理的得1-2分，</w:t>
            </w:r>
            <w:r>
              <w:rPr>
                <w:rFonts w:hint="eastAsia" w:ascii="仿宋" w:hAnsi="仿宋" w:eastAsia="仿宋" w:cs="仿宋"/>
                <w:sz w:val="24"/>
                <w:lang w:val="en-US" w:eastAsia="zh-CN"/>
              </w:rPr>
              <w:t>最高10分；每期</w:t>
            </w:r>
            <w:r>
              <w:rPr>
                <w:rFonts w:hint="eastAsia" w:ascii="仿宋" w:hAnsi="仿宋" w:eastAsia="仿宋" w:cs="仿宋"/>
                <w:sz w:val="24"/>
                <w:lang w:eastAsia="zh-CN"/>
              </w:rPr>
              <w:t>花卉</w:t>
            </w:r>
            <w:r>
              <w:rPr>
                <w:rFonts w:hint="eastAsia" w:ascii="仿宋" w:hAnsi="仿宋" w:eastAsia="仿宋" w:cs="仿宋"/>
                <w:sz w:val="24"/>
                <w:lang w:val="en-US" w:eastAsia="zh-CN"/>
              </w:rPr>
              <w:t>更换</w:t>
            </w:r>
            <w:r>
              <w:rPr>
                <w:rFonts w:hint="eastAsia" w:ascii="仿宋" w:hAnsi="仿宋" w:eastAsia="仿宋" w:cs="仿宋"/>
                <w:sz w:val="24"/>
              </w:rPr>
              <w:t>方案不全面完整、不切实美观、设计不新颖、配置不合理的得0-1分</w:t>
            </w:r>
            <w:r>
              <w:rPr>
                <w:rFonts w:hint="eastAsia" w:ascii="仿宋" w:hAnsi="仿宋" w:eastAsia="仿宋" w:cs="仿宋"/>
                <w:sz w:val="24"/>
                <w:lang w:eastAsia="zh-CN"/>
              </w:rPr>
              <w:t>，</w:t>
            </w:r>
            <w:r>
              <w:rPr>
                <w:rFonts w:hint="eastAsia" w:ascii="仿宋" w:hAnsi="仿宋" w:eastAsia="仿宋" w:cs="仿宋"/>
                <w:sz w:val="24"/>
                <w:lang w:val="en-US" w:eastAsia="zh-CN"/>
              </w:rPr>
              <w:t>最高5分。</w:t>
            </w:r>
          </w:p>
        </w:tc>
        <w:tc>
          <w:tcPr>
            <w:tcW w:w="275" w:type="pct"/>
            <w:vAlign w:val="center"/>
          </w:tcPr>
          <w:p>
            <w:pPr>
              <w:jc w:val="center"/>
              <w:rPr>
                <w:rFonts w:hint="eastAsia" w:ascii="仿宋" w:hAnsi="仿宋" w:eastAsia="仿宋" w:cs="仿宋"/>
              </w:rPr>
            </w:pPr>
          </w:p>
          <w:p>
            <w:pPr>
              <w:spacing w:line="360" w:lineRule="auto"/>
              <w:ind w:firstLine="0" w:firstLineChars="0"/>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966" w:type="pct"/>
            <w:vMerge w:val="restar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val="en-US" w:eastAsia="zh-CN"/>
              </w:rPr>
              <w:t>花卉</w:t>
            </w:r>
            <w:r>
              <w:rPr>
                <w:rFonts w:hint="eastAsia" w:ascii="仿宋" w:hAnsi="仿宋" w:eastAsia="仿宋" w:cs="仿宋"/>
                <w:sz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98" w:type="pct"/>
            <w:vMerge w:val="continue"/>
            <w:vAlign w:val="center"/>
          </w:tcPr>
          <w:p>
            <w:pPr>
              <w:spacing w:line="360" w:lineRule="auto"/>
              <w:ind w:firstLine="0" w:firstLineChars="0"/>
              <w:jc w:val="center"/>
              <w:outlineLvl w:val="0"/>
              <w:rPr>
                <w:rFonts w:hint="eastAsia" w:ascii="仿宋" w:hAnsi="仿宋" w:eastAsia="仿宋" w:cs="仿宋"/>
                <w:sz w:val="24"/>
              </w:rPr>
            </w:pPr>
          </w:p>
        </w:tc>
        <w:tc>
          <w:tcPr>
            <w:tcW w:w="3460" w:type="pct"/>
            <w:vAlign w:val="center"/>
          </w:tcPr>
          <w:p>
            <w:pPr>
              <w:spacing w:line="360" w:lineRule="auto"/>
              <w:outlineLvl w:val="0"/>
              <w:rPr>
                <w:rFonts w:hint="eastAsia" w:ascii="仿宋" w:hAnsi="仿宋" w:eastAsia="仿宋" w:cs="仿宋"/>
                <w:sz w:val="24"/>
                <w:lang w:val="en-US" w:eastAsia="zh-CN"/>
              </w:rPr>
            </w:pPr>
            <w:r>
              <w:rPr>
                <w:rFonts w:hint="eastAsia" w:ascii="仿宋" w:hAnsi="仿宋" w:eastAsia="仿宋" w:cs="仿宋"/>
                <w:sz w:val="24"/>
              </w:rPr>
              <w:t>根据</w:t>
            </w:r>
            <w:r>
              <w:rPr>
                <w:rFonts w:hint="eastAsia" w:ascii="仿宋" w:hAnsi="仿宋" w:eastAsia="仿宋" w:cs="仿宋"/>
                <w:sz w:val="24"/>
                <w:lang w:val="en-US" w:eastAsia="zh-CN"/>
              </w:rPr>
              <w:t>采购人要求</w:t>
            </w:r>
            <w:r>
              <w:rPr>
                <w:rFonts w:hint="eastAsia" w:ascii="仿宋" w:hAnsi="仿宋" w:eastAsia="仿宋" w:cs="仿宋"/>
                <w:sz w:val="24"/>
              </w:rPr>
              <w:t>供应商</w:t>
            </w:r>
            <w:r>
              <w:rPr>
                <w:rFonts w:hint="eastAsia" w:ascii="仿宋" w:hAnsi="仿宋" w:eastAsia="仿宋" w:cs="仿宋"/>
                <w:sz w:val="24"/>
                <w:lang w:val="en-US" w:eastAsia="zh-CN"/>
              </w:rPr>
              <w:t>摆放花箱</w:t>
            </w:r>
            <w:r>
              <w:rPr>
                <w:rFonts w:hint="eastAsia" w:ascii="仿宋" w:hAnsi="仿宋" w:eastAsia="仿宋" w:cs="仿宋"/>
                <w:sz w:val="24"/>
              </w:rPr>
              <w:t>，从其与节日氛围</w:t>
            </w:r>
            <w:r>
              <w:rPr>
                <w:rFonts w:hint="eastAsia" w:ascii="仿宋" w:hAnsi="仿宋" w:eastAsia="仿宋" w:cs="仿宋"/>
                <w:sz w:val="24"/>
                <w:lang w:val="en-US" w:eastAsia="zh-CN"/>
              </w:rPr>
              <w:t>及主要活动</w:t>
            </w:r>
            <w:r>
              <w:rPr>
                <w:rFonts w:hint="eastAsia" w:ascii="仿宋" w:hAnsi="仿宋" w:eastAsia="仿宋" w:cs="仿宋"/>
                <w:sz w:val="24"/>
              </w:rPr>
              <w:t>主题的切合性、美观度、设计理念的创新性、花卉绿植配备说明等方面进行打分。</w:t>
            </w:r>
            <w:r>
              <w:rPr>
                <w:rFonts w:hint="eastAsia" w:ascii="仿宋" w:hAnsi="仿宋" w:eastAsia="仿宋" w:cs="仿宋"/>
                <w:sz w:val="24"/>
                <w:lang w:val="en-US" w:eastAsia="zh-CN"/>
              </w:rPr>
              <w:t>摆放</w:t>
            </w:r>
            <w:r>
              <w:rPr>
                <w:rFonts w:hint="eastAsia" w:ascii="仿宋" w:hAnsi="仿宋" w:eastAsia="仿宋" w:cs="仿宋"/>
                <w:sz w:val="24"/>
              </w:rPr>
              <w:t>方案全面完整、切实美观、设计新颖、配置合理的得2-3分，</w:t>
            </w:r>
            <w:r>
              <w:rPr>
                <w:rFonts w:hint="eastAsia" w:ascii="仿宋" w:hAnsi="仿宋" w:eastAsia="仿宋" w:cs="仿宋"/>
                <w:sz w:val="24"/>
                <w:lang w:val="en-US" w:eastAsia="zh-CN"/>
              </w:rPr>
              <w:t>摆放</w:t>
            </w:r>
            <w:r>
              <w:rPr>
                <w:rFonts w:hint="eastAsia" w:ascii="仿宋" w:hAnsi="仿宋" w:eastAsia="仿宋" w:cs="仿宋"/>
                <w:sz w:val="24"/>
              </w:rPr>
              <w:t>方案较为全面、设计较为新颖、配置较合理的得1-2分，</w:t>
            </w:r>
            <w:r>
              <w:rPr>
                <w:rFonts w:hint="eastAsia" w:ascii="仿宋" w:hAnsi="仿宋" w:eastAsia="仿宋" w:cs="仿宋"/>
                <w:sz w:val="24"/>
                <w:lang w:val="en-US" w:eastAsia="zh-CN"/>
              </w:rPr>
              <w:t>摆放</w:t>
            </w:r>
            <w:r>
              <w:rPr>
                <w:rFonts w:hint="eastAsia" w:ascii="仿宋" w:hAnsi="仿宋" w:eastAsia="仿宋" w:cs="仿宋"/>
                <w:sz w:val="24"/>
              </w:rPr>
              <w:t>方案不全面完整、不切实美观、设计不新颖、配置不合理的得0-1分。</w:t>
            </w:r>
          </w:p>
        </w:tc>
        <w:tc>
          <w:tcPr>
            <w:tcW w:w="275" w:type="pct"/>
            <w:vAlign w:val="center"/>
          </w:tcPr>
          <w:p>
            <w:pPr>
              <w:spacing w:line="360" w:lineRule="auto"/>
              <w:ind w:firstLine="0" w:firstLineChars="0"/>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966" w:type="pct"/>
            <w:vMerge w:val="continue"/>
            <w:vAlign w:val="center"/>
          </w:tcPr>
          <w:p>
            <w:pPr>
              <w:spacing w:line="360" w:lineRule="auto"/>
              <w:jc w:val="center"/>
              <w:outlineLvl w:val="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298" w:type="pct"/>
            <w:vMerge w:val="restart"/>
            <w:vAlign w:val="center"/>
          </w:tcPr>
          <w:p>
            <w:pPr>
              <w:spacing w:line="360" w:lineRule="auto"/>
              <w:ind w:firstLine="0" w:firstLineChars="0"/>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3460"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（1）大型活动、节假日时期的应急保障措施、应急预案</w:t>
            </w:r>
            <w:r>
              <w:rPr>
                <w:rFonts w:hint="eastAsia" w:ascii="仿宋" w:hAnsi="仿宋" w:eastAsia="仿宋" w:cs="仿宋"/>
                <w:sz w:val="24"/>
                <w:lang w:eastAsia="zh-CN"/>
              </w:rPr>
              <w:t>。</w:t>
            </w:r>
            <w:r>
              <w:rPr>
                <w:rFonts w:hint="eastAsia" w:ascii="仿宋" w:hAnsi="仿宋" w:eastAsia="仿宋" w:cs="仿宋"/>
                <w:sz w:val="24"/>
              </w:rPr>
              <w:t>措施方案科学、合理、可行的得1-2分，措施方案较为科学、合理、可行的得0-1分，措施方案不科学、不合理、不可行的得0分。</w:t>
            </w:r>
          </w:p>
        </w:tc>
        <w:tc>
          <w:tcPr>
            <w:tcW w:w="275" w:type="pct"/>
            <w:vAlign w:val="center"/>
          </w:tcPr>
          <w:p>
            <w:pPr>
              <w:spacing w:line="360" w:lineRule="auto"/>
              <w:ind w:firstLine="0" w:firstLineChars="0"/>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966" w:type="pct"/>
            <w:vMerge w:val="restar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应急处理方案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8" w:type="pct"/>
            <w:vMerge w:val="continue"/>
            <w:vAlign w:val="center"/>
          </w:tcPr>
          <w:p>
            <w:pPr>
              <w:spacing w:line="360" w:lineRule="auto"/>
              <w:ind w:firstLine="0" w:firstLineChars="0"/>
              <w:jc w:val="center"/>
              <w:outlineLvl w:val="0"/>
              <w:rPr>
                <w:rFonts w:hint="eastAsia" w:ascii="仿宋" w:hAnsi="仿宋" w:eastAsia="仿宋" w:cs="仿宋"/>
                <w:sz w:val="24"/>
                <w:lang w:val="en-US" w:eastAsia="zh-CN"/>
              </w:rPr>
            </w:pPr>
          </w:p>
        </w:tc>
        <w:tc>
          <w:tcPr>
            <w:tcW w:w="3460"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（2）防台防汛防旱防虫灾防冻时期的应急保障措施、应急预案</w:t>
            </w:r>
            <w:r>
              <w:rPr>
                <w:rFonts w:hint="eastAsia" w:ascii="仿宋" w:hAnsi="仿宋" w:eastAsia="仿宋" w:cs="仿宋"/>
                <w:sz w:val="24"/>
                <w:lang w:eastAsia="zh-CN"/>
              </w:rPr>
              <w:t>。措施方案科学、合理、可行的得</w:t>
            </w:r>
            <w:r>
              <w:rPr>
                <w:rFonts w:hint="eastAsia" w:ascii="仿宋" w:hAnsi="仿宋" w:eastAsia="仿宋" w:cs="仿宋"/>
                <w:sz w:val="24"/>
                <w:lang w:val="en-US" w:eastAsia="zh-CN"/>
              </w:rPr>
              <w:t>1-</w:t>
            </w:r>
            <w:r>
              <w:rPr>
                <w:rFonts w:hint="eastAsia" w:ascii="仿宋" w:hAnsi="仿宋" w:eastAsia="仿宋" w:cs="仿宋"/>
                <w:sz w:val="24"/>
                <w:lang w:eastAsia="zh-CN"/>
              </w:rPr>
              <w:t>2分，措施方案</w:t>
            </w:r>
            <w:r>
              <w:rPr>
                <w:rFonts w:hint="eastAsia" w:ascii="仿宋" w:hAnsi="仿宋" w:eastAsia="仿宋" w:cs="仿宋"/>
                <w:sz w:val="24"/>
                <w:lang w:val="en-US" w:eastAsia="zh-CN"/>
              </w:rPr>
              <w:t>较</w:t>
            </w:r>
            <w:r>
              <w:rPr>
                <w:rFonts w:hint="eastAsia" w:ascii="仿宋" w:hAnsi="仿宋" w:eastAsia="仿宋" w:cs="仿宋"/>
                <w:sz w:val="24"/>
                <w:lang w:eastAsia="zh-CN"/>
              </w:rPr>
              <w:t>为科学、合理、可行的得0-1分，措施</w:t>
            </w:r>
            <w:r>
              <w:rPr>
                <w:rFonts w:hint="eastAsia" w:ascii="仿宋" w:hAnsi="仿宋" w:eastAsia="仿宋" w:cs="仿宋"/>
                <w:sz w:val="24"/>
                <w:lang w:val="en-US" w:eastAsia="zh-CN"/>
              </w:rPr>
              <w:t>方</w:t>
            </w:r>
            <w:r>
              <w:rPr>
                <w:rFonts w:hint="eastAsia" w:ascii="仿宋" w:hAnsi="仿宋" w:eastAsia="仿宋" w:cs="仿宋"/>
                <w:sz w:val="24"/>
                <w:lang w:eastAsia="zh-CN"/>
              </w:rPr>
              <w:t>案不科学、不合理、不可行的得0分。</w:t>
            </w:r>
          </w:p>
        </w:tc>
        <w:tc>
          <w:tcPr>
            <w:tcW w:w="275" w:type="pct"/>
            <w:vAlign w:val="center"/>
          </w:tcPr>
          <w:p>
            <w:pPr>
              <w:spacing w:line="360" w:lineRule="auto"/>
              <w:ind w:firstLine="0" w:firstLineChars="0"/>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966" w:type="pct"/>
            <w:vMerge w:val="continue"/>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98" w:type="pct"/>
            <w:vMerge w:val="continue"/>
            <w:vAlign w:val="center"/>
          </w:tcPr>
          <w:p>
            <w:pPr>
              <w:spacing w:line="360" w:lineRule="auto"/>
              <w:ind w:firstLine="0" w:firstLineChars="0"/>
              <w:jc w:val="center"/>
              <w:outlineLvl w:val="0"/>
              <w:rPr>
                <w:rFonts w:hint="eastAsia" w:ascii="仿宋" w:hAnsi="仿宋" w:eastAsia="仿宋" w:cs="仿宋"/>
                <w:sz w:val="24"/>
                <w:lang w:val="en-US" w:eastAsia="zh-CN"/>
              </w:rPr>
            </w:pPr>
          </w:p>
        </w:tc>
        <w:tc>
          <w:tcPr>
            <w:tcW w:w="3460" w:type="pct"/>
            <w:vAlign w:val="center"/>
          </w:tcPr>
          <w:p>
            <w:pPr>
              <w:spacing w:line="360" w:lineRule="auto"/>
              <w:outlineLvl w:val="0"/>
              <w:rPr>
                <w:rFonts w:hint="eastAsia" w:ascii="仿宋" w:hAnsi="仿宋" w:eastAsia="仿宋" w:cs="仿宋"/>
                <w:sz w:val="24"/>
                <w:lang w:eastAsia="zh-CN"/>
              </w:rPr>
            </w:pPr>
            <w:r>
              <w:rPr>
                <w:rFonts w:hint="eastAsia" w:ascii="仿宋" w:hAnsi="仿宋" w:eastAsia="仿宋" w:cs="仿宋"/>
                <w:sz w:val="24"/>
              </w:rPr>
              <w:t>（3）创优评优时期的应急保障措施、应急预案</w:t>
            </w:r>
            <w:r>
              <w:rPr>
                <w:rFonts w:hint="eastAsia" w:ascii="仿宋" w:hAnsi="仿宋" w:eastAsia="仿宋" w:cs="仿宋"/>
                <w:sz w:val="24"/>
                <w:lang w:eastAsia="zh-CN"/>
              </w:rPr>
              <w:t>。措施方案科学、合理、可行的得</w:t>
            </w:r>
            <w:r>
              <w:rPr>
                <w:rFonts w:hint="eastAsia" w:ascii="仿宋" w:hAnsi="仿宋" w:eastAsia="仿宋" w:cs="仿宋"/>
                <w:sz w:val="24"/>
                <w:lang w:val="en-US" w:eastAsia="zh-CN"/>
              </w:rPr>
              <w:t>1-</w:t>
            </w:r>
            <w:r>
              <w:rPr>
                <w:rFonts w:hint="eastAsia" w:ascii="仿宋" w:hAnsi="仿宋" w:eastAsia="仿宋" w:cs="仿宋"/>
                <w:sz w:val="24"/>
                <w:lang w:eastAsia="zh-CN"/>
              </w:rPr>
              <w:t>2分，措施方案</w:t>
            </w:r>
            <w:r>
              <w:rPr>
                <w:rFonts w:hint="eastAsia" w:ascii="仿宋" w:hAnsi="仿宋" w:eastAsia="仿宋" w:cs="仿宋"/>
                <w:sz w:val="24"/>
                <w:lang w:val="en-US" w:eastAsia="zh-CN"/>
              </w:rPr>
              <w:t>较</w:t>
            </w:r>
            <w:r>
              <w:rPr>
                <w:rFonts w:hint="eastAsia" w:ascii="仿宋" w:hAnsi="仿宋" w:eastAsia="仿宋" w:cs="仿宋"/>
                <w:sz w:val="24"/>
                <w:lang w:eastAsia="zh-CN"/>
              </w:rPr>
              <w:t>为科学、合理、可行的得0-1分，措施</w:t>
            </w:r>
            <w:r>
              <w:rPr>
                <w:rFonts w:hint="eastAsia" w:ascii="仿宋" w:hAnsi="仿宋" w:eastAsia="仿宋" w:cs="仿宋"/>
                <w:sz w:val="24"/>
                <w:lang w:val="en-US" w:eastAsia="zh-CN"/>
              </w:rPr>
              <w:t>方</w:t>
            </w:r>
            <w:r>
              <w:rPr>
                <w:rFonts w:hint="eastAsia" w:ascii="仿宋" w:hAnsi="仿宋" w:eastAsia="仿宋" w:cs="仿宋"/>
                <w:sz w:val="24"/>
                <w:lang w:eastAsia="zh-CN"/>
              </w:rPr>
              <w:t>案不科学、不合理、不可行的得0分。</w:t>
            </w:r>
          </w:p>
        </w:tc>
        <w:tc>
          <w:tcPr>
            <w:tcW w:w="275" w:type="pct"/>
            <w:vAlign w:val="center"/>
          </w:tcPr>
          <w:p>
            <w:pPr>
              <w:spacing w:line="360" w:lineRule="auto"/>
              <w:ind w:firstLine="0" w:firstLineChars="0"/>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966" w:type="pct"/>
            <w:vMerge w:val="continue"/>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 w:type="pct"/>
            <w:vMerge w:val="continue"/>
            <w:vAlign w:val="center"/>
          </w:tcPr>
          <w:p>
            <w:pPr>
              <w:spacing w:line="360" w:lineRule="auto"/>
              <w:ind w:firstLine="0" w:firstLineChars="0"/>
              <w:jc w:val="center"/>
              <w:outlineLvl w:val="0"/>
              <w:rPr>
                <w:rFonts w:hint="eastAsia" w:ascii="仿宋" w:hAnsi="仿宋" w:eastAsia="仿宋" w:cs="仿宋"/>
                <w:sz w:val="24"/>
                <w:lang w:val="en-US" w:eastAsia="zh-CN"/>
              </w:rPr>
            </w:pPr>
          </w:p>
        </w:tc>
        <w:tc>
          <w:tcPr>
            <w:tcW w:w="3460" w:type="pct"/>
            <w:vAlign w:val="center"/>
          </w:tcPr>
          <w:p>
            <w:pPr>
              <w:spacing w:line="360" w:lineRule="auto"/>
              <w:outlineLvl w:val="0"/>
              <w:rPr>
                <w:rFonts w:hint="eastAsia" w:ascii="仿宋" w:hAnsi="仿宋" w:eastAsia="仿宋" w:cs="仿宋"/>
                <w:sz w:val="24"/>
                <w:lang w:eastAsia="zh-CN"/>
              </w:rPr>
            </w:pPr>
            <w:r>
              <w:rPr>
                <w:rFonts w:hint="eastAsia" w:ascii="仿宋" w:hAnsi="仿宋" w:eastAsia="仿宋" w:cs="仿宋"/>
                <w:sz w:val="24"/>
              </w:rPr>
              <w:t>（4）突击检查时期的应急保障措施、应急预案</w:t>
            </w:r>
            <w:r>
              <w:rPr>
                <w:rFonts w:hint="eastAsia" w:ascii="仿宋" w:hAnsi="仿宋" w:eastAsia="仿宋" w:cs="仿宋"/>
                <w:sz w:val="24"/>
                <w:lang w:eastAsia="zh-CN"/>
              </w:rPr>
              <w:t>。措施方案科学、合理、可行的得</w:t>
            </w:r>
            <w:r>
              <w:rPr>
                <w:rFonts w:hint="eastAsia" w:ascii="仿宋" w:hAnsi="仿宋" w:eastAsia="仿宋" w:cs="仿宋"/>
                <w:sz w:val="24"/>
                <w:lang w:val="en-US" w:eastAsia="zh-CN"/>
              </w:rPr>
              <w:t>1-</w:t>
            </w:r>
            <w:r>
              <w:rPr>
                <w:rFonts w:hint="eastAsia" w:ascii="仿宋" w:hAnsi="仿宋" w:eastAsia="仿宋" w:cs="仿宋"/>
                <w:sz w:val="24"/>
                <w:lang w:eastAsia="zh-CN"/>
              </w:rPr>
              <w:t>2分，措施方案</w:t>
            </w:r>
            <w:r>
              <w:rPr>
                <w:rFonts w:hint="eastAsia" w:ascii="仿宋" w:hAnsi="仿宋" w:eastAsia="仿宋" w:cs="仿宋"/>
                <w:sz w:val="24"/>
                <w:lang w:val="en-US" w:eastAsia="zh-CN"/>
              </w:rPr>
              <w:t>较</w:t>
            </w:r>
            <w:r>
              <w:rPr>
                <w:rFonts w:hint="eastAsia" w:ascii="仿宋" w:hAnsi="仿宋" w:eastAsia="仿宋" w:cs="仿宋"/>
                <w:sz w:val="24"/>
                <w:lang w:eastAsia="zh-CN"/>
              </w:rPr>
              <w:t>为科学、合理、可行的得0-1分，措施</w:t>
            </w:r>
            <w:r>
              <w:rPr>
                <w:rFonts w:hint="eastAsia" w:ascii="仿宋" w:hAnsi="仿宋" w:eastAsia="仿宋" w:cs="仿宋"/>
                <w:sz w:val="24"/>
                <w:lang w:val="en-US" w:eastAsia="zh-CN"/>
              </w:rPr>
              <w:t>方</w:t>
            </w:r>
            <w:r>
              <w:rPr>
                <w:rFonts w:hint="eastAsia" w:ascii="仿宋" w:hAnsi="仿宋" w:eastAsia="仿宋" w:cs="仿宋"/>
                <w:sz w:val="24"/>
                <w:lang w:eastAsia="zh-CN"/>
              </w:rPr>
              <w:t>案不科学、不合理、不可行的得0分。</w:t>
            </w:r>
          </w:p>
        </w:tc>
        <w:tc>
          <w:tcPr>
            <w:tcW w:w="275" w:type="pct"/>
            <w:vAlign w:val="center"/>
          </w:tcPr>
          <w:p>
            <w:pPr>
              <w:spacing w:line="360" w:lineRule="auto"/>
              <w:ind w:firstLine="0" w:firstLineChars="0"/>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966" w:type="pct"/>
            <w:vMerge w:val="continue"/>
            <w:vAlign w:val="center"/>
          </w:tcPr>
          <w:p>
            <w:pPr>
              <w:spacing w:line="360" w:lineRule="auto"/>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98" w:type="pct"/>
            <w:vAlign w:val="center"/>
          </w:tcPr>
          <w:p>
            <w:pPr>
              <w:spacing w:line="360" w:lineRule="auto"/>
              <w:ind w:firstLine="0" w:firstLineChars="0"/>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3460" w:type="pct"/>
            <w:vAlign w:val="center"/>
          </w:tcPr>
          <w:p>
            <w:pPr>
              <w:spacing w:line="360" w:lineRule="auto"/>
              <w:outlineLvl w:val="0"/>
              <w:rPr>
                <w:rFonts w:hint="default" w:ascii="仿宋" w:hAnsi="仿宋" w:eastAsia="仿宋" w:cs="仿宋"/>
                <w:sz w:val="24"/>
                <w:lang w:val="en-US" w:eastAsia="zh-CN"/>
              </w:rPr>
            </w:pPr>
            <w:r>
              <w:rPr>
                <w:rFonts w:hint="eastAsia" w:ascii="仿宋" w:hAnsi="仿宋" w:eastAsia="仿宋" w:cs="仿宋"/>
                <w:sz w:val="24"/>
              </w:rPr>
              <w:t>投标人在本项目执行期间，能通过就近的地理区域、快速的交通优势提供最省时的服务响应方案</w:t>
            </w:r>
            <w:r>
              <w:rPr>
                <w:rFonts w:hint="eastAsia" w:ascii="仿宋" w:hAnsi="仿宋" w:eastAsia="仿宋" w:cs="仿宋"/>
                <w:sz w:val="24"/>
                <w:lang w:eastAsia="zh-CN"/>
              </w:rPr>
              <w:t>。</w:t>
            </w:r>
            <w:r>
              <w:rPr>
                <w:rFonts w:hint="eastAsia" w:ascii="仿宋" w:hAnsi="仿宋" w:eastAsia="仿宋" w:cs="仿宋"/>
                <w:sz w:val="24"/>
                <w:lang w:val="en-US" w:eastAsia="zh-CN"/>
              </w:rPr>
              <w:t>在养护区域30公里范围内自有或合作花卉基地30亩及以上且服务于本项目的货车属浙A牌照的得4分，在杭州行政区域范围内自有或合作花卉基地30亩及以上且服务于本项目的货车属浙A牌照的得2分，其余不得分。花卉基地需提供土地租赁协议、林木种子生产经营许可证、营业执照，合作的另需提供合作协议。</w:t>
            </w:r>
          </w:p>
        </w:tc>
        <w:tc>
          <w:tcPr>
            <w:tcW w:w="275" w:type="pct"/>
            <w:vAlign w:val="center"/>
          </w:tcPr>
          <w:p>
            <w:pPr>
              <w:spacing w:line="360" w:lineRule="auto"/>
              <w:ind w:firstLine="0" w:firstLineChars="0"/>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966" w:type="pc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快速服务响应能力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98" w:type="pct"/>
            <w:vAlign w:val="center"/>
          </w:tcPr>
          <w:p>
            <w:pPr>
              <w:spacing w:line="360" w:lineRule="auto"/>
              <w:ind w:firstLine="0" w:firstLineChars="0"/>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3460"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1）拟投入的专业设备中有2辆服务于本项目的洒水车(含具有洒水功能的综合养护车，核定载重量7吨及以上的）设备自有的每辆得2分，最高得4分，没有的不得分。（证明材料：提供车辆购买发票和照片复印件、行驶证复印件）</w:t>
            </w:r>
          </w:p>
          <w:p>
            <w:pPr>
              <w:spacing w:line="360" w:lineRule="auto"/>
              <w:outlineLvl w:val="0"/>
              <w:rPr>
                <w:rFonts w:hint="eastAsia" w:ascii="仿宋" w:hAnsi="仿宋" w:eastAsia="仿宋" w:cs="仿宋"/>
                <w:sz w:val="24"/>
              </w:rPr>
            </w:pPr>
            <w:r>
              <w:rPr>
                <w:rFonts w:hint="eastAsia" w:ascii="仿宋" w:hAnsi="仿宋" w:eastAsia="仿宋" w:cs="仿宋"/>
                <w:sz w:val="24"/>
              </w:rPr>
              <w:t>（2）拟投入的专业设备中具有1台服务于本项的抑尘车(核定载重量不低于10吨)，设备自有的得3分，没有的不得分。（证明材料：提供车辆购买发票和照片复印件、行驶证、登记证复印件）</w:t>
            </w:r>
          </w:p>
          <w:p>
            <w:pPr>
              <w:spacing w:line="360" w:lineRule="auto"/>
              <w:outlineLvl w:val="0"/>
              <w:rPr>
                <w:rFonts w:hint="eastAsia" w:ascii="仿宋" w:hAnsi="仿宋" w:eastAsia="仿宋" w:cs="仿宋"/>
                <w:sz w:val="24"/>
              </w:rPr>
            </w:pPr>
            <w:r>
              <w:rPr>
                <w:rFonts w:hint="eastAsia" w:ascii="仿宋" w:hAnsi="仿宋" w:eastAsia="仿宋" w:cs="仿宋"/>
                <w:sz w:val="24"/>
              </w:rPr>
              <w:t>（3）拟投入的专业设备中具有1台服务于本项的粉碎车(核定载重量不低于1吨)</w:t>
            </w:r>
            <w:r>
              <w:rPr>
                <w:rFonts w:hint="eastAsia" w:ascii="仿宋" w:hAnsi="仿宋" w:eastAsia="仿宋" w:cs="仿宋"/>
                <w:sz w:val="24"/>
                <w:lang w:eastAsia="zh-CN"/>
              </w:rPr>
              <w:t>，</w:t>
            </w:r>
            <w:r>
              <w:rPr>
                <w:rFonts w:hint="eastAsia" w:ascii="仿宋" w:hAnsi="仿宋" w:eastAsia="仿宋" w:cs="仿宋"/>
                <w:sz w:val="24"/>
              </w:rPr>
              <w:t>设备自有的得3分，没有的不得分。证明材料：提供车辆购买发票和照片复印件、行驶证、登记证复印件）</w:t>
            </w:r>
          </w:p>
          <w:p>
            <w:pPr>
              <w:spacing w:line="360" w:lineRule="auto"/>
              <w:outlineLvl w:val="0"/>
              <w:rPr>
                <w:rFonts w:hint="eastAsia" w:ascii="仿宋" w:hAnsi="仿宋" w:eastAsia="仿宋" w:cs="仿宋"/>
                <w:sz w:val="24"/>
              </w:rPr>
            </w:pPr>
            <w:r>
              <w:rPr>
                <w:rFonts w:hint="eastAsia" w:ascii="仿宋" w:hAnsi="仿宋" w:eastAsia="仿宋" w:cs="仿宋"/>
                <w:sz w:val="24"/>
              </w:rPr>
              <w:t>（4）拟投入的专业设备中有2辆服务于本项目的货车，设备自有的每辆得1分，最高得2分，没有的不得分（证明材料：提供车辆购买发票和照片复印件、行驶证、登记证复印件）。</w:t>
            </w:r>
          </w:p>
        </w:tc>
        <w:tc>
          <w:tcPr>
            <w:tcW w:w="275" w:type="pct"/>
          </w:tcPr>
          <w:p>
            <w:pPr>
              <w:spacing w:line="360" w:lineRule="auto"/>
              <w:ind w:firstLine="0" w:firstLineChars="0"/>
              <w:outlineLvl w:val="0"/>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966" w:type="pc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投入本项目的设备情况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spacing w:line="360" w:lineRule="auto"/>
              <w:ind w:firstLine="0" w:firstLineChars="0"/>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3460"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1、项目技术负责人（除项目负责人外）：具有园林绿化专业高级及以上技术职称或高级技师的得3分，园林绿化专业中级技术职称或技师的得1分。</w:t>
            </w:r>
          </w:p>
          <w:p>
            <w:pPr>
              <w:spacing w:line="360" w:lineRule="auto"/>
              <w:outlineLvl w:val="0"/>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、项目组人员（除项目负责人</w:t>
            </w:r>
            <w:r>
              <w:rPr>
                <w:rFonts w:hint="eastAsia" w:ascii="仿宋" w:hAnsi="仿宋" w:eastAsia="仿宋" w:cs="仿宋"/>
                <w:sz w:val="24"/>
                <w:lang w:val="en-US" w:eastAsia="zh-CN"/>
              </w:rPr>
              <w:t>和</w:t>
            </w:r>
            <w:r>
              <w:rPr>
                <w:rFonts w:hint="eastAsia" w:ascii="仿宋" w:hAnsi="仿宋" w:eastAsia="仿宋" w:cs="仿宋"/>
                <w:sz w:val="24"/>
              </w:rPr>
              <w:t>技术负责人外）：具有园林绿化专业中级及以上技术职称或技师及以上资格证书的得1分。最高得3分。</w:t>
            </w:r>
            <w:r>
              <w:rPr>
                <w:rFonts w:hint="eastAsia" w:ascii="仿宋" w:hAnsi="仿宋" w:eastAsia="仿宋" w:cs="仿宋"/>
                <w:sz w:val="24"/>
                <w:lang w:eastAsia="zh-CN"/>
              </w:rPr>
              <w:t>（</w:t>
            </w:r>
            <w:r>
              <w:rPr>
                <w:rFonts w:hint="eastAsia" w:ascii="仿宋" w:hAnsi="仿宋" w:eastAsia="仿宋" w:cs="仿宋"/>
                <w:sz w:val="24"/>
              </w:rPr>
              <w:t>提供人员相关证书以及在投标单位最近一个月已缴纳社保的证明材料复印件加盖公章</w:t>
            </w:r>
            <w:r>
              <w:rPr>
                <w:rFonts w:hint="eastAsia" w:ascii="仿宋" w:hAnsi="仿宋" w:eastAsia="仿宋" w:cs="仿宋"/>
                <w:sz w:val="24"/>
                <w:lang w:eastAsia="zh-CN"/>
              </w:rPr>
              <w:t>）</w:t>
            </w:r>
          </w:p>
        </w:tc>
        <w:tc>
          <w:tcPr>
            <w:tcW w:w="275" w:type="pct"/>
          </w:tcPr>
          <w:p>
            <w:pPr>
              <w:spacing w:line="360" w:lineRule="auto"/>
              <w:ind w:firstLine="0" w:firstLineChars="0"/>
              <w:outlineLvl w:val="0"/>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966" w:type="pc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投入本项目的人员情况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spacing w:line="360" w:lineRule="auto"/>
              <w:ind w:firstLine="0" w:firstLineChars="0"/>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3460"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投标人自2018年1月1日以来（以合同签订日为准）承揽过类似业绩项目的，每提供一个得</w:t>
            </w:r>
            <w:r>
              <w:rPr>
                <w:rFonts w:hint="eastAsia" w:ascii="仿宋" w:hAnsi="仿宋" w:eastAsia="仿宋" w:cs="仿宋"/>
                <w:sz w:val="24"/>
                <w:lang w:eastAsia="zh-CN"/>
              </w:rPr>
              <w:t>0</w:t>
            </w:r>
            <w:r>
              <w:rPr>
                <w:rFonts w:hint="eastAsia" w:ascii="仿宋" w:hAnsi="仿宋" w:eastAsia="仿宋" w:cs="仿宋"/>
                <w:sz w:val="24"/>
                <w:lang w:val="en-US" w:eastAsia="zh-CN"/>
              </w:rPr>
              <w:t>.5</w:t>
            </w:r>
            <w:r>
              <w:rPr>
                <w:rFonts w:hint="eastAsia" w:ascii="仿宋" w:hAnsi="仿宋" w:eastAsia="仿宋" w:cs="仿宋"/>
                <w:sz w:val="24"/>
              </w:rPr>
              <w:t>分，最高得</w:t>
            </w:r>
            <w:r>
              <w:rPr>
                <w:rFonts w:hint="eastAsia" w:ascii="仿宋" w:hAnsi="仿宋" w:eastAsia="仿宋" w:cs="仿宋"/>
                <w:sz w:val="24"/>
                <w:lang w:eastAsia="zh-CN"/>
              </w:rPr>
              <w:t>3</w:t>
            </w:r>
            <w:r>
              <w:rPr>
                <w:rFonts w:hint="eastAsia" w:ascii="仿宋" w:hAnsi="仿宋" w:eastAsia="仿宋" w:cs="仿宋"/>
                <w:sz w:val="24"/>
              </w:rPr>
              <w:t>分。</w:t>
            </w:r>
          </w:p>
          <w:p>
            <w:pPr>
              <w:spacing w:line="360" w:lineRule="auto"/>
              <w:outlineLvl w:val="0"/>
              <w:rPr>
                <w:rFonts w:hint="eastAsia" w:ascii="仿宋" w:hAnsi="仿宋" w:eastAsia="仿宋" w:cs="仿宋"/>
                <w:sz w:val="24"/>
              </w:rPr>
            </w:pPr>
            <w:r>
              <w:rPr>
                <w:rFonts w:hint="eastAsia" w:ascii="仿宋" w:hAnsi="仿宋" w:eastAsia="仿宋" w:cs="仿宋"/>
                <w:sz w:val="24"/>
              </w:rPr>
              <w:t>类似业绩包括时花更换项目、绿化养护业绩。提供类似业绩合同复印件加盖公章。</w:t>
            </w:r>
          </w:p>
        </w:tc>
        <w:tc>
          <w:tcPr>
            <w:tcW w:w="275" w:type="pct"/>
          </w:tcPr>
          <w:p>
            <w:pPr>
              <w:spacing w:line="360" w:lineRule="auto"/>
              <w:ind w:firstLine="0" w:firstLineChars="0"/>
              <w:outlineLvl w:val="0"/>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966" w:type="pc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spacing w:line="360" w:lineRule="auto"/>
              <w:ind w:firstLine="0" w:firstLineChars="0"/>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3460"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投标人2018年1月1日以来获得过绿化景观类（景观工程类、立体花坛类、绿化景观设计类）国家级政府主管部门或国家级大赛组委会颁布金奖的，得5分；获得过省级政府主管部门或省级大赛组委会颁布金奖的，得2分；获得过市级政府主管部门（直辖市、自治区、特别行政区下属与市级同一行政级别的区级政府单位）颁布的奖项，得1分，不同等级的奖项取最高等级奖项得分，不重复计算得分。</w:t>
            </w:r>
          </w:p>
        </w:tc>
        <w:tc>
          <w:tcPr>
            <w:tcW w:w="275" w:type="pct"/>
          </w:tcPr>
          <w:p>
            <w:pPr>
              <w:spacing w:line="360" w:lineRule="auto"/>
              <w:ind w:firstLine="0" w:firstLineChars="0"/>
              <w:outlineLvl w:val="0"/>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966" w:type="pc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企业资信性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spacing w:line="360" w:lineRule="auto"/>
              <w:ind w:firstLine="0" w:firstLineChars="0"/>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3460"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rPr>
              <w:t>服务响应时间：承诺服务响应时间在0.5个小时内的得2分，承诺时间在1小时内的得1分。投标人自行提供承诺书，不提承诺的不得分。</w:t>
            </w:r>
          </w:p>
        </w:tc>
        <w:tc>
          <w:tcPr>
            <w:tcW w:w="275" w:type="pct"/>
          </w:tcPr>
          <w:p>
            <w:pPr>
              <w:spacing w:line="360" w:lineRule="auto"/>
              <w:ind w:firstLine="0" w:firstLineChars="0"/>
              <w:outlineLvl w:val="0"/>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966" w:type="pc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8" w:type="pct"/>
            <w:vAlign w:val="center"/>
          </w:tcPr>
          <w:p>
            <w:pPr>
              <w:spacing w:line="360" w:lineRule="auto"/>
              <w:ind w:firstLine="0" w:firstLineChars="0"/>
              <w:jc w:val="both"/>
              <w:outlineLvl w:val="0"/>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3460" w:type="pct"/>
          </w:tcPr>
          <w:p>
            <w:pPr>
              <w:spacing w:line="360" w:lineRule="auto"/>
              <w:outlineLvl w:val="0"/>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w:t>
            </w:r>
            <w:r>
              <w:rPr>
                <w:rFonts w:hint="eastAsia" w:ascii="仿宋" w:hAnsi="仿宋" w:eastAsia="仿宋" w:cs="仿宋"/>
                <w:sz w:val="24"/>
                <w:lang w:val="en-US" w:eastAsia="zh-CN"/>
              </w:rPr>
              <w:t>3</w:t>
            </w:r>
            <w:r>
              <w:rPr>
                <w:rFonts w:hint="eastAsia" w:ascii="仿宋" w:hAnsi="仿宋" w:eastAsia="仿宋" w:cs="仿宋"/>
                <w:sz w:val="24"/>
              </w:rPr>
              <w:t>0］的计算公式计算。</w:t>
            </w:r>
          </w:p>
          <w:p>
            <w:pPr>
              <w:widowControl/>
              <w:shd w:val="clear" w:color="auto" w:fill="FFFFFF"/>
              <w:adjustRightInd/>
              <w:spacing w:after="225" w:line="315" w:lineRule="atLeast"/>
              <w:ind w:firstLine="420"/>
              <w:jc w:val="left"/>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sz w:val="24"/>
                <w:lang w:val="en-US" w:eastAsia="zh-CN"/>
              </w:rPr>
            </w:pPr>
            <w:r>
              <w:rPr>
                <w:rFonts w:hint="eastAsia" w:ascii="仿宋" w:hAnsi="仿宋" w:eastAsia="仿宋" w:cs="仿宋"/>
                <w:sz w:val="24"/>
              </w:rPr>
              <w:t>因落实政府采购政策需要进行价格调整的，以调整后的价格计算评标基准价和投标报价。</w:t>
            </w:r>
          </w:p>
        </w:tc>
        <w:tc>
          <w:tcPr>
            <w:tcW w:w="275" w:type="pct"/>
            <w:vAlign w:val="center"/>
          </w:tcPr>
          <w:p>
            <w:pPr>
              <w:spacing w:line="360" w:lineRule="auto"/>
              <w:ind w:firstLine="0" w:firstLineChars="0"/>
              <w:outlineLvl w:val="0"/>
              <w:rPr>
                <w:rFonts w:hint="eastAsia" w:ascii="仿宋" w:hAnsi="仿宋" w:eastAsia="仿宋" w:cs="仿宋"/>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rPr>
              <w:t>0</w:t>
            </w:r>
          </w:p>
        </w:tc>
        <w:tc>
          <w:tcPr>
            <w:tcW w:w="966" w:type="pct"/>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98" w:type="pct"/>
            <w:vAlign w:val="center"/>
          </w:tcPr>
          <w:p>
            <w:pPr>
              <w:spacing w:line="360" w:lineRule="auto"/>
              <w:ind w:firstLine="240" w:firstLineChars="100"/>
              <w:jc w:val="center"/>
              <w:outlineLvl w:val="0"/>
              <w:rPr>
                <w:rFonts w:hint="eastAsia" w:ascii="仿宋" w:hAnsi="仿宋" w:eastAsia="仿宋" w:cs="仿宋"/>
                <w:sz w:val="24"/>
                <w:lang w:val="en-US" w:eastAsia="zh-CN"/>
              </w:rPr>
            </w:pPr>
          </w:p>
        </w:tc>
        <w:tc>
          <w:tcPr>
            <w:tcW w:w="3460" w:type="pct"/>
          </w:tcPr>
          <w:p>
            <w:pPr>
              <w:widowControl/>
              <w:shd w:val="clear" w:color="auto" w:fill="FFFFFF"/>
              <w:adjustRightInd/>
              <w:spacing w:after="225" w:line="315" w:lineRule="atLeast"/>
              <w:ind w:firstLine="420"/>
              <w:jc w:val="left"/>
              <w:rPr>
                <w:rFonts w:hint="eastAsia" w:ascii="仿宋" w:hAnsi="仿宋" w:eastAsia="仿宋" w:cs="仿宋"/>
                <w:sz w:val="24"/>
              </w:rPr>
            </w:pPr>
            <w:r>
              <w:rPr>
                <w:rFonts w:hint="eastAsia" w:ascii="仿宋" w:hAnsi="仿宋" w:eastAsia="仿宋" w:cs="仿宋"/>
                <w:sz w:val="24"/>
              </w:rPr>
              <w:t>注意：不得以特定金额的业绩作为评审因素，政府采购货物和服务项目业绩分不得高于价格分的10%。</w:t>
            </w:r>
          </w:p>
        </w:tc>
        <w:tc>
          <w:tcPr>
            <w:tcW w:w="275" w:type="pct"/>
            <w:vAlign w:val="center"/>
          </w:tcPr>
          <w:p>
            <w:pPr>
              <w:spacing w:line="360" w:lineRule="auto"/>
              <w:ind w:firstLine="120" w:firstLineChars="50"/>
              <w:outlineLvl w:val="0"/>
              <w:rPr>
                <w:rFonts w:hint="eastAsia" w:ascii="仿宋" w:hAnsi="仿宋" w:eastAsia="仿宋" w:cs="仿宋"/>
                <w:sz w:val="24"/>
                <w:lang w:val="en-US" w:eastAsia="zh-CN"/>
              </w:rPr>
            </w:pPr>
          </w:p>
        </w:tc>
        <w:tc>
          <w:tcPr>
            <w:tcW w:w="966" w:type="pct"/>
            <w:vAlign w:val="center"/>
          </w:tcPr>
          <w:p>
            <w:pPr>
              <w:spacing w:line="360" w:lineRule="auto"/>
              <w:jc w:val="center"/>
              <w:outlineLvl w:val="0"/>
              <w:rPr>
                <w:rFonts w:hint="eastAsia" w:ascii="仿宋" w:hAnsi="仿宋" w:eastAsia="仿宋" w:cs="仿宋"/>
                <w:sz w:val="24"/>
                <w:lang w:val="en-US" w:eastAsia="zh-CN"/>
              </w:rPr>
            </w:pPr>
          </w:p>
        </w:tc>
      </w:tr>
    </w:tbl>
    <w:p>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bCs/>
          <w:sz w:val="24"/>
        </w:rPr>
      </w:pPr>
      <w:r>
        <w:rPr>
          <w:rFonts w:hint="eastAsia" w:ascii="仿宋" w:hAnsi="仿宋" w:eastAsia="仿宋" w:cs="仿宋"/>
          <w:b/>
          <w:bCs/>
          <w:sz w:val="24"/>
        </w:rPr>
        <w:t> 1、若投标人提供的相应证书、合同等材料复印件不清晰难以辨认的，将不予计分。</w:t>
      </w:r>
    </w:p>
    <w:p>
      <w:pPr>
        <w:snapToGrid w:val="0"/>
        <w:spacing w:line="360" w:lineRule="auto"/>
        <w:rPr>
          <w:rFonts w:hint="eastAsia" w:ascii="仿宋" w:hAnsi="仿宋" w:eastAsia="仿宋" w:cs="仿宋"/>
          <w:b/>
          <w:sz w:val="24"/>
        </w:rPr>
      </w:pPr>
      <w:r>
        <w:rPr>
          <w:rFonts w:hint="eastAsia" w:ascii="仿宋" w:hAnsi="仿宋" w:eastAsia="仿宋" w:cs="仿宋"/>
          <w:b/>
          <w:bCs/>
          <w:sz w:val="24"/>
        </w:rPr>
        <w:t xml:space="preserve"> 2、所有文件、合同、证书、资质等需要真实有效。若发现资料作假的视为虚假投标行为，取消中标资格并通报主管部门进行后续处理。</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2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6"/>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2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404" w:name="第五部分"/>
      <w:bookmarkStart w:id="405" w:name="_Toc86217003"/>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pStyle w:val="3"/>
        <w:ind w:left="0" w:leftChars="0" w:firstLine="0" w:firstLineChars="0"/>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bookmarkStart w:id="529" w:name="_GoBack"/>
      <w:bookmarkEnd w:id="529"/>
    </w:p>
    <w:p>
      <w:pPr>
        <w:rPr>
          <w:rFonts w:hint="eastAsia"/>
        </w:rPr>
      </w:pPr>
    </w:p>
    <w:p>
      <w:pPr>
        <w:pStyle w:val="3"/>
        <w:ind w:left="0" w:leftChars="0" w:firstLine="0" w:firstLineChars="0"/>
        <w:rPr>
          <w:rFonts w:hint="eastAsia"/>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w:t>
      </w:r>
      <w:r>
        <w:rPr>
          <w:rFonts w:hint="eastAsia" w:ascii="仿宋" w:hAnsi="仿宋" w:eastAsia="仿宋" w:cs="仿宋"/>
          <w:b/>
          <w:sz w:val="36"/>
          <w:szCs w:val="36"/>
          <w:lang w:val="en-US" w:eastAsia="zh-CN"/>
        </w:rPr>
        <w:t>货物</w:t>
      </w:r>
      <w:r>
        <w:rPr>
          <w:rFonts w:hint="eastAsia" w:ascii="仿宋" w:hAnsi="仿宋" w:eastAsia="仿宋" w:cs="仿宋"/>
          <w:b/>
          <w:sz w:val="36"/>
          <w:szCs w:val="36"/>
        </w:rPr>
        <w:t>类）</w:t>
      </w:r>
    </w:p>
    <w:p>
      <w:pPr>
        <w:pStyle w:val="699"/>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6"/>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6"/>
        <w:spacing w:before="120" w:line="22" w:lineRule="atLeast"/>
        <w:rPr>
          <w:rFonts w:hint="eastAsia" w:ascii="仿宋" w:hAnsi="仿宋" w:eastAsia="仿宋" w:cs="仿宋"/>
          <w:szCs w:val="24"/>
        </w:rPr>
      </w:pPr>
    </w:p>
    <w:p>
      <w:pPr>
        <w:pStyle w:val="596"/>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5" w:h="16838"/>
          <w:pgMar w:top="1304" w:right="1417" w:bottom="1304" w:left="1417" w:header="851" w:footer="850" w:gutter="0"/>
          <w:pgNumType w:fmt="decimal"/>
          <w:cols w:space="0" w:num="1"/>
          <w:rtlGutter w:val="0"/>
          <w:docGrid w:linePitch="0" w:charSpace="0"/>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406" w:name="_Toc28855"/>
      <w:bookmarkStart w:id="407" w:name="_Toc22967"/>
      <w:bookmarkStart w:id="408" w:name="_Toc15367"/>
      <w:bookmarkStart w:id="409" w:name="_Toc19273"/>
      <w:bookmarkStart w:id="410" w:name="_Toc20421"/>
      <w:r>
        <w:rPr>
          <w:rFonts w:hint="eastAsia" w:ascii="仿宋" w:hAnsi="仿宋" w:eastAsia="仿宋" w:cs="仿宋"/>
          <w:b/>
          <w:sz w:val="24"/>
        </w:rPr>
        <w:t>1.1 合同组成部分</w:t>
      </w:r>
      <w:bookmarkEnd w:id="406"/>
      <w:bookmarkEnd w:id="407"/>
      <w:bookmarkEnd w:id="408"/>
      <w:bookmarkEnd w:id="409"/>
      <w:bookmarkEnd w:id="41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11" w:name="_Toc2918"/>
      <w:bookmarkStart w:id="412" w:name="_Toc18585"/>
      <w:bookmarkStart w:id="413" w:name="_Toc6773"/>
      <w:bookmarkStart w:id="414" w:name="_Toc22185"/>
      <w:bookmarkStart w:id="415" w:name="_Toc6311"/>
      <w:r>
        <w:rPr>
          <w:rFonts w:hint="eastAsia" w:ascii="仿宋" w:hAnsi="仿宋" w:eastAsia="仿宋" w:cs="仿宋"/>
          <w:b/>
          <w:sz w:val="24"/>
        </w:rPr>
        <w:t>1.2 标的</w:t>
      </w:r>
      <w:bookmarkEnd w:id="411"/>
      <w:bookmarkEnd w:id="412"/>
      <w:bookmarkEnd w:id="413"/>
      <w:bookmarkEnd w:id="414"/>
      <w:bookmarkEnd w:id="415"/>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16" w:name="_Toc5635"/>
      <w:bookmarkStart w:id="417" w:name="_Toc1386"/>
      <w:bookmarkStart w:id="418" w:name="_Toc4929"/>
      <w:bookmarkStart w:id="419" w:name="_Toc21124"/>
      <w:bookmarkStart w:id="420" w:name="_Toc13918"/>
      <w:r>
        <w:rPr>
          <w:rFonts w:hint="eastAsia" w:ascii="仿宋" w:hAnsi="仿宋" w:eastAsia="仿宋" w:cs="仿宋"/>
          <w:b/>
          <w:sz w:val="24"/>
        </w:rPr>
        <w:t>1.3 价款</w:t>
      </w:r>
      <w:bookmarkEnd w:id="416"/>
      <w:bookmarkEnd w:id="417"/>
      <w:bookmarkEnd w:id="418"/>
      <w:bookmarkEnd w:id="419"/>
      <w:bookmarkEnd w:id="42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21" w:name="_Toc14993"/>
      <w:bookmarkStart w:id="422" w:name="_Toc26916"/>
      <w:bookmarkStart w:id="423" w:name="_Toc30506"/>
      <w:bookmarkStart w:id="424" w:name="_Toc3654"/>
      <w:bookmarkStart w:id="425" w:name="_Toc30158"/>
      <w:r>
        <w:rPr>
          <w:rFonts w:hint="eastAsia" w:ascii="仿宋" w:hAnsi="仿宋" w:eastAsia="仿宋" w:cs="仿宋"/>
          <w:b/>
          <w:sz w:val="24"/>
        </w:rPr>
        <w:t>1.4 付款方式和发票开具方式</w:t>
      </w:r>
      <w:bookmarkEnd w:id="421"/>
      <w:bookmarkEnd w:id="422"/>
      <w:bookmarkEnd w:id="423"/>
      <w:bookmarkEnd w:id="424"/>
      <w:bookmarkEnd w:id="425"/>
    </w:p>
    <w:p>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26" w:name="_Toc11108"/>
      <w:bookmarkStart w:id="427" w:name="_Toc4760"/>
      <w:bookmarkStart w:id="428" w:name="_Toc3625"/>
      <w:bookmarkStart w:id="429" w:name="_Toc31421"/>
      <w:bookmarkStart w:id="430" w:name="_Toc8772"/>
      <w:r>
        <w:rPr>
          <w:rFonts w:hint="eastAsia" w:ascii="仿宋" w:hAnsi="仿宋" w:eastAsia="仿宋" w:cs="仿宋"/>
          <w:b/>
          <w:sz w:val="24"/>
        </w:rPr>
        <w:t>1.5 履行期限、地点和方式</w:t>
      </w:r>
      <w:bookmarkEnd w:id="426"/>
      <w:bookmarkEnd w:id="427"/>
      <w:bookmarkEnd w:id="428"/>
      <w:bookmarkEnd w:id="429"/>
      <w:bookmarkEnd w:id="430"/>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bookmarkStart w:id="431" w:name="_Toc8586"/>
      <w:bookmarkStart w:id="432" w:name="_Toc24662"/>
      <w:bookmarkStart w:id="433" w:name="_Toc5698"/>
      <w:bookmarkStart w:id="434" w:name="_Toc2375"/>
      <w:bookmarkStart w:id="435" w:name="_Toc3079"/>
      <w:r>
        <w:rPr>
          <w:rFonts w:hint="eastAsia" w:ascii="仿宋" w:hAnsi="仿宋" w:eastAsia="仿宋" w:cs="仿宋"/>
          <w:b/>
          <w:sz w:val="24"/>
        </w:rPr>
        <w:t>1.6 违约责任</w:t>
      </w:r>
      <w:bookmarkEnd w:id="431"/>
      <w:bookmarkEnd w:id="432"/>
      <w:bookmarkEnd w:id="433"/>
      <w:bookmarkEnd w:id="434"/>
      <w:bookmarkEnd w:id="43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36" w:name="_Toc9497"/>
      <w:bookmarkStart w:id="437" w:name="_Toc26807"/>
      <w:bookmarkStart w:id="438" w:name="_Toc30329"/>
      <w:bookmarkStart w:id="439" w:name="_Toc18683"/>
      <w:bookmarkStart w:id="440" w:name="_Toc32454"/>
      <w:r>
        <w:rPr>
          <w:rFonts w:hint="eastAsia" w:ascii="仿宋" w:hAnsi="仿宋" w:eastAsia="仿宋" w:cs="仿宋"/>
          <w:b/>
          <w:sz w:val="24"/>
        </w:rPr>
        <w:t>1.7 合同争议的解决</w:t>
      </w:r>
      <w:bookmarkEnd w:id="436"/>
      <w:bookmarkEnd w:id="437"/>
      <w:bookmarkEnd w:id="438"/>
      <w:bookmarkEnd w:id="439"/>
      <w:bookmarkEnd w:id="440"/>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241" w:firstLineChars="100"/>
        <w:outlineLvl w:val="0"/>
        <w:rPr>
          <w:rFonts w:hint="eastAsia" w:ascii="仿宋" w:hAnsi="仿宋" w:eastAsia="仿宋" w:cs="仿宋"/>
          <w:b/>
          <w:sz w:val="24"/>
        </w:rPr>
      </w:pPr>
      <w:bookmarkStart w:id="441" w:name="_Toc15827"/>
      <w:bookmarkStart w:id="442" w:name="_Toc16417"/>
      <w:bookmarkStart w:id="443" w:name="_Toc23784"/>
      <w:bookmarkStart w:id="444" w:name="_Toc26227"/>
      <w:bookmarkStart w:id="445" w:name="_Toc12273"/>
      <w:r>
        <w:rPr>
          <w:rFonts w:hint="eastAsia" w:ascii="仿宋" w:hAnsi="仿宋" w:eastAsia="仿宋" w:cs="仿宋"/>
          <w:b/>
          <w:sz w:val="24"/>
        </w:rPr>
        <w:t>1.8 合同生效</w:t>
      </w:r>
      <w:bookmarkEnd w:id="441"/>
      <w:bookmarkEnd w:id="442"/>
      <w:bookmarkEnd w:id="443"/>
      <w:bookmarkEnd w:id="444"/>
      <w:bookmarkEnd w:id="445"/>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pStyle w:val="699"/>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46" w:name="_Toc5228"/>
      <w:bookmarkStart w:id="447" w:name="_Toc25079"/>
      <w:bookmarkStart w:id="448" w:name="_Toc14021"/>
      <w:bookmarkStart w:id="449" w:name="_Toc31297"/>
      <w:bookmarkStart w:id="450" w:name="_Toc19680"/>
      <w:r>
        <w:rPr>
          <w:rFonts w:hint="eastAsia" w:ascii="仿宋" w:hAnsi="仿宋" w:eastAsia="仿宋" w:cs="仿宋"/>
          <w:b/>
          <w:sz w:val="24"/>
        </w:rPr>
        <w:t>2.1 定义</w:t>
      </w:r>
      <w:bookmarkEnd w:id="446"/>
      <w:bookmarkEnd w:id="447"/>
      <w:bookmarkEnd w:id="448"/>
      <w:bookmarkEnd w:id="449"/>
      <w:bookmarkEnd w:id="45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51" w:name="_Toc16752"/>
      <w:bookmarkStart w:id="452" w:name="_Toc3769"/>
      <w:bookmarkStart w:id="453" w:name="_Toc19539"/>
      <w:bookmarkStart w:id="454" w:name="_Toc23289"/>
      <w:bookmarkStart w:id="455" w:name="_Toc31402"/>
      <w:r>
        <w:rPr>
          <w:rFonts w:hint="eastAsia" w:ascii="仿宋" w:hAnsi="仿宋" w:eastAsia="仿宋" w:cs="仿宋"/>
          <w:b/>
          <w:sz w:val="24"/>
        </w:rPr>
        <w:t>2.2 技术规范</w:t>
      </w:r>
      <w:bookmarkEnd w:id="451"/>
      <w:bookmarkEnd w:id="452"/>
      <w:bookmarkEnd w:id="453"/>
      <w:bookmarkEnd w:id="454"/>
      <w:bookmarkEnd w:id="45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56" w:name="_Toc9161"/>
      <w:bookmarkStart w:id="457" w:name="_Toc13673"/>
      <w:bookmarkStart w:id="458" w:name="_Toc4133"/>
      <w:bookmarkStart w:id="459" w:name="_Toc27945"/>
      <w:bookmarkStart w:id="460" w:name="_Toc12412"/>
      <w:r>
        <w:rPr>
          <w:rFonts w:hint="eastAsia" w:ascii="仿宋" w:hAnsi="仿宋" w:eastAsia="仿宋" w:cs="仿宋"/>
          <w:b/>
          <w:sz w:val="24"/>
        </w:rPr>
        <w:t>2.3 知识产权</w:t>
      </w:r>
      <w:bookmarkEnd w:id="456"/>
      <w:bookmarkEnd w:id="457"/>
      <w:bookmarkEnd w:id="458"/>
      <w:bookmarkEnd w:id="459"/>
      <w:bookmarkEnd w:id="46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61" w:name="_Toc31233"/>
      <w:bookmarkStart w:id="462" w:name="_Toc32670"/>
      <w:bookmarkStart w:id="463" w:name="_Toc15447"/>
      <w:bookmarkStart w:id="464" w:name="_Toc22011"/>
      <w:bookmarkStart w:id="465" w:name="_Toc26555"/>
      <w:r>
        <w:rPr>
          <w:rFonts w:hint="eastAsia" w:ascii="仿宋" w:hAnsi="仿宋" w:eastAsia="仿宋" w:cs="仿宋"/>
          <w:b/>
          <w:sz w:val="24"/>
        </w:rPr>
        <w:t>2.5 结算方式和付款条件</w:t>
      </w:r>
      <w:bookmarkEnd w:id="461"/>
      <w:bookmarkEnd w:id="462"/>
      <w:bookmarkEnd w:id="463"/>
      <w:bookmarkEnd w:id="464"/>
      <w:bookmarkEnd w:id="46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66" w:name="_Toc18990"/>
      <w:bookmarkStart w:id="467" w:name="_Toc16163"/>
      <w:bookmarkStart w:id="468" w:name="_Toc13154"/>
      <w:bookmarkStart w:id="469" w:name="_Toc13467"/>
      <w:bookmarkStart w:id="470" w:name="_Toc30507"/>
      <w:r>
        <w:rPr>
          <w:rFonts w:hint="eastAsia" w:ascii="仿宋" w:hAnsi="仿宋" w:eastAsia="仿宋" w:cs="仿宋"/>
          <w:b/>
          <w:sz w:val="24"/>
        </w:rPr>
        <w:t>2.6 技术资料和保密义务</w:t>
      </w:r>
      <w:bookmarkEnd w:id="466"/>
      <w:bookmarkEnd w:id="467"/>
      <w:bookmarkEnd w:id="468"/>
      <w:bookmarkEnd w:id="469"/>
      <w:bookmarkEnd w:id="47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71" w:name="_Toc19069"/>
      <w:r>
        <w:rPr>
          <w:rFonts w:hint="eastAsia" w:ascii="仿宋" w:hAnsi="仿宋" w:eastAsia="仿宋" w:cs="仿宋"/>
          <w:b/>
          <w:sz w:val="24"/>
        </w:rPr>
        <w:t>2.7 质量保证</w:t>
      </w:r>
      <w:bookmarkEnd w:id="47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72" w:name="_Toc22267"/>
      <w:r>
        <w:rPr>
          <w:rFonts w:hint="eastAsia" w:ascii="仿宋" w:hAnsi="仿宋" w:eastAsia="仿宋" w:cs="仿宋"/>
          <w:b/>
          <w:sz w:val="24"/>
        </w:rPr>
        <w:t>2.8 延迟履行</w:t>
      </w:r>
      <w:bookmarkEnd w:id="47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73" w:name="_Toc10611"/>
      <w:r>
        <w:rPr>
          <w:rFonts w:hint="eastAsia" w:ascii="仿宋" w:hAnsi="仿宋" w:eastAsia="仿宋" w:cs="仿宋"/>
          <w:b/>
          <w:sz w:val="24"/>
        </w:rPr>
        <w:t>2.9 合同变更</w:t>
      </w:r>
      <w:bookmarkEnd w:id="47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74" w:name="_Toc10663"/>
      <w:bookmarkStart w:id="475" w:name="_Toc26689"/>
      <w:bookmarkStart w:id="476" w:name="_Toc21830"/>
      <w:bookmarkStart w:id="477" w:name="_Toc23368"/>
      <w:bookmarkStart w:id="478" w:name="_Toc42"/>
      <w:r>
        <w:rPr>
          <w:rFonts w:hint="eastAsia" w:ascii="仿宋" w:hAnsi="仿宋" w:eastAsia="仿宋" w:cs="仿宋"/>
          <w:b/>
          <w:sz w:val="24"/>
        </w:rPr>
        <w:t>2.10 合同转让和分包</w:t>
      </w:r>
      <w:bookmarkEnd w:id="474"/>
      <w:bookmarkEnd w:id="475"/>
      <w:bookmarkEnd w:id="476"/>
      <w:bookmarkEnd w:id="477"/>
      <w:bookmarkEnd w:id="47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79" w:name="_Toc14371"/>
      <w:bookmarkStart w:id="480" w:name="_Toc4720"/>
      <w:bookmarkStart w:id="481" w:name="_Toc26633"/>
      <w:bookmarkStart w:id="482" w:name="_Toc25571"/>
      <w:bookmarkStart w:id="483" w:name="_Toc32494"/>
      <w:r>
        <w:rPr>
          <w:rFonts w:hint="eastAsia" w:ascii="仿宋" w:hAnsi="仿宋" w:eastAsia="仿宋" w:cs="仿宋"/>
          <w:b/>
          <w:sz w:val="24"/>
        </w:rPr>
        <w:t>2.11 不可抗力</w:t>
      </w:r>
      <w:bookmarkEnd w:id="479"/>
      <w:bookmarkEnd w:id="480"/>
      <w:bookmarkEnd w:id="481"/>
      <w:bookmarkEnd w:id="482"/>
      <w:bookmarkEnd w:id="48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84" w:name="_Toc14115"/>
      <w:bookmarkStart w:id="485" w:name="_Toc23854"/>
      <w:bookmarkStart w:id="486" w:name="_Toc25783"/>
      <w:bookmarkStart w:id="487" w:name="_Toc3638"/>
      <w:bookmarkStart w:id="488" w:name="_Toc24465"/>
      <w:r>
        <w:rPr>
          <w:rFonts w:hint="eastAsia" w:ascii="仿宋" w:hAnsi="仿宋" w:eastAsia="仿宋" w:cs="仿宋"/>
          <w:b/>
          <w:sz w:val="24"/>
        </w:rPr>
        <w:t>2.12 税费</w:t>
      </w:r>
      <w:bookmarkEnd w:id="484"/>
      <w:bookmarkEnd w:id="485"/>
      <w:bookmarkEnd w:id="486"/>
      <w:bookmarkEnd w:id="487"/>
      <w:bookmarkEnd w:id="48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489" w:name="_Toc14814"/>
      <w:bookmarkStart w:id="490" w:name="_Toc30105"/>
      <w:bookmarkStart w:id="491" w:name="_Toc7315"/>
      <w:bookmarkStart w:id="492" w:name="_Toc25525"/>
      <w:bookmarkStart w:id="493" w:name="_Toc26883"/>
      <w:r>
        <w:rPr>
          <w:rFonts w:hint="eastAsia" w:ascii="仿宋" w:hAnsi="仿宋" w:eastAsia="仿宋" w:cs="仿宋"/>
          <w:b/>
          <w:sz w:val="24"/>
        </w:rPr>
        <w:t>2.13 乙方破产</w:t>
      </w:r>
      <w:bookmarkEnd w:id="489"/>
      <w:bookmarkEnd w:id="490"/>
      <w:bookmarkEnd w:id="491"/>
      <w:bookmarkEnd w:id="492"/>
      <w:bookmarkEnd w:id="49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494" w:name="_Toc23323"/>
      <w:bookmarkStart w:id="495" w:name="_Toc2016"/>
      <w:bookmarkStart w:id="496" w:name="_Toc1123"/>
      <w:r>
        <w:rPr>
          <w:rFonts w:hint="eastAsia" w:ascii="仿宋" w:hAnsi="仿宋" w:eastAsia="仿宋" w:cs="仿宋"/>
          <w:b/>
          <w:sz w:val="24"/>
        </w:rPr>
        <w:t>2.14 合同中止、终止</w:t>
      </w:r>
      <w:bookmarkEnd w:id="494"/>
      <w:bookmarkEnd w:id="495"/>
      <w:bookmarkEnd w:id="49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97" w:name="_Toc14525"/>
      <w:bookmarkStart w:id="498" w:name="_Toc17363"/>
      <w:bookmarkStart w:id="499" w:name="_Toc1969"/>
      <w:r>
        <w:rPr>
          <w:rFonts w:hint="eastAsia" w:ascii="仿宋" w:hAnsi="仿宋" w:eastAsia="仿宋" w:cs="仿宋"/>
          <w:b/>
          <w:sz w:val="24"/>
        </w:rPr>
        <w:t>2.15 检验和验收</w:t>
      </w:r>
      <w:bookmarkEnd w:id="497"/>
      <w:bookmarkEnd w:id="498"/>
      <w:bookmarkEnd w:id="499"/>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500" w:name="_Toc9808"/>
      <w:bookmarkStart w:id="501" w:name="_Toc25198"/>
      <w:bookmarkStart w:id="502" w:name="_Toc31892"/>
      <w:bookmarkStart w:id="503" w:name="_Toc2308"/>
      <w:bookmarkStart w:id="504" w:name="_Toc12666"/>
      <w:r>
        <w:rPr>
          <w:rFonts w:hint="eastAsia" w:ascii="仿宋" w:hAnsi="仿宋" w:eastAsia="仿宋" w:cs="仿宋"/>
          <w:b/>
          <w:sz w:val="24"/>
        </w:rPr>
        <w:t>2.16 通知和送达</w:t>
      </w:r>
      <w:bookmarkEnd w:id="500"/>
      <w:bookmarkEnd w:id="501"/>
      <w:bookmarkEnd w:id="502"/>
      <w:bookmarkEnd w:id="503"/>
      <w:bookmarkEnd w:id="504"/>
    </w:p>
    <w:p>
      <w:pPr>
        <w:spacing w:line="560" w:lineRule="exact"/>
        <w:ind w:firstLine="480" w:firstLineChars="200"/>
        <w:rPr>
          <w:rFonts w:hint="eastAsia" w:ascii="仿宋" w:hAnsi="仿宋" w:eastAsia="仿宋" w:cs="仿宋"/>
          <w:sz w:val="24"/>
        </w:rPr>
      </w:pPr>
      <w:bookmarkStart w:id="505" w:name="_Toc18401"/>
      <w:bookmarkStart w:id="506"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5"/>
      <w:bookmarkEnd w:id="506"/>
    </w:p>
    <w:p>
      <w:pPr>
        <w:spacing w:line="560" w:lineRule="exact"/>
        <w:ind w:firstLine="482" w:firstLineChars="200"/>
        <w:outlineLvl w:val="0"/>
        <w:rPr>
          <w:rFonts w:hint="eastAsia" w:ascii="仿宋" w:hAnsi="仿宋" w:eastAsia="仿宋" w:cs="仿宋"/>
          <w:b/>
          <w:sz w:val="24"/>
        </w:rPr>
      </w:pPr>
      <w:bookmarkStart w:id="507" w:name="_Toc12254"/>
      <w:bookmarkStart w:id="508" w:name="_Toc28906"/>
      <w:bookmarkStart w:id="509" w:name="_Toc20808"/>
      <w:bookmarkStart w:id="510" w:name="_Toc5063"/>
      <w:bookmarkStart w:id="511" w:name="_Toc27644"/>
      <w:r>
        <w:rPr>
          <w:rFonts w:hint="eastAsia" w:ascii="仿宋" w:hAnsi="仿宋" w:eastAsia="仿宋" w:cs="仿宋"/>
          <w:b/>
          <w:sz w:val="24"/>
        </w:rPr>
        <w:t>2.17 合同使用的文字和适用的法律</w:t>
      </w:r>
      <w:bookmarkEnd w:id="507"/>
      <w:bookmarkEnd w:id="508"/>
      <w:bookmarkEnd w:id="509"/>
      <w:bookmarkEnd w:id="510"/>
      <w:bookmarkEnd w:id="51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12" w:name="_Toc30096"/>
      <w:bookmarkStart w:id="513" w:name="_Toc22266"/>
      <w:bookmarkStart w:id="514" w:name="_Toc27403"/>
      <w:bookmarkStart w:id="515" w:name="_Toc1492"/>
      <w:bookmarkStart w:id="516" w:name="_Toc27127"/>
      <w:r>
        <w:rPr>
          <w:rFonts w:hint="eastAsia" w:ascii="仿宋" w:hAnsi="仿宋" w:eastAsia="仿宋" w:cs="仿宋"/>
          <w:b/>
          <w:sz w:val="24"/>
        </w:rPr>
        <w:t>2.18 履约保证金</w:t>
      </w:r>
      <w:bookmarkEnd w:id="512"/>
      <w:bookmarkEnd w:id="513"/>
      <w:bookmarkEnd w:id="514"/>
      <w:bookmarkEnd w:id="515"/>
      <w:bookmarkEnd w:id="516"/>
    </w:p>
    <w:p>
      <w:pPr>
        <w:pStyle w:val="957"/>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w:t>
      </w:r>
      <w:r>
        <w:rPr>
          <w:rFonts w:hint="eastAsia" w:ascii="仿宋" w:hAnsi="仿宋" w:eastAsia="仿宋" w:cs="仿宋"/>
          <w:highlight w:val="none"/>
          <w:lang w:val="en-US" w:eastAsia="zh-CN"/>
        </w:rPr>
        <w:t>1</w:t>
      </w:r>
      <w:r>
        <w:rPr>
          <w:rFonts w:hint="eastAsia" w:ascii="仿宋" w:hAnsi="仿宋" w:eastAsia="仿宋" w:cs="仿宋"/>
          <w:highlight w:val="none"/>
        </w:rPr>
        <w:t>%</w:t>
      </w:r>
      <w:r>
        <w:rPr>
          <w:rFonts w:hint="eastAsia" w:ascii="仿宋" w:hAnsi="仿宋" w:eastAsia="仿宋" w:cs="仿宋"/>
        </w:rPr>
        <w:t>的履约保证金；鼓励和支持乙方以银行、保险公司出具的保函形式提供履约保证，</w:t>
      </w:r>
      <w:r>
        <w:rPr>
          <w:rFonts w:hint="eastAsia" w:ascii="仿宋" w:hAnsi="仿宋" w:eastAsia="仿宋" w:cs="仿宋"/>
          <w:highlight w:val="none"/>
        </w:rPr>
        <w:t>乙方以银行、保险公司出具保函形式提交履约保证金的，甲方不得拒收。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2.18.2  </w:t>
      </w:r>
      <w:r>
        <w:rPr>
          <w:rFonts w:hint="eastAsia" w:ascii="仿宋" w:hAnsi="仿宋" w:eastAsia="仿宋" w:cs="仿宋"/>
          <w:sz w:val="24"/>
          <w:highlight w:val="none"/>
        </w:rPr>
        <w:t>甲方在项目验收结束后及时退还履约保证金</w:t>
      </w:r>
      <w:r>
        <w:rPr>
          <w:rFonts w:hint="eastAsia" w:ascii="仿宋" w:hAnsi="仿宋" w:eastAsia="仿宋" w:cs="仿宋"/>
          <w:sz w:val="24"/>
        </w:rPr>
        <w:t>。甲方在</w:t>
      </w:r>
      <w:r>
        <w:rPr>
          <w:rFonts w:hint="eastAsia" w:ascii="仿宋" w:hAnsi="仿宋" w:eastAsia="仿宋" w:cs="仿宋"/>
          <w:sz w:val="24"/>
          <w:highlight w:val="none"/>
        </w:rPr>
        <w:t>项目通过验收</w:t>
      </w:r>
      <w:r>
        <w:rPr>
          <w:rFonts w:hint="eastAsia" w:ascii="仿宋" w:hAnsi="仿宋" w:eastAsia="仿宋" w:cs="仿宋"/>
          <w:sz w:val="24"/>
        </w:rPr>
        <w:t>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rPr>
      </w:pPr>
      <w:r>
        <w:rPr>
          <w:rFonts w:hint="eastAsia" w:ascii="仿宋" w:hAnsi="仿宋" w:eastAsia="仿宋" w:cs="仿宋"/>
          <w:sz w:val="24"/>
        </w:rPr>
        <w:t>2.18.</w:t>
      </w:r>
      <w:r>
        <w:rPr>
          <w:rFonts w:hint="eastAsia" w:ascii="仿宋" w:hAnsi="仿宋" w:eastAsia="仿宋" w:cs="仿宋"/>
          <w:sz w:val="24"/>
          <w:lang w:val="en-US" w:eastAsia="zh-CN"/>
        </w:rPr>
        <w:t>4</w:t>
      </w:r>
      <w:r>
        <w:rPr>
          <w:rFonts w:hint="eastAsia" w:ascii="仿宋" w:hAnsi="仿宋" w:eastAsia="仿宋" w:cs="仿宋"/>
          <w:sz w:val="24"/>
        </w:rPr>
        <w:t>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699"/>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17" w:name="_Toc331685784"/>
      <w:r>
        <w:rPr>
          <w:rFonts w:hint="eastAsia" w:ascii="仿宋" w:hAnsi="仿宋" w:eastAsia="仿宋" w:cs="仿宋"/>
          <w:b/>
          <w:szCs w:val="24"/>
        </w:rPr>
        <w:t xml:space="preserve"> </w:t>
      </w:r>
      <w:bookmarkEnd w:id="517"/>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4"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1.4.4</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4534" w:type="pct"/>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4534" w:type="pct"/>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4534" w:type="pct"/>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2.18.1</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2.18.2</w:t>
            </w: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2.20</w:t>
            </w:r>
          </w:p>
        </w:tc>
        <w:tc>
          <w:tcPr>
            <w:tcW w:w="4534" w:type="pct"/>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p>
        </w:tc>
        <w:tc>
          <w:tcPr>
            <w:tcW w:w="4534"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sz w:val="24"/>
              </w:rPr>
            </w:pPr>
          </w:p>
        </w:tc>
        <w:tc>
          <w:tcPr>
            <w:tcW w:w="4534" w:type="pct"/>
            <w:vAlign w:val="center"/>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4"/>
      <w:r>
        <w:rPr>
          <w:rFonts w:hint="eastAsia" w:ascii="仿宋" w:hAnsi="仿宋" w:eastAsia="仿宋" w:cs="仿宋"/>
          <w:b/>
          <w:sz w:val="36"/>
          <w:szCs w:val="20"/>
        </w:rPr>
        <w:t xml:space="preserve"> </w:t>
      </w:r>
      <w:bookmarkEnd w:id="405"/>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桐庐县市政园林建设管理处</w:t>
      </w:r>
      <w:r>
        <w:rPr>
          <w:rFonts w:hint="eastAsia" w:ascii="仿宋" w:hAnsi="仿宋" w:eastAsia="仿宋" w:cs="仿宋"/>
          <w:sz w:val="24"/>
        </w:rPr>
        <w:t>、</w:t>
      </w:r>
      <w:r>
        <w:rPr>
          <w:rFonts w:hint="eastAsia" w:ascii="仿宋" w:hAnsi="仿宋" w:eastAsia="仿宋" w:cs="仿宋"/>
          <w:sz w:val="24"/>
          <w:lang w:eastAsia="zh-CN"/>
        </w:rPr>
        <w:t>同舟国际工程管理有限公司</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2022年至2024年县城花卉采购种植及养护项目</w:t>
      </w:r>
      <w:r>
        <w:rPr>
          <w:rFonts w:hint="eastAsia" w:ascii="仿宋" w:hAnsi="仿宋" w:eastAsia="仿宋" w:cs="仿宋"/>
          <w:sz w:val="24"/>
        </w:rPr>
        <w:t>【招标编号：</w:t>
      </w:r>
      <w:r>
        <w:rPr>
          <w:rFonts w:hint="eastAsia" w:ascii="仿宋" w:hAnsi="仿宋" w:eastAsia="仿宋" w:cs="仿宋"/>
          <w:sz w:val="24"/>
          <w:lang w:eastAsia="zh-CN"/>
        </w:rPr>
        <w:t>TZCG-TL2022-007</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both"/>
        <w:rPr>
          <w:rFonts w:hint="eastAsia" w:ascii="仿宋" w:hAnsi="仿宋" w:eastAsia="仿宋" w:cs="仿宋"/>
          <w:b/>
          <w:kern w:val="0"/>
          <w:sz w:val="32"/>
          <w:szCs w:val="32"/>
        </w:rPr>
      </w:pPr>
    </w:p>
    <w:p>
      <w:pPr>
        <w:pStyle w:val="6"/>
        <w:rPr>
          <w:rFonts w:hint="eastAsia"/>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both"/>
        <w:rPr>
          <w:rFonts w:hint="eastAsia" w:ascii="仿宋" w:hAnsi="仿宋" w:eastAsia="仿宋" w:cs="仿宋"/>
          <w:b/>
          <w:kern w:val="0"/>
          <w:sz w:val="32"/>
          <w:szCs w:val="32"/>
        </w:rPr>
      </w:pPr>
    </w:p>
    <w:p>
      <w:pPr>
        <w:pStyle w:val="6"/>
        <w:ind w:left="0" w:firstLine="0"/>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w:t>
      </w:r>
      <w:r>
        <w:rPr>
          <w:rFonts w:hint="eastAsia" w:ascii="仿宋" w:hAnsi="仿宋" w:eastAsia="仿宋" w:cs="仿宋"/>
          <w:sz w:val="24"/>
          <w:highlight w:val="none"/>
        </w:rPr>
        <w:t>服务全部由符合政策要求的中小企业（或小微企业）承接</w:t>
      </w:r>
      <w:r>
        <w:rPr>
          <w:rFonts w:hint="eastAsia" w:ascii="仿宋" w:hAnsi="仿宋" w:eastAsia="仿宋" w:cs="仿宋"/>
          <w:sz w:val="24"/>
        </w:rPr>
        <w:t xml:space="preserve">的，提供相应的中小企业声明函（附件7）。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
        <w:rPr>
          <w:rFonts w:hint="eastAsia"/>
        </w:rPr>
      </w:pPr>
    </w:p>
    <w:p>
      <w:pPr>
        <w:snapToGrid w:val="0"/>
        <w:spacing w:line="360" w:lineRule="auto"/>
        <w:ind w:right="480"/>
        <w:jc w:val="both"/>
        <w:rPr>
          <w:rFonts w:hint="eastAsia" w:ascii="仿宋" w:hAnsi="仿宋" w:eastAsia="仿宋" w:cs="仿宋"/>
          <w:b/>
          <w:kern w:val="0"/>
          <w:sz w:val="32"/>
          <w:szCs w:val="32"/>
          <w:lang w:eastAsia="zh-CN"/>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pStyle w:val="6"/>
        <w:ind w:left="0" w:firstLine="0"/>
        <w:rPr>
          <w:rFonts w:hint="eastAsia" w:ascii="仿宋" w:hAnsi="仿宋" w:eastAsia="仿宋" w:cs="仿宋"/>
          <w:lang w:val="en-US"/>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桐庐县市政园林建设管理处</w:t>
      </w:r>
      <w:r>
        <w:rPr>
          <w:rFonts w:hint="eastAsia" w:ascii="仿宋" w:hAnsi="仿宋" w:eastAsia="仿宋" w:cs="仿宋"/>
          <w:sz w:val="24"/>
        </w:rPr>
        <w:t>、</w:t>
      </w:r>
      <w:r>
        <w:rPr>
          <w:rFonts w:hint="eastAsia" w:ascii="仿宋" w:hAnsi="仿宋" w:eastAsia="仿宋" w:cs="仿宋"/>
          <w:sz w:val="24"/>
          <w:lang w:eastAsia="zh-CN"/>
        </w:rPr>
        <w:t>同舟国际工程管理有限公司</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2022年至2024年县城花卉采购种植及养护项目</w:t>
      </w:r>
      <w:r>
        <w:rPr>
          <w:rFonts w:hint="eastAsia" w:ascii="仿宋" w:hAnsi="仿宋" w:eastAsia="仿宋" w:cs="仿宋"/>
          <w:sz w:val="24"/>
        </w:rPr>
        <w:t>【招标编号：</w:t>
      </w:r>
      <w:r>
        <w:rPr>
          <w:rFonts w:hint="eastAsia" w:ascii="仿宋" w:hAnsi="仿宋" w:eastAsia="仿宋" w:cs="仿宋"/>
          <w:sz w:val="24"/>
          <w:lang w:eastAsia="zh-CN"/>
        </w:rPr>
        <w:t>TZCG-TL2022-007</w:t>
      </w:r>
      <w:r>
        <w:rPr>
          <w:rFonts w:hint="eastAsia" w:ascii="仿宋" w:hAnsi="仿宋" w:eastAsia="仿宋" w:cs="仿宋"/>
          <w:sz w:val="24"/>
        </w:rPr>
        <w:t>】招标的有关活动，并对此项目进行投标。为此：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18" w:name="_Hlk101257010"/>
      <w:r>
        <w:rPr>
          <w:rFonts w:hint="eastAsia" w:ascii="仿宋" w:hAnsi="仿宋" w:eastAsia="仿宋" w:cs="仿宋"/>
          <w:snapToGrid w:val="0"/>
          <w:kern w:val="28"/>
          <w:sz w:val="24"/>
          <w:szCs w:val="20"/>
        </w:rPr>
        <w:t>（如果有)</w:t>
      </w:r>
      <w:bookmarkEnd w:id="518"/>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6"/>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6"/>
        <w:rPr>
          <w:rFonts w:hint="eastAsia"/>
        </w:rPr>
      </w:pPr>
    </w:p>
    <w:p>
      <w:pPr>
        <w:rPr>
          <w:rFonts w:hint="eastAsia" w:ascii="仿宋" w:hAnsi="仿宋" w:eastAsia="仿宋" w:cs="仿宋"/>
        </w:rPr>
      </w:pPr>
    </w:p>
    <w:p>
      <w:pPr>
        <w:jc w:val="center"/>
        <w:rPr>
          <w:rFonts w:hint="eastAsia" w:ascii="仿宋" w:hAnsi="仿宋" w:eastAsia="仿宋" w:cs="仿宋"/>
          <w:b/>
          <w:kern w:val="0"/>
          <w:sz w:val="32"/>
          <w:szCs w:val="32"/>
          <w:lang w:val="en-US"/>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桐庐县市政园林建设管理处</w:t>
      </w:r>
      <w:r>
        <w:rPr>
          <w:rFonts w:hint="eastAsia" w:ascii="仿宋" w:hAnsi="仿宋" w:eastAsia="仿宋" w:cs="仿宋"/>
          <w:sz w:val="24"/>
        </w:rPr>
        <w:t>、</w:t>
      </w:r>
      <w:r>
        <w:rPr>
          <w:rFonts w:hint="eastAsia" w:ascii="仿宋" w:hAnsi="仿宋" w:eastAsia="仿宋" w:cs="仿宋"/>
          <w:sz w:val="24"/>
          <w:lang w:eastAsia="zh-CN"/>
        </w:rPr>
        <w:t>同舟国际工程管理有限公司</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2022年至2024年县城花卉采购种植及养护项目</w:t>
      </w:r>
      <w:r>
        <w:rPr>
          <w:rFonts w:hint="eastAsia" w:ascii="仿宋" w:hAnsi="仿宋" w:eastAsia="仿宋" w:cs="仿宋"/>
          <w:sz w:val="24"/>
        </w:rPr>
        <w:t>【招标编号：</w:t>
      </w:r>
      <w:r>
        <w:rPr>
          <w:rFonts w:hint="eastAsia" w:ascii="仿宋" w:hAnsi="仿宋" w:eastAsia="仿宋" w:cs="仿宋"/>
          <w:sz w:val="24"/>
          <w:lang w:eastAsia="zh-CN"/>
        </w:rPr>
        <w:t>TZCG-TL2022-007</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pStyle w:val="6"/>
        <w:rPr>
          <w:rFonts w:hint="eastAsia" w:ascii="仿宋" w:hAnsi="仿宋" w:eastAsia="仿宋" w:cs="仿宋"/>
          <w:sz w:val="24"/>
        </w:rPr>
      </w:pPr>
    </w:p>
    <w:p>
      <w:pPr>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桐庐县市政园林建设管理处</w:t>
      </w:r>
      <w:r>
        <w:rPr>
          <w:rFonts w:hint="eastAsia" w:ascii="仿宋" w:hAnsi="仿宋" w:eastAsia="仿宋" w:cs="仿宋"/>
          <w:sz w:val="24"/>
        </w:rPr>
        <w:t>、</w:t>
      </w:r>
      <w:r>
        <w:rPr>
          <w:rFonts w:hint="eastAsia" w:ascii="仿宋" w:hAnsi="仿宋" w:eastAsia="仿宋" w:cs="仿宋"/>
          <w:sz w:val="24"/>
          <w:lang w:eastAsia="zh-CN"/>
        </w:rPr>
        <w:t>同舟国际工程管理有限公司</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2022年至2024年县城花卉采购种植及养护项目</w:t>
      </w:r>
      <w:r>
        <w:rPr>
          <w:rFonts w:hint="eastAsia" w:ascii="仿宋" w:hAnsi="仿宋" w:eastAsia="仿宋" w:cs="仿宋"/>
          <w:sz w:val="24"/>
        </w:rPr>
        <w:t>【招标编号：</w:t>
      </w:r>
      <w:r>
        <w:rPr>
          <w:rFonts w:hint="eastAsia" w:ascii="仿宋" w:hAnsi="仿宋" w:eastAsia="仿宋" w:cs="仿宋"/>
          <w:sz w:val="24"/>
          <w:lang w:eastAsia="zh-CN"/>
        </w:rPr>
        <w:t>TZCG-TL2022-007</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6"/>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5" w:h="16838"/>
          <w:pgMar w:top="1304" w:right="1417" w:bottom="1304" w:left="1417" w:header="851" w:footer="850" w:gutter="0"/>
          <w:pgNumType w:fmt="decimal"/>
          <w:cols w:space="0" w:num="1"/>
          <w:rtlGutter w:val="0"/>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6"/>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桐庐县市政园林建设管理处</w:t>
      </w:r>
      <w:r>
        <w:rPr>
          <w:rFonts w:hint="eastAsia" w:ascii="仿宋" w:hAnsi="仿宋" w:eastAsia="仿宋" w:cs="仿宋"/>
          <w:sz w:val="24"/>
        </w:rPr>
        <w:t>、</w:t>
      </w:r>
      <w:r>
        <w:rPr>
          <w:rFonts w:hint="eastAsia" w:ascii="仿宋" w:hAnsi="仿宋" w:eastAsia="仿宋" w:cs="仿宋"/>
          <w:sz w:val="24"/>
          <w:lang w:eastAsia="zh-CN"/>
        </w:rPr>
        <w:t>同舟国际工程管理有限公司</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5" w:h="16838"/>
          <w:pgMar w:top="1304" w:right="1417" w:bottom="1304" w:left="1417" w:header="851" w:footer="850" w:gutter="0"/>
          <w:pgNumType w:fmt="decimal"/>
          <w:cols w:space="0" w:num="1"/>
          <w:rtlGutter w:val="0"/>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5" w:h="16838"/>
          <w:pgMar w:top="1304" w:right="1417" w:bottom="1304" w:left="1417" w:header="851" w:footer="850" w:gutter="0"/>
          <w:pgNumType w:fmt="decimal"/>
          <w:cols w:space="0" w:num="1"/>
          <w:rtlGutter w:val="0"/>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桐庐县市政园林建设管理处</w:t>
      </w:r>
      <w:r>
        <w:rPr>
          <w:rFonts w:hint="eastAsia" w:ascii="仿宋" w:hAnsi="仿宋" w:eastAsia="仿宋" w:cs="仿宋"/>
          <w:sz w:val="24"/>
        </w:rPr>
        <w:t>、</w:t>
      </w:r>
      <w:r>
        <w:rPr>
          <w:rFonts w:hint="eastAsia" w:ascii="仿宋" w:hAnsi="仿宋" w:eastAsia="仿宋" w:cs="仿宋"/>
          <w:sz w:val="24"/>
          <w:lang w:eastAsia="zh-CN"/>
        </w:rPr>
        <w:t>同舟国际工程管理有限公司</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lang w:eastAsia="zh-CN"/>
        </w:rPr>
        <w:t>2022年至2024年县城花卉采购种植及养护项目</w:t>
      </w:r>
      <w:r>
        <w:rPr>
          <w:rFonts w:hint="eastAsia" w:ascii="仿宋" w:hAnsi="仿宋" w:eastAsia="仿宋" w:cs="仿宋"/>
          <w:kern w:val="0"/>
          <w:sz w:val="24"/>
          <w:lang w:val="zh-CN"/>
        </w:rPr>
        <w:t>【招标编号：</w:t>
      </w:r>
      <w:r>
        <w:rPr>
          <w:rFonts w:hint="eastAsia" w:ascii="仿宋" w:hAnsi="仿宋" w:eastAsia="仿宋" w:cs="仿宋"/>
          <w:sz w:val="24"/>
          <w:lang w:eastAsia="zh-CN"/>
        </w:rPr>
        <w:t>TZCG-TL2022-007</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6"/>
        <w:gridCol w:w="1584"/>
        <w:gridCol w:w="1260"/>
        <w:gridCol w:w="817"/>
        <w:gridCol w:w="1250"/>
        <w:gridCol w:w="1200"/>
        <w:gridCol w:w="1400"/>
        <w:gridCol w:w="1567"/>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71" w:type="dxa"/>
            <w:vAlign w:val="bottom"/>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316" w:type="dxa"/>
            <w:vAlign w:val="bottom"/>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584" w:type="dxa"/>
            <w:vAlign w:val="bottom"/>
          </w:tcPr>
          <w:p>
            <w:pPr>
              <w:spacing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规格</w:t>
            </w:r>
          </w:p>
        </w:tc>
        <w:tc>
          <w:tcPr>
            <w:tcW w:w="1260" w:type="dxa"/>
            <w:vAlign w:val="bottom"/>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数量</w:t>
            </w:r>
          </w:p>
        </w:tc>
        <w:tc>
          <w:tcPr>
            <w:tcW w:w="817" w:type="dxa"/>
            <w:vAlign w:val="bottom"/>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单位</w:t>
            </w:r>
          </w:p>
        </w:tc>
        <w:tc>
          <w:tcPr>
            <w:tcW w:w="1250" w:type="dxa"/>
            <w:vAlign w:val="bottom"/>
          </w:tcPr>
          <w:p>
            <w:pPr>
              <w:spacing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期次</w:t>
            </w:r>
          </w:p>
        </w:tc>
        <w:tc>
          <w:tcPr>
            <w:tcW w:w="1200" w:type="dxa"/>
            <w:vAlign w:val="bottom"/>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服务时间</w:t>
            </w:r>
          </w:p>
        </w:tc>
        <w:tc>
          <w:tcPr>
            <w:tcW w:w="1400" w:type="dxa"/>
            <w:vAlign w:val="bottom"/>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highlight w:val="none"/>
                <w:lang w:val="en-US" w:eastAsia="zh-CN"/>
              </w:rPr>
              <w:t>单价（元）</w:t>
            </w:r>
          </w:p>
        </w:tc>
        <w:tc>
          <w:tcPr>
            <w:tcW w:w="1567" w:type="dxa"/>
            <w:vAlign w:val="bottom"/>
          </w:tcPr>
          <w:p>
            <w:pPr>
              <w:spacing w:line="360"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合价（元）</w:t>
            </w:r>
          </w:p>
        </w:tc>
        <w:tc>
          <w:tcPr>
            <w:tcW w:w="2367" w:type="dxa"/>
            <w:vAlign w:val="bottom"/>
          </w:tcPr>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316" w:type="dxa"/>
            <w:vAlign w:val="center"/>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栽植花卉</w:t>
            </w:r>
          </w:p>
          <w:p>
            <w:pPr>
              <w:jc w:val="center"/>
              <w:rPr>
                <w:rFonts w:hint="eastAsia" w:ascii="仿宋" w:hAnsi="仿宋" w:eastAsia="仿宋" w:cs="仿宋"/>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江北</w:t>
            </w:r>
            <w:r>
              <w:rPr>
                <w:rFonts w:hint="eastAsia" w:ascii="仿宋" w:hAnsi="仿宋" w:eastAsia="仿宋" w:cs="仿宋"/>
                <w:color w:val="auto"/>
                <w:kern w:val="0"/>
                <w:sz w:val="24"/>
              </w:rPr>
              <w:t>花坛）</w:t>
            </w:r>
          </w:p>
        </w:tc>
        <w:tc>
          <w:tcPr>
            <w:tcW w:w="1584"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w:t>
            </w:r>
          </w:p>
        </w:tc>
        <w:tc>
          <w:tcPr>
            <w:tcW w:w="1260"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color w:val="auto"/>
                <w:kern w:val="0"/>
                <w:sz w:val="24"/>
              </w:rPr>
              <w:t>582.42</w:t>
            </w:r>
          </w:p>
        </w:tc>
        <w:tc>
          <w:tcPr>
            <w:tcW w:w="817"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color w:val="auto"/>
                <w:kern w:val="0"/>
                <w:sz w:val="24"/>
              </w:rPr>
              <w:t>m2</w:t>
            </w:r>
          </w:p>
        </w:tc>
        <w:tc>
          <w:tcPr>
            <w:tcW w:w="1250" w:type="dxa"/>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一年</w:t>
            </w:r>
            <w:r>
              <w:rPr>
                <w:rFonts w:hint="eastAsia" w:ascii="仿宋" w:hAnsi="仿宋" w:eastAsia="仿宋" w:cs="仿宋"/>
                <w:sz w:val="24"/>
                <w:lang w:val="en-US" w:eastAsia="zh-CN"/>
              </w:rPr>
              <w:t>5期</w:t>
            </w:r>
          </w:p>
        </w:tc>
        <w:tc>
          <w:tcPr>
            <w:tcW w:w="1200"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2年</w:t>
            </w:r>
          </w:p>
        </w:tc>
        <w:tc>
          <w:tcPr>
            <w:tcW w:w="1400" w:type="dxa"/>
          </w:tcPr>
          <w:p>
            <w:pPr>
              <w:spacing w:line="360" w:lineRule="auto"/>
              <w:jc w:val="center"/>
              <w:rPr>
                <w:rFonts w:hint="eastAsia" w:ascii="仿宋" w:hAnsi="仿宋" w:eastAsia="仿宋" w:cs="仿宋"/>
                <w:sz w:val="24"/>
              </w:rPr>
            </w:pPr>
          </w:p>
        </w:tc>
        <w:tc>
          <w:tcPr>
            <w:tcW w:w="1567" w:type="dxa"/>
            <w:vAlign w:val="center"/>
          </w:tcPr>
          <w:p>
            <w:pPr>
              <w:spacing w:line="360" w:lineRule="auto"/>
              <w:jc w:val="center"/>
              <w:rPr>
                <w:rFonts w:hint="eastAsia" w:ascii="仿宋" w:hAnsi="仿宋" w:eastAsia="仿宋" w:cs="仿宋"/>
                <w:sz w:val="24"/>
              </w:rPr>
            </w:pPr>
          </w:p>
        </w:tc>
        <w:tc>
          <w:tcPr>
            <w:tcW w:w="23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2316" w:type="dxa"/>
            <w:vAlign w:val="center"/>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栽植花卉</w:t>
            </w:r>
          </w:p>
          <w:p>
            <w:pPr>
              <w:jc w:val="center"/>
              <w:rPr>
                <w:rFonts w:hint="eastAsia" w:ascii="仿宋" w:hAnsi="仿宋" w:eastAsia="仿宋" w:cs="仿宋"/>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江南</w:t>
            </w:r>
            <w:r>
              <w:rPr>
                <w:rFonts w:hint="eastAsia" w:ascii="仿宋" w:hAnsi="仿宋" w:eastAsia="仿宋" w:cs="仿宋"/>
                <w:color w:val="auto"/>
                <w:kern w:val="0"/>
                <w:sz w:val="24"/>
              </w:rPr>
              <w:t>花坛）</w:t>
            </w:r>
          </w:p>
        </w:tc>
        <w:tc>
          <w:tcPr>
            <w:tcW w:w="1584" w:type="dxa"/>
            <w:vAlign w:val="center"/>
          </w:tcPr>
          <w:p>
            <w:pPr>
              <w:snapToGrid w:val="0"/>
              <w:spacing w:line="360" w:lineRule="auto"/>
              <w:jc w:val="center"/>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w:t>
            </w:r>
          </w:p>
        </w:tc>
        <w:tc>
          <w:tcPr>
            <w:tcW w:w="1260" w:type="dxa"/>
            <w:vAlign w:val="center"/>
          </w:tcPr>
          <w:p>
            <w:pPr>
              <w:snapToGrid w:val="0"/>
              <w:spacing w:line="360" w:lineRule="auto"/>
              <w:jc w:val="center"/>
              <w:rPr>
                <w:rFonts w:hint="default" w:ascii="仿宋" w:hAnsi="仿宋" w:eastAsia="仿宋" w:cs="仿宋"/>
                <w:sz w:val="24"/>
                <w:lang w:val="en-US"/>
              </w:rPr>
            </w:pPr>
            <w:r>
              <w:rPr>
                <w:rFonts w:hint="eastAsia" w:ascii="仿宋" w:hAnsi="仿宋" w:eastAsia="仿宋" w:cs="仿宋"/>
                <w:b w:val="0"/>
                <w:bCs w:val="0"/>
                <w:color w:val="auto"/>
                <w:kern w:val="0"/>
                <w:sz w:val="24"/>
                <w:lang w:val="en-US" w:eastAsia="zh-CN"/>
              </w:rPr>
              <w:t>9362.38</w:t>
            </w:r>
          </w:p>
        </w:tc>
        <w:tc>
          <w:tcPr>
            <w:tcW w:w="817"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color w:val="auto"/>
                <w:kern w:val="0"/>
                <w:sz w:val="24"/>
              </w:rPr>
              <w:t>m2</w:t>
            </w:r>
          </w:p>
        </w:tc>
        <w:tc>
          <w:tcPr>
            <w:tcW w:w="1250"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一年</w:t>
            </w:r>
            <w:r>
              <w:rPr>
                <w:rFonts w:hint="eastAsia" w:ascii="仿宋" w:hAnsi="仿宋" w:eastAsia="仿宋" w:cs="仿宋"/>
                <w:sz w:val="24"/>
                <w:lang w:val="en-US" w:eastAsia="zh-CN"/>
              </w:rPr>
              <w:t>5期</w:t>
            </w:r>
          </w:p>
        </w:tc>
        <w:tc>
          <w:tcPr>
            <w:tcW w:w="12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2年</w:t>
            </w:r>
          </w:p>
        </w:tc>
        <w:tc>
          <w:tcPr>
            <w:tcW w:w="1400" w:type="dxa"/>
          </w:tcPr>
          <w:p>
            <w:pPr>
              <w:spacing w:line="360" w:lineRule="auto"/>
              <w:jc w:val="center"/>
              <w:rPr>
                <w:rFonts w:hint="eastAsia" w:ascii="仿宋" w:hAnsi="仿宋" w:eastAsia="仿宋" w:cs="仿宋"/>
                <w:sz w:val="24"/>
              </w:rPr>
            </w:pPr>
          </w:p>
        </w:tc>
        <w:tc>
          <w:tcPr>
            <w:tcW w:w="1567" w:type="dxa"/>
            <w:vAlign w:val="center"/>
          </w:tcPr>
          <w:p>
            <w:pPr>
              <w:spacing w:line="360" w:lineRule="auto"/>
              <w:jc w:val="center"/>
              <w:rPr>
                <w:rFonts w:hint="eastAsia" w:ascii="仿宋" w:hAnsi="仿宋" w:eastAsia="仿宋" w:cs="仿宋"/>
                <w:sz w:val="24"/>
              </w:rPr>
            </w:pPr>
          </w:p>
        </w:tc>
        <w:tc>
          <w:tcPr>
            <w:tcW w:w="23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1"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2316" w:type="dxa"/>
            <w:vAlign w:val="center"/>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栽植花卉</w:t>
            </w:r>
          </w:p>
          <w:p>
            <w:pPr>
              <w:jc w:val="center"/>
              <w:rPr>
                <w:rFonts w:hint="eastAsia" w:ascii="仿宋" w:hAnsi="仿宋" w:eastAsia="仿宋" w:cs="仿宋"/>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江北</w:t>
            </w:r>
            <w:r>
              <w:rPr>
                <w:rFonts w:hint="eastAsia" w:ascii="仿宋" w:hAnsi="仿宋" w:eastAsia="仿宋" w:cs="仿宋"/>
                <w:color w:val="auto"/>
                <w:kern w:val="0"/>
                <w:sz w:val="24"/>
              </w:rPr>
              <w:t>花箱）</w:t>
            </w:r>
            <w:r>
              <w:rPr>
                <w:rFonts w:hint="eastAsia" w:ascii="仿宋" w:hAnsi="仿宋" w:eastAsia="仿宋" w:cs="仿宋"/>
                <w:color w:val="auto"/>
                <w:kern w:val="0"/>
                <w:sz w:val="24"/>
                <w:lang w:val="en-US" w:eastAsia="zh-CN"/>
              </w:rPr>
              <w:t>229只</w:t>
            </w:r>
          </w:p>
        </w:tc>
        <w:tc>
          <w:tcPr>
            <w:tcW w:w="1584"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w:t>
            </w:r>
          </w:p>
        </w:tc>
        <w:tc>
          <w:tcPr>
            <w:tcW w:w="1260"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color w:val="auto"/>
                <w:kern w:val="0"/>
                <w:sz w:val="24"/>
              </w:rPr>
              <w:t>189.37</w:t>
            </w:r>
          </w:p>
        </w:tc>
        <w:tc>
          <w:tcPr>
            <w:tcW w:w="817"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color w:val="auto"/>
                <w:kern w:val="0"/>
                <w:sz w:val="24"/>
              </w:rPr>
              <w:t>m2</w:t>
            </w:r>
          </w:p>
        </w:tc>
        <w:tc>
          <w:tcPr>
            <w:tcW w:w="1250"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一年</w:t>
            </w:r>
            <w:r>
              <w:rPr>
                <w:rFonts w:hint="eastAsia" w:ascii="仿宋" w:hAnsi="仿宋" w:eastAsia="仿宋" w:cs="仿宋"/>
                <w:sz w:val="24"/>
                <w:lang w:val="en-US" w:eastAsia="zh-CN"/>
              </w:rPr>
              <w:t>5期</w:t>
            </w:r>
          </w:p>
        </w:tc>
        <w:tc>
          <w:tcPr>
            <w:tcW w:w="12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2年</w:t>
            </w:r>
          </w:p>
        </w:tc>
        <w:tc>
          <w:tcPr>
            <w:tcW w:w="1400" w:type="dxa"/>
          </w:tcPr>
          <w:p>
            <w:pPr>
              <w:spacing w:line="360" w:lineRule="auto"/>
              <w:jc w:val="center"/>
              <w:rPr>
                <w:rFonts w:hint="eastAsia" w:ascii="仿宋" w:hAnsi="仿宋" w:eastAsia="仿宋" w:cs="仿宋"/>
                <w:sz w:val="24"/>
              </w:rPr>
            </w:pPr>
          </w:p>
        </w:tc>
        <w:tc>
          <w:tcPr>
            <w:tcW w:w="1567" w:type="dxa"/>
            <w:vAlign w:val="center"/>
          </w:tcPr>
          <w:p>
            <w:pPr>
              <w:spacing w:line="360" w:lineRule="auto"/>
              <w:jc w:val="center"/>
              <w:rPr>
                <w:rFonts w:hint="eastAsia" w:ascii="仿宋" w:hAnsi="仿宋" w:eastAsia="仿宋" w:cs="仿宋"/>
                <w:sz w:val="24"/>
              </w:rPr>
            </w:pPr>
          </w:p>
        </w:tc>
        <w:tc>
          <w:tcPr>
            <w:tcW w:w="23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1"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2316"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栽植花卉</w:t>
            </w:r>
          </w:p>
          <w:p>
            <w:pPr>
              <w:widowControl/>
              <w:jc w:val="center"/>
              <w:rPr>
                <w:rFonts w:hint="eastAsia" w:ascii="仿宋" w:hAnsi="仿宋" w:eastAsia="仿宋" w:cs="仿宋"/>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江南</w:t>
            </w:r>
            <w:r>
              <w:rPr>
                <w:rFonts w:hint="eastAsia" w:ascii="仿宋" w:hAnsi="仿宋" w:eastAsia="仿宋" w:cs="仿宋"/>
                <w:color w:val="auto"/>
                <w:kern w:val="0"/>
                <w:sz w:val="24"/>
              </w:rPr>
              <w:t>花箱）</w:t>
            </w:r>
            <w:r>
              <w:rPr>
                <w:rFonts w:hint="eastAsia" w:ascii="仿宋" w:hAnsi="仿宋" w:eastAsia="仿宋" w:cs="仿宋"/>
                <w:color w:val="auto"/>
                <w:kern w:val="0"/>
                <w:sz w:val="24"/>
                <w:lang w:val="en-US" w:eastAsia="zh-CN"/>
              </w:rPr>
              <w:t>930只</w:t>
            </w:r>
          </w:p>
        </w:tc>
        <w:tc>
          <w:tcPr>
            <w:tcW w:w="1584"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w:t>
            </w:r>
          </w:p>
        </w:tc>
        <w:tc>
          <w:tcPr>
            <w:tcW w:w="1260"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color w:val="auto"/>
                <w:kern w:val="0"/>
                <w:sz w:val="24"/>
              </w:rPr>
              <w:t>8</w:t>
            </w:r>
            <w:r>
              <w:rPr>
                <w:rFonts w:hint="eastAsia" w:ascii="仿宋" w:hAnsi="仿宋" w:eastAsia="仿宋" w:cs="仿宋"/>
                <w:color w:val="auto"/>
                <w:kern w:val="0"/>
                <w:sz w:val="24"/>
                <w:lang w:val="en-US" w:eastAsia="zh-CN"/>
              </w:rPr>
              <w:t>44.97</w:t>
            </w:r>
          </w:p>
        </w:tc>
        <w:tc>
          <w:tcPr>
            <w:tcW w:w="817"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color w:val="auto"/>
                <w:kern w:val="0"/>
                <w:sz w:val="24"/>
              </w:rPr>
              <w:t>m2</w:t>
            </w:r>
          </w:p>
        </w:tc>
        <w:tc>
          <w:tcPr>
            <w:tcW w:w="1250"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一年</w:t>
            </w:r>
            <w:r>
              <w:rPr>
                <w:rFonts w:hint="eastAsia" w:ascii="仿宋" w:hAnsi="仿宋" w:eastAsia="仿宋" w:cs="仿宋"/>
                <w:sz w:val="24"/>
                <w:lang w:val="en-US" w:eastAsia="zh-CN"/>
              </w:rPr>
              <w:t>5期</w:t>
            </w:r>
          </w:p>
        </w:tc>
        <w:tc>
          <w:tcPr>
            <w:tcW w:w="12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2年</w:t>
            </w:r>
          </w:p>
        </w:tc>
        <w:tc>
          <w:tcPr>
            <w:tcW w:w="1400" w:type="dxa"/>
          </w:tcPr>
          <w:p>
            <w:pPr>
              <w:spacing w:line="360" w:lineRule="auto"/>
              <w:jc w:val="center"/>
              <w:rPr>
                <w:rFonts w:hint="eastAsia" w:ascii="仿宋" w:hAnsi="仿宋" w:eastAsia="仿宋" w:cs="仿宋"/>
                <w:sz w:val="24"/>
              </w:rPr>
            </w:pPr>
          </w:p>
        </w:tc>
        <w:tc>
          <w:tcPr>
            <w:tcW w:w="1567" w:type="dxa"/>
            <w:vAlign w:val="center"/>
          </w:tcPr>
          <w:p>
            <w:pPr>
              <w:spacing w:line="360" w:lineRule="auto"/>
              <w:jc w:val="center"/>
              <w:rPr>
                <w:rFonts w:hint="eastAsia" w:ascii="仿宋" w:hAnsi="仿宋" w:eastAsia="仿宋" w:cs="仿宋"/>
                <w:sz w:val="24"/>
              </w:rPr>
            </w:pPr>
          </w:p>
        </w:tc>
        <w:tc>
          <w:tcPr>
            <w:tcW w:w="23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1"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2316"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花箱破损修理</w:t>
            </w:r>
          </w:p>
        </w:tc>
        <w:tc>
          <w:tcPr>
            <w:tcW w:w="1584" w:type="dxa"/>
            <w:vAlign w:val="center"/>
          </w:tcPr>
          <w:p>
            <w:pPr>
              <w:snapToGrid w:val="0"/>
              <w:spacing w:line="360" w:lineRule="auto"/>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w:t>
            </w:r>
          </w:p>
        </w:tc>
        <w:tc>
          <w:tcPr>
            <w:tcW w:w="1260" w:type="dxa"/>
            <w:vAlign w:val="center"/>
          </w:tcPr>
          <w:p>
            <w:pPr>
              <w:snapToGrid w:val="0"/>
              <w:spacing w:line="360" w:lineRule="auto"/>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150</w:t>
            </w:r>
          </w:p>
        </w:tc>
        <w:tc>
          <w:tcPr>
            <w:tcW w:w="817"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个</w:t>
            </w:r>
          </w:p>
        </w:tc>
        <w:tc>
          <w:tcPr>
            <w:tcW w:w="1250" w:type="dxa"/>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200"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2年</w:t>
            </w:r>
          </w:p>
        </w:tc>
        <w:tc>
          <w:tcPr>
            <w:tcW w:w="1400" w:type="dxa"/>
          </w:tcPr>
          <w:p>
            <w:pPr>
              <w:spacing w:line="360" w:lineRule="auto"/>
              <w:jc w:val="center"/>
              <w:rPr>
                <w:rFonts w:hint="eastAsia" w:ascii="仿宋" w:hAnsi="仿宋" w:eastAsia="仿宋" w:cs="仿宋"/>
                <w:sz w:val="24"/>
              </w:rPr>
            </w:pPr>
          </w:p>
        </w:tc>
        <w:tc>
          <w:tcPr>
            <w:tcW w:w="1567" w:type="dxa"/>
            <w:vAlign w:val="center"/>
          </w:tcPr>
          <w:p>
            <w:pPr>
              <w:spacing w:line="360" w:lineRule="auto"/>
              <w:jc w:val="center"/>
              <w:rPr>
                <w:rFonts w:hint="eastAsia" w:ascii="仿宋" w:hAnsi="仿宋" w:eastAsia="仿宋" w:cs="仿宋"/>
                <w:sz w:val="24"/>
              </w:rPr>
            </w:pPr>
          </w:p>
        </w:tc>
        <w:tc>
          <w:tcPr>
            <w:tcW w:w="2367"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color w:val="auto"/>
                <w:kern w:val="0"/>
                <w:sz w:val="24"/>
              </w:rPr>
              <w:t>按实际完成量结算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532" w:type="dxa"/>
            <w:gridSpan w:val="10"/>
            <w:vAlign w:val="center"/>
          </w:tcPr>
          <w:p>
            <w:pPr>
              <w:widowControl/>
              <w:jc w:val="center"/>
              <w:rPr>
                <w:rFonts w:hint="eastAsia" w:ascii="仿宋" w:hAnsi="仿宋" w:eastAsia="仿宋" w:cs="仿宋"/>
                <w:sz w:val="24"/>
              </w:rPr>
            </w:pPr>
            <w:r>
              <w:rPr>
                <w:rFonts w:hint="eastAsia" w:ascii="仿宋" w:hAnsi="仿宋" w:eastAsia="仿宋" w:cs="仿宋"/>
                <w:color w:val="auto"/>
                <w:kern w:val="0"/>
                <w:sz w:val="24"/>
                <w:lang w:val="en-US" w:eastAsia="zh-CN"/>
              </w:rPr>
              <w:t>花卉栽植（摆放花箱）（</w:t>
            </w:r>
            <w:r>
              <w:rPr>
                <w:rFonts w:hint="eastAsia" w:ascii="仿宋" w:hAnsi="仿宋" w:eastAsia="仿宋" w:cs="仿宋"/>
                <w:color w:val="auto"/>
                <w:kern w:val="0"/>
                <w:sz w:val="24"/>
              </w:rPr>
              <w:t>按实际完成量结算</w:t>
            </w:r>
            <w:r>
              <w:rPr>
                <w:rFonts w:hint="eastAsia" w:ascii="仿宋" w:hAnsi="仿宋" w:eastAsia="仿宋" w:cs="仿宋"/>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71"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2316"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杜鹃球</w:t>
            </w:r>
          </w:p>
        </w:tc>
        <w:tc>
          <w:tcPr>
            <w:tcW w:w="1584"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冠丛高:60cm</w:t>
            </w:r>
            <w:r>
              <w:rPr>
                <w:rFonts w:hint="eastAsia" w:ascii="仿宋" w:hAnsi="仿宋" w:eastAsia="仿宋" w:cs="仿宋"/>
                <w:color w:val="auto"/>
                <w:kern w:val="0"/>
                <w:sz w:val="24"/>
                <w:lang w:val="en-US" w:eastAsia="zh-CN"/>
              </w:rPr>
              <w:br w:type="textWrapping"/>
            </w:r>
            <w:r>
              <w:rPr>
                <w:rFonts w:hint="eastAsia" w:ascii="仿宋" w:hAnsi="仿宋" w:eastAsia="仿宋" w:cs="仿宋"/>
                <w:color w:val="auto"/>
                <w:kern w:val="0"/>
                <w:sz w:val="24"/>
                <w:lang w:val="en-US" w:eastAsia="zh-CN"/>
              </w:rPr>
              <w:t>蓬径:60cm</w:t>
            </w:r>
          </w:p>
        </w:tc>
        <w:tc>
          <w:tcPr>
            <w:tcW w:w="1260"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90</w:t>
            </w:r>
          </w:p>
        </w:tc>
        <w:tc>
          <w:tcPr>
            <w:tcW w:w="817"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株</w:t>
            </w:r>
          </w:p>
        </w:tc>
        <w:tc>
          <w:tcPr>
            <w:tcW w:w="1250"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一年</w:t>
            </w:r>
            <w:r>
              <w:rPr>
                <w:rFonts w:hint="eastAsia" w:ascii="仿宋" w:hAnsi="仿宋" w:eastAsia="仿宋" w:cs="仿宋"/>
                <w:sz w:val="24"/>
                <w:lang w:val="en-US" w:eastAsia="zh-CN"/>
              </w:rPr>
              <w:t>5期</w:t>
            </w:r>
          </w:p>
        </w:tc>
        <w:tc>
          <w:tcPr>
            <w:tcW w:w="12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2年</w:t>
            </w:r>
          </w:p>
        </w:tc>
        <w:tc>
          <w:tcPr>
            <w:tcW w:w="1400" w:type="dxa"/>
            <w:vAlign w:val="center"/>
          </w:tcPr>
          <w:p>
            <w:pPr>
              <w:spacing w:line="360" w:lineRule="auto"/>
              <w:jc w:val="center"/>
              <w:rPr>
                <w:rFonts w:hint="eastAsia" w:ascii="仿宋" w:hAnsi="仿宋" w:eastAsia="仿宋" w:cs="仿宋"/>
                <w:sz w:val="24"/>
              </w:rPr>
            </w:pPr>
          </w:p>
        </w:tc>
        <w:tc>
          <w:tcPr>
            <w:tcW w:w="1567" w:type="dxa"/>
            <w:vAlign w:val="center"/>
          </w:tcPr>
          <w:p>
            <w:pPr>
              <w:spacing w:line="360" w:lineRule="auto"/>
              <w:jc w:val="center"/>
              <w:rPr>
                <w:rFonts w:hint="eastAsia" w:ascii="仿宋" w:hAnsi="仿宋" w:eastAsia="仿宋" w:cs="仿宋"/>
                <w:sz w:val="24"/>
              </w:rPr>
            </w:pPr>
          </w:p>
        </w:tc>
        <w:tc>
          <w:tcPr>
            <w:tcW w:w="23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71"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2316"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杜鹃球</w:t>
            </w:r>
          </w:p>
        </w:tc>
        <w:tc>
          <w:tcPr>
            <w:tcW w:w="1584"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冠高:100cm</w:t>
            </w:r>
            <w:r>
              <w:rPr>
                <w:rFonts w:hint="eastAsia" w:ascii="仿宋" w:hAnsi="仿宋" w:eastAsia="仿宋" w:cs="仿宋"/>
                <w:color w:val="auto"/>
                <w:kern w:val="0"/>
                <w:sz w:val="24"/>
                <w:lang w:val="en-US" w:eastAsia="zh-CN"/>
              </w:rPr>
              <w:br w:type="textWrapping"/>
            </w:r>
            <w:r>
              <w:rPr>
                <w:rFonts w:hint="eastAsia" w:ascii="仿宋" w:hAnsi="仿宋" w:eastAsia="仿宋" w:cs="仿宋"/>
                <w:color w:val="auto"/>
                <w:kern w:val="0"/>
                <w:sz w:val="24"/>
                <w:lang w:val="en-US" w:eastAsia="zh-CN"/>
              </w:rPr>
              <w:t>蓬径:100cm</w:t>
            </w:r>
          </w:p>
        </w:tc>
        <w:tc>
          <w:tcPr>
            <w:tcW w:w="1260"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35</w:t>
            </w:r>
          </w:p>
        </w:tc>
        <w:tc>
          <w:tcPr>
            <w:tcW w:w="817" w:type="dxa"/>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株</w:t>
            </w:r>
          </w:p>
        </w:tc>
        <w:tc>
          <w:tcPr>
            <w:tcW w:w="1250"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一年</w:t>
            </w:r>
            <w:r>
              <w:rPr>
                <w:rFonts w:hint="eastAsia" w:ascii="仿宋" w:hAnsi="仿宋" w:eastAsia="仿宋" w:cs="仿宋"/>
                <w:sz w:val="24"/>
                <w:lang w:val="en-US" w:eastAsia="zh-CN"/>
              </w:rPr>
              <w:t>5期</w:t>
            </w:r>
          </w:p>
        </w:tc>
        <w:tc>
          <w:tcPr>
            <w:tcW w:w="12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2年</w:t>
            </w:r>
          </w:p>
        </w:tc>
        <w:tc>
          <w:tcPr>
            <w:tcW w:w="1400" w:type="dxa"/>
            <w:vAlign w:val="center"/>
          </w:tcPr>
          <w:p>
            <w:pPr>
              <w:spacing w:line="360" w:lineRule="auto"/>
              <w:jc w:val="center"/>
              <w:rPr>
                <w:rFonts w:hint="eastAsia" w:ascii="仿宋" w:hAnsi="仿宋" w:eastAsia="仿宋" w:cs="仿宋"/>
                <w:sz w:val="24"/>
              </w:rPr>
            </w:pPr>
          </w:p>
        </w:tc>
        <w:tc>
          <w:tcPr>
            <w:tcW w:w="1567" w:type="dxa"/>
            <w:vAlign w:val="center"/>
          </w:tcPr>
          <w:p>
            <w:pPr>
              <w:spacing w:line="360" w:lineRule="auto"/>
              <w:jc w:val="center"/>
              <w:rPr>
                <w:rFonts w:hint="eastAsia" w:ascii="仿宋" w:hAnsi="仿宋" w:eastAsia="仿宋" w:cs="仿宋"/>
                <w:sz w:val="24"/>
              </w:rPr>
            </w:pPr>
          </w:p>
        </w:tc>
        <w:tc>
          <w:tcPr>
            <w:tcW w:w="23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1"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2316"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五色梅</w:t>
            </w:r>
          </w:p>
        </w:tc>
        <w:tc>
          <w:tcPr>
            <w:tcW w:w="1584"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2加仑</w:t>
            </w:r>
          </w:p>
        </w:tc>
        <w:tc>
          <w:tcPr>
            <w:tcW w:w="1260"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100</w:t>
            </w:r>
          </w:p>
        </w:tc>
        <w:tc>
          <w:tcPr>
            <w:tcW w:w="817"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盆</w:t>
            </w:r>
          </w:p>
        </w:tc>
        <w:tc>
          <w:tcPr>
            <w:tcW w:w="1250"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一年</w:t>
            </w:r>
            <w:r>
              <w:rPr>
                <w:rFonts w:hint="eastAsia" w:ascii="仿宋" w:hAnsi="仿宋" w:eastAsia="仿宋" w:cs="仿宋"/>
                <w:sz w:val="24"/>
                <w:lang w:val="en-US" w:eastAsia="zh-CN"/>
              </w:rPr>
              <w:t>5期</w:t>
            </w:r>
          </w:p>
        </w:tc>
        <w:tc>
          <w:tcPr>
            <w:tcW w:w="12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2年</w:t>
            </w:r>
          </w:p>
        </w:tc>
        <w:tc>
          <w:tcPr>
            <w:tcW w:w="1400" w:type="dxa"/>
          </w:tcPr>
          <w:p>
            <w:pPr>
              <w:spacing w:line="360" w:lineRule="auto"/>
              <w:jc w:val="center"/>
              <w:rPr>
                <w:rFonts w:hint="eastAsia" w:ascii="仿宋" w:hAnsi="仿宋" w:eastAsia="仿宋" w:cs="仿宋"/>
                <w:sz w:val="24"/>
              </w:rPr>
            </w:pPr>
          </w:p>
        </w:tc>
        <w:tc>
          <w:tcPr>
            <w:tcW w:w="1567" w:type="dxa"/>
            <w:vAlign w:val="center"/>
          </w:tcPr>
          <w:p>
            <w:pPr>
              <w:spacing w:line="360" w:lineRule="auto"/>
              <w:jc w:val="center"/>
              <w:rPr>
                <w:rFonts w:hint="eastAsia" w:ascii="仿宋" w:hAnsi="仿宋" w:eastAsia="仿宋" w:cs="仿宋"/>
                <w:sz w:val="24"/>
              </w:rPr>
            </w:pPr>
          </w:p>
        </w:tc>
        <w:tc>
          <w:tcPr>
            <w:tcW w:w="23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1"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2316"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非洲狼尾草</w:t>
            </w:r>
          </w:p>
        </w:tc>
        <w:tc>
          <w:tcPr>
            <w:tcW w:w="1584" w:type="dxa"/>
            <w:vAlign w:val="center"/>
          </w:tcPr>
          <w:p>
            <w:pPr>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2加仑</w:t>
            </w:r>
          </w:p>
        </w:tc>
        <w:tc>
          <w:tcPr>
            <w:tcW w:w="1260"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100</w:t>
            </w:r>
          </w:p>
        </w:tc>
        <w:tc>
          <w:tcPr>
            <w:tcW w:w="817" w:type="dxa"/>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盆</w:t>
            </w:r>
          </w:p>
        </w:tc>
        <w:tc>
          <w:tcPr>
            <w:tcW w:w="1250"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一年</w:t>
            </w:r>
            <w:r>
              <w:rPr>
                <w:rFonts w:hint="eastAsia" w:ascii="仿宋" w:hAnsi="仿宋" w:eastAsia="仿宋" w:cs="仿宋"/>
                <w:sz w:val="24"/>
                <w:lang w:val="en-US" w:eastAsia="zh-CN"/>
              </w:rPr>
              <w:t>5期</w:t>
            </w:r>
          </w:p>
        </w:tc>
        <w:tc>
          <w:tcPr>
            <w:tcW w:w="12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2年</w:t>
            </w:r>
          </w:p>
        </w:tc>
        <w:tc>
          <w:tcPr>
            <w:tcW w:w="1400" w:type="dxa"/>
          </w:tcPr>
          <w:p>
            <w:pPr>
              <w:spacing w:line="360" w:lineRule="auto"/>
              <w:jc w:val="center"/>
              <w:rPr>
                <w:rFonts w:hint="eastAsia" w:ascii="仿宋" w:hAnsi="仿宋" w:eastAsia="仿宋" w:cs="仿宋"/>
                <w:sz w:val="24"/>
              </w:rPr>
            </w:pPr>
          </w:p>
        </w:tc>
        <w:tc>
          <w:tcPr>
            <w:tcW w:w="1567" w:type="dxa"/>
            <w:vAlign w:val="center"/>
          </w:tcPr>
          <w:p>
            <w:pPr>
              <w:spacing w:line="360" w:lineRule="auto"/>
              <w:jc w:val="center"/>
              <w:rPr>
                <w:rFonts w:hint="eastAsia" w:ascii="仿宋" w:hAnsi="仿宋" w:eastAsia="仿宋" w:cs="仿宋"/>
                <w:sz w:val="24"/>
              </w:rPr>
            </w:pPr>
          </w:p>
        </w:tc>
        <w:tc>
          <w:tcPr>
            <w:tcW w:w="23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1"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316" w:type="dxa"/>
            <w:vAlign w:val="center"/>
          </w:tcPr>
          <w:p>
            <w:pPr>
              <w:snapToGrid w:val="0"/>
              <w:spacing w:line="360" w:lineRule="auto"/>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w:t>
            </w:r>
          </w:p>
        </w:tc>
        <w:tc>
          <w:tcPr>
            <w:tcW w:w="1584"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260"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817" w:type="dxa"/>
            <w:vAlign w:val="center"/>
          </w:tcPr>
          <w:p>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250"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lang w:val="en-US" w:eastAsia="zh-CN"/>
              </w:rPr>
              <w:t>...</w:t>
            </w:r>
          </w:p>
        </w:tc>
        <w:tc>
          <w:tcPr>
            <w:tcW w:w="12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w:t>
            </w:r>
          </w:p>
        </w:tc>
        <w:tc>
          <w:tcPr>
            <w:tcW w:w="1400" w:type="dxa"/>
          </w:tcPr>
          <w:p>
            <w:pPr>
              <w:spacing w:line="360" w:lineRule="auto"/>
              <w:jc w:val="center"/>
              <w:rPr>
                <w:rFonts w:hint="eastAsia" w:ascii="仿宋" w:hAnsi="仿宋" w:eastAsia="仿宋" w:cs="仿宋"/>
                <w:sz w:val="24"/>
              </w:rPr>
            </w:pPr>
          </w:p>
        </w:tc>
        <w:tc>
          <w:tcPr>
            <w:tcW w:w="1567" w:type="dxa"/>
            <w:vAlign w:val="center"/>
          </w:tcPr>
          <w:p>
            <w:pPr>
              <w:spacing w:line="360" w:lineRule="auto"/>
              <w:jc w:val="center"/>
              <w:rPr>
                <w:rFonts w:hint="eastAsia" w:ascii="仿宋" w:hAnsi="仿宋" w:eastAsia="仿宋" w:cs="仿宋"/>
                <w:sz w:val="24"/>
              </w:rPr>
            </w:pPr>
          </w:p>
        </w:tc>
        <w:tc>
          <w:tcPr>
            <w:tcW w:w="2367"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48" w:type="dxa"/>
            <w:gridSpan w:val="5"/>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784" w:type="dxa"/>
            <w:gridSpan w:val="5"/>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48" w:type="dxa"/>
            <w:gridSpan w:val="5"/>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784" w:type="dxa"/>
            <w:gridSpan w:val="5"/>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color w:val="FF0000"/>
          <w:kern w:val="0"/>
          <w:sz w:val="24"/>
          <w:lang w:val="zh-CN"/>
        </w:rPr>
        <w:t>，</w:t>
      </w:r>
      <w:r>
        <w:rPr>
          <w:rFonts w:hint="eastAsia" w:ascii="仿宋" w:hAnsi="仿宋" w:eastAsia="仿宋" w:cs="仿宋"/>
          <w:b/>
          <w:color w:val="FF0000"/>
          <w:kern w:val="0"/>
          <w:sz w:val="24"/>
        </w:rPr>
        <w:t>否则视为</w:t>
      </w:r>
      <w:r>
        <w:rPr>
          <w:rFonts w:hint="eastAsia" w:ascii="仿宋" w:hAnsi="仿宋" w:eastAsia="仿宋" w:cs="仿宋"/>
          <w:b/>
          <w:color w:val="FF0000"/>
          <w:sz w:val="24"/>
        </w:rPr>
        <w:t>投标文件含有采购人不能接受的附加条件，投标无效</w:t>
      </w:r>
      <w:r>
        <w:rPr>
          <w:rFonts w:hint="eastAsia" w:ascii="仿宋" w:hAnsi="仿宋" w:eastAsia="仿宋" w:cs="仿宋"/>
          <w:b/>
          <w:color w:val="FF0000"/>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color w:val="FF0000"/>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color w:val="FF0000"/>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FF0000"/>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color w:val="FF0000"/>
          <w:kern w:val="0"/>
          <w:sz w:val="24"/>
        </w:rPr>
        <w:t>否则视为</w:t>
      </w:r>
      <w:r>
        <w:rPr>
          <w:rFonts w:hint="eastAsia" w:ascii="仿宋" w:hAnsi="仿宋" w:eastAsia="仿宋" w:cs="仿宋"/>
          <w:b/>
          <w:color w:val="FF0000"/>
          <w:sz w:val="24"/>
        </w:rPr>
        <w:t>投标文件含有采购人不能接受的附加条件，投标无效</w:t>
      </w:r>
      <w:r>
        <w:rPr>
          <w:rFonts w:hint="eastAsia" w:ascii="仿宋" w:hAnsi="仿宋" w:eastAsia="仿宋" w:cs="仿宋"/>
          <w:b/>
          <w:color w:val="FF0000"/>
          <w:kern w:val="0"/>
          <w:sz w:val="24"/>
          <w:lang w:val="zh-CN"/>
        </w:rPr>
        <w:t>；采购内容未包含在《开标一览表（报价表）》名称栏中，投标人不能作出合理解释的，</w:t>
      </w:r>
      <w:r>
        <w:rPr>
          <w:rFonts w:hint="eastAsia" w:ascii="仿宋" w:hAnsi="仿宋" w:eastAsia="仿宋" w:cs="仿宋"/>
          <w:b/>
          <w:color w:val="FF0000"/>
          <w:kern w:val="0"/>
          <w:sz w:val="24"/>
        </w:rPr>
        <w:t>视为</w:t>
      </w:r>
      <w:r>
        <w:rPr>
          <w:rFonts w:hint="eastAsia" w:ascii="仿宋" w:hAnsi="仿宋" w:eastAsia="仿宋" w:cs="仿宋"/>
          <w:b/>
          <w:color w:val="FF0000"/>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w:t>
      </w:r>
      <w:r>
        <w:rPr>
          <w:rFonts w:hint="eastAsia" w:ascii="仿宋" w:hAnsi="仿宋" w:eastAsia="仿宋" w:cs="仿宋"/>
          <w:color w:val="auto"/>
          <w:kern w:val="0"/>
          <w:sz w:val="24"/>
          <w:highlight w:val="none"/>
          <w:lang w:val="zh-CN"/>
        </w:rPr>
        <w:t>名称、服务时间</w:t>
      </w:r>
      <w:r>
        <w:rPr>
          <w:rFonts w:hint="eastAsia" w:ascii="仿宋" w:hAnsi="仿宋" w:eastAsia="仿宋" w:cs="仿宋"/>
          <w:kern w:val="0"/>
          <w:sz w:val="24"/>
          <w:lang w:val="zh-CN"/>
        </w:rPr>
        <w:t>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5" w:orient="landscape"/>
          <w:pgMar w:top="1417" w:right="1304" w:bottom="1417" w:left="1304" w:header="851" w:footer="850" w:gutter="0"/>
          <w:pgNumType w:fmt="decimal"/>
          <w:cols w:space="0" w:num="1"/>
          <w:rtlGutter w:val="0"/>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6"/>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6"/>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19" w:name="_Toc465665161"/>
      <w:r>
        <w:rPr>
          <w:rFonts w:hint="eastAsia" w:ascii="仿宋" w:hAnsi="仿宋" w:eastAsia="仿宋" w:cs="仿宋"/>
        </w:rPr>
        <w:t>附件</w:t>
      </w:r>
      <w:bookmarkEnd w:id="519"/>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20" w:name="OLE_LINK13"/>
      <w:bookmarkStart w:id="521" w:name="OLE_LINK14"/>
      <w:r>
        <w:rPr>
          <w:rFonts w:hint="eastAsia" w:ascii="仿宋" w:hAnsi="仿宋" w:eastAsia="仿宋" w:cs="仿宋"/>
          <w:b/>
          <w:spacing w:val="6"/>
          <w:sz w:val="32"/>
          <w:szCs w:val="32"/>
        </w:rPr>
        <w:t>残疾人福利性单位声明函</w:t>
      </w:r>
    </w:p>
    <w:bookmarkEnd w:id="520"/>
    <w:bookmarkEnd w:id="521"/>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both"/>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lang w:eastAsia="zh-CN"/>
        </w:rPr>
      </w:pPr>
      <w:r>
        <w:rPr>
          <w:rFonts w:hint="eastAsia" w:ascii="仿宋" w:hAnsi="仿宋" w:eastAsia="仿宋" w:cs="仿宋"/>
          <w:sz w:val="24"/>
          <w:u w:val="single"/>
          <w:lang w:eastAsia="zh-CN"/>
        </w:rPr>
        <w:t>桐庐县市政园林建设管理处</w:t>
      </w:r>
      <w:r>
        <w:rPr>
          <w:rFonts w:hint="eastAsia" w:ascii="仿宋" w:hAnsi="仿宋" w:eastAsia="仿宋" w:cs="仿宋"/>
          <w:sz w:val="24"/>
          <w:u w:val="single"/>
        </w:rPr>
        <w:t>、</w:t>
      </w:r>
      <w:r>
        <w:rPr>
          <w:rFonts w:hint="eastAsia" w:ascii="仿宋" w:hAnsi="仿宋" w:eastAsia="仿宋" w:cs="仿宋"/>
          <w:sz w:val="24"/>
          <w:u w:val="single"/>
          <w:lang w:eastAsia="zh-CN"/>
        </w:rPr>
        <w:t>同舟国际工程管理有限公司</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2022年至2024年县城花卉采购种植及养护项目</w:t>
      </w:r>
      <w:r>
        <w:rPr>
          <w:rFonts w:hint="eastAsia" w:ascii="仿宋" w:hAnsi="仿宋" w:eastAsia="仿宋" w:cs="仿宋"/>
          <w:sz w:val="24"/>
        </w:rPr>
        <w:t>项目【招标编号：</w:t>
      </w:r>
      <w:r>
        <w:rPr>
          <w:rFonts w:hint="eastAsia" w:ascii="仿宋" w:hAnsi="仿宋" w:eastAsia="仿宋" w:cs="仿宋"/>
          <w:sz w:val="24"/>
          <w:lang w:eastAsia="zh-CN"/>
        </w:rPr>
        <w:t>TZCG-TL2022-007</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b/>
          <w:bCs/>
          <w:sz w:val="24"/>
        </w:rPr>
      </w:pPr>
    </w:p>
    <w:p>
      <w:pPr>
        <w:rPr>
          <w:rFonts w:hint="eastAsia" w:ascii="仿宋" w:hAnsi="仿宋" w:eastAsia="仿宋" w:cs="仿宋"/>
          <w:b/>
          <w:bCs/>
          <w:sz w:val="24"/>
        </w:rPr>
      </w:pPr>
    </w:p>
    <w:p>
      <w:pPr>
        <w:rPr>
          <w:rFonts w:hint="eastAsia" w:ascii="仿宋" w:hAnsi="仿宋" w:eastAsia="仿宋" w:cs="仿宋"/>
          <w:b/>
          <w:bCs/>
          <w:sz w:val="24"/>
        </w:rPr>
      </w:pPr>
    </w:p>
    <w:p>
      <w:pPr>
        <w:rPr>
          <w:rFonts w:hint="eastAsia" w:ascii="仿宋" w:hAnsi="仿宋" w:eastAsia="仿宋" w:cs="仿宋"/>
          <w:b/>
          <w:bCs/>
          <w:sz w:val="24"/>
        </w:rPr>
      </w:pPr>
    </w:p>
    <w:p>
      <w:pPr>
        <w:rPr>
          <w:rFonts w:hint="eastAsia" w:ascii="仿宋" w:hAnsi="仿宋" w:eastAsia="仿宋" w:cs="仿宋"/>
          <w:b/>
          <w:bCs/>
          <w:sz w:val="24"/>
        </w:rPr>
      </w:pPr>
    </w:p>
    <w:p>
      <w:pPr>
        <w:rPr>
          <w:rFonts w:hint="eastAsia" w:ascii="仿宋" w:hAnsi="仿宋" w:eastAsia="仿宋" w:cs="仿宋"/>
          <w:b/>
          <w:bCs/>
          <w:sz w:val="24"/>
        </w:rPr>
      </w:pPr>
    </w:p>
    <w:p>
      <w:pPr>
        <w:rPr>
          <w:rFonts w:hint="eastAsia" w:ascii="仿宋" w:hAnsi="仿宋" w:eastAsia="仿宋" w:cs="仿宋"/>
          <w:b/>
          <w:bCs/>
          <w:sz w:val="24"/>
        </w:rPr>
      </w:pP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w:t>
      </w:r>
      <w:r>
        <w:rPr>
          <w:rFonts w:hint="eastAsia" w:ascii="仿宋" w:hAnsi="仿宋" w:eastAsia="仿宋" w:cs="仿宋"/>
          <w:kern w:val="0"/>
          <w:sz w:val="24"/>
          <w:highlight w:val="yellow"/>
          <w:lang w:val="zh-CN"/>
        </w:rPr>
        <w:t>中小企业合同份额</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22" w:name="_Hlk101131882"/>
      <w:r>
        <w:rPr>
          <w:rFonts w:hint="eastAsia" w:ascii="仿宋" w:hAnsi="仿宋" w:eastAsia="仿宋" w:cs="仿宋"/>
          <w:kern w:val="0"/>
          <w:sz w:val="24"/>
          <w:u w:val="single"/>
        </w:rPr>
        <w:t>联合体成员X,……</w:t>
      </w:r>
      <w:bookmarkEnd w:id="522"/>
      <w:r>
        <w:rPr>
          <w:rFonts w:hint="eastAsia" w:ascii="仿宋" w:hAnsi="仿宋" w:eastAsia="仿宋" w:cs="仿宋"/>
          <w:kern w:val="0"/>
          <w:sz w:val="24"/>
          <w:u w:val="single"/>
        </w:rPr>
        <w:t>）</w:t>
      </w:r>
      <w:r>
        <w:rPr>
          <w:rFonts w:hint="eastAsia" w:ascii="仿宋" w:hAnsi="仿宋" w:eastAsia="仿宋" w:cs="仿宋"/>
          <w:kern w:val="0"/>
          <w:sz w:val="24"/>
        </w:rPr>
        <w:t>提供的</w:t>
      </w:r>
      <w:r>
        <w:rPr>
          <w:rFonts w:hint="eastAsia" w:ascii="仿宋" w:hAnsi="仿宋" w:eastAsia="仿宋" w:cs="仿宋"/>
          <w:kern w:val="0"/>
          <w:sz w:val="24"/>
          <w:highlight w:val="yellow"/>
        </w:rPr>
        <w:t>服务由小微企业承接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23"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bookmarkEnd w:id="523"/>
      <w:r>
        <w:rPr>
          <w:rFonts w:hint="eastAsia" w:ascii="仿宋" w:hAnsi="仿宋" w:eastAsia="仿宋" w:cs="仿宋"/>
          <w:b/>
          <w:kern w:val="0"/>
          <w:sz w:val="24"/>
          <w:lang w:val="zh-CN"/>
        </w:rPr>
        <w:t>）</w:t>
      </w:r>
    </w:p>
    <w:p>
      <w:pPr>
        <w:snapToGrid/>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24"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24"/>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6"/>
        <w:ind w:left="664" w:leftChars="316" w:firstLine="229" w:firstLineChars="95"/>
        <w:rPr>
          <w:rFonts w:hint="eastAsia" w:ascii="仿宋" w:hAnsi="仿宋" w:eastAsia="仿宋" w:cs="仿宋"/>
          <w:lang w:val="zh-CN"/>
        </w:rPr>
      </w:pPr>
      <w:r>
        <w:rPr>
          <w:rFonts w:hint="eastAsia" w:ascii="仿宋" w:hAnsi="仿宋" w:eastAsia="仿宋" w:cs="仿宋"/>
          <w:kern w:val="0"/>
          <w:sz w:val="24"/>
          <w:szCs w:val="24"/>
        </w:rPr>
        <w:t>……</w:t>
      </w:r>
      <w:r>
        <w:rPr>
          <w:rFonts w:hint="eastAsia" w:ascii="仿宋" w:hAnsi="仿宋" w:eastAsia="仿宋" w:cs="仿宋"/>
          <w:lang w:val="zh-CN"/>
        </w:rPr>
        <w:t xml:space="preserve"> </w:t>
      </w:r>
    </w:p>
    <w:p>
      <w:pPr>
        <w:rPr>
          <w:rFonts w:hint="eastAsia"/>
        </w:rPr>
      </w:pP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w:t>
      </w:r>
      <w:r>
        <w:rPr>
          <w:rFonts w:hint="eastAsia" w:ascii="仿宋" w:hAnsi="仿宋" w:eastAsia="仿宋" w:cs="仿宋"/>
          <w:kern w:val="0"/>
          <w:sz w:val="24"/>
          <w:highlight w:val="yellow"/>
          <w:lang w:val="zh-CN"/>
        </w:rPr>
        <w:t>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桐庐县市政园林建设管理处</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2022年至2024年县城花卉采购种植及养护项目</w:t>
      </w:r>
      <w:r>
        <w:rPr>
          <w:rFonts w:hint="eastAsia" w:ascii="仿宋" w:hAnsi="仿宋" w:eastAsia="仿宋" w:cs="仿宋"/>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color w:val="FF0000"/>
          <w:sz w:val="24"/>
        </w:rPr>
      </w:pPr>
      <w:r>
        <w:rPr>
          <w:rFonts w:hint="eastAsia" w:ascii="仿宋" w:hAnsi="仿宋" w:eastAsia="仿宋" w:cs="仿宋"/>
          <w:color w:val="FF0000"/>
          <w:sz w:val="24"/>
        </w:rPr>
        <w:t>1、填写要求：①“标的名称”、“采购文件中明确的所属行业”依据招标文件第二部分投标人须知前附表中“采购标的及其对应的中小企业划分标准所属行业”</w:t>
      </w:r>
      <w:r>
        <w:rPr>
          <w:rFonts w:hint="eastAsia" w:ascii="仿宋" w:hAnsi="仿宋" w:eastAsia="仿宋" w:cs="仿宋"/>
          <w:color w:val="FF0000"/>
          <w:sz w:val="24"/>
          <w:highlight w:val="yellow"/>
        </w:rPr>
        <w:t>的指引逐一</w:t>
      </w:r>
      <w:r>
        <w:rPr>
          <w:rFonts w:hint="eastAsia" w:ascii="仿宋" w:hAnsi="仿宋" w:eastAsia="仿宋" w:cs="仿宋"/>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5" w:h="16838"/>
      <w:pgMar w:top="1304" w:right="1417" w:bottom="1304" w:left="1417"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25" w:name="_Toc164085800"/>
    <w:bookmarkStart w:id="526" w:name="_Toc36110187"/>
    <w:bookmarkStart w:id="527" w:name="_Toc131845147"/>
    <w:bookmarkStart w:id="528" w:name="_Toc91899912"/>
    <w:r>
      <w:rPr>
        <w:rFonts w:hint="eastAsia" w:ascii="仿宋_GB2312" w:eastAsia="仿宋_GB2312"/>
        <w:kern w:val="0"/>
        <w:szCs w:val="21"/>
      </w:rPr>
      <w:t xml:space="preserve"> 页</w:t>
    </w:r>
    <w:bookmarkEnd w:id="525"/>
    <w:bookmarkEnd w:id="526"/>
    <w:bookmarkEnd w:id="527"/>
    <w:bookmarkEnd w:id="5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rPr>
        <w:rFonts w:ascii="仿宋_GB2312" w:eastAsia="仿宋_GB2312"/>
        <w:b/>
        <w:i/>
        <w:u w:val="single"/>
      </w:rPr>
    </w:pPr>
    <w:r>
      <w:t></w:t>
    </w:r>
    <w:r>
      <w:rPr>
        <w:rFonts w:hint="eastAsia"/>
      </w:rPr>
      <w:t xml:space="preserve">                                                  </w:t>
    </w:r>
    <w:r>
      <w:t xml:space="preserve">                     </w:t>
    </w:r>
  </w:p>
  <w:p>
    <w:pPr>
      <w:pBdr>
        <w:bottom w:val="dotted"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ascii="仿宋_GB2312" w:eastAsia="仿宋_GB2312"/>
        <w:b/>
        <w:i/>
        <w:u w:val="single"/>
      </w:rPr>
    </w:pPr>
    <w:r>
      <w:t></w:t>
    </w:r>
    <w:r>
      <w:rPr>
        <w:rFonts w:hint="eastAsia"/>
      </w:rPr>
      <w:t xml:space="preserve">                                                  </w:t>
    </w:r>
  </w:p>
  <w:p>
    <w:pPr>
      <w:pBdr>
        <w:bottom w:val="dotted" w:color="auto" w:sz="4"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dotted" w:color="auto" w:sz="4" w:space="1"/>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1608C"/>
    <w:multiLevelType w:val="singleLevel"/>
    <w:tmpl w:val="E4C1608C"/>
    <w:lvl w:ilvl="0" w:tentative="0">
      <w:start w:val="1"/>
      <w:numFmt w:val="decimal"/>
      <w:suff w:val="nothing"/>
      <w:lvlText w:val="（%1）"/>
      <w:lvlJc w:val="left"/>
    </w:lvl>
  </w:abstractNum>
  <w:abstractNum w:abstractNumId="1">
    <w:nsid w:val="62A1BE13"/>
    <w:multiLevelType w:val="singleLevel"/>
    <w:tmpl w:val="62A1BE1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YTQzYmYyZmIwNzZhODYwZjNjNTZjOTY2ZTdiO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C0DD3"/>
    <w:rsid w:val="025F0711"/>
    <w:rsid w:val="026B2E25"/>
    <w:rsid w:val="026F5A75"/>
    <w:rsid w:val="02824D4D"/>
    <w:rsid w:val="02DC4B10"/>
    <w:rsid w:val="02DD76CE"/>
    <w:rsid w:val="02F36323"/>
    <w:rsid w:val="02F5619C"/>
    <w:rsid w:val="0326446A"/>
    <w:rsid w:val="032D5555"/>
    <w:rsid w:val="036634D2"/>
    <w:rsid w:val="03AD7138"/>
    <w:rsid w:val="03DD35E4"/>
    <w:rsid w:val="04076900"/>
    <w:rsid w:val="041A5A3B"/>
    <w:rsid w:val="042311BA"/>
    <w:rsid w:val="042B157A"/>
    <w:rsid w:val="048F763B"/>
    <w:rsid w:val="049F330E"/>
    <w:rsid w:val="04AA775C"/>
    <w:rsid w:val="04AF1889"/>
    <w:rsid w:val="04D63E97"/>
    <w:rsid w:val="04F66F48"/>
    <w:rsid w:val="05251E14"/>
    <w:rsid w:val="05A16594"/>
    <w:rsid w:val="05A7762D"/>
    <w:rsid w:val="05AD22A5"/>
    <w:rsid w:val="060E5941"/>
    <w:rsid w:val="06110FAF"/>
    <w:rsid w:val="06493CA7"/>
    <w:rsid w:val="065A6178"/>
    <w:rsid w:val="066F1CF3"/>
    <w:rsid w:val="06930BB8"/>
    <w:rsid w:val="069321C3"/>
    <w:rsid w:val="07245D42"/>
    <w:rsid w:val="07264C62"/>
    <w:rsid w:val="075E3BEB"/>
    <w:rsid w:val="0779354C"/>
    <w:rsid w:val="08061376"/>
    <w:rsid w:val="080F7083"/>
    <w:rsid w:val="08452D77"/>
    <w:rsid w:val="086401F8"/>
    <w:rsid w:val="08751CAA"/>
    <w:rsid w:val="087E4C40"/>
    <w:rsid w:val="0898791E"/>
    <w:rsid w:val="08A871D0"/>
    <w:rsid w:val="08D66AD6"/>
    <w:rsid w:val="08DA33A3"/>
    <w:rsid w:val="08E80F13"/>
    <w:rsid w:val="09335624"/>
    <w:rsid w:val="0944690F"/>
    <w:rsid w:val="09535675"/>
    <w:rsid w:val="095F057D"/>
    <w:rsid w:val="09642282"/>
    <w:rsid w:val="09733572"/>
    <w:rsid w:val="09772C16"/>
    <w:rsid w:val="097F21A0"/>
    <w:rsid w:val="098353B5"/>
    <w:rsid w:val="09A92330"/>
    <w:rsid w:val="09B06B87"/>
    <w:rsid w:val="09C13146"/>
    <w:rsid w:val="09E04166"/>
    <w:rsid w:val="0A1C0718"/>
    <w:rsid w:val="0A3E7710"/>
    <w:rsid w:val="0A5B7E63"/>
    <w:rsid w:val="0AA374A5"/>
    <w:rsid w:val="0AAB7649"/>
    <w:rsid w:val="0ABC5606"/>
    <w:rsid w:val="0B0E30C9"/>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873D0"/>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403D1"/>
    <w:rsid w:val="0F4958DC"/>
    <w:rsid w:val="0F515DF7"/>
    <w:rsid w:val="0F596BA8"/>
    <w:rsid w:val="0F6248D2"/>
    <w:rsid w:val="0F693536"/>
    <w:rsid w:val="0F7B0511"/>
    <w:rsid w:val="0F7B76D9"/>
    <w:rsid w:val="0F816ACD"/>
    <w:rsid w:val="0F9832DB"/>
    <w:rsid w:val="0FBF3FD2"/>
    <w:rsid w:val="0FBF7FF3"/>
    <w:rsid w:val="10186A9E"/>
    <w:rsid w:val="105E051F"/>
    <w:rsid w:val="10646583"/>
    <w:rsid w:val="107D4B15"/>
    <w:rsid w:val="108A3C80"/>
    <w:rsid w:val="10C26171"/>
    <w:rsid w:val="10F33360"/>
    <w:rsid w:val="10FC16EA"/>
    <w:rsid w:val="110F1D40"/>
    <w:rsid w:val="11132ED3"/>
    <w:rsid w:val="11266F33"/>
    <w:rsid w:val="118963A1"/>
    <w:rsid w:val="11B76268"/>
    <w:rsid w:val="11C6522A"/>
    <w:rsid w:val="11CD31BE"/>
    <w:rsid w:val="11E104CC"/>
    <w:rsid w:val="11E20309"/>
    <w:rsid w:val="12255233"/>
    <w:rsid w:val="12530213"/>
    <w:rsid w:val="127723A9"/>
    <w:rsid w:val="12862074"/>
    <w:rsid w:val="12883966"/>
    <w:rsid w:val="129E45B4"/>
    <w:rsid w:val="12D81596"/>
    <w:rsid w:val="13072A44"/>
    <w:rsid w:val="133D1EE0"/>
    <w:rsid w:val="135F4BE2"/>
    <w:rsid w:val="139B1A0A"/>
    <w:rsid w:val="139D25C7"/>
    <w:rsid w:val="13BF3CE4"/>
    <w:rsid w:val="141008D8"/>
    <w:rsid w:val="14125FE6"/>
    <w:rsid w:val="14313B80"/>
    <w:rsid w:val="143A4F2F"/>
    <w:rsid w:val="145B7551"/>
    <w:rsid w:val="146D271E"/>
    <w:rsid w:val="14982588"/>
    <w:rsid w:val="149A5AD9"/>
    <w:rsid w:val="14A7619D"/>
    <w:rsid w:val="14C33176"/>
    <w:rsid w:val="150536C3"/>
    <w:rsid w:val="150C1963"/>
    <w:rsid w:val="151447A0"/>
    <w:rsid w:val="154A6454"/>
    <w:rsid w:val="15762120"/>
    <w:rsid w:val="16A8729C"/>
    <w:rsid w:val="16B33777"/>
    <w:rsid w:val="16BC70A7"/>
    <w:rsid w:val="16C6339E"/>
    <w:rsid w:val="172F2D79"/>
    <w:rsid w:val="17557BEF"/>
    <w:rsid w:val="176C5D79"/>
    <w:rsid w:val="17D349C1"/>
    <w:rsid w:val="1830729E"/>
    <w:rsid w:val="1870062C"/>
    <w:rsid w:val="18817102"/>
    <w:rsid w:val="18830A15"/>
    <w:rsid w:val="18852B28"/>
    <w:rsid w:val="188B5321"/>
    <w:rsid w:val="19932372"/>
    <w:rsid w:val="19A20DD5"/>
    <w:rsid w:val="19AE03F1"/>
    <w:rsid w:val="19B934AA"/>
    <w:rsid w:val="19C25203"/>
    <w:rsid w:val="19FE07AD"/>
    <w:rsid w:val="1A071A03"/>
    <w:rsid w:val="1A1F16AE"/>
    <w:rsid w:val="1A274B8A"/>
    <w:rsid w:val="1A2924B7"/>
    <w:rsid w:val="1A3B5C77"/>
    <w:rsid w:val="1A984BAD"/>
    <w:rsid w:val="1AB8220E"/>
    <w:rsid w:val="1AE4166C"/>
    <w:rsid w:val="1AF06CFB"/>
    <w:rsid w:val="1AF11B8D"/>
    <w:rsid w:val="1B11359C"/>
    <w:rsid w:val="1B2A271F"/>
    <w:rsid w:val="1B530544"/>
    <w:rsid w:val="1B713184"/>
    <w:rsid w:val="1BA209CF"/>
    <w:rsid w:val="1BB4777D"/>
    <w:rsid w:val="1BBF35EA"/>
    <w:rsid w:val="1BD75AB8"/>
    <w:rsid w:val="1C0459C2"/>
    <w:rsid w:val="1C1B3B4A"/>
    <w:rsid w:val="1C88086E"/>
    <w:rsid w:val="1D266CE1"/>
    <w:rsid w:val="1D2A63CE"/>
    <w:rsid w:val="1D3963AF"/>
    <w:rsid w:val="1D6A673C"/>
    <w:rsid w:val="1D921938"/>
    <w:rsid w:val="1D9247AE"/>
    <w:rsid w:val="1DB45201"/>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351DD0"/>
    <w:rsid w:val="20433A2B"/>
    <w:rsid w:val="204E48BC"/>
    <w:rsid w:val="208921B3"/>
    <w:rsid w:val="20973DEB"/>
    <w:rsid w:val="20B26522"/>
    <w:rsid w:val="20B44310"/>
    <w:rsid w:val="21061788"/>
    <w:rsid w:val="211116EB"/>
    <w:rsid w:val="216133FC"/>
    <w:rsid w:val="21B32C17"/>
    <w:rsid w:val="21D56769"/>
    <w:rsid w:val="21E52EF3"/>
    <w:rsid w:val="21FB5D7B"/>
    <w:rsid w:val="22015E94"/>
    <w:rsid w:val="220B1C3D"/>
    <w:rsid w:val="221D1D20"/>
    <w:rsid w:val="22334A87"/>
    <w:rsid w:val="22BE6801"/>
    <w:rsid w:val="231311AF"/>
    <w:rsid w:val="233500BF"/>
    <w:rsid w:val="23377FF7"/>
    <w:rsid w:val="236B425F"/>
    <w:rsid w:val="23836192"/>
    <w:rsid w:val="23901F29"/>
    <w:rsid w:val="239C0061"/>
    <w:rsid w:val="23B908A4"/>
    <w:rsid w:val="23E95BEF"/>
    <w:rsid w:val="23FD0064"/>
    <w:rsid w:val="24242D3A"/>
    <w:rsid w:val="245375B0"/>
    <w:rsid w:val="245B6F27"/>
    <w:rsid w:val="24642C0A"/>
    <w:rsid w:val="24B22173"/>
    <w:rsid w:val="24B95AD9"/>
    <w:rsid w:val="24BE24DA"/>
    <w:rsid w:val="24CF5825"/>
    <w:rsid w:val="24D663E6"/>
    <w:rsid w:val="24D77F2B"/>
    <w:rsid w:val="2584600A"/>
    <w:rsid w:val="258B00E2"/>
    <w:rsid w:val="25961F4B"/>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07AFB"/>
    <w:rsid w:val="28454BD6"/>
    <w:rsid w:val="28455253"/>
    <w:rsid w:val="28551971"/>
    <w:rsid w:val="285B1C53"/>
    <w:rsid w:val="286137A2"/>
    <w:rsid w:val="28987E49"/>
    <w:rsid w:val="289F7086"/>
    <w:rsid w:val="28C32028"/>
    <w:rsid w:val="28CC490F"/>
    <w:rsid w:val="28DE40AA"/>
    <w:rsid w:val="28E626BF"/>
    <w:rsid w:val="29345E77"/>
    <w:rsid w:val="294C65AD"/>
    <w:rsid w:val="29806583"/>
    <w:rsid w:val="298B3C4C"/>
    <w:rsid w:val="299A7DC9"/>
    <w:rsid w:val="29F26D24"/>
    <w:rsid w:val="2A15033F"/>
    <w:rsid w:val="2A1662C1"/>
    <w:rsid w:val="2A1C7367"/>
    <w:rsid w:val="2A2815FA"/>
    <w:rsid w:val="2A6D6092"/>
    <w:rsid w:val="2A7D76B4"/>
    <w:rsid w:val="2AD3225E"/>
    <w:rsid w:val="2B437463"/>
    <w:rsid w:val="2B7807EE"/>
    <w:rsid w:val="2BA50BF7"/>
    <w:rsid w:val="2BBF00EC"/>
    <w:rsid w:val="2BC37CFD"/>
    <w:rsid w:val="2BD5237F"/>
    <w:rsid w:val="2BDB1717"/>
    <w:rsid w:val="2BE536CE"/>
    <w:rsid w:val="2BE758D9"/>
    <w:rsid w:val="2C09049E"/>
    <w:rsid w:val="2C0A653C"/>
    <w:rsid w:val="2C191F85"/>
    <w:rsid w:val="2CE82D6F"/>
    <w:rsid w:val="2D343236"/>
    <w:rsid w:val="2DB02DBA"/>
    <w:rsid w:val="2DD15014"/>
    <w:rsid w:val="2DE914C2"/>
    <w:rsid w:val="2DF72DE4"/>
    <w:rsid w:val="2E0220AF"/>
    <w:rsid w:val="2E2567FC"/>
    <w:rsid w:val="2E4B082A"/>
    <w:rsid w:val="2E5D4E86"/>
    <w:rsid w:val="2E5D790B"/>
    <w:rsid w:val="2E9A3C18"/>
    <w:rsid w:val="2EBB0FEE"/>
    <w:rsid w:val="2EC63002"/>
    <w:rsid w:val="2EE31EEF"/>
    <w:rsid w:val="2EE94C60"/>
    <w:rsid w:val="2F0A6B38"/>
    <w:rsid w:val="2F946CCB"/>
    <w:rsid w:val="2FD25781"/>
    <w:rsid w:val="2FDA422A"/>
    <w:rsid w:val="2FDC745C"/>
    <w:rsid w:val="2FFD7934"/>
    <w:rsid w:val="30201025"/>
    <w:rsid w:val="30733ACD"/>
    <w:rsid w:val="308C3862"/>
    <w:rsid w:val="309379D8"/>
    <w:rsid w:val="30A270F7"/>
    <w:rsid w:val="30DF1478"/>
    <w:rsid w:val="30EC586F"/>
    <w:rsid w:val="319C6071"/>
    <w:rsid w:val="31AC537E"/>
    <w:rsid w:val="31BE7092"/>
    <w:rsid w:val="31D40319"/>
    <w:rsid w:val="31E3679B"/>
    <w:rsid w:val="31E732FD"/>
    <w:rsid w:val="322C1F03"/>
    <w:rsid w:val="32517576"/>
    <w:rsid w:val="328D679D"/>
    <w:rsid w:val="32A80D22"/>
    <w:rsid w:val="32BE5C2C"/>
    <w:rsid w:val="32FB6478"/>
    <w:rsid w:val="32FC40D9"/>
    <w:rsid w:val="33263B3F"/>
    <w:rsid w:val="336963EB"/>
    <w:rsid w:val="33816EEB"/>
    <w:rsid w:val="33EB55CD"/>
    <w:rsid w:val="33EC4C02"/>
    <w:rsid w:val="340D2360"/>
    <w:rsid w:val="3410665D"/>
    <w:rsid w:val="34211214"/>
    <w:rsid w:val="342E63AB"/>
    <w:rsid w:val="346E6803"/>
    <w:rsid w:val="34950E68"/>
    <w:rsid w:val="34986E94"/>
    <w:rsid w:val="34AF62C9"/>
    <w:rsid w:val="34CB4388"/>
    <w:rsid w:val="34FA6E12"/>
    <w:rsid w:val="354D7158"/>
    <w:rsid w:val="358D5588"/>
    <w:rsid w:val="35CC028B"/>
    <w:rsid w:val="363A3B40"/>
    <w:rsid w:val="365302AE"/>
    <w:rsid w:val="36607A0A"/>
    <w:rsid w:val="366E227C"/>
    <w:rsid w:val="366F2E0D"/>
    <w:rsid w:val="367B6A5C"/>
    <w:rsid w:val="36A74ADA"/>
    <w:rsid w:val="36AD60D5"/>
    <w:rsid w:val="36B224F9"/>
    <w:rsid w:val="36EC0CC9"/>
    <w:rsid w:val="372D32B0"/>
    <w:rsid w:val="373F410B"/>
    <w:rsid w:val="376E5F61"/>
    <w:rsid w:val="37EE7094"/>
    <w:rsid w:val="38261CE6"/>
    <w:rsid w:val="38296C89"/>
    <w:rsid w:val="382E57FD"/>
    <w:rsid w:val="383002EB"/>
    <w:rsid w:val="38586797"/>
    <w:rsid w:val="38BC0149"/>
    <w:rsid w:val="38D87D1C"/>
    <w:rsid w:val="395E46E4"/>
    <w:rsid w:val="39636459"/>
    <w:rsid w:val="396B7F6C"/>
    <w:rsid w:val="399149C2"/>
    <w:rsid w:val="39B417A9"/>
    <w:rsid w:val="39C913FC"/>
    <w:rsid w:val="39FC5695"/>
    <w:rsid w:val="3A006D8E"/>
    <w:rsid w:val="3A0D4272"/>
    <w:rsid w:val="3A3651E5"/>
    <w:rsid w:val="3A4508D2"/>
    <w:rsid w:val="3A744481"/>
    <w:rsid w:val="3A8C7BEF"/>
    <w:rsid w:val="3A906246"/>
    <w:rsid w:val="3B2349B7"/>
    <w:rsid w:val="3B350FC9"/>
    <w:rsid w:val="3B616CFF"/>
    <w:rsid w:val="3B6259F6"/>
    <w:rsid w:val="3B6A72EA"/>
    <w:rsid w:val="3B976654"/>
    <w:rsid w:val="3BC01EFC"/>
    <w:rsid w:val="3BCA786A"/>
    <w:rsid w:val="3BD31E2F"/>
    <w:rsid w:val="3BD643C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384132"/>
    <w:rsid w:val="3E387E0F"/>
    <w:rsid w:val="3E42664B"/>
    <w:rsid w:val="3E5A7334"/>
    <w:rsid w:val="3E7B5D6B"/>
    <w:rsid w:val="3E843E66"/>
    <w:rsid w:val="3E8F51FE"/>
    <w:rsid w:val="3E926F87"/>
    <w:rsid w:val="3E9A59DE"/>
    <w:rsid w:val="3EAF4836"/>
    <w:rsid w:val="3EC33DFA"/>
    <w:rsid w:val="3F060E16"/>
    <w:rsid w:val="3F1D1096"/>
    <w:rsid w:val="3F2F0234"/>
    <w:rsid w:val="3F41064F"/>
    <w:rsid w:val="3F6363FE"/>
    <w:rsid w:val="3F756B8F"/>
    <w:rsid w:val="3F95482B"/>
    <w:rsid w:val="4019356B"/>
    <w:rsid w:val="40592157"/>
    <w:rsid w:val="406E1CAE"/>
    <w:rsid w:val="40A0133A"/>
    <w:rsid w:val="40C31A53"/>
    <w:rsid w:val="40FF545D"/>
    <w:rsid w:val="410067C8"/>
    <w:rsid w:val="418F0D2A"/>
    <w:rsid w:val="41D01505"/>
    <w:rsid w:val="4246629A"/>
    <w:rsid w:val="42474939"/>
    <w:rsid w:val="424C3C57"/>
    <w:rsid w:val="42613FF3"/>
    <w:rsid w:val="42660D96"/>
    <w:rsid w:val="428667D2"/>
    <w:rsid w:val="42CD1CE0"/>
    <w:rsid w:val="42E1381E"/>
    <w:rsid w:val="42ED6459"/>
    <w:rsid w:val="42FE58DD"/>
    <w:rsid w:val="43174B3D"/>
    <w:rsid w:val="434B790E"/>
    <w:rsid w:val="43562321"/>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02791"/>
    <w:rsid w:val="45C63B94"/>
    <w:rsid w:val="460E7DA5"/>
    <w:rsid w:val="46422483"/>
    <w:rsid w:val="4659254A"/>
    <w:rsid w:val="465B0637"/>
    <w:rsid w:val="465E3F0D"/>
    <w:rsid w:val="466A16E6"/>
    <w:rsid w:val="46893F2B"/>
    <w:rsid w:val="46C4686E"/>
    <w:rsid w:val="477B379B"/>
    <w:rsid w:val="477B778F"/>
    <w:rsid w:val="478203EC"/>
    <w:rsid w:val="47B025FA"/>
    <w:rsid w:val="480849D6"/>
    <w:rsid w:val="4809698F"/>
    <w:rsid w:val="4811697D"/>
    <w:rsid w:val="487A3E25"/>
    <w:rsid w:val="488B5503"/>
    <w:rsid w:val="48937E21"/>
    <w:rsid w:val="489A0361"/>
    <w:rsid w:val="48B94FF3"/>
    <w:rsid w:val="48BB6370"/>
    <w:rsid w:val="48E37AAB"/>
    <w:rsid w:val="48FD4B4C"/>
    <w:rsid w:val="490A68E0"/>
    <w:rsid w:val="491055FE"/>
    <w:rsid w:val="492C3B3C"/>
    <w:rsid w:val="493F3295"/>
    <w:rsid w:val="495F5B3E"/>
    <w:rsid w:val="496F77D7"/>
    <w:rsid w:val="497654FD"/>
    <w:rsid w:val="49B64211"/>
    <w:rsid w:val="49F6167F"/>
    <w:rsid w:val="4A064FA0"/>
    <w:rsid w:val="4A16615C"/>
    <w:rsid w:val="4A2052EF"/>
    <w:rsid w:val="4A4424D7"/>
    <w:rsid w:val="4AB82D0F"/>
    <w:rsid w:val="4AEB7664"/>
    <w:rsid w:val="4AFD7C19"/>
    <w:rsid w:val="4B0567D1"/>
    <w:rsid w:val="4B236AAE"/>
    <w:rsid w:val="4B707271"/>
    <w:rsid w:val="4B9739F7"/>
    <w:rsid w:val="4BEE2503"/>
    <w:rsid w:val="4C245A30"/>
    <w:rsid w:val="4CA241B9"/>
    <w:rsid w:val="4CB6685F"/>
    <w:rsid w:val="4CC367FE"/>
    <w:rsid w:val="4D077F3C"/>
    <w:rsid w:val="4D123355"/>
    <w:rsid w:val="4D2A3B31"/>
    <w:rsid w:val="4D312C52"/>
    <w:rsid w:val="4D905305"/>
    <w:rsid w:val="4D964A72"/>
    <w:rsid w:val="4D9C1254"/>
    <w:rsid w:val="4E793892"/>
    <w:rsid w:val="4E800872"/>
    <w:rsid w:val="4E8732FF"/>
    <w:rsid w:val="4EC569ED"/>
    <w:rsid w:val="4ED50EA1"/>
    <w:rsid w:val="4EEC050C"/>
    <w:rsid w:val="4F0D7F09"/>
    <w:rsid w:val="4F104EC3"/>
    <w:rsid w:val="4F47354A"/>
    <w:rsid w:val="4F911C54"/>
    <w:rsid w:val="4FE625E0"/>
    <w:rsid w:val="5021480F"/>
    <w:rsid w:val="502358D4"/>
    <w:rsid w:val="50962ECB"/>
    <w:rsid w:val="50A42E38"/>
    <w:rsid w:val="50A4577F"/>
    <w:rsid w:val="50AB008A"/>
    <w:rsid w:val="50B73D1F"/>
    <w:rsid w:val="50BD5BC9"/>
    <w:rsid w:val="50C11EEE"/>
    <w:rsid w:val="50CE442D"/>
    <w:rsid w:val="50E97CFC"/>
    <w:rsid w:val="50FA4028"/>
    <w:rsid w:val="510D65B7"/>
    <w:rsid w:val="511157AB"/>
    <w:rsid w:val="5142540C"/>
    <w:rsid w:val="516B0690"/>
    <w:rsid w:val="518832C8"/>
    <w:rsid w:val="51923B94"/>
    <w:rsid w:val="519D3C50"/>
    <w:rsid w:val="51A0432A"/>
    <w:rsid w:val="51A86090"/>
    <w:rsid w:val="51B7396D"/>
    <w:rsid w:val="522E4CC3"/>
    <w:rsid w:val="5244713B"/>
    <w:rsid w:val="52615633"/>
    <w:rsid w:val="526F4DE4"/>
    <w:rsid w:val="5291037D"/>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CC6443"/>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850A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566BA"/>
    <w:rsid w:val="587753D7"/>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C1B99"/>
    <w:rsid w:val="5AD63A24"/>
    <w:rsid w:val="5B2E1A1D"/>
    <w:rsid w:val="5B843A1C"/>
    <w:rsid w:val="5B873E3F"/>
    <w:rsid w:val="5C02690E"/>
    <w:rsid w:val="5C196DA7"/>
    <w:rsid w:val="5C2A048C"/>
    <w:rsid w:val="5C6E6AF1"/>
    <w:rsid w:val="5C80234E"/>
    <w:rsid w:val="5C8A680C"/>
    <w:rsid w:val="5CA27C60"/>
    <w:rsid w:val="5CFF5D82"/>
    <w:rsid w:val="5D0C4701"/>
    <w:rsid w:val="5D0F0395"/>
    <w:rsid w:val="5D221076"/>
    <w:rsid w:val="5D397964"/>
    <w:rsid w:val="5D5A391C"/>
    <w:rsid w:val="5D5F10C0"/>
    <w:rsid w:val="5D80732E"/>
    <w:rsid w:val="5D891B7B"/>
    <w:rsid w:val="5DAD38EE"/>
    <w:rsid w:val="5DFA7717"/>
    <w:rsid w:val="5E006862"/>
    <w:rsid w:val="5E0207B9"/>
    <w:rsid w:val="5E1834A1"/>
    <w:rsid w:val="5E261785"/>
    <w:rsid w:val="5E433F12"/>
    <w:rsid w:val="5E4A7017"/>
    <w:rsid w:val="5E552BBA"/>
    <w:rsid w:val="5E5A3B17"/>
    <w:rsid w:val="5E611C10"/>
    <w:rsid w:val="5E691701"/>
    <w:rsid w:val="5E7A0F3F"/>
    <w:rsid w:val="5EB27170"/>
    <w:rsid w:val="5EFC7377"/>
    <w:rsid w:val="5F06174D"/>
    <w:rsid w:val="5F3A3602"/>
    <w:rsid w:val="5F45733B"/>
    <w:rsid w:val="5F6277C6"/>
    <w:rsid w:val="5F6D0B1D"/>
    <w:rsid w:val="5F8D0B82"/>
    <w:rsid w:val="5F9666AD"/>
    <w:rsid w:val="5FCC5339"/>
    <w:rsid w:val="5FCD1D80"/>
    <w:rsid w:val="5FE34A5B"/>
    <w:rsid w:val="5FFE1E36"/>
    <w:rsid w:val="600B7D97"/>
    <w:rsid w:val="60232584"/>
    <w:rsid w:val="606F4524"/>
    <w:rsid w:val="607330CE"/>
    <w:rsid w:val="60825176"/>
    <w:rsid w:val="609F2AC4"/>
    <w:rsid w:val="60FA2EE8"/>
    <w:rsid w:val="61054A27"/>
    <w:rsid w:val="610A52BC"/>
    <w:rsid w:val="611D2366"/>
    <w:rsid w:val="61421856"/>
    <w:rsid w:val="615227C4"/>
    <w:rsid w:val="616243E0"/>
    <w:rsid w:val="61654E3F"/>
    <w:rsid w:val="6182292A"/>
    <w:rsid w:val="619F7F92"/>
    <w:rsid w:val="61F22074"/>
    <w:rsid w:val="61F94C26"/>
    <w:rsid w:val="62000E56"/>
    <w:rsid w:val="624F3E49"/>
    <w:rsid w:val="62632286"/>
    <w:rsid w:val="62885958"/>
    <w:rsid w:val="62C3746A"/>
    <w:rsid w:val="62F40B65"/>
    <w:rsid w:val="62FC2CFE"/>
    <w:rsid w:val="63024505"/>
    <w:rsid w:val="63287830"/>
    <w:rsid w:val="63381C06"/>
    <w:rsid w:val="635600A5"/>
    <w:rsid w:val="635B1DB5"/>
    <w:rsid w:val="63711FED"/>
    <w:rsid w:val="63880DDC"/>
    <w:rsid w:val="638D750D"/>
    <w:rsid w:val="63AC6CC0"/>
    <w:rsid w:val="64055776"/>
    <w:rsid w:val="64240056"/>
    <w:rsid w:val="643E143A"/>
    <w:rsid w:val="64491666"/>
    <w:rsid w:val="647D1A36"/>
    <w:rsid w:val="648B6EEF"/>
    <w:rsid w:val="64C158BF"/>
    <w:rsid w:val="64CE2EAA"/>
    <w:rsid w:val="653C3090"/>
    <w:rsid w:val="65854376"/>
    <w:rsid w:val="658767BE"/>
    <w:rsid w:val="65892531"/>
    <w:rsid w:val="66195831"/>
    <w:rsid w:val="662E75B1"/>
    <w:rsid w:val="66342C2E"/>
    <w:rsid w:val="6635713E"/>
    <w:rsid w:val="663E784C"/>
    <w:rsid w:val="668B6A45"/>
    <w:rsid w:val="669058B5"/>
    <w:rsid w:val="670F2C7E"/>
    <w:rsid w:val="672F3F24"/>
    <w:rsid w:val="673E055F"/>
    <w:rsid w:val="67551CE3"/>
    <w:rsid w:val="67A22552"/>
    <w:rsid w:val="67B22DCC"/>
    <w:rsid w:val="67BE71AA"/>
    <w:rsid w:val="67D90273"/>
    <w:rsid w:val="67DE5875"/>
    <w:rsid w:val="67E55852"/>
    <w:rsid w:val="67EB1AB4"/>
    <w:rsid w:val="67FA1285"/>
    <w:rsid w:val="681E1E1B"/>
    <w:rsid w:val="68551F4F"/>
    <w:rsid w:val="687C10C9"/>
    <w:rsid w:val="68840C16"/>
    <w:rsid w:val="68876EFB"/>
    <w:rsid w:val="68884654"/>
    <w:rsid w:val="689F444F"/>
    <w:rsid w:val="68B96DBB"/>
    <w:rsid w:val="68CA2805"/>
    <w:rsid w:val="68E937A3"/>
    <w:rsid w:val="693E15D3"/>
    <w:rsid w:val="695C1701"/>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4D2459"/>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F1BAC"/>
    <w:rsid w:val="6F8331F1"/>
    <w:rsid w:val="6FAE1A09"/>
    <w:rsid w:val="6FCA3204"/>
    <w:rsid w:val="6FD75BF8"/>
    <w:rsid w:val="6FF46241"/>
    <w:rsid w:val="70247A8D"/>
    <w:rsid w:val="707723D0"/>
    <w:rsid w:val="70F5661B"/>
    <w:rsid w:val="71152CAD"/>
    <w:rsid w:val="71360107"/>
    <w:rsid w:val="713B688E"/>
    <w:rsid w:val="71D43752"/>
    <w:rsid w:val="71F1796A"/>
    <w:rsid w:val="72154626"/>
    <w:rsid w:val="72262B5D"/>
    <w:rsid w:val="72283FF7"/>
    <w:rsid w:val="722E7212"/>
    <w:rsid w:val="723A0474"/>
    <w:rsid w:val="725923E4"/>
    <w:rsid w:val="72864BF7"/>
    <w:rsid w:val="729023FC"/>
    <w:rsid w:val="72B229EC"/>
    <w:rsid w:val="73C0646E"/>
    <w:rsid w:val="73CA7218"/>
    <w:rsid w:val="742222F5"/>
    <w:rsid w:val="74476126"/>
    <w:rsid w:val="74706664"/>
    <w:rsid w:val="747F3682"/>
    <w:rsid w:val="749C4185"/>
    <w:rsid w:val="75067759"/>
    <w:rsid w:val="7519604E"/>
    <w:rsid w:val="752E6DCD"/>
    <w:rsid w:val="75492B52"/>
    <w:rsid w:val="7551380D"/>
    <w:rsid w:val="75600BE5"/>
    <w:rsid w:val="7564475C"/>
    <w:rsid w:val="7583797F"/>
    <w:rsid w:val="75D20F1D"/>
    <w:rsid w:val="75DA2C18"/>
    <w:rsid w:val="75F54412"/>
    <w:rsid w:val="761D08E0"/>
    <w:rsid w:val="76345578"/>
    <w:rsid w:val="765D347C"/>
    <w:rsid w:val="76826699"/>
    <w:rsid w:val="76C515AB"/>
    <w:rsid w:val="76C87133"/>
    <w:rsid w:val="76CD08D5"/>
    <w:rsid w:val="76DB4B92"/>
    <w:rsid w:val="77052AA4"/>
    <w:rsid w:val="77136511"/>
    <w:rsid w:val="77340A39"/>
    <w:rsid w:val="77351FD0"/>
    <w:rsid w:val="77472422"/>
    <w:rsid w:val="777F31F2"/>
    <w:rsid w:val="77C462D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86D72"/>
    <w:rsid w:val="7AD05746"/>
    <w:rsid w:val="7B0A04A8"/>
    <w:rsid w:val="7B257FFD"/>
    <w:rsid w:val="7B343476"/>
    <w:rsid w:val="7B5A2978"/>
    <w:rsid w:val="7B5A7E4C"/>
    <w:rsid w:val="7B667AF9"/>
    <w:rsid w:val="7B7008BE"/>
    <w:rsid w:val="7B7468F8"/>
    <w:rsid w:val="7BEE0103"/>
    <w:rsid w:val="7C0A0FE4"/>
    <w:rsid w:val="7C2526AC"/>
    <w:rsid w:val="7C254906"/>
    <w:rsid w:val="7C590818"/>
    <w:rsid w:val="7C5F39C4"/>
    <w:rsid w:val="7C7C10F6"/>
    <w:rsid w:val="7C853BEA"/>
    <w:rsid w:val="7C881368"/>
    <w:rsid w:val="7CC432D0"/>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1"/>
    <w:next w:val="4"/>
    <w:link w:val="318"/>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2"/>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next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39534</Words>
  <Characters>42133</Characters>
  <Lines>354</Lines>
  <Paragraphs>99</Paragraphs>
  <TotalTime>1</TotalTime>
  <ScaleCrop>false</ScaleCrop>
  <LinksUpToDate>false</LinksUpToDate>
  <CharactersWithSpaces>47286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田心</cp:lastModifiedBy>
  <cp:lastPrinted>2022-10-18T06:33:00Z</cp:lastPrinted>
  <dcterms:modified xsi:type="dcterms:W3CDTF">2022-10-26T03:22:08Z</dcterms:modified>
  <dc:title>杭州市市民卡扩大发卡工程</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9240BFCD9F974D44A1729BA11CE94E8E</vt:lpwstr>
  </property>
</Properties>
</file>