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96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0"/>
      </w:tblGrid>
      <w:tr w14:paraId="58007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9" w:hRule="atLeast"/>
        </w:trPr>
        <w:tc>
          <w:tcPr>
            <w:tcW w:w="9640" w:type="dxa"/>
            <w:tcBorders>
              <w:top w:val="single" w:color="auto" w:sz="4" w:space="0"/>
              <w:left w:val="single" w:color="auto" w:sz="4" w:space="0"/>
              <w:bottom w:val="single" w:color="auto" w:sz="4" w:space="0"/>
              <w:right w:val="single" w:color="auto" w:sz="4" w:space="0"/>
            </w:tcBorders>
          </w:tcPr>
          <w:p w14:paraId="49B32A77">
            <w:pPr>
              <w:tabs>
                <w:tab w:val="left" w:pos="4252"/>
              </w:tabs>
              <w:spacing w:line="440" w:lineRule="exact"/>
              <w:ind w:firstLine="0"/>
              <w:rPr>
                <w:rFonts w:asciiTheme="minorEastAsia" w:hAnsiTheme="minorEastAsia" w:eastAsiaTheme="minorEastAsia"/>
                <w:b/>
                <w:szCs w:val="21"/>
              </w:rPr>
            </w:pPr>
            <w:r>
              <w:rPr>
                <w:rFonts w:hint="eastAsia" w:asciiTheme="minorEastAsia" w:hAnsiTheme="minorEastAsia" w:eastAsiaTheme="minorEastAsia"/>
                <w:b/>
                <w:szCs w:val="21"/>
              </w:rPr>
              <w:t xml:space="preserve">    一、工程概况</w:t>
            </w:r>
            <w:r>
              <w:rPr>
                <w:rFonts w:asciiTheme="minorEastAsia" w:hAnsiTheme="minorEastAsia" w:eastAsiaTheme="minorEastAsia"/>
                <w:b/>
                <w:szCs w:val="21"/>
              </w:rPr>
              <w:tab/>
            </w:r>
          </w:p>
          <w:p w14:paraId="4964F08F">
            <w:pPr>
              <w:spacing w:line="440" w:lineRule="exact"/>
              <w:ind w:firstLine="0"/>
              <w:rPr>
                <w:rFonts w:asciiTheme="minorEastAsia" w:hAnsiTheme="minorEastAsia" w:eastAsiaTheme="minorEastAsia"/>
                <w:szCs w:val="21"/>
              </w:rPr>
            </w:pPr>
            <w:r>
              <w:rPr>
                <w:rFonts w:hint="eastAsia" w:asciiTheme="minorEastAsia" w:hAnsiTheme="minorEastAsia" w:eastAsiaTheme="minorEastAsia"/>
                <w:szCs w:val="21"/>
              </w:rPr>
              <w:t xml:space="preserve">    建设地址：本工程位于杭州市钱塘区义蓬街道青外线(义盛路)与义蓬路交叉口范围。</w:t>
            </w:r>
          </w:p>
          <w:p w14:paraId="55843CB5">
            <w:pPr>
              <w:spacing w:line="440" w:lineRule="exact"/>
              <w:ind w:firstLine="420" w:firstLineChars="200"/>
              <w:rPr>
                <w:rFonts w:asciiTheme="minorEastAsia" w:hAnsiTheme="minorEastAsia" w:eastAsiaTheme="minorEastAsia"/>
                <w:kern w:val="0"/>
                <w:szCs w:val="21"/>
              </w:rPr>
            </w:pPr>
            <w:r>
              <w:rPr>
                <w:rFonts w:hint="eastAsia" w:asciiTheme="minorEastAsia" w:hAnsiTheme="minorEastAsia" w:eastAsiaTheme="minorEastAsia"/>
                <w:szCs w:val="21"/>
              </w:rPr>
              <w:t>建设规模：杭州市钱塘区义蓬街道青外线(义盛路)与义蓬路交叉口范围，现状为环形交叉:该交叉口涉及4条道路，6处岔路口，分别为青外线(义盛路)、义蓬中路、义前街、励行弄；为合理优化环形交叉口机动车与非机动车通行，根据建设单位要求对该环形交叉口进行提升改造设计</w:t>
            </w:r>
            <w:r>
              <w:rPr>
                <w:rFonts w:hint="eastAsia" w:asciiTheme="minorEastAsia" w:hAnsiTheme="minorEastAsia" w:eastAsiaTheme="minorEastAsia"/>
                <w:kern w:val="0"/>
                <w:szCs w:val="21"/>
              </w:rPr>
              <w:t>。</w:t>
            </w:r>
          </w:p>
          <w:p w14:paraId="188B208F">
            <w:pPr>
              <w:spacing w:line="440" w:lineRule="exact"/>
              <w:ind w:firstLine="420" w:firstLineChars="200"/>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工程特征：</w:t>
            </w:r>
          </w:p>
          <w:p w14:paraId="16F1023C">
            <w:pPr>
              <w:spacing w:line="440" w:lineRule="exact"/>
              <w:ind w:firstLine="420" w:firstLineChars="200"/>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(1)环形交叉口提升改造设计(含交叉口路面、排水、照明及景观设计)。</w:t>
            </w:r>
          </w:p>
          <w:p w14:paraId="18A096EC">
            <w:pPr>
              <w:spacing w:line="440" w:lineRule="exact"/>
              <w:ind w:firstLine="420" w:firstLineChars="200"/>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(2)环形交叉口交通安全设施设设计。</w:t>
            </w:r>
          </w:p>
          <w:p w14:paraId="1C961E34">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kern w:val="0"/>
                <w:szCs w:val="21"/>
              </w:rPr>
              <w:t>(3)环形交叉口智能交通设施设计。</w:t>
            </w:r>
          </w:p>
          <w:p w14:paraId="7EBA9472">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工程内容：</w:t>
            </w:r>
            <w:r>
              <w:rPr>
                <w:rFonts w:hint="eastAsia" w:asciiTheme="minorEastAsia" w:hAnsiTheme="minorEastAsia" w:eastAsiaTheme="minorEastAsia"/>
                <w:szCs w:val="21"/>
                <w:lang w:val="en-US" w:eastAsia="zh-CN"/>
              </w:rPr>
              <w:t>道路工程</w:t>
            </w: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交通工程及沿线设施</w:t>
            </w: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绿化及环境保护等</w:t>
            </w:r>
            <w:r>
              <w:rPr>
                <w:rFonts w:hint="eastAsia" w:asciiTheme="minorEastAsia" w:hAnsiTheme="minorEastAsia" w:eastAsiaTheme="minorEastAsia"/>
                <w:szCs w:val="21"/>
              </w:rPr>
              <w:t>工程，</w:t>
            </w:r>
            <w:r>
              <w:rPr>
                <w:rFonts w:hint="eastAsia" w:cs="宋体" w:asciiTheme="minorEastAsia" w:hAnsiTheme="minorEastAsia" w:eastAsiaTheme="minorEastAsia"/>
                <w:szCs w:val="21"/>
              </w:rPr>
              <w:t>具体详见施工图纸。</w:t>
            </w:r>
          </w:p>
          <w:p w14:paraId="5A262DC6">
            <w:pPr>
              <w:spacing w:line="440" w:lineRule="exact"/>
              <w:rPr>
                <w:rFonts w:asciiTheme="minorEastAsia" w:hAnsiTheme="minorEastAsia" w:eastAsiaTheme="minorEastAsia"/>
                <w:b/>
                <w:szCs w:val="21"/>
              </w:rPr>
            </w:pPr>
            <w:r>
              <w:rPr>
                <w:rFonts w:hint="eastAsia" w:asciiTheme="minorEastAsia" w:hAnsiTheme="minorEastAsia" w:eastAsiaTheme="minorEastAsia"/>
                <w:b/>
                <w:szCs w:val="21"/>
              </w:rPr>
              <w:t>二、</w:t>
            </w:r>
            <w:r>
              <w:rPr>
                <w:rFonts w:hint="eastAsia" w:ascii="Calibri" w:hAnsi="Calibri"/>
                <w:b/>
                <w:szCs w:val="21"/>
              </w:rPr>
              <w:t>工程招标范围</w:t>
            </w:r>
          </w:p>
          <w:p w14:paraId="713C4B89">
            <w:pPr>
              <w:spacing w:line="440" w:lineRule="exact"/>
              <w:rPr>
                <w:rFonts w:asciiTheme="minorEastAsia" w:hAnsiTheme="minorEastAsia" w:eastAsiaTheme="minorEastAsia"/>
                <w:b/>
                <w:szCs w:val="21"/>
              </w:rPr>
            </w:pPr>
            <w:r>
              <w:rPr>
                <w:rFonts w:hint="eastAsia" w:cs="Arial" w:asciiTheme="minorEastAsia" w:hAnsiTheme="minorEastAsia" w:eastAsiaTheme="minorEastAsia"/>
                <w:szCs w:val="21"/>
              </w:rPr>
              <w:t>工程量清单及设计施工图纸所</w:t>
            </w:r>
            <w:bookmarkStart w:id="0" w:name="_GoBack"/>
            <w:bookmarkEnd w:id="0"/>
            <w:r>
              <w:rPr>
                <w:rFonts w:hint="eastAsia" w:cs="Arial" w:asciiTheme="minorEastAsia" w:hAnsiTheme="minorEastAsia" w:eastAsiaTheme="minorEastAsia"/>
                <w:szCs w:val="21"/>
              </w:rPr>
              <w:t>涉及的范围</w:t>
            </w:r>
            <w:r>
              <w:rPr>
                <w:rFonts w:hint="eastAsia" w:asciiTheme="minorEastAsia" w:hAnsiTheme="minorEastAsia" w:eastAsiaTheme="minorEastAsia"/>
                <w:szCs w:val="21"/>
              </w:rPr>
              <w:t>。</w:t>
            </w:r>
          </w:p>
          <w:p w14:paraId="448684A1">
            <w:pPr>
              <w:spacing w:line="440" w:lineRule="exact"/>
              <w:rPr>
                <w:rFonts w:asciiTheme="minorEastAsia" w:hAnsiTheme="minorEastAsia" w:eastAsiaTheme="minorEastAsia"/>
                <w:b/>
                <w:szCs w:val="21"/>
              </w:rPr>
            </w:pPr>
            <w:r>
              <w:rPr>
                <w:rFonts w:hint="eastAsia" w:asciiTheme="minorEastAsia" w:hAnsiTheme="minorEastAsia" w:eastAsiaTheme="minorEastAsia"/>
                <w:b/>
                <w:szCs w:val="21"/>
              </w:rPr>
              <w:t>三、</w:t>
            </w:r>
            <w:r>
              <w:rPr>
                <w:rFonts w:hint="eastAsia" w:ascii="Calibri" w:hAnsi="Calibri"/>
                <w:b/>
                <w:szCs w:val="21"/>
              </w:rPr>
              <w:t>工程量清单</w:t>
            </w:r>
            <w:r>
              <w:rPr>
                <w:rFonts w:hint="eastAsia" w:ascii="Calibri" w:hAnsi="Calibri"/>
                <w:b/>
                <w:szCs w:val="21"/>
                <w:lang w:val="en-US" w:eastAsia="zh-CN"/>
              </w:rPr>
              <w:t>审核</w:t>
            </w:r>
            <w:r>
              <w:rPr>
                <w:rFonts w:hint="eastAsia" w:ascii="Calibri" w:hAnsi="Calibri"/>
                <w:b/>
                <w:szCs w:val="21"/>
              </w:rPr>
              <w:t>依据</w:t>
            </w:r>
          </w:p>
          <w:p w14:paraId="5D3F8383">
            <w:pPr>
              <w:pStyle w:val="9"/>
              <w:numPr>
                <w:ilvl w:val="0"/>
                <w:numId w:val="1"/>
              </w:numPr>
              <w:spacing w:line="440" w:lineRule="exact"/>
              <w:ind w:left="34" w:firstLine="414" w:firstLineChars="0"/>
              <w:jc w:val="left"/>
              <w:rPr>
                <w:rFonts w:asciiTheme="minorEastAsia" w:hAnsiTheme="minorEastAsia" w:eastAsiaTheme="minorEastAsia"/>
                <w:b/>
                <w:szCs w:val="21"/>
              </w:rPr>
            </w:pPr>
            <w:r>
              <w:rPr>
                <w:rFonts w:hint="eastAsia" w:asciiTheme="minorEastAsia" w:hAnsiTheme="minorEastAsia" w:eastAsiaTheme="minorEastAsia"/>
                <w:szCs w:val="21"/>
              </w:rPr>
              <w:t>《公路工程预算定额》（JTG/T3832-2018）、《公路工程机械台班费用定额》（JTG/T3833-2018）、《公路基本建设工程概算预算编制办法》JTG3830-2018、浙江省交通厅浙交[2019]116号通知印发的《转发交通运输部2018年第86号公告》的通知。</w:t>
            </w:r>
          </w:p>
          <w:p w14:paraId="6656A06B">
            <w:pPr>
              <w:pStyle w:val="9"/>
              <w:numPr>
                <w:ilvl w:val="0"/>
                <w:numId w:val="1"/>
              </w:numPr>
              <w:spacing w:line="440" w:lineRule="exact"/>
              <w:ind w:left="34" w:firstLine="414" w:firstLineChars="0"/>
              <w:jc w:val="left"/>
              <w:rPr>
                <w:rFonts w:asciiTheme="minorEastAsia" w:hAnsiTheme="minorEastAsia" w:eastAsiaTheme="minorEastAsia"/>
                <w:szCs w:val="21"/>
              </w:rPr>
            </w:pPr>
            <w:r>
              <w:rPr>
                <w:rFonts w:hint="eastAsia" w:asciiTheme="minorEastAsia" w:hAnsiTheme="minorEastAsia" w:eastAsiaTheme="minorEastAsia"/>
                <w:szCs w:val="21"/>
              </w:rPr>
              <w:t>标准、规范及有关技术文件。</w:t>
            </w:r>
          </w:p>
          <w:p w14:paraId="2230D537">
            <w:pPr>
              <w:pStyle w:val="9"/>
              <w:numPr>
                <w:ilvl w:val="0"/>
                <w:numId w:val="1"/>
              </w:numPr>
              <w:spacing w:line="440" w:lineRule="exact"/>
              <w:ind w:left="34" w:firstLine="414" w:firstLineChars="0"/>
              <w:jc w:val="left"/>
              <w:rPr>
                <w:rFonts w:asciiTheme="minorEastAsia" w:hAnsiTheme="minorEastAsia" w:eastAsiaTheme="minorEastAsia"/>
                <w:szCs w:val="21"/>
              </w:rPr>
            </w:pPr>
            <w:r>
              <w:rPr>
                <w:rFonts w:hint="eastAsia" w:asciiTheme="minorEastAsia" w:hAnsiTheme="minorEastAsia" w:eastAsiaTheme="minorEastAsia"/>
                <w:szCs w:val="21"/>
              </w:rPr>
              <w:t>中设科欣设计集团有限公司提供的“青外线-义蓬路交叉口提升改造工程”施工图纸。</w:t>
            </w:r>
          </w:p>
          <w:p w14:paraId="20478F1D">
            <w:pPr>
              <w:pStyle w:val="9"/>
              <w:numPr>
                <w:ilvl w:val="0"/>
                <w:numId w:val="1"/>
              </w:numPr>
              <w:spacing w:line="440" w:lineRule="exact"/>
              <w:ind w:left="34" w:firstLine="414" w:firstLineChars="0"/>
              <w:jc w:val="left"/>
              <w:rPr>
                <w:rFonts w:asciiTheme="minorEastAsia" w:hAnsiTheme="minorEastAsia" w:eastAsiaTheme="minorEastAsia"/>
                <w:szCs w:val="21"/>
              </w:rPr>
            </w:pPr>
            <w:r>
              <w:rPr>
                <w:rFonts w:hint="eastAsia" w:asciiTheme="minorEastAsia" w:hAnsiTheme="minorEastAsia" w:eastAsiaTheme="minorEastAsia"/>
                <w:szCs w:val="21"/>
              </w:rPr>
              <w:t>与工程项目相关的规范、标准和技术资料。</w:t>
            </w:r>
          </w:p>
          <w:p w14:paraId="691645B0">
            <w:pPr>
              <w:pStyle w:val="9"/>
              <w:numPr>
                <w:ilvl w:val="0"/>
                <w:numId w:val="1"/>
              </w:numPr>
              <w:spacing w:line="440" w:lineRule="exact"/>
              <w:ind w:left="34" w:firstLine="414" w:firstLineChars="0"/>
              <w:jc w:val="left"/>
              <w:rPr>
                <w:rFonts w:asciiTheme="minorEastAsia" w:hAnsiTheme="minorEastAsia" w:eastAsiaTheme="minorEastAsia"/>
                <w:szCs w:val="21"/>
              </w:rPr>
            </w:pPr>
            <w:r>
              <w:rPr>
                <w:rFonts w:hint="eastAsia" w:asciiTheme="minorEastAsia" w:hAnsiTheme="minorEastAsia" w:eastAsiaTheme="minorEastAsia"/>
                <w:szCs w:val="21"/>
              </w:rPr>
              <w:t>施工现场情况、工程特点及常规施工方案。</w:t>
            </w:r>
          </w:p>
          <w:p w14:paraId="1F714155">
            <w:pPr>
              <w:pStyle w:val="9"/>
              <w:numPr>
                <w:ilvl w:val="0"/>
                <w:numId w:val="1"/>
              </w:numPr>
              <w:spacing w:line="440" w:lineRule="exact"/>
              <w:ind w:left="34" w:firstLine="414" w:firstLineChars="0"/>
              <w:jc w:val="left"/>
              <w:rPr>
                <w:rFonts w:asciiTheme="minorEastAsia" w:hAnsiTheme="minorEastAsia" w:eastAsiaTheme="minorEastAsia"/>
                <w:szCs w:val="21"/>
              </w:rPr>
            </w:pPr>
            <w:r>
              <w:rPr>
                <w:rFonts w:hint="eastAsia" w:asciiTheme="minorEastAsia" w:hAnsiTheme="minorEastAsia" w:eastAsiaTheme="minorEastAsia"/>
                <w:szCs w:val="21"/>
              </w:rPr>
              <w:t>现行法律、法规及相关文件等，省、市、区等其他有关计价文件规定。</w:t>
            </w:r>
          </w:p>
          <w:p w14:paraId="593099E2">
            <w:pPr>
              <w:spacing w:line="440" w:lineRule="exact"/>
              <w:rPr>
                <w:rFonts w:ascii="Calibri" w:hAnsi="Calibri"/>
                <w:b/>
                <w:szCs w:val="21"/>
              </w:rPr>
            </w:pPr>
            <w:r>
              <w:rPr>
                <w:rFonts w:hint="eastAsia" w:ascii="Calibri" w:hAnsi="Calibri"/>
                <w:b/>
                <w:szCs w:val="21"/>
              </w:rPr>
              <w:t>四、工程质量、工期、材料、施工等要求</w:t>
            </w:r>
          </w:p>
          <w:p w14:paraId="6CA567A8">
            <w:pPr>
              <w:pStyle w:val="9"/>
              <w:numPr>
                <w:ilvl w:val="0"/>
                <w:numId w:val="2"/>
              </w:numPr>
              <w:spacing w:line="440" w:lineRule="exact"/>
              <w:ind w:left="34" w:firstLine="414" w:firstLineChars="0"/>
              <w:jc w:val="left"/>
              <w:rPr>
                <w:rFonts w:ascii="Calibri" w:hAnsi="Calibri"/>
                <w:szCs w:val="21"/>
              </w:rPr>
            </w:pPr>
            <w:r>
              <w:rPr>
                <w:rFonts w:hint="eastAsia" w:ascii="Calibri" w:hAnsi="Calibri"/>
                <w:szCs w:val="21"/>
              </w:rPr>
              <w:t>工程质量：详见招标文件。</w:t>
            </w:r>
          </w:p>
          <w:p w14:paraId="4D9B8929">
            <w:pPr>
              <w:pStyle w:val="9"/>
              <w:numPr>
                <w:ilvl w:val="0"/>
                <w:numId w:val="2"/>
              </w:numPr>
              <w:spacing w:line="440" w:lineRule="exact"/>
              <w:ind w:left="34" w:firstLine="414" w:firstLineChars="0"/>
              <w:jc w:val="left"/>
              <w:rPr>
                <w:rFonts w:ascii="Calibri" w:hAnsi="Calibri"/>
                <w:szCs w:val="21"/>
              </w:rPr>
            </w:pPr>
            <w:r>
              <w:rPr>
                <w:rFonts w:hint="eastAsia" w:ascii="Calibri" w:hAnsi="Calibri"/>
                <w:szCs w:val="21"/>
              </w:rPr>
              <w:t>工期：详见招标文件。</w:t>
            </w:r>
          </w:p>
          <w:p w14:paraId="3B75D3C4">
            <w:pPr>
              <w:pStyle w:val="9"/>
              <w:numPr>
                <w:ilvl w:val="0"/>
                <w:numId w:val="2"/>
              </w:numPr>
              <w:spacing w:line="440" w:lineRule="exact"/>
              <w:ind w:left="34" w:firstLine="414" w:firstLineChars="0"/>
              <w:jc w:val="left"/>
              <w:rPr>
                <w:rFonts w:ascii="Calibri" w:hAnsi="Calibri"/>
                <w:szCs w:val="21"/>
              </w:rPr>
            </w:pPr>
            <w:r>
              <w:rPr>
                <w:rFonts w:hint="eastAsia" w:ascii="Calibri" w:hAnsi="Calibri"/>
                <w:szCs w:val="21"/>
              </w:rPr>
              <w:t>材料及施工要求：具体要求详见设计施工图纸及相关规范。</w:t>
            </w:r>
          </w:p>
          <w:p w14:paraId="1871AD73">
            <w:pPr>
              <w:spacing w:line="440" w:lineRule="exact"/>
              <w:ind w:firstLine="422" w:firstLineChars="200"/>
              <w:rPr>
                <w:rFonts w:ascii="新宋体" w:hAnsi="新宋体" w:eastAsia="新宋体"/>
                <w:b/>
              </w:rPr>
            </w:pPr>
            <w:r>
              <w:rPr>
                <w:rFonts w:hint="eastAsia" w:ascii="新宋体" w:hAnsi="新宋体" w:eastAsia="新宋体"/>
                <w:b/>
                <w:lang w:val="en-US" w:eastAsia="zh-CN"/>
              </w:rPr>
              <w:t>五</w:t>
            </w:r>
            <w:r>
              <w:rPr>
                <w:rFonts w:hint="eastAsia" w:ascii="新宋体" w:hAnsi="新宋体" w:eastAsia="新宋体"/>
                <w:b/>
              </w:rPr>
              <w:t>、不可竞争性费用要求</w:t>
            </w:r>
          </w:p>
          <w:p w14:paraId="13B4534F">
            <w:pPr>
              <w:pStyle w:val="9"/>
              <w:spacing w:line="440" w:lineRule="exact"/>
              <w:ind w:left="34" w:firstLine="424" w:firstLineChars="202"/>
              <w:jc w:val="left"/>
              <w:rPr>
                <w:rFonts w:ascii="Calibri" w:hAnsi="Calibri"/>
                <w:szCs w:val="21"/>
              </w:rPr>
            </w:pPr>
            <w:r>
              <w:rPr>
                <w:rFonts w:hint="eastAsia" w:ascii="Calibri" w:hAnsi="Calibri"/>
                <w:szCs w:val="21"/>
              </w:rPr>
              <w:t>税金：取费计算基数为税前造价，即分部分项工程费+措施项目费+其他项目费+规费之和，费率为9%。</w:t>
            </w:r>
          </w:p>
          <w:p w14:paraId="417A357B">
            <w:pPr>
              <w:spacing w:line="440" w:lineRule="exact"/>
              <w:rPr>
                <w:rFonts w:ascii="Calibri" w:hAnsi="Calibri"/>
                <w:b/>
                <w:szCs w:val="21"/>
              </w:rPr>
            </w:pPr>
            <w:r>
              <w:rPr>
                <w:rFonts w:hint="eastAsia" w:ascii="Calibri" w:hAnsi="Calibri"/>
                <w:b/>
                <w:szCs w:val="21"/>
                <w:lang w:val="en-US" w:eastAsia="zh-CN"/>
              </w:rPr>
              <w:t>六</w:t>
            </w:r>
            <w:r>
              <w:rPr>
                <w:rFonts w:hint="eastAsia" w:ascii="Calibri" w:hAnsi="Calibri"/>
                <w:b/>
                <w:szCs w:val="21"/>
              </w:rPr>
              <w:t>、暂列金额的数量</w:t>
            </w:r>
          </w:p>
          <w:p w14:paraId="736BC8DC">
            <w:pPr>
              <w:spacing w:line="440" w:lineRule="exact"/>
              <w:ind w:firstLine="420" w:firstLineChars="200"/>
              <w:rPr>
                <w:rFonts w:ascii="Calibri" w:hAnsi="Calibri"/>
                <w:szCs w:val="21"/>
              </w:rPr>
            </w:pPr>
            <w:r>
              <w:rPr>
                <w:rFonts w:hint="eastAsia" w:ascii="Calibri" w:hAnsi="Calibri"/>
                <w:szCs w:val="21"/>
              </w:rPr>
              <w:t>本工程不计取暂列金额。</w:t>
            </w:r>
          </w:p>
          <w:p w14:paraId="414E36A8">
            <w:pPr>
              <w:spacing w:line="440" w:lineRule="exact"/>
              <w:rPr>
                <w:rFonts w:ascii="宋体" w:hAnsi="宋体"/>
                <w:b/>
                <w:szCs w:val="21"/>
              </w:rPr>
            </w:pPr>
            <w:r>
              <w:rPr>
                <w:rFonts w:hint="eastAsia" w:ascii="Calibri" w:hAnsi="Calibri"/>
                <w:b/>
                <w:szCs w:val="21"/>
                <w:lang w:val="en-US" w:eastAsia="zh-CN"/>
              </w:rPr>
              <w:t>七</w:t>
            </w:r>
            <w:r>
              <w:rPr>
                <w:rFonts w:hint="eastAsia" w:ascii="Calibri" w:hAnsi="Calibri"/>
                <w:b/>
                <w:szCs w:val="21"/>
              </w:rPr>
              <w:t>、</w:t>
            </w:r>
            <w:r>
              <w:rPr>
                <w:rFonts w:hint="eastAsia" w:ascii="宋体" w:hAnsi="宋体"/>
                <w:b/>
                <w:szCs w:val="21"/>
                <w:lang w:val="en-US" w:eastAsia="zh-CN"/>
              </w:rPr>
              <w:t>审核</w:t>
            </w:r>
            <w:r>
              <w:rPr>
                <w:rFonts w:hint="eastAsia" w:ascii="宋体" w:hAnsi="宋体"/>
                <w:b/>
                <w:szCs w:val="21"/>
              </w:rPr>
              <w:t>口径及相关事项说明</w:t>
            </w:r>
          </w:p>
          <w:p w14:paraId="06CD7405">
            <w:pPr>
              <w:spacing w:line="440" w:lineRule="exact"/>
              <w:rPr>
                <w:rFonts w:hint="eastAsia" w:ascii="Calibri" w:hAnsi="Calibri" w:eastAsia="宋体"/>
                <w:szCs w:val="21"/>
                <w:lang w:eastAsia="zh-CN"/>
              </w:rPr>
            </w:pPr>
            <w:r>
              <w:rPr>
                <w:rFonts w:hint="eastAsia" w:ascii="Calibri" w:hAnsi="Calibri"/>
                <w:szCs w:val="21"/>
              </w:rPr>
              <w:t xml:space="preserve">1、建筑工程一切险的投保金额为工程量清单第 100 章（不含工程一切险及第三方责任险的保险费）至第 </w:t>
            </w:r>
            <w:r>
              <w:rPr>
                <w:rFonts w:hint="eastAsia" w:ascii="Calibri" w:hAnsi="Calibri"/>
                <w:szCs w:val="21"/>
                <w:lang w:val="en-US" w:eastAsia="zh-CN"/>
              </w:rPr>
              <w:t>9</w:t>
            </w:r>
            <w:r>
              <w:rPr>
                <w:rFonts w:hint="eastAsia" w:ascii="Calibri" w:hAnsi="Calibri"/>
                <w:szCs w:val="21"/>
              </w:rPr>
              <w:t xml:space="preserve">00 章的合计金额，保险费率不低于3‰；第三者责任险的投保金额为工程量清单第 100 章（不含工程一切险及第三方责任险的保险费）至第 </w:t>
            </w:r>
            <w:r>
              <w:rPr>
                <w:rFonts w:hint="eastAsia" w:ascii="Calibri" w:hAnsi="Calibri"/>
                <w:szCs w:val="21"/>
                <w:lang w:val="en-US" w:eastAsia="zh-CN"/>
              </w:rPr>
              <w:t>9</w:t>
            </w:r>
            <w:r>
              <w:rPr>
                <w:rFonts w:hint="eastAsia" w:ascii="Calibri" w:hAnsi="Calibri"/>
                <w:szCs w:val="21"/>
              </w:rPr>
              <w:t>00 章的合计金额，保险费率不低于</w:t>
            </w:r>
            <w:r>
              <w:rPr>
                <w:rFonts w:hint="eastAsia" w:ascii="Calibri" w:hAnsi="Calibri"/>
                <w:szCs w:val="21"/>
                <w:lang w:val="en-US" w:eastAsia="zh-CN"/>
              </w:rPr>
              <w:t>5000元</w:t>
            </w:r>
            <w:r>
              <w:rPr>
                <w:rFonts w:hint="eastAsia" w:ascii="Calibri" w:hAnsi="Calibri"/>
                <w:szCs w:val="21"/>
              </w:rPr>
              <w:t>；建筑工程一切险和第三者责任险的保险费将根据保险公司的保单及发票按实支付</w:t>
            </w:r>
            <w:r>
              <w:rPr>
                <w:rFonts w:hint="eastAsia" w:ascii="Calibri" w:hAnsi="Calibri"/>
                <w:szCs w:val="21"/>
                <w:lang w:eastAsia="zh-CN"/>
              </w:rPr>
              <w:t>；</w:t>
            </w:r>
          </w:p>
          <w:p w14:paraId="0A67EB86">
            <w:pPr>
              <w:spacing w:line="440" w:lineRule="exact"/>
              <w:rPr>
                <w:rFonts w:hint="eastAsia" w:ascii="Calibri" w:hAnsi="Calibri" w:eastAsia="宋体"/>
                <w:szCs w:val="21"/>
                <w:lang w:eastAsia="zh-CN"/>
              </w:rPr>
            </w:pPr>
            <w:r>
              <w:rPr>
                <w:rFonts w:hint="eastAsia" w:ascii="Calibri" w:hAnsi="Calibri"/>
                <w:szCs w:val="21"/>
              </w:rPr>
              <w:t>2、安全生产费是以保护现场施工、监理人员及公众的生命、健康、安全及方便所需的费用。根据《关于进一步加强全省交通建设工程安全生产管理工作的若干规定的通知》（浙交[2020]104号文），以清单第100章（不含安全生产费本身和保险费）至900章合计金额不低于</w:t>
            </w:r>
            <w:r>
              <w:rPr>
                <w:rFonts w:hint="eastAsia" w:ascii="Calibri" w:hAnsi="Calibri"/>
                <w:szCs w:val="21"/>
                <w:lang w:val="en-US" w:eastAsia="zh-CN"/>
              </w:rPr>
              <w:t>2</w:t>
            </w:r>
            <w:r>
              <w:rPr>
                <w:rFonts w:hint="eastAsia" w:ascii="Calibri" w:hAnsi="Calibri"/>
                <w:szCs w:val="21"/>
              </w:rPr>
              <w:t>%报价，将按月实际发生费用计量，但总价不超过投标价</w:t>
            </w:r>
            <w:r>
              <w:rPr>
                <w:rFonts w:hint="eastAsia" w:ascii="Calibri" w:hAnsi="Calibri"/>
                <w:szCs w:val="21"/>
                <w:lang w:eastAsia="zh-CN"/>
              </w:rPr>
              <w:t>；</w:t>
            </w:r>
          </w:p>
          <w:p w14:paraId="1F14A372">
            <w:pPr>
              <w:spacing w:line="440" w:lineRule="exact"/>
              <w:rPr>
                <w:rFonts w:hint="eastAsia" w:ascii="Calibri" w:hAnsi="Calibri"/>
                <w:szCs w:val="21"/>
              </w:rPr>
            </w:pPr>
            <w:r>
              <w:rPr>
                <w:rFonts w:hint="eastAsia" w:ascii="Calibri" w:hAnsi="Calibri"/>
                <w:szCs w:val="21"/>
                <w:lang w:val="en-US" w:eastAsia="zh-CN"/>
              </w:rPr>
              <w:t>3</w:t>
            </w:r>
            <w:r>
              <w:rPr>
                <w:rFonts w:hint="eastAsia" w:ascii="Calibri" w:hAnsi="Calibri"/>
                <w:szCs w:val="21"/>
              </w:rPr>
              <w:t>、经咨询设计：人行道结构层开挖根据图纸路面结构图一致，现状已有人行道开挖厚度按33cm考虑，新建人行道开挖厚度按48cm考虑；</w:t>
            </w:r>
          </w:p>
          <w:p w14:paraId="6A2A434F">
            <w:pPr>
              <w:spacing w:line="440" w:lineRule="exact"/>
              <w:rPr>
                <w:rFonts w:hint="eastAsia" w:ascii="Calibri" w:hAnsi="Calibri"/>
                <w:szCs w:val="21"/>
              </w:rPr>
            </w:pPr>
            <w:r>
              <w:rPr>
                <w:rFonts w:hint="eastAsia" w:ascii="Calibri" w:hAnsi="Calibri"/>
                <w:szCs w:val="21"/>
                <w:lang w:val="en-US" w:eastAsia="zh-CN"/>
              </w:rPr>
              <w:t>4</w:t>
            </w:r>
            <w:r>
              <w:rPr>
                <w:rFonts w:hint="eastAsia" w:ascii="Calibri" w:hAnsi="Calibri"/>
                <w:szCs w:val="21"/>
              </w:rPr>
              <w:t>、经咨询设计：电力、弱电、给水、燃气井盖等其他配套井盖更换也做提升，井盖材质参考图集HZ-JY；</w:t>
            </w:r>
          </w:p>
          <w:p w14:paraId="10A0C9B1">
            <w:pPr>
              <w:spacing w:line="440" w:lineRule="exact"/>
              <w:rPr>
                <w:rFonts w:hint="eastAsia" w:ascii="Calibri" w:hAnsi="Calibri"/>
                <w:szCs w:val="21"/>
              </w:rPr>
            </w:pPr>
            <w:r>
              <w:rPr>
                <w:rFonts w:hint="eastAsia" w:ascii="Calibri" w:hAnsi="Calibri"/>
                <w:szCs w:val="21"/>
                <w:lang w:val="en-US" w:eastAsia="zh-CN"/>
              </w:rPr>
              <w:t>5</w:t>
            </w:r>
            <w:r>
              <w:rPr>
                <w:rFonts w:hint="eastAsia" w:ascii="Calibri" w:hAnsi="Calibri"/>
                <w:szCs w:val="21"/>
              </w:rPr>
              <w:t>、经咨询设计：照明只是对现状路灯进行改移，配电箱利用现状，管道迁移的大小参照设计的管道；</w:t>
            </w:r>
          </w:p>
          <w:p w14:paraId="28D9D540">
            <w:pPr>
              <w:spacing w:line="440" w:lineRule="exact"/>
              <w:rPr>
                <w:rFonts w:hint="eastAsia" w:ascii="Calibri" w:hAnsi="Calibri"/>
                <w:szCs w:val="21"/>
              </w:rPr>
            </w:pPr>
            <w:r>
              <w:rPr>
                <w:rFonts w:hint="eastAsia" w:ascii="Calibri" w:hAnsi="Calibri"/>
                <w:szCs w:val="21"/>
                <w:lang w:val="en-US" w:eastAsia="zh-CN"/>
              </w:rPr>
              <w:t>6</w:t>
            </w:r>
            <w:r>
              <w:rPr>
                <w:rFonts w:hint="eastAsia" w:ascii="Calibri" w:hAnsi="Calibri"/>
                <w:szCs w:val="21"/>
              </w:rPr>
              <w:t>、经咨询设计：提示标志牌厚度按2mm考虑，指路标志牌厚度按3mm考虑；</w:t>
            </w:r>
          </w:p>
          <w:p w14:paraId="6B42B2A4">
            <w:pPr>
              <w:spacing w:line="440" w:lineRule="exact"/>
              <w:rPr>
                <w:rFonts w:hint="eastAsia" w:ascii="Calibri" w:hAnsi="Calibri"/>
                <w:szCs w:val="21"/>
              </w:rPr>
            </w:pPr>
            <w:r>
              <w:rPr>
                <w:rFonts w:hint="eastAsia" w:ascii="Calibri" w:hAnsi="Calibri"/>
                <w:szCs w:val="21"/>
                <w:lang w:val="en-US" w:eastAsia="zh-CN"/>
              </w:rPr>
              <w:t>7</w:t>
            </w:r>
            <w:r>
              <w:rPr>
                <w:rFonts w:hint="eastAsia" w:ascii="Calibri" w:hAnsi="Calibri"/>
                <w:szCs w:val="21"/>
              </w:rPr>
              <w:t>、经咨询设计：本工程光纤敷设按4芯室外单模光缆考虑；</w:t>
            </w:r>
          </w:p>
          <w:p w14:paraId="7D297165">
            <w:pPr>
              <w:spacing w:line="440" w:lineRule="exact"/>
              <w:rPr>
                <w:rFonts w:hint="eastAsia" w:ascii="Calibri" w:hAnsi="Calibri"/>
                <w:szCs w:val="21"/>
              </w:rPr>
            </w:pPr>
            <w:r>
              <w:rPr>
                <w:rFonts w:hint="eastAsia" w:ascii="Calibri" w:hAnsi="Calibri"/>
                <w:szCs w:val="21"/>
                <w:lang w:val="en-US" w:eastAsia="zh-CN"/>
              </w:rPr>
              <w:t>8</w:t>
            </w:r>
            <w:r>
              <w:rPr>
                <w:rFonts w:hint="eastAsia" w:ascii="Calibri" w:hAnsi="Calibri"/>
                <w:szCs w:val="21"/>
              </w:rPr>
              <w:t>、经咨询设计：电子警察系统中的800米电源线型号采用钢包线缆YJV22 3*1.5与监控一致；</w:t>
            </w:r>
          </w:p>
          <w:p w14:paraId="667CD231">
            <w:pPr>
              <w:spacing w:line="440" w:lineRule="exact"/>
              <w:rPr>
                <w:rFonts w:hint="eastAsia" w:ascii="Calibri" w:hAnsi="Calibri" w:eastAsia="宋体"/>
                <w:szCs w:val="21"/>
                <w:lang w:eastAsia="zh-CN"/>
              </w:rPr>
            </w:pPr>
            <w:r>
              <w:rPr>
                <w:rFonts w:hint="eastAsia" w:ascii="Calibri" w:hAnsi="Calibri"/>
                <w:szCs w:val="21"/>
                <w:lang w:val="en-US" w:eastAsia="zh-CN"/>
              </w:rPr>
              <w:t>9</w:t>
            </w:r>
            <w:r>
              <w:rPr>
                <w:rFonts w:hint="eastAsia" w:ascii="Calibri" w:hAnsi="Calibri"/>
                <w:szCs w:val="21"/>
              </w:rPr>
              <w:t>、土方挖、运、填需投标人根据现场踏勘并结合自己的挖土方案考虑土方平衡综合报价，所需取、弃土（料）场及取、弃土（料）运距均由投标人自行考虑。本工程所有建筑垃圾及弃土外运，中标人必须自行联系政府规定合法弃土点，从工地清运出去，涉及运输距离远近和运输过程中发生的运输费、环保费、城市卫生费、处置费等开支，投标人在报价时应充分考虑，中标后投标人不得以任何理由要求调整费用</w:t>
            </w:r>
            <w:r>
              <w:rPr>
                <w:rFonts w:hint="eastAsia" w:ascii="Calibri" w:hAnsi="Calibri"/>
                <w:szCs w:val="21"/>
                <w:lang w:eastAsia="zh-CN"/>
              </w:rPr>
              <w:t>；</w:t>
            </w:r>
          </w:p>
          <w:p w14:paraId="51C4B458">
            <w:pPr>
              <w:spacing w:line="440" w:lineRule="exact"/>
              <w:rPr>
                <w:rFonts w:hint="eastAsia" w:ascii="Calibri" w:hAnsi="Calibri" w:eastAsia="宋体"/>
                <w:szCs w:val="21"/>
                <w:lang w:eastAsia="zh-CN"/>
              </w:rPr>
            </w:pPr>
            <w:r>
              <w:rPr>
                <w:rFonts w:hint="eastAsia" w:ascii="Calibri" w:hAnsi="Calibri"/>
                <w:szCs w:val="21"/>
              </w:rPr>
              <w:t>1</w:t>
            </w:r>
            <w:r>
              <w:rPr>
                <w:rFonts w:hint="eastAsia" w:ascii="Calibri" w:hAnsi="Calibri"/>
                <w:szCs w:val="21"/>
                <w:lang w:val="en-US" w:eastAsia="zh-CN"/>
              </w:rPr>
              <w:t>0</w:t>
            </w:r>
            <w:r>
              <w:rPr>
                <w:rFonts w:hint="eastAsia" w:ascii="Calibri" w:hAnsi="Calibri"/>
                <w:szCs w:val="21"/>
              </w:rPr>
              <w:t>、绿化工程的养护期为二年</w:t>
            </w:r>
            <w:r>
              <w:rPr>
                <w:rFonts w:hint="eastAsia" w:ascii="Calibri" w:hAnsi="Calibri"/>
                <w:szCs w:val="21"/>
                <w:lang w:eastAsia="zh-CN"/>
              </w:rPr>
              <w:t>；</w:t>
            </w:r>
          </w:p>
          <w:p w14:paraId="74F39414">
            <w:pPr>
              <w:spacing w:line="440" w:lineRule="exact"/>
              <w:rPr>
                <w:rFonts w:hint="eastAsia" w:ascii="Calibri" w:hAnsi="Calibri" w:eastAsia="宋体"/>
                <w:szCs w:val="21"/>
                <w:lang w:eastAsia="zh-CN"/>
              </w:rPr>
            </w:pPr>
            <w:r>
              <w:rPr>
                <w:rFonts w:hint="eastAsia" w:ascii="Calibri" w:hAnsi="Calibri"/>
                <w:szCs w:val="21"/>
              </w:rPr>
              <w:t>1</w:t>
            </w:r>
            <w:r>
              <w:rPr>
                <w:rFonts w:hint="eastAsia" w:ascii="Calibri" w:hAnsi="Calibri"/>
                <w:szCs w:val="21"/>
                <w:lang w:val="en-US" w:eastAsia="zh-CN"/>
              </w:rPr>
              <w:t>1</w:t>
            </w:r>
            <w:r>
              <w:rPr>
                <w:rFonts w:hint="eastAsia" w:ascii="Calibri" w:hAnsi="Calibri"/>
                <w:szCs w:val="21"/>
              </w:rPr>
              <w:t>、本工程的花岗岩侧平石、人行道板板材等相关子目均需含磨边、倒角、割槽、六面防碱、防污处理及圆角处整体异型加工等相关费用后综合考虑报价，道路侧石不分弧形及直形，由投标人在投标报价时综合考虑</w:t>
            </w:r>
            <w:r>
              <w:rPr>
                <w:rFonts w:hint="eastAsia" w:ascii="Calibri" w:hAnsi="Calibri"/>
                <w:szCs w:val="21"/>
                <w:lang w:eastAsia="zh-CN"/>
              </w:rPr>
              <w:t>；</w:t>
            </w:r>
          </w:p>
          <w:p w14:paraId="545F9EC4">
            <w:pPr>
              <w:spacing w:line="440" w:lineRule="exact"/>
              <w:rPr>
                <w:rFonts w:hint="eastAsia" w:ascii="Calibri" w:hAnsi="Calibri" w:eastAsia="宋体"/>
                <w:szCs w:val="21"/>
                <w:lang w:eastAsia="zh-CN"/>
              </w:rPr>
            </w:pPr>
            <w:r>
              <w:rPr>
                <w:rFonts w:hint="eastAsia" w:ascii="Calibri" w:hAnsi="Calibri"/>
                <w:szCs w:val="21"/>
              </w:rPr>
              <w:t>1</w:t>
            </w:r>
            <w:r>
              <w:rPr>
                <w:rFonts w:hint="eastAsia" w:ascii="Calibri" w:hAnsi="Calibri"/>
                <w:szCs w:val="21"/>
                <w:lang w:val="en-US" w:eastAsia="zh-CN"/>
              </w:rPr>
              <w:t>2</w:t>
            </w:r>
            <w:r>
              <w:rPr>
                <w:rFonts w:hint="eastAsia" w:ascii="Calibri" w:hAnsi="Calibri"/>
                <w:szCs w:val="21"/>
              </w:rPr>
              <w:t>、本工程混凝土采用商品混凝土，无论采用泵送还是非泵送，一旦中标，综合单价均不作调整</w:t>
            </w:r>
            <w:r>
              <w:rPr>
                <w:rFonts w:hint="eastAsia" w:ascii="Calibri" w:hAnsi="Calibri"/>
                <w:szCs w:val="21"/>
                <w:lang w:eastAsia="zh-CN"/>
              </w:rPr>
              <w:t>；</w:t>
            </w:r>
          </w:p>
          <w:p w14:paraId="424A7394">
            <w:pPr>
              <w:spacing w:line="440" w:lineRule="exact"/>
              <w:rPr>
                <w:rFonts w:hint="eastAsia" w:ascii="Calibri" w:hAnsi="Calibri" w:eastAsia="宋体"/>
                <w:szCs w:val="21"/>
                <w:lang w:eastAsia="zh-CN"/>
              </w:rPr>
            </w:pPr>
            <w:r>
              <w:rPr>
                <w:rFonts w:hint="eastAsia" w:ascii="Calibri" w:hAnsi="Calibri"/>
                <w:szCs w:val="21"/>
              </w:rPr>
              <w:t>1</w:t>
            </w:r>
            <w:r>
              <w:rPr>
                <w:rFonts w:hint="eastAsia" w:ascii="Calibri" w:hAnsi="Calibri"/>
                <w:szCs w:val="21"/>
                <w:lang w:val="en-US" w:eastAsia="zh-CN"/>
              </w:rPr>
              <w:t>3</w:t>
            </w:r>
            <w:r>
              <w:rPr>
                <w:rFonts w:hint="eastAsia" w:ascii="Calibri" w:hAnsi="Calibri"/>
                <w:szCs w:val="21"/>
              </w:rPr>
              <w:t>、本工程采用预拌砂浆</w:t>
            </w:r>
            <w:r>
              <w:rPr>
                <w:rFonts w:hint="eastAsia" w:ascii="Calibri" w:hAnsi="Calibri"/>
                <w:szCs w:val="21"/>
                <w:lang w:eastAsia="zh-CN"/>
              </w:rPr>
              <w:t>；</w:t>
            </w:r>
          </w:p>
          <w:p w14:paraId="73B61136">
            <w:pPr>
              <w:spacing w:line="440" w:lineRule="exact"/>
              <w:rPr>
                <w:rFonts w:hint="eastAsia" w:ascii="Calibri" w:hAnsi="Calibri" w:eastAsia="宋体"/>
                <w:szCs w:val="21"/>
                <w:lang w:eastAsia="zh-CN"/>
              </w:rPr>
            </w:pPr>
            <w:r>
              <w:rPr>
                <w:rFonts w:hint="eastAsia" w:ascii="Calibri" w:hAnsi="Calibri"/>
                <w:szCs w:val="21"/>
              </w:rPr>
              <w:t>1</w:t>
            </w:r>
            <w:r>
              <w:rPr>
                <w:rFonts w:hint="eastAsia" w:ascii="Calibri" w:hAnsi="Calibri"/>
                <w:szCs w:val="21"/>
                <w:lang w:val="en-US" w:eastAsia="zh-CN"/>
              </w:rPr>
              <w:t>4</w:t>
            </w:r>
            <w:r>
              <w:rPr>
                <w:rFonts w:hint="eastAsia" w:ascii="Calibri" w:hAnsi="Calibri"/>
                <w:szCs w:val="21"/>
              </w:rPr>
              <w:t>、混凝土模板工程量清单按接触面积计算，结算时也按接触面积结算，由投标单位在总价中综合考虑</w:t>
            </w:r>
            <w:r>
              <w:rPr>
                <w:rFonts w:hint="eastAsia" w:ascii="Calibri" w:hAnsi="Calibri"/>
                <w:szCs w:val="21"/>
                <w:lang w:eastAsia="zh-CN"/>
              </w:rPr>
              <w:t>；</w:t>
            </w:r>
          </w:p>
          <w:p w14:paraId="5C8867BC">
            <w:pPr>
              <w:spacing w:line="440" w:lineRule="exact"/>
              <w:rPr>
                <w:rFonts w:hint="eastAsia" w:ascii="Calibri" w:hAnsi="Calibri" w:eastAsia="宋体"/>
                <w:szCs w:val="21"/>
                <w:lang w:eastAsia="zh-CN"/>
              </w:rPr>
            </w:pPr>
            <w:r>
              <w:rPr>
                <w:rFonts w:hint="eastAsia" w:ascii="Calibri" w:hAnsi="Calibri"/>
                <w:szCs w:val="21"/>
                <w:lang w:val="en-US" w:eastAsia="zh-CN"/>
              </w:rPr>
              <w:t>15</w:t>
            </w:r>
            <w:r>
              <w:rPr>
                <w:rFonts w:hint="eastAsia" w:ascii="Calibri" w:hAnsi="Calibri"/>
                <w:szCs w:val="21"/>
              </w:rPr>
              <w:t>、井室盖板、井圈是否采用现场预制请投标人自行综合考虑报价</w:t>
            </w:r>
            <w:r>
              <w:rPr>
                <w:rFonts w:hint="eastAsia" w:ascii="Calibri" w:hAnsi="Calibri"/>
                <w:szCs w:val="21"/>
                <w:lang w:eastAsia="zh-CN"/>
              </w:rPr>
              <w:t>；</w:t>
            </w:r>
          </w:p>
          <w:p w14:paraId="3FCC2640">
            <w:pPr>
              <w:spacing w:line="440" w:lineRule="exact"/>
              <w:rPr>
                <w:rFonts w:hint="eastAsia" w:ascii="Calibri" w:hAnsi="Calibri" w:eastAsia="宋体"/>
                <w:szCs w:val="21"/>
                <w:lang w:eastAsia="zh-CN"/>
              </w:rPr>
            </w:pPr>
            <w:r>
              <w:rPr>
                <w:rFonts w:hint="eastAsia" w:ascii="Calibri" w:hAnsi="Calibri"/>
                <w:szCs w:val="21"/>
                <w:lang w:val="en-US" w:eastAsia="zh-CN"/>
              </w:rPr>
              <w:t>16</w:t>
            </w:r>
            <w:r>
              <w:rPr>
                <w:rFonts w:hint="eastAsia" w:ascii="Calibri" w:hAnsi="Calibri"/>
                <w:szCs w:val="21"/>
              </w:rPr>
              <w:t>、管基、管基变形缝、管道交叉处理、管道与检查井连接等，投标人均应综合考虑在相应清单的报价中，今后不另计</w:t>
            </w:r>
            <w:r>
              <w:rPr>
                <w:rFonts w:hint="eastAsia" w:ascii="Calibri" w:hAnsi="Calibri"/>
                <w:szCs w:val="21"/>
                <w:lang w:eastAsia="zh-CN"/>
              </w:rPr>
              <w:t>；</w:t>
            </w:r>
          </w:p>
          <w:p w14:paraId="051196F0">
            <w:pPr>
              <w:spacing w:line="440" w:lineRule="exact"/>
              <w:rPr>
                <w:rFonts w:hint="eastAsia" w:ascii="Calibri" w:hAnsi="Calibri" w:eastAsia="宋体"/>
                <w:szCs w:val="21"/>
                <w:lang w:eastAsia="zh-CN"/>
              </w:rPr>
            </w:pPr>
            <w:r>
              <w:rPr>
                <w:rFonts w:hint="eastAsia" w:ascii="Calibri" w:hAnsi="Calibri"/>
                <w:szCs w:val="21"/>
                <w:lang w:val="en-US" w:eastAsia="zh-CN"/>
              </w:rPr>
              <w:t>17</w:t>
            </w:r>
            <w:r>
              <w:rPr>
                <w:rFonts w:hint="eastAsia" w:ascii="Calibri" w:hAnsi="Calibri"/>
                <w:szCs w:val="21"/>
              </w:rPr>
              <w:t>、本工程对于管线及检查井位于地质交叉处的地基处理不进行单独列项，相应费用请投标人结合图纸、现场踏勘情况在相应的管道铺设及检查井等项目内综合考虑报价，今后结算不作调整</w:t>
            </w:r>
            <w:r>
              <w:rPr>
                <w:rFonts w:hint="eastAsia" w:ascii="Calibri" w:hAnsi="Calibri"/>
                <w:szCs w:val="21"/>
                <w:lang w:eastAsia="zh-CN"/>
              </w:rPr>
              <w:t>；</w:t>
            </w:r>
          </w:p>
          <w:p w14:paraId="493ECE53">
            <w:pPr>
              <w:spacing w:line="440" w:lineRule="exact"/>
              <w:rPr>
                <w:rFonts w:hint="eastAsia" w:ascii="Calibri" w:hAnsi="Calibri" w:eastAsia="宋体"/>
                <w:szCs w:val="21"/>
                <w:lang w:eastAsia="zh-CN"/>
              </w:rPr>
            </w:pPr>
            <w:r>
              <w:rPr>
                <w:rFonts w:hint="eastAsia" w:ascii="Calibri" w:hAnsi="Calibri"/>
                <w:szCs w:val="21"/>
                <w:lang w:val="en-US" w:eastAsia="zh-CN"/>
              </w:rPr>
              <w:t>18</w:t>
            </w:r>
            <w:r>
              <w:rPr>
                <w:rFonts w:hint="eastAsia" w:ascii="Calibri" w:hAnsi="Calibri"/>
                <w:szCs w:val="21"/>
              </w:rPr>
              <w:t>、本清单各子目中未单列的预埋件请投标人自行考虑计入相应子目进行综合报价</w:t>
            </w:r>
            <w:r>
              <w:rPr>
                <w:rFonts w:hint="eastAsia" w:ascii="Calibri" w:hAnsi="Calibri"/>
                <w:szCs w:val="21"/>
                <w:lang w:eastAsia="zh-CN"/>
              </w:rPr>
              <w:t>；</w:t>
            </w:r>
          </w:p>
          <w:p w14:paraId="7970F562">
            <w:pPr>
              <w:spacing w:line="440" w:lineRule="exact"/>
              <w:rPr>
                <w:rFonts w:hint="eastAsia" w:ascii="Calibri" w:hAnsi="Calibri" w:eastAsia="宋体"/>
                <w:szCs w:val="21"/>
                <w:lang w:eastAsia="zh-CN"/>
              </w:rPr>
            </w:pPr>
            <w:r>
              <w:rPr>
                <w:rFonts w:hint="eastAsia" w:ascii="Calibri" w:hAnsi="Calibri"/>
                <w:szCs w:val="21"/>
                <w:lang w:val="en-US" w:eastAsia="zh-CN"/>
              </w:rPr>
              <w:t>19</w:t>
            </w:r>
            <w:r>
              <w:rPr>
                <w:rFonts w:hint="eastAsia" w:ascii="Calibri" w:hAnsi="Calibri"/>
                <w:szCs w:val="21"/>
              </w:rPr>
              <w:t>、施工时应做好原有道路、检查井、管线、建构筑物等的保护工作，其他相关费用请投标单位综合考虑在报价内，结算时不作调整</w:t>
            </w:r>
            <w:r>
              <w:rPr>
                <w:rFonts w:hint="eastAsia" w:ascii="Calibri" w:hAnsi="Calibri"/>
                <w:szCs w:val="21"/>
                <w:lang w:eastAsia="zh-CN"/>
              </w:rPr>
              <w:t>；</w:t>
            </w:r>
          </w:p>
          <w:p w14:paraId="07A0FCAF">
            <w:pPr>
              <w:spacing w:line="440" w:lineRule="exact"/>
              <w:rPr>
                <w:rFonts w:hint="eastAsia" w:ascii="Calibri" w:hAnsi="Calibri"/>
                <w:szCs w:val="21"/>
              </w:rPr>
            </w:pPr>
            <w:r>
              <w:rPr>
                <w:rFonts w:hint="eastAsia" w:ascii="Calibri" w:hAnsi="Calibri"/>
                <w:szCs w:val="21"/>
                <w:lang w:val="en-US" w:eastAsia="zh-CN"/>
              </w:rPr>
              <w:t>20</w:t>
            </w:r>
            <w:r>
              <w:rPr>
                <w:rFonts w:hint="eastAsia" w:ascii="Calibri" w:hAnsi="Calibri"/>
                <w:szCs w:val="21"/>
              </w:rPr>
              <w:t>、本工程范围内的如有现状地面拆除，需考虑路面切割等保护施工的费用，请投标人综合考虑，拆除工程实施之前需业主书面签证实际拆除面积，如未签证先实施，将按不利施工单位的口径进行结算。</w:t>
            </w:r>
          </w:p>
          <w:p w14:paraId="33232347">
            <w:pPr>
              <w:spacing w:line="440" w:lineRule="exact"/>
              <w:rPr>
                <w:rFonts w:ascii="宋体" w:hAnsi="宋体"/>
                <w:bCs/>
                <w:szCs w:val="21"/>
              </w:rPr>
            </w:pPr>
            <w:r>
              <w:rPr>
                <w:rFonts w:hint="eastAsia" w:ascii="宋体" w:hAnsi="宋体"/>
                <w:b/>
                <w:bCs/>
                <w:szCs w:val="21"/>
                <w:lang w:val="en-US" w:eastAsia="zh-CN"/>
              </w:rPr>
              <w:t>八</w:t>
            </w:r>
            <w:r>
              <w:rPr>
                <w:rFonts w:hint="eastAsia" w:ascii="宋体" w:hAnsi="宋体"/>
                <w:b/>
                <w:bCs/>
                <w:szCs w:val="21"/>
              </w:rPr>
              <w:t>、其他说明</w:t>
            </w:r>
          </w:p>
          <w:p w14:paraId="22979CF9">
            <w:pPr>
              <w:pStyle w:val="9"/>
              <w:numPr>
                <w:ilvl w:val="0"/>
                <w:numId w:val="3"/>
              </w:numPr>
              <w:spacing w:line="440" w:lineRule="exact"/>
              <w:ind w:left="34" w:firstLine="414" w:firstLineChars="0"/>
              <w:jc w:val="left"/>
              <w:rPr>
                <w:rFonts w:hint="eastAsia" w:ascii="Calibri" w:hAnsi="Calibri"/>
                <w:szCs w:val="21"/>
              </w:rPr>
            </w:pPr>
            <w:r>
              <w:rPr>
                <w:rFonts w:hint="eastAsia" w:ascii="Calibri" w:hAnsi="Calibri"/>
                <w:szCs w:val="21"/>
              </w:rPr>
              <w:t>承包人施工时应做好与周边相关道路交通组织、文明安全、交通设施等围护工作（包括设置临时交通标志、标牌、标线等），满足交警等相关部门的管理要求。必须做到道路安全畅通，做好安全施工的宣传工作，确保工程顺利进行。其他涉及费用（含交警等相关部门协助维护等费用），费用作为投标风险自理；</w:t>
            </w:r>
          </w:p>
          <w:p w14:paraId="40756BAE">
            <w:pPr>
              <w:pStyle w:val="9"/>
              <w:numPr>
                <w:ilvl w:val="0"/>
                <w:numId w:val="3"/>
              </w:numPr>
              <w:spacing w:line="440" w:lineRule="exact"/>
              <w:ind w:left="34" w:firstLine="414" w:firstLineChars="0"/>
              <w:jc w:val="left"/>
              <w:rPr>
                <w:rFonts w:hint="eastAsia" w:ascii="Calibri" w:hAnsi="Calibri"/>
                <w:szCs w:val="21"/>
              </w:rPr>
            </w:pPr>
            <w:r>
              <w:rPr>
                <w:rFonts w:hint="eastAsia" w:ascii="Calibri" w:hAnsi="Calibri"/>
                <w:szCs w:val="21"/>
              </w:rPr>
              <w:t>在施工期间施工范围内的现有成品及半成品需保护，若损坏需修复，费用作为风险费由施工单位自行承担；</w:t>
            </w:r>
          </w:p>
          <w:p w14:paraId="600C9E4C">
            <w:pPr>
              <w:pStyle w:val="9"/>
              <w:numPr>
                <w:ilvl w:val="0"/>
                <w:numId w:val="3"/>
              </w:numPr>
              <w:spacing w:line="440" w:lineRule="exact"/>
              <w:ind w:left="34" w:firstLine="414" w:firstLineChars="0"/>
              <w:jc w:val="left"/>
              <w:rPr>
                <w:rFonts w:hint="eastAsia" w:ascii="Calibri" w:hAnsi="Calibri"/>
                <w:szCs w:val="21"/>
              </w:rPr>
            </w:pPr>
            <w:r>
              <w:rPr>
                <w:rFonts w:hint="eastAsia" w:ascii="Calibri" w:hAnsi="Calibri"/>
                <w:szCs w:val="21"/>
              </w:rPr>
              <w:t>特、大型机械指本工程所用塔吊及桩机等附属配套机械安拆费及进退场费，机械数量各投标人根据施工组织设计自行报价，今后均不得调整；</w:t>
            </w:r>
          </w:p>
          <w:p w14:paraId="623C5A91">
            <w:pPr>
              <w:pStyle w:val="9"/>
              <w:numPr>
                <w:ilvl w:val="0"/>
                <w:numId w:val="3"/>
              </w:numPr>
              <w:spacing w:line="440" w:lineRule="exact"/>
              <w:ind w:left="34" w:firstLine="414" w:firstLineChars="0"/>
              <w:jc w:val="left"/>
              <w:rPr>
                <w:rFonts w:hint="eastAsia" w:ascii="Calibri" w:hAnsi="Calibri"/>
                <w:szCs w:val="21"/>
              </w:rPr>
            </w:pPr>
            <w:r>
              <w:rPr>
                <w:rFonts w:hint="eastAsia" w:ascii="Calibri" w:hAnsi="Calibri"/>
                <w:szCs w:val="21"/>
              </w:rPr>
              <w:t xml:space="preserve">总包配合费由总包单位自行考虑，按招标文件执行； </w:t>
            </w:r>
          </w:p>
          <w:p w14:paraId="5E04B5B6">
            <w:pPr>
              <w:pStyle w:val="9"/>
              <w:numPr>
                <w:ilvl w:val="0"/>
                <w:numId w:val="3"/>
              </w:numPr>
              <w:spacing w:line="440" w:lineRule="exact"/>
              <w:ind w:left="34" w:firstLine="414" w:firstLineChars="0"/>
              <w:jc w:val="left"/>
              <w:rPr>
                <w:rFonts w:hint="eastAsia" w:ascii="Calibri" w:hAnsi="Calibri"/>
                <w:szCs w:val="21"/>
              </w:rPr>
            </w:pPr>
            <w:r>
              <w:rPr>
                <w:rFonts w:hint="eastAsia" w:ascii="Calibri" w:hAnsi="Calibri"/>
                <w:szCs w:val="21"/>
              </w:rPr>
              <w:t>本工程的清单项目报价要求各投标人根据施工图纸、项目特征内容及清单计量规则和清单计价指引综合报价。对于没有在清单中另列子目的内容，要求各投标单位根据施工规范要求在相应子目中综合考虑。中标后清单未列的实际需发生的相关费用视为已包含在施工方投标的相关细目当中，今后发生将得不到支付；投标人须按照招标文件的要求格式进行，投标人可结合本工程具体情况进行补充报价；</w:t>
            </w:r>
          </w:p>
          <w:p w14:paraId="18405FEA">
            <w:pPr>
              <w:pStyle w:val="9"/>
              <w:numPr>
                <w:ilvl w:val="0"/>
                <w:numId w:val="3"/>
              </w:numPr>
              <w:spacing w:line="440" w:lineRule="exact"/>
              <w:ind w:left="34" w:firstLine="414" w:firstLineChars="0"/>
              <w:jc w:val="left"/>
              <w:rPr>
                <w:rFonts w:hint="eastAsia" w:ascii="Calibri" w:hAnsi="Calibri"/>
                <w:szCs w:val="21"/>
              </w:rPr>
            </w:pPr>
            <w:r>
              <w:rPr>
                <w:rFonts w:hint="eastAsia" w:ascii="Calibri" w:hAnsi="Calibri"/>
                <w:szCs w:val="21"/>
              </w:rPr>
              <w:t>投标人应充分考虑措施项目，其所需发生的费用由投标人自行测算并进入报价，今后不得调整；若今后工程实施中发生新的措施项目但投标文件未列入的项目，视作投标人在风险费或其它项目中已考虑，今后不得增加；</w:t>
            </w:r>
          </w:p>
          <w:p w14:paraId="4A8702BA">
            <w:pPr>
              <w:pStyle w:val="9"/>
              <w:numPr>
                <w:ilvl w:val="0"/>
                <w:numId w:val="3"/>
              </w:numPr>
              <w:spacing w:line="440" w:lineRule="exact"/>
              <w:ind w:left="34" w:firstLine="414" w:firstLineChars="0"/>
              <w:jc w:val="left"/>
              <w:rPr>
                <w:rFonts w:hint="eastAsia" w:ascii="Calibri" w:hAnsi="Calibri"/>
                <w:szCs w:val="21"/>
              </w:rPr>
            </w:pPr>
            <w:r>
              <w:rPr>
                <w:rFonts w:hint="eastAsia" w:ascii="Calibri" w:hAnsi="Calibri"/>
                <w:szCs w:val="21"/>
              </w:rPr>
              <w:t>清单中自补项以“个”“项”为单位的，请参照施工图节点详图及投标人自行踏勘现场计算工程量自行报价，费用包干今后不</w:t>
            </w:r>
            <w:r>
              <w:rPr>
                <w:rFonts w:hint="eastAsia" w:ascii="Calibri" w:hAnsi="Calibri"/>
                <w:szCs w:val="21"/>
                <w:lang w:val="en-US" w:eastAsia="zh-CN"/>
              </w:rPr>
              <w:t>作</w:t>
            </w:r>
            <w:r>
              <w:rPr>
                <w:rFonts w:hint="eastAsia" w:ascii="Calibri" w:hAnsi="Calibri"/>
                <w:szCs w:val="21"/>
              </w:rPr>
              <w:t>调整；</w:t>
            </w:r>
          </w:p>
          <w:p w14:paraId="1E4BC436">
            <w:pPr>
              <w:pStyle w:val="9"/>
              <w:numPr>
                <w:ilvl w:val="0"/>
                <w:numId w:val="3"/>
              </w:numPr>
              <w:spacing w:line="440" w:lineRule="exact"/>
              <w:ind w:left="34" w:firstLine="414" w:firstLineChars="0"/>
              <w:jc w:val="left"/>
              <w:rPr>
                <w:rFonts w:hint="eastAsia" w:ascii="Calibri" w:hAnsi="Calibri"/>
                <w:szCs w:val="21"/>
              </w:rPr>
            </w:pPr>
            <w:r>
              <w:rPr>
                <w:rFonts w:hint="eastAsia" w:ascii="Calibri" w:hAnsi="Calibri"/>
                <w:szCs w:val="21"/>
              </w:rPr>
              <w:t>投标人技术标文件中所列的施工组织技术措施，其费用均应包含在投标报价中，还应包括投标人为完成该工程所需交纳的地方或行业的其它有关费用；</w:t>
            </w:r>
          </w:p>
          <w:p w14:paraId="33FA945A">
            <w:pPr>
              <w:pStyle w:val="9"/>
              <w:numPr>
                <w:ilvl w:val="0"/>
                <w:numId w:val="3"/>
              </w:numPr>
              <w:spacing w:line="440" w:lineRule="exact"/>
              <w:ind w:left="34" w:firstLine="414" w:firstLineChars="0"/>
              <w:jc w:val="left"/>
              <w:rPr>
                <w:rFonts w:hint="eastAsia" w:ascii="Calibri" w:hAnsi="Calibri"/>
                <w:szCs w:val="21"/>
              </w:rPr>
            </w:pPr>
            <w:r>
              <w:rPr>
                <w:rFonts w:hint="eastAsia" w:ascii="Calibri" w:hAnsi="Calibri"/>
                <w:szCs w:val="21"/>
              </w:rPr>
              <w:t>承包人为便利于施工而更改施工方案所增加的工程费用一概不予调整，属施工技术组织措施失误造成的费用及延误的费用及延误工期均由承包人承担；</w:t>
            </w:r>
          </w:p>
          <w:p w14:paraId="009EB347">
            <w:pPr>
              <w:pStyle w:val="9"/>
              <w:numPr>
                <w:ilvl w:val="0"/>
                <w:numId w:val="3"/>
              </w:numPr>
              <w:spacing w:line="440" w:lineRule="exact"/>
              <w:ind w:left="34" w:firstLine="414" w:firstLineChars="0"/>
              <w:jc w:val="left"/>
              <w:rPr>
                <w:rFonts w:hint="eastAsia" w:ascii="Calibri" w:hAnsi="Calibri"/>
                <w:szCs w:val="21"/>
              </w:rPr>
            </w:pPr>
            <w:r>
              <w:rPr>
                <w:rFonts w:hint="eastAsia" w:ascii="Calibri" w:hAnsi="Calibri"/>
                <w:szCs w:val="21"/>
              </w:rPr>
              <w:t>投标人应根据现场实际情况，充分考虑各项施工措施费（施工技术措施和施工组织措施），费用计入总价中。措施项目费用为包干费用，中标后不予调整。未在总报价中体现或不完全体现的，视作优惠；</w:t>
            </w:r>
          </w:p>
          <w:p w14:paraId="0BA48068">
            <w:pPr>
              <w:pStyle w:val="9"/>
              <w:numPr>
                <w:ilvl w:val="0"/>
                <w:numId w:val="3"/>
              </w:numPr>
              <w:spacing w:line="440" w:lineRule="exact"/>
              <w:ind w:left="34" w:firstLine="414" w:firstLineChars="0"/>
              <w:jc w:val="left"/>
              <w:rPr>
                <w:rFonts w:hint="eastAsia" w:ascii="Calibri" w:hAnsi="Calibri"/>
                <w:szCs w:val="21"/>
              </w:rPr>
            </w:pPr>
            <w:r>
              <w:rPr>
                <w:rFonts w:hint="eastAsia" w:ascii="Calibri" w:hAnsi="Calibri"/>
                <w:szCs w:val="21"/>
              </w:rPr>
              <w:t>投标人应充分考虑施工过程中的材料、机械的工地二次运输、装卸、保管及安装等内容，相关费用包含在本次投标报价中，如不报视作优惠；</w:t>
            </w:r>
          </w:p>
          <w:p w14:paraId="23550DAE">
            <w:pPr>
              <w:pStyle w:val="9"/>
              <w:numPr>
                <w:ilvl w:val="0"/>
                <w:numId w:val="3"/>
              </w:numPr>
              <w:spacing w:line="440" w:lineRule="exact"/>
              <w:ind w:left="34" w:firstLine="414" w:firstLineChars="0"/>
              <w:jc w:val="left"/>
              <w:rPr>
                <w:rFonts w:hint="eastAsia" w:ascii="Calibri" w:hAnsi="Calibri"/>
                <w:szCs w:val="21"/>
              </w:rPr>
            </w:pPr>
            <w:r>
              <w:rPr>
                <w:rFonts w:hint="eastAsia" w:ascii="Calibri" w:hAnsi="Calibri"/>
                <w:szCs w:val="21"/>
              </w:rPr>
              <w:t>分部分项工程量清单中的工程量是按实物净量计算的，一切损耗均应在投标报价的综合单价中考虑；</w:t>
            </w:r>
          </w:p>
          <w:p w14:paraId="416713CA">
            <w:pPr>
              <w:pStyle w:val="9"/>
              <w:numPr>
                <w:ilvl w:val="0"/>
                <w:numId w:val="3"/>
              </w:numPr>
              <w:spacing w:line="440" w:lineRule="exact"/>
              <w:ind w:left="34" w:firstLine="414" w:firstLineChars="0"/>
              <w:jc w:val="left"/>
              <w:rPr>
                <w:rFonts w:hint="eastAsia" w:ascii="Calibri" w:hAnsi="Calibri"/>
                <w:szCs w:val="21"/>
              </w:rPr>
            </w:pPr>
            <w:r>
              <w:rPr>
                <w:rFonts w:hint="eastAsia" w:ascii="Calibri" w:hAnsi="Calibri"/>
                <w:szCs w:val="21"/>
              </w:rPr>
              <w:t>本工程量清单子目报价要求各投标人根据施工图纸、项目特征内容综合报价，对于没有在清单中列出或没有描述详细的工作内容，要求各投标单位根据设计及施工规范要求在相应子目中综合考虑，今后不作调整；</w:t>
            </w:r>
          </w:p>
          <w:p w14:paraId="15E6CDD8">
            <w:pPr>
              <w:pStyle w:val="9"/>
              <w:numPr>
                <w:ilvl w:val="0"/>
                <w:numId w:val="3"/>
              </w:numPr>
              <w:spacing w:line="440" w:lineRule="exact"/>
              <w:ind w:left="34" w:firstLine="414" w:firstLineChars="0"/>
              <w:jc w:val="left"/>
              <w:rPr>
                <w:rFonts w:hint="eastAsia" w:ascii="Calibri" w:hAnsi="Calibri"/>
                <w:szCs w:val="21"/>
              </w:rPr>
            </w:pPr>
            <w:r>
              <w:rPr>
                <w:rFonts w:hint="eastAsia" w:ascii="Calibri" w:hAnsi="Calibri"/>
                <w:szCs w:val="21"/>
              </w:rPr>
              <w:t>投标人应充分考虑本工程的环境保护、文明施工、安全施工、临时设施措施、在线监测系统等费用，并计入相应的措施费中；监测费用包括常规检测和特殊检测项目（桩基、节能、室内环境质量检测除外，此三项由建设单位承担），如：防雷、电梯特种设备等各类检测的全部费用，费用由投标人自行在报价中考虑，今后不另计；</w:t>
            </w:r>
          </w:p>
          <w:p w14:paraId="375AF172">
            <w:pPr>
              <w:pStyle w:val="9"/>
              <w:numPr>
                <w:ilvl w:val="0"/>
                <w:numId w:val="3"/>
              </w:numPr>
              <w:spacing w:line="440" w:lineRule="exact"/>
              <w:ind w:left="34" w:firstLine="414" w:firstLineChars="0"/>
              <w:jc w:val="left"/>
              <w:rPr>
                <w:rFonts w:hint="eastAsia" w:ascii="Calibri" w:hAnsi="Calibri"/>
                <w:szCs w:val="21"/>
              </w:rPr>
            </w:pPr>
            <w:r>
              <w:rPr>
                <w:rFonts w:hint="eastAsia" w:ascii="Calibri" w:hAnsi="Calibri"/>
                <w:szCs w:val="21"/>
              </w:rPr>
              <w:t>所有材料必须符合设计及招标人要求，由投标人根据招标文件及施工图的要求明确规格型号和报价，有推荐品牌的，投标人应在推荐品牌中选择；</w:t>
            </w:r>
          </w:p>
          <w:p w14:paraId="6A4D6FB1">
            <w:pPr>
              <w:pStyle w:val="9"/>
              <w:numPr>
                <w:ilvl w:val="0"/>
                <w:numId w:val="3"/>
              </w:numPr>
              <w:spacing w:line="440" w:lineRule="exact"/>
              <w:ind w:left="34" w:firstLine="414" w:firstLineChars="0"/>
              <w:jc w:val="left"/>
              <w:rPr>
                <w:rFonts w:hint="eastAsia" w:ascii="Calibri" w:hAnsi="Calibri"/>
                <w:szCs w:val="21"/>
              </w:rPr>
            </w:pPr>
            <w:r>
              <w:rPr>
                <w:rFonts w:hint="eastAsia" w:ascii="Calibri" w:hAnsi="Calibri"/>
                <w:szCs w:val="21"/>
              </w:rPr>
              <w:t>在施工过程中，应注意施工安全。施工现场应设安全员，有相应的安全措施；施工现场严禁吸烟，使用明火要先申批后施工，并有监管人员到场监督；</w:t>
            </w:r>
          </w:p>
          <w:p w14:paraId="7A4C48B1">
            <w:pPr>
              <w:pStyle w:val="9"/>
              <w:numPr>
                <w:ilvl w:val="0"/>
                <w:numId w:val="3"/>
              </w:numPr>
              <w:spacing w:line="440" w:lineRule="exact"/>
              <w:ind w:left="34" w:firstLine="414" w:firstLineChars="0"/>
              <w:jc w:val="left"/>
              <w:rPr>
                <w:rFonts w:hint="eastAsia" w:ascii="Calibri" w:hAnsi="Calibri"/>
                <w:szCs w:val="21"/>
              </w:rPr>
            </w:pPr>
            <w:r>
              <w:rPr>
                <w:rFonts w:hint="eastAsia" w:ascii="Calibri" w:hAnsi="Calibri"/>
                <w:szCs w:val="21"/>
              </w:rPr>
              <w:t>材料要堆放整齐，费用包含在预算内，并保持施工现场的整洁；</w:t>
            </w:r>
          </w:p>
          <w:p w14:paraId="1618F965">
            <w:pPr>
              <w:pStyle w:val="9"/>
              <w:numPr>
                <w:ilvl w:val="0"/>
                <w:numId w:val="3"/>
              </w:numPr>
              <w:spacing w:line="440" w:lineRule="exact"/>
              <w:ind w:left="34" w:firstLine="414" w:firstLineChars="0"/>
              <w:jc w:val="left"/>
              <w:rPr>
                <w:rFonts w:hint="eastAsia" w:ascii="Calibri" w:hAnsi="Calibri"/>
                <w:szCs w:val="21"/>
              </w:rPr>
            </w:pPr>
            <w:r>
              <w:rPr>
                <w:rFonts w:hint="eastAsia" w:ascii="Calibri" w:hAnsi="Calibri"/>
                <w:szCs w:val="21"/>
              </w:rPr>
              <w:t>在施工中碰到问题，应及时与发包方沟通，避免造成不必要的损失；</w:t>
            </w:r>
          </w:p>
          <w:p w14:paraId="5DD884EB">
            <w:pPr>
              <w:pStyle w:val="9"/>
              <w:numPr>
                <w:ilvl w:val="0"/>
                <w:numId w:val="3"/>
              </w:numPr>
              <w:spacing w:line="440" w:lineRule="exact"/>
              <w:ind w:left="34" w:firstLine="414" w:firstLineChars="0"/>
              <w:jc w:val="left"/>
              <w:rPr>
                <w:rFonts w:hint="eastAsia" w:ascii="Calibri" w:hAnsi="Calibri"/>
                <w:szCs w:val="21"/>
              </w:rPr>
            </w:pPr>
            <w:r>
              <w:rPr>
                <w:rFonts w:hint="eastAsia" w:ascii="Calibri" w:hAnsi="Calibri"/>
                <w:szCs w:val="21"/>
              </w:rPr>
              <w:t>投标人在投标报价时应充分领会《建设工程工程量清单计价规范》（GB50855-2013）及《浙江省建设工程量清单计价指引》中各项目所组合的工程内容；</w:t>
            </w:r>
          </w:p>
          <w:p w14:paraId="234ABCA7">
            <w:pPr>
              <w:pStyle w:val="9"/>
              <w:numPr>
                <w:ilvl w:val="0"/>
                <w:numId w:val="3"/>
              </w:numPr>
              <w:spacing w:line="440" w:lineRule="exact"/>
              <w:ind w:left="34" w:firstLine="414" w:firstLineChars="0"/>
              <w:jc w:val="left"/>
              <w:rPr>
                <w:rFonts w:hint="eastAsia" w:ascii="Calibri" w:hAnsi="Calibri"/>
                <w:szCs w:val="21"/>
              </w:rPr>
            </w:pPr>
            <w:r>
              <w:rPr>
                <w:rFonts w:hint="eastAsia" w:ascii="Calibri" w:hAnsi="Calibri"/>
                <w:szCs w:val="21"/>
              </w:rPr>
              <w:t>分部分项工程量清单中所列的特征描述供投标人报价时参考，投标人应在认真熟悉和理解招标文件及设计施工图后，作出为完成清单中分部分项工程除规费、税金以外的全费用报价，以后不再调整</w:t>
            </w:r>
            <w:r>
              <w:rPr>
                <w:rFonts w:hint="eastAsia" w:ascii="Calibri" w:hAnsi="Calibri"/>
                <w:szCs w:val="21"/>
                <w:lang w:eastAsia="zh-CN"/>
              </w:rPr>
              <w:t>。</w:t>
            </w:r>
          </w:p>
          <w:p w14:paraId="1627BD58">
            <w:pPr>
              <w:pStyle w:val="9"/>
              <w:numPr>
                <w:ilvl w:val="0"/>
                <w:numId w:val="0"/>
              </w:numPr>
              <w:spacing w:line="440" w:lineRule="exact"/>
              <w:ind w:left="448" w:leftChars="0"/>
              <w:jc w:val="left"/>
              <w:rPr>
                <w:rFonts w:ascii="Calibri" w:hAnsi="Calibri"/>
                <w:szCs w:val="21"/>
              </w:rPr>
            </w:pPr>
            <w:r>
              <w:rPr>
                <w:rFonts w:hint="eastAsia" w:ascii="Calibri" w:hAnsi="Calibri"/>
                <w:b/>
                <w:bCs/>
                <w:szCs w:val="21"/>
              </w:rPr>
              <w:t>注：本清单仅提供工程项目等具体内容，投标文件的具体格式以招标文件要求的格式为准。</w:t>
            </w:r>
          </w:p>
        </w:tc>
      </w:tr>
    </w:tbl>
    <w:p w14:paraId="2AF5F231">
      <w:pPr>
        <w:spacing w:line="440" w:lineRule="exact"/>
        <w:ind w:left="0" w:leftChars="0" w:firstLine="0" w:firstLineChars="0"/>
        <w:rPr>
          <w:rFonts w:ascii="新宋体" w:hAnsi="新宋体" w:eastAsia="新宋体"/>
          <w:szCs w:val="21"/>
        </w:rPr>
      </w:pPr>
    </w:p>
    <w:sectPr>
      <w:headerReference r:id="rId6" w:type="first"/>
      <w:headerReference r:id="rId5" w:type="default"/>
      <w:pgSz w:w="11906" w:h="16838"/>
      <w:pgMar w:top="1701" w:right="1134" w:bottom="1134" w:left="1701" w:header="709"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6A778">
    <w:pPr>
      <w:tabs>
        <w:tab w:val="center" w:pos="4585"/>
        <w:tab w:val="left" w:pos="7091"/>
      </w:tabs>
      <w:ind w:left="-141" w:leftChars="-67" w:right="185" w:rightChars="88"/>
      <w:jc w:val="left"/>
      <w:rPr>
        <w:rFonts w:ascii="黑体" w:eastAsia="黑体"/>
        <w:sz w:val="32"/>
        <w:szCs w:val="32"/>
      </w:rPr>
    </w:pPr>
  </w:p>
  <w:p w14:paraId="25C96961">
    <w:pPr>
      <w:tabs>
        <w:tab w:val="center" w:pos="4585"/>
        <w:tab w:val="left" w:pos="7091"/>
      </w:tabs>
      <w:ind w:left="-141" w:leftChars="-67" w:right="185" w:rightChars="88"/>
      <w:jc w:val="center"/>
      <w:rPr>
        <w:rFonts w:ascii="黑体" w:eastAsia="黑体"/>
        <w:b/>
        <w:sz w:val="36"/>
        <w:szCs w:val="36"/>
      </w:rPr>
    </w:pPr>
    <w:r>
      <w:rPr>
        <w:rFonts w:hint="eastAsia" w:ascii="黑体" w:eastAsia="黑体"/>
        <w:b/>
        <w:sz w:val="36"/>
        <w:szCs w:val="36"/>
      </w:rPr>
      <w:t xml:space="preserve"> 招标工程量清单</w:t>
    </w:r>
    <w:r>
      <w:rPr>
        <w:rFonts w:hint="eastAsia" w:ascii="黑体" w:eastAsia="黑体"/>
        <w:b/>
        <w:sz w:val="36"/>
        <w:szCs w:val="36"/>
        <w:lang w:val="en-US" w:eastAsia="zh-CN"/>
      </w:rPr>
      <w:t>审核</w:t>
    </w:r>
    <w:r>
      <w:rPr>
        <w:rFonts w:hint="eastAsia" w:ascii="黑体" w:eastAsia="黑体"/>
        <w:b/>
        <w:sz w:val="36"/>
        <w:szCs w:val="36"/>
      </w:rPr>
      <w:t>说明</w:t>
    </w:r>
  </w:p>
  <w:p w14:paraId="6D8111A0">
    <w:pPr>
      <w:spacing w:line="360" w:lineRule="auto"/>
      <w:rPr>
        <w:szCs w:val="21"/>
      </w:rPr>
    </w:pPr>
  </w:p>
  <w:p w14:paraId="0053D0C4">
    <w:pPr>
      <w:pStyle w:val="4"/>
      <w:pBdr>
        <w:bottom w:val="none" w:color="auto" w:sz="0" w:space="0"/>
      </w:pBdr>
      <w:tabs>
        <w:tab w:val="clear" w:pos="8306"/>
      </w:tabs>
      <w:ind w:left="-424" w:leftChars="-202" w:right="-143" w:rightChars="-68" w:firstLine="0"/>
      <w:jc w:val="left"/>
      <w:rPr>
        <w:rFonts w:ascii="宋体" w:hAnsi="宋体"/>
        <w:kern w:val="0"/>
        <w:sz w:val="21"/>
        <w:szCs w:val="21"/>
      </w:rPr>
    </w:pPr>
    <w:r>
      <w:rPr>
        <w:rFonts w:hint="eastAsia" w:ascii="宋体" w:hAnsi="宋体"/>
        <w:kern w:val="0"/>
        <w:sz w:val="21"/>
        <w:szCs w:val="21"/>
      </w:rPr>
      <w:t xml:space="preserve">工程名称：青外线-义蓬路交叉口提升改造工程         </w:t>
    </w:r>
    <w:r>
      <w:rPr>
        <w:rFonts w:hint="eastAsia" w:ascii="宋体" w:cs="宋体"/>
        <w:color w:val="000000"/>
        <w:kern w:val="0"/>
        <w:sz w:val="21"/>
        <w:szCs w:val="21"/>
      </w:rPr>
      <w:t xml:space="preserve">                     </w:t>
    </w:r>
    <w:r>
      <w:rPr>
        <w:rFonts w:hint="eastAsia" w:ascii="宋体" w:hAnsi="宋体"/>
        <w:kern w:val="0"/>
        <w:sz w:val="21"/>
        <w:szCs w:val="21"/>
      </w:rPr>
      <w:t>第</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页 共</w:t>
    </w:r>
    <w:r>
      <w:fldChar w:fldCharType="begin"/>
    </w:r>
    <w:r>
      <w:instrText xml:space="preserve"> NUMPAGES   \* MERGEFORMAT </w:instrText>
    </w:r>
    <w:r>
      <w:fldChar w:fldCharType="separate"/>
    </w:r>
    <w:r>
      <w:rPr>
        <w:rFonts w:ascii="宋体" w:hAnsi="宋体"/>
        <w:kern w:val="0"/>
        <w:sz w:val="21"/>
        <w:szCs w:val="21"/>
      </w:rPr>
      <w:t>7</w:t>
    </w:r>
    <w:r>
      <w:rPr>
        <w:rFonts w:ascii="宋体" w:hAnsi="宋体"/>
        <w:kern w:val="0"/>
        <w:sz w:val="21"/>
        <w:szCs w:val="21"/>
      </w:rPr>
      <w:fldChar w:fldCharType="end"/>
    </w:r>
    <w:r>
      <w:rPr>
        <w:rFonts w:hint="eastAsia" w:ascii="宋体" w:hAnsi="宋体"/>
        <w:kern w:val="0"/>
        <w:sz w:val="21"/>
        <w:szCs w:val="21"/>
      </w:rPr>
      <w:t>页</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534EE">
    <w:pPr>
      <w:jc w:val="center"/>
      <w:rPr>
        <w:rFonts w:ascii="黑体" w:eastAsia="黑体"/>
        <w:sz w:val="32"/>
        <w:szCs w:val="32"/>
      </w:rPr>
    </w:pPr>
    <w:r>
      <w:rPr>
        <w:rFonts w:hint="eastAsia" w:ascii="黑体" w:eastAsia="黑体"/>
        <w:sz w:val="32"/>
        <w:szCs w:val="32"/>
      </w:rPr>
      <w:t>招标控制价编制说明</w:t>
    </w:r>
  </w:p>
  <w:p w14:paraId="0F273FB1">
    <w:pPr>
      <w:spacing w:line="360" w:lineRule="auto"/>
      <w:rPr>
        <w:rFonts w:ascii="宋体" w:hAnsi="宋体"/>
        <w:kern w:val="0"/>
        <w:szCs w:val="21"/>
      </w:rPr>
    </w:pPr>
  </w:p>
  <w:p w14:paraId="5CB8E3F0">
    <w:pPr>
      <w:pStyle w:val="4"/>
      <w:pBdr>
        <w:bottom w:val="none" w:color="auto" w:sz="0" w:space="0"/>
      </w:pBdr>
      <w:ind w:firstLine="0"/>
      <w:jc w:val="left"/>
    </w:pPr>
    <w:r>
      <w:rPr>
        <w:rFonts w:hint="eastAsia" w:ascii="宋体" w:hAnsi="宋体"/>
        <w:kern w:val="0"/>
        <w:sz w:val="21"/>
        <w:szCs w:val="21"/>
      </w:rPr>
      <w:t xml:space="preserve">工程名称：白塔公园老复兴路、虎跑路建筑及环境整治工程       </w:t>
    </w:r>
    <w:r>
      <w:rPr>
        <w:rFonts w:hint="eastAsia" w:ascii="宋体" w:cs="宋体"/>
        <w:color w:val="000000"/>
        <w:kern w:val="0"/>
        <w:szCs w:val="21"/>
      </w:rPr>
      <w:t xml:space="preserve">       </w:t>
    </w:r>
    <w:r>
      <w:rPr>
        <w:rFonts w:hint="eastAsia" w:ascii="宋体" w:hAnsi="宋体"/>
        <w:kern w:val="0"/>
        <w:sz w:val="21"/>
        <w:szCs w:val="21"/>
      </w:rPr>
      <w:t xml:space="preserve"> 第</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1</w:t>
    </w:r>
    <w:r>
      <w:rPr>
        <w:rFonts w:ascii="宋体" w:hAnsi="宋体"/>
        <w:kern w:val="0"/>
        <w:sz w:val="21"/>
        <w:szCs w:val="21"/>
      </w:rPr>
      <w:fldChar w:fldCharType="end"/>
    </w:r>
    <w:r>
      <w:rPr>
        <w:rFonts w:hint="eastAsia" w:ascii="宋体" w:hAnsi="宋体"/>
        <w:kern w:val="0"/>
        <w:sz w:val="21"/>
        <w:szCs w:val="21"/>
      </w:rPr>
      <w:t>页 共</w:t>
    </w:r>
    <w:r>
      <w:fldChar w:fldCharType="begin"/>
    </w:r>
    <w:r>
      <w:instrText xml:space="preserve"> NUMPAGES  \* Arabic  \* MERGEFORMAT </w:instrText>
    </w:r>
    <w:r>
      <w:fldChar w:fldCharType="separate"/>
    </w:r>
    <w:r>
      <w:rPr>
        <w:rFonts w:ascii="宋体" w:hAnsi="宋体"/>
        <w:kern w:val="0"/>
        <w:sz w:val="21"/>
        <w:szCs w:val="21"/>
      </w:rPr>
      <w:t>2</w:t>
    </w:r>
    <w:r>
      <w:rPr>
        <w:rFonts w:ascii="宋体" w:hAnsi="宋体"/>
        <w:kern w:val="0"/>
        <w:sz w:val="21"/>
        <w:szCs w:val="21"/>
      </w:rPr>
      <w:fldChar w:fldCharType="end"/>
    </w:r>
    <w:r>
      <w:rPr>
        <w:rFonts w:hint="eastAsia" w:ascii="宋体" w:hAnsi="宋体"/>
        <w:kern w:val="0"/>
        <w:sz w:val="21"/>
        <w:szCs w:val="21"/>
      </w:rPr>
      <w:t>页</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637ADF"/>
    <w:multiLevelType w:val="multilevel"/>
    <w:tmpl w:val="34637ADF"/>
    <w:lvl w:ilvl="0" w:tentative="0">
      <w:start w:val="1"/>
      <w:numFmt w:val="decimal"/>
      <w:lvlText w:val="%1、"/>
      <w:lvlJc w:val="left"/>
      <w:pPr>
        <w:ind w:left="845" w:hanging="420"/>
      </w:pPr>
      <w:rPr>
        <w:rFonts w:hint="default"/>
        <w:b w:val="0"/>
      </w:rPr>
    </w:lvl>
    <w:lvl w:ilvl="1" w:tentative="0">
      <w:start w:val="1"/>
      <w:numFmt w:val="lowerLetter"/>
      <w:lvlText w:val="%2)"/>
      <w:lvlJc w:val="left"/>
      <w:pPr>
        <w:ind w:left="1288" w:hanging="420"/>
      </w:pPr>
    </w:lvl>
    <w:lvl w:ilvl="2" w:tentative="0">
      <w:start w:val="1"/>
      <w:numFmt w:val="lowerRoman"/>
      <w:lvlText w:val="%3."/>
      <w:lvlJc w:val="right"/>
      <w:pPr>
        <w:ind w:left="1708" w:hanging="420"/>
      </w:pPr>
    </w:lvl>
    <w:lvl w:ilvl="3" w:tentative="0">
      <w:start w:val="1"/>
      <w:numFmt w:val="decimal"/>
      <w:lvlText w:val="%4."/>
      <w:lvlJc w:val="left"/>
      <w:pPr>
        <w:ind w:left="2128" w:hanging="420"/>
      </w:pPr>
    </w:lvl>
    <w:lvl w:ilvl="4" w:tentative="0">
      <w:start w:val="1"/>
      <w:numFmt w:val="lowerLetter"/>
      <w:lvlText w:val="%5)"/>
      <w:lvlJc w:val="left"/>
      <w:pPr>
        <w:ind w:left="2548" w:hanging="420"/>
      </w:pPr>
    </w:lvl>
    <w:lvl w:ilvl="5" w:tentative="0">
      <w:start w:val="1"/>
      <w:numFmt w:val="lowerRoman"/>
      <w:lvlText w:val="%6."/>
      <w:lvlJc w:val="right"/>
      <w:pPr>
        <w:ind w:left="2968" w:hanging="420"/>
      </w:pPr>
    </w:lvl>
    <w:lvl w:ilvl="6" w:tentative="0">
      <w:start w:val="1"/>
      <w:numFmt w:val="decimal"/>
      <w:lvlText w:val="%7."/>
      <w:lvlJc w:val="left"/>
      <w:pPr>
        <w:ind w:left="3388" w:hanging="420"/>
      </w:pPr>
    </w:lvl>
    <w:lvl w:ilvl="7" w:tentative="0">
      <w:start w:val="1"/>
      <w:numFmt w:val="lowerLetter"/>
      <w:lvlText w:val="%8)"/>
      <w:lvlJc w:val="left"/>
      <w:pPr>
        <w:ind w:left="3808" w:hanging="420"/>
      </w:pPr>
    </w:lvl>
    <w:lvl w:ilvl="8" w:tentative="0">
      <w:start w:val="1"/>
      <w:numFmt w:val="lowerRoman"/>
      <w:lvlText w:val="%9."/>
      <w:lvlJc w:val="right"/>
      <w:pPr>
        <w:ind w:left="4228" w:hanging="420"/>
      </w:pPr>
    </w:lvl>
  </w:abstractNum>
  <w:abstractNum w:abstractNumId="1">
    <w:nsid w:val="57407844"/>
    <w:multiLevelType w:val="multilevel"/>
    <w:tmpl w:val="57407844"/>
    <w:lvl w:ilvl="0" w:tentative="0">
      <w:start w:val="1"/>
      <w:numFmt w:val="decimal"/>
      <w:lvlText w:val="%1、"/>
      <w:lvlJc w:val="left"/>
      <w:pPr>
        <w:ind w:left="1305" w:hanging="420"/>
      </w:pPr>
      <w:rPr>
        <w:rFonts w:hint="default"/>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DC65BB"/>
    <w:multiLevelType w:val="multilevel"/>
    <w:tmpl w:val="5ADC65BB"/>
    <w:lvl w:ilvl="0" w:tentative="0">
      <w:start w:val="1"/>
      <w:numFmt w:val="decimal"/>
      <w:lvlText w:val="%1、"/>
      <w:lvlJc w:val="left"/>
      <w:pPr>
        <w:ind w:left="845" w:hanging="420"/>
      </w:pPr>
      <w:rPr>
        <w:rFonts w:hint="default"/>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1"/>
  <w:bordersDoNotSurroundFooter w:val="1"/>
  <w:documentProtection w:enforcement="0"/>
  <w:defaultTabStop w:val="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7AC0"/>
    <w:rsid w:val="00011376"/>
    <w:rsid w:val="00022B5A"/>
    <w:rsid w:val="00023411"/>
    <w:rsid w:val="00030C4F"/>
    <w:rsid w:val="00033520"/>
    <w:rsid w:val="00035CC4"/>
    <w:rsid w:val="00035D26"/>
    <w:rsid w:val="000418C3"/>
    <w:rsid w:val="000431EC"/>
    <w:rsid w:val="00045194"/>
    <w:rsid w:val="00045BFF"/>
    <w:rsid w:val="000516F0"/>
    <w:rsid w:val="00051E26"/>
    <w:rsid w:val="00056C5C"/>
    <w:rsid w:val="000708C3"/>
    <w:rsid w:val="00076D02"/>
    <w:rsid w:val="00076DFB"/>
    <w:rsid w:val="0008285B"/>
    <w:rsid w:val="000A1039"/>
    <w:rsid w:val="000B0AD4"/>
    <w:rsid w:val="000B448F"/>
    <w:rsid w:val="000C1E59"/>
    <w:rsid w:val="000C6A62"/>
    <w:rsid w:val="000D3236"/>
    <w:rsid w:val="000D55E0"/>
    <w:rsid w:val="000E0E51"/>
    <w:rsid w:val="000E2E3B"/>
    <w:rsid w:val="000E445C"/>
    <w:rsid w:val="000F522B"/>
    <w:rsid w:val="000F6DD4"/>
    <w:rsid w:val="000F7CF9"/>
    <w:rsid w:val="0010003E"/>
    <w:rsid w:val="0010111D"/>
    <w:rsid w:val="0011235F"/>
    <w:rsid w:val="00115D37"/>
    <w:rsid w:val="00116A32"/>
    <w:rsid w:val="00117D42"/>
    <w:rsid w:val="00125EA5"/>
    <w:rsid w:val="001410F0"/>
    <w:rsid w:val="00147CBF"/>
    <w:rsid w:val="00152260"/>
    <w:rsid w:val="00152538"/>
    <w:rsid w:val="001546E2"/>
    <w:rsid w:val="00161BD9"/>
    <w:rsid w:val="001644A2"/>
    <w:rsid w:val="00172A27"/>
    <w:rsid w:val="00173389"/>
    <w:rsid w:val="00174C07"/>
    <w:rsid w:val="00177856"/>
    <w:rsid w:val="001963D0"/>
    <w:rsid w:val="001A1518"/>
    <w:rsid w:val="001A6DAE"/>
    <w:rsid w:val="001C55FC"/>
    <w:rsid w:val="001D0CCD"/>
    <w:rsid w:val="001D1F00"/>
    <w:rsid w:val="001D2E55"/>
    <w:rsid w:val="001D62A4"/>
    <w:rsid w:val="001E530D"/>
    <w:rsid w:val="001E7FCE"/>
    <w:rsid w:val="001F1321"/>
    <w:rsid w:val="001F1E36"/>
    <w:rsid w:val="001F2FB8"/>
    <w:rsid w:val="001F7098"/>
    <w:rsid w:val="002004AA"/>
    <w:rsid w:val="002046E7"/>
    <w:rsid w:val="00204A88"/>
    <w:rsid w:val="002050F8"/>
    <w:rsid w:val="002066E1"/>
    <w:rsid w:val="00210265"/>
    <w:rsid w:val="00210DD5"/>
    <w:rsid w:val="00214939"/>
    <w:rsid w:val="00215B1A"/>
    <w:rsid w:val="00222219"/>
    <w:rsid w:val="00222969"/>
    <w:rsid w:val="00232031"/>
    <w:rsid w:val="002328EB"/>
    <w:rsid w:val="00236052"/>
    <w:rsid w:val="0023678A"/>
    <w:rsid w:val="00242442"/>
    <w:rsid w:val="002500E7"/>
    <w:rsid w:val="00251920"/>
    <w:rsid w:val="00266B6E"/>
    <w:rsid w:val="00267528"/>
    <w:rsid w:val="002732C0"/>
    <w:rsid w:val="0027571D"/>
    <w:rsid w:val="00285DA1"/>
    <w:rsid w:val="002932DD"/>
    <w:rsid w:val="0029617D"/>
    <w:rsid w:val="002A146F"/>
    <w:rsid w:val="002A2A4A"/>
    <w:rsid w:val="002A6D78"/>
    <w:rsid w:val="002A7596"/>
    <w:rsid w:val="002B348A"/>
    <w:rsid w:val="002B4EB3"/>
    <w:rsid w:val="002C69AF"/>
    <w:rsid w:val="002E1E18"/>
    <w:rsid w:val="002E59C6"/>
    <w:rsid w:val="002F1848"/>
    <w:rsid w:val="002F2594"/>
    <w:rsid w:val="00302155"/>
    <w:rsid w:val="00303444"/>
    <w:rsid w:val="0030350E"/>
    <w:rsid w:val="00304E9C"/>
    <w:rsid w:val="00305648"/>
    <w:rsid w:val="00311BC4"/>
    <w:rsid w:val="00313115"/>
    <w:rsid w:val="0032349C"/>
    <w:rsid w:val="00330B89"/>
    <w:rsid w:val="00331765"/>
    <w:rsid w:val="00334AD9"/>
    <w:rsid w:val="003364F6"/>
    <w:rsid w:val="00341FD7"/>
    <w:rsid w:val="00344203"/>
    <w:rsid w:val="00346ABA"/>
    <w:rsid w:val="003664B2"/>
    <w:rsid w:val="00367F4B"/>
    <w:rsid w:val="00372AE0"/>
    <w:rsid w:val="00387B3D"/>
    <w:rsid w:val="003912E9"/>
    <w:rsid w:val="003A0B02"/>
    <w:rsid w:val="003A3ED9"/>
    <w:rsid w:val="003A4F9F"/>
    <w:rsid w:val="003B0EF0"/>
    <w:rsid w:val="003C0B75"/>
    <w:rsid w:val="003C28AE"/>
    <w:rsid w:val="003C605C"/>
    <w:rsid w:val="003C6D62"/>
    <w:rsid w:val="003D31BD"/>
    <w:rsid w:val="003E62E6"/>
    <w:rsid w:val="0040012C"/>
    <w:rsid w:val="0040079C"/>
    <w:rsid w:val="004174B7"/>
    <w:rsid w:val="00426A20"/>
    <w:rsid w:val="00430C06"/>
    <w:rsid w:val="00441E72"/>
    <w:rsid w:val="004424B9"/>
    <w:rsid w:val="00443064"/>
    <w:rsid w:val="0044377D"/>
    <w:rsid w:val="00443B9D"/>
    <w:rsid w:val="00445149"/>
    <w:rsid w:val="00462838"/>
    <w:rsid w:val="00466CD5"/>
    <w:rsid w:val="00470700"/>
    <w:rsid w:val="004727EF"/>
    <w:rsid w:val="00476920"/>
    <w:rsid w:val="00476F71"/>
    <w:rsid w:val="00477776"/>
    <w:rsid w:val="00482485"/>
    <w:rsid w:val="004A5CC6"/>
    <w:rsid w:val="004A653B"/>
    <w:rsid w:val="004A6BD8"/>
    <w:rsid w:val="004B3F9E"/>
    <w:rsid w:val="004B476B"/>
    <w:rsid w:val="004B5006"/>
    <w:rsid w:val="004D1076"/>
    <w:rsid w:val="004D5593"/>
    <w:rsid w:val="004D58A4"/>
    <w:rsid w:val="004E122A"/>
    <w:rsid w:val="004E77CA"/>
    <w:rsid w:val="004E7B05"/>
    <w:rsid w:val="00512193"/>
    <w:rsid w:val="00512864"/>
    <w:rsid w:val="00515B8D"/>
    <w:rsid w:val="00522F4D"/>
    <w:rsid w:val="0052317A"/>
    <w:rsid w:val="00526F33"/>
    <w:rsid w:val="00531CE9"/>
    <w:rsid w:val="005411BD"/>
    <w:rsid w:val="00543DD1"/>
    <w:rsid w:val="00546EC6"/>
    <w:rsid w:val="00552238"/>
    <w:rsid w:val="00560605"/>
    <w:rsid w:val="00570EDE"/>
    <w:rsid w:val="005740D0"/>
    <w:rsid w:val="00574CC6"/>
    <w:rsid w:val="005808A5"/>
    <w:rsid w:val="00581CA9"/>
    <w:rsid w:val="00582635"/>
    <w:rsid w:val="00585A5A"/>
    <w:rsid w:val="005956B1"/>
    <w:rsid w:val="00596AE6"/>
    <w:rsid w:val="005A4FB0"/>
    <w:rsid w:val="005A61AC"/>
    <w:rsid w:val="005A7089"/>
    <w:rsid w:val="005B1EBE"/>
    <w:rsid w:val="005C0467"/>
    <w:rsid w:val="005C331F"/>
    <w:rsid w:val="005C7010"/>
    <w:rsid w:val="005D6A2B"/>
    <w:rsid w:val="005E00C0"/>
    <w:rsid w:val="005E4B7D"/>
    <w:rsid w:val="005E58F8"/>
    <w:rsid w:val="005E626B"/>
    <w:rsid w:val="005F2E4E"/>
    <w:rsid w:val="005F3672"/>
    <w:rsid w:val="005F3C6E"/>
    <w:rsid w:val="005F58A0"/>
    <w:rsid w:val="0060250B"/>
    <w:rsid w:val="006026F4"/>
    <w:rsid w:val="00615ACA"/>
    <w:rsid w:val="00615CA0"/>
    <w:rsid w:val="00616D5F"/>
    <w:rsid w:val="00630587"/>
    <w:rsid w:val="00632ADF"/>
    <w:rsid w:val="00635FFD"/>
    <w:rsid w:val="00641C3E"/>
    <w:rsid w:val="00645051"/>
    <w:rsid w:val="00655449"/>
    <w:rsid w:val="00656233"/>
    <w:rsid w:val="00662DFF"/>
    <w:rsid w:val="00670C0B"/>
    <w:rsid w:val="00676B9B"/>
    <w:rsid w:val="006770E7"/>
    <w:rsid w:val="0068047D"/>
    <w:rsid w:val="00683B1E"/>
    <w:rsid w:val="006843F0"/>
    <w:rsid w:val="006844E9"/>
    <w:rsid w:val="006908E5"/>
    <w:rsid w:val="006A0ACF"/>
    <w:rsid w:val="006A22F5"/>
    <w:rsid w:val="006A40A1"/>
    <w:rsid w:val="006A7A88"/>
    <w:rsid w:val="006B1B55"/>
    <w:rsid w:val="006B2D1E"/>
    <w:rsid w:val="006C01EB"/>
    <w:rsid w:val="006D27F6"/>
    <w:rsid w:val="006D4265"/>
    <w:rsid w:val="006D6A60"/>
    <w:rsid w:val="006D6AFB"/>
    <w:rsid w:val="006F0B93"/>
    <w:rsid w:val="006F387B"/>
    <w:rsid w:val="006F458B"/>
    <w:rsid w:val="006F792F"/>
    <w:rsid w:val="00710C60"/>
    <w:rsid w:val="0071117C"/>
    <w:rsid w:val="00712058"/>
    <w:rsid w:val="0071468D"/>
    <w:rsid w:val="007152E8"/>
    <w:rsid w:val="00715C43"/>
    <w:rsid w:val="00717061"/>
    <w:rsid w:val="00725FA2"/>
    <w:rsid w:val="00732F43"/>
    <w:rsid w:val="00736CD8"/>
    <w:rsid w:val="00742C15"/>
    <w:rsid w:val="00751376"/>
    <w:rsid w:val="00752B61"/>
    <w:rsid w:val="00755EAA"/>
    <w:rsid w:val="0075760A"/>
    <w:rsid w:val="00761687"/>
    <w:rsid w:val="00761A3D"/>
    <w:rsid w:val="00763EE3"/>
    <w:rsid w:val="00764DD8"/>
    <w:rsid w:val="00766103"/>
    <w:rsid w:val="00767684"/>
    <w:rsid w:val="00770587"/>
    <w:rsid w:val="00776AE7"/>
    <w:rsid w:val="00780AF1"/>
    <w:rsid w:val="00783A5F"/>
    <w:rsid w:val="00783CD7"/>
    <w:rsid w:val="0078421B"/>
    <w:rsid w:val="00784A4E"/>
    <w:rsid w:val="007925A5"/>
    <w:rsid w:val="00793700"/>
    <w:rsid w:val="007942D7"/>
    <w:rsid w:val="007957CD"/>
    <w:rsid w:val="00796A90"/>
    <w:rsid w:val="00797B6E"/>
    <w:rsid w:val="007A1747"/>
    <w:rsid w:val="007A383C"/>
    <w:rsid w:val="007A4306"/>
    <w:rsid w:val="007A6004"/>
    <w:rsid w:val="007A6140"/>
    <w:rsid w:val="007A6BAF"/>
    <w:rsid w:val="007C0DF8"/>
    <w:rsid w:val="007C48CC"/>
    <w:rsid w:val="007D183B"/>
    <w:rsid w:val="007D21A2"/>
    <w:rsid w:val="007D68FD"/>
    <w:rsid w:val="007E5B8A"/>
    <w:rsid w:val="007E7AF8"/>
    <w:rsid w:val="007F235E"/>
    <w:rsid w:val="007F47CD"/>
    <w:rsid w:val="00803D0B"/>
    <w:rsid w:val="00805000"/>
    <w:rsid w:val="0081253C"/>
    <w:rsid w:val="00813C62"/>
    <w:rsid w:val="00817F4B"/>
    <w:rsid w:val="0082362B"/>
    <w:rsid w:val="008264E8"/>
    <w:rsid w:val="00826A3D"/>
    <w:rsid w:val="008330C9"/>
    <w:rsid w:val="0084168A"/>
    <w:rsid w:val="00842585"/>
    <w:rsid w:val="008462A1"/>
    <w:rsid w:val="008513EE"/>
    <w:rsid w:val="00852DCA"/>
    <w:rsid w:val="0085682A"/>
    <w:rsid w:val="00863645"/>
    <w:rsid w:val="0086593E"/>
    <w:rsid w:val="00867C91"/>
    <w:rsid w:val="00874FF4"/>
    <w:rsid w:val="008761AE"/>
    <w:rsid w:val="00877316"/>
    <w:rsid w:val="00887C6A"/>
    <w:rsid w:val="008929FB"/>
    <w:rsid w:val="00894444"/>
    <w:rsid w:val="00894D61"/>
    <w:rsid w:val="00895765"/>
    <w:rsid w:val="00896E41"/>
    <w:rsid w:val="008A087F"/>
    <w:rsid w:val="008A368E"/>
    <w:rsid w:val="008B0A78"/>
    <w:rsid w:val="008D0609"/>
    <w:rsid w:val="008E4BD2"/>
    <w:rsid w:val="008E56AF"/>
    <w:rsid w:val="008F05E9"/>
    <w:rsid w:val="00903438"/>
    <w:rsid w:val="00911944"/>
    <w:rsid w:val="00914A6B"/>
    <w:rsid w:val="0091698B"/>
    <w:rsid w:val="00921C4B"/>
    <w:rsid w:val="00925F0D"/>
    <w:rsid w:val="00933A2D"/>
    <w:rsid w:val="00933AB4"/>
    <w:rsid w:val="00935717"/>
    <w:rsid w:val="0093766D"/>
    <w:rsid w:val="009401D7"/>
    <w:rsid w:val="009404FD"/>
    <w:rsid w:val="00941604"/>
    <w:rsid w:val="00942D5F"/>
    <w:rsid w:val="00946243"/>
    <w:rsid w:val="00953C15"/>
    <w:rsid w:val="009545CA"/>
    <w:rsid w:val="00956472"/>
    <w:rsid w:val="00956C69"/>
    <w:rsid w:val="00956C6F"/>
    <w:rsid w:val="00960468"/>
    <w:rsid w:val="00962801"/>
    <w:rsid w:val="00993381"/>
    <w:rsid w:val="00995CE0"/>
    <w:rsid w:val="009A042A"/>
    <w:rsid w:val="009A2865"/>
    <w:rsid w:val="009D45F2"/>
    <w:rsid w:val="009D672C"/>
    <w:rsid w:val="009D7F05"/>
    <w:rsid w:val="009E6499"/>
    <w:rsid w:val="009F0BFF"/>
    <w:rsid w:val="009F39C5"/>
    <w:rsid w:val="00A05CFB"/>
    <w:rsid w:val="00A06F07"/>
    <w:rsid w:val="00A14657"/>
    <w:rsid w:val="00A24EA1"/>
    <w:rsid w:val="00A253C3"/>
    <w:rsid w:val="00A256FD"/>
    <w:rsid w:val="00A257D7"/>
    <w:rsid w:val="00A27A64"/>
    <w:rsid w:val="00A3244D"/>
    <w:rsid w:val="00A36CF9"/>
    <w:rsid w:val="00A41F15"/>
    <w:rsid w:val="00A560D4"/>
    <w:rsid w:val="00A5610C"/>
    <w:rsid w:val="00A62728"/>
    <w:rsid w:val="00A73EDF"/>
    <w:rsid w:val="00A74091"/>
    <w:rsid w:val="00A7641D"/>
    <w:rsid w:val="00A77F9A"/>
    <w:rsid w:val="00A85200"/>
    <w:rsid w:val="00A91E65"/>
    <w:rsid w:val="00A9679D"/>
    <w:rsid w:val="00A96F1D"/>
    <w:rsid w:val="00AA2745"/>
    <w:rsid w:val="00AA6241"/>
    <w:rsid w:val="00AA6881"/>
    <w:rsid w:val="00AA7415"/>
    <w:rsid w:val="00AB414A"/>
    <w:rsid w:val="00AC00FE"/>
    <w:rsid w:val="00AC0497"/>
    <w:rsid w:val="00AC1584"/>
    <w:rsid w:val="00AC622B"/>
    <w:rsid w:val="00AD684E"/>
    <w:rsid w:val="00AE10CB"/>
    <w:rsid w:val="00AE2B01"/>
    <w:rsid w:val="00AF04C0"/>
    <w:rsid w:val="00AF0E72"/>
    <w:rsid w:val="00AF5FEF"/>
    <w:rsid w:val="00AF6C9C"/>
    <w:rsid w:val="00AF709D"/>
    <w:rsid w:val="00B02A55"/>
    <w:rsid w:val="00B03766"/>
    <w:rsid w:val="00B12438"/>
    <w:rsid w:val="00B156D0"/>
    <w:rsid w:val="00B26E5C"/>
    <w:rsid w:val="00B321BE"/>
    <w:rsid w:val="00B352CA"/>
    <w:rsid w:val="00B52B54"/>
    <w:rsid w:val="00B57F04"/>
    <w:rsid w:val="00B6118A"/>
    <w:rsid w:val="00B61F15"/>
    <w:rsid w:val="00B631D1"/>
    <w:rsid w:val="00B6358A"/>
    <w:rsid w:val="00B64934"/>
    <w:rsid w:val="00B65164"/>
    <w:rsid w:val="00B81746"/>
    <w:rsid w:val="00B81DBF"/>
    <w:rsid w:val="00B8219F"/>
    <w:rsid w:val="00B96B4F"/>
    <w:rsid w:val="00BB0274"/>
    <w:rsid w:val="00BB477E"/>
    <w:rsid w:val="00BB4F6A"/>
    <w:rsid w:val="00BB52C2"/>
    <w:rsid w:val="00BB7445"/>
    <w:rsid w:val="00BB78C8"/>
    <w:rsid w:val="00BC0C6F"/>
    <w:rsid w:val="00BC3E94"/>
    <w:rsid w:val="00BD0138"/>
    <w:rsid w:val="00BD300D"/>
    <w:rsid w:val="00BD43D1"/>
    <w:rsid w:val="00BD53CD"/>
    <w:rsid w:val="00BD6D60"/>
    <w:rsid w:val="00BE02DC"/>
    <w:rsid w:val="00BE3000"/>
    <w:rsid w:val="00BE6042"/>
    <w:rsid w:val="00BF07DA"/>
    <w:rsid w:val="00C11450"/>
    <w:rsid w:val="00C16416"/>
    <w:rsid w:val="00C214D2"/>
    <w:rsid w:val="00C22A99"/>
    <w:rsid w:val="00C241F3"/>
    <w:rsid w:val="00C24C73"/>
    <w:rsid w:val="00C26964"/>
    <w:rsid w:val="00C32C58"/>
    <w:rsid w:val="00C33F8E"/>
    <w:rsid w:val="00C3500F"/>
    <w:rsid w:val="00C37E40"/>
    <w:rsid w:val="00C63ED0"/>
    <w:rsid w:val="00C8422B"/>
    <w:rsid w:val="00C85892"/>
    <w:rsid w:val="00C85FF3"/>
    <w:rsid w:val="00C95B91"/>
    <w:rsid w:val="00C967BF"/>
    <w:rsid w:val="00CA4167"/>
    <w:rsid w:val="00CB0E76"/>
    <w:rsid w:val="00CB3327"/>
    <w:rsid w:val="00CB3B3D"/>
    <w:rsid w:val="00CB7950"/>
    <w:rsid w:val="00CC350B"/>
    <w:rsid w:val="00CC54F1"/>
    <w:rsid w:val="00CC6995"/>
    <w:rsid w:val="00CC734F"/>
    <w:rsid w:val="00CD1B93"/>
    <w:rsid w:val="00CD68A8"/>
    <w:rsid w:val="00CE021A"/>
    <w:rsid w:val="00CF0D9B"/>
    <w:rsid w:val="00D0243E"/>
    <w:rsid w:val="00D0546D"/>
    <w:rsid w:val="00D05CFE"/>
    <w:rsid w:val="00D172FC"/>
    <w:rsid w:val="00D17DA9"/>
    <w:rsid w:val="00D229C8"/>
    <w:rsid w:val="00D32A4A"/>
    <w:rsid w:val="00D3484B"/>
    <w:rsid w:val="00D35006"/>
    <w:rsid w:val="00D36AE8"/>
    <w:rsid w:val="00D448A2"/>
    <w:rsid w:val="00D52B33"/>
    <w:rsid w:val="00D54650"/>
    <w:rsid w:val="00D60C25"/>
    <w:rsid w:val="00D64DFD"/>
    <w:rsid w:val="00D7296C"/>
    <w:rsid w:val="00D86A2E"/>
    <w:rsid w:val="00D87E4B"/>
    <w:rsid w:val="00DA0AFD"/>
    <w:rsid w:val="00DA1B7B"/>
    <w:rsid w:val="00DA76BA"/>
    <w:rsid w:val="00DB1901"/>
    <w:rsid w:val="00DB1E7E"/>
    <w:rsid w:val="00DB4785"/>
    <w:rsid w:val="00DC5172"/>
    <w:rsid w:val="00DD23BD"/>
    <w:rsid w:val="00DD2B6D"/>
    <w:rsid w:val="00DD5E33"/>
    <w:rsid w:val="00DD6488"/>
    <w:rsid w:val="00DE41B7"/>
    <w:rsid w:val="00DE625F"/>
    <w:rsid w:val="00DF013F"/>
    <w:rsid w:val="00DF3BA9"/>
    <w:rsid w:val="00DF425B"/>
    <w:rsid w:val="00DF4D63"/>
    <w:rsid w:val="00E04EEB"/>
    <w:rsid w:val="00E05DA6"/>
    <w:rsid w:val="00E07E48"/>
    <w:rsid w:val="00E1213A"/>
    <w:rsid w:val="00E266D3"/>
    <w:rsid w:val="00E32FFD"/>
    <w:rsid w:val="00E33BB8"/>
    <w:rsid w:val="00E44EB8"/>
    <w:rsid w:val="00E47AA4"/>
    <w:rsid w:val="00E535F4"/>
    <w:rsid w:val="00E53809"/>
    <w:rsid w:val="00E62CC9"/>
    <w:rsid w:val="00E649B8"/>
    <w:rsid w:val="00E66249"/>
    <w:rsid w:val="00E76AAC"/>
    <w:rsid w:val="00E77408"/>
    <w:rsid w:val="00E91799"/>
    <w:rsid w:val="00E956BC"/>
    <w:rsid w:val="00EA1633"/>
    <w:rsid w:val="00EA17E9"/>
    <w:rsid w:val="00EA27E4"/>
    <w:rsid w:val="00EA6662"/>
    <w:rsid w:val="00EA7F60"/>
    <w:rsid w:val="00EB010C"/>
    <w:rsid w:val="00EB52E5"/>
    <w:rsid w:val="00EC037C"/>
    <w:rsid w:val="00EC05D7"/>
    <w:rsid w:val="00EC063D"/>
    <w:rsid w:val="00EC2EF2"/>
    <w:rsid w:val="00ED6808"/>
    <w:rsid w:val="00EE57E3"/>
    <w:rsid w:val="00EE5D7F"/>
    <w:rsid w:val="00EE5F79"/>
    <w:rsid w:val="00EF3A77"/>
    <w:rsid w:val="00EF6D78"/>
    <w:rsid w:val="00F01804"/>
    <w:rsid w:val="00F03D76"/>
    <w:rsid w:val="00F17AA7"/>
    <w:rsid w:val="00F21CAA"/>
    <w:rsid w:val="00F21D53"/>
    <w:rsid w:val="00F2212C"/>
    <w:rsid w:val="00F26F5D"/>
    <w:rsid w:val="00F329E7"/>
    <w:rsid w:val="00F337E3"/>
    <w:rsid w:val="00F37E23"/>
    <w:rsid w:val="00F51274"/>
    <w:rsid w:val="00F521CD"/>
    <w:rsid w:val="00F544EC"/>
    <w:rsid w:val="00F55F25"/>
    <w:rsid w:val="00F60DA4"/>
    <w:rsid w:val="00F6273A"/>
    <w:rsid w:val="00F66418"/>
    <w:rsid w:val="00F76924"/>
    <w:rsid w:val="00F83D4A"/>
    <w:rsid w:val="00F85E72"/>
    <w:rsid w:val="00F8705F"/>
    <w:rsid w:val="00F90DE2"/>
    <w:rsid w:val="00FA2FAA"/>
    <w:rsid w:val="00FA361B"/>
    <w:rsid w:val="00FB3614"/>
    <w:rsid w:val="00FC316C"/>
    <w:rsid w:val="00FD4EB8"/>
    <w:rsid w:val="00FE18DF"/>
    <w:rsid w:val="00FE2D0C"/>
    <w:rsid w:val="00FE51D1"/>
    <w:rsid w:val="00FF03B0"/>
    <w:rsid w:val="00FF1DD1"/>
    <w:rsid w:val="00FF538B"/>
    <w:rsid w:val="00FF7440"/>
    <w:rsid w:val="0607573C"/>
    <w:rsid w:val="08E75205"/>
    <w:rsid w:val="09A95562"/>
    <w:rsid w:val="1771253C"/>
    <w:rsid w:val="1F552E57"/>
    <w:rsid w:val="27317A9F"/>
    <w:rsid w:val="288D443D"/>
    <w:rsid w:val="2EB719D4"/>
    <w:rsid w:val="499E79FD"/>
    <w:rsid w:val="4AC042A9"/>
    <w:rsid w:val="6E934224"/>
    <w:rsid w:val="79B5333A"/>
    <w:rsid w:val="7AC329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20" w:lineRule="exact"/>
      <w:ind w:firstLine="425"/>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pPr>
      <w:spacing w:line="240" w:lineRule="auto"/>
    </w:pPr>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link w:val="4"/>
    <w:qFormat/>
    <w:uiPriority w:val="99"/>
    <w:rPr>
      <w:kern w:val="2"/>
      <w:sz w:val="18"/>
      <w:szCs w:val="18"/>
    </w:rPr>
  </w:style>
  <w:style w:type="character" w:customStyle="1" w:styleId="8">
    <w:name w:val="页脚 Char"/>
    <w:link w:val="3"/>
    <w:semiHidden/>
    <w:qFormat/>
    <w:uiPriority w:val="99"/>
    <w:rPr>
      <w:kern w:val="2"/>
      <w:sz w:val="18"/>
      <w:szCs w:val="18"/>
    </w:rPr>
  </w:style>
  <w:style w:type="paragraph" w:styleId="9">
    <w:name w:val="List Paragraph"/>
    <w:basedOn w:val="1"/>
    <w:qFormat/>
    <w:uiPriority w:val="34"/>
    <w:pPr>
      <w:ind w:firstLine="420" w:firstLineChars="200"/>
    </w:pPr>
  </w:style>
  <w:style w:type="character" w:customStyle="1" w:styleId="10">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C4C88-9279-49E0-95E3-B165C2B6CBDB}">
  <ds:schemaRefs/>
</ds:datastoreItem>
</file>

<file path=docProps/app.xml><?xml version="1.0" encoding="utf-8"?>
<Properties xmlns="http://schemas.openxmlformats.org/officeDocument/2006/extended-properties" xmlns:vt="http://schemas.openxmlformats.org/officeDocument/2006/docPropsVTypes">
  <Template>Normal</Template>
  <Company>番茄花园</Company>
  <Pages>4</Pages>
  <Words>3523</Words>
  <Characters>3649</Characters>
  <Lines>45</Lines>
  <Paragraphs>12</Paragraphs>
  <TotalTime>20</TotalTime>
  <ScaleCrop>false</ScaleCrop>
  <LinksUpToDate>false</LinksUpToDate>
  <CharactersWithSpaces>3668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2014-09-11T06:53:00Z</dcterms:created>
  <dc:creator>番茄花园</dc:creator>
  <cp:lastModifiedBy>沂水春风</cp:lastModifiedBy>
  <cp:lastPrinted>2017-07-28T05:52:00Z</cp:lastPrinted>
  <dcterms:modified xsi:type="dcterms:W3CDTF">2025-05-12T08:37:22Z</dcterms:modified>
  <dc:title>招标控制价编制说明</dc:title>
  <cp:revision>241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eyJoZGlkIjoiZDMyMTZlZWQ1NDExY2NhN2RhZjQ1MTEzMGQ3MzY4OTgiLCJ1c2VySWQiOiI5NzU0MTkwOTAifQ==</vt:lpwstr>
  </property>
  <property fmtid="{D5CDD505-2E9C-101B-9397-08002B2CF9AE}" pid="4" name="ICV">
    <vt:lpwstr>60704747048C45148692E64DFBC4F5F5_12</vt:lpwstr>
  </property>
</Properties>
</file>