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宋体" w:hAnsi="宋体" w:cs="宋体"/>
          <w:color w:val="auto"/>
          <w:sz w:val="32"/>
          <w:szCs w:val="32"/>
          <w:highlight w:val="none"/>
        </w:rPr>
      </w:pP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政府采购</w:t>
      </w: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公开招标文件</w:t>
      </w:r>
    </w:p>
    <w:p>
      <w:pPr>
        <w:spacing w:before="120" w:beforeLines="50"/>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（全一册）</w:t>
      </w:r>
    </w:p>
    <w:p>
      <w:pPr>
        <w:jc w:val="center"/>
        <w:rPr>
          <w:rFonts w:ascii="宋体" w:hAnsi="宋体" w:cs="宋体"/>
          <w:b/>
          <w:bCs/>
          <w:color w:val="auto"/>
          <w:sz w:val="100"/>
          <w:highlight w:val="none"/>
        </w:rPr>
      </w:pPr>
    </w:p>
    <w:p>
      <w:pPr>
        <w:jc w:val="center"/>
        <w:rPr>
          <w:rFonts w:ascii="宋体" w:hAnsi="宋体" w:cs="宋体"/>
          <w:b/>
          <w:bCs/>
          <w:color w:val="auto"/>
          <w:sz w:val="100"/>
          <w:highlight w:val="none"/>
        </w:rPr>
      </w:pPr>
    </w:p>
    <w:tbl>
      <w:tblPr>
        <w:tblStyle w:val="46"/>
        <w:tblpPr w:leftFromText="180" w:rightFromText="180" w:vertAnchor="text" w:horzAnchor="page" w:tblpXSpec="center" w:tblpY="89"/>
        <w:tblOverlap w:val="never"/>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采购项目：</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宁海县集体土地所有权确权登记成果更新汇交工作技术服务采购项目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项目编号：</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CBZJ-20226130G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采购人：</w:t>
            </w:r>
          </w:p>
        </w:tc>
        <w:tc>
          <w:tcPr>
            <w:tcW w:w="6352"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宁海县自然资源和规划局</w:t>
            </w:r>
          </w:p>
        </w:tc>
      </w:tr>
    </w:tbl>
    <w:p>
      <w:pPr>
        <w:jc w:val="center"/>
        <w:rPr>
          <w:rFonts w:ascii="宋体" w:hAnsi="宋体" w:cs="宋体"/>
          <w:b/>
          <w:bCs/>
          <w:color w:val="auto"/>
          <w:sz w:val="100"/>
          <w:highlight w:val="none"/>
        </w:rPr>
      </w:pPr>
    </w:p>
    <w:p>
      <w:pPr>
        <w:jc w:val="center"/>
        <w:rPr>
          <w:rFonts w:ascii="宋体" w:hAnsi="宋体" w:cs="宋体"/>
          <w:b/>
          <w:bCs/>
          <w:color w:val="auto"/>
          <w:sz w:val="100"/>
          <w:highlight w:val="none"/>
        </w:rPr>
      </w:pP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浙江中基正采管理咨询有限公司</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二〇二二年八月</w:t>
      </w:r>
    </w:p>
    <w:p>
      <w:pPr>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br w:type="page"/>
      </w:r>
    </w:p>
    <w:p>
      <w:pPr>
        <w:pStyle w:val="2"/>
        <w:ind w:firstLine="344"/>
        <w:rPr>
          <w:rFonts w:hint="default" w:ascii="宋体" w:hAnsi="宋体" w:cs="宋体"/>
          <w:color w:val="auto"/>
          <w:highlight w:val="none"/>
        </w:rPr>
      </w:pPr>
    </w:p>
    <w:p>
      <w:pPr>
        <w:pStyle w:val="2"/>
        <w:ind w:firstLine="344"/>
        <w:rPr>
          <w:rFonts w:hint="default" w:ascii="宋体" w:hAnsi="宋体" w:cs="宋体"/>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74" w:right="1797" w:bottom="1247" w:left="1797" w:header="851" w:footer="851" w:gutter="0"/>
          <w:pgNumType w:start="2"/>
          <w:cols w:space="720" w:num="1"/>
          <w:titlePg/>
          <w:docGrid w:linePitch="312" w:charSpace="0"/>
        </w:sectPr>
      </w:pPr>
    </w:p>
    <w:p>
      <w:pPr>
        <w:snapToGrid w:val="0"/>
        <w:spacing w:line="360" w:lineRule="auto"/>
        <w:jc w:val="center"/>
        <w:rPr>
          <w:rFonts w:ascii="宋体" w:hAnsi="宋体" w:cs="宋体"/>
          <w:b/>
          <w:color w:val="auto"/>
          <w:sz w:val="52"/>
          <w:szCs w:val="52"/>
          <w:highlight w:val="none"/>
        </w:rPr>
      </w:pPr>
    </w:p>
    <w:p>
      <w:pPr>
        <w:snapToGrid w:val="0"/>
        <w:spacing w:line="480" w:lineRule="auto"/>
        <w:jc w:val="center"/>
        <w:rPr>
          <w:rFonts w:ascii="宋体" w:hAnsi="宋体" w:cs="宋体"/>
          <w:color w:val="auto"/>
          <w:sz w:val="30"/>
          <w:szCs w:val="20"/>
          <w:highlight w:val="none"/>
        </w:rPr>
      </w:pPr>
      <w:r>
        <w:rPr>
          <w:rFonts w:hint="eastAsia" w:ascii="宋体" w:hAnsi="宋体" w:cs="宋体"/>
          <w:b/>
          <w:color w:val="auto"/>
          <w:sz w:val="52"/>
          <w:szCs w:val="52"/>
          <w:highlight w:val="none"/>
        </w:rPr>
        <w:t>目    录</w:t>
      </w:r>
    </w:p>
    <w:p>
      <w:pPr>
        <w:pStyle w:val="35"/>
        <w:tabs>
          <w:tab w:val="right" w:leader="dot" w:pos="8302"/>
        </w:tabs>
        <w:spacing w:line="480" w:lineRule="auto"/>
        <w:rPr>
          <w:rFonts w:ascii="宋体" w:hAnsi="宋体" w:cs="宋体"/>
          <w:color w:val="auto"/>
          <w:sz w:val="36"/>
          <w:szCs w:val="36"/>
          <w:highlight w:val="none"/>
        </w:rPr>
      </w:pPr>
    </w:p>
    <w:p>
      <w:pPr>
        <w:pStyle w:val="35"/>
        <w:tabs>
          <w:tab w:val="right" w:leader="dot" w:pos="8312"/>
        </w:tabs>
        <w:spacing w:line="360" w:lineRule="auto"/>
        <w:rPr>
          <w:color w:val="auto"/>
          <w:sz w:val="36"/>
          <w:szCs w:val="44"/>
          <w:highlight w:val="none"/>
        </w:rPr>
      </w:pPr>
      <w:r>
        <w:rPr>
          <w:rFonts w:hint="eastAsia" w:ascii="宋体" w:hAnsi="宋体" w:cs="宋体"/>
          <w:color w:val="auto"/>
          <w:sz w:val="56"/>
          <w:szCs w:val="56"/>
          <w:highlight w:val="none"/>
        </w:rPr>
        <w:fldChar w:fldCharType="begin"/>
      </w:r>
      <w:r>
        <w:rPr>
          <w:rFonts w:hint="eastAsia" w:ascii="宋体" w:hAnsi="宋体" w:cs="宋体"/>
          <w:color w:val="auto"/>
          <w:sz w:val="56"/>
          <w:szCs w:val="56"/>
          <w:highlight w:val="none"/>
        </w:rPr>
        <w:instrText xml:space="preserve">TOC \o "1-1" \h \u </w:instrText>
      </w:r>
      <w:r>
        <w:rPr>
          <w:rFonts w:hint="eastAsia" w:ascii="宋体" w:hAnsi="宋体" w:cs="宋体"/>
          <w:color w:val="auto"/>
          <w:sz w:val="56"/>
          <w:szCs w:val="56"/>
          <w:highlight w:val="none"/>
        </w:rPr>
        <w:fldChar w:fldCharType="separate"/>
      </w:r>
      <w:r>
        <w:rPr>
          <w:color w:val="auto"/>
          <w:highlight w:val="none"/>
        </w:rPr>
        <w:fldChar w:fldCharType="begin"/>
      </w:r>
      <w:r>
        <w:rPr>
          <w:color w:val="auto"/>
          <w:highlight w:val="none"/>
        </w:rPr>
        <w:instrText xml:space="preserve"> HYPERLINK \l "_Toc7691" </w:instrText>
      </w:r>
      <w:r>
        <w:rPr>
          <w:color w:val="auto"/>
          <w:highlight w:val="none"/>
        </w:rPr>
        <w:fldChar w:fldCharType="separate"/>
      </w:r>
      <w:r>
        <w:rPr>
          <w:rFonts w:hint="eastAsia" w:ascii="宋体" w:hAnsi="宋体" w:cs="宋体"/>
          <w:color w:val="auto"/>
          <w:sz w:val="36"/>
          <w:szCs w:val="52"/>
          <w:highlight w:val="none"/>
        </w:rPr>
        <w:t xml:space="preserve">第一章  </w:t>
      </w:r>
      <w:r>
        <w:rPr>
          <w:rFonts w:hint="eastAsia" w:hAnsi="宋体" w:cs="宋体"/>
          <w:color w:val="auto"/>
          <w:sz w:val="36"/>
          <w:szCs w:val="52"/>
          <w:highlight w:val="none"/>
        </w:rPr>
        <w:t>公开招标公告</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_Toc7691 \h </w:instrText>
      </w:r>
      <w:r>
        <w:rPr>
          <w:color w:val="auto"/>
          <w:sz w:val="36"/>
          <w:szCs w:val="44"/>
          <w:highlight w:val="none"/>
        </w:rPr>
        <w:fldChar w:fldCharType="separate"/>
      </w:r>
      <w:r>
        <w:rPr>
          <w:color w:val="auto"/>
          <w:sz w:val="36"/>
          <w:szCs w:val="44"/>
          <w:highlight w:val="none"/>
        </w:rPr>
        <w:t>1</w:t>
      </w:r>
      <w:r>
        <w:rPr>
          <w:color w:val="auto"/>
          <w:sz w:val="36"/>
          <w:szCs w:val="44"/>
          <w:highlight w:val="none"/>
        </w:rPr>
        <w:fldChar w:fldCharType="end"/>
      </w:r>
      <w:r>
        <w:rPr>
          <w:color w:val="auto"/>
          <w:sz w:val="36"/>
          <w:szCs w:val="44"/>
          <w:highlight w:val="none"/>
        </w:rPr>
        <w:fldChar w:fldCharType="end"/>
      </w:r>
    </w:p>
    <w:p>
      <w:pPr>
        <w:pStyle w:val="35"/>
        <w:tabs>
          <w:tab w:val="right" w:leader="dot" w:pos="8312"/>
        </w:tabs>
        <w:spacing w:line="360" w:lineRule="auto"/>
        <w:rPr>
          <w:color w:val="auto"/>
          <w:sz w:val="36"/>
          <w:szCs w:val="44"/>
          <w:highlight w:val="none"/>
        </w:rPr>
      </w:pPr>
      <w:r>
        <w:rPr>
          <w:color w:val="auto"/>
          <w:highlight w:val="none"/>
        </w:rPr>
        <w:fldChar w:fldCharType="begin"/>
      </w:r>
      <w:r>
        <w:rPr>
          <w:color w:val="auto"/>
          <w:highlight w:val="none"/>
        </w:rPr>
        <w:instrText xml:space="preserve"> HYPERLINK \l "_Toc21866" </w:instrText>
      </w:r>
      <w:r>
        <w:rPr>
          <w:color w:val="auto"/>
          <w:highlight w:val="none"/>
        </w:rPr>
        <w:fldChar w:fldCharType="separate"/>
      </w:r>
      <w:r>
        <w:rPr>
          <w:rFonts w:hint="eastAsia" w:ascii="宋体" w:hAnsi="宋体" w:cs="宋体"/>
          <w:color w:val="auto"/>
          <w:sz w:val="36"/>
          <w:szCs w:val="52"/>
          <w:highlight w:val="none"/>
        </w:rPr>
        <w:t>第二章  采购需求</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_Toc21866 \h </w:instrText>
      </w:r>
      <w:r>
        <w:rPr>
          <w:color w:val="auto"/>
          <w:sz w:val="36"/>
          <w:szCs w:val="44"/>
          <w:highlight w:val="none"/>
        </w:rPr>
        <w:fldChar w:fldCharType="separate"/>
      </w:r>
      <w:r>
        <w:rPr>
          <w:color w:val="auto"/>
          <w:sz w:val="36"/>
          <w:szCs w:val="44"/>
          <w:highlight w:val="none"/>
        </w:rPr>
        <w:t>5</w:t>
      </w:r>
      <w:r>
        <w:rPr>
          <w:color w:val="auto"/>
          <w:sz w:val="36"/>
          <w:szCs w:val="44"/>
          <w:highlight w:val="none"/>
        </w:rPr>
        <w:fldChar w:fldCharType="end"/>
      </w:r>
      <w:r>
        <w:rPr>
          <w:color w:val="auto"/>
          <w:sz w:val="36"/>
          <w:szCs w:val="44"/>
          <w:highlight w:val="none"/>
        </w:rPr>
        <w:fldChar w:fldCharType="end"/>
      </w:r>
    </w:p>
    <w:p>
      <w:pPr>
        <w:pStyle w:val="35"/>
        <w:tabs>
          <w:tab w:val="right" w:leader="dot" w:pos="8312"/>
        </w:tabs>
        <w:spacing w:line="360" w:lineRule="auto"/>
        <w:rPr>
          <w:color w:val="auto"/>
          <w:sz w:val="36"/>
          <w:szCs w:val="44"/>
          <w:highlight w:val="none"/>
        </w:rPr>
      </w:pPr>
      <w:r>
        <w:rPr>
          <w:color w:val="auto"/>
          <w:highlight w:val="none"/>
        </w:rPr>
        <w:fldChar w:fldCharType="begin"/>
      </w:r>
      <w:r>
        <w:rPr>
          <w:color w:val="auto"/>
          <w:highlight w:val="none"/>
        </w:rPr>
        <w:instrText xml:space="preserve"> HYPERLINK \l "_Toc4265" </w:instrText>
      </w:r>
      <w:r>
        <w:rPr>
          <w:color w:val="auto"/>
          <w:highlight w:val="none"/>
        </w:rPr>
        <w:fldChar w:fldCharType="separate"/>
      </w:r>
      <w:r>
        <w:rPr>
          <w:rFonts w:hint="eastAsia" w:ascii="宋体" w:hAnsi="宋体" w:cs="宋体"/>
          <w:color w:val="auto"/>
          <w:sz w:val="36"/>
          <w:szCs w:val="52"/>
          <w:highlight w:val="none"/>
        </w:rPr>
        <w:t>第三章  供应商须知</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_Toc4265 \h </w:instrText>
      </w:r>
      <w:r>
        <w:rPr>
          <w:color w:val="auto"/>
          <w:sz w:val="36"/>
          <w:szCs w:val="44"/>
          <w:highlight w:val="none"/>
        </w:rPr>
        <w:fldChar w:fldCharType="separate"/>
      </w:r>
      <w:r>
        <w:rPr>
          <w:color w:val="auto"/>
          <w:sz w:val="36"/>
          <w:szCs w:val="44"/>
          <w:highlight w:val="none"/>
        </w:rPr>
        <w:t>11</w:t>
      </w:r>
      <w:r>
        <w:rPr>
          <w:color w:val="auto"/>
          <w:sz w:val="36"/>
          <w:szCs w:val="44"/>
          <w:highlight w:val="none"/>
        </w:rPr>
        <w:fldChar w:fldCharType="end"/>
      </w:r>
      <w:r>
        <w:rPr>
          <w:color w:val="auto"/>
          <w:sz w:val="36"/>
          <w:szCs w:val="44"/>
          <w:highlight w:val="none"/>
        </w:rPr>
        <w:fldChar w:fldCharType="end"/>
      </w:r>
    </w:p>
    <w:p>
      <w:pPr>
        <w:pStyle w:val="35"/>
        <w:tabs>
          <w:tab w:val="right" w:leader="dot" w:pos="8312"/>
        </w:tabs>
        <w:spacing w:line="360" w:lineRule="auto"/>
        <w:rPr>
          <w:color w:val="auto"/>
          <w:sz w:val="36"/>
          <w:szCs w:val="44"/>
          <w:highlight w:val="none"/>
        </w:rPr>
      </w:pPr>
      <w:r>
        <w:rPr>
          <w:color w:val="auto"/>
          <w:highlight w:val="none"/>
        </w:rPr>
        <w:fldChar w:fldCharType="begin"/>
      </w:r>
      <w:r>
        <w:rPr>
          <w:color w:val="auto"/>
          <w:highlight w:val="none"/>
        </w:rPr>
        <w:instrText xml:space="preserve"> HYPERLINK \l "_Toc8968" </w:instrText>
      </w:r>
      <w:r>
        <w:rPr>
          <w:color w:val="auto"/>
          <w:highlight w:val="none"/>
        </w:rPr>
        <w:fldChar w:fldCharType="separate"/>
      </w:r>
      <w:r>
        <w:rPr>
          <w:rFonts w:hint="eastAsia" w:ascii="宋体" w:hAnsi="宋体" w:cs="宋体"/>
          <w:bCs/>
          <w:color w:val="auto"/>
          <w:sz w:val="36"/>
          <w:szCs w:val="52"/>
          <w:highlight w:val="none"/>
        </w:rPr>
        <w:t>第四章  评标办法及评分标准</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_Toc8968 \h </w:instrText>
      </w:r>
      <w:r>
        <w:rPr>
          <w:color w:val="auto"/>
          <w:sz w:val="36"/>
          <w:szCs w:val="44"/>
          <w:highlight w:val="none"/>
        </w:rPr>
        <w:fldChar w:fldCharType="separate"/>
      </w:r>
      <w:r>
        <w:rPr>
          <w:color w:val="auto"/>
          <w:sz w:val="36"/>
          <w:szCs w:val="44"/>
          <w:highlight w:val="none"/>
        </w:rPr>
        <w:t>19</w:t>
      </w:r>
      <w:r>
        <w:rPr>
          <w:color w:val="auto"/>
          <w:sz w:val="36"/>
          <w:szCs w:val="44"/>
          <w:highlight w:val="none"/>
        </w:rPr>
        <w:fldChar w:fldCharType="end"/>
      </w:r>
      <w:r>
        <w:rPr>
          <w:color w:val="auto"/>
          <w:sz w:val="36"/>
          <w:szCs w:val="44"/>
          <w:highlight w:val="none"/>
        </w:rPr>
        <w:fldChar w:fldCharType="end"/>
      </w:r>
    </w:p>
    <w:p>
      <w:pPr>
        <w:pStyle w:val="35"/>
        <w:tabs>
          <w:tab w:val="right" w:leader="dot" w:pos="8312"/>
        </w:tabs>
        <w:spacing w:line="360" w:lineRule="auto"/>
        <w:rPr>
          <w:color w:val="auto"/>
          <w:sz w:val="36"/>
          <w:szCs w:val="44"/>
          <w:highlight w:val="none"/>
        </w:rPr>
      </w:pPr>
      <w:r>
        <w:rPr>
          <w:color w:val="auto"/>
          <w:highlight w:val="none"/>
        </w:rPr>
        <w:fldChar w:fldCharType="begin"/>
      </w:r>
      <w:r>
        <w:rPr>
          <w:color w:val="auto"/>
          <w:highlight w:val="none"/>
        </w:rPr>
        <w:instrText xml:space="preserve"> HYPERLINK \l "_Toc9993" </w:instrText>
      </w:r>
      <w:r>
        <w:rPr>
          <w:color w:val="auto"/>
          <w:highlight w:val="none"/>
        </w:rPr>
        <w:fldChar w:fldCharType="separate"/>
      </w:r>
      <w:r>
        <w:rPr>
          <w:rFonts w:hint="eastAsia" w:ascii="宋体" w:hAnsi="宋体" w:cs="宋体"/>
          <w:color w:val="auto"/>
          <w:sz w:val="36"/>
          <w:szCs w:val="52"/>
          <w:highlight w:val="none"/>
        </w:rPr>
        <w:t>第五章  政府采购合同主要条款</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_Toc9993 \h </w:instrText>
      </w:r>
      <w:r>
        <w:rPr>
          <w:color w:val="auto"/>
          <w:sz w:val="36"/>
          <w:szCs w:val="44"/>
          <w:highlight w:val="none"/>
        </w:rPr>
        <w:fldChar w:fldCharType="separate"/>
      </w:r>
      <w:r>
        <w:rPr>
          <w:color w:val="auto"/>
          <w:sz w:val="36"/>
          <w:szCs w:val="44"/>
          <w:highlight w:val="none"/>
        </w:rPr>
        <w:t>27</w:t>
      </w:r>
      <w:r>
        <w:rPr>
          <w:color w:val="auto"/>
          <w:sz w:val="36"/>
          <w:szCs w:val="44"/>
          <w:highlight w:val="none"/>
        </w:rPr>
        <w:fldChar w:fldCharType="end"/>
      </w:r>
      <w:r>
        <w:rPr>
          <w:color w:val="auto"/>
          <w:sz w:val="36"/>
          <w:szCs w:val="44"/>
          <w:highlight w:val="none"/>
        </w:rPr>
        <w:fldChar w:fldCharType="end"/>
      </w:r>
    </w:p>
    <w:p>
      <w:pPr>
        <w:pStyle w:val="35"/>
        <w:tabs>
          <w:tab w:val="right" w:leader="dot" w:pos="8312"/>
        </w:tabs>
        <w:spacing w:line="360" w:lineRule="auto"/>
        <w:rPr>
          <w:color w:val="auto"/>
          <w:sz w:val="36"/>
          <w:szCs w:val="44"/>
          <w:highlight w:val="none"/>
        </w:rPr>
      </w:pPr>
      <w:r>
        <w:rPr>
          <w:color w:val="auto"/>
          <w:highlight w:val="none"/>
        </w:rPr>
        <w:fldChar w:fldCharType="begin"/>
      </w:r>
      <w:r>
        <w:rPr>
          <w:color w:val="auto"/>
          <w:highlight w:val="none"/>
        </w:rPr>
        <w:instrText xml:space="preserve"> HYPERLINK \l "_Toc4952" </w:instrText>
      </w:r>
      <w:r>
        <w:rPr>
          <w:color w:val="auto"/>
          <w:highlight w:val="none"/>
        </w:rPr>
        <w:fldChar w:fldCharType="separate"/>
      </w:r>
      <w:r>
        <w:rPr>
          <w:rFonts w:hint="eastAsia" w:ascii="宋体" w:hAnsi="宋体" w:cs="宋体"/>
          <w:color w:val="auto"/>
          <w:sz w:val="36"/>
          <w:szCs w:val="52"/>
          <w:highlight w:val="none"/>
        </w:rPr>
        <w:t>第六章　投标文件格式</w:t>
      </w:r>
      <w:r>
        <w:rPr>
          <w:color w:val="auto"/>
          <w:sz w:val="36"/>
          <w:szCs w:val="44"/>
          <w:highlight w:val="none"/>
        </w:rPr>
        <w:tab/>
      </w:r>
      <w:r>
        <w:rPr>
          <w:color w:val="auto"/>
          <w:sz w:val="36"/>
          <w:szCs w:val="44"/>
          <w:highlight w:val="none"/>
        </w:rPr>
        <w:fldChar w:fldCharType="begin"/>
      </w:r>
      <w:r>
        <w:rPr>
          <w:color w:val="auto"/>
          <w:sz w:val="36"/>
          <w:szCs w:val="44"/>
          <w:highlight w:val="none"/>
        </w:rPr>
        <w:instrText xml:space="preserve"> PAGEREF _Toc4952 \h </w:instrText>
      </w:r>
      <w:r>
        <w:rPr>
          <w:color w:val="auto"/>
          <w:sz w:val="36"/>
          <w:szCs w:val="44"/>
          <w:highlight w:val="none"/>
        </w:rPr>
        <w:fldChar w:fldCharType="separate"/>
      </w:r>
      <w:r>
        <w:rPr>
          <w:color w:val="auto"/>
          <w:sz w:val="36"/>
          <w:szCs w:val="44"/>
          <w:highlight w:val="none"/>
        </w:rPr>
        <w:t>31</w:t>
      </w:r>
      <w:r>
        <w:rPr>
          <w:color w:val="auto"/>
          <w:sz w:val="36"/>
          <w:szCs w:val="44"/>
          <w:highlight w:val="none"/>
        </w:rPr>
        <w:fldChar w:fldCharType="end"/>
      </w:r>
      <w:r>
        <w:rPr>
          <w:color w:val="auto"/>
          <w:sz w:val="36"/>
          <w:szCs w:val="44"/>
          <w:highlight w:val="none"/>
        </w:rPr>
        <w:fldChar w:fldCharType="end"/>
      </w:r>
    </w:p>
    <w:p>
      <w:pPr>
        <w:spacing w:before="240" w:beforeLines="100" w:after="240" w:afterLines="100" w:line="360" w:lineRule="auto"/>
        <w:rPr>
          <w:rFonts w:ascii="宋体" w:hAnsi="宋体" w:cs="宋体"/>
          <w:color w:val="auto"/>
          <w:sz w:val="36"/>
          <w:szCs w:val="36"/>
          <w:highlight w:val="none"/>
        </w:rPr>
      </w:pPr>
      <w:r>
        <w:rPr>
          <w:rFonts w:hint="eastAsia" w:ascii="宋体" w:hAnsi="宋体" w:cs="宋体"/>
          <w:color w:val="auto"/>
          <w:sz w:val="36"/>
          <w:szCs w:val="56"/>
          <w:highlight w:val="none"/>
        </w:rPr>
        <w:fldChar w:fldCharType="end"/>
      </w:r>
    </w:p>
    <w:p>
      <w:pPr>
        <w:spacing w:before="240" w:beforeLines="100" w:after="240" w:afterLines="100" w:line="360" w:lineRule="auto"/>
        <w:rPr>
          <w:rFonts w:ascii="宋体" w:hAnsi="宋体" w:cs="宋体"/>
          <w:color w:val="auto"/>
          <w:sz w:val="36"/>
          <w:szCs w:val="36"/>
          <w:highlight w:val="none"/>
        </w:rPr>
      </w:pPr>
      <w:r>
        <w:rPr>
          <w:rFonts w:hint="eastAsia" w:ascii="宋体" w:hAnsi="宋体" w:cs="宋体"/>
          <w:color w:val="auto"/>
          <w:sz w:val="36"/>
          <w:szCs w:val="36"/>
          <w:highlight w:val="none"/>
        </w:rPr>
        <w:br w:type="page"/>
      </w:r>
    </w:p>
    <w:p>
      <w:pPr>
        <w:pStyle w:val="28"/>
        <w:snapToGrid w:val="0"/>
        <w:spacing w:before="0" w:beforeLines="0" w:after="0" w:afterLines="0" w:line="360" w:lineRule="auto"/>
        <w:rPr>
          <w:rFonts w:hint="default" w:hAnsi="宋体" w:cs="宋体"/>
          <w:b/>
          <w:color w:val="auto"/>
          <w:sz w:val="30"/>
          <w:szCs w:val="30"/>
          <w:highlight w:val="none"/>
        </w:rPr>
        <w:sectPr>
          <w:pgSz w:w="11906" w:h="16838"/>
          <w:pgMar w:top="1474" w:right="1797" w:bottom="1247" w:left="1797" w:header="851" w:footer="851" w:gutter="0"/>
          <w:pgNumType w:start="2"/>
          <w:cols w:space="720" w:num="1"/>
          <w:titlePg/>
          <w:docGrid w:linePitch="312" w:charSpace="0"/>
        </w:sectPr>
      </w:pPr>
    </w:p>
    <w:p>
      <w:pPr>
        <w:pStyle w:val="28"/>
        <w:snapToGrid w:val="0"/>
        <w:spacing w:before="0" w:beforeLines="0" w:after="0" w:afterLines="0" w:line="360" w:lineRule="auto"/>
        <w:jc w:val="center"/>
        <w:outlineLvl w:val="0"/>
        <w:rPr>
          <w:rFonts w:hint="default" w:hAnsi="宋体" w:cs="宋体"/>
          <w:b/>
          <w:color w:val="auto"/>
          <w:sz w:val="32"/>
          <w:szCs w:val="32"/>
          <w:highlight w:val="none"/>
        </w:rPr>
      </w:pPr>
      <w:bookmarkStart w:id="0" w:name="_Toc14924"/>
      <w:bookmarkStart w:id="1" w:name="_Toc7691"/>
      <w:r>
        <w:rPr>
          <w:rFonts w:hAnsi="宋体" w:cs="宋体"/>
          <w:b/>
          <w:color w:val="auto"/>
          <w:sz w:val="32"/>
          <w:szCs w:val="32"/>
          <w:highlight w:val="none"/>
        </w:rPr>
        <w:t xml:space="preserve">第一章  </w:t>
      </w:r>
      <w:bookmarkEnd w:id="0"/>
      <w:r>
        <w:rPr>
          <w:rFonts w:hAnsi="宋体" w:cs="宋体"/>
          <w:b/>
          <w:color w:val="auto"/>
          <w:sz w:val="32"/>
          <w:szCs w:val="32"/>
          <w:highlight w:val="none"/>
        </w:rPr>
        <w:t>公开招标公告</w:t>
      </w:r>
      <w:bookmarkEnd w:id="1"/>
    </w:p>
    <w:tbl>
      <w:tblPr>
        <w:tblStyle w:val="4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528" w:type="dxa"/>
          </w:tcPr>
          <w:p>
            <w:pPr>
              <w:adjustRightInd/>
              <w:spacing w:line="360" w:lineRule="auto"/>
              <w:textAlignment w:val="auto"/>
              <w:rPr>
                <w:rFonts w:ascii="宋体" w:hAnsi="宋体" w:cs="宋体"/>
                <w:color w:val="auto"/>
                <w:szCs w:val="21"/>
                <w:highlight w:val="none"/>
              </w:rPr>
            </w:pPr>
            <w:r>
              <w:rPr>
                <w:rFonts w:hint="eastAsia" w:ascii="宋体" w:hAnsi="宋体" w:cs="宋体"/>
                <w:color w:val="auto"/>
                <w:szCs w:val="21"/>
                <w:highlight w:val="none"/>
              </w:rPr>
              <w:t>项目概况：</w:t>
            </w:r>
          </w:p>
          <w:p>
            <w:pPr>
              <w:adjustRightInd/>
              <w:spacing w:line="360" w:lineRule="auto"/>
              <w:ind w:firstLine="420" w:firstLineChars="200"/>
              <w:textAlignment w:val="auto"/>
              <w:rPr>
                <w:rFonts w:ascii="宋体" w:hAnsi="宋体" w:cs="宋体"/>
                <w:color w:val="auto"/>
                <w:szCs w:val="21"/>
                <w:highlight w:val="none"/>
              </w:rPr>
            </w:pPr>
            <w:r>
              <w:rPr>
                <w:rFonts w:hint="eastAsia" w:ascii="宋体" w:hAnsi="宋体" w:cs="宋体"/>
                <w:color w:val="auto"/>
                <w:szCs w:val="21"/>
                <w:highlight w:val="none"/>
                <w:u w:val="single"/>
              </w:rPr>
              <w:t>宁海县集体土地所有权确权登记成果更新汇交工作技术服务采购项目</w:t>
            </w:r>
            <w:r>
              <w:rPr>
                <w:rFonts w:hint="eastAsia" w:ascii="宋体" w:hAnsi="宋体" w:cs="宋体"/>
                <w:color w:val="auto"/>
                <w:szCs w:val="21"/>
                <w:highlight w:val="none"/>
              </w:rPr>
              <w:t>招标项目的潜在投标人应在政府采购云平台（www.zcygov.cn）获取（下载）招标文件，并于</w:t>
            </w:r>
            <w:r>
              <w:rPr>
                <w:rFonts w:hint="eastAsia" w:ascii="宋体" w:hAnsi="宋体" w:cs="宋体"/>
                <w:color w:val="auto"/>
                <w:szCs w:val="21"/>
                <w:highlight w:val="none"/>
                <w:u w:val="single"/>
              </w:rPr>
              <w:t>2022</w:t>
            </w:r>
            <w:r>
              <w:rPr>
                <w:rFonts w:hint="eastAsia" w:ascii="宋体" w:hAnsi="宋体" w:cs="宋体"/>
                <w:bCs/>
                <w:color w:val="auto"/>
                <w:szCs w:val="21"/>
                <w:highlight w:val="none"/>
                <w:u w:val="single"/>
              </w:rPr>
              <w:t>年  月  日  :  （北京时间）</w:t>
            </w:r>
            <w:r>
              <w:rPr>
                <w:rFonts w:hint="eastAsia" w:ascii="宋体" w:hAnsi="宋体" w:cs="宋体"/>
                <w:bCs/>
                <w:color w:val="auto"/>
                <w:szCs w:val="21"/>
                <w:highlight w:val="none"/>
              </w:rPr>
              <w:t>前递交（上传）投标文件</w:t>
            </w:r>
            <w:r>
              <w:rPr>
                <w:rFonts w:hint="eastAsia" w:ascii="宋体" w:hAnsi="宋体" w:cs="宋体"/>
                <w:color w:val="auto"/>
                <w:szCs w:val="21"/>
                <w:highlight w:val="none"/>
              </w:rPr>
              <w:t>。</w:t>
            </w:r>
          </w:p>
        </w:tc>
      </w:tr>
    </w:tbl>
    <w:p>
      <w:pPr>
        <w:pStyle w:val="5"/>
        <w:spacing w:before="0" w:after="0" w:line="348" w:lineRule="auto"/>
        <w:rPr>
          <w:rFonts w:ascii="宋体" w:hAnsi="宋体" w:eastAsia="宋体" w:cs="宋体"/>
          <w:color w:val="auto"/>
          <w:sz w:val="21"/>
          <w:szCs w:val="21"/>
          <w:highlight w:val="none"/>
        </w:rPr>
      </w:pPr>
      <w:bookmarkStart w:id="2" w:name="_Toc35393621"/>
      <w:bookmarkStart w:id="3" w:name="_Toc28359079"/>
      <w:bookmarkStart w:id="4" w:name="_Toc28359002"/>
      <w:bookmarkStart w:id="5" w:name="_Toc35393790"/>
      <w:bookmarkStart w:id="6" w:name="_Hlk24379207"/>
      <w:r>
        <w:rPr>
          <w:rFonts w:hint="eastAsia" w:ascii="宋体" w:hAnsi="宋体" w:eastAsia="宋体" w:cs="宋体"/>
          <w:color w:val="auto"/>
          <w:sz w:val="21"/>
          <w:szCs w:val="21"/>
          <w:highlight w:val="none"/>
        </w:rPr>
        <w:t>一、项目基本情况</w:t>
      </w:r>
      <w:bookmarkEnd w:id="2"/>
      <w:bookmarkEnd w:id="3"/>
      <w:bookmarkEnd w:id="4"/>
      <w:bookmarkEnd w:id="5"/>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1.项目编号：CBZJ-20226130G</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2.项目名称：宁海县集体土地所有权确权登记成果更新汇交工作技术服务采购项目</w:t>
      </w:r>
    </w:p>
    <w:bookmarkEnd w:id="6"/>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3.预算金额（元）：1600000</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4.最高限价（元）：1600000</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5.采购需求：</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标项名称:宁海县集体土地所有权确权登记成果更新汇交工作技术服务采购</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数量:1项</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预算金额（元）:1600000</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简要规格描述或项目基本概况介绍、用途：</w:t>
      </w:r>
      <w:r>
        <w:rPr>
          <w:rFonts w:hint="eastAsia" w:ascii="宋体" w:hAnsi="宋体"/>
          <w:color w:val="auto"/>
          <w:highlight w:val="none"/>
        </w:rPr>
        <w:t>集体土地所有权确权登记成果更新汇交工作技术服务，服务范围及考核内容详见《第二章  采购需求》。用途：自用。</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备注：组成联合体的成员数量不超过2个。</w:t>
      </w:r>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6.合同履行期限：自合同签订之日起至合同义务履约完毕止。</w:t>
      </w:r>
    </w:p>
    <w:p>
      <w:pPr>
        <w:spacing w:line="348"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7.本项目（是）接受联合体投标。</w:t>
      </w:r>
    </w:p>
    <w:p>
      <w:pPr>
        <w:pStyle w:val="5"/>
        <w:spacing w:before="0" w:after="0" w:line="348" w:lineRule="auto"/>
        <w:ind w:firstLine="422" w:firstLineChars="200"/>
        <w:rPr>
          <w:rFonts w:ascii="宋体" w:hAnsi="宋体" w:eastAsia="宋体" w:cs="宋体"/>
          <w:color w:val="auto"/>
          <w:sz w:val="21"/>
          <w:szCs w:val="21"/>
          <w:highlight w:val="none"/>
        </w:rPr>
      </w:pPr>
      <w:bookmarkStart w:id="7" w:name="_Toc28359080"/>
      <w:bookmarkStart w:id="8" w:name="_Toc35393791"/>
      <w:bookmarkStart w:id="9" w:name="_Toc28359003"/>
      <w:bookmarkStart w:id="10" w:name="_Toc35393622"/>
      <w:r>
        <w:rPr>
          <w:rFonts w:hint="eastAsia" w:ascii="宋体" w:hAnsi="宋体" w:eastAsia="宋体" w:cs="宋体"/>
          <w:color w:val="auto"/>
          <w:sz w:val="21"/>
          <w:szCs w:val="21"/>
          <w:highlight w:val="none"/>
        </w:rPr>
        <w:t>二、申请人的资格要求：</w:t>
      </w:r>
      <w:bookmarkEnd w:id="7"/>
      <w:bookmarkEnd w:id="8"/>
      <w:bookmarkEnd w:id="9"/>
      <w:bookmarkEnd w:id="10"/>
    </w:p>
    <w:p>
      <w:pPr>
        <w:spacing w:line="348"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48" w:lineRule="auto"/>
        <w:ind w:firstLine="420" w:firstLineChars="200"/>
        <w:rPr>
          <w:rFonts w:ascii="宋体" w:hAnsi="宋体" w:cs="宋体"/>
          <w:color w:val="auto"/>
          <w:szCs w:val="21"/>
          <w:highlight w:val="none"/>
        </w:rPr>
      </w:pPr>
      <w:bookmarkStart w:id="11" w:name="_Toc28359004"/>
      <w:bookmarkStart w:id="12" w:name="_Toc28359081"/>
      <w:r>
        <w:rPr>
          <w:rFonts w:hint="eastAsia" w:ascii="宋体" w:hAnsi="宋体" w:cs="宋体"/>
          <w:color w:val="auto"/>
          <w:szCs w:val="21"/>
          <w:highlight w:val="none"/>
        </w:rPr>
        <w:t>2.落实政府采购政策需满足的资格要求：本项目为专门面向中小微企业采购项目，供应商须为中小微企业。</w:t>
      </w:r>
    </w:p>
    <w:p>
      <w:pPr>
        <w:spacing w:line="348" w:lineRule="auto"/>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rPr>
        <w:t>3.本项目的特定资格要求：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3.2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人将依法取消其中标资格）。</w:t>
      </w:r>
      <w:r>
        <w:rPr>
          <w:rFonts w:hint="eastAsia" w:ascii="宋体" w:hAnsi="宋体" w:cs="宋体"/>
          <w:color w:val="auto"/>
          <w:szCs w:val="21"/>
          <w:highlight w:val="none"/>
        </w:rPr>
        <w:t>3</w:t>
      </w:r>
      <w:r>
        <w:rPr>
          <w:rFonts w:ascii="宋体" w:hAnsi="宋体" w:cs="宋体"/>
          <w:color w:val="auto"/>
          <w:szCs w:val="21"/>
          <w:highlight w:val="none"/>
        </w:rPr>
        <w:t>.3</w:t>
      </w:r>
      <w:r>
        <w:rPr>
          <w:rFonts w:hint="eastAsia" w:ascii="宋体" w:hAnsi="宋体" w:cs="宋体"/>
          <w:color w:val="auto"/>
          <w:szCs w:val="21"/>
          <w:highlight w:val="none"/>
          <w:lang w:val="en-US" w:eastAsia="zh-CN"/>
        </w:rPr>
        <w:t>供应商</w:t>
      </w:r>
      <w:r>
        <w:rPr>
          <w:rFonts w:hint="eastAsia" w:ascii="宋体" w:hAnsi="宋体" w:cs="宋体"/>
          <w:color w:val="auto"/>
          <w:szCs w:val="21"/>
          <w:highlight w:val="none"/>
        </w:rPr>
        <w:t>具有主管部门颁发的乙级及以上测绘资质。</w:t>
      </w:r>
    </w:p>
    <w:p>
      <w:pPr>
        <w:pStyle w:val="5"/>
        <w:spacing w:before="0" w:after="0" w:line="348" w:lineRule="auto"/>
        <w:rPr>
          <w:rFonts w:ascii="宋体" w:hAnsi="宋体" w:eastAsia="宋体" w:cs="宋体"/>
          <w:color w:val="auto"/>
          <w:sz w:val="21"/>
          <w:szCs w:val="21"/>
          <w:highlight w:val="none"/>
        </w:rPr>
      </w:pPr>
      <w:bookmarkStart w:id="13" w:name="_Toc35393623"/>
      <w:bookmarkStart w:id="14" w:name="_Toc35393792"/>
      <w:r>
        <w:rPr>
          <w:rFonts w:hint="eastAsia" w:ascii="宋体" w:hAnsi="宋体" w:eastAsia="宋体" w:cs="宋体"/>
          <w:color w:val="auto"/>
          <w:sz w:val="21"/>
          <w:szCs w:val="21"/>
          <w:highlight w:val="none"/>
        </w:rPr>
        <w:t>三、获取招标文件</w:t>
      </w:r>
      <w:bookmarkEnd w:id="11"/>
      <w:bookmarkEnd w:id="12"/>
      <w:bookmarkEnd w:id="13"/>
      <w:bookmarkEnd w:id="14"/>
    </w:p>
    <w:p>
      <w:pPr>
        <w:spacing w:line="348" w:lineRule="auto"/>
        <w:ind w:firstLine="540"/>
        <w:rPr>
          <w:rFonts w:ascii="宋体" w:hAnsi="宋体" w:cs="宋体"/>
          <w:color w:val="auto"/>
          <w:szCs w:val="21"/>
          <w:highlight w:val="none"/>
        </w:rPr>
      </w:pPr>
      <w:r>
        <w:rPr>
          <w:rFonts w:hint="eastAsia" w:ascii="宋体" w:hAnsi="宋体" w:cs="宋体"/>
          <w:color w:val="auto"/>
          <w:szCs w:val="21"/>
          <w:highlight w:val="none"/>
        </w:rPr>
        <w:t>1.时间：</w:t>
      </w:r>
      <w:r>
        <w:rPr>
          <w:rFonts w:hint="eastAsia" w:ascii="宋体" w:hAnsi="宋体" w:cs="宋体"/>
          <w:color w:val="auto"/>
          <w:szCs w:val="21"/>
          <w:highlight w:val="none"/>
          <w:u w:val="single"/>
        </w:rPr>
        <w:t>2022年  月  日</w:t>
      </w:r>
      <w:r>
        <w:rPr>
          <w:rFonts w:hint="eastAsia" w:ascii="宋体" w:hAnsi="宋体" w:cs="宋体"/>
          <w:color w:val="auto"/>
          <w:szCs w:val="21"/>
          <w:highlight w:val="none"/>
        </w:rPr>
        <w:t>至</w:t>
      </w:r>
      <w:r>
        <w:rPr>
          <w:rFonts w:hint="eastAsia" w:ascii="宋体" w:hAnsi="宋体" w:cs="宋体"/>
          <w:color w:val="auto"/>
          <w:szCs w:val="21"/>
          <w:highlight w:val="none"/>
          <w:u w:val="single"/>
        </w:rPr>
        <w:t>2022年  月  日</w:t>
      </w:r>
      <w:r>
        <w:rPr>
          <w:rFonts w:hint="eastAsia" w:ascii="宋体" w:hAnsi="宋体" w:cs="宋体"/>
          <w:color w:val="auto"/>
          <w:szCs w:val="21"/>
          <w:highlight w:val="none"/>
        </w:rPr>
        <w:t>，每天上午</w:t>
      </w:r>
      <w:r>
        <w:rPr>
          <w:rFonts w:hint="eastAsia" w:ascii="宋体" w:hAnsi="宋体" w:cs="宋体"/>
          <w:color w:val="auto"/>
          <w:szCs w:val="21"/>
          <w:highlight w:val="none"/>
          <w:u w:val="single"/>
        </w:rPr>
        <w:t>00:00</w:t>
      </w:r>
      <w:r>
        <w:rPr>
          <w:rFonts w:hint="eastAsia" w:ascii="宋体" w:hAnsi="宋体" w:cs="宋体"/>
          <w:color w:val="auto"/>
          <w:szCs w:val="21"/>
          <w:highlight w:val="none"/>
        </w:rPr>
        <w:t>至</w:t>
      </w:r>
      <w:r>
        <w:rPr>
          <w:rFonts w:hint="eastAsia" w:ascii="宋体" w:hAnsi="宋体" w:cs="宋体"/>
          <w:color w:val="auto"/>
          <w:szCs w:val="21"/>
          <w:highlight w:val="none"/>
          <w:u w:val="single"/>
        </w:rPr>
        <w:t>12:00</w:t>
      </w:r>
      <w:r>
        <w:rPr>
          <w:rFonts w:hint="eastAsia" w:ascii="宋体" w:hAnsi="宋体" w:cs="宋体"/>
          <w:color w:val="auto"/>
          <w:szCs w:val="21"/>
          <w:highlight w:val="none"/>
        </w:rPr>
        <w:t>，下午</w:t>
      </w:r>
      <w:r>
        <w:rPr>
          <w:rFonts w:hint="eastAsia" w:ascii="宋体" w:hAnsi="宋体" w:cs="宋体"/>
          <w:color w:val="auto"/>
          <w:szCs w:val="21"/>
          <w:highlight w:val="none"/>
          <w:u w:val="single"/>
        </w:rPr>
        <w:t>12:00</w:t>
      </w:r>
      <w:r>
        <w:rPr>
          <w:rFonts w:hint="eastAsia" w:ascii="宋体" w:hAnsi="宋体" w:cs="宋体"/>
          <w:color w:val="auto"/>
          <w:szCs w:val="21"/>
          <w:highlight w:val="none"/>
        </w:rPr>
        <w:t>至</w:t>
      </w:r>
      <w:r>
        <w:rPr>
          <w:rFonts w:hint="eastAsia" w:ascii="宋体" w:hAnsi="宋体" w:cs="宋体"/>
          <w:color w:val="auto"/>
          <w:szCs w:val="21"/>
          <w:highlight w:val="none"/>
          <w:u w:val="single"/>
        </w:rPr>
        <w:t>23:59</w:t>
      </w:r>
      <w:r>
        <w:rPr>
          <w:rFonts w:hint="eastAsia" w:ascii="宋体" w:hAnsi="宋体" w:cs="宋体"/>
          <w:color w:val="auto"/>
          <w:szCs w:val="21"/>
          <w:highlight w:val="none"/>
        </w:rPr>
        <w:t>（北京时间，线上获取法定节假日均可，线下获取文件法定节假日除外）。</w:t>
      </w:r>
    </w:p>
    <w:p>
      <w:pPr>
        <w:spacing w:line="348" w:lineRule="auto"/>
        <w:ind w:firstLine="540"/>
        <w:rPr>
          <w:rFonts w:ascii="宋体" w:hAnsi="宋体" w:cs="宋体"/>
          <w:color w:val="auto"/>
          <w:szCs w:val="21"/>
          <w:highlight w:val="none"/>
          <w:u w:val="single"/>
        </w:rPr>
      </w:pPr>
      <w:r>
        <w:rPr>
          <w:rFonts w:hint="eastAsia" w:ascii="宋体" w:hAnsi="宋体" w:cs="宋体"/>
          <w:color w:val="auto"/>
          <w:szCs w:val="21"/>
          <w:highlight w:val="none"/>
        </w:rPr>
        <w:t>2.地点（网址）：政府采购云平台（www.zcygov.cn）。</w:t>
      </w:r>
    </w:p>
    <w:p>
      <w:pPr>
        <w:spacing w:line="348" w:lineRule="auto"/>
        <w:ind w:firstLine="540"/>
        <w:rPr>
          <w:rFonts w:ascii="宋体" w:hAnsi="宋体" w:cs="宋体"/>
          <w:color w:val="auto"/>
          <w:szCs w:val="21"/>
          <w:highlight w:val="none"/>
          <w:u w:val="single"/>
        </w:rPr>
      </w:pPr>
      <w:r>
        <w:rPr>
          <w:rFonts w:hint="eastAsia" w:ascii="宋体" w:hAnsi="宋体" w:cs="宋体"/>
          <w:color w:val="auto"/>
          <w:szCs w:val="21"/>
          <w:highlight w:val="none"/>
        </w:rPr>
        <w:t>3.方式：供应商注册后直接登录“政府采购云平台”（www.zcygov.cn）下载电子招标文件。供应商未在规定时间内或未按上述方式获取招标文件的，其投标无效。</w:t>
      </w:r>
    </w:p>
    <w:p>
      <w:pPr>
        <w:spacing w:line="348" w:lineRule="auto"/>
        <w:ind w:firstLine="540"/>
        <w:rPr>
          <w:rFonts w:ascii="宋体" w:hAnsi="宋体" w:cs="宋体"/>
          <w:color w:val="auto"/>
          <w:szCs w:val="21"/>
          <w:highlight w:val="none"/>
        </w:rPr>
      </w:pPr>
      <w:r>
        <w:rPr>
          <w:rFonts w:hint="eastAsia" w:ascii="宋体" w:hAnsi="宋体" w:cs="宋体"/>
          <w:color w:val="auto"/>
          <w:szCs w:val="21"/>
          <w:highlight w:val="none"/>
        </w:rPr>
        <w:t>4.售价（元）：0</w:t>
      </w:r>
    </w:p>
    <w:p>
      <w:pPr>
        <w:pStyle w:val="5"/>
        <w:spacing w:before="0" w:after="0" w:line="348" w:lineRule="auto"/>
        <w:rPr>
          <w:rFonts w:ascii="宋体" w:hAnsi="宋体" w:eastAsia="宋体" w:cs="宋体"/>
          <w:color w:val="auto"/>
          <w:sz w:val="21"/>
          <w:szCs w:val="21"/>
          <w:highlight w:val="none"/>
        </w:rPr>
      </w:pPr>
      <w:bookmarkStart w:id="15" w:name="_Toc28359082"/>
      <w:bookmarkStart w:id="16" w:name="_Toc28359005"/>
      <w:bookmarkStart w:id="17" w:name="_Toc35393624"/>
      <w:bookmarkStart w:id="18" w:name="_Toc35393793"/>
      <w:r>
        <w:rPr>
          <w:rFonts w:hint="eastAsia" w:ascii="宋体" w:hAnsi="宋体" w:eastAsia="宋体" w:cs="宋体"/>
          <w:color w:val="auto"/>
          <w:sz w:val="21"/>
          <w:szCs w:val="21"/>
          <w:highlight w:val="none"/>
        </w:rPr>
        <w:t>四、提交投标文件</w:t>
      </w:r>
      <w:bookmarkEnd w:id="15"/>
      <w:bookmarkEnd w:id="16"/>
      <w:r>
        <w:rPr>
          <w:rFonts w:hint="eastAsia" w:ascii="宋体" w:hAnsi="宋体" w:eastAsia="宋体" w:cs="宋体"/>
          <w:color w:val="auto"/>
          <w:sz w:val="21"/>
          <w:szCs w:val="21"/>
          <w:highlight w:val="none"/>
        </w:rPr>
        <w:t>截止时间、开标时间和地点</w:t>
      </w:r>
      <w:bookmarkEnd w:id="17"/>
      <w:bookmarkEnd w:id="18"/>
    </w:p>
    <w:p>
      <w:pPr>
        <w:spacing w:line="348" w:lineRule="auto"/>
        <w:ind w:firstLine="540"/>
        <w:rPr>
          <w:rFonts w:ascii="宋体" w:hAnsi="宋体" w:cs="宋体"/>
          <w:color w:val="auto"/>
          <w:szCs w:val="21"/>
          <w:highlight w:val="none"/>
        </w:rPr>
      </w:pPr>
      <w:r>
        <w:rPr>
          <w:rFonts w:hint="eastAsia" w:ascii="宋体" w:hAnsi="宋体" w:cs="宋体"/>
          <w:color w:val="auto"/>
          <w:szCs w:val="21"/>
          <w:highlight w:val="none"/>
        </w:rPr>
        <w:t>1.提交投标文件截止时间：2022年  月  日  :  （北京时间）。</w:t>
      </w:r>
    </w:p>
    <w:p>
      <w:pPr>
        <w:spacing w:line="348" w:lineRule="auto"/>
        <w:ind w:firstLine="540"/>
        <w:rPr>
          <w:rFonts w:ascii="宋体" w:hAnsi="宋体" w:cs="宋体"/>
          <w:color w:val="auto"/>
          <w:szCs w:val="21"/>
          <w:highlight w:val="none"/>
        </w:rPr>
      </w:pPr>
      <w:r>
        <w:rPr>
          <w:rFonts w:hint="eastAsia" w:ascii="宋体" w:hAnsi="宋体" w:cs="宋体"/>
          <w:color w:val="auto"/>
          <w:szCs w:val="21"/>
          <w:highlight w:val="none"/>
        </w:rPr>
        <w:t>2.投标地点（网址）：</w:t>
      </w:r>
      <w:r>
        <w:rPr>
          <w:rFonts w:hint="eastAsia" w:ascii="宋体" w:hAnsi="宋体" w:cs="宋体"/>
          <w:color w:val="auto"/>
          <w:szCs w:val="21"/>
          <w:highlight w:val="none"/>
          <w:u w:val="single"/>
        </w:rPr>
        <w:t>政府采购云平台（www.zcygov.cn）</w:t>
      </w:r>
      <w:r>
        <w:rPr>
          <w:rFonts w:hint="eastAsia" w:ascii="宋体" w:hAnsi="宋体" w:cs="宋体"/>
          <w:color w:val="auto"/>
          <w:szCs w:val="21"/>
          <w:highlight w:val="none"/>
        </w:rPr>
        <w:t>。</w:t>
      </w:r>
    </w:p>
    <w:p>
      <w:pPr>
        <w:spacing w:line="348" w:lineRule="auto"/>
        <w:ind w:firstLine="540"/>
        <w:rPr>
          <w:rFonts w:ascii="宋体" w:hAnsi="宋体" w:cs="宋体"/>
          <w:color w:val="auto"/>
          <w:szCs w:val="21"/>
          <w:highlight w:val="none"/>
        </w:rPr>
      </w:pPr>
      <w:r>
        <w:rPr>
          <w:rFonts w:hint="eastAsia" w:ascii="宋体" w:hAnsi="宋体" w:cs="宋体"/>
          <w:color w:val="auto"/>
          <w:szCs w:val="21"/>
          <w:highlight w:val="none"/>
        </w:rPr>
        <w:t xml:space="preserve">3.开标时间：2022年  月  日  :  </w:t>
      </w:r>
    </w:p>
    <w:p>
      <w:pPr>
        <w:spacing w:line="348" w:lineRule="auto"/>
        <w:ind w:firstLine="540"/>
        <w:rPr>
          <w:rFonts w:ascii="宋体" w:hAnsi="宋体" w:cs="宋体"/>
          <w:color w:val="auto"/>
          <w:szCs w:val="21"/>
          <w:highlight w:val="none"/>
        </w:rPr>
      </w:pPr>
      <w:r>
        <w:rPr>
          <w:rFonts w:hint="eastAsia" w:ascii="宋体" w:hAnsi="宋体" w:cs="宋体"/>
          <w:color w:val="auto"/>
          <w:szCs w:val="21"/>
          <w:highlight w:val="none"/>
        </w:rPr>
        <w:t>4.开标地点（网址）：</w:t>
      </w:r>
      <w:r>
        <w:rPr>
          <w:rFonts w:hint="eastAsia" w:ascii="宋体" w:hAnsi="宋体" w:cs="宋体"/>
          <w:color w:val="auto"/>
          <w:szCs w:val="21"/>
          <w:highlight w:val="none"/>
          <w:u w:val="single"/>
        </w:rPr>
        <w:t>政府采购云平台（www.zcygov.cn）</w:t>
      </w:r>
      <w:r>
        <w:rPr>
          <w:rFonts w:hint="eastAsia" w:ascii="宋体" w:hAnsi="宋体" w:cs="宋体"/>
          <w:color w:val="auto"/>
          <w:szCs w:val="21"/>
          <w:highlight w:val="none"/>
        </w:rPr>
        <w:t>。</w:t>
      </w:r>
    </w:p>
    <w:p>
      <w:pPr>
        <w:pStyle w:val="5"/>
        <w:spacing w:before="0" w:after="0" w:line="348" w:lineRule="auto"/>
        <w:rPr>
          <w:rFonts w:ascii="宋体" w:hAnsi="宋体" w:eastAsia="宋体" w:cs="宋体"/>
          <w:color w:val="auto"/>
          <w:sz w:val="21"/>
          <w:szCs w:val="21"/>
          <w:highlight w:val="none"/>
        </w:rPr>
      </w:pPr>
      <w:bookmarkStart w:id="19" w:name="_Toc35393794"/>
      <w:bookmarkStart w:id="20" w:name="_Toc35393625"/>
      <w:bookmarkStart w:id="21" w:name="_Toc28359007"/>
      <w:bookmarkStart w:id="22" w:name="_Toc28359084"/>
      <w:r>
        <w:rPr>
          <w:rFonts w:hint="eastAsia" w:ascii="宋体" w:hAnsi="宋体" w:eastAsia="宋体" w:cs="宋体"/>
          <w:color w:val="auto"/>
          <w:sz w:val="21"/>
          <w:szCs w:val="21"/>
          <w:highlight w:val="none"/>
        </w:rPr>
        <w:t>五、公告期限</w:t>
      </w:r>
      <w:bookmarkEnd w:id="19"/>
      <w:bookmarkEnd w:id="20"/>
      <w:bookmarkEnd w:id="21"/>
      <w:bookmarkEnd w:id="22"/>
    </w:p>
    <w:p>
      <w:pPr>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5"/>
        <w:spacing w:before="0" w:after="0" w:line="348" w:lineRule="auto"/>
        <w:rPr>
          <w:rFonts w:ascii="宋体" w:hAnsi="宋体" w:eastAsia="宋体" w:cs="宋体"/>
          <w:color w:val="auto"/>
          <w:sz w:val="21"/>
          <w:szCs w:val="21"/>
          <w:highlight w:val="none"/>
        </w:rPr>
      </w:pPr>
      <w:bookmarkStart w:id="23" w:name="_Toc35393626"/>
      <w:bookmarkStart w:id="24" w:name="_Toc35393795"/>
      <w:r>
        <w:rPr>
          <w:rFonts w:hint="eastAsia" w:ascii="宋体" w:hAnsi="宋体" w:eastAsia="宋体" w:cs="宋体"/>
          <w:color w:val="auto"/>
          <w:sz w:val="21"/>
          <w:szCs w:val="21"/>
          <w:highlight w:val="none"/>
        </w:rPr>
        <w:t>六、其他补充事宜</w:t>
      </w:r>
      <w:bookmarkEnd w:id="23"/>
      <w:bookmarkEnd w:id="24"/>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2.其他事项：</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2.1落实的政策：</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2.1.1对执行中小企业扶持政策（监狱企业、残疾人福利性单位视同小微企业）；</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2.1.2扶持不发达地区和少数民族地区；</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2.2投标与开标注意事项</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2.2.1本项目实行网上投标，采用电子投标文件。若供应商参与投标，自行承担投标一切费用。</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2.2.2标前准备：因未办理CA数字证书等原因造成无法投标或投标失败等后果由供应商自行承担。</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2.2.3投标文件制作：</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2.2.3.1应按照本项目招标文件和政府采购云平台的要求编制、加密并递交投标文件。供应商在使用系统进行投标的过程中遇到涉及平台使用的任何问题，可致电政府采购云平台技术支持热线咨询，联系方式：400-8817190。</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2.2.3.2供应商通过政府采购云平台电子投标工具制作投标文件，电子投标工具请供应商自行前往浙江政府采购网下载并安装，投标文件制作具体流程详见政府采购云平台。</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2.2.3.3以U盘存储的电子备份投标文件1份，按政府采购云平台要求</w:t>
      </w:r>
      <w:r>
        <w:rPr>
          <w:rFonts w:hint="eastAsia" w:ascii="宋体" w:hAnsi="宋体" w:cs="宋体"/>
          <w:color w:val="auto"/>
          <w:szCs w:val="21"/>
          <w:highlight w:val="none"/>
        </w:rPr>
        <w:t>制作的电子备份文件</w:t>
      </w:r>
      <w:r>
        <w:rPr>
          <w:rFonts w:hint="eastAsia" w:ascii="宋体" w:hAnsi="宋体" w:cs="宋体"/>
          <w:color w:val="auto"/>
          <w:kern w:val="0"/>
          <w:szCs w:val="21"/>
          <w:highlight w:val="none"/>
        </w:rPr>
        <w:t>，以用于异常情况处理。</w:t>
      </w:r>
    </w:p>
    <w:p>
      <w:pPr>
        <w:spacing w:line="348" w:lineRule="auto"/>
        <w:ind w:firstLine="420"/>
        <w:rPr>
          <w:rFonts w:ascii="宋体" w:hAnsi="宋体" w:cs="宋体"/>
          <w:bCs/>
          <w:color w:val="auto"/>
          <w:szCs w:val="21"/>
          <w:highlight w:val="none"/>
        </w:rPr>
      </w:pPr>
      <w:r>
        <w:rPr>
          <w:rFonts w:hint="eastAsia" w:ascii="宋体" w:hAnsi="宋体" w:cs="宋体"/>
          <w:color w:val="auto"/>
          <w:kern w:val="0"/>
          <w:szCs w:val="21"/>
          <w:highlight w:val="none"/>
        </w:rPr>
        <w:t>2.3本招标公告附件中的招标文件仅供阅览使用，供应商应在规定的招标文件获取期限内在政采云平台登录供应商注册的账号后获取招标文件，未按上述方式获取招标文件的，不得对招标文件提起质疑投诉。</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2.4供应商应于投标截止时间前将电子投标文件上传到政府采购云平台www.zcygov.cn，未上传电子投标文件，视为供应商放弃投标。</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2.5供应商如提供备份投标文件的，应于提交投标文件截止时间前，将以U盘存储的电子备份投标文件密封，递交至</w:t>
      </w:r>
      <w:r>
        <w:rPr>
          <w:rFonts w:hint="eastAsia" w:ascii="宋体" w:hAnsi="宋体" w:cs="宋体"/>
          <w:color w:val="auto"/>
          <w:szCs w:val="21"/>
          <w:highlight w:val="none"/>
          <w:u w:val="single"/>
        </w:rPr>
        <w:t>宁海县公共资源交易中心（宁海县桃源街道金水东路5号五楼，详见五楼大厅公告）</w:t>
      </w:r>
      <w:r>
        <w:rPr>
          <w:rFonts w:hint="eastAsia" w:ascii="宋体" w:hAnsi="宋体" w:cs="宋体"/>
          <w:color w:val="auto"/>
          <w:kern w:val="0"/>
          <w:szCs w:val="21"/>
          <w:highlight w:val="none"/>
        </w:rPr>
        <w:t>，逾期送达或未密封将予以拒收。供应商仅提供以U盘存储的电子备份投标文件的，投标无效。</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2.6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2.7供应商可采用邮寄（含快递）方式或现场方式递交备份投标文件。</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2.7.1采用邮寄方式递交备份投标文件，需按以下要求递交：</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拟在2022年  月  日16:00（含）前到件的邮寄地址为：宁波市鄞州区天童南路666号中基大厦19楼业务六部；</w:t>
      </w:r>
    </w:p>
    <w:p>
      <w:pPr>
        <w:widowControl/>
        <w:tabs>
          <w:tab w:val="left" w:pos="5153"/>
        </w:tabs>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收件人：张工   联系方式：0574-87425569</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请各供应商确保密封包装在邮寄过程密封包装完好，因邮寄过程的密封破损造成不符合开标要求的，本采购代理及采购人概不负责。</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2.7.2采用现场方式送达备份投标文件，需按以下要求递交：</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所有供应商安排“健康码”为绿色的相关人员（原则上不超过一名）在投标截止时间前将备份投标文件送至：</w:t>
      </w:r>
      <w:r>
        <w:rPr>
          <w:rFonts w:hint="eastAsia" w:ascii="宋体" w:hAnsi="宋体" w:cs="宋体"/>
          <w:color w:val="auto"/>
          <w:szCs w:val="21"/>
          <w:highlight w:val="none"/>
          <w:u w:val="single"/>
        </w:rPr>
        <w:t>宁海县公共资源交易中心（宁海县桃源街道金水东路5号五楼，详见五楼大厅公告）</w:t>
      </w:r>
      <w:r>
        <w:rPr>
          <w:rFonts w:hint="eastAsia" w:ascii="宋体" w:hAnsi="宋体" w:cs="宋体"/>
          <w:color w:val="auto"/>
          <w:kern w:val="0"/>
          <w:szCs w:val="21"/>
          <w:highlight w:val="none"/>
        </w:rPr>
        <w:t>。投标文件递交时需同时递交供应商的法定代表人（或其委托代理人）联系方式，并保证开标期间联系方式的畅通。</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2.8开标过程全程视频监控记录。</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2.9投标人员须做好佩戴口罩、手套等防护措施，自觉接受体温检测、接受防疫询问，并如实报告相关情况。</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2.10投标人员还需配合做好疫情防控“五个一律”：一律全面消毒、一律体温检测、一律承诺登记、一律按序办事、一律服从管理。</w:t>
      </w:r>
    </w:p>
    <w:p>
      <w:pPr>
        <w:spacing w:line="348" w:lineRule="auto"/>
        <w:ind w:firstLine="420"/>
        <w:rPr>
          <w:rFonts w:ascii="宋体" w:hAnsi="宋体" w:cs="宋体"/>
          <w:bCs/>
          <w:color w:val="auto"/>
          <w:szCs w:val="21"/>
          <w:highlight w:val="none"/>
        </w:rPr>
      </w:pPr>
      <w:r>
        <w:rPr>
          <w:rFonts w:hint="eastAsia" w:ascii="宋体" w:hAnsi="宋体" w:cs="宋体"/>
          <w:bCs/>
          <w:color w:val="auto"/>
          <w:szCs w:val="21"/>
          <w:highlight w:val="none"/>
        </w:rPr>
        <w:t>2.11如投标截止时间前疫情解除，上述第2.7-2.9条内容废止。</w:t>
      </w:r>
    </w:p>
    <w:p>
      <w:pPr>
        <w:widowControl/>
        <w:spacing w:line="348" w:lineRule="auto"/>
        <w:ind w:firstLine="420" w:firstLineChars="200"/>
        <w:rPr>
          <w:rFonts w:ascii="宋体" w:hAnsi="宋体" w:cs="宋体"/>
          <w:color w:val="auto"/>
          <w:kern w:val="0"/>
          <w:szCs w:val="21"/>
          <w:highlight w:val="none"/>
        </w:rPr>
      </w:pPr>
      <w:r>
        <w:rPr>
          <w:rFonts w:hint="eastAsia" w:ascii="宋体" w:hAnsi="宋体" w:cs="宋体"/>
          <w:bCs/>
          <w:color w:val="auto"/>
          <w:szCs w:val="21"/>
          <w:highlight w:val="none"/>
        </w:rPr>
        <w:t>2.12肺炎防疫期间，请各供应商遵守</w:t>
      </w:r>
      <w:r>
        <w:rPr>
          <w:rFonts w:hint="eastAsia" w:ascii="宋体" w:hAnsi="宋体" w:cs="宋体"/>
          <w:color w:val="auto"/>
          <w:kern w:val="0"/>
          <w:szCs w:val="21"/>
          <w:highlight w:val="none"/>
        </w:rPr>
        <w:t>宁波市宁海县公共资源交易中心</w:t>
      </w:r>
      <w:r>
        <w:rPr>
          <w:rFonts w:hint="eastAsia" w:ascii="宋体" w:hAnsi="宋体" w:cs="宋体"/>
          <w:bCs/>
          <w:color w:val="auto"/>
          <w:szCs w:val="21"/>
          <w:highlight w:val="none"/>
        </w:rPr>
        <w:t>各项防疫措施规定。</w:t>
      </w:r>
    </w:p>
    <w:p>
      <w:pPr>
        <w:pStyle w:val="5"/>
        <w:spacing w:before="0" w:after="0" w:line="348" w:lineRule="auto"/>
        <w:rPr>
          <w:rFonts w:ascii="宋体" w:hAnsi="宋体" w:eastAsia="宋体" w:cs="宋体"/>
          <w:color w:val="auto"/>
          <w:sz w:val="21"/>
          <w:szCs w:val="21"/>
          <w:highlight w:val="none"/>
        </w:rPr>
      </w:pPr>
      <w:bookmarkStart w:id="25" w:name="_Toc28359085"/>
      <w:bookmarkStart w:id="26" w:name="_Toc28359008"/>
      <w:bookmarkStart w:id="27" w:name="_Toc35393627"/>
      <w:bookmarkStart w:id="28" w:name="_Toc35393796"/>
      <w:r>
        <w:rPr>
          <w:rFonts w:hint="eastAsia" w:ascii="宋体" w:hAnsi="宋体" w:eastAsia="宋体" w:cs="宋体"/>
          <w:color w:val="auto"/>
          <w:sz w:val="21"/>
          <w:szCs w:val="21"/>
          <w:highlight w:val="none"/>
        </w:rPr>
        <w:t>七、对本次采购提出询问、质疑、投诉，请按以下方式联系。</w:t>
      </w:r>
      <w:bookmarkEnd w:id="25"/>
      <w:bookmarkEnd w:id="26"/>
      <w:bookmarkEnd w:id="27"/>
      <w:bookmarkEnd w:id="28"/>
    </w:p>
    <w:p>
      <w:pPr>
        <w:pStyle w:val="44"/>
        <w:spacing w:before="0" w:beforeAutospacing="0" w:after="0" w:afterAutospacing="0" w:line="348" w:lineRule="auto"/>
        <w:ind w:firstLine="420" w:firstLineChars="200"/>
        <w:rPr>
          <w:rFonts w:ascii="宋体" w:hAnsi="宋体" w:cs="宋体"/>
          <w:color w:val="auto"/>
          <w:sz w:val="21"/>
          <w:szCs w:val="21"/>
          <w:highlight w:val="none"/>
        </w:rPr>
      </w:pPr>
      <w:bookmarkStart w:id="68" w:name="_GoBack"/>
      <w:r>
        <w:rPr>
          <w:rFonts w:hint="eastAsia" w:ascii="宋体" w:hAnsi="宋体" w:cs="宋体"/>
          <w:color w:val="auto"/>
          <w:sz w:val="21"/>
          <w:szCs w:val="21"/>
          <w:highlight w:val="none"/>
        </w:rPr>
        <w:t>1.采购人信息</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名称：宁海县自然资源和规划局</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地址：宁海县跃龙街道桃源中路199号</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传真：/</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项目联系人（询问）：吴先生</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项目联系方式（询问）：0574-59976875</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质疑联系人：李先生</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质疑联系方式：0574-59976875</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2.采购代理机构信息</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名称：浙江中基正采管理咨询有限公司</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地址：宁波市鄞州区天童南路666号中基大厦19楼</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传真：0574-87425373</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项目联系人（询问）：王工、张工</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项目联系方式（询问）：0574-87425569</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质疑联系人：王燕</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质疑联系方式：0574-87425583</w:t>
      </w:r>
      <w:bookmarkEnd w:id="68"/>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3.同级政府采购监督管理部门</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名称：宁海县政府采购管理办公室</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 xml:space="preserve">地址：宁海县跃龙街道桃源中路218号 </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传真：0574-65265612</w:t>
      </w:r>
    </w:p>
    <w:p>
      <w:pPr>
        <w:pStyle w:val="44"/>
        <w:spacing w:before="0" w:beforeAutospacing="0" w:after="0" w:afterAutospacing="0" w:line="348"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联系人：王老师</w:t>
      </w:r>
    </w:p>
    <w:p>
      <w:pPr>
        <w:spacing w:line="348" w:lineRule="auto"/>
        <w:ind w:firstLine="420"/>
        <w:rPr>
          <w:rFonts w:ascii="宋体" w:hAnsi="宋体" w:cs="宋体"/>
          <w:color w:val="auto"/>
          <w:szCs w:val="21"/>
          <w:highlight w:val="none"/>
        </w:rPr>
      </w:pPr>
      <w:r>
        <w:rPr>
          <w:rFonts w:hint="eastAsia" w:ascii="宋体" w:hAnsi="宋体" w:cs="宋体"/>
          <w:color w:val="auto"/>
          <w:szCs w:val="21"/>
          <w:highlight w:val="none"/>
        </w:rPr>
        <w:t xml:space="preserve">监督投诉电话：0574-65265668 </w:t>
      </w:r>
    </w:p>
    <w:p>
      <w:pPr>
        <w:spacing w:line="348" w:lineRule="auto"/>
        <w:rPr>
          <w:color w:val="auto"/>
          <w:highlight w:val="none"/>
        </w:rPr>
      </w:pPr>
    </w:p>
    <w:p>
      <w:pPr>
        <w:spacing w:line="348" w:lineRule="auto"/>
        <w:ind w:firstLine="420" w:firstLineChars="200"/>
        <w:rPr>
          <w:rFonts w:ascii="宋体" w:hAnsi="宋体" w:cs="宋体"/>
          <w:color w:val="auto"/>
          <w:highlight w:val="none"/>
        </w:rPr>
      </w:pPr>
      <w:r>
        <w:rPr>
          <w:rFonts w:hint="eastAsia" w:ascii="宋体" w:hAnsi="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spacing w:line="348" w:lineRule="auto"/>
        <w:ind w:firstLine="420" w:firstLineChars="200"/>
        <w:rPr>
          <w:rFonts w:ascii="宋体" w:hAnsi="宋体" w:cs="宋体"/>
          <w:b/>
          <w:bCs/>
          <w:color w:val="auto"/>
          <w:sz w:val="28"/>
          <w:szCs w:val="28"/>
          <w:highlight w:val="none"/>
        </w:rPr>
      </w:pPr>
      <w:r>
        <w:rPr>
          <w:rFonts w:hint="eastAsia" w:ascii="宋体" w:hAnsi="宋体" w:cs="宋体"/>
          <w:color w:val="auto"/>
          <w:highlight w:val="none"/>
        </w:rPr>
        <w:t>CA问题联系电话（人工）：汇信CA 400-888-4636；天谷CA 400-087-8198。</w:t>
      </w:r>
    </w:p>
    <w:p>
      <w:pPr>
        <w:spacing w:line="360" w:lineRule="auto"/>
        <w:ind w:firstLine="420" w:firstLineChars="200"/>
        <w:jc w:val="right"/>
        <w:rPr>
          <w:rFonts w:ascii="宋体" w:hAnsi="宋体" w:cs="宋体"/>
          <w:color w:val="auto"/>
          <w:szCs w:val="21"/>
          <w:highlight w:val="none"/>
        </w:rPr>
      </w:pPr>
    </w:p>
    <w:p>
      <w:pPr>
        <w:pStyle w:val="28"/>
        <w:snapToGrid w:val="0"/>
        <w:spacing w:before="0" w:beforeLines="0" w:after="0" w:afterLines="0" w:line="360" w:lineRule="auto"/>
        <w:jc w:val="center"/>
        <w:outlineLvl w:val="0"/>
        <w:rPr>
          <w:rFonts w:hint="default" w:hAnsi="宋体" w:cs="宋体"/>
          <w:color w:val="auto"/>
          <w:sz w:val="32"/>
          <w:szCs w:val="32"/>
          <w:highlight w:val="none"/>
        </w:rPr>
      </w:pPr>
      <w:r>
        <w:rPr>
          <w:rFonts w:hAnsi="宋体" w:cs="宋体"/>
          <w:b/>
          <w:bCs/>
          <w:color w:val="auto"/>
          <w:sz w:val="32"/>
          <w:szCs w:val="32"/>
          <w:highlight w:val="none"/>
        </w:rPr>
        <w:br w:type="page"/>
      </w:r>
      <w:bookmarkStart w:id="29" w:name="_Toc21866"/>
      <w:r>
        <w:rPr>
          <w:rFonts w:hAnsi="宋体" w:cs="宋体"/>
          <w:b/>
          <w:color w:val="auto"/>
          <w:sz w:val="32"/>
          <w:szCs w:val="32"/>
          <w:highlight w:val="none"/>
        </w:rPr>
        <w:t>第二章  采购需求</w:t>
      </w:r>
      <w:bookmarkEnd w:id="29"/>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前附表</w:t>
      </w:r>
    </w:p>
    <w:tbl>
      <w:tblPr>
        <w:tblStyle w:val="46"/>
        <w:tblW w:w="8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400"/>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13" w:type="dxa"/>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2400" w:type="dxa"/>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5253" w:type="dxa"/>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采购内容</w:t>
            </w:r>
          </w:p>
        </w:tc>
        <w:tc>
          <w:tcPr>
            <w:tcW w:w="5253" w:type="dxa"/>
            <w:vAlign w:val="center"/>
          </w:tcPr>
          <w:p>
            <w:pPr>
              <w:spacing w:line="360" w:lineRule="auto"/>
              <w:jc w:val="left"/>
              <w:rPr>
                <w:rFonts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单位及数量</w:t>
            </w:r>
          </w:p>
        </w:tc>
        <w:tc>
          <w:tcPr>
            <w:tcW w:w="5253" w:type="dxa"/>
            <w:vAlign w:val="center"/>
          </w:tcPr>
          <w:p>
            <w:pPr>
              <w:spacing w:line="360" w:lineRule="auto"/>
              <w:jc w:val="left"/>
              <w:rPr>
                <w:rFonts w:ascii="宋体" w:hAnsi="宋体" w:cs="宋体"/>
                <w:color w:val="auto"/>
                <w:szCs w:val="21"/>
                <w:highlight w:val="none"/>
              </w:rPr>
            </w:pPr>
            <w:r>
              <w:rPr>
                <w:rFonts w:hint="eastAsia" w:ascii="宋体" w:hAnsi="宋体" w:cs="宋体"/>
                <w:bCs/>
                <w:color w:val="auto"/>
                <w:szCs w:val="21"/>
                <w:highlight w:val="none"/>
              </w:rPr>
              <w:t>详见</w:t>
            </w:r>
            <w:r>
              <w:rPr>
                <w:rFonts w:hint="eastAsia" w:ascii="宋体" w:hAnsi="宋体" w:cs="宋体"/>
                <w:color w:val="auto"/>
                <w:szCs w:val="21"/>
                <w:highlight w:val="none"/>
              </w:rPr>
              <w:t>第一章  《公开招标采购公告》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400" w:type="dxa"/>
            <w:vAlign w:val="center"/>
          </w:tcPr>
          <w:p>
            <w:pPr>
              <w:spacing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交付或者实施的时间和地点</w:t>
            </w:r>
          </w:p>
        </w:tc>
        <w:tc>
          <w:tcPr>
            <w:tcW w:w="5253" w:type="dxa"/>
            <w:vAlign w:val="center"/>
          </w:tcPr>
          <w:p>
            <w:pPr>
              <w:numPr>
                <w:ilvl w:val="0"/>
                <w:numId w:val="6"/>
              </w:numPr>
              <w:spacing w:line="360" w:lineRule="auto"/>
              <w:jc w:val="left"/>
              <w:rPr>
                <w:rFonts w:ascii="宋体" w:hAnsi="宋体" w:cs="宋体"/>
                <w:color w:val="auto"/>
                <w:szCs w:val="21"/>
                <w:highlight w:val="none"/>
              </w:rPr>
            </w:pPr>
            <w:r>
              <w:rPr>
                <w:rFonts w:hint="eastAsia" w:ascii="宋体" w:hAnsi="宋体" w:cs="宋体"/>
                <w:color w:val="auto"/>
                <w:szCs w:val="21"/>
                <w:highlight w:val="none"/>
              </w:rPr>
              <w:t>服务期限：详见本章内容</w:t>
            </w:r>
          </w:p>
          <w:p>
            <w:pPr>
              <w:numPr>
                <w:ilvl w:val="0"/>
                <w:numId w:val="6"/>
              </w:numPr>
              <w:spacing w:line="360" w:lineRule="auto"/>
              <w:jc w:val="left"/>
              <w:rPr>
                <w:rFonts w:ascii="宋体" w:hAnsi="宋体" w:cs="宋体"/>
                <w:color w:val="auto"/>
                <w:szCs w:val="21"/>
                <w:highlight w:val="none"/>
              </w:rPr>
            </w:pPr>
            <w:r>
              <w:rPr>
                <w:rFonts w:hint="eastAsia" w:ascii="宋体" w:hAnsi="宋体" w:cs="宋体"/>
                <w:color w:val="auto"/>
                <w:szCs w:val="21"/>
                <w:highlight w:val="none"/>
              </w:rPr>
              <w:t>实施地点：采购人指定地点。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2400" w:type="dxa"/>
            <w:vAlign w:val="center"/>
          </w:tcPr>
          <w:p>
            <w:pPr>
              <w:spacing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需实现的功能或者目标</w:t>
            </w:r>
          </w:p>
        </w:tc>
        <w:tc>
          <w:tcPr>
            <w:tcW w:w="5253"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2400" w:type="dxa"/>
            <w:vAlign w:val="center"/>
          </w:tcPr>
          <w:p>
            <w:pPr>
              <w:spacing w:line="360" w:lineRule="auto"/>
              <w:jc w:val="left"/>
              <w:textAlignment w:val="baseline"/>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w:t>
            </w:r>
          </w:p>
        </w:tc>
        <w:tc>
          <w:tcPr>
            <w:tcW w:w="5253"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技术规格要求</w:t>
            </w:r>
          </w:p>
        </w:tc>
        <w:tc>
          <w:tcPr>
            <w:tcW w:w="5253" w:type="dxa"/>
            <w:vAlign w:val="center"/>
          </w:tcPr>
          <w:p>
            <w:pPr>
              <w:spacing w:line="360" w:lineRule="auto"/>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物理特性要求</w:t>
            </w:r>
          </w:p>
        </w:tc>
        <w:tc>
          <w:tcPr>
            <w:tcW w:w="5253" w:type="dxa"/>
            <w:vAlign w:val="center"/>
          </w:tcPr>
          <w:p>
            <w:pPr>
              <w:spacing w:line="360" w:lineRule="auto"/>
              <w:rPr>
                <w:rFonts w:ascii="宋体" w:hAnsi="宋体" w:cs="宋体"/>
                <w:color w:val="auto"/>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质量、安全要求</w:t>
            </w:r>
          </w:p>
        </w:tc>
        <w:tc>
          <w:tcPr>
            <w:tcW w:w="5253" w:type="dxa"/>
            <w:vAlign w:val="center"/>
          </w:tcPr>
          <w:p>
            <w:pPr>
              <w:spacing w:line="360" w:lineRule="auto"/>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服务标准、期限、效率(培训等）</w:t>
            </w:r>
          </w:p>
        </w:tc>
        <w:tc>
          <w:tcPr>
            <w:tcW w:w="5253" w:type="dxa"/>
            <w:vAlign w:val="center"/>
          </w:tcPr>
          <w:p>
            <w:pPr>
              <w:spacing w:line="360" w:lineRule="auto"/>
              <w:jc w:val="left"/>
              <w:rPr>
                <w:rFonts w:ascii="宋体" w:hAnsi="宋体" w:cs="宋体"/>
                <w:color w:val="auto"/>
                <w:highlight w:val="none"/>
              </w:rPr>
            </w:pPr>
            <w:r>
              <w:rPr>
                <w:rFonts w:hint="eastAsia" w:ascii="宋体" w:hAnsi="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验收标准</w:t>
            </w:r>
          </w:p>
        </w:tc>
        <w:tc>
          <w:tcPr>
            <w:tcW w:w="5253"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符合国家、浙江省、宁波市验收规范（从高）一次性验收合格标准及相关部门验收合格。</w:t>
            </w:r>
          </w:p>
          <w:p>
            <w:pPr>
              <w:spacing w:line="360" w:lineRule="auto"/>
              <w:rPr>
                <w:rFonts w:ascii="宋体" w:hAnsi="宋体" w:cs="宋体"/>
                <w:color w:val="auto"/>
                <w:highlight w:val="none"/>
              </w:rPr>
            </w:pPr>
            <w:r>
              <w:rPr>
                <w:rFonts w:hint="eastAsia" w:ascii="宋体" w:hAnsi="宋体" w:cs="宋体"/>
                <w:color w:val="auto"/>
                <w:szCs w:val="21"/>
                <w:highlight w:val="none"/>
              </w:rPr>
              <w:t>按照采购文件和中标人提供的投标文件及中标人和采购人签订的政府采购合同为标准进行验收。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现场踏勘</w:t>
            </w:r>
          </w:p>
        </w:tc>
        <w:tc>
          <w:tcPr>
            <w:tcW w:w="5253"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演示时间及地点</w:t>
            </w:r>
          </w:p>
        </w:tc>
        <w:tc>
          <w:tcPr>
            <w:tcW w:w="5253"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样品要求</w:t>
            </w:r>
          </w:p>
        </w:tc>
        <w:tc>
          <w:tcPr>
            <w:tcW w:w="5253"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713"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14</w:t>
            </w:r>
          </w:p>
        </w:tc>
        <w:tc>
          <w:tcPr>
            <w:tcW w:w="2400" w:type="dxa"/>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本项目的核心产品</w:t>
            </w:r>
          </w:p>
        </w:tc>
        <w:tc>
          <w:tcPr>
            <w:tcW w:w="5253"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无</w:t>
            </w:r>
          </w:p>
        </w:tc>
      </w:tr>
    </w:tbl>
    <w:p>
      <w:pPr>
        <w:spacing w:line="360" w:lineRule="auto"/>
        <w:rPr>
          <w:rFonts w:ascii="宋体" w:hAnsi="宋体" w:cs="宋体"/>
          <w:b/>
          <w:color w:val="auto"/>
          <w:szCs w:val="21"/>
          <w:highlight w:val="none"/>
          <w:lang w:bidi="ar"/>
        </w:rPr>
      </w:pPr>
      <w:r>
        <w:rPr>
          <w:rFonts w:hint="eastAsia" w:ascii="宋体" w:hAnsi="宋体" w:cs="宋体"/>
          <w:b/>
          <w:color w:val="auto"/>
          <w:szCs w:val="21"/>
          <w:highlight w:val="none"/>
        </w:rPr>
        <w:br w:type="page"/>
      </w:r>
      <w:r>
        <w:rPr>
          <w:rFonts w:hint="eastAsia" w:ascii="宋体" w:hAnsi="宋体" w:cs="宋体"/>
          <w:color w:val="auto"/>
          <w:szCs w:val="21"/>
          <w:highlight w:val="none"/>
        </w:rPr>
        <w:t>★</w:t>
      </w:r>
      <w:r>
        <w:rPr>
          <w:rFonts w:hint="eastAsia" w:ascii="宋体" w:hAnsi="宋体" w:cs="宋体"/>
          <w:b/>
          <w:color w:val="auto"/>
          <w:szCs w:val="21"/>
          <w:highlight w:val="none"/>
        </w:rPr>
        <w:t>一、重要商务要求一览表</w:t>
      </w:r>
    </w:p>
    <w:tbl>
      <w:tblPr>
        <w:tblStyle w:val="46"/>
        <w:tblW w:w="84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0"/>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bookmarkStart w:id="30" w:name="_Toc513103337"/>
            <w:r>
              <w:rPr>
                <w:rFonts w:hint="eastAsia" w:ascii="宋体" w:hAnsi="宋体" w:cs="宋体"/>
                <w:b/>
                <w:bCs/>
                <w:color w:val="auto"/>
                <w:szCs w:val="21"/>
                <w:highlight w:val="none"/>
              </w:rPr>
              <w:t>项目</w:t>
            </w:r>
          </w:p>
        </w:tc>
        <w:tc>
          <w:tcPr>
            <w:tcW w:w="65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1、服务期限</w:t>
            </w:r>
          </w:p>
        </w:tc>
        <w:tc>
          <w:tcPr>
            <w:tcW w:w="65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详见《第一章  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1、合同签订之日起后15个工作日内支付合同总价50%的预付款；</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2、成果交付并验收合格后付清余款。</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注：中标供应商须按照采购人要求提供增值税专用发票。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3、履约保证金</w:t>
            </w:r>
          </w:p>
        </w:tc>
        <w:tc>
          <w:tcPr>
            <w:tcW w:w="6509"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1、履约保证金金额：合同价的1%；</w:t>
            </w:r>
          </w:p>
          <w:p>
            <w:pPr>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2、履约保证金形式：银行汇票（电汇）、支票（仅限于使用宁波大市区范围内的银行开具的支票）、保险保单和银行保函等非现金形式。</w:t>
            </w:r>
          </w:p>
          <w:p>
            <w:pPr>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3、履约保证金提交时间：合同签订前交至采购人。</w:t>
            </w:r>
          </w:p>
          <w:p>
            <w:pPr>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4、履约保证金的退取：履约保证金在中标人完成合同履约后无息退还（如中标人未能履行合同规定的任何义务，采购人有权扣除相应履约保证金）。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color w:val="auto"/>
                <w:szCs w:val="21"/>
                <w:highlight w:val="none"/>
              </w:rPr>
            </w:pPr>
            <w:r>
              <w:rPr>
                <w:rFonts w:hint="eastAsia" w:ascii="宋体" w:hAnsi="宋体" w:cs="宋体"/>
                <w:color w:val="auto"/>
                <w:szCs w:val="21"/>
                <w:highlight w:val="none"/>
              </w:rPr>
              <w:t>4、合同终止</w:t>
            </w:r>
          </w:p>
        </w:tc>
        <w:tc>
          <w:tcPr>
            <w:tcW w:w="650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color w:val="auto"/>
                <w:highlight w:val="none"/>
              </w:rPr>
            </w:pPr>
            <w:r>
              <w:rPr>
                <w:rFonts w:hint="eastAsia" w:ascii="宋体" w:hAnsi="宋体" w:cs="宋体"/>
                <w:color w:val="auto"/>
                <w:szCs w:val="21"/>
                <w:highlight w:val="none"/>
              </w:rPr>
              <w:t>中标人在合同有效期内，不得以任何理由终止合同，确有特殊情况的，须提前两个月向采购人提出书面申请，经采购人同意后，方可终止合同。因中标人发生重大差错事故的，采购人可有权终止协议，中标人承担全部责任。</w:t>
            </w:r>
          </w:p>
        </w:tc>
      </w:tr>
      <w:bookmarkEnd w:id="30"/>
    </w:tbl>
    <w:p>
      <w:pPr>
        <w:spacing w:line="360" w:lineRule="auto"/>
        <w:jc w:val="left"/>
        <w:rPr>
          <w:rFonts w:ascii="宋体" w:hAnsi="宋体" w:cs="宋体"/>
          <w:b/>
          <w:color w:val="auto"/>
          <w:szCs w:val="21"/>
          <w:highlight w:val="none"/>
        </w:rPr>
      </w:pPr>
    </w:p>
    <w:p>
      <w:pPr>
        <w:spacing w:line="360" w:lineRule="auto"/>
        <w:jc w:val="left"/>
        <w:rPr>
          <w:rFonts w:ascii="宋体" w:hAnsi="宋体" w:cs="宋体"/>
          <w:color w:val="auto"/>
          <w:kern w:val="0"/>
          <w:szCs w:val="21"/>
          <w:highlight w:val="none"/>
        </w:rPr>
      </w:pPr>
      <w:r>
        <w:rPr>
          <w:rFonts w:hint="eastAsia" w:ascii="宋体" w:hAnsi="宋体" w:cs="宋体"/>
          <w:b/>
          <w:color w:val="auto"/>
          <w:szCs w:val="21"/>
          <w:highlight w:val="none"/>
        </w:rPr>
        <w:t>二、项目概况</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自然资源部关于加快完成集体土地所有权确权登记成果更新汇交的通知》（自然资发〔2022〕19号）（以下简称《部通知》）、《浙江省自然资源厅关于印发&lt;浙江省集体土地所有权确权登记成果更新汇交工作实施方案&gt;的通知》（浙自然资函〔2022〕25号）（以下简称《省通知》）及《宁波市自然资源和规划局关于印发《宁波市集体土地所有权确权登记成果更新汇交工作实施方案》的通知》（〔2022〕30号）（以下简称《市通知》）和《宁海县集体土地所有权确权登记成果更新汇交工作实施方案》要求，为全面做好我县集体土地所有权确权登记成果更新汇交工作，拟组织对宁海县集体土地所有权确权登记成果更新汇交相关技术服务工作进行公开招标。</w:t>
      </w:r>
    </w:p>
    <w:p>
      <w:pPr>
        <w:spacing w:line="360" w:lineRule="auto"/>
        <w:jc w:val="left"/>
        <w:rPr>
          <w:rFonts w:ascii="宋体" w:hAnsi="宋体" w:cs="宋体"/>
          <w:b/>
          <w:color w:val="auto"/>
          <w:szCs w:val="21"/>
          <w:highlight w:val="none"/>
        </w:rPr>
      </w:pPr>
    </w:p>
    <w:p>
      <w:pPr>
        <w:spacing w:line="360" w:lineRule="auto"/>
        <w:jc w:val="left"/>
        <w:rPr>
          <w:rFonts w:ascii="宋体" w:hAnsi="宋体" w:cs="宋体"/>
          <w:color w:val="auto"/>
          <w:kern w:val="0"/>
          <w:szCs w:val="21"/>
          <w:highlight w:val="none"/>
        </w:rPr>
      </w:pPr>
      <w:r>
        <w:rPr>
          <w:rFonts w:hint="eastAsia" w:ascii="宋体" w:hAnsi="宋体" w:cs="宋体"/>
          <w:b/>
          <w:color w:val="auto"/>
          <w:szCs w:val="21"/>
          <w:highlight w:val="none"/>
        </w:rPr>
        <w:t>二、技术和服务要求</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1、招标范围</w:t>
      </w:r>
    </w:p>
    <w:p>
      <w:pPr>
        <w:pStyle w:val="198"/>
        <w:adjustRightInd/>
        <w:spacing w:line="360" w:lineRule="auto"/>
        <w:ind w:left="0" w:firstLine="420" w:firstLineChars="200"/>
        <w:rPr>
          <w:rFonts w:hint="eastAsia" w:hAnsi="宋体" w:cs="宋体"/>
          <w:color w:val="auto"/>
          <w:szCs w:val="21"/>
          <w:highlight w:val="none"/>
          <w:lang w:eastAsia="zh-CN"/>
        </w:rPr>
      </w:pPr>
      <w:r>
        <w:rPr>
          <w:rFonts w:hint="eastAsia" w:hAnsi="宋体" w:cs="宋体"/>
          <w:color w:val="auto"/>
          <w:szCs w:val="21"/>
          <w:highlight w:val="none"/>
        </w:rPr>
        <w:t>完成宁海县（包括全市辖4个街道、11个镇和3个乡</w:t>
      </w:r>
      <w:r>
        <w:rPr>
          <w:rFonts w:hint="eastAsia" w:hAnsi="宋体" w:cs="宋体"/>
          <w:color w:val="auto"/>
          <w:szCs w:val="21"/>
          <w:highlight w:val="none"/>
        </w:rPr>
        <w:t>，共有</w:t>
      </w:r>
      <w:r>
        <w:rPr>
          <w:rFonts w:hint="eastAsia" w:hAnsi="宋体" w:cs="宋体"/>
          <w:color w:val="auto"/>
          <w:szCs w:val="21"/>
          <w:highlight w:val="none"/>
          <w:lang w:val="en-US" w:eastAsia="zh-CN"/>
        </w:rPr>
        <w:t>42</w:t>
      </w:r>
      <w:r>
        <w:rPr>
          <w:rFonts w:hint="eastAsia" w:hAnsi="宋体" w:cs="宋体"/>
          <w:color w:val="auto"/>
          <w:szCs w:val="21"/>
          <w:highlight w:val="none"/>
        </w:rPr>
        <w:t>个社区</w:t>
      </w:r>
      <w:r>
        <w:rPr>
          <w:rFonts w:hint="eastAsia" w:hAnsi="宋体" w:cs="宋体"/>
          <w:color w:val="auto"/>
          <w:szCs w:val="21"/>
          <w:highlight w:val="none"/>
          <w:lang w:eastAsia="zh-CN"/>
        </w:rPr>
        <w:t>、</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lang w:eastAsia="zh-CN"/>
        </w:rPr>
        <w:t>居委会</w:t>
      </w:r>
      <w:r>
        <w:rPr>
          <w:rFonts w:hint="eastAsia" w:hAnsi="宋体" w:cs="宋体"/>
          <w:color w:val="auto"/>
          <w:szCs w:val="21"/>
          <w:highlight w:val="none"/>
        </w:rPr>
        <w:t>、</w:t>
      </w:r>
      <w:r>
        <w:rPr>
          <w:rFonts w:hint="eastAsia" w:hAnsi="宋体" w:cs="宋体"/>
          <w:color w:val="auto"/>
          <w:szCs w:val="21"/>
          <w:highlight w:val="none"/>
          <w:lang w:val="en-US" w:eastAsia="zh-CN"/>
        </w:rPr>
        <w:t>337</w:t>
      </w:r>
      <w:r>
        <w:rPr>
          <w:rFonts w:hint="eastAsia" w:hAnsi="宋体" w:cs="宋体"/>
          <w:color w:val="auto"/>
          <w:szCs w:val="21"/>
          <w:highlight w:val="none"/>
        </w:rPr>
        <w:t>个行政村</w:t>
      </w:r>
      <w:r>
        <w:rPr>
          <w:rFonts w:hint="eastAsia" w:hAnsi="宋体" w:cs="宋体"/>
          <w:color w:val="auto"/>
          <w:szCs w:val="21"/>
          <w:highlight w:val="none"/>
        </w:rPr>
        <w:t>）集体土地所有权确权登记成果更新汇交等工作。</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2、工作任务和目标</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为保证农村集体土地所有权数据的现势性和准确性，满足不动产统一登记发证要求及一体化管理，基于已有的农村集体土地所有权确权登记成果，釆取“内业为主，外业为辅”的作业方式，全面查清我县集体土地所有权权属、界线、面积等现状，开展整理入库、集中更新和统一汇交工作，最终形成满足不动产统一登记要求的汇交成果。同时建立健全集体土地所有权登记成果日常更新和应用机制，保持成果现势性和准确性，依法保护国家和农民集体土地权益，支撑集体经营性建设用地入市等自然资源改革工作，在维护农村社会稳定，提升自然资源管理水平、推进农村土地产权制度建设，促进乡村振兴工作等方面发挥重要的基础性作用。</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3、工作内容</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（1）开展现有登记成果整理入库</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按照《不动产登记数据库标准》、《不动产登记数据整合建库技术规范》、《不动产单元设定与代码编制规则》等技术标准规范，整理现有集体土地所有权确权登记数据库。编制不动产单元代码，开展数据格式转换、信息补充录入、数据整合关联，纳入不动产登记数据库，形成集体土地所有权地籍图。同步对跨县级行政区域的飞地进行排查，形成飞地清单台账。</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（2）集中更新已入库的登记成果</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广泛收集原集体土地所有权登记、不动产登记、土地调查、国有土地征收批准、最新区划数据等成果资料，进行整理和分析，核实已登记成果的权属状况。对已登记成果发生变化或经核实有错误的，参照《省通知》所列的4种变化情形以及全域土地综合整治后权属变化、土地权属争议调处后权属变化等2种变化情形进行区分，根据部、省汇交技术指南，补充地籍调查，确定需更新的权属界线，以2022年12月31日为时点，开展集中更新。</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（3）通过质检完成更新成果的汇交上报</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按照《省通知》明确的汇交要求，整理汇交成果数据，采用质检软件对集体土地所有权确权登记转换成果和更新成果（包括登记成果和地籍调查成果）开展质量自检，按不小于宗地数7%的比例开展内业检查，重点检查登记成果的完整性、规范性和一致性，出具成果验收报告和数据质量检查报告。通过质检后，离线汇交市局。</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3、时间要求</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拟按照以下时间节点完成集体土地所有权确权登记成果整理入库、集中更新和统一汇交工作。</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合同签订之日起，开展资料收集和初步整理分析工作，制定实施方案。</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2022年10月15日前，完成跨县级行政区域的飞地进行排查，形成飞地清单台账。</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2022年10月31日前,完成现有登记成果的转换整合入库工作，并对转换成果进行自检。</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2022年11月15日前，完成集体土地所有权确权登记成果集中更新、县级自检上报工作。</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2022年11月30日前，完成集体土地所有权确权登记更新成果的市级质检工作。</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2022年12月31日前，根据市局质检结果，完成更新成果的整改完善，并通过质检按要求汇交上报省厅。</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2023年1月底前，根据省厅质检结果，开展整改完善工作，直至全部成果报部质检通过。</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4、人员要求</w:t>
      </w:r>
    </w:p>
    <w:p>
      <w:pPr>
        <w:pStyle w:val="198"/>
        <w:adjustRightInd/>
        <w:spacing w:line="360" w:lineRule="auto"/>
        <w:ind w:left="0" w:firstLine="420" w:firstLineChars="200"/>
        <w:rPr>
          <w:rFonts w:hAnsi="宋体" w:cs="宋体"/>
          <w:color w:val="auto"/>
          <w:szCs w:val="21"/>
          <w:highlight w:val="none"/>
        </w:rPr>
      </w:pPr>
      <w:r>
        <w:rPr>
          <w:rFonts w:hint="eastAsia" w:hAnsi="宋体" w:cs="宋体"/>
          <w:color w:val="auto"/>
          <w:szCs w:val="21"/>
          <w:highlight w:val="none"/>
        </w:rPr>
        <w:t>因本项目时间紧任务重，供应商须投入足够的技术人员参与本项目，其中项目负责人1名，技术负责人1名，保密负责人1名，其他拟投入人员不得少于</w:t>
      </w:r>
      <w:r>
        <w:rPr>
          <w:rFonts w:hint="eastAsia" w:hAnsi="宋体" w:cs="宋体"/>
          <w:color w:val="auto"/>
          <w:szCs w:val="21"/>
          <w:highlight w:val="none"/>
          <w:lang w:val="en-US" w:eastAsia="zh-CN"/>
        </w:rPr>
        <w:t>7</w:t>
      </w:r>
      <w:r>
        <w:rPr>
          <w:rFonts w:hint="eastAsia" w:hAnsi="宋体" w:cs="宋体"/>
          <w:color w:val="auto"/>
          <w:szCs w:val="21"/>
          <w:highlight w:val="none"/>
        </w:rPr>
        <w:t>人。</w:t>
      </w:r>
    </w:p>
    <w:p>
      <w:pPr>
        <w:pStyle w:val="21"/>
        <w:rPr>
          <w:color w:val="auto"/>
          <w:highlight w:val="none"/>
        </w:rPr>
      </w:pPr>
    </w:p>
    <w:p>
      <w:pPr>
        <w:spacing w:line="360" w:lineRule="auto"/>
        <w:rPr>
          <w:b/>
          <w:bCs/>
          <w:color w:val="auto"/>
          <w:highlight w:val="none"/>
        </w:rPr>
      </w:pPr>
      <w:r>
        <w:rPr>
          <w:rFonts w:hint="eastAsia"/>
          <w:b/>
          <w:bCs/>
          <w:color w:val="auto"/>
          <w:highlight w:val="none"/>
        </w:rPr>
        <w:t>三、投标要求</w:t>
      </w:r>
    </w:p>
    <w:p>
      <w:pPr>
        <w:spacing w:line="360" w:lineRule="auto"/>
        <w:ind w:firstLine="420" w:firstLineChars="200"/>
        <w:rPr>
          <w:b/>
          <w:bCs/>
          <w:color w:val="auto"/>
          <w:highlight w:val="none"/>
        </w:rPr>
      </w:pPr>
      <w:r>
        <w:rPr>
          <w:color w:val="auto"/>
          <w:highlight w:val="none"/>
        </w:rPr>
        <w:t>根据招标文件的</w:t>
      </w:r>
      <w:r>
        <w:rPr>
          <w:rFonts w:hint="eastAsia"/>
          <w:color w:val="auto"/>
          <w:highlight w:val="none"/>
        </w:rPr>
        <w:t>项目</w:t>
      </w:r>
      <w:r>
        <w:rPr>
          <w:color w:val="auto"/>
          <w:highlight w:val="none"/>
        </w:rPr>
        <w:t>要求，请各供应商</w:t>
      </w:r>
      <w:r>
        <w:rPr>
          <w:rFonts w:hint="eastAsia"/>
          <w:color w:val="auto"/>
          <w:highlight w:val="none"/>
        </w:rPr>
        <w:t>根据项目特点</w:t>
      </w:r>
      <w:r>
        <w:rPr>
          <w:color w:val="auto"/>
          <w:highlight w:val="none"/>
        </w:rPr>
        <w:t>自行提供相应的</w:t>
      </w:r>
      <w:r>
        <w:rPr>
          <w:rFonts w:hint="eastAsia"/>
          <w:color w:val="auto"/>
          <w:highlight w:val="none"/>
        </w:rPr>
        <w:t>技术路线</w:t>
      </w:r>
      <w:r>
        <w:rPr>
          <w:rFonts w:hint="eastAsia" w:ascii="宋体" w:hAnsi="宋体" w:cs="宋体"/>
          <w:color w:val="auto"/>
          <w:szCs w:val="21"/>
          <w:highlight w:val="none"/>
        </w:rPr>
        <w:t>方案</w:t>
      </w:r>
      <w:r>
        <w:rPr>
          <w:color w:val="auto"/>
          <w:highlight w:val="none"/>
        </w:rPr>
        <w:t>、</w:t>
      </w:r>
      <w:r>
        <w:rPr>
          <w:rFonts w:hint="eastAsia"/>
          <w:color w:val="auto"/>
          <w:highlight w:val="none"/>
        </w:rPr>
        <w:t>实施步骤方案</w:t>
      </w:r>
      <w:r>
        <w:rPr>
          <w:rFonts w:hint="eastAsia" w:ascii="宋体" w:hAnsi="宋体" w:cs="宋体"/>
          <w:color w:val="auto"/>
          <w:szCs w:val="21"/>
          <w:highlight w:val="none"/>
        </w:rPr>
        <w:t>、项目组织管理方案、提供项目保障及后续承诺、明确项目负责人</w:t>
      </w:r>
      <w:r>
        <w:rPr>
          <w:rFonts w:hint="eastAsia"/>
          <w:color w:val="auto"/>
          <w:highlight w:val="none"/>
        </w:rPr>
        <w:t>、技术负责人</w:t>
      </w:r>
      <w:r>
        <w:rPr>
          <w:rFonts w:hint="eastAsia" w:ascii="宋体" w:hAnsi="宋体" w:cs="宋体"/>
          <w:color w:val="auto"/>
          <w:szCs w:val="21"/>
          <w:highlight w:val="none"/>
        </w:rPr>
        <w:t>、保密负责人和其他拟投入人员、明确软硬件设备投入情况；提供履约能力、业绩、政策加分（如有）的相关证明材料。</w:t>
      </w:r>
    </w:p>
    <w:p>
      <w:pPr>
        <w:spacing w:line="360" w:lineRule="auto"/>
        <w:ind w:firstLine="593" w:firstLineChars="197"/>
        <w:jc w:val="center"/>
        <w:outlineLvl w:val="0"/>
        <w:rPr>
          <w:rFonts w:ascii="宋体" w:hAnsi="宋体" w:cs="宋体"/>
          <w:b/>
          <w:bCs/>
          <w:color w:val="auto"/>
          <w:sz w:val="32"/>
          <w:szCs w:val="32"/>
          <w:highlight w:val="none"/>
        </w:rPr>
      </w:pPr>
      <w:r>
        <w:rPr>
          <w:rFonts w:hint="eastAsia"/>
          <w:b/>
          <w:bCs/>
          <w:color w:val="auto"/>
          <w:sz w:val="30"/>
          <w:szCs w:val="30"/>
          <w:highlight w:val="none"/>
        </w:rPr>
        <w:br w:type="page"/>
      </w:r>
      <w:bookmarkStart w:id="31" w:name="_Toc4265"/>
      <w:r>
        <w:rPr>
          <w:rFonts w:hint="eastAsia" w:ascii="宋体" w:hAnsi="宋体" w:cs="宋体"/>
          <w:b/>
          <w:color w:val="auto"/>
          <w:sz w:val="32"/>
          <w:szCs w:val="32"/>
          <w:highlight w:val="none"/>
        </w:rPr>
        <w:t>第三章  供应商须知</w:t>
      </w:r>
      <w:bookmarkEnd w:id="31"/>
    </w:p>
    <w:p>
      <w:pPr>
        <w:spacing w:line="360" w:lineRule="auto"/>
        <w:jc w:val="center"/>
        <w:rPr>
          <w:rFonts w:ascii="宋体" w:hAnsi="宋体" w:cs="宋体"/>
          <w:b/>
          <w:bCs/>
          <w:color w:val="auto"/>
          <w:sz w:val="44"/>
          <w:szCs w:val="32"/>
          <w:highlight w:val="none"/>
        </w:rPr>
      </w:pPr>
      <w:bookmarkStart w:id="32" w:name="_Toc1665"/>
      <w:r>
        <w:rPr>
          <w:rFonts w:hint="eastAsia" w:ascii="宋体" w:hAnsi="宋体" w:cs="宋体"/>
          <w:b/>
          <w:color w:val="auto"/>
          <w:sz w:val="28"/>
          <w:szCs w:val="28"/>
          <w:highlight w:val="none"/>
        </w:rPr>
        <w:t>前 附 表</w:t>
      </w:r>
      <w:bookmarkEnd w:id="32"/>
    </w:p>
    <w:tbl>
      <w:tblPr>
        <w:tblStyle w:val="46"/>
        <w:tblW w:w="84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b/>
                <w:color w:val="auto"/>
                <w:szCs w:val="21"/>
                <w:highlight w:val="none"/>
              </w:rPr>
            </w:pPr>
            <w:r>
              <w:rPr>
                <w:rFonts w:hint="eastAsia" w:ascii="宋体" w:hAnsi="宋体" w:cs="宋体"/>
                <w:b/>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588"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b/>
                <w:bCs/>
                <w:color w:val="auto"/>
                <w:szCs w:val="21"/>
                <w:highlight w:val="none"/>
              </w:rPr>
            </w:pPr>
            <w:r>
              <w:rPr>
                <w:rFonts w:hint="eastAsia" w:ascii="宋体" w:hAnsi="宋体" w:cs="宋体"/>
                <w:b/>
                <w:bCs/>
                <w:color w:val="auto"/>
                <w:szCs w:val="21"/>
                <w:highlight w:val="none"/>
              </w:rPr>
              <w:t>投标报价及费用：</w:t>
            </w:r>
          </w:p>
          <w:p>
            <w:pPr>
              <w:spacing w:line="264" w:lineRule="auto"/>
              <w:rPr>
                <w:rFonts w:ascii="宋体" w:hAnsi="宋体" w:cs="宋体"/>
                <w:color w:val="auto"/>
                <w:szCs w:val="21"/>
                <w:highlight w:val="none"/>
              </w:rPr>
            </w:pPr>
            <w:r>
              <w:rPr>
                <w:rFonts w:hint="eastAsia" w:ascii="宋体" w:hAnsi="宋体" w:cs="宋体"/>
                <w:color w:val="auto"/>
                <w:szCs w:val="21"/>
                <w:highlight w:val="none"/>
              </w:rPr>
              <w:t>1）本项目投标应以人民币报价；</w:t>
            </w:r>
          </w:p>
          <w:p>
            <w:pPr>
              <w:spacing w:line="264" w:lineRule="auto"/>
              <w:rPr>
                <w:rFonts w:ascii="宋体" w:hAnsi="宋体" w:cs="宋体"/>
                <w:color w:val="auto"/>
                <w:szCs w:val="21"/>
                <w:highlight w:val="none"/>
              </w:rPr>
            </w:pPr>
            <w:r>
              <w:rPr>
                <w:rFonts w:hint="eastAsia" w:ascii="宋体" w:hAnsi="宋体" w:cs="宋体"/>
                <w:color w:val="auto"/>
                <w:szCs w:val="21"/>
                <w:highlight w:val="none"/>
              </w:rPr>
              <w:t>2）本项目采购预算（最高限价）：详见《第一章  公开招标公告》；投标总价超过相应预算金额（最高限价）的，作无效标处理。</w:t>
            </w:r>
          </w:p>
          <w:p>
            <w:pPr>
              <w:pStyle w:val="19"/>
              <w:spacing w:line="264" w:lineRule="auto"/>
              <w:rPr>
                <w:rFonts w:ascii="宋体" w:hAnsi="宋体" w:cs="宋体"/>
                <w:color w:val="auto"/>
                <w:szCs w:val="21"/>
                <w:highlight w:val="none"/>
              </w:rPr>
            </w:pPr>
            <w:r>
              <w:rPr>
                <w:rFonts w:hint="eastAsia" w:ascii="宋体" w:hAnsi="宋体" w:cs="宋体"/>
                <w:color w:val="auto"/>
                <w:szCs w:val="21"/>
                <w:highlight w:val="none"/>
              </w:rPr>
              <w:t>3）投标报价为供应商正确地完全履行采购内容及要求的价格体现，包括人员经费、办公经费、差旅费、项目评审、项目验收、售后服务、咨询费、税收、利润、不可预见费等完成合同所需的不可或缺的所有工作开支、政策性文件规定及合同包含的所有风险、责任等各项全部费用。</w:t>
            </w:r>
          </w:p>
          <w:p>
            <w:pPr>
              <w:pStyle w:val="19"/>
              <w:spacing w:line="264" w:lineRule="auto"/>
              <w:rPr>
                <w:rFonts w:ascii="宋体" w:hAnsi="宋体" w:cs="宋体"/>
                <w:color w:val="auto"/>
                <w:szCs w:val="21"/>
                <w:highlight w:val="none"/>
              </w:rPr>
            </w:pPr>
            <w:r>
              <w:rPr>
                <w:rFonts w:hint="eastAsia" w:ascii="宋体" w:hAnsi="宋体" w:cs="宋体"/>
                <w:color w:val="auto"/>
                <w:szCs w:val="21"/>
                <w:highlight w:val="none"/>
              </w:rPr>
              <w:t>4）不论投标结果如何，供应商均应自行承担所有与投标有关的全部费用。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7"/>
              </w:numPr>
              <w:autoSpaceDE w:val="0"/>
              <w:autoSpaceDN w:val="0"/>
              <w:spacing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7"/>
              </w:numPr>
              <w:autoSpaceDE w:val="0"/>
              <w:autoSpaceDN w:val="0"/>
              <w:spacing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评标结果公示：评标结束后，评标结果公示于浙江政府采购网、宁波市政府采购网、宁波市公共资源交易网宁海县分网、浙江中基正采管理咨询有限公司网（http://www.cbbidding.com/）等网站。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签订合同时间：中标通知书发出后</w:t>
            </w:r>
            <w:r>
              <w:rPr>
                <w:rFonts w:hint="eastAsia" w:ascii="宋体" w:hAnsi="宋体" w:cs="宋体"/>
                <w:color w:val="auto"/>
                <w:szCs w:val="21"/>
                <w:highlight w:val="none"/>
                <w:u w:val="single"/>
              </w:rPr>
              <w:t>30</w:t>
            </w:r>
            <w:r>
              <w:rPr>
                <w:rFonts w:hint="eastAsia" w:ascii="宋体" w:hAnsi="宋体" w:cs="宋体"/>
                <w:color w:val="auto"/>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588"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textAlignment w:val="bottom"/>
              <w:rPr>
                <w:rFonts w:ascii="宋体" w:hAnsi="宋体" w:cs="宋体"/>
                <w:color w:val="auto"/>
                <w:szCs w:val="21"/>
                <w:highlight w:val="none"/>
              </w:rPr>
            </w:pPr>
            <w:r>
              <w:rPr>
                <w:rFonts w:hint="eastAsia" w:ascii="宋体" w:hAnsi="宋体" w:cs="宋体"/>
                <w:color w:val="auto"/>
                <w:szCs w:val="21"/>
                <w:highlight w:val="none"/>
              </w:rPr>
              <w:t>采购资金来源：财政资金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588" w:type="dxa"/>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264" w:lineRule="auto"/>
              <w:jc w:val="left"/>
              <w:textAlignment w:val="bottom"/>
              <w:rPr>
                <w:rFonts w:ascii="宋体" w:hAnsi="宋体" w:cs="宋体"/>
                <w:b/>
                <w:bCs/>
                <w:color w:val="auto"/>
                <w:szCs w:val="21"/>
                <w:highlight w:val="none"/>
              </w:rPr>
            </w:pPr>
            <w:r>
              <w:rPr>
                <w:rFonts w:hint="eastAsia" w:ascii="宋体" w:hAnsi="宋体" w:cs="宋体"/>
                <w:b/>
                <w:bCs/>
                <w:color w:val="auto"/>
                <w:szCs w:val="21"/>
                <w:highlight w:val="none"/>
              </w:rPr>
              <w:t>解释：本采购文件的解释权属于招标采购单位。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vAlign w:val="center"/>
          </w:tcPr>
          <w:p>
            <w:pPr>
              <w:spacing w:line="264" w:lineRule="auto"/>
              <w:rPr>
                <w:rFonts w:ascii="宋体" w:hAnsi="宋体" w:cs="宋体"/>
                <w:color w:val="auto"/>
                <w:szCs w:val="21"/>
                <w:highlight w:val="none"/>
              </w:rPr>
            </w:pPr>
            <w:r>
              <w:rPr>
                <w:rFonts w:hint="eastAsia" w:ascii="宋体" w:hAnsi="宋体" w:cs="宋体"/>
                <w:color w:val="auto"/>
                <w:szCs w:val="21"/>
                <w:highlight w:val="none"/>
              </w:rPr>
              <w:t>招标代理服务费的收取标准：采购代理机向中标人收取招标代理服务费人民币19000元整。</w:t>
            </w:r>
            <w:r>
              <w:rPr>
                <w:rFonts w:hint="eastAsia" w:ascii="宋体" w:hAnsi="宋体" w:cs="宋体"/>
                <w:snapToGrid w:val="0"/>
                <w:color w:val="auto"/>
                <w:szCs w:val="21"/>
                <w:highlight w:val="none"/>
              </w:rPr>
              <w:t>备注：（1）招标代理服务费只收现金、银行票汇款、电汇款。（2）中标人接到本公司通知后5个工作日内向本采购代理机构领取中标通知书（根据中标人需求可采用邮寄或到采购代理机构现场领取）。（3）</w:t>
            </w:r>
            <w:r>
              <w:rPr>
                <w:rFonts w:hint="eastAsia" w:ascii="宋体" w:hAnsi="宋体" w:cs="宋体"/>
                <w:color w:val="auto"/>
                <w:szCs w:val="21"/>
                <w:highlight w:val="none"/>
              </w:rPr>
              <w:t>采购代理机构财务信息：</w:t>
            </w:r>
          </w:p>
          <w:p>
            <w:pPr>
              <w:spacing w:line="264"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开户银行：宁波银行股份有限公司鄞州中心区支行</w:t>
            </w:r>
          </w:p>
          <w:p>
            <w:pPr>
              <w:spacing w:line="264"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帐    号：30010122001229488</w:t>
            </w:r>
          </w:p>
          <w:p>
            <w:pPr>
              <w:spacing w:line="264"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户    名：浙江中基正采管理咨询有限公司</w:t>
            </w:r>
          </w:p>
        </w:tc>
      </w:tr>
    </w:tbl>
    <w:p>
      <w:pPr>
        <w:pStyle w:val="28"/>
        <w:snapToGrid w:val="0"/>
        <w:spacing w:before="0" w:beforeLines="0" w:after="0" w:afterLines="0" w:line="240" w:lineRule="auto"/>
        <w:rPr>
          <w:rFonts w:hint="default" w:hAnsi="宋体" w:cs="宋体"/>
          <w:color w:val="auto"/>
          <w:highlight w:val="none"/>
        </w:rPr>
      </w:pPr>
    </w:p>
    <w:p>
      <w:pPr>
        <w:pStyle w:val="28"/>
        <w:snapToGrid w:val="0"/>
        <w:spacing w:before="0" w:beforeLines="0" w:after="0" w:afterLines="0" w:line="360" w:lineRule="auto"/>
        <w:rPr>
          <w:rFonts w:hint="default" w:hAnsi="宋体" w:cs="宋体"/>
          <w:b/>
          <w:color w:val="auto"/>
          <w:highlight w:val="none"/>
        </w:rPr>
      </w:pPr>
      <w:r>
        <w:rPr>
          <w:rFonts w:hAnsi="宋体" w:cs="宋体"/>
          <w:b/>
          <w:color w:val="auto"/>
          <w:highlight w:val="none"/>
        </w:rPr>
        <w:br w:type="page"/>
      </w:r>
      <w:r>
        <w:rPr>
          <w:rFonts w:hAnsi="宋体" w:cs="宋体"/>
          <w:b/>
          <w:color w:val="auto"/>
          <w:highlight w:val="none"/>
        </w:rPr>
        <w:t>一   总  则</w:t>
      </w:r>
    </w:p>
    <w:p>
      <w:pPr>
        <w:snapToGrid w:val="0"/>
        <w:spacing w:line="360" w:lineRule="auto"/>
        <w:ind w:firstLine="413" w:firstLineChars="196"/>
        <w:jc w:val="left"/>
        <w:rPr>
          <w:rFonts w:ascii="宋体" w:hAnsi="宋体" w:cs="宋体"/>
          <w:b/>
          <w:color w:val="auto"/>
          <w:szCs w:val="21"/>
          <w:highlight w:val="none"/>
        </w:rPr>
      </w:pPr>
      <w:bookmarkStart w:id="33" w:name="_Toc1476"/>
      <w:r>
        <w:rPr>
          <w:rFonts w:hint="eastAsia" w:ascii="宋体" w:hAnsi="宋体" w:cs="宋体"/>
          <w:b/>
          <w:color w:val="auto"/>
          <w:szCs w:val="21"/>
          <w:highlight w:val="none"/>
        </w:rPr>
        <w:t>（一） 适用范围</w:t>
      </w:r>
      <w:bookmarkEnd w:id="33"/>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本招标文件适用于本项目的招标、投标、评标、定标、验收、合同履约、付款等行为（法律、法规另有规定的，从其规定）。</w:t>
      </w:r>
    </w:p>
    <w:p>
      <w:pPr>
        <w:snapToGrid w:val="0"/>
        <w:spacing w:line="360" w:lineRule="auto"/>
        <w:ind w:firstLine="310" w:firstLineChars="147"/>
        <w:jc w:val="left"/>
        <w:rPr>
          <w:rFonts w:ascii="宋体" w:hAnsi="宋体" w:cs="宋体"/>
          <w:b/>
          <w:color w:val="auto"/>
          <w:szCs w:val="21"/>
          <w:highlight w:val="none"/>
        </w:rPr>
      </w:pPr>
      <w:bookmarkStart w:id="34" w:name="_Toc7571"/>
      <w:r>
        <w:rPr>
          <w:rFonts w:hint="eastAsia" w:ascii="宋体" w:hAnsi="宋体" w:cs="宋体"/>
          <w:b/>
          <w:color w:val="auto"/>
          <w:szCs w:val="21"/>
          <w:highlight w:val="none"/>
        </w:rPr>
        <w:t>（二）定义</w:t>
      </w:r>
      <w:bookmarkEnd w:id="34"/>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1、“招标采购单位”系指组织本次招标的采购代理机构和采购人。</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2、“供应商”系指向采购人提交投标文件的单位或个人。</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3、“产品”系指供应商按招标文件规定，须向采购人提供的一切设备、保险、税金、备品备件、工具、手册及其它有关技术资料和材料。</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4、“服务”系指招标文件规定供应商须承担的安装、调试、技术协助、校准、培训、技术指导以及其他类似的义务。</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5、“项目”系指供应商按招标文件规定向采购人提供的产品和服务。</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6、“书面形式”包括信函、传真、电函等。</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7、“★”系指实质性要求条款，供应商的投标对任何带“★”号的重要商务和技术条款的偏离和未作实质性响应都将直接导致投标无效。</w:t>
      </w:r>
    </w:p>
    <w:p>
      <w:pPr>
        <w:snapToGrid w:val="0"/>
        <w:spacing w:line="360" w:lineRule="auto"/>
        <w:ind w:firstLine="413" w:firstLineChars="196"/>
        <w:jc w:val="left"/>
        <w:rPr>
          <w:rFonts w:ascii="宋体" w:hAnsi="宋体" w:cs="宋体"/>
          <w:b/>
          <w:color w:val="auto"/>
          <w:szCs w:val="21"/>
          <w:highlight w:val="none"/>
        </w:rPr>
      </w:pPr>
      <w:bookmarkStart w:id="35" w:name="_Toc20685"/>
      <w:r>
        <w:rPr>
          <w:rFonts w:hint="eastAsia" w:ascii="宋体" w:hAnsi="宋体" w:cs="宋体"/>
          <w:b/>
          <w:color w:val="auto"/>
          <w:szCs w:val="21"/>
          <w:highlight w:val="none"/>
        </w:rPr>
        <w:t>（三）招标方式</w:t>
      </w:r>
      <w:bookmarkEnd w:id="35"/>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本次招标采用公开招标方式进行。</w:t>
      </w:r>
    </w:p>
    <w:p>
      <w:pPr>
        <w:snapToGrid w:val="0"/>
        <w:spacing w:line="360" w:lineRule="auto"/>
        <w:ind w:firstLine="413" w:firstLineChars="196"/>
        <w:jc w:val="left"/>
        <w:rPr>
          <w:rFonts w:ascii="宋体" w:hAnsi="宋体" w:cs="宋体"/>
          <w:b/>
          <w:color w:val="auto"/>
          <w:szCs w:val="21"/>
          <w:highlight w:val="none"/>
        </w:rPr>
      </w:pPr>
      <w:bookmarkStart w:id="36" w:name="_Toc21721"/>
      <w:r>
        <w:rPr>
          <w:rFonts w:hint="eastAsia" w:ascii="宋体" w:hAnsi="宋体" w:cs="宋体"/>
          <w:b/>
          <w:color w:val="auto"/>
          <w:szCs w:val="21"/>
          <w:highlight w:val="none"/>
        </w:rPr>
        <w:t>（四）投标委托</w:t>
      </w:r>
      <w:bookmarkEnd w:id="36"/>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如供应商派授权代表出席开标会议，授权代表须携带有效身份证件。如供应商代表不是法定代表人，须有法定代表人出具的授权委托书（正本用原件，副本用复印件，格式见第六章）。</w:t>
      </w:r>
    </w:p>
    <w:p>
      <w:pPr>
        <w:snapToGrid w:val="0"/>
        <w:spacing w:line="360" w:lineRule="auto"/>
        <w:ind w:firstLine="413" w:firstLineChars="196"/>
        <w:jc w:val="left"/>
        <w:rPr>
          <w:rFonts w:ascii="宋体" w:hAnsi="宋体" w:cs="宋体"/>
          <w:b/>
          <w:color w:val="auto"/>
          <w:szCs w:val="21"/>
          <w:highlight w:val="none"/>
        </w:rPr>
      </w:pPr>
      <w:bookmarkStart w:id="37" w:name="_Toc1659"/>
      <w:r>
        <w:rPr>
          <w:rFonts w:hint="eastAsia" w:ascii="宋体" w:hAnsi="宋体" w:cs="宋体"/>
          <w:b/>
          <w:color w:val="auto"/>
          <w:szCs w:val="21"/>
          <w:highlight w:val="none"/>
        </w:rPr>
        <w:t>（五）投标费用</w:t>
      </w:r>
      <w:bookmarkEnd w:id="37"/>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不论投标结果如何，供应商均应自行承担所有与投标有关的全部费用（招标文件有其他规定除外）。</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（六）联合体投标</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本项目允许联合体投标。</w:t>
      </w:r>
    </w:p>
    <w:p>
      <w:pPr>
        <w:snapToGrid w:val="0"/>
        <w:spacing w:line="360" w:lineRule="auto"/>
        <w:ind w:firstLine="413" w:firstLineChars="196"/>
        <w:rPr>
          <w:rFonts w:ascii="宋体" w:hAnsi="宋体" w:cs="宋体"/>
          <w:b/>
          <w:color w:val="auto"/>
          <w:kern w:val="0"/>
          <w:szCs w:val="21"/>
          <w:highlight w:val="none"/>
        </w:rPr>
      </w:pPr>
      <w:r>
        <w:rPr>
          <w:rFonts w:hint="eastAsia" w:ascii="宋体" w:hAnsi="宋体" w:cs="宋体"/>
          <w:b/>
          <w:color w:val="auto"/>
          <w:szCs w:val="21"/>
          <w:highlight w:val="none"/>
        </w:rPr>
        <w:t>（七）</w:t>
      </w:r>
      <w:r>
        <w:rPr>
          <w:rFonts w:hint="eastAsia" w:ascii="宋体" w:hAnsi="宋体" w:cs="宋体"/>
          <w:b/>
          <w:color w:val="auto"/>
          <w:kern w:val="0"/>
          <w:szCs w:val="21"/>
          <w:highlight w:val="none"/>
        </w:rPr>
        <w:t>转包与分包</w:t>
      </w:r>
    </w:p>
    <w:p>
      <w:pPr>
        <w:snapToGrid w:val="0"/>
        <w:spacing w:line="360" w:lineRule="auto"/>
        <w:ind w:firstLine="411" w:firstLineChars="196"/>
        <w:rPr>
          <w:rFonts w:ascii="宋体" w:hAnsi="宋体" w:cs="宋体"/>
          <w:b/>
          <w:color w:val="auto"/>
          <w:kern w:val="0"/>
          <w:szCs w:val="21"/>
          <w:highlight w:val="none"/>
        </w:rPr>
      </w:pPr>
      <w:r>
        <w:rPr>
          <w:rFonts w:hint="eastAsia" w:ascii="宋体" w:hAnsi="宋体" w:cs="宋体"/>
          <w:color w:val="auto"/>
          <w:kern w:val="0"/>
          <w:szCs w:val="21"/>
          <w:highlight w:val="none"/>
        </w:rPr>
        <w:t>本项目不允许转包；未经采购人同意不得分包。</w:t>
      </w:r>
    </w:p>
    <w:p>
      <w:pPr>
        <w:snapToGrid w:val="0"/>
        <w:spacing w:line="360" w:lineRule="auto"/>
        <w:ind w:firstLine="413" w:firstLineChars="196"/>
        <w:jc w:val="left"/>
        <w:rPr>
          <w:rFonts w:ascii="宋体" w:hAnsi="宋体" w:cs="宋体"/>
          <w:b/>
          <w:color w:val="auto"/>
          <w:szCs w:val="21"/>
          <w:highlight w:val="none"/>
        </w:rPr>
      </w:pPr>
      <w:bookmarkStart w:id="38" w:name="_Toc13174"/>
      <w:r>
        <w:rPr>
          <w:rFonts w:hint="eastAsia" w:ascii="宋体" w:hAnsi="宋体" w:cs="宋体"/>
          <w:b/>
          <w:color w:val="auto"/>
          <w:szCs w:val="21"/>
          <w:highlight w:val="none"/>
        </w:rPr>
        <w:t>（八）特别说明：</w:t>
      </w:r>
      <w:bookmarkEnd w:id="38"/>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1、提供相同品牌产品且通过资格审查、符合性审查的不同供应商参加同一合同项下投标的，按一家供应商计算。(如适用)</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若采用综合评分法进行评审的，评审后得分最高的同品牌供应商获得中标人推荐资格；评审得分相同的，由评标委员会按照招标文件规定的方式确定一个供应商获得中标人的推荐资格，招标文件未规定的采取随机抽取的方式确定，其他同品牌供应商不作为中标候选人。</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若采用最低评标价法进行评审的，以报价最低的供应商参加评审，报价相同的，由评标委员会按照招标文件规定的方式确定一个供应商获得中标人的推荐资格，招标文件未规定的采取随机抽取的方式确定，其他投标无效。</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 xml:space="preserve"> 非单一产品采购项目，供应商使用相同制造产品（相同制造产品是指招标文件中指定的“核心产品”）作为其项目的一部分，按一家供应商认定。</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2、供应商在投标活动中提供任何虚假材料,其投标无效，并报监管部门查处；中标后发现的,中标人须依照相关规定赔偿采购人，且民事赔偿并不免除违法供应商的行政与刑事责任。</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 xml:space="preserve">3、招标文件的澄清与修改 </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（1）采购人或者采购代理机构对招标文件进行必要的澄清或者修改的，澄清或者修改在原公告发布媒体上发布澄清公告。澄清或者修改的内容可能影响投标文件编制的，澄清公告</w:t>
      </w:r>
      <w:r>
        <w:rPr>
          <w:rFonts w:hAnsi="宋体" w:cs="宋体"/>
          <w:color w:val="auto"/>
          <w:kern w:val="1"/>
          <w:highlight w:val="none"/>
        </w:rPr>
        <w:t>在投标截止时间至少15日前发出；</w:t>
      </w:r>
      <w:r>
        <w:rPr>
          <w:rFonts w:hAnsi="宋体" w:cs="宋体"/>
          <w:bCs/>
          <w:color w:val="auto"/>
          <w:highlight w:val="none"/>
        </w:rPr>
        <w:t>不足15日的，顺延提交投标文件的截止时间。</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（3）招标文件澄清、答复、修改、补充的内容为招标文件的组成部分。当招标文件与招标文件的答复、澄清、修改、补充通知就同一内容的表述不一致时，以最后发出的澄清公告为准。</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（4）招标文件的澄清、答复、修改或补充都应该通过本代理机构以法定形式发布，采购人非通过本机构，不得擅自澄清、答复、修改或补充招标文件。</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4、关于分公司投标</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5、关于知识产权</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（2）投标报价应包含所有应向所有权人支付的专利权、商标权或其它知识产权的一切相关费用。</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（3）系统软件、通用软件必须是具有在中国境内的合法使用权或版权的正版软件，涉及到第三方提出侵权或知识产权的起诉及支付版税等费用由供应商承担所有责任及费用。</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6、供应商的风险</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（1）供应商应详细阅读招标文件中的全部内容和要求，按照招标文件的要求提交投标文件，没有按照招标文件要求提供投标文件和资料导致的风险由供应商承担,并对所提供的全部资料的真实性承担法律责任。</w:t>
      </w:r>
    </w:p>
    <w:p>
      <w:pPr>
        <w:pStyle w:val="28"/>
        <w:snapToGrid w:val="0"/>
        <w:spacing w:before="0" w:beforeLines="0" w:after="0" w:afterLines="0" w:line="360" w:lineRule="auto"/>
        <w:ind w:left="2" w:leftChars="1" w:firstLine="420" w:firstLineChars="200"/>
        <w:rPr>
          <w:rFonts w:hint="default" w:hAnsi="宋体" w:cs="宋体"/>
          <w:bCs/>
          <w:color w:val="auto"/>
          <w:highlight w:val="none"/>
        </w:rPr>
      </w:pPr>
      <w:r>
        <w:rPr>
          <w:rFonts w:hAnsi="宋体" w:cs="宋体"/>
          <w:bCs/>
          <w:color w:val="auto"/>
          <w:highlight w:val="none"/>
        </w:rPr>
        <w:t>（2）无论因何种原因导致本次采购活动终止致供应商损失的，相关责任人均不承担任何责任。</w:t>
      </w:r>
    </w:p>
    <w:p>
      <w:pPr>
        <w:pStyle w:val="28"/>
        <w:snapToGrid w:val="0"/>
        <w:spacing w:before="0" w:beforeLines="0" w:after="0" w:afterLines="0" w:line="360" w:lineRule="auto"/>
        <w:ind w:left="2" w:leftChars="1" w:firstLine="420" w:firstLineChars="200"/>
        <w:rPr>
          <w:rFonts w:hint="default" w:hAnsi="宋体" w:cs="宋体"/>
          <w:b/>
          <w:color w:val="auto"/>
          <w:highlight w:val="none"/>
        </w:rPr>
      </w:pPr>
      <w:r>
        <w:rPr>
          <w:rFonts w:hAnsi="宋体" w:cs="宋体"/>
          <w:bCs/>
          <w:color w:val="auto"/>
          <w:highlight w:val="none"/>
        </w:rPr>
        <w:t>7、解释：本招标文件的解释权属于采购人。</w:t>
      </w:r>
    </w:p>
    <w:p>
      <w:pPr>
        <w:pStyle w:val="28"/>
        <w:snapToGrid w:val="0"/>
        <w:spacing w:before="0" w:beforeLines="0" w:after="0" w:afterLines="0" w:line="360" w:lineRule="auto"/>
        <w:ind w:firstLine="413" w:firstLineChars="196"/>
        <w:rPr>
          <w:rFonts w:hint="default" w:hAnsi="宋体" w:cs="宋体"/>
          <w:b/>
          <w:bCs/>
          <w:color w:val="auto"/>
          <w:highlight w:val="none"/>
        </w:rPr>
      </w:pPr>
      <w:bookmarkStart w:id="39" w:name="_Toc13650"/>
      <w:r>
        <w:rPr>
          <w:rFonts w:hAnsi="宋体" w:cs="宋体"/>
          <w:b/>
          <w:bCs/>
          <w:color w:val="auto"/>
          <w:highlight w:val="none"/>
        </w:rPr>
        <w:t>（九）质疑和投诉</w:t>
      </w:r>
      <w:bookmarkEnd w:id="39"/>
    </w:p>
    <w:p>
      <w:pPr>
        <w:spacing w:line="360" w:lineRule="auto"/>
        <w:ind w:firstLine="420" w:firstLineChars="200"/>
        <w:rPr>
          <w:rFonts w:ascii="宋体" w:hAnsi="宋体" w:cs="宋体"/>
          <w:color w:val="auto"/>
          <w:highlight w:val="none"/>
        </w:rPr>
      </w:pPr>
      <w:bookmarkStart w:id="40" w:name="_Toc27142"/>
      <w:r>
        <w:rPr>
          <w:rFonts w:hint="eastAsia" w:ascii="宋体" w:hAnsi="宋体" w:cs="宋体"/>
          <w:color w:val="auto"/>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w:t>
      </w:r>
      <w:r>
        <w:rPr>
          <w:rFonts w:hint="eastAsia" w:ascii="宋体" w:hAnsi="宋体"/>
          <w:color w:val="auto"/>
          <w:kern w:val="0"/>
          <w:highlight w:val="none"/>
        </w:rPr>
        <w:t>浙江政府采购网下载专区下载。</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widowControl/>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5、供应商对采购人或采购代理机构的质疑答复不满意或者采购人或采购代理机构未在规定时间内作出答复的，可以在答复期满后十五个工作日内向同级采购监管部门投诉。</w:t>
      </w:r>
      <w:r>
        <w:rPr>
          <w:rFonts w:hint="eastAsia" w:ascii="宋体" w:hAnsi="宋体"/>
          <w:color w:val="auto"/>
          <w:kern w:val="0"/>
          <w:highlight w:val="none"/>
        </w:rPr>
        <w:t>投诉书范本请到浙江政府采购网下载专区下载。</w:t>
      </w:r>
    </w:p>
    <w:p>
      <w:pPr>
        <w:pStyle w:val="28"/>
        <w:snapToGrid w:val="0"/>
        <w:spacing w:before="0" w:beforeLines="0" w:after="0" w:afterLines="0" w:line="360" w:lineRule="auto"/>
        <w:ind w:firstLine="413" w:firstLineChars="196"/>
        <w:rPr>
          <w:rFonts w:hint="default" w:hAnsi="宋体" w:cs="宋体"/>
          <w:b/>
          <w:color w:val="auto"/>
          <w:highlight w:val="none"/>
        </w:rPr>
      </w:pPr>
      <w:r>
        <w:rPr>
          <w:rFonts w:hAnsi="宋体" w:cs="宋体"/>
          <w:b/>
          <w:color w:val="auto"/>
          <w:highlight w:val="none"/>
        </w:rPr>
        <w:t xml:space="preserve">二  </w:t>
      </w:r>
      <w:bookmarkEnd w:id="40"/>
      <w:r>
        <w:rPr>
          <w:rFonts w:hAnsi="宋体" w:cs="宋体"/>
          <w:b/>
          <w:color w:val="auto"/>
          <w:highlight w:val="none"/>
        </w:rPr>
        <w:t>招标文件</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（一）招标文件的构成。本招标文件由以下部分组成：</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1、公开招标公告</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2、采购需求</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3、供应商须知</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4、评标办法及评分标准</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5、政府采购合同主要条款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6、投标文件格式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7、本项目招标文件的澄清、答复、修改、补充的内容</w:t>
      </w:r>
    </w:p>
    <w:p>
      <w:pPr>
        <w:snapToGrid w:val="0"/>
        <w:spacing w:line="360" w:lineRule="auto"/>
        <w:ind w:firstLine="413" w:firstLineChars="196"/>
        <w:jc w:val="left"/>
        <w:rPr>
          <w:rFonts w:ascii="宋体" w:hAnsi="宋体" w:cs="宋体"/>
          <w:b/>
          <w:color w:val="auto"/>
          <w:szCs w:val="21"/>
          <w:highlight w:val="none"/>
        </w:rPr>
      </w:pPr>
      <w:r>
        <w:rPr>
          <w:rFonts w:hint="eastAsia" w:ascii="宋体" w:hAnsi="宋体" w:cs="宋体"/>
          <w:b/>
          <w:color w:val="auto"/>
          <w:szCs w:val="21"/>
          <w:highlight w:val="none"/>
        </w:rPr>
        <w:t>（二）供应商的风险</w:t>
      </w:r>
    </w:p>
    <w:p>
      <w:pPr>
        <w:pStyle w:val="39"/>
        <w:spacing w:line="360" w:lineRule="auto"/>
        <w:ind w:firstLine="420"/>
        <w:rPr>
          <w:rFonts w:ascii="宋体" w:hAnsi="宋体" w:cs="宋体"/>
          <w:color w:val="auto"/>
          <w:sz w:val="21"/>
          <w:szCs w:val="21"/>
          <w:highlight w:val="none"/>
        </w:rPr>
      </w:pPr>
      <w:r>
        <w:rPr>
          <w:rFonts w:hint="eastAsia" w:ascii="宋体" w:hAnsi="宋体" w:cs="宋体"/>
          <w:color w:val="auto"/>
          <w:sz w:val="21"/>
          <w:szCs w:val="21"/>
          <w:highlight w:val="none"/>
        </w:rPr>
        <w:t>供应商没有按照招标文件要求提供全部资料，或者供应商没有对招标文件在各方面作出实质性响应是供应商的风险，并可能导致其投标被拒绝。</w:t>
      </w:r>
    </w:p>
    <w:p>
      <w:pPr>
        <w:pStyle w:val="28"/>
        <w:snapToGrid w:val="0"/>
        <w:spacing w:before="0" w:beforeLines="0" w:after="0" w:afterLines="0" w:line="360" w:lineRule="auto"/>
        <w:ind w:firstLine="413" w:firstLineChars="196"/>
        <w:rPr>
          <w:rFonts w:hint="default" w:hAnsi="宋体" w:cs="宋体"/>
          <w:b/>
          <w:color w:val="auto"/>
          <w:highlight w:val="none"/>
        </w:rPr>
      </w:pPr>
      <w:bookmarkStart w:id="41" w:name="_Toc24324"/>
      <w:r>
        <w:rPr>
          <w:rFonts w:hAnsi="宋体" w:cs="宋体"/>
          <w:b/>
          <w:color w:val="auto"/>
          <w:highlight w:val="none"/>
        </w:rPr>
        <w:t>三、投标文件的编制</w:t>
      </w:r>
      <w:bookmarkEnd w:id="41"/>
    </w:p>
    <w:p>
      <w:pPr>
        <w:snapToGrid w:val="0"/>
        <w:spacing w:line="360" w:lineRule="auto"/>
        <w:ind w:firstLine="413" w:firstLineChars="196"/>
        <w:jc w:val="left"/>
        <w:rPr>
          <w:rFonts w:ascii="宋体" w:hAnsi="宋体" w:cs="宋体"/>
          <w:b/>
          <w:color w:val="auto"/>
          <w:szCs w:val="21"/>
          <w:highlight w:val="none"/>
        </w:rPr>
      </w:pPr>
      <w:bookmarkStart w:id="42" w:name="_Toc16622"/>
      <w:r>
        <w:rPr>
          <w:rFonts w:hint="eastAsia" w:ascii="宋体" w:hAnsi="宋体" w:cs="宋体"/>
          <w:b/>
          <w:color w:val="auto"/>
          <w:szCs w:val="21"/>
          <w:highlight w:val="none"/>
        </w:rPr>
        <w:t>（一）投标文件的组成</w:t>
      </w:r>
      <w:bookmarkEnd w:id="42"/>
    </w:p>
    <w:p>
      <w:pPr>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投标文件由资格文件、商务技术文件和报价文件三部分组成。</w:t>
      </w:r>
    </w:p>
    <w:p>
      <w:pPr>
        <w:numPr>
          <w:ilvl w:val="0"/>
          <w:numId w:val="8"/>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资格文件：</w:t>
      </w:r>
    </w:p>
    <w:p>
      <w:pPr>
        <w:numPr>
          <w:ilvl w:val="0"/>
          <w:numId w:val="9"/>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9"/>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9"/>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numPr>
          <w:ilvl w:val="0"/>
          <w:numId w:val="9"/>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联合体协议（如有，格式见附件）；</w:t>
      </w:r>
    </w:p>
    <w:p>
      <w:pPr>
        <w:numPr>
          <w:ilvl w:val="0"/>
          <w:numId w:val="9"/>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中小企业声明函[提供中小企业声明函或残疾人福利性单位声明函（非残疾人福利性单位无需提供本函)，格式见附件或提供由省级以上监狱管理局、戒毒管理局（含新疆生产建设兵团）出具的属于监狱企业的证明文件]；</w:t>
      </w:r>
    </w:p>
    <w:p>
      <w:pPr>
        <w:numPr>
          <w:ilvl w:val="0"/>
          <w:numId w:val="9"/>
        </w:numPr>
        <w:snapToGrid w:val="0"/>
        <w:spacing w:line="360" w:lineRule="auto"/>
        <w:ind w:left="210" w:leftChars="100"/>
        <w:jc w:val="left"/>
        <w:rPr>
          <w:rFonts w:ascii="宋体" w:hAnsi="宋体" w:cs="宋体"/>
          <w:color w:val="auto"/>
          <w:highlight w:val="none"/>
        </w:rPr>
      </w:pPr>
      <w:r>
        <w:rPr>
          <w:rFonts w:hint="eastAsia" w:ascii="宋体" w:hAnsi="宋体" w:cs="宋体"/>
          <w:color w:val="auto"/>
          <w:szCs w:val="21"/>
          <w:highlight w:val="none"/>
        </w:rPr>
        <w:t>招标文件要求的其他资格条件证明材料（如有）；</w:t>
      </w:r>
    </w:p>
    <w:p>
      <w:pPr>
        <w:numPr>
          <w:ilvl w:val="0"/>
          <w:numId w:val="8"/>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商务技术文件内容包括：</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符合性自查表（格式见附件）；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供应商响应表（格式见附件）；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商务条款偏离表（格式见附件）；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投标函（格式见附件）；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法定代表人身份证明或法定代表人授权委托书（格式见附件）；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技术（服务）条款偏离表（格式见附件）；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供应商基本情况表（格式见附件）；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本项目负责人简历表（格式见附件）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本项目组人员配备情况表（格式见附件）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同类业绩情况一览表（格式见附件）；</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技术部分：针对本项目第二章采购需求和第四章评分标准中的条款拟定完整方案，格式自拟；</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第四章评标办法及评分标准中需提供的其他相关证书及合同复印件等并加盖公章；</w:t>
      </w:r>
    </w:p>
    <w:p>
      <w:pPr>
        <w:numPr>
          <w:ilvl w:val="0"/>
          <w:numId w:val="10"/>
        </w:numPr>
        <w:snapToGrid w:val="0"/>
        <w:spacing w:line="360" w:lineRule="auto"/>
        <w:ind w:left="210" w:leftChars="100"/>
        <w:jc w:val="left"/>
        <w:rPr>
          <w:rFonts w:ascii="宋体" w:hAnsi="宋体" w:cs="宋体"/>
          <w:color w:val="auto"/>
          <w:szCs w:val="21"/>
          <w:highlight w:val="none"/>
        </w:rPr>
      </w:pPr>
      <w:r>
        <w:rPr>
          <w:rFonts w:hint="eastAsia" w:ascii="宋体" w:hAnsi="宋体" w:cs="宋体"/>
          <w:color w:val="auto"/>
          <w:szCs w:val="21"/>
          <w:highlight w:val="none"/>
        </w:rPr>
        <w:t>供应商认为有需要提供的其它有关证明资料。</w:t>
      </w:r>
    </w:p>
    <w:p>
      <w:pPr>
        <w:numPr>
          <w:ilvl w:val="0"/>
          <w:numId w:val="8"/>
        </w:numPr>
        <w:snapToGrid w:val="0"/>
        <w:spacing w:line="360" w:lineRule="auto"/>
        <w:ind w:firstLine="422" w:firstLineChars="200"/>
        <w:jc w:val="left"/>
        <w:rPr>
          <w:rFonts w:ascii="宋体" w:hAnsi="宋体" w:cs="宋体"/>
          <w:b/>
          <w:bCs/>
          <w:color w:val="auto"/>
          <w:highlight w:val="none"/>
        </w:rPr>
      </w:pPr>
      <w:r>
        <w:rPr>
          <w:rFonts w:hint="eastAsia" w:ascii="宋体" w:hAnsi="宋体" w:cs="宋体"/>
          <w:b/>
          <w:bCs/>
          <w:color w:val="auto"/>
          <w:highlight w:val="none"/>
        </w:rPr>
        <w:t>报价文件内容包括：</w:t>
      </w:r>
    </w:p>
    <w:p>
      <w:pPr>
        <w:numPr>
          <w:ilvl w:val="0"/>
          <w:numId w:val="11"/>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开标一览表（格式见附件）；</w:t>
      </w:r>
    </w:p>
    <w:p>
      <w:pPr>
        <w:numPr>
          <w:ilvl w:val="0"/>
          <w:numId w:val="11"/>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投标报价明细表（格式见附件）；</w:t>
      </w:r>
    </w:p>
    <w:p>
      <w:pPr>
        <w:numPr>
          <w:ilvl w:val="0"/>
          <w:numId w:val="11"/>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供应商针对报价需要说明的其他文件和说明（格式自拟）；</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 注：1、法定代表人授权委托书必须由法定代表人签署（签名或印章）并加盖单位公章；供应商资格声明函、投标函、开标一览表必须由法定代表人或授权代表签署（签名或印章）并加盖单位公章。</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2、联合体投标的，除采购文件要求双方均需提供并签字（签章）盖章的，由联合体牵头人提供并签字（签章）盖章即可</w:t>
      </w:r>
    </w:p>
    <w:p>
      <w:pPr>
        <w:snapToGrid w:val="0"/>
        <w:spacing w:line="360" w:lineRule="auto"/>
        <w:ind w:firstLine="413" w:firstLineChars="196"/>
        <w:jc w:val="left"/>
        <w:rPr>
          <w:rFonts w:ascii="宋体" w:hAnsi="宋体" w:cs="宋体"/>
          <w:b/>
          <w:color w:val="auto"/>
          <w:szCs w:val="21"/>
          <w:highlight w:val="none"/>
        </w:rPr>
      </w:pPr>
      <w:bookmarkStart w:id="43" w:name="_Toc10734"/>
      <w:r>
        <w:rPr>
          <w:rFonts w:hint="eastAsia" w:ascii="宋体" w:hAnsi="宋体" w:cs="宋体"/>
          <w:b/>
          <w:color w:val="auto"/>
          <w:szCs w:val="21"/>
          <w:highlight w:val="none"/>
        </w:rPr>
        <w:t>★（二）投标文件的语言及计量</w:t>
      </w:r>
      <w:bookmarkEnd w:id="43"/>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413" w:firstLineChars="196"/>
        <w:jc w:val="left"/>
        <w:rPr>
          <w:rFonts w:ascii="宋体" w:hAnsi="宋体" w:cs="宋体"/>
          <w:b/>
          <w:color w:val="auto"/>
          <w:szCs w:val="21"/>
          <w:highlight w:val="none"/>
        </w:rPr>
      </w:pPr>
      <w:bookmarkStart w:id="44" w:name="_Toc3681"/>
      <w:r>
        <w:rPr>
          <w:rFonts w:hint="eastAsia" w:ascii="宋体" w:hAnsi="宋体" w:cs="宋体"/>
          <w:b/>
          <w:color w:val="auto"/>
          <w:szCs w:val="21"/>
          <w:highlight w:val="none"/>
        </w:rPr>
        <w:t>（三）投标报价</w:t>
      </w:r>
      <w:bookmarkEnd w:id="44"/>
    </w:p>
    <w:p>
      <w:pPr>
        <w:pStyle w:val="28"/>
        <w:snapToGrid w:val="0"/>
        <w:spacing w:before="0" w:beforeLines="0" w:after="0" w:afterLines="0" w:line="360" w:lineRule="auto"/>
        <w:ind w:firstLine="420" w:firstLineChars="200"/>
        <w:jc w:val="left"/>
        <w:rPr>
          <w:rFonts w:hint="default" w:hAnsi="宋体" w:cs="宋体"/>
          <w:color w:val="auto"/>
          <w:highlight w:val="none"/>
        </w:rPr>
      </w:pPr>
      <w:r>
        <w:rPr>
          <w:rFonts w:hAnsi="宋体" w:cs="宋体"/>
          <w:color w:val="auto"/>
          <w:highlight w:val="none"/>
        </w:rPr>
        <w:t>1、投标报价应按招标文件中相关附表格式填写。</w:t>
      </w:r>
    </w:p>
    <w:p>
      <w:pPr>
        <w:pStyle w:val="28"/>
        <w:snapToGrid w:val="0"/>
        <w:spacing w:before="0" w:beforeLines="0" w:after="0" w:afterLines="0" w:line="360" w:lineRule="auto"/>
        <w:ind w:firstLine="420" w:firstLineChars="200"/>
        <w:jc w:val="left"/>
        <w:rPr>
          <w:rFonts w:hint="default" w:hAnsi="宋体" w:cs="宋体"/>
          <w:bCs/>
          <w:color w:val="auto"/>
          <w:highlight w:val="none"/>
        </w:rPr>
      </w:pPr>
      <w:r>
        <w:rPr>
          <w:rFonts w:hAnsi="宋体" w:cs="宋体"/>
          <w:bCs/>
          <w:color w:val="auto"/>
          <w:highlight w:val="none"/>
        </w:rPr>
        <w:t xml:space="preserve">★2、投标报价是履行合同的最终价格，具体详见第三章《供应商须知》。 </w:t>
      </w:r>
    </w:p>
    <w:p>
      <w:pPr>
        <w:pStyle w:val="28"/>
        <w:snapToGrid w:val="0"/>
        <w:spacing w:before="0" w:beforeLines="0" w:after="0" w:afterLines="0" w:line="360" w:lineRule="auto"/>
        <w:ind w:firstLine="420" w:firstLineChars="200"/>
        <w:jc w:val="left"/>
        <w:rPr>
          <w:rFonts w:hint="default" w:hAnsi="宋体" w:cs="宋体"/>
          <w:color w:val="auto"/>
          <w:highlight w:val="none"/>
        </w:rPr>
      </w:pPr>
      <w:r>
        <w:rPr>
          <w:rFonts w:hAnsi="宋体" w:cs="宋体"/>
          <w:color w:val="auto"/>
          <w:highlight w:val="none"/>
        </w:rPr>
        <w:t>★3、投标文件只允许有一个报价，有选择的或有条件的报价将不予接受。</w:t>
      </w:r>
    </w:p>
    <w:p>
      <w:pPr>
        <w:pStyle w:val="16"/>
        <w:widowControl w:val="0"/>
        <w:tabs>
          <w:tab w:val="clear" w:pos="454"/>
        </w:tabs>
        <w:snapToGrid w:val="0"/>
        <w:spacing w:after="0" w:afterLines="0" w:line="360" w:lineRule="auto"/>
        <w:ind w:left="0" w:firstLine="413" w:firstLineChars="196"/>
        <w:rPr>
          <w:rFonts w:ascii="宋体" w:hAnsi="宋体" w:cs="宋体"/>
          <w:b/>
          <w:color w:val="auto"/>
          <w:sz w:val="21"/>
          <w:szCs w:val="21"/>
          <w:highlight w:val="none"/>
        </w:rPr>
      </w:pPr>
      <w:r>
        <w:rPr>
          <w:rFonts w:hint="eastAsia" w:ascii="宋体" w:hAnsi="宋体" w:cs="宋体"/>
          <w:b/>
          <w:color w:val="auto"/>
          <w:sz w:val="21"/>
          <w:szCs w:val="21"/>
          <w:highlight w:val="none"/>
        </w:rPr>
        <w:t>（四）投标文件的有效期</w:t>
      </w:r>
    </w:p>
    <w:p>
      <w:pPr>
        <w:pStyle w:val="16"/>
        <w:widowControl w:val="0"/>
        <w:tabs>
          <w:tab w:val="clear" w:pos="454"/>
        </w:tabs>
        <w:snapToGrid w:val="0"/>
        <w:spacing w:after="0" w:afterLines="0" w:line="360" w:lineRule="auto"/>
        <w:ind w:left="0" w:firstLine="422" w:firstLineChars="200"/>
        <w:rPr>
          <w:rFonts w:ascii="宋体" w:hAnsi="宋体" w:cs="宋体"/>
          <w:b/>
          <w:color w:val="auto"/>
          <w:sz w:val="21"/>
          <w:szCs w:val="21"/>
          <w:highlight w:val="none"/>
        </w:rPr>
      </w:pPr>
      <w:r>
        <w:rPr>
          <w:rFonts w:hint="eastAsia" w:ascii="宋体" w:hAnsi="宋体" w:cs="宋体"/>
          <w:b/>
          <w:color w:val="auto"/>
          <w:sz w:val="21"/>
          <w:szCs w:val="21"/>
          <w:highlight w:val="none"/>
        </w:rPr>
        <w:t>★1、自投标截止日起</w:t>
      </w:r>
      <w:r>
        <w:rPr>
          <w:rFonts w:hint="eastAsia" w:ascii="宋体" w:hAnsi="宋体" w:cs="宋体"/>
          <w:b/>
          <w:color w:val="auto"/>
          <w:sz w:val="21"/>
          <w:szCs w:val="21"/>
          <w:highlight w:val="none"/>
          <w:u w:val="single"/>
        </w:rPr>
        <w:t>90</w:t>
      </w:r>
      <w:r>
        <w:rPr>
          <w:rFonts w:hint="eastAsia" w:ascii="宋体" w:hAnsi="宋体" w:cs="宋体"/>
          <w:b/>
          <w:color w:val="auto"/>
          <w:sz w:val="21"/>
          <w:szCs w:val="21"/>
          <w:highlight w:val="none"/>
        </w:rPr>
        <w:t>天投标文件应保持有效。</w:t>
      </w:r>
    </w:p>
    <w:p>
      <w:pPr>
        <w:pStyle w:val="16"/>
        <w:widowControl w:val="0"/>
        <w:tabs>
          <w:tab w:val="clear" w:pos="454"/>
        </w:tabs>
        <w:snapToGrid w:val="0"/>
        <w:spacing w:after="0" w:afterLines="0" w:line="360" w:lineRule="auto"/>
        <w:ind w:left="0"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2、在特殊情况下，采购人可与供应商协商延长投标书的有效期，这种要求和答复均以书面形式进行。</w:t>
      </w:r>
    </w:p>
    <w:p>
      <w:pPr>
        <w:snapToGrid w:val="0"/>
        <w:spacing w:line="360" w:lineRule="auto"/>
        <w:ind w:firstLine="420" w:firstLineChars="200"/>
        <w:jc w:val="left"/>
        <w:rPr>
          <w:rFonts w:ascii="宋体" w:hAnsi="宋体" w:cs="宋体"/>
          <w:b/>
          <w:color w:val="auto"/>
          <w:szCs w:val="21"/>
          <w:highlight w:val="none"/>
        </w:rPr>
      </w:pPr>
      <w:bookmarkStart w:id="45" w:name="_Toc24481"/>
      <w:r>
        <w:rPr>
          <w:rFonts w:hint="eastAsia" w:ascii="宋体" w:hAnsi="宋体" w:cs="宋体"/>
          <w:color w:val="auto"/>
          <w:szCs w:val="21"/>
          <w:highlight w:val="none"/>
        </w:rPr>
        <w:t>3、同意延长有效期的供应商不能修改投标文件。</w:t>
      </w:r>
      <w:bookmarkEnd w:id="45"/>
      <w:r>
        <w:rPr>
          <w:rFonts w:hint="eastAsia" w:ascii="宋体" w:hAnsi="宋体" w:cs="宋体"/>
          <w:b/>
          <w:color w:val="auto"/>
          <w:szCs w:val="21"/>
          <w:highlight w:val="none"/>
        </w:rPr>
        <w:t xml:space="preserve"> </w:t>
      </w:r>
    </w:p>
    <w:p>
      <w:pPr>
        <w:snapToGrid w:val="0"/>
        <w:spacing w:line="360" w:lineRule="auto"/>
        <w:ind w:firstLine="420" w:firstLineChars="200"/>
        <w:jc w:val="left"/>
        <w:rPr>
          <w:rFonts w:ascii="宋体" w:hAnsi="宋体" w:cs="宋体"/>
          <w:b/>
          <w:color w:val="auto"/>
          <w:szCs w:val="21"/>
          <w:highlight w:val="none"/>
        </w:rPr>
      </w:pPr>
      <w:bookmarkStart w:id="46" w:name="_Toc6471"/>
      <w:r>
        <w:rPr>
          <w:rFonts w:hint="eastAsia" w:ascii="宋体" w:hAnsi="宋体" w:cs="宋体"/>
          <w:color w:val="auto"/>
          <w:szCs w:val="21"/>
          <w:highlight w:val="none"/>
        </w:rPr>
        <w:t>4、中标人的投标文件自开标之日起至合同履行完毕止均应保持有效。</w:t>
      </w:r>
      <w:bookmarkEnd w:id="46"/>
    </w:p>
    <w:p>
      <w:pPr>
        <w:snapToGrid w:val="0"/>
        <w:spacing w:line="360" w:lineRule="auto"/>
        <w:ind w:firstLine="413" w:firstLineChars="196"/>
        <w:jc w:val="left"/>
        <w:rPr>
          <w:rFonts w:ascii="宋体" w:hAnsi="宋体" w:cs="宋体"/>
          <w:b/>
          <w:color w:val="auto"/>
          <w:szCs w:val="21"/>
          <w:highlight w:val="none"/>
        </w:rPr>
      </w:pPr>
      <w:bookmarkStart w:id="47" w:name="_Toc14508"/>
      <w:r>
        <w:rPr>
          <w:rFonts w:hint="eastAsia" w:ascii="宋体" w:hAnsi="宋体" w:cs="宋体"/>
          <w:b/>
          <w:color w:val="auto"/>
          <w:szCs w:val="21"/>
          <w:highlight w:val="none"/>
        </w:rPr>
        <w:t>（五）投标文件的签署和份数</w:t>
      </w:r>
      <w:bookmarkEnd w:id="47"/>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供应商应按本招标文件规定的格式和顺序编制、装订投标文件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kern w:val="0"/>
          <w:szCs w:val="21"/>
          <w:highlight w:val="none"/>
        </w:rPr>
        <w:t>政府采购云平台的要求</w:t>
      </w:r>
      <w:r>
        <w:rPr>
          <w:rFonts w:hint="eastAsia" w:ascii="宋体" w:hAnsi="宋体" w:cs="宋体"/>
          <w:color w:val="auto"/>
          <w:highlight w:val="none"/>
        </w:rPr>
        <w:t>及本招标文件规定的格式和顺序编制电子投标文件并进行关联定位。</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5、投标文件须由供应商在规定位置盖章并由法定代表人或法定代表人的授权委托人签署，供应商应写全称。</w:t>
      </w:r>
    </w:p>
    <w:p>
      <w:pPr>
        <w:snapToGrid w:val="0"/>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（六）投标文件的包装、递交、修改和撤回</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用封袋密封后递交。</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的包装封面上应注明供应商名称、供应商地址、投标文件名称(电子备份投标文件)、投标项目名称、项目编号、标项号，并加盖供应商公章。</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3、未按规定密封或标记的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将被拒绝，由此造成</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被提前拆封的风险由供应商承担。</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4、供应商在投标截止时间之前，可以对已提交的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进行修改或撤回，并书面通知招标采购单位；投标截止时间后，供应商不得撤回、修改</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。修改后重新递交的</w:t>
      </w:r>
      <w:r>
        <w:rPr>
          <w:rFonts w:hint="eastAsia" w:ascii="宋体" w:hAnsi="宋体" w:cs="宋体"/>
          <w:color w:val="auto"/>
          <w:kern w:val="0"/>
          <w:szCs w:val="21"/>
          <w:highlight w:val="none"/>
        </w:rPr>
        <w:t>电子备份投标文件</w:t>
      </w:r>
      <w:r>
        <w:rPr>
          <w:rFonts w:hint="eastAsia" w:ascii="宋体" w:hAnsi="宋体" w:cs="宋体"/>
          <w:color w:val="auto"/>
          <w:szCs w:val="21"/>
          <w:highlight w:val="none"/>
        </w:rPr>
        <w:t>应当按本招标文件的要求签署、盖章和密封。</w:t>
      </w:r>
    </w:p>
    <w:p>
      <w:pPr>
        <w:snapToGrid w:val="0"/>
        <w:spacing w:line="360" w:lineRule="auto"/>
        <w:ind w:firstLine="420"/>
        <w:jc w:val="left"/>
        <w:rPr>
          <w:rFonts w:ascii="宋体" w:hAnsi="宋体" w:cs="宋体"/>
          <w:color w:val="auto"/>
          <w:szCs w:val="21"/>
          <w:highlight w:val="none"/>
        </w:rPr>
      </w:pPr>
      <w:r>
        <w:rPr>
          <w:rFonts w:hint="eastAsia" w:ascii="宋体" w:hAnsi="宋体" w:cs="宋体"/>
          <w:color w:val="auto"/>
          <w:szCs w:val="21"/>
          <w:highlight w:val="none"/>
        </w:rPr>
        <w:t>5、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8"/>
        <w:snapToGrid w:val="0"/>
        <w:spacing w:before="0" w:beforeLines="0" w:after="0" w:afterLines="0" w:line="360" w:lineRule="auto"/>
        <w:ind w:left="772" w:leftChars="267" w:hanging="211" w:hangingChars="100"/>
        <w:rPr>
          <w:rFonts w:hint="default" w:hAnsi="宋体" w:cs="宋体"/>
          <w:b/>
          <w:color w:val="auto"/>
          <w:highlight w:val="none"/>
        </w:rPr>
      </w:pPr>
      <w:bookmarkStart w:id="48" w:name="_Toc2054"/>
      <w:r>
        <w:rPr>
          <w:rFonts w:hAnsi="宋体" w:cs="宋体"/>
          <w:b/>
          <w:color w:val="auto"/>
          <w:highlight w:val="none"/>
        </w:rPr>
        <w:t>（七）投标文件的形式和效力</w:t>
      </w:r>
    </w:p>
    <w:p>
      <w:pPr>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1、投标文件分为：“电子投标文件”和“电子备份投标文件”。</w:t>
      </w:r>
    </w:p>
    <w:p>
      <w:pPr>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2、“电子投标文件”是指通过“政采云电子交易客户端”完成投标文件编制后生成并加密的数据电文形式的投标文件（文件后缀为：jmbs）。</w:t>
      </w:r>
    </w:p>
    <w:p>
      <w:pPr>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3、“电子备份投标文件”是指与“电子投标文件”同时生成的数据电文形式的电子文件文件后缀为：bfbs（备份标书），其他方式编制的备份投标文件视为无效备份投标文件。</w:t>
      </w:r>
    </w:p>
    <w:p>
      <w:pPr>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4、投标文件的效力：投标文件的启用，按先后顺位分别为“电子投标文件”、“电子备份投标文件”。在“电子备份投标文件”启用时，“电子投标文件”自动失效。“电子投标文件”在规定解密时间内无法解密时，供应商若在投标截止时间之前递交了“电子备份投标文件”的，由采购代理机构上传“电子备份投标文件”进行异常处理，并对“电子备份投标文件”进行解密，未在投标截止时间之前递交“电子备份投标文件”的视为放弃投标。其余供应商通过“政府采购云平台”上传递交的已按时解密的“电子投标文件”继续有效，其“电子备份投标文件”自动失效。</w:t>
      </w:r>
    </w:p>
    <w:p>
      <w:pPr>
        <w:pStyle w:val="28"/>
        <w:snapToGrid w:val="0"/>
        <w:spacing w:before="0" w:beforeLines="0" w:after="0" w:afterLines="0" w:line="360" w:lineRule="auto"/>
        <w:ind w:left="772" w:leftChars="267" w:hanging="211" w:hangingChars="100"/>
        <w:rPr>
          <w:rFonts w:hint="default" w:hAnsi="宋体" w:cs="宋体"/>
          <w:b/>
          <w:color w:val="auto"/>
          <w:highlight w:val="none"/>
        </w:rPr>
      </w:pPr>
      <w:r>
        <w:rPr>
          <w:rFonts w:hAnsi="宋体" w:cs="宋体"/>
          <w:b/>
          <w:color w:val="auto"/>
          <w:highlight w:val="none"/>
        </w:rPr>
        <w:t>四、特别说明</w:t>
      </w:r>
      <w:bookmarkEnd w:id="48"/>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1、本项目</w:t>
      </w:r>
      <w:r>
        <w:rPr>
          <w:rFonts w:hint="eastAsia" w:ascii="宋体" w:hAnsi="宋体" w:cs="宋体"/>
          <w:color w:val="auto"/>
          <w:szCs w:val="21"/>
          <w:highlight w:val="none"/>
          <w:u w:val="single"/>
          <w:lang w:val="zh-CN"/>
        </w:rPr>
        <w:t xml:space="preserve"> 是</w:t>
      </w:r>
      <w:r>
        <w:rPr>
          <w:rFonts w:hint="eastAsia" w:hAnsi="宋体" w:cs="宋体"/>
          <w:color w:val="auto"/>
          <w:szCs w:val="21"/>
          <w:highlight w:val="none"/>
          <w:u w:val="single"/>
        </w:rPr>
        <w:t xml:space="preserve"> </w:t>
      </w:r>
      <w:r>
        <w:rPr>
          <w:rFonts w:hint="eastAsia" w:ascii="宋体" w:hAnsi="宋体" w:cs="宋体"/>
          <w:color w:val="auto"/>
          <w:szCs w:val="21"/>
          <w:highlight w:val="none"/>
          <w:lang w:val="zh-CN"/>
        </w:rPr>
        <w:t>专门面向中小企业采购。</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b/>
          <w:bCs/>
          <w:color w:val="auto"/>
          <w:szCs w:val="21"/>
          <w:highlight w:val="none"/>
        </w:rPr>
        <w:t>★所有参与本项目的供应商均需提供《中小企业声明函》，否则予以无效标处理。</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2、本项目对应的中小企业划分标准所属行业：</w:t>
      </w:r>
      <w:r>
        <w:rPr>
          <w:rFonts w:hint="eastAsia" w:hAnsi="宋体" w:cs="宋体"/>
          <w:color w:val="auto"/>
          <w:szCs w:val="21"/>
          <w:highlight w:val="none"/>
          <w:u w:val="single"/>
        </w:rPr>
        <w:t xml:space="preserve"> 其他未列明行业 </w:t>
      </w:r>
      <w:r>
        <w:rPr>
          <w:rFonts w:hint="eastAsia" w:ascii="宋体" w:hAnsi="宋体" w:cs="宋体"/>
          <w:color w:val="auto"/>
          <w:szCs w:val="21"/>
          <w:highlight w:val="none"/>
          <w:lang w:val="zh-CN"/>
        </w:rPr>
        <w:t xml:space="preserve">。 </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3、小微企业是指中华人民共和国境内依法设立，依据国务院批准的中小企业划分标准确定的小型企业和微型企业，但与大企业的负责人为同一人，或者与大企业存在直接控股、管理关系的除外。</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符合中小企业划分标准的个体工商户，在政府采购活动中视同中小企业。</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国务院批准的中小企业划分标准：具体见工信部联企业[2011]300号。</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b/>
          <w:bCs/>
          <w:color w:val="auto"/>
          <w:szCs w:val="21"/>
          <w:highlight w:val="none"/>
        </w:rPr>
        <w:t>（不适用）</w:t>
      </w:r>
      <w:r>
        <w:rPr>
          <w:rFonts w:hint="eastAsia" w:ascii="宋体" w:hAnsi="宋体" w:cs="宋体"/>
          <w:color w:val="auto"/>
          <w:szCs w:val="21"/>
          <w:highlight w:val="none"/>
          <w:lang w:val="zh-CN"/>
        </w:rPr>
        <w:t>4、在政府采购活动中，供应商提供的货物、工程或者服务符合下列情形的，可享受小型、微型企业（以下简称小微企业）的价格扣除：</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（1）在货物采购项目中，货物由小微企业制造，即货物由小微企业生产且使用该小微企业商号或者注册商标；</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（2）在工程采购项目中，工程由小微企业承建，即工程施工单位为小微企业；</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（3）在服务采购项目中，服务由小微企业承接，即提供服务的人员为小微企业依照《中华人民共和国劳动合同法》订立劳动合同的从业人员。</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以联合体形式参加政府采购活动，联合体各方均为小微企业的，联合体视同小微企业。</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5、在货物采购项目中，供应商提供的货物既有中小企业制造货物，也有大型企业制造货物的，不享受的小微企业价格扣除。</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b/>
          <w:bCs/>
          <w:color w:val="auto"/>
          <w:szCs w:val="21"/>
          <w:highlight w:val="none"/>
        </w:rPr>
        <w:t>（不适用）</w:t>
      </w:r>
      <w:r>
        <w:rPr>
          <w:rFonts w:hint="eastAsia" w:ascii="宋体" w:hAnsi="宋体" w:cs="宋体"/>
          <w:color w:val="auto"/>
          <w:szCs w:val="21"/>
          <w:highlight w:val="none"/>
          <w:lang w:val="zh-CN"/>
        </w:rPr>
        <w:t>6、本项目对符合《政府采购促进中小企业发展管理办法》（财库﹝2020﹞46号）规定的小微企业报价给予</w:t>
      </w:r>
      <w:r>
        <w:rPr>
          <w:rFonts w:hint="eastAsia" w:ascii="宋体" w:hAnsi="宋体" w:cs="宋体"/>
          <w:color w:val="auto"/>
          <w:szCs w:val="21"/>
          <w:highlight w:val="none"/>
        </w:rPr>
        <w:t>20</w:t>
      </w:r>
      <w:r>
        <w:rPr>
          <w:rFonts w:hint="eastAsia" w:ascii="宋体" w:hAnsi="宋体" w:cs="宋体"/>
          <w:color w:val="auto"/>
          <w:szCs w:val="21"/>
          <w:highlight w:val="none"/>
          <w:lang w:val="zh-CN"/>
        </w:rPr>
        <w:t>%（工程项目为</w:t>
      </w:r>
      <w:r>
        <w:rPr>
          <w:rFonts w:hint="eastAsia" w:ascii="宋体" w:hAnsi="宋体" w:cs="宋体"/>
          <w:color w:val="auto"/>
          <w:szCs w:val="21"/>
          <w:highlight w:val="none"/>
        </w:rPr>
        <w:t>5</w:t>
      </w:r>
      <w:r>
        <w:rPr>
          <w:rFonts w:hint="eastAsia" w:ascii="宋体" w:hAnsi="宋体" w:cs="宋体"/>
          <w:color w:val="auto"/>
          <w:szCs w:val="21"/>
          <w:highlight w:val="none"/>
          <w:lang w:val="zh-CN"/>
        </w:rPr>
        <w:t>%）的扣除，用扣除后的价格参加评审。</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cs="宋体"/>
          <w:color w:val="auto"/>
          <w:szCs w:val="21"/>
          <w:highlight w:val="none"/>
        </w:rPr>
        <w:t>6</w:t>
      </w:r>
      <w:r>
        <w:rPr>
          <w:rFonts w:hint="eastAsia" w:ascii="宋体" w:hAnsi="宋体" w:cs="宋体"/>
          <w:color w:val="auto"/>
          <w:szCs w:val="21"/>
          <w:highlight w:val="none"/>
          <w:lang w:val="zh-CN"/>
        </w:rPr>
        <w:t xml:space="preserve">%（工程项目为 </w:t>
      </w:r>
      <w:r>
        <w:rPr>
          <w:rFonts w:hint="eastAsia" w:ascii="宋体" w:hAnsi="宋体" w:cs="宋体"/>
          <w:color w:val="auto"/>
          <w:szCs w:val="21"/>
          <w:highlight w:val="none"/>
        </w:rPr>
        <w:t>2</w:t>
      </w:r>
      <w:r>
        <w:rPr>
          <w:rFonts w:hint="eastAsia" w:ascii="宋体" w:hAnsi="宋体" w:cs="宋体"/>
          <w:color w:val="auto"/>
          <w:szCs w:val="21"/>
          <w:highlight w:val="none"/>
          <w:lang w:val="zh-CN"/>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7、小微企业应按照招标文件格式要求提供《中小企业声明函》。</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9、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spacing w:line="360" w:lineRule="auto"/>
        <w:ind w:firstLine="420"/>
        <w:jc w:val="left"/>
        <w:rPr>
          <w:rFonts w:ascii="宋体" w:hAnsi="宋体" w:cs="宋体"/>
          <w:color w:val="auto"/>
          <w:szCs w:val="21"/>
          <w:highlight w:val="none"/>
          <w:lang w:val="zh-CN"/>
        </w:rPr>
      </w:pPr>
      <w:r>
        <w:rPr>
          <w:rFonts w:hint="eastAsia" w:ascii="宋体" w:hAnsi="宋体" w:cs="宋体"/>
          <w:color w:val="auto"/>
          <w:szCs w:val="21"/>
          <w:highlight w:val="none"/>
          <w:lang w:val="zh-CN"/>
        </w:rPr>
        <w:t>10、按规定享受扶持政策获得政府采购合同的，小微企业不得将合同分包给大中型企业，中型企业不得将合同分包给大型企业。</w:t>
      </w:r>
    </w:p>
    <w:p>
      <w:pPr>
        <w:snapToGrid w:val="0"/>
        <w:spacing w:line="360" w:lineRule="auto"/>
        <w:ind w:firstLine="420"/>
        <w:jc w:val="left"/>
        <w:rPr>
          <w:rFonts w:ascii="宋体" w:hAnsi="宋体" w:cs="宋体"/>
          <w:b/>
          <w:bCs/>
          <w:color w:val="auto"/>
          <w:sz w:val="32"/>
          <w:szCs w:val="32"/>
          <w:highlight w:val="none"/>
        </w:rPr>
      </w:pPr>
      <w:r>
        <w:rPr>
          <w:rFonts w:hint="eastAsia" w:ascii="宋体" w:hAnsi="宋体" w:cs="宋体"/>
          <w:color w:val="auto"/>
          <w:szCs w:val="21"/>
          <w:highlight w:val="none"/>
          <w:lang w:val="zh-CN"/>
        </w:rPr>
        <w:t>11、供应商按照《政府采购促进中小企业发展管理办法》（财库﹝2020﹞46号）规定提供声明函内容不实的，属于提供虚假材料谋取中标、成交，依照《中华人民共和国政府采购法》等国家有关规定追究相应责任。</w:t>
      </w:r>
    </w:p>
    <w:p>
      <w:pPr>
        <w:pStyle w:val="21"/>
        <w:rPr>
          <w:color w:val="auto"/>
          <w:highlight w:val="none"/>
        </w:rPr>
      </w:pPr>
    </w:p>
    <w:p>
      <w:pPr>
        <w:pStyle w:val="21"/>
        <w:rPr>
          <w:color w:val="auto"/>
          <w:highlight w:val="none"/>
        </w:rPr>
        <w:sectPr>
          <w:headerReference r:id="rId9" w:type="default"/>
          <w:footerReference r:id="rId10" w:type="default"/>
          <w:pgSz w:w="11906" w:h="16838"/>
          <w:pgMar w:top="1474" w:right="1797" w:bottom="1247" w:left="1797" w:header="851" w:footer="851" w:gutter="0"/>
          <w:pgNumType w:start="1"/>
          <w:cols w:space="720" w:num="1"/>
          <w:docGrid w:linePitch="312" w:charSpace="0"/>
        </w:sectPr>
      </w:pPr>
    </w:p>
    <w:p>
      <w:pPr>
        <w:snapToGrid w:val="0"/>
        <w:spacing w:line="360" w:lineRule="auto"/>
        <w:jc w:val="center"/>
        <w:outlineLvl w:val="0"/>
        <w:rPr>
          <w:rFonts w:ascii="宋体" w:hAnsi="宋体" w:cs="宋体"/>
          <w:color w:val="auto"/>
          <w:highlight w:val="none"/>
        </w:rPr>
      </w:pPr>
      <w:bookmarkStart w:id="49" w:name="_Toc8968"/>
      <w:r>
        <w:rPr>
          <w:rFonts w:hint="eastAsia" w:ascii="宋体" w:hAnsi="宋体" w:cs="宋体"/>
          <w:b/>
          <w:bCs/>
          <w:color w:val="auto"/>
          <w:sz w:val="32"/>
          <w:szCs w:val="32"/>
          <w:highlight w:val="none"/>
        </w:rPr>
        <w:t>第四章  评标办法及评分标准</w:t>
      </w:r>
      <w:bookmarkEnd w:id="49"/>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 xml:space="preserve">本办法严格遵照《中华人民共和国政府采购法》、《政府采购货物和服务招标投标管理办法》，结合项目所在地政府有关政府采购规定和项目的实际情况制定。 </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采购代理机构将在政府采购云平台进行开标，供应商的法定代表人或其授权代表可在线参加开标会。供应商的法定代表人或其授权代表未参加开标会的，视同放弃开标监督权利、认可开标结果。</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二、开标程序：</w:t>
      </w:r>
    </w:p>
    <w:p>
      <w:pPr>
        <w:spacing w:line="360" w:lineRule="auto"/>
        <w:ind w:firstLine="420" w:firstLineChars="200"/>
        <w:jc w:val="left"/>
        <w:rPr>
          <w:rFonts w:ascii="宋体" w:hAnsi="宋体" w:cs="宋体"/>
          <w:bCs/>
          <w:color w:val="auto"/>
          <w:szCs w:val="21"/>
          <w:highlight w:val="none"/>
          <w:lang w:bidi="ar"/>
        </w:rPr>
      </w:pPr>
      <w:r>
        <w:rPr>
          <w:rFonts w:hint="eastAsia" w:ascii="宋体" w:hAnsi="宋体" w:cs="宋体"/>
          <w:bCs/>
          <w:color w:val="auto"/>
          <w:szCs w:val="21"/>
          <w:highlight w:val="none"/>
          <w:lang w:bidi="ar"/>
        </w:rPr>
        <w:t>1、电子招投标开标程序：</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第一阶段：</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12"/>
        </w:num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在政府采购云平台开启已解密供应商的“资格文件、商务技术文件”，并做开标记录；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第二阶段：</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宣告第一阶段评审无效供应商名单及理由；</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（2）公布经第一阶段评审符合招标文件要求的供应商的商务技术得分情况；</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开启除第一阶段无效标外的供应商的“报价文件”，并做开标记录；</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（4）在</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公布评审结果。</w:t>
      </w:r>
    </w:p>
    <w:p>
      <w:pPr>
        <w:spacing w:line="360" w:lineRule="auto"/>
        <w:ind w:firstLine="420" w:firstLineChars="200"/>
        <w:jc w:val="left"/>
        <w:rPr>
          <w:rFonts w:ascii="宋体" w:hAnsi="宋体" w:cs="宋体"/>
          <w:color w:val="auto"/>
          <w:highlight w:val="none"/>
        </w:rPr>
      </w:pPr>
      <w:r>
        <w:rPr>
          <w:rFonts w:hint="eastAsia" w:ascii="宋体" w:hAnsi="宋体" w:cs="宋体"/>
          <w:color w:val="auto"/>
          <w:szCs w:val="21"/>
          <w:highlight w:val="none"/>
        </w:rPr>
        <w:t>（5）开标会议结束。</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2、特别说明：</w:t>
      </w:r>
      <w:r>
        <w:rPr>
          <w:rFonts w:hint="eastAsia" w:ascii="宋体" w:hAnsi="宋体" w:cs="宋体"/>
          <w:color w:val="auto"/>
          <w:kern w:val="0"/>
          <w:szCs w:val="21"/>
          <w:highlight w:val="none"/>
        </w:rPr>
        <w:t>政府采购云平台</w:t>
      </w:r>
      <w:r>
        <w:rPr>
          <w:rFonts w:hint="eastAsia" w:ascii="宋体" w:hAnsi="宋体" w:cs="宋体"/>
          <w:color w:val="auto"/>
          <w:szCs w:val="21"/>
          <w:highlight w:val="none"/>
        </w:rPr>
        <w:t>如对电子化开标及评审程序有调整的，按调整后的程序操作。</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本项目原则上采用政采云</w:t>
      </w:r>
      <w:r>
        <w:rPr>
          <w:rFonts w:hint="eastAsia" w:ascii="宋体" w:hAnsi="宋体" w:cs="宋体"/>
          <w:bCs/>
          <w:color w:val="auto"/>
          <w:szCs w:val="21"/>
          <w:highlight w:val="none"/>
          <w:lang w:bidi="ar"/>
        </w:rPr>
        <w:t>电子招投标开标程序</w:t>
      </w:r>
      <w:r>
        <w:rPr>
          <w:rFonts w:hint="eastAsia" w:ascii="宋体" w:hAnsi="宋体" w:cs="宋体"/>
          <w:color w:val="auto"/>
          <w:szCs w:val="21"/>
          <w:highlight w:val="none"/>
        </w:rPr>
        <w:t>，但有以下情形之一的，按以下情况处理：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w:t>
      </w:r>
      <w:r>
        <w:rPr>
          <w:rFonts w:hint="eastAsia" w:ascii="宋体" w:hAnsi="宋体" w:cs="宋体"/>
          <w:color w:val="auto"/>
          <w:kern w:val="0"/>
          <w:szCs w:val="21"/>
          <w:highlight w:val="none"/>
        </w:rPr>
        <w:t>以U盘存储的电子备份投标文件</w:t>
      </w:r>
      <w:r>
        <w:rPr>
          <w:rFonts w:hint="eastAsia" w:ascii="宋体" w:hAnsi="宋体" w:cs="宋体"/>
          <w:color w:val="auto"/>
          <w:szCs w:val="21"/>
          <w:highlight w:val="none"/>
        </w:rPr>
        <w:t>，上传至政采云平台项目采购模块，以完成开标，电子投标文件自动失效。</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（2）采购过程中出现以下情形，导致电子交易平台无法正常运行，或者无法保证电子交易的公平、公正和安全时，采购人（或代理机构）可中止电子交易活动：</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2.1电子交易平台发生故障而无法登录访问的；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2.2电子交易平台应用或数据库出现错误，不能进行正常操作的；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2.3电子交易平台发现严重安全漏洞，有潜在泄密危险的；</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2.4病毒发作导致不能进行正常操作的； </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2.5其他无法保证电子交易的公平、公正和安全的情况。</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（一）本次招标依法组建评标委员会。</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（三）评审专家有下列情形之一的，受到邀请应主动提出回避，采购当事人也可以要求该评审专家回避：</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1、参加采购活动前三年内，与供应商存在劳动关系，或者担任过供应商的董事、监事，或者是供应商的控股股东或实际控制人；</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2、与供应商的法定代表人或者负责人有夫妻、直系血亲、三代以内旁系血亲或者近姻亲关系；</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3、与供应商有其他可能影响政府采购活动公平、公正进行的关系；</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4、参与过采购项目进口产品论证的专家应当回避；</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5、通过随机抽到本单位的评审专家，采购人已经指定了采购人代表，该评审专家应当回避，采购人自行选定相应专业领域评审专家情形除外；</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6、法律、法规、规章规定应当回避以及其他可能影响公正评审的。</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（四）评标委员会判断投标文件的有效性、合格性和响应情况，仅依据供应商所递交一切文件的真实表述，不受与本项目无直接关联的外部信息、传言而影响自身的专业判断。</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五）评委依法独立评审，并对评审意见承担个人责任。对明显畸高、畸低的评分（评审小组成员个人主观总评分偏离所有评审小组成员主观总评分平均值30%以上），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w:t>
      </w:r>
      <w:r>
        <w:rPr>
          <w:rFonts w:hint="eastAsia" w:ascii="宋体" w:hAnsi="宋体" w:cs="宋体"/>
          <w:bCs/>
          <w:color w:val="auto"/>
          <w:highlight w:val="none"/>
        </w:rPr>
        <w:t>推荐3名及以上</w:t>
      </w:r>
      <w:r>
        <w:rPr>
          <w:rFonts w:hint="eastAsia" w:ascii="宋体" w:hAnsi="宋体" w:cs="宋体"/>
          <w:color w:val="auto"/>
          <w:szCs w:val="21"/>
          <w:highlight w:val="none"/>
        </w:rPr>
        <w:t>中标</w:t>
      </w:r>
      <w:r>
        <w:rPr>
          <w:rFonts w:hint="eastAsia" w:ascii="宋体" w:hAnsi="宋体" w:cs="宋体"/>
          <w:bCs/>
          <w:color w:val="auto"/>
          <w:highlight w:val="none"/>
        </w:rPr>
        <w:t>候选人</w:t>
      </w:r>
      <w:r>
        <w:rPr>
          <w:rFonts w:hint="eastAsia" w:ascii="宋体" w:hAnsi="宋体" w:cs="宋体"/>
          <w:color w:val="auto"/>
          <w:szCs w:val="21"/>
          <w:highlight w:val="none"/>
        </w:rPr>
        <w:t>。得分相同的，按投标报价由低到高顺序排列。得分且投标报价相同的并列，则抽签决定。</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若出现参与的供应商或者对招标文件作出实质性响应的供应商不足3家的情况，本项目作废标处理。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（三）投标文件的澄清</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1、对于投标文件中含义不明确、同类问题表述不一致或者有明显文字和计算错误的内容，评标委员会应当以书面形式要求供应商作出必要的澄清、说明或者补正。</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（四）投标文件错误修正原则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1、投标文件中开标一览表（报价表）内容与投标文件中相应内容不一致的，以开标一览表（报价表）为准；</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3、单价金额小数点或者百分比有明显错位的，以开标一览表的总价为准，并修改单价；</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widowControl/>
        <w:numPr>
          <w:ilvl w:val="0"/>
          <w:numId w:val="13"/>
        </w:numPr>
        <w:autoSpaceDE w:val="0"/>
        <w:spacing w:line="360" w:lineRule="auto"/>
        <w:ind w:firstLine="415" w:firstLineChars="198"/>
        <w:rPr>
          <w:rFonts w:ascii="宋体" w:hAnsi="宋体" w:cs="宋体"/>
          <w:color w:val="auto"/>
          <w:szCs w:val="21"/>
          <w:highlight w:val="none"/>
        </w:rPr>
      </w:pPr>
      <w:r>
        <w:rPr>
          <w:rFonts w:hint="eastAsia" w:ascii="宋体" w:hAnsi="宋体" w:cs="宋体"/>
          <w:color w:val="auto"/>
          <w:szCs w:val="21"/>
          <w:highlight w:val="none"/>
          <w:lang w:bidi="ar"/>
        </w:rPr>
        <w:t>政采云平台填报的开标一览表中的价格与上传的报价文件中开标一览表的报价不一致的，以上传的报价文件为准。</w:t>
      </w:r>
    </w:p>
    <w:p>
      <w:pPr>
        <w:pStyle w:val="31"/>
        <w:snapToGrid/>
        <w:spacing w:line="360" w:lineRule="auto"/>
        <w:ind w:firstLine="417" w:firstLineChars="199"/>
        <w:rPr>
          <w:rFonts w:ascii="宋体" w:hAnsi="宋体" w:cs="宋体"/>
          <w:color w:val="auto"/>
          <w:szCs w:val="21"/>
          <w:highlight w:val="none"/>
        </w:rPr>
      </w:pPr>
      <w:r>
        <w:rPr>
          <w:rFonts w:hint="eastAsia" w:ascii="宋体" w:hAnsi="宋体" w:cs="宋体"/>
          <w:color w:val="auto"/>
          <w:szCs w:val="21"/>
          <w:highlight w:val="none"/>
        </w:rPr>
        <w:t>同时出现两种以上不一致的，按照前款规定的顺序修正。修正后的报价按照投标文件澄清第二款的规定经供应商确认后产生约束力，供应商不确认的，其投标无效。</w:t>
      </w:r>
    </w:p>
    <w:p>
      <w:pPr>
        <w:pStyle w:val="31"/>
        <w:snapToGrid/>
        <w:spacing w:line="360" w:lineRule="auto"/>
        <w:ind w:firstLine="0" w:firstLineChars="0"/>
        <w:rPr>
          <w:rFonts w:ascii="宋体" w:hAnsi="宋体" w:cs="宋体"/>
          <w:color w:val="auto"/>
          <w:szCs w:val="21"/>
          <w:highlight w:val="none"/>
        </w:rPr>
      </w:pPr>
    </w:p>
    <w:p>
      <w:pPr>
        <w:numPr>
          <w:ilvl w:val="0"/>
          <w:numId w:val="14"/>
        </w:numPr>
        <w:spacing w:line="360" w:lineRule="auto"/>
        <w:rPr>
          <w:rFonts w:ascii="宋体" w:hAnsi="宋体" w:cs="宋体"/>
          <w:b/>
          <w:bCs/>
          <w:color w:val="auto"/>
          <w:szCs w:val="21"/>
          <w:highlight w:val="none"/>
        </w:rPr>
      </w:pPr>
      <w:bookmarkStart w:id="50" w:name="_Toc481567077"/>
      <w:bookmarkStart w:id="51" w:name="_Toc493058318"/>
      <w:r>
        <w:rPr>
          <w:rFonts w:hint="eastAsia" w:ascii="宋体" w:hAnsi="宋体" w:cs="宋体"/>
          <w:b/>
          <w:bCs/>
          <w:color w:val="auto"/>
          <w:szCs w:val="21"/>
          <w:highlight w:val="none"/>
        </w:rPr>
        <w:t>评标</w:t>
      </w:r>
      <w:bookmarkEnd w:id="50"/>
      <w:r>
        <w:rPr>
          <w:rFonts w:hint="eastAsia" w:ascii="宋体" w:hAnsi="宋体" w:cs="宋体"/>
          <w:b/>
          <w:bCs/>
          <w:color w:val="auto"/>
          <w:szCs w:val="21"/>
          <w:highlight w:val="none"/>
        </w:rPr>
        <w:t>程序</w:t>
      </w:r>
      <w:bookmarkEnd w:id="51"/>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6"/>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Pr>
          <w:p>
            <w:pPr>
              <w:spacing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tcPr>
          <w:p>
            <w:pPr>
              <w:spacing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vAlign w:val="center"/>
          </w:tcPr>
          <w:p>
            <w:pPr>
              <w:spacing w:line="336" w:lineRule="auto"/>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tcPr>
          <w:p>
            <w:pPr>
              <w:numPr>
                <w:ilvl w:val="0"/>
                <w:numId w:val="15"/>
              </w:numPr>
              <w:spacing w:line="336" w:lineRule="auto"/>
              <w:rPr>
                <w:rFonts w:ascii="宋体" w:hAnsi="宋体" w:cs="宋体"/>
                <w:color w:val="auto"/>
                <w:highlight w:val="none"/>
              </w:rPr>
            </w:pP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vAlign w:val="center"/>
          </w:tcPr>
          <w:p>
            <w:pPr>
              <w:spacing w:line="336" w:lineRule="auto"/>
              <w:jc w:val="center"/>
              <w:rPr>
                <w:rFonts w:ascii="宋体" w:hAnsi="宋体" w:cs="宋体"/>
                <w:color w:val="auto"/>
                <w:szCs w:val="21"/>
                <w:highlight w:val="none"/>
              </w:rPr>
            </w:pPr>
          </w:p>
        </w:tc>
        <w:tc>
          <w:tcPr>
            <w:tcW w:w="6794" w:type="dxa"/>
          </w:tcPr>
          <w:p>
            <w:pPr>
              <w:numPr>
                <w:ilvl w:val="0"/>
                <w:numId w:val="15"/>
              </w:numPr>
              <w:spacing w:line="336" w:lineRule="auto"/>
              <w:rPr>
                <w:rFonts w:ascii="宋体" w:hAnsi="宋体" w:cs="宋体"/>
                <w:color w:val="auto"/>
                <w:szCs w:val="21"/>
                <w:highlight w:val="none"/>
              </w:rPr>
            </w:pPr>
            <w:r>
              <w:rPr>
                <w:rFonts w:hint="eastAsia" w:ascii="宋体" w:hAnsi="宋体" w:cs="宋体"/>
                <w:color w:val="auto"/>
                <w:szCs w:val="21"/>
                <w:highlight w:val="none"/>
              </w:rPr>
              <w:t>落实政府采购政策需满足的资格要求：本项目为专门面向中小微企业采购项目，供应商须为中小微企业。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36" w:lineRule="auto"/>
              <w:rPr>
                <w:rFonts w:ascii="宋体" w:hAnsi="宋体" w:cs="宋体"/>
                <w:color w:val="auto"/>
                <w:szCs w:val="21"/>
                <w:highlight w:val="none"/>
              </w:rPr>
            </w:pPr>
          </w:p>
        </w:tc>
        <w:tc>
          <w:tcPr>
            <w:tcW w:w="6794" w:type="dxa"/>
          </w:tcPr>
          <w:p>
            <w:pPr>
              <w:spacing w:line="336" w:lineRule="auto"/>
              <w:rPr>
                <w:rFonts w:ascii="宋体" w:hAnsi="宋体" w:cs="宋体"/>
                <w:color w:val="auto"/>
                <w:highlight w:val="none"/>
              </w:rPr>
            </w:pPr>
            <w:r>
              <w:rPr>
                <w:rFonts w:hint="eastAsia" w:ascii="宋体" w:hAnsi="宋体" w:cs="宋体"/>
                <w:color w:val="auto"/>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36" w:lineRule="auto"/>
              <w:rPr>
                <w:rFonts w:ascii="宋体" w:hAnsi="宋体" w:cs="宋体"/>
                <w:color w:val="auto"/>
                <w:szCs w:val="21"/>
                <w:highlight w:val="none"/>
              </w:rPr>
            </w:pPr>
          </w:p>
        </w:tc>
        <w:tc>
          <w:tcPr>
            <w:tcW w:w="6794" w:type="dxa"/>
          </w:tcPr>
          <w:p>
            <w:pPr>
              <w:spacing w:line="336" w:lineRule="auto"/>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本项目接受联合体投标；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spacing w:line="336" w:lineRule="auto"/>
              <w:rPr>
                <w:rFonts w:ascii="宋体" w:hAnsi="宋体" w:cs="宋体"/>
                <w:color w:val="auto"/>
                <w:szCs w:val="21"/>
                <w:highlight w:val="none"/>
              </w:rPr>
            </w:pPr>
          </w:p>
        </w:tc>
        <w:tc>
          <w:tcPr>
            <w:tcW w:w="6794" w:type="dxa"/>
          </w:tcPr>
          <w:p>
            <w:pPr>
              <w:spacing w:line="336" w:lineRule="auto"/>
              <w:rPr>
                <w:rFonts w:ascii="宋体" w:hAnsi="宋体" w:cs="宋体"/>
                <w:color w:val="auto"/>
                <w:highlight w:val="none"/>
              </w:rPr>
            </w:pPr>
            <w:r>
              <w:rPr>
                <w:rFonts w:hint="eastAsia" w:ascii="宋体" w:hAnsi="宋体" w:cs="宋体"/>
                <w:color w:val="auto"/>
                <w:szCs w:val="21"/>
                <w:highlight w:val="none"/>
              </w:rPr>
              <w:t>（五）招标文件要求的其他资格条件（如有）。</w:t>
            </w:r>
          </w:p>
        </w:tc>
      </w:tr>
    </w:tbl>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评标委员会应当对符合资格的供应商的投标文件进行符合性审查，以确定其是否满足招标文件的实质性要求。</w:t>
      </w:r>
    </w:p>
    <w:tbl>
      <w:tblPr>
        <w:tblStyle w:val="46"/>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tcPr>
          <w:p>
            <w:pPr>
              <w:spacing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525" w:type="dxa"/>
          </w:tcPr>
          <w:p>
            <w:pPr>
              <w:spacing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restart"/>
            <w:vAlign w:val="center"/>
          </w:tcPr>
          <w:p>
            <w:pPr>
              <w:spacing w:line="336"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36" w:lineRule="auto"/>
              <w:jc w:val="center"/>
              <w:rPr>
                <w:rFonts w:ascii="宋体" w:hAnsi="宋体" w:cs="宋体"/>
                <w:color w:val="auto"/>
                <w:szCs w:val="21"/>
                <w:highlight w:val="none"/>
              </w:rPr>
            </w:pPr>
            <w:r>
              <w:rPr>
                <w:rFonts w:hint="eastAsia" w:ascii="宋体" w:hAnsi="宋体" w:cs="宋体"/>
                <w:color w:val="auto"/>
                <w:szCs w:val="21"/>
                <w:highlight w:val="none"/>
              </w:rPr>
              <w:t>（商务技术文件）</w:t>
            </w: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（一）投标函已提交并符合招标文件要求；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（二）按照招标文件规定要求签署或盖章；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（三）投标文件有法定代表人签署本人姓名（或印盖本人姓名章），或签署人提供有效的法定代表人授权委托书且授权委托书填写项目齐全的；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（四）投标文件项目齐全；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kern w:val="0"/>
                <w:szCs w:val="21"/>
                <w:highlight w:val="none"/>
              </w:rPr>
            </w:pPr>
            <w:r>
              <w:rPr>
                <w:rFonts w:hint="eastAsia" w:ascii="宋体" w:hAnsi="宋体" w:cs="宋体"/>
                <w:color w:val="auto"/>
                <w:szCs w:val="21"/>
                <w:highlight w:val="none"/>
              </w:rPr>
              <w:t>（五）投标文件标明的响应或偏离与事实相符且无虚假投标的；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（六）投标文件的实质性内容使用中文表述且意思表述明确，前后无矛盾且使用计量单位符合招标文件要求的；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（七）带“★”的条款满足招标文件要求、已实质性响应招标文件要求且投标文件无采购人不能接受的附加条件的；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（八）投标技术方案明确，不存在一个或一个以上备选（替代）投标方案的；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（九）商务技术文件中未出现报价或单价的；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（十）不存在法律、法规和招标文件规定的其他无效情形；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vAlign w:val="center"/>
          </w:tcPr>
          <w:p>
            <w:pPr>
              <w:spacing w:line="336" w:lineRule="auto"/>
              <w:jc w:val="center"/>
              <w:rPr>
                <w:rFonts w:ascii="宋体" w:hAnsi="宋体" w:cs="宋体"/>
                <w:color w:val="auto"/>
                <w:szCs w:val="21"/>
                <w:highlight w:val="none"/>
              </w:rPr>
            </w:pPr>
          </w:p>
        </w:tc>
        <w:tc>
          <w:tcPr>
            <w:tcW w:w="6525" w:type="dxa"/>
            <w:vAlign w:val="center"/>
          </w:tcPr>
          <w:p>
            <w:pPr>
              <w:tabs>
                <w:tab w:val="left" w:pos="612"/>
              </w:tabs>
              <w:spacing w:line="336" w:lineRule="auto"/>
              <w:rPr>
                <w:rFonts w:ascii="宋体" w:hAnsi="宋体" w:cs="宋体"/>
                <w:color w:val="auto"/>
                <w:szCs w:val="21"/>
                <w:highlight w:val="none"/>
              </w:rPr>
            </w:pPr>
            <w:r>
              <w:rPr>
                <w:rFonts w:hint="eastAsia" w:ascii="宋体" w:hAnsi="宋体" w:cs="宋体"/>
                <w:color w:val="auto"/>
                <w:szCs w:val="21"/>
                <w:highlight w:val="none"/>
              </w:rPr>
              <w:t>（十一）不存在投标文件的有效期不满足招标文件要求情形；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restart"/>
            <w:vAlign w:val="center"/>
          </w:tcPr>
          <w:p>
            <w:pPr>
              <w:spacing w:line="336"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36" w:lineRule="auto"/>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（报价文件）</w:t>
            </w: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（一）按照招标文件规定要求签署或盖章；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（二）投标文件项目齐全；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（三）采用人民币报价或者按照招标文件标明的币种报价的；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（四）不存在报价超出最高限价，或者超出采购预算金额，采购人不能支付的情形。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（五）不存在投标报价具有选择性的情形；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（六）投标报价中未出现重大缺项、漏项；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（七）不存在评标委员会认为供应商的报价明显低于其他通过符合性审查供应商的报价，有可能影响产品质量或者不能诚信履约的且不能在评标现场合理时间内提供相关证明材料说明其报价的合理性的情形；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（八）投标文件（报价文件）内容与投标文件（商务技术文件）内容不存在重大差异的；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90" w:type="dxa"/>
            <w:vMerge w:val="continue"/>
          </w:tcPr>
          <w:p>
            <w:pPr>
              <w:spacing w:line="336" w:lineRule="auto"/>
              <w:ind w:firstLine="210" w:firstLineChars="100"/>
              <w:rPr>
                <w:rFonts w:ascii="宋体" w:hAnsi="宋体" w:cs="宋体"/>
                <w:color w:val="auto"/>
                <w:szCs w:val="21"/>
                <w:highlight w:val="none"/>
              </w:rPr>
            </w:pPr>
          </w:p>
        </w:tc>
        <w:tc>
          <w:tcPr>
            <w:tcW w:w="6525" w:type="dxa"/>
            <w:vAlign w:val="center"/>
          </w:tcPr>
          <w:p>
            <w:pPr>
              <w:spacing w:line="336" w:lineRule="auto"/>
              <w:rPr>
                <w:rFonts w:ascii="宋体" w:hAnsi="宋体" w:cs="宋体"/>
                <w:color w:val="auto"/>
                <w:szCs w:val="21"/>
                <w:highlight w:val="none"/>
              </w:rPr>
            </w:pPr>
            <w:r>
              <w:rPr>
                <w:rFonts w:hint="eastAsia" w:ascii="宋体" w:hAnsi="宋体" w:cs="宋体"/>
                <w:color w:val="auto"/>
                <w:szCs w:val="21"/>
                <w:highlight w:val="none"/>
              </w:rPr>
              <w:t>（九）不存在法律、法规和招标文件规定的其他无效情形；</w:t>
            </w:r>
          </w:p>
        </w:tc>
      </w:tr>
    </w:tbl>
    <w:p>
      <w:pPr>
        <w:spacing w:line="360" w:lineRule="auto"/>
        <w:ind w:firstLine="422" w:firstLineChars="200"/>
        <w:rPr>
          <w:rFonts w:ascii="宋体" w:hAnsi="宋体" w:cs="宋体"/>
          <w:b/>
          <w:color w:val="auto"/>
          <w:highlight w:val="none"/>
        </w:rPr>
      </w:pPr>
      <w:bookmarkStart w:id="52" w:name="_Toc259108323"/>
      <w:bookmarkStart w:id="53" w:name="_Toc249866767"/>
      <w:r>
        <w:rPr>
          <w:rFonts w:hint="eastAsia" w:ascii="宋体" w:hAnsi="宋体" w:cs="宋体"/>
          <w:b/>
          <w:color w:val="auto"/>
          <w:highlight w:val="none"/>
        </w:rPr>
        <w:t>（三）投标无效的情形</w:t>
      </w:r>
      <w:bookmarkEnd w:id="52"/>
      <w:bookmarkEnd w:id="53"/>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没有响应招标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pPr>
        <w:widowControl/>
        <w:spacing w:line="360" w:lineRule="auto"/>
        <w:ind w:firstLine="422" w:firstLineChars="200"/>
        <w:rPr>
          <w:color w:val="auto"/>
          <w:highlight w:val="none"/>
        </w:rPr>
      </w:pPr>
      <w:r>
        <w:rPr>
          <w:rFonts w:hint="eastAsia" w:ascii="宋体" w:hAnsi="宋体" w:cs="宋体"/>
          <w:b/>
          <w:bCs/>
          <w:color w:val="auto"/>
          <w:szCs w:val="21"/>
          <w:highlight w:val="none"/>
        </w:rPr>
        <w:t>★上传投标文件同一网卡地址、同一IP地址的为无效标。</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A、在资格审查时，如发现下列情形之一的，将被视为无效投标文件：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1、资格证明文件不全的或者不符合招标文件标明的资格要求的；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2、供应商资格声明函无法定代表人或授权代表签名或盖章；</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B、在符合性审查（商务技术文件）时，如发现下列情形之一的，将被视为无效投标文件：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w:t>
      </w:r>
      <w:r>
        <w:rPr>
          <w:rFonts w:hint="eastAsia" w:ascii="宋体" w:hAnsi="宋体" w:cs="宋体"/>
          <w:color w:val="auto"/>
          <w:highlight w:val="none"/>
        </w:rPr>
        <w:t>提交投标函或投标函内容不符合招标文件要求；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2、未按照招标文件规定要求签署或盖章；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5、投标文件标明的响应或偏离与事实不符或虚假投标的；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7、带“★”的条款不能满足招标文件要求、未实质性响应招标文件要求或者投标文件有采购人不能接受的附加条件的；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8、投标技术方案不明确，存在一个或一个以上备选（替代）投标方案的；</w:t>
      </w:r>
    </w:p>
    <w:p>
      <w:pPr>
        <w:spacing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9、商务技术文件中出现报价或单价的；</w:t>
      </w:r>
    </w:p>
    <w:p>
      <w:pPr>
        <w:spacing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10、法律、法规和招标文件规定的其他无效情形；</w:t>
      </w:r>
    </w:p>
    <w:p>
      <w:pPr>
        <w:spacing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11、投标文件的有效期不满足招标文件要求；</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C、在符合性审查（报价文件）时，如发现下列情形之一的，将被视为无效投标文件：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1、未按照招标文件规定要求签署或盖章；</w:t>
      </w:r>
    </w:p>
    <w:p>
      <w:pPr>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2、投标文件项目不齐全；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3、未采用人民币报价或者未按照招标文件标明的币种报价的；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4、报价超出最高限价，或者超出采购预算金额，采购人不能支付的；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5、投标报价具有选择性的；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6、投标报价中出现重大缺项、漏项；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8、投标文件（报价文件）内容与投标文件（商务技术文件）内容有重大差异的；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9、法律、法规和招标文件规定的其他无效情形；</w:t>
      </w:r>
    </w:p>
    <w:p>
      <w:pPr>
        <w:numPr>
          <w:ilvl w:val="0"/>
          <w:numId w:val="16"/>
        </w:numPr>
        <w:spacing w:line="360" w:lineRule="exact"/>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rPr>
        <w:t>评分标准（兼评委打分表）</w:t>
      </w:r>
    </w:p>
    <w:tbl>
      <w:tblPr>
        <w:tblStyle w:val="46"/>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31"/>
        <w:gridCol w:w="5899"/>
        <w:gridCol w:w="66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评分项目</w:t>
            </w:r>
          </w:p>
        </w:tc>
        <w:tc>
          <w:tcPr>
            <w:tcW w:w="1331"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评审内容</w:t>
            </w:r>
          </w:p>
        </w:tc>
        <w:tc>
          <w:tcPr>
            <w:tcW w:w="5899"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评分细则</w:t>
            </w:r>
          </w:p>
        </w:tc>
        <w:tc>
          <w:tcPr>
            <w:tcW w:w="660"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分值</w:t>
            </w:r>
          </w:p>
        </w:tc>
        <w:tc>
          <w:tcPr>
            <w:tcW w:w="982" w:type="dxa"/>
            <w:vAlign w:val="center"/>
          </w:tcPr>
          <w:p>
            <w:pPr>
              <w:widowControl/>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评分项类型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价格分（20分）</w:t>
            </w:r>
          </w:p>
        </w:tc>
        <w:tc>
          <w:tcPr>
            <w:tcW w:w="1331"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投标报价</w:t>
            </w:r>
          </w:p>
        </w:tc>
        <w:tc>
          <w:tcPr>
            <w:tcW w:w="5899" w:type="dxa"/>
            <w:vAlign w:val="center"/>
          </w:tcPr>
          <w:p>
            <w:pPr>
              <w:rPr>
                <w:rFonts w:ascii="宋体" w:hAnsi="宋体" w:cs="宋体"/>
                <w:bCs/>
                <w:color w:val="auto"/>
                <w:szCs w:val="21"/>
                <w:highlight w:val="none"/>
              </w:rPr>
            </w:pPr>
            <w:r>
              <w:rPr>
                <w:rFonts w:hint="eastAsia" w:ascii="宋体" w:hAnsi="宋体" w:cs="宋体"/>
                <w:bCs/>
                <w:color w:val="auto"/>
                <w:szCs w:val="21"/>
                <w:highlight w:val="none"/>
              </w:rPr>
              <w:t>参与评审的价格=投标报价；</w:t>
            </w:r>
          </w:p>
          <w:p>
            <w:pPr>
              <w:rPr>
                <w:rFonts w:ascii="宋体" w:hAnsi="宋体" w:cs="宋体"/>
                <w:bCs/>
                <w:color w:val="auto"/>
                <w:szCs w:val="21"/>
                <w:highlight w:val="none"/>
              </w:rPr>
            </w:pPr>
            <w:r>
              <w:rPr>
                <w:rFonts w:hint="eastAsia" w:ascii="宋体" w:hAnsi="宋体" w:cs="宋体"/>
                <w:bCs/>
                <w:color w:val="auto"/>
                <w:szCs w:val="21"/>
                <w:highlight w:val="none"/>
              </w:rPr>
              <w:t>基准价=满足招标文件要求且最低的参与评审的价格，基准价20分；</w:t>
            </w:r>
          </w:p>
          <w:p>
            <w:pPr>
              <w:rPr>
                <w:rFonts w:ascii="宋体" w:hAnsi="宋体" w:cs="宋体"/>
                <w:color w:val="auto"/>
                <w:szCs w:val="21"/>
                <w:highlight w:val="none"/>
              </w:rPr>
            </w:pPr>
            <w:r>
              <w:rPr>
                <w:rFonts w:hint="eastAsia" w:ascii="宋体" w:hAnsi="宋体" w:cs="宋体"/>
                <w:bCs/>
                <w:color w:val="auto"/>
                <w:szCs w:val="21"/>
                <w:highlight w:val="none"/>
              </w:rPr>
              <w:t>其余供应商得分为：报价得分=（基准价/参与评审的价格）×20%×100。</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20</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restar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商务技术分80分</w:t>
            </w: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1、技术路线</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根据供应商提供的技术路线（包括技术手段全面、具体步骤及解决关键性问题的方法科学）进行评议：手段全面、方法科学的得满分5分，手段欠全面、方法欠科学的每一项扣1分；手段不全面、方法不科学的每一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2、组织和实施计划</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根据供应商针对本项目的组织和实施计划（包括资源配备计划合理、进度计划科学）进行评议：资源配备计划合理、进度计划科学的得满分5分，资源配备计划欠合理、进度计划欠科学的每一项扣1分；资源配备计划不合理、进度计划不科学的每一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2、技术重难点分析</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根据供应商提供的技术重难点分析（包括技术重点分析准确、技术难点分析合理）进行评议：分析准确、分析合理的得满分4分，分析欠准确、分析欠合理的每一项扣1分；分析不准确、分析不合理的每一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Merge w:val="restart"/>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3、实施方案</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3.1、根据供应商提供的资料收集和初步整理分析工作计划，制定实施方案进行评议：资料收集和初步整理分析工作计划合理、制定实施方案科学的得满分5分，欠合理、欠科学的每项扣1分，不合理不科学的每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Merge w:val="restart"/>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13" w:type="dxa"/>
            <w:vMerge w:val="continue"/>
            <w:vAlign w:val="center"/>
          </w:tcPr>
          <w:p>
            <w:pPr>
              <w:widowControl/>
              <w:rPr>
                <w:color w:val="auto"/>
                <w:highlight w:val="none"/>
              </w:rPr>
            </w:pPr>
          </w:p>
        </w:tc>
        <w:tc>
          <w:tcPr>
            <w:tcW w:w="1331" w:type="dxa"/>
            <w:vMerge w:val="continue"/>
            <w:vAlign w:val="center"/>
          </w:tcPr>
          <w:p>
            <w:pPr>
              <w:widowControl/>
              <w:rPr>
                <w:color w:val="auto"/>
                <w:highlight w:val="none"/>
              </w:rPr>
            </w:pP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3.2、根据供应商提供的跨县级行政区域的飞地进行排查方案进行评议：对目标区域清晰，排查方案可行的得满分5分，欠清晰、欠合理的每项扣1分，不清晰、不合理的每项扣2分，没有相关内容的不得分。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Merge w:val="continue"/>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13" w:type="dxa"/>
            <w:vMerge w:val="continue"/>
            <w:vAlign w:val="center"/>
          </w:tcPr>
          <w:p>
            <w:pPr>
              <w:widowControl/>
              <w:rPr>
                <w:color w:val="auto"/>
                <w:highlight w:val="none"/>
              </w:rPr>
            </w:pPr>
          </w:p>
        </w:tc>
        <w:tc>
          <w:tcPr>
            <w:tcW w:w="1331" w:type="dxa"/>
            <w:vMerge w:val="continue"/>
            <w:vAlign w:val="center"/>
          </w:tcPr>
          <w:p>
            <w:pPr>
              <w:widowControl/>
              <w:rPr>
                <w:color w:val="auto"/>
                <w:highlight w:val="none"/>
              </w:rPr>
            </w:pP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3.3根据供应商提供的完成现有登记成果的转换整合入库工作，并对转换成果进行自检方案进行评议：工作安排合理、自检方案完善的得满分5分，欠合理、欠完善的每项扣1分，不合理、有欠缺的每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Merge w:val="continue"/>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jc w:val="center"/>
        </w:trPr>
        <w:tc>
          <w:tcPr>
            <w:tcW w:w="813" w:type="dxa"/>
            <w:vMerge w:val="continue"/>
            <w:vAlign w:val="center"/>
          </w:tcPr>
          <w:p>
            <w:pPr>
              <w:widowControl/>
              <w:rPr>
                <w:rFonts w:ascii="宋体" w:hAnsi="宋体" w:cs="宋体"/>
                <w:color w:val="auto"/>
                <w:kern w:val="0"/>
                <w:szCs w:val="21"/>
                <w:highlight w:val="none"/>
              </w:rPr>
            </w:pPr>
          </w:p>
        </w:tc>
        <w:tc>
          <w:tcPr>
            <w:tcW w:w="1331" w:type="dxa"/>
            <w:vMerge w:val="continue"/>
            <w:vAlign w:val="center"/>
          </w:tcPr>
          <w:p>
            <w:pPr>
              <w:widowControl/>
              <w:rPr>
                <w:rFonts w:ascii="宋体" w:hAnsi="宋体" w:cs="宋体"/>
                <w:color w:val="auto"/>
                <w:kern w:val="0"/>
                <w:szCs w:val="21"/>
                <w:highlight w:val="none"/>
              </w:rPr>
            </w:pP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3.4根据供应商针对县级、市级、省厅级质检的准备工作和流程熟悉程度进行评议：准备工作充分、流程熟悉的得满分5分，欠充分、欠熟悉的每项扣1分，不充分、不熟悉的每项扣2分，没有相关内容的不得分。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Merge w:val="continue"/>
            <w:vAlign w:val="center"/>
          </w:tcPr>
          <w:p>
            <w:pPr>
              <w:widowControl/>
              <w:rPr>
                <w:rFonts w:ascii="宋体" w:hAnsi="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4、项目负责人</w:t>
            </w:r>
          </w:p>
        </w:tc>
        <w:tc>
          <w:tcPr>
            <w:tcW w:w="5899" w:type="dxa"/>
            <w:vAlign w:val="center"/>
          </w:tcPr>
          <w:p>
            <w:pPr>
              <w:widowControl/>
              <w:rPr>
                <w:rFonts w:ascii="宋体" w:hAnsi="宋体"/>
                <w:color w:val="auto"/>
                <w:kern w:val="0"/>
                <w:szCs w:val="21"/>
                <w:highlight w:val="none"/>
              </w:rPr>
            </w:pPr>
            <w:r>
              <w:rPr>
                <w:rFonts w:hint="eastAsia" w:ascii="宋体" w:hAnsi="宋体" w:cs="宋体"/>
                <w:color w:val="auto"/>
                <w:kern w:val="0"/>
                <w:szCs w:val="21"/>
                <w:highlight w:val="none"/>
              </w:rPr>
              <w:t>供应商拟派的项目负责人为注册测绘师和测绘类高级职称的得</w:t>
            </w:r>
            <w:r>
              <w:rPr>
                <w:rFonts w:ascii="宋体" w:hAnsi="宋体" w:cs="宋体"/>
                <w:color w:val="auto"/>
                <w:kern w:val="0"/>
                <w:szCs w:val="21"/>
                <w:highlight w:val="none"/>
              </w:rPr>
              <w:t>1</w:t>
            </w:r>
            <w:r>
              <w:rPr>
                <w:rFonts w:hint="eastAsia" w:ascii="宋体" w:hAnsi="宋体" w:cs="宋体"/>
                <w:color w:val="auto"/>
                <w:kern w:val="0"/>
                <w:szCs w:val="21"/>
                <w:highlight w:val="none"/>
              </w:rPr>
              <w:t>分。</w:t>
            </w:r>
            <w:r>
              <w:rPr>
                <w:rFonts w:hint="eastAsia" w:ascii="宋体" w:hAnsi="宋体" w:cs="宋体"/>
                <w:color w:val="auto"/>
                <w:kern w:val="0"/>
                <w:szCs w:val="21"/>
                <w:highlight w:val="none"/>
              </w:rPr>
              <w:t>且具有“全国国土利用遥感监测生产”经验</w:t>
            </w:r>
            <w:r>
              <w:rPr>
                <w:rFonts w:hint="eastAsia" w:ascii="宋体" w:hAnsi="宋体" w:cs="宋体"/>
                <w:color w:val="auto"/>
                <w:kern w:val="0"/>
                <w:szCs w:val="21"/>
                <w:highlight w:val="none"/>
              </w:rPr>
              <w:t>的得</w:t>
            </w:r>
            <w:r>
              <w:rPr>
                <w:rFonts w:ascii="宋体" w:hAnsi="宋体" w:cs="宋体"/>
                <w:color w:val="auto"/>
                <w:kern w:val="0"/>
                <w:szCs w:val="21"/>
                <w:highlight w:val="none"/>
              </w:rPr>
              <w:t>2</w:t>
            </w:r>
            <w:r>
              <w:rPr>
                <w:rFonts w:hint="eastAsia" w:ascii="宋体" w:hAnsi="宋体" w:cs="宋体"/>
                <w:color w:val="auto"/>
                <w:kern w:val="0"/>
                <w:szCs w:val="21"/>
                <w:highlight w:val="none"/>
              </w:rPr>
              <w:t>分。不满足的不得分，本项合计最高3分。</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注：投标文件中须同时提供以下证明材料的复印件加盖公章：①</w:t>
            </w:r>
            <w:r>
              <w:rPr>
                <w:rFonts w:hint="eastAsia" w:ascii="宋体" w:hAnsi="宋体" w:cs="宋体"/>
                <w:color w:val="auto"/>
                <w:szCs w:val="21"/>
                <w:highlight w:val="none"/>
                <w:lang w:val="ru-RU"/>
              </w:rPr>
              <w:t>资格证书</w:t>
            </w:r>
            <w:r>
              <w:rPr>
                <w:rFonts w:hint="eastAsia" w:ascii="宋体" w:hAnsi="宋体" w:cs="宋体"/>
                <w:color w:val="auto"/>
                <w:kern w:val="0"/>
                <w:szCs w:val="21"/>
                <w:highlight w:val="none"/>
              </w:rPr>
              <w:t>、职称证书；②“项目合同”或“用户证明”或“获奖证书”，须明确相应负责人；③距开标日近三个月的社保证明（事业编制人员需提供事业单位出具的证明）。</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5、技术负责人</w:t>
            </w:r>
          </w:p>
        </w:tc>
        <w:tc>
          <w:tcPr>
            <w:tcW w:w="5899" w:type="dxa"/>
            <w:vAlign w:val="center"/>
          </w:tcPr>
          <w:p>
            <w:pPr>
              <w:widowControl/>
              <w:rPr>
                <w:rFonts w:ascii="宋体" w:hAnsi="宋体"/>
                <w:color w:val="auto"/>
                <w:kern w:val="0"/>
                <w:szCs w:val="21"/>
                <w:highlight w:val="none"/>
              </w:rPr>
            </w:pPr>
            <w:r>
              <w:rPr>
                <w:rFonts w:hint="eastAsia" w:ascii="宋体" w:hAnsi="宋体" w:cs="宋体"/>
                <w:color w:val="auto"/>
                <w:kern w:val="0"/>
                <w:szCs w:val="21"/>
                <w:highlight w:val="none"/>
              </w:rPr>
              <w:t>供应商拟派的技术负责人为注册测绘师和测绘类高级职称的得</w:t>
            </w:r>
            <w:r>
              <w:rPr>
                <w:rFonts w:ascii="宋体" w:hAnsi="宋体" w:cs="宋体"/>
                <w:color w:val="auto"/>
                <w:kern w:val="0"/>
                <w:szCs w:val="21"/>
                <w:highlight w:val="none"/>
              </w:rPr>
              <w:t>3</w:t>
            </w:r>
            <w:r>
              <w:rPr>
                <w:rFonts w:hint="eastAsia" w:ascii="宋体" w:hAnsi="宋体" w:cs="宋体"/>
                <w:color w:val="auto"/>
                <w:kern w:val="0"/>
                <w:szCs w:val="21"/>
                <w:highlight w:val="none"/>
              </w:rPr>
              <w:t>分。不满足的不得分，本项最高</w:t>
            </w:r>
            <w:r>
              <w:rPr>
                <w:rFonts w:ascii="宋体" w:hAnsi="宋体" w:cs="宋体"/>
                <w:color w:val="auto"/>
                <w:kern w:val="0"/>
                <w:szCs w:val="21"/>
                <w:highlight w:val="none"/>
              </w:rPr>
              <w:t>3</w:t>
            </w:r>
            <w:r>
              <w:rPr>
                <w:rFonts w:hint="eastAsia" w:ascii="宋体" w:hAnsi="宋体" w:cs="宋体"/>
                <w:color w:val="auto"/>
                <w:kern w:val="0"/>
                <w:szCs w:val="21"/>
                <w:highlight w:val="none"/>
              </w:rPr>
              <w:t>分。</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注：投标文件中须同时提供以下证明材料的复印件加盖公章：①</w:t>
            </w:r>
            <w:r>
              <w:rPr>
                <w:rFonts w:hint="eastAsia" w:ascii="宋体" w:hAnsi="宋体" w:cs="宋体"/>
                <w:color w:val="auto"/>
                <w:szCs w:val="21"/>
                <w:highlight w:val="none"/>
                <w:lang w:val="ru-RU"/>
              </w:rPr>
              <w:t>资格证书、</w:t>
            </w:r>
            <w:r>
              <w:rPr>
                <w:rFonts w:hint="eastAsia" w:ascii="宋体" w:hAnsi="宋体" w:cs="宋体"/>
                <w:color w:val="auto"/>
                <w:kern w:val="0"/>
                <w:szCs w:val="21"/>
                <w:highlight w:val="none"/>
              </w:rPr>
              <w:t>职称证书；②距开标日近三个月的社保证明（事业编制人员需提供事业单位出具的证明）。</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6、保密负责人</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考虑到本项目数据的保密性，项目要求投标人在项目执行期间设立保密负责人一名，投标人拟派出本项目的保密负责人同时具有测绘类高级职称及行政主管部门颁发的涉密测绘成果管理人员资格证书的得3分。</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注：投标文件中须同时提供以下证明材料的复印件加盖公章：①资格证书、职称证书；②距开标日近三个月的社保证明（事业编制人员需提供事业单位出具的证明）。</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7、拟派人员（不包括项目、技术、保密负责人）</w:t>
            </w:r>
          </w:p>
        </w:tc>
        <w:tc>
          <w:tcPr>
            <w:tcW w:w="5899" w:type="dxa"/>
            <w:vAlign w:val="center"/>
          </w:tcPr>
          <w:p>
            <w:pPr>
              <w:widowControl/>
              <w:ind w:firstLine="105" w:firstLineChars="50"/>
              <w:rPr>
                <w:rFonts w:ascii="宋体" w:hAnsi="宋体" w:cs="宋体"/>
                <w:color w:val="auto"/>
                <w:kern w:val="0"/>
                <w:szCs w:val="21"/>
                <w:highlight w:val="none"/>
              </w:rPr>
            </w:pPr>
            <w:r>
              <w:rPr>
                <w:rFonts w:hint="eastAsia" w:ascii="宋体" w:hAnsi="宋体" w:cs="宋体"/>
                <w:color w:val="auto"/>
                <w:kern w:val="0"/>
                <w:szCs w:val="21"/>
                <w:highlight w:val="none"/>
              </w:rPr>
              <w:t>应商拟派人员中具备测绘类中级职称（含以上职称）或注册测绘师的人员；</w:t>
            </w:r>
            <w:bookmarkStart w:id="54" w:name="OLE_LINK2"/>
            <w:r>
              <w:rPr>
                <w:rFonts w:hint="eastAsia" w:ascii="宋体" w:hAnsi="宋体" w:cs="宋体"/>
                <w:color w:val="auto"/>
                <w:kern w:val="0"/>
                <w:szCs w:val="21"/>
                <w:highlight w:val="none"/>
              </w:rPr>
              <w:t>投入</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人以下不得分；</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人的得1分；</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人的得2分；</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人及以上的得3分，本小项最高得3分。</w:t>
            </w:r>
          </w:p>
          <w:bookmarkEnd w:id="54"/>
          <w:p>
            <w:pPr>
              <w:widowControl/>
              <w:rPr>
                <w:rFonts w:ascii="宋体" w:hAnsi="宋体" w:cs="宋体"/>
                <w:color w:val="auto"/>
                <w:kern w:val="0"/>
                <w:szCs w:val="21"/>
                <w:highlight w:val="none"/>
              </w:rPr>
            </w:pPr>
            <w:r>
              <w:rPr>
                <w:rFonts w:hint="eastAsia" w:ascii="宋体" w:hAnsi="宋体" w:cs="宋体"/>
                <w:color w:val="auto"/>
                <w:kern w:val="0"/>
                <w:szCs w:val="21"/>
                <w:highlight w:val="none"/>
              </w:rPr>
              <w:t>上述人员不得重复，投标文件中须提供以上人员的相关证书等有效证明材料和距开标日近三个月的社保证明（事业编制人员需提供事业单位出具的证明）加盖公章。</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8、项目组织管理</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项目组织管理方案针对作业区域的特点，根据人员和设备配备的工作计划安排情况的进行评议，针对性强、工作计划安排科学合理的得满分5分，针对性欠缺、工作计划安排欠合理的每一项扣1分，没有针对性、工作计划安排不合理的每一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9、成果验收方案</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根据供应商针对本项目的成果验收方案（包括专家组织方案可行、验收流程合理）进行评议：方案可行、流程合理的满分5分，方案欠可行、流程欠合理的每一项扣1分；方案不可行、流程不合理的每一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Merge w:val="restart"/>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10、项目保障及后续</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根据供应商针对本项目的工作成果保证（包括技术力量配备全面、编制质量控制和管理方案可行）进行评议：技术力量全面、控制和管理方案可行的得满分5分，技术力量欠全面、控制和管理方案欠可行的每一项扣1分，技术力量不全面、控制和管理方案不可行的每一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Merge w:val="continue"/>
            <w:vAlign w:val="center"/>
          </w:tcPr>
          <w:p>
            <w:pPr>
              <w:widowControl/>
              <w:jc w:val="left"/>
              <w:rPr>
                <w:rFonts w:ascii="宋体" w:hAnsi="宋体" w:cs="宋体"/>
                <w:color w:val="auto"/>
                <w:kern w:val="0"/>
                <w:szCs w:val="21"/>
                <w:highlight w:val="none"/>
              </w:rPr>
            </w:pP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2）根据针对本项目服务响应速度是否及时、后续保障服务是否合理进行评议。服务响应速度承诺及时、后续保障服务可行的得满分5分，服务响应速度承诺欠及时，后续保障服务欠可行的每一项扣1分，服务响应速度承诺不及时，后续保障服务不可行的每一项扣2分，没有相关内容的不得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Merge w:val="restart"/>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11、履约能力</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（1）供应商具有以下有效证书每一份得1分，满分4分：</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1）质量管理体系认证证书；</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2）环境管理体系认证证书；</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3）职业健康安全管理体系认证证书；</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4）信息安全管理体系认证证书。</w:t>
            </w:r>
          </w:p>
          <w:p>
            <w:pPr>
              <w:widowControl/>
              <w:rPr>
                <w:rFonts w:ascii="宋体" w:hAnsi="宋体" w:cs="宋体"/>
                <w:color w:val="auto"/>
                <w:kern w:val="0"/>
                <w:szCs w:val="21"/>
                <w:highlight w:val="none"/>
              </w:rPr>
            </w:pPr>
            <w:r>
              <w:rPr>
                <w:rFonts w:hint="eastAsia" w:ascii="宋体" w:hAnsi="宋体" w:cs="宋体"/>
                <w:color w:val="auto"/>
                <w:kern w:val="0"/>
                <w:szCs w:val="21"/>
                <w:highlight w:val="none"/>
              </w:rPr>
              <w:t>注：投标文件中需提供加盖供应商公章的证明材料复印件。</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Merge w:val="continue"/>
            <w:vAlign w:val="center"/>
          </w:tcPr>
          <w:p>
            <w:pPr>
              <w:widowControl/>
              <w:rPr>
                <w:rFonts w:ascii="宋体" w:hAnsi="宋体" w:cs="宋体"/>
                <w:color w:val="auto"/>
                <w:kern w:val="0"/>
                <w:szCs w:val="21"/>
                <w:highlight w:val="none"/>
              </w:rPr>
            </w:pPr>
          </w:p>
        </w:tc>
        <w:tc>
          <w:tcPr>
            <w:tcW w:w="5899" w:type="dxa"/>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（2）供应商获得过省部级（不含学会、协会）测绘类、地理信息类奖项的得2分，获得国家级（不含学会、协会）测绘类、地理信息类奖项的得4分。本项合计最高得6分</w:t>
            </w:r>
          </w:p>
          <w:p>
            <w:pPr>
              <w:widowControl/>
              <w:rPr>
                <w:rFonts w:hint="default" w:ascii="宋体" w:hAnsi="宋体" w:cs="宋体"/>
                <w:color w:val="auto"/>
                <w:kern w:val="0"/>
                <w:szCs w:val="21"/>
                <w:highlight w:val="none"/>
                <w:lang w:val="en-US"/>
              </w:rPr>
            </w:pPr>
            <w:r>
              <w:rPr>
                <w:rFonts w:hint="eastAsia" w:ascii="宋体" w:hAnsi="宋体" w:cs="宋体"/>
                <w:color w:val="auto"/>
                <w:kern w:val="0"/>
                <w:szCs w:val="21"/>
                <w:highlight w:val="none"/>
              </w:rPr>
              <w:t>注：投标文件中需提供加盖</w:t>
            </w:r>
            <w:r>
              <w:rPr>
                <w:rFonts w:hint="eastAsia" w:ascii="宋体" w:hAnsi="宋体" w:cs="宋体"/>
                <w:color w:val="auto"/>
                <w:kern w:val="0"/>
                <w:szCs w:val="21"/>
                <w:highlight w:val="none"/>
                <w:lang w:val="en-US"/>
              </w:rPr>
              <w:t>供应商</w:t>
            </w:r>
            <w:r>
              <w:rPr>
                <w:rFonts w:hint="eastAsia" w:ascii="宋体" w:hAnsi="宋体" w:cs="宋体"/>
                <w:color w:val="auto"/>
                <w:kern w:val="0"/>
                <w:szCs w:val="21"/>
                <w:highlight w:val="none"/>
              </w:rPr>
              <w:t>公章的证明材料复印件。</w:t>
            </w:r>
          </w:p>
        </w:tc>
        <w:tc>
          <w:tcPr>
            <w:tcW w:w="660" w:type="dxa"/>
            <w:vAlign w:val="center"/>
          </w:tcPr>
          <w:p>
            <w:pPr>
              <w:widowControl/>
              <w:jc w:val="center"/>
              <w:rPr>
                <w:rFonts w:ascii="宋体" w:hAnsi="宋体" w:cs="宋体"/>
                <w:color w:val="auto"/>
                <w:kern w:val="0"/>
                <w:szCs w:val="21"/>
                <w:highlight w:val="none"/>
              </w:rPr>
            </w:pPr>
            <w:r>
              <w:rPr>
                <w:rFonts w:ascii="宋体" w:hAnsi="宋体" w:cs="宋体"/>
                <w:color w:val="auto"/>
                <w:kern w:val="0"/>
                <w:szCs w:val="21"/>
                <w:highlight w:val="none"/>
              </w:rPr>
              <w:t>6</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12、相关业绩</w:t>
            </w:r>
          </w:p>
        </w:tc>
        <w:tc>
          <w:tcPr>
            <w:tcW w:w="5899" w:type="dxa"/>
            <w:vAlign w:val="center"/>
          </w:tcPr>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（1）</w:t>
            </w:r>
            <w:r>
              <w:rPr>
                <w:rFonts w:hint="eastAsia" w:ascii="宋体" w:hAnsi="宋体" w:cs="宋体"/>
                <w:color w:val="auto"/>
                <w:kern w:val="0"/>
                <w:szCs w:val="21"/>
                <w:highlight w:val="none"/>
              </w:rPr>
              <w:t>投标人承担过类似集体土地所有权确权登记或不动产数据整合项目业绩的，每有一个得0.5分，满分得2分。</w:t>
            </w:r>
          </w:p>
          <w:p>
            <w:pPr>
              <w:widowControl/>
              <w:rPr>
                <w:rFonts w:hint="eastAsia" w:ascii="宋体" w:hAnsi="宋体" w:cs="宋体"/>
                <w:color w:val="auto"/>
                <w:kern w:val="0"/>
                <w:szCs w:val="21"/>
                <w:highlight w:val="none"/>
              </w:rPr>
            </w:pPr>
            <w:r>
              <w:rPr>
                <w:rFonts w:hint="eastAsia" w:ascii="宋体" w:hAnsi="宋体" w:cs="宋体"/>
                <w:color w:val="auto"/>
                <w:kern w:val="0"/>
                <w:szCs w:val="21"/>
                <w:highlight w:val="none"/>
              </w:rPr>
              <w:t>注：投标文件中需提供加盖供应商公章的合同或者中标（成交）通知书复印件。</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13" w:type="dxa"/>
            <w:vMerge w:val="continue"/>
            <w:vAlign w:val="center"/>
          </w:tcPr>
          <w:p>
            <w:pPr>
              <w:widowControl/>
              <w:jc w:val="left"/>
              <w:rPr>
                <w:rFonts w:ascii="宋体" w:hAnsi="宋体" w:cs="宋体"/>
                <w:color w:val="auto"/>
                <w:kern w:val="0"/>
                <w:szCs w:val="21"/>
                <w:highlight w:val="none"/>
              </w:rPr>
            </w:pPr>
          </w:p>
        </w:tc>
        <w:tc>
          <w:tcPr>
            <w:tcW w:w="1331" w:type="dxa"/>
            <w:vAlign w:val="center"/>
          </w:tcPr>
          <w:p>
            <w:pPr>
              <w:widowControl/>
              <w:jc w:val="left"/>
              <w:rPr>
                <w:rFonts w:ascii="宋体" w:hAnsi="宋体" w:cs="宋体"/>
                <w:color w:val="auto"/>
                <w:kern w:val="0"/>
                <w:szCs w:val="21"/>
                <w:highlight w:val="none"/>
              </w:rPr>
            </w:pPr>
            <w:r>
              <w:rPr>
                <w:rFonts w:hint="eastAsia" w:ascii="宋体" w:hAnsi="宋体" w:cs="宋体"/>
                <w:color w:val="auto"/>
                <w:kern w:val="0"/>
                <w:szCs w:val="21"/>
                <w:highlight w:val="none"/>
              </w:rPr>
              <w:t>13、政策加分</w:t>
            </w:r>
          </w:p>
        </w:tc>
        <w:tc>
          <w:tcPr>
            <w:tcW w:w="5899" w:type="dxa"/>
            <w:vAlign w:val="center"/>
          </w:tcPr>
          <w:p>
            <w:pPr>
              <w:widowControl/>
              <w:rPr>
                <w:rFonts w:ascii="宋体" w:hAnsi="宋体" w:cs="宋体"/>
                <w:color w:val="auto"/>
                <w:kern w:val="0"/>
                <w:szCs w:val="21"/>
                <w:highlight w:val="none"/>
              </w:rPr>
            </w:pPr>
            <w:r>
              <w:rPr>
                <w:rFonts w:hint="eastAsia" w:ascii="宋体" w:hAnsi="宋体" w:cs="宋体"/>
                <w:color w:val="auto"/>
                <w:kern w:val="0"/>
                <w:szCs w:val="21"/>
                <w:highlight w:val="none"/>
              </w:rPr>
              <w:t>供应商企业注册地是属于不发达地区或少数民族地区。提供国家相关部门认定的不发达地区或少数民族地区证明的，加1分。没有提供证明或者证明不清的不予加分。</w:t>
            </w:r>
          </w:p>
        </w:tc>
        <w:tc>
          <w:tcPr>
            <w:tcW w:w="660"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982" w:type="dxa"/>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客观分</w:t>
            </w:r>
          </w:p>
        </w:tc>
      </w:tr>
    </w:tbl>
    <w:p>
      <w:pPr>
        <w:spacing w:line="360" w:lineRule="auto"/>
        <w:ind w:firstLine="420" w:firstLineChars="200"/>
        <w:rPr>
          <w:rFonts w:ascii="宋体" w:hAnsi="宋体" w:cs="宋体"/>
          <w:b/>
          <w:bCs/>
          <w:color w:val="auto"/>
          <w:szCs w:val="21"/>
          <w:highlight w:val="none"/>
        </w:rPr>
      </w:pPr>
      <w:r>
        <w:rPr>
          <w:rFonts w:hint="eastAsia" w:ascii="宋体" w:hAnsi="宋体" w:cs="宋体"/>
          <w:color w:val="auto"/>
          <w:szCs w:val="21"/>
          <w:highlight w:val="none"/>
        </w:rPr>
        <w:t>注：1、小数点后保留一位数。2、各评标委员会成员自行按以上参考分值评分。3、重大事件由评标委员会集体讨论，应当按照少数服从多数的原则作出结论。</w:t>
      </w:r>
      <w:r>
        <w:rPr>
          <w:rFonts w:hint="eastAsia" w:ascii="宋体" w:hAnsi="宋体" w:cs="宋体"/>
          <w:b/>
          <w:bCs/>
          <w:color w:val="auto"/>
          <w:szCs w:val="21"/>
          <w:highlight w:val="none"/>
        </w:rPr>
        <w:t>4、联合体中任意一方具有上述证明材料的均予以认可。</w:t>
      </w:r>
    </w:p>
    <w:p>
      <w:pPr>
        <w:pStyle w:val="28"/>
        <w:spacing w:before="0" w:beforeLines="0" w:after="0" w:afterLines="0" w:line="360" w:lineRule="auto"/>
        <w:rPr>
          <w:rFonts w:hint="default" w:hAnsi="宋体" w:cs="宋体"/>
          <w:b/>
          <w:color w:val="auto"/>
          <w:highlight w:val="none"/>
        </w:rPr>
      </w:pPr>
      <w:bookmarkStart w:id="55" w:name="_Toc9029"/>
      <w:bookmarkStart w:id="56" w:name="_Toc14242"/>
      <w:r>
        <w:rPr>
          <w:rFonts w:hAnsi="宋体" w:cs="宋体"/>
          <w:b/>
          <w:color w:val="auto"/>
          <w:highlight w:val="none"/>
        </w:rPr>
        <w:t>六、定标</w:t>
      </w:r>
      <w:bookmarkEnd w:id="55"/>
    </w:p>
    <w:p>
      <w:pPr>
        <w:pStyle w:val="28"/>
        <w:spacing w:before="0" w:beforeLines="0" w:after="0" w:afterLines="0" w:line="360" w:lineRule="auto"/>
        <w:ind w:firstLine="413" w:firstLineChars="196"/>
        <w:rPr>
          <w:rFonts w:hint="default" w:hAnsi="宋体" w:cs="宋体"/>
          <w:b/>
          <w:bCs/>
          <w:color w:val="auto"/>
          <w:highlight w:val="none"/>
        </w:rPr>
      </w:pPr>
      <w:r>
        <w:rPr>
          <w:rFonts w:hAnsi="宋体" w:cs="宋体"/>
          <w:b/>
          <w:bCs/>
          <w:color w:val="auto"/>
          <w:highlight w:val="none"/>
        </w:rPr>
        <w:t>（一）确定中标人。本项目由采购人（或采购人事先授权评标委员会）确定中标人。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w:t>
      </w:r>
      <w:r>
        <w:rPr>
          <w:rFonts w:hint="eastAsia" w:ascii="宋体" w:hAnsi="宋体" w:cs="宋体"/>
          <w:color w:val="auto"/>
          <w:szCs w:val="21"/>
          <w:highlight w:val="none"/>
          <w:lang w:bidi="ar"/>
        </w:rPr>
        <w:t>确定排名第一的中标候选人为中标人</w:t>
      </w:r>
      <w:r>
        <w:rPr>
          <w:rFonts w:hint="eastAsia" w:ascii="宋体" w:hAnsi="宋体" w:cs="宋体"/>
          <w:color w:val="auto"/>
          <w:szCs w:val="21"/>
          <w:highlight w:val="none"/>
        </w:rPr>
        <w:t>）。如有供应商对评标结果提出质疑的，采购人可在质疑处理完毕后确定中标供应商。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3.采购人依法确定中标供应商后2个工作日内，采购代理机构以书面形式发出《中标通知书》,并同时在相关网站上发布中标公告。</w:t>
      </w:r>
    </w:p>
    <w:p>
      <w:pPr>
        <w:spacing w:line="360" w:lineRule="auto"/>
        <w:ind w:firstLine="420" w:firstLineChars="200"/>
        <w:rPr>
          <w:rFonts w:ascii="宋体" w:hAnsi="宋体" w:cs="宋体"/>
          <w:color w:val="auto"/>
          <w:szCs w:val="21"/>
          <w:highlight w:val="none"/>
          <w:lang w:bidi="ar"/>
        </w:rPr>
      </w:pPr>
      <w:r>
        <w:rPr>
          <w:rFonts w:hint="eastAsia" w:ascii="宋体" w:hAnsi="宋体" w:cs="宋体"/>
          <w:color w:val="auto"/>
          <w:szCs w:val="21"/>
          <w:highlight w:val="none"/>
        </w:rPr>
        <w:t>4.</w:t>
      </w:r>
      <w:r>
        <w:rPr>
          <w:rFonts w:hint="eastAsia" w:ascii="宋体" w:hAnsi="宋体" w:cs="宋体"/>
          <w:color w:val="auto"/>
          <w:szCs w:val="21"/>
          <w:highlight w:val="none"/>
          <w:lang w:bidi="ar"/>
        </w:rPr>
        <w:t>若中标供应商放弃中标，或因不可抗力提出不能履行合同，或不按采购文件规定提交履约担保，或其它原因被依法撤销中标资格，则采购人可确定排名第二的中标候选人为中标人或重新组织招标。</w:t>
      </w:r>
    </w:p>
    <w:p>
      <w:pPr>
        <w:pStyle w:val="28"/>
        <w:spacing w:before="0" w:beforeLines="0" w:after="0" w:afterLines="0" w:line="360" w:lineRule="auto"/>
        <w:rPr>
          <w:rFonts w:hint="default" w:hAnsi="宋体" w:cs="宋体"/>
          <w:b/>
          <w:bCs/>
          <w:color w:val="auto"/>
          <w:highlight w:val="none"/>
          <w:lang w:bidi="ar"/>
        </w:rPr>
      </w:pPr>
      <w:r>
        <w:rPr>
          <w:rFonts w:hAnsi="宋体" w:cs="宋体"/>
          <w:b/>
          <w:bCs/>
          <w:color w:val="auto"/>
          <w:highlight w:val="none"/>
          <w:lang w:bidi="ar"/>
        </w:rPr>
        <w:t>七、评标过程的监控与保密</w:t>
      </w:r>
    </w:p>
    <w:p>
      <w:pPr>
        <w:spacing w:line="360" w:lineRule="auto"/>
        <w:ind w:firstLine="420" w:firstLineChars="200"/>
        <w:rPr>
          <w:rFonts w:ascii="宋体" w:hAnsi="宋体" w:cs="宋体"/>
          <w:color w:val="auto"/>
          <w:szCs w:val="21"/>
          <w:highlight w:val="none"/>
          <w:lang w:bidi="ar"/>
        </w:rPr>
      </w:pPr>
      <w:r>
        <w:rPr>
          <w:rFonts w:hint="eastAsia" w:ascii="宋体" w:hAnsi="宋体" w:cs="宋体"/>
          <w:color w:val="auto"/>
          <w:szCs w:val="21"/>
          <w:highlight w:val="none"/>
          <w:lang w:bidi="ar"/>
        </w:rPr>
        <w:t>1、本项目评标过程实行全程录音、录像监控，供应商在评标过程中所进行的试图影响评标结果的不公正活动，可能导致其投标被拒绝。</w:t>
      </w:r>
    </w:p>
    <w:p>
      <w:pPr>
        <w:spacing w:line="360" w:lineRule="auto"/>
        <w:ind w:firstLine="420" w:firstLineChars="200"/>
        <w:rPr>
          <w:rFonts w:ascii="宋体" w:hAnsi="宋体" w:cs="宋体"/>
          <w:color w:val="auto"/>
          <w:szCs w:val="21"/>
          <w:highlight w:val="none"/>
          <w:lang w:bidi="ar"/>
        </w:rPr>
      </w:pPr>
      <w:r>
        <w:rPr>
          <w:rFonts w:hint="eastAsia" w:ascii="宋体" w:hAnsi="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2、开标后到中标通知书发出之前，所有涉及评标委员会名单以及对投标文件的澄清、评价、比较等情况，评标委员会成员、采购人和采购代理机构的有关人员均不得向供应商或其他无关人员透露。</w:t>
      </w:r>
    </w:p>
    <w:p>
      <w:pPr>
        <w:pStyle w:val="28"/>
        <w:spacing w:before="0" w:beforeLines="0" w:after="0" w:afterLines="0" w:line="360" w:lineRule="auto"/>
        <w:rPr>
          <w:rFonts w:hint="default" w:hAnsi="宋体" w:cs="宋体"/>
          <w:b/>
          <w:bCs/>
          <w:color w:val="auto"/>
          <w:highlight w:val="none"/>
        </w:rPr>
      </w:pPr>
      <w:bookmarkStart w:id="57" w:name="_Toc17747"/>
      <w:r>
        <w:rPr>
          <w:rFonts w:hAnsi="宋体" w:cs="宋体"/>
          <w:b/>
          <w:color w:val="auto"/>
          <w:highlight w:val="none"/>
        </w:rPr>
        <w:t>八、</w:t>
      </w:r>
      <w:r>
        <w:rPr>
          <w:rFonts w:hAnsi="宋体" w:cs="宋体"/>
          <w:b/>
          <w:bCs/>
          <w:color w:val="auto"/>
          <w:highlight w:val="none"/>
          <w:lang w:bidi="ar"/>
        </w:rPr>
        <w:t>合同</w:t>
      </w:r>
      <w:r>
        <w:rPr>
          <w:rFonts w:hAnsi="宋体" w:cs="宋体"/>
          <w:b/>
          <w:color w:val="auto"/>
          <w:highlight w:val="none"/>
        </w:rPr>
        <w:t>授予</w:t>
      </w:r>
      <w:bookmarkEnd w:id="57"/>
      <w:r>
        <w:rPr>
          <w:rFonts w:hAnsi="宋体" w:cs="宋体"/>
          <w:b/>
          <w:color w:val="auto"/>
          <w:highlight w:val="none"/>
        </w:rPr>
        <w:t>：</w:t>
      </w:r>
      <w:r>
        <w:rPr>
          <w:rFonts w:hAnsi="宋体" w:cs="宋体"/>
          <w:b/>
          <w:bCs/>
          <w:color w:val="auto"/>
          <w:highlight w:val="none"/>
        </w:rPr>
        <w:t>签订合同</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szCs w:val="21"/>
          <w:highlight w:val="none"/>
        </w:rPr>
        <w:t>1.</w:t>
      </w:r>
      <w:r>
        <w:rPr>
          <w:rFonts w:hint="eastAsia" w:ascii="宋体" w:hAnsi="宋体" w:cs="宋体"/>
          <w:color w:val="auto"/>
          <w:kern w:val="0"/>
          <w:szCs w:val="21"/>
          <w:highlight w:val="none"/>
        </w:rPr>
        <w:t>采购人应当自中标通知书发出之日起30日内，按照招标文件和中标人投标文件的规定，与中标人签订书面合同。所签订的合同不得对招标文件确定的事项和中标人投标文件作实质性修改。</w:t>
      </w:r>
    </w:p>
    <w:p>
      <w:pPr>
        <w:spacing w:line="360" w:lineRule="auto"/>
        <w:ind w:firstLine="420" w:firstLineChars="200"/>
        <w:rPr>
          <w:rFonts w:ascii="宋体" w:hAnsi="宋体" w:cs="宋体"/>
          <w:color w:val="auto"/>
          <w:szCs w:val="21"/>
          <w:highlight w:val="none"/>
        </w:rPr>
      </w:pPr>
      <w:r>
        <w:rPr>
          <w:rFonts w:hint="eastAsia" w:ascii="宋体" w:hAnsi="宋体" w:cs="宋体"/>
          <w:color w:val="auto"/>
          <w:kern w:val="0"/>
          <w:szCs w:val="21"/>
          <w:highlight w:val="none"/>
        </w:rPr>
        <w:t>采购人不得向中标人提出任何不合理的要求作为签订合同的条件。</w:t>
      </w:r>
    </w:p>
    <w:p>
      <w:pPr>
        <w:pStyle w:val="28"/>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2</w:t>
      </w:r>
      <w:r>
        <w:rPr>
          <w:rFonts w:hAnsi="宋体" w:cs="宋体"/>
          <w:color w:val="auto"/>
          <w:highlight w:val="none"/>
        </w:rPr>
        <w:t>.</w:t>
      </w:r>
      <w:r>
        <w:rPr>
          <w:rFonts w:hAnsi="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28"/>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3</w:t>
      </w:r>
      <w:r>
        <w:rPr>
          <w:rFonts w:hAnsi="宋体" w:cs="宋体"/>
          <w:color w:val="auto"/>
          <w:highlight w:val="none"/>
        </w:rPr>
        <w:t>.</w:t>
      </w:r>
      <w:r>
        <w:rPr>
          <w:rFonts w:hAnsi="宋体" w:cs="宋体"/>
          <w:bCs/>
          <w:color w:val="auto"/>
          <w:highlight w:val="none"/>
        </w:rPr>
        <w:t>招标文件、</w:t>
      </w:r>
      <w:r>
        <w:rPr>
          <w:rFonts w:hAnsi="宋体" w:cs="宋体"/>
          <w:color w:val="auto"/>
          <w:highlight w:val="none"/>
        </w:rPr>
        <w:t>中标人</w:t>
      </w:r>
      <w:r>
        <w:rPr>
          <w:rFonts w:hAnsi="宋体" w:cs="宋体"/>
          <w:bCs/>
          <w:color w:val="auto"/>
          <w:highlight w:val="none"/>
        </w:rPr>
        <w:t>的投标文件及评标过程中有关的澄清文件均应作为合同签订的附件。</w:t>
      </w:r>
    </w:p>
    <w:p>
      <w:pPr>
        <w:pStyle w:val="28"/>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4.中标或者成交供应商拒绝与采购人签订合同的，采购人应重新招标。</w:t>
      </w:r>
    </w:p>
    <w:p>
      <w:pPr>
        <w:pStyle w:val="28"/>
        <w:spacing w:before="0" w:beforeLines="0" w:after="0" w:afterLines="0" w:line="360" w:lineRule="auto"/>
        <w:ind w:firstLine="411" w:firstLineChars="196"/>
        <w:rPr>
          <w:rFonts w:hint="default" w:hAnsi="宋体" w:cs="宋体"/>
          <w:bCs/>
          <w:color w:val="auto"/>
          <w:highlight w:val="none"/>
        </w:rPr>
      </w:pPr>
      <w:r>
        <w:rPr>
          <w:rFonts w:hAnsi="宋体" w:cs="宋体"/>
          <w:bCs/>
          <w:color w:val="auto"/>
          <w:highlight w:val="none"/>
        </w:rPr>
        <w:t>5.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pStyle w:val="28"/>
        <w:spacing w:before="0" w:beforeLines="0" w:after="0" w:afterLines="0" w:line="360" w:lineRule="auto"/>
        <w:rPr>
          <w:rFonts w:hint="default" w:hAnsi="宋体" w:cs="宋体"/>
          <w:b/>
          <w:color w:val="auto"/>
          <w:highlight w:val="none"/>
        </w:rPr>
      </w:pPr>
      <w:r>
        <w:rPr>
          <w:rFonts w:hAnsi="宋体" w:cs="宋体"/>
          <w:b/>
          <w:color w:val="auto"/>
          <w:highlight w:val="none"/>
        </w:rPr>
        <w:t>九、</w:t>
      </w:r>
      <w:r>
        <w:rPr>
          <w:rFonts w:hAnsi="宋体" w:cs="宋体"/>
          <w:b/>
          <w:bCs/>
          <w:color w:val="auto"/>
          <w:highlight w:val="none"/>
          <w:lang w:bidi="ar"/>
        </w:rPr>
        <w:t>履约</w:t>
      </w:r>
      <w:r>
        <w:rPr>
          <w:rFonts w:hAnsi="宋体" w:cs="宋体"/>
          <w:b/>
          <w:color w:val="auto"/>
          <w:highlight w:val="none"/>
        </w:rPr>
        <w:t>验收：</w:t>
      </w:r>
    </w:p>
    <w:p>
      <w:pPr>
        <w:spacing w:line="360" w:lineRule="auto"/>
        <w:ind w:firstLine="411" w:firstLineChars="196"/>
        <w:rPr>
          <w:rFonts w:ascii="宋体" w:hAnsi="宋体" w:cs="宋体"/>
          <w:bCs/>
          <w:color w:val="auto"/>
          <w:szCs w:val="21"/>
          <w:highlight w:val="none"/>
        </w:rPr>
      </w:pPr>
      <w:r>
        <w:rPr>
          <w:rFonts w:hint="eastAsia" w:ascii="宋体" w:hAnsi="宋体" w:cs="宋体"/>
          <w:bCs/>
          <w:color w:val="auto"/>
          <w:szCs w:val="21"/>
          <w:highlight w:val="none"/>
        </w:rPr>
        <w:t>采购人负责对中标供应商的履约行为进行验收。政府向社会公众提供的公共服务项目，验收时应当邀请服务对象参与并出具意见，验收结果应当向社会公告。</w:t>
      </w:r>
    </w:p>
    <w:p>
      <w:pPr>
        <w:pStyle w:val="153"/>
        <w:spacing w:line="700" w:lineRule="exact"/>
        <w:ind w:firstLine="0" w:firstLineChars="0"/>
        <w:jc w:val="center"/>
        <w:outlineLvl w:val="0"/>
        <w:rPr>
          <w:rFonts w:ascii="宋体" w:hAnsi="宋体" w:cs="宋体"/>
          <w:b/>
          <w:bCs/>
          <w:color w:val="auto"/>
          <w:sz w:val="32"/>
          <w:szCs w:val="32"/>
          <w:highlight w:val="none"/>
        </w:rPr>
      </w:pPr>
      <w:r>
        <w:rPr>
          <w:rFonts w:hint="eastAsia" w:ascii="宋体" w:hAnsi="宋体" w:cs="宋体"/>
          <w:bCs/>
          <w:color w:val="auto"/>
          <w:highlight w:val="none"/>
        </w:rPr>
        <w:br w:type="page"/>
      </w:r>
      <w:bookmarkStart w:id="58" w:name="_Toc9993"/>
      <w:r>
        <w:rPr>
          <w:rFonts w:hint="eastAsia" w:ascii="宋体" w:hAnsi="宋体" w:cs="宋体"/>
          <w:b/>
          <w:color w:val="auto"/>
          <w:sz w:val="32"/>
          <w:szCs w:val="32"/>
          <w:highlight w:val="none"/>
        </w:rPr>
        <w:t>第五章  政府采购合同主要条款</w:t>
      </w:r>
      <w:bookmarkEnd w:id="56"/>
      <w:bookmarkEnd w:id="58"/>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r>
        <w:rPr>
          <w:rFonts w:hint="eastAsia" w:ascii="宋体" w:hAnsi="宋体" w:cs="宋体"/>
          <w:color w:val="auto"/>
          <w:szCs w:val="21"/>
          <w:highlight w:val="none"/>
        </w:rPr>
        <w:t>项目名称：                                     项目编号：</w:t>
      </w:r>
    </w:p>
    <w:p>
      <w:pPr>
        <w:spacing w:line="360" w:lineRule="auto"/>
        <w:rPr>
          <w:rFonts w:ascii="宋体" w:hAnsi="宋体" w:cs="宋体"/>
          <w:color w:val="auto"/>
          <w:szCs w:val="21"/>
          <w:highlight w:val="none"/>
        </w:rPr>
      </w:pPr>
      <w:r>
        <w:rPr>
          <w:rFonts w:hint="eastAsia" w:ascii="宋体" w:hAnsi="宋体" w:cs="宋体"/>
          <w:color w:val="auto"/>
          <w:szCs w:val="21"/>
          <w:highlight w:val="none"/>
        </w:rPr>
        <w:t>甲方：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（以下简称甲方）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乙方：</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（以下简称乙方）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根据《中华人民共和国政府采购法》、《中华人民共和国政府采购法实施条例》、《政府采购货物和服务招标投标管理办法》等法律法规，</w:t>
      </w:r>
      <w:r>
        <w:rPr>
          <w:rFonts w:hint="eastAsia" w:ascii="宋体" w:hAnsi="宋体" w:cs="宋体"/>
          <w:color w:val="auto"/>
          <w:szCs w:val="21"/>
          <w:highlight w:val="none"/>
          <w:u w:val="single"/>
        </w:rPr>
        <w:t>项目名称（项目编号：）</w:t>
      </w:r>
      <w:r>
        <w:rPr>
          <w:rFonts w:hint="eastAsia" w:ascii="宋体" w:hAnsi="宋体" w:cs="宋体"/>
          <w:color w:val="auto"/>
          <w:szCs w:val="21"/>
          <w:highlight w:val="none"/>
        </w:rPr>
        <w:t>于</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日，在宁波市宁海县公共资源交易中心进行公开招标，经结果公告确定由乙方中标。按照《中华人民共和国民法典》的有关规定，在自愿、平等、公平、诚信的基础上，经双方协商一致，签订本合同。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下述文件作为附件，是合同的一部分，并与本合同一起阅读和解释：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a.采购文件；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b.投标文件及澄清文件；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c.中标通知书；</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上述文件与合同若有不一致之处，优先次序第一应为合同、第二应为附件(附件的优先次序为 c,b,a)。</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一、项目名称、服务期限、服务内容</w:t>
      </w:r>
    </w:p>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1.1项目名称：</w:t>
      </w:r>
    </w:p>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1.2服务期限：</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1.3服务内容：</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二、合同金额</w:t>
      </w:r>
    </w:p>
    <w:p>
      <w:pPr>
        <w:spacing w:line="360" w:lineRule="auto"/>
        <w:ind w:left="359" w:hanging="359" w:hangingChars="171"/>
        <w:rPr>
          <w:rFonts w:ascii="宋体" w:hAnsi="宋体" w:cs="宋体"/>
          <w:color w:val="auto"/>
          <w:szCs w:val="21"/>
          <w:highlight w:val="none"/>
        </w:rPr>
      </w:pPr>
      <w:r>
        <w:rPr>
          <w:rFonts w:hint="eastAsia" w:ascii="宋体" w:hAnsi="宋体" w:cs="宋体"/>
          <w:color w:val="auto"/>
          <w:szCs w:val="21"/>
          <w:highlight w:val="none"/>
        </w:rPr>
        <w:t>2.1本合同金额为（大写）：</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元</w:t>
      </w:r>
      <w:r>
        <w:rPr>
          <w:rFonts w:hint="eastAsia" w:ascii="宋体" w:hAnsi="宋体" w:cs="宋体"/>
          <w:color w:val="auto"/>
          <w:szCs w:val="21"/>
          <w:highlight w:val="none"/>
          <w:u w:val="single"/>
        </w:rPr>
        <w:t>（￥                元）</w:t>
      </w:r>
      <w:r>
        <w:rPr>
          <w:rFonts w:hint="eastAsia" w:ascii="宋体" w:hAnsi="宋体" w:cs="宋体"/>
          <w:color w:val="auto"/>
          <w:szCs w:val="21"/>
          <w:highlight w:val="none"/>
        </w:rPr>
        <w:t>人民币。</w:t>
      </w:r>
    </w:p>
    <w:p>
      <w:pPr>
        <w:spacing w:line="360" w:lineRule="auto"/>
        <w:ind w:left="358" w:hanging="358" w:hangingChars="170"/>
        <w:rPr>
          <w:rFonts w:ascii="宋体" w:hAnsi="宋体" w:cs="宋体"/>
          <w:b/>
          <w:color w:val="auto"/>
          <w:szCs w:val="21"/>
          <w:highlight w:val="none"/>
        </w:rPr>
      </w:pPr>
      <w:r>
        <w:rPr>
          <w:rFonts w:hint="eastAsia" w:ascii="宋体" w:hAnsi="宋体" w:cs="宋体"/>
          <w:b/>
          <w:color w:val="auto"/>
          <w:szCs w:val="21"/>
          <w:highlight w:val="none"/>
        </w:rPr>
        <w:t>三、履约保证金</w:t>
      </w:r>
    </w:p>
    <w:p>
      <w:pPr>
        <w:spacing w:line="360" w:lineRule="auto"/>
        <w:rPr>
          <w:rFonts w:ascii="宋体" w:hAnsi="宋体" w:cs="宋体"/>
          <w:color w:val="auto"/>
          <w:highlight w:val="none"/>
        </w:rPr>
      </w:pPr>
      <w:r>
        <w:rPr>
          <w:rFonts w:hint="eastAsia" w:ascii="宋体" w:hAnsi="宋体" w:cs="宋体"/>
          <w:color w:val="auto"/>
          <w:highlight w:val="none"/>
        </w:rPr>
        <w:t>3.1履约保证金金额：</w:t>
      </w:r>
    </w:p>
    <w:p>
      <w:pPr>
        <w:spacing w:line="360" w:lineRule="auto"/>
        <w:rPr>
          <w:rFonts w:ascii="宋体" w:hAnsi="宋体" w:cs="宋体"/>
          <w:color w:val="auto"/>
          <w:highlight w:val="none"/>
        </w:rPr>
      </w:pPr>
      <w:r>
        <w:rPr>
          <w:rFonts w:hint="eastAsia" w:ascii="宋体" w:hAnsi="宋体" w:cs="宋体"/>
          <w:color w:val="auto"/>
          <w:highlight w:val="none"/>
        </w:rPr>
        <w:t>3.2履约保证金形式：</w:t>
      </w:r>
    </w:p>
    <w:p>
      <w:pPr>
        <w:spacing w:line="360" w:lineRule="auto"/>
        <w:rPr>
          <w:rFonts w:ascii="宋体" w:hAnsi="宋体" w:cs="宋体"/>
          <w:color w:val="auto"/>
          <w:highlight w:val="none"/>
        </w:rPr>
      </w:pPr>
      <w:r>
        <w:rPr>
          <w:rFonts w:hint="eastAsia" w:ascii="宋体" w:hAnsi="宋体" w:cs="宋体"/>
          <w:color w:val="auto"/>
          <w:highlight w:val="none"/>
        </w:rPr>
        <w:t>3.3担保收件人：</w:t>
      </w:r>
    </w:p>
    <w:p>
      <w:pPr>
        <w:spacing w:line="360" w:lineRule="auto"/>
        <w:rPr>
          <w:rFonts w:ascii="宋体" w:hAnsi="宋体" w:cs="宋体"/>
          <w:color w:val="auto"/>
          <w:highlight w:val="none"/>
        </w:rPr>
      </w:pPr>
      <w:r>
        <w:rPr>
          <w:rFonts w:hint="eastAsia" w:ascii="宋体" w:hAnsi="宋体" w:cs="宋体"/>
          <w:color w:val="auto"/>
          <w:highlight w:val="none"/>
        </w:rPr>
        <w:t>3.4履约保证金的退取：</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四、转包或分包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4.1本合同范围的服务，应由乙方直接提供，不得转让他人；</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4.2 除非得到甲方的书面同意，乙方不得部分分包给他人。甲方有绝对权力阻止分包。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4.3如有转让和未经甲方同意的分包行为，甲方有权给予终止合同。</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五、合同付款方法</w:t>
      </w:r>
    </w:p>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5.1合同签订后15日内，甲方向乙方支付合同总额的50%；</w:t>
      </w:r>
    </w:p>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5.2在合同签订的当年度12月15日前付清余款。</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六、税</w:t>
      </w:r>
    </w:p>
    <w:p>
      <w:pPr>
        <w:spacing w:line="360" w:lineRule="auto"/>
        <w:rPr>
          <w:rFonts w:ascii="宋体" w:hAnsi="宋体" w:cs="宋体"/>
          <w:color w:val="auto"/>
          <w:szCs w:val="21"/>
          <w:highlight w:val="none"/>
        </w:rPr>
      </w:pPr>
      <w:r>
        <w:rPr>
          <w:rFonts w:hint="eastAsia" w:ascii="宋体" w:hAnsi="宋体" w:cs="宋体"/>
          <w:color w:val="auto"/>
          <w:szCs w:val="21"/>
          <w:highlight w:val="none"/>
        </w:rPr>
        <w:t>6.1本合同执行中相关的一切税费均由乙方负担。</w:t>
      </w:r>
    </w:p>
    <w:p>
      <w:pPr>
        <w:spacing w:line="360" w:lineRule="auto"/>
        <w:ind w:left="360" w:hanging="361" w:hangingChars="171"/>
        <w:rPr>
          <w:rFonts w:ascii="宋体" w:hAnsi="宋体" w:cs="宋体"/>
          <w:color w:val="auto"/>
          <w:szCs w:val="21"/>
          <w:highlight w:val="none"/>
        </w:rPr>
      </w:pPr>
      <w:r>
        <w:rPr>
          <w:rFonts w:hint="eastAsia" w:ascii="宋体" w:hAnsi="宋体" w:cs="宋体"/>
          <w:b/>
          <w:color w:val="auto"/>
          <w:szCs w:val="21"/>
          <w:highlight w:val="none"/>
        </w:rPr>
        <w:t>七、完成质量要求</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7.1 服务期间乙方不得随意更换项目负责人，如有特殊情况需要更换，须经甲方同意确认。</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7.2服务期间，乙方须配备足够的人员和设备。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7.3合同执行过程中，乙方如有弄虚作假行为，甲方有权单方面解除合同并没收全部履约保证金，由此引起的所以损失由乙方承担。</w:t>
      </w:r>
    </w:p>
    <w:p>
      <w:pPr>
        <w:spacing w:line="360" w:lineRule="auto"/>
        <w:ind w:left="360" w:hanging="361" w:hangingChars="171"/>
        <w:rPr>
          <w:rFonts w:ascii="宋体" w:hAnsi="宋体" w:cs="宋体"/>
          <w:b/>
          <w:color w:val="auto"/>
          <w:szCs w:val="21"/>
          <w:highlight w:val="none"/>
        </w:rPr>
      </w:pPr>
      <w:r>
        <w:rPr>
          <w:rFonts w:hint="eastAsia" w:ascii="宋体" w:hAnsi="宋体" w:cs="宋体"/>
          <w:b/>
          <w:color w:val="auto"/>
          <w:szCs w:val="21"/>
          <w:highlight w:val="none"/>
        </w:rPr>
        <w:t>八、违约责任</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8.1 甲方无正当理由拒收接受服务的，甲方向乙方偿付合同款项百分之五作为违约金。</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8.2 甲方无故逾期验收和办理款项支付手续的，甲方应按逾期付款总额每日万分之五向乙方支付违约金。</w:t>
      </w:r>
    </w:p>
    <w:p>
      <w:pPr>
        <w:spacing w:line="360" w:lineRule="auto"/>
        <w:rPr>
          <w:rFonts w:ascii="宋体" w:hAnsi="宋体" w:cs="宋体"/>
          <w:color w:val="auto"/>
          <w:szCs w:val="21"/>
          <w:highlight w:val="none"/>
        </w:rPr>
      </w:pPr>
      <w:r>
        <w:rPr>
          <w:rFonts w:hint="eastAsia" w:ascii="宋体" w:hAnsi="宋体" w:cs="宋体"/>
          <w:color w:val="auto"/>
          <w:szCs w:val="21"/>
          <w:highlight w:val="none"/>
        </w:rPr>
        <w:t>8.3 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line="360" w:lineRule="auto"/>
        <w:ind w:left="360" w:hanging="361" w:hangingChars="171"/>
        <w:rPr>
          <w:rFonts w:ascii="宋体" w:hAnsi="宋体" w:cs="宋体"/>
          <w:b/>
          <w:color w:val="auto"/>
          <w:szCs w:val="21"/>
          <w:highlight w:val="none"/>
        </w:rPr>
      </w:pPr>
      <w:r>
        <w:rPr>
          <w:rFonts w:hint="eastAsia" w:ascii="宋体" w:hAnsi="宋体" w:cs="宋体"/>
          <w:b/>
          <w:color w:val="auto"/>
          <w:szCs w:val="21"/>
          <w:highlight w:val="none"/>
        </w:rPr>
        <w:t>九、不可抗力事件处理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9.1 在合同有效期内，任何一方因不可抗力事件导致不能履行合同，则合同履行期可延长，其延长期与不可抗力影响期相同。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9.2 不可抗力事件发生后，应立即通知对方，并寄送有关权威机构出具的证明。</w:t>
      </w:r>
    </w:p>
    <w:p>
      <w:pPr>
        <w:spacing w:line="360" w:lineRule="auto"/>
        <w:rPr>
          <w:rFonts w:ascii="宋体" w:hAnsi="宋体" w:cs="宋体"/>
          <w:color w:val="auto"/>
          <w:szCs w:val="21"/>
          <w:highlight w:val="none"/>
        </w:rPr>
      </w:pPr>
      <w:r>
        <w:rPr>
          <w:rFonts w:hint="eastAsia" w:ascii="宋体" w:hAnsi="宋体" w:cs="宋体"/>
          <w:color w:val="auto"/>
          <w:szCs w:val="21"/>
          <w:highlight w:val="none"/>
        </w:rPr>
        <w:t>9.3 不可抗力事件延续120天以上，双方应通过友好协商，确定是否继续履行合同。</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十、诉讼</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10.1 双方在执行合同中所发生的一切争议，应通过协商解决。如协商不成，可向合同签订地法院起诉。</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十一、合同生效及其它</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11.1 合同经双方法定代表人或授权委托代理人签字并加盖单位公章后生效。</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11.2合同执行中涉及采购资金和采购内容修改或补充的，须经财政部门审批，并签书面补充协议报政府采购监督管理部门备案，方可作为主合同不可分割的一部分。</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11.3本合同未尽事宜，遵照《中华人民共和国民法典》有关条文、补充协议、投标承诺、投标文件、采购文件及补充执行。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11.4本合同正本一式   份，甲乙双方各执  份；副本  份，甲乙双方各执  份。合同正副本具有同等法律效力。</w:t>
      </w:r>
    </w:p>
    <w:p>
      <w:pPr>
        <w:rPr>
          <w:rFonts w:ascii="Calibri" w:hAnsi="Calibri"/>
          <w:color w:val="auto"/>
          <w:highlight w:val="none"/>
        </w:rPr>
      </w:pPr>
    </w:p>
    <w:p>
      <w:pPr>
        <w:spacing w:line="360" w:lineRule="auto"/>
        <w:jc w:val="left"/>
        <w:rPr>
          <w:rFonts w:ascii="宋体" w:hAnsi="宋体" w:cs="宋体"/>
          <w:color w:val="auto"/>
          <w:kern w:val="0"/>
          <w:szCs w:val="21"/>
          <w:highlight w:val="none"/>
          <w:lang w:bidi="ar"/>
        </w:rPr>
      </w:pPr>
    </w:p>
    <w:p>
      <w:pPr>
        <w:spacing w:line="360" w:lineRule="auto"/>
        <w:jc w:val="left"/>
        <w:rPr>
          <w:rFonts w:ascii="宋体" w:hAnsi="宋体" w:cs="宋体"/>
          <w:color w:val="auto"/>
          <w:kern w:val="0"/>
          <w:szCs w:val="21"/>
          <w:highlight w:val="none"/>
          <w:lang w:bidi="ar"/>
        </w:rPr>
      </w:pPr>
    </w:p>
    <w:p>
      <w:pPr>
        <w:spacing w:line="360" w:lineRule="auto"/>
        <w:jc w:val="left"/>
        <w:rPr>
          <w:rFonts w:ascii="宋体" w:hAnsi="宋体" w:cs="宋体"/>
          <w:color w:val="auto"/>
          <w:kern w:val="0"/>
          <w:szCs w:val="21"/>
          <w:highlight w:val="none"/>
          <w:lang w:bidi="ar"/>
        </w:rPr>
      </w:pPr>
    </w:p>
    <w:p>
      <w:pPr>
        <w:spacing w:line="360" w:lineRule="auto"/>
        <w:jc w:val="left"/>
        <w:rPr>
          <w:rFonts w:ascii="宋体" w:hAnsi="宋体" w:cs="宋体"/>
          <w:color w:val="auto"/>
          <w:kern w:val="0"/>
          <w:szCs w:val="21"/>
          <w:highlight w:val="none"/>
          <w:lang w:bidi="ar"/>
        </w:rPr>
      </w:pPr>
    </w:p>
    <w:p>
      <w:pPr>
        <w:spacing w:line="360" w:lineRule="auto"/>
        <w:jc w:val="left"/>
        <w:rPr>
          <w:rFonts w:ascii="宋体" w:hAnsi="宋体" w:cs="宋体"/>
          <w:color w:val="auto"/>
          <w:kern w:val="0"/>
          <w:szCs w:val="21"/>
          <w:highlight w:val="none"/>
          <w:lang w:bidi="ar"/>
        </w:rPr>
      </w:pP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甲方：(公章)                               乙方：(公章)</w:t>
      </w: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地址：                                     地址：</w:t>
      </w: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法定代表人：(签字)                         法定代表人：(签字)</w:t>
      </w: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委托代理人：(签字)                         委托代理人：(签字)</w:t>
      </w: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电话：                                     电话：</w:t>
      </w: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传真：                                     传真：</w:t>
      </w: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开户银行：                                 开户银行：</w:t>
      </w:r>
    </w:p>
    <w:p>
      <w:pPr>
        <w:spacing w:line="360" w:lineRule="auto"/>
        <w:jc w:val="left"/>
        <w:rPr>
          <w:rFonts w:ascii="Calibri" w:hAnsi="Calibri"/>
          <w:color w:val="auto"/>
          <w:kern w:val="0"/>
          <w:sz w:val="24"/>
          <w:highlight w:val="none"/>
        </w:rPr>
      </w:pPr>
      <w:r>
        <w:rPr>
          <w:rFonts w:hint="eastAsia" w:ascii="宋体" w:hAnsi="宋体" w:cs="宋体"/>
          <w:color w:val="auto"/>
          <w:kern w:val="0"/>
          <w:szCs w:val="21"/>
          <w:highlight w:val="none"/>
          <w:lang w:bidi="ar"/>
        </w:rPr>
        <w:t>帐号：                                     帐号：</w:t>
      </w:r>
    </w:p>
    <w:p>
      <w:pPr>
        <w:widowControl/>
        <w:spacing w:line="360" w:lineRule="auto"/>
        <w:jc w:val="left"/>
        <w:rPr>
          <w:rFonts w:ascii="Calibri" w:hAnsi="Calibri"/>
          <w:color w:val="auto"/>
          <w:highlight w:val="none"/>
        </w:rPr>
      </w:pPr>
      <w:r>
        <w:rPr>
          <w:rFonts w:hint="eastAsia" w:ascii="宋体" w:hAnsi="宋体" w:cs="宋体"/>
          <w:color w:val="auto"/>
          <w:szCs w:val="21"/>
          <w:highlight w:val="none"/>
          <w:lang w:bidi="ar"/>
        </w:rPr>
        <w:t>邮政编码：                                 邮政编码：</w:t>
      </w:r>
    </w:p>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p>
      <w:pPr>
        <w:spacing w:line="360" w:lineRule="auto"/>
        <w:contextualSpacing/>
        <w:rPr>
          <w:rFonts w:ascii="宋体" w:hAnsi="宋体" w:cs="宋体"/>
          <w:color w:val="auto"/>
          <w:szCs w:val="21"/>
          <w:highlight w:val="none"/>
        </w:rPr>
      </w:pPr>
      <w:r>
        <w:rPr>
          <w:rFonts w:hint="eastAsia" w:ascii="宋体" w:hAnsi="宋体" w:cs="宋体"/>
          <w:color w:val="auto"/>
          <w:szCs w:val="21"/>
          <w:highlight w:val="none"/>
        </w:rPr>
        <w:t>合同见证方：浙江中基正采管理咨询有限公司</w:t>
      </w:r>
    </w:p>
    <w:p>
      <w:pPr>
        <w:pStyle w:val="28"/>
        <w:spacing w:before="0" w:beforeLines="0" w:after="0" w:afterLines="0"/>
        <w:outlineLvl w:val="0"/>
        <w:rPr>
          <w:rFonts w:hint="default"/>
          <w:color w:val="auto"/>
          <w:highlight w:val="none"/>
        </w:rPr>
      </w:pPr>
      <w:r>
        <w:rPr>
          <w:rFonts w:hAnsi="宋体" w:cs="宋体"/>
          <w:color w:val="auto"/>
          <w:highlight w:val="none"/>
        </w:rPr>
        <w:t>见证日期：</w:t>
      </w:r>
    </w:p>
    <w:p>
      <w:pPr>
        <w:pStyle w:val="28"/>
        <w:spacing w:before="0" w:beforeLines="0" w:after="0" w:afterLines="0"/>
        <w:jc w:val="center"/>
        <w:outlineLvl w:val="0"/>
        <w:rPr>
          <w:rFonts w:hint="default"/>
          <w:color w:val="auto"/>
          <w:highlight w:val="none"/>
        </w:rPr>
      </w:pPr>
    </w:p>
    <w:p>
      <w:pPr>
        <w:pStyle w:val="28"/>
        <w:spacing w:before="0" w:beforeLines="0" w:after="0" w:afterLines="0"/>
        <w:jc w:val="center"/>
        <w:outlineLvl w:val="0"/>
        <w:rPr>
          <w:rFonts w:hint="default" w:hAnsi="宋体" w:cs="宋体"/>
          <w:b/>
          <w:color w:val="auto"/>
          <w:highlight w:val="none"/>
        </w:rPr>
      </w:pPr>
      <w:r>
        <w:rPr>
          <w:color w:val="auto"/>
          <w:highlight w:val="none"/>
        </w:rPr>
        <w:br w:type="page"/>
      </w:r>
      <w:bookmarkStart w:id="59" w:name="_Toc32283"/>
      <w:bookmarkStart w:id="60" w:name="_Toc4952"/>
      <w:r>
        <w:rPr>
          <w:rFonts w:hAnsi="宋体" w:cs="宋体"/>
          <w:b/>
          <w:color w:val="auto"/>
          <w:sz w:val="32"/>
          <w:szCs w:val="32"/>
          <w:highlight w:val="none"/>
        </w:rPr>
        <w:t>第六章　投标文件格式</w:t>
      </w:r>
      <w:bookmarkEnd w:id="59"/>
      <w:bookmarkEnd w:id="60"/>
    </w:p>
    <w:p>
      <w:pPr>
        <w:snapToGrid w:val="0"/>
        <w:spacing w:line="360" w:lineRule="auto"/>
        <w:jc w:val="center"/>
        <w:rPr>
          <w:rFonts w:ascii="宋体" w:hAnsi="宋体" w:cs="宋体"/>
          <w:b/>
          <w:bCs/>
          <w:color w:val="auto"/>
          <w:sz w:val="28"/>
          <w:szCs w:val="28"/>
          <w:highlight w:val="none"/>
        </w:r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一、资格文件、商务技术文件格式</w:t>
      </w:r>
    </w:p>
    <w:p>
      <w:pPr>
        <w:snapToGrid w:val="0"/>
        <w:spacing w:line="360" w:lineRule="auto"/>
        <w:jc w:val="left"/>
        <w:rPr>
          <w:rFonts w:ascii="宋体" w:hAnsi="宋体" w:cs="宋体"/>
          <w:bCs/>
          <w:color w:val="auto"/>
          <w:sz w:val="28"/>
          <w:szCs w:val="28"/>
          <w:highlight w:val="none"/>
          <w:lang w:bidi="ar"/>
        </w:rPr>
      </w:pPr>
      <w:r>
        <w:rPr>
          <w:rFonts w:hint="eastAsia" w:ascii="宋体" w:hAnsi="宋体" w:cs="宋体"/>
          <w:color w:val="auto"/>
          <w:highlight w:val="none"/>
        </w:rPr>
        <w:t>1、</w:t>
      </w:r>
      <w:r>
        <w:rPr>
          <w:rFonts w:hint="eastAsia" w:ascii="宋体" w:hAnsi="宋体" w:cs="宋体"/>
          <w:color w:val="auto"/>
          <w:szCs w:val="21"/>
          <w:highlight w:val="none"/>
        </w:rPr>
        <w:t>资格、商务技术文件</w:t>
      </w:r>
      <w:r>
        <w:rPr>
          <w:rFonts w:hint="eastAsia" w:ascii="宋体" w:hAnsi="宋体" w:cs="宋体"/>
          <w:color w:val="auto"/>
          <w:highlight w:val="none"/>
        </w:rPr>
        <w:t>封面格式：</w:t>
      </w:r>
    </w:p>
    <w:p>
      <w:pPr>
        <w:snapToGrid w:val="0"/>
        <w:spacing w:line="360" w:lineRule="auto"/>
        <w:ind w:firstLine="275" w:firstLineChars="98"/>
        <w:rPr>
          <w:rFonts w:ascii="宋体" w:hAnsi="宋体" w:cs="宋体"/>
          <w:b/>
          <w:color w:val="auto"/>
          <w:sz w:val="28"/>
          <w:szCs w:val="28"/>
          <w:highlight w:val="none"/>
          <w:lang w:bidi="ar"/>
        </w:rPr>
      </w:pP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lang w:bidi="ar"/>
        </w:rPr>
        <w:t>封面格式：</w:t>
      </w:r>
    </w:p>
    <w:p>
      <w:pPr>
        <w:snapToGrid w:val="0"/>
        <w:spacing w:line="360" w:lineRule="auto"/>
        <w:jc w:val="center"/>
        <w:rPr>
          <w:rFonts w:ascii="宋体" w:hAnsi="宋体" w:cs="宋体"/>
          <w:bCs/>
          <w:color w:val="auto"/>
          <w:sz w:val="28"/>
          <w:szCs w:val="28"/>
          <w:highlight w:val="none"/>
        </w:rPr>
      </w:pPr>
    </w:p>
    <w:p>
      <w:pPr>
        <w:snapToGrid w:val="0"/>
        <w:spacing w:line="360" w:lineRule="auto"/>
        <w:jc w:val="center"/>
        <w:rPr>
          <w:rFonts w:ascii="宋体" w:hAnsi="宋体" w:cs="宋体"/>
          <w:bCs/>
          <w:color w:val="auto"/>
          <w:sz w:val="24"/>
          <w:highlight w:val="none"/>
        </w:rPr>
      </w:pPr>
      <w:r>
        <w:rPr>
          <w:rFonts w:hint="eastAsia" w:ascii="宋体" w:hAnsi="宋体" w:cs="宋体"/>
          <w:bCs/>
          <w:color w:val="auto"/>
          <w:sz w:val="40"/>
          <w:szCs w:val="40"/>
          <w:highlight w:val="none"/>
        </w:rPr>
        <w:t>资格、商务技术文件</w:t>
      </w:r>
    </w:p>
    <w:p>
      <w:pPr>
        <w:snapToGrid w:val="0"/>
        <w:spacing w:line="360" w:lineRule="auto"/>
        <w:ind w:firstLine="6919" w:firstLineChars="2883"/>
        <w:rPr>
          <w:rFonts w:ascii="宋体" w:hAnsi="宋体" w:cs="宋体"/>
          <w:bCs/>
          <w:color w:val="auto"/>
          <w:sz w:val="24"/>
          <w:highlight w:val="none"/>
        </w:rPr>
      </w:pP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项目名称：</w:t>
      </w:r>
    </w:p>
    <w:p>
      <w:pPr>
        <w:snapToGrid w:val="0"/>
        <w:spacing w:line="360" w:lineRule="auto"/>
        <w:ind w:firstLine="1080" w:firstLineChars="450"/>
        <w:rPr>
          <w:rFonts w:ascii="宋体" w:hAnsi="宋体" w:cs="宋体"/>
          <w:bCs/>
          <w:color w:val="auto"/>
          <w:sz w:val="24"/>
          <w:highlight w:val="none"/>
          <w:lang w:bidi="ar"/>
        </w:rPr>
      </w:pPr>
      <w:r>
        <w:rPr>
          <w:rFonts w:hint="eastAsia" w:ascii="宋体" w:hAnsi="宋体" w:cs="宋体"/>
          <w:bCs/>
          <w:color w:val="auto"/>
          <w:sz w:val="24"/>
          <w:highlight w:val="none"/>
          <w:lang w:bidi="ar"/>
        </w:rPr>
        <w:t>项目编号：</w:t>
      </w:r>
    </w:p>
    <w:p>
      <w:pPr>
        <w:snapToGrid w:val="0"/>
        <w:spacing w:line="360" w:lineRule="auto"/>
        <w:ind w:firstLine="1080" w:firstLineChars="450"/>
        <w:rPr>
          <w:rFonts w:ascii="宋体" w:hAnsi="宋体" w:cs="宋体"/>
          <w:bCs/>
          <w:color w:val="auto"/>
          <w:sz w:val="24"/>
          <w:highlight w:val="none"/>
          <w:lang w:bidi="ar"/>
        </w:rPr>
      </w:pPr>
      <w:r>
        <w:rPr>
          <w:rFonts w:hint="eastAsia" w:ascii="宋体" w:hAnsi="宋体" w:cs="宋体"/>
          <w:bCs/>
          <w:color w:val="auto"/>
          <w:sz w:val="24"/>
          <w:highlight w:val="none"/>
          <w:lang w:bidi="ar"/>
        </w:rPr>
        <w:t>标项号：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供应商地址：</w:t>
      </w:r>
    </w:p>
    <w:p>
      <w:pPr>
        <w:snapToGrid w:val="0"/>
        <w:spacing w:line="360" w:lineRule="auto"/>
        <w:rPr>
          <w:rFonts w:ascii="宋体" w:hAnsi="宋体" w:cs="宋体"/>
          <w:color w:val="auto"/>
          <w:sz w:val="20"/>
          <w:szCs w:val="20"/>
          <w:highlight w:val="none"/>
        </w:rPr>
      </w:pPr>
      <w:r>
        <w:rPr>
          <w:rFonts w:hint="eastAsia" w:ascii="宋体" w:hAnsi="宋体" w:cs="宋体"/>
          <w:bCs/>
          <w:color w:val="auto"/>
          <w:sz w:val="24"/>
          <w:highlight w:val="none"/>
          <w:lang w:bidi="ar"/>
        </w:rPr>
        <w:t xml:space="preserve">                                      </w:t>
      </w:r>
      <w:bookmarkStart w:id="61" w:name="_Toc9414"/>
      <w:r>
        <w:rPr>
          <w:rFonts w:hint="eastAsia" w:ascii="宋体" w:hAnsi="宋体" w:cs="宋体"/>
          <w:bCs/>
          <w:color w:val="auto"/>
          <w:sz w:val="24"/>
          <w:highlight w:val="none"/>
          <w:lang w:bidi="ar"/>
        </w:rPr>
        <w:t>年  月  日</w:t>
      </w:r>
      <w:bookmarkEnd w:id="61"/>
    </w:p>
    <w:p>
      <w:pPr>
        <w:snapToGrid w:val="0"/>
        <w:spacing w:line="360" w:lineRule="auto"/>
        <w:rPr>
          <w:rFonts w:ascii="宋体" w:hAnsi="宋体" w:cs="Arial"/>
          <w:b/>
          <w:bCs/>
          <w:color w:val="auto"/>
          <w:sz w:val="24"/>
          <w:szCs w:val="22"/>
          <w:highlight w:val="none"/>
        </w:rPr>
      </w:pPr>
    </w:p>
    <w:p>
      <w:pPr>
        <w:pStyle w:val="28"/>
        <w:snapToGrid w:val="0"/>
        <w:spacing w:before="0" w:beforeLines="0" w:after="0" w:afterLines="0" w:line="240" w:lineRule="auto"/>
        <w:rPr>
          <w:rFonts w:hint="default" w:hAnsi="宋体" w:cs="宋体"/>
          <w:color w:val="auto"/>
          <w:highlight w:val="none"/>
        </w:rPr>
      </w:pPr>
    </w:p>
    <w:p>
      <w:pPr>
        <w:snapToGrid w:val="0"/>
        <w:spacing w:line="360" w:lineRule="auto"/>
        <w:jc w:val="left"/>
        <w:rPr>
          <w:rFonts w:ascii="宋体" w:hAnsi="宋体" w:cs="宋体"/>
          <w:b/>
          <w:bCs/>
          <w:color w:val="auto"/>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（三）</w:t>
      </w:r>
      <w:r>
        <w:rPr>
          <w:rFonts w:hint="eastAsia" w:ascii="宋体" w:hAnsi="宋体" w:cs="宋体"/>
          <w:b/>
          <w:bCs/>
          <w:color w:val="auto"/>
          <w:highlight w:val="none"/>
        </w:rPr>
        <w:t>资格文件：</w:t>
      </w:r>
    </w:p>
    <w:p>
      <w:pPr>
        <w:numPr>
          <w:ilvl w:val="0"/>
          <w:numId w:val="1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1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1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numPr>
          <w:ilvl w:val="0"/>
          <w:numId w:val="1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联合体协议（如有，格式见附件）；</w:t>
      </w:r>
    </w:p>
    <w:p>
      <w:pPr>
        <w:numPr>
          <w:ilvl w:val="0"/>
          <w:numId w:val="1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中小企业声明函[提供中小企业声明函或残疾人福利性单位声明函（非残疾人福利性单位无需提供本函)，格式见附件或提供由省级以上监狱管理局、戒毒管理局（含新疆生产建设兵团）出具的属于监狱企业的证明文件]；</w:t>
      </w:r>
    </w:p>
    <w:p>
      <w:pPr>
        <w:numPr>
          <w:ilvl w:val="0"/>
          <w:numId w:val="17"/>
        </w:numPr>
        <w:snapToGrid w:val="0"/>
        <w:spacing w:line="360" w:lineRule="auto"/>
        <w:ind w:left="210" w:leftChars="100"/>
        <w:jc w:val="left"/>
        <w:rPr>
          <w:rFonts w:ascii="宋体" w:hAnsi="宋体" w:cs="宋体"/>
          <w:color w:val="auto"/>
          <w:highlight w:val="none"/>
        </w:rPr>
      </w:pPr>
      <w:r>
        <w:rPr>
          <w:rFonts w:hint="eastAsia" w:ascii="宋体" w:hAnsi="宋体" w:cs="宋体"/>
          <w:color w:val="auto"/>
          <w:highlight w:val="none"/>
        </w:rPr>
        <w:t>招标文件要求的其他资格条件证明材料（如有）；</w:t>
      </w:r>
    </w:p>
    <w:p>
      <w:pPr>
        <w:snapToGrid w:val="0"/>
        <w:spacing w:line="360" w:lineRule="auto"/>
        <w:jc w:val="left"/>
        <w:rPr>
          <w:rFonts w:ascii="宋体" w:hAnsi="宋体" w:cs="宋体"/>
          <w:b/>
          <w:bCs/>
          <w:color w:val="auto"/>
          <w:highlight w:val="none"/>
        </w:rPr>
      </w:pPr>
      <w:r>
        <w:rPr>
          <w:rFonts w:hint="eastAsia" w:ascii="宋体" w:hAnsi="宋体" w:cs="宋体"/>
          <w:color w:val="auto"/>
          <w:highlight w:val="none"/>
        </w:rPr>
        <w:br w:type="page"/>
      </w:r>
      <w:r>
        <w:rPr>
          <w:rFonts w:hint="eastAsia" w:ascii="宋体" w:hAnsi="宋体" w:cs="宋体"/>
          <w:b/>
          <w:bCs/>
          <w:color w:val="auto"/>
          <w:highlight w:val="none"/>
        </w:rPr>
        <w:t>（1）供应商资格声明函格式；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供应商资格声明函</w:t>
      </w:r>
    </w:p>
    <w:p>
      <w:pPr>
        <w:snapToGrid w:val="0"/>
        <w:rPr>
          <w:rFonts w:ascii="宋体" w:hAnsi="宋体" w:cs="宋体"/>
          <w:b/>
          <w:color w:val="auto"/>
          <w:szCs w:val="21"/>
          <w:highlight w:val="none"/>
        </w:rPr>
      </w:pP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 xml:space="preserve">                    </w:t>
      </w:r>
    </w:p>
    <w:p>
      <w:pPr>
        <w:spacing w:line="360" w:lineRule="auto"/>
        <w:rPr>
          <w:rFonts w:ascii="宋体" w:hAnsi="宋体" w:cs="宋体"/>
          <w:b/>
          <w:color w:val="auto"/>
          <w:highlight w:val="none"/>
        </w:rPr>
      </w:pPr>
      <w:r>
        <w:rPr>
          <w:rFonts w:hint="eastAsia" w:ascii="宋体" w:hAnsi="宋体" w:cs="宋体"/>
          <w:b/>
          <w:color w:val="auto"/>
          <w:highlight w:val="none"/>
        </w:rPr>
        <w:t>浙江中基正采管理咨询有限公司：</w:t>
      </w:r>
    </w:p>
    <w:p>
      <w:pPr>
        <w:snapToGrid w:val="0"/>
        <w:spacing w:before="120" w:beforeLines="50" w:line="360" w:lineRule="auto"/>
        <w:ind w:firstLine="424" w:firstLineChars="202"/>
        <w:rPr>
          <w:rFonts w:ascii="宋体" w:hAnsi="宋体" w:cs="宋体"/>
          <w:color w:val="auto"/>
          <w:highlight w:val="none"/>
        </w:rPr>
      </w:pPr>
      <w:r>
        <w:rPr>
          <w:rFonts w:hint="eastAsia" w:ascii="宋体" w:hAnsi="宋体" w:cs="宋体"/>
          <w:color w:val="auto"/>
          <w:highlight w:val="none"/>
        </w:rPr>
        <w:t>关于贵司</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w:t>
      </w:r>
      <w:r>
        <w:rPr>
          <w:rFonts w:hint="eastAsia" w:ascii="宋体" w:hAnsi="宋体" w:cs="宋体"/>
          <w:color w:val="auto"/>
          <w:highlight w:val="none"/>
        </w:rPr>
        <w:t>月</w:t>
      </w:r>
      <w:r>
        <w:rPr>
          <w:rFonts w:hint="eastAsia" w:ascii="宋体" w:hAnsi="宋体" w:cs="宋体"/>
          <w:color w:val="auto"/>
          <w:highlight w:val="none"/>
          <w:u w:val="single"/>
        </w:rPr>
        <w:t>　　</w:t>
      </w:r>
      <w:r>
        <w:rPr>
          <w:rFonts w:hint="eastAsia" w:ascii="宋体" w:hAnsi="宋体" w:cs="宋体"/>
          <w:color w:val="auto"/>
          <w:highlight w:val="none"/>
        </w:rPr>
        <w:t>日发布</w:t>
      </w:r>
      <w:r>
        <w:rPr>
          <w:rFonts w:hint="eastAsia" w:ascii="宋体" w:hAnsi="宋体" w:cs="宋体"/>
          <w:color w:val="auto"/>
          <w:highlight w:val="none"/>
          <w:u w:val="single"/>
        </w:rPr>
        <w:t xml:space="preserve">  </w:t>
      </w:r>
      <w:r>
        <w:rPr>
          <w:rFonts w:hint="eastAsia" w:ascii="宋体" w:hAnsi="宋体" w:cs="宋体"/>
          <w:color w:val="auto"/>
          <w:kern w:val="28"/>
          <w:highlight w:val="none"/>
          <w:u w:val="single"/>
        </w:rPr>
        <w:t>XXXXXXXXXXXXXXXXXXXXXXXXXXXX</w:t>
      </w:r>
      <w:r>
        <w:rPr>
          <w:rFonts w:hint="eastAsia" w:ascii="宋体" w:hAnsi="宋体" w:cs="宋体"/>
          <w:color w:val="auto"/>
          <w:highlight w:val="none"/>
          <w:u w:val="single"/>
        </w:rPr>
        <w:t xml:space="preserve">  </w:t>
      </w:r>
      <w:r>
        <w:rPr>
          <w:rFonts w:hint="eastAsia" w:ascii="宋体" w:hAnsi="宋体" w:cs="宋体"/>
          <w:color w:val="auto"/>
          <w:highlight w:val="none"/>
        </w:rPr>
        <w:t>项目（项目编号：　　　）的公开招标公告，本公司（企业）愿意参加投标，并声明：</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1、本公司（企业）具备《中华人民共和国政府采购法》第二十二条资格条件：</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1.1、具有独立承担民事责任的能力；</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1.2、具有良好的商业信誉和健全的财务会计制度；</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1.3、具有履行合同所必需的设备和专业技术能力；</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1.4、有依法缴纳税收和社会保障资金的良好记录；</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1.5、参加政府采购活动前三年内，在经营活动中没有重大违法记录；</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1.6、法律、行政法规规定的其他条件。</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szCs w:val="21"/>
          <w:highlight w:val="none"/>
        </w:rPr>
        <w:t>根据《中华人民共和国政府采购法</w:t>
      </w:r>
      <w:r>
        <w:rPr>
          <w:rFonts w:hint="eastAsia" w:ascii="宋体" w:hAnsi="宋体" w:cs="宋体"/>
          <w:color w:val="auto"/>
          <w:highlight w:val="none"/>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cs="宋体"/>
          <w:b/>
          <w:bCs/>
          <w:color w:val="auto"/>
          <w:highlight w:val="none"/>
        </w:rPr>
      </w:pPr>
      <w:r>
        <w:rPr>
          <w:rFonts w:hint="eastAsia" w:ascii="宋体" w:hAnsi="宋体" w:cs="宋体"/>
          <w:b/>
          <w:bCs/>
          <w:color w:val="auto"/>
          <w:highlight w:val="none"/>
        </w:rPr>
        <w:t>本公司（企业）</w:t>
      </w:r>
      <w:r>
        <w:rPr>
          <w:rFonts w:hint="eastAsia" w:ascii="宋体" w:hAnsi="宋体" w:cs="宋体"/>
          <w:b/>
          <w:bCs/>
          <w:color w:val="auto"/>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在中国裁判文书网有行贿犯罪相关记录。</w:t>
      </w:r>
      <w:r>
        <w:rPr>
          <w:rFonts w:hint="eastAsia" w:ascii="宋体" w:hAnsi="宋体" w:cs="宋体"/>
          <w:b/>
          <w:bCs/>
          <w:color w:val="auto"/>
          <w:highlight w:val="none"/>
        </w:rPr>
        <w:t>否则，由此所造成的损失、不良后果及法律责任，一律由我公司（企业）承担。</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我公司已清楚招标文件的要求及有关文件规定。本次招标采购活动中，如有违法、违规、弄虚作假行为，所造成的损失、不良后果及法律责任，一律由我公司（企业）承担。</w:t>
      </w:r>
    </w:p>
    <w:p>
      <w:pPr>
        <w:spacing w:line="360" w:lineRule="auto"/>
        <w:ind w:firstLine="420"/>
        <w:rPr>
          <w:rFonts w:ascii="宋体" w:hAnsi="宋体" w:cs="宋体"/>
          <w:b/>
          <w:color w:val="auto"/>
          <w:highlight w:val="none"/>
        </w:rPr>
      </w:pPr>
      <w:r>
        <w:rPr>
          <w:rFonts w:hint="eastAsia" w:ascii="宋体" w:hAnsi="宋体" w:cs="宋体"/>
          <w:b/>
          <w:color w:val="auto"/>
          <w:highlight w:val="none"/>
        </w:rPr>
        <w:t>特此声明！</w:t>
      </w:r>
    </w:p>
    <w:p>
      <w:pPr>
        <w:adjustRightInd w:val="0"/>
        <w:snapToGrid w:val="0"/>
        <w:spacing w:line="360" w:lineRule="auto"/>
        <w:ind w:left="425"/>
        <w:rPr>
          <w:rFonts w:ascii="宋体" w:hAnsi="宋体" w:cs="宋体"/>
          <w:color w:val="auto"/>
          <w:spacing w:val="4"/>
          <w:highlight w:val="none"/>
        </w:rPr>
      </w:pP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法定代表人或授权代表（签名或印章）：</w:t>
      </w: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供应商公章：</w:t>
      </w: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年    月    日</w:t>
      </w:r>
    </w:p>
    <w:p>
      <w:pPr>
        <w:snapToGrid w:val="0"/>
        <w:rPr>
          <w:rFonts w:ascii="宋体" w:hAnsi="宋体" w:cs="宋体"/>
          <w:color w:val="auto"/>
          <w:szCs w:val="21"/>
          <w:highlight w:val="none"/>
        </w:rPr>
      </w:pPr>
      <w:r>
        <w:rPr>
          <w:rFonts w:hint="eastAsia" w:ascii="宋体" w:hAnsi="宋体" w:cs="宋体"/>
          <w:b/>
          <w:color w:val="auto"/>
          <w:highlight w:val="none"/>
        </w:rPr>
        <w:t>注：联合体投标的，可只由联合体牵头人签章。</w:t>
      </w:r>
      <w:r>
        <w:rPr>
          <w:rFonts w:hint="eastAsia" w:ascii="宋体" w:hAnsi="宋体" w:cs="宋体"/>
          <w:color w:val="auto"/>
          <w:highlight w:val="none"/>
        </w:rPr>
        <w:br w:type="page"/>
      </w:r>
      <w:r>
        <w:rPr>
          <w:rFonts w:hint="eastAsia" w:ascii="宋体" w:hAnsi="宋体" w:cs="宋体"/>
          <w:b/>
          <w:bCs/>
          <w:color w:val="auto"/>
          <w:highlight w:val="none"/>
        </w:rPr>
        <w:t>（2）</w:t>
      </w: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r>
        <w:rPr>
          <w:rFonts w:hint="eastAsia" w:ascii="宋体" w:hAnsi="宋体" w:cs="宋体"/>
          <w:b/>
          <w:bCs/>
          <w:color w:val="auto"/>
          <w:highlight w:val="none"/>
        </w:rPr>
        <w:t>注：联合体投标的，联合体各方均须提供。</w:t>
      </w:r>
    </w:p>
    <w:p>
      <w:pPr>
        <w:rPr>
          <w:rFonts w:ascii="宋体" w:hAnsi="宋体" w:cs="宋体"/>
          <w:color w:val="auto"/>
          <w:szCs w:val="21"/>
          <w:highlight w:val="none"/>
        </w:rPr>
      </w:pPr>
      <w:r>
        <w:rPr>
          <w:rFonts w:hint="eastAsia" w:ascii="宋体" w:hAnsi="宋体" w:cs="宋体"/>
          <w:color w:val="auto"/>
          <w:szCs w:val="21"/>
          <w:highlight w:val="none"/>
        </w:rPr>
        <w:br w:type="page"/>
      </w:r>
    </w:p>
    <w:p>
      <w:pPr>
        <w:rPr>
          <w:color w:val="auto"/>
          <w:highlight w:val="none"/>
        </w:rPr>
      </w:pPr>
      <w:r>
        <w:rPr>
          <w:rFonts w:hint="eastAsia"/>
          <w:b/>
          <w:bCs/>
          <w:color w:val="auto"/>
          <w:highlight w:val="none"/>
        </w:rPr>
        <w:t>（3）</w:t>
      </w:r>
      <w:r>
        <w:rPr>
          <w:rFonts w:hint="eastAsia"/>
          <w:color w:val="auto"/>
          <w:highlight w:val="none"/>
        </w:rPr>
        <w:t>联合体协议书格式</w:t>
      </w:r>
    </w:p>
    <w:p>
      <w:pPr>
        <w:snapToGrid w:val="0"/>
        <w:spacing w:before="120" w:beforeLines="50" w:after="50"/>
        <w:jc w:val="center"/>
        <w:rPr>
          <w:rFonts w:ascii="宋体" w:hAnsi="宋体" w:cs="宋体"/>
          <w:b/>
          <w:bCs/>
          <w:color w:val="auto"/>
          <w:szCs w:val="21"/>
          <w:highlight w:val="none"/>
        </w:rPr>
      </w:pPr>
      <w:r>
        <w:rPr>
          <w:rFonts w:hint="eastAsia" w:ascii="宋体" w:hAnsi="宋体" w:cs="宋体"/>
          <w:b/>
          <w:bCs/>
          <w:color w:val="auto"/>
          <w:szCs w:val="21"/>
          <w:highlight w:val="none"/>
        </w:rPr>
        <w:t>联合体协议书</w:t>
      </w:r>
    </w:p>
    <w:p>
      <w:pPr>
        <w:rPr>
          <w:rFonts w:ascii="宋体" w:hAnsi="Courier New"/>
          <w:color w:val="auto"/>
          <w:szCs w:val="20"/>
          <w:highlight w:val="none"/>
        </w:rPr>
      </w:pPr>
    </w:p>
    <w:p>
      <w:pPr>
        <w:topLinePunct/>
        <w:spacing w:line="440" w:lineRule="exact"/>
        <w:ind w:firstLine="420" w:firstLineChars="200"/>
        <w:rPr>
          <w:color w:val="auto"/>
          <w:szCs w:val="21"/>
          <w:highlight w:val="none"/>
        </w:rPr>
      </w:pP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（所有成员单位名称）自愿组成</w:t>
      </w:r>
      <w:r>
        <w:rPr>
          <w:rFonts w:hint="eastAsia"/>
          <w:color w:val="auto"/>
          <w:szCs w:val="21"/>
          <w:highlight w:val="none"/>
          <w:u w:val="single"/>
        </w:rPr>
        <w:t xml:space="preserve">                 </w:t>
      </w:r>
      <w:r>
        <w:rPr>
          <w:rFonts w:hint="eastAsia"/>
          <w:color w:val="auto"/>
          <w:szCs w:val="21"/>
          <w:highlight w:val="none"/>
        </w:rPr>
        <w:t>（联合体名称）</w:t>
      </w:r>
      <w:r>
        <w:rPr>
          <w:color w:val="auto"/>
          <w:szCs w:val="21"/>
          <w:highlight w:val="none"/>
        </w:rPr>
        <w:t>，共同参加</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（项目名称）。现就联合体投标事宜订立如下协议。</w:t>
      </w:r>
    </w:p>
    <w:p>
      <w:pPr>
        <w:topLinePunct/>
        <w:spacing w:line="440" w:lineRule="exact"/>
        <w:ind w:firstLine="420" w:firstLineChars="200"/>
        <w:rPr>
          <w:color w:val="auto"/>
          <w:szCs w:val="21"/>
          <w:highlight w:val="none"/>
        </w:rPr>
      </w:pPr>
      <w:r>
        <w:rPr>
          <w:color w:val="auto"/>
          <w:szCs w:val="21"/>
          <w:highlight w:val="none"/>
        </w:rPr>
        <w:t>1</w:t>
      </w:r>
      <w:r>
        <w:rPr>
          <w:rFonts w:hint="eastAsia"/>
          <w:color w:val="auto"/>
          <w:szCs w:val="21"/>
          <w:highlight w:val="none"/>
        </w:rPr>
        <w:t>．</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（某成员单位名称）为</w:t>
      </w:r>
      <w:r>
        <w:rPr>
          <w:rFonts w:hint="eastAsia"/>
          <w:color w:val="auto"/>
          <w:szCs w:val="21"/>
          <w:highlight w:val="none"/>
          <w:u w:val="single"/>
        </w:rPr>
        <w:t xml:space="preserve">                 </w:t>
      </w:r>
      <w:r>
        <w:rPr>
          <w:rFonts w:hint="eastAsia"/>
          <w:color w:val="auto"/>
          <w:szCs w:val="21"/>
          <w:highlight w:val="none"/>
        </w:rPr>
        <w:t>（联合体名称）</w:t>
      </w:r>
      <w:r>
        <w:rPr>
          <w:color w:val="auto"/>
          <w:szCs w:val="21"/>
          <w:highlight w:val="none"/>
        </w:rPr>
        <w:t>牵头人。</w:t>
      </w:r>
    </w:p>
    <w:p>
      <w:pPr>
        <w:topLinePunct/>
        <w:spacing w:line="440" w:lineRule="exact"/>
        <w:ind w:firstLine="420" w:firstLineChars="200"/>
        <w:rPr>
          <w:color w:val="auto"/>
          <w:szCs w:val="21"/>
          <w:highlight w:val="none"/>
        </w:rPr>
      </w:pPr>
      <w:r>
        <w:rPr>
          <w:color w:val="auto"/>
          <w:szCs w:val="21"/>
          <w:highlight w:val="none"/>
        </w:rPr>
        <w:t>2</w:t>
      </w:r>
      <w:r>
        <w:rPr>
          <w:rFonts w:hint="eastAsia"/>
          <w:color w:val="auto"/>
          <w:szCs w:val="21"/>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r>
        <w:rPr>
          <w:color w:val="auto"/>
          <w:szCs w:val="21"/>
          <w:highlight w:val="none"/>
        </w:rPr>
        <w:t>。</w:t>
      </w:r>
    </w:p>
    <w:p>
      <w:pPr>
        <w:topLinePunct/>
        <w:spacing w:line="440" w:lineRule="exact"/>
        <w:ind w:firstLine="420" w:firstLineChars="200"/>
        <w:rPr>
          <w:color w:val="auto"/>
          <w:szCs w:val="21"/>
          <w:highlight w:val="none"/>
        </w:rPr>
      </w:pPr>
      <w:r>
        <w:rPr>
          <w:color w:val="auto"/>
          <w:szCs w:val="21"/>
          <w:highlight w:val="none"/>
        </w:rPr>
        <w:t>3</w:t>
      </w:r>
      <w:r>
        <w:rPr>
          <w:rFonts w:hint="eastAsia"/>
          <w:color w:val="auto"/>
          <w:szCs w:val="21"/>
          <w:highlight w:val="none"/>
        </w:rPr>
        <w:t>．联合体牵头人在本项目中签署的一切文件和处理的一切事宜，联合体各成员均予以承认。联合体各成员将严格按照采购文件、投标文件和合同的要求全面履行义务，并向采购人承担连带责任</w:t>
      </w:r>
      <w:r>
        <w:rPr>
          <w:color w:val="auto"/>
          <w:szCs w:val="21"/>
          <w:highlight w:val="none"/>
        </w:rPr>
        <w:t>。</w:t>
      </w:r>
    </w:p>
    <w:p>
      <w:pPr>
        <w:topLinePunct/>
        <w:spacing w:line="440" w:lineRule="exact"/>
        <w:ind w:firstLine="420" w:firstLineChars="200"/>
        <w:rPr>
          <w:color w:val="auto"/>
          <w:szCs w:val="21"/>
          <w:highlight w:val="none"/>
        </w:rPr>
      </w:pPr>
      <w:r>
        <w:rPr>
          <w:color w:val="auto"/>
          <w:szCs w:val="21"/>
          <w:highlight w:val="none"/>
        </w:rPr>
        <w:t>4</w:t>
      </w:r>
      <w:r>
        <w:rPr>
          <w:rFonts w:hint="eastAsia"/>
          <w:color w:val="auto"/>
          <w:szCs w:val="21"/>
          <w:highlight w:val="none"/>
        </w:rPr>
        <w:t>．联合体各成员单位内部的职责分工如下：</w:t>
      </w:r>
    </w:p>
    <w:p>
      <w:pPr>
        <w:topLinePunct/>
        <w:spacing w:line="440" w:lineRule="exact"/>
        <w:ind w:firstLine="420" w:firstLineChars="200"/>
        <w:rPr>
          <w:color w:val="auto"/>
          <w:szCs w:val="21"/>
          <w:highlight w:val="none"/>
        </w:rPr>
      </w:pPr>
      <w:r>
        <w:rPr>
          <w:rFonts w:hint="eastAsia"/>
          <w:color w:val="auto"/>
          <w:szCs w:val="21"/>
          <w:highlight w:val="none"/>
        </w:rPr>
        <w:t>（1）由联合体牵头人承担</w:t>
      </w:r>
      <w:r>
        <w:rPr>
          <w:rFonts w:hint="eastAsia"/>
          <w:color w:val="auto"/>
          <w:szCs w:val="21"/>
          <w:highlight w:val="none"/>
          <w:u w:val="single"/>
        </w:rPr>
        <w:t xml:space="preserve">               工作（占合同总金额     %）</w:t>
      </w:r>
      <w:r>
        <w:rPr>
          <w:rFonts w:hint="eastAsia"/>
          <w:color w:val="auto"/>
          <w:szCs w:val="21"/>
          <w:highlight w:val="none"/>
        </w:rPr>
        <w:t>；</w:t>
      </w:r>
    </w:p>
    <w:p>
      <w:pPr>
        <w:topLinePunct/>
        <w:spacing w:line="440" w:lineRule="exact"/>
        <w:ind w:firstLine="420" w:firstLineChars="200"/>
        <w:rPr>
          <w:color w:val="auto"/>
          <w:szCs w:val="21"/>
          <w:highlight w:val="none"/>
        </w:rPr>
      </w:pPr>
      <w:r>
        <w:rPr>
          <w:rFonts w:hint="eastAsia"/>
          <w:color w:val="auto"/>
          <w:szCs w:val="21"/>
          <w:highlight w:val="none"/>
        </w:rPr>
        <w:t>（2）由联合体成员承担</w:t>
      </w:r>
      <w:r>
        <w:rPr>
          <w:rFonts w:hint="eastAsia"/>
          <w:color w:val="auto"/>
          <w:szCs w:val="21"/>
          <w:highlight w:val="none"/>
          <w:u w:val="single"/>
        </w:rPr>
        <w:t xml:space="preserve">                 工作（占合同总金额     %）</w:t>
      </w:r>
      <w:r>
        <w:rPr>
          <w:rFonts w:hint="eastAsia"/>
          <w:color w:val="auto"/>
          <w:szCs w:val="21"/>
          <w:highlight w:val="none"/>
        </w:rPr>
        <w:t>。</w:t>
      </w:r>
    </w:p>
    <w:p>
      <w:pPr>
        <w:topLinePunct/>
        <w:spacing w:line="440" w:lineRule="exact"/>
        <w:ind w:firstLine="420" w:firstLineChars="200"/>
        <w:rPr>
          <w:color w:val="auto"/>
          <w:szCs w:val="21"/>
          <w:highlight w:val="none"/>
        </w:rPr>
      </w:pPr>
      <w:r>
        <w:rPr>
          <w:color w:val="auto"/>
          <w:szCs w:val="21"/>
          <w:highlight w:val="none"/>
        </w:rPr>
        <w:t>5</w:t>
      </w:r>
      <w:r>
        <w:rPr>
          <w:rFonts w:hint="eastAsia"/>
          <w:color w:val="auto"/>
          <w:szCs w:val="21"/>
          <w:highlight w:val="none"/>
        </w:rPr>
        <w:t>．投标工作和联合体在中标后实施过程中的有关费用按各自承担的工作量分摊。</w:t>
      </w:r>
    </w:p>
    <w:p>
      <w:pPr>
        <w:topLinePunct/>
        <w:spacing w:line="440" w:lineRule="exact"/>
        <w:ind w:firstLine="420" w:firstLineChars="200"/>
        <w:rPr>
          <w:color w:val="auto"/>
          <w:szCs w:val="21"/>
          <w:highlight w:val="none"/>
        </w:rPr>
      </w:pPr>
      <w:r>
        <w:rPr>
          <w:color w:val="auto"/>
          <w:szCs w:val="21"/>
          <w:highlight w:val="none"/>
        </w:rPr>
        <w:t>6</w:t>
      </w:r>
      <w:r>
        <w:rPr>
          <w:rFonts w:hint="eastAsia"/>
          <w:color w:val="auto"/>
          <w:szCs w:val="21"/>
          <w:highlight w:val="none"/>
        </w:rPr>
        <w:t>．本协议书自所有成员单位法定代表人签字或盖章并加盖单位章之日起生效，合同履行完毕后自动失效</w:t>
      </w:r>
      <w:r>
        <w:rPr>
          <w:color w:val="auto"/>
          <w:szCs w:val="21"/>
          <w:highlight w:val="none"/>
        </w:rPr>
        <w:t xml:space="preserve">。 </w:t>
      </w:r>
    </w:p>
    <w:p>
      <w:pPr>
        <w:topLinePunct/>
        <w:spacing w:line="440" w:lineRule="exact"/>
        <w:ind w:firstLine="420" w:firstLineChars="200"/>
        <w:rPr>
          <w:color w:val="auto"/>
          <w:szCs w:val="21"/>
          <w:highlight w:val="none"/>
        </w:rPr>
      </w:pPr>
      <w:r>
        <w:rPr>
          <w:color w:val="auto"/>
          <w:szCs w:val="21"/>
          <w:highlight w:val="none"/>
        </w:rPr>
        <w:t>7</w:t>
      </w:r>
      <w:r>
        <w:rPr>
          <w:rFonts w:hint="eastAsia"/>
          <w:color w:val="auto"/>
          <w:szCs w:val="21"/>
          <w:highlight w:val="none"/>
        </w:rPr>
        <w:t>．</w:t>
      </w:r>
      <w:r>
        <w:rPr>
          <w:color w:val="auto"/>
          <w:szCs w:val="21"/>
          <w:highlight w:val="none"/>
        </w:rPr>
        <w:t>本协议书一式</w:t>
      </w:r>
      <w:r>
        <w:rPr>
          <w:color w:val="auto"/>
          <w:szCs w:val="21"/>
          <w:highlight w:val="none"/>
          <w:u w:val="single"/>
        </w:rPr>
        <w:t xml:space="preserve">   </w:t>
      </w:r>
      <w:r>
        <w:rPr>
          <w:color w:val="auto"/>
          <w:szCs w:val="21"/>
          <w:highlight w:val="none"/>
        </w:rPr>
        <w:t>份，联合体成员和</w:t>
      </w:r>
      <w:r>
        <w:rPr>
          <w:rFonts w:hint="eastAsia"/>
          <w:color w:val="auto"/>
          <w:szCs w:val="21"/>
          <w:highlight w:val="none"/>
        </w:rPr>
        <w:t>采购人</w:t>
      </w:r>
      <w:r>
        <w:rPr>
          <w:color w:val="auto"/>
          <w:szCs w:val="21"/>
          <w:highlight w:val="none"/>
        </w:rPr>
        <w:t>各执一份。</w:t>
      </w:r>
    </w:p>
    <w:p>
      <w:pPr>
        <w:topLinePunct/>
        <w:spacing w:line="440" w:lineRule="exact"/>
        <w:rPr>
          <w:color w:val="auto"/>
          <w:szCs w:val="21"/>
          <w:highlight w:val="none"/>
        </w:rPr>
      </w:pPr>
    </w:p>
    <w:p>
      <w:pPr>
        <w:topLinePunct/>
        <w:spacing w:line="440" w:lineRule="exact"/>
        <w:ind w:firstLine="420" w:firstLineChars="200"/>
        <w:rPr>
          <w:color w:val="auto"/>
          <w:szCs w:val="21"/>
          <w:highlight w:val="none"/>
        </w:rPr>
      </w:pPr>
      <w:r>
        <w:rPr>
          <w:rFonts w:hint="eastAsia"/>
          <w:color w:val="auto"/>
          <w:szCs w:val="21"/>
          <w:highlight w:val="none"/>
        </w:rPr>
        <w:t>联合体</w:t>
      </w:r>
      <w:r>
        <w:rPr>
          <w:color w:val="auto"/>
          <w:szCs w:val="21"/>
          <w:highlight w:val="none"/>
        </w:rPr>
        <w:t>牵头人名称：</w:t>
      </w:r>
      <w:r>
        <w:rPr>
          <w:color w:val="auto"/>
          <w:szCs w:val="21"/>
          <w:highlight w:val="none"/>
          <w:u w:val="single"/>
        </w:rPr>
        <w:t xml:space="preserve">             </w:t>
      </w:r>
      <w:r>
        <w:rPr>
          <w:color w:val="auto"/>
          <w:szCs w:val="21"/>
          <w:highlight w:val="none"/>
        </w:rPr>
        <w:t>（盖单位章）</w:t>
      </w:r>
    </w:p>
    <w:p>
      <w:pPr>
        <w:topLinePunct/>
        <w:spacing w:line="440" w:lineRule="exact"/>
        <w:ind w:firstLine="420" w:firstLineChars="200"/>
        <w:rPr>
          <w:color w:val="auto"/>
          <w:szCs w:val="21"/>
          <w:highlight w:val="none"/>
        </w:rPr>
      </w:pPr>
      <w:r>
        <w:rPr>
          <w:color w:val="auto"/>
          <w:szCs w:val="21"/>
          <w:highlight w:val="none"/>
        </w:rPr>
        <w:t>法定代表人：</w:t>
      </w:r>
      <w:r>
        <w:rPr>
          <w:color w:val="auto"/>
          <w:szCs w:val="21"/>
          <w:highlight w:val="none"/>
          <w:u w:val="single"/>
        </w:rPr>
        <w:t xml:space="preserve">                 </w:t>
      </w:r>
      <w:r>
        <w:rPr>
          <w:color w:val="auto"/>
          <w:szCs w:val="21"/>
          <w:highlight w:val="none"/>
        </w:rPr>
        <w:t>（签字</w:t>
      </w:r>
      <w:r>
        <w:rPr>
          <w:rFonts w:hint="eastAsia"/>
          <w:color w:val="auto"/>
          <w:szCs w:val="21"/>
          <w:highlight w:val="none"/>
        </w:rPr>
        <w:t>或盖章</w:t>
      </w:r>
      <w:r>
        <w:rPr>
          <w:color w:val="auto"/>
          <w:szCs w:val="21"/>
          <w:highlight w:val="none"/>
        </w:rPr>
        <w:t>）</w:t>
      </w:r>
    </w:p>
    <w:p>
      <w:pPr>
        <w:topLinePunct/>
        <w:spacing w:line="440" w:lineRule="exact"/>
        <w:rPr>
          <w:color w:val="auto"/>
          <w:szCs w:val="21"/>
          <w:highlight w:val="none"/>
        </w:rPr>
      </w:pPr>
    </w:p>
    <w:p>
      <w:pPr>
        <w:topLinePunct/>
        <w:spacing w:line="440" w:lineRule="exact"/>
        <w:ind w:firstLine="420" w:firstLineChars="200"/>
        <w:rPr>
          <w:color w:val="auto"/>
          <w:szCs w:val="21"/>
          <w:highlight w:val="none"/>
        </w:rPr>
      </w:pPr>
      <w:r>
        <w:rPr>
          <w:rFonts w:hint="eastAsia"/>
          <w:color w:val="auto"/>
          <w:szCs w:val="21"/>
          <w:highlight w:val="none"/>
        </w:rPr>
        <w:t>联合体</w:t>
      </w:r>
      <w:r>
        <w:rPr>
          <w:color w:val="auto"/>
          <w:szCs w:val="21"/>
          <w:highlight w:val="none"/>
        </w:rPr>
        <w:t>成员名称：</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w:t>
      </w:r>
      <w:r>
        <w:rPr>
          <w:color w:val="auto"/>
          <w:szCs w:val="21"/>
          <w:highlight w:val="none"/>
        </w:rPr>
        <w:t>（盖单位章）</w:t>
      </w:r>
    </w:p>
    <w:p>
      <w:pPr>
        <w:topLinePunct/>
        <w:spacing w:line="440" w:lineRule="exact"/>
        <w:ind w:firstLine="420" w:firstLineChars="200"/>
        <w:rPr>
          <w:color w:val="auto"/>
          <w:szCs w:val="21"/>
          <w:highlight w:val="none"/>
        </w:rPr>
      </w:pPr>
      <w:r>
        <w:rPr>
          <w:color w:val="auto"/>
          <w:szCs w:val="21"/>
          <w:highlight w:val="none"/>
        </w:rPr>
        <w:t>法定代表人：</w:t>
      </w:r>
      <w:r>
        <w:rPr>
          <w:color w:val="auto"/>
          <w:szCs w:val="21"/>
          <w:highlight w:val="none"/>
          <w:u w:val="single"/>
        </w:rPr>
        <w:t xml:space="preserve">                 </w:t>
      </w:r>
      <w:r>
        <w:rPr>
          <w:color w:val="auto"/>
          <w:szCs w:val="21"/>
          <w:highlight w:val="none"/>
        </w:rPr>
        <w:t>（签字</w:t>
      </w:r>
      <w:r>
        <w:rPr>
          <w:rFonts w:hint="eastAsia"/>
          <w:color w:val="auto"/>
          <w:szCs w:val="21"/>
          <w:highlight w:val="none"/>
        </w:rPr>
        <w:t>或盖章</w:t>
      </w:r>
      <w:r>
        <w:rPr>
          <w:color w:val="auto"/>
          <w:szCs w:val="21"/>
          <w:highlight w:val="none"/>
        </w:rPr>
        <w:t>）</w:t>
      </w:r>
    </w:p>
    <w:p>
      <w:pPr>
        <w:topLinePunct/>
        <w:spacing w:line="440" w:lineRule="exact"/>
        <w:rPr>
          <w:color w:val="auto"/>
          <w:szCs w:val="21"/>
          <w:highlight w:val="none"/>
        </w:rPr>
      </w:pPr>
      <w:r>
        <w:rPr>
          <w:color w:val="auto"/>
          <w:szCs w:val="21"/>
          <w:highlight w:val="none"/>
        </w:rPr>
        <w:t xml:space="preserve"> </w:t>
      </w:r>
    </w:p>
    <w:p>
      <w:pPr>
        <w:widowControl/>
        <w:spacing w:line="360" w:lineRule="auto"/>
        <w:jc w:val="left"/>
        <w:rPr>
          <w:color w:val="auto"/>
          <w:highlight w:val="none"/>
        </w:rPr>
      </w:pPr>
      <w:r>
        <w:rPr>
          <w:color w:val="auto"/>
          <w:highlight w:val="none"/>
          <w:u w:val="single"/>
        </w:rPr>
        <w:t xml:space="preserve">        </w:t>
      </w:r>
      <w:r>
        <w:rPr>
          <w:color w:val="auto"/>
          <w:highlight w:val="none"/>
        </w:rPr>
        <w:t>年</w:t>
      </w:r>
      <w:r>
        <w:rPr>
          <w:color w:val="auto"/>
          <w:highlight w:val="none"/>
          <w:u w:val="single"/>
        </w:rPr>
        <w:t xml:space="preserve">   </w:t>
      </w:r>
      <w:r>
        <w:rPr>
          <w:rFonts w:hint="eastAsia"/>
          <w:color w:val="auto"/>
          <w:highlight w:val="none"/>
          <w:u w:val="single"/>
        </w:rPr>
        <w:t xml:space="preserve">  </w:t>
      </w:r>
      <w:r>
        <w:rPr>
          <w:color w:val="auto"/>
          <w:highlight w:val="none"/>
        </w:rPr>
        <w:t>月</w:t>
      </w:r>
      <w:r>
        <w:rPr>
          <w:color w:val="auto"/>
          <w:highlight w:val="none"/>
          <w:u w:val="single"/>
        </w:rPr>
        <w:t xml:space="preserve"> </w:t>
      </w:r>
      <w:r>
        <w:rPr>
          <w:rFonts w:hint="eastAsia"/>
          <w:color w:val="auto"/>
          <w:highlight w:val="none"/>
          <w:u w:val="single"/>
        </w:rPr>
        <w:t xml:space="preserve">   </w:t>
      </w:r>
      <w:r>
        <w:rPr>
          <w:color w:val="auto"/>
          <w:highlight w:val="none"/>
        </w:rPr>
        <w:t>日</w:t>
      </w:r>
    </w:p>
    <w:p>
      <w:pPr>
        <w:tabs>
          <w:tab w:val="left" w:pos="360"/>
        </w:tabs>
        <w:spacing w:line="360" w:lineRule="auto"/>
        <w:ind w:left="357" w:hanging="357"/>
        <w:rPr>
          <w:rFonts w:ascii="宋体" w:hAnsi="宋体"/>
          <w:color w:val="auto"/>
          <w:highlight w:val="none"/>
        </w:rPr>
      </w:pPr>
    </w:p>
    <w:p>
      <w:pPr>
        <w:rPr>
          <w:color w:val="auto"/>
          <w:highlight w:val="none"/>
        </w:rPr>
      </w:pPr>
      <w:r>
        <w:rPr>
          <w:rFonts w:hint="eastAsia" w:ascii="宋体" w:hAnsi="宋体" w:cs="宋体"/>
          <w:b/>
          <w:bCs/>
          <w:color w:val="auto"/>
          <w:highlight w:val="none"/>
        </w:rPr>
        <w:t>注：采用联合体形式投标的供应商必须提供联合体协议；如单独投标无须提供“联合体协议”。</w:t>
      </w:r>
      <w:r>
        <w:rPr>
          <w:rFonts w:hint="eastAsia"/>
          <w:color w:val="auto"/>
          <w:highlight w:val="none"/>
        </w:rPr>
        <w:br w:type="page"/>
      </w:r>
    </w:p>
    <w:p>
      <w:pPr>
        <w:snapToGrid w:val="0"/>
        <w:rPr>
          <w:rFonts w:ascii="宋体" w:hAnsi="宋体" w:cs="宋体"/>
          <w:color w:val="auto"/>
          <w:szCs w:val="21"/>
          <w:highlight w:val="none"/>
        </w:rPr>
      </w:pPr>
      <w:r>
        <w:rPr>
          <w:rFonts w:hint="eastAsia" w:ascii="宋体" w:hAnsi="宋体" w:cs="宋体"/>
          <w:b/>
          <w:bCs/>
          <w:color w:val="auto"/>
          <w:highlight w:val="none"/>
        </w:rPr>
        <w:t>（4）</w:t>
      </w:r>
      <w:r>
        <w:rPr>
          <w:rFonts w:hint="eastAsia" w:ascii="宋体" w:hAnsi="宋体" w:cs="宋体"/>
          <w:color w:val="auto"/>
          <w:szCs w:val="21"/>
          <w:highlight w:val="none"/>
        </w:rPr>
        <w:t>供应商特定资格条件的证明文件（如有）：</w:t>
      </w:r>
      <w:r>
        <w:rPr>
          <w:rFonts w:hint="eastAsia" w:ascii="宋体" w:hAnsi="宋体" w:cs="宋体"/>
          <w:color w:val="auto"/>
          <w:highlight w:val="none"/>
        </w:rPr>
        <w:t>详见“第一章  公开招标公告 二、申请人的资格要求：3.本项目的特定资格要求”</w:t>
      </w:r>
      <w:r>
        <w:rPr>
          <w:rFonts w:hint="eastAsia" w:ascii="宋体" w:hAnsi="宋体" w:cs="宋体"/>
          <w:color w:val="auto"/>
          <w:szCs w:val="21"/>
          <w:highlight w:val="none"/>
        </w:rPr>
        <w:t>；</w:t>
      </w:r>
    </w:p>
    <w:p>
      <w:pPr>
        <w:snapToGrid w:val="0"/>
        <w:rPr>
          <w:rFonts w:ascii="宋体" w:hAnsi="宋体" w:cs="宋体"/>
          <w:color w:val="auto"/>
          <w:szCs w:val="21"/>
          <w:highlight w:val="none"/>
        </w:rPr>
      </w:pPr>
    </w:p>
    <w:p>
      <w:pPr>
        <w:spacing w:line="360" w:lineRule="auto"/>
        <w:rPr>
          <w:rFonts w:ascii="宋体" w:hAnsi="宋体" w:cs="宋体"/>
          <w:b/>
          <w:bCs/>
          <w:color w:val="auto"/>
          <w:szCs w:val="21"/>
          <w:highlight w:val="none"/>
          <w:lang w:bidi="ar"/>
        </w:rPr>
      </w:pPr>
      <w:r>
        <w:rPr>
          <w:rFonts w:hint="eastAsia" w:ascii="宋体" w:hAnsi="宋体" w:cs="宋体"/>
          <w:b/>
          <w:bCs/>
          <w:color w:val="auto"/>
          <w:highlight w:val="none"/>
        </w:rPr>
        <w:br w:type="page"/>
      </w:r>
      <w:r>
        <w:rPr>
          <w:rFonts w:hint="eastAsia" w:ascii="宋体" w:hAnsi="宋体" w:cs="宋体"/>
          <w:b/>
          <w:bCs/>
          <w:color w:val="auto"/>
          <w:highlight w:val="none"/>
        </w:rPr>
        <w:t>（5）</w:t>
      </w:r>
      <w:r>
        <w:rPr>
          <w:rFonts w:hint="eastAsia" w:ascii="宋体" w:hAnsi="宋体" w:cs="宋体"/>
          <w:b/>
          <w:bCs/>
          <w:color w:val="auto"/>
          <w:highlight w:val="none"/>
          <w:lang w:bidi="ar"/>
        </w:rPr>
        <w:t>中小企业声明函</w:t>
      </w:r>
    </w:p>
    <w:p>
      <w:pPr>
        <w:spacing w:line="360" w:lineRule="auto"/>
        <w:jc w:val="center"/>
        <w:rPr>
          <w:rFonts w:ascii="宋体" w:hAnsi="宋体" w:cs="宋体"/>
          <w:b/>
          <w:color w:val="auto"/>
          <w:sz w:val="28"/>
          <w:szCs w:val="28"/>
          <w:highlight w:val="none"/>
        </w:rPr>
      </w:pPr>
      <w:r>
        <w:rPr>
          <w:rFonts w:hint="eastAsia" w:ascii="宋体" w:hAnsi="宋体" w:cs="宋体"/>
          <w:b/>
          <w:color w:val="auto"/>
          <w:sz w:val="32"/>
          <w:szCs w:val="32"/>
          <w:highlight w:val="none"/>
          <w:lang w:bidi="ar"/>
        </w:rPr>
        <w:t>中小企业声明函（服务）</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本公司（联合体）郑重声明，根据《政府采购促进中小企业发展管理办法》（财库﹝2020﹞46 号）的规定，本公司（联合体）参加</w:t>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采购活动，服务全部由符合政策要求的中小企业承接。相关企业（含联合体中的中小企业、签订分包意向协议的中小企业）的具体情况如下：</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i/>
          <w:color w:val="auto"/>
          <w:szCs w:val="21"/>
          <w:highlight w:val="none"/>
          <w:u w:val="single"/>
        </w:rPr>
        <w:t xml:space="preserve"> （标的名称） </w:t>
      </w:r>
      <w:r>
        <w:rPr>
          <w:rFonts w:hint="eastAsia" w:ascii="宋体" w:hAnsi="宋体" w:cs="宋体"/>
          <w:color w:val="auto"/>
          <w:szCs w:val="21"/>
          <w:highlight w:val="none"/>
        </w:rPr>
        <w:t>，属于</w:t>
      </w:r>
      <w:r>
        <w:rPr>
          <w:rFonts w:hint="eastAsia" w:ascii="宋体" w:hAnsi="宋体" w:cs="宋体"/>
          <w:i/>
          <w:color w:val="auto"/>
          <w:szCs w:val="21"/>
          <w:highlight w:val="none"/>
          <w:u w:val="single"/>
        </w:rPr>
        <w:t>（其他未列明行业）</w:t>
      </w:r>
      <w:r>
        <w:rPr>
          <w:rFonts w:hint="eastAsia" w:ascii="宋体" w:hAnsi="宋体" w:cs="宋体"/>
          <w:color w:val="auto"/>
          <w:szCs w:val="21"/>
          <w:highlight w:val="none"/>
        </w:rPr>
        <w:t>；承接企业为</w:t>
      </w:r>
      <w:r>
        <w:rPr>
          <w:rFonts w:hint="eastAsia" w:ascii="宋体" w:hAnsi="宋体" w:cs="宋体"/>
          <w:i/>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w:t>
      </w:r>
      <w:r>
        <w:rPr>
          <w:rFonts w:hint="eastAsia" w:ascii="宋体" w:hAnsi="宋体" w:cs="宋体"/>
          <w:i/>
          <w:color w:val="auto"/>
          <w:szCs w:val="21"/>
          <w:highlight w:val="none"/>
          <w:u w:val="single"/>
        </w:rPr>
        <w:t>（中型企业、小型企业、微型企业）</w:t>
      </w:r>
      <w:r>
        <w:rPr>
          <w:rFonts w:hint="eastAsia" w:ascii="宋体" w:hAnsi="宋体" w:cs="宋体"/>
          <w:color w:val="auto"/>
          <w:szCs w:val="21"/>
          <w:highlight w:val="none"/>
        </w:rPr>
        <w:t>；</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i/>
          <w:color w:val="auto"/>
          <w:szCs w:val="21"/>
          <w:highlight w:val="none"/>
          <w:u w:val="single"/>
        </w:rPr>
        <w:t xml:space="preserve"> （标的名称） </w:t>
      </w:r>
      <w:r>
        <w:rPr>
          <w:rFonts w:hint="eastAsia" w:ascii="宋体" w:hAnsi="宋体" w:cs="宋体"/>
          <w:color w:val="auto"/>
          <w:szCs w:val="21"/>
          <w:highlight w:val="none"/>
        </w:rPr>
        <w:t>，属于</w:t>
      </w:r>
      <w:r>
        <w:rPr>
          <w:rFonts w:hint="eastAsia" w:ascii="宋体" w:hAnsi="宋体" w:cs="宋体"/>
          <w:i/>
          <w:color w:val="auto"/>
          <w:szCs w:val="21"/>
          <w:highlight w:val="none"/>
          <w:u w:val="single"/>
        </w:rPr>
        <w:t>（其他未列明行业）</w:t>
      </w:r>
      <w:r>
        <w:rPr>
          <w:rFonts w:hint="eastAsia" w:ascii="宋体" w:hAnsi="宋体" w:cs="宋体"/>
          <w:color w:val="auto"/>
          <w:szCs w:val="21"/>
          <w:highlight w:val="none"/>
        </w:rPr>
        <w:t>；承接企业为</w:t>
      </w:r>
      <w:r>
        <w:rPr>
          <w:rFonts w:hint="eastAsia" w:ascii="宋体" w:hAnsi="宋体" w:cs="宋体"/>
          <w:i/>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万元，属于</w:t>
      </w:r>
      <w:r>
        <w:rPr>
          <w:rFonts w:hint="eastAsia" w:ascii="宋体" w:hAnsi="宋体" w:cs="宋体"/>
          <w:i/>
          <w:color w:val="auto"/>
          <w:szCs w:val="21"/>
          <w:highlight w:val="none"/>
          <w:u w:val="single"/>
        </w:rPr>
        <w:t>（中型企业、小型企业、微型企业）</w:t>
      </w:r>
      <w:r>
        <w:rPr>
          <w:rFonts w:hint="eastAsia" w:ascii="宋体" w:hAnsi="宋体" w:cs="宋体"/>
          <w:color w:val="auto"/>
          <w:szCs w:val="21"/>
          <w:highlight w:val="none"/>
        </w:rPr>
        <w:t>；</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spacing w:line="500" w:lineRule="exact"/>
        <w:ind w:firstLine="420" w:firstLineChars="200"/>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spacing w:line="500" w:lineRule="exact"/>
        <w:rPr>
          <w:rFonts w:ascii="宋体" w:hAnsi="宋体" w:cs="宋体"/>
          <w:color w:val="auto"/>
          <w:szCs w:val="21"/>
          <w:highlight w:val="none"/>
        </w:rPr>
      </w:pPr>
      <w:r>
        <w:rPr>
          <w:rFonts w:hint="eastAsia" w:ascii="宋体" w:hAnsi="宋体" w:cs="宋体"/>
          <w:color w:val="auto"/>
          <w:szCs w:val="21"/>
          <w:highlight w:val="none"/>
        </w:rPr>
        <w:t xml:space="preserve">                        企业名称（盖章）：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日期：</w:t>
      </w:r>
    </w:p>
    <w:p>
      <w:pPr>
        <w:spacing w:line="360" w:lineRule="auto"/>
        <w:rPr>
          <w:rFonts w:ascii="宋体" w:hAnsi="宋体" w:cs="宋体"/>
          <w:color w:val="auto"/>
          <w:szCs w:val="21"/>
          <w:highlight w:val="none"/>
        </w:rPr>
      </w:pPr>
      <w:r>
        <w:rPr>
          <w:rFonts w:hint="eastAsia" w:ascii="宋体" w:hAnsi="宋体" w:cs="宋体"/>
          <w:color w:val="auto"/>
          <w:szCs w:val="21"/>
          <w:highlight w:val="none"/>
        </w:rPr>
        <w:t>说明：</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1、从业人员、营业收入、资产总额填报上一年度数据，无上一年度数据的新成立企业可不填报。</w:t>
      </w:r>
    </w:p>
    <w:p>
      <w:pPr>
        <w:spacing w:line="360" w:lineRule="auto"/>
        <w:rPr>
          <w:rFonts w:ascii="宋体" w:hAnsi="宋体" w:cs="宋体"/>
          <w:color w:val="auto"/>
          <w:szCs w:val="21"/>
          <w:highlight w:val="none"/>
        </w:rPr>
      </w:pPr>
      <w:r>
        <w:rPr>
          <w:rFonts w:hint="eastAsia" w:ascii="宋体" w:hAnsi="宋体" w:cs="宋体"/>
          <w:color w:val="auto"/>
          <w:szCs w:val="21"/>
          <w:highlight w:val="none"/>
        </w:rPr>
        <w:t>2、根据工信部联企业[2011]300号规定。其他未列明行业：从业人员300人以下的为中小微型企业。其中，从业人员100人及以上的为中型企业；从业人员10人及以上的为小型企业；从业人员10人以下的为微型企业。</w:t>
      </w:r>
    </w:p>
    <w:p>
      <w:pPr>
        <w:pStyle w:val="2"/>
        <w:ind w:firstLine="0" w:firstLineChars="0"/>
        <w:rPr>
          <w:rFonts w:hint="default" w:ascii="宋体" w:hAnsi="宋体" w:cs="宋体"/>
          <w:color w:val="auto"/>
          <w:szCs w:val="21"/>
          <w:highlight w:val="none"/>
        </w:rPr>
      </w:pPr>
    </w:p>
    <w:p>
      <w:pPr>
        <w:spacing w:line="500" w:lineRule="exact"/>
        <w:rPr>
          <w:rFonts w:ascii="宋体" w:hAnsi="宋体" w:cs="宋体"/>
          <w:color w:val="auto"/>
          <w:szCs w:val="21"/>
          <w:highlight w:val="none"/>
        </w:rPr>
      </w:pPr>
    </w:p>
    <w:p>
      <w:pPr>
        <w:spacing w:line="500" w:lineRule="exact"/>
        <w:rPr>
          <w:rFonts w:ascii="宋体" w:hAnsi="宋体" w:cs="宋体"/>
          <w:color w:val="auto"/>
          <w:szCs w:val="21"/>
          <w:highlight w:val="none"/>
        </w:rPr>
      </w:pPr>
      <w:r>
        <w:rPr>
          <w:rFonts w:hint="eastAsia" w:ascii="宋体" w:hAnsi="宋体" w:cs="宋体"/>
          <w:b/>
          <w:color w:val="auto"/>
          <w:kern w:val="0"/>
          <w:szCs w:val="21"/>
          <w:highlight w:val="none"/>
          <w:lang w:bidi="ar"/>
        </w:rPr>
        <w:t>注：联合体投标的，联合体各方均须提供。</w:t>
      </w:r>
    </w:p>
    <w:p>
      <w:pPr>
        <w:spacing w:line="500" w:lineRule="exact"/>
        <w:rPr>
          <w:rFonts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 xml:space="preserve"> 残疾人福利性单位声明函（非残疾人福利性单位无需提供本函)</w:t>
      </w:r>
    </w:p>
    <w:p>
      <w:pPr>
        <w:spacing w:line="500" w:lineRule="exact"/>
        <w:rPr>
          <w:rFonts w:ascii="宋体" w:hAnsi="宋体" w:cs="宋体"/>
          <w:color w:val="auto"/>
          <w:szCs w:val="21"/>
          <w:highlight w:val="none"/>
        </w:rPr>
      </w:pPr>
    </w:p>
    <w:p>
      <w:pPr>
        <w:spacing w:line="360" w:lineRule="auto"/>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残疾人福利性单位声明函</w:t>
      </w:r>
    </w:p>
    <w:p>
      <w:pPr>
        <w:spacing w:line="500" w:lineRule="exact"/>
        <w:rPr>
          <w:rFonts w:ascii="宋体" w:hAnsi="宋体" w:cs="宋体"/>
          <w:color w:val="auto"/>
          <w:szCs w:val="21"/>
          <w:highlight w:val="none"/>
        </w:rPr>
      </w:pPr>
    </w:p>
    <w:p>
      <w:pPr>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360" w:lineRule="auto"/>
        <w:ind w:firstLine="444" w:firstLineChars="200"/>
        <w:rPr>
          <w:rFonts w:ascii="宋体" w:hAnsi="宋体" w:cs="宋体"/>
          <w:color w:val="auto"/>
          <w:spacing w:val="6"/>
          <w:szCs w:val="21"/>
          <w:highlight w:val="none"/>
        </w:rPr>
      </w:pPr>
    </w:p>
    <w:p>
      <w:pPr>
        <w:tabs>
          <w:tab w:val="left" w:pos="4860"/>
        </w:tabs>
        <w:spacing w:line="360" w:lineRule="auto"/>
        <w:ind w:firstLine="444" w:firstLineChars="200"/>
        <w:jc w:val="center"/>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tabs>
          <w:tab w:val="left" w:pos="4860"/>
        </w:tabs>
        <w:spacing w:line="360" w:lineRule="auto"/>
        <w:ind w:firstLine="444" w:firstLineChars="200"/>
        <w:jc w:val="center"/>
        <w:rPr>
          <w:rFonts w:ascii="宋体" w:hAnsi="宋体" w:cs="宋体"/>
          <w:color w:val="auto"/>
          <w:highlight w:val="none"/>
        </w:rPr>
      </w:pPr>
      <w:r>
        <w:rPr>
          <w:rFonts w:hint="eastAsia" w:ascii="宋体" w:hAnsi="宋体" w:cs="宋体"/>
          <w:color w:val="auto"/>
          <w:spacing w:val="6"/>
          <w:szCs w:val="21"/>
          <w:highlight w:val="none"/>
        </w:rPr>
        <w:t xml:space="preserve">       日  期：</w:t>
      </w:r>
    </w:p>
    <w:p>
      <w:pPr>
        <w:tabs>
          <w:tab w:val="left" w:pos="4860"/>
        </w:tabs>
        <w:spacing w:line="360" w:lineRule="auto"/>
        <w:ind w:firstLine="420" w:firstLineChars="200"/>
        <w:jc w:val="center"/>
        <w:rPr>
          <w:rFonts w:ascii="宋体" w:hAnsi="宋体" w:cs="宋体"/>
          <w:color w:val="auto"/>
          <w:highlight w:val="none"/>
        </w:rPr>
      </w:pPr>
    </w:p>
    <w:p>
      <w:pPr>
        <w:tabs>
          <w:tab w:val="left" w:pos="4860"/>
        </w:tabs>
        <w:spacing w:line="360" w:lineRule="auto"/>
        <w:rPr>
          <w:rFonts w:ascii="宋体" w:hAnsi="宋体" w:cs="宋体"/>
          <w:color w:val="auto"/>
          <w:spacing w:val="6"/>
          <w:szCs w:val="21"/>
          <w:highlight w:val="none"/>
        </w:rPr>
      </w:pPr>
      <w:r>
        <w:rPr>
          <w:rFonts w:hint="eastAsia" w:ascii="宋体" w:hAnsi="宋体" w:cs="宋体"/>
          <w:color w:val="auto"/>
          <w:spacing w:val="6"/>
          <w:szCs w:val="21"/>
          <w:highlight w:val="none"/>
        </w:rPr>
        <w:t>注：1、如供应商为非残疾人福利性单位的可不提供本声明函。</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2、享受政府采购支持政策的残疾人福利性单位应当同时满足以下条件：</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（2）依法与安置的每位残疾人签订了一年以上（含一年）的劳动合同或服务协议；</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（5）提供本单位制造的货物、承担的工程或者服务（以下简称产品），或者提供其他残疾人福利性单位制造的货物（不包括使用非残疾人福利性单位注册商标的货物）。</w:t>
      </w:r>
    </w:p>
    <w:p>
      <w:pPr>
        <w:spacing w:line="500" w:lineRule="exact"/>
        <w:rPr>
          <w:rFonts w:ascii="宋体" w:hAnsi="宋体" w:cs="宋体"/>
          <w:b/>
          <w:bCs/>
          <w:color w:val="auto"/>
          <w:szCs w:val="21"/>
          <w:highlight w:val="none"/>
        </w:rPr>
      </w:pPr>
      <w:r>
        <w:rPr>
          <w:rFonts w:hint="eastAsia" w:ascii="宋体" w:hAnsi="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napToGrid w:val="0"/>
        <w:rPr>
          <w:rFonts w:ascii="宋体" w:hAnsi="宋体" w:cs="宋体"/>
          <w:b/>
          <w:color w:val="auto"/>
          <w:kern w:val="0"/>
          <w:szCs w:val="21"/>
          <w:highlight w:val="none"/>
          <w:lang w:bidi="ar"/>
        </w:rPr>
      </w:pPr>
      <w:r>
        <w:rPr>
          <w:rFonts w:hint="eastAsia" w:ascii="宋体" w:hAnsi="宋体" w:cs="宋体"/>
          <w:b/>
          <w:color w:val="auto"/>
          <w:kern w:val="0"/>
          <w:szCs w:val="21"/>
          <w:highlight w:val="none"/>
          <w:lang w:bidi="ar"/>
        </w:rPr>
        <w:t>注：联合体投标的，联合体各方均须提供。</w:t>
      </w:r>
    </w:p>
    <w:p>
      <w:pPr>
        <w:rPr>
          <w:rFonts w:ascii="宋体" w:hAnsi="宋体" w:cs="宋体"/>
          <w:b/>
          <w:color w:val="auto"/>
          <w:kern w:val="0"/>
          <w:szCs w:val="21"/>
          <w:highlight w:val="none"/>
          <w:lang w:bidi="ar"/>
        </w:rPr>
      </w:pPr>
      <w:r>
        <w:rPr>
          <w:rFonts w:hint="eastAsia" w:ascii="宋体" w:hAnsi="宋体" w:cs="宋体"/>
          <w:b/>
          <w:color w:val="auto"/>
          <w:kern w:val="0"/>
          <w:szCs w:val="21"/>
          <w:highlight w:val="none"/>
          <w:lang w:bidi="ar"/>
        </w:rPr>
        <w:br w:type="page"/>
      </w:r>
    </w:p>
    <w:p>
      <w:pPr>
        <w:pStyle w:val="21"/>
        <w:rPr>
          <w:color w:val="auto"/>
          <w:highlight w:val="none"/>
        </w:rPr>
      </w:pPr>
    </w:p>
    <w:p>
      <w:pPr>
        <w:snapToGrid w:val="0"/>
        <w:rPr>
          <w:rFonts w:ascii="宋体" w:hAnsi="宋体" w:cs="宋体"/>
          <w:b/>
          <w:bCs/>
          <w:color w:val="auto"/>
          <w:highlight w:val="none"/>
        </w:rPr>
      </w:pPr>
      <w:r>
        <w:rPr>
          <w:rFonts w:hint="eastAsia" w:ascii="宋体" w:hAnsi="宋体" w:cs="宋体"/>
          <w:b/>
          <w:bCs/>
          <w:color w:val="auto"/>
          <w:highlight w:val="none"/>
        </w:rPr>
        <w:t>（6）</w:t>
      </w:r>
      <w:r>
        <w:rPr>
          <w:rFonts w:hint="eastAsia" w:ascii="宋体" w:hAnsi="宋体" w:cs="宋体"/>
          <w:color w:val="auto"/>
          <w:szCs w:val="21"/>
          <w:highlight w:val="none"/>
        </w:rPr>
        <w:t>招标文件要求的其他资格条件证明材料（如有）。</w:t>
      </w:r>
    </w:p>
    <w:p>
      <w:pPr>
        <w:spacing w:line="360" w:lineRule="auto"/>
        <w:rPr>
          <w:rFonts w:ascii="宋体" w:hAnsi="宋体" w:cs="宋体"/>
          <w:bCs/>
          <w:color w:val="auto"/>
          <w:sz w:val="24"/>
          <w:highlight w:val="none"/>
          <w:lang w:bidi="ar"/>
        </w:rPr>
      </w:pPr>
      <w:r>
        <w:rPr>
          <w:rFonts w:hint="eastAsia" w:ascii="宋体" w:hAnsi="宋体" w:cs="宋体"/>
          <w:b/>
          <w:bCs/>
          <w:color w:val="auto"/>
          <w:highlight w:val="none"/>
        </w:rPr>
        <w:br w:type="page"/>
      </w:r>
      <w:r>
        <w:rPr>
          <w:rFonts w:hint="eastAsia" w:ascii="宋体" w:hAnsi="宋体" w:cs="宋体"/>
          <w:b/>
          <w:bCs/>
          <w:color w:val="auto"/>
          <w:highlight w:val="none"/>
        </w:rPr>
        <w:t>3、商务技术文件内容包括</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符合性自查表（格式见附件）；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供应商响应表（格式见附件）；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商务条款偏离表（格式见附件）；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投标函（格式见附件）；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法定代表人身份证明或法定代表人授权委托书（格式见附件）；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技术（服务）条款偏离表（格式见附件）；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供应商基本情况表（格式见附件）；</w:t>
      </w:r>
    </w:p>
    <w:p>
      <w:pPr>
        <w:numPr>
          <w:ilvl w:val="0"/>
          <w:numId w:val="18"/>
        </w:numPr>
        <w:spacing w:line="360" w:lineRule="auto"/>
        <w:rPr>
          <w:rFonts w:ascii="宋体" w:hAnsi="宋体" w:cs="宋体"/>
          <w:color w:val="auto"/>
          <w:highlight w:val="none"/>
        </w:rPr>
      </w:pPr>
      <w:r>
        <w:rPr>
          <w:rFonts w:hint="eastAsia" w:ascii="宋体" w:hAnsi="宋体" w:cs="宋体"/>
          <w:color w:val="auto"/>
          <w:highlight w:val="none"/>
        </w:rPr>
        <w:t>本项目负责人简历表（格式见附件）</w:t>
      </w:r>
    </w:p>
    <w:p>
      <w:pPr>
        <w:numPr>
          <w:ilvl w:val="0"/>
          <w:numId w:val="18"/>
        </w:numPr>
        <w:spacing w:line="360" w:lineRule="auto"/>
        <w:rPr>
          <w:rFonts w:ascii="宋体" w:hAnsi="宋体" w:cs="宋体"/>
          <w:color w:val="auto"/>
          <w:highlight w:val="none"/>
        </w:rPr>
      </w:pPr>
      <w:r>
        <w:rPr>
          <w:rFonts w:hint="eastAsia" w:ascii="宋体" w:hAnsi="宋体" w:cs="宋体"/>
          <w:color w:val="auto"/>
          <w:highlight w:val="none"/>
        </w:rPr>
        <w:t>本项目组人员配备情况表（格式见附件）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同类业绩情况一览表（格式见附件）；</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技术部分：针对本项目第二章采购需求和第四章评分标准中的条款拟定完整方案，格式自拟；</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第四章评标办法及评分标准中需提供的其他相关证书及合同复印件等并加盖公章；</w:t>
      </w:r>
    </w:p>
    <w:p>
      <w:pPr>
        <w:numPr>
          <w:ilvl w:val="0"/>
          <w:numId w:val="18"/>
        </w:numPr>
        <w:spacing w:line="360" w:lineRule="auto"/>
        <w:jc w:val="left"/>
        <w:rPr>
          <w:rFonts w:ascii="宋体" w:hAnsi="宋体" w:cs="宋体"/>
          <w:color w:val="auto"/>
          <w:highlight w:val="none"/>
        </w:rPr>
      </w:pPr>
      <w:r>
        <w:rPr>
          <w:rFonts w:hint="eastAsia" w:ascii="宋体" w:hAnsi="宋体" w:cs="宋体"/>
          <w:color w:val="auto"/>
          <w:highlight w:val="none"/>
        </w:rPr>
        <w:t>供应商认为有需要提供的其它有关证明资料。</w:t>
      </w:r>
    </w:p>
    <w:p>
      <w:pPr>
        <w:snapToGrid w:val="0"/>
        <w:rPr>
          <w:rFonts w:ascii="宋体" w:hAnsi="宋体" w:cs="宋体"/>
          <w:bCs/>
          <w:color w:val="auto"/>
          <w:sz w:val="24"/>
          <w:highlight w:val="none"/>
          <w:lang w:bidi="ar"/>
        </w:rPr>
      </w:pPr>
    </w:p>
    <w:p>
      <w:pPr>
        <w:snapToGrid w:val="0"/>
        <w:rPr>
          <w:rFonts w:ascii="宋体" w:hAnsi="宋体" w:cs="宋体"/>
          <w:bCs/>
          <w:color w:val="auto"/>
          <w:sz w:val="24"/>
          <w:highlight w:val="none"/>
          <w:lang w:bidi="ar"/>
        </w:rPr>
      </w:pPr>
    </w:p>
    <w:p>
      <w:pPr>
        <w:numPr>
          <w:ilvl w:val="0"/>
          <w:numId w:val="19"/>
        </w:numPr>
        <w:snapToGrid w:val="0"/>
        <w:rPr>
          <w:rFonts w:ascii="宋体" w:hAnsi="宋体" w:cs="宋体"/>
          <w:b/>
          <w:color w:val="auto"/>
          <w:szCs w:val="21"/>
          <w:highlight w:val="none"/>
          <w:lang w:bidi="ar"/>
        </w:rPr>
      </w:pPr>
      <w:r>
        <w:rPr>
          <w:rFonts w:hint="eastAsia" w:ascii="宋体" w:hAnsi="宋体" w:cs="宋体"/>
          <w:b/>
          <w:color w:val="auto"/>
          <w:szCs w:val="21"/>
          <w:highlight w:val="none"/>
          <w:lang w:bidi="ar"/>
        </w:rPr>
        <w:br w:type="page"/>
      </w:r>
      <w:r>
        <w:rPr>
          <w:rFonts w:hint="eastAsia" w:ascii="宋体" w:hAnsi="宋体" w:cs="宋体"/>
          <w:b/>
          <w:color w:val="auto"/>
          <w:szCs w:val="21"/>
          <w:highlight w:val="none"/>
          <w:lang w:bidi="ar"/>
        </w:rPr>
        <w:t>符合性自查表格式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符合性自查表</w:t>
      </w:r>
    </w:p>
    <w:tbl>
      <w:tblPr>
        <w:tblStyle w:val="46"/>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评审内容</w:t>
            </w:r>
          </w:p>
        </w:tc>
        <w:tc>
          <w:tcPr>
            <w:tcW w:w="3499" w:type="dxa"/>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招标文件要求</w:t>
            </w:r>
          </w:p>
        </w:tc>
        <w:tc>
          <w:tcPr>
            <w:tcW w:w="1240" w:type="dxa"/>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自查结论</w:t>
            </w:r>
          </w:p>
        </w:tc>
        <w:tc>
          <w:tcPr>
            <w:tcW w:w="2550" w:type="dxa"/>
            <w:vAlign w:val="center"/>
          </w:tcPr>
          <w:p>
            <w:pPr>
              <w:spacing w:line="240" w:lineRule="exact"/>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vAlign w:val="center"/>
          </w:tcPr>
          <w:p>
            <w:pPr>
              <w:spacing w:line="240" w:lineRule="exact"/>
              <w:rPr>
                <w:rFonts w:ascii="宋体" w:hAnsi="宋体" w:cs="宋体"/>
                <w:color w:val="auto"/>
                <w:highlight w:val="none"/>
              </w:rPr>
            </w:pPr>
            <w:r>
              <w:rPr>
                <w:rFonts w:hint="eastAsia" w:ascii="宋体" w:hAnsi="宋体" w:cs="宋体"/>
                <w:color w:val="auto"/>
                <w:highlight w:val="none"/>
              </w:rPr>
              <w:t>符合性审</w:t>
            </w:r>
          </w:p>
          <w:p>
            <w:pPr>
              <w:spacing w:line="240" w:lineRule="exact"/>
              <w:rPr>
                <w:rFonts w:ascii="宋体" w:hAnsi="宋体" w:cs="宋体"/>
                <w:color w:val="auto"/>
                <w:highlight w:val="none"/>
              </w:rPr>
            </w:pPr>
            <w:r>
              <w:rPr>
                <w:rFonts w:hint="eastAsia" w:ascii="宋体" w:hAnsi="宋体" w:cs="宋体"/>
                <w:color w:val="auto"/>
                <w:highlight w:val="none"/>
              </w:rPr>
              <w:t>查（商务技术文件）</w:t>
            </w: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投标函已提交并符合招标文件要求；</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按照招标文件规定要求签署或盖章；</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kern w:val="0"/>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投标文件的实质性内容使用中文表述且意思表述明确，前后无矛盾且使用计量单位符合招标文件要求的；</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带“★”的条款满足招标文件要求、已实质性响应招标文件要求且投标文件无采购人不能接受的附加条件的；</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投标技术方案明确，不存在一个或一个以上备选（替代）投标方案的；</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商务技术文件中未出现报价或单价的；</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不存在法律、法规和招标文件规定的其他无效情形；</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vAlign w:val="center"/>
          </w:tcPr>
          <w:p>
            <w:pPr>
              <w:spacing w:line="240" w:lineRule="exact"/>
              <w:rPr>
                <w:rFonts w:ascii="宋体" w:hAnsi="宋体" w:cs="宋体"/>
                <w:color w:val="auto"/>
                <w:highlight w:val="none"/>
              </w:rPr>
            </w:pPr>
          </w:p>
        </w:tc>
        <w:tc>
          <w:tcPr>
            <w:tcW w:w="3499" w:type="dxa"/>
            <w:vAlign w:val="center"/>
          </w:tcPr>
          <w:p>
            <w:pPr>
              <w:tabs>
                <w:tab w:val="left" w:pos="612"/>
              </w:tabs>
              <w:spacing w:line="240" w:lineRule="exact"/>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不存在投标文件的有效期不满足招标文件要求情形；</w:t>
            </w:r>
          </w:p>
        </w:tc>
        <w:tc>
          <w:tcPr>
            <w:tcW w:w="124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 xml:space="preserve">□通过 </w:t>
            </w:r>
          </w:p>
          <w:p>
            <w:pPr>
              <w:spacing w:line="240" w:lineRule="exact"/>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spacing w:line="240" w:lineRule="exact"/>
              <w:rPr>
                <w:rFonts w:ascii="宋体" w:hAnsi="宋体" w:cs="宋体"/>
                <w:color w:val="auto"/>
                <w:highlight w:val="none"/>
              </w:rPr>
            </w:pPr>
            <w:r>
              <w:rPr>
                <w:rFonts w:hint="eastAsia" w:ascii="宋体" w:hAnsi="宋体" w:cs="宋体"/>
                <w:color w:val="auto"/>
                <w:highlight w:val="none"/>
              </w:rPr>
              <w:t>第（ ）页</w:t>
            </w:r>
          </w:p>
        </w:tc>
      </w:tr>
    </w:tbl>
    <w:p>
      <w:pPr>
        <w:snapToGrid w:val="0"/>
        <w:rPr>
          <w:rFonts w:ascii="宋体" w:hAnsi="宋体" w:cs="宋体"/>
          <w:b/>
          <w:color w:val="auto"/>
          <w:szCs w:val="21"/>
          <w:highlight w:val="none"/>
        </w:rPr>
      </w:pPr>
      <w:r>
        <w:rPr>
          <w:rFonts w:hint="eastAsia" w:ascii="宋体" w:hAnsi="宋体" w:cs="宋体"/>
          <w:b/>
          <w:color w:val="auto"/>
          <w:szCs w:val="21"/>
          <w:highlight w:val="none"/>
        </w:rPr>
        <w:t xml:space="preserve">备注：符合性自查表将作为供应商有效性审查的重要内容之一，供应商必须严格按照其内容及序列要求在投标文件中对应如实提供，对证明文件的任何缺漏和不符合项将会直接导致投标无效！ </w:t>
      </w:r>
    </w:p>
    <w:p>
      <w:pPr>
        <w:snapToGrid w:val="0"/>
        <w:rPr>
          <w:rFonts w:ascii="宋体" w:hAnsi="宋体" w:cs="宋体"/>
          <w:b/>
          <w:color w:val="auto"/>
          <w:szCs w:val="21"/>
          <w:highlight w:val="none"/>
        </w:rPr>
      </w:pPr>
    </w:p>
    <w:p>
      <w:pPr>
        <w:snapToGrid w:val="0"/>
        <w:rPr>
          <w:rFonts w:ascii="宋体" w:hAnsi="宋体" w:cs="宋体"/>
          <w:b/>
          <w:color w:val="auto"/>
          <w:szCs w:val="21"/>
          <w:highlight w:val="none"/>
          <w:lang w:bidi="ar"/>
        </w:rPr>
      </w:pPr>
      <w:r>
        <w:rPr>
          <w:rFonts w:hint="eastAsia" w:ascii="宋体" w:hAnsi="宋体" w:cs="宋体"/>
          <w:b/>
          <w:color w:val="auto"/>
          <w:szCs w:val="21"/>
          <w:highlight w:val="none"/>
        </w:rPr>
        <w:br w:type="page"/>
      </w:r>
      <w:r>
        <w:rPr>
          <w:rFonts w:hint="eastAsia" w:ascii="宋体" w:hAnsi="宋体" w:cs="宋体"/>
          <w:b/>
          <w:color w:val="auto"/>
          <w:szCs w:val="21"/>
          <w:highlight w:val="none"/>
          <w:lang w:bidi="ar"/>
        </w:rPr>
        <w:t>（2）供应商响应表格式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供应商响应表</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标项号：</w:t>
      </w:r>
    </w:p>
    <w:tbl>
      <w:tblPr>
        <w:tblStyle w:val="46"/>
        <w:tblW w:w="8436" w:type="dxa"/>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自评分</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r>
    </w:tbl>
    <w:p>
      <w:pPr>
        <w:rPr>
          <w:rFonts w:ascii="宋体" w:hAnsi="宋体" w:cs="宋体"/>
          <w:b/>
          <w:color w:val="auto"/>
          <w:highlight w:val="none"/>
        </w:rPr>
      </w:pPr>
      <w:r>
        <w:rPr>
          <w:rFonts w:hint="eastAsia" w:ascii="宋体" w:hAnsi="宋体" w:cs="宋体"/>
          <w:b/>
          <w:color w:val="auto"/>
          <w:highlight w:val="none"/>
        </w:rPr>
        <w:t>注：根据评分标准内容逐条填写并自行评分</w:t>
      </w:r>
      <w:r>
        <w:rPr>
          <w:rFonts w:hint="eastAsia" w:ascii="宋体" w:hAnsi="宋体" w:cs="宋体"/>
          <w:b/>
          <w:color w:val="auto"/>
          <w:szCs w:val="21"/>
          <w:highlight w:val="none"/>
          <w:lang w:bidi="ar"/>
        </w:rPr>
        <w:t>（价格分除外）</w:t>
      </w:r>
      <w:r>
        <w:rPr>
          <w:rFonts w:hint="eastAsia" w:ascii="宋体" w:hAnsi="宋体" w:cs="宋体"/>
          <w:b/>
          <w:color w:val="auto"/>
          <w:highlight w:val="none"/>
        </w:rPr>
        <w:t>。</w:t>
      </w:r>
    </w:p>
    <w:p>
      <w:pPr>
        <w:rPr>
          <w:rFonts w:ascii="宋体" w:hAnsi="宋体" w:cs="宋体"/>
          <w:color w:val="auto"/>
          <w:highlight w:val="none"/>
        </w:rPr>
      </w:pPr>
    </w:p>
    <w:p>
      <w:pPr>
        <w:ind w:firstLine="6090" w:firstLineChars="2900"/>
        <w:rPr>
          <w:rFonts w:ascii="宋体" w:hAnsi="宋体" w:cs="宋体"/>
          <w:color w:val="auto"/>
          <w:highlight w:val="none"/>
        </w:rPr>
      </w:pPr>
      <w:r>
        <w:rPr>
          <w:rFonts w:hint="eastAsia" w:ascii="宋体" w:hAnsi="宋体" w:cs="宋体"/>
          <w:color w:val="auto"/>
          <w:highlight w:val="none"/>
        </w:rPr>
        <w:t>供应商名称：</w:t>
      </w:r>
    </w:p>
    <w:p>
      <w:pPr>
        <w:rPr>
          <w:rFonts w:ascii="宋体" w:hAnsi="宋体" w:cs="宋体"/>
          <w:color w:val="auto"/>
          <w:highlight w:val="none"/>
        </w:rPr>
      </w:pPr>
    </w:p>
    <w:p>
      <w:pPr>
        <w:ind w:firstLine="6090" w:firstLineChars="2900"/>
        <w:rPr>
          <w:rFonts w:ascii="宋体" w:hAnsi="宋体" w:cs="宋体"/>
          <w:color w:val="auto"/>
          <w:highlight w:val="none"/>
        </w:rPr>
      </w:pPr>
      <w:r>
        <w:rPr>
          <w:rFonts w:hint="eastAsia" w:ascii="宋体" w:hAnsi="宋体" w:cs="宋体"/>
          <w:color w:val="auto"/>
          <w:highlight w:val="none"/>
        </w:rPr>
        <w:t>年  月  日</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lang w:bidi="ar"/>
        </w:rPr>
        <w:t>（3）</w:t>
      </w:r>
      <w:r>
        <w:rPr>
          <w:rFonts w:hint="eastAsia" w:ascii="宋体" w:hAnsi="宋体" w:cs="宋体"/>
          <w:b/>
          <w:color w:val="auto"/>
          <w:szCs w:val="21"/>
          <w:highlight w:val="none"/>
        </w:rPr>
        <w:t>商务条款偏离表格式</w:t>
      </w:r>
    </w:p>
    <w:p>
      <w:pPr>
        <w:jc w:val="center"/>
        <w:rPr>
          <w:rFonts w:ascii="宋体" w:hAnsi="宋体" w:cs="宋体"/>
          <w:color w:val="auto"/>
          <w:sz w:val="32"/>
          <w:szCs w:val="32"/>
          <w:highlight w:val="none"/>
        </w:rPr>
      </w:pPr>
      <w:r>
        <w:rPr>
          <w:rFonts w:hint="eastAsia" w:ascii="宋体" w:hAnsi="宋体" w:cs="宋体"/>
          <w:b/>
          <w:color w:val="auto"/>
          <w:sz w:val="32"/>
          <w:szCs w:val="32"/>
          <w:highlight w:val="none"/>
        </w:rPr>
        <w:t>商务条款偏离表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标项号：</w:t>
      </w:r>
    </w:p>
    <w:tbl>
      <w:tblPr>
        <w:tblStyle w:val="46"/>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招标文件的商务条款</w:t>
            </w:r>
          </w:p>
        </w:tc>
        <w:tc>
          <w:tcPr>
            <w:tcW w:w="157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bl>
    <w:p>
      <w:pPr>
        <w:rPr>
          <w:rFonts w:ascii="宋体" w:hAnsi="宋体" w:cs="宋体"/>
          <w:color w:val="auto"/>
          <w:highlight w:val="none"/>
        </w:rPr>
      </w:pPr>
      <w:r>
        <w:rPr>
          <w:rFonts w:hint="eastAsia" w:ascii="宋体" w:hAnsi="宋体" w:cs="宋体"/>
          <w:color w:val="auto"/>
          <w:highlight w:val="none"/>
        </w:rPr>
        <w:t>供应商须按第二章《采购需求》</w:t>
      </w:r>
      <w:r>
        <w:rPr>
          <w:rFonts w:hint="eastAsia" w:ascii="宋体" w:hAnsi="宋体" w:cs="宋体"/>
          <w:color w:val="auto"/>
          <w:szCs w:val="21"/>
          <w:highlight w:val="none"/>
        </w:rPr>
        <w:t>“</w:t>
      </w:r>
      <w:r>
        <w:rPr>
          <w:rFonts w:hint="eastAsia" w:ascii="宋体" w:hAnsi="宋体" w:cs="宋体"/>
          <w:color w:val="auto"/>
          <w:highlight w:val="none"/>
        </w:rPr>
        <w:t>一、重要商务要求一览表”逐项填写，并根据“第五章 政府采购合同主要条款”内容自行补充。</w:t>
      </w:r>
    </w:p>
    <w:p>
      <w:pPr>
        <w:rPr>
          <w:rFonts w:ascii="宋体" w:hAnsi="宋体" w:cs="宋体"/>
          <w:color w:val="auto"/>
          <w:highlight w:val="none"/>
        </w:rPr>
      </w:pPr>
    </w:p>
    <w:p>
      <w:pPr>
        <w:spacing w:line="360" w:lineRule="auto"/>
        <w:rPr>
          <w:rFonts w:ascii="宋体" w:hAnsi="宋体" w:cs="宋体"/>
          <w:color w:val="auto"/>
          <w:highlight w:val="none"/>
        </w:rPr>
      </w:pPr>
    </w:p>
    <w:p>
      <w:pPr>
        <w:spacing w:line="360" w:lineRule="auto"/>
        <w:ind w:firstLine="4095" w:firstLineChars="1950"/>
        <w:rPr>
          <w:rFonts w:ascii="宋体" w:hAnsi="宋体" w:cs="宋体"/>
          <w:color w:val="auto"/>
          <w:highlight w:val="none"/>
        </w:rPr>
      </w:pPr>
      <w:r>
        <w:rPr>
          <w:rFonts w:hint="eastAsia" w:ascii="宋体" w:hAnsi="宋体" w:cs="宋体"/>
          <w:color w:val="auto"/>
          <w:highlight w:val="none"/>
        </w:rPr>
        <w:t xml:space="preserve">法定代表人或授权代表（签名或印章）：        </w:t>
      </w:r>
    </w:p>
    <w:p>
      <w:pPr>
        <w:spacing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供应商盖章：         </w:t>
      </w:r>
    </w:p>
    <w:p>
      <w:pPr>
        <w:spacing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日  期：        </w:t>
      </w:r>
    </w:p>
    <w:p>
      <w:pPr>
        <w:snapToGrid w:val="0"/>
        <w:spacing w:before="120" w:beforeLines="50" w:after="50"/>
        <w:rPr>
          <w:rFonts w:ascii="宋体" w:hAnsi="宋体" w:cs="宋体"/>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lang w:bidi="ar"/>
        </w:rPr>
        <w:t>（4）</w:t>
      </w:r>
      <w:r>
        <w:rPr>
          <w:rFonts w:hint="eastAsia" w:ascii="宋体" w:hAnsi="宋体" w:cs="宋体"/>
          <w:b/>
          <w:bCs/>
          <w:color w:val="auto"/>
          <w:szCs w:val="21"/>
          <w:highlight w:val="none"/>
        </w:rPr>
        <w:t>投标函格式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投 标 函</w:t>
      </w:r>
    </w:p>
    <w:p>
      <w:pPr>
        <w:snapToGrid w:val="0"/>
        <w:spacing w:before="120" w:beforeLines="50" w:after="50"/>
        <w:jc w:val="center"/>
        <w:rPr>
          <w:rFonts w:ascii="宋体" w:hAnsi="宋体" w:cs="宋体"/>
          <w:b/>
          <w:color w:val="auto"/>
          <w:szCs w:val="21"/>
          <w:highlight w:val="none"/>
        </w:rPr>
      </w:pP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（招标采购单位名称）：</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根据贵方为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项目的公开招标公告/投标邀请书（项目编号：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），签字代表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（全名）经正式授权并代表供应商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（供应商名称）提交投标文件。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据此函，签字代表宣布同意如下：</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3.本投标有效期自开标日起90个日历日。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4.如中标，本投标文件至本项目合同履行完毕止均保持有效，本供应商将按“招标文件”及政府采购法律、法规的规定履行合同责任和义务。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5.供应商同意按照贵方要求提供与投标有关的一切数据或资料。</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6.</w:t>
      </w:r>
      <w:r>
        <w:rPr>
          <w:rFonts w:hint="eastAsia" w:ascii="宋体" w:hAnsi="宋体" w:cs="宋体"/>
          <w:color w:val="auto"/>
          <w:szCs w:val="21"/>
          <w:highlight w:val="none"/>
          <w:lang w:val="zh-CN"/>
        </w:rPr>
        <w:t>我们郑重声明：本投标文件提供的情况和文件完全是真实的。</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7.</w:t>
      </w:r>
      <w:r>
        <w:rPr>
          <w:rFonts w:hint="eastAsia" w:ascii="宋体" w:hAnsi="宋体" w:cs="宋体"/>
          <w:color w:val="auto"/>
          <w:szCs w:val="21"/>
          <w:highlight w:val="none"/>
          <w:lang w:val="zh-CN"/>
        </w:rPr>
        <w:t>按照</w:t>
      </w:r>
      <w:r>
        <w:rPr>
          <w:rFonts w:hint="eastAsia" w:ascii="宋体" w:hAnsi="宋体" w:cs="宋体"/>
          <w:color w:val="auto"/>
          <w:szCs w:val="21"/>
          <w:highlight w:val="none"/>
        </w:rPr>
        <w:t>招标文件</w:t>
      </w:r>
      <w:r>
        <w:rPr>
          <w:rFonts w:hint="eastAsia" w:ascii="宋体" w:hAnsi="宋体" w:cs="宋体"/>
          <w:color w:val="auto"/>
          <w:szCs w:val="21"/>
          <w:highlight w:val="none"/>
          <w:lang w:val="zh-CN"/>
        </w:rPr>
        <w:t>的规定，在中标后向</w:t>
      </w:r>
      <w:r>
        <w:rPr>
          <w:rFonts w:hint="eastAsia" w:ascii="宋体" w:hAnsi="宋体" w:cs="宋体"/>
          <w:color w:val="auto"/>
          <w:szCs w:val="21"/>
          <w:highlight w:val="none"/>
        </w:rPr>
        <w:t>采购代理机构</w:t>
      </w:r>
      <w:r>
        <w:rPr>
          <w:rFonts w:hint="eastAsia" w:ascii="宋体" w:hAnsi="宋体" w:cs="宋体"/>
          <w:color w:val="auto"/>
          <w:szCs w:val="21"/>
          <w:highlight w:val="none"/>
          <w:lang w:val="zh-CN"/>
        </w:rPr>
        <w:t>一次性支付招标代理费。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8.与本投标有关的一切正式往来信函请寄：</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邮编：__________   电话：______________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传真：______________供应商代表姓名 ___________  职务：______</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供应商名称(公章):___________________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银行账号：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before="50" w:after="120" w:afterLines="50"/>
        <w:rPr>
          <w:rFonts w:ascii="宋体" w:hAnsi="宋体" w:cs="宋体"/>
          <w:color w:val="auto"/>
          <w:szCs w:val="21"/>
          <w:highlight w:val="none"/>
        </w:rPr>
      </w:pPr>
      <w:r>
        <w:rPr>
          <w:rFonts w:hint="eastAsia" w:ascii="宋体" w:hAnsi="宋体" w:cs="宋体"/>
          <w:color w:val="auto"/>
          <w:szCs w:val="21"/>
          <w:highlight w:val="none"/>
        </w:rPr>
        <w:t>法定代表人或授权代表</w:t>
      </w:r>
      <w:r>
        <w:rPr>
          <w:rFonts w:hint="eastAsia" w:ascii="宋体" w:hAnsi="宋体" w:cs="宋体"/>
          <w:color w:val="auto"/>
          <w:highlight w:val="none"/>
        </w:rPr>
        <w:t>（签名或印章）</w:t>
      </w:r>
      <w:r>
        <w:rPr>
          <w:rFonts w:hint="eastAsia" w:ascii="宋体" w:hAnsi="宋体" w:cs="宋体"/>
          <w:color w:val="auto"/>
          <w:szCs w:val="21"/>
          <w:highlight w:val="none"/>
        </w:rPr>
        <w:t>:___________       日期:_____年___月___日</w:t>
      </w:r>
    </w:p>
    <w:p>
      <w:pPr>
        <w:snapToGrid w:val="0"/>
        <w:rPr>
          <w:rFonts w:ascii="宋体" w:hAnsi="宋体" w:cs="宋体"/>
          <w:color w:val="auto"/>
          <w:szCs w:val="21"/>
          <w:highlight w:val="none"/>
        </w:rPr>
      </w:pPr>
    </w:p>
    <w:p>
      <w:pPr>
        <w:snapToGrid w:val="0"/>
        <w:rPr>
          <w:rFonts w:ascii="宋体" w:hAnsi="宋体" w:cs="宋体"/>
          <w:color w:val="auto"/>
          <w:szCs w:val="21"/>
          <w:highlight w:val="none"/>
        </w:rPr>
      </w:pPr>
    </w:p>
    <w:p>
      <w:pPr>
        <w:snapToGrid w:val="0"/>
        <w:spacing w:line="360" w:lineRule="auto"/>
        <w:rPr>
          <w:rFonts w:ascii="宋体" w:hAnsi="宋体" w:cs="宋体"/>
          <w:b/>
          <w:color w:val="auto"/>
          <w:szCs w:val="21"/>
          <w:highlight w:val="none"/>
        </w:rPr>
      </w:pPr>
      <w:r>
        <w:rPr>
          <w:rFonts w:hint="eastAsia" w:ascii="宋体" w:hAnsi="宋体" w:cs="宋体"/>
          <w:color w:val="auto"/>
          <w:szCs w:val="21"/>
          <w:highlight w:val="none"/>
        </w:rPr>
        <w:br w:type="page"/>
      </w:r>
      <w:r>
        <w:rPr>
          <w:rFonts w:hint="eastAsia" w:ascii="宋体" w:hAnsi="宋体" w:cs="宋体"/>
          <w:b/>
          <w:color w:val="auto"/>
          <w:szCs w:val="21"/>
          <w:highlight w:val="none"/>
          <w:lang w:bidi="ar"/>
        </w:rPr>
        <w:t>（5）</w:t>
      </w:r>
      <w:r>
        <w:rPr>
          <w:rFonts w:hint="eastAsia" w:ascii="宋体" w:hAnsi="宋体" w:cs="宋体"/>
          <w:b/>
          <w:color w:val="auto"/>
          <w:szCs w:val="21"/>
          <w:highlight w:val="none"/>
        </w:rPr>
        <w:t>法定代表人身份证明或法定代表人授权委托书格式</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法定代表人身份证明</w:t>
      </w:r>
    </w:p>
    <w:p>
      <w:pPr>
        <w:spacing w:line="480" w:lineRule="auto"/>
        <w:ind w:firstLine="420" w:firstLineChars="200"/>
        <w:rPr>
          <w:rFonts w:ascii="宋体" w:hAnsi="宋体" w:cs="宋体"/>
          <w:color w:val="auto"/>
          <w:szCs w:val="21"/>
          <w:highlight w:val="none"/>
        </w:rPr>
      </w:pP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供应商名称：</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w:t>
      </w:r>
    </w:p>
    <w:p>
      <w:pPr>
        <w:spacing w:line="48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w:t>
      </w:r>
    </w:p>
    <w:p>
      <w:pPr>
        <w:spacing w:line="48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spacing w:line="360" w:lineRule="auto"/>
        <w:ind w:firstLine="4515" w:firstLineChars="2150"/>
        <w:rPr>
          <w:rFonts w:ascii="宋体" w:hAnsi="宋体" w:cs="宋体"/>
          <w:color w:val="auto"/>
          <w:szCs w:val="21"/>
          <w:highlight w:val="none"/>
          <w:u w:val="single"/>
        </w:rPr>
      </w:pPr>
    </w:p>
    <w:p>
      <w:pPr>
        <w:spacing w:line="360" w:lineRule="auto"/>
        <w:ind w:firstLine="3675" w:firstLineChars="175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 w:val="24"/>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w:t>
      </w:r>
    </w:p>
    <w:p>
      <w:pPr>
        <w:pStyle w:val="21"/>
        <w:rPr>
          <w:rFonts w:ascii="宋体" w:hAnsi="宋体" w:cs="宋体"/>
          <w:b/>
          <w:color w:val="auto"/>
          <w:szCs w:val="21"/>
          <w:highlight w:val="none"/>
        </w:rPr>
      </w:pPr>
    </w:p>
    <w:p>
      <w:pPr>
        <w:jc w:val="center"/>
        <w:rPr>
          <w:rFonts w:ascii="宋体" w:hAnsi="宋体" w:cs="宋体"/>
          <w:b/>
          <w:color w:val="auto"/>
          <w:sz w:val="32"/>
          <w:szCs w:val="32"/>
          <w:highlight w:val="none"/>
        </w:rPr>
      </w:pPr>
      <w:r>
        <w:rPr>
          <w:rFonts w:hint="eastAsia" w:ascii="宋体" w:hAnsi="宋体" w:cs="宋体"/>
          <w:b/>
          <w:color w:val="auto"/>
          <w:szCs w:val="21"/>
          <w:highlight w:val="none"/>
        </w:rPr>
        <w:br w:type="page"/>
      </w:r>
      <w:r>
        <w:rPr>
          <w:rFonts w:hint="eastAsia" w:ascii="宋体" w:hAnsi="宋体" w:cs="宋体"/>
          <w:b/>
          <w:color w:val="auto"/>
          <w:sz w:val="32"/>
          <w:szCs w:val="32"/>
          <w:highlight w:val="none"/>
        </w:rPr>
        <w:t>法定代表人授权委托书</w:t>
      </w:r>
    </w:p>
    <w:p>
      <w:pPr>
        <w:jc w:val="center"/>
        <w:rPr>
          <w:rFonts w:ascii="宋体" w:hAnsi="宋体" w:cs="宋体"/>
          <w:b/>
          <w:color w:val="auto"/>
          <w:sz w:val="32"/>
          <w:szCs w:val="32"/>
          <w:highlight w:val="none"/>
        </w:rPr>
      </w:pPr>
      <w:r>
        <w:rPr>
          <w:rFonts w:hint="eastAsia" w:ascii="宋体" w:hAnsi="宋体" w:cs="宋体"/>
          <w:bCs/>
          <w:color w:val="auto"/>
          <w:sz w:val="24"/>
          <w:highlight w:val="none"/>
        </w:rPr>
        <w:t>（法定代表人来投标的，此表不用）</w:t>
      </w: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（采购人名称）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（供应商名称）的法定代表人，现授权委托本单位在职职工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我方对授权代表的签名事项负全部责任。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授权代表无转委托权，特此委托。</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授权代表</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授权代表身份证号码：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p>
    <w:p>
      <w:pPr>
        <w:snapToGrid w:val="0"/>
        <w:spacing w:line="360" w:lineRule="auto"/>
        <w:ind w:firstLine="4830" w:firstLineChars="2300"/>
        <w:rPr>
          <w:rFonts w:ascii="宋体" w:hAnsi="宋体" w:cs="宋体"/>
          <w:color w:val="auto"/>
          <w:szCs w:val="21"/>
          <w:highlight w:val="none"/>
        </w:rPr>
      </w:pPr>
      <w:r>
        <w:rPr>
          <w:rFonts w:hint="eastAsia" w:ascii="宋体" w:hAnsi="宋体" w:cs="宋体"/>
          <w:color w:val="auto"/>
          <w:szCs w:val="21"/>
          <w:highlight w:val="none"/>
        </w:rPr>
        <w:t>供应商公章：</w:t>
      </w:r>
    </w:p>
    <w:p>
      <w:pPr>
        <w:snapToGrid w:val="0"/>
        <w:spacing w:line="360" w:lineRule="auto"/>
        <w:ind w:firstLine="4830" w:firstLineChars="2300"/>
        <w:rPr>
          <w:rFonts w:ascii="宋体" w:hAnsi="宋体" w:cs="宋体"/>
          <w:color w:val="auto"/>
          <w:szCs w:val="21"/>
          <w:highlight w:val="none"/>
        </w:rPr>
      </w:pPr>
    </w:p>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napToGrid w:val="0"/>
        <w:spacing w:before="50" w:after="50"/>
        <w:rPr>
          <w:rFonts w:ascii="宋体" w:hAnsi="宋体" w:cs="宋体"/>
          <w:b/>
          <w:color w:val="auto"/>
          <w:szCs w:val="21"/>
          <w:highlight w:val="none"/>
        </w:rPr>
      </w:pPr>
      <w:r>
        <w:rPr>
          <w:rFonts w:hint="eastAsia" w:ascii="宋体" w:hAnsi="宋体" w:cs="宋体"/>
          <w:b/>
          <w:color w:val="auto"/>
          <w:szCs w:val="21"/>
          <w:highlight w:val="none"/>
        </w:rPr>
        <w:t>附：授权代表身份证复印件（正反面）及开标日前近三个月内当地相关部门出具的社保证明。</w:t>
      </w:r>
    </w:p>
    <w:p>
      <w:pPr>
        <w:spacing w:line="360" w:lineRule="auto"/>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lang w:bidi="ar"/>
        </w:rPr>
        <w:t>（6）技术（服务）条款偏离表</w:t>
      </w:r>
      <w:r>
        <w:rPr>
          <w:rFonts w:hint="eastAsia" w:ascii="宋体" w:hAnsi="宋体" w:cs="宋体"/>
          <w:b/>
          <w:color w:val="auto"/>
          <w:szCs w:val="21"/>
          <w:highlight w:val="none"/>
        </w:rPr>
        <w:t>格式</w:t>
      </w:r>
    </w:p>
    <w:p>
      <w:pPr>
        <w:rPr>
          <w:rFonts w:ascii="宋体" w:hAnsi="宋体" w:cs="宋体"/>
          <w:color w:val="auto"/>
          <w:highlight w:val="none"/>
        </w:rPr>
      </w:pP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技术（服务）条款偏离表</w:t>
      </w:r>
    </w:p>
    <w:p>
      <w:pPr>
        <w:snapToGrid w:val="0"/>
        <w:spacing w:before="50"/>
        <w:rPr>
          <w:rFonts w:ascii="宋体" w:hAnsi="宋体" w:cs="宋体"/>
          <w:color w:val="auto"/>
          <w:szCs w:val="21"/>
          <w:highlight w:val="none"/>
          <w:u w:val="single"/>
        </w:rPr>
      </w:pPr>
      <w:r>
        <w:rPr>
          <w:rFonts w:hint="eastAsia" w:ascii="宋体" w:hAnsi="宋体" w:cs="宋体"/>
          <w:color w:val="auto"/>
          <w:szCs w:val="21"/>
          <w:highlight w:val="none"/>
        </w:rPr>
        <w:t>采购编号：                   项目名称：                       标项号：</w:t>
      </w:r>
    </w:p>
    <w:tbl>
      <w:tblPr>
        <w:tblStyle w:val="46"/>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招标文件的技术（服务）条款</w:t>
            </w:r>
          </w:p>
        </w:tc>
        <w:tc>
          <w:tcPr>
            <w:tcW w:w="157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bl>
    <w:p>
      <w:pPr>
        <w:snapToGrid w:val="0"/>
        <w:spacing w:before="50"/>
        <w:rPr>
          <w:rFonts w:ascii="宋体" w:hAnsi="宋体" w:cs="宋体"/>
          <w:color w:val="auto"/>
          <w:szCs w:val="21"/>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 xml:space="preserve">             法定代表人或授权代表（签名或印章）：</w:t>
      </w:r>
    </w:p>
    <w:p>
      <w:pPr>
        <w:snapToGrid w:val="0"/>
        <w:rPr>
          <w:rFonts w:ascii="宋体" w:hAnsi="宋体" w:cs="宋体"/>
          <w:b/>
          <w:color w:val="auto"/>
          <w:szCs w:val="21"/>
          <w:highlight w:val="none"/>
        </w:rPr>
      </w:pPr>
      <w:r>
        <w:rPr>
          <w:rFonts w:hint="eastAsia" w:ascii="宋体" w:hAnsi="宋体" w:cs="宋体"/>
          <w:color w:val="auto"/>
          <w:highlight w:val="none"/>
        </w:rPr>
        <w:t xml:space="preserve">                                    日    期：</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lang w:bidi="ar"/>
        </w:rPr>
        <w:t>（7）</w:t>
      </w:r>
      <w:r>
        <w:rPr>
          <w:rFonts w:hint="eastAsia" w:ascii="宋体" w:hAnsi="宋体" w:cs="宋体"/>
          <w:b/>
          <w:color w:val="auto"/>
          <w:szCs w:val="21"/>
          <w:highlight w:val="none"/>
        </w:rPr>
        <w:t>供应商基本情况表格式</w:t>
      </w:r>
    </w:p>
    <w:p>
      <w:pPr>
        <w:jc w:val="center"/>
        <w:rPr>
          <w:rFonts w:ascii="宋体" w:hAnsi="宋体" w:cs="宋体"/>
          <w:b/>
          <w:color w:val="auto"/>
          <w:sz w:val="32"/>
          <w:szCs w:val="32"/>
          <w:highlight w:val="none"/>
        </w:rPr>
      </w:pPr>
      <w:bookmarkStart w:id="62" w:name="_Toc479927873"/>
      <w:bookmarkStart w:id="63" w:name="_Toc483379796"/>
      <w:bookmarkStart w:id="64" w:name="_Toc110393361"/>
      <w:bookmarkStart w:id="65" w:name="_Toc225223761"/>
      <w:bookmarkStart w:id="66" w:name="_Toc488936100"/>
      <w:bookmarkStart w:id="67" w:name="_Toc14746861"/>
      <w:r>
        <w:rPr>
          <w:rFonts w:hint="eastAsia" w:ascii="宋体" w:hAnsi="宋体" w:cs="宋体"/>
          <w:b/>
          <w:color w:val="auto"/>
          <w:sz w:val="32"/>
          <w:szCs w:val="32"/>
          <w:highlight w:val="none"/>
        </w:rPr>
        <w:t>供应商基本情况</w:t>
      </w:r>
      <w:bookmarkEnd w:id="62"/>
      <w:bookmarkEnd w:id="63"/>
      <w:bookmarkEnd w:id="64"/>
      <w:bookmarkEnd w:id="65"/>
      <w:bookmarkEnd w:id="66"/>
      <w:bookmarkEnd w:id="67"/>
      <w:r>
        <w:rPr>
          <w:rFonts w:hint="eastAsia" w:ascii="宋体" w:hAnsi="宋体" w:cs="宋体"/>
          <w:b/>
          <w:color w:val="auto"/>
          <w:sz w:val="32"/>
          <w:szCs w:val="32"/>
          <w:highlight w:val="none"/>
        </w:rPr>
        <w:t>表</w:t>
      </w:r>
    </w:p>
    <w:tbl>
      <w:tblPr>
        <w:tblStyle w:val="46"/>
        <w:tblW w:w="821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2499" w:type="dxa"/>
            <w:gridSpan w:val="3"/>
            <w:vAlign w:val="center"/>
          </w:tcPr>
          <w:p>
            <w:pPr>
              <w:spacing w:line="360" w:lineRule="auto"/>
              <w:jc w:val="center"/>
              <w:rPr>
                <w:rFonts w:ascii="宋体" w:hAnsi="宋体" w:cs="宋体"/>
                <w:color w:val="auto"/>
                <w:szCs w:val="21"/>
                <w:highlight w:val="none"/>
              </w:rPr>
            </w:pPr>
          </w:p>
        </w:tc>
        <w:tc>
          <w:tcPr>
            <w:tcW w:w="214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组织机构代码</w:t>
            </w:r>
          </w:p>
        </w:tc>
        <w:tc>
          <w:tcPr>
            <w:tcW w:w="2100"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注册地址</w:t>
            </w:r>
          </w:p>
        </w:tc>
        <w:tc>
          <w:tcPr>
            <w:tcW w:w="2499" w:type="dxa"/>
            <w:gridSpan w:val="3"/>
            <w:vAlign w:val="center"/>
          </w:tcPr>
          <w:p>
            <w:pPr>
              <w:spacing w:line="360" w:lineRule="auto"/>
              <w:jc w:val="center"/>
              <w:rPr>
                <w:rFonts w:ascii="宋体" w:hAnsi="宋体" w:cs="宋体"/>
                <w:color w:val="auto"/>
                <w:szCs w:val="21"/>
                <w:highlight w:val="none"/>
              </w:rPr>
            </w:pPr>
          </w:p>
        </w:tc>
        <w:tc>
          <w:tcPr>
            <w:tcW w:w="214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注册登记号</w:t>
            </w:r>
          </w:p>
        </w:tc>
        <w:tc>
          <w:tcPr>
            <w:tcW w:w="2100"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经营地址</w:t>
            </w:r>
          </w:p>
        </w:tc>
        <w:tc>
          <w:tcPr>
            <w:tcW w:w="2499" w:type="dxa"/>
            <w:gridSpan w:val="3"/>
            <w:vAlign w:val="center"/>
          </w:tcPr>
          <w:p>
            <w:pPr>
              <w:spacing w:line="360" w:lineRule="auto"/>
              <w:jc w:val="center"/>
              <w:rPr>
                <w:rFonts w:ascii="宋体" w:hAnsi="宋体" w:cs="宋体"/>
                <w:color w:val="auto"/>
                <w:szCs w:val="21"/>
                <w:highlight w:val="none"/>
              </w:rPr>
            </w:pPr>
          </w:p>
        </w:tc>
        <w:tc>
          <w:tcPr>
            <w:tcW w:w="2141" w:type="dxa"/>
            <w:vAlign w:val="center"/>
          </w:tcPr>
          <w:p>
            <w:pPr>
              <w:spacing w:line="360" w:lineRule="auto"/>
              <w:jc w:val="center"/>
              <w:rPr>
                <w:rFonts w:ascii="宋体" w:hAnsi="宋体" w:cs="宋体"/>
                <w:color w:val="auto"/>
                <w:spacing w:val="30"/>
                <w:szCs w:val="21"/>
                <w:highlight w:val="none"/>
              </w:rPr>
            </w:pPr>
            <w:r>
              <w:rPr>
                <w:rFonts w:hint="eastAsia" w:ascii="宋体" w:hAnsi="宋体" w:cs="宋体"/>
                <w:color w:val="auto"/>
                <w:szCs w:val="21"/>
                <w:highlight w:val="none"/>
              </w:rPr>
              <w:t>税务登记证号</w:t>
            </w:r>
          </w:p>
        </w:tc>
        <w:tc>
          <w:tcPr>
            <w:tcW w:w="2100"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单位性质</w:t>
            </w:r>
          </w:p>
        </w:tc>
        <w:tc>
          <w:tcPr>
            <w:tcW w:w="2499" w:type="dxa"/>
            <w:gridSpan w:val="3"/>
            <w:vAlign w:val="center"/>
          </w:tcPr>
          <w:p>
            <w:pPr>
              <w:pStyle w:val="154"/>
              <w:widowControl w:val="0"/>
              <w:spacing w:before="0" w:beforeAutospacing="0" w:after="0" w:afterAutospacing="0" w:line="360" w:lineRule="auto"/>
              <w:ind w:left="2160" w:hanging="480"/>
              <w:rPr>
                <w:rFonts w:cs="宋体"/>
                <w:color w:val="auto"/>
                <w:kern w:val="2"/>
                <w:sz w:val="21"/>
                <w:szCs w:val="21"/>
                <w:highlight w:val="none"/>
              </w:rPr>
            </w:pPr>
          </w:p>
        </w:tc>
        <w:tc>
          <w:tcPr>
            <w:tcW w:w="2141" w:type="dxa"/>
            <w:vAlign w:val="center"/>
          </w:tcPr>
          <w:p>
            <w:pPr>
              <w:spacing w:line="360" w:lineRule="auto"/>
              <w:jc w:val="center"/>
              <w:rPr>
                <w:rFonts w:ascii="宋体" w:hAnsi="宋体" w:cs="宋体"/>
                <w:color w:val="auto"/>
                <w:spacing w:val="34"/>
                <w:szCs w:val="21"/>
                <w:highlight w:val="none"/>
              </w:rPr>
            </w:pPr>
            <w:r>
              <w:rPr>
                <w:rFonts w:hint="eastAsia" w:ascii="宋体" w:hAnsi="宋体" w:cs="宋体"/>
                <w:color w:val="auto"/>
                <w:spacing w:val="34"/>
                <w:szCs w:val="21"/>
                <w:highlight w:val="none"/>
              </w:rPr>
              <w:t>注册资本</w:t>
            </w:r>
          </w:p>
        </w:tc>
        <w:tc>
          <w:tcPr>
            <w:tcW w:w="2100"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经营范围</w:t>
            </w:r>
          </w:p>
        </w:tc>
        <w:tc>
          <w:tcPr>
            <w:tcW w:w="2499" w:type="dxa"/>
            <w:gridSpan w:val="3"/>
            <w:vAlign w:val="center"/>
          </w:tcPr>
          <w:p>
            <w:pPr>
              <w:spacing w:line="360" w:lineRule="auto"/>
              <w:jc w:val="center"/>
              <w:rPr>
                <w:rFonts w:ascii="宋体" w:hAnsi="宋体" w:cs="宋体"/>
                <w:color w:val="auto"/>
                <w:szCs w:val="21"/>
                <w:highlight w:val="none"/>
              </w:rPr>
            </w:pPr>
          </w:p>
        </w:tc>
        <w:tc>
          <w:tcPr>
            <w:tcW w:w="214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营业期限</w:t>
            </w:r>
          </w:p>
        </w:tc>
        <w:tc>
          <w:tcPr>
            <w:tcW w:w="210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资质情况</w:t>
            </w:r>
          </w:p>
        </w:tc>
        <w:tc>
          <w:tcPr>
            <w:tcW w:w="6740" w:type="dxa"/>
            <w:gridSpan w:val="5"/>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员工数量</w:t>
            </w:r>
          </w:p>
        </w:tc>
        <w:tc>
          <w:tcPr>
            <w:tcW w:w="6740" w:type="dxa"/>
            <w:gridSpan w:val="5"/>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人，其中，高级职称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人，中级职称</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联系电话</w:t>
            </w:r>
          </w:p>
        </w:tc>
        <w:tc>
          <w:tcPr>
            <w:tcW w:w="2499" w:type="dxa"/>
            <w:gridSpan w:val="3"/>
            <w:vAlign w:val="center"/>
          </w:tcPr>
          <w:p>
            <w:pPr>
              <w:spacing w:line="360" w:lineRule="auto"/>
              <w:jc w:val="center"/>
              <w:rPr>
                <w:rFonts w:ascii="宋体" w:hAnsi="宋体" w:cs="宋体"/>
                <w:color w:val="auto"/>
                <w:szCs w:val="21"/>
                <w:highlight w:val="none"/>
              </w:rPr>
            </w:pPr>
          </w:p>
        </w:tc>
        <w:tc>
          <w:tcPr>
            <w:tcW w:w="214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传真</w:t>
            </w:r>
          </w:p>
        </w:tc>
        <w:tc>
          <w:tcPr>
            <w:tcW w:w="2100"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主要业绩</w:t>
            </w:r>
          </w:p>
        </w:tc>
        <w:tc>
          <w:tcPr>
            <w:tcW w:w="6740" w:type="dxa"/>
            <w:gridSpan w:val="5"/>
            <w:vAlign w:val="center"/>
          </w:tcPr>
          <w:p>
            <w:pPr>
              <w:spacing w:line="360" w:lineRule="auto"/>
              <w:rPr>
                <w:rFonts w:ascii="宋体" w:hAnsi="宋体" w:cs="宋体"/>
                <w:color w:val="auto"/>
                <w:szCs w:val="21"/>
                <w:highlight w:val="none"/>
              </w:rPr>
            </w:pPr>
          </w:p>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姓  名</w:t>
            </w:r>
          </w:p>
        </w:tc>
        <w:tc>
          <w:tcPr>
            <w:tcW w:w="2499" w:type="dxa"/>
            <w:gridSpan w:val="3"/>
            <w:vAlign w:val="center"/>
          </w:tcPr>
          <w:p>
            <w:pPr>
              <w:spacing w:line="360" w:lineRule="auto"/>
              <w:jc w:val="center"/>
              <w:rPr>
                <w:rFonts w:ascii="宋体" w:hAnsi="宋体" w:cs="宋体"/>
                <w:color w:val="auto"/>
                <w:szCs w:val="21"/>
                <w:highlight w:val="none"/>
              </w:rPr>
            </w:pPr>
          </w:p>
        </w:tc>
        <w:tc>
          <w:tcPr>
            <w:tcW w:w="214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身份证号码</w:t>
            </w:r>
          </w:p>
        </w:tc>
        <w:tc>
          <w:tcPr>
            <w:tcW w:w="2100"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务</w:t>
            </w:r>
          </w:p>
        </w:tc>
        <w:tc>
          <w:tcPr>
            <w:tcW w:w="835" w:type="dxa"/>
            <w:vAlign w:val="center"/>
          </w:tcPr>
          <w:p>
            <w:pPr>
              <w:spacing w:line="360" w:lineRule="auto"/>
              <w:jc w:val="center"/>
              <w:rPr>
                <w:rFonts w:ascii="宋体" w:hAnsi="宋体" w:cs="宋体"/>
                <w:color w:val="auto"/>
                <w:szCs w:val="21"/>
                <w:highlight w:val="none"/>
              </w:rPr>
            </w:pPr>
          </w:p>
        </w:tc>
        <w:tc>
          <w:tcPr>
            <w:tcW w:w="96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职   称</w:t>
            </w:r>
          </w:p>
        </w:tc>
        <w:tc>
          <w:tcPr>
            <w:tcW w:w="695" w:type="dxa"/>
            <w:vAlign w:val="center"/>
          </w:tcPr>
          <w:p>
            <w:pPr>
              <w:spacing w:line="360" w:lineRule="auto"/>
              <w:jc w:val="center"/>
              <w:rPr>
                <w:rFonts w:ascii="宋体" w:hAnsi="宋体" w:cs="宋体"/>
                <w:color w:val="auto"/>
                <w:szCs w:val="21"/>
                <w:highlight w:val="none"/>
              </w:rPr>
            </w:pPr>
          </w:p>
        </w:tc>
        <w:tc>
          <w:tcPr>
            <w:tcW w:w="214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学    历</w:t>
            </w:r>
          </w:p>
        </w:tc>
        <w:tc>
          <w:tcPr>
            <w:tcW w:w="2100" w:type="dxa"/>
            <w:vAlign w:val="center"/>
          </w:tcPr>
          <w:p>
            <w:pPr>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tcPr>
          <w:p>
            <w:pPr>
              <w:spacing w:line="360" w:lineRule="auto"/>
              <w:rPr>
                <w:rFonts w:ascii="宋体" w:hAnsi="宋体" w:cs="宋体"/>
                <w:color w:val="auto"/>
                <w:szCs w:val="21"/>
                <w:highlight w:val="none"/>
              </w:rPr>
            </w:pPr>
            <w:r>
              <w:rPr>
                <w:rFonts w:hint="eastAsia" w:ascii="宋体" w:hAnsi="宋体" w:cs="宋体"/>
                <w:color w:val="auto"/>
                <w:szCs w:val="21"/>
                <w:highlight w:val="none"/>
              </w:rPr>
              <w:t>备注:</w:t>
            </w:r>
          </w:p>
        </w:tc>
      </w:tr>
    </w:tbl>
    <w:p>
      <w:pPr>
        <w:spacing w:line="360" w:lineRule="auto"/>
        <w:rPr>
          <w:rFonts w:ascii="宋体" w:hAnsi="宋体" w:cs="宋体"/>
          <w:b/>
          <w:color w:val="auto"/>
          <w:szCs w:val="21"/>
          <w:highlight w:val="none"/>
        </w:rPr>
      </w:pPr>
      <w:r>
        <w:rPr>
          <w:rFonts w:hint="eastAsia" w:ascii="宋体" w:hAnsi="宋体" w:cs="宋体"/>
          <w:color w:val="auto"/>
          <w:szCs w:val="21"/>
          <w:highlight w:val="none"/>
        </w:rPr>
        <w:t xml:space="preserve">  </w:t>
      </w:r>
      <w:r>
        <w:rPr>
          <w:rFonts w:hint="eastAsia" w:ascii="宋体" w:hAnsi="宋体" w:cs="宋体"/>
          <w:b/>
          <w:color w:val="auto"/>
          <w:szCs w:val="21"/>
          <w:highlight w:val="none"/>
        </w:rPr>
        <w:t>兹证明上述声明是真实、正确的，并提供了全部能提供的资料和数据，我们同意遵照贵方要求出示有关证明文件。</w:t>
      </w:r>
    </w:p>
    <w:p>
      <w:pPr>
        <w:spacing w:line="360" w:lineRule="auto"/>
        <w:rPr>
          <w:rFonts w:ascii="宋体" w:hAnsi="宋体" w:cs="宋体"/>
          <w:b/>
          <w:color w:val="auto"/>
          <w:highlight w:val="none"/>
        </w:rPr>
      </w:pPr>
    </w:p>
    <w:p>
      <w:pPr>
        <w:rPr>
          <w:rFonts w:ascii="宋体" w:hAnsi="宋体" w:cs="宋体"/>
          <w:color w:val="auto"/>
          <w:highlight w:val="none"/>
        </w:rPr>
      </w:pPr>
    </w:p>
    <w:p>
      <w:pPr>
        <w:spacing w:line="360" w:lineRule="auto"/>
        <w:ind w:firstLine="3675" w:firstLineChars="1750"/>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 xml:space="preserve">             法定代表人或授权代表（签名或印章）：</w:t>
      </w:r>
    </w:p>
    <w:p>
      <w:pPr>
        <w:snapToGrid w:val="0"/>
        <w:rPr>
          <w:rFonts w:ascii="宋体" w:hAnsi="宋体" w:cs="宋体"/>
          <w:b/>
          <w:color w:val="auto"/>
          <w:szCs w:val="21"/>
          <w:highlight w:val="none"/>
        </w:rPr>
      </w:pPr>
      <w:r>
        <w:rPr>
          <w:rFonts w:hint="eastAsia" w:ascii="宋体" w:hAnsi="宋体" w:cs="宋体"/>
          <w:color w:val="auto"/>
          <w:highlight w:val="none"/>
        </w:rPr>
        <w:t xml:space="preserve">                                    日    期：</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t>注：联合体投标的，联合体各方均须提供。</w:t>
      </w:r>
    </w:p>
    <w:p>
      <w:pPr>
        <w:snapToGrid w:val="0"/>
        <w:rPr>
          <w:rFonts w:ascii="宋体" w:hAnsi="宋体" w:cs="宋体"/>
          <w:color w:val="auto"/>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lang w:bidi="ar"/>
        </w:rPr>
        <w:t>(8)本项目负责人简历表格式</w:t>
      </w:r>
    </w:p>
    <w:p>
      <w:pPr>
        <w:spacing w:line="360" w:lineRule="auto"/>
        <w:ind w:right="25" w:rightChars="12"/>
        <w:jc w:val="center"/>
        <w:rPr>
          <w:rFonts w:ascii="宋体" w:hAnsi="宋体" w:cs="宋体"/>
          <w:b/>
          <w:color w:val="auto"/>
          <w:sz w:val="28"/>
          <w:szCs w:val="28"/>
          <w:highlight w:val="none"/>
          <w:lang w:bidi="ar"/>
        </w:rPr>
      </w:pPr>
      <w:r>
        <w:rPr>
          <w:rFonts w:hint="eastAsia" w:ascii="宋体" w:hAnsi="宋体" w:cs="宋体"/>
          <w:b/>
          <w:color w:val="auto"/>
          <w:sz w:val="28"/>
          <w:szCs w:val="28"/>
          <w:highlight w:val="none"/>
          <w:lang w:bidi="ar"/>
        </w:rPr>
        <w:t>本项目负责人简历表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autoSpaceDN w:val="0"/>
        <w:spacing w:line="360" w:lineRule="auto"/>
        <w:jc w:val="left"/>
        <w:rPr>
          <w:rFonts w:ascii="宋体" w:hAnsi="宋体" w:cs="宋体"/>
          <w:color w:val="auto"/>
          <w:szCs w:val="21"/>
          <w:highlight w:val="none"/>
        </w:rPr>
      </w:pPr>
      <w:r>
        <w:rPr>
          <w:rFonts w:hint="eastAsia" w:ascii="宋体" w:hAnsi="宋体" w:cs="宋体"/>
          <w:color w:val="auto"/>
          <w:highlight w:val="none"/>
        </w:rPr>
        <w:t>标项号：</w:t>
      </w:r>
      <w:r>
        <w:rPr>
          <w:rFonts w:hint="eastAsia" w:ascii="宋体" w:hAnsi="宋体" w:cs="宋体"/>
          <w:bCs/>
          <w:color w:val="auto"/>
          <w:szCs w:val="21"/>
          <w:highlight w:val="none"/>
          <w:lang w:bidi="ar"/>
        </w:rPr>
        <w:t xml:space="preserve"> </w:t>
      </w:r>
      <w:r>
        <w:rPr>
          <w:rFonts w:hint="eastAsia" w:ascii="宋体" w:hAnsi="宋体" w:cs="宋体"/>
          <w:bCs/>
          <w:color w:val="auto"/>
          <w:szCs w:val="21"/>
          <w:highlight w:val="none"/>
          <w:lang w:val="zh-CN" w:bidi="ar"/>
        </w:rPr>
        <w:t xml:space="preserve">  </w:t>
      </w:r>
    </w:p>
    <w:tbl>
      <w:tblPr>
        <w:tblStyle w:val="46"/>
        <w:tblW w:w="8925"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522"/>
        <w:gridCol w:w="2208"/>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业主单位</w:t>
            </w: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合同金额（万元）</w:t>
            </w: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合同履行期限</w:t>
            </w: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1543"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c>
          <w:tcPr>
            <w:tcW w:w="2208" w:type="dxa"/>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1215" w:hRule="atLeast"/>
          <w:jc w:val="center"/>
        </w:trPr>
        <w:tc>
          <w:tcPr>
            <w:tcW w:w="1785" w:type="dxa"/>
            <w:tcBorders>
              <w:top w:val="single" w:color="000000" w:sz="4" w:space="0"/>
              <w:left w:val="single" w:color="000000" w:sz="4" w:space="0"/>
              <w:bottom w:val="single" w:color="000000" w:sz="4" w:space="0"/>
              <w:right w:val="nil"/>
            </w:tcBorders>
            <w:vAlign w:val="center"/>
          </w:tcPr>
          <w:p>
            <w:pPr>
              <w:autoSpaceDN w:val="0"/>
              <w:spacing w:line="360" w:lineRule="auto"/>
              <w:jc w:val="center"/>
              <w:rPr>
                <w:rFonts w:ascii="宋体" w:hAnsi="宋体" w:cs="宋体"/>
                <w:color w:val="auto"/>
                <w:szCs w:val="21"/>
                <w:highlight w:val="none"/>
              </w:rPr>
            </w:pPr>
            <w:r>
              <w:rPr>
                <w:rFonts w:hint="eastAsia" w:ascii="宋体" w:hAnsi="宋体" w:cs="宋体"/>
                <w:color w:val="auto"/>
                <w:szCs w:val="21"/>
                <w:highlight w:val="none"/>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360" w:lineRule="auto"/>
              <w:jc w:val="center"/>
              <w:rPr>
                <w:rFonts w:ascii="宋体" w:hAnsi="宋体" w:cs="宋体"/>
                <w:color w:val="auto"/>
                <w:szCs w:val="21"/>
                <w:highlight w:val="none"/>
              </w:rPr>
            </w:pPr>
          </w:p>
        </w:tc>
      </w:tr>
    </w:tbl>
    <w:p>
      <w:pPr>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法定代表人或授权代表（签名或印章）：</w:t>
      </w:r>
    </w:p>
    <w:p>
      <w:pPr>
        <w:snapToGrid w:val="0"/>
        <w:rPr>
          <w:rFonts w:ascii="宋体" w:hAnsi="宋体" w:cs="宋体"/>
          <w:color w:val="auto"/>
          <w:highlight w:val="none"/>
        </w:rPr>
      </w:pPr>
      <w:r>
        <w:rPr>
          <w:rFonts w:hint="eastAsia" w:ascii="宋体" w:hAnsi="宋体" w:cs="宋体"/>
          <w:color w:val="auto"/>
          <w:highlight w:val="none"/>
        </w:rPr>
        <w:t>日    期：</w:t>
      </w:r>
    </w:p>
    <w:p>
      <w:pPr>
        <w:snapToGrid w:val="0"/>
        <w:rPr>
          <w:rFonts w:ascii="宋体" w:hAnsi="宋体" w:cs="宋体"/>
          <w:color w:val="auto"/>
          <w:highlight w:val="none"/>
        </w:rPr>
      </w:pPr>
    </w:p>
    <w:p>
      <w:pPr>
        <w:snapToGrid w:val="0"/>
        <w:rPr>
          <w:rFonts w:ascii="宋体" w:hAnsi="宋体" w:cs="宋体"/>
          <w:color w:val="auto"/>
          <w:highlight w:val="none"/>
        </w:rPr>
      </w:pPr>
    </w:p>
    <w:p>
      <w:pPr>
        <w:snapToGrid w:val="0"/>
        <w:rPr>
          <w:rFonts w:ascii="宋体" w:hAnsi="宋体" w:cs="宋体"/>
          <w:b/>
          <w:color w:val="auto"/>
          <w:szCs w:val="21"/>
          <w:highlight w:val="none"/>
          <w:lang w:bidi="ar"/>
        </w:rPr>
      </w:pPr>
      <w:r>
        <w:rPr>
          <w:rFonts w:hint="eastAsia" w:ascii="宋体" w:hAnsi="宋体" w:cs="宋体"/>
          <w:color w:val="auto"/>
          <w:highlight w:val="none"/>
        </w:rPr>
        <w:br w:type="page"/>
      </w:r>
      <w:r>
        <w:rPr>
          <w:rFonts w:hint="eastAsia" w:ascii="宋体" w:hAnsi="宋体" w:cs="宋体"/>
          <w:b/>
          <w:color w:val="auto"/>
          <w:szCs w:val="21"/>
          <w:highlight w:val="none"/>
          <w:lang w:bidi="ar"/>
        </w:rPr>
        <w:t xml:space="preserve"> (9)本项目组人员配备情况表格式</w:t>
      </w:r>
    </w:p>
    <w:p>
      <w:pPr>
        <w:spacing w:line="360" w:lineRule="auto"/>
        <w:ind w:right="25" w:rightChars="12"/>
        <w:jc w:val="center"/>
        <w:rPr>
          <w:rFonts w:ascii="宋体" w:hAnsi="宋体" w:cs="宋体"/>
          <w:b/>
          <w:color w:val="auto"/>
          <w:sz w:val="28"/>
          <w:szCs w:val="28"/>
          <w:highlight w:val="none"/>
        </w:rPr>
      </w:pPr>
      <w:r>
        <w:rPr>
          <w:rFonts w:hint="eastAsia" w:ascii="宋体" w:hAnsi="宋体" w:cs="宋体"/>
          <w:b/>
          <w:color w:val="auto"/>
          <w:sz w:val="28"/>
          <w:szCs w:val="28"/>
          <w:highlight w:val="none"/>
        </w:rPr>
        <w:t>本项目组人员配备情况表</w:t>
      </w:r>
    </w:p>
    <w:p>
      <w:pPr>
        <w:rPr>
          <w:rFonts w:ascii="宋体" w:hAnsi="宋体" w:cs="宋体"/>
          <w:color w:val="auto"/>
          <w:highlight w:val="none"/>
        </w:rPr>
      </w:pPr>
      <w:r>
        <w:rPr>
          <w:rFonts w:hint="eastAsia" w:ascii="宋体" w:hAnsi="宋体" w:cs="宋体"/>
          <w:color w:val="auto"/>
          <w:highlight w:val="none"/>
        </w:rPr>
        <w:t>采购项目：</w:t>
      </w:r>
    </w:p>
    <w:p>
      <w:pPr>
        <w:rPr>
          <w:rFonts w:ascii="宋体" w:hAnsi="宋体" w:cs="宋体"/>
          <w:color w:val="auto"/>
          <w:highlight w:val="none"/>
        </w:rPr>
      </w:pPr>
      <w:r>
        <w:rPr>
          <w:rFonts w:hint="eastAsia" w:ascii="宋体" w:hAnsi="宋体" w:cs="宋体"/>
          <w:color w:val="auto"/>
          <w:highlight w:val="none"/>
        </w:rPr>
        <w:t>项目编号：</w:t>
      </w:r>
    </w:p>
    <w:p>
      <w:pPr>
        <w:rPr>
          <w:rFonts w:ascii="宋体" w:hAnsi="宋体" w:cs="宋体"/>
          <w:color w:val="auto"/>
          <w:highlight w:val="none"/>
        </w:rPr>
      </w:pPr>
      <w:r>
        <w:rPr>
          <w:rFonts w:hint="eastAsia" w:ascii="宋体" w:hAnsi="宋体" w:cs="宋体"/>
          <w:color w:val="auto"/>
          <w:highlight w:val="none"/>
        </w:rPr>
        <w:t>标项号：</w:t>
      </w:r>
      <w:r>
        <w:rPr>
          <w:rFonts w:hint="eastAsia" w:ascii="宋体" w:hAnsi="宋体" w:cs="宋体"/>
          <w:bCs/>
          <w:color w:val="auto"/>
          <w:szCs w:val="21"/>
          <w:highlight w:val="none"/>
          <w:lang w:bidi="ar"/>
        </w:rPr>
        <w:t xml:space="preserve"> </w:t>
      </w:r>
      <w:r>
        <w:rPr>
          <w:rFonts w:hint="eastAsia" w:ascii="宋体" w:hAnsi="宋体" w:cs="宋体"/>
          <w:bCs/>
          <w:color w:val="auto"/>
          <w:szCs w:val="21"/>
          <w:highlight w:val="none"/>
          <w:lang w:val="zh-CN" w:bidi="ar"/>
        </w:rPr>
        <w:t xml:space="preserve">                      </w:t>
      </w:r>
    </w:p>
    <w:tbl>
      <w:tblPr>
        <w:tblStyle w:val="46"/>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34"/>
        <w:gridCol w:w="1134"/>
        <w:gridCol w:w="1966"/>
        <w:gridCol w:w="2226"/>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序号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姓名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性别</w:t>
            </w:r>
          </w:p>
        </w:tc>
        <w:tc>
          <w:tcPr>
            <w:tcW w:w="19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出生年月</w:t>
            </w:r>
          </w:p>
        </w:tc>
        <w:tc>
          <w:tcPr>
            <w:tcW w:w="22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参加本单位工作时间</w:t>
            </w:r>
          </w:p>
        </w:tc>
        <w:tc>
          <w:tcPr>
            <w:tcW w:w="11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222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c>
          <w:tcPr>
            <w:tcW w:w="113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auto"/>
                <w:szCs w:val="21"/>
                <w:highlight w:val="none"/>
              </w:rPr>
            </w:pPr>
          </w:p>
        </w:tc>
      </w:tr>
    </w:tbl>
    <w:p>
      <w:pPr>
        <w:spacing w:line="360" w:lineRule="auto"/>
        <w:ind w:right="25" w:rightChars="12"/>
        <w:rPr>
          <w:rFonts w:ascii="宋体" w:hAnsi="宋体" w:cs="宋体"/>
          <w:color w:val="auto"/>
          <w:szCs w:val="21"/>
          <w:highlight w:val="none"/>
        </w:rPr>
      </w:pPr>
    </w:p>
    <w:p>
      <w:pPr>
        <w:spacing w:line="360" w:lineRule="auto"/>
        <w:rPr>
          <w:rFonts w:ascii="宋体" w:hAnsi="宋体" w:cs="宋体"/>
          <w:color w:val="auto"/>
          <w:highlight w:val="none"/>
        </w:rPr>
      </w:pPr>
      <w:r>
        <w:rPr>
          <w:rFonts w:hint="eastAsia" w:ascii="宋体" w:hAnsi="宋体" w:cs="宋体"/>
          <w:color w:val="auto"/>
          <w:highlight w:val="none"/>
        </w:rPr>
        <w:t>供应商（盖章）</w:t>
      </w:r>
    </w:p>
    <w:p>
      <w:pPr>
        <w:spacing w:line="360" w:lineRule="auto"/>
        <w:rPr>
          <w:rFonts w:ascii="宋体" w:hAnsi="宋体" w:cs="宋体"/>
          <w:color w:val="auto"/>
          <w:highlight w:val="none"/>
        </w:rPr>
      </w:pPr>
      <w:r>
        <w:rPr>
          <w:rFonts w:hint="eastAsia" w:ascii="宋体" w:hAnsi="宋体" w:cs="宋体"/>
          <w:color w:val="auto"/>
          <w:highlight w:val="none"/>
        </w:rPr>
        <w:t>法定代表人或授权代表（签名或印章）：</w:t>
      </w:r>
    </w:p>
    <w:p>
      <w:pPr>
        <w:snapToGrid w:val="0"/>
        <w:rPr>
          <w:rFonts w:ascii="宋体" w:hAnsi="宋体" w:cs="宋体"/>
          <w:color w:val="auto"/>
          <w:highlight w:val="none"/>
        </w:rPr>
      </w:pPr>
      <w:r>
        <w:rPr>
          <w:rFonts w:hint="eastAsia" w:ascii="宋体" w:hAnsi="宋体" w:cs="宋体"/>
          <w:color w:val="auto"/>
          <w:highlight w:val="none"/>
        </w:rPr>
        <w:t>日    期：</w:t>
      </w:r>
    </w:p>
    <w:p>
      <w:pPr>
        <w:snapToGrid w:val="0"/>
        <w:rPr>
          <w:rFonts w:ascii="宋体" w:hAnsi="宋体" w:cs="宋体"/>
          <w:b/>
          <w:color w:val="auto"/>
          <w:szCs w:val="21"/>
          <w:highlight w:val="none"/>
        </w:rPr>
      </w:pPr>
    </w:p>
    <w:p>
      <w:pPr>
        <w:snapToGrid w:val="0"/>
        <w:rPr>
          <w:rFonts w:ascii="宋体" w:hAnsi="宋体" w:cs="宋体"/>
          <w:b/>
          <w:color w:val="auto"/>
          <w:szCs w:val="21"/>
          <w:highlight w:val="none"/>
        </w:rPr>
      </w:pPr>
      <w:r>
        <w:rPr>
          <w:rFonts w:hint="eastAsia" w:ascii="宋体" w:hAnsi="宋体" w:cs="宋体"/>
          <w:b/>
          <w:color w:val="auto"/>
          <w:szCs w:val="21"/>
          <w:highlight w:val="none"/>
        </w:rPr>
        <w:br w:type="page"/>
      </w:r>
      <w:r>
        <w:rPr>
          <w:rFonts w:hint="eastAsia" w:ascii="宋体" w:hAnsi="宋体" w:cs="宋体"/>
          <w:b/>
          <w:color w:val="auto"/>
          <w:szCs w:val="21"/>
          <w:highlight w:val="none"/>
          <w:lang w:bidi="ar"/>
        </w:rPr>
        <w:t>（10）</w:t>
      </w:r>
      <w:r>
        <w:rPr>
          <w:rFonts w:hint="eastAsia" w:ascii="宋体" w:hAnsi="宋体" w:cs="宋体"/>
          <w:b/>
          <w:color w:val="auto"/>
          <w:szCs w:val="21"/>
          <w:highlight w:val="none"/>
        </w:rPr>
        <w:t>同类业绩情况一览表格式</w:t>
      </w:r>
    </w:p>
    <w:p>
      <w:pPr>
        <w:jc w:val="center"/>
        <w:rPr>
          <w:rFonts w:ascii="宋体" w:hAnsi="宋体" w:cs="宋体"/>
          <w:b/>
          <w:color w:val="auto"/>
          <w:szCs w:val="21"/>
          <w:highlight w:val="none"/>
        </w:rPr>
      </w:pPr>
    </w:p>
    <w:p>
      <w:pPr>
        <w:spacing w:line="360" w:lineRule="auto"/>
        <w:ind w:right="25" w:rightChars="12"/>
        <w:jc w:val="center"/>
        <w:rPr>
          <w:rFonts w:ascii="宋体" w:hAnsi="宋体" w:cs="宋体"/>
          <w:b/>
          <w:color w:val="auto"/>
          <w:sz w:val="28"/>
          <w:szCs w:val="28"/>
          <w:highlight w:val="none"/>
          <w:lang w:val="zh-CN" w:bidi="ar"/>
        </w:rPr>
      </w:pPr>
      <w:r>
        <w:rPr>
          <w:rFonts w:hint="eastAsia" w:ascii="宋体" w:hAnsi="宋体" w:cs="宋体"/>
          <w:b/>
          <w:color w:val="auto"/>
          <w:sz w:val="28"/>
          <w:szCs w:val="28"/>
          <w:highlight w:val="none"/>
          <w:lang w:bidi="ar"/>
        </w:rPr>
        <w:t>同类业绩情况一览表</w:t>
      </w:r>
    </w:p>
    <w:p>
      <w:pPr>
        <w:ind w:right="25" w:rightChars="12"/>
        <w:rPr>
          <w:rFonts w:ascii="宋体" w:hAnsi="宋体" w:cs="宋体"/>
          <w:color w:val="auto"/>
          <w:highlight w:val="none"/>
        </w:rPr>
      </w:pPr>
      <w:r>
        <w:rPr>
          <w:rFonts w:hint="eastAsia" w:ascii="宋体" w:hAnsi="宋体" w:cs="宋体"/>
          <w:color w:val="auto"/>
          <w:highlight w:val="none"/>
          <w:lang w:val="zh-CN"/>
        </w:rPr>
        <w:t>采购项目：</w:t>
      </w:r>
      <w:r>
        <w:rPr>
          <w:rFonts w:hint="eastAsia" w:ascii="宋体" w:hAnsi="宋体" w:cs="宋体"/>
          <w:color w:val="auto"/>
          <w:highlight w:val="none"/>
          <w:u w:val="single"/>
          <w:lang w:val="zh-CN"/>
        </w:rPr>
        <w:t xml:space="preserve">                 </w:t>
      </w:r>
      <w:r>
        <w:rPr>
          <w:rFonts w:hint="eastAsia" w:ascii="宋体" w:hAnsi="宋体" w:cs="宋体"/>
          <w:color w:val="auto"/>
          <w:highlight w:val="none"/>
          <w:lang w:val="zh-CN"/>
        </w:rPr>
        <w:t xml:space="preserve"> 项目编号</w:t>
      </w:r>
      <w:r>
        <w:rPr>
          <w:rFonts w:hint="eastAsia" w:ascii="宋体" w:hAnsi="宋体" w:cs="宋体"/>
          <w:color w:val="auto"/>
          <w:highlight w:val="none"/>
          <w:u w:val="single"/>
          <w:lang w:val="zh-CN"/>
        </w:rPr>
        <w:t xml:space="preserve">：             </w:t>
      </w:r>
      <w:r>
        <w:rPr>
          <w:rFonts w:hint="eastAsia" w:ascii="宋体" w:hAnsi="宋体" w:cs="宋体"/>
          <w:color w:val="auto"/>
          <w:highlight w:val="none"/>
          <w:lang w:val="zh-CN"/>
        </w:rPr>
        <w:t xml:space="preserve"> </w:t>
      </w:r>
      <w:r>
        <w:rPr>
          <w:rFonts w:hint="eastAsia" w:ascii="宋体" w:hAnsi="宋体" w:cs="宋体"/>
          <w:color w:val="auto"/>
          <w:spacing w:val="-4"/>
          <w:highlight w:val="none"/>
        </w:rPr>
        <w:t>标项号：</w:t>
      </w:r>
      <w:r>
        <w:rPr>
          <w:rFonts w:hint="eastAsia" w:ascii="宋体" w:hAnsi="宋体" w:cs="宋体"/>
          <w:color w:val="auto"/>
          <w:spacing w:val="-4"/>
          <w:highlight w:val="none"/>
          <w:u w:val="single"/>
        </w:rPr>
        <w:t xml:space="preserve">            </w:t>
      </w:r>
      <w:r>
        <w:rPr>
          <w:rFonts w:hint="eastAsia" w:ascii="宋体" w:hAnsi="宋体" w:cs="宋体"/>
          <w:bCs/>
          <w:color w:val="auto"/>
          <w:highlight w:val="none"/>
          <w:u w:val="single"/>
        </w:rPr>
        <w:t xml:space="preserve">   </w:t>
      </w:r>
    </w:p>
    <w:tbl>
      <w:tblPr>
        <w:tblStyle w:val="46"/>
        <w:tblW w:w="9060"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序号</w:t>
            </w:r>
          </w:p>
        </w:tc>
        <w:tc>
          <w:tcPr>
            <w:tcW w:w="1246" w:type="dxa"/>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业主单位</w:t>
            </w:r>
          </w:p>
        </w:tc>
        <w:tc>
          <w:tcPr>
            <w:tcW w:w="1607" w:type="dxa"/>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项目名称</w:t>
            </w:r>
          </w:p>
        </w:tc>
        <w:tc>
          <w:tcPr>
            <w:tcW w:w="1291" w:type="dxa"/>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服务地点</w:t>
            </w:r>
          </w:p>
        </w:tc>
        <w:tc>
          <w:tcPr>
            <w:tcW w:w="1216" w:type="dxa"/>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合同履行期限</w:t>
            </w:r>
          </w:p>
        </w:tc>
        <w:tc>
          <w:tcPr>
            <w:tcW w:w="1216" w:type="dxa"/>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合同价格（元）</w:t>
            </w:r>
          </w:p>
        </w:tc>
        <w:tc>
          <w:tcPr>
            <w:tcW w:w="1697" w:type="dxa"/>
            <w:vAlign w:val="center"/>
          </w:tcPr>
          <w:p>
            <w:pPr>
              <w:spacing w:line="400" w:lineRule="exact"/>
              <w:ind w:right="23" w:rightChars="11"/>
              <w:jc w:val="center"/>
              <w:rPr>
                <w:rFonts w:ascii="宋体" w:hAnsi="宋体" w:cs="宋体"/>
                <w:color w:val="auto"/>
                <w:highlight w:val="none"/>
              </w:rPr>
            </w:pPr>
            <w:r>
              <w:rPr>
                <w:rFonts w:hint="eastAsia" w:ascii="宋体" w:hAnsi="宋体" w:cs="宋体"/>
                <w:color w:val="auto"/>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1</w:t>
            </w:r>
          </w:p>
        </w:tc>
        <w:tc>
          <w:tcPr>
            <w:tcW w:w="1246" w:type="dxa"/>
          </w:tcPr>
          <w:p>
            <w:pPr>
              <w:spacing w:line="400" w:lineRule="exact"/>
              <w:ind w:right="25" w:rightChars="12"/>
              <w:jc w:val="center"/>
              <w:rPr>
                <w:rFonts w:ascii="宋体" w:hAnsi="宋体" w:cs="宋体"/>
                <w:b/>
                <w:color w:val="auto"/>
                <w:highlight w:val="none"/>
              </w:rPr>
            </w:pPr>
          </w:p>
        </w:tc>
        <w:tc>
          <w:tcPr>
            <w:tcW w:w="1607" w:type="dxa"/>
          </w:tcPr>
          <w:p>
            <w:pPr>
              <w:spacing w:line="400" w:lineRule="exact"/>
              <w:ind w:right="25" w:rightChars="12"/>
              <w:jc w:val="center"/>
              <w:rPr>
                <w:rFonts w:ascii="宋体" w:hAnsi="宋体" w:cs="宋体"/>
                <w:b/>
                <w:color w:val="auto"/>
                <w:highlight w:val="none"/>
              </w:rPr>
            </w:pPr>
          </w:p>
        </w:tc>
        <w:tc>
          <w:tcPr>
            <w:tcW w:w="1291"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697" w:type="dxa"/>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2</w:t>
            </w:r>
          </w:p>
        </w:tc>
        <w:tc>
          <w:tcPr>
            <w:tcW w:w="1246" w:type="dxa"/>
          </w:tcPr>
          <w:p>
            <w:pPr>
              <w:spacing w:line="400" w:lineRule="exact"/>
              <w:ind w:right="25" w:rightChars="12"/>
              <w:jc w:val="center"/>
              <w:rPr>
                <w:rFonts w:ascii="宋体" w:hAnsi="宋体" w:cs="宋体"/>
                <w:b/>
                <w:color w:val="auto"/>
                <w:highlight w:val="none"/>
              </w:rPr>
            </w:pPr>
          </w:p>
        </w:tc>
        <w:tc>
          <w:tcPr>
            <w:tcW w:w="1607" w:type="dxa"/>
          </w:tcPr>
          <w:p>
            <w:pPr>
              <w:spacing w:line="400" w:lineRule="exact"/>
              <w:ind w:right="25" w:rightChars="12"/>
              <w:jc w:val="center"/>
              <w:rPr>
                <w:rFonts w:ascii="宋体" w:hAnsi="宋体" w:cs="宋体"/>
                <w:b/>
                <w:color w:val="auto"/>
                <w:highlight w:val="none"/>
              </w:rPr>
            </w:pPr>
          </w:p>
        </w:tc>
        <w:tc>
          <w:tcPr>
            <w:tcW w:w="1291"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697" w:type="dxa"/>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3</w:t>
            </w:r>
          </w:p>
        </w:tc>
        <w:tc>
          <w:tcPr>
            <w:tcW w:w="1246" w:type="dxa"/>
          </w:tcPr>
          <w:p>
            <w:pPr>
              <w:spacing w:line="400" w:lineRule="exact"/>
              <w:ind w:right="25" w:rightChars="12"/>
              <w:jc w:val="center"/>
              <w:rPr>
                <w:rFonts w:ascii="宋体" w:hAnsi="宋体" w:cs="宋体"/>
                <w:b/>
                <w:color w:val="auto"/>
                <w:highlight w:val="none"/>
              </w:rPr>
            </w:pPr>
          </w:p>
        </w:tc>
        <w:tc>
          <w:tcPr>
            <w:tcW w:w="1607" w:type="dxa"/>
          </w:tcPr>
          <w:p>
            <w:pPr>
              <w:spacing w:line="400" w:lineRule="exact"/>
              <w:ind w:right="25" w:rightChars="12"/>
              <w:jc w:val="center"/>
              <w:rPr>
                <w:rFonts w:ascii="宋体" w:hAnsi="宋体" w:cs="宋体"/>
                <w:b/>
                <w:color w:val="auto"/>
                <w:highlight w:val="none"/>
              </w:rPr>
            </w:pPr>
          </w:p>
        </w:tc>
        <w:tc>
          <w:tcPr>
            <w:tcW w:w="1291"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697" w:type="dxa"/>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highlight w:val="none"/>
              </w:rPr>
            </w:pPr>
            <w:r>
              <w:rPr>
                <w:rFonts w:hint="eastAsia" w:ascii="宋体" w:hAnsi="宋体" w:cs="宋体"/>
                <w:color w:val="auto"/>
                <w:highlight w:val="none"/>
              </w:rPr>
              <w:t>…</w:t>
            </w:r>
          </w:p>
        </w:tc>
        <w:tc>
          <w:tcPr>
            <w:tcW w:w="1246" w:type="dxa"/>
          </w:tcPr>
          <w:p>
            <w:pPr>
              <w:spacing w:line="400" w:lineRule="exact"/>
              <w:ind w:right="25" w:rightChars="12"/>
              <w:jc w:val="center"/>
              <w:rPr>
                <w:rFonts w:ascii="宋体" w:hAnsi="宋体" w:cs="宋体"/>
                <w:b/>
                <w:color w:val="auto"/>
                <w:highlight w:val="none"/>
              </w:rPr>
            </w:pPr>
          </w:p>
        </w:tc>
        <w:tc>
          <w:tcPr>
            <w:tcW w:w="1607" w:type="dxa"/>
          </w:tcPr>
          <w:p>
            <w:pPr>
              <w:spacing w:line="400" w:lineRule="exact"/>
              <w:ind w:right="25" w:rightChars="12"/>
              <w:jc w:val="center"/>
              <w:rPr>
                <w:rFonts w:ascii="宋体" w:hAnsi="宋体" w:cs="宋体"/>
                <w:b/>
                <w:color w:val="auto"/>
                <w:highlight w:val="none"/>
              </w:rPr>
            </w:pPr>
          </w:p>
        </w:tc>
        <w:tc>
          <w:tcPr>
            <w:tcW w:w="1291"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697" w:type="dxa"/>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宋体" w:hAnsi="宋体" w:cs="宋体"/>
                <w:color w:val="auto"/>
                <w:highlight w:val="none"/>
              </w:rPr>
            </w:pPr>
          </w:p>
        </w:tc>
        <w:tc>
          <w:tcPr>
            <w:tcW w:w="1246" w:type="dxa"/>
          </w:tcPr>
          <w:p>
            <w:pPr>
              <w:spacing w:line="400" w:lineRule="exact"/>
              <w:ind w:right="25" w:rightChars="12"/>
              <w:jc w:val="center"/>
              <w:rPr>
                <w:rFonts w:ascii="宋体" w:hAnsi="宋体" w:cs="宋体"/>
                <w:b/>
                <w:color w:val="auto"/>
                <w:highlight w:val="none"/>
              </w:rPr>
            </w:pPr>
          </w:p>
        </w:tc>
        <w:tc>
          <w:tcPr>
            <w:tcW w:w="1607" w:type="dxa"/>
          </w:tcPr>
          <w:p>
            <w:pPr>
              <w:spacing w:line="400" w:lineRule="exact"/>
              <w:ind w:right="25" w:rightChars="12"/>
              <w:jc w:val="center"/>
              <w:rPr>
                <w:rFonts w:ascii="宋体" w:hAnsi="宋体" w:cs="宋体"/>
                <w:b/>
                <w:color w:val="auto"/>
                <w:highlight w:val="none"/>
              </w:rPr>
            </w:pPr>
          </w:p>
        </w:tc>
        <w:tc>
          <w:tcPr>
            <w:tcW w:w="1291"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697" w:type="dxa"/>
          </w:tcPr>
          <w:p>
            <w:pPr>
              <w:spacing w:line="400" w:lineRule="exact"/>
              <w:ind w:right="25" w:rightChars="12"/>
              <w:jc w:val="center"/>
              <w:rPr>
                <w:rFonts w:ascii="宋体" w:hAnsi="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vAlign w:val="center"/>
          </w:tcPr>
          <w:p>
            <w:pPr>
              <w:spacing w:line="400" w:lineRule="exact"/>
              <w:ind w:right="25" w:rightChars="12"/>
              <w:jc w:val="center"/>
              <w:rPr>
                <w:rFonts w:ascii="宋体" w:hAnsi="宋体" w:cs="宋体"/>
                <w:color w:val="auto"/>
                <w:highlight w:val="none"/>
              </w:rPr>
            </w:pPr>
          </w:p>
        </w:tc>
        <w:tc>
          <w:tcPr>
            <w:tcW w:w="1246" w:type="dxa"/>
          </w:tcPr>
          <w:p>
            <w:pPr>
              <w:spacing w:line="400" w:lineRule="exact"/>
              <w:ind w:right="25" w:rightChars="12"/>
              <w:jc w:val="center"/>
              <w:rPr>
                <w:rFonts w:ascii="宋体" w:hAnsi="宋体" w:cs="宋体"/>
                <w:b/>
                <w:color w:val="auto"/>
                <w:highlight w:val="none"/>
              </w:rPr>
            </w:pPr>
          </w:p>
        </w:tc>
        <w:tc>
          <w:tcPr>
            <w:tcW w:w="1607" w:type="dxa"/>
          </w:tcPr>
          <w:p>
            <w:pPr>
              <w:spacing w:line="400" w:lineRule="exact"/>
              <w:ind w:right="25" w:rightChars="12"/>
              <w:jc w:val="center"/>
              <w:rPr>
                <w:rFonts w:ascii="宋体" w:hAnsi="宋体" w:cs="宋体"/>
                <w:b/>
                <w:color w:val="auto"/>
                <w:highlight w:val="none"/>
              </w:rPr>
            </w:pPr>
          </w:p>
        </w:tc>
        <w:tc>
          <w:tcPr>
            <w:tcW w:w="1291"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216" w:type="dxa"/>
          </w:tcPr>
          <w:p>
            <w:pPr>
              <w:spacing w:line="400" w:lineRule="exact"/>
              <w:ind w:right="25" w:rightChars="12"/>
              <w:jc w:val="center"/>
              <w:rPr>
                <w:rFonts w:ascii="宋体" w:hAnsi="宋体" w:cs="宋体"/>
                <w:b/>
                <w:color w:val="auto"/>
                <w:highlight w:val="none"/>
              </w:rPr>
            </w:pPr>
          </w:p>
        </w:tc>
        <w:tc>
          <w:tcPr>
            <w:tcW w:w="1697" w:type="dxa"/>
          </w:tcPr>
          <w:p>
            <w:pPr>
              <w:spacing w:line="400" w:lineRule="exact"/>
              <w:ind w:right="25" w:rightChars="12"/>
              <w:jc w:val="center"/>
              <w:rPr>
                <w:rFonts w:ascii="宋体" w:hAnsi="宋体" w:cs="宋体"/>
                <w:b/>
                <w:color w:val="auto"/>
                <w:highlight w:val="none"/>
              </w:rPr>
            </w:pPr>
          </w:p>
        </w:tc>
      </w:tr>
    </w:tbl>
    <w:p>
      <w:pPr>
        <w:snapToGrid w:val="0"/>
        <w:spacing w:line="360" w:lineRule="auto"/>
        <w:jc w:val="left"/>
        <w:rPr>
          <w:rFonts w:ascii="宋体" w:hAnsi="宋体" w:cs="宋体"/>
          <w:color w:val="auto"/>
          <w:highlight w:val="none"/>
        </w:rPr>
      </w:pPr>
    </w:p>
    <w:p>
      <w:pPr>
        <w:snapToGrid w:val="0"/>
        <w:rPr>
          <w:rFonts w:ascii="宋体" w:hAnsi="宋体" w:cs="宋体"/>
          <w:color w:val="auto"/>
          <w:highlight w:val="none"/>
        </w:rPr>
      </w:pPr>
      <w:r>
        <w:rPr>
          <w:rFonts w:hint="eastAsia" w:ascii="宋体" w:hAnsi="宋体" w:cs="宋体"/>
          <w:color w:val="auto"/>
          <w:highlight w:val="none"/>
        </w:rPr>
        <w:t>（11）技术部分：针对本项目第二章采购需求和第四章评分标准中的条款拟定完整方案，格式自拟；</w:t>
      </w:r>
    </w:p>
    <w:p>
      <w:pPr>
        <w:snapToGrid w:val="0"/>
        <w:rPr>
          <w:rFonts w:ascii="宋体" w:hAnsi="宋体" w:cs="宋体"/>
          <w:color w:val="auto"/>
          <w:highlight w:val="none"/>
        </w:rPr>
      </w:pPr>
    </w:p>
    <w:p>
      <w:pPr>
        <w:snapToGrid w:val="0"/>
        <w:rPr>
          <w:rFonts w:ascii="宋体" w:hAnsi="宋体" w:cs="宋体"/>
          <w:color w:val="auto"/>
          <w:highlight w:val="none"/>
        </w:rPr>
      </w:pPr>
    </w:p>
    <w:p>
      <w:pPr>
        <w:pStyle w:val="198"/>
        <w:rPr>
          <w:color w:val="auto"/>
          <w:highlight w:val="none"/>
        </w:rPr>
      </w:pPr>
    </w:p>
    <w:p>
      <w:pPr>
        <w:snapToGrid w:val="0"/>
        <w:rPr>
          <w:rFonts w:ascii="宋体" w:hAnsi="宋体" w:cs="宋体"/>
          <w:color w:val="auto"/>
          <w:highlight w:val="none"/>
        </w:rPr>
      </w:pPr>
      <w:r>
        <w:rPr>
          <w:rFonts w:hint="eastAsia" w:ascii="宋体" w:hAnsi="宋体" w:cs="宋体"/>
          <w:color w:val="auto"/>
          <w:highlight w:val="none"/>
        </w:rPr>
        <w:t>（12）第四章评标办法及评分标准中需提供的其他相关证书及合同复印件等并加盖公章；</w:t>
      </w:r>
    </w:p>
    <w:p>
      <w:pPr>
        <w:snapToGrid w:val="0"/>
        <w:spacing w:line="360" w:lineRule="auto"/>
        <w:jc w:val="left"/>
        <w:rPr>
          <w:rFonts w:ascii="宋体" w:hAnsi="宋体" w:cs="宋体"/>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rFonts w:ascii="宋体" w:hAnsi="宋体" w:cs="宋体"/>
          <w:color w:val="auto"/>
          <w:highlight w:val="none"/>
        </w:rPr>
      </w:pPr>
    </w:p>
    <w:p>
      <w:pPr>
        <w:rPr>
          <w:color w:val="auto"/>
          <w:highlight w:val="none"/>
        </w:rPr>
      </w:pPr>
    </w:p>
    <w:p>
      <w:pPr>
        <w:snapToGrid w:val="0"/>
        <w:spacing w:line="360" w:lineRule="auto"/>
        <w:jc w:val="left"/>
        <w:rPr>
          <w:rFonts w:ascii="宋体" w:hAnsi="宋体" w:cs="宋体"/>
          <w:color w:val="auto"/>
          <w:highlight w:val="none"/>
        </w:rPr>
      </w:pPr>
      <w:r>
        <w:rPr>
          <w:rFonts w:hint="eastAsia" w:ascii="宋体" w:hAnsi="宋体" w:cs="宋体"/>
          <w:color w:val="auto"/>
          <w:highlight w:val="none"/>
        </w:rPr>
        <w:t>（13）供应商认为有需要提供的其它有关证明资料。</w:t>
      </w:r>
    </w:p>
    <w:p>
      <w:pPr>
        <w:snapToGrid w:val="0"/>
        <w:spacing w:line="360" w:lineRule="auto"/>
        <w:jc w:val="left"/>
        <w:rPr>
          <w:rFonts w:ascii="宋体" w:hAnsi="宋体" w:cs="宋体"/>
          <w:color w:val="auto"/>
          <w:highlight w:val="none"/>
        </w:rPr>
      </w:pPr>
    </w:p>
    <w:p>
      <w:pPr>
        <w:spacing w:line="360" w:lineRule="auto"/>
        <w:rPr>
          <w:rFonts w:ascii="宋体" w:hAnsi="宋体" w:cs="宋体"/>
          <w:b/>
          <w:bCs/>
          <w:color w:val="auto"/>
          <w:sz w:val="28"/>
          <w:szCs w:val="28"/>
          <w:highlight w:val="none"/>
        </w:rPr>
        <w:sectPr>
          <w:pgSz w:w="11906" w:h="16838"/>
          <w:pgMar w:top="1474" w:right="1797" w:bottom="1247" w:left="1797" w:header="851" w:footer="851" w:gutter="0"/>
          <w:cols w:space="720" w:num="1"/>
          <w:docGrid w:linePitch="312" w:charSpace="0"/>
        </w:sect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二、报价文件</w:t>
      </w:r>
    </w:p>
    <w:p>
      <w:pPr>
        <w:snapToGrid w:val="0"/>
        <w:spacing w:line="360" w:lineRule="auto"/>
        <w:jc w:val="left"/>
        <w:rPr>
          <w:rFonts w:ascii="宋体" w:hAnsi="宋体" w:cs="宋体"/>
          <w:bCs/>
          <w:color w:val="auto"/>
          <w:sz w:val="28"/>
          <w:szCs w:val="28"/>
          <w:highlight w:val="none"/>
          <w:lang w:bidi="ar"/>
        </w:rPr>
      </w:pPr>
      <w:r>
        <w:rPr>
          <w:rFonts w:hint="eastAsia" w:ascii="宋体" w:hAnsi="宋体" w:cs="宋体"/>
          <w:color w:val="auto"/>
          <w:highlight w:val="none"/>
        </w:rPr>
        <w:t>1、</w:t>
      </w:r>
      <w:r>
        <w:rPr>
          <w:rFonts w:hint="eastAsia" w:ascii="宋体" w:hAnsi="宋体" w:cs="宋体"/>
          <w:color w:val="auto"/>
          <w:szCs w:val="21"/>
          <w:highlight w:val="none"/>
        </w:rPr>
        <w:t>报价文件</w:t>
      </w:r>
      <w:r>
        <w:rPr>
          <w:rFonts w:hint="eastAsia" w:ascii="宋体" w:hAnsi="宋体" w:cs="宋体"/>
          <w:color w:val="auto"/>
          <w:highlight w:val="none"/>
        </w:rPr>
        <w:t>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lang w:bidi="ar"/>
        </w:rPr>
        <w:t>封面格式：</w:t>
      </w:r>
    </w:p>
    <w:p>
      <w:pPr>
        <w:snapToGrid w:val="0"/>
        <w:spacing w:line="360" w:lineRule="auto"/>
        <w:jc w:val="center"/>
        <w:rPr>
          <w:rFonts w:ascii="宋体" w:hAnsi="宋体" w:cs="宋体"/>
          <w:bCs/>
          <w:color w:val="auto"/>
          <w:sz w:val="28"/>
          <w:szCs w:val="28"/>
          <w:highlight w:val="none"/>
        </w:rPr>
      </w:pPr>
      <w:r>
        <w:rPr>
          <w:rFonts w:hint="eastAsia" w:ascii="宋体" w:hAnsi="宋体" w:cs="宋体"/>
          <w:b/>
          <w:color w:val="auto"/>
          <w:sz w:val="28"/>
          <w:szCs w:val="28"/>
          <w:highlight w:val="none"/>
          <w:lang w:bidi="ar"/>
        </w:rPr>
        <w:t xml:space="preserve">                                            正本</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报价文件</w:t>
      </w:r>
    </w:p>
    <w:p>
      <w:pPr>
        <w:snapToGrid w:val="0"/>
        <w:spacing w:line="360" w:lineRule="auto"/>
        <w:ind w:firstLine="6919" w:firstLineChars="2883"/>
        <w:rPr>
          <w:rFonts w:ascii="宋体" w:hAnsi="宋体" w:cs="宋体"/>
          <w:bCs/>
          <w:color w:val="auto"/>
          <w:sz w:val="24"/>
          <w:highlight w:val="none"/>
        </w:rPr>
      </w:pP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项目名称：</w:t>
      </w:r>
    </w:p>
    <w:p>
      <w:pPr>
        <w:snapToGrid w:val="0"/>
        <w:spacing w:line="360" w:lineRule="auto"/>
        <w:ind w:firstLine="1080" w:firstLineChars="450"/>
        <w:rPr>
          <w:rFonts w:ascii="宋体" w:hAnsi="宋体" w:cs="宋体"/>
          <w:bCs/>
          <w:color w:val="auto"/>
          <w:sz w:val="24"/>
          <w:highlight w:val="none"/>
          <w:lang w:bidi="ar"/>
        </w:rPr>
      </w:pPr>
      <w:r>
        <w:rPr>
          <w:rFonts w:hint="eastAsia" w:ascii="宋体" w:hAnsi="宋体" w:cs="宋体"/>
          <w:bCs/>
          <w:color w:val="auto"/>
          <w:sz w:val="24"/>
          <w:highlight w:val="none"/>
          <w:lang w:bidi="ar"/>
        </w:rPr>
        <w:t>项目编号：</w:t>
      </w:r>
    </w:p>
    <w:p>
      <w:pPr>
        <w:snapToGrid w:val="0"/>
        <w:spacing w:line="360" w:lineRule="auto"/>
        <w:ind w:firstLine="1080" w:firstLineChars="450"/>
        <w:rPr>
          <w:rFonts w:ascii="宋体" w:hAnsi="宋体" w:cs="宋体"/>
          <w:bCs/>
          <w:color w:val="auto"/>
          <w:sz w:val="24"/>
          <w:highlight w:val="none"/>
          <w:lang w:bidi="ar"/>
        </w:rPr>
      </w:pPr>
      <w:r>
        <w:rPr>
          <w:rFonts w:hint="eastAsia" w:ascii="宋体" w:hAnsi="宋体" w:cs="宋体"/>
          <w:bCs/>
          <w:color w:val="auto"/>
          <w:sz w:val="24"/>
          <w:highlight w:val="none"/>
          <w:lang w:bidi="ar"/>
        </w:rPr>
        <w:t>标项号：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供应商地址：</w:t>
      </w:r>
    </w:p>
    <w:p>
      <w:pPr>
        <w:snapToGrid w:val="0"/>
        <w:rPr>
          <w:rFonts w:ascii="宋体" w:hAnsi="宋体" w:cs="宋体"/>
          <w:bCs/>
          <w:color w:val="auto"/>
          <w:sz w:val="24"/>
          <w:highlight w:val="none"/>
          <w:lang w:bidi="ar"/>
        </w:rPr>
      </w:pPr>
      <w:r>
        <w:rPr>
          <w:rFonts w:hint="eastAsia" w:ascii="宋体" w:hAnsi="宋体" w:cs="宋体"/>
          <w:bCs/>
          <w:color w:val="auto"/>
          <w:sz w:val="24"/>
          <w:highlight w:val="none"/>
          <w:lang w:bidi="ar"/>
        </w:rPr>
        <w:t xml:space="preserve">                                      年  月  日</w:t>
      </w:r>
    </w:p>
    <w:p>
      <w:pPr>
        <w:snapToGrid w:val="0"/>
        <w:spacing w:line="360" w:lineRule="auto"/>
        <w:rPr>
          <w:rFonts w:ascii="宋体" w:hAnsi="宋体" w:cs="宋体"/>
          <w:color w:val="auto"/>
          <w:szCs w:val="21"/>
          <w:highlight w:val="none"/>
        </w:rPr>
      </w:pPr>
      <w:r>
        <w:rPr>
          <w:rFonts w:hint="eastAsia" w:ascii="宋体" w:hAnsi="宋体" w:cs="宋体"/>
          <w:b/>
          <w:bCs/>
          <w:color w:val="auto"/>
          <w:szCs w:val="21"/>
          <w:highlight w:val="none"/>
        </w:rPr>
        <w:br w:type="page"/>
      </w:r>
      <w:r>
        <w:rPr>
          <w:rFonts w:hint="eastAsia" w:ascii="宋体" w:hAnsi="宋体" w:cs="宋体"/>
          <w:color w:val="auto"/>
          <w:szCs w:val="21"/>
          <w:highlight w:val="none"/>
        </w:rPr>
        <w:t>2、报价文件内容包括：</w:t>
      </w:r>
    </w:p>
    <w:p>
      <w:pPr>
        <w:numPr>
          <w:ilvl w:val="0"/>
          <w:numId w:val="20"/>
        </w:numPr>
        <w:snapToGrid w:val="0"/>
        <w:spacing w:line="360" w:lineRule="auto"/>
        <w:jc w:val="left"/>
        <w:rPr>
          <w:rFonts w:ascii="宋体" w:hAnsi="宋体" w:cs="宋体"/>
          <w:color w:val="auto"/>
          <w:highlight w:val="none"/>
        </w:rPr>
      </w:pPr>
      <w:r>
        <w:rPr>
          <w:rFonts w:hint="eastAsia" w:ascii="宋体" w:hAnsi="宋体" w:cs="宋体"/>
          <w:color w:val="auto"/>
          <w:highlight w:val="none"/>
        </w:rPr>
        <w:t>开标一览表（格式见附件）；</w:t>
      </w:r>
    </w:p>
    <w:p>
      <w:pPr>
        <w:numPr>
          <w:ilvl w:val="0"/>
          <w:numId w:val="20"/>
        </w:numPr>
        <w:snapToGrid w:val="0"/>
        <w:spacing w:line="360" w:lineRule="auto"/>
        <w:jc w:val="left"/>
        <w:rPr>
          <w:rFonts w:ascii="宋体" w:hAnsi="宋体" w:cs="宋体"/>
          <w:color w:val="auto"/>
          <w:highlight w:val="none"/>
        </w:rPr>
      </w:pPr>
      <w:r>
        <w:rPr>
          <w:rFonts w:hint="eastAsia" w:ascii="宋体" w:hAnsi="宋体" w:cs="宋体"/>
          <w:color w:val="auto"/>
          <w:highlight w:val="none"/>
        </w:rPr>
        <w:t>投标报价明细表（格式见附件）；</w:t>
      </w:r>
    </w:p>
    <w:p>
      <w:pPr>
        <w:numPr>
          <w:ilvl w:val="0"/>
          <w:numId w:val="20"/>
        </w:numPr>
        <w:snapToGrid w:val="0"/>
        <w:spacing w:line="360" w:lineRule="auto"/>
        <w:jc w:val="left"/>
        <w:rPr>
          <w:rFonts w:ascii="宋体" w:hAnsi="宋体" w:cs="宋体"/>
          <w:color w:val="auto"/>
          <w:highlight w:val="none"/>
        </w:rPr>
      </w:pPr>
      <w:r>
        <w:rPr>
          <w:rFonts w:hint="eastAsia" w:ascii="宋体" w:hAnsi="宋体" w:cs="宋体"/>
          <w:color w:val="auto"/>
          <w:highlight w:val="none"/>
        </w:rPr>
        <w:t>供应商针对报价需要说明的其他文件和说明（格式自拟）；</w:t>
      </w:r>
    </w:p>
    <w:p>
      <w:pPr>
        <w:snapToGrid w:val="0"/>
        <w:spacing w:line="360" w:lineRule="auto"/>
        <w:jc w:val="left"/>
        <w:rPr>
          <w:rFonts w:ascii="宋体" w:hAnsi="宋体" w:cs="宋体"/>
          <w:color w:val="auto"/>
          <w:highlight w:val="none"/>
        </w:rPr>
      </w:pPr>
    </w:p>
    <w:p>
      <w:pPr>
        <w:snapToGrid w:val="0"/>
        <w:spacing w:line="360" w:lineRule="auto"/>
        <w:jc w:val="left"/>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（1）开标一览表格式</w:t>
      </w:r>
    </w:p>
    <w:p>
      <w:pPr>
        <w:pStyle w:val="44"/>
        <w:widowControl w:val="0"/>
        <w:tabs>
          <w:tab w:val="left" w:pos="4841"/>
        </w:tabs>
        <w:spacing w:before="0" w:beforeAutospacing="0" w:after="0" w:afterAutospacing="0" w:line="360" w:lineRule="auto"/>
        <w:ind w:firstLine="301"/>
        <w:jc w:val="center"/>
        <w:rPr>
          <w:rFonts w:ascii="宋体" w:hAnsi="宋体" w:cs="宋体"/>
          <w:b/>
          <w:color w:val="auto"/>
          <w:szCs w:val="20"/>
          <w:highlight w:val="none"/>
        </w:rPr>
      </w:pPr>
      <w:r>
        <w:rPr>
          <w:rFonts w:hint="eastAsia" w:ascii="宋体" w:hAnsi="宋体" w:cs="宋体"/>
          <w:b/>
          <w:color w:val="auto"/>
          <w:spacing w:val="-4"/>
          <w:kern w:val="2"/>
          <w:szCs w:val="20"/>
          <w:highlight w:val="none"/>
          <w:lang w:bidi="ar"/>
        </w:rPr>
        <w:t>开标一览表</w:t>
      </w:r>
    </w:p>
    <w:p>
      <w:pPr>
        <w:pStyle w:val="44"/>
        <w:widowControl w:val="0"/>
        <w:snapToGrid w:val="0"/>
        <w:spacing w:before="0" w:beforeAutospacing="0" w:after="0" w:afterAutospacing="0" w:line="360" w:lineRule="auto"/>
        <w:rPr>
          <w:rFonts w:ascii="宋体" w:hAnsi="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bidi="ar"/>
        </w:rPr>
        <w:t>采购项目：                                               项目编号：</w:t>
      </w:r>
    </w:p>
    <w:p>
      <w:pPr>
        <w:pStyle w:val="44"/>
        <w:widowControl w:val="0"/>
        <w:snapToGrid w:val="0"/>
        <w:spacing w:before="0" w:beforeAutospacing="0" w:after="0" w:afterAutospacing="0" w:line="360" w:lineRule="auto"/>
        <w:jc w:val="right"/>
        <w:rPr>
          <w:rFonts w:ascii="宋体" w:hAnsi="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bidi="ar"/>
        </w:rPr>
        <w:t>单位：人民币元</w:t>
      </w:r>
    </w:p>
    <w:tbl>
      <w:tblPr>
        <w:tblStyle w:val="46"/>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3097"/>
        <w:gridCol w:w="1718"/>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64" w:type="dxa"/>
            <w:vAlign w:val="center"/>
          </w:tcPr>
          <w:p>
            <w:pPr>
              <w:snapToGrid w:val="0"/>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标项号</w:t>
            </w:r>
          </w:p>
        </w:tc>
        <w:tc>
          <w:tcPr>
            <w:tcW w:w="3097" w:type="dxa"/>
            <w:vAlign w:val="center"/>
          </w:tcPr>
          <w:p>
            <w:pPr>
              <w:snapToGrid w:val="0"/>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采购内容</w:t>
            </w:r>
          </w:p>
        </w:tc>
        <w:tc>
          <w:tcPr>
            <w:tcW w:w="1718" w:type="dxa"/>
            <w:vAlign w:val="center"/>
          </w:tcPr>
          <w:p>
            <w:pPr>
              <w:snapToGrid w:val="0"/>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c>
          <w:tcPr>
            <w:tcW w:w="3382" w:type="dxa"/>
            <w:vAlign w:val="center"/>
          </w:tcPr>
          <w:p>
            <w:pPr>
              <w:snapToGrid w:val="0"/>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合同履行期限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1064" w:type="dxa"/>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一</w:t>
            </w:r>
          </w:p>
        </w:tc>
        <w:tc>
          <w:tcPr>
            <w:tcW w:w="3097" w:type="dxa"/>
            <w:vAlign w:val="center"/>
          </w:tcPr>
          <w:p>
            <w:pPr>
              <w:snapToGrid w:val="0"/>
              <w:spacing w:line="360" w:lineRule="auto"/>
              <w:jc w:val="center"/>
              <w:rPr>
                <w:rFonts w:ascii="宋体" w:hAnsi="宋体" w:cs="宋体"/>
                <w:color w:val="auto"/>
                <w:szCs w:val="21"/>
                <w:highlight w:val="none"/>
              </w:rPr>
            </w:pPr>
          </w:p>
        </w:tc>
        <w:tc>
          <w:tcPr>
            <w:tcW w:w="1718" w:type="dxa"/>
            <w:vAlign w:val="center"/>
          </w:tcPr>
          <w:p>
            <w:pPr>
              <w:snapToGrid w:val="0"/>
              <w:spacing w:line="360" w:lineRule="auto"/>
              <w:rPr>
                <w:rFonts w:ascii="宋体" w:hAnsi="宋体" w:cs="宋体"/>
                <w:color w:val="auto"/>
                <w:szCs w:val="21"/>
                <w:highlight w:val="none"/>
              </w:rPr>
            </w:pPr>
          </w:p>
        </w:tc>
        <w:tc>
          <w:tcPr>
            <w:tcW w:w="3382" w:type="dxa"/>
            <w:vAlign w:val="center"/>
          </w:tcPr>
          <w:p>
            <w:pPr>
              <w:snapToGrid w:val="0"/>
              <w:spacing w:line="360" w:lineRule="auto"/>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161" w:type="dxa"/>
            <w:gridSpan w:val="2"/>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投标总价</w:t>
            </w:r>
          </w:p>
        </w:tc>
        <w:tc>
          <w:tcPr>
            <w:tcW w:w="5100" w:type="dxa"/>
            <w:gridSpan w:val="2"/>
            <w:vAlign w:val="center"/>
          </w:tcPr>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小写：</w:t>
            </w:r>
          </w:p>
          <w:p>
            <w:pPr>
              <w:snapToGrid w:val="0"/>
              <w:spacing w:line="360" w:lineRule="auto"/>
              <w:jc w:val="left"/>
              <w:rPr>
                <w:rFonts w:ascii="宋体" w:hAnsi="宋体" w:cs="宋体"/>
                <w:color w:val="auto"/>
                <w:szCs w:val="21"/>
                <w:highlight w:val="none"/>
              </w:rPr>
            </w:pPr>
            <w:r>
              <w:rPr>
                <w:rFonts w:hint="eastAsia" w:ascii="宋体" w:hAnsi="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1064" w:type="dxa"/>
            <w:vAlign w:val="center"/>
          </w:tcPr>
          <w:p>
            <w:pPr>
              <w:snapToGrid w:val="0"/>
              <w:spacing w:line="360" w:lineRule="auto"/>
              <w:jc w:val="center"/>
              <w:rPr>
                <w:rFonts w:ascii="宋体" w:hAnsi="宋体" w:cs="宋体"/>
                <w:color w:val="auto"/>
                <w:szCs w:val="21"/>
                <w:highlight w:val="none"/>
              </w:rPr>
            </w:pPr>
            <w:r>
              <w:rPr>
                <w:rFonts w:hint="eastAsia" w:ascii="宋体" w:hAnsi="宋体" w:cs="宋体"/>
                <w:color w:val="auto"/>
                <w:highlight w:val="none"/>
              </w:rPr>
              <w:t>投标声明</w:t>
            </w:r>
          </w:p>
        </w:tc>
        <w:tc>
          <w:tcPr>
            <w:tcW w:w="8197" w:type="dxa"/>
            <w:gridSpan w:val="3"/>
            <w:vAlign w:val="center"/>
          </w:tcPr>
          <w:p>
            <w:pPr>
              <w:snapToGrid w:val="0"/>
              <w:spacing w:line="360" w:lineRule="auto"/>
              <w:jc w:val="center"/>
              <w:rPr>
                <w:rFonts w:ascii="宋体" w:hAnsi="宋体" w:cs="宋体"/>
                <w:color w:val="auto"/>
                <w:szCs w:val="21"/>
                <w:highlight w:val="none"/>
              </w:rPr>
            </w:pPr>
          </w:p>
        </w:tc>
      </w:tr>
    </w:tbl>
    <w:p>
      <w:pPr>
        <w:pStyle w:val="44"/>
        <w:widowControl w:val="0"/>
        <w:spacing w:before="0" w:beforeAutospacing="0" w:after="0" w:afterAutospacing="0" w:line="360" w:lineRule="auto"/>
        <w:jc w:val="both"/>
        <w:rPr>
          <w:rFonts w:ascii="宋体" w:hAnsi="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bidi="ar"/>
        </w:rPr>
        <w:t>注：1、若供应商尚有其它内容需明列的，请按此表格式扩展。</w:t>
      </w:r>
    </w:p>
    <w:p>
      <w:pPr>
        <w:pStyle w:val="44"/>
        <w:widowControl w:val="0"/>
        <w:spacing w:before="0" w:beforeAutospacing="0" w:after="0" w:afterAutospacing="0" w:line="360" w:lineRule="auto"/>
        <w:ind w:left="403"/>
        <w:jc w:val="both"/>
        <w:rPr>
          <w:rFonts w:ascii="宋体" w:hAnsi="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bidi="ar"/>
        </w:rPr>
        <w:t>2、以上“投标总价”应与“投标报价明细表”中的“投标总价”相一致。</w:t>
      </w:r>
    </w:p>
    <w:p>
      <w:pPr>
        <w:pStyle w:val="44"/>
        <w:widowControl w:val="0"/>
        <w:snapToGrid w:val="0"/>
        <w:spacing w:before="0" w:beforeAutospacing="0" w:after="0" w:afterAutospacing="0" w:line="360" w:lineRule="auto"/>
        <w:ind w:left="-178" w:leftChars="-85" w:firstLine="301"/>
        <w:jc w:val="both"/>
        <w:rPr>
          <w:rFonts w:ascii="宋体" w:hAnsi="宋体" w:cs="宋体"/>
          <w:color w:val="auto"/>
          <w:spacing w:val="-4"/>
          <w:kern w:val="2"/>
          <w:sz w:val="21"/>
          <w:szCs w:val="21"/>
          <w:highlight w:val="none"/>
          <w:lang w:bidi="ar"/>
        </w:rPr>
      </w:pPr>
    </w:p>
    <w:p>
      <w:pPr>
        <w:pStyle w:val="44"/>
        <w:widowControl w:val="0"/>
        <w:snapToGrid w:val="0"/>
        <w:spacing w:before="0" w:beforeAutospacing="0" w:after="0" w:afterAutospacing="0" w:line="360" w:lineRule="auto"/>
        <w:ind w:left="-178" w:leftChars="-85" w:firstLine="301"/>
        <w:jc w:val="both"/>
        <w:rPr>
          <w:rFonts w:ascii="宋体" w:hAnsi="宋体" w:cs="宋体"/>
          <w:color w:val="auto"/>
          <w:sz w:val="21"/>
          <w:szCs w:val="21"/>
          <w:highlight w:val="none"/>
        </w:rPr>
      </w:pPr>
      <w:r>
        <w:rPr>
          <w:rFonts w:hint="eastAsia" w:ascii="宋体" w:hAnsi="宋体" w:cs="宋体"/>
          <w:color w:val="auto"/>
          <w:spacing w:val="-4"/>
          <w:kern w:val="2"/>
          <w:sz w:val="21"/>
          <w:szCs w:val="21"/>
          <w:highlight w:val="none"/>
          <w:lang w:bidi="ar"/>
        </w:rPr>
        <w:t>供 应 商 （盖章）：</w:t>
      </w:r>
    </w:p>
    <w:p>
      <w:pPr>
        <w:pStyle w:val="44"/>
        <w:widowControl w:val="0"/>
        <w:snapToGrid w:val="0"/>
        <w:spacing w:before="0" w:beforeAutospacing="0" w:after="0" w:afterAutospacing="0" w:line="360" w:lineRule="auto"/>
        <w:ind w:left="-178" w:leftChars="-85" w:firstLine="301"/>
        <w:jc w:val="both"/>
        <w:rPr>
          <w:rFonts w:ascii="宋体" w:hAnsi="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bidi="ar"/>
        </w:rPr>
        <w:t>法定代表人或授权代表（签名或印章）：</w:t>
      </w:r>
    </w:p>
    <w:p>
      <w:pPr>
        <w:pStyle w:val="44"/>
        <w:widowControl w:val="0"/>
        <w:snapToGrid w:val="0"/>
        <w:spacing w:before="0" w:beforeAutospacing="0" w:after="0" w:afterAutospacing="0" w:line="360" w:lineRule="auto"/>
        <w:ind w:left="-178" w:leftChars="-85" w:firstLine="301"/>
        <w:jc w:val="both"/>
        <w:rPr>
          <w:rFonts w:ascii="宋体" w:hAnsi="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bidi="ar"/>
        </w:rPr>
        <w:t>日     期：</w:t>
      </w:r>
    </w:p>
    <w:p>
      <w:pPr>
        <w:snapToGrid w:val="0"/>
        <w:rPr>
          <w:rFonts w:ascii="宋体" w:hAnsi="宋体" w:cs="宋体"/>
          <w:b/>
          <w:bCs/>
          <w:color w:val="auto"/>
          <w:szCs w:val="21"/>
          <w:highlight w:val="none"/>
        </w:rPr>
      </w:pPr>
    </w:p>
    <w:p>
      <w:pPr>
        <w:pStyle w:val="54"/>
        <w:rPr>
          <w:rFonts w:ascii="宋体" w:hAnsi="宋体" w:cs="宋体"/>
          <w:b/>
          <w:bCs/>
          <w:color w:val="auto"/>
          <w:szCs w:val="21"/>
          <w:highlight w:val="none"/>
        </w:rPr>
      </w:pPr>
    </w:p>
    <w:p>
      <w:pPr>
        <w:snapToGrid w:val="0"/>
        <w:rPr>
          <w:rFonts w:ascii="宋体" w:hAnsi="宋体" w:cs="宋体"/>
          <w:b/>
          <w:bCs/>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（2）投标报价明细表格式</w:t>
      </w:r>
    </w:p>
    <w:p>
      <w:pPr>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投标报价明细表</w:t>
      </w:r>
    </w:p>
    <w:p>
      <w:pPr>
        <w:rPr>
          <w:rFonts w:ascii="宋体" w:hAnsi="宋体" w:cs="宋体"/>
          <w:color w:val="auto"/>
          <w:spacing w:val="-4"/>
          <w:szCs w:val="21"/>
          <w:highlight w:val="none"/>
          <w:lang w:bidi="ar"/>
        </w:rPr>
      </w:pPr>
      <w:r>
        <w:rPr>
          <w:rFonts w:hint="eastAsia" w:ascii="宋体" w:hAnsi="宋体" w:cs="宋体"/>
          <w:color w:val="auto"/>
          <w:spacing w:val="-4"/>
          <w:szCs w:val="21"/>
          <w:highlight w:val="none"/>
          <w:lang w:bidi="ar"/>
        </w:rPr>
        <w:t>采购项目：</w:t>
      </w:r>
    </w:p>
    <w:p>
      <w:pPr>
        <w:rPr>
          <w:rFonts w:ascii="宋体" w:hAnsi="宋体" w:cs="宋体"/>
          <w:color w:val="auto"/>
          <w:spacing w:val="-4"/>
          <w:szCs w:val="21"/>
          <w:highlight w:val="none"/>
          <w:lang w:bidi="ar"/>
        </w:rPr>
      </w:pPr>
      <w:r>
        <w:rPr>
          <w:rFonts w:hint="eastAsia" w:ascii="宋体" w:hAnsi="宋体" w:cs="宋体"/>
          <w:color w:val="auto"/>
          <w:spacing w:val="-4"/>
          <w:szCs w:val="21"/>
          <w:highlight w:val="none"/>
          <w:lang w:bidi="ar"/>
        </w:rPr>
        <w:t>项目编号：</w:t>
      </w:r>
    </w:p>
    <w:tbl>
      <w:tblPr>
        <w:tblStyle w:val="46"/>
        <w:tblW w:w="8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3164"/>
        <w:gridCol w:w="1770"/>
        <w:gridCol w:w="155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3164" w:type="dxa"/>
          </w:tcPr>
          <w:p>
            <w:pPr>
              <w:jc w:val="center"/>
              <w:rPr>
                <w:rFonts w:ascii="宋体" w:hAnsi="宋体" w:cs="宋体"/>
                <w:b/>
                <w:color w:val="auto"/>
                <w:szCs w:val="21"/>
                <w:highlight w:val="none"/>
              </w:rPr>
            </w:pPr>
            <w:r>
              <w:rPr>
                <w:rFonts w:hint="eastAsia" w:ascii="宋体" w:hAnsi="宋体" w:cs="宋体"/>
                <w:b/>
                <w:color w:val="auto"/>
                <w:szCs w:val="21"/>
                <w:highlight w:val="none"/>
              </w:rPr>
              <w:t>内容</w:t>
            </w:r>
          </w:p>
        </w:tc>
        <w:tc>
          <w:tcPr>
            <w:tcW w:w="1770" w:type="dxa"/>
          </w:tcPr>
          <w:p>
            <w:pPr>
              <w:jc w:val="center"/>
              <w:rPr>
                <w:rFonts w:ascii="宋体" w:hAnsi="宋体" w:cs="宋体"/>
                <w:b/>
                <w:color w:val="auto"/>
                <w:szCs w:val="21"/>
                <w:highlight w:val="none"/>
              </w:rPr>
            </w:pPr>
            <w:r>
              <w:rPr>
                <w:rFonts w:hint="eastAsia" w:ascii="宋体" w:hAnsi="宋体" w:cs="宋体"/>
                <w:b/>
                <w:color w:val="auto"/>
                <w:szCs w:val="21"/>
                <w:highlight w:val="none"/>
              </w:rPr>
              <w:t>数量</w:t>
            </w:r>
          </w:p>
        </w:tc>
        <w:tc>
          <w:tcPr>
            <w:tcW w:w="1550" w:type="dxa"/>
          </w:tcPr>
          <w:p>
            <w:pPr>
              <w:jc w:val="center"/>
              <w:rPr>
                <w:rFonts w:ascii="宋体" w:hAnsi="宋体" w:cs="宋体"/>
                <w:b/>
                <w:color w:val="auto"/>
                <w:szCs w:val="21"/>
                <w:highlight w:val="none"/>
              </w:rPr>
            </w:pPr>
            <w:r>
              <w:rPr>
                <w:rFonts w:hint="eastAsia" w:ascii="宋体" w:hAnsi="宋体" w:cs="宋体"/>
                <w:b/>
                <w:color w:val="auto"/>
                <w:szCs w:val="21"/>
                <w:highlight w:val="none"/>
              </w:rPr>
              <w:t>单价</w:t>
            </w:r>
          </w:p>
        </w:tc>
        <w:tc>
          <w:tcPr>
            <w:tcW w:w="1123" w:type="dxa"/>
          </w:tcPr>
          <w:p>
            <w:pPr>
              <w:jc w:val="center"/>
              <w:rPr>
                <w:rFonts w:ascii="宋体" w:hAnsi="宋体" w:cs="宋体"/>
                <w:b/>
                <w:color w:val="auto"/>
                <w:szCs w:val="21"/>
                <w:highlight w:val="none"/>
              </w:rPr>
            </w:pPr>
            <w:r>
              <w:rPr>
                <w:rFonts w:hint="eastAsia" w:ascii="宋体" w:hAnsi="宋体" w:cs="宋体"/>
                <w:b/>
                <w:color w:val="auto"/>
                <w:szCs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5"/>
              <w:jc w:val="center"/>
              <w:rPr>
                <w:rFonts w:ascii="宋体" w:hAnsi="宋体" w:cs="宋体"/>
                <w:color w:val="auto"/>
                <w:highlight w:val="none"/>
              </w:rPr>
            </w:pPr>
            <w:r>
              <w:rPr>
                <w:rFonts w:hint="eastAsia" w:ascii="宋体" w:hAnsi="宋体" w:cs="宋体"/>
                <w:color w:val="auto"/>
                <w:highlight w:val="none"/>
              </w:rPr>
              <w:t>1</w:t>
            </w:r>
          </w:p>
        </w:tc>
        <w:tc>
          <w:tcPr>
            <w:tcW w:w="3164" w:type="dxa"/>
            <w:vAlign w:val="center"/>
          </w:tcPr>
          <w:p>
            <w:pPr>
              <w:pStyle w:val="35"/>
              <w:jc w:val="center"/>
              <w:rPr>
                <w:rFonts w:ascii="宋体" w:hAnsi="宋体" w:cs="宋体"/>
                <w:color w:val="auto"/>
                <w:highlight w:val="none"/>
              </w:rPr>
            </w:pPr>
          </w:p>
        </w:tc>
        <w:tc>
          <w:tcPr>
            <w:tcW w:w="1770" w:type="dxa"/>
            <w:vAlign w:val="center"/>
          </w:tcPr>
          <w:p>
            <w:pPr>
              <w:pStyle w:val="35"/>
              <w:jc w:val="center"/>
              <w:rPr>
                <w:rFonts w:ascii="宋体" w:hAnsi="宋体" w:cs="宋体"/>
                <w:color w:val="auto"/>
                <w:highlight w:val="none"/>
              </w:rPr>
            </w:pPr>
          </w:p>
        </w:tc>
        <w:tc>
          <w:tcPr>
            <w:tcW w:w="1550" w:type="dxa"/>
            <w:vAlign w:val="center"/>
          </w:tcPr>
          <w:p>
            <w:pPr>
              <w:pStyle w:val="35"/>
              <w:jc w:val="center"/>
              <w:rPr>
                <w:rFonts w:ascii="宋体" w:hAnsi="宋体" w:cs="宋体"/>
                <w:color w:val="auto"/>
                <w:highlight w:val="none"/>
              </w:rPr>
            </w:pPr>
          </w:p>
        </w:tc>
        <w:tc>
          <w:tcPr>
            <w:tcW w:w="1123" w:type="dxa"/>
          </w:tcPr>
          <w:p>
            <w:pPr>
              <w:pStyle w:val="35"/>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5"/>
              <w:jc w:val="center"/>
              <w:rPr>
                <w:rFonts w:ascii="宋体" w:hAnsi="宋体" w:cs="宋体"/>
                <w:color w:val="auto"/>
                <w:highlight w:val="none"/>
              </w:rPr>
            </w:pPr>
            <w:r>
              <w:rPr>
                <w:rFonts w:hint="eastAsia" w:ascii="宋体" w:hAnsi="宋体" w:cs="宋体"/>
                <w:color w:val="auto"/>
                <w:highlight w:val="none"/>
              </w:rPr>
              <w:t>2</w:t>
            </w:r>
          </w:p>
        </w:tc>
        <w:tc>
          <w:tcPr>
            <w:tcW w:w="3164" w:type="dxa"/>
            <w:vAlign w:val="center"/>
          </w:tcPr>
          <w:p>
            <w:pPr>
              <w:pStyle w:val="35"/>
              <w:jc w:val="center"/>
              <w:rPr>
                <w:rFonts w:ascii="宋体" w:hAnsi="宋体" w:cs="宋体"/>
                <w:color w:val="auto"/>
                <w:highlight w:val="none"/>
              </w:rPr>
            </w:pPr>
          </w:p>
        </w:tc>
        <w:tc>
          <w:tcPr>
            <w:tcW w:w="1770" w:type="dxa"/>
            <w:vAlign w:val="center"/>
          </w:tcPr>
          <w:p>
            <w:pPr>
              <w:pStyle w:val="35"/>
              <w:jc w:val="center"/>
              <w:rPr>
                <w:rFonts w:ascii="宋体" w:hAnsi="宋体" w:cs="宋体"/>
                <w:color w:val="auto"/>
                <w:highlight w:val="none"/>
              </w:rPr>
            </w:pPr>
          </w:p>
        </w:tc>
        <w:tc>
          <w:tcPr>
            <w:tcW w:w="1550" w:type="dxa"/>
            <w:vAlign w:val="center"/>
          </w:tcPr>
          <w:p>
            <w:pPr>
              <w:pStyle w:val="35"/>
              <w:jc w:val="center"/>
              <w:rPr>
                <w:rFonts w:ascii="宋体" w:hAnsi="宋体" w:cs="宋体"/>
                <w:color w:val="auto"/>
                <w:highlight w:val="none"/>
              </w:rPr>
            </w:pPr>
          </w:p>
        </w:tc>
        <w:tc>
          <w:tcPr>
            <w:tcW w:w="1123" w:type="dxa"/>
          </w:tcPr>
          <w:p>
            <w:pPr>
              <w:pStyle w:val="35"/>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5"/>
              <w:jc w:val="center"/>
              <w:rPr>
                <w:rFonts w:ascii="宋体" w:hAnsi="宋体" w:cs="宋体"/>
                <w:color w:val="auto"/>
                <w:highlight w:val="none"/>
              </w:rPr>
            </w:pPr>
            <w:r>
              <w:rPr>
                <w:rFonts w:hint="eastAsia" w:ascii="宋体" w:hAnsi="宋体" w:cs="宋体"/>
                <w:color w:val="auto"/>
                <w:highlight w:val="none"/>
              </w:rPr>
              <w:t>3</w:t>
            </w:r>
          </w:p>
        </w:tc>
        <w:tc>
          <w:tcPr>
            <w:tcW w:w="3164" w:type="dxa"/>
            <w:vAlign w:val="center"/>
          </w:tcPr>
          <w:p>
            <w:pPr>
              <w:pStyle w:val="35"/>
              <w:jc w:val="center"/>
              <w:rPr>
                <w:rFonts w:ascii="宋体" w:hAnsi="宋体" w:cs="宋体"/>
                <w:color w:val="auto"/>
                <w:highlight w:val="none"/>
              </w:rPr>
            </w:pPr>
          </w:p>
        </w:tc>
        <w:tc>
          <w:tcPr>
            <w:tcW w:w="1770" w:type="dxa"/>
            <w:vAlign w:val="center"/>
          </w:tcPr>
          <w:p>
            <w:pPr>
              <w:pStyle w:val="35"/>
              <w:jc w:val="center"/>
              <w:rPr>
                <w:rFonts w:ascii="宋体" w:hAnsi="宋体" w:cs="宋体"/>
                <w:color w:val="auto"/>
                <w:highlight w:val="none"/>
              </w:rPr>
            </w:pPr>
          </w:p>
        </w:tc>
        <w:tc>
          <w:tcPr>
            <w:tcW w:w="1550" w:type="dxa"/>
            <w:vAlign w:val="center"/>
          </w:tcPr>
          <w:p>
            <w:pPr>
              <w:pStyle w:val="35"/>
              <w:jc w:val="center"/>
              <w:rPr>
                <w:rFonts w:ascii="宋体" w:hAnsi="宋体" w:cs="宋体"/>
                <w:color w:val="auto"/>
                <w:highlight w:val="none"/>
              </w:rPr>
            </w:pPr>
          </w:p>
        </w:tc>
        <w:tc>
          <w:tcPr>
            <w:tcW w:w="1123" w:type="dxa"/>
          </w:tcPr>
          <w:p>
            <w:pPr>
              <w:pStyle w:val="35"/>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5"/>
              <w:jc w:val="center"/>
              <w:rPr>
                <w:rFonts w:ascii="宋体" w:hAnsi="宋体" w:cs="宋体"/>
                <w:color w:val="auto"/>
                <w:highlight w:val="none"/>
              </w:rPr>
            </w:pPr>
            <w:r>
              <w:rPr>
                <w:rFonts w:hint="eastAsia" w:ascii="宋体" w:hAnsi="宋体" w:cs="宋体"/>
                <w:color w:val="auto"/>
                <w:highlight w:val="none"/>
              </w:rPr>
              <w:t>4</w:t>
            </w:r>
          </w:p>
        </w:tc>
        <w:tc>
          <w:tcPr>
            <w:tcW w:w="3164" w:type="dxa"/>
            <w:vAlign w:val="center"/>
          </w:tcPr>
          <w:p>
            <w:pPr>
              <w:pStyle w:val="35"/>
              <w:jc w:val="center"/>
              <w:rPr>
                <w:rFonts w:ascii="宋体" w:hAnsi="宋体" w:cs="宋体"/>
                <w:color w:val="auto"/>
                <w:highlight w:val="none"/>
              </w:rPr>
            </w:pPr>
          </w:p>
        </w:tc>
        <w:tc>
          <w:tcPr>
            <w:tcW w:w="1770" w:type="dxa"/>
            <w:vAlign w:val="center"/>
          </w:tcPr>
          <w:p>
            <w:pPr>
              <w:pStyle w:val="35"/>
              <w:jc w:val="center"/>
              <w:rPr>
                <w:rFonts w:ascii="宋体" w:hAnsi="宋体" w:cs="宋体"/>
                <w:color w:val="auto"/>
                <w:highlight w:val="none"/>
              </w:rPr>
            </w:pPr>
          </w:p>
        </w:tc>
        <w:tc>
          <w:tcPr>
            <w:tcW w:w="1550" w:type="dxa"/>
            <w:vAlign w:val="center"/>
          </w:tcPr>
          <w:p>
            <w:pPr>
              <w:pStyle w:val="35"/>
              <w:jc w:val="center"/>
              <w:rPr>
                <w:rFonts w:ascii="宋体" w:hAnsi="宋体" w:cs="宋体"/>
                <w:color w:val="auto"/>
                <w:highlight w:val="none"/>
              </w:rPr>
            </w:pPr>
          </w:p>
        </w:tc>
        <w:tc>
          <w:tcPr>
            <w:tcW w:w="1123" w:type="dxa"/>
          </w:tcPr>
          <w:p>
            <w:pPr>
              <w:pStyle w:val="35"/>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5"/>
              <w:jc w:val="center"/>
              <w:rPr>
                <w:rFonts w:ascii="宋体" w:hAnsi="宋体" w:cs="宋体"/>
                <w:color w:val="auto"/>
                <w:highlight w:val="none"/>
              </w:rPr>
            </w:pPr>
            <w:r>
              <w:rPr>
                <w:rFonts w:hint="eastAsia" w:ascii="宋体" w:hAnsi="宋体" w:cs="宋体"/>
                <w:color w:val="auto"/>
                <w:highlight w:val="none"/>
              </w:rPr>
              <w:t>5</w:t>
            </w:r>
          </w:p>
        </w:tc>
        <w:tc>
          <w:tcPr>
            <w:tcW w:w="3164" w:type="dxa"/>
            <w:vAlign w:val="center"/>
          </w:tcPr>
          <w:p>
            <w:pPr>
              <w:pStyle w:val="35"/>
              <w:jc w:val="center"/>
              <w:rPr>
                <w:rFonts w:ascii="宋体" w:hAnsi="宋体" w:cs="宋体"/>
                <w:color w:val="auto"/>
                <w:highlight w:val="none"/>
              </w:rPr>
            </w:pPr>
          </w:p>
        </w:tc>
        <w:tc>
          <w:tcPr>
            <w:tcW w:w="1770" w:type="dxa"/>
            <w:vAlign w:val="center"/>
          </w:tcPr>
          <w:p>
            <w:pPr>
              <w:pStyle w:val="35"/>
              <w:jc w:val="center"/>
              <w:rPr>
                <w:rFonts w:ascii="宋体" w:hAnsi="宋体" w:cs="宋体"/>
                <w:color w:val="auto"/>
                <w:highlight w:val="none"/>
              </w:rPr>
            </w:pPr>
          </w:p>
        </w:tc>
        <w:tc>
          <w:tcPr>
            <w:tcW w:w="1550" w:type="dxa"/>
            <w:vAlign w:val="center"/>
          </w:tcPr>
          <w:p>
            <w:pPr>
              <w:pStyle w:val="35"/>
              <w:jc w:val="center"/>
              <w:rPr>
                <w:rFonts w:ascii="宋体" w:hAnsi="宋体" w:cs="宋体"/>
                <w:color w:val="auto"/>
                <w:highlight w:val="none"/>
              </w:rPr>
            </w:pPr>
          </w:p>
        </w:tc>
        <w:tc>
          <w:tcPr>
            <w:tcW w:w="1123" w:type="dxa"/>
          </w:tcPr>
          <w:p>
            <w:pPr>
              <w:pStyle w:val="35"/>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5"/>
              <w:jc w:val="center"/>
              <w:rPr>
                <w:rFonts w:ascii="宋体" w:hAnsi="宋体" w:cs="宋体"/>
                <w:color w:val="auto"/>
                <w:highlight w:val="none"/>
              </w:rPr>
            </w:pPr>
            <w:r>
              <w:rPr>
                <w:rFonts w:hint="eastAsia" w:ascii="宋体" w:hAnsi="宋体" w:cs="宋体"/>
                <w:color w:val="auto"/>
                <w:highlight w:val="none"/>
              </w:rPr>
              <w:t>6</w:t>
            </w:r>
          </w:p>
        </w:tc>
        <w:tc>
          <w:tcPr>
            <w:tcW w:w="3164" w:type="dxa"/>
            <w:vAlign w:val="center"/>
          </w:tcPr>
          <w:p>
            <w:pPr>
              <w:pStyle w:val="35"/>
              <w:jc w:val="center"/>
              <w:rPr>
                <w:rFonts w:ascii="宋体" w:hAnsi="宋体" w:cs="宋体"/>
                <w:color w:val="auto"/>
                <w:highlight w:val="none"/>
              </w:rPr>
            </w:pPr>
          </w:p>
        </w:tc>
        <w:tc>
          <w:tcPr>
            <w:tcW w:w="1770" w:type="dxa"/>
            <w:vAlign w:val="center"/>
          </w:tcPr>
          <w:p>
            <w:pPr>
              <w:pStyle w:val="35"/>
              <w:jc w:val="center"/>
              <w:rPr>
                <w:rFonts w:ascii="宋体" w:hAnsi="宋体" w:cs="宋体"/>
                <w:color w:val="auto"/>
                <w:highlight w:val="none"/>
              </w:rPr>
            </w:pPr>
          </w:p>
        </w:tc>
        <w:tc>
          <w:tcPr>
            <w:tcW w:w="1550" w:type="dxa"/>
            <w:vAlign w:val="center"/>
          </w:tcPr>
          <w:p>
            <w:pPr>
              <w:pStyle w:val="35"/>
              <w:jc w:val="center"/>
              <w:rPr>
                <w:rFonts w:ascii="宋体" w:hAnsi="宋体" w:cs="宋体"/>
                <w:color w:val="auto"/>
                <w:highlight w:val="none"/>
              </w:rPr>
            </w:pPr>
          </w:p>
        </w:tc>
        <w:tc>
          <w:tcPr>
            <w:tcW w:w="1123" w:type="dxa"/>
          </w:tcPr>
          <w:p>
            <w:pPr>
              <w:pStyle w:val="35"/>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90" w:type="dxa"/>
          </w:tcPr>
          <w:p>
            <w:pPr>
              <w:pStyle w:val="35"/>
              <w:jc w:val="center"/>
              <w:rPr>
                <w:rFonts w:ascii="宋体" w:hAnsi="宋体" w:cs="宋体"/>
                <w:color w:val="auto"/>
                <w:highlight w:val="none"/>
              </w:rPr>
            </w:pPr>
            <w:r>
              <w:rPr>
                <w:rFonts w:hint="eastAsia" w:ascii="宋体" w:hAnsi="宋体" w:cs="宋体"/>
                <w:color w:val="auto"/>
                <w:highlight w:val="none"/>
              </w:rPr>
              <w:t>7</w:t>
            </w:r>
          </w:p>
        </w:tc>
        <w:tc>
          <w:tcPr>
            <w:tcW w:w="3164" w:type="dxa"/>
            <w:vAlign w:val="center"/>
          </w:tcPr>
          <w:p>
            <w:pPr>
              <w:pStyle w:val="35"/>
              <w:jc w:val="center"/>
              <w:rPr>
                <w:rFonts w:ascii="宋体" w:hAnsi="宋体" w:cs="宋体"/>
                <w:color w:val="auto"/>
                <w:highlight w:val="none"/>
              </w:rPr>
            </w:pPr>
          </w:p>
        </w:tc>
        <w:tc>
          <w:tcPr>
            <w:tcW w:w="1770" w:type="dxa"/>
            <w:vAlign w:val="center"/>
          </w:tcPr>
          <w:p>
            <w:pPr>
              <w:pStyle w:val="35"/>
              <w:jc w:val="center"/>
              <w:rPr>
                <w:rFonts w:ascii="宋体" w:hAnsi="宋体" w:cs="宋体"/>
                <w:color w:val="auto"/>
                <w:highlight w:val="none"/>
              </w:rPr>
            </w:pPr>
          </w:p>
        </w:tc>
        <w:tc>
          <w:tcPr>
            <w:tcW w:w="1550" w:type="dxa"/>
            <w:vAlign w:val="center"/>
          </w:tcPr>
          <w:p>
            <w:pPr>
              <w:pStyle w:val="35"/>
              <w:jc w:val="center"/>
              <w:rPr>
                <w:rFonts w:ascii="宋体" w:hAnsi="宋体" w:cs="宋体"/>
                <w:color w:val="auto"/>
                <w:highlight w:val="none"/>
              </w:rPr>
            </w:pPr>
          </w:p>
        </w:tc>
        <w:tc>
          <w:tcPr>
            <w:tcW w:w="1123" w:type="dxa"/>
          </w:tcPr>
          <w:p>
            <w:pPr>
              <w:pStyle w:val="35"/>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7274" w:type="dxa"/>
            <w:gridSpan w:val="4"/>
            <w:vAlign w:val="center"/>
          </w:tcPr>
          <w:p>
            <w:pPr>
              <w:pStyle w:val="35"/>
              <w:jc w:val="center"/>
              <w:rPr>
                <w:color w:val="auto"/>
                <w:highlight w:val="none"/>
              </w:rPr>
            </w:pPr>
            <w:r>
              <w:rPr>
                <w:rFonts w:hint="eastAsia"/>
                <w:color w:val="auto"/>
                <w:highlight w:val="none"/>
              </w:rPr>
              <w:t>投标总价</w:t>
            </w:r>
          </w:p>
        </w:tc>
        <w:tc>
          <w:tcPr>
            <w:tcW w:w="1123" w:type="dxa"/>
          </w:tcPr>
          <w:p>
            <w:pPr>
              <w:pStyle w:val="35"/>
              <w:rPr>
                <w:color w:val="auto"/>
                <w:highlight w:val="none"/>
              </w:rPr>
            </w:pPr>
          </w:p>
        </w:tc>
      </w:tr>
    </w:tbl>
    <w:p>
      <w:pPr>
        <w:rPr>
          <w:rFonts w:ascii="宋体" w:hAnsi="宋体" w:cs="宋体"/>
          <w:color w:val="auto"/>
          <w:highlight w:val="none"/>
        </w:rPr>
      </w:pPr>
      <w:r>
        <w:rPr>
          <w:rFonts w:hint="eastAsia" w:ascii="宋体" w:hAnsi="宋体" w:cs="宋体"/>
          <w:bCs/>
          <w:color w:val="auto"/>
          <w:szCs w:val="21"/>
          <w:highlight w:val="none"/>
        </w:rPr>
        <w:t>注：1、投标单位可根据实际情况自行调整表格。</w:t>
      </w:r>
    </w:p>
    <w:p>
      <w:pPr>
        <w:spacing w:line="360" w:lineRule="auto"/>
        <w:ind w:firstLine="4095" w:firstLineChars="1950"/>
        <w:rPr>
          <w:rFonts w:ascii="宋体" w:hAnsi="宋体" w:cs="宋体"/>
          <w:color w:val="auto"/>
          <w:highlight w:val="none"/>
        </w:rPr>
      </w:pPr>
    </w:p>
    <w:p>
      <w:pPr>
        <w:spacing w:line="360" w:lineRule="auto"/>
        <w:ind w:firstLine="4095" w:firstLineChars="1950"/>
        <w:rPr>
          <w:rFonts w:ascii="宋体" w:hAnsi="宋体" w:cs="宋体"/>
          <w:color w:val="auto"/>
          <w:highlight w:val="none"/>
        </w:rPr>
      </w:pPr>
    </w:p>
    <w:p>
      <w:pPr>
        <w:spacing w:line="360" w:lineRule="auto"/>
        <w:ind w:firstLine="4095" w:firstLineChars="1950"/>
        <w:rPr>
          <w:rFonts w:ascii="宋体" w:hAnsi="宋体" w:cs="宋体"/>
          <w:color w:val="auto"/>
          <w:highlight w:val="none"/>
        </w:rPr>
      </w:pPr>
      <w:r>
        <w:rPr>
          <w:rFonts w:hint="eastAsia" w:ascii="宋体" w:hAnsi="宋体" w:cs="宋体"/>
          <w:color w:val="auto"/>
          <w:highlight w:val="none"/>
        </w:rPr>
        <w:t xml:space="preserve">法定代表人或授权代表（签名或印章）：        </w:t>
      </w:r>
    </w:p>
    <w:p>
      <w:pPr>
        <w:spacing w:line="360" w:lineRule="auto"/>
        <w:ind w:firstLine="5460" w:firstLineChars="2600"/>
        <w:rPr>
          <w:rFonts w:ascii="宋体" w:hAnsi="宋体" w:cs="宋体"/>
          <w:color w:val="auto"/>
          <w:highlight w:val="none"/>
        </w:rPr>
      </w:pPr>
      <w:r>
        <w:rPr>
          <w:rFonts w:hint="eastAsia" w:ascii="宋体" w:hAnsi="宋体" w:cs="宋体"/>
          <w:color w:val="auto"/>
          <w:highlight w:val="none"/>
        </w:rPr>
        <w:t xml:space="preserve">供应商盖章：         </w:t>
      </w:r>
    </w:p>
    <w:p>
      <w:pPr>
        <w:snapToGrid w:val="0"/>
        <w:ind w:right="840" w:firstLine="5880" w:firstLineChars="2800"/>
        <w:rPr>
          <w:rFonts w:ascii="宋体" w:hAnsi="宋体" w:cs="宋体"/>
          <w:color w:val="auto"/>
          <w:highlight w:val="none"/>
        </w:rPr>
      </w:pPr>
      <w:r>
        <w:rPr>
          <w:rFonts w:hint="eastAsia" w:ascii="宋体" w:hAnsi="宋体" w:cs="宋体"/>
          <w:color w:val="auto"/>
          <w:highlight w:val="none"/>
        </w:rPr>
        <w:t xml:space="preserve">日  期：   </w:t>
      </w:r>
    </w:p>
    <w:p>
      <w:pPr>
        <w:pStyle w:val="21"/>
        <w:rPr>
          <w:rFonts w:ascii="宋体" w:hAnsi="宋体" w:cs="宋体"/>
          <w:b/>
          <w:bCs/>
          <w:color w:val="auto"/>
          <w:highlight w:val="none"/>
          <w:lang w:bidi="ar"/>
        </w:rPr>
      </w:pPr>
    </w:p>
    <w:p>
      <w:pPr>
        <w:spacing w:line="360" w:lineRule="auto"/>
        <w:rPr>
          <w:rFonts w:ascii="宋体" w:hAnsi="宋体" w:cs="宋体"/>
          <w:b/>
          <w:bCs/>
          <w:color w:val="auto"/>
          <w:szCs w:val="21"/>
          <w:highlight w:val="none"/>
          <w:lang w:bidi="ar"/>
        </w:rPr>
      </w:pPr>
      <w:r>
        <w:rPr>
          <w:rFonts w:hint="eastAsia" w:ascii="宋体" w:hAnsi="宋体" w:cs="宋体"/>
          <w:b/>
          <w:bCs/>
          <w:color w:val="auto"/>
          <w:szCs w:val="21"/>
          <w:highlight w:val="none"/>
          <w:lang w:bidi="ar"/>
        </w:rPr>
        <w:t>（3）供应商针对报价需要说明的其他文件和说明（格式自拟）。</w:t>
      </w:r>
    </w:p>
    <w:p>
      <w:pPr>
        <w:snapToGrid w:val="0"/>
        <w:spacing w:line="360" w:lineRule="auto"/>
        <w:jc w:val="center"/>
        <w:rPr>
          <w:rFonts w:ascii="宋体" w:hAnsi="宋体" w:cs="宋体"/>
          <w:b/>
          <w:bCs/>
          <w:color w:val="auto"/>
          <w:sz w:val="28"/>
          <w:szCs w:val="28"/>
          <w:highlight w:val="none"/>
        </w:rPr>
      </w:pPr>
      <w:r>
        <w:rPr>
          <w:rFonts w:hint="eastAsia" w:ascii="宋体" w:hAnsi="宋体" w:cs="宋体"/>
          <w:b/>
          <w:bCs/>
          <w:color w:val="auto"/>
          <w:szCs w:val="21"/>
          <w:highlight w:val="none"/>
          <w:lang w:bidi="ar"/>
        </w:rPr>
        <w:br w:type="page"/>
      </w:r>
      <w:r>
        <w:rPr>
          <w:rFonts w:hint="eastAsia" w:ascii="宋体" w:hAnsi="宋体" w:cs="宋体"/>
          <w:b/>
          <w:bCs/>
          <w:color w:val="auto"/>
          <w:sz w:val="28"/>
          <w:szCs w:val="28"/>
          <w:highlight w:val="none"/>
        </w:rPr>
        <w:t>三、电子备份投标文件</w:t>
      </w:r>
    </w:p>
    <w:p>
      <w:pPr>
        <w:snapToGrid w:val="0"/>
        <w:spacing w:line="360" w:lineRule="auto"/>
        <w:rPr>
          <w:rFonts w:ascii="宋体" w:hAnsi="宋体" w:cs="宋体"/>
          <w:b/>
          <w:color w:val="auto"/>
          <w:sz w:val="28"/>
          <w:szCs w:val="28"/>
          <w:highlight w:val="none"/>
          <w:lang w:bidi="ar"/>
        </w:rPr>
      </w:pPr>
      <w:r>
        <w:rPr>
          <w:rFonts w:hint="eastAsia" w:ascii="宋体" w:hAnsi="宋体" w:cs="宋体"/>
          <w:color w:val="auto"/>
          <w:highlight w:val="none"/>
        </w:rPr>
        <w:t>1、</w:t>
      </w:r>
      <w:r>
        <w:rPr>
          <w:rFonts w:hint="eastAsia" w:ascii="宋体" w:hAnsi="宋体" w:cs="宋体"/>
          <w:color w:val="auto"/>
          <w:szCs w:val="21"/>
          <w:highlight w:val="none"/>
        </w:rPr>
        <w:t>电子备份投标文件</w:t>
      </w:r>
      <w:r>
        <w:rPr>
          <w:rFonts w:hint="eastAsia" w:ascii="宋体" w:hAnsi="宋体" w:cs="宋体"/>
          <w:color w:val="auto"/>
          <w:highlight w:val="none"/>
        </w:rPr>
        <w:t>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lang w:bidi="ar"/>
        </w:rPr>
        <w:t>外包装格式：</w:t>
      </w:r>
    </w:p>
    <w:p>
      <w:pPr>
        <w:snapToGrid w:val="0"/>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电子备份投标文件</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 xml:space="preserve">项目名称： </w:t>
      </w:r>
    </w:p>
    <w:p>
      <w:pPr>
        <w:snapToGrid w:val="0"/>
        <w:spacing w:line="360" w:lineRule="auto"/>
        <w:ind w:firstLine="1080" w:firstLineChars="450"/>
        <w:rPr>
          <w:rFonts w:ascii="宋体" w:hAnsi="宋体" w:cs="宋体"/>
          <w:bCs/>
          <w:color w:val="auto"/>
          <w:sz w:val="24"/>
          <w:highlight w:val="none"/>
          <w:lang w:bidi="ar"/>
        </w:rPr>
      </w:pPr>
      <w:r>
        <w:rPr>
          <w:rFonts w:hint="eastAsia" w:ascii="宋体" w:hAnsi="宋体" w:cs="宋体"/>
          <w:bCs/>
          <w:color w:val="auto"/>
          <w:sz w:val="24"/>
          <w:highlight w:val="none"/>
          <w:lang w:bidi="ar"/>
        </w:rPr>
        <w:t>项目编号：</w:t>
      </w:r>
    </w:p>
    <w:p>
      <w:pPr>
        <w:snapToGrid w:val="0"/>
        <w:spacing w:line="360" w:lineRule="auto"/>
        <w:ind w:firstLine="1080" w:firstLineChars="450"/>
        <w:rPr>
          <w:rFonts w:ascii="宋体" w:hAnsi="宋体" w:cs="宋体"/>
          <w:bCs/>
          <w:color w:val="auto"/>
          <w:sz w:val="24"/>
          <w:highlight w:val="none"/>
          <w:lang w:bidi="ar"/>
        </w:rPr>
      </w:pPr>
      <w:r>
        <w:rPr>
          <w:rFonts w:hint="eastAsia" w:ascii="宋体" w:hAnsi="宋体" w:cs="宋体"/>
          <w:bCs/>
          <w:color w:val="auto"/>
          <w:sz w:val="24"/>
          <w:highlight w:val="none"/>
          <w:lang w:bidi="ar"/>
        </w:rPr>
        <w:t>标项号：</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供应商名称（加盖公章）：</w:t>
      </w:r>
    </w:p>
    <w:p>
      <w:pPr>
        <w:snapToGrid w:val="0"/>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lang w:bidi="ar"/>
        </w:rPr>
        <w:t>供应商地址：</w:t>
      </w:r>
    </w:p>
    <w:p>
      <w:pPr>
        <w:spacing w:line="360" w:lineRule="auto"/>
        <w:rPr>
          <w:rFonts w:ascii="宋体" w:hAnsi="宋体" w:cs="宋体"/>
          <w:color w:val="auto"/>
          <w:highlight w:val="none"/>
        </w:rPr>
      </w:pPr>
      <w:r>
        <w:rPr>
          <w:rFonts w:hint="eastAsia" w:ascii="宋体" w:hAnsi="宋体" w:cs="宋体"/>
          <w:bCs/>
          <w:color w:val="auto"/>
          <w:sz w:val="24"/>
          <w:highlight w:val="none"/>
          <w:lang w:bidi="ar"/>
        </w:rPr>
        <w:t xml:space="preserve">                        年  月  日</w:t>
      </w:r>
    </w:p>
    <w:p>
      <w:pPr>
        <w:pStyle w:val="187"/>
        <w:widowControl w:val="0"/>
        <w:snapToGrid w:val="0"/>
        <w:spacing w:line="500" w:lineRule="exact"/>
        <w:jc w:val="both"/>
        <w:rPr>
          <w:rFonts w:hAnsi="宋体"/>
          <w:b/>
          <w:bCs/>
          <w:color w:val="auto"/>
          <w:highlight w:val="none"/>
        </w:rPr>
        <w:sectPr>
          <w:pgSz w:w="11906" w:h="16838"/>
          <w:pgMar w:top="1474" w:right="1797" w:bottom="1247" w:left="1797" w:header="851" w:footer="851" w:gutter="0"/>
          <w:cols w:space="720" w:num="1"/>
          <w:docGrid w:linePitch="312" w:charSpace="0"/>
        </w:sectPr>
      </w:pPr>
    </w:p>
    <w:p>
      <w:pPr>
        <w:pStyle w:val="187"/>
        <w:widowControl w:val="0"/>
        <w:snapToGrid w:val="0"/>
        <w:spacing w:line="500" w:lineRule="exact"/>
        <w:jc w:val="both"/>
        <w:rPr>
          <w:rFonts w:hAnsi="宋体"/>
          <w:b/>
          <w:bCs/>
          <w:color w:val="auto"/>
          <w:highlight w:val="none"/>
        </w:rPr>
      </w:pPr>
      <w:r>
        <w:rPr>
          <w:rFonts w:hint="eastAsia" w:hAnsi="宋体"/>
          <w:b/>
          <w:bCs/>
          <w:color w:val="auto"/>
          <w:highlight w:val="none"/>
        </w:rPr>
        <w:t>附件：请各位供应商认真填写下表，于投标截止时间后按采购代理公司规定要求单独递交。</w:t>
      </w:r>
    </w:p>
    <w:p>
      <w:pPr>
        <w:pStyle w:val="187"/>
        <w:widowControl w:val="0"/>
        <w:snapToGrid w:val="0"/>
        <w:spacing w:line="500" w:lineRule="exact"/>
        <w:jc w:val="center"/>
        <w:rPr>
          <w:rFonts w:hAnsi="宋体"/>
          <w:color w:val="auto"/>
          <w:sz w:val="32"/>
          <w:szCs w:val="32"/>
          <w:highlight w:val="none"/>
        </w:rPr>
      </w:pPr>
      <w:r>
        <w:rPr>
          <w:rFonts w:hint="eastAsia" w:hAnsi="宋体"/>
          <w:color w:val="auto"/>
          <w:sz w:val="32"/>
          <w:szCs w:val="32"/>
          <w:highlight w:val="none"/>
        </w:rPr>
        <w:t>政府采购活动现场确认声明书</w:t>
      </w:r>
    </w:p>
    <w:p>
      <w:pPr>
        <w:pStyle w:val="187"/>
        <w:widowControl w:val="0"/>
        <w:snapToGrid w:val="0"/>
        <w:spacing w:line="440" w:lineRule="exact"/>
        <w:jc w:val="both"/>
        <w:rPr>
          <w:rFonts w:hAnsi="宋体"/>
          <w:bCs/>
          <w:color w:val="auto"/>
          <w:sz w:val="24"/>
          <w:szCs w:val="24"/>
          <w:highlight w:val="none"/>
        </w:rPr>
      </w:pPr>
      <w:r>
        <w:rPr>
          <w:rFonts w:hint="eastAsia" w:hAnsi="宋体"/>
          <w:color w:val="auto"/>
          <w:kern w:val="0"/>
          <w:sz w:val="24"/>
          <w:szCs w:val="24"/>
          <w:highlight w:val="none"/>
        </w:rPr>
        <w:t xml:space="preserve"> 浙江中基正采管理咨询有限公司：</w:t>
      </w:r>
    </w:p>
    <w:p>
      <w:pPr>
        <w:pStyle w:val="187"/>
        <w:widowControl w:val="0"/>
        <w:snapToGrid w:val="0"/>
        <w:spacing w:line="440" w:lineRule="exact"/>
        <w:ind w:firstLine="504" w:firstLineChars="200"/>
        <w:jc w:val="both"/>
        <w:rPr>
          <w:rFonts w:hAnsi="宋体"/>
          <w:color w:val="auto"/>
          <w:spacing w:val="6"/>
          <w:sz w:val="24"/>
          <w:szCs w:val="24"/>
          <w:highlight w:val="none"/>
        </w:rPr>
      </w:pPr>
      <w:r>
        <w:rPr>
          <w:rFonts w:hint="eastAsia" w:hAnsi="宋体"/>
          <w:color w:val="auto"/>
          <w:spacing w:val="6"/>
          <w:sz w:val="24"/>
          <w:szCs w:val="24"/>
          <w:highlight w:val="none"/>
        </w:rPr>
        <w:t>本人</w:t>
      </w:r>
      <w:r>
        <w:rPr>
          <w:rFonts w:hint="eastAsia" w:hAnsi="宋体"/>
          <w:color w:val="auto"/>
          <w:spacing w:val="6"/>
          <w:sz w:val="24"/>
          <w:szCs w:val="24"/>
          <w:highlight w:val="none"/>
          <w:u w:val="single"/>
        </w:rPr>
        <w:t xml:space="preserve">        </w:t>
      </w:r>
      <w:r>
        <w:rPr>
          <w:rFonts w:hint="eastAsia" w:hAnsi="宋体"/>
          <w:color w:val="auto"/>
          <w:spacing w:val="6"/>
          <w:sz w:val="24"/>
          <w:szCs w:val="24"/>
          <w:highlight w:val="none"/>
        </w:rPr>
        <w:t>（授权代表姓名），经由</w:t>
      </w:r>
      <w:r>
        <w:rPr>
          <w:rFonts w:hint="eastAsia" w:hAnsi="宋体"/>
          <w:color w:val="auto"/>
          <w:spacing w:val="6"/>
          <w:sz w:val="24"/>
          <w:szCs w:val="24"/>
          <w:highlight w:val="none"/>
          <w:u w:val="single"/>
        </w:rPr>
        <w:t xml:space="preserve">           </w:t>
      </w:r>
      <w:r>
        <w:rPr>
          <w:rFonts w:hint="eastAsia" w:hAnsi="宋体"/>
          <w:color w:val="auto"/>
          <w:spacing w:val="6"/>
          <w:sz w:val="24"/>
          <w:szCs w:val="24"/>
          <w:highlight w:val="none"/>
        </w:rPr>
        <w:t>（单位）</w:t>
      </w:r>
      <w:r>
        <w:rPr>
          <w:rFonts w:hint="eastAsia" w:hAnsi="宋体"/>
          <w:color w:val="auto"/>
          <w:spacing w:val="6"/>
          <w:sz w:val="24"/>
          <w:szCs w:val="24"/>
          <w:highlight w:val="none"/>
          <w:u w:val="single"/>
        </w:rPr>
        <w:t xml:space="preserve">         </w:t>
      </w:r>
      <w:r>
        <w:rPr>
          <w:rFonts w:hint="eastAsia" w:hAnsi="宋体"/>
          <w:color w:val="auto"/>
          <w:spacing w:val="6"/>
          <w:sz w:val="24"/>
          <w:szCs w:val="24"/>
          <w:highlight w:val="none"/>
        </w:rPr>
        <w:t>（法定代表人姓名）合法授权参加</w:t>
      </w:r>
      <w:r>
        <w:rPr>
          <w:rFonts w:hint="eastAsia" w:hAnsi="宋体"/>
          <w:color w:val="auto"/>
          <w:spacing w:val="6"/>
          <w:sz w:val="24"/>
          <w:szCs w:val="24"/>
          <w:highlight w:val="none"/>
          <w:u w:val="single"/>
        </w:rPr>
        <w:t xml:space="preserve">                  </w:t>
      </w:r>
      <w:r>
        <w:rPr>
          <w:rFonts w:hint="eastAsia" w:hAnsi="宋体"/>
          <w:color w:val="auto"/>
          <w:spacing w:val="6"/>
          <w:sz w:val="24"/>
          <w:szCs w:val="24"/>
          <w:highlight w:val="none"/>
        </w:rPr>
        <w:t>（编号：</w:t>
      </w:r>
      <w:r>
        <w:rPr>
          <w:rFonts w:hint="eastAsia" w:hAnsi="宋体"/>
          <w:color w:val="auto"/>
          <w:sz w:val="24"/>
          <w:szCs w:val="24"/>
          <w:highlight w:val="none"/>
          <w:u w:val="single"/>
        </w:rPr>
        <w:t xml:space="preserve">CBZJ-         </w:t>
      </w:r>
      <w:r>
        <w:rPr>
          <w:rFonts w:hint="eastAsia" w:hAnsi="宋体"/>
          <w:color w:val="auto"/>
          <w:spacing w:val="6"/>
          <w:sz w:val="24"/>
          <w:szCs w:val="24"/>
          <w:highlight w:val="none"/>
          <w:u w:val="single"/>
        </w:rPr>
        <w:t>）</w:t>
      </w:r>
      <w:r>
        <w:rPr>
          <w:rFonts w:hint="eastAsia" w:hAnsi="宋体"/>
          <w:color w:val="auto"/>
          <w:spacing w:val="6"/>
          <w:sz w:val="24"/>
          <w:szCs w:val="24"/>
          <w:highlight w:val="none"/>
        </w:rPr>
        <w:t xml:space="preserve">政府采购活动，经与本单位法人代表（负责人）联系确认，现就有关公平竞争事项郑重声明如下： </w:t>
      </w:r>
    </w:p>
    <w:p>
      <w:pPr>
        <w:pStyle w:val="150"/>
        <w:widowControl/>
        <w:numPr>
          <w:ilvl w:val="0"/>
          <w:numId w:val="21"/>
        </w:numPr>
        <w:snapToGrid w:val="0"/>
        <w:spacing w:line="44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本单位与采购人之间 □不存在利害关系 □存在下列利害关系</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150"/>
        <w:widowControl/>
        <w:snapToGrid w:val="0"/>
        <w:spacing w:line="44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A.投资关系    B.行政隶属关系    C.业务指导关系</w:t>
      </w:r>
    </w:p>
    <w:p>
      <w:pPr>
        <w:pStyle w:val="150"/>
        <w:widowControl/>
        <w:snapToGrid w:val="0"/>
        <w:spacing w:line="44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  D.其他可能</w:t>
      </w:r>
      <w:r>
        <w:rPr>
          <w:rFonts w:hint="eastAsia" w:ascii="宋体" w:hAnsi="宋体" w:cs="宋体"/>
          <w:color w:val="auto"/>
          <w:sz w:val="24"/>
          <w:szCs w:val="24"/>
          <w:highlight w:val="none"/>
        </w:rPr>
        <w:t>影响采购公正的</w:t>
      </w:r>
      <w:r>
        <w:rPr>
          <w:rFonts w:hint="eastAsia" w:ascii="宋体" w:hAnsi="宋体" w:cs="宋体"/>
          <w:color w:val="auto"/>
          <w:kern w:val="0"/>
          <w:sz w:val="24"/>
          <w:szCs w:val="24"/>
          <w:highlight w:val="none"/>
        </w:rPr>
        <w:t xml:space="preserve">利害关系（如有，请如实说明）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150"/>
        <w:widowControl/>
        <w:numPr>
          <w:ilvl w:val="0"/>
          <w:numId w:val="21"/>
        </w:numPr>
        <w:snapToGrid w:val="0"/>
        <w:spacing w:line="44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现已清楚知道参加本项目采购活动的其他所有供应商名称，本单位 □与其他所有供应商之间均不存在利害关系 □与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（供应商名称）之间存在下列利害关系</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187"/>
        <w:widowControl w:val="0"/>
        <w:snapToGrid w:val="0"/>
        <w:spacing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A.法定代表人或负责人或实际控制人是同一人</w:t>
      </w:r>
    </w:p>
    <w:p>
      <w:pPr>
        <w:pStyle w:val="187"/>
        <w:widowControl w:val="0"/>
        <w:snapToGrid w:val="0"/>
        <w:spacing w:line="440" w:lineRule="exact"/>
        <w:jc w:val="both"/>
        <w:rPr>
          <w:rFonts w:hAnsi="宋体"/>
          <w:color w:val="auto"/>
          <w:spacing w:val="6"/>
          <w:sz w:val="24"/>
          <w:szCs w:val="24"/>
          <w:highlight w:val="none"/>
        </w:rPr>
      </w:pPr>
      <w:r>
        <w:rPr>
          <w:rFonts w:hint="eastAsia" w:hAnsi="宋体"/>
          <w:color w:val="auto"/>
          <w:kern w:val="0"/>
          <w:sz w:val="24"/>
          <w:szCs w:val="24"/>
          <w:highlight w:val="none"/>
        </w:rPr>
        <w:t xml:space="preserve">  B.法定代表人或负责人或实际控制人是夫妻关系</w:t>
      </w:r>
    </w:p>
    <w:p>
      <w:pPr>
        <w:pStyle w:val="187"/>
        <w:widowControl w:val="0"/>
        <w:snapToGrid w:val="0"/>
        <w:spacing w:line="440" w:lineRule="exact"/>
        <w:jc w:val="both"/>
        <w:rPr>
          <w:rFonts w:hAnsi="宋体"/>
          <w:color w:val="auto"/>
          <w:spacing w:val="6"/>
          <w:sz w:val="24"/>
          <w:szCs w:val="24"/>
          <w:highlight w:val="none"/>
        </w:rPr>
      </w:pPr>
      <w:r>
        <w:rPr>
          <w:rFonts w:hint="eastAsia" w:hAnsi="宋体"/>
          <w:color w:val="auto"/>
          <w:kern w:val="0"/>
          <w:sz w:val="24"/>
          <w:szCs w:val="24"/>
          <w:highlight w:val="none"/>
        </w:rPr>
        <w:t xml:space="preserve">  C.法定代表人或负责人或实际控制人是直系血亲关系</w:t>
      </w:r>
    </w:p>
    <w:p>
      <w:pPr>
        <w:pStyle w:val="187"/>
        <w:widowControl w:val="0"/>
        <w:snapToGrid w:val="0"/>
        <w:spacing w:line="440" w:lineRule="exact"/>
        <w:jc w:val="both"/>
        <w:rPr>
          <w:rFonts w:hAnsi="宋体"/>
          <w:color w:val="auto"/>
          <w:spacing w:val="6"/>
          <w:sz w:val="24"/>
          <w:szCs w:val="24"/>
          <w:highlight w:val="none"/>
        </w:rPr>
      </w:pPr>
      <w:r>
        <w:rPr>
          <w:rFonts w:hint="eastAsia" w:hAnsi="宋体"/>
          <w:color w:val="auto"/>
          <w:kern w:val="0"/>
          <w:sz w:val="24"/>
          <w:szCs w:val="24"/>
          <w:highlight w:val="none"/>
        </w:rPr>
        <w:t xml:space="preserve">  D.法定代表人或负责人或实际控制人存在三代以内旁系血亲关系</w:t>
      </w:r>
    </w:p>
    <w:p>
      <w:pPr>
        <w:pStyle w:val="187"/>
        <w:widowControl w:val="0"/>
        <w:snapToGrid w:val="0"/>
        <w:spacing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E.法定代表人或负责人或实际控制人存在近姻亲关系</w:t>
      </w:r>
    </w:p>
    <w:p>
      <w:pPr>
        <w:pStyle w:val="187"/>
        <w:widowControl w:val="0"/>
        <w:snapToGrid w:val="0"/>
        <w:spacing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F.法定代表人或负责人或实际控制人存在股份控制或实际控制关系</w:t>
      </w:r>
    </w:p>
    <w:p>
      <w:pPr>
        <w:pStyle w:val="187"/>
        <w:widowControl w:val="0"/>
        <w:snapToGrid w:val="0"/>
        <w:spacing w:line="440" w:lineRule="exact"/>
        <w:jc w:val="both"/>
        <w:rPr>
          <w:rFonts w:hAnsi="宋体"/>
          <w:color w:val="auto"/>
          <w:kern w:val="0"/>
          <w:sz w:val="24"/>
          <w:szCs w:val="24"/>
          <w:highlight w:val="none"/>
        </w:rPr>
      </w:pPr>
      <w:r>
        <w:rPr>
          <w:rFonts w:hint="eastAsia" w:hAnsi="宋体"/>
          <w:color w:val="auto"/>
          <w:kern w:val="0"/>
          <w:sz w:val="24"/>
          <w:szCs w:val="24"/>
          <w:highlight w:val="none"/>
        </w:rPr>
        <w:t xml:space="preserve">  G.存在共同直接或间接投资设立子公司、联营企业和合营企业情况</w:t>
      </w:r>
    </w:p>
    <w:p>
      <w:pPr>
        <w:pStyle w:val="187"/>
        <w:widowControl w:val="0"/>
        <w:snapToGrid w:val="0"/>
        <w:spacing w:line="440" w:lineRule="exact"/>
        <w:jc w:val="both"/>
        <w:rPr>
          <w:rFonts w:hAnsi="宋体"/>
          <w:color w:val="auto"/>
          <w:sz w:val="24"/>
          <w:szCs w:val="24"/>
          <w:highlight w:val="none"/>
        </w:rPr>
      </w:pPr>
      <w:r>
        <w:rPr>
          <w:rFonts w:hint="eastAsia" w:hAnsi="宋体"/>
          <w:color w:val="auto"/>
          <w:kern w:val="0"/>
          <w:sz w:val="24"/>
          <w:szCs w:val="24"/>
          <w:highlight w:val="none"/>
        </w:rPr>
        <w:t xml:space="preserve">  H.存在分级代理或代销关系、同一生产制造商关系、</w:t>
      </w:r>
      <w:r>
        <w:rPr>
          <w:rFonts w:hint="eastAsia" w:hAnsi="宋体"/>
          <w:color w:val="auto"/>
          <w:sz w:val="24"/>
          <w:szCs w:val="24"/>
          <w:highlight w:val="none"/>
        </w:rPr>
        <w:t>管理关系、重要业务（占主营业务收入50%以上）或重要财务往来关系（如融资）等其他实质性控制关系</w:t>
      </w:r>
    </w:p>
    <w:p>
      <w:pPr>
        <w:pStyle w:val="187"/>
        <w:widowControl w:val="0"/>
        <w:snapToGrid w:val="0"/>
        <w:spacing w:line="440" w:lineRule="exact"/>
        <w:jc w:val="both"/>
        <w:rPr>
          <w:rFonts w:hAnsi="宋体"/>
          <w:color w:val="auto"/>
          <w:spacing w:val="6"/>
          <w:sz w:val="24"/>
          <w:szCs w:val="24"/>
          <w:highlight w:val="none"/>
        </w:rPr>
      </w:pPr>
      <w:r>
        <w:rPr>
          <w:rFonts w:hint="eastAsia" w:hAnsi="宋体"/>
          <w:color w:val="auto"/>
          <w:sz w:val="24"/>
          <w:szCs w:val="24"/>
          <w:highlight w:val="none"/>
        </w:rPr>
        <w:t xml:space="preserve">  I</w:t>
      </w:r>
      <w:r>
        <w:rPr>
          <w:rFonts w:hint="eastAsia" w:hAnsi="宋体"/>
          <w:color w:val="auto"/>
          <w:kern w:val="0"/>
          <w:sz w:val="24"/>
          <w:szCs w:val="24"/>
          <w:highlight w:val="none"/>
        </w:rPr>
        <w:t>.</w:t>
      </w:r>
      <w:r>
        <w:rPr>
          <w:rFonts w:hint="eastAsia" w:hAnsi="宋体"/>
          <w:color w:val="auto"/>
          <w:sz w:val="24"/>
          <w:szCs w:val="24"/>
          <w:highlight w:val="none"/>
        </w:rPr>
        <w:t>其他利害关系情况</w:t>
      </w:r>
      <w:r>
        <w:rPr>
          <w:rFonts w:hint="eastAsia" w:hAnsi="宋体"/>
          <w:color w:val="auto"/>
          <w:sz w:val="24"/>
          <w:szCs w:val="24"/>
          <w:highlight w:val="none"/>
          <w:u w:val="single"/>
        </w:rPr>
        <w:t xml:space="preserve">                              </w:t>
      </w:r>
      <w:r>
        <w:rPr>
          <w:rFonts w:hint="eastAsia" w:hAnsi="宋体"/>
          <w:color w:val="auto"/>
          <w:kern w:val="0"/>
          <w:sz w:val="24"/>
          <w:szCs w:val="24"/>
          <w:highlight w:val="none"/>
        </w:rPr>
        <w:t>。</w:t>
      </w:r>
    </w:p>
    <w:p>
      <w:pPr>
        <w:pStyle w:val="150"/>
        <w:widowControl/>
        <w:numPr>
          <w:ilvl w:val="0"/>
          <w:numId w:val="22"/>
        </w:numPr>
        <w:snapToGrid w:val="0"/>
        <w:spacing w:line="440" w:lineRule="exact"/>
        <w:ind w:firstLine="453" w:firstLineChars="189"/>
        <w:rPr>
          <w:rFonts w:ascii="宋体" w:hAnsi="宋体" w:cs="宋体"/>
          <w:color w:val="auto"/>
          <w:kern w:val="0"/>
          <w:sz w:val="24"/>
          <w:szCs w:val="24"/>
          <w:highlight w:val="none"/>
        </w:rPr>
      </w:pPr>
      <w:r>
        <w:rPr>
          <w:rFonts w:hint="eastAsia" w:ascii="宋体" w:hAnsi="宋体" w:cs="宋体"/>
          <w:color w:val="auto"/>
          <w:sz w:val="24"/>
          <w:szCs w:val="24"/>
          <w:highlight w:val="none"/>
        </w:rPr>
        <w:t>现已清楚知道并</w:t>
      </w:r>
      <w:r>
        <w:rPr>
          <w:rFonts w:hint="eastAsia" w:ascii="宋体" w:hAnsi="宋体" w:cs="宋体"/>
          <w:color w:val="auto"/>
          <w:kern w:val="0"/>
          <w:sz w:val="24"/>
          <w:szCs w:val="24"/>
          <w:highlight w:val="none"/>
        </w:rPr>
        <w:t>严格遵守政府采购法律法规和现场纪律。</w:t>
      </w:r>
    </w:p>
    <w:p>
      <w:pPr>
        <w:pStyle w:val="150"/>
        <w:widowControl/>
        <w:numPr>
          <w:ilvl w:val="0"/>
          <w:numId w:val="22"/>
        </w:numPr>
        <w:snapToGrid w:val="0"/>
        <w:spacing w:line="440" w:lineRule="exact"/>
        <w:ind w:firstLine="453" w:firstLineChars="189"/>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我发现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供应商之间存在或可能存在上述第二条第</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项利害关系。</w:t>
      </w:r>
    </w:p>
    <w:p>
      <w:pPr>
        <w:pStyle w:val="150"/>
        <w:widowControl/>
        <w:numPr>
          <w:ilvl w:val="0"/>
          <w:numId w:val="22"/>
        </w:numPr>
        <w:snapToGrid w:val="0"/>
        <w:spacing w:line="440" w:lineRule="exact"/>
        <w:ind w:firstLine="453" w:firstLineChars="189"/>
        <w:rPr>
          <w:rFonts w:ascii="宋体" w:hAnsi="宋体" w:cs="宋体"/>
          <w:color w:val="auto"/>
          <w:sz w:val="24"/>
          <w:szCs w:val="24"/>
          <w:highlight w:val="none"/>
        </w:rPr>
      </w:pPr>
      <w:r>
        <w:rPr>
          <w:rFonts w:hint="eastAsia" w:ascii="宋体" w:hAnsi="宋体" w:cs="宋体"/>
          <w:color w:val="auto"/>
          <w:kern w:val="0"/>
          <w:sz w:val="24"/>
          <w:szCs w:val="24"/>
          <w:highlight w:val="none"/>
        </w:rPr>
        <w:t>经检查确认所有投标人投标文件 □ 不存在密封包装问题□存在密封包装问题（具体指出）</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w:t>
      </w:r>
    </w:p>
    <w:p>
      <w:pPr>
        <w:pStyle w:val="187"/>
        <w:widowControl w:val="0"/>
        <w:snapToGrid w:val="0"/>
        <w:spacing w:line="440" w:lineRule="exact"/>
        <w:ind w:firstLine="480" w:firstLineChars="200"/>
        <w:jc w:val="both"/>
        <w:rPr>
          <w:rFonts w:hAnsi="宋体"/>
          <w:color w:val="auto"/>
          <w:sz w:val="24"/>
          <w:szCs w:val="24"/>
          <w:highlight w:val="none"/>
        </w:rPr>
      </w:pPr>
      <w:r>
        <w:rPr>
          <w:rFonts w:hint="eastAsia" w:hAnsi="宋体"/>
          <w:color w:val="auto"/>
          <w:sz w:val="24"/>
          <w:szCs w:val="24"/>
          <w:highlight w:val="none"/>
        </w:rPr>
        <w:t xml:space="preserve">                                    （供应商代表签名）：</w:t>
      </w:r>
    </w:p>
    <w:p>
      <w:pPr>
        <w:pStyle w:val="187"/>
        <w:widowControl w:val="0"/>
        <w:snapToGrid w:val="0"/>
        <w:spacing w:line="440" w:lineRule="exact"/>
        <w:ind w:firstLine="480" w:firstLineChars="200"/>
        <w:jc w:val="both"/>
        <w:rPr>
          <w:rFonts w:hAnsi="宋体"/>
          <w:color w:val="auto"/>
          <w:highlight w:val="none"/>
        </w:rPr>
      </w:pPr>
      <w:r>
        <w:rPr>
          <w:rFonts w:hint="eastAsia" w:hAnsi="宋体"/>
          <w:color w:val="auto"/>
          <w:sz w:val="24"/>
          <w:szCs w:val="24"/>
          <w:highlight w:val="none"/>
        </w:rPr>
        <w:t xml:space="preserve">                                      2022年  月  日</w:t>
      </w:r>
    </w:p>
    <w:p>
      <w:pPr>
        <w:spacing w:line="360" w:lineRule="auto"/>
        <w:rPr>
          <w:rFonts w:ascii="宋体" w:hAnsi="宋体" w:cs="宋体"/>
          <w:color w:val="auto"/>
          <w:highlight w:val="none"/>
        </w:rPr>
      </w:pPr>
    </w:p>
    <w:sectPr>
      <w:footerReference r:id="rId11" w:type="default"/>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19F" w:csb1="00000000"/>
  </w:font>
  <w:font w:name="Thorndale">
    <w:altName w:val="Times New Roman"/>
    <w:panose1 w:val="020B0604020202020204"/>
    <w:charset w:val="00"/>
    <w:family w:val="roman"/>
    <w:pitch w:val="default"/>
    <w:sig w:usb0="00000000" w:usb1="00000000" w:usb2="00000000" w:usb3="00000000" w:csb0="00040001" w:csb1="00000000"/>
  </w:font>
  <w:font w:name="HG Mincho Light J">
    <w:altName w:val="Times New Roman"/>
    <w:panose1 w:val="020B0604020202020204"/>
    <w:charset w:val="00"/>
    <w:family w:val="auto"/>
    <w:pitch w:val="default"/>
    <w:sig w:usb0="00000000" w:usb1="00000000" w:usb2="00000000" w:usb3="00000000" w:csb0="00040001" w:csb1="00000000"/>
  </w:font>
  <w:font w:name="ヒラギノ角ゴ Pro W3">
    <w:altName w:val="Times New Roman"/>
    <w:panose1 w:val="020B0300000000000000"/>
    <w:charset w:val="00"/>
    <w:family w:val="roman"/>
    <w:pitch w:val="default"/>
    <w:sig w:usb0="00000000" w:usb1="00000000" w:usb2="00000000" w:usb3="00000000" w:csb0="00040001" w:csb1="00000000"/>
  </w:font>
  <w:font w:name="长城仿宋">
    <w:altName w:val="宋体"/>
    <w:panose1 w:val="020B0604020202020204"/>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default"/>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rPr>
                              <w:rFonts w:hint="default" w:eastAsia="宋体"/>
                            </w:rPr>
                          </w:pPr>
                          <w:r>
                            <w:fldChar w:fldCharType="begin"/>
                          </w:r>
                          <w:r>
                            <w:instrText xml:space="preserve"> PAGE  \* MERGEFORMAT </w:instrText>
                          </w:r>
                          <w:r>
                            <w:fldChar w:fldCharType="separate"/>
                          </w:r>
                          <w:r>
                            <w:t>4</w:t>
                          </w:r>
                          <w:r>
                            <w:fldChar w:fldCharType="end"/>
                          </w:r>
                        </w:p>
                      </w:txbxContent>
                    </wps:txbx>
                    <wps:bodyPr vert="horz" wrap="none" lIns="0" tIns="0" rIns="0" bIns="0" anchor="t" anchorCtr="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hpgkvTAAAABQEAAA8AAAAA&#10;AAAAAQAgAAAAIgAAAGRycy9kb3ducmV2LnhtbFBLAQIUABQAAAAIAIdO4kB+WkiL4AEAALwDAAAO&#10;AAAAAAAAAAEAIAAAACIBAABkcnMvZTJvRG9jLnhtbFBLBQYAAAAABgAGAFkBAAB0BQAAAAA=&#10;">
              <v:fill on="f" focussize="0,0"/>
              <v:stroke on="f" weight="1.25pt"/>
              <v:imagedata o:title=""/>
              <o:lock v:ext="edit" aspectratio="f"/>
              <v:textbox inset="0mm,0mm,0mm,0mm" style="mso-fit-shape-to-text:t;">
                <w:txbxContent>
                  <w:p>
                    <w:pPr>
                      <w:pStyle w:val="33"/>
                      <w:rPr>
                        <w:rFonts w:hint="default" w:eastAsia="宋体"/>
                      </w:rPr>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hint="default"/>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3"/>
                            <w:rPr>
                              <w:rFonts w:hint="default" w:eastAsia="宋体"/>
                            </w:rPr>
                          </w:pPr>
                          <w:r>
                            <w:fldChar w:fldCharType="begin"/>
                          </w:r>
                          <w:r>
                            <w:instrText xml:space="preserve"> PAGE  \* MERGEFORMAT </w:instrText>
                          </w:r>
                          <w:r>
                            <w:fldChar w:fldCharType="separate"/>
                          </w:r>
                          <w:r>
                            <w:t>80</w:t>
                          </w:r>
                          <w:r>
                            <w:fldChar w:fldCharType="end"/>
                          </w:r>
                        </w:p>
                      </w:txbxContent>
                    </wps:txbx>
                    <wps:bodyPr vert="horz" wrap="none" lIns="0" tIns="0" rIns="0" bIns="0" anchor="t" anchorCtr="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GmCS9MAAAAFAQAADwAAAAAA&#10;AAABACAAAAAiAAAAZHJzL2Rvd25yZXYueG1sUEsBAhQAFAAAAAgAh07iQOZdwo7fAQAAvAMAAA4A&#10;AAAAAAAAAQAgAAAAIgEAAGRycy9lMm9Eb2MueG1sUEsFBgAAAAAGAAYAWQEAAHMFAAAAAA==&#10;">
              <v:fill on="f" focussize="0,0"/>
              <v:stroke on="f" weight="1.25pt"/>
              <v:imagedata o:title=""/>
              <o:lock v:ext="edit" aspectratio="f"/>
              <v:textbox inset="0mm,0mm,0mm,0mm" style="mso-fit-shape-to-text:t;">
                <w:txbxContent>
                  <w:p>
                    <w:pPr>
                      <w:pStyle w:val="33"/>
                      <w:rPr>
                        <w:rFonts w:hint="default" w:eastAsia="宋体"/>
                      </w:rPr>
                    </w:pPr>
                    <w:r>
                      <w:fldChar w:fldCharType="begin"/>
                    </w:r>
                    <w:r>
                      <w:instrText xml:space="preserve"> PAGE  \* MERGEFORMAT </w:instrText>
                    </w:r>
                    <w:r>
                      <w:fldChar w:fldCharType="separate"/>
                    </w:r>
                    <w:r>
                      <w:t>80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FAEDB828"/>
    <w:multiLevelType w:val="singleLevel"/>
    <w:tmpl w:val="FAEDB828"/>
    <w:lvl w:ilvl="0" w:tentative="0">
      <w:start w:val="1"/>
      <w:numFmt w:val="decimal"/>
      <w:suff w:val="nothing"/>
      <w:lvlText w:val="（%1）"/>
      <w:lvlJc w:val="left"/>
    </w:lvl>
  </w:abstractNum>
  <w:abstractNum w:abstractNumId="3">
    <w:nsid w:val="00000008"/>
    <w:multiLevelType w:val="multilevel"/>
    <w:tmpl w:val="00000008"/>
    <w:lvl w:ilvl="0" w:tentative="0">
      <w:start w:val="1"/>
      <w:numFmt w:val="japaneseCounting"/>
      <w:lvlText w:val="第%1章"/>
      <w:lvlJc w:val="left"/>
      <w:pPr>
        <w:tabs>
          <w:tab w:val="left" w:pos="1200"/>
        </w:tabs>
        <w:ind w:left="1200" w:hanging="1200"/>
      </w:pPr>
      <w:rPr>
        <w:rFonts w:hint="default"/>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pStyle w:val="167"/>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1"/>
    <w:multiLevelType w:val="multilevel"/>
    <w:tmpl w:val="00000011"/>
    <w:lvl w:ilvl="0" w:tentative="0">
      <w:start w:val="1"/>
      <w:numFmt w:val="decimal"/>
      <w:pStyle w:val="15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singleLevel"/>
    <w:tmpl w:val="00000014"/>
    <w:lvl w:ilvl="0" w:tentative="0">
      <w:start w:val="5"/>
      <w:numFmt w:val="chineseCounting"/>
      <w:suff w:val="nothing"/>
      <w:lvlText w:val="%1、"/>
      <w:lvlJc w:val="left"/>
    </w:lvl>
  </w:abstractNum>
  <w:abstractNum w:abstractNumId="6">
    <w:nsid w:val="00000017"/>
    <w:multiLevelType w:val="multilevel"/>
    <w:tmpl w:val="00000017"/>
    <w:lvl w:ilvl="0" w:tentative="0">
      <w:start w:val="1"/>
      <w:numFmt w:val="decimal"/>
      <w:lvlText w:val="(%1)"/>
      <w:lvlJc w:val="left"/>
      <w:pPr>
        <w:tabs>
          <w:tab w:val="left" w:pos="660"/>
        </w:tabs>
        <w:ind w:left="660" w:hanging="480"/>
      </w:pPr>
      <w:rPr>
        <w:rFonts w:cs="Times New Roman"/>
      </w:rPr>
    </w:lvl>
    <w:lvl w:ilvl="1" w:tentative="0">
      <w:start w:val="1"/>
      <w:numFmt w:val="decimal"/>
      <w:pStyle w:val="147"/>
      <w:lvlText w:val="%2、"/>
      <w:lvlJc w:val="left"/>
      <w:pPr>
        <w:tabs>
          <w:tab w:val="left" w:pos="1080"/>
        </w:tabs>
        <w:ind w:left="1080" w:hanging="360"/>
      </w:pPr>
      <w:rPr>
        <w:rFonts w:cs="Times New Roman"/>
      </w:rPr>
    </w:lvl>
    <w:lvl w:ilvl="2" w:tentative="0">
      <w:start w:val="3"/>
      <w:numFmt w:val="japaneseCounting"/>
      <w:lvlText w:val="（%3）"/>
      <w:lvlJc w:val="left"/>
      <w:pPr>
        <w:tabs>
          <w:tab w:val="left" w:pos="1800"/>
        </w:tabs>
        <w:ind w:left="1800" w:hanging="720"/>
      </w:pPr>
      <w:rPr>
        <w:rFonts w:cs="Times New Roman"/>
        <w:color w:val="FF0000"/>
      </w:rPr>
    </w:lvl>
    <w:lvl w:ilvl="3" w:tentative="0">
      <w:start w:val="1"/>
      <w:numFmt w:val="decimal"/>
      <w:lvlText w:val="%4."/>
      <w:lvlJc w:val="left"/>
      <w:pPr>
        <w:tabs>
          <w:tab w:val="left" w:pos="1920"/>
        </w:tabs>
        <w:ind w:left="1920" w:hanging="420"/>
      </w:pPr>
      <w:rPr>
        <w:rFonts w:cs="Times New Roman"/>
      </w:rPr>
    </w:lvl>
    <w:lvl w:ilvl="4" w:tentative="0">
      <w:start w:val="1"/>
      <w:numFmt w:val="lowerLetter"/>
      <w:lvlText w:val="%5)"/>
      <w:lvlJc w:val="left"/>
      <w:pPr>
        <w:tabs>
          <w:tab w:val="left" w:pos="2340"/>
        </w:tabs>
        <w:ind w:left="2340" w:hanging="420"/>
      </w:pPr>
      <w:rPr>
        <w:rFonts w:cs="Times New Roman"/>
      </w:rPr>
    </w:lvl>
    <w:lvl w:ilvl="5" w:tentative="0">
      <w:start w:val="1"/>
      <w:numFmt w:val="lowerRoman"/>
      <w:lvlText w:val="%6."/>
      <w:lvlJc w:val="right"/>
      <w:pPr>
        <w:tabs>
          <w:tab w:val="left" w:pos="2760"/>
        </w:tabs>
        <w:ind w:left="2760" w:hanging="420"/>
      </w:pPr>
      <w:rPr>
        <w:rFonts w:cs="Times New Roman"/>
      </w:rPr>
    </w:lvl>
    <w:lvl w:ilvl="6" w:tentative="0">
      <w:start w:val="1"/>
      <w:numFmt w:val="decimal"/>
      <w:lvlText w:val="%7."/>
      <w:lvlJc w:val="left"/>
      <w:pPr>
        <w:tabs>
          <w:tab w:val="left" w:pos="3180"/>
        </w:tabs>
        <w:ind w:left="3180" w:hanging="420"/>
      </w:pPr>
      <w:rPr>
        <w:rFonts w:cs="Times New Roman"/>
      </w:rPr>
    </w:lvl>
    <w:lvl w:ilvl="7" w:tentative="0">
      <w:start w:val="1"/>
      <w:numFmt w:val="lowerLetter"/>
      <w:lvlText w:val="%8)"/>
      <w:lvlJc w:val="left"/>
      <w:pPr>
        <w:tabs>
          <w:tab w:val="left" w:pos="3600"/>
        </w:tabs>
        <w:ind w:left="3600" w:hanging="420"/>
      </w:pPr>
      <w:rPr>
        <w:rFonts w:cs="Times New Roman"/>
      </w:rPr>
    </w:lvl>
    <w:lvl w:ilvl="8" w:tentative="0">
      <w:start w:val="1"/>
      <w:numFmt w:val="lowerRoman"/>
      <w:lvlText w:val="%9."/>
      <w:lvlJc w:val="right"/>
      <w:pPr>
        <w:tabs>
          <w:tab w:val="left" w:pos="4020"/>
        </w:tabs>
        <w:ind w:left="4020" w:hanging="420"/>
      </w:pPr>
      <w:rPr>
        <w:rFonts w:cs="Times New Roman"/>
      </w:rPr>
    </w:lvl>
  </w:abstractNum>
  <w:abstractNum w:abstractNumId="7">
    <w:nsid w:val="00000020"/>
    <w:multiLevelType w:val="singleLevel"/>
    <w:tmpl w:val="00000020"/>
    <w:lvl w:ilvl="0" w:tentative="0">
      <w:start w:val="1"/>
      <w:numFmt w:val="chineseCounting"/>
      <w:suff w:val="nothing"/>
      <w:lvlText w:val="（%1）"/>
      <w:lvlJc w:val="left"/>
    </w:lvl>
  </w:abstractNum>
  <w:abstractNum w:abstractNumId="8">
    <w:nsid w:val="00000022"/>
    <w:multiLevelType w:val="multilevel"/>
    <w:tmpl w:val="00000022"/>
    <w:lvl w:ilvl="0" w:tentative="0">
      <w:start w:val="1"/>
      <w:numFmt w:val="decimal"/>
      <w:pStyle w:val="24"/>
      <w:lvlText w:val="%1."/>
      <w:lvlJc w:val="left"/>
      <w:pPr>
        <w:tabs>
          <w:tab w:val="left" w:pos="1200"/>
        </w:tabs>
        <w:ind w:left="1200" w:hanging="360"/>
      </w:pPr>
    </w:lvl>
    <w:lvl w:ilvl="1" w:tentative="0">
      <w:start w:val="1"/>
      <w:numFmt w:val="decimal"/>
      <w:suff w:val="nothing"/>
      <w:lvlText w:val="%2. "/>
      <w:lvlJc w:val="left"/>
      <w:rPr>
        <w:rFonts w:hint="eastAsia"/>
        <w:b w:val="0"/>
        <w:i w:val="0"/>
        <w:sz w:val="24"/>
      </w:rPr>
    </w:lvl>
    <w:lvl w:ilvl="2" w:tentative="0">
      <w:start w:val="1"/>
      <w:numFmt w:val="none"/>
      <w:suff w:val="nothing"/>
      <w:lvlText w:val=""/>
      <w:lvlJc w:val="left"/>
      <w:rPr>
        <w:rFonts w:hint="eastAsia"/>
      </w:rPr>
    </w:lvl>
    <w:lvl w:ilvl="3" w:tentative="0">
      <w:start w:val="1"/>
      <w:numFmt w:val="none"/>
      <w:suff w:val="nothing"/>
      <w:lvlText w:val=""/>
      <w:lvlJc w:val="left"/>
      <w:rPr>
        <w:rFonts w:hint="eastAsia"/>
      </w:rPr>
    </w:lvl>
    <w:lvl w:ilvl="4" w:tentative="0">
      <w:start w:val="1"/>
      <w:numFmt w:val="none"/>
      <w:suff w:val="nothing"/>
      <w:lvlText w:val=""/>
      <w:lvlJc w:val="left"/>
      <w:rPr>
        <w:rFonts w:hint="eastAsia"/>
      </w:rPr>
    </w:lvl>
    <w:lvl w:ilvl="5" w:tentative="0">
      <w:start w:val="1"/>
      <w:numFmt w:val="none"/>
      <w:suff w:val="nothing"/>
      <w:lvlText w:val=""/>
      <w:lvlJc w:val="left"/>
      <w:rPr>
        <w:rFonts w:hint="eastAsia"/>
      </w:rPr>
    </w:lvl>
    <w:lvl w:ilvl="6" w:tentative="0">
      <w:start w:val="1"/>
      <w:numFmt w:val="none"/>
      <w:suff w:val="nothing"/>
      <w:lvlText w:val=""/>
      <w:lvlJc w:val="left"/>
      <w:rPr>
        <w:rFonts w:hint="eastAsia"/>
      </w:rPr>
    </w:lvl>
    <w:lvl w:ilvl="7" w:tentative="0">
      <w:start w:val="1"/>
      <w:numFmt w:val="none"/>
      <w:suff w:val="nothing"/>
      <w:lvlText w:val=""/>
      <w:lvlJc w:val="left"/>
      <w:rPr>
        <w:rFonts w:hint="eastAsia"/>
      </w:rPr>
    </w:lvl>
    <w:lvl w:ilvl="8" w:tentative="0">
      <w:start w:val="1"/>
      <w:numFmt w:val="none"/>
      <w:suff w:val="nothing"/>
      <w:lvlText w:val=""/>
      <w:lvlJc w:val="left"/>
      <w:rPr>
        <w:rFonts w:hint="eastAsia"/>
      </w:rPr>
    </w:lvl>
  </w:abstractNum>
  <w:abstractNum w:abstractNumId="9">
    <w:nsid w:val="00000023"/>
    <w:multiLevelType w:val="singleLevel"/>
    <w:tmpl w:val="00000023"/>
    <w:lvl w:ilvl="0" w:tentative="0">
      <w:start w:val="1"/>
      <w:numFmt w:val="decimal"/>
      <w:lvlText w:val="%1."/>
      <w:lvlJc w:val="left"/>
      <w:pPr>
        <w:tabs>
          <w:tab w:val="left" w:pos="312"/>
        </w:tabs>
      </w:pPr>
    </w:lvl>
  </w:abstractNum>
  <w:abstractNum w:abstractNumId="10">
    <w:nsid w:val="00000024"/>
    <w:multiLevelType w:val="multilevel"/>
    <w:tmpl w:val="00000024"/>
    <w:lvl w:ilvl="0" w:tentative="0">
      <w:start w:val="1"/>
      <w:numFmt w:val="decimal"/>
      <w:pStyle w:val="183"/>
      <w:suff w:val="nothing"/>
      <w:lvlText w:val="%1　"/>
      <w:lvlJc w:val="left"/>
      <w:pPr>
        <w:tabs>
          <w:tab w:val="left" w:pos="0"/>
        </w:tabs>
        <w:ind w:left="105"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1" w:tentative="0">
      <w:start w:val="1"/>
      <w:numFmt w:val="decimal"/>
      <w:suff w:val="nothing"/>
      <w:lvlText w:val="%1.%2　"/>
      <w:lvlJc w:val="left"/>
      <w:pPr>
        <w:tabs>
          <w:tab w:val="left" w:pos="0"/>
        </w:tabs>
        <w:ind w:left="0" w:firstLine="0"/>
      </w:pPr>
      <w:rPr>
        <w:rFonts w:ascii="Times New Roman" w:hAnsi="Times New Roman" w:cs="Times New Roman"/>
        <w:b w:val="0"/>
        <w:bCs w:val="0"/>
        <w:iCs w:val="0"/>
        <w:caps w:val="0"/>
        <w:strike w:val="0"/>
        <w:dstrike w:val="0"/>
        <w:outline w:val="0"/>
        <w:vanish w:val="0"/>
        <w:color w:val="000000"/>
        <w:spacing w:val="0"/>
        <w:w w:val="0"/>
        <w:kern w:val="0"/>
        <w:position w:val="0"/>
        <w:szCs w:val="0"/>
        <w:u w:val="none"/>
      </w:rPr>
    </w:lvl>
    <w:lvl w:ilvl="2" w:tentative="0">
      <w:start w:val="1"/>
      <w:numFmt w:val="decimal"/>
      <w:suff w:val="nothing"/>
      <w:lvlText w:val="%1.%2.%3　"/>
      <w:lvlJc w:val="left"/>
      <w:pPr>
        <w:tabs>
          <w:tab w:val="left" w:pos="0"/>
        </w:tabs>
        <w:ind w:left="1985" w:hanging="1985"/>
      </w:pPr>
      <w:rPr>
        <w:rFonts w:hint="eastAsia" w:ascii="黑体" w:hAnsi="Times New Roman" w:eastAsia="黑体" w:cs="黑体"/>
        <w:b w:val="0"/>
        <w:sz w:val="21"/>
      </w:rPr>
    </w:lvl>
    <w:lvl w:ilvl="3" w:tentative="0">
      <w:start w:val="1"/>
      <w:numFmt w:val="decimal"/>
      <w:suff w:val="nothing"/>
      <w:lvlText w:val="%1.%2.%3.%4　"/>
      <w:lvlJc w:val="left"/>
      <w:pPr>
        <w:tabs>
          <w:tab w:val="left" w:pos="0"/>
        </w:tabs>
        <w:ind w:left="0" w:firstLine="0"/>
      </w:pPr>
      <w:rPr>
        <w:rFonts w:hint="eastAsia" w:ascii="黑体" w:hAnsi="Times New Roman" w:eastAsia="黑体" w:cs="黑体"/>
        <w:b w:val="0"/>
        <w:sz w:val="21"/>
      </w:rPr>
    </w:lvl>
    <w:lvl w:ilvl="4" w:tentative="0">
      <w:start w:val="1"/>
      <w:numFmt w:val="decimal"/>
      <w:suff w:val="nothing"/>
      <w:lvlText w:val="%1.%2.%3.%4.%5　"/>
      <w:lvlJc w:val="left"/>
      <w:pPr>
        <w:tabs>
          <w:tab w:val="left" w:pos="0"/>
        </w:tabs>
        <w:ind w:left="0" w:firstLine="0"/>
      </w:pPr>
      <w:rPr>
        <w:rFonts w:hint="eastAsia" w:ascii="黑体" w:hAnsi="Times New Roman" w:eastAsia="黑体" w:cs="黑体"/>
        <w:b w:val="0"/>
        <w:sz w:val="21"/>
      </w:rPr>
    </w:lvl>
    <w:lvl w:ilvl="5" w:tentative="0">
      <w:start w:val="1"/>
      <w:numFmt w:val="decimal"/>
      <w:suff w:val="nothing"/>
      <w:lvlText w:val="%1.%2.%3.%4.%5.%6　"/>
      <w:lvlJc w:val="left"/>
      <w:pPr>
        <w:tabs>
          <w:tab w:val="left" w:pos="0"/>
        </w:tabs>
        <w:ind w:left="0" w:firstLine="0"/>
      </w:pPr>
      <w:rPr>
        <w:rFonts w:hint="eastAsia" w:ascii="黑体" w:hAnsi="Times New Roman" w:eastAsia="黑体" w:cs="黑体"/>
        <w:b w:val="0"/>
        <w:sz w:val="21"/>
      </w:rPr>
    </w:lvl>
    <w:lvl w:ilvl="6" w:tentative="0">
      <w:start w:val="1"/>
      <w:numFmt w:val="decimal"/>
      <w:suff w:val="nothing"/>
      <w:lvlText w:val="%1%2.%3.%4.%5.%6.%7　"/>
      <w:lvlJc w:val="left"/>
      <w:pPr>
        <w:tabs>
          <w:tab w:val="left" w:pos="0"/>
        </w:tabs>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11">
    <w:nsid w:val="00000025"/>
    <w:multiLevelType w:val="singleLevel"/>
    <w:tmpl w:val="00000025"/>
    <w:lvl w:ilvl="0" w:tentative="0">
      <w:start w:val="1"/>
      <w:numFmt w:val="decimal"/>
      <w:suff w:val="nothing"/>
      <w:lvlText w:val="（%1）"/>
      <w:lvlJc w:val="left"/>
    </w:lvl>
  </w:abstractNum>
  <w:abstractNum w:abstractNumId="12">
    <w:nsid w:val="15AE74FA"/>
    <w:multiLevelType w:val="singleLevel"/>
    <w:tmpl w:val="15AE74FA"/>
    <w:lvl w:ilvl="0" w:tentative="0">
      <w:start w:val="1"/>
      <w:numFmt w:val="decimal"/>
      <w:suff w:val="nothing"/>
      <w:lvlText w:val="（%1）"/>
      <w:lvlJc w:val="left"/>
      <w:rPr>
        <w:rFonts w:hint="default"/>
        <w:b w:val="0"/>
        <w:bCs w:val="0"/>
      </w:rPr>
    </w:lvl>
  </w:abstractNum>
  <w:abstractNum w:abstractNumId="13">
    <w:nsid w:val="27B78F41"/>
    <w:multiLevelType w:val="multilevel"/>
    <w:tmpl w:val="27B78F41"/>
    <w:lvl w:ilvl="0" w:tentative="0">
      <w:start w:val="5"/>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29D120CC"/>
    <w:multiLevelType w:val="singleLevel"/>
    <w:tmpl w:val="29D120CC"/>
    <w:lvl w:ilvl="0" w:tentative="0">
      <w:start w:val="1"/>
      <w:numFmt w:val="decimal"/>
      <w:suff w:val="nothing"/>
      <w:lvlText w:val="（%1）"/>
      <w:lvlJc w:val="left"/>
    </w:lvl>
  </w:abstractNum>
  <w:abstractNum w:abstractNumId="15">
    <w:nsid w:val="3CD8BFBE"/>
    <w:multiLevelType w:val="singleLevel"/>
    <w:tmpl w:val="3CD8BFBE"/>
    <w:lvl w:ilvl="0" w:tentative="0">
      <w:start w:val="1"/>
      <w:numFmt w:val="decimal"/>
      <w:suff w:val="nothing"/>
      <w:lvlText w:val="（%1）"/>
      <w:lvlJc w:val="left"/>
    </w:lvl>
  </w:abstractNum>
  <w:abstractNum w:abstractNumId="16">
    <w:nsid w:val="54F403B5"/>
    <w:multiLevelType w:val="singleLevel"/>
    <w:tmpl w:val="54F403B5"/>
    <w:lvl w:ilvl="0" w:tentative="0">
      <w:start w:val="1"/>
      <w:numFmt w:val="chineseCounting"/>
      <w:suff w:val="nothing"/>
      <w:lvlText w:val="%1、"/>
      <w:lvlJc w:val="left"/>
    </w:lvl>
  </w:abstractNum>
  <w:abstractNum w:abstractNumId="17">
    <w:nsid w:val="557FD3DA"/>
    <w:multiLevelType w:val="singleLevel"/>
    <w:tmpl w:val="557FD3DA"/>
    <w:lvl w:ilvl="0" w:tentative="0">
      <w:start w:val="3"/>
      <w:numFmt w:val="chineseCounting"/>
      <w:suff w:val="nothing"/>
      <w:lvlText w:val="%1、"/>
      <w:lvlJc w:val="left"/>
    </w:lvl>
  </w:abstractNum>
  <w:abstractNum w:abstractNumId="18">
    <w:nsid w:val="589A2FD8"/>
    <w:multiLevelType w:val="singleLevel"/>
    <w:tmpl w:val="589A2FD8"/>
    <w:lvl w:ilvl="0" w:tentative="0">
      <w:start w:val="1"/>
      <w:numFmt w:val="decimal"/>
      <w:suff w:val="nothing"/>
      <w:lvlText w:val="（%1）"/>
      <w:lvlJc w:val="left"/>
    </w:lvl>
  </w:abstractNum>
  <w:abstractNum w:abstractNumId="19">
    <w:nsid w:val="59F1C7B7"/>
    <w:multiLevelType w:val="singleLevel"/>
    <w:tmpl w:val="59F1C7B7"/>
    <w:lvl w:ilvl="0" w:tentative="0">
      <w:start w:val="4"/>
      <w:numFmt w:val="chineseCounting"/>
      <w:suff w:val="nothing"/>
      <w:lvlText w:val="（%1）"/>
      <w:lvlJc w:val="left"/>
    </w:lvl>
  </w:abstractNum>
  <w:abstractNum w:abstractNumId="20">
    <w:nsid w:val="59F56D91"/>
    <w:multiLevelType w:val="singleLevel"/>
    <w:tmpl w:val="59F56D91"/>
    <w:lvl w:ilvl="0" w:tentative="0">
      <w:start w:val="1"/>
      <w:numFmt w:val="decimal"/>
      <w:suff w:val="nothing"/>
      <w:lvlText w:val="（%1）"/>
      <w:lvlJc w:val="left"/>
    </w:lvl>
  </w:abstractNum>
  <w:abstractNum w:abstractNumId="21">
    <w:nsid w:val="59FEDFBD"/>
    <w:multiLevelType w:val="multilevel"/>
    <w:tmpl w:val="59FEDFBD"/>
    <w:lvl w:ilvl="0" w:tentative="0">
      <w:start w:val="1"/>
      <w:numFmt w:val="decimal"/>
      <w:suff w:val="nothing"/>
      <w:lvlText w:val="（%1）"/>
      <w:lvlJc w:val="left"/>
      <w:pPr>
        <w:ind w:left="0" w:firstLine="0"/>
      </w:pPr>
      <w:rPr>
        <w:rFonts w:hint="default" w:ascii="Times New Roman"/>
        <w:u w:val="none"/>
      </w:rPr>
    </w:lvl>
    <w:lvl w:ilvl="1" w:tentative="0">
      <w:start w:val="1"/>
      <w:numFmt w:val="decimal"/>
      <w:lvlText w:val="%2."/>
      <w:lvlJc w:val="left"/>
      <w:pPr>
        <w:tabs>
          <w:tab w:val="left" w:pos="1440"/>
        </w:tabs>
        <w:ind w:left="1440" w:hanging="360"/>
      </w:pPr>
      <w:rPr>
        <w:rFonts w:hint="default" w:ascii="Times New Roman"/>
        <w:u w:val="none"/>
      </w:rPr>
    </w:lvl>
    <w:lvl w:ilvl="2" w:tentative="0">
      <w:start w:val="1"/>
      <w:numFmt w:val="decimal"/>
      <w:lvlText w:val="%3."/>
      <w:lvlJc w:val="left"/>
      <w:pPr>
        <w:tabs>
          <w:tab w:val="left" w:pos="2160"/>
        </w:tabs>
        <w:ind w:left="2160" w:hanging="360"/>
      </w:pPr>
      <w:rPr>
        <w:rFonts w:hint="default" w:ascii="Times New Roman"/>
        <w:u w:val="none"/>
      </w:rPr>
    </w:lvl>
    <w:lvl w:ilvl="3" w:tentative="0">
      <w:start w:val="1"/>
      <w:numFmt w:val="decimal"/>
      <w:lvlText w:val="%4."/>
      <w:lvlJc w:val="left"/>
      <w:pPr>
        <w:tabs>
          <w:tab w:val="left" w:pos="2880"/>
        </w:tabs>
        <w:ind w:left="2880" w:hanging="360"/>
      </w:pPr>
      <w:rPr>
        <w:rFonts w:hint="default" w:ascii="Times New Roman"/>
        <w:u w:val="none"/>
      </w:rPr>
    </w:lvl>
    <w:lvl w:ilvl="4" w:tentative="0">
      <w:start w:val="1"/>
      <w:numFmt w:val="decimal"/>
      <w:lvlText w:val="%5."/>
      <w:lvlJc w:val="left"/>
      <w:pPr>
        <w:tabs>
          <w:tab w:val="left" w:pos="3600"/>
        </w:tabs>
        <w:ind w:left="3600" w:hanging="360"/>
      </w:pPr>
      <w:rPr>
        <w:rFonts w:hint="default" w:ascii="Times New Roman"/>
        <w:u w:val="none"/>
      </w:rPr>
    </w:lvl>
    <w:lvl w:ilvl="5" w:tentative="0">
      <w:start w:val="1"/>
      <w:numFmt w:val="decimal"/>
      <w:lvlText w:val="%6."/>
      <w:lvlJc w:val="left"/>
      <w:pPr>
        <w:tabs>
          <w:tab w:val="left" w:pos="4320"/>
        </w:tabs>
        <w:ind w:left="4320" w:hanging="360"/>
      </w:pPr>
      <w:rPr>
        <w:rFonts w:hint="default" w:ascii="Times New Roman"/>
        <w:u w:val="none"/>
      </w:rPr>
    </w:lvl>
    <w:lvl w:ilvl="6" w:tentative="0">
      <w:start w:val="1"/>
      <w:numFmt w:val="decimal"/>
      <w:lvlText w:val="%7."/>
      <w:lvlJc w:val="left"/>
      <w:pPr>
        <w:tabs>
          <w:tab w:val="left" w:pos="5040"/>
        </w:tabs>
        <w:ind w:left="5040" w:hanging="360"/>
      </w:pPr>
      <w:rPr>
        <w:rFonts w:hint="default" w:ascii="Times New Roman"/>
        <w:u w:val="none"/>
      </w:rPr>
    </w:lvl>
    <w:lvl w:ilvl="7" w:tentative="0">
      <w:start w:val="1"/>
      <w:numFmt w:val="decimal"/>
      <w:lvlText w:val="%8."/>
      <w:lvlJc w:val="left"/>
      <w:pPr>
        <w:tabs>
          <w:tab w:val="left" w:pos="5760"/>
        </w:tabs>
        <w:ind w:left="5760" w:hanging="360"/>
      </w:pPr>
      <w:rPr>
        <w:rFonts w:hint="default" w:ascii="Times New Roman"/>
        <w:u w:val="none"/>
      </w:rPr>
    </w:lvl>
    <w:lvl w:ilvl="8" w:tentative="0">
      <w:start w:val="1"/>
      <w:numFmt w:val="decimal"/>
      <w:lvlText w:val="%9."/>
      <w:lvlJc w:val="left"/>
      <w:pPr>
        <w:tabs>
          <w:tab w:val="left" w:pos="6480"/>
        </w:tabs>
        <w:ind w:left="6480" w:hanging="360"/>
      </w:pPr>
      <w:rPr>
        <w:rFonts w:hint="default" w:ascii="Times New Roman"/>
        <w:u w:val="none"/>
      </w:rPr>
    </w:lvl>
  </w:abstractNum>
  <w:num w:numId="1">
    <w:abstractNumId w:val="8"/>
  </w:num>
  <w:num w:numId="2">
    <w:abstractNumId w:val="6"/>
  </w:num>
  <w:num w:numId="3">
    <w:abstractNumId w:val="4"/>
  </w:num>
  <w:num w:numId="4">
    <w:abstractNumId w:val="3"/>
  </w:num>
  <w:num w:numId="5">
    <w:abstractNumId w:val="10"/>
  </w:num>
  <w:num w:numId="6">
    <w:abstractNumId w:val="11"/>
  </w:num>
  <w:num w:numId="7">
    <w:abstractNumId w:val="18"/>
  </w:num>
  <w:num w:numId="8">
    <w:abstractNumId w:val="9"/>
  </w:num>
  <w:num w:numId="9">
    <w:abstractNumId w:val="20"/>
  </w:num>
  <w:num w:numId="10">
    <w:abstractNumId w:val="2"/>
  </w:num>
  <w:num w:numId="11">
    <w:abstractNumId w:val="15"/>
  </w:num>
  <w:num w:numId="12">
    <w:abstractNumId w:val="14"/>
  </w:num>
  <w:num w:numId="13">
    <w:abstractNumId w:val="13"/>
  </w:num>
  <w:num w:numId="14">
    <w:abstractNumId w:val="5"/>
  </w:num>
  <w:num w:numId="15">
    <w:abstractNumId w:val="7"/>
  </w:num>
  <w:num w:numId="16">
    <w:abstractNumId w:val="19"/>
  </w:num>
  <w:num w:numId="17">
    <w:abstractNumId w:val="12"/>
  </w:num>
  <w:num w:numId="18">
    <w:abstractNumId w:val="1"/>
  </w:num>
  <w:num w:numId="19">
    <w:abstractNumId w:val="0"/>
  </w:num>
  <w:num w:numId="20">
    <w:abstractNumId w:val="2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ommondata" w:val="eyJoZGlkIjoiOTgzODBmNDNjYjBkYjZiYzBlNjZjMzJmNjcxOTFkZWEifQ=="/>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172A27"/>
    <w:rsid w:val="00001819"/>
    <w:rsid w:val="00003736"/>
    <w:rsid w:val="00043C49"/>
    <w:rsid w:val="00043E46"/>
    <w:rsid w:val="00046D02"/>
    <w:rsid w:val="0007724A"/>
    <w:rsid w:val="0008353B"/>
    <w:rsid w:val="000B4944"/>
    <w:rsid w:val="000C44A5"/>
    <w:rsid w:val="000E10E7"/>
    <w:rsid w:val="000E34C5"/>
    <w:rsid w:val="000E6B30"/>
    <w:rsid w:val="000E7E2D"/>
    <w:rsid w:val="00103884"/>
    <w:rsid w:val="00106F98"/>
    <w:rsid w:val="00112ECA"/>
    <w:rsid w:val="00122DA1"/>
    <w:rsid w:val="001355D8"/>
    <w:rsid w:val="001356C6"/>
    <w:rsid w:val="001437E8"/>
    <w:rsid w:val="00143E60"/>
    <w:rsid w:val="001512F0"/>
    <w:rsid w:val="001541A3"/>
    <w:rsid w:val="00172A27"/>
    <w:rsid w:val="00173C4C"/>
    <w:rsid w:val="00173CBF"/>
    <w:rsid w:val="001758AD"/>
    <w:rsid w:val="001905D8"/>
    <w:rsid w:val="001A0375"/>
    <w:rsid w:val="001A5C76"/>
    <w:rsid w:val="001B2E7F"/>
    <w:rsid w:val="001B521D"/>
    <w:rsid w:val="001C11AA"/>
    <w:rsid w:val="001C6605"/>
    <w:rsid w:val="001C70B5"/>
    <w:rsid w:val="001D0E58"/>
    <w:rsid w:val="001E3E44"/>
    <w:rsid w:val="00210449"/>
    <w:rsid w:val="00215A54"/>
    <w:rsid w:val="00223AFA"/>
    <w:rsid w:val="00243730"/>
    <w:rsid w:val="00245817"/>
    <w:rsid w:val="00255A5F"/>
    <w:rsid w:val="0025694B"/>
    <w:rsid w:val="00274BF9"/>
    <w:rsid w:val="00280CAB"/>
    <w:rsid w:val="002839CD"/>
    <w:rsid w:val="002925B0"/>
    <w:rsid w:val="002C755B"/>
    <w:rsid w:val="002F3B87"/>
    <w:rsid w:val="00314C94"/>
    <w:rsid w:val="0033238B"/>
    <w:rsid w:val="00342694"/>
    <w:rsid w:val="00347105"/>
    <w:rsid w:val="00366FCF"/>
    <w:rsid w:val="003767A6"/>
    <w:rsid w:val="00382EE0"/>
    <w:rsid w:val="0038578D"/>
    <w:rsid w:val="003B39BC"/>
    <w:rsid w:val="003C0AF4"/>
    <w:rsid w:val="003C1CF4"/>
    <w:rsid w:val="003C63AB"/>
    <w:rsid w:val="003C7FA7"/>
    <w:rsid w:val="003D3F33"/>
    <w:rsid w:val="00400F93"/>
    <w:rsid w:val="004105DA"/>
    <w:rsid w:val="004200E3"/>
    <w:rsid w:val="0042033A"/>
    <w:rsid w:val="00445EAF"/>
    <w:rsid w:val="00485360"/>
    <w:rsid w:val="00487A88"/>
    <w:rsid w:val="00493874"/>
    <w:rsid w:val="004A3785"/>
    <w:rsid w:val="004A45A9"/>
    <w:rsid w:val="004C1A6A"/>
    <w:rsid w:val="004C1FEF"/>
    <w:rsid w:val="004D2BAC"/>
    <w:rsid w:val="004E1C49"/>
    <w:rsid w:val="004E4692"/>
    <w:rsid w:val="00541A53"/>
    <w:rsid w:val="00544F38"/>
    <w:rsid w:val="00574888"/>
    <w:rsid w:val="005801B8"/>
    <w:rsid w:val="005B1DCD"/>
    <w:rsid w:val="005B4C1A"/>
    <w:rsid w:val="005B578C"/>
    <w:rsid w:val="005C18F9"/>
    <w:rsid w:val="005C5E32"/>
    <w:rsid w:val="005F5FF4"/>
    <w:rsid w:val="0060060A"/>
    <w:rsid w:val="00620B78"/>
    <w:rsid w:val="00640E10"/>
    <w:rsid w:val="00645646"/>
    <w:rsid w:val="006521F0"/>
    <w:rsid w:val="00665A31"/>
    <w:rsid w:val="00674F90"/>
    <w:rsid w:val="00683347"/>
    <w:rsid w:val="00691BB2"/>
    <w:rsid w:val="006B7A2E"/>
    <w:rsid w:val="006D12DA"/>
    <w:rsid w:val="006D2B52"/>
    <w:rsid w:val="006E3201"/>
    <w:rsid w:val="0070033A"/>
    <w:rsid w:val="00706ED8"/>
    <w:rsid w:val="00712DDA"/>
    <w:rsid w:val="0071693A"/>
    <w:rsid w:val="00716A2F"/>
    <w:rsid w:val="00726C60"/>
    <w:rsid w:val="007501E1"/>
    <w:rsid w:val="007546C9"/>
    <w:rsid w:val="007852CF"/>
    <w:rsid w:val="0078749A"/>
    <w:rsid w:val="007A2F69"/>
    <w:rsid w:val="007A3668"/>
    <w:rsid w:val="007B26AA"/>
    <w:rsid w:val="007B5E19"/>
    <w:rsid w:val="007C5698"/>
    <w:rsid w:val="007E46F3"/>
    <w:rsid w:val="007E7997"/>
    <w:rsid w:val="008013B2"/>
    <w:rsid w:val="00801C61"/>
    <w:rsid w:val="00805004"/>
    <w:rsid w:val="0083101D"/>
    <w:rsid w:val="008315A1"/>
    <w:rsid w:val="00863D5D"/>
    <w:rsid w:val="008676E9"/>
    <w:rsid w:val="00873860"/>
    <w:rsid w:val="00875E0B"/>
    <w:rsid w:val="008939BB"/>
    <w:rsid w:val="00895E29"/>
    <w:rsid w:val="008A17C8"/>
    <w:rsid w:val="008B5158"/>
    <w:rsid w:val="008D04C4"/>
    <w:rsid w:val="008D7C97"/>
    <w:rsid w:val="008E3289"/>
    <w:rsid w:val="008E6F9C"/>
    <w:rsid w:val="00903054"/>
    <w:rsid w:val="00913682"/>
    <w:rsid w:val="00923892"/>
    <w:rsid w:val="00927078"/>
    <w:rsid w:val="00942C1A"/>
    <w:rsid w:val="009467E3"/>
    <w:rsid w:val="009625B4"/>
    <w:rsid w:val="00966B99"/>
    <w:rsid w:val="00986118"/>
    <w:rsid w:val="009901B5"/>
    <w:rsid w:val="009A148C"/>
    <w:rsid w:val="009A73BE"/>
    <w:rsid w:val="009C7F34"/>
    <w:rsid w:val="009D6C21"/>
    <w:rsid w:val="009E39FD"/>
    <w:rsid w:val="009F4379"/>
    <w:rsid w:val="00A20E0A"/>
    <w:rsid w:val="00A238F6"/>
    <w:rsid w:val="00A4023F"/>
    <w:rsid w:val="00A735DA"/>
    <w:rsid w:val="00A758AE"/>
    <w:rsid w:val="00A870B5"/>
    <w:rsid w:val="00A87D04"/>
    <w:rsid w:val="00AA375A"/>
    <w:rsid w:val="00AB06EA"/>
    <w:rsid w:val="00AE3382"/>
    <w:rsid w:val="00B20AE6"/>
    <w:rsid w:val="00B2200A"/>
    <w:rsid w:val="00B34B71"/>
    <w:rsid w:val="00B41730"/>
    <w:rsid w:val="00B562C2"/>
    <w:rsid w:val="00B60CEA"/>
    <w:rsid w:val="00B6106B"/>
    <w:rsid w:val="00B76AA1"/>
    <w:rsid w:val="00BC08EC"/>
    <w:rsid w:val="00BD4120"/>
    <w:rsid w:val="00BF7353"/>
    <w:rsid w:val="00C10A97"/>
    <w:rsid w:val="00C14EFF"/>
    <w:rsid w:val="00C31180"/>
    <w:rsid w:val="00C31C52"/>
    <w:rsid w:val="00C51A3A"/>
    <w:rsid w:val="00C52CF8"/>
    <w:rsid w:val="00C55D6C"/>
    <w:rsid w:val="00C6715C"/>
    <w:rsid w:val="00C675CF"/>
    <w:rsid w:val="00C9038E"/>
    <w:rsid w:val="00CA13A3"/>
    <w:rsid w:val="00CB2CDC"/>
    <w:rsid w:val="00CE1180"/>
    <w:rsid w:val="00CE5C1A"/>
    <w:rsid w:val="00CF4173"/>
    <w:rsid w:val="00D34207"/>
    <w:rsid w:val="00D57DCD"/>
    <w:rsid w:val="00D62FA5"/>
    <w:rsid w:val="00D81EAA"/>
    <w:rsid w:val="00D866B8"/>
    <w:rsid w:val="00D944CE"/>
    <w:rsid w:val="00D96667"/>
    <w:rsid w:val="00DE4F4F"/>
    <w:rsid w:val="00DF509C"/>
    <w:rsid w:val="00E022F1"/>
    <w:rsid w:val="00E1120F"/>
    <w:rsid w:val="00E25796"/>
    <w:rsid w:val="00E56199"/>
    <w:rsid w:val="00E61B6D"/>
    <w:rsid w:val="00E709C6"/>
    <w:rsid w:val="00E87AF1"/>
    <w:rsid w:val="00E90FD0"/>
    <w:rsid w:val="00E96A5A"/>
    <w:rsid w:val="00EA463E"/>
    <w:rsid w:val="00EB35E1"/>
    <w:rsid w:val="00EB6490"/>
    <w:rsid w:val="00EB678F"/>
    <w:rsid w:val="00EE4998"/>
    <w:rsid w:val="00EF2DF5"/>
    <w:rsid w:val="00F02EAE"/>
    <w:rsid w:val="00F04145"/>
    <w:rsid w:val="00F07786"/>
    <w:rsid w:val="00F27203"/>
    <w:rsid w:val="00F416F4"/>
    <w:rsid w:val="00F47FE2"/>
    <w:rsid w:val="00F51466"/>
    <w:rsid w:val="00F71A3E"/>
    <w:rsid w:val="00FE35DC"/>
    <w:rsid w:val="00FF1B26"/>
    <w:rsid w:val="01541287"/>
    <w:rsid w:val="016E6A64"/>
    <w:rsid w:val="018F52CB"/>
    <w:rsid w:val="01FF2CC4"/>
    <w:rsid w:val="022B55EB"/>
    <w:rsid w:val="023A2572"/>
    <w:rsid w:val="02610A25"/>
    <w:rsid w:val="026704F1"/>
    <w:rsid w:val="02982FFD"/>
    <w:rsid w:val="031646D2"/>
    <w:rsid w:val="033414DB"/>
    <w:rsid w:val="034C6E41"/>
    <w:rsid w:val="03886A90"/>
    <w:rsid w:val="038F11A2"/>
    <w:rsid w:val="03CB6EA3"/>
    <w:rsid w:val="03D22C7B"/>
    <w:rsid w:val="03DA33C0"/>
    <w:rsid w:val="042A13CF"/>
    <w:rsid w:val="0468480B"/>
    <w:rsid w:val="047820EA"/>
    <w:rsid w:val="05187999"/>
    <w:rsid w:val="05387ECA"/>
    <w:rsid w:val="054D2E98"/>
    <w:rsid w:val="058202DC"/>
    <w:rsid w:val="059C26CF"/>
    <w:rsid w:val="05C51E73"/>
    <w:rsid w:val="05DC5310"/>
    <w:rsid w:val="0612610E"/>
    <w:rsid w:val="06354B90"/>
    <w:rsid w:val="063F4B76"/>
    <w:rsid w:val="06AE1539"/>
    <w:rsid w:val="06CC5019"/>
    <w:rsid w:val="06F41689"/>
    <w:rsid w:val="07140325"/>
    <w:rsid w:val="074E6B5D"/>
    <w:rsid w:val="077B07BA"/>
    <w:rsid w:val="079A6957"/>
    <w:rsid w:val="07A70040"/>
    <w:rsid w:val="07F47C8D"/>
    <w:rsid w:val="07FC2759"/>
    <w:rsid w:val="08006815"/>
    <w:rsid w:val="080A3E1C"/>
    <w:rsid w:val="084607C4"/>
    <w:rsid w:val="089D63E7"/>
    <w:rsid w:val="08BB6C88"/>
    <w:rsid w:val="08D244A8"/>
    <w:rsid w:val="090B21AC"/>
    <w:rsid w:val="091F0867"/>
    <w:rsid w:val="093C424D"/>
    <w:rsid w:val="094309AF"/>
    <w:rsid w:val="097E6871"/>
    <w:rsid w:val="09920DB0"/>
    <w:rsid w:val="09A5445D"/>
    <w:rsid w:val="09EA2B0B"/>
    <w:rsid w:val="0A107AFC"/>
    <w:rsid w:val="0A341D54"/>
    <w:rsid w:val="0A3B36F5"/>
    <w:rsid w:val="0A8E73F1"/>
    <w:rsid w:val="0AB2571D"/>
    <w:rsid w:val="0AB652DA"/>
    <w:rsid w:val="0ABA3A59"/>
    <w:rsid w:val="0AC14DAE"/>
    <w:rsid w:val="0AE8785D"/>
    <w:rsid w:val="0B1D27B6"/>
    <w:rsid w:val="0B3A50E9"/>
    <w:rsid w:val="0B43606F"/>
    <w:rsid w:val="0B5663B4"/>
    <w:rsid w:val="0B6F5DB2"/>
    <w:rsid w:val="0B7863DB"/>
    <w:rsid w:val="0B8F3A0C"/>
    <w:rsid w:val="0B9D355B"/>
    <w:rsid w:val="0BCE7DAA"/>
    <w:rsid w:val="0BD3243A"/>
    <w:rsid w:val="0C142450"/>
    <w:rsid w:val="0C3B6EE3"/>
    <w:rsid w:val="0C4D0EBB"/>
    <w:rsid w:val="0C527C99"/>
    <w:rsid w:val="0C570C5F"/>
    <w:rsid w:val="0C747B49"/>
    <w:rsid w:val="0C752BE0"/>
    <w:rsid w:val="0C9C4B44"/>
    <w:rsid w:val="0CC12870"/>
    <w:rsid w:val="0CDD2D53"/>
    <w:rsid w:val="0D245CFE"/>
    <w:rsid w:val="0D25762A"/>
    <w:rsid w:val="0D650680"/>
    <w:rsid w:val="0D953BA0"/>
    <w:rsid w:val="0E1B195D"/>
    <w:rsid w:val="0E400E48"/>
    <w:rsid w:val="0ED434F5"/>
    <w:rsid w:val="0EE53B0D"/>
    <w:rsid w:val="0F045303"/>
    <w:rsid w:val="0F16295D"/>
    <w:rsid w:val="0F2575D3"/>
    <w:rsid w:val="0F5060DA"/>
    <w:rsid w:val="0F707EAE"/>
    <w:rsid w:val="0F95263D"/>
    <w:rsid w:val="0F956269"/>
    <w:rsid w:val="0F9A2890"/>
    <w:rsid w:val="0FC42AB2"/>
    <w:rsid w:val="0FCA16C2"/>
    <w:rsid w:val="104957CA"/>
    <w:rsid w:val="10980827"/>
    <w:rsid w:val="10A60D90"/>
    <w:rsid w:val="10D54448"/>
    <w:rsid w:val="10DD1069"/>
    <w:rsid w:val="110C3A1E"/>
    <w:rsid w:val="11366CE3"/>
    <w:rsid w:val="113D4D5F"/>
    <w:rsid w:val="11521E15"/>
    <w:rsid w:val="11564743"/>
    <w:rsid w:val="117A4938"/>
    <w:rsid w:val="118076A0"/>
    <w:rsid w:val="11AA51F6"/>
    <w:rsid w:val="11D1448A"/>
    <w:rsid w:val="121A72C4"/>
    <w:rsid w:val="12224E20"/>
    <w:rsid w:val="12793292"/>
    <w:rsid w:val="12B332CD"/>
    <w:rsid w:val="12B43EAF"/>
    <w:rsid w:val="12C82534"/>
    <w:rsid w:val="12D66E91"/>
    <w:rsid w:val="12F71501"/>
    <w:rsid w:val="13104DF0"/>
    <w:rsid w:val="131778C3"/>
    <w:rsid w:val="131E0669"/>
    <w:rsid w:val="133203CD"/>
    <w:rsid w:val="13737382"/>
    <w:rsid w:val="13A30114"/>
    <w:rsid w:val="13A9115B"/>
    <w:rsid w:val="13AF3B46"/>
    <w:rsid w:val="13E25B79"/>
    <w:rsid w:val="14197EEC"/>
    <w:rsid w:val="141D3733"/>
    <w:rsid w:val="144569B0"/>
    <w:rsid w:val="1449233B"/>
    <w:rsid w:val="148256C6"/>
    <w:rsid w:val="148B578A"/>
    <w:rsid w:val="14931E55"/>
    <w:rsid w:val="14AE7E8C"/>
    <w:rsid w:val="14B05FC8"/>
    <w:rsid w:val="14CB4227"/>
    <w:rsid w:val="14D22406"/>
    <w:rsid w:val="150A1D36"/>
    <w:rsid w:val="152902FA"/>
    <w:rsid w:val="156D1AE3"/>
    <w:rsid w:val="15722C66"/>
    <w:rsid w:val="158E69C5"/>
    <w:rsid w:val="15AC15B0"/>
    <w:rsid w:val="15B94777"/>
    <w:rsid w:val="160D099B"/>
    <w:rsid w:val="165E4538"/>
    <w:rsid w:val="1669478E"/>
    <w:rsid w:val="16877C69"/>
    <w:rsid w:val="16BC1BA9"/>
    <w:rsid w:val="16EE0B33"/>
    <w:rsid w:val="17BC638F"/>
    <w:rsid w:val="17F46A26"/>
    <w:rsid w:val="1802514D"/>
    <w:rsid w:val="180513A4"/>
    <w:rsid w:val="180E23E5"/>
    <w:rsid w:val="181C3669"/>
    <w:rsid w:val="183259DB"/>
    <w:rsid w:val="18351DF5"/>
    <w:rsid w:val="185C54ED"/>
    <w:rsid w:val="18900A1F"/>
    <w:rsid w:val="189A1D2D"/>
    <w:rsid w:val="18B004D2"/>
    <w:rsid w:val="18D146C8"/>
    <w:rsid w:val="18D77B2C"/>
    <w:rsid w:val="19197A55"/>
    <w:rsid w:val="191C7B6F"/>
    <w:rsid w:val="193627CE"/>
    <w:rsid w:val="193D2486"/>
    <w:rsid w:val="197313FD"/>
    <w:rsid w:val="19A44CF9"/>
    <w:rsid w:val="19B62055"/>
    <w:rsid w:val="19B7412D"/>
    <w:rsid w:val="19BA38BC"/>
    <w:rsid w:val="1A145DAD"/>
    <w:rsid w:val="1A427151"/>
    <w:rsid w:val="1A63253D"/>
    <w:rsid w:val="1A947AA6"/>
    <w:rsid w:val="1A9E5F0A"/>
    <w:rsid w:val="1AB15758"/>
    <w:rsid w:val="1AC530EA"/>
    <w:rsid w:val="1AF554C1"/>
    <w:rsid w:val="1B100797"/>
    <w:rsid w:val="1B9204B8"/>
    <w:rsid w:val="1B9B6681"/>
    <w:rsid w:val="1BAD70CA"/>
    <w:rsid w:val="1C287B68"/>
    <w:rsid w:val="1C4F0EFC"/>
    <w:rsid w:val="1CC5072A"/>
    <w:rsid w:val="1CC86CD8"/>
    <w:rsid w:val="1CD06C3F"/>
    <w:rsid w:val="1CFC62AA"/>
    <w:rsid w:val="1DE0746C"/>
    <w:rsid w:val="1E0A6632"/>
    <w:rsid w:val="1E2C0141"/>
    <w:rsid w:val="1EDA202C"/>
    <w:rsid w:val="1F370175"/>
    <w:rsid w:val="1F692DA0"/>
    <w:rsid w:val="1F8938D2"/>
    <w:rsid w:val="1F9B139D"/>
    <w:rsid w:val="1FB8449B"/>
    <w:rsid w:val="1FED3477"/>
    <w:rsid w:val="1FEF54D4"/>
    <w:rsid w:val="1FF041B3"/>
    <w:rsid w:val="201C60D1"/>
    <w:rsid w:val="20215BEB"/>
    <w:rsid w:val="202D792D"/>
    <w:rsid w:val="2050604D"/>
    <w:rsid w:val="20765EAF"/>
    <w:rsid w:val="2086408C"/>
    <w:rsid w:val="20CB60E5"/>
    <w:rsid w:val="20F5147B"/>
    <w:rsid w:val="21443153"/>
    <w:rsid w:val="21A1511C"/>
    <w:rsid w:val="21B01C18"/>
    <w:rsid w:val="21D17878"/>
    <w:rsid w:val="21EA0D88"/>
    <w:rsid w:val="220B7C3B"/>
    <w:rsid w:val="22284AC5"/>
    <w:rsid w:val="22D30267"/>
    <w:rsid w:val="22D563FC"/>
    <w:rsid w:val="22D766C4"/>
    <w:rsid w:val="22E920A8"/>
    <w:rsid w:val="230147BE"/>
    <w:rsid w:val="232715C3"/>
    <w:rsid w:val="234C2C81"/>
    <w:rsid w:val="237D2E0D"/>
    <w:rsid w:val="238A7D90"/>
    <w:rsid w:val="23AC7DBD"/>
    <w:rsid w:val="23B62477"/>
    <w:rsid w:val="23BB5845"/>
    <w:rsid w:val="246C5CB2"/>
    <w:rsid w:val="24A26FCB"/>
    <w:rsid w:val="24C62E27"/>
    <w:rsid w:val="24DF49D0"/>
    <w:rsid w:val="24E41260"/>
    <w:rsid w:val="24EF2796"/>
    <w:rsid w:val="25205424"/>
    <w:rsid w:val="25250BB9"/>
    <w:rsid w:val="252A598D"/>
    <w:rsid w:val="254D4AFB"/>
    <w:rsid w:val="257274B9"/>
    <w:rsid w:val="25964253"/>
    <w:rsid w:val="2613381C"/>
    <w:rsid w:val="26537743"/>
    <w:rsid w:val="266D6D5E"/>
    <w:rsid w:val="26A404A9"/>
    <w:rsid w:val="26A86679"/>
    <w:rsid w:val="26B33768"/>
    <w:rsid w:val="26CE10F9"/>
    <w:rsid w:val="276A69F2"/>
    <w:rsid w:val="27B61629"/>
    <w:rsid w:val="27E240BC"/>
    <w:rsid w:val="27EB1479"/>
    <w:rsid w:val="28375B92"/>
    <w:rsid w:val="28841280"/>
    <w:rsid w:val="28C8622D"/>
    <w:rsid w:val="28E22D99"/>
    <w:rsid w:val="28E57CFA"/>
    <w:rsid w:val="292024ED"/>
    <w:rsid w:val="292F7B3E"/>
    <w:rsid w:val="294E7C83"/>
    <w:rsid w:val="297835DF"/>
    <w:rsid w:val="298D75B2"/>
    <w:rsid w:val="29A11B13"/>
    <w:rsid w:val="29C27F89"/>
    <w:rsid w:val="29E52F20"/>
    <w:rsid w:val="29F35C36"/>
    <w:rsid w:val="29FE48A2"/>
    <w:rsid w:val="2A0F28DC"/>
    <w:rsid w:val="2A193C1E"/>
    <w:rsid w:val="2A3322EC"/>
    <w:rsid w:val="2A4E2046"/>
    <w:rsid w:val="2AFE4B19"/>
    <w:rsid w:val="2B09446C"/>
    <w:rsid w:val="2B542CFD"/>
    <w:rsid w:val="2B597049"/>
    <w:rsid w:val="2B6F0B2B"/>
    <w:rsid w:val="2BA151BE"/>
    <w:rsid w:val="2BBE150F"/>
    <w:rsid w:val="2C813351"/>
    <w:rsid w:val="2C8213ED"/>
    <w:rsid w:val="2CC87CCD"/>
    <w:rsid w:val="2CD44ED2"/>
    <w:rsid w:val="2CD51E85"/>
    <w:rsid w:val="2D0216DB"/>
    <w:rsid w:val="2D045E31"/>
    <w:rsid w:val="2D117637"/>
    <w:rsid w:val="2D7E2021"/>
    <w:rsid w:val="2E6F3616"/>
    <w:rsid w:val="2E7D0744"/>
    <w:rsid w:val="2E97180F"/>
    <w:rsid w:val="2EBB773D"/>
    <w:rsid w:val="2EF47A18"/>
    <w:rsid w:val="2F272596"/>
    <w:rsid w:val="2F3702EC"/>
    <w:rsid w:val="2F517FE7"/>
    <w:rsid w:val="2F7312C8"/>
    <w:rsid w:val="2FA40A66"/>
    <w:rsid w:val="2FAD5A6E"/>
    <w:rsid w:val="2FD03A0D"/>
    <w:rsid w:val="2FF327C8"/>
    <w:rsid w:val="300706DE"/>
    <w:rsid w:val="30265BBA"/>
    <w:rsid w:val="30286772"/>
    <w:rsid w:val="309A3846"/>
    <w:rsid w:val="30A42884"/>
    <w:rsid w:val="30AB16C4"/>
    <w:rsid w:val="30B314C5"/>
    <w:rsid w:val="30CB65F5"/>
    <w:rsid w:val="30CD1ECF"/>
    <w:rsid w:val="30E93409"/>
    <w:rsid w:val="30FB7239"/>
    <w:rsid w:val="30FC62D2"/>
    <w:rsid w:val="31454E99"/>
    <w:rsid w:val="31BE6BB0"/>
    <w:rsid w:val="323205BB"/>
    <w:rsid w:val="32BD226C"/>
    <w:rsid w:val="338776A9"/>
    <w:rsid w:val="33B82530"/>
    <w:rsid w:val="33C97AB2"/>
    <w:rsid w:val="34086582"/>
    <w:rsid w:val="34534DD2"/>
    <w:rsid w:val="34624E78"/>
    <w:rsid w:val="347A6CDA"/>
    <w:rsid w:val="349E4D59"/>
    <w:rsid w:val="34AC40BF"/>
    <w:rsid w:val="34BE1741"/>
    <w:rsid w:val="34F74ED3"/>
    <w:rsid w:val="35125B54"/>
    <w:rsid w:val="352617E5"/>
    <w:rsid w:val="35483A7C"/>
    <w:rsid w:val="355338AE"/>
    <w:rsid w:val="358D569A"/>
    <w:rsid w:val="35D012EB"/>
    <w:rsid w:val="35D13F79"/>
    <w:rsid w:val="35D31CC0"/>
    <w:rsid w:val="35D93DE0"/>
    <w:rsid w:val="35E70196"/>
    <w:rsid w:val="35FF0B45"/>
    <w:rsid w:val="3621534E"/>
    <w:rsid w:val="363C0A89"/>
    <w:rsid w:val="36402AD5"/>
    <w:rsid w:val="369040B0"/>
    <w:rsid w:val="36927FE6"/>
    <w:rsid w:val="375249C3"/>
    <w:rsid w:val="37780128"/>
    <w:rsid w:val="379339EA"/>
    <w:rsid w:val="379B6AD7"/>
    <w:rsid w:val="37A548EB"/>
    <w:rsid w:val="3816529E"/>
    <w:rsid w:val="3818493A"/>
    <w:rsid w:val="384C71EC"/>
    <w:rsid w:val="3862474B"/>
    <w:rsid w:val="388A72CA"/>
    <w:rsid w:val="389D17EE"/>
    <w:rsid w:val="38E873DF"/>
    <w:rsid w:val="38F97885"/>
    <w:rsid w:val="392C1B16"/>
    <w:rsid w:val="394A1CC0"/>
    <w:rsid w:val="398712D6"/>
    <w:rsid w:val="398F5CF6"/>
    <w:rsid w:val="39AE3C5B"/>
    <w:rsid w:val="39BF1D2F"/>
    <w:rsid w:val="39C553D5"/>
    <w:rsid w:val="39F3271A"/>
    <w:rsid w:val="3A106AEE"/>
    <w:rsid w:val="3A1367E2"/>
    <w:rsid w:val="3A324916"/>
    <w:rsid w:val="3A4234A1"/>
    <w:rsid w:val="3A506919"/>
    <w:rsid w:val="3ADF6E91"/>
    <w:rsid w:val="3B046B07"/>
    <w:rsid w:val="3B066C27"/>
    <w:rsid w:val="3B142F73"/>
    <w:rsid w:val="3B882AAB"/>
    <w:rsid w:val="3BE043A8"/>
    <w:rsid w:val="3BEA42EB"/>
    <w:rsid w:val="3C530F3F"/>
    <w:rsid w:val="3C637290"/>
    <w:rsid w:val="3CB35362"/>
    <w:rsid w:val="3CBC5414"/>
    <w:rsid w:val="3CEE4AE1"/>
    <w:rsid w:val="3CFD1A66"/>
    <w:rsid w:val="3D012FF0"/>
    <w:rsid w:val="3D171DBE"/>
    <w:rsid w:val="3D566B14"/>
    <w:rsid w:val="3D7755B8"/>
    <w:rsid w:val="3D975D88"/>
    <w:rsid w:val="3D98307D"/>
    <w:rsid w:val="3D986515"/>
    <w:rsid w:val="3DBB36F6"/>
    <w:rsid w:val="3E0D4C9B"/>
    <w:rsid w:val="3E387996"/>
    <w:rsid w:val="3E3C56F0"/>
    <w:rsid w:val="3E5C3E39"/>
    <w:rsid w:val="3E6163B0"/>
    <w:rsid w:val="3E9E5C6A"/>
    <w:rsid w:val="3EB83882"/>
    <w:rsid w:val="3F464F95"/>
    <w:rsid w:val="3F4A170B"/>
    <w:rsid w:val="3F7C7853"/>
    <w:rsid w:val="3FAE4079"/>
    <w:rsid w:val="401D0250"/>
    <w:rsid w:val="40256142"/>
    <w:rsid w:val="406A4E0B"/>
    <w:rsid w:val="40A650D2"/>
    <w:rsid w:val="40E86291"/>
    <w:rsid w:val="4117092B"/>
    <w:rsid w:val="41A07E33"/>
    <w:rsid w:val="41E40E7E"/>
    <w:rsid w:val="423A128D"/>
    <w:rsid w:val="42960365"/>
    <w:rsid w:val="42A556B5"/>
    <w:rsid w:val="435D1F13"/>
    <w:rsid w:val="4379421C"/>
    <w:rsid w:val="43794748"/>
    <w:rsid w:val="437A12E7"/>
    <w:rsid w:val="43B83C86"/>
    <w:rsid w:val="43C94BCC"/>
    <w:rsid w:val="43DE10AA"/>
    <w:rsid w:val="43F12E37"/>
    <w:rsid w:val="43F55901"/>
    <w:rsid w:val="43FB5128"/>
    <w:rsid w:val="445115AC"/>
    <w:rsid w:val="448919A2"/>
    <w:rsid w:val="449F1827"/>
    <w:rsid w:val="44AA7966"/>
    <w:rsid w:val="44C6031F"/>
    <w:rsid w:val="457263CD"/>
    <w:rsid w:val="45BA36BD"/>
    <w:rsid w:val="45BB3EB8"/>
    <w:rsid w:val="45C061D6"/>
    <w:rsid w:val="45E269D3"/>
    <w:rsid w:val="45FD78C7"/>
    <w:rsid w:val="46143715"/>
    <w:rsid w:val="4628541D"/>
    <w:rsid w:val="466F0832"/>
    <w:rsid w:val="467A042C"/>
    <w:rsid w:val="467F35E0"/>
    <w:rsid w:val="46B96EEC"/>
    <w:rsid w:val="46CA39F9"/>
    <w:rsid w:val="46CA405E"/>
    <w:rsid w:val="46E61B61"/>
    <w:rsid w:val="47097F61"/>
    <w:rsid w:val="47402699"/>
    <w:rsid w:val="475C7297"/>
    <w:rsid w:val="476F1912"/>
    <w:rsid w:val="48727FD3"/>
    <w:rsid w:val="487A113F"/>
    <w:rsid w:val="4884401E"/>
    <w:rsid w:val="48851A5F"/>
    <w:rsid w:val="499003F2"/>
    <w:rsid w:val="4A1407A3"/>
    <w:rsid w:val="4A397FEC"/>
    <w:rsid w:val="4A7A495F"/>
    <w:rsid w:val="4AA37D17"/>
    <w:rsid w:val="4AD1133C"/>
    <w:rsid w:val="4AED0613"/>
    <w:rsid w:val="4AF01CAB"/>
    <w:rsid w:val="4B0B3AC9"/>
    <w:rsid w:val="4B630C74"/>
    <w:rsid w:val="4B9B041C"/>
    <w:rsid w:val="4BCA480D"/>
    <w:rsid w:val="4BE818FA"/>
    <w:rsid w:val="4BF00690"/>
    <w:rsid w:val="4C0940B0"/>
    <w:rsid w:val="4C11719B"/>
    <w:rsid w:val="4C431ECB"/>
    <w:rsid w:val="4C9E1C5B"/>
    <w:rsid w:val="4CA42B81"/>
    <w:rsid w:val="4CBB2CCE"/>
    <w:rsid w:val="4CFF27E8"/>
    <w:rsid w:val="4D211BBF"/>
    <w:rsid w:val="4DC41B49"/>
    <w:rsid w:val="4DDD58E5"/>
    <w:rsid w:val="4E42531F"/>
    <w:rsid w:val="4E5C3DB1"/>
    <w:rsid w:val="4E6E0585"/>
    <w:rsid w:val="4E8C4BD2"/>
    <w:rsid w:val="4EA327D7"/>
    <w:rsid w:val="4EF82B8F"/>
    <w:rsid w:val="4EFA4807"/>
    <w:rsid w:val="4F0F747D"/>
    <w:rsid w:val="4F120D1E"/>
    <w:rsid w:val="4F2C7A9E"/>
    <w:rsid w:val="4F6F655D"/>
    <w:rsid w:val="4FCD0D2A"/>
    <w:rsid w:val="501F5E35"/>
    <w:rsid w:val="50203D29"/>
    <w:rsid w:val="5060514F"/>
    <w:rsid w:val="508563EE"/>
    <w:rsid w:val="508C0078"/>
    <w:rsid w:val="50C14567"/>
    <w:rsid w:val="50D22F32"/>
    <w:rsid w:val="50E9416C"/>
    <w:rsid w:val="50F422EF"/>
    <w:rsid w:val="50FE043E"/>
    <w:rsid w:val="510650EB"/>
    <w:rsid w:val="512A5714"/>
    <w:rsid w:val="515176A2"/>
    <w:rsid w:val="516809B2"/>
    <w:rsid w:val="516904FA"/>
    <w:rsid w:val="51736A67"/>
    <w:rsid w:val="51BD354A"/>
    <w:rsid w:val="520843D2"/>
    <w:rsid w:val="5224304F"/>
    <w:rsid w:val="52316BEF"/>
    <w:rsid w:val="52325304"/>
    <w:rsid w:val="52413CDF"/>
    <w:rsid w:val="526C06C3"/>
    <w:rsid w:val="529C1D3A"/>
    <w:rsid w:val="53023764"/>
    <w:rsid w:val="53081882"/>
    <w:rsid w:val="53510C30"/>
    <w:rsid w:val="537070D7"/>
    <w:rsid w:val="5374606B"/>
    <w:rsid w:val="5381416F"/>
    <w:rsid w:val="53C307BF"/>
    <w:rsid w:val="53FC1CAE"/>
    <w:rsid w:val="54476672"/>
    <w:rsid w:val="545158E4"/>
    <w:rsid w:val="54B809E6"/>
    <w:rsid w:val="54F755AB"/>
    <w:rsid w:val="550117B4"/>
    <w:rsid w:val="553D4D85"/>
    <w:rsid w:val="55772F7D"/>
    <w:rsid w:val="55961D0E"/>
    <w:rsid w:val="55EE37A5"/>
    <w:rsid w:val="55EF5157"/>
    <w:rsid w:val="561E31FB"/>
    <w:rsid w:val="56381EF6"/>
    <w:rsid w:val="565577F9"/>
    <w:rsid w:val="567F12A4"/>
    <w:rsid w:val="569420D9"/>
    <w:rsid w:val="56A53918"/>
    <w:rsid w:val="56B84917"/>
    <w:rsid w:val="56C740B3"/>
    <w:rsid w:val="57650FD3"/>
    <w:rsid w:val="57AC7B7D"/>
    <w:rsid w:val="580C4CCC"/>
    <w:rsid w:val="58640F04"/>
    <w:rsid w:val="586B4C46"/>
    <w:rsid w:val="58810EAC"/>
    <w:rsid w:val="588E6B54"/>
    <w:rsid w:val="58A052FD"/>
    <w:rsid w:val="58B764A3"/>
    <w:rsid w:val="58D74F4A"/>
    <w:rsid w:val="58DC65F8"/>
    <w:rsid w:val="58E07CBB"/>
    <w:rsid w:val="58FC0F80"/>
    <w:rsid w:val="591257CE"/>
    <w:rsid w:val="593340F4"/>
    <w:rsid w:val="597B17CE"/>
    <w:rsid w:val="598D1217"/>
    <w:rsid w:val="59B231EB"/>
    <w:rsid w:val="59B501F6"/>
    <w:rsid w:val="59B63F00"/>
    <w:rsid w:val="5A313EC1"/>
    <w:rsid w:val="5AD23DF5"/>
    <w:rsid w:val="5ADA403E"/>
    <w:rsid w:val="5B121E9B"/>
    <w:rsid w:val="5B357636"/>
    <w:rsid w:val="5B581335"/>
    <w:rsid w:val="5B7A10F7"/>
    <w:rsid w:val="5BD021AA"/>
    <w:rsid w:val="5C0461B5"/>
    <w:rsid w:val="5C151F37"/>
    <w:rsid w:val="5C1904FE"/>
    <w:rsid w:val="5C3754AC"/>
    <w:rsid w:val="5C3E446F"/>
    <w:rsid w:val="5C805673"/>
    <w:rsid w:val="5C8F5ED1"/>
    <w:rsid w:val="5CAC5490"/>
    <w:rsid w:val="5CAC7315"/>
    <w:rsid w:val="5CD17C2A"/>
    <w:rsid w:val="5CD61347"/>
    <w:rsid w:val="5CF35D6F"/>
    <w:rsid w:val="5CF52F29"/>
    <w:rsid w:val="5D2C16C1"/>
    <w:rsid w:val="5D39096A"/>
    <w:rsid w:val="5D487BDE"/>
    <w:rsid w:val="5DC639A9"/>
    <w:rsid w:val="5E191EEB"/>
    <w:rsid w:val="5EA47D93"/>
    <w:rsid w:val="5ED05CBE"/>
    <w:rsid w:val="5EE8244A"/>
    <w:rsid w:val="5EF51D7B"/>
    <w:rsid w:val="5F093FB7"/>
    <w:rsid w:val="5F0D344E"/>
    <w:rsid w:val="5F2C6A42"/>
    <w:rsid w:val="5F565D68"/>
    <w:rsid w:val="5F6C607A"/>
    <w:rsid w:val="600955EA"/>
    <w:rsid w:val="60626BC9"/>
    <w:rsid w:val="608E3BBA"/>
    <w:rsid w:val="60D86A6F"/>
    <w:rsid w:val="60EA1779"/>
    <w:rsid w:val="61071F00"/>
    <w:rsid w:val="61A15ED8"/>
    <w:rsid w:val="61B3437C"/>
    <w:rsid w:val="61EB0D3C"/>
    <w:rsid w:val="61EC2074"/>
    <w:rsid w:val="61FF043B"/>
    <w:rsid w:val="624E6215"/>
    <w:rsid w:val="62765C01"/>
    <w:rsid w:val="62911C3C"/>
    <w:rsid w:val="62DD5279"/>
    <w:rsid w:val="62F16E70"/>
    <w:rsid w:val="63823D73"/>
    <w:rsid w:val="63974B7F"/>
    <w:rsid w:val="63E84A68"/>
    <w:rsid w:val="641B49B5"/>
    <w:rsid w:val="641C629E"/>
    <w:rsid w:val="643A5B47"/>
    <w:rsid w:val="64412F35"/>
    <w:rsid w:val="645A1DBD"/>
    <w:rsid w:val="647B5BE7"/>
    <w:rsid w:val="64907893"/>
    <w:rsid w:val="649753A1"/>
    <w:rsid w:val="64CE3444"/>
    <w:rsid w:val="650D25AF"/>
    <w:rsid w:val="65101E77"/>
    <w:rsid w:val="653E74DF"/>
    <w:rsid w:val="658F1276"/>
    <w:rsid w:val="65AD4413"/>
    <w:rsid w:val="662415A7"/>
    <w:rsid w:val="66F9110A"/>
    <w:rsid w:val="670F2E8A"/>
    <w:rsid w:val="6715798F"/>
    <w:rsid w:val="679715AA"/>
    <w:rsid w:val="67B90A33"/>
    <w:rsid w:val="67D07B05"/>
    <w:rsid w:val="68151FD4"/>
    <w:rsid w:val="681F120D"/>
    <w:rsid w:val="68442DC9"/>
    <w:rsid w:val="684575DA"/>
    <w:rsid w:val="684E499C"/>
    <w:rsid w:val="688C49F5"/>
    <w:rsid w:val="68926C88"/>
    <w:rsid w:val="68C1079B"/>
    <w:rsid w:val="68C305E7"/>
    <w:rsid w:val="68C6338F"/>
    <w:rsid w:val="68DB5239"/>
    <w:rsid w:val="68DE4F78"/>
    <w:rsid w:val="69326872"/>
    <w:rsid w:val="693A35B5"/>
    <w:rsid w:val="69681038"/>
    <w:rsid w:val="69C7285E"/>
    <w:rsid w:val="69F71FB6"/>
    <w:rsid w:val="6A7C60C8"/>
    <w:rsid w:val="6A905B6D"/>
    <w:rsid w:val="6AC26886"/>
    <w:rsid w:val="6AC9206A"/>
    <w:rsid w:val="6ACE16D9"/>
    <w:rsid w:val="6B010C46"/>
    <w:rsid w:val="6B310760"/>
    <w:rsid w:val="6B3A366A"/>
    <w:rsid w:val="6B707BEC"/>
    <w:rsid w:val="6B7A0050"/>
    <w:rsid w:val="6BE23C30"/>
    <w:rsid w:val="6C134034"/>
    <w:rsid w:val="6C317D5C"/>
    <w:rsid w:val="6C50079B"/>
    <w:rsid w:val="6C5A4141"/>
    <w:rsid w:val="6C8E74F7"/>
    <w:rsid w:val="6C8F30E6"/>
    <w:rsid w:val="6C906900"/>
    <w:rsid w:val="6CF65067"/>
    <w:rsid w:val="6D004DA8"/>
    <w:rsid w:val="6D543DB3"/>
    <w:rsid w:val="6D750FCF"/>
    <w:rsid w:val="6D773FDC"/>
    <w:rsid w:val="6D9B22AA"/>
    <w:rsid w:val="6DB22F00"/>
    <w:rsid w:val="6DBB648A"/>
    <w:rsid w:val="6DDF18E4"/>
    <w:rsid w:val="6E232AB3"/>
    <w:rsid w:val="6E3F132C"/>
    <w:rsid w:val="6E517746"/>
    <w:rsid w:val="6E7A1325"/>
    <w:rsid w:val="6E861F5A"/>
    <w:rsid w:val="6E8B41A2"/>
    <w:rsid w:val="6EA40EAF"/>
    <w:rsid w:val="6EB40612"/>
    <w:rsid w:val="6EBF2C8C"/>
    <w:rsid w:val="6EFD1C95"/>
    <w:rsid w:val="6F072C6F"/>
    <w:rsid w:val="6F15167B"/>
    <w:rsid w:val="6F1A77D2"/>
    <w:rsid w:val="6F29143C"/>
    <w:rsid w:val="6F35557E"/>
    <w:rsid w:val="6F8729A5"/>
    <w:rsid w:val="70177912"/>
    <w:rsid w:val="702B63B0"/>
    <w:rsid w:val="70545562"/>
    <w:rsid w:val="707C28AD"/>
    <w:rsid w:val="70C8609C"/>
    <w:rsid w:val="70EE2DD8"/>
    <w:rsid w:val="70FA0EAB"/>
    <w:rsid w:val="71084815"/>
    <w:rsid w:val="71437115"/>
    <w:rsid w:val="715536FE"/>
    <w:rsid w:val="716B5672"/>
    <w:rsid w:val="71B5209B"/>
    <w:rsid w:val="720C4851"/>
    <w:rsid w:val="721359A5"/>
    <w:rsid w:val="72142897"/>
    <w:rsid w:val="72192C6A"/>
    <w:rsid w:val="722567BC"/>
    <w:rsid w:val="723D1589"/>
    <w:rsid w:val="724A7D53"/>
    <w:rsid w:val="729826AA"/>
    <w:rsid w:val="73484595"/>
    <w:rsid w:val="73735360"/>
    <w:rsid w:val="738D0387"/>
    <w:rsid w:val="73C30D59"/>
    <w:rsid w:val="74163DC7"/>
    <w:rsid w:val="74376210"/>
    <w:rsid w:val="74401536"/>
    <w:rsid w:val="747108A9"/>
    <w:rsid w:val="74760969"/>
    <w:rsid w:val="74996D3A"/>
    <w:rsid w:val="74AE01CF"/>
    <w:rsid w:val="74BD5147"/>
    <w:rsid w:val="74EE6478"/>
    <w:rsid w:val="74F323B1"/>
    <w:rsid w:val="755C4C21"/>
    <w:rsid w:val="75837EEC"/>
    <w:rsid w:val="75AE1DB9"/>
    <w:rsid w:val="75DD4A2B"/>
    <w:rsid w:val="75E77528"/>
    <w:rsid w:val="75E97311"/>
    <w:rsid w:val="75EF230F"/>
    <w:rsid w:val="76330AED"/>
    <w:rsid w:val="764823F4"/>
    <w:rsid w:val="76622B76"/>
    <w:rsid w:val="76914175"/>
    <w:rsid w:val="76A0423C"/>
    <w:rsid w:val="76CE73F1"/>
    <w:rsid w:val="76D72275"/>
    <w:rsid w:val="77034827"/>
    <w:rsid w:val="77492CFF"/>
    <w:rsid w:val="775F7B58"/>
    <w:rsid w:val="778441C8"/>
    <w:rsid w:val="778766B4"/>
    <w:rsid w:val="778959D9"/>
    <w:rsid w:val="77914171"/>
    <w:rsid w:val="78203E5B"/>
    <w:rsid w:val="7844210E"/>
    <w:rsid w:val="78505A0B"/>
    <w:rsid w:val="786F2DE6"/>
    <w:rsid w:val="78711CE2"/>
    <w:rsid w:val="78837D58"/>
    <w:rsid w:val="78A3250E"/>
    <w:rsid w:val="78EC5C27"/>
    <w:rsid w:val="7A01262D"/>
    <w:rsid w:val="7A330A57"/>
    <w:rsid w:val="7A463B8C"/>
    <w:rsid w:val="7AA1053C"/>
    <w:rsid w:val="7AA811C5"/>
    <w:rsid w:val="7B3A1BDD"/>
    <w:rsid w:val="7BB11A35"/>
    <w:rsid w:val="7BEF658C"/>
    <w:rsid w:val="7C061168"/>
    <w:rsid w:val="7C0F0089"/>
    <w:rsid w:val="7C1C2408"/>
    <w:rsid w:val="7C1E15DB"/>
    <w:rsid w:val="7C2E4B32"/>
    <w:rsid w:val="7C914545"/>
    <w:rsid w:val="7C9E6C19"/>
    <w:rsid w:val="7CE17A14"/>
    <w:rsid w:val="7CFC412C"/>
    <w:rsid w:val="7D227A85"/>
    <w:rsid w:val="7DEF16E8"/>
    <w:rsid w:val="7DF94455"/>
    <w:rsid w:val="7DF95DF2"/>
    <w:rsid w:val="7E66153C"/>
    <w:rsid w:val="7EAB2A81"/>
    <w:rsid w:val="7EE0537C"/>
    <w:rsid w:val="7EE75E9D"/>
    <w:rsid w:val="7EFD57D3"/>
    <w:rsid w:val="7F187E12"/>
    <w:rsid w:val="7F5D4515"/>
    <w:rsid w:val="7F93124C"/>
    <w:rsid w:val="7F994B60"/>
    <w:rsid w:val="7FAD016B"/>
    <w:rsid w:val="7FB614A0"/>
    <w:rsid w:val="7FC957A4"/>
    <w:rsid w:val="7FD43287"/>
    <w:rsid w:val="7FD970F1"/>
    <w:rsid w:val="7FDD3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6"/>
    <w:qFormat/>
    <w:uiPriority w:val="0"/>
    <w:pPr>
      <w:keepNext/>
      <w:keepLines/>
      <w:spacing w:before="340" w:after="330" w:line="576" w:lineRule="auto"/>
      <w:outlineLvl w:val="0"/>
    </w:pPr>
    <w:rPr>
      <w:rFonts w:ascii="Tahoma" w:hAnsi="Tahoma"/>
      <w:b/>
      <w:kern w:val="44"/>
      <w:sz w:val="44"/>
      <w:szCs w:val="44"/>
    </w:rPr>
  </w:style>
  <w:style w:type="paragraph" w:styleId="5">
    <w:name w:val="heading 2"/>
    <w:basedOn w:val="1"/>
    <w:next w:val="1"/>
    <w:link w:val="57"/>
    <w:qFormat/>
    <w:uiPriority w:val="0"/>
    <w:pPr>
      <w:keepNext/>
      <w:keepLines/>
      <w:spacing w:before="260" w:after="260" w:line="413" w:lineRule="auto"/>
      <w:outlineLvl w:val="1"/>
    </w:pPr>
    <w:rPr>
      <w:rFonts w:ascii="Arial" w:hAnsi="Arial" w:eastAsia="黑体"/>
      <w:b/>
      <w:sz w:val="32"/>
      <w:szCs w:val="32"/>
    </w:rPr>
  </w:style>
  <w:style w:type="paragraph" w:styleId="6">
    <w:name w:val="heading 3"/>
    <w:basedOn w:val="1"/>
    <w:next w:val="1"/>
    <w:link w:val="58"/>
    <w:qFormat/>
    <w:uiPriority w:val="0"/>
    <w:pPr>
      <w:keepNext/>
      <w:keepLines/>
      <w:spacing w:before="260" w:after="260" w:line="416" w:lineRule="auto"/>
      <w:outlineLvl w:val="2"/>
    </w:pPr>
    <w:rPr>
      <w:b/>
      <w:sz w:val="32"/>
      <w:szCs w:val="20"/>
    </w:rPr>
  </w:style>
  <w:style w:type="paragraph" w:styleId="7">
    <w:name w:val="heading 4"/>
    <w:basedOn w:val="1"/>
    <w:next w:val="1"/>
    <w:link w:val="59"/>
    <w:qFormat/>
    <w:uiPriority w:val="0"/>
    <w:pPr>
      <w:keepNext/>
      <w:keepLines/>
      <w:spacing w:before="280" w:after="290" w:line="372" w:lineRule="auto"/>
      <w:outlineLvl w:val="3"/>
    </w:pPr>
    <w:rPr>
      <w:rFonts w:ascii="Cambria" w:hAnsi="Cambria" w:eastAsia="Cambria"/>
      <w:b/>
      <w:sz w:val="28"/>
      <w:szCs w:val="28"/>
    </w:rPr>
  </w:style>
  <w:style w:type="paragraph" w:styleId="8">
    <w:name w:val="heading 5"/>
    <w:basedOn w:val="9"/>
    <w:next w:val="10"/>
    <w:link w:val="61"/>
    <w:qFormat/>
    <w:uiPriority w:val="0"/>
    <w:pPr>
      <w:keepNext/>
      <w:keepLines/>
      <w:spacing w:before="280" w:after="290" w:line="372" w:lineRule="auto"/>
      <w:outlineLvl w:val="4"/>
    </w:pPr>
    <w:rPr>
      <w:rFonts w:ascii="Tahoma" w:hAnsi="Tahoma" w:eastAsia="宋体"/>
      <w:sz w:val="28"/>
      <w:szCs w:val="20"/>
    </w:rPr>
  </w:style>
  <w:style w:type="paragraph" w:styleId="11">
    <w:name w:val="heading 6"/>
    <w:basedOn w:val="1"/>
    <w:next w:val="10"/>
    <w:link w:val="63"/>
    <w:qFormat/>
    <w:uiPriority w:val="0"/>
    <w:pPr>
      <w:keepNext/>
      <w:keepLines/>
      <w:spacing w:before="240" w:after="64" w:line="317" w:lineRule="auto"/>
      <w:outlineLvl w:val="5"/>
    </w:pPr>
    <w:rPr>
      <w:rFonts w:ascii="Arial" w:hAnsi="Arial" w:eastAsia="黑体"/>
      <w:b/>
      <w:sz w:val="24"/>
      <w:szCs w:val="20"/>
    </w:rPr>
  </w:style>
  <w:style w:type="paragraph" w:styleId="12">
    <w:name w:val="heading 7"/>
    <w:basedOn w:val="1"/>
    <w:next w:val="1"/>
    <w:link w:val="64"/>
    <w:qFormat/>
    <w:uiPriority w:val="0"/>
    <w:pPr>
      <w:keepNext/>
      <w:keepLines/>
      <w:spacing w:before="240" w:after="64" w:line="317" w:lineRule="auto"/>
      <w:outlineLvl w:val="6"/>
    </w:pPr>
    <w:rPr>
      <w:rFonts w:ascii="Tahoma" w:hAnsi="Tahoma"/>
      <w:b/>
      <w:sz w:val="24"/>
      <w:szCs w:val="20"/>
    </w:rPr>
  </w:style>
  <w:style w:type="paragraph" w:styleId="13">
    <w:name w:val="heading 8"/>
    <w:basedOn w:val="1"/>
    <w:next w:val="1"/>
    <w:link w:val="65"/>
    <w:qFormat/>
    <w:uiPriority w:val="0"/>
    <w:pPr>
      <w:keepNext/>
      <w:keepLines/>
      <w:spacing w:before="240" w:after="64" w:line="317" w:lineRule="auto"/>
      <w:outlineLvl w:val="7"/>
    </w:pPr>
    <w:rPr>
      <w:rFonts w:ascii="Arial" w:hAnsi="Arial" w:eastAsia="黑体"/>
    </w:rPr>
  </w:style>
  <w:style w:type="paragraph" w:styleId="14">
    <w:name w:val="heading 9"/>
    <w:basedOn w:val="1"/>
    <w:next w:val="1"/>
    <w:link w:val="66"/>
    <w:qFormat/>
    <w:uiPriority w:val="0"/>
    <w:pPr>
      <w:keepNext/>
      <w:keepLines/>
      <w:spacing w:before="240" w:after="64" w:line="317" w:lineRule="auto"/>
      <w:outlineLvl w:val="8"/>
    </w:pPr>
    <w:rPr>
      <w:rFonts w:ascii="Arial" w:hAnsi="Arial" w:eastAsia="黑体"/>
      <w:szCs w:val="2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lang w:val="zh-CN"/>
    </w:rPr>
  </w:style>
  <w:style w:type="paragraph" w:styleId="3">
    <w:name w:val="Body Text Indent"/>
    <w:basedOn w:val="1"/>
    <w:next w:val="1"/>
    <w:link w:val="70"/>
    <w:qFormat/>
    <w:uiPriority w:val="0"/>
    <w:pPr>
      <w:spacing w:line="200" w:lineRule="exact"/>
      <w:ind w:firstLine="301"/>
    </w:pPr>
    <w:rPr>
      <w:rFonts w:hint="eastAsia" w:ascii="宋体" w:hAnsi="Courier New"/>
      <w:spacing w:val="-4"/>
      <w:sz w:val="18"/>
      <w:szCs w:val="20"/>
    </w:rPr>
  </w:style>
  <w:style w:type="paragraph" w:styleId="9">
    <w:name w:val="Title"/>
    <w:basedOn w:val="1"/>
    <w:link w:val="60"/>
    <w:qFormat/>
    <w:uiPriority w:val="0"/>
    <w:pPr>
      <w:spacing w:before="240" w:after="60"/>
      <w:jc w:val="center"/>
      <w:outlineLvl w:val="0"/>
    </w:pPr>
    <w:rPr>
      <w:rFonts w:ascii="Cambria" w:hAnsi="Cambria" w:eastAsia="Cambria"/>
      <w:b/>
      <w:sz w:val="32"/>
      <w:szCs w:val="32"/>
    </w:rPr>
  </w:style>
  <w:style w:type="paragraph" w:styleId="10">
    <w:name w:val="Normal Indent"/>
    <w:basedOn w:val="1"/>
    <w:link w:val="62"/>
    <w:qFormat/>
    <w:uiPriority w:val="0"/>
    <w:pPr>
      <w:ind w:firstLine="420"/>
    </w:pPr>
    <w:rPr>
      <w:rFonts w:ascii="Tahoma" w:hAnsi="Tahoma" w:eastAsia="Tahoma"/>
      <w:b/>
    </w:rPr>
  </w:style>
  <w:style w:type="paragraph" w:styleId="15">
    <w:name w:val="toc 7"/>
    <w:basedOn w:val="1"/>
    <w:next w:val="1"/>
    <w:qFormat/>
    <w:uiPriority w:val="0"/>
    <w:pPr>
      <w:ind w:left="2520" w:leftChars="1200"/>
    </w:pPr>
  </w:style>
  <w:style w:type="paragraph" w:styleId="16">
    <w:name w:val="List Number"/>
    <w:basedOn w:val="1"/>
    <w:qFormat/>
    <w:uiPriority w:val="0"/>
    <w:pPr>
      <w:widowControl/>
      <w:tabs>
        <w:tab w:val="left" w:pos="454"/>
        <w:tab w:val="left" w:pos="720"/>
      </w:tabs>
      <w:spacing w:after="156" w:afterLines="50"/>
      <w:ind w:left="454" w:hanging="284"/>
      <w:jc w:val="left"/>
    </w:pPr>
    <w:rPr>
      <w:kern w:val="0"/>
      <w:sz w:val="24"/>
      <w:szCs w:val="20"/>
    </w:rPr>
  </w:style>
  <w:style w:type="paragraph" w:styleId="17">
    <w:name w:val="caption"/>
    <w:basedOn w:val="1"/>
    <w:next w:val="1"/>
    <w:qFormat/>
    <w:uiPriority w:val="0"/>
    <w:pPr>
      <w:spacing w:before="152" w:after="160"/>
    </w:pPr>
    <w:rPr>
      <w:rFonts w:ascii="Arial" w:hAnsi="Arial" w:eastAsia="黑体" w:cs="Arial"/>
      <w:sz w:val="20"/>
      <w:szCs w:val="20"/>
    </w:rPr>
  </w:style>
  <w:style w:type="paragraph" w:styleId="18">
    <w:name w:val="Document Map"/>
    <w:basedOn w:val="1"/>
    <w:link w:val="67"/>
    <w:qFormat/>
    <w:uiPriority w:val="0"/>
    <w:pPr>
      <w:shd w:val="clear" w:color="auto" w:fill="000080"/>
    </w:pPr>
    <w:rPr>
      <w:rFonts w:hint="eastAsia" w:ascii="宋体" w:hAnsi="宋体"/>
      <w:sz w:val="18"/>
      <w:szCs w:val="18"/>
    </w:rPr>
  </w:style>
  <w:style w:type="paragraph" w:styleId="19">
    <w:name w:val="annotation text"/>
    <w:basedOn w:val="1"/>
    <w:link w:val="68"/>
    <w:qFormat/>
    <w:uiPriority w:val="0"/>
    <w:pPr>
      <w:jc w:val="left"/>
    </w:pPr>
    <w:rPr>
      <w:rFonts w:ascii="Tahoma" w:hAnsi="Tahoma"/>
    </w:rPr>
  </w:style>
  <w:style w:type="paragraph" w:styleId="20">
    <w:name w:val="Body Text 3"/>
    <w:basedOn w:val="1"/>
    <w:link w:val="69"/>
    <w:qFormat/>
    <w:uiPriority w:val="0"/>
    <w:pPr>
      <w:snapToGrid w:val="0"/>
      <w:spacing w:before="50" w:after="50"/>
    </w:pPr>
    <w:rPr>
      <w:rFonts w:ascii="Tahoma" w:hAnsi="Tahoma"/>
      <w:sz w:val="16"/>
      <w:szCs w:val="16"/>
    </w:rPr>
  </w:style>
  <w:style w:type="paragraph" w:styleId="21">
    <w:name w:val="Body Text"/>
    <w:basedOn w:val="1"/>
    <w:next w:val="22"/>
    <w:link w:val="55"/>
    <w:qFormat/>
    <w:uiPriority w:val="0"/>
    <w:pPr>
      <w:spacing w:after="120"/>
    </w:pPr>
    <w:rPr>
      <w:rFonts w:ascii="Tahoma" w:hAnsi="Tahoma"/>
      <w:sz w:val="28"/>
    </w:rPr>
  </w:style>
  <w:style w:type="paragraph" w:styleId="22">
    <w:name w:val="Body Text First Indent"/>
    <w:basedOn w:val="21"/>
    <w:next w:val="23"/>
    <w:link w:val="81"/>
    <w:qFormat/>
    <w:uiPriority w:val="0"/>
    <w:pPr>
      <w:ind w:firstLine="420" w:firstLineChars="100"/>
    </w:pPr>
  </w:style>
  <w:style w:type="paragraph" w:styleId="23">
    <w:name w:val="toc 6"/>
    <w:basedOn w:val="1"/>
    <w:next w:val="1"/>
    <w:qFormat/>
    <w:uiPriority w:val="0"/>
    <w:pPr>
      <w:ind w:left="2100" w:leftChars="1000"/>
    </w:pPr>
  </w:style>
  <w:style w:type="paragraph" w:styleId="24">
    <w:name w:val="List Number 3"/>
    <w:basedOn w:val="1"/>
    <w:qFormat/>
    <w:uiPriority w:val="0"/>
    <w:pPr>
      <w:numPr>
        <w:ilvl w:val="0"/>
        <w:numId w:val="1"/>
      </w:numPr>
    </w:pPr>
  </w:style>
  <w:style w:type="paragraph" w:styleId="25">
    <w:name w:val="List 2"/>
    <w:basedOn w:val="1"/>
    <w:qFormat/>
    <w:uiPriority w:val="0"/>
    <w:pPr>
      <w:ind w:left="100" w:leftChars="200" w:hanging="200" w:hangingChars="200"/>
    </w:pPr>
    <w:rPr>
      <w:sz w:val="28"/>
    </w:rPr>
  </w:style>
  <w:style w:type="paragraph" w:styleId="26">
    <w:name w:val="toc 5"/>
    <w:basedOn w:val="1"/>
    <w:next w:val="1"/>
    <w:qFormat/>
    <w:uiPriority w:val="0"/>
    <w:pPr>
      <w:ind w:left="1680" w:leftChars="800"/>
    </w:pPr>
  </w:style>
  <w:style w:type="paragraph" w:styleId="27">
    <w:name w:val="toc 3"/>
    <w:basedOn w:val="1"/>
    <w:next w:val="1"/>
    <w:qFormat/>
    <w:uiPriority w:val="0"/>
    <w:pPr>
      <w:ind w:left="840" w:leftChars="400"/>
    </w:pPr>
  </w:style>
  <w:style w:type="paragraph" w:styleId="28">
    <w:name w:val="Plain Text"/>
    <w:basedOn w:val="1"/>
    <w:link w:val="71"/>
    <w:qFormat/>
    <w:uiPriority w:val="0"/>
    <w:pPr>
      <w:spacing w:before="156" w:beforeLines="50" w:after="156" w:afterLines="50" w:line="400" w:lineRule="exact"/>
    </w:pPr>
    <w:rPr>
      <w:rFonts w:hint="eastAsia" w:ascii="宋体" w:hAnsi="Courier New"/>
      <w:szCs w:val="21"/>
    </w:rPr>
  </w:style>
  <w:style w:type="paragraph" w:styleId="29">
    <w:name w:val="toc 8"/>
    <w:basedOn w:val="1"/>
    <w:next w:val="1"/>
    <w:qFormat/>
    <w:uiPriority w:val="0"/>
    <w:pPr>
      <w:ind w:left="2940" w:leftChars="1400"/>
    </w:pPr>
  </w:style>
  <w:style w:type="paragraph" w:styleId="30">
    <w:name w:val="Date"/>
    <w:basedOn w:val="1"/>
    <w:next w:val="1"/>
    <w:link w:val="72"/>
    <w:qFormat/>
    <w:uiPriority w:val="0"/>
    <w:pPr>
      <w:ind w:left="2500" w:leftChars="2500"/>
    </w:pPr>
    <w:rPr>
      <w:rFonts w:hint="eastAsia" w:ascii="黑体" w:hAnsi="宋体" w:eastAsia="黑体"/>
      <w:kern w:val="44"/>
      <w:position w:val="6"/>
      <w:szCs w:val="20"/>
    </w:rPr>
  </w:style>
  <w:style w:type="paragraph" w:styleId="31">
    <w:name w:val="Body Text Indent 2"/>
    <w:basedOn w:val="1"/>
    <w:link w:val="73"/>
    <w:qFormat/>
    <w:uiPriority w:val="0"/>
    <w:pPr>
      <w:snapToGrid w:val="0"/>
      <w:ind w:firstLine="542" w:firstLineChars="225"/>
    </w:pPr>
    <w:rPr>
      <w:rFonts w:ascii="Tahoma" w:hAnsi="Tahoma"/>
    </w:rPr>
  </w:style>
  <w:style w:type="paragraph" w:styleId="32">
    <w:name w:val="Balloon Text"/>
    <w:basedOn w:val="1"/>
    <w:link w:val="74"/>
    <w:qFormat/>
    <w:uiPriority w:val="0"/>
    <w:rPr>
      <w:rFonts w:ascii="Tahoma" w:hAnsi="Tahoma"/>
      <w:sz w:val="18"/>
      <w:szCs w:val="18"/>
    </w:rPr>
  </w:style>
  <w:style w:type="paragraph" w:styleId="33">
    <w:name w:val="footer"/>
    <w:basedOn w:val="1"/>
    <w:link w:val="75"/>
    <w:qFormat/>
    <w:uiPriority w:val="0"/>
    <w:pPr>
      <w:tabs>
        <w:tab w:val="center" w:pos="4153"/>
        <w:tab w:val="right" w:pos="8306"/>
      </w:tabs>
      <w:snapToGrid w:val="0"/>
      <w:jc w:val="left"/>
    </w:pPr>
    <w:rPr>
      <w:rFonts w:hint="eastAsia" w:ascii="黑体" w:hAnsi="宋体" w:eastAsia="黑体"/>
      <w:kern w:val="0"/>
      <w:sz w:val="18"/>
      <w:szCs w:val="18"/>
    </w:rPr>
  </w:style>
  <w:style w:type="paragraph" w:styleId="34">
    <w:name w:val="header"/>
    <w:basedOn w:val="1"/>
    <w:link w:val="76"/>
    <w:qFormat/>
    <w:uiPriority w:val="0"/>
    <w:pPr>
      <w:pBdr>
        <w:bottom w:val="single" w:color="auto" w:sz="6" w:space="1"/>
      </w:pBdr>
      <w:tabs>
        <w:tab w:val="center" w:pos="4153"/>
        <w:tab w:val="right" w:pos="8306"/>
      </w:tabs>
      <w:snapToGrid w:val="0"/>
      <w:jc w:val="center"/>
    </w:pPr>
    <w:rPr>
      <w:rFonts w:ascii="Tahoma" w:hAnsi="Tahoma"/>
      <w:sz w:val="18"/>
      <w:szCs w:val="18"/>
    </w:rPr>
  </w:style>
  <w:style w:type="paragraph" w:styleId="35">
    <w:name w:val="toc 1"/>
    <w:basedOn w:val="1"/>
    <w:next w:val="1"/>
    <w:qFormat/>
    <w:uiPriority w:val="39"/>
  </w:style>
  <w:style w:type="paragraph" w:styleId="36">
    <w:name w:val="toc 4"/>
    <w:basedOn w:val="1"/>
    <w:next w:val="1"/>
    <w:qFormat/>
    <w:uiPriority w:val="0"/>
    <w:pPr>
      <w:ind w:left="1260" w:leftChars="600"/>
    </w:pPr>
  </w:style>
  <w:style w:type="paragraph" w:styleId="37">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qFormat/>
    <w:uiPriority w:val="0"/>
    <w:pPr>
      <w:ind w:left="200" w:hanging="200" w:hangingChars="200"/>
    </w:pPr>
    <w:rPr>
      <w:sz w:val="28"/>
    </w:rPr>
  </w:style>
  <w:style w:type="paragraph" w:styleId="39">
    <w:name w:val="Body Text Indent 3"/>
    <w:basedOn w:val="1"/>
    <w:link w:val="77"/>
    <w:qFormat/>
    <w:uiPriority w:val="0"/>
    <w:pPr>
      <w:snapToGrid w:val="0"/>
      <w:ind w:firstLine="480" w:firstLineChars="200"/>
      <w:jc w:val="left"/>
    </w:pPr>
    <w:rPr>
      <w:rFonts w:ascii="Tahoma" w:hAnsi="Tahoma"/>
      <w:sz w:val="16"/>
      <w:szCs w:val="16"/>
    </w:rPr>
  </w:style>
  <w:style w:type="paragraph" w:styleId="40">
    <w:name w:val="toc 2"/>
    <w:basedOn w:val="1"/>
    <w:next w:val="1"/>
    <w:qFormat/>
    <w:uiPriority w:val="0"/>
    <w:pPr>
      <w:ind w:left="420" w:leftChars="200"/>
    </w:pPr>
  </w:style>
  <w:style w:type="paragraph" w:styleId="41">
    <w:name w:val="toc 9"/>
    <w:basedOn w:val="1"/>
    <w:next w:val="1"/>
    <w:qFormat/>
    <w:uiPriority w:val="0"/>
    <w:pPr>
      <w:ind w:left="3360" w:leftChars="1600"/>
    </w:pPr>
  </w:style>
  <w:style w:type="paragraph" w:styleId="42">
    <w:name w:val="Body Text 2"/>
    <w:basedOn w:val="1"/>
    <w:link w:val="78"/>
    <w:qFormat/>
    <w:uiPriority w:val="0"/>
    <w:pPr>
      <w:widowControl/>
      <w:snapToGrid w:val="0"/>
      <w:spacing w:before="50" w:after="156" w:afterLines="50" w:line="400" w:lineRule="exact"/>
      <w:jc w:val="left"/>
    </w:pPr>
    <w:rPr>
      <w:rFonts w:ascii="Tahoma" w:hAnsi="Tahoma"/>
      <w:spacing w:val="20"/>
    </w:rPr>
  </w:style>
  <w:style w:type="paragraph" w:styleId="43">
    <w:name w:val="HTML Preformatted"/>
    <w:basedOn w:val="1"/>
    <w:link w:val="79"/>
    <w:qFormat/>
    <w:uiPriority w:val="0"/>
    <w:rPr>
      <w:rFonts w:hint="eastAsia" w:ascii="宋体" w:hAnsi="宋体"/>
      <w:kern w:val="0"/>
      <w:sz w:val="24"/>
    </w:rPr>
  </w:style>
  <w:style w:type="paragraph" w:styleId="44">
    <w:name w:val="Normal (Web)"/>
    <w:basedOn w:val="1"/>
    <w:qFormat/>
    <w:uiPriority w:val="0"/>
    <w:pPr>
      <w:widowControl/>
      <w:spacing w:before="100" w:beforeAutospacing="1" w:after="100" w:afterAutospacing="1"/>
      <w:jc w:val="left"/>
    </w:pPr>
    <w:rPr>
      <w:kern w:val="0"/>
      <w:sz w:val="24"/>
    </w:rPr>
  </w:style>
  <w:style w:type="paragraph" w:styleId="45">
    <w:name w:val="annotation subject"/>
    <w:basedOn w:val="19"/>
    <w:next w:val="19"/>
    <w:link w:val="80"/>
    <w:qFormat/>
    <w:uiPriority w:val="0"/>
    <w:rPr>
      <w:b/>
    </w:rPr>
  </w:style>
  <w:style w:type="table" w:styleId="47">
    <w:name w:val="Table Grid"/>
    <w:basedOn w:val="46"/>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qFormat/>
    <w:uiPriority w:val="0"/>
    <w:rPr>
      <w:rFonts w:hint="default" w:ascii="Times New Roman" w:hAnsi="Times New Roman" w:cs="Times New Roman"/>
      <w:sz w:val="24"/>
      <w:szCs w:val="20"/>
    </w:rPr>
  </w:style>
  <w:style w:type="character" w:styleId="51">
    <w:name w:val="FollowedHyperlink"/>
    <w:qFormat/>
    <w:uiPriority w:val="0"/>
    <w:rPr>
      <w:rFonts w:ascii="Tahoma" w:hAnsi="Tahoma"/>
      <w:color w:val="004102"/>
      <w:sz w:val="24"/>
      <w:szCs w:val="20"/>
      <w:u w:val="none"/>
    </w:rPr>
  </w:style>
  <w:style w:type="character" w:styleId="52">
    <w:name w:val="Hyperlink"/>
    <w:qFormat/>
    <w:uiPriority w:val="99"/>
    <w:rPr>
      <w:rFonts w:ascii="Tahoma" w:hAnsi="Tahoma"/>
      <w:color w:val="004102"/>
      <w:sz w:val="24"/>
      <w:szCs w:val="20"/>
      <w:u w:val="none"/>
    </w:rPr>
  </w:style>
  <w:style w:type="character" w:styleId="53">
    <w:name w:val="annotation reference"/>
    <w:qFormat/>
    <w:uiPriority w:val="0"/>
    <w:rPr>
      <w:sz w:val="21"/>
      <w:szCs w:val="21"/>
    </w:rPr>
  </w:style>
  <w:style w:type="paragraph" w:customStyle="1" w:styleId="54">
    <w:name w:val="自动更正"/>
    <w:unhideWhenUsed/>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5">
    <w:name w:val="正文文本 字符"/>
    <w:link w:val="21"/>
    <w:qFormat/>
    <w:uiPriority w:val="0"/>
    <w:rPr>
      <w:rFonts w:ascii="Tahoma" w:hAnsi="Tahoma"/>
      <w:kern w:val="2"/>
      <w:sz w:val="28"/>
      <w:szCs w:val="24"/>
    </w:rPr>
  </w:style>
  <w:style w:type="character" w:customStyle="1" w:styleId="56">
    <w:name w:val="标题 1 字符1"/>
    <w:link w:val="4"/>
    <w:qFormat/>
    <w:uiPriority w:val="0"/>
    <w:rPr>
      <w:rFonts w:ascii="Calibri" w:hAnsi="Calibri"/>
      <w:b/>
      <w:kern w:val="44"/>
      <w:sz w:val="44"/>
    </w:rPr>
  </w:style>
  <w:style w:type="character" w:customStyle="1" w:styleId="57">
    <w:name w:val="标题 2 字符"/>
    <w:link w:val="5"/>
    <w:qFormat/>
    <w:uiPriority w:val="9"/>
    <w:rPr>
      <w:rFonts w:ascii="Arial" w:hAnsi="Arial" w:eastAsia="仿宋_GB2312"/>
      <w:b/>
      <w:bCs/>
      <w:kern w:val="2"/>
      <w:sz w:val="28"/>
      <w:szCs w:val="32"/>
    </w:rPr>
  </w:style>
  <w:style w:type="character" w:customStyle="1" w:styleId="58">
    <w:name w:val="标题 3 字符"/>
    <w:link w:val="6"/>
    <w:qFormat/>
    <w:uiPriority w:val="0"/>
    <w:rPr>
      <w:b/>
      <w:kern w:val="2"/>
      <w:sz w:val="32"/>
    </w:rPr>
  </w:style>
  <w:style w:type="character" w:customStyle="1" w:styleId="59">
    <w:name w:val="标题 4 字符"/>
    <w:link w:val="7"/>
    <w:qFormat/>
    <w:uiPriority w:val="0"/>
    <w:rPr>
      <w:rFonts w:hint="default" w:ascii="Cambria" w:hAnsi="Cambria" w:eastAsia="Cambria" w:cs="Cambria"/>
      <w:b/>
      <w:kern w:val="2"/>
      <w:sz w:val="28"/>
      <w:szCs w:val="28"/>
    </w:rPr>
  </w:style>
  <w:style w:type="character" w:customStyle="1" w:styleId="60">
    <w:name w:val="标题 字符"/>
    <w:link w:val="9"/>
    <w:qFormat/>
    <w:uiPriority w:val="0"/>
    <w:rPr>
      <w:rFonts w:hint="default" w:ascii="Cambria" w:hAnsi="Cambria" w:eastAsia="Cambria" w:cs="Times New Roman"/>
      <w:b/>
      <w:kern w:val="2"/>
      <w:sz w:val="32"/>
      <w:szCs w:val="32"/>
    </w:rPr>
  </w:style>
  <w:style w:type="character" w:customStyle="1" w:styleId="61">
    <w:name w:val="标题 5 字符"/>
    <w:link w:val="8"/>
    <w:qFormat/>
    <w:uiPriority w:val="0"/>
    <w:rPr>
      <w:rFonts w:ascii="Tahoma" w:hAnsi="Tahoma"/>
      <w:b/>
      <w:kern w:val="2"/>
      <w:sz w:val="28"/>
      <w:szCs w:val="20"/>
    </w:rPr>
  </w:style>
  <w:style w:type="character" w:customStyle="1" w:styleId="62">
    <w:name w:val="正文缩进 字符"/>
    <w:link w:val="10"/>
    <w:qFormat/>
    <w:uiPriority w:val="0"/>
    <w:rPr>
      <w:rFonts w:hint="default" w:ascii="Tahoma" w:hAnsi="Tahoma" w:eastAsia="Tahoma" w:cs="Tahoma"/>
      <w:b/>
      <w:kern w:val="2"/>
      <w:sz w:val="21"/>
      <w:szCs w:val="24"/>
    </w:rPr>
  </w:style>
  <w:style w:type="character" w:customStyle="1" w:styleId="63">
    <w:name w:val="标题 6 字符"/>
    <w:link w:val="11"/>
    <w:qFormat/>
    <w:uiPriority w:val="0"/>
    <w:rPr>
      <w:rFonts w:hint="default" w:ascii="Arial" w:hAnsi="Arial" w:eastAsia="黑体" w:cs="Arial"/>
      <w:b/>
      <w:kern w:val="2"/>
      <w:sz w:val="24"/>
      <w:szCs w:val="20"/>
    </w:rPr>
  </w:style>
  <w:style w:type="character" w:customStyle="1" w:styleId="64">
    <w:name w:val="标题 7 字符"/>
    <w:link w:val="12"/>
    <w:qFormat/>
    <w:uiPriority w:val="0"/>
    <w:rPr>
      <w:rFonts w:ascii="Tahoma" w:hAnsi="Tahoma"/>
      <w:b/>
      <w:kern w:val="2"/>
      <w:sz w:val="24"/>
      <w:szCs w:val="20"/>
    </w:rPr>
  </w:style>
  <w:style w:type="character" w:customStyle="1" w:styleId="65">
    <w:name w:val="标题 8 字符"/>
    <w:link w:val="13"/>
    <w:qFormat/>
    <w:uiPriority w:val="0"/>
    <w:rPr>
      <w:rFonts w:ascii="Arial" w:hAnsi="Arial" w:eastAsia="黑体" w:cs="Arial"/>
      <w:kern w:val="2"/>
      <w:sz w:val="21"/>
      <w:szCs w:val="24"/>
    </w:rPr>
  </w:style>
  <w:style w:type="character" w:customStyle="1" w:styleId="66">
    <w:name w:val="标题 9 字符"/>
    <w:link w:val="14"/>
    <w:qFormat/>
    <w:uiPriority w:val="0"/>
    <w:rPr>
      <w:rFonts w:hint="default" w:ascii="Arial" w:hAnsi="Arial" w:eastAsia="黑体" w:cs="Arial"/>
      <w:kern w:val="2"/>
      <w:sz w:val="21"/>
      <w:szCs w:val="20"/>
    </w:rPr>
  </w:style>
  <w:style w:type="character" w:customStyle="1" w:styleId="67">
    <w:name w:val="文档结构图 字符"/>
    <w:link w:val="18"/>
    <w:qFormat/>
    <w:uiPriority w:val="0"/>
    <w:rPr>
      <w:rFonts w:hint="eastAsia" w:ascii="宋体" w:hAnsi="宋体" w:eastAsia="宋体" w:cs="宋体"/>
      <w:kern w:val="2"/>
      <w:sz w:val="18"/>
      <w:szCs w:val="18"/>
    </w:rPr>
  </w:style>
  <w:style w:type="character" w:customStyle="1" w:styleId="68">
    <w:name w:val="批注文字 字符"/>
    <w:link w:val="19"/>
    <w:qFormat/>
    <w:uiPriority w:val="0"/>
    <w:rPr>
      <w:rFonts w:ascii="Tahoma" w:hAnsi="Tahoma"/>
      <w:kern w:val="2"/>
      <w:sz w:val="21"/>
      <w:szCs w:val="24"/>
    </w:rPr>
  </w:style>
  <w:style w:type="character" w:customStyle="1" w:styleId="69">
    <w:name w:val="正文文本 3 字符"/>
    <w:link w:val="20"/>
    <w:qFormat/>
    <w:uiPriority w:val="0"/>
    <w:rPr>
      <w:rFonts w:ascii="Tahoma" w:hAnsi="Tahoma"/>
      <w:kern w:val="2"/>
      <w:sz w:val="16"/>
      <w:szCs w:val="16"/>
    </w:rPr>
  </w:style>
  <w:style w:type="character" w:customStyle="1" w:styleId="70">
    <w:name w:val="正文文本缩进 字符"/>
    <w:link w:val="3"/>
    <w:qFormat/>
    <w:uiPriority w:val="0"/>
    <w:rPr>
      <w:rFonts w:hint="eastAsia" w:ascii="宋体" w:hAnsi="Courier New" w:eastAsia="宋体" w:cs="宋体"/>
      <w:spacing w:val="-4"/>
      <w:kern w:val="2"/>
      <w:sz w:val="18"/>
      <w:szCs w:val="20"/>
    </w:rPr>
  </w:style>
  <w:style w:type="character" w:customStyle="1" w:styleId="71">
    <w:name w:val="纯文本 字符"/>
    <w:link w:val="28"/>
    <w:qFormat/>
    <w:uiPriority w:val="0"/>
    <w:rPr>
      <w:rFonts w:hint="eastAsia" w:ascii="宋体" w:hAnsi="Courier New" w:eastAsia="宋体" w:cs="Courier New"/>
      <w:kern w:val="2"/>
      <w:sz w:val="21"/>
      <w:szCs w:val="21"/>
    </w:rPr>
  </w:style>
  <w:style w:type="character" w:customStyle="1" w:styleId="72">
    <w:name w:val="日期 字符"/>
    <w:link w:val="30"/>
    <w:qFormat/>
    <w:uiPriority w:val="0"/>
    <w:rPr>
      <w:rFonts w:hint="eastAsia" w:ascii="黑体" w:hAnsi="宋体" w:eastAsia="黑体" w:cs="黑体"/>
      <w:kern w:val="44"/>
      <w:position w:val="6"/>
      <w:sz w:val="21"/>
      <w:szCs w:val="20"/>
    </w:rPr>
  </w:style>
  <w:style w:type="character" w:customStyle="1" w:styleId="73">
    <w:name w:val="正文文本缩进 2 字符"/>
    <w:link w:val="31"/>
    <w:qFormat/>
    <w:uiPriority w:val="0"/>
    <w:rPr>
      <w:rFonts w:ascii="Tahoma" w:hAnsi="Tahoma"/>
      <w:kern w:val="2"/>
      <w:sz w:val="21"/>
      <w:szCs w:val="24"/>
    </w:rPr>
  </w:style>
  <w:style w:type="character" w:customStyle="1" w:styleId="74">
    <w:name w:val="批注框文本 字符"/>
    <w:link w:val="32"/>
    <w:qFormat/>
    <w:uiPriority w:val="0"/>
    <w:rPr>
      <w:rFonts w:ascii="Tahoma" w:hAnsi="Tahoma"/>
      <w:kern w:val="2"/>
      <w:sz w:val="18"/>
      <w:szCs w:val="18"/>
    </w:rPr>
  </w:style>
  <w:style w:type="character" w:customStyle="1" w:styleId="75">
    <w:name w:val="页脚 字符"/>
    <w:link w:val="33"/>
    <w:qFormat/>
    <w:uiPriority w:val="0"/>
    <w:rPr>
      <w:rFonts w:hint="eastAsia" w:ascii="黑体" w:hAnsi="宋体" w:eastAsia="黑体" w:cs="黑体"/>
      <w:snapToGrid/>
      <w:sz w:val="18"/>
      <w:szCs w:val="18"/>
    </w:rPr>
  </w:style>
  <w:style w:type="character" w:customStyle="1" w:styleId="76">
    <w:name w:val="页眉 字符"/>
    <w:link w:val="34"/>
    <w:qFormat/>
    <w:uiPriority w:val="0"/>
    <w:rPr>
      <w:rFonts w:ascii="Tahoma" w:hAnsi="Tahoma"/>
      <w:kern w:val="2"/>
      <w:sz w:val="18"/>
      <w:szCs w:val="18"/>
    </w:rPr>
  </w:style>
  <w:style w:type="character" w:customStyle="1" w:styleId="77">
    <w:name w:val="正文文本缩进 3 字符"/>
    <w:link w:val="39"/>
    <w:qFormat/>
    <w:uiPriority w:val="0"/>
    <w:rPr>
      <w:rFonts w:ascii="Tahoma" w:hAnsi="Tahoma"/>
      <w:kern w:val="2"/>
      <w:sz w:val="16"/>
      <w:szCs w:val="16"/>
    </w:rPr>
  </w:style>
  <w:style w:type="character" w:customStyle="1" w:styleId="78">
    <w:name w:val="正文文本 2 字符"/>
    <w:link w:val="42"/>
    <w:qFormat/>
    <w:uiPriority w:val="0"/>
    <w:rPr>
      <w:rFonts w:ascii="Tahoma" w:hAnsi="Tahoma"/>
      <w:spacing w:val="20"/>
      <w:kern w:val="2"/>
      <w:sz w:val="21"/>
      <w:szCs w:val="24"/>
    </w:rPr>
  </w:style>
  <w:style w:type="character" w:customStyle="1" w:styleId="79">
    <w:name w:val="HTML 预设格式 字符"/>
    <w:link w:val="43"/>
    <w:qFormat/>
    <w:uiPriority w:val="0"/>
    <w:rPr>
      <w:rFonts w:hint="eastAsia" w:ascii="宋体" w:hAnsi="宋体" w:eastAsia="宋体" w:cs="宋体"/>
      <w:sz w:val="24"/>
      <w:szCs w:val="24"/>
    </w:rPr>
  </w:style>
  <w:style w:type="character" w:customStyle="1" w:styleId="80">
    <w:name w:val="批注主题 字符"/>
    <w:link w:val="45"/>
    <w:qFormat/>
    <w:uiPriority w:val="0"/>
    <w:rPr>
      <w:rFonts w:ascii="Tahoma" w:hAnsi="Tahoma"/>
      <w:b/>
      <w:kern w:val="2"/>
      <w:sz w:val="21"/>
      <w:szCs w:val="24"/>
    </w:rPr>
  </w:style>
  <w:style w:type="character" w:customStyle="1" w:styleId="81">
    <w:name w:val="正文文本首行缩进 字符"/>
    <w:link w:val="22"/>
    <w:qFormat/>
    <w:uiPriority w:val="0"/>
    <w:rPr>
      <w:rFonts w:ascii="Tahoma" w:hAnsi="Tahoma"/>
      <w:kern w:val="2"/>
      <w:sz w:val="28"/>
      <w:szCs w:val="24"/>
    </w:rPr>
  </w:style>
  <w:style w:type="character" w:customStyle="1" w:styleId="82">
    <w:name w:val="Char Char1"/>
    <w:qFormat/>
    <w:uiPriority w:val="0"/>
    <w:rPr>
      <w:rFonts w:ascii="宋体" w:hAnsi="Courier New" w:eastAsia="宋体" w:cs="Courier New"/>
      <w:kern w:val="2"/>
      <w:sz w:val="21"/>
      <w:szCs w:val="21"/>
      <w:lang w:val="en-US" w:eastAsia="zh-CN" w:bidi="ar-SA"/>
    </w:rPr>
  </w:style>
  <w:style w:type="character" w:customStyle="1" w:styleId="83">
    <w:name w:val="font21"/>
    <w:qFormat/>
    <w:uiPriority w:val="0"/>
    <w:rPr>
      <w:rFonts w:hint="default" w:ascii="Times New Roman" w:hAnsi="Times New Roman" w:cs="Times New Roman"/>
      <w:b/>
      <w:color w:val="000000"/>
      <w:sz w:val="22"/>
      <w:szCs w:val="22"/>
      <w:u w:val="single"/>
    </w:rPr>
  </w:style>
  <w:style w:type="character" w:customStyle="1" w:styleId="84">
    <w:name w:val="Char Char11"/>
    <w:link w:val="85"/>
    <w:qFormat/>
    <w:uiPriority w:val="0"/>
    <w:rPr>
      <w:rFonts w:ascii="Verdana" w:hAnsi="Verdana"/>
      <w:kern w:val="0"/>
      <w:sz w:val="24"/>
      <w:szCs w:val="20"/>
      <w:lang w:eastAsia="en-US"/>
    </w:rPr>
  </w:style>
  <w:style w:type="paragraph" w:customStyle="1" w:styleId="85">
    <w:name w:val="Char"/>
    <w:basedOn w:val="1"/>
    <w:link w:val="84"/>
    <w:qFormat/>
    <w:uiPriority w:val="0"/>
    <w:pPr>
      <w:widowControl/>
      <w:spacing w:line="400" w:lineRule="exact"/>
      <w:jc w:val="center"/>
    </w:pPr>
    <w:rPr>
      <w:rFonts w:ascii="Verdana" w:hAnsi="Verdana"/>
      <w:kern w:val="0"/>
      <w:sz w:val="24"/>
      <w:szCs w:val="20"/>
      <w:lang w:eastAsia="en-US"/>
    </w:rPr>
  </w:style>
  <w:style w:type="character" w:customStyle="1" w:styleId="86">
    <w:name w:val="标题 Char Char"/>
    <w:qFormat/>
    <w:uiPriority w:val="0"/>
    <w:rPr>
      <w:rFonts w:ascii="Tahoma" w:hAnsi="Tahoma"/>
      <w:b/>
      <w:sz w:val="24"/>
      <w:szCs w:val="20"/>
      <w:lang w:val="en-US"/>
    </w:rPr>
  </w:style>
  <w:style w:type="character" w:customStyle="1" w:styleId="87">
    <w:name w:val="标题 1 Char Char"/>
    <w:qFormat/>
    <w:uiPriority w:val="0"/>
    <w:rPr>
      <w:rFonts w:eastAsia="宋体"/>
      <w:b/>
      <w:spacing w:val="-2"/>
      <w:sz w:val="24"/>
      <w:lang w:val="en-US" w:eastAsia="zh-CN" w:bidi="ar-SA"/>
    </w:rPr>
  </w:style>
  <w:style w:type="character" w:customStyle="1" w:styleId="88">
    <w:name w:val="en"/>
    <w:qFormat/>
    <w:uiPriority w:val="0"/>
    <w:rPr>
      <w:rFonts w:hint="default" w:ascii="Tahoma" w:hAnsi="Tahoma" w:eastAsia="Tahoma" w:cs="Tahoma"/>
      <w:b/>
      <w:sz w:val="24"/>
      <w:szCs w:val="24"/>
    </w:rPr>
  </w:style>
  <w:style w:type="character" w:customStyle="1" w:styleId="89">
    <w:name w:val="纯文本 Char2"/>
    <w:qFormat/>
    <w:uiPriority w:val="0"/>
    <w:rPr>
      <w:rFonts w:hint="eastAsia" w:ascii="宋体" w:hAnsi="Courier New" w:eastAsia="宋体" w:cs="宋体"/>
      <w:kern w:val="2"/>
      <w:sz w:val="24"/>
      <w:szCs w:val="24"/>
    </w:rPr>
  </w:style>
  <w:style w:type="character" w:customStyle="1" w:styleId="90">
    <w:name w:val="标题 41"/>
    <w:basedOn w:val="48"/>
    <w:qFormat/>
    <w:uiPriority w:val="0"/>
  </w:style>
  <w:style w:type="character" w:customStyle="1" w:styleId="91">
    <w:name w:val="fontstyle01"/>
    <w:qFormat/>
    <w:uiPriority w:val="0"/>
    <w:rPr>
      <w:rFonts w:hint="eastAsia" w:ascii="宋体" w:hAnsi="宋体" w:eastAsia="宋体"/>
      <w:color w:val="000000"/>
      <w:sz w:val="24"/>
      <w:szCs w:val="24"/>
    </w:rPr>
  </w:style>
  <w:style w:type="character" w:customStyle="1" w:styleId="92">
    <w:name w:val="font12"/>
    <w:qFormat/>
    <w:uiPriority w:val="0"/>
    <w:rPr>
      <w:rFonts w:hint="eastAsia" w:ascii="宋体" w:hAnsi="宋体" w:eastAsia="宋体" w:cs="宋体"/>
      <w:color w:val="FF0000"/>
      <w:sz w:val="20"/>
      <w:szCs w:val="20"/>
      <w:u w:val="none"/>
    </w:rPr>
  </w:style>
  <w:style w:type="character" w:customStyle="1" w:styleId="93">
    <w:name w:val="Char Char Char"/>
    <w:qFormat/>
    <w:uiPriority w:val="0"/>
    <w:rPr>
      <w:rFonts w:ascii="宋体" w:hAnsi="Courier New" w:eastAsia="宋体"/>
      <w:kern w:val="2"/>
      <w:sz w:val="24"/>
      <w:szCs w:val="24"/>
      <w:lang w:val="en-US" w:eastAsia="zh-CN" w:bidi="ar-SA"/>
    </w:rPr>
  </w:style>
  <w:style w:type="character" w:customStyle="1" w:styleId="94">
    <w:name w:val="e"/>
    <w:qFormat/>
    <w:uiPriority w:val="0"/>
    <w:rPr>
      <w:rFonts w:hint="default" w:ascii="Tahoma" w:hAnsi="Tahoma" w:eastAsia="Tahoma" w:cs="Tahoma"/>
      <w:b/>
      <w:sz w:val="24"/>
      <w:szCs w:val="24"/>
    </w:rPr>
  </w:style>
  <w:style w:type="character" w:customStyle="1" w:styleId="95">
    <w:name w:val="z21"/>
    <w:qFormat/>
    <w:uiPriority w:val="0"/>
    <w:rPr>
      <w:rFonts w:ascii="Tahoma" w:hAnsi="Tahoma"/>
      <w:color w:val="000000"/>
      <w:sz w:val="18"/>
      <w:szCs w:val="18"/>
    </w:rPr>
  </w:style>
  <w:style w:type="character" w:customStyle="1" w:styleId="96">
    <w:name w:val="标题 2 Char Char"/>
    <w:qFormat/>
    <w:uiPriority w:val="0"/>
    <w:rPr>
      <w:rFonts w:ascii="Arial" w:hAnsi="Arial" w:eastAsia="黑体"/>
      <w:b/>
      <w:bCs/>
      <w:kern w:val="2"/>
      <w:sz w:val="32"/>
      <w:szCs w:val="32"/>
      <w:lang w:val="en-US" w:eastAsia="zh-CN" w:bidi="ar-SA"/>
    </w:rPr>
  </w:style>
  <w:style w:type="character" w:customStyle="1" w:styleId="97">
    <w:name w:val="批注文字 字符1"/>
    <w:qFormat/>
    <w:uiPriority w:val="0"/>
    <w:rPr>
      <w:rFonts w:ascii="Tahoma" w:hAnsi="Tahoma"/>
      <w:kern w:val="2"/>
      <w:sz w:val="21"/>
      <w:szCs w:val="24"/>
    </w:rPr>
  </w:style>
  <w:style w:type="character" w:customStyle="1" w:styleId="98">
    <w:name w:val="批注文字 Char Char"/>
    <w:qFormat/>
    <w:uiPriority w:val="0"/>
    <w:rPr>
      <w:rFonts w:ascii="Tahoma" w:hAnsi="Tahoma"/>
      <w:kern w:val="2"/>
      <w:sz w:val="21"/>
      <w:szCs w:val="20"/>
    </w:rPr>
  </w:style>
  <w:style w:type="character" w:customStyle="1" w:styleId="99">
    <w:name w:val="news1"/>
    <w:qFormat/>
    <w:uiPriority w:val="0"/>
    <w:rPr>
      <w:rFonts w:hint="default" w:ascii="Tahoma" w:hAnsi="Tahoma" w:eastAsia="Tahoma" w:cs="Tahoma"/>
      <w:b/>
      <w:sz w:val="24"/>
      <w:szCs w:val="24"/>
    </w:rPr>
  </w:style>
  <w:style w:type="character" w:customStyle="1" w:styleId="100">
    <w:name w:val="font111"/>
    <w:qFormat/>
    <w:uiPriority w:val="0"/>
    <w:rPr>
      <w:rFonts w:hint="eastAsia" w:ascii="宋体" w:hAnsi="宋体" w:eastAsia="宋体" w:cs="宋体"/>
      <w:color w:val="000000"/>
      <w:sz w:val="20"/>
      <w:szCs w:val="20"/>
      <w:u w:val="none"/>
    </w:rPr>
  </w:style>
  <w:style w:type="character" w:customStyle="1" w:styleId="101">
    <w:name w:val="文档结构图 Char Char"/>
    <w:qFormat/>
    <w:uiPriority w:val="0"/>
    <w:rPr>
      <w:rFonts w:hint="eastAsia" w:ascii="Microsoft YaHei UI" w:hAnsi="Tahoma" w:eastAsia="Microsoft YaHei UI" w:cs="Microsoft YaHei UI"/>
      <w:kern w:val="2"/>
      <w:sz w:val="18"/>
      <w:szCs w:val="18"/>
    </w:rPr>
  </w:style>
  <w:style w:type="character" w:customStyle="1" w:styleId="102">
    <w:name w:val="HTML 预设格式 Char2"/>
    <w:qFormat/>
    <w:uiPriority w:val="0"/>
    <w:rPr>
      <w:rFonts w:ascii="Courier New" w:hAnsi="Courier New" w:cs="Courier New"/>
      <w:kern w:val="2"/>
      <w:sz w:val="24"/>
      <w:szCs w:val="20"/>
    </w:rPr>
  </w:style>
  <w:style w:type="character" w:customStyle="1" w:styleId="103">
    <w:name w:val="正文文本缩进 2 Char Char"/>
    <w:qFormat/>
    <w:uiPriority w:val="0"/>
    <w:rPr>
      <w:rFonts w:ascii="Tahoma" w:hAnsi="Tahoma"/>
      <w:kern w:val="2"/>
      <w:sz w:val="21"/>
      <w:szCs w:val="20"/>
    </w:rPr>
  </w:style>
  <w:style w:type="character" w:customStyle="1" w:styleId="104">
    <w:name w:val="c_title1"/>
    <w:qFormat/>
    <w:uiPriority w:val="0"/>
    <w:rPr>
      <w:rFonts w:hint="eastAsia" w:ascii="黑体" w:hAnsi="Tahoma" w:eastAsia="黑体" w:cs="黑体"/>
      <w:b/>
      <w:color w:val="03005C"/>
      <w:sz w:val="30"/>
      <w:szCs w:val="30"/>
      <w:u w:val="none"/>
    </w:rPr>
  </w:style>
  <w:style w:type="character" w:customStyle="1" w:styleId="105">
    <w:name w:val="a41"/>
    <w:qFormat/>
    <w:uiPriority w:val="0"/>
    <w:rPr>
      <w:rFonts w:ascii="Tahoma" w:hAnsi="Tahoma"/>
      <w:color w:val="666666"/>
      <w:sz w:val="26"/>
      <w:szCs w:val="26"/>
    </w:rPr>
  </w:style>
  <w:style w:type="character" w:customStyle="1" w:styleId="106">
    <w:name w:val="正文文本缩进 Char Char"/>
    <w:qFormat/>
    <w:uiPriority w:val="0"/>
    <w:rPr>
      <w:rFonts w:ascii="Tahoma" w:hAnsi="Tahoma"/>
      <w:kern w:val="2"/>
      <w:sz w:val="21"/>
      <w:szCs w:val="24"/>
    </w:rPr>
  </w:style>
  <w:style w:type="character" w:customStyle="1" w:styleId="107">
    <w:name w:val="Table Text Char Char Char Char"/>
    <w:qFormat/>
    <w:uiPriority w:val="0"/>
    <w:rPr>
      <w:rFonts w:hint="default" w:ascii="Arial" w:hAnsi="Arial" w:eastAsia="宋体" w:cs="Arial"/>
      <w:kern w:val="2"/>
      <w:sz w:val="18"/>
      <w:szCs w:val="18"/>
      <w:lang w:val="en-US" w:eastAsia="zh-CN" w:bidi="ar"/>
    </w:rPr>
  </w:style>
  <w:style w:type="character" w:customStyle="1" w:styleId="108">
    <w:name w:val="样式 标题 1合同标题卷标题H1h1Level 1 Topic HeadingH11H12H111H13H1... Char Char"/>
    <w:qFormat/>
    <w:uiPriority w:val="0"/>
    <w:rPr>
      <w:rFonts w:hint="eastAsia" w:ascii="宋体" w:hAnsi="宋体" w:eastAsia="宋体" w:cs="宋体"/>
      <w:b/>
      <w:kern w:val="44"/>
      <w:sz w:val="24"/>
      <w:szCs w:val="44"/>
      <w:lang w:val="en-US" w:eastAsia="zh-CN" w:bidi="ar"/>
    </w:rPr>
  </w:style>
  <w:style w:type="character" w:customStyle="1" w:styleId="109">
    <w:name w:val="r21"/>
    <w:qFormat/>
    <w:uiPriority w:val="0"/>
    <w:rPr>
      <w:rFonts w:hint="default" w:ascii="Tahoma" w:hAnsi="Tahoma" w:eastAsia="Tahoma" w:cs="Tahoma"/>
      <w:b/>
      <w:color w:val="666666"/>
      <w:sz w:val="18"/>
      <w:szCs w:val="18"/>
      <w:u w:val="none"/>
    </w:rPr>
  </w:style>
  <w:style w:type="character" w:customStyle="1" w:styleId="110">
    <w:name w:val="文档结构图 Char1"/>
    <w:qFormat/>
    <w:uiPriority w:val="0"/>
    <w:rPr>
      <w:rFonts w:hint="eastAsia" w:ascii="宋体" w:hAnsi="宋体" w:eastAsia="宋体" w:cs="宋体"/>
      <w:kern w:val="2"/>
      <w:sz w:val="18"/>
      <w:szCs w:val="18"/>
    </w:rPr>
  </w:style>
  <w:style w:type="character" w:customStyle="1" w:styleId="111">
    <w:name w:val="Plain Text Char"/>
    <w:qFormat/>
    <w:uiPriority w:val="0"/>
    <w:rPr>
      <w:rFonts w:ascii="宋体" w:hAnsi="Courier New" w:eastAsia="宋体" w:cs="Times New Roman"/>
      <w:sz w:val="20"/>
      <w:szCs w:val="20"/>
    </w:rPr>
  </w:style>
  <w:style w:type="character" w:customStyle="1" w:styleId="112">
    <w:name w:val="font141"/>
    <w:qFormat/>
    <w:uiPriority w:val="0"/>
    <w:rPr>
      <w:rFonts w:hint="default" w:ascii="Tahoma" w:hAnsi="Tahoma" w:eastAsia="Tahoma" w:cs="Tahoma"/>
      <w:sz w:val="24"/>
      <w:szCs w:val="24"/>
    </w:rPr>
  </w:style>
  <w:style w:type="character" w:customStyle="1" w:styleId="113">
    <w:name w:val="纯文本 字符1"/>
    <w:qFormat/>
    <w:uiPriority w:val="0"/>
    <w:rPr>
      <w:rFonts w:ascii="等线" w:hAnsi="Courier New" w:eastAsia="等线" w:cs="Courier New"/>
      <w:kern w:val="2"/>
      <w:sz w:val="21"/>
      <w:szCs w:val="24"/>
    </w:rPr>
  </w:style>
  <w:style w:type="character" w:customStyle="1" w:styleId="114">
    <w:name w:val="fontheight2"/>
    <w:qFormat/>
    <w:uiPriority w:val="0"/>
    <w:rPr>
      <w:rFonts w:ascii="Tahoma" w:hAnsi="Tahoma"/>
      <w:sz w:val="20"/>
      <w:szCs w:val="20"/>
      <w:u w:val="none"/>
    </w:rPr>
  </w:style>
  <w:style w:type="character" w:customStyle="1" w:styleId="115">
    <w:name w:val="kleintab"/>
    <w:qFormat/>
    <w:uiPriority w:val="0"/>
    <w:rPr>
      <w:rFonts w:hint="default" w:ascii="Tahoma" w:hAnsi="Tahoma" w:eastAsia="Tahoma" w:cs="Tahoma"/>
      <w:b/>
      <w:sz w:val="24"/>
      <w:szCs w:val="24"/>
    </w:rPr>
  </w:style>
  <w:style w:type="character" w:customStyle="1" w:styleId="116">
    <w:name w:val="text1"/>
    <w:qFormat/>
    <w:uiPriority w:val="0"/>
    <w:rPr>
      <w:rFonts w:ascii="Tahoma" w:hAnsi="Tahoma"/>
      <w:color w:val="000000"/>
      <w:sz w:val="24"/>
      <w:szCs w:val="24"/>
    </w:rPr>
  </w:style>
  <w:style w:type="character" w:customStyle="1" w:styleId="117">
    <w:name w:val="标题 2 Char"/>
    <w:qFormat/>
    <w:uiPriority w:val="0"/>
    <w:rPr>
      <w:rFonts w:hint="default" w:ascii="Arial" w:hAnsi="Arial" w:eastAsia="黑体" w:cs="Arial"/>
      <w:b/>
      <w:kern w:val="2"/>
      <w:sz w:val="32"/>
      <w:szCs w:val="32"/>
    </w:rPr>
  </w:style>
  <w:style w:type="character" w:customStyle="1" w:styleId="118">
    <w:name w:val="页码1"/>
    <w:qFormat/>
    <w:uiPriority w:val="0"/>
    <w:rPr>
      <w:rFonts w:hint="default" w:ascii="Times New Roman" w:hAnsi="Tahoma" w:cs="Times New Roman"/>
      <w:b/>
      <w:sz w:val="24"/>
      <w:szCs w:val="24"/>
    </w:rPr>
  </w:style>
  <w:style w:type="character" w:customStyle="1" w:styleId="119">
    <w:name w:val="font71"/>
    <w:qFormat/>
    <w:uiPriority w:val="0"/>
    <w:rPr>
      <w:rFonts w:hint="eastAsia" w:ascii="宋体" w:hAnsi="宋体" w:eastAsia="宋体" w:cs="宋体"/>
      <w:b/>
      <w:color w:val="000000"/>
      <w:sz w:val="22"/>
      <w:szCs w:val="22"/>
      <w:u w:val="none"/>
    </w:rPr>
  </w:style>
  <w:style w:type="character" w:customStyle="1" w:styleId="120">
    <w:name w:val="medium_text1"/>
    <w:qFormat/>
    <w:uiPriority w:val="0"/>
    <w:rPr>
      <w:rFonts w:hint="default" w:ascii="Times New Roman" w:hAnsi="Times New Roman" w:cs="Times New Roman"/>
      <w:sz w:val="24"/>
      <w:szCs w:val="24"/>
    </w:rPr>
  </w:style>
  <w:style w:type="character" w:customStyle="1" w:styleId="121">
    <w:name w:val="md1"/>
    <w:qFormat/>
    <w:uiPriority w:val="0"/>
    <w:rPr>
      <w:rFonts w:ascii="Tahoma" w:hAnsi="Tahoma"/>
      <w:sz w:val="21"/>
      <w:szCs w:val="21"/>
    </w:rPr>
  </w:style>
  <w:style w:type="character" w:customStyle="1" w:styleId="122">
    <w:name w:val="tx_news9"/>
    <w:qFormat/>
    <w:uiPriority w:val="0"/>
    <w:rPr>
      <w:rFonts w:hint="default" w:ascii="Tahoma" w:hAnsi="Tahoma" w:eastAsia="Tahoma" w:cs="Tahoma"/>
      <w:b/>
      <w:sz w:val="24"/>
      <w:szCs w:val="24"/>
    </w:rPr>
  </w:style>
  <w:style w:type="character" w:customStyle="1" w:styleId="123">
    <w:name w:val="正文文本缩进 字符1"/>
    <w:qFormat/>
    <w:uiPriority w:val="0"/>
    <w:rPr>
      <w:rFonts w:ascii="Tahoma" w:hAnsi="Tahoma"/>
      <w:kern w:val="2"/>
      <w:sz w:val="21"/>
      <w:szCs w:val="24"/>
    </w:rPr>
  </w:style>
  <w:style w:type="character" w:customStyle="1" w:styleId="124">
    <w:name w:val="纯文本 Char Char"/>
    <w:qFormat/>
    <w:uiPriority w:val="0"/>
    <w:rPr>
      <w:rFonts w:ascii="宋体" w:hAnsi="Courier New" w:eastAsia="宋体"/>
      <w:kern w:val="2"/>
      <w:sz w:val="24"/>
      <w:szCs w:val="24"/>
      <w:lang w:val="en-US" w:eastAsia="zh-CN" w:bidi="ar-SA"/>
    </w:rPr>
  </w:style>
  <w:style w:type="character" w:customStyle="1" w:styleId="125">
    <w:name w:val="aa1"/>
    <w:qFormat/>
    <w:uiPriority w:val="0"/>
    <w:rPr>
      <w:rFonts w:hint="default" w:ascii="Tahoma" w:hAnsi="Tahoma" w:eastAsia="Tahoma" w:cs="Tahoma"/>
      <w:b/>
      <w:sz w:val="24"/>
      <w:szCs w:val="24"/>
    </w:rPr>
  </w:style>
  <w:style w:type="character" w:customStyle="1" w:styleId="126">
    <w:name w:val="font11"/>
    <w:qFormat/>
    <w:uiPriority w:val="0"/>
    <w:rPr>
      <w:rFonts w:hint="eastAsia" w:ascii="宋体" w:hAnsi="宋体" w:eastAsia="宋体"/>
      <w:color w:val="000000"/>
      <w:sz w:val="18"/>
      <w:szCs w:val="18"/>
      <w:u w:val="none"/>
    </w:rPr>
  </w:style>
  <w:style w:type="character" w:customStyle="1" w:styleId="127">
    <w:name w:val="font112"/>
    <w:qFormat/>
    <w:uiPriority w:val="0"/>
    <w:rPr>
      <w:rFonts w:hint="eastAsia" w:ascii="宋体" w:hAnsi="宋体" w:eastAsia="宋体" w:cs="宋体"/>
      <w:b/>
      <w:color w:val="000000"/>
      <w:sz w:val="22"/>
      <w:szCs w:val="22"/>
      <w:u w:val="none"/>
    </w:rPr>
  </w:style>
  <w:style w:type="character" w:customStyle="1" w:styleId="128">
    <w:name w:val="font61"/>
    <w:qFormat/>
    <w:uiPriority w:val="0"/>
    <w:rPr>
      <w:rFonts w:hint="eastAsia" w:ascii="宋体" w:hAnsi="宋体" w:eastAsia="宋体" w:cs="宋体"/>
      <w:color w:val="000000"/>
      <w:sz w:val="20"/>
      <w:szCs w:val="20"/>
      <w:u w:val="none"/>
    </w:rPr>
  </w:style>
  <w:style w:type="character" w:customStyle="1" w:styleId="129">
    <w:name w:val="msobooktitle"/>
    <w:qFormat/>
    <w:uiPriority w:val="0"/>
    <w:rPr>
      <w:rFonts w:ascii="Tahoma" w:hAnsi="Tahoma"/>
      <w:b/>
      <w:smallCaps/>
      <w:spacing w:val="5"/>
      <w:sz w:val="24"/>
      <w:szCs w:val="20"/>
    </w:rPr>
  </w:style>
  <w:style w:type="character" w:customStyle="1" w:styleId="130">
    <w:name w:val="样式 宋体"/>
    <w:qFormat/>
    <w:uiPriority w:val="0"/>
    <w:rPr>
      <w:rFonts w:ascii="宋体" w:hAnsi="宋体" w:eastAsia="宋体"/>
      <w:sz w:val="24"/>
      <w:szCs w:val="24"/>
    </w:rPr>
  </w:style>
  <w:style w:type="character" w:customStyle="1" w:styleId="131">
    <w:name w:val="font181"/>
    <w:qFormat/>
    <w:uiPriority w:val="0"/>
    <w:rPr>
      <w:rFonts w:hint="default" w:ascii="Times New Roman" w:hAnsi="Times New Roman" w:cs="Times New Roman"/>
      <w:b/>
      <w:color w:val="000000"/>
      <w:sz w:val="22"/>
      <w:szCs w:val="22"/>
      <w:u w:val="none"/>
    </w:rPr>
  </w:style>
  <w:style w:type="character" w:customStyle="1" w:styleId="132">
    <w:name w:val="页脚 字符1"/>
    <w:qFormat/>
    <w:uiPriority w:val="0"/>
    <w:rPr>
      <w:rFonts w:ascii="Tahoma" w:hAnsi="Tahoma"/>
      <w:kern w:val="2"/>
      <w:sz w:val="18"/>
      <w:szCs w:val="18"/>
    </w:rPr>
  </w:style>
  <w:style w:type="character" w:customStyle="1" w:styleId="133">
    <w:name w:val="批注主题 Char Char"/>
    <w:qFormat/>
    <w:uiPriority w:val="0"/>
    <w:rPr>
      <w:kern w:val="2"/>
      <w:sz w:val="21"/>
      <w:szCs w:val="24"/>
    </w:rPr>
  </w:style>
  <w:style w:type="character" w:customStyle="1" w:styleId="134">
    <w:name w:val="普通文字 Char Char1"/>
    <w:qFormat/>
    <w:uiPriority w:val="0"/>
    <w:rPr>
      <w:rFonts w:ascii="宋体" w:hAnsi="Courier New" w:eastAsia="宋体"/>
      <w:kern w:val="2"/>
      <w:sz w:val="24"/>
      <w:szCs w:val="24"/>
      <w:lang w:val="en-US" w:eastAsia="zh-CN" w:bidi="ar-SA"/>
    </w:rPr>
  </w:style>
  <w:style w:type="character" w:customStyle="1" w:styleId="135">
    <w:name w:val="页脚 Char Char"/>
    <w:qFormat/>
    <w:uiPriority w:val="0"/>
    <w:rPr>
      <w:rFonts w:eastAsia="黑体"/>
      <w:snapToGrid w:val="0"/>
      <w:kern w:val="2"/>
      <w:sz w:val="18"/>
      <w:szCs w:val="18"/>
    </w:rPr>
  </w:style>
  <w:style w:type="character" w:customStyle="1" w:styleId="136">
    <w:name w:val="标题 1 字符"/>
    <w:qFormat/>
    <w:uiPriority w:val="0"/>
    <w:rPr>
      <w:rFonts w:ascii="Tahoma" w:hAnsi="Tahoma"/>
      <w:b/>
      <w:kern w:val="44"/>
      <w:sz w:val="44"/>
      <w:szCs w:val="44"/>
    </w:rPr>
  </w:style>
  <w:style w:type="character" w:customStyle="1" w:styleId="137">
    <w:name w:val="纯文本 Char1"/>
    <w:qFormat/>
    <w:uiPriority w:val="0"/>
    <w:rPr>
      <w:rFonts w:ascii="宋体" w:hAnsi="Courier New" w:eastAsia="宋体" w:cs="Courier New"/>
      <w:kern w:val="2"/>
      <w:sz w:val="21"/>
      <w:szCs w:val="21"/>
      <w:lang w:val="en-US" w:eastAsia="zh-CN" w:bidi="ar-SA"/>
    </w:rPr>
  </w:style>
  <w:style w:type="character" w:customStyle="1" w:styleId="138">
    <w:name w:val="正文文本 3 Char Char"/>
    <w:qFormat/>
    <w:uiPriority w:val="0"/>
    <w:rPr>
      <w:rFonts w:ascii="Tahoma" w:hAnsi="Tahoma"/>
      <w:kern w:val="2"/>
      <w:sz w:val="16"/>
      <w:szCs w:val="16"/>
    </w:rPr>
  </w:style>
  <w:style w:type="character" w:customStyle="1" w:styleId="139">
    <w:name w:val="H5 Char"/>
    <w:qFormat/>
    <w:uiPriority w:val="0"/>
    <w:rPr>
      <w:rFonts w:ascii="Tahoma" w:hAnsi="Tahoma"/>
      <w:sz w:val="28"/>
      <w:szCs w:val="20"/>
    </w:rPr>
  </w:style>
  <w:style w:type="character" w:customStyle="1" w:styleId="140">
    <w:name w:val="HTML 预设格式 Char1"/>
    <w:qFormat/>
    <w:uiPriority w:val="0"/>
    <w:rPr>
      <w:rFonts w:hint="default" w:ascii="Courier New" w:hAnsi="Courier New" w:cs="Courier New"/>
      <w:kern w:val="2"/>
      <w:sz w:val="24"/>
      <w:szCs w:val="20"/>
    </w:rPr>
  </w:style>
  <w:style w:type="character" w:customStyle="1" w:styleId="141">
    <w:name w:val="正文文本缩进 Char2"/>
    <w:qFormat/>
    <w:uiPriority w:val="0"/>
    <w:rPr>
      <w:rFonts w:hint="eastAsia" w:ascii="宋体" w:hAnsi="Courier New" w:eastAsia="宋体" w:cs="宋体"/>
      <w:spacing w:val="-4"/>
      <w:kern w:val="2"/>
      <w:sz w:val="18"/>
      <w:szCs w:val="20"/>
    </w:rPr>
  </w:style>
  <w:style w:type="character" w:customStyle="1" w:styleId="142">
    <w:name w:val="样式 标题 1合同标题卷标题H1h1Level 1 Topic HeadingH11H12H111H13H1... Char"/>
    <w:qFormat/>
    <w:uiPriority w:val="0"/>
    <w:rPr>
      <w:rFonts w:ascii="宋体" w:hAnsi="宋体" w:eastAsia="宋体"/>
      <w:b/>
      <w:bCs/>
      <w:kern w:val="44"/>
      <w:sz w:val="24"/>
      <w:szCs w:val="44"/>
      <w:lang w:val="en-US" w:eastAsia="zh-CN" w:bidi="ar-SA"/>
    </w:rPr>
  </w:style>
  <w:style w:type="character" w:customStyle="1" w:styleId="143">
    <w:name w:val="font31"/>
    <w:basedOn w:val="48"/>
    <w:qFormat/>
    <w:uiPriority w:val="0"/>
    <w:rPr>
      <w:rFonts w:hint="eastAsia" w:ascii="Microsoft JhengHei" w:hAnsi="Microsoft JhengHei" w:eastAsia="Microsoft JhengHei" w:cs="Microsoft JhengHei"/>
      <w:b/>
      <w:color w:val="000000"/>
      <w:sz w:val="11"/>
      <w:szCs w:val="11"/>
      <w:u w:val="none"/>
    </w:rPr>
  </w:style>
  <w:style w:type="paragraph" w:customStyle="1" w:styleId="144">
    <w:name w:val="正文缩进2格"/>
    <w:basedOn w:val="1"/>
    <w:qFormat/>
    <w:uiPriority w:val="0"/>
    <w:pPr>
      <w:spacing w:line="600" w:lineRule="exact"/>
      <w:ind w:firstLine="639" w:firstLineChars="206"/>
    </w:pPr>
    <w:rPr>
      <w:rFonts w:hint="eastAsia" w:ascii="仿宋_GB2312" w:hAnsi="宋体" w:eastAsia="仿宋_GB2312"/>
      <w:sz w:val="31"/>
      <w:szCs w:val="28"/>
    </w:rPr>
  </w:style>
  <w:style w:type="paragraph" w:customStyle="1" w:styleId="145">
    <w:name w:val="Char Char Char Char Char Char Char Char Char Char Char Char1 Char"/>
    <w:basedOn w:val="18"/>
    <w:qFormat/>
    <w:uiPriority w:val="0"/>
    <w:rPr>
      <w:rFonts w:ascii="Tahoma" w:hAnsi="Tahoma"/>
      <w:sz w:val="24"/>
    </w:rPr>
  </w:style>
  <w:style w:type="paragraph" w:customStyle="1" w:styleId="146">
    <w:name w:val="表格"/>
    <w:basedOn w:val="1"/>
    <w:qFormat/>
    <w:uiPriority w:val="0"/>
    <w:pPr>
      <w:widowControl/>
      <w:jc w:val="center"/>
    </w:pPr>
    <w:rPr>
      <w:rFonts w:ascii="宋体" w:hAnsi="宋体"/>
      <w:bCs/>
      <w:color w:val="000000"/>
      <w:kern w:val="0"/>
      <w:szCs w:val="21"/>
    </w:rPr>
  </w:style>
  <w:style w:type="paragraph" w:customStyle="1" w:styleId="147">
    <w:name w:val="一级条标题"/>
    <w:basedOn w:val="1"/>
    <w:next w:val="148"/>
    <w:qFormat/>
    <w:uiPriority w:val="0"/>
    <w:pPr>
      <w:widowControl/>
      <w:numPr>
        <w:ilvl w:val="1"/>
        <w:numId w:val="2"/>
      </w:numPr>
      <w:spacing w:before="156" w:beforeLines="50"/>
      <w:outlineLvl w:val="2"/>
    </w:pPr>
    <w:rPr>
      <w:rFonts w:hint="eastAsia" w:ascii="黑体" w:eastAsia="黑体"/>
      <w:kern w:val="0"/>
      <w:sz w:val="20"/>
      <w:szCs w:val="21"/>
    </w:rPr>
  </w:style>
  <w:style w:type="paragraph" w:customStyle="1" w:styleId="14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Char Char Char Char Char Char"/>
    <w:basedOn w:val="1"/>
    <w:qFormat/>
    <w:uiPriority w:val="0"/>
    <w:pPr>
      <w:ind w:firstLine="200" w:firstLineChars="200"/>
    </w:pPr>
    <w:rPr>
      <w:rFonts w:ascii="Tahoma" w:hAnsi="Tahoma"/>
      <w:sz w:val="24"/>
      <w:szCs w:val="20"/>
    </w:rPr>
  </w:style>
  <w:style w:type="paragraph" w:customStyle="1" w:styleId="150">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151">
    <w:name w:val="方案正文"/>
    <w:basedOn w:val="1"/>
    <w:qFormat/>
    <w:uiPriority w:val="0"/>
    <w:pPr>
      <w:spacing w:before="120" w:line="360" w:lineRule="auto"/>
      <w:ind w:firstLine="425" w:firstLineChars="177"/>
    </w:pPr>
    <w:rPr>
      <w:rFonts w:ascii="华文细黑" w:hAnsi="华文细黑" w:eastAsia="华文细黑"/>
      <w:sz w:val="24"/>
    </w:rPr>
  </w:style>
  <w:style w:type="paragraph" w:customStyle="1" w:styleId="152">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53">
    <w:name w:val="_Style 1"/>
    <w:basedOn w:val="1"/>
    <w:qFormat/>
    <w:uiPriority w:val="0"/>
    <w:pPr>
      <w:ind w:firstLine="420" w:firstLineChars="200"/>
    </w:pPr>
    <w:rPr>
      <w:rFonts w:ascii="Calibri" w:hAnsi="Calibri"/>
      <w:szCs w:val="22"/>
    </w:rPr>
  </w:style>
  <w:style w:type="paragraph" w:customStyle="1" w:styleId="154">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55">
    <w:name w:val="Char Char Char1 Char8"/>
    <w:basedOn w:val="1"/>
    <w:qFormat/>
    <w:uiPriority w:val="0"/>
    <w:pPr>
      <w:spacing w:line="360" w:lineRule="auto"/>
      <w:ind w:firstLine="200" w:firstLineChars="200"/>
    </w:pPr>
    <w:rPr>
      <w:rFonts w:hint="eastAsia" w:ascii="宋体" w:hAnsi="宋体"/>
      <w:sz w:val="24"/>
      <w:szCs w:val="20"/>
    </w:rPr>
  </w:style>
  <w:style w:type="paragraph" w:customStyle="1" w:styleId="156">
    <w:name w:val="List Paragraph1"/>
    <w:basedOn w:val="1"/>
    <w:qFormat/>
    <w:uiPriority w:val="34"/>
    <w:pPr>
      <w:ind w:firstLine="420" w:firstLineChars="200"/>
    </w:pPr>
  </w:style>
  <w:style w:type="paragraph" w:customStyle="1" w:styleId="157">
    <w:name w:val="Normal Char"/>
    <w:basedOn w:val="1"/>
    <w:qFormat/>
    <w:uiPriority w:val="0"/>
    <w:pPr>
      <w:suppressAutoHyphens/>
      <w:autoSpaceDE w:val="0"/>
      <w:jc w:val="left"/>
    </w:pPr>
    <w:rPr>
      <w:rFonts w:ascii="Thorndale" w:hAnsi="Thorndale" w:eastAsia="HG Mincho Light J"/>
      <w:color w:val="000000"/>
      <w:kern w:val="0"/>
      <w:sz w:val="20"/>
      <w:szCs w:val="20"/>
      <w:lang w:val="hu-HU"/>
    </w:rPr>
  </w:style>
  <w:style w:type="paragraph" w:customStyle="1" w:styleId="158">
    <w:name w:val="p0"/>
    <w:basedOn w:val="1"/>
    <w:qFormat/>
    <w:uiPriority w:val="0"/>
    <w:pPr>
      <w:widowControl/>
    </w:pPr>
    <w:rPr>
      <w:kern w:val="0"/>
      <w:szCs w:val="21"/>
    </w:rPr>
  </w:style>
  <w:style w:type="paragraph" w:customStyle="1" w:styleId="159">
    <w:name w:val="正文表标题"/>
    <w:next w:val="148"/>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160">
    <w:name w:val="Table Paragraph"/>
    <w:basedOn w:val="1"/>
    <w:qFormat/>
    <w:uiPriority w:val="1"/>
    <w:pPr>
      <w:spacing w:before="94"/>
      <w:jc w:val="center"/>
    </w:pPr>
    <w:rPr>
      <w:rFonts w:ascii="宋体" w:hAnsi="宋体" w:cs="宋体"/>
      <w:lang w:val="zh-CN" w:bidi="zh-CN"/>
    </w:rPr>
  </w:style>
  <w:style w:type="paragraph" w:customStyle="1" w:styleId="161">
    <w:name w:val="自由格式 A"/>
    <w:qFormat/>
    <w:uiPriority w:val="0"/>
    <w:rPr>
      <w:rFonts w:ascii="Helvetica" w:hAnsi="Helvetica" w:eastAsia="ヒラギノ角ゴ Pro W3" w:cs="Times New Roman"/>
      <w:color w:val="000000"/>
      <w:sz w:val="24"/>
      <w:lang w:val="en-US" w:eastAsia="zh-CN" w:bidi="ar-SA"/>
    </w:rPr>
  </w:style>
  <w:style w:type="paragraph" w:customStyle="1" w:styleId="16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63">
    <w:name w:val="_Style 3"/>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164">
    <w:name w:val="List Paragraph"/>
    <w:basedOn w:val="1"/>
    <w:qFormat/>
    <w:uiPriority w:val="0"/>
    <w:pPr>
      <w:ind w:firstLine="420" w:firstLineChars="200"/>
    </w:pPr>
    <w:rPr>
      <w:rFonts w:ascii="Calibri" w:hAnsi="Calibri"/>
      <w:szCs w:val="22"/>
    </w:rPr>
  </w:style>
  <w:style w:type="paragraph" w:customStyle="1" w:styleId="165">
    <w:name w:val="列出段落8"/>
    <w:basedOn w:val="1"/>
    <w:qFormat/>
    <w:uiPriority w:val="34"/>
    <w:pPr>
      <w:ind w:firstLine="420"/>
    </w:pPr>
    <w:rPr>
      <w:rFonts w:ascii="Calibri" w:hAnsi="Calibri"/>
      <w:szCs w:val="22"/>
    </w:rPr>
  </w:style>
  <w:style w:type="paragraph" w:customStyle="1" w:styleId="166">
    <w:name w:val="二级无"/>
    <w:basedOn w:val="167"/>
    <w:qFormat/>
    <w:uiPriority w:val="0"/>
    <w:pPr>
      <w:tabs>
        <w:tab w:val="left" w:pos="1260"/>
        <w:tab w:val="left" w:pos="1680"/>
      </w:tabs>
      <w:spacing w:before="0" w:beforeLines="0"/>
    </w:pPr>
    <w:rPr>
      <w:rFonts w:ascii="宋体" w:eastAsia="宋体"/>
      <w:sz w:val="21"/>
    </w:rPr>
  </w:style>
  <w:style w:type="paragraph" w:customStyle="1" w:styleId="167">
    <w:name w:val="二级条标题"/>
    <w:basedOn w:val="147"/>
    <w:next w:val="148"/>
    <w:qFormat/>
    <w:uiPriority w:val="0"/>
    <w:pPr>
      <w:numPr>
        <w:ilvl w:val="3"/>
        <w:numId w:val="4"/>
      </w:numPr>
      <w:tabs>
        <w:tab w:val="clear" w:pos="1080"/>
      </w:tabs>
      <w:ind w:left="2310" w:firstLine="0"/>
      <w:outlineLvl w:val="3"/>
    </w:pPr>
  </w:style>
  <w:style w:type="paragraph" w:customStyle="1" w:styleId="168">
    <w:name w:val="Char Char Char Char Char Char Char Char Char Char Char Char"/>
    <w:basedOn w:val="1"/>
    <w:qFormat/>
    <w:uiPriority w:val="0"/>
    <w:pPr>
      <w:widowControl/>
      <w:spacing w:after="160" w:line="240" w:lineRule="exact"/>
      <w:jc w:val="left"/>
    </w:pPr>
  </w:style>
  <w:style w:type="paragraph" w:customStyle="1" w:styleId="169">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0">
    <w:name w:val="_Style 0"/>
    <w:basedOn w:val="1"/>
    <w:qFormat/>
    <w:uiPriority w:val="0"/>
    <w:rPr>
      <w:szCs w:val="21"/>
    </w:rPr>
  </w:style>
  <w:style w:type="paragraph" w:customStyle="1" w:styleId="171">
    <w:name w:val="正文 New"/>
    <w:basedOn w:val="1"/>
    <w:qFormat/>
    <w:uiPriority w:val="0"/>
  </w:style>
  <w:style w:type="paragraph" w:customStyle="1" w:styleId="17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73">
    <w:name w:val="Char Char Char Char Char Char Char Char Char Char Char Char1 Char1"/>
    <w:basedOn w:val="18"/>
    <w:qFormat/>
    <w:uiPriority w:val="0"/>
    <w:rPr>
      <w:rFonts w:ascii="Tahoma" w:hAnsi="Tahoma"/>
      <w:sz w:val="24"/>
    </w:rPr>
  </w:style>
  <w:style w:type="paragraph" w:customStyle="1" w:styleId="17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75">
    <w:name w:val="--规划正文"/>
    <w:basedOn w:val="1"/>
    <w:qFormat/>
    <w:uiPriority w:val="0"/>
    <w:pPr>
      <w:spacing w:line="360" w:lineRule="auto"/>
      <w:ind w:firstLine="200" w:firstLineChars="200"/>
    </w:pPr>
    <w:rPr>
      <w:szCs w:val="20"/>
    </w:rPr>
  </w:style>
  <w:style w:type="paragraph" w:customStyle="1" w:styleId="176">
    <w:name w:val="此正文"/>
    <w:basedOn w:val="1"/>
    <w:qFormat/>
    <w:uiPriority w:val="0"/>
    <w:pPr>
      <w:spacing w:line="360" w:lineRule="auto"/>
      <w:ind w:firstLine="200" w:firstLineChars="200"/>
    </w:pPr>
    <w:rPr>
      <w:sz w:val="24"/>
    </w:rPr>
  </w:style>
  <w:style w:type="paragraph" w:customStyle="1" w:styleId="177">
    <w:name w:val="xl8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8">
    <w:name w:val="msonospacing"/>
    <w:basedOn w:val="1"/>
    <w:qFormat/>
    <w:uiPriority w:val="0"/>
    <w:rPr>
      <w:szCs w:val="21"/>
    </w:rPr>
  </w:style>
  <w:style w:type="paragraph" w:styleId="179">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
    <w:name w:val="样式5"/>
    <w:basedOn w:val="1"/>
    <w:qFormat/>
    <w:uiPriority w:val="0"/>
    <w:pPr>
      <w:spacing w:before="120" w:line="360" w:lineRule="auto"/>
      <w:ind w:firstLine="425" w:firstLineChars="177"/>
    </w:pPr>
    <w:rPr>
      <w:rFonts w:ascii="华文细黑" w:hAnsi="华文细黑" w:eastAsia="华文细黑"/>
      <w:sz w:val="24"/>
    </w:rPr>
  </w:style>
  <w:style w:type="paragraph" w:customStyle="1" w:styleId="181">
    <w:name w:val="正文文本缩进1"/>
    <w:basedOn w:val="1"/>
    <w:qFormat/>
    <w:uiPriority w:val="0"/>
    <w:pPr>
      <w:spacing w:line="200" w:lineRule="exact"/>
      <w:ind w:firstLine="301"/>
    </w:pPr>
    <w:rPr>
      <w:rFonts w:hint="eastAsia" w:ascii="宋体" w:hAnsi="Courier New"/>
      <w:spacing w:val="-4"/>
      <w:sz w:val="18"/>
    </w:rPr>
  </w:style>
  <w:style w:type="paragraph" w:customStyle="1" w:styleId="182">
    <w:name w:val="Char Char Char1"/>
    <w:basedOn w:val="1"/>
    <w:qFormat/>
    <w:uiPriority w:val="0"/>
  </w:style>
  <w:style w:type="paragraph" w:customStyle="1" w:styleId="183">
    <w:name w:val="章标题"/>
    <w:basedOn w:val="1"/>
    <w:next w:val="148"/>
    <w:qFormat/>
    <w:uiPriority w:val="0"/>
    <w:pPr>
      <w:widowControl/>
      <w:numPr>
        <w:ilvl w:val="0"/>
        <w:numId w:val="5"/>
      </w:numPr>
      <w:spacing w:before="312" w:beforeLines="100"/>
      <w:outlineLvl w:val="1"/>
    </w:pPr>
    <w:rPr>
      <w:rFonts w:hint="eastAsia" w:ascii="黑体" w:eastAsia="黑体"/>
      <w:kern w:val="0"/>
      <w:sz w:val="20"/>
      <w:szCs w:val="20"/>
    </w:rPr>
  </w:style>
  <w:style w:type="paragraph" w:customStyle="1" w:styleId="184">
    <w:name w:val="Char1"/>
    <w:basedOn w:val="1"/>
    <w:qFormat/>
    <w:uiPriority w:val="0"/>
  </w:style>
  <w:style w:type="paragraph" w:customStyle="1" w:styleId="185">
    <w:name w:val="默认段落字体 Para Char Char Char Char Char Char Char"/>
    <w:basedOn w:val="18"/>
    <w:qFormat/>
    <w:uiPriority w:val="0"/>
    <w:pPr>
      <w:adjustRightInd w:val="0"/>
      <w:spacing w:line="436" w:lineRule="exact"/>
      <w:ind w:left="357"/>
      <w:jc w:val="left"/>
      <w:outlineLvl w:val="3"/>
    </w:pPr>
    <w:rPr>
      <w:rFonts w:ascii="Tahoma" w:hAnsi="Tahoma"/>
      <w:b/>
      <w:sz w:val="24"/>
    </w:rPr>
  </w:style>
  <w:style w:type="paragraph" w:customStyle="1" w:styleId="186">
    <w:name w:val="Char Char Char Char Char Char Char"/>
    <w:basedOn w:val="1"/>
    <w:qFormat/>
    <w:uiPriority w:val="0"/>
    <w:rPr>
      <w:rFonts w:ascii="Tahoma" w:hAnsi="Tahoma"/>
      <w:sz w:val="24"/>
      <w:szCs w:val="20"/>
    </w:rPr>
  </w:style>
  <w:style w:type="paragraph" w:customStyle="1" w:styleId="187">
    <w:name w:val="纯文本1"/>
    <w:basedOn w:val="150"/>
    <w:qFormat/>
    <w:uiPriority w:val="99"/>
    <w:pPr>
      <w:widowControl/>
      <w:jc w:val="left"/>
    </w:pPr>
    <w:rPr>
      <w:rFonts w:ascii="宋体" w:hAnsi="Courier New" w:cs="宋体"/>
    </w:rPr>
  </w:style>
  <w:style w:type="paragraph" w:customStyle="1" w:styleId="188">
    <w:name w:val="文档正文"/>
    <w:basedOn w:val="1"/>
    <w:qFormat/>
    <w:uiPriority w:val="0"/>
    <w:pPr>
      <w:adjustRightInd w:val="0"/>
      <w:snapToGrid w:val="0"/>
      <w:spacing w:line="480" w:lineRule="atLeast"/>
      <w:ind w:firstLine="567"/>
    </w:pPr>
    <w:rPr>
      <w:rFonts w:ascii="长城仿宋" w:eastAsia="长城仿宋"/>
      <w:kern w:val="0"/>
      <w:szCs w:val="20"/>
    </w:rPr>
  </w:style>
  <w:style w:type="paragraph" w:customStyle="1" w:styleId="189">
    <w:name w:val="Char11"/>
    <w:basedOn w:val="1"/>
    <w:qFormat/>
    <w:uiPriority w:val="0"/>
    <w:rPr>
      <w:rFonts w:ascii="Tahoma" w:hAnsi="Tahoma"/>
      <w:sz w:val="24"/>
      <w:szCs w:val="20"/>
    </w:rPr>
  </w:style>
  <w:style w:type="paragraph" w:customStyle="1" w:styleId="190">
    <w:name w:val="样式1"/>
    <w:basedOn w:val="7"/>
    <w:qFormat/>
    <w:uiPriority w:val="0"/>
  </w:style>
  <w:style w:type="paragraph" w:customStyle="1" w:styleId="191">
    <w:name w:val="表格文字"/>
    <w:basedOn w:val="1"/>
    <w:next w:val="21"/>
    <w:qFormat/>
    <w:uiPriority w:val="0"/>
    <w:pPr>
      <w:jc w:val="center"/>
    </w:pPr>
    <w:rPr>
      <w:rFonts w:ascii="Arial" w:hAnsi="Arial" w:eastAsia="仿宋_GB2312" w:cs="Arial"/>
      <w:spacing w:val="10"/>
      <w:sz w:val="24"/>
      <w:szCs w:val="28"/>
    </w:rPr>
  </w:style>
  <w:style w:type="paragraph" w:customStyle="1" w:styleId="192">
    <w:name w:val="xl27"/>
    <w:basedOn w:val="1"/>
    <w:qFormat/>
    <w:uiPriority w:val="0"/>
    <w:pPr>
      <w:widowControl/>
      <w:spacing w:before="100" w:beforeAutospacing="1" w:after="100" w:afterAutospacing="1"/>
      <w:textAlignment w:val="top"/>
    </w:pPr>
    <w:rPr>
      <w:rFonts w:ascii="宋体" w:hAnsi="宋体"/>
      <w:kern w:val="0"/>
      <w:sz w:val="24"/>
    </w:rPr>
  </w:style>
  <w:style w:type="paragraph" w:customStyle="1" w:styleId="193">
    <w:name w:val="正文－恩普"/>
    <w:basedOn w:val="10"/>
    <w:qFormat/>
    <w:uiPriority w:val="0"/>
    <w:pPr>
      <w:widowControl/>
      <w:spacing w:line="360" w:lineRule="auto"/>
      <w:ind w:firstLine="480" w:firstLineChars="200"/>
      <w:jc w:val="left"/>
    </w:pPr>
    <w:rPr>
      <w:kern w:val="0"/>
      <w:sz w:val="24"/>
    </w:rPr>
  </w:style>
  <w:style w:type="paragraph" w:customStyle="1" w:styleId="194">
    <w:name w:val="正文段"/>
    <w:basedOn w:val="1"/>
    <w:qFormat/>
    <w:uiPriority w:val="0"/>
    <w:pPr>
      <w:widowControl/>
      <w:snapToGrid w:val="0"/>
      <w:spacing w:after="156" w:afterLines="50"/>
      <w:ind w:firstLine="200" w:firstLineChars="200"/>
    </w:pPr>
    <w:rPr>
      <w:kern w:val="0"/>
      <w:sz w:val="24"/>
      <w:szCs w:val="20"/>
    </w:rPr>
  </w:style>
  <w:style w:type="paragraph" w:customStyle="1" w:styleId="195">
    <w:name w:val="_Style 194"/>
    <w:basedOn w:val="4"/>
    <w:next w:val="1"/>
    <w:qFormat/>
    <w:uiPriority w:val="39"/>
    <w:pPr>
      <w:spacing w:line="578" w:lineRule="auto"/>
      <w:outlineLvl w:val="9"/>
    </w:pPr>
    <w:rPr>
      <w:rFonts w:ascii="Times New Roman" w:hAnsi="Times New Roman"/>
      <w:bCs/>
    </w:rPr>
  </w:style>
  <w:style w:type="paragraph" w:customStyle="1" w:styleId="196">
    <w:name w:val="默认段落字体 Para Char Char Char Char Char Char Char Char Char1 Char Char Char Char"/>
    <w:basedOn w:val="1"/>
    <w:qFormat/>
    <w:uiPriority w:val="0"/>
    <w:rPr>
      <w:rFonts w:ascii="Tahoma" w:hAnsi="Tahoma"/>
      <w:sz w:val="24"/>
      <w:szCs w:val="20"/>
    </w:rPr>
  </w:style>
  <w:style w:type="paragraph" w:customStyle="1" w:styleId="197">
    <w:name w:val="GP正文(无首行缩进)"/>
    <w:basedOn w:val="1"/>
    <w:qFormat/>
    <w:uiPriority w:val="0"/>
    <w:pPr>
      <w:spacing w:line="360" w:lineRule="auto"/>
      <w:ind w:firstLine="480" w:firstLineChars="200"/>
      <w:jc w:val="left"/>
    </w:pPr>
    <w:rPr>
      <w:rFonts w:hAnsi="宋体"/>
      <w:sz w:val="24"/>
    </w:rPr>
  </w:style>
  <w:style w:type="paragraph" w:customStyle="1" w:styleId="198">
    <w:name w:val="正文2"/>
    <w:basedOn w:val="1"/>
    <w:qFormat/>
    <w:uiPriority w:val="0"/>
    <w:pPr>
      <w:adjustRightInd w:val="0"/>
      <w:spacing w:line="318" w:lineRule="atLeast"/>
      <w:ind w:left="369" w:firstLine="369"/>
      <w:textAlignment w:val="baseline"/>
    </w:pPr>
    <w:rPr>
      <w:rFonts w:ascii="宋体"/>
      <w:szCs w:val="20"/>
    </w:rPr>
  </w:style>
  <w:style w:type="paragraph" w:customStyle="1" w:styleId="199">
    <w:name w:val="四级无"/>
    <w:basedOn w:val="1"/>
    <w:qFormat/>
    <w:uiPriority w:val="0"/>
    <w:pPr>
      <w:widowControl/>
      <w:tabs>
        <w:tab w:val="left" w:pos="2100"/>
      </w:tabs>
      <w:ind w:left="2100" w:hanging="420"/>
      <w:jc w:val="left"/>
      <w:outlineLvl w:val="5"/>
    </w:pPr>
    <w:rPr>
      <w:rFonts w:hint="eastAsia" w:ascii="宋体" w:hAnsi="Calibri"/>
      <w:kern w:val="0"/>
    </w:rPr>
  </w:style>
  <w:style w:type="paragraph" w:customStyle="1" w:styleId="200">
    <w:name w:val="Char2"/>
    <w:basedOn w:val="1"/>
    <w:qFormat/>
    <w:uiPriority w:val="0"/>
    <w:pPr>
      <w:tabs>
        <w:tab w:val="left" w:pos="1200"/>
        <w:tab w:val="left" w:pos="1800"/>
      </w:tabs>
      <w:ind w:left="1200" w:hanging="1110"/>
    </w:pPr>
    <w:rPr>
      <w:sz w:val="24"/>
    </w:rPr>
  </w:style>
  <w:style w:type="paragraph" w:customStyle="1" w:styleId="201">
    <w:name w:val="Char Char Char Char"/>
    <w:basedOn w:val="1"/>
    <w:qFormat/>
    <w:uiPriority w:val="0"/>
  </w:style>
  <w:style w:type="paragraph" w:customStyle="1" w:styleId="202">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203">
    <w:name w:val="样式3"/>
    <w:basedOn w:val="28"/>
    <w:next w:val="1"/>
    <w:qFormat/>
    <w:uiPriority w:val="99"/>
    <w:pPr>
      <w:spacing w:line="0" w:lineRule="atLeast"/>
      <w:outlineLvl w:val="0"/>
    </w:pPr>
    <w:rPr>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58</Pages>
  <Words>29268</Words>
  <Characters>30332</Characters>
  <Lines>249</Lines>
  <Paragraphs>70</Paragraphs>
  <TotalTime>56</TotalTime>
  <ScaleCrop>false</ScaleCrop>
  <LinksUpToDate>false</LinksUpToDate>
  <CharactersWithSpaces>32915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2019-11-13T05:24:00Z</dcterms:created>
  <dc:creator>黄旭明</dc:creator>
  <cp:lastModifiedBy>张嘉城（中基招标）</cp:lastModifiedBy>
  <cp:lastPrinted>2022-08-01T04:16:00Z</cp:lastPrinted>
  <dcterms:modified xsi:type="dcterms:W3CDTF">2022-08-16T11:06:59Z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2372FC0951A54924B08AACE5D541F355</vt:lpwstr>
  </property>
</Properties>
</file>