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899A4">
      <w:pPr>
        <w:jc w:val="center"/>
        <w:rPr>
          <w:rFonts w:hint="default" w:ascii="宋体" w:hAnsi="宋体" w:eastAsia="宋体" w:cs="宋体"/>
          <w:sz w:val="36"/>
          <w:szCs w:val="36"/>
          <w:u w:val="none"/>
          <w:lang w:val="en-US" w:eastAsia="zh-CN"/>
        </w:rPr>
      </w:pPr>
      <w:r>
        <w:rPr>
          <w:rFonts w:hint="eastAsia" w:ascii="宋体" w:hAnsi="宋体" w:eastAsia="宋体" w:cs="宋体"/>
          <w:sz w:val="36"/>
          <w:szCs w:val="36"/>
          <w:u w:val="none"/>
        </w:rPr>
        <w:t>关于</w:t>
      </w:r>
      <w:r>
        <w:rPr>
          <w:rFonts w:hint="eastAsia" w:ascii="宋体" w:hAnsi="宋体" w:eastAsia="宋体" w:cs="宋体"/>
          <w:sz w:val="36"/>
          <w:szCs w:val="36"/>
          <w:u w:val="none"/>
          <w:lang w:val="en-US" w:eastAsia="zh-CN"/>
        </w:rPr>
        <w:t>宁大校医院及梅山医务室装修工程</w:t>
      </w:r>
    </w:p>
    <w:p w14:paraId="62FC2DC5">
      <w:pPr>
        <w:jc w:val="center"/>
        <w:rPr>
          <w:rFonts w:hint="eastAsia" w:ascii="宋体" w:hAnsi="宋体" w:eastAsia="宋体" w:cs="宋体"/>
          <w:b w:val="0"/>
          <w:bCs w:val="0"/>
          <w:sz w:val="36"/>
          <w:szCs w:val="36"/>
        </w:rPr>
      </w:pPr>
      <w:r>
        <w:rPr>
          <w:rFonts w:hint="eastAsia" w:ascii="宋体" w:hAnsi="宋体" w:eastAsia="宋体" w:cs="宋体"/>
          <w:b w:val="0"/>
          <w:bCs w:val="0"/>
          <w:sz w:val="36"/>
          <w:szCs w:val="36"/>
        </w:rPr>
        <w:t>工程量</w:t>
      </w:r>
      <w:r>
        <w:rPr>
          <w:rFonts w:hint="eastAsia" w:ascii="宋体" w:hAnsi="宋体" w:eastAsia="宋体" w:cs="宋体"/>
          <w:b w:val="0"/>
          <w:bCs w:val="0"/>
          <w:sz w:val="36"/>
          <w:szCs w:val="36"/>
          <w:lang w:eastAsia="zh"/>
        </w:rPr>
        <w:t>清单编制</w:t>
      </w:r>
      <w:r>
        <w:rPr>
          <w:rFonts w:hint="eastAsia" w:ascii="宋体" w:hAnsi="宋体" w:eastAsia="宋体" w:cs="宋体"/>
          <w:b w:val="0"/>
          <w:bCs w:val="0"/>
          <w:sz w:val="36"/>
          <w:szCs w:val="36"/>
        </w:rPr>
        <w:t>说明</w:t>
      </w:r>
    </w:p>
    <w:p w14:paraId="5741AC30">
      <w:pPr>
        <w:spacing w:line="360" w:lineRule="auto"/>
        <w:ind w:firstLine="482" w:firstLineChars="200"/>
        <w:rPr>
          <w:rFonts w:hint="eastAsia" w:ascii="宋体" w:hAnsi="宋体" w:eastAsia="宋体" w:cs="宋体"/>
          <w:b/>
          <w:sz w:val="24"/>
          <w:szCs w:val="24"/>
          <w:lang w:bidi="ar"/>
        </w:rPr>
      </w:pPr>
      <w:r>
        <w:rPr>
          <w:rFonts w:hint="eastAsia" w:ascii="宋体" w:hAnsi="宋体" w:eastAsia="宋体" w:cs="宋体"/>
          <w:b/>
          <w:sz w:val="24"/>
          <w:szCs w:val="24"/>
          <w:lang w:bidi="ar"/>
        </w:rPr>
        <w:t>一、基本情况</w:t>
      </w:r>
    </w:p>
    <w:p w14:paraId="752E846D">
      <w:pPr>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eastAsia="zh-CN" w:bidi="ar"/>
        </w:rPr>
        <w:t>宁大校医院及梅山医务室装修工程</w:t>
      </w:r>
      <w:r>
        <w:rPr>
          <w:rFonts w:hint="eastAsia" w:ascii="宋体" w:hAnsi="宋体" w:eastAsia="宋体" w:cs="宋体"/>
          <w:sz w:val="24"/>
          <w:szCs w:val="24"/>
          <w:lang w:bidi="ar"/>
        </w:rPr>
        <w:t>由</w:t>
      </w:r>
      <w:r>
        <w:rPr>
          <w:rFonts w:hint="eastAsia" w:ascii="宋体" w:hAnsi="宋体" w:eastAsia="宋体" w:cs="宋体"/>
          <w:kern w:val="28"/>
          <w:sz w:val="24"/>
          <w:szCs w:val="24"/>
          <w:lang w:val="en-US" w:eastAsia="zh-CN"/>
        </w:rPr>
        <w:t>宁波大学</w:t>
      </w:r>
      <w:r>
        <w:rPr>
          <w:rFonts w:hint="eastAsia" w:ascii="宋体" w:hAnsi="宋体" w:eastAsia="宋体" w:cs="宋体"/>
          <w:kern w:val="28"/>
          <w:sz w:val="24"/>
          <w:szCs w:val="24"/>
        </w:rPr>
        <w:t>负责建设</w:t>
      </w:r>
      <w:r>
        <w:rPr>
          <w:rFonts w:hint="eastAsia" w:ascii="宋体" w:hAnsi="宋体" w:eastAsia="宋体" w:cs="宋体"/>
          <w:sz w:val="24"/>
          <w:szCs w:val="24"/>
          <w:lang w:bidi="ar"/>
        </w:rPr>
        <w:t>，</w:t>
      </w:r>
      <w:r>
        <w:rPr>
          <w:rFonts w:hint="eastAsia" w:ascii="宋体" w:hAnsi="宋体" w:eastAsia="宋体" w:cs="宋体"/>
          <w:kern w:val="28"/>
          <w:sz w:val="24"/>
          <w:szCs w:val="24"/>
          <w:lang w:val="en-US" w:eastAsia="zh-CN"/>
        </w:rPr>
        <w:t>由</w:t>
      </w:r>
      <w:r>
        <w:rPr>
          <w:rFonts w:hint="eastAsia" w:ascii="宋体" w:hAnsi="宋体" w:eastAsia="宋体" w:cs="宋体"/>
          <w:kern w:val="28"/>
          <w:sz w:val="24"/>
          <w:highlight w:val="none"/>
          <w:lang w:val="en-US" w:eastAsia="zh-CN"/>
        </w:rPr>
        <w:t>浙江</w:t>
      </w:r>
      <w:r>
        <w:rPr>
          <w:rFonts w:hint="eastAsia" w:ascii="宋体" w:hAnsi="宋体" w:eastAsia="宋体" w:cs="宋体"/>
          <w:sz w:val="24"/>
          <w:szCs w:val="24"/>
          <w:lang w:val="en-US" w:eastAsia="zh-CN" w:bidi="ar"/>
        </w:rPr>
        <w:t>中利建筑设计有限公司</w:t>
      </w:r>
      <w:r>
        <w:rPr>
          <w:rFonts w:hint="eastAsia" w:ascii="宋体" w:hAnsi="宋体" w:eastAsia="宋体" w:cs="宋体"/>
          <w:sz w:val="24"/>
          <w:szCs w:val="24"/>
          <w:lang w:bidi="ar"/>
        </w:rPr>
        <w:t>负责设计，工程建设地点</w:t>
      </w:r>
      <w:r>
        <w:rPr>
          <w:rFonts w:hint="eastAsia" w:ascii="宋体" w:hAnsi="宋体" w:eastAsia="宋体" w:cs="宋体"/>
          <w:sz w:val="24"/>
          <w:szCs w:val="24"/>
          <w:lang w:val="en-US" w:eastAsia="zh-CN" w:bidi="ar"/>
        </w:rPr>
        <w:t>宁波大学</w:t>
      </w:r>
      <w:r>
        <w:rPr>
          <w:rFonts w:hint="eastAsia" w:ascii="宋体" w:hAnsi="宋体" w:eastAsia="宋体" w:cs="宋体"/>
          <w:kern w:val="28"/>
          <w:sz w:val="24"/>
          <w:szCs w:val="24"/>
          <w:lang w:val="en-US" w:eastAsia="zh-CN"/>
        </w:rPr>
        <w:t>。</w:t>
      </w:r>
    </w:p>
    <w:p w14:paraId="3FD11459">
      <w:pPr>
        <w:tabs>
          <w:tab w:val="left" w:pos="3060"/>
          <w:tab w:val="left" w:pos="9180"/>
          <w:tab w:val="left" w:pos="9360"/>
        </w:tabs>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eastAsia="zh-CN" w:bidi="ar"/>
        </w:rPr>
        <w:t>宁大校医院及梅山医务室装修工程</w:t>
      </w:r>
      <w:r>
        <w:rPr>
          <w:rFonts w:hint="eastAsia" w:ascii="宋体" w:hAnsi="宋体" w:eastAsia="宋体" w:cs="宋体"/>
          <w:sz w:val="24"/>
          <w:szCs w:val="24"/>
          <w:lang w:bidi="ar"/>
        </w:rPr>
        <w:t>为施工图纸范围内的施工专业承包</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包括</w:t>
      </w:r>
      <w:r>
        <w:rPr>
          <w:rFonts w:hint="eastAsia" w:ascii="宋体" w:hAnsi="宋体" w:eastAsia="宋体" w:cs="宋体"/>
          <w:kern w:val="28"/>
          <w:sz w:val="24"/>
          <w:szCs w:val="24"/>
        </w:rPr>
        <w:t>室内装修</w:t>
      </w:r>
      <w:r>
        <w:rPr>
          <w:rFonts w:hint="eastAsia" w:ascii="宋体" w:hAnsi="宋体" w:eastAsia="宋体" w:cs="宋体"/>
          <w:kern w:val="28"/>
          <w:sz w:val="24"/>
          <w:szCs w:val="24"/>
          <w:lang w:eastAsia="zh-CN"/>
        </w:rPr>
        <w:t>、</w:t>
      </w:r>
      <w:r>
        <w:rPr>
          <w:rFonts w:hint="eastAsia" w:ascii="宋体" w:hAnsi="宋体" w:eastAsia="宋体" w:cs="宋体"/>
          <w:kern w:val="28"/>
          <w:sz w:val="24"/>
          <w:szCs w:val="24"/>
          <w:lang w:val="en-US" w:eastAsia="zh-CN"/>
        </w:rPr>
        <w:t>幕墙工程、土建工程、园林绿化工程</w:t>
      </w:r>
      <w:r>
        <w:rPr>
          <w:rFonts w:hint="eastAsia" w:ascii="宋体" w:hAnsi="宋体" w:eastAsia="宋体" w:cs="宋体"/>
          <w:kern w:val="28"/>
          <w:sz w:val="24"/>
          <w:szCs w:val="24"/>
          <w:lang w:eastAsia="zh-CN"/>
        </w:rPr>
        <w:t>、</w:t>
      </w:r>
      <w:r>
        <w:rPr>
          <w:rFonts w:hint="eastAsia" w:ascii="宋体" w:hAnsi="宋体" w:eastAsia="宋体" w:cs="宋体"/>
          <w:kern w:val="28"/>
          <w:sz w:val="24"/>
          <w:szCs w:val="24"/>
        </w:rPr>
        <w:t>电气、给排水、智能化等工程</w:t>
      </w:r>
      <w:r>
        <w:rPr>
          <w:rFonts w:hint="eastAsia" w:ascii="宋体" w:hAnsi="宋体" w:eastAsia="宋体" w:cs="宋体"/>
          <w:kern w:val="28"/>
          <w:sz w:val="24"/>
          <w:szCs w:val="24"/>
          <w:lang w:eastAsia="zh-CN"/>
        </w:rPr>
        <w:t>，</w:t>
      </w:r>
      <w:r>
        <w:rPr>
          <w:rFonts w:hint="eastAsia" w:ascii="宋体" w:hAnsi="宋体" w:eastAsia="宋体" w:cs="宋体"/>
          <w:kern w:val="28"/>
          <w:sz w:val="24"/>
          <w:szCs w:val="24"/>
        </w:rPr>
        <w:t>具体以施工图及工程量清单为准。</w:t>
      </w:r>
    </w:p>
    <w:p w14:paraId="2B5C2171">
      <w:pPr>
        <w:spacing w:line="360" w:lineRule="auto"/>
        <w:ind w:firstLine="480" w:firstLineChars="200"/>
        <w:rPr>
          <w:rFonts w:hint="eastAsia" w:ascii="宋体" w:hAnsi="宋体" w:eastAsia="宋体" w:cs="宋体"/>
          <w:sz w:val="24"/>
          <w:szCs w:val="24"/>
          <w:highlight w:val="none"/>
          <w:lang w:bidi="ar"/>
        </w:rPr>
      </w:pPr>
      <w:r>
        <w:rPr>
          <w:rFonts w:hint="eastAsia" w:ascii="宋体" w:hAnsi="宋体" w:eastAsia="宋体" w:cs="宋体"/>
          <w:sz w:val="24"/>
          <w:szCs w:val="24"/>
          <w:lang w:eastAsia="zh-CN" w:bidi="ar"/>
        </w:rPr>
        <w:t>宁大校医院及梅山医务室装修工程</w:t>
      </w:r>
      <w:r>
        <w:rPr>
          <w:rFonts w:hint="eastAsia" w:ascii="宋体" w:hAnsi="宋体" w:eastAsia="宋体" w:cs="宋体"/>
          <w:sz w:val="24"/>
          <w:szCs w:val="24"/>
          <w:lang w:bidi="ar"/>
        </w:rPr>
        <w:t>采用国标工程量清单（GB50500-2013），</w:t>
      </w:r>
      <w:r>
        <w:rPr>
          <w:rFonts w:hint="eastAsia" w:ascii="宋体" w:hAnsi="宋体" w:eastAsia="宋体" w:cs="宋体"/>
          <w:sz w:val="24"/>
          <w:szCs w:val="24"/>
          <w:highlight w:val="none"/>
          <w:lang w:bidi="ar"/>
        </w:rPr>
        <w:t>本工程招标控制价为</w:t>
      </w:r>
      <w:r>
        <w:rPr>
          <w:rFonts w:hint="eastAsia" w:ascii="宋体" w:hAnsi="宋体" w:eastAsia="宋体" w:cs="宋体"/>
          <w:sz w:val="24"/>
          <w:szCs w:val="24"/>
          <w:highlight w:val="none"/>
          <w:lang w:val="en-US" w:eastAsia="zh-CN" w:bidi="ar"/>
        </w:rPr>
        <w:t>1577420</w:t>
      </w:r>
      <w:r>
        <w:rPr>
          <w:rFonts w:hint="eastAsia" w:ascii="宋体" w:hAnsi="宋体" w:eastAsia="宋体" w:cs="宋体"/>
          <w:sz w:val="24"/>
          <w:szCs w:val="24"/>
          <w:highlight w:val="none"/>
          <w:lang w:bidi="ar"/>
        </w:rPr>
        <w:t>元。</w:t>
      </w:r>
    </w:p>
    <w:p w14:paraId="1104823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eastAsia="zh" w:bidi="ar"/>
        </w:rPr>
        <w:t>二</w:t>
      </w:r>
      <w:r>
        <w:rPr>
          <w:rFonts w:hint="eastAsia" w:ascii="宋体" w:hAnsi="宋体" w:eastAsia="宋体" w:cs="宋体"/>
          <w:b/>
          <w:sz w:val="24"/>
          <w:szCs w:val="24"/>
          <w:lang w:bidi="ar"/>
        </w:rPr>
        <w:t>、编制依据</w:t>
      </w:r>
    </w:p>
    <w:p w14:paraId="3B3435FB">
      <w:pPr>
        <w:keepNext w:val="0"/>
        <w:keepLines w:val="0"/>
        <w:pageBreakBefore w:val="0"/>
        <w:widowControl w:val="0"/>
        <w:numPr>
          <w:ilvl w:val="0"/>
          <w:numId w:val="1"/>
        </w:numPr>
        <w:tabs>
          <w:tab w:val="left" w:pos="3060"/>
          <w:tab w:val="left" w:pos="9180"/>
          <w:tab w:val="left" w:pos="9360"/>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14:ligatures w14:val="none"/>
        </w:rPr>
      </w:pPr>
      <w:r>
        <w:rPr>
          <w:rFonts w:hint="eastAsia" w:ascii="宋体" w:hAnsi="宋体" w:eastAsia="宋体" w:cs="宋体"/>
          <w:sz w:val="24"/>
          <w:szCs w:val="24"/>
          <w:lang w:val="en-US" w:eastAsia="zh"/>
          <w14:ligatures w14:val="none"/>
        </w:rPr>
        <w:t>委托单位提供的由</w:t>
      </w:r>
      <w:r>
        <w:rPr>
          <w:rFonts w:hint="eastAsia" w:ascii="宋体" w:hAnsi="宋体" w:eastAsia="宋体" w:cs="宋体"/>
          <w:kern w:val="28"/>
          <w:sz w:val="24"/>
          <w:highlight w:val="none"/>
          <w:lang w:val="en-US" w:eastAsia="zh-CN"/>
        </w:rPr>
        <w:t>浙江</w:t>
      </w:r>
      <w:r>
        <w:rPr>
          <w:rFonts w:hint="eastAsia" w:ascii="宋体" w:hAnsi="宋体" w:eastAsia="宋体" w:cs="宋体"/>
          <w:sz w:val="24"/>
          <w:szCs w:val="24"/>
          <w:lang w:val="en-US" w:eastAsia="zh-CN" w:bidi="ar"/>
        </w:rPr>
        <w:t>中利建筑设计有限公司</w:t>
      </w:r>
      <w:r>
        <w:rPr>
          <w:rFonts w:hint="eastAsia" w:ascii="宋体" w:hAnsi="宋体" w:eastAsia="宋体" w:cs="宋体"/>
          <w:sz w:val="24"/>
          <w:szCs w:val="24"/>
          <w:lang w:val="en-US" w:eastAsia="zh"/>
          <w14:ligatures w14:val="none"/>
        </w:rPr>
        <w:t>出具的《</w:t>
      </w:r>
      <w:r>
        <w:rPr>
          <w:rFonts w:hint="eastAsia" w:ascii="宋体" w:hAnsi="宋体" w:eastAsia="宋体" w:cs="宋体"/>
          <w:sz w:val="24"/>
          <w:szCs w:val="24"/>
          <w:lang w:eastAsia="zh-CN" w:bidi="ar"/>
        </w:rPr>
        <w:t>宁大校医院及梅山医务室装修工程</w:t>
      </w:r>
      <w:r>
        <w:rPr>
          <w:rFonts w:hint="eastAsia" w:ascii="宋体" w:hAnsi="宋体" w:eastAsia="宋体" w:cs="宋体"/>
          <w:sz w:val="24"/>
          <w:szCs w:val="24"/>
          <w:lang w:val="en-US" w:eastAsia="zh"/>
          <w14:ligatures w14:val="none"/>
        </w:rPr>
        <w:t>》</w:t>
      </w:r>
      <w:r>
        <w:rPr>
          <w:rFonts w:hint="eastAsia" w:ascii="宋体" w:hAnsi="宋体" w:eastAsia="宋体" w:cs="宋体"/>
          <w:sz w:val="24"/>
          <w:szCs w:val="24"/>
          <w:lang w:val="en-US" w:eastAsia="zh-CN"/>
          <w14:ligatures w14:val="none"/>
        </w:rPr>
        <w:t>施工图(CAD版)</w:t>
      </w:r>
      <w:r>
        <w:rPr>
          <w:rFonts w:hint="eastAsia" w:ascii="宋体" w:hAnsi="宋体" w:eastAsia="宋体" w:cs="宋体"/>
          <w:sz w:val="24"/>
          <w:szCs w:val="24"/>
          <w:lang w:val="en-US" w:eastAsia="zh"/>
          <w14:ligatures w14:val="none"/>
        </w:rPr>
        <w:t>。</w:t>
      </w:r>
    </w:p>
    <w:p w14:paraId="18B7F40B">
      <w:pPr>
        <w:keepNext w:val="0"/>
        <w:keepLines w:val="0"/>
        <w:pageBreakBefore w:val="0"/>
        <w:widowControl w:val="0"/>
        <w:numPr>
          <w:ilvl w:val="0"/>
          <w:numId w:val="1"/>
        </w:numPr>
        <w:tabs>
          <w:tab w:val="left" w:pos="3060"/>
          <w:tab w:val="left" w:pos="9180"/>
          <w:tab w:val="left" w:pos="9360"/>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14:ligatures w14:val="none"/>
        </w:rPr>
      </w:pPr>
      <w:r>
        <w:rPr>
          <w:rFonts w:hint="eastAsia" w:ascii="宋体" w:hAnsi="宋体" w:eastAsia="宋体" w:cs="宋体"/>
          <w:sz w:val="24"/>
          <w:szCs w:val="24"/>
          <w:lang w:val="en-US" w:eastAsia="zh-CN"/>
          <w14:ligatures w14:val="none"/>
        </w:rPr>
        <w:t>《建设工程工程量清单计价规范》（GB50500-2013）、《浙江省建设工程计价规则》（2018版）、《浙江省房屋建筑与装饰工程预算定额》（2018版）、《浙江省房屋建筑安装工程修缮预算定额》（2018版）、《浙江省通用安装工程预算定额》（2018版）、《浙江省建设工程施工机械台班费用定额》（2018版）。</w:t>
      </w:r>
    </w:p>
    <w:p w14:paraId="2162395C">
      <w:pPr>
        <w:keepNext w:val="0"/>
        <w:keepLines w:val="0"/>
        <w:pageBreakBefore w:val="0"/>
        <w:widowControl w:val="0"/>
        <w:numPr>
          <w:ilvl w:val="0"/>
          <w:numId w:val="1"/>
        </w:numPr>
        <w:tabs>
          <w:tab w:val="left" w:pos="3060"/>
          <w:tab w:val="left" w:pos="9180"/>
          <w:tab w:val="left" w:pos="9360"/>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14:ligatures w14:val="none"/>
        </w:rPr>
      </w:pPr>
      <w:r>
        <w:rPr>
          <w:rFonts w:hint="eastAsia" w:ascii="宋体" w:hAnsi="宋体" w:eastAsia="宋体" w:cs="宋体"/>
          <w:sz w:val="24"/>
          <w:szCs w:val="24"/>
          <w:lang w:val="en-US" w:eastAsia="zh"/>
          <w14:ligatures w14:val="none"/>
        </w:rPr>
        <w:t>《省建设厅关于调整建筑工程安全文明施工费的通知》（浙建建发[2022]37号）、《关于明确建设项目建筑渣士外运处置费的通知》（甬高新公建[2019]31号）、《关于印发宁波市房屋建筑与市政基础设施工程安全生产责任保险费用计取的通知》（市建管[2024]12号）及省、市有关造价文件。</w:t>
      </w:r>
    </w:p>
    <w:p w14:paraId="1AA5462A">
      <w:pPr>
        <w:keepNext w:val="0"/>
        <w:keepLines w:val="0"/>
        <w:pageBreakBefore w:val="0"/>
        <w:widowControl w:val="0"/>
        <w:numPr>
          <w:ilvl w:val="0"/>
          <w:numId w:val="1"/>
        </w:numPr>
        <w:tabs>
          <w:tab w:val="left" w:pos="3060"/>
          <w:tab w:val="left" w:pos="9180"/>
          <w:tab w:val="left" w:pos="9360"/>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14:ligatures w14:val="none"/>
        </w:rPr>
      </w:pPr>
      <w:r>
        <w:rPr>
          <w:rFonts w:hint="eastAsia" w:ascii="宋体" w:hAnsi="宋体" w:eastAsia="宋体" w:cs="宋体"/>
          <w:sz w:val="24"/>
          <w:szCs w:val="24"/>
          <w:lang w:val="en-US" w:eastAsia="zh-CN"/>
          <w14:ligatures w14:val="none"/>
        </w:rPr>
        <w:t>现行的建筑工程施工规范与工程质量验收标准。</w:t>
      </w:r>
    </w:p>
    <w:p w14:paraId="6354824D">
      <w:pPr>
        <w:spacing w:line="360" w:lineRule="auto"/>
        <w:ind w:firstLine="482" w:firstLineChars="200"/>
        <w:rPr>
          <w:rFonts w:hint="eastAsia" w:ascii="宋体" w:hAnsi="宋体" w:eastAsia="宋体" w:cs="宋体"/>
          <w:b w:val="0"/>
          <w:bCs w:val="0"/>
          <w:sz w:val="24"/>
          <w:szCs w:val="24"/>
          <w:highlight w:val="none"/>
          <w:lang w:bidi="ar"/>
        </w:rPr>
      </w:pPr>
      <w:r>
        <w:rPr>
          <w:rFonts w:hint="eastAsia" w:ascii="宋体" w:hAnsi="宋体" w:eastAsia="宋体" w:cs="宋体"/>
          <w:b/>
          <w:bCs/>
          <w:sz w:val="24"/>
          <w:szCs w:val="24"/>
          <w:highlight w:val="none"/>
          <w:lang w:bidi="ar"/>
        </w:rPr>
        <w:t>三、编制说明</w:t>
      </w:r>
    </w:p>
    <w:p w14:paraId="34673005">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（一）共性问题</w:t>
      </w:r>
    </w:p>
    <w:p w14:paraId="757F9E65">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1.本项目施工所需的材料垂直运输计入宁大校医院装修工程，费用按项包干，结算不做调整。</w:t>
      </w:r>
    </w:p>
    <w:p w14:paraId="4CEE1B66">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本工程拆除、垃圾清理、垃圾运输及处置费用单独列项，计入宁大校医院装修工程，按项包干，投标时由投标单位自主报价，结算不做调整。工作内容包括但不限于:地面、墙面、顶面、安装管线、灯具等改造范围内所有拆除，孔洞修复、施工范围内外原工程的破坏进行修复、封堵等全部费用，含建筑垃圾运输及处置费用。</w:t>
      </w:r>
    </w:p>
    <w:p w14:paraId="4EC7BF0D">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14:ligatures w14:val="none"/>
        </w:rPr>
        <w:t>3.本次招标控制价安全生产责任保险费已按市建管【2024】12号文件计入企业管理费，投标单位投标时在企业管理费中考虑相关费用，实际未投保，结算按3229.22 元（含税价）扣回。</w:t>
      </w:r>
      <w:bookmarkStart w:id="0" w:name="_GoBack"/>
      <w:bookmarkEnd w:id="0"/>
    </w:p>
    <w:p w14:paraId="0038AB80">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（二）装修、幕墙工程</w:t>
      </w:r>
    </w:p>
    <w:p w14:paraId="7C9B7B63">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1.以下内容需在综合单价中综合考虑并满足业主需求，投标人自行报价，不另计：</w:t>
      </w:r>
    </w:p>
    <w:p w14:paraId="6674AC6C">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（1）所有材质的成品检修口，清单不单独列项；</w:t>
      </w:r>
    </w:p>
    <w:p w14:paraId="472FAA75">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（2）不同材料交接处打胶、填充，清单不单独列项；</w:t>
      </w:r>
    </w:p>
    <w:p w14:paraId="299E8733">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（3）冰火板排版损耗的费用；</w:t>
      </w:r>
    </w:p>
    <w:p w14:paraId="33472709">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（4）不锈钢的超大板、异形板、损耗、折边、铣槽、特殊造型加工工艺等所有费用；</w:t>
      </w:r>
    </w:p>
    <w:p w14:paraId="112393D0">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（5）外墙砖的排版损耗；</w:t>
      </w:r>
    </w:p>
    <w:p w14:paraId="4BE46F08">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（6）精保洁费用（需满足使用单位需要）。</w:t>
      </w:r>
    </w:p>
    <w:p w14:paraId="45453DFD">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2.脚手架投标时由投标人自行考虑使用时间、搭设高度、搭设规格、搭设数量及材质，满足验收及规范要求，按项包干，结算不做调整。</w:t>
      </w:r>
    </w:p>
    <w:p w14:paraId="499A262B">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3.铝单板按氟碳喷涂二涂考虑。</w:t>
      </w:r>
    </w:p>
    <w:p w14:paraId="3C1FD2E8">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4.完成幕墙工作内容（含电动遮阳帘）的全部技术措施费（包括但不限于登高车、吊篮、汽车吊、脚手架等）按项包干，结算不做调整。</w:t>
      </w:r>
    </w:p>
    <w:p w14:paraId="7BF798EF">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（三）土建工程</w:t>
      </w:r>
    </w:p>
    <w:p w14:paraId="2C1C02A6">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1.渣土外运（含装车、外运）及处置工作内容包括但不限于:渣土外运（含渣土装车等运输费、车辆及道路保洁、过桥、过路费等一切费用）及渣土处置。投标时由投标单位自主报价，按项包干，结算不做调整。</w:t>
      </w:r>
    </w:p>
    <w:p w14:paraId="1F0DCCF5">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2.因新建基础和原建筑距离过近，挖土方工程量按人工考虑，结算按实调整。</w:t>
      </w:r>
    </w:p>
    <w:p w14:paraId="4BA24B11">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3.拆除部分室内按瓷砖地面拆除至基层，室外按破除混凝土地面至基层考虑。</w:t>
      </w:r>
    </w:p>
    <w:p w14:paraId="274F8B72">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4.脚手架工程在宁大校医院装修工程的脚手架中综合考虑，不单独计取。</w:t>
      </w:r>
    </w:p>
    <w:p w14:paraId="77514B9D">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（四）园林绿化工程</w:t>
      </w:r>
    </w:p>
    <w:p w14:paraId="649C6067">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1.绿化养护期为二年考虑，养护期内要求苗木成活率达到100%，绿化养护期间水电费由承包人承担，苗木若出现反季节种植，则反季节种植措施费由投标单位在投标报价中自行考虑，结算不予调整。</w:t>
      </w:r>
    </w:p>
    <w:p w14:paraId="0B85E2B7">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2.绿化养护需增加的措施费用由投标单位在报价中综合考虑。</w:t>
      </w:r>
    </w:p>
    <w:p w14:paraId="6D152B8D">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3.现场树木移栽需考虑树木文撑和草绳绕树，所有树木支撑都按树棍支撑三脚桩考虑。</w:t>
      </w:r>
    </w:p>
    <w:p w14:paraId="7BA3B0B2">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（五）安装工程</w:t>
      </w:r>
    </w:p>
    <w:p w14:paraId="5A5505C5">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highlight w:val="none"/>
          <w:lang w:val="en-US" w:eastAsia="zh-CN" w:bidi="ar"/>
        </w:rPr>
      </w:pPr>
      <w:r>
        <w:rPr>
          <w:rFonts w:hint="eastAsia" w:ascii="宋体" w:hAnsi="宋体" w:eastAsia="宋体" w:cs="宋体"/>
          <w:sz w:val="24"/>
          <w:szCs w:val="24"/>
          <w:highlight w:val="none"/>
          <w:lang w:val="en-US" w:eastAsia="zh-CN" w:bidi="ar"/>
        </w:rPr>
        <w:t>1</w:t>
      </w:r>
      <w:r>
        <w:rPr>
          <w:rFonts w:hint="eastAsia" w:ascii="宋体" w:hAnsi="宋体" w:eastAsia="宋体" w:cs="宋体"/>
          <w:strike w:val="0"/>
          <w:dstrike w:val="0"/>
          <w:sz w:val="24"/>
          <w:szCs w:val="24"/>
          <w:highlight w:val="none"/>
          <w:lang w:val="en-US" w:eastAsia="zh-CN" w:bidi="ar"/>
        </w:rPr>
        <w:t>.本工程属于改造工程，墙地面开槽、开孔及修复的费用综合考虑，计入宁大校医院电气工程，投标时由投标单位自主报价，按项包干，结算不做调整。</w:t>
      </w:r>
    </w:p>
    <w:p w14:paraId="46ECA5D9">
      <w:pPr>
        <w:spacing w:line="360" w:lineRule="auto"/>
        <w:ind w:firstLine="482" w:firstLineChars="200"/>
        <w:rPr>
          <w:rFonts w:hint="default" w:ascii="宋体" w:hAnsi="宋体" w:eastAsia="宋体" w:cs="宋体"/>
          <w:b/>
          <w:bCs/>
          <w:sz w:val="24"/>
          <w:szCs w:val="24"/>
          <w:highlight w:val="none"/>
          <w:lang w:val="en-US" w:eastAsia="zh-CN" w:bidi="ar"/>
        </w:rPr>
      </w:pPr>
      <w:r>
        <w:rPr>
          <w:rFonts w:hint="eastAsia" w:ascii="宋体" w:hAnsi="宋体" w:eastAsia="宋体" w:cs="宋体"/>
          <w:b/>
          <w:bCs/>
          <w:sz w:val="24"/>
          <w:szCs w:val="24"/>
          <w:highlight w:val="none"/>
          <w:lang w:val="en-US" w:eastAsia="zh-CN" w:bidi="ar"/>
        </w:rPr>
        <w:t>四、本项目暂估价</w:t>
      </w:r>
    </w:p>
    <w:tbl>
      <w:tblPr>
        <w:tblStyle w:val="8"/>
        <w:tblW w:w="8615" w:type="dxa"/>
        <w:jc w:val="center"/>
        <w:tblLayout w:type="fixed"/>
        <w:tblCellMar>
          <w:top w:w="15" w:type="dxa"/>
          <w:left w:w="15" w:type="dxa"/>
          <w:bottom w:w="15" w:type="dxa"/>
          <w:right w:w="15" w:type="dxa"/>
        </w:tblCellMar>
      </w:tblPr>
      <w:tblGrid>
        <w:gridCol w:w="613"/>
        <w:gridCol w:w="2236"/>
        <w:gridCol w:w="681"/>
        <w:gridCol w:w="1285"/>
        <w:gridCol w:w="1285"/>
        <w:gridCol w:w="1285"/>
        <w:gridCol w:w="1230"/>
      </w:tblGrid>
      <w:tr w14:paraId="3787F546">
        <w:tblPrEx>
          <w:tblCellMar>
            <w:top w:w="15" w:type="dxa"/>
            <w:left w:w="15" w:type="dxa"/>
            <w:bottom w:w="15" w:type="dxa"/>
            <w:right w:w="15" w:type="dxa"/>
          </w:tblCellMar>
        </w:tblPrEx>
        <w:trPr>
          <w:trHeight w:val="541" w:hRule="atLeast"/>
          <w:jc w:val="center"/>
        </w:trPr>
        <w:tc>
          <w:tcPr>
            <w:tcW w:w="613" w:type="dxa"/>
            <w:vMerge w:val="restart"/>
            <w:tcBorders>
              <w:top w:val="single" w:color="000000" w:sz="4" w:space="0"/>
              <w:left w:val="single" w:color="000000" w:sz="4" w:space="0"/>
              <w:bottom w:val="single" w:color="000000" w:sz="4" w:space="0"/>
              <w:right w:val="single" w:color="000000" w:sz="4" w:space="0"/>
            </w:tcBorders>
            <w:noWrap w:val="0"/>
            <w:vAlign w:val="center"/>
          </w:tcPr>
          <w:p w14:paraId="153CEE87">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序号</w:t>
            </w:r>
          </w:p>
        </w:tc>
        <w:tc>
          <w:tcPr>
            <w:tcW w:w="2236" w:type="dxa"/>
            <w:vMerge w:val="restart"/>
            <w:tcBorders>
              <w:top w:val="single" w:color="000000" w:sz="4" w:space="0"/>
              <w:left w:val="single" w:color="000000" w:sz="4" w:space="0"/>
              <w:bottom w:val="single" w:color="000000" w:sz="4" w:space="0"/>
              <w:right w:val="single" w:color="000000" w:sz="4" w:space="0"/>
            </w:tcBorders>
            <w:noWrap w:val="0"/>
            <w:vAlign w:val="center"/>
          </w:tcPr>
          <w:p w14:paraId="5258F6E3">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费用名称</w:t>
            </w:r>
          </w:p>
        </w:tc>
        <w:tc>
          <w:tcPr>
            <w:tcW w:w="68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21B901">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计量单位</w:t>
            </w:r>
          </w:p>
        </w:tc>
        <w:tc>
          <w:tcPr>
            <w:tcW w:w="1285" w:type="dxa"/>
            <w:vMerge w:val="restart"/>
            <w:tcBorders>
              <w:top w:val="single" w:color="000000" w:sz="4" w:space="0"/>
              <w:left w:val="single" w:color="000000" w:sz="4" w:space="0"/>
              <w:bottom w:val="single" w:color="000000" w:sz="4" w:space="0"/>
              <w:right w:val="single" w:color="000000" w:sz="4" w:space="0"/>
            </w:tcBorders>
            <w:noWrap w:val="0"/>
            <w:vAlign w:val="center"/>
          </w:tcPr>
          <w:p w14:paraId="0D59262D">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工程量</w:t>
            </w:r>
          </w:p>
        </w:tc>
        <w:tc>
          <w:tcPr>
            <w:tcW w:w="1285" w:type="dxa"/>
            <w:vMerge w:val="restart"/>
            <w:tcBorders>
              <w:top w:val="single" w:color="000000" w:sz="4" w:space="0"/>
              <w:left w:val="single" w:color="000000" w:sz="4" w:space="0"/>
              <w:bottom w:val="single" w:color="000000" w:sz="4" w:space="0"/>
              <w:right w:val="single" w:color="000000" w:sz="4" w:space="0"/>
            </w:tcBorders>
            <w:noWrap w:val="0"/>
            <w:vAlign w:val="center"/>
          </w:tcPr>
          <w:p w14:paraId="6F8443B6">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除税单价</w:t>
            </w:r>
          </w:p>
          <w:p w14:paraId="0EE88672">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（元）</w:t>
            </w:r>
          </w:p>
        </w:tc>
        <w:tc>
          <w:tcPr>
            <w:tcW w:w="128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4188DB">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合价</w:t>
            </w:r>
          </w:p>
          <w:p w14:paraId="511A022B">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（元）</w:t>
            </w:r>
          </w:p>
        </w:tc>
        <w:tc>
          <w:tcPr>
            <w:tcW w:w="123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6573BA">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备注</w:t>
            </w:r>
          </w:p>
        </w:tc>
      </w:tr>
      <w:tr w14:paraId="34BB03D9">
        <w:tblPrEx>
          <w:tblCellMar>
            <w:top w:w="15" w:type="dxa"/>
            <w:left w:w="15" w:type="dxa"/>
            <w:bottom w:w="15" w:type="dxa"/>
            <w:right w:w="15" w:type="dxa"/>
          </w:tblCellMar>
        </w:tblPrEx>
        <w:trPr>
          <w:trHeight w:val="312" w:hRule="atLeast"/>
          <w:jc w:val="center"/>
        </w:trPr>
        <w:tc>
          <w:tcPr>
            <w:tcW w:w="61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F821D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22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99987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6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B103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39F7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4A7902">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BF8DB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08AAD9">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249B4C62">
        <w:tblPrEx>
          <w:tblCellMar>
            <w:top w:w="15" w:type="dxa"/>
            <w:left w:w="15" w:type="dxa"/>
            <w:bottom w:w="15" w:type="dxa"/>
            <w:right w:w="15" w:type="dxa"/>
          </w:tblCellMar>
        </w:tblPrEx>
        <w:trPr>
          <w:trHeight w:val="476" w:hRule="atLeast"/>
          <w:jc w:val="center"/>
        </w:trPr>
        <w:tc>
          <w:tcPr>
            <w:tcW w:w="613" w:type="dxa"/>
            <w:tcBorders>
              <w:top w:val="single" w:color="000000" w:sz="4" w:space="0"/>
              <w:left w:val="single" w:color="000000" w:sz="4" w:space="0"/>
              <w:bottom w:val="single" w:color="000000" w:sz="4" w:space="0"/>
              <w:right w:val="single" w:color="000000" w:sz="4" w:space="0"/>
            </w:tcBorders>
            <w:noWrap w:val="0"/>
            <w:vAlign w:val="center"/>
          </w:tcPr>
          <w:p w14:paraId="068ED1F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w:t>
            </w:r>
          </w:p>
        </w:tc>
        <w:tc>
          <w:tcPr>
            <w:tcW w:w="2236" w:type="dxa"/>
            <w:tcBorders>
              <w:top w:val="single" w:color="000000" w:sz="4" w:space="0"/>
              <w:left w:val="single" w:color="000000" w:sz="4" w:space="0"/>
              <w:bottom w:val="single" w:color="000000" w:sz="4" w:space="0"/>
              <w:right w:val="single" w:color="000000" w:sz="4" w:space="0"/>
            </w:tcBorders>
            <w:noWrap w:val="0"/>
            <w:vAlign w:val="center"/>
          </w:tcPr>
          <w:p w14:paraId="08024D0B">
            <w:pPr>
              <w:pStyle w:val="6"/>
              <w:keepNext w:val="0"/>
              <w:keepLines w:val="0"/>
              <w:widowControl/>
              <w:suppressLineNumbers w:val="0"/>
              <w:spacing w:before="0" w:beforeAutospacing="0" w:after="0" w:afterAutospacing="0"/>
              <w:ind w:left="0" w:right="0" w:firstLine="0"/>
              <w:rPr>
                <w:rFonts w:hint="eastAsia" w:ascii="宋体" w:hAnsi="宋体" w:eastAsia="宋体" w:cs="宋体"/>
                <w:sz w:val="24"/>
                <w:szCs w:val="24"/>
                <w:highlight w:val="none"/>
                <w:lang w:val="en-US" w:eastAsia="zh-CN" w:bidi="ar"/>
                <w14:ligatures w14:val="none"/>
              </w:rPr>
            </w:pPr>
            <w:r>
              <w:rPr>
                <w:rFonts w:hint="default"/>
              </w:rPr>
              <w:t>“原有地面及楼梯修复”、“外墙涂料局部修复”等</w:t>
            </w:r>
          </w:p>
        </w:tc>
        <w:tc>
          <w:tcPr>
            <w:tcW w:w="681" w:type="dxa"/>
            <w:tcBorders>
              <w:top w:val="single" w:color="000000" w:sz="4" w:space="0"/>
              <w:left w:val="single" w:color="000000" w:sz="4" w:space="0"/>
              <w:bottom w:val="single" w:color="000000" w:sz="4" w:space="0"/>
              <w:right w:val="single" w:color="000000" w:sz="4" w:space="0"/>
            </w:tcBorders>
            <w:noWrap w:val="0"/>
            <w:vAlign w:val="center"/>
          </w:tcPr>
          <w:p w14:paraId="0064C91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项</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467AB559">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763AE07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30000</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308419B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30000</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2D6C7568">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334BF22D">
        <w:tblPrEx>
          <w:tblCellMar>
            <w:top w:w="15" w:type="dxa"/>
            <w:left w:w="15" w:type="dxa"/>
            <w:bottom w:w="15" w:type="dxa"/>
            <w:right w:w="15" w:type="dxa"/>
          </w:tblCellMar>
        </w:tblPrEx>
        <w:trPr>
          <w:trHeight w:val="476" w:hRule="atLeast"/>
          <w:jc w:val="center"/>
        </w:trPr>
        <w:tc>
          <w:tcPr>
            <w:tcW w:w="613" w:type="dxa"/>
            <w:tcBorders>
              <w:top w:val="single" w:color="000000" w:sz="4" w:space="0"/>
              <w:left w:val="single" w:color="000000" w:sz="4" w:space="0"/>
              <w:bottom w:val="single" w:color="000000" w:sz="4" w:space="0"/>
              <w:right w:val="single" w:color="000000" w:sz="4" w:space="0"/>
            </w:tcBorders>
            <w:noWrap w:val="0"/>
            <w:vAlign w:val="center"/>
          </w:tcPr>
          <w:p w14:paraId="4A8CF28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w:t>
            </w:r>
          </w:p>
        </w:tc>
        <w:tc>
          <w:tcPr>
            <w:tcW w:w="2236" w:type="dxa"/>
            <w:tcBorders>
              <w:top w:val="single" w:color="000000" w:sz="4" w:space="0"/>
              <w:left w:val="single" w:color="000000" w:sz="4" w:space="0"/>
              <w:bottom w:val="single" w:color="000000" w:sz="4" w:space="0"/>
              <w:right w:val="single" w:color="000000" w:sz="4" w:space="0"/>
            </w:tcBorders>
            <w:noWrap w:val="0"/>
            <w:vAlign w:val="center"/>
          </w:tcPr>
          <w:p w14:paraId="1C3CD52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税金9%</w:t>
            </w:r>
          </w:p>
        </w:tc>
        <w:tc>
          <w:tcPr>
            <w:tcW w:w="681" w:type="dxa"/>
            <w:tcBorders>
              <w:top w:val="single" w:color="000000" w:sz="4" w:space="0"/>
              <w:left w:val="single" w:color="000000" w:sz="4" w:space="0"/>
              <w:bottom w:val="single" w:color="000000" w:sz="4" w:space="0"/>
              <w:right w:val="single" w:color="000000" w:sz="4" w:space="0"/>
            </w:tcBorders>
            <w:noWrap w:val="0"/>
            <w:vAlign w:val="center"/>
          </w:tcPr>
          <w:p w14:paraId="3B58843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30B12DA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6F8B904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6C9E1D2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2700</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73A9385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6E74DE82">
        <w:tblPrEx>
          <w:tblCellMar>
            <w:top w:w="15" w:type="dxa"/>
            <w:left w:w="15" w:type="dxa"/>
            <w:bottom w:w="15" w:type="dxa"/>
            <w:right w:w="15" w:type="dxa"/>
          </w:tblCellMar>
        </w:tblPrEx>
        <w:trPr>
          <w:trHeight w:val="476" w:hRule="atLeast"/>
          <w:jc w:val="center"/>
        </w:trPr>
        <w:tc>
          <w:tcPr>
            <w:tcW w:w="613" w:type="dxa"/>
            <w:tcBorders>
              <w:top w:val="single" w:color="000000" w:sz="4" w:space="0"/>
              <w:left w:val="single" w:color="000000" w:sz="4" w:space="0"/>
              <w:bottom w:val="single" w:color="000000" w:sz="4" w:space="0"/>
              <w:right w:val="single" w:color="000000" w:sz="4" w:space="0"/>
            </w:tcBorders>
            <w:noWrap w:val="0"/>
            <w:vAlign w:val="center"/>
          </w:tcPr>
          <w:p w14:paraId="0B9E3A69">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w:t>
            </w:r>
          </w:p>
        </w:tc>
        <w:tc>
          <w:tcPr>
            <w:tcW w:w="22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4B92B3">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合计</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A5055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EF826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2CAB5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88719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32700</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258E41C2">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bl>
    <w:p w14:paraId="66FEF095">
      <w:pPr>
        <w:spacing w:line="360" w:lineRule="auto"/>
        <w:ind w:firstLine="482" w:firstLineChars="200"/>
        <w:rPr>
          <w:rFonts w:hint="default" w:ascii="宋体" w:hAnsi="宋体" w:eastAsia="宋体" w:cs="宋体"/>
          <w:b/>
          <w:bCs/>
          <w:sz w:val="24"/>
          <w:szCs w:val="24"/>
          <w:highlight w:val="none"/>
          <w:lang w:val="en-US" w:eastAsia="zh-CN" w:bidi="ar"/>
        </w:rPr>
      </w:pPr>
      <w:r>
        <w:rPr>
          <w:rFonts w:hint="eastAsia" w:ascii="宋体" w:hAnsi="宋体" w:eastAsia="宋体" w:cs="宋体"/>
          <w:b/>
          <w:bCs/>
          <w:sz w:val="24"/>
          <w:szCs w:val="24"/>
          <w:highlight w:val="none"/>
          <w:lang w:val="en-US" w:eastAsia="zh-CN" w:bidi="ar"/>
        </w:rPr>
        <w:t>五、本项目暂列金额</w:t>
      </w:r>
    </w:p>
    <w:tbl>
      <w:tblPr>
        <w:tblStyle w:val="8"/>
        <w:tblW w:w="8615" w:type="dxa"/>
        <w:jc w:val="center"/>
        <w:tblLayout w:type="fixed"/>
        <w:tblCellMar>
          <w:top w:w="15" w:type="dxa"/>
          <w:left w:w="15" w:type="dxa"/>
          <w:bottom w:w="15" w:type="dxa"/>
          <w:right w:w="15" w:type="dxa"/>
        </w:tblCellMar>
      </w:tblPr>
      <w:tblGrid>
        <w:gridCol w:w="581"/>
        <w:gridCol w:w="2268"/>
        <w:gridCol w:w="681"/>
        <w:gridCol w:w="1285"/>
        <w:gridCol w:w="1285"/>
        <w:gridCol w:w="1285"/>
        <w:gridCol w:w="1230"/>
      </w:tblGrid>
      <w:tr w14:paraId="609DD770">
        <w:tblPrEx>
          <w:tblCellMar>
            <w:top w:w="15" w:type="dxa"/>
            <w:left w:w="15" w:type="dxa"/>
            <w:bottom w:w="15" w:type="dxa"/>
            <w:right w:w="15" w:type="dxa"/>
          </w:tblCellMar>
        </w:tblPrEx>
        <w:trPr>
          <w:trHeight w:val="541" w:hRule="atLeast"/>
          <w:jc w:val="center"/>
        </w:trPr>
        <w:tc>
          <w:tcPr>
            <w:tcW w:w="58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1C7C90">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序号</w:t>
            </w:r>
          </w:p>
        </w:tc>
        <w:tc>
          <w:tcPr>
            <w:tcW w:w="2268" w:type="dxa"/>
            <w:vMerge w:val="restart"/>
            <w:tcBorders>
              <w:top w:val="single" w:color="000000" w:sz="4" w:space="0"/>
              <w:left w:val="single" w:color="000000" w:sz="4" w:space="0"/>
              <w:bottom w:val="single" w:color="000000" w:sz="4" w:space="0"/>
              <w:right w:val="single" w:color="000000" w:sz="4" w:space="0"/>
            </w:tcBorders>
            <w:noWrap w:val="0"/>
            <w:vAlign w:val="center"/>
          </w:tcPr>
          <w:p w14:paraId="49F96199">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费用名称</w:t>
            </w:r>
          </w:p>
        </w:tc>
        <w:tc>
          <w:tcPr>
            <w:tcW w:w="68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B84975">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计量单位</w:t>
            </w:r>
          </w:p>
        </w:tc>
        <w:tc>
          <w:tcPr>
            <w:tcW w:w="1285" w:type="dxa"/>
            <w:vMerge w:val="restart"/>
            <w:tcBorders>
              <w:top w:val="single" w:color="000000" w:sz="4" w:space="0"/>
              <w:left w:val="single" w:color="000000" w:sz="4" w:space="0"/>
              <w:bottom w:val="single" w:color="000000" w:sz="4" w:space="0"/>
              <w:right w:val="single" w:color="000000" w:sz="4" w:space="0"/>
            </w:tcBorders>
            <w:noWrap w:val="0"/>
            <w:vAlign w:val="center"/>
          </w:tcPr>
          <w:p w14:paraId="132D3438">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工程量</w:t>
            </w:r>
          </w:p>
        </w:tc>
        <w:tc>
          <w:tcPr>
            <w:tcW w:w="128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CC4D12">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除税单价</w:t>
            </w:r>
          </w:p>
          <w:p w14:paraId="05CC40C6">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（元）</w:t>
            </w:r>
          </w:p>
        </w:tc>
        <w:tc>
          <w:tcPr>
            <w:tcW w:w="1285" w:type="dxa"/>
            <w:vMerge w:val="restart"/>
            <w:tcBorders>
              <w:top w:val="single" w:color="000000" w:sz="4" w:space="0"/>
              <w:left w:val="single" w:color="000000" w:sz="4" w:space="0"/>
              <w:bottom w:val="single" w:color="000000" w:sz="4" w:space="0"/>
              <w:right w:val="single" w:color="000000" w:sz="4" w:space="0"/>
            </w:tcBorders>
            <w:noWrap w:val="0"/>
            <w:vAlign w:val="center"/>
          </w:tcPr>
          <w:p w14:paraId="4C97C6B4">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rPr>
            </w:pPr>
            <w:r>
              <w:rPr>
                <w:rFonts w:hint="eastAsia" w:ascii="宋体" w:hAnsi="宋体" w:eastAsia="宋体" w:cs="宋体"/>
                <w:b/>
                <w:sz w:val="24"/>
                <w:szCs w:val="24"/>
                <w:lang w:val="en-US" w:eastAsia="zh-CN" w:bidi="ar"/>
              </w:rPr>
              <w:t>合价</w:t>
            </w:r>
          </w:p>
          <w:p w14:paraId="6A94E86C">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（元）</w:t>
            </w:r>
          </w:p>
        </w:tc>
        <w:tc>
          <w:tcPr>
            <w:tcW w:w="12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9CFD31">
            <w:pPr>
              <w:keepNext w:val="0"/>
              <w:keepLines w:val="0"/>
              <w:suppressLineNumbers w:val="0"/>
              <w:spacing w:before="0" w:beforeAutospacing="0" w:after="0" w:afterAutospacing="0"/>
              <w:ind w:left="0" w:right="0"/>
              <w:jc w:val="center"/>
              <w:rPr>
                <w:rFonts w:hint="eastAsia" w:ascii="宋体" w:hAnsi="宋体" w:eastAsia="宋体" w:cs="宋体"/>
                <w:b/>
                <w:sz w:val="24"/>
                <w:szCs w:val="24"/>
                <w:lang w:bidi="ar"/>
              </w:rPr>
            </w:pPr>
            <w:r>
              <w:rPr>
                <w:rFonts w:hint="eastAsia" w:ascii="宋体" w:hAnsi="宋体" w:eastAsia="宋体" w:cs="宋体"/>
                <w:b/>
                <w:sz w:val="24"/>
                <w:szCs w:val="24"/>
                <w:lang w:bidi="ar"/>
              </w:rPr>
              <w:t>备注</w:t>
            </w:r>
          </w:p>
        </w:tc>
      </w:tr>
      <w:tr w14:paraId="78B49D0A">
        <w:tblPrEx>
          <w:tblCellMar>
            <w:top w:w="15" w:type="dxa"/>
            <w:left w:w="15" w:type="dxa"/>
            <w:bottom w:w="15" w:type="dxa"/>
            <w:right w:w="15" w:type="dxa"/>
          </w:tblCellMar>
        </w:tblPrEx>
        <w:trPr>
          <w:trHeight w:val="312" w:hRule="atLeast"/>
          <w:jc w:val="center"/>
        </w:trPr>
        <w:tc>
          <w:tcPr>
            <w:tcW w:w="5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B9C78D">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22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3DEDB9">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6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3D0EBA">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12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8FD2D6">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12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97E5E3">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12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BCCDA6">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12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DC875B">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r>
      <w:tr w14:paraId="7A041527">
        <w:tblPrEx>
          <w:tblCellMar>
            <w:top w:w="15" w:type="dxa"/>
            <w:left w:w="15" w:type="dxa"/>
            <w:bottom w:w="15" w:type="dxa"/>
            <w:right w:w="15" w:type="dxa"/>
          </w:tblCellMar>
        </w:tblPrEx>
        <w:trPr>
          <w:trHeight w:val="476" w:hRule="atLeast"/>
          <w:jc w:val="center"/>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5CE365E1">
            <w:pPr>
              <w:keepNext w:val="0"/>
              <w:keepLines w:val="0"/>
              <w:widowControl/>
              <w:suppressLineNumbers w:val="0"/>
              <w:spacing w:before="0" w:beforeAutospacing="0" w:after="0" w:afterAutospacing="0" w:line="380" w:lineRule="auto"/>
              <w:ind w:left="0" w:right="0"/>
              <w:jc w:val="center"/>
              <w:textAlignment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B8329B1">
            <w:pPr>
              <w:pStyle w:val="6"/>
              <w:keepNext w:val="0"/>
              <w:keepLines w:val="0"/>
              <w:widowControl/>
              <w:suppressLineNumbers w:val="0"/>
              <w:spacing w:beforeAutospacing="0" w:afterAutospacing="0"/>
              <w:ind w:left="0" w:right="0"/>
              <w:jc w:val="center"/>
              <w:rPr>
                <w:rFonts w:hint="eastAsia" w:ascii="宋体" w:hAnsi="宋体" w:eastAsia="宋体" w:cs="宋体"/>
                <w:lang w:val="en-US" w:eastAsia="zh-CN"/>
              </w:rPr>
            </w:pPr>
            <w:r>
              <w:rPr>
                <w:rFonts w:hint="eastAsia" w:ascii="宋体" w:hAnsi="宋体" w:cs="宋体"/>
                <w:lang w:val="en-US" w:eastAsia="zh-CN"/>
              </w:rPr>
              <w:t>暂列金</w:t>
            </w:r>
          </w:p>
        </w:tc>
        <w:tc>
          <w:tcPr>
            <w:tcW w:w="681" w:type="dxa"/>
            <w:tcBorders>
              <w:top w:val="single" w:color="000000" w:sz="4" w:space="0"/>
              <w:left w:val="single" w:color="000000" w:sz="4" w:space="0"/>
              <w:bottom w:val="single" w:color="000000" w:sz="4" w:space="0"/>
              <w:right w:val="single" w:color="000000" w:sz="4" w:space="0"/>
            </w:tcBorders>
            <w:noWrap w:val="0"/>
            <w:vAlign w:val="center"/>
          </w:tcPr>
          <w:p w14:paraId="0B6AF608">
            <w:pPr>
              <w:pStyle w:val="6"/>
              <w:keepNext w:val="0"/>
              <w:keepLines w:val="0"/>
              <w:widowControl/>
              <w:suppressLineNumbers w:val="0"/>
              <w:spacing w:beforeAutospacing="0" w:afterAutospacing="0"/>
              <w:ind w:left="0" w:right="0"/>
              <w:jc w:val="center"/>
              <w:rPr>
                <w:rFonts w:hint="default" w:ascii="宋体" w:hAnsi="宋体" w:cs="宋体" w:eastAsiaTheme="minorEastAsia"/>
                <w:sz w:val="24"/>
                <w:lang w:val="en-US" w:eastAsia="zh-CN"/>
              </w:rPr>
            </w:pPr>
            <w:r>
              <w:rPr>
                <w:rFonts w:hint="eastAsia" w:ascii="宋体" w:hAnsi="宋体" w:cs="宋体"/>
                <w:lang w:val="en-US" w:eastAsia="zh-CN"/>
              </w:rPr>
              <w:t>项</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419F5D5A">
            <w:pPr>
              <w:keepNext w:val="0"/>
              <w:keepLines w:val="0"/>
              <w:widowControl/>
              <w:suppressLineNumbers w:val="0"/>
              <w:spacing w:before="0" w:beforeAutospacing="0" w:after="0" w:afterAutospacing="0" w:line="380" w:lineRule="auto"/>
              <w:ind w:left="0" w:right="0"/>
              <w:jc w:val="center"/>
              <w:textAlignment w:val="center"/>
              <w:rPr>
                <w:rFonts w:hint="default" w:ascii="宋体" w:hAnsi="宋体" w:eastAsia="宋体" w:cs="宋体"/>
                <w:sz w:val="24"/>
                <w:lang w:val="en-US" w:eastAsia="zh-CN"/>
              </w:rPr>
            </w:pPr>
            <w:r>
              <w:rPr>
                <w:rFonts w:hint="eastAsia" w:ascii="宋体" w:hAnsi="宋体" w:cs="宋体"/>
                <w:kern w:val="0"/>
                <w:sz w:val="24"/>
                <w:lang w:val="en-US" w:eastAsia="zh-CN" w:bidi="ar"/>
              </w:rPr>
              <w:t>1</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7A6F1A44">
            <w:pPr>
              <w:keepNext w:val="0"/>
              <w:keepLines w:val="0"/>
              <w:widowControl/>
              <w:suppressLineNumbers w:val="0"/>
              <w:spacing w:before="0" w:beforeAutospacing="0" w:after="0" w:afterAutospacing="0" w:line="380" w:lineRule="auto"/>
              <w:ind w:left="0" w:right="0"/>
              <w:jc w:val="center"/>
              <w:textAlignment w:val="center"/>
              <w:rPr>
                <w:rFonts w:hint="default" w:ascii="宋体" w:hAnsi="宋体" w:eastAsia="宋体" w:cs="宋体"/>
                <w:sz w:val="24"/>
                <w:lang w:val="en-US" w:eastAsia="zh-CN"/>
              </w:rPr>
            </w:pPr>
            <w:r>
              <w:rPr>
                <w:rFonts w:hint="eastAsia" w:ascii="宋体" w:hAnsi="宋体" w:cs="宋体"/>
                <w:kern w:val="0"/>
                <w:sz w:val="24"/>
                <w:lang w:val="en-US" w:eastAsia="zh-CN" w:bidi="ar"/>
              </w:rPr>
              <w:t>10000</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4208BA15">
            <w:pPr>
              <w:keepNext w:val="0"/>
              <w:keepLines w:val="0"/>
              <w:widowControl/>
              <w:suppressLineNumbers w:val="0"/>
              <w:spacing w:before="0" w:beforeAutospacing="0" w:after="0" w:afterAutospacing="0" w:line="380" w:lineRule="auto"/>
              <w:ind w:left="0" w:right="0"/>
              <w:jc w:val="center"/>
              <w:textAlignment w:val="center"/>
              <w:rPr>
                <w:rFonts w:hint="default" w:ascii="宋体" w:hAnsi="宋体" w:eastAsia="宋体" w:cs="宋体"/>
                <w:sz w:val="24"/>
                <w:lang w:val="en-US" w:eastAsia="zh-CN"/>
              </w:rPr>
            </w:pPr>
            <w:r>
              <w:rPr>
                <w:rFonts w:hint="eastAsia" w:ascii="宋体" w:hAnsi="宋体" w:cs="宋体"/>
                <w:kern w:val="0"/>
                <w:sz w:val="24"/>
                <w:lang w:val="en-US" w:eastAsia="zh-CN" w:bidi="ar"/>
              </w:rPr>
              <w:t>35000</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4066322">
            <w:pPr>
              <w:keepNext w:val="0"/>
              <w:keepLines w:val="0"/>
              <w:widowControl/>
              <w:suppressLineNumbers w:val="0"/>
              <w:spacing w:before="0" w:beforeAutospacing="0" w:after="0" w:afterAutospacing="0" w:line="380" w:lineRule="auto"/>
              <w:ind w:left="0" w:right="0"/>
              <w:jc w:val="center"/>
              <w:textAlignment w:val="center"/>
              <w:rPr>
                <w:rFonts w:hint="default" w:ascii="宋体" w:hAnsi="宋体" w:cs="宋体"/>
                <w:sz w:val="24"/>
              </w:rPr>
            </w:pPr>
          </w:p>
        </w:tc>
      </w:tr>
      <w:tr w14:paraId="2106E40F">
        <w:tblPrEx>
          <w:tblCellMar>
            <w:top w:w="15" w:type="dxa"/>
            <w:left w:w="15" w:type="dxa"/>
            <w:bottom w:w="15" w:type="dxa"/>
            <w:right w:w="15" w:type="dxa"/>
          </w:tblCellMar>
        </w:tblPrEx>
        <w:trPr>
          <w:trHeight w:val="476" w:hRule="atLeast"/>
          <w:jc w:val="center"/>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5E0E2B72">
            <w:pPr>
              <w:keepNext w:val="0"/>
              <w:keepLines w:val="0"/>
              <w:suppressLineNumbers w:val="0"/>
              <w:spacing w:before="0" w:beforeAutospacing="0" w:after="0" w:afterAutospacing="0" w:line="377" w:lineRule="auto"/>
              <w:ind w:left="0" w:right="0"/>
              <w:jc w:val="center"/>
              <w:rPr>
                <w:rFonts w:hint="default" w:ascii="宋体" w:hAnsi="宋体" w:eastAsia="宋体" w:cs="宋体"/>
                <w:sz w:val="24"/>
                <w:lang w:val="en-US" w:eastAsia="zh-CN"/>
              </w:rPr>
            </w:pPr>
            <w:r>
              <w:rPr>
                <w:rFonts w:hint="eastAsia" w:ascii="宋体" w:hAnsi="宋体" w:cs="宋体"/>
                <w:sz w:val="24"/>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D0263F2">
            <w:pPr>
              <w:keepNext w:val="0"/>
              <w:keepLines w:val="0"/>
              <w:widowControl/>
              <w:suppressLineNumbers w:val="0"/>
              <w:spacing w:before="0" w:beforeAutospacing="0" w:after="0" w:afterAutospacing="0" w:line="380" w:lineRule="auto"/>
              <w:ind w:left="0" w:right="0"/>
              <w:jc w:val="center"/>
              <w:textAlignment w:val="center"/>
              <w:rPr>
                <w:rFonts w:hint="default" w:ascii="宋体" w:hAnsi="宋体" w:cs="宋体"/>
                <w:sz w:val="24"/>
              </w:rPr>
            </w:pPr>
            <w:r>
              <w:rPr>
                <w:rFonts w:hint="eastAsia" w:ascii="宋体" w:hAnsi="宋体" w:eastAsia="宋体" w:cs="宋体"/>
                <w:kern w:val="0"/>
                <w:sz w:val="24"/>
                <w:szCs w:val="24"/>
                <w:lang w:val="en-US" w:eastAsia="zh-CN" w:bidi="ar-SA"/>
                <w14:ligatures w14:val="standardContextual"/>
              </w:rPr>
              <w:t>税金</w:t>
            </w:r>
            <w:r>
              <w:rPr>
                <w:rFonts w:hint="eastAsia" w:ascii="宋体" w:hAnsi="宋体" w:cs="宋体"/>
                <w:kern w:val="0"/>
                <w:sz w:val="24"/>
                <w:lang w:bidi="ar"/>
              </w:rPr>
              <w:t>9%</w:t>
            </w:r>
          </w:p>
        </w:tc>
        <w:tc>
          <w:tcPr>
            <w:tcW w:w="681" w:type="dxa"/>
            <w:tcBorders>
              <w:top w:val="single" w:color="000000" w:sz="4" w:space="0"/>
              <w:left w:val="single" w:color="000000" w:sz="4" w:space="0"/>
              <w:bottom w:val="single" w:color="000000" w:sz="4" w:space="0"/>
              <w:right w:val="single" w:color="000000" w:sz="4" w:space="0"/>
            </w:tcBorders>
            <w:noWrap w:val="0"/>
            <w:vAlign w:val="center"/>
          </w:tcPr>
          <w:p w14:paraId="6AECD1B6">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51D19833">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03640938">
            <w:pPr>
              <w:keepNext w:val="0"/>
              <w:keepLines w:val="0"/>
              <w:suppressLineNumbers w:val="0"/>
              <w:spacing w:before="0" w:beforeAutospacing="0" w:after="0" w:afterAutospacing="0" w:line="380" w:lineRule="auto"/>
              <w:ind w:left="0" w:right="0"/>
              <w:jc w:val="center"/>
              <w:rPr>
                <w:rFonts w:hint="default" w:ascii="宋体" w:hAnsi="宋体" w:cs="宋体"/>
                <w:color w:val="FF0000"/>
                <w:sz w:val="24"/>
              </w:rPr>
            </w:pP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2A1A8893">
            <w:pPr>
              <w:keepNext w:val="0"/>
              <w:keepLines w:val="0"/>
              <w:widowControl/>
              <w:suppressLineNumbers w:val="0"/>
              <w:spacing w:before="0" w:beforeAutospacing="0" w:after="0" w:afterAutospacing="0" w:line="380" w:lineRule="auto"/>
              <w:ind w:left="0" w:right="0"/>
              <w:jc w:val="center"/>
              <w:textAlignment w:val="center"/>
              <w:rPr>
                <w:rFonts w:hint="default" w:ascii="宋体" w:hAnsi="宋体" w:eastAsia="宋体" w:cs="宋体"/>
                <w:sz w:val="24"/>
                <w:lang w:val="en-US" w:eastAsia="zh-CN"/>
              </w:rPr>
            </w:pPr>
            <w:r>
              <w:rPr>
                <w:rFonts w:hint="eastAsia" w:ascii="宋体" w:hAnsi="宋体" w:cs="宋体"/>
                <w:kern w:val="0"/>
                <w:sz w:val="24"/>
                <w:lang w:val="en-US" w:eastAsia="zh-CN" w:bidi="ar"/>
              </w:rPr>
              <w:t>3150</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B5EFE28">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r>
      <w:tr w14:paraId="63830491">
        <w:tblPrEx>
          <w:tblCellMar>
            <w:top w:w="15" w:type="dxa"/>
            <w:left w:w="15" w:type="dxa"/>
            <w:bottom w:w="15" w:type="dxa"/>
            <w:right w:w="15" w:type="dxa"/>
          </w:tblCellMar>
        </w:tblPrEx>
        <w:trPr>
          <w:trHeight w:val="476" w:hRule="atLeast"/>
          <w:jc w:val="center"/>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08AE64EA">
            <w:pPr>
              <w:keepNext w:val="0"/>
              <w:keepLines w:val="0"/>
              <w:suppressLineNumbers w:val="0"/>
              <w:spacing w:before="0" w:beforeAutospacing="0" w:after="0" w:afterAutospacing="0" w:line="377" w:lineRule="auto"/>
              <w:ind w:left="0" w:right="0"/>
              <w:jc w:val="center"/>
              <w:rPr>
                <w:rFonts w:hint="default" w:ascii="宋体" w:hAnsi="宋体" w:eastAsia="宋体" w:cs="宋体"/>
                <w:sz w:val="24"/>
                <w:lang w:val="en-US" w:eastAsia="zh-CN"/>
              </w:rPr>
            </w:pPr>
            <w:r>
              <w:rPr>
                <w:rFonts w:hint="eastAsia" w:ascii="宋体" w:hAnsi="宋体" w:cs="宋体"/>
                <w:sz w:val="24"/>
                <w:lang w:val="en-US" w:eastAsia="zh-CN"/>
              </w:rPr>
              <w:t>3</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A84D74">
            <w:pPr>
              <w:keepNext w:val="0"/>
              <w:keepLines w:val="0"/>
              <w:widowControl/>
              <w:suppressLineNumbers w:val="0"/>
              <w:spacing w:before="0" w:beforeAutospacing="0" w:after="0" w:afterAutospacing="0" w:line="380" w:lineRule="auto"/>
              <w:ind w:left="0" w:right="0"/>
              <w:jc w:val="center"/>
              <w:textAlignment w:val="center"/>
              <w:rPr>
                <w:rFonts w:hint="eastAsia" w:ascii="宋体" w:hAnsi="宋体" w:cs="宋体" w:eastAsiaTheme="minorEastAsia"/>
                <w:kern w:val="2"/>
                <w:sz w:val="24"/>
                <w:szCs w:val="22"/>
                <w:lang w:val="en-US" w:eastAsia="zh-CN" w:bidi="ar-SA"/>
              </w:rPr>
            </w:pPr>
            <w:r>
              <w:rPr>
                <w:rFonts w:hint="eastAsia" w:ascii="宋体" w:hAnsi="宋体" w:cs="宋体"/>
                <w:kern w:val="0"/>
                <w:sz w:val="24"/>
                <w:lang w:bidi="ar"/>
              </w:rPr>
              <w:t>合计</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A5B4E9">
            <w:pPr>
              <w:keepNext w:val="0"/>
              <w:keepLines w:val="0"/>
              <w:suppressLineNumbers w:val="0"/>
              <w:spacing w:before="0" w:beforeAutospacing="0" w:after="0" w:afterAutospacing="0" w:line="380" w:lineRule="auto"/>
              <w:ind w:left="0" w:right="0"/>
              <w:jc w:val="center"/>
              <w:rPr>
                <w:rFonts w:hint="default" w:ascii="宋体" w:hAnsi="宋体" w:cs="宋体" w:eastAsiaTheme="minorEastAsia"/>
                <w:kern w:val="2"/>
                <w:sz w:val="24"/>
                <w:szCs w:val="22"/>
                <w:lang w:val="en-US" w:eastAsia="zh-CN" w:bidi="ar-SA"/>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0FE9A7">
            <w:pPr>
              <w:keepNext w:val="0"/>
              <w:keepLines w:val="0"/>
              <w:suppressLineNumbers w:val="0"/>
              <w:spacing w:before="0" w:beforeAutospacing="0" w:after="0" w:afterAutospacing="0" w:line="380" w:lineRule="auto"/>
              <w:ind w:left="0" w:right="0"/>
              <w:jc w:val="center"/>
              <w:rPr>
                <w:rFonts w:hint="default" w:ascii="宋体" w:hAnsi="宋体" w:cs="宋体" w:eastAsiaTheme="minorEastAsia"/>
                <w:kern w:val="2"/>
                <w:sz w:val="24"/>
                <w:szCs w:val="22"/>
                <w:lang w:val="en-US" w:eastAsia="zh-CN" w:bidi="ar-SA"/>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1214D8">
            <w:pPr>
              <w:keepNext w:val="0"/>
              <w:keepLines w:val="0"/>
              <w:suppressLineNumbers w:val="0"/>
              <w:spacing w:before="0" w:beforeAutospacing="0" w:after="0" w:afterAutospacing="0" w:line="380" w:lineRule="auto"/>
              <w:ind w:left="0" w:right="0"/>
              <w:jc w:val="center"/>
              <w:rPr>
                <w:rFonts w:hint="default" w:ascii="宋体" w:hAnsi="宋体" w:cs="宋体" w:eastAsiaTheme="minorEastAsia"/>
                <w:color w:val="FF0000"/>
                <w:kern w:val="2"/>
                <w:sz w:val="24"/>
                <w:szCs w:val="22"/>
                <w:lang w:val="en-US" w:eastAsia="zh-CN" w:bidi="ar-SA"/>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281BAC">
            <w:pPr>
              <w:keepNext w:val="0"/>
              <w:keepLines w:val="0"/>
              <w:widowControl/>
              <w:suppressLineNumbers w:val="0"/>
              <w:spacing w:before="0" w:beforeAutospacing="0" w:after="0" w:afterAutospacing="0" w:line="380" w:lineRule="auto"/>
              <w:ind w:left="0" w:right="0"/>
              <w:jc w:val="center"/>
              <w:textAlignment w:val="center"/>
              <w:rPr>
                <w:rFonts w:hint="default" w:eastAsia="宋体" w:asciiTheme="minorHAnsi" w:hAnsiTheme="minorHAnsi" w:cstheme="minorBidi"/>
                <w:kern w:val="2"/>
                <w:sz w:val="21"/>
                <w:szCs w:val="22"/>
                <w:lang w:val="en-US" w:eastAsia="zh-CN" w:bidi="ar-SA"/>
              </w:rPr>
            </w:pPr>
            <w:r>
              <w:rPr>
                <w:rFonts w:hint="eastAsia" w:ascii="宋体" w:hAnsi="宋体" w:cs="宋体"/>
                <w:kern w:val="0"/>
                <w:sz w:val="24"/>
                <w:lang w:val="en-US" w:eastAsia="zh-CN" w:bidi="ar"/>
              </w:rPr>
              <w:t>38150</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42229BD5">
            <w:pPr>
              <w:keepNext w:val="0"/>
              <w:keepLines w:val="0"/>
              <w:suppressLineNumbers w:val="0"/>
              <w:spacing w:before="0" w:beforeAutospacing="0" w:after="0" w:afterAutospacing="0" w:line="380" w:lineRule="auto"/>
              <w:ind w:left="0" w:right="0"/>
              <w:jc w:val="center"/>
              <w:rPr>
                <w:rFonts w:hint="default" w:ascii="宋体" w:hAnsi="宋体" w:cs="宋体"/>
                <w:sz w:val="24"/>
              </w:rPr>
            </w:pPr>
          </w:p>
        </w:tc>
      </w:tr>
    </w:tbl>
    <w:p w14:paraId="273FDC12">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szCs w:val="24"/>
          <w:highlight w:val="none"/>
          <w:lang w:val="en-US" w:eastAsia="zh-CN" w:bidi="ar"/>
        </w:rPr>
      </w:pPr>
    </w:p>
    <w:p w14:paraId="2DF786A4">
      <w:pPr>
        <w:spacing w:line="360" w:lineRule="auto"/>
        <w:ind w:firstLine="482" w:firstLineChars="200"/>
        <w:rPr>
          <w:rFonts w:hint="eastAsia" w:ascii="宋体" w:hAnsi="宋体" w:eastAsia="宋体" w:cs="宋体"/>
          <w:b/>
          <w:bCs/>
          <w:sz w:val="24"/>
          <w:szCs w:val="24"/>
          <w:highlight w:val="none"/>
          <w:lang w:val="en-US" w:eastAsia="zh-CN" w:bidi="ar"/>
        </w:rPr>
      </w:pPr>
    </w:p>
    <w:p w14:paraId="7105319F">
      <w:pPr>
        <w:spacing w:line="360" w:lineRule="auto"/>
        <w:ind w:firstLine="482" w:firstLineChars="200"/>
        <w:rPr>
          <w:rFonts w:hint="eastAsia" w:ascii="宋体" w:hAnsi="宋体" w:eastAsia="宋体" w:cs="宋体"/>
          <w:b/>
          <w:bCs/>
          <w:sz w:val="24"/>
          <w:szCs w:val="24"/>
          <w:highlight w:val="none"/>
          <w:lang w:val="en-US" w:eastAsia="zh-CN" w:bidi="ar"/>
        </w:rPr>
      </w:pPr>
    </w:p>
    <w:p w14:paraId="48199631">
      <w:pPr>
        <w:spacing w:line="360" w:lineRule="auto"/>
        <w:ind w:firstLine="482" w:firstLineChars="200"/>
        <w:rPr>
          <w:rFonts w:hint="eastAsia" w:ascii="宋体" w:hAnsi="宋体" w:eastAsia="宋体" w:cs="宋体"/>
          <w:b/>
          <w:bCs/>
          <w:sz w:val="24"/>
          <w:szCs w:val="24"/>
          <w:highlight w:val="none"/>
          <w:lang w:val="en-US" w:eastAsia="zh-CN" w:bidi="ar"/>
        </w:rPr>
      </w:pPr>
    </w:p>
    <w:p w14:paraId="3A3C5AC0">
      <w:pPr>
        <w:spacing w:line="360" w:lineRule="auto"/>
        <w:ind w:firstLine="482" w:firstLineChars="200"/>
        <w:rPr>
          <w:rFonts w:hint="eastAsia" w:ascii="宋体" w:hAnsi="宋体" w:eastAsia="宋体" w:cs="宋体"/>
          <w:b/>
          <w:bCs/>
          <w:sz w:val="24"/>
          <w:szCs w:val="24"/>
          <w:highlight w:val="none"/>
          <w:lang w:val="en-US" w:eastAsia="zh-CN" w:bidi="ar"/>
        </w:rPr>
      </w:pPr>
    </w:p>
    <w:p w14:paraId="23433E06">
      <w:pPr>
        <w:spacing w:line="360" w:lineRule="auto"/>
        <w:ind w:firstLine="482" w:firstLineChars="200"/>
        <w:rPr>
          <w:rFonts w:hint="eastAsia" w:ascii="宋体" w:hAnsi="宋体" w:eastAsia="宋体" w:cs="宋体"/>
          <w:b/>
          <w:bCs/>
          <w:sz w:val="24"/>
          <w:szCs w:val="24"/>
          <w:highlight w:val="none"/>
          <w:lang w:val="en-US" w:eastAsia="zh-CN" w:bidi="ar"/>
        </w:rPr>
      </w:pPr>
    </w:p>
    <w:p w14:paraId="24EF34B2">
      <w:pPr>
        <w:spacing w:line="360" w:lineRule="auto"/>
        <w:ind w:firstLine="482" w:firstLineChars="200"/>
        <w:rPr>
          <w:rFonts w:hint="eastAsia" w:ascii="宋体" w:hAnsi="宋体" w:eastAsia="宋体" w:cs="宋体"/>
          <w:b/>
          <w:bCs/>
          <w:sz w:val="24"/>
          <w:szCs w:val="24"/>
          <w:highlight w:val="none"/>
          <w:lang w:val="en-US" w:eastAsia="zh-CN" w:bidi="ar"/>
        </w:rPr>
      </w:pPr>
      <w:r>
        <w:rPr>
          <w:rFonts w:hint="eastAsia" w:ascii="宋体" w:hAnsi="宋体" w:eastAsia="宋体" w:cs="宋体"/>
          <w:b/>
          <w:bCs/>
          <w:sz w:val="24"/>
          <w:szCs w:val="24"/>
          <w:highlight w:val="none"/>
          <w:lang w:val="en-US" w:eastAsia="zh-CN" w:bidi="ar"/>
        </w:rPr>
        <w:t>六、主要材料设备参考品牌表</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702"/>
        <w:gridCol w:w="4676"/>
        <w:gridCol w:w="1538"/>
      </w:tblGrid>
      <w:tr w14:paraId="37E0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blHeader/>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7455B7EC">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序号</w:t>
            </w:r>
          </w:p>
        </w:tc>
        <w:tc>
          <w:tcPr>
            <w:tcW w:w="2702" w:type="dxa"/>
            <w:tcBorders>
              <w:top w:val="single" w:color="auto" w:sz="4" w:space="0"/>
              <w:left w:val="single" w:color="auto" w:sz="4" w:space="0"/>
              <w:bottom w:val="single" w:color="auto" w:sz="4" w:space="0"/>
              <w:right w:val="single" w:color="auto" w:sz="4" w:space="0"/>
            </w:tcBorders>
            <w:noWrap w:val="0"/>
            <w:vAlign w:val="center"/>
          </w:tcPr>
          <w:p w14:paraId="706CFFA1">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材料、设备名称</w:t>
            </w:r>
          </w:p>
        </w:tc>
        <w:tc>
          <w:tcPr>
            <w:tcW w:w="4676" w:type="dxa"/>
            <w:tcBorders>
              <w:top w:val="single" w:color="auto" w:sz="4" w:space="0"/>
              <w:left w:val="single" w:color="auto" w:sz="4" w:space="0"/>
              <w:bottom w:val="single" w:color="auto" w:sz="4" w:space="0"/>
              <w:right w:val="single" w:color="auto" w:sz="4" w:space="0"/>
            </w:tcBorders>
            <w:noWrap w:val="0"/>
            <w:vAlign w:val="center"/>
          </w:tcPr>
          <w:p w14:paraId="0147BEDF">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招标人约定的参考品牌（材质）</w:t>
            </w:r>
          </w:p>
        </w:tc>
        <w:tc>
          <w:tcPr>
            <w:tcW w:w="1538" w:type="dxa"/>
            <w:tcBorders>
              <w:top w:val="single" w:color="auto" w:sz="4" w:space="0"/>
              <w:left w:val="single" w:color="auto" w:sz="4" w:space="0"/>
              <w:bottom w:val="single" w:color="auto" w:sz="4" w:space="0"/>
              <w:right w:val="single" w:color="auto" w:sz="4" w:space="0"/>
            </w:tcBorders>
            <w:noWrap w:val="0"/>
            <w:vAlign w:val="center"/>
          </w:tcPr>
          <w:p w14:paraId="1FE03282">
            <w:pPr>
              <w:keepNext w:val="0"/>
              <w:keepLines w:val="0"/>
              <w:suppressLineNumbers w:val="0"/>
              <w:spacing w:before="0" w:beforeAutospacing="0" w:after="0" w:afterAutospacing="0"/>
              <w:ind w:left="0" w:right="0"/>
              <w:jc w:val="center"/>
              <w:rPr>
                <w:rFonts w:hint="eastAsia" w:ascii="宋体" w:hAnsi="宋体" w:eastAsia="宋体" w:cs="宋体"/>
                <w:b/>
                <w:sz w:val="24"/>
                <w:szCs w:val="24"/>
                <w:lang w:val="en-US" w:eastAsia="zh-CN" w:bidi="ar"/>
                <w14:ligatures w14:val="none"/>
              </w:rPr>
            </w:pPr>
            <w:r>
              <w:rPr>
                <w:rFonts w:hint="eastAsia" w:ascii="宋体" w:hAnsi="宋体" w:eastAsia="宋体" w:cs="宋体"/>
                <w:b/>
                <w:sz w:val="24"/>
                <w:szCs w:val="24"/>
                <w:lang w:val="en-US" w:eastAsia="zh-CN" w:bidi="ar"/>
                <w14:ligatures w14:val="none"/>
              </w:rPr>
              <w:t>备注</w:t>
            </w:r>
          </w:p>
        </w:tc>
      </w:tr>
      <w:tr w14:paraId="5C7E2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9638" w:type="dxa"/>
            <w:gridSpan w:val="4"/>
            <w:tcBorders>
              <w:top w:val="single" w:color="auto" w:sz="4" w:space="0"/>
              <w:left w:val="single" w:color="auto" w:sz="4" w:space="0"/>
              <w:bottom w:val="single" w:color="auto" w:sz="4" w:space="0"/>
              <w:right w:val="single" w:color="auto" w:sz="4" w:space="0"/>
            </w:tcBorders>
            <w:noWrap w:val="0"/>
            <w:vAlign w:val="center"/>
          </w:tcPr>
          <w:p w14:paraId="68ADDC6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一、装修材料</w:t>
            </w:r>
          </w:p>
        </w:tc>
      </w:tr>
      <w:tr w14:paraId="7712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721BC9F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3ADD4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乳胶漆、无机涂料</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3D6C71">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上海立邦、嘉宝莉、皓尔宝</w:t>
            </w:r>
          </w:p>
        </w:tc>
        <w:tc>
          <w:tcPr>
            <w:tcW w:w="1538" w:type="dxa"/>
            <w:tcBorders>
              <w:top w:val="single" w:color="auto" w:sz="4" w:space="0"/>
              <w:left w:val="single" w:color="auto" w:sz="4" w:space="0"/>
              <w:bottom w:val="single" w:color="auto" w:sz="4" w:space="0"/>
              <w:right w:val="single" w:color="auto" w:sz="4" w:space="0"/>
            </w:tcBorders>
            <w:noWrap w:val="0"/>
            <w:vAlign w:val="center"/>
          </w:tcPr>
          <w:p w14:paraId="2E8A6C0E">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23D4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14CD9808">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38D6F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轻钢龙骨系列配件</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3AF52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杰森、可耐福、龙牌</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516D34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1114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61C0E901">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6FF2A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纸面石膏板</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02A19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杰森、可耐福、龙牌</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AE485E">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7F7B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DF06B3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4</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F16A2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防水涂料</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D240A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华高科、东方雨虹、宁波劲松</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040A23">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5E69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77FBE8">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5</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96006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塑胶板材</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A9F2A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洁弗乐、LG（LX）、阿姆斯壮</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6E6CC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宋体" w:hAnsi="宋体" w:eastAsia="宋体" w:cs="宋体"/>
                <w:sz w:val="24"/>
                <w:szCs w:val="24"/>
                <w:highlight w:val="none"/>
                <w:lang w:val="en-US" w:eastAsia="zh-CN" w:bidi="ar"/>
                <w14:ligatures w14:val="none"/>
              </w:rPr>
            </w:pPr>
          </w:p>
        </w:tc>
      </w:tr>
      <w:tr w14:paraId="61142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87B03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6</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02D3E2">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实木烤漆复合门</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F85439">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SKF木门、大自然木门、开开木门</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FA3932">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宋体" w:hAnsi="宋体" w:eastAsia="宋体" w:cs="宋体"/>
                <w:sz w:val="24"/>
                <w:szCs w:val="24"/>
                <w:highlight w:val="none"/>
                <w:lang w:val="en-US" w:eastAsia="zh-CN" w:bidi="ar"/>
                <w14:ligatures w14:val="none"/>
              </w:rPr>
            </w:pPr>
          </w:p>
        </w:tc>
      </w:tr>
      <w:tr w14:paraId="6130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228A2333">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7</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B0142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玻璃</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A31E8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南玻、耀皮、旗滨、台玻</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538E9A">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658A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6C97C07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8</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45C2C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阻燃板</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77158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莫干山、千年舟、兔宝宝</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01865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090B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4A4FCCB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9</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ACBCE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结构胶、耐候胶</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472E2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上海道康宁、广州白云、成都硅宝</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2E303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70520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698725E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10</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79DC48">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门窗五金配件</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EDB0DE">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坚朗、顶固、钥玛</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58584D">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304材质</w:t>
            </w:r>
          </w:p>
        </w:tc>
      </w:tr>
      <w:tr w14:paraId="12C1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3B64432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11</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16845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驳接爪件</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1E3C8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坚朗、GMT、皇冠</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7C79D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316材质</w:t>
            </w:r>
          </w:p>
        </w:tc>
      </w:tr>
      <w:tr w14:paraId="1695C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14:paraId="7A934BF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12</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FF6D39">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铝合金门窗、幕墙型材</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C5CFED">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上海浙东、广东坚美、广州兴发</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63556E">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宋体" w:hAnsi="宋体" w:eastAsia="宋体" w:cs="宋体"/>
                <w:sz w:val="24"/>
                <w:szCs w:val="24"/>
                <w:highlight w:val="none"/>
                <w:lang w:val="en-US" w:eastAsia="zh-CN" w:bidi="ar"/>
                <w14:ligatures w14:val="none"/>
              </w:rPr>
            </w:pPr>
          </w:p>
        </w:tc>
      </w:tr>
      <w:tr w14:paraId="1CC4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9638" w:type="dxa"/>
            <w:gridSpan w:val="4"/>
            <w:tcBorders>
              <w:top w:val="single" w:color="auto" w:sz="4" w:space="0"/>
              <w:left w:val="single" w:color="auto" w:sz="4" w:space="0"/>
              <w:bottom w:val="single" w:color="auto" w:sz="4" w:space="0"/>
              <w:right w:val="single" w:color="auto" w:sz="4" w:space="0"/>
            </w:tcBorders>
            <w:noWrap w:val="0"/>
            <w:vAlign w:val="center"/>
          </w:tcPr>
          <w:p w14:paraId="72E09A6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default"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二、安装材料</w:t>
            </w:r>
          </w:p>
        </w:tc>
      </w:tr>
      <w:tr w14:paraId="1865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FC7067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D0ECD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照明灯具</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16E23D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雷士照明、三雄极光、正泰</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6C429A">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7610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6A0A2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2</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34A44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电线、电缆</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28C75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宁波球冠、宁波东方、上海上线</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80897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59C6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37037A">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3</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45E3D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开关、插座</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E9CA4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正泰、西蒙、公牛</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B74B0F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3058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6C517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4</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A528D1">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镀锌钢管</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2E8B13">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天津利达、宁波宇盛、金洲长虹</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A24679">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7788E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83F908">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5</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1E032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JDG电线导管</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59BEFE">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文安浩业、湖南武陵源、武汉恒久远</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274362">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020F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DB5E0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6</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BF8D5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PP-R给水管</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9F4BC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上海白蝶、浙江中财、伟星</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932FA1">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4A43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E47E2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7</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2C55F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排水管</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8EA9CA">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上海白蝶、浙江中财、伟星</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5A2821">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075D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D2514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8</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B10E19">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卫生洁具</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24E4F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恒洁、箭牌、惠达、埃美柯</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D09BF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14E8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39850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240" w:firstLineChars="10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9</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E3901F">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综合布线</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B4B82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罗格朗、施耐德、一舟</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FC6A6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3D87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F5B040">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10</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1CA65C">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配电箱成套厂家</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DBDCC4">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宁波恒升、宁波曙光、宁波海越</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B12F6B">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r w14:paraId="7C1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273745">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11</w:t>
            </w:r>
          </w:p>
        </w:tc>
        <w:tc>
          <w:tcPr>
            <w:tcW w:w="27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E3D066">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配电箱元器件</w:t>
            </w:r>
          </w:p>
        </w:tc>
        <w:tc>
          <w:tcPr>
            <w:tcW w:w="46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14AA27">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上海人民电器、常熟电子、德力西、正泰</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95510D">
            <w:pPr>
              <w:keepNext w:val="0"/>
              <w:keepLines w:val="0"/>
              <w:pageBreakBefore w:val="0"/>
              <w:widowControl w:val="0"/>
              <w:numPr>
                <w:ilvl w:val="0"/>
                <w:numId w:val="0"/>
              </w:numPr>
              <w:suppressLineNumbers w:val="0"/>
              <w:tabs>
                <w:tab w:val="left" w:pos="3060"/>
                <w:tab w:val="left" w:pos="9180"/>
                <w:tab w:val="left" w:pos="9360"/>
              </w:tabs>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sz w:val="24"/>
                <w:szCs w:val="24"/>
                <w:highlight w:val="none"/>
                <w:lang w:val="en-US" w:eastAsia="zh-CN" w:bidi="ar"/>
                <w14:ligatures w14:val="none"/>
              </w:rPr>
            </w:pPr>
          </w:p>
        </w:tc>
      </w:tr>
    </w:tbl>
    <w:p w14:paraId="0CD80622">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highlight w:val="none"/>
          <w:lang w:val="en-US" w:eastAsia="zh-CN" w:bidi="ar"/>
          <w14:ligatures w14:val="none"/>
        </w:rPr>
      </w:pPr>
    </w:p>
    <w:p w14:paraId="54C59EBA">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jc w:val="both"/>
        <w:textAlignment w:val="auto"/>
        <w:rPr>
          <w:rFonts w:hint="default" w:ascii="宋体" w:hAnsi="宋体" w:eastAsia="宋体" w:cs="宋体"/>
          <w:sz w:val="24"/>
          <w:szCs w:val="24"/>
          <w:highlight w:val="none"/>
          <w:lang w:val="en-US" w:eastAsia="zh-CN" w:bidi="ar"/>
          <w14:ligatures w14:val="none"/>
        </w:rPr>
      </w:pPr>
    </w:p>
    <w:p w14:paraId="16EC4BE7">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highlight w:val="none"/>
          <w:lang w:val="en-US" w:eastAsia="zh-CN" w:bidi="ar"/>
          <w14:ligatures w14:val="none"/>
        </w:rPr>
      </w:pPr>
    </w:p>
    <w:p w14:paraId="00F1AF7A">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highlight w:val="none"/>
          <w:lang w:val="en-US" w:eastAsia="zh-CN" w:bidi="ar"/>
          <w14:ligatures w14:val="none"/>
        </w:rPr>
      </w:pPr>
    </w:p>
    <w:p w14:paraId="1AE594E8">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highlight w:val="none"/>
          <w:lang w:val="en-US" w:eastAsia="zh-CN" w:bidi="ar"/>
          <w14:ligatures w14:val="none"/>
        </w:rPr>
      </w:pPr>
    </w:p>
    <w:p w14:paraId="2940B3BC">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5342" w:firstLineChars="2226"/>
        <w:jc w:val="both"/>
        <w:textAlignment w:val="auto"/>
        <w:rPr>
          <w:rFonts w:hint="eastAsia" w:ascii="宋体" w:hAnsi="宋体" w:eastAsia="宋体" w:cs="宋体"/>
          <w:sz w:val="24"/>
          <w:szCs w:val="24"/>
          <w:highlight w:val="none"/>
          <w:lang w:val="en-US" w:eastAsia="zh-CN" w:bidi="ar"/>
          <w14:ligatures w14:val="none"/>
        </w:rPr>
      </w:pPr>
      <w:r>
        <w:rPr>
          <w:rFonts w:hint="eastAsia" w:ascii="宋体" w:hAnsi="宋体" w:eastAsia="宋体" w:cs="宋体"/>
          <w:sz w:val="24"/>
          <w:szCs w:val="24"/>
          <w:highlight w:val="none"/>
          <w:lang w:val="en-US" w:eastAsia="zh-CN" w:bidi="ar"/>
          <w14:ligatures w14:val="none"/>
        </w:rPr>
        <w:t>科信联合工程咨询有限公司</w:t>
      </w:r>
    </w:p>
    <w:p w14:paraId="4E85DEF5">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360" w:lineRule="auto"/>
        <w:ind w:firstLine="6062" w:firstLineChars="2526"/>
        <w:textAlignment w:val="auto"/>
        <w:rPr>
          <w:rFonts w:hint="default" w:ascii="宋体" w:hAnsi="宋体" w:eastAsia="宋体" w:cs="宋体"/>
          <w:sz w:val="24"/>
          <w:szCs w:val="24"/>
          <w:lang w:val="en-US" w:eastAsia="zh-CN"/>
        </w:rPr>
      </w:pPr>
      <w:r>
        <w:rPr>
          <w:rFonts w:hint="eastAsia" w:ascii="宋体" w:hAnsi="宋体" w:eastAsia="宋体" w:cs="宋体"/>
          <w:sz w:val="24"/>
          <w:szCs w:val="24"/>
          <w:highlight w:val="none"/>
          <w:lang w:val="en-US" w:eastAsia="zh-CN" w:bidi="ar"/>
          <w14:ligatures w14:val="none"/>
        </w:rPr>
        <w:t xml:space="preserve">2025年6月25日  </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BF836"/>
    <w:multiLevelType w:val="singleLevel"/>
    <w:tmpl w:val="C2BBF836"/>
    <w:lvl w:ilvl="0" w:tentative="0">
      <w:start w:val="1"/>
      <w:numFmt w:val="decimal"/>
      <w:suff w:val="nothing"/>
      <w:lvlText w:val="%1."/>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NiZDE1NjEzYTAzOTNhNzRmM2M1M2Y2ZjVkMzIzNzUifQ=="/>
  </w:docVars>
  <w:rsids>
    <w:rsidRoot w:val="003A53C5"/>
    <w:rsid w:val="00000428"/>
    <w:rsid w:val="00010F23"/>
    <w:rsid w:val="000D045B"/>
    <w:rsid w:val="00115A71"/>
    <w:rsid w:val="001178A6"/>
    <w:rsid w:val="0012067F"/>
    <w:rsid w:val="00125FB0"/>
    <w:rsid w:val="00164317"/>
    <w:rsid w:val="001F5A55"/>
    <w:rsid w:val="00282140"/>
    <w:rsid w:val="00364074"/>
    <w:rsid w:val="003A53C5"/>
    <w:rsid w:val="0040595F"/>
    <w:rsid w:val="0041016C"/>
    <w:rsid w:val="004B2A1A"/>
    <w:rsid w:val="005151CC"/>
    <w:rsid w:val="0059232E"/>
    <w:rsid w:val="005A757B"/>
    <w:rsid w:val="005D0144"/>
    <w:rsid w:val="005F51B5"/>
    <w:rsid w:val="00644091"/>
    <w:rsid w:val="00762F1F"/>
    <w:rsid w:val="00767AEA"/>
    <w:rsid w:val="00821E66"/>
    <w:rsid w:val="00860926"/>
    <w:rsid w:val="00935678"/>
    <w:rsid w:val="009503ED"/>
    <w:rsid w:val="009755B9"/>
    <w:rsid w:val="00997D3B"/>
    <w:rsid w:val="009F153B"/>
    <w:rsid w:val="00A635D2"/>
    <w:rsid w:val="00A93F22"/>
    <w:rsid w:val="00B74A02"/>
    <w:rsid w:val="00BA186C"/>
    <w:rsid w:val="00BB09AA"/>
    <w:rsid w:val="00C85CD0"/>
    <w:rsid w:val="00C97E99"/>
    <w:rsid w:val="00CD5B07"/>
    <w:rsid w:val="00CE72AE"/>
    <w:rsid w:val="00D009E7"/>
    <w:rsid w:val="00D3153E"/>
    <w:rsid w:val="00E02BD4"/>
    <w:rsid w:val="00EB7036"/>
    <w:rsid w:val="00F07E03"/>
    <w:rsid w:val="00F51FA4"/>
    <w:rsid w:val="00FA4206"/>
    <w:rsid w:val="0176597C"/>
    <w:rsid w:val="01FA0B52"/>
    <w:rsid w:val="023B08A4"/>
    <w:rsid w:val="025C5BD8"/>
    <w:rsid w:val="038A570F"/>
    <w:rsid w:val="03C80DA5"/>
    <w:rsid w:val="059156D1"/>
    <w:rsid w:val="0708176C"/>
    <w:rsid w:val="08036B39"/>
    <w:rsid w:val="09910D89"/>
    <w:rsid w:val="0B161374"/>
    <w:rsid w:val="0B1F7084"/>
    <w:rsid w:val="0CC362C2"/>
    <w:rsid w:val="0CFB58CF"/>
    <w:rsid w:val="0D162709"/>
    <w:rsid w:val="0D3A117D"/>
    <w:rsid w:val="0D514EEB"/>
    <w:rsid w:val="0DA076E1"/>
    <w:rsid w:val="11A26319"/>
    <w:rsid w:val="11ED1C8A"/>
    <w:rsid w:val="12AD517A"/>
    <w:rsid w:val="138C7281"/>
    <w:rsid w:val="169B6A68"/>
    <w:rsid w:val="1A187AC0"/>
    <w:rsid w:val="1A572B10"/>
    <w:rsid w:val="1B1D1319"/>
    <w:rsid w:val="1B6E1A2C"/>
    <w:rsid w:val="1BAA3164"/>
    <w:rsid w:val="1C0D6A51"/>
    <w:rsid w:val="1C5E0107"/>
    <w:rsid w:val="1CEE157E"/>
    <w:rsid w:val="1D50017D"/>
    <w:rsid w:val="1E2E603F"/>
    <w:rsid w:val="1E3B4990"/>
    <w:rsid w:val="1EB202A6"/>
    <w:rsid w:val="1ED257CC"/>
    <w:rsid w:val="1F751511"/>
    <w:rsid w:val="20CC737E"/>
    <w:rsid w:val="23452FA8"/>
    <w:rsid w:val="242C0C62"/>
    <w:rsid w:val="25873D4C"/>
    <w:rsid w:val="267658A4"/>
    <w:rsid w:val="29347D47"/>
    <w:rsid w:val="2A2C6C70"/>
    <w:rsid w:val="2A395EDB"/>
    <w:rsid w:val="2B3E30FF"/>
    <w:rsid w:val="2B7326DE"/>
    <w:rsid w:val="2BB37649"/>
    <w:rsid w:val="2C262A24"/>
    <w:rsid w:val="2D7514E3"/>
    <w:rsid w:val="2E2C36E3"/>
    <w:rsid w:val="30442F65"/>
    <w:rsid w:val="3086532C"/>
    <w:rsid w:val="309E5EF0"/>
    <w:rsid w:val="3115220C"/>
    <w:rsid w:val="31673665"/>
    <w:rsid w:val="34F41C26"/>
    <w:rsid w:val="357A4D33"/>
    <w:rsid w:val="35955718"/>
    <w:rsid w:val="359C1F7B"/>
    <w:rsid w:val="35F255E9"/>
    <w:rsid w:val="37555A58"/>
    <w:rsid w:val="38B662FF"/>
    <w:rsid w:val="3976547E"/>
    <w:rsid w:val="399F745E"/>
    <w:rsid w:val="3A856654"/>
    <w:rsid w:val="3A866F6F"/>
    <w:rsid w:val="3AD1189A"/>
    <w:rsid w:val="3B4958D4"/>
    <w:rsid w:val="3C5B37DB"/>
    <w:rsid w:val="3CBF5E98"/>
    <w:rsid w:val="3CC46CF0"/>
    <w:rsid w:val="3F685327"/>
    <w:rsid w:val="3F9967D9"/>
    <w:rsid w:val="3F9B4F83"/>
    <w:rsid w:val="3FA4070B"/>
    <w:rsid w:val="3FBF43B6"/>
    <w:rsid w:val="42360234"/>
    <w:rsid w:val="42DE2DA6"/>
    <w:rsid w:val="438C45B0"/>
    <w:rsid w:val="440A5C63"/>
    <w:rsid w:val="441B1DD7"/>
    <w:rsid w:val="45ED6F80"/>
    <w:rsid w:val="47821EE5"/>
    <w:rsid w:val="47FD3159"/>
    <w:rsid w:val="48EC789E"/>
    <w:rsid w:val="4A677B24"/>
    <w:rsid w:val="4C6E46DB"/>
    <w:rsid w:val="4D027691"/>
    <w:rsid w:val="4D4F40A0"/>
    <w:rsid w:val="4E6E685C"/>
    <w:rsid w:val="4EAD1A8B"/>
    <w:rsid w:val="50D14C5B"/>
    <w:rsid w:val="529C7933"/>
    <w:rsid w:val="52A428FB"/>
    <w:rsid w:val="534759B4"/>
    <w:rsid w:val="53775ABF"/>
    <w:rsid w:val="53843D01"/>
    <w:rsid w:val="55501921"/>
    <w:rsid w:val="5A33532D"/>
    <w:rsid w:val="5BA115BF"/>
    <w:rsid w:val="5CB642A4"/>
    <w:rsid w:val="5EFA6234"/>
    <w:rsid w:val="5F331373"/>
    <w:rsid w:val="616C3BE0"/>
    <w:rsid w:val="616E57CA"/>
    <w:rsid w:val="62FD2A94"/>
    <w:rsid w:val="64270DD6"/>
    <w:rsid w:val="658729D1"/>
    <w:rsid w:val="66005EF7"/>
    <w:rsid w:val="66467F03"/>
    <w:rsid w:val="68C46345"/>
    <w:rsid w:val="69AC1259"/>
    <w:rsid w:val="6A27744A"/>
    <w:rsid w:val="6A655E02"/>
    <w:rsid w:val="6AD2490C"/>
    <w:rsid w:val="6D1A2C5A"/>
    <w:rsid w:val="6DCC3272"/>
    <w:rsid w:val="6ECE3DF0"/>
    <w:rsid w:val="70294B68"/>
    <w:rsid w:val="729D133C"/>
    <w:rsid w:val="72EA289C"/>
    <w:rsid w:val="73680F37"/>
    <w:rsid w:val="737A3B75"/>
    <w:rsid w:val="74B104AE"/>
    <w:rsid w:val="756B609A"/>
    <w:rsid w:val="76042CBB"/>
    <w:rsid w:val="76D17F50"/>
    <w:rsid w:val="799F4335"/>
    <w:rsid w:val="79ED79C5"/>
    <w:rsid w:val="7BFC7A4B"/>
    <w:rsid w:val="7C4B60AF"/>
    <w:rsid w:val="7C574A54"/>
    <w:rsid w:val="7C694787"/>
    <w:rsid w:val="7DCB6203"/>
    <w:rsid w:val="7E3516AF"/>
    <w:rsid w:val="7E596B4E"/>
    <w:rsid w:val="7EA36B30"/>
    <w:rsid w:val="7EA67F14"/>
    <w:rsid w:val="7EC363D0"/>
    <w:rsid w:val="7F3635A3"/>
    <w:rsid w:val="7F503826"/>
    <w:rsid w:val="7F8F12B1"/>
    <w:rsid w:val="7FE6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14:ligatures w14:val="standardContextual"/>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widowControl/>
    </w:pPr>
    <w:rPr>
      <w:rFonts w:ascii="Arial" w:hAnsi="Arial" w:cs="Times New Roman"/>
      <w:lang w:eastAsia="en-US"/>
    </w:rPr>
  </w:style>
  <w:style w:type="paragraph" w:styleId="3">
    <w:name w:val="Body Text Indent"/>
    <w:basedOn w:val="1"/>
    <w:link w:val="13"/>
    <w:semiHidden/>
    <w:unhideWhenUsed/>
    <w:qFormat/>
    <w:uiPriority w:val="99"/>
    <w:pPr>
      <w:spacing w:after="120"/>
      <w:ind w:left="420" w:leftChars="2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ascii="Times New Roman" w:hAnsi="Times New Roman" w:eastAsia="宋体"/>
      <w:kern w:val="0"/>
      <w:sz w:val="24"/>
    </w:rPr>
  </w:style>
  <w:style w:type="paragraph" w:styleId="7">
    <w:name w:val="Body Text First Indent 2"/>
    <w:basedOn w:val="3"/>
    <w:link w:val="14"/>
    <w:unhideWhenUsed/>
    <w:qFormat/>
    <w:uiPriority w:val="99"/>
    <w:pPr>
      <w:ind w:firstLine="420" w:firstLineChars="200"/>
    </w:p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5"/>
    <w:qFormat/>
    <w:uiPriority w:val="99"/>
    <w:rPr>
      <w:sz w:val="18"/>
      <w:szCs w:val="18"/>
    </w:rPr>
  </w:style>
  <w:style w:type="character" w:customStyle="1" w:styleId="12">
    <w:name w:val="页脚 字符"/>
    <w:basedOn w:val="10"/>
    <w:link w:val="4"/>
    <w:qFormat/>
    <w:uiPriority w:val="99"/>
    <w:rPr>
      <w:sz w:val="18"/>
      <w:szCs w:val="18"/>
    </w:rPr>
  </w:style>
  <w:style w:type="character" w:customStyle="1" w:styleId="13">
    <w:name w:val="正文文本缩进 字符"/>
    <w:basedOn w:val="10"/>
    <w:link w:val="3"/>
    <w:semiHidden/>
    <w:qFormat/>
    <w:uiPriority w:val="99"/>
    <w:rPr>
      <w:rFonts w:ascii="Arial" w:hAnsi="Arial" w:eastAsia="微软雅黑" w:cs="Times New Roman"/>
      <w:szCs w:val="24"/>
      <w14:ligatures w14:val="none"/>
    </w:rPr>
  </w:style>
  <w:style w:type="character" w:customStyle="1" w:styleId="14">
    <w:name w:val="正文文本首行缩进 2 字符"/>
    <w:basedOn w:val="13"/>
    <w:link w:val="7"/>
    <w:qFormat/>
    <w:uiPriority w:val="99"/>
    <w:rPr>
      <w:rFonts w:ascii="Arial" w:hAnsi="Arial" w:eastAsia="微软雅黑" w:cs="Times New Roman"/>
      <w:szCs w:val="24"/>
      <w14:ligatures w14:val="none"/>
    </w:rPr>
  </w:style>
  <w:style w:type="paragraph" w:customStyle="1" w:styleId="15">
    <w:name w:val="公文:标题"/>
    <w:basedOn w:val="1"/>
    <w:qFormat/>
    <w:uiPriority w:val="0"/>
    <w:pPr>
      <w:jc w:val="center"/>
    </w:pPr>
    <w:rPr>
      <w:rFonts w:eastAsia="方正小标宋简体"/>
      <w:sz w:val="44"/>
    </w:rPr>
  </w:style>
  <w:style w:type="paragraph" w:customStyle="1" w:styleId="16">
    <w:name w:val="msolistparagraph"/>
    <w:basedOn w:val="1"/>
    <w:qFormat/>
    <w:uiPriority w:val="0"/>
    <w:pPr>
      <w:ind w:firstLine="420" w:firstLineChars="200"/>
    </w:pPr>
    <w:rPr>
      <w:rFonts w:ascii="Times New Roman" w:hAnsi="Times New Roman"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2138</Words>
  <Characters>2288</Characters>
  <Lines>55</Lines>
  <Paragraphs>15</Paragraphs>
  <TotalTime>2</TotalTime>
  <ScaleCrop>false</ScaleCrop>
  <LinksUpToDate>false</LinksUpToDate>
  <CharactersWithSpaces>2291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2024-06-27T07:36:00Z</dcterms:created>
  <dc:creator>杰 张</dc:creator>
  <cp:lastModifiedBy>石洪娟</cp:lastModifiedBy>
  <cp:lastPrinted>2024-11-11T02:32:00Z</cp:lastPrinted>
  <dcterms:modified xsi:type="dcterms:W3CDTF">2025-06-27T08:23:04Z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2ECD7AF5AA244D00912236E08CC8B472_12</vt:lpwstr>
  </property>
  <property fmtid="{D5CDD505-2E9C-101B-9397-08002B2CF9AE}" pid="4" name="KSOTemplateDocerSaveRecord">
    <vt:lpwstr>eyJoZGlkIjoiNWNiZDE1NjEzYTAzOTNhNzRmM2M1M2Y2ZjVkMzIzNzUiLCJ1c2VySWQiOiIxMDYyNTA3MjE1In0=</vt:lpwstr>
  </property>
</Properties>
</file>